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E2CD7">
      <w:pPr>
        <w:rPr>
          <w:rFonts w:hint="eastAsia" w:ascii="等线" w:hAnsi="等线" w:eastAsia="等线" w:cs="等线"/>
          <w:b/>
          <w:bCs/>
          <w:sz w:val="52"/>
          <w:szCs w:val="52"/>
        </w:rPr>
      </w:pPr>
    </w:p>
    <w:p w14:paraId="53CAF25F">
      <w:pPr>
        <w:rPr>
          <w:rFonts w:hint="eastAsia" w:ascii="等线" w:hAnsi="等线" w:eastAsia="等线" w:cs="等线"/>
          <w:b/>
          <w:bCs/>
          <w:sz w:val="52"/>
          <w:szCs w:val="52"/>
        </w:rPr>
      </w:pPr>
    </w:p>
    <w:p w14:paraId="2BC0FE2E">
      <w:pPr>
        <w:rPr>
          <w:rFonts w:hint="eastAsia" w:ascii="等线" w:hAnsi="等线" w:eastAsia="等线" w:cs="等线"/>
          <w:b/>
          <w:bCs/>
          <w:sz w:val="52"/>
          <w:szCs w:val="52"/>
        </w:rPr>
      </w:pPr>
    </w:p>
    <w:p w14:paraId="25E3F21F">
      <w:pPr>
        <w:spacing w:line="480" w:lineRule="auto"/>
        <w:jc w:val="center"/>
        <w:rPr>
          <w:rFonts w:hint="eastAsia" w:ascii="等线" w:hAnsi="等线" w:eastAsia="等线" w:cs="等线"/>
          <w:b/>
          <w:bCs/>
          <w:sz w:val="52"/>
          <w:szCs w:val="52"/>
        </w:rPr>
      </w:pPr>
      <w:r>
        <w:rPr>
          <w:rFonts w:hint="eastAsia" w:ascii="等线" w:hAnsi="等线" w:eastAsia="等线" w:cs="等线"/>
          <w:b/>
          <w:bCs/>
          <w:sz w:val="52"/>
          <w:szCs w:val="52"/>
        </w:rPr>
        <w:t>小学教育专业2024级课程教学大纲</w:t>
      </w:r>
    </w:p>
    <w:p w14:paraId="34CC46B6">
      <w:pPr>
        <w:spacing w:line="480" w:lineRule="auto"/>
        <w:jc w:val="center"/>
        <w:rPr>
          <w:rFonts w:hint="eastAsia" w:ascii="等线" w:hAnsi="等线" w:eastAsia="等线" w:cs="等线"/>
          <w:b/>
          <w:bCs/>
          <w:sz w:val="44"/>
          <w:szCs w:val="44"/>
        </w:rPr>
      </w:pPr>
    </w:p>
    <w:p w14:paraId="1BC1777B">
      <w:pPr>
        <w:spacing w:line="480" w:lineRule="auto"/>
        <w:jc w:val="center"/>
        <w:rPr>
          <w:rFonts w:hint="eastAsia" w:ascii="等线" w:hAnsi="等线" w:eastAsia="等线" w:cs="等线"/>
          <w:b/>
          <w:bCs/>
          <w:sz w:val="44"/>
          <w:szCs w:val="44"/>
        </w:rPr>
      </w:pPr>
    </w:p>
    <w:p w14:paraId="68116879">
      <w:pPr>
        <w:spacing w:line="480" w:lineRule="auto"/>
        <w:jc w:val="center"/>
        <w:rPr>
          <w:rFonts w:hint="eastAsia" w:ascii="等线" w:hAnsi="等线" w:eastAsia="等线" w:cs="等线"/>
          <w:b/>
          <w:bCs/>
          <w:sz w:val="44"/>
          <w:szCs w:val="44"/>
        </w:rPr>
      </w:pPr>
      <w:r>
        <w:rPr>
          <w:rFonts w:hint="eastAsia" w:ascii="等线" w:hAnsi="等线" w:eastAsia="等线" w:cs="等线"/>
          <w:b/>
          <w:bCs/>
          <w:sz w:val="44"/>
          <w:szCs w:val="44"/>
        </w:rPr>
        <w:t>小学教育（理）</w:t>
      </w:r>
    </w:p>
    <w:p w14:paraId="7EE1CC09">
      <w:pPr>
        <w:rPr>
          <w:rFonts w:hint="eastAsia" w:ascii="等线" w:hAnsi="等线" w:eastAsia="等线" w:cs="等线"/>
          <w:b/>
          <w:bCs/>
          <w:sz w:val="36"/>
          <w:szCs w:val="36"/>
        </w:rPr>
      </w:pPr>
    </w:p>
    <w:p w14:paraId="375D6C8E">
      <w:pPr>
        <w:rPr>
          <w:rFonts w:hint="eastAsia" w:ascii="等线" w:hAnsi="等线" w:eastAsia="等线" w:cs="等线"/>
          <w:b/>
          <w:bCs/>
          <w:sz w:val="36"/>
          <w:szCs w:val="36"/>
        </w:rPr>
      </w:pPr>
    </w:p>
    <w:p w14:paraId="161A6406">
      <w:pPr>
        <w:rPr>
          <w:rFonts w:hint="eastAsia" w:ascii="等线" w:hAnsi="等线" w:eastAsia="等线" w:cs="等线"/>
          <w:b/>
          <w:bCs/>
          <w:sz w:val="36"/>
          <w:szCs w:val="36"/>
        </w:rPr>
      </w:pPr>
    </w:p>
    <w:p w14:paraId="0D7BE4E4">
      <w:pPr>
        <w:rPr>
          <w:rFonts w:hint="eastAsia" w:ascii="等线" w:hAnsi="等线" w:eastAsia="等线" w:cs="等线"/>
          <w:b/>
          <w:bCs/>
          <w:sz w:val="36"/>
          <w:szCs w:val="36"/>
        </w:rPr>
      </w:pPr>
    </w:p>
    <w:p w14:paraId="6508C6D5">
      <w:pPr>
        <w:rPr>
          <w:rFonts w:hint="eastAsia" w:ascii="等线" w:hAnsi="等线" w:eastAsia="等线" w:cs="等线"/>
          <w:b/>
          <w:bCs/>
          <w:sz w:val="36"/>
          <w:szCs w:val="36"/>
        </w:rPr>
      </w:pPr>
    </w:p>
    <w:p w14:paraId="1CC0C893">
      <w:pPr>
        <w:rPr>
          <w:rFonts w:hint="eastAsia" w:ascii="等线" w:hAnsi="等线" w:eastAsia="等线" w:cs="等线"/>
          <w:b/>
          <w:bCs/>
          <w:sz w:val="36"/>
          <w:szCs w:val="36"/>
        </w:rPr>
      </w:pPr>
    </w:p>
    <w:p w14:paraId="2ADB7829">
      <w:pPr>
        <w:rPr>
          <w:rFonts w:hint="eastAsia" w:ascii="等线" w:hAnsi="等线" w:eastAsia="等线" w:cs="等线"/>
          <w:b/>
          <w:bCs/>
          <w:sz w:val="36"/>
          <w:szCs w:val="36"/>
        </w:rPr>
      </w:pPr>
    </w:p>
    <w:p w14:paraId="409D7EAF">
      <w:pPr>
        <w:spacing w:line="720" w:lineRule="auto"/>
        <w:jc w:val="center"/>
        <w:rPr>
          <w:rFonts w:hint="eastAsia" w:ascii="等线" w:hAnsi="等线" w:eastAsia="等线" w:cs="等线"/>
          <w:b/>
          <w:bCs/>
          <w:sz w:val="36"/>
          <w:szCs w:val="36"/>
        </w:rPr>
      </w:pPr>
      <w:r>
        <w:rPr>
          <w:rFonts w:hint="eastAsia" w:ascii="等线" w:hAnsi="等线" w:eastAsia="等线" w:cs="等线"/>
          <w:b/>
          <w:bCs/>
          <w:sz w:val="36"/>
          <w:szCs w:val="36"/>
        </w:rPr>
        <w:t>师范学院小学教育系</w:t>
      </w:r>
    </w:p>
    <w:p w14:paraId="7511C57B">
      <w:pPr>
        <w:spacing w:line="720" w:lineRule="auto"/>
        <w:jc w:val="center"/>
        <w:rPr>
          <w:rFonts w:hint="eastAsia" w:ascii="等线" w:hAnsi="等线" w:eastAsia="等线" w:cs="等线"/>
          <w:b/>
          <w:bCs/>
          <w:sz w:val="36"/>
          <w:szCs w:val="36"/>
        </w:rPr>
      </w:pPr>
    </w:p>
    <w:p w14:paraId="45D1EB95">
      <w:pPr>
        <w:spacing w:line="720" w:lineRule="auto"/>
        <w:jc w:val="center"/>
        <w:rPr>
          <w:rFonts w:hint="eastAsia" w:ascii="等线" w:hAnsi="等线" w:eastAsia="等线" w:cs="等线"/>
          <w:b/>
          <w:bCs/>
          <w:sz w:val="36"/>
          <w:szCs w:val="36"/>
        </w:rPr>
      </w:pPr>
      <w:r>
        <w:rPr>
          <w:rFonts w:hint="eastAsia" w:ascii="等线" w:hAnsi="等线" w:eastAsia="等线" w:cs="等线"/>
          <w:b/>
          <w:bCs/>
          <w:sz w:val="36"/>
          <w:szCs w:val="36"/>
        </w:rPr>
        <w:t>2024年9月</w:t>
      </w:r>
    </w:p>
    <w:p w14:paraId="21477C30">
      <w:pPr>
        <w:rPr>
          <w:rFonts w:hint="eastAsia" w:ascii="等线" w:hAnsi="等线" w:eastAsia="等线" w:cs="等线"/>
          <w:b/>
          <w:bCs/>
          <w:sz w:val="36"/>
          <w:szCs w:val="36"/>
        </w:rPr>
      </w:pPr>
      <w:r>
        <w:rPr>
          <w:rFonts w:ascii="等线" w:hAnsi="等线" w:eastAsia="等线" w:cs="等线"/>
          <w:b/>
          <w:bCs/>
          <w:sz w:val="36"/>
          <w:szCs w:val="36"/>
        </w:rPr>
        <w:br w:type="page"/>
      </w:r>
    </w:p>
    <w:p w14:paraId="4E73F4BC">
      <w:pPr>
        <w:spacing w:line="720" w:lineRule="auto"/>
        <w:jc w:val="center"/>
        <w:rPr>
          <w:rFonts w:hint="eastAsia" w:ascii="等线" w:hAnsi="等线" w:eastAsia="等线" w:cs="等线"/>
          <w:b/>
          <w:bCs/>
          <w:sz w:val="36"/>
          <w:szCs w:val="36"/>
        </w:rPr>
        <w:sectPr>
          <w:pgSz w:w="11906" w:h="16838"/>
          <w:pgMar w:top="1440" w:right="1800" w:bottom="1440" w:left="1800" w:header="851" w:footer="992" w:gutter="0"/>
          <w:cols w:space="425" w:num="1"/>
          <w:docGrid w:type="lines" w:linePitch="312" w:charSpace="0"/>
        </w:sectPr>
      </w:pPr>
    </w:p>
    <w:sdt>
      <w:sdtPr>
        <w:rPr>
          <w:rFonts w:ascii="宋体" w:hAnsi="宋体" w:eastAsia="宋体"/>
        </w:rPr>
        <w:id w:val="147466032"/>
        <w15:color w:val="DBDBDB"/>
        <w:docPartObj>
          <w:docPartGallery w:val="Table of Contents"/>
          <w:docPartUnique/>
        </w:docPartObj>
      </w:sdtPr>
      <w:sdtEndPr>
        <w:rPr>
          <w:rFonts w:ascii="宋体" w:hAnsi="宋体" w:eastAsia="宋体"/>
        </w:rPr>
      </w:sdtEndPr>
      <w:sdtContent>
        <w:p w14:paraId="5180AC15">
          <w:pPr>
            <w:jc w:val="center"/>
            <w:rPr>
              <w:rStyle w:val="29"/>
            </w:rPr>
          </w:pPr>
          <w:bookmarkStart w:id="0" w:name="_Toc57017176"/>
          <w:r>
            <w:rPr>
              <w:rStyle w:val="29"/>
            </w:rPr>
            <w:t>目录</w:t>
          </w:r>
        </w:p>
        <w:p w14:paraId="6B0685DB">
          <w:pPr>
            <w:pStyle w:val="11"/>
            <w:tabs>
              <w:tab w:val="right" w:leader="dot" w:pos="8504"/>
              <w:tab w:val="clear" w:pos="8296"/>
            </w:tabs>
          </w:pPr>
          <w:r>
            <w:fldChar w:fldCharType="begin"/>
          </w:r>
          <w:r>
            <w:instrText xml:space="preserve">TOC \o "1-3" \h \u </w:instrText>
          </w:r>
          <w:r>
            <w:fldChar w:fldCharType="separate"/>
          </w:r>
          <w:r>
            <w:fldChar w:fldCharType="begin"/>
          </w:r>
          <w:r>
            <w:instrText xml:space="preserve"> HYPERLINK \l _Toc4561 </w:instrText>
          </w:r>
          <w:r>
            <w:fldChar w:fldCharType="separate"/>
          </w:r>
          <w:r>
            <w:rPr>
              <w:rFonts w:hint="eastAsia"/>
            </w:rPr>
            <w:t>《思想道德与法治》课程教学大纲</w:t>
          </w:r>
          <w:r>
            <w:tab/>
          </w:r>
          <w:r>
            <w:fldChar w:fldCharType="begin"/>
          </w:r>
          <w:r>
            <w:instrText xml:space="preserve"> PAGEREF _Toc4561 \h </w:instrText>
          </w:r>
          <w:r>
            <w:fldChar w:fldCharType="separate"/>
          </w:r>
          <w:r>
            <w:t>5</w:t>
          </w:r>
          <w:r>
            <w:fldChar w:fldCharType="end"/>
          </w:r>
          <w:r>
            <w:fldChar w:fldCharType="end"/>
          </w:r>
        </w:p>
        <w:p w14:paraId="082601AE">
          <w:pPr>
            <w:pStyle w:val="11"/>
            <w:tabs>
              <w:tab w:val="right" w:leader="dot" w:pos="8504"/>
              <w:tab w:val="clear" w:pos="8296"/>
            </w:tabs>
          </w:pPr>
          <w:r>
            <w:fldChar w:fldCharType="begin"/>
          </w:r>
          <w:r>
            <w:instrText xml:space="preserve"> HYPERLINK \l _Toc17679 </w:instrText>
          </w:r>
          <w:r>
            <w:fldChar w:fldCharType="separate"/>
          </w:r>
          <w:r>
            <w:rPr>
              <w:rFonts w:hint="eastAsia" w:ascii="Times New Roman" w:hAnsi="Times New Roman"/>
            </w:rPr>
            <w:t>《中国近现代史纲要》课程教学大纲</w:t>
          </w:r>
          <w:r>
            <w:tab/>
          </w:r>
          <w:r>
            <w:fldChar w:fldCharType="begin"/>
          </w:r>
          <w:r>
            <w:instrText xml:space="preserve"> PAGEREF _Toc17679 \h </w:instrText>
          </w:r>
          <w:r>
            <w:fldChar w:fldCharType="separate"/>
          </w:r>
          <w:r>
            <w:t>10</w:t>
          </w:r>
          <w:r>
            <w:fldChar w:fldCharType="end"/>
          </w:r>
          <w:r>
            <w:fldChar w:fldCharType="end"/>
          </w:r>
        </w:p>
        <w:p w14:paraId="7A1AC826">
          <w:pPr>
            <w:pStyle w:val="11"/>
            <w:tabs>
              <w:tab w:val="right" w:leader="dot" w:pos="8504"/>
              <w:tab w:val="clear" w:pos="8296"/>
            </w:tabs>
          </w:pPr>
          <w:r>
            <w:fldChar w:fldCharType="begin"/>
          </w:r>
          <w:r>
            <w:instrText xml:space="preserve"> HYPERLINK \l _Toc16594 </w:instrText>
          </w:r>
          <w:r>
            <w:fldChar w:fldCharType="separate"/>
          </w:r>
          <w:r>
            <w:rPr>
              <w:rFonts w:hint="eastAsia"/>
            </w:rPr>
            <w:t>《马克思主义基本原理》课程教学大纲</w:t>
          </w:r>
          <w:r>
            <w:tab/>
          </w:r>
          <w:r>
            <w:fldChar w:fldCharType="begin"/>
          </w:r>
          <w:r>
            <w:instrText xml:space="preserve"> PAGEREF _Toc16594 \h </w:instrText>
          </w:r>
          <w:r>
            <w:fldChar w:fldCharType="separate"/>
          </w:r>
          <w:r>
            <w:t>20</w:t>
          </w:r>
          <w:r>
            <w:fldChar w:fldCharType="end"/>
          </w:r>
          <w:r>
            <w:fldChar w:fldCharType="end"/>
          </w:r>
        </w:p>
        <w:p w14:paraId="0D441A7C">
          <w:pPr>
            <w:pStyle w:val="11"/>
            <w:tabs>
              <w:tab w:val="right" w:leader="dot" w:pos="8504"/>
              <w:tab w:val="clear" w:pos="8296"/>
            </w:tabs>
          </w:pPr>
          <w:r>
            <w:fldChar w:fldCharType="begin"/>
          </w:r>
          <w:r>
            <w:instrText xml:space="preserve"> HYPERLINK \l _Toc30020 </w:instrText>
          </w:r>
          <w:r>
            <w:fldChar w:fldCharType="separate"/>
          </w:r>
          <w:r>
            <w:rPr>
              <w:rFonts w:hint="eastAsia"/>
              <w:lang w:eastAsia="zh-CN"/>
            </w:rPr>
            <w:t>《</w:t>
          </w:r>
          <w:r>
            <w:rPr>
              <w:rFonts w:hint="eastAsia"/>
            </w:rPr>
            <w:t>毛泽东思想和中国特色社会主义理论体系概论</w:t>
          </w:r>
          <w:r>
            <w:rPr>
              <w:rFonts w:hint="eastAsia"/>
              <w:lang w:eastAsia="zh-CN"/>
            </w:rPr>
            <w:t>》</w:t>
          </w:r>
          <w:r>
            <w:rPr>
              <w:rFonts w:hint="eastAsia"/>
            </w:rPr>
            <w:t>课程教学大纲</w:t>
          </w:r>
          <w:r>
            <w:tab/>
          </w:r>
          <w:r>
            <w:fldChar w:fldCharType="begin"/>
          </w:r>
          <w:r>
            <w:instrText xml:space="preserve"> PAGEREF _Toc30020 \h </w:instrText>
          </w:r>
          <w:r>
            <w:fldChar w:fldCharType="separate"/>
          </w:r>
          <w:r>
            <w:t>26</w:t>
          </w:r>
          <w:r>
            <w:fldChar w:fldCharType="end"/>
          </w:r>
          <w:r>
            <w:fldChar w:fldCharType="end"/>
          </w:r>
        </w:p>
        <w:p w14:paraId="6D716414">
          <w:pPr>
            <w:pStyle w:val="11"/>
            <w:tabs>
              <w:tab w:val="right" w:leader="dot" w:pos="8504"/>
              <w:tab w:val="clear" w:pos="8296"/>
            </w:tabs>
          </w:pPr>
          <w:r>
            <w:fldChar w:fldCharType="begin"/>
          </w:r>
          <w:r>
            <w:instrText xml:space="preserve"> HYPERLINK \l _Toc26669 </w:instrText>
          </w:r>
          <w:r>
            <w:fldChar w:fldCharType="separate"/>
          </w:r>
          <w:r>
            <w:rPr>
              <w:rFonts w:hint="eastAsia"/>
              <w:lang w:eastAsia="zh-CN"/>
            </w:rPr>
            <w:t>《</w:t>
          </w:r>
          <w:r>
            <w:rPr>
              <w:rFonts w:hint="eastAsia"/>
            </w:rPr>
            <w:t>习近平新时代中国特色社会主义思想概论</w:t>
          </w:r>
          <w:r>
            <w:rPr>
              <w:rFonts w:hint="eastAsia"/>
              <w:lang w:eastAsia="zh-CN"/>
            </w:rPr>
            <w:t>》</w:t>
          </w:r>
          <w:r>
            <w:rPr>
              <w:rFonts w:hint="eastAsia"/>
            </w:rPr>
            <w:t>课程教学大纲</w:t>
          </w:r>
          <w:r>
            <w:tab/>
          </w:r>
          <w:r>
            <w:fldChar w:fldCharType="begin"/>
          </w:r>
          <w:r>
            <w:instrText xml:space="preserve"> PAGEREF _Toc26669 \h </w:instrText>
          </w:r>
          <w:r>
            <w:fldChar w:fldCharType="separate"/>
          </w:r>
          <w:r>
            <w:t>31</w:t>
          </w:r>
          <w:r>
            <w:fldChar w:fldCharType="end"/>
          </w:r>
          <w:r>
            <w:fldChar w:fldCharType="end"/>
          </w:r>
        </w:p>
        <w:p w14:paraId="0AE78E93">
          <w:pPr>
            <w:pStyle w:val="11"/>
            <w:tabs>
              <w:tab w:val="right" w:leader="dot" w:pos="8504"/>
              <w:tab w:val="clear" w:pos="8296"/>
            </w:tabs>
          </w:pPr>
          <w:r>
            <w:fldChar w:fldCharType="begin"/>
          </w:r>
          <w:r>
            <w:instrText xml:space="preserve"> HYPERLINK \l _Toc2149 </w:instrText>
          </w:r>
          <w:r>
            <w:fldChar w:fldCharType="separate"/>
          </w:r>
          <w:r>
            <w:rPr>
              <w:rFonts w:hint="eastAsia"/>
            </w:rPr>
            <w:t>《习近平总书记关于教育的重要论述研究》课程教学大纲</w:t>
          </w:r>
          <w:r>
            <w:tab/>
          </w:r>
          <w:r>
            <w:fldChar w:fldCharType="begin"/>
          </w:r>
          <w:r>
            <w:instrText xml:space="preserve"> PAGEREF _Toc2149 \h </w:instrText>
          </w:r>
          <w:r>
            <w:fldChar w:fldCharType="separate"/>
          </w:r>
          <w:r>
            <w:t>41</w:t>
          </w:r>
          <w:r>
            <w:fldChar w:fldCharType="end"/>
          </w:r>
          <w:r>
            <w:fldChar w:fldCharType="end"/>
          </w:r>
        </w:p>
        <w:p w14:paraId="10C6BCDC">
          <w:pPr>
            <w:pStyle w:val="11"/>
            <w:tabs>
              <w:tab w:val="right" w:leader="dot" w:pos="8504"/>
              <w:tab w:val="clear" w:pos="8296"/>
            </w:tabs>
          </w:pPr>
          <w:r>
            <w:fldChar w:fldCharType="begin"/>
          </w:r>
          <w:r>
            <w:instrText xml:space="preserve"> HYPERLINK \l _Toc32721 </w:instrText>
          </w:r>
          <w:r>
            <w:fldChar w:fldCharType="separate"/>
          </w:r>
          <w:r>
            <w:rPr>
              <w:rFonts w:hint="eastAsia"/>
            </w:rPr>
            <w:t>《形势与政策》课程教学大纲</w:t>
          </w:r>
          <w:r>
            <w:tab/>
          </w:r>
          <w:r>
            <w:fldChar w:fldCharType="begin"/>
          </w:r>
          <w:r>
            <w:instrText xml:space="preserve"> PAGEREF _Toc32721 \h </w:instrText>
          </w:r>
          <w:r>
            <w:fldChar w:fldCharType="separate"/>
          </w:r>
          <w:r>
            <w:t>46</w:t>
          </w:r>
          <w:r>
            <w:fldChar w:fldCharType="end"/>
          </w:r>
          <w:r>
            <w:fldChar w:fldCharType="end"/>
          </w:r>
        </w:p>
        <w:p w14:paraId="3348EF00">
          <w:pPr>
            <w:pStyle w:val="11"/>
            <w:tabs>
              <w:tab w:val="right" w:leader="dot" w:pos="8504"/>
              <w:tab w:val="clear" w:pos="8296"/>
            </w:tabs>
          </w:pPr>
          <w:r>
            <w:fldChar w:fldCharType="begin"/>
          </w:r>
          <w:r>
            <w:instrText xml:space="preserve"> HYPERLINK \l _Toc2177 </w:instrText>
          </w:r>
          <w:r>
            <w:fldChar w:fldCharType="separate"/>
          </w:r>
          <w:r>
            <w:rPr>
              <w:rFonts w:hint="eastAsia"/>
            </w:rPr>
            <w:t>《体育I》课程教学大纲</w:t>
          </w:r>
          <w:r>
            <w:tab/>
          </w:r>
          <w:r>
            <w:fldChar w:fldCharType="begin"/>
          </w:r>
          <w:r>
            <w:instrText xml:space="preserve"> PAGEREF _Toc2177 \h </w:instrText>
          </w:r>
          <w:r>
            <w:fldChar w:fldCharType="separate"/>
          </w:r>
          <w:r>
            <w:t>50</w:t>
          </w:r>
          <w:r>
            <w:fldChar w:fldCharType="end"/>
          </w:r>
          <w:r>
            <w:fldChar w:fldCharType="end"/>
          </w:r>
        </w:p>
        <w:p w14:paraId="071608C6">
          <w:pPr>
            <w:pStyle w:val="11"/>
            <w:tabs>
              <w:tab w:val="right" w:leader="dot" w:pos="8504"/>
              <w:tab w:val="clear" w:pos="8296"/>
            </w:tabs>
          </w:pPr>
          <w:r>
            <w:fldChar w:fldCharType="begin"/>
          </w:r>
          <w:r>
            <w:instrText xml:space="preserve"> HYPERLINK \l _Toc31750 </w:instrText>
          </w:r>
          <w:r>
            <w:fldChar w:fldCharType="separate"/>
          </w:r>
          <w:r>
            <w:rPr>
              <w:rFonts w:hint="eastAsia"/>
            </w:rPr>
            <w:t>《体育II》课程教学大纲</w:t>
          </w:r>
          <w:r>
            <w:tab/>
          </w:r>
          <w:r>
            <w:fldChar w:fldCharType="begin"/>
          </w:r>
          <w:r>
            <w:instrText xml:space="preserve"> PAGEREF _Toc31750 \h </w:instrText>
          </w:r>
          <w:r>
            <w:fldChar w:fldCharType="separate"/>
          </w:r>
          <w:r>
            <w:t>54</w:t>
          </w:r>
          <w:r>
            <w:fldChar w:fldCharType="end"/>
          </w:r>
          <w:r>
            <w:fldChar w:fldCharType="end"/>
          </w:r>
        </w:p>
        <w:p w14:paraId="79D54940">
          <w:pPr>
            <w:pStyle w:val="11"/>
            <w:tabs>
              <w:tab w:val="right" w:leader="dot" w:pos="8504"/>
              <w:tab w:val="clear" w:pos="8296"/>
            </w:tabs>
          </w:pPr>
          <w:r>
            <w:fldChar w:fldCharType="begin"/>
          </w:r>
          <w:r>
            <w:instrText xml:space="preserve"> HYPERLINK \l _Toc10601 </w:instrText>
          </w:r>
          <w:r>
            <w:fldChar w:fldCharType="separate"/>
          </w:r>
          <w:r>
            <w:rPr>
              <w:rFonts w:hint="eastAsia"/>
            </w:rPr>
            <w:t>《体育III》</w:t>
          </w:r>
          <w:r>
            <w:t>课程教学大纲</w:t>
          </w:r>
          <w:r>
            <w:tab/>
          </w:r>
          <w:r>
            <w:fldChar w:fldCharType="begin"/>
          </w:r>
          <w:r>
            <w:instrText xml:space="preserve"> PAGEREF _Toc10601 \h </w:instrText>
          </w:r>
          <w:r>
            <w:fldChar w:fldCharType="separate"/>
          </w:r>
          <w:r>
            <w:t>59</w:t>
          </w:r>
          <w:r>
            <w:fldChar w:fldCharType="end"/>
          </w:r>
          <w:r>
            <w:fldChar w:fldCharType="end"/>
          </w:r>
        </w:p>
        <w:p w14:paraId="0637FA09">
          <w:pPr>
            <w:pStyle w:val="11"/>
            <w:tabs>
              <w:tab w:val="right" w:leader="dot" w:pos="8504"/>
              <w:tab w:val="clear" w:pos="8296"/>
            </w:tabs>
          </w:pPr>
          <w:r>
            <w:fldChar w:fldCharType="begin"/>
          </w:r>
          <w:r>
            <w:instrText xml:space="preserve"> HYPERLINK \l _Toc14170 </w:instrText>
          </w:r>
          <w:r>
            <w:fldChar w:fldCharType="separate"/>
          </w:r>
          <w:r>
            <w:rPr>
              <w:rFonts w:hint="eastAsia"/>
            </w:rPr>
            <w:t>《体育IV》</w:t>
          </w:r>
          <w:r>
            <w:t>课程教学大纲</w:t>
          </w:r>
          <w:r>
            <w:tab/>
          </w:r>
          <w:r>
            <w:fldChar w:fldCharType="begin"/>
          </w:r>
          <w:r>
            <w:instrText xml:space="preserve"> PAGEREF _Toc14170 \h </w:instrText>
          </w:r>
          <w:r>
            <w:fldChar w:fldCharType="separate"/>
          </w:r>
          <w:r>
            <w:t>64</w:t>
          </w:r>
          <w:r>
            <w:fldChar w:fldCharType="end"/>
          </w:r>
          <w:r>
            <w:fldChar w:fldCharType="end"/>
          </w:r>
        </w:p>
        <w:p w14:paraId="0EFAD1B3">
          <w:pPr>
            <w:pStyle w:val="11"/>
            <w:tabs>
              <w:tab w:val="right" w:leader="dot" w:pos="8504"/>
              <w:tab w:val="clear" w:pos="8296"/>
            </w:tabs>
          </w:pPr>
          <w:r>
            <w:fldChar w:fldCharType="begin"/>
          </w:r>
          <w:r>
            <w:instrText xml:space="preserve"> HYPERLINK \l _Toc367 </w:instrText>
          </w:r>
          <w:r>
            <w:fldChar w:fldCharType="separate"/>
          </w:r>
          <w:r>
            <w:rPr>
              <w:rFonts w:hint="eastAsia"/>
            </w:rPr>
            <w:t>《体育Ⅴ》</w:t>
          </w:r>
          <w:r>
            <w:t>课程教学大纲</w:t>
          </w:r>
          <w:r>
            <w:tab/>
          </w:r>
          <w:r>
            <w:fldChar w:fldCharType="begin"/>
          </w:r>
          <w:r>
            <w:instrText xml:space="preserve"> PAGEREF _Toc367 \h </w:instrText>
          </w:r>
          <w:r>
            <w:fldChar w:fldCharType="separate"/>
          </w:r>
          <w:r>
            <w:t>69</w:t>
          </w:r>
          <w:r>
            <w:fldChar w:fldCharType="end"/>
          </w:r>
          <w:r>
            <w:fldChar w:fldCharType="end"/>
          </w:r>
        </w:p>
        <w:p w14:paraId="55FD0A8B">
          <w:pPr>
            <w:pStyle w:val="11"/>
            <w:tabs>
              <w:tab w:val="right" w:leader="dot" w:pos="8504"/>
              <w:tab w:val="clear" w:pos="8296"/>
            </w:tabs>
          </w:pPr>
          <w:r>
            <w:fldChar w:fldCharType="begin"/>
          </w:r>
          <w:r>
            <w:instrText xml:space="preserve"> HYPERLINK \l _Toc25831 </w:instrText>
          </w:r>
          <w:r>
            <w:fldChar w:fldCharType="separate"/>
          </w:r>
          <w:r>
            <w:rPr>
              <w:rFonts w:hint="eastAsia"/>
            </w:rPr>
            <w:t>《体育Ⅵ》</w:t>
          </w:r>
          <w:r>
            <w:t>课程教学大纲</w:t>
          </w:r>
          <w:r>
            <w:tab/>
          </w:r>
          <w:r>
            <w:fldChar w:fldCharType="begin"/>
          </w:r>
          <w:r>
            <w:instrText xml:space="preserve"> PAGEREF _Toc25831 \h </w:instrText>
          </w:r>
          <w:r>
            <w:fldChar w:fldCharType="separate"/>
          </w:r>
          <w:r>
            <w:t>73</w:t>
          </w:r>
          <w:r>
            <w:fldChar w:fldCharType="end"/>
          </w:r>
          <w:r>
            <w:fldChar w:fldCharType="end"/>
          </w:r>
        </w:p>
        <w:p w14:paraId="0D0069E0">
          <w:pPr>
            <w:pStyle w:val="11"/>
            <w:tabs>
              <w:tab w:val="right" w:leader="dot" w:pos="8504"/>
              <w:tab w:val="clear" w:pos="8296"/>
            </w:tabs>
          </w:pPr>
          <w:r>
            <w:fldChar w:fldCharType="begin"/>
          </w:r>
          <w:r>
            <w:instrText xml:space="preserve"> HYPERLINK \l _Toc23820 </w:instrText>
          </w:r>
          <w:r>
            <w:fldChar w:fldCharType="separate"/>
          </w:r>
          <w:r>
            <w:rPr>
              <w:rFonts w:hint="eastAsia"/>
            </w:rPr>
            <w:t>《大学英语》</w:t>
          </w:r>
          <w:r>
            <w:t>B</w:t>
          </w:r>
          <w:r>
            <w:rPr>
              <w:rFonts w:hint="eastAsia"/>
            </w:rPr>
            <w:t>（I）课程教学大纲</w:t>
          </w:r>
          <w:r>
            <w:tab/>
          </w:r>
          <w:r>
            <w:fldChar w:fldCharType="begin"/>
          </w:r>
          <w:r>
            <w:instrText xml:space="preserve"> PAGEREF _Toc23820 \h </w:instrText>
          </w:r>
          <w:r>
            <w:fldChar w:fldCharType="separate"/>
          </w:r>
          <w:r>
            <w:t>77</w:t>
          </w:r>
          <w:r>
            <w:fldChar w:fldCharType="end"/>
          </w:r>
          <w:r>
            <w:fldChar w:fldCharType="end"/>
          </w:r>
        </w:p>
        <w:p w14:paraId="12A029C8">
          <w:pPr>
            <w:rPr>
              <w:rFonts w:hint="eastAsia" w:eastAsiaTheme="minorEastAsia"/>
              <w:lang w:val="en-US" w:eastAsia="zh-CN"/>
            </w:rPr>
          </w:pPr>
          <w:r>
            <w:rPr>
              <w:b/>
              <w:bCs/>
            </w:rPr>
            <w:fldChar w:fldCharType="begin"/>
          </w:r>
          <w:r>
            <w:rPr>
              <w:b/>
              <w:bCs/>
            </w:rPr>
            <w:instrText xml:space="preserve"> HYPERLINK \l _Toc23820 </w:instrText>
          </w:r>
          <w:r>
            <w:rPr>
              <w:b/>
              <w:bCs/>
            </w:rPr>
            <w:fldChar w:fldCharType="separate"/>
          </w:r>
          <w:r>
            <w:rPr>
              <w:rFonts w:hint="eastAsia"/>
              <w:b/>
              <w:bCs/>
            </w:rPr>
            <w:t>《大学英语》</w:t>
          </w:r>
          <w:r>
            <w:rPr>
              <w:rFonts w:hint="eastAsia"/>
              <w:b/>
              <w:bCs/>
              <w:lang w:val="en-US" w:eastAsia="zh-CN"/>
            </w:rPr>
            <w:t>B（Ⅱ）</w:t>
          </w:r>
          <w:r>
            <w:rPr>
              <w:rFonts w:hint="eastAsia"/>
              <w:b/>
              <w:bCs/>
            </w:rPr>
            <w:t>课程教学大纲</w:t>
          </w:r>
          <w:r>
            <w:rPr>
              <w:rFonts w:hint="eastAsia"/>
              <w:b/>
              <w:bCs/>
              <w:lang w:val="en-US" w:eastAsia="zh-CN"/>
            </w:rPr>
            <w:t>..........................................................................................8</w:t>
          </w:r>
          <w:r>
            <w:rPr>
              <w:b/>
              <w:bCs/>
            </w:rPr>
            <w:fldChar w:fldCharType="end"/>
          </w:r>
          <w:r>
            <w:rPr>
              <w:rFonts w:hint="eastAsia"/>
              <w:b/>
              <w:bCs/>
              <w:lang w:val="en-US" w:eastAsia="zh-CN"/>
            </w:rPr>
            <w:t>2</w:t>
          </w:r>
        </w:p>
        <w:p w14:paraId="57DF0B85">
          <w:pPr>
            <w:pStyle w:val="11"/>
            <w:tabs>
              <w:tab w:val="right" w:leader="dot" w:pos="8504"/>
              <w:tab w:val="clear" w:pos="8296"/>
            </w:tabs>
          </w:pPr>
          <w:r>
            <w:fldChar w:fldCharType="begin"/>
          </w:r>
          <w:r>
            <w:instrText xml:space="preserve"> HYPERLINK \l _Toc5603 </w:instrText>
          </w:r>
          <w:r>
            <w:fldChar w:fldCharType="separate"/>
          </w:r>
          <w:r>
            <w:rPr>
              <w:rFonts w:hint="eastAsia"/>
            </w:rPr>
            <w:t>《专业导学》课程教学大纲</w:t>
          </w:r>
          <w:r>
            <w:tab/>
          </w:r>
          <w:r>
            <w:fldChar w:fldCharType="begin"/>
          </w:r>
          <w:r>
            <w:instrText xml:space="preserve"> PAGEREF _Toc5603 \h </w:instrText>
          </w:r>
          <w:r>
            <w:fldChar w:fldCharType="separate"/>
          </w:r>
          <w:r>
            <w:t>83</w:t>
          </w:r>
          <w:r>
            <w:fldChar w:fldCharType="end"/>
          </w:r>
          <w:r>
            <w:fldChar w:fldCharType="end"/>
          </w:r>
        </w:p>
        <w:p w14:paraId="3F440184">
          <w:pPr>
            <w:pStyle w:val="11"/>
            <w:tabs>
              <w:tab w:val="right" w:leader="dot" w:pos="8504"/>
              <w:tab w:val="clear" w:pos="8296"/>
            </w:tabs>
          </w:pPr>
          <w:r>
            <w:fldChar w:fldCharType="begin"/>
          </w:r>
          <w:r>
            <w:instrText xml:space="preserve"> HYPERLINK \l _Toc11449 </w:instrText>
          </w:r>
          <w:r>
            <w:fldChar w:fldCharType="separate"/>
          </w:r>
          <w:r>
            <w:rPr>
              <w:rFonts w:hint="eastAsia"/>
            </w:rPr>
            <w:t>《大学生职业生涯规划》课程教学大纲</w:t>
          </w:r>
          <w:r>
            <w:tab/>
          </w:r>
          <w:r>
            <w:fldChar w:fldCharType="begin"/>
          </w:r>
          <w:r>
            <w:instrText xml:space="preserve"> PAGEREF _Toc11449 \h </w:instrText>
          </w:r>
          <w:r>
            <w:fldChar w:fldCharType="separate"/>
          </w:r>
          <w:r>
            <w:t>88</w:t>
          </w:r>
          <w:r>
            <w:fldChar w:fldCharType="end"/>
          </w:r>
          <w:r>
            <w:fldChar w:fldCharType="end"/>
          </w:r>
        </w:p>
        <w:p w14:paraId="0E826C52">
          <w:pPr>
            <w:pStyle w:val="11"/>
            <w:tabs>
              <w:tab w:val="right" w:leader="dot" w:pos="8504"/>
              <w:tab w:val="clear" w:pos="8296"/>
            </w:tabs>
          </w:pPr>
          <w:r>
            <w:fldChar w:fldCharType="begin"/>
          </w:r>
          <w:r>
            <w:instrText xml:space="preserve"> HYPERLINK \l _Toc29850 </w:instrText>
          </w:r>
          <w:r>
            <w:fldChar w:fldCharType="separate"/>
          </w:r>
          <w:r>
            <w:rPr>
              <w:rFonts w:hint="eastAsia"/>
            </w:rPr>
            <w:t>《大学生就业指导》课程教学大纲</w:t>
          </w:r>
          <w:r>
            <w:tab/>
          </w:r>
          <w:r>
            <w:fldChar w:fldCharType="begin"/>
          </w:r>
          <w:r>
            <w:instrText xml:space="preserve"> PAGEREF _Toc29850 \h </w:instrText>
          </w:r>
          <w:r>
            <w:fldChar w:fldCharType="separate"/>
          </w:r>
          <w:r>
            <w:t>93</w:t>
          </w:r>
          <w:r>
            <w:fldChar w:fldCharType="end"/>
          </w:r>
          <w:r>
            <w:fldChar w:fldCharType="end"/>
          </w:r>
        </w:p>
        <w:p w14:paraId="7664B080">
          <w:pPr>
            <w:pStyle w:val="11"/>
            <w:tabs>
              <w:tab w:val="right" w:leader="dot" w:pos="8504"/>
              <w:tab w:val="clear" w:pos="8296"/>
            </w:tabs>
          </w:pPr>
          <w:r>
            <w:fldChar w:fldCharType="begin"/>
          </w:r>
          <w:r>
            <w:instrText xml:space="preserve"> HYPERLINK \l _Toc18042 </w:instrText>
          </w:r>
          <w:r>
            <w:fldChar w:fldCharType="separate"/>
          </w:r>
          <w:r>
            <w:rPr>
              <w:rFonts w:hint="eastAsia"/>
            </w:rPr>
            <w:t>《大学生劳动教育》课程教学大纲</w:t>
          </w:r>
          <w:r>
            <w:tab/>
          </w:r>
          <w:r>
            <w:fldChar w:fldCharType="begin"/>
          </w:r>
          <w:r>
            <w:instrText xml:space="preserve"> PAGEREF _Toc18042 \h </w:instrText>
          </w:r>
          <w:r>
            <w:fldChar w:fldCharType="separate"/>
          </w:r>
          <w:r>
            <w:t>99</w:t>
          </w:r>
          <w:r>
            <w:fldChar w:fldCharType="end"/>
          </w:r>
          <w:r>
            <w:fldChar w:fldCharType="end"/>
          </w:r>
        </w:p>
        <w:p w14:paraId="6B82177F">
          <w:pPr>
            <w:pStyle w:val="11"/>
            <w:tabs>
              <w:tab w:val="right" w:leader="dot" w:pos="8504"/>
              <w:tab w:val="clear" w:pos="8296"/>
            </w:tabs>
          </w:pPr>
          <w:r>
            <w:fldChar w:fldCharType="begin"/>
          </w:r>
          <w:r>
            <w:instrText xml:space="preserve"> HYPERLINK \l _Toc10304 </w:instrText>
          </w:r>
          <w:r>
            <w:fldChar w:fldCharType="separate"/>
          </w:r>
          <w:r>
            <w:rPr>
              <w:rFonts w:hint="eastAsia"/>
            </w:rPr>
            <w:t>《</w:t>
          </w:r>
          <w:r>
            <w:t>大学生创新创业基础</w:t>
          </w:r>
          <w:r>
            <w:rPr>
              <w:rFonts w:hint="eastAsia"/>
            </w:rPr>
            <w:t>》课程教学大纲</w:t>
          </w:r>
          <w:r>
            <w:tab/>
          </w:r>
          <w:r>
            <w:fldChar w:fldCharType="begin"/>
          </w:r>
          <w:r>
            <w:instrText xml:space="preserve"> PAGEREF _Toc10304 \h </w:instrText>
          </w:r>
          <w:r>
            <w:fldChar w:fldCharType="separate"/>
          </w:r>
          <w:r>
            <w:t>105</w:t>
          </w:r>
          <w:r>
            <w:fldChar w:fldCharType="end"/>
          </w:r>
          <w:r>
            <w:fldChar w:fldCharType="end"/>
          </w:r>
        </w:p>
        <w:p w14:paraId="2FF3547F">
          <w:pPr>
            <w:pStyle w:val="11"/>
            <w:tabs>
              <w:tab w:val="right" w:leader="dot" w:pos="8504"/>
              <w:tab w:val="clear" w:pos="8296"/>
            </w:tabs>
          </w:pPr>
          <w:r>
            <w:fldChar w:fldCharType="begin"/>
          </w:r>
          <w:r>
            <w:instrText xml:space="preserve"> HYPERLINK \l _Toc16627 </w:instrText>
          </w:r>
          <w:r>
            <w:fldChar w:fldCharType="separate"/>
          </w:r>
          <w:r>
            <w:rPr>
              <w:rFonts w:hint="eastAsia"/>
              <w:lang w:eastAsia="zh-CN"/>
            </w:rPr>
            <w:t>《</w:t>
          </w:r>
          <w:r>
            <w:rPr>
              <w:rFonts w:hint="eastAsia"/>
            </w:rPr>
            <w:t>军事理论</w:t>
          </w:r>
          <w:r>
            <w:rPr>
              <w:rFonts w:hint="eastAsia"/>
              <w:lang w:eastAsia="zh-CN"/>
            </w:rPr>
            <w:t>》</w:t>
          </w:r>
          <w:r>
            <w:rPr>
              <w:rFonts w:hint="eastAsia"/>
            </w:rPr>
            <w:t>课程教学大纲</w:t>
          </w:r>
          <w:r>
            <w:tab/>
          </w:r>
          <w:r>
            <w:fldChar w:fldCharType="begin"/>
          </w:r>
          <w:r>
            <w:instrText xml:space="preserve"> PAGEREF _Toc16627 \h </w:instrText>
          </w:r>
          <w:r>
            <w:fldChar w:fldCharType="separate"/>
          </w:r>
          <w:r>
            <w:t>114</w:t>
          </w:r>
          <w:r>
            <w:fldChar w:fldCharType="end"/>
          </w:r>
          <w:r>
            <w:fldChar w:fldCharType="end"/>
          </w:r>
        </w:p>
        <w:p w14:paraId="142148F7">
          <w:pPr>
            <w:pStyle w:val="11"/>
            <w:tabs>
              <w:tab w:val="right" w:leader="dot" w:pos="8504"/>
              <w:tab w:val="clear" w:pos="8296"/>
            </w:tabs>
          </w:pPr>
          <w:r>
            <w:fldChar w:fldCharType="begin"/>
          </w:r>
          <w:r>
            <w:instrText xml:space="preserve"> HYPERLINK \l _Toc12342 </w:instrText>
          </w:r>
          <w:r>
            <w:fldChar w:fldCharType="separate"/>
          </w:r>
          <w:r>
            <w:rPr>
              <w:rFonts w:hint="eastAsia"/>
            </w:rPr>
            <w:t>《大学生心理健康教育》课程教学大纲</w:t>
          </w:r>
          <w:r>
            <w:tab/>
          </w:r>
          <w:r>
            <w:fldChar w:fldCharType="begin"/>
          </w:r>
          <w:r>
            <w:instrText xml:space="preserve"> PAGEREF _Toc12342 \h </w:instrText>
          </w:r>
          <w:r>
            <w:fldChar w:fldCharType="separate"/>
          </w:r>
          <w:r>
            <w:t>119</w:t>
          </w:r>
          <w:r>
            <w:fldChar w:fldCharType="end"/>
          </w:r>
          <w:r>
            <w:fldChar w:fldCharType="end"/>
          </w:r>
        </w:p>
        <w:p w14:paraId="66F28D59">
          <w:pPr>
            <w:pStyle w:val="11"/>
            <w:tabs>
              <w:tab w:val="right" w:leader="dot" w:pos="8504"/>
              <w:tab w:val="clear" w:pos="8296"/>
            </w:tabs>
          </w:pPr>
          <w:r>
            <w:fldChar w:fldCharType="begin"/>
          </w:r>
          <w:r>
            <w:instrText xml:space="preserve"> HYPERLINK \l _Toc7172 </w:instrText>
          </w:r>
          <w:r>
            <w:fldChar w:fldCharType="separate"/>
          </w:r>
          <w:r>
            <w:rPr>
              <w:rFonts w:hint="eastAsia"/>
              <w:lang w:eastAsia="zh-CN"/>
            </w:rPr>
            <w:t>《</w:t>
          </w:r>
          <w:r>
            <w:rPr>
              <w:rFonts w:hint="eastAsia"/>
            </w:rPr>
            <w:t>大学生安全教育</w:t>
          </w:r>
          <w:r>
            <w:rPr>
              <w:rFonts w:hint="eastAsia"/>
              <w:lang w:eastAsia="zh-CN"/>
            </w:rPr>
            <w:t>》</w:t>
          </w:r>
          <w:r>
            <w:rPr>
              <w:rFonts w:hint="eastAsia"/>
            </w:rPr>
            <w:t>课程教学大纲</w:t>
          </w:r>
          <w:r>
            <w:tab/>
          </w:r>
          <w:r>
            <w:fldChar w:fldCharType="begin"/>
          </w:r>
          <w:r>
            <w:instrText xml:space="preserve"> PAGEREF _Toc7172 \h </w:instrText>
          </w:r>
          <w:r>
            <w:fldChar w:fldCharType="separate"/>
          </w:r>
          <w:r>
            <w:t>125</w:t>
          </w:r>
          <w:r>
            <w:fldChar w:fldCharType="end"/>
          </w:r>
          <w:r>
            <w:fldChar w:fldCharType="end"/>
          </w:r>
        </w:p>
        <w:p w14:paraId="77741F57">
          <w:pPr>
            <w:pStyle w:val="11"/>
            <w:tabs>
              <w:tab w:val="right" w:leader="dot" w:pos="8504"/>
              <w:tab w:val="clear" w:pos="8296"/>
            </w:tabs>
          </w:pPr>
          <w:r>
            <w:fldChar w:fldCharType="begin"/>
          </w:r>
          <w:r>
            <w:instrText xml:space="preserve"> HYPERLINK \l _Toc15046 </w:instrText>
          </w:r>
          <w:r>
            <w:fldChar w:fldCharType="separate"/>
          </w:r>
          <w:r>
            <w:rPr>
              <w:rFonts w:hint="eastAsia"/>
              <w:lang w:eastAsia="zh-CN"/>
            </w:rPr>
            <w:t>《</w:t>
          </w:r>
          <w:r>
            <w:rPr>
              <w:rFonts w:hint="eastAsia"/>
            </w:rPr>
            <w:t>实验室安全教育</w:t>
          </w:r>
          <w:r>
            <w:rPr>
              <w:rFonts w:hint="eastAsia"/>
              <w:lang w:eastAsia="zh-CN"/>
            </w:rPr>
            <w:t>》</w:t>
          </w:r>
          <w:r>
            <w:rPr>
              <w:rFonts w:hint="eastAsia"/>
            </w:rPr>
            <w:t>课程教学大纲</w:t>
          </w:r>
          <w:r>
            <w:tab/>
          </w:r>
          <w:r>
            <w:fldChar w:fldCharType="begin"/>
          </w:r>
          <w:r>
            <w:instrText xml:space="preserve"> PAGEREF _Toc15046 \h </w:instrText>
          </w:r>
          <w:r>
            <w:fldChar w:fldCharType="separate"/>
          </w:r>
          <w:r>
            <w:t>131</w:t>
          </w:r>
          <w:r>
            <w:fldChar w:fldCharType="end"/>
          </w:r>
          <w:r>
            <w:fldChar w:fldCharType="end"/>
          </w:r>
        </w:p>
        <w:p w14:paraId="2A83FAD8">
          <w:pPr>
            <w:pStyle w:val="11"/>
            <w:tabs>
              <w:tab w:val="right" w:leader="dot" w:pos="8504"/>
              <w:tab w:val="clear" w:pos="8296"/>
            </w:tabs>
          </w:pPr>
          <w:r>
            <w:fldChar w:fldCharType="begin"/>
          </w:r>
          <w:r>
            <w:instrText xml:space="preserve"> HYPERLINK \l _Toc19246 </w:instrText>
          </w:r>
          <w:r>
            <w:fldChar w:fldCharType="separate"/>
          </w:r>
          <w:r>
            <w:rPr>
              <w:rFonts w:hint="eastAsia"/>
            </w:rPr>
            <w:t>《</w:t>
          </w:r>
          <w:r>
            <w:t>经典阅读与学术素养</w:t>
          </w:r>
          <w:r>
            <w:rPr>
              <w:rFonts w:hint="eastAsia"/>
            </w:rPr>
            <w:t>》课程教学大纲</w:t>
          </w:r>
          <w:r>
            <w:tab/>
          </w:r>
          <w:r>
            <w:fldChar w:fldCharType="begin"/>
          </w:r>
          <w:r>
            <w:instrText xml:space="preserve"> PAGEREF _Toc19246 \h </w:instrText>
          </w:r>
          <w:r>
            <w:fldChar w:fldCharType="separate"/>
          </w:r>
          <w:r>
            <w:t>134</w:t>
          </w:r>
          <w:r>
            <w:fldChar w:fldCharType="end"/>
          </w:r>
          <w:r>
            <w:fldChar w:fldCharType="end"/>
          </w:r>
        </w:p>
        <w:p w14:paraId="7E2E009E">
          <w:pPr>
            <w:pStyle w:val="11"/>
            <w:tabs>
              <w:tab w:val="right" w:leader="dot" w:pos="8504"/>
              <w:tab w:val="clear" w:pos="8296"/>
            </w:tabs>
          </w:pPr>
          <w:r>
            <w:fldChar w:fldCharType="begin"/>
          </w:r>
          <w:r>
            <w:instrText xml:space="preserve"> HYPERLINK \l _Toc23130 </w:instrText>
          </w:r>
          <w:r>
            <w:fldChar w:fldCharType="separate"/>
          </w:r>
          <w:r>
            <w:rPr>
              <w:rFonts w:hint="eastAsia"/>
            </w:rPr>
            <w:t>《国家安全教育》</w:t>
          </w:r>
          <w:r>
            <w:rPr>
              <w:rFonts w:hint="eastAsia"/>
              <w:lang w:eastAsia="zh-CN"/>
            </w:rPr>
            <w:t>课程教学大纲</w:t>
          </w:r>
          <w:r>
            <w:tab/>
          </w:r>
          <w:r>
            <w:fldChar w:fldCharType="begin"/>
          </w:r>
          <w:r>
            <w:instrText xml:space="preserve"> PAGEREF _Toc23130 \h </w:instrText>
          </w:r>
          <w:r>
            <w:fldChar w:fldCharType="separate"/>
          </w:r>
          <w:r>
            <w:t>141</w:t>
          </w:r>
          <w:r>
            <w:fldChar w:fldCharType="end"/>
          </w:r>
          <w:r>
            <w:fldChar w:fldCharType="end"/>
          </w:r>
        </w:p>
        <w:p w14:paraId="39B9A241">
          <w:pPr>
            <w:pStyle w:val="11"/>
            <w:tabs>
              <w:tab w:val="right" w:leader="dot" w:pos="8504"/>
              <w:tab w:val="clear" w:pos="8296"/>
            </w:tabs>
          </w:pPr>
          <w:r>
            <w:fldChar w:fldCharType="begin"/>
          </w:r>
          <w:r>
            <w:instrText xml:space="preserve"> HYPERLINK \l _Toc6237 </w:instrText>
          </w:r>
          <w:r>
            <w:fldChar w:fldCharType="separate"/>
          </w:r>
          <w:r>
            <w:rPr>
              <w:rFonts w:hint="eastAsia"/>
            </w:rPr>
            <w:t>《书写技能》</w:t>
          </w:r>
          <w:r>
            <w:t>课程教学大纲</w:t>
          </w:r>
          <w:r>
            <w:tab/>
          </w:r>
          <w:r>
            <w:fldChar w:fldCharType="begin"/>
          </w:r>
          <w:r>
            <w:instrText xml:space="preserve"> PAGEREF _Toc6237 \h </w:instrText>
          </w:r>
          <w:r>
            <w:fldChar w:fldCharType="separate"/>
          </w:r>
          <w:r>
            <w:t>146</w:t>
          </w:r>
          <w:r>
            <w:fldChar w:fldCharType="end"/>
          </w:r>
          <w:r>
            <w:fldChar w:fldCharType="end"/>
          </w:r>
        </w:p>
        <w:p w14:paraId="365EAF0E">
          <w:pPr>
            <w:pStyle w:val="11"/>
            <w:tabs>
              <w:tab w:val="right" w:leader="dot" w:pos="8504"/>
              <w:tab w:val="clear" w:pos="8296"/>
            </w:tabs>
          </w:pPr>
          <w:r>
            <w:fldChar w:fldCharType="begin"/>
          </w:r>
          <w:r>
            <w:instrText xml:space="preserve"> HYPERLINK \l _Toc21937 </w:instrText>
          </w:r>
          <w:r>
            <w:fldChar w:fldCharType="separate"/>
          </w:r>
          <w:r>
            <w:rPr>
              <w:rFonts w:hint="eastAsia"/>
            </w:rPr>
            <w:t>《普通话训练指导》课程教学大纲</w:t>
          </w:r>
          <w:r>
            <w:tab/>
          </w:r>
          <w:r>
            <w:fldChar w:fldCharType="begin"/>
          </w:r>
          <w:r>
            <w:instrText xml:space="preserve"> PAGEREF _Toc21937 \h </w:instrText>
          </w:r>
          <w:r>
            <w:fldChar w:fldCharType="separate"/>
          </w:r>
          <w:r>
            <w:t>150</w:t>
          </w:r>
          <w:r>
            <w:fldChar w:fldCharType="end"/>
          </w:r>
          <w:r>
            <w:fldChar w:fldCharType="end"/>
          </w:r>
        </w:p>
        <w:p w14:paraId="2BF15890">
          <w:pPr>
            <w:pStyle w:val="11"/>
            <w:tabs>
              <w:tab w:val="right" w:leader="dot" w:pos="8504"/>
              <w:tab w:val="clear" w:pos="8296"/>
            </w:tabs>
          </w:pPr>
          <w:r>
            <w:fldChar w:fldCharType="begin"/>
          </w:r>
          <w:r>
            <w:instrText xml:space="preserve"> HYPERLINK \l _Toc18890 </w:instrText>
          </w:r>
          <w:r>
            <w:fldChar w:fldCharType="separate"/>
          </w:r>
          <w:r>
            <w:rPr>
              <w:rFonts w:hint="eastAsia"/>
            </w:rPr>
            <w:t>《小学心理学》课程教学大纲</w:t>
          </w:r>
          <w:r>
            <w:tab/>
          </w:r>
          <w:r>
            <w:fldChar w:fldCharType="begin"/>
          </w:r>
          <w:r>
            <w:instrText xml:space="preserve"> PAGEREF _Toc18890 \h </w:instrText>
          </w:r>
          <w:r>
            <w:fldChar w:fldCharType="separate"/>
          </w:r>
          <w:r>
            <w:t>156</w:t>
          </w:r>
          <w:r>
            <w:fldChar w:fldCharType="end"/>
          </w:r>
          <w:r>
            <w:fldChar w:fldCharType="end"/>
          </w:r>
        </w:p>
        <w:p w14:paraId="38EB8802">
          <w:pPr>
            <w:pStyle w:val="11"/>
            <w:tabs>
              <w:tab w:val="right" w:leader="dot" w:pos="8504"/>
              <w:tab w:val="clear" w:pos="8296"/>
            </w:tabs>
          </w:pPr>
          <w:r>
            <w:fldChar w:fldCharType="begin"/>
          </w:r>
          <w:r>
            <w:instrText xml:space="preserve"> HYPERLINK \l _Toc29363 </w:instrText>
          </w:r>
          <w:r>
            <w:fldChar w:fldCharType="separate"/>
          </w:r>
          <w:r>
            <w:rPr>
              <w:rFonts w:hint="eastAsia"/>
            </w:rPr>
            <w:t>《教育原理》课程教学大纲</w:t>
          </w:r>
          <w:r>
            <w:tab/>
          </w:r>
          <w:r>
            <w:fldChar w:fldCharType="begin"/>
          </w:r>
          <w:r>
            <w:instrText xml:space="preserve"> PAGEREF _Toc29363 \h </w:instrText>
          </w:r>
          <w:r>
            <w:fldChar w:fldCharType="separate"/>
          </w:r>
          <w:r>
            <w:t>163</w:t>
          </w:r>
          <w:r>
            <w:fldChar w:fldCharType="end"/>
          </w:r>
          <w:r>
            <w:fldChar w:fldCharType="end"/>
          </w:r>
        </w:p>
        <w:p w14:paraId="585F92AA">
          <w:pPr>
            <w:pStyle w:val="11"/>
            <w:tabs>
              <w:tab w:val="right" w:leader="dot" w:pos="8504"/>
              <w:tab w:val="clear" w:pos="8296"/>
            </w:tabs>
          </w:pPr>
          <w:r>
            <w:fldChar w:fldCharType="begin"/>
          </w:r>
          <w:r>
            <w:instrText xml:space="preserve"> HYPERLINK \l _Toc3082 </w:instrText>
          </w:r>
          <w:r>
            <w:fldChar w:fldCharType="separate"/>
          </w:r>
          <w:r>
            <w:rPr>
              <w:rFonts w:hint="eastAsia"/>
            </w:rPr>
            <w:t>《中国教育史》课程教学大纲</w:t>
          </w:r>
          <w:r>
            <w:tab/>
          </w:r>
          <w:r>
            <w:fldChar w:fldCharType="begin"/>
          </w:r>
          <w:r>
            <w:instrText xml:space="preserve"> PAGEREF _Toc3082 \h </w:instrText>
          </w:r>
          <w:r>
            <w:fldChar w:fldCharType="separate"/>
          </w:r>
          <w:r>
            <w:t>172</w:t>
          </w:r>
          <w:r>
            <w:fldChar w:fldCharType="end"/>
          </w:r>
          <w:r>
            <w:fldChar w:fldCharType="end"/>
          </w:r>
        </w:p>
        <w:p w14:paraId="5DEDC02A">
          <w:pPr>
            <w:pStyle w:val="11"/>
            <w:tabs>
              <w:tab w:val="right" w:leader="dot" w:pos="8504"/>
              <w:tab w:val="clear" w:pos="8296"/>
            </w:tabs>
          </w:pPr>
          <w:r>
            <w:fldChar w:fldCharType="begin"/>
          </w:r>
          <w:r>
            <w:instrText xml:space="preserve"> HYPERLINK \l _Toc22723 </w:instrText>
          </w:r>
          <w:r>
            <w:fldChar w:fldCharType="separate"/>
          </w:r>
          <w:r>
            <w:rPr>
              <w:rFonts w:hint="eastAsia"/>
            </w:rPr>
            <w:t>《外国教育史》课程与教学大纲</w:t>
          </w:r>
          <w:r>
            <w:tab/>
          </w:r>
          <w:r>
            <w:fldChar w:fldCharType="begin"/>
          </w:r>
          <w:r>
            <w:instrText xml:space="preserve"> PAGEREF _Toc22723 \h </w:instrText>
          </w:r>
          <w:r>
            <w:fldChar w:fldCharType="separate"/>
          </w:r>
          <w:r>
            <w:t>179</w:t>
          </w:r>
          <w:r>
            <w:fldChar w:fldCharType="end"/>
          </w:r>
          <w:r>
            <w:fldChar w:fldCharType="end"/>
          </w:r>
        </w:p>
        <w:p w14:paraId="2AD36C26">
          <w:pPr>
            <w:pStyle w:val="11"/>
            <w:tabs>
              <w:tab w:val="right" w:leader="dot" w:pos="8504"/>
              <w:tab w:val="clear" w:pos="8296"/>
            </w:tabs>
          </w:pPr>
          <w:r>
            <w:fldChar w:fldCharType="begin"/>
          </w:r>
          <w:r>
            <w:instrText xml:space="preserve"> HYPERLINK \l _Toc27020 </w:instrText>
          </w:r>
          <w:r>
            <w:fldChar w:fldCharType="separate"/>
          </w:r>
          <w:r>
            <w:rPr>
              <w:rFonts w:hint="eastAsia"/>
            </w:rPr>
            <w:t>《小学教育政策与法规》课程与教学大纲</w:t>
          </w:r>
          <w:r>
            <w:tab/>
          </w:r>
          <w:r>
            <w:fldChar w:fldCharType="begin"/>
          </w:r>
          <w:r>
            <w:instrText xml:space="preserve"> PAGEREF _Toc27020 \h </w:instrText>
          </w:r>
          <w:r>
            <w:fldChar w:fldCharType="separate"/>
          </w:r>
          <w:r>
            <w:t>191</w:t>
          </w:r>
          <w:r>
            <w:fldChar w:fldCharType="end"/>
          </w:r>
          <w:r>
            <w:fldChar w:fldCharType="end"/>
          </w:r>
        </w:p>
        <w:p w14:paraId="16B44ACF">
          <w:pPr>
            <w:pStyle w:val="11"/>
            <w:tabs>
              <w:tab w:val="right" w:leader="dot" w:pos="8504"/>
              <w:tab w:val="clear" w:pos="8296"/>
            </w:tabs>
          </w:pPr>
          <w:r>
            <w:fldChar w:fldCharType="begin"/>
          </w:r>
          <w:r>
            <w:instrText xml:space="preserve"> HYPERLINK \l _Toc20164 </w:instrText>
          </w:r>
          <w:r>
            <w:fldChar w:fldCharType="separate"/>
          </w:r>
          <w:r>
            <w:rPr>
              <w:rFonts w:hint="eastAsia"/>
            </w:rPr>
            <w:t>《教师职业道德》课程教学大纲</w:t>
          </w:r>
          <w:r>
            <w:tab/>
          </w:r>
          <w:r>
            <w:fldChar w:fldCharType="begin"/>
          </w:r>
          <w:r>
            <w:instrText xml:space="preserve"> PAGEREF _Toc20164 \h </w:instrText>
          </w:r>
          <w:r>
            <w:fldChar w:fldCharType="separate"/>
          </w:r>
          <w:r>
            <w:t>201</w:t>
          </w:r>
          <w:r>
            <w:fldChar w:fldCharType="end"/>
          </w:r>
          <w:r>
            <w:fldChar w:fldCharType="end"/>
          </w:r>
        </w:p>
        <w:p w14:paraId="3DD2543B">
          <w:pPr>
            <w:pStyle w:val="11"/>
            <w:tabs>
              <w:tab w:val="right" w:leader="dot" w:pos="8504"/>
              <w:tab w:val="clear" w:pos="8296"/>
            </w:tabs>
          </w:pPr>
          <w:r>
            <w:fldChar w:fldCharType="begin"/>
          </w:r>
          <w:r>
            <w:instrText xml:space="preserve"> HYPERLINK \l _Toc8980 </w:instrText>
          </w:r>
          <w:r>
            <w:fldChar w:fldCharType="separate"/>
          </w:r>
          <w:r>
            <w:rPr>
              <w:rFonts w:hint="eastAsia"/>
            </w:rPr>
            <w:t>《课程与教学论》课程教学大纲</w:t>
          </w:r>
          <w:r>
            <w:tab/>
          </w:r>
          <w:r>
            <w:fldChar w:fldCharType="begin"/>
          </w:r>
          <w:r>
            <w:instrText xml:space="preserve"> PAGEREF _Toc8980 \h </w:instrText>
          </w:r>
          <w:r>
            <w:fldChar w:fldCharType="separate"/>
          </w:r>
          <w:r>
            <w:t>206</w:t>
          </w:r>
          <w:r>
            <w:fldChar w:fldCharType="end"/>
          </w:r>
          <w:r>
            <w:fldChar w:fldCharType="end"/>
          </w:r>
        </w:p>
        <w:p w14:paraId="294D4222">
          <w:pPr>
            <w:pStyle w:val="11"/>
            <w:tabs>
              <w:tab w:val="right" w:leader="dot" w:pos="8504"/>
              <w:tab w:val="clear" w:pos="8296"/>
            </w:tabs>
          </w:pPr>
          <w:r>
            <w:fldChar w:fldCharType="begin"/>
          </w:r>
          <w:r>
            <w:instrText xml:space="preserve"> HYPERLINK \l _Toc31278 </w:instrText>
          </w:r>
          <w:r>
            <w:fldChar w:fldCharType="separate"/>
          </w:r>
          <w:r>
            <w:rPr>
              <w:rFonts w:hint="eastAsia"/>
            </w:rPr>
            <w:t>《教育心理学》课程教学大纲</w:t>
          </w:r>
          <w:r>
            <w:tab/>
          </w:r>
          <w:r>
            <w:fldChar w:fldCharType="begin"/>
          </w:r>
          <w:r>
            <w:instrText xml:space="preserve"> PAGEREF _Toc31278 \h </w:instrText>
          </w:r>
          <w:r>
            <w:fldChar w:fldCharType="separate"/>
          </w:r>
          <w:r>
            <w:t>215</w:t>
          </w:r>
          <w:r>
            <w:fldChar w:fldCharType="end"/>
          </w:r>
          <w:r>
            <w:fldChar w:fldCharType="end"/>
          </w:r>
        </w:p>
        <w:p w14:paraId="5BECDF61">
          <w:pPr>
            <w:pStyle w:val="11"/>
            <w:tabs>
              <w:tab w:val="right" w:leader="dot" w:pos="8504"/>
              <w:tab w:val="clear" w:pos="8296"/>
            </w:tabs>
          </w:pPr>
          <w:r>
            <w:fldChar w:fldCharType="begin"/>
          </w:r>
          <w:r>
            <w:instrText xml:space="preserve"> HYPERLINK \l _Toc6384 </w:instrText>
          </w:r>
          <w:r>
            <w:fldChar w:fldCharType="separate"/>
          </w:r>
          <w:r>
            <w:rPr>
              <w:rFonts w:hint="eastAsia"/>
            </w:rPr>
            <w:t>《现代教育技术》课程教学大纲</w:t>
          </w:r>
          <w:r>
            <w:tab/>
          </w:r>
          <w:r>
            <w:fldChar w:fldCharType="begin"/>
          </w:r>
          <w:r>
            <w:instrText xml:space="preserve"> PAGEREF _Toc6384 \h </w:instrText>
          </w:r>
          <w:r>
            <w:fldChar w:fldCharType="separate"/>
          </w:r>
          <w:r>
            <w:t>222</w:t>
          </w:r>
          <w:r>
            <w:fldChar w:fldCharType="end"/>
          </w:r>
          <w:r>
            <w:fldChar w:fldCharType="end"/>
          </w:r>
        </w:p>
        <w:p w14:paraId="67090D7C">
          <w:pPr>
            <w:pStyle w:val="11"/>
            <w:tabs>
              <w:tab w:val="right" w:leader="dot" w:pos="8504"/>
              <w:tab w:val="clear" w:pos="8296"/>
            </w:tabs>
          </w:pPr>
          <w:r>
            <w:fldChar w:fldCharType="begin"/>
          </w:r>
          <w:r>
            <w:instrText xml:space="preserve"> HYPERLINK \l _Toc12262 </w:instrText>
          </w:r>
          <w:r>
            <w:fldChar w:fldCharType="separate"/>
          </w:r>
          <w:r>
            <w:rPr>
              <w:rFonts w:hint="eastAsia"/>
              <w:lang w:eastAsia="zh-CN"/>
            </w:rPr>
            <w:t>《</w:t>
          </w:r>
          <w:r>
            <w:rPr>
              <w:rFonts w:hint="eastAsia"/>
            </w:rPr>
            <w:t>教育科学研究方法</w:t>
          </w:r>
          <w:r>
            <w:rPr>
              <w:rFonts w:hint="eastAsia"/>
              <w:lang w:eastAsia="zh-CN"/>
            </w:rPr>
            <w:t>》</w:t>
          </w:r>
          <w:r>
            <w:rPr>
              <w:rFonts w:hint="eastAsia"/>
            </w:rPr>
            <w:t>课程教学大纲</w:t>
          </w:r>
          <w:r>
            <w:tab/>
          </w:r>
          <w:r>
            <w:fldChar w:fldCharType="begin"/>
          </w:r>
          <w:r>
            <w:instrText xml:space="preserve"> PAGEREF _Toc12262 \h </w:instrText>
          </w:r>
          <w:r>
            <w:fldChar w:fldCharType="separate"/>
          </w:r>
          <w:r>
            <w:t>228</w:t>
          </w:r>
          <w:r>
            <w:fldChar w:fldCharType="end"/>
          </w:r>
          <w:r>
            <w:fldChar w:fldCharType="end"/>
          </w:r>
        </w:p>
        <w:p w14:paraId="080F41B9">
          <w:pPr>
            <w:pStyle w:val="11"/>
            <w:tabs>
              <w:tab w:val="right" w:leader="dot" w:pos="8504"/>
              <w:tab w:val="clear" w:pos="8296"/>
            </w:tabs>
          </w:pPr>
          <w:r>
            <w:fldChar w:fldCharType="begin"/>
          </w:r>
          <w:r>
            <w:instrText xml:space="preserve"> HYPERLINK \l _Toc13056 </w:instrText>
          </w:r>
          <w:r>
            <w:fldChar w:fldCharType="separate"/>
          </w:r>
          <w:r>
            <w:rPr>
              <w:rFonts w:hint="eastAsia"/>
            </w:rPr>
            <w:t>《小学班队管理》课程教学大纲</w:t>
          </w:r>
          <w:r>
            <w:tab/>
          </w:r>
          <w:r>
            <w:fldChar w:fldCharType="begin"/>
          </w:r>
          <w:r>
            <w:instrText xml:space="preserve"> PAGEREF _Toc13056 \h </w:instrText>
          </w:r>
          <w:r>
            <w:fldChar w:fldCharType="separate"/>
          </w:r>
          <w:r>
            <w:t>236</w:t>
          </w:r>
          <w:r>
            <w:fldChar w:fldCharType="end"/>
          </w:r>
          <w:r>
            <w:fldChar w:fldCharType="end"/>
          </w:r>
        </w:p>
        <w:p w14:paraId="01ECFE0C">
          <w:pPr>
            <w:pStyle w:val="11"/>
            <w:tabs>
              <w:tab w:val="right" w:leader="dot" w:pos="8504"/>
              <w:tab w:val="clear" w:pos="8296"/>
            </w:tabs>
          </w:pPr>
          <w:r>
            <w:fldChar w:fldCharType="begin"/>
          </w:r>
          <w:r>
            <w:instrText xml:space="preserve"> HYPERLINK \l _Toc11444 </w:instrText>
          </w:r>
          <w:r>
            <w:fldChar w:fldCharType="separate"/>
          </w:r>
          <w:r>
            <w:rPr>
              <w:rFonts w:hint="eastAsia"/>
              <w:lang w:eastAsia="zh-CN"/>
            </w:rPr>
            <w:t>《</w:t>
          </w:r>
          <w:r>
            <w:rPr>
              <w:rFonts w:hint="eastAsia"/>
            </w:rPr>
            <w:t>教师口语与礼仪</w:t>
          </w:r>
          <w:r>
            <w:rPr>
              <w:rFonts w:hint="eastAsia"/>
              <w:lang w:eastAsia="zh-CN"/>
            </w:rPr>
            <w:t>》</w:t>
          </w:r>
          <w:r>
            <w:rPr>
              <w:rFonts w:hint="eastAsia"/>
              <w:lang w:val="en-US" w:eastAsia="zh-CN"/>
            </w:rPr>
            <w:t>课程教学大纲</w:t>
          </w:r>
          <w:r>
            <w:tab/>
          </w:r>
          <w:r>
            <w:fldChar w:fldCharType="begin"/>
          </w:r>
          <w:r>
            <w:instrText xml:space="preserve"> PAGEREF _Toc11444 \h </w:instrText>
          </w:r>
          <w:r>
            <w:fldChar w:fldCharType="separate"/>
          </w:r>
          <w:r>
            <w:t>243</w:t>
          </w:r>
          <w:r>
            <w:fldChar w:fldCharType="end"/>
          </w:r>
          <w:r>
            <w:fldChar w:fldCharType="end"/>
          </w:r>
        </w:p>
        <w:p w14:paraId="176C4258">
          <w:pPr>
            <w:pStyle w:val="11"/>
            <w:tabs>
              <w:tab w:val="right" w:leader="dot" w:pos="8504"/>
              <w:tab w:val="clear" w:pos="8296"/>
            </w:tabs>
          </w:pPr>
          <w:r>
            <w:fldChar w:fldCharType="begin"/>
          </w:r>
          <w:r>
            <w:instrText xml:space="preserve"> HYPERLINK \l _Toc26049 </w:instrText>
          </w:r>
          <w:r>
            <w:fldChar w:fldCharType="separate"/>
          </w:r>
          <w:r>
            <w:rPr>
              <w:rFonts w:hint="eastAsia"/>
            </w:rPr>
            <w:t>《教育统计与测量》课程教学大纲</w:t>
          </w:r>
          <w:r>
            <w:tab/>
          </w:r>
          <w:r>
            <w:fldChar w:fldCharType="begin"/>
          </w:r>
          <w:r>
            <w:instrText xml:space="preserve"> PAGEREF _Toc26049 \h </w:instrText>
          </w:r>
          <w:r>
            <w:fldChar w:fldCharType="separate"/>
          </w:r>
          <w:r>
            <w:t>251</w:t>
          </w:r>
          <w:r>
            <w:fldChar w:fldCharType="end"/>
          </w:r>
          <w:r>
            <w:fldChar w:fldCharType="end"/>
          </w:r>
        </w:p>
        <w:p w14:paraId="68ADD8E3">
          <w:pPr>
            <w:pStyle w:val="11"/>
            <w:tabs>
              <w:tab w:val="right" w:leader="dot" w:pos="8504"/>
              <w:tab w:val="clear" w:pos="8296"/>
            </w:tabs>
          </w:pPr>
          <w:r>
            <w:fldChar w:fldCharType="begin"/>
          </w:r>
          <w:r>
            <w:instrText xml:space="preserve"> HYPERLINK \l _Toc31373 </w:instrText>
          </w:r>
          <w:r>
            <w:fldChar w:fldCharType="separate"/>
          </w:r>
          <w:r>
            <w:rPr>
              <w:rFonts w:hint="eastAsia"/>
            </w:rPr>
            <w:t>《中外基础教育改革热点》</w:t>
          </w:r>
          <w:r>
            <w:t>课程教学大纲</w:t>
          </w:r>
          <w:r>
            <w:tab/>
          </w:r>
          <w:r>
            <w:fldChar w:fldCharType="begin"/>
          </w:r>
          <w:r>
            <w:instrText xml:space="preserve"> PAGEREF _Toc31373 \h </w:instrText>
          </w:r>
          <w:r>
            <w:fldChar w:fldCharType="separate"/>
          </w:r>
          <w:r>
            <w:t>256</w:t>
          </w:r>
          <w:r>
            <w:fldChar w:fldCharType="end"/>
          </w:r>
          <w:r>
            <w:fldChar w:fldCharType="end"/>
          </w:r>
        </w:p>
        <w:p w14:paraId="3527D45D">
          <w:pPr>
            <w:pStyle w:val="11"/>
            <w:tabs>
              <w:tab w:val="right" w:leader="dot" w:pos="8504"/>
              <w:tab w:val="clear" w:pos="8296"/>
            </w:tabs>
          </w:pPr>
          <w:r>
            <w:fldChar w:fldCharType="begin"/>
          </w:r>
          <w:r>
            <w:instrText xml:space="preserve"> HYPERLINK \l _Toc9472 </w:instrText>
          </w:r>
          <w:r>
            <w:fldChar w:fldCharType="separate"/>
          </w:r>
          <w:r>
            <w:rPr>
              <w:rFonts w:hint="eastAsia"/>
            </w:rPr>
            <w:t>《教育哲学》课程教学大纲</w:t>
          </w:r>
          <w:r>
            <w:tab/>
          </w:r>
          <w:r>
            <w:fldChar w:fldCharType="begin"/>
          </w:r>
          <w:r>
            <w:instrText xml:space="preserve"> PAGEREF _Toc9472 \h </w:instrText>
          </w:r>
          <w:r>
            <w:fldChar w:fldCharType="separate"/>
          </w:r>
          <w:r>
            <w:t>267</w:t>
          </w:r>
          <w:r>
            <w:fldChar w:fldCharType="end"/>
          </w:r>
          <w:r>
            <w:fldChar w:fldCharType="end"/>
          </w:r>
        </w:p>
        <w:p w14:paraId="26076EFE">
          <w:pPr>
            <w:pStyle w:val="11"/>
            <w:tabs>
              <w:tab w:val="right" w:leader="dot" w:pos="8504"/>
              <w:tab w:val="clear" w:pos="8296"/>
            </w:tabs>
          </w:pPr>
          <w:r>
            <w:fldChar w:fldCharType="begin"/>
          </w:r>
          <w:r>
            <w:instrText xml:space="preserve"> HYPERLINK \l _Toc12557 </w:instrText>
          </w:r>
          <w:r>
            <w:fldChar w:fldCharType="separate"/>
          </w:r>
          <w:r>
            <w:rPr>
              <w:rFonts w:hint="eastAsia"/>
            </w:rPr>
            <w:t>《教育社会学》课程与教学大纲</w:t>
          </w:r>
          <w:r>
            <w:tab/>
          </w:r>
          <w:r>
            <w:fldChar w:fldCharType="begin"/>
          </w:r>
          <w:r>
            <w:instrText xml:space="preserve"> PAGEREF _Toc12557 \h </w:instrText>
          </w:r>
          <w:r>
            <w:fldChar w:fldCharType="separate"/>
          </w:r>
          <w:r>
            <w:t>277</w:t>
          </w:r>
          <w:r>
            <w:fldChar w:fldCharType="end"/>
          </w:r>
          <w:r>
            <w:fldChar w:fldCharType="end"/>
          </w:r>
        </w:p>
        <w:p w14:paraId="57477775">
          <w:pPr>
            <w:pStyle w:val="11"/>
            <w:tabs>
              <w:tab w:val="right" w:leader="dot" w:pos="8504"/>
              <w:tab w:val="clear" w:pos="8296"/>
            </w:tabs>
          </w:pPr>
          <w:r>
            <w:fldChar w:fldCharType="begin"/>
          </w:r>
          <w:r>
            <w:instrText xml:space="preserve"> HYPERLINK \l _Toc22758 </w:instrText>
          </w:r>
          <w:r>
            <w:fldChar w:fldCharType="separate"/>
          </w:r>
          <w:r>
            <w:rPr>
              <w:rFonts w:hint="eastAsia"/>
            </w:rPr>
            <w:t>《家校社协同育人》课程教学大纲</w:t>
          </w:r>
          <w:r>
            <w:tab/>
          </w:r>
          <w:r>
            <w:fldChar w:fldCharType="begin"/>
          </w:r>
          <w:r>
            <w:instrText xml:space="preserve"> PAGEREF _Toc22758 \h </w:instrText>
          </w:r>
          <w:r>
            <w:fldChar w:fldCharType="separate"/>
          </w:r>
          <w:r>
            <w:t>286</w:t>
          </w:r>
          <w:r>
            <w:fldChar w:fldCharType="end"/>
          </w:r>
          <w:r>
            <w:fldChar w:fldCharType="end"/>
          </w:r>
        </w:p>
        <w:p w14:paraId="25F28EB8">
          <w:pPr>
            <w:pStyle w:val="11"/>
            <w:tabs>
              <w:tab w:val="right" w:leader="dot" w:pos="8504"/>
              <w:tab w:val="clear" w:pos="8296"/>
            </w:tabs>
          </w:pPr>
          <w:r>
            <w:fldChar w:fldCharType="begin"/>
          </w:r>
          <w:r>
            <w:instrText xml:space="preserve"> HYPERLINK \l _Toc29390 </w:instrText>
          </w:r>
          <w:r>
            <w:fldChar w:fldCharType="separate"/>
          </w:r>
          <w:r>
            <w:rPr>
              <w:rFonts w:hint="eastAsia"/>
            </w:rPr>
            <w:t>《中外教育名著导读》课程教学大纲</w:t>
          </w:r>
          <w:r>
            <w:tab/>
          </w:r>
          <w:r>
            <w:fldChar w:fldCharType="begin"/>
          </w:r>
          <w:r>
            <w:instrText xml:space="preserve"> PAGEREF _Toc29390 \h </w:instrText>
          </w:r>
          <w:r>
            <w:fldChar w:fldCharType="separate"/>
          </w:r>
          <w:r>
            <w:t>293</w:t>
          </w:r>
          <w:r>
            <w:fldChar w:fldCharType="end"/>
          </w:r>
          <w:r>
            <w:fldChar w:fldCharType="end"/>
          </w:r>
        </w:p>
        <w:p w14:paraId="7D4D3242">
          <w:pPr>
            <w:pStyle w:val="11"/>
            <w:tabs>
              <w:tab w:val="right" w:leader="dot" w:pos="8504"/>
              <w:tab w:val="clear" w:pos="8296"/>
            </w:tabs>
          </w:pPr>
          <w:r>
            <w:fldChar w:fldCharType="begin"/>
          </w:r>
          <w:r>
            <w:instrText xml:space="preserve"> HYPERLINK \l _Toc20587 </w:instrText>
          </w:r>
          <w:r>
            <w:fldChar w:fldCharType="separate"/>
          </w:r>
          <w:r>
            <w:rPr>
              <w:rFonts w:hint="eastAsia"/>
            </w:rPr>
            <w:t>《课堂观察与模拟教学》课程教学大纲</w:t>
          </w:r>
          <w:r>
            <w:tab/>
          </w:r>
          <w:r>
            <w:fldChar w:fldCharType="begin"/>
          </w:r>
          <w:r>
            <w:instrText xml:space="preserve"> PAGEREF _Toc20587 \h </w:instrText>
          </w:r>
          <w:r>
            <w:fldChar w:fldCharType="separate"/>
          </w:r>
          <w:r>
            <w:t>298</w:t>
          </w:r>
          <w:r>
            <w:fldChar w:fldCharType="end"/>
          </w:r>
          <w:r>
            <w:fldChar w:fldCharType="end"/>
          </w:r>
        </w:p>
        <w:p w14:paraId="3E80A750">
          <w:pPr>
            <w:pStyle w:val="11"/>
            <w:tabs>
              <w:tab w:val="right" w:leader="dot" w:pos="8504"/>
              <w:tab w:val="clear" w:pos="8296"/>
            </w:tabs>
          </w:pPr>
          <w:r>
            <w:fldChar w:fldCharType="begin"/>
          </w:r>
          <w:r>
            <w:instrText xml:space="preserve"> HYPERLINK \l _Toc22153 </w:instrText>
          </w:r>
          <w:r>
            <w:fldChar w:fldCharType="separate"/>
          </w:r>
          <w:r>
            <w:rPr>
              <w:rFonts w:hint="eastAsia"/>
            </w:rPr>
            <w:t>《校本课程开发》课程教学大纲</w:t>
          </w:r>
          <w:r>
            <w:tab/>
          </w:r>
          <w:r>
            <w:fldChar w:fldCharType="begin"/>
          </w:r>
          <w:r>
            <w:instrText xml:space="preserve"> PAGEREF _Toc22153 \h </w:instrText>
          </w:r>
          <w:r>
            <w:fldChar w:fldCharType="separate"/>
          </w:r>
          <w:r>
            <w:t>304</w:t>
          </w:r>
          <w:r>
            <w:fldChar w:fldCharType="end"/>
          </w:r>
          <w:r>
            <w:fldChar w:fldCharType="end"/>
          </w:r>
        </w:p>
        <w:p w14:paraId="12C58FC4">
          <w:pPr>
            <w:pStyle w:val="11"/>
            <w:tabs>
              <w:tab w:val="right" w:leader="dot" w:pos="8504"/>
              <w:tab w:val="clear" w:pos="8296"/>
            </w:tabs>
          </w:pPr>
          <w:r>
            <w:fldChar w:fldCharType="begin"/>
          </w:r>
          <w:r>
            <w:instrText xml:space="preserve"> HYPERLINK \l _Toc17535 </w:instrText>
          </w:r>
          <w:r>
            <w:fldChar w:fldCharType="separate"/>
          </w:r>
          <w:r>
            <w:rPr>
              <w:rFonts w:hint="eastAsia"/>
            </w:rPr>
            <w:t>《小学生心理辅导》课程教学大纲</w:t>
          </w:r>
          <w:r>
            <w:tab/>
          </w:r>
          <w:r>
            <w:fldChar w:fldCharType="begin"/>
          </w:r>
          <w:r>
            <w:instrText xml:space="preserve"> PAGEREF _Toc17535 \h </w:instrText>
          </w:r>
          <w:r>
            <w:fldChar w:fldCharType="separate"/>
          </w:r>
          <w:r>
            <w:t>311</w:t>
          </w:r>
          <w:r>
            <w:fldChar w:fldCharType="end"/>
          </w:r>
          <w:r>
            <w:fldChar w:fldCharType="end"/>
          </w:r>
        </w:p>
        <w:p w14:paraId="4C109699">
          <w:pPr>
            <w:pStyle w:val="11"/>
            <w:tabs>
              <w:tab w:val="right" w:leader="dot" w:pos="8504"/>
              <w:tab w:val="clear" w:pos="8296"/>
            </w:tabs>
          </w:pPr>
          <w:r>
            <w:fldChar w:fldCharType="begin"/>
          </w:r>
          <w:r>
            <w:instrText xml:space="preserve"> HYPERLINK \l _Toc8734 </w:instrText>
          </w:r>
          <w:r>
            <w:fldChar w:fldCharType="separate"/>
          </w:r>
          <w:r>
            <w:rPr>
              <w:rFonts w:hint="eastAsia"/>
            </w:rPr>
            <w:t>《小学跨学科学习》课程教学大纲</w:t>
          </w:r>
          <w:r>
            <w:tab/>
          </w:r>
          <w:r>
            <w:fldChar w:fldCharType="begin"/>
          </w:r>
          <w:r>
            <w:instrText xml:space="preserve"> PAGEREF _Toc8734 \h </w:instrText>
          </w:r>
          <w:r>
            <w:fldChar w:fldCharType="separate"/>
          </w:r>
          <w:r>
            <w:t>319</w:t>
          </w:r>
          <w:r>
            <w:fldChar w:fldCharType="end"/>
          </w:r>
          <w:r>
            <w:fldChar w:fldCharType="end"/>
          </w:r>
        </w:p>
        <w:p w14:paraId="7181722B">
          <w:pPr>
            <w:pStyle w:val="11"/>
            <w:tabs>
              <w:tab w:val="right" w:leader="dot" w:pos="8504"/>
              <w:tab w:val="clear" w:pos="8296"/>
            </w:tabs>
          </w:pPr>
          <w:r>
            <w:fldChar w:fldCharType="begin"/>
          </w:r>
          <w:r>
            <w:instrText xml:space="preserve"> HYPERLINK \l _Toc22891 </w:instrText>
          </w:r>
          <w:r>
            <w:fldChar w:fldCharType="separate"/>
          </w:r>
          <w:r>
            <w:rPr>
              <w:rFonts w:hint="eastAsia"/>
            </w:rPr>
            <w:t>《教育论文写作》课程教学大纲</w:t>
          </w:r>
          <w:r>
            <w:tab/>
          </w:r>
          <w:r>
            <w:fldChar w:fldCharType="begin"/>
          </w:r>
          <w:r>
            <w:instrText xml:space="preserve"> PAGEREF _Toc22891 \h </w:instrText>
          </w:r>
          <w:r>
            <w:fldChar w:fldCharType="separate"/>
          </w:r>
          <w:r>
            <w:t>324</w:t>
          </w:r>
          <w:r>
            <w:fldChar w:fldCharType="end"/>
          </w:r>
          <w:r>
            <w:fldChar w:fldCharType="end"/>
          </w:r>
        </w:p>
        <w:p w14:paraId="6E3F0E6C">
          <w:pPr>
            <w:pStyle w:val="11"/>
            <w:tabs>
              <w:tab w:val="right" w:leader="dot" w:pos="8504"/>
              <w:tab w:val="clear" w:pos="8296"/>
            </w:tabs>
          </w:pPr>
          <w:r>
            <w:fldChar w:fldCharType="begin"/>
          </w:r>
          <w:r>
            <w:instrText xml:space="preserve"> HYPERLINK \l _Toc12022 </w:instrText>
          </w:r>
          <w:r>
            <w:fldChar w:fldCharType="separate"/>
          </w:r>
          <w:r>
            <w:rPr>
              <w:rFonts w:hint="eastAsia"/>
            </w:rPr>
            <w:t>《</w:t>
          </w:r>
          <w:r>
            <w:t>数学分析I</w:t>
          </w:r>
          <w:r>
            <w:rPr>
              <w:rFonts w:hint="eastAsia"/>
            </w:rPr>
            <w:t>》</w:t>
          </w:r>
          <w:r>
            <w:t>课程教学大纲</w:t>
          </w:r>
          <w:r>
            <w:tab/>
          </w:r>
          <w:r>
            <w:fldChar w:fldCharType="begin"/>
          </w:r>
          <w:r>
            <w:instrText xml:space="preserve"> PAGEREF _Toc12022 \h </w:instrText>
          </w:r>
          <w:r>
            <w:fldChar w:fldCharType="separate"/>
          </w:r>
          <w:r>
            <w:t>332</w:t>
          </w:r>
          <w:r>
            <w:fldChar w:fldCharType="end"/>
          </w:r>
          <w:r>
            <w:fldChar w:fldCharType="end"/>
          </w:r>
        </w:p>
        <w:p w14:paraId="78D8238F">
          <w:pPr>
            <w:pStyle w:val="11"/>
            <w:tabs>
              <w:tab w:val="right" w:leader="dot" w:pos="8504"/>
              <w:tab w:val="clear" w:pos="8296"/>
            </w:tabs>
          </w:pPr>
          <w:r>
            <w:fldChar w:fldCharType="begin"/>
          </w:r>
          <w:r>
            <w:instrText xml:space="preserve"> HYPERLINK \l _Toc14385 </w:instrText>
          </w:r>
          <w:r>
            <w:fldChar w:fldCharType="separate"/>
          </w:r>
          <w:r>
            <w:rPr>
              <w:rFonts w:hint="eastAsia"/>
            </w:rPr>
            <w:t>《</w:t>
          </w:r>
          <w:r>
            <w:t>数学分析I</w:t>
          </w:r>
          <w:r>
            <w:rPr>
              <w:rFonts w:hint="eastAsia"/>
            </w:rPr>
            <w:t>I》</w:t>
          </w:r>
          <w:r>
            <w:t>课程教学大纲</w:t>
          </w:r>
          <w:r>
            <w:tab/>
          </w:r>
          <w:r>
            <w:fldChar w:fldCharType="begin"/>
          </w:r>
          <w:r>
            <w:instrText xml:space="preserve"> PAGEREF _Toc14385 \h </w:instrText>
          </w:r>
          <w:r>
            <w:fldChar w:fldCharType="separate"/>
          </w:r>
          <w:r>
            <w:t>338</w:t>
          </w:r>
          <w:r>
            <w:fldChar w:fldCharType="end"/>
          </w:r>
          <w:r>
            <w:fldChar w:fldCharType="end"/>
          </w:r>
        </w:p>
        <w:p w14:paraId="16B4E249">
          <w:pPr>
            <w:pStyle w:val="11"/>
            <w:tabs>
              <w:tab w:val="right" w:leader="dot" w:pos="8504"/>
              <w:tab w:val="clear" w:pos="8296"/>
            </w:tabs>
          </w:pPr>
          <w:r>
            <w:fldChar w:fldCharType="begin"/>
          </w:r>
          <w:r>
            <w:instrText xml:space="preserve"> HYPERLINK \l _Toc19037 </w:instrText>
          </w:r>
          <w:r>
            <w:fldChar w:fldCharType="separate"/>
          </w:r>
          <w:r>
            <w:rPr>
              <w:rFonts w:hint="eastAsia"/>
            </w:rPr>
            <w:t>《空间解析几何》课程教学大纲</w:t>
          </w:r>
          <w:r>
            <w:tab/>
          </w:r>
          <w:r>
            <w:fldChar w:fldCharType="begin"/>
          </w:r>
          <w:r>
            <w:instrText xml:space="preserve"> PAGEREF _Toc19037 \h </w:instrText>
          </w:r>
          <w:r>
            <w:fldChar w:fldCharType="separate"/>
          </w:r>
          <w:r>
            <w:t>343</w:t>
          </w:r>
          <w:r>
            <w:fldChar w:fldCharType="end"/>
          </w:r>
          <w:r>
            <w:fldChar w:fldCharType="end"/>
          </w:r>
        </w:p>
        <w:p w14:paraId="64F6DC16">
          <w:pPr>
            <w:pStyle w:val="11"/>
            <w:tabs>
              <w:tab w:val="right" w:leader="dot" w:pos="8504"/>
              <w:tab w:val="clear" w:pos="8296"/>
            </w:tabs>
          </w:pPr>
          <w:r>
            <w:fldChar w:fldCharType="begin"/>
          </w:r>
          <w:r>
            <w:instrText xml:space="preserve"> HYPERLINK \l _Toc26614 </w:instrText>
          </w:r>
          <w:r>
            <w:fldChar w:fldCharType="separate"/>
          </w:r>
          <w:r>
            <w:rPr>
              <w:rFonts w:hint="eastAsia"/>
            </w:rPr>
            <w:t>《</w:t>
          </w:r>
          <w:r>
            <w:t>高等代数I</w:t>
          </w:r>
          <w:r>
            <w:rPr>
              <w:rFonts w:hint="eastAsia"/>
            </w:rPr>
            <w:t>》</w:t>
          </w:r>
          <w:r>
            <w:t>课程教学大纲</w:t>
          </w:r>
          <w:r>
            <w:tab/>
          </w:r>
          <w:r>
            <w:fldChar w:fldCharType="begin"/>
          </w:r>
          <w:r>
            <w:instrText xml:space="preserve"> PAGEREF _Toc26614 \h </w:instrText>
          </w:r>
          <w:r>
            <w:fldChar w:fldCharType="separate"/>
          </w:r>
          <w:r>
            <w:t>348</w:t>
          </w:r>
          <w:r>
            <w:fldChar w:fldCharType="end"/>
          </w:r>
          <w:r>
            <w:fldChar w:fldCharType="end"/>
          </w:r>
        </w:p>
        <w:p w14:paraId="2FC75BF2">
          <w:pPr>
            <w:pStyle w:val="11"/>
            <w:tabs>
              <w:tab w:val="right" w:leader="dot" w:pos="8504"/>
              <w:tab w:val="clear" w:pos="8296"/>
            </w:tabs>
          </w:pPr>
          <w:r>
            <w:fldChar w:fldCharType="begin"/>
          </w:r>
          <w:r>
            <w:instrText xml:space="preserve"> HYPERLINK \l _Toc14788 </w:instrText>
          </w:r>
          <w:r>
            <w:fldChar w:fldCharType="separate"/>
          </w:r>
          <w:r>
            <w:rPr>
              <w:rFonts w:hint="eastAsia"/>
            </w:rPr>
            <w:t>《</w:t>
          </w:r>
          <w:r>
            <w:t>高等代数II</w:t>
          </w:r>
          <w:r>
            <w:rPr>
              <w:rFonts w:hint="eastAsia"/>
            </w:rPr>
            <w:t>》</w:t>
          </w:r>
          <w:r>
            <w:t>课程教学大纲</w:t>
          </w:r>
          <w:r>
            <w:tab/>
          </w:r>
          <w:r>
            <w:fldChar w:fldCharType="begin"/>
          </w:r>
          <w:r>
            <w:instrText xml:space="preserve"> PAGEREF _Toc14788 \h </w:instrText>
          </w:r>
          <w:r>
            <w:fldChar w:fldCharType="separate"/>
          </w:r>
          <w:r>
            <w:t>353</w:t>
          </w:r>
          <w:r>
            <w:fldChar w:fldCharType="end"/>
          </w:r>
          <w:r>
            <w:fldChar w:fldCharType="end"/>
          </w:r>
        </w:p>
        <w:p w14:paraId="071021BD">
          <w:pPr>
            <w:pStyle w:val="11"/>
            <w:tabs>
              <w:tab w:val="right" w:leader="dot" w:pos="8504"/>
              <w:tab w:val="clear" w:pos="8296"/>
            </w:tabs>
          </w:pPr>
          <w:r>
            <w:fldChar w:fldCharType="begin"/>
          </w:r>
          <w:r>
            <w:instrText xml:space="preserve"> HYPERLINK \l _Toc4029 </w:instrText>
          </w:r>
          <w:r>
            <w:fldChar w:fldCharType="separate"/>
          </w:r>
          <w:r>
            <w:rPr>
              <w:rFonts w:hint="eastAsia"/>
            </w:rPr>
            <w:t>《概率与统计》课程教学大纲</w:t>
          </w:r>
          <w:r>
            <w:tab/>
          </w:r>
          <w:r>
            <w:fldChar w:fldCharType="begin"/>
          </w:r>
          <w:r>
            <w:instrText xml:space="preserve"> PAGEREF _Toc4029 \h </w:instrText>
          </w:r>
          <w:r>
            <w:fldChar w:fldCharType="separate"/>
          </w:r>
          <w:r>
            <w:t>359</w:t>
          </w:r>
          <w:r>
            <w:fldChar w:fldCharType="end"/>
          </w:r>
          <w:r>
            <w:fldChar w:fldCharType="end"/>
          </w:r>
        </w:p>
        <w:p w14:paraId="3F46596D">
          <w:pPr>
            <w:pStyle w:val="11"/>
            <w:tabs>
              <w:tab w:val="right" w:leader="dot" w:pos="8504"/>
              <w:tab w:val="clear" w:pos="8296"/>
            </w:tabs>
          </w:pPr>
          <w:r>
            <w:fldChar w:fldCharType="begin"/>
          </w:r>
          <w:r>
            <w:instrText xml:space="preserve"> HYPERLINK \l _Toc2579 </w:instrText>
          </w:r>
          <w:r>
            <w:fldChar w:fldCharType="separate"/>
          </w:r>
          <w:r>
            <w:rPr>
              <w:rFonts w:hint="eastAsia"/>
            </w:rPr>
            <w:t>《</w:t>
          </w:r>
          <w:r>
            <w:t>初等数论</w:t>
          </w:r>
          <w:r>
            <w:rPr>
              <w:rFonts w:hint="eastAsia"/>
            </w:rPr>
            <w:t>》</w:t>
          </w:r>
          <w:r>
            <w:t>课程教学大纲</w:t>
          </w:r>
          <w:r>
            <w:tab/>
          </w:r>
          <w:r>
            <w:fldChar w:fldCharType="begin"/>
          </w:r>
          <w:r>
            <w:instrText xml:space="preserve"> PAGEREF _Toc2579 \h </w:instrText>
          </w:r>
          <w:r>
            <w:fldChar w:fldCharType="separate"/>
          </w:r>
          <w:r>
            <w:t>365</w:t>
          </w:r>
          <w:r>
            <w:fldChar w:fldCharType="end"/>
          </w:r>
          <w:r>
            <w:fldChar w:fldCharType="end"/>
          </w:r>
        </w:p>
        <w:p w14:paraId="17AFC8BD">
          <w:pPr>
            <w:pStyle w:val="11"/>
            <w:tabs>
              <w:tab w:val="right" w:leader="dot" w:pos="8504"/>
              <w:tab w:val="clear" w:pos="8296"/>
            </w:tabs>
          </w:pPr>
          <w:r>
            <w:fldChar w:fldCharType="begin"/>
          </w:r>
          <w:r>
            <w:instrText xml:space="preserve"> HYPERLINK \l _Toc19199 </w:instrText>
          </w:r>
          <w:r>
            <w:fldChar w:fldCharType="separate"/>
          </w:r>
          <w:r>
            <w:rPr>
              <w:rFonts w:hint="eastAsia"/>
            </w:rPr>
            <w:t>《</w:t>
          </w:r>
          <w:r>
            <w:t>数学思想方法</w:t>
          </w:r>
          <w:r>
            <w:rPr>
              <w:rFonts w:hint="eastAsia"/>
            </w:rPr>
            <w:t>》</w:t>
          </w:r>
          <w:r>
            <w:t>课程教学大纲</w:t>
          </w:r>
          <w:r>
            <w:tab/>
          </w:r>
          <w:r>
            <w:fldChar w:fldCharType="begin"/>
          </w:r>
          <w:r>
            <w:instrText xml:space="preserve"> PAGEREF _Toc19199 \h </w:instrText>
          </w:r>
          <w:r>
            <w:fldChar w:fldCharType="separate"/>
          </w:r>
          <w:r>
            <w:t>371</w:t>
          </w:r>
          <w:r>
            <w:fldChar w:fldCharType="end"/>
          </w:r>
          <w:r>
            <w:fldChar w:fldCharType="end"/>
          </w:r>
        </w:p>
        <w:p w14:paraId="46175B19">
          <w:pPr>
            <w:pStyle w:val="11"/>
            <w:tabs>
              <w:tab w:val="right" w:leader="dot" w:pos="8504"/>
              <w:tab w:val="clear" w:pos="8296"/>
            </w:tabs>
          </w:pPr>
          <w:r>
            <w:fldChar w:fldCharType="begin"/>
          </w:r>
          <w:r>
            <w:instrText xml:space="preserve"> HYPERLINK \l _Toc19047 </w:instrText>
          </w:r>
          <w:r>
            <w:fldChar w:fldCharType="separate"/>
          </w:r>
          <w:r>
            <w:rPr>
              <w:rFonts w:hint="eastAsia"/>
            </w:rPr>
            <w:t>《小学数学课程标准与教材分析》课程教学大纲</w:t>
          </w:r>
          <w:r>
            <w:tab/>
          </w:r>
          <w:r>
            <w:fldChar w:fldCharType="begin"/>
          </w:r>
          <w:r>
            <w:instrText xml:space="preserve"> PAGEREF _Toc19047 \h </w:instrText>
          </w:r>
          <w:r>
            <w:fldChar w:fldCharType="separate"/>
          </w:r>
          <w:r>
            <w:t>377</w:t>
          </w:r>
          <w:r>
            <w:fldChar w:fldCharType="end"/>
          </w:r>
          <w:r>
            <w:fldChar w:fldCharType="end"/>
          </w:r>
        </w:p>
        <w:p w14:paraId="2C482BB9">
          <w:pPr>
            <w:pStyle w:val="11"/>
            <w:tabs>
              <w:tab w:val="right" w:leader="dot" w:pos="8504"/>
              <w:tab w:val="clear" w:pos="8296"/>
            </w:tabs>
          </w:pPr>
          <w:r>
            <w:fldChar w:fldCharType="begin"/>
          </w:r>
          <w:r>
            <w:instrText xml:space="preserve"> HYPERLINK \l _Toc20440 </w:instrText>
          </w:r>
          <w:r>
            <w:fldChar w:fldCharType="separate"/>
          </w:r>
          <w:r>
            <w:rPr>
              <w:rFonts w:hint="eastAsia"/>
            </w:rPr>
            <w:t>《小学数学教学设计与实施》课程教学大纲</w:t>
          </w:r>
          <w:r>
            <w:tab/>
          </w:r>
          <w:r>
            <w:fldChar w:fldCharType="begin"/>
          </w:r>
          <w:r>
            <w:instrText xml:space="preserve"> PAGEREF _Toc20440 \h </w:instrText>
          </w:r>
          <w:r>
            <w:fldChar w:fldCharType="separate"/>
          </w:r>
          <w:r>
            <w:t>384</w:t>
          </w:r>
          <w:r>
            <w:fldChar w:fldCharType="end"/>
          </w:r>
          <w:r>
            <w:fldChar w:fldCharType="end"/>
          </w:r>
        </w:p>
        <w:p w14:paraId="5CECE541">
          <w:pPr>
            <w:pStyle w:val="11"/>
            <w:tabs>
              <w:tab w:val="right" w:leader="dot" w:pos="8504"/>
              <w:tab w:val="clear" w:pos="8296"/>
            </w:tabs>
          </w:pPr>
          <w:r>
            <w:fldChar w:fldCharType="begin"/>
          </w:r>
          <w:r>
            <w:instrText xml:space="preserve"> HYPERLINK \l _Toc5625 </w:instrText>
          </w:r>
          <w:r>
            <w:fldChar w:fldCharType="separate"/>
          </w:r>
          <w:r>
            <w:rPr>
              <w:rFonts w:hint="eastAsia"/>
            </w:rPr>
            <w:t>《社会统计软件》课程教学大纲</w:t>
          </w:r>
          <w:r>
            <w:tab/>
          </w:r>
          <w:r>
            <w:fldChar w:fldCharType="begin"/>
          </w:r>
          <w:r>
            <w:instrText xml:space="preserve"> PAGEREF _Toc5625 \h </w:instrText>
          </w:r>
          <w:r>
            <w:fldChar w:fldCharType="separate"/>
          </w:r>
          <w:r>
            <w:t>391</w:t>
          </w:r>
          <w:r>
            <w:fldChar w:fldCharType="end"/>
          </w:r>
          <w:r>
            <w:fldChar w:fldCharType="end"/>
          </w:r>
        </w:p>
        <w:p w14:paraId="233F6692">
          <w:pPr>
            <w:pStyle w:val="11"/>
            <w:tabs>
              <w:tab w:val="right" w:leader="dot" w:pos="8504"/>
              <w:tab w:val="clear" w:pos="8296"/>
            </w:tabs>
          </w:pPr>
          <w:r>
            <w:fldChar w:fldCharType="begin"/>
          </w:r>
          <w:r>
            <w:instrText xml:space="preserve"> HYPERLINK \l _Toc23533 </w:instrText>
          </w:r>
          <w:r>
            <w:fldChar w:fldCharType="separate"/>
          </w:r>
          <w:r>
            <w:rPr>
              <w:rFonts w:hint="eastAsia"/>
            </w:rPr>
            <w:t>《科学概论》课程教学大纲</w:t>
          </w:r>
          <w:r>
            <w:tab/>
          </w:r>
          <w:r>
            <w:fldChar w:fldCharType="begin"/>
          </w:r>
          <w:r>
            <w:instrText xml:space="preserve"> PAGEREF _Toc23533 \h </w:instrText>
          </w:r>
          <w:r>
            <w:fldChar w:fldCharType="separate"/>
          </w:r>
          <w:r>
            <w:t>397</w:t>
          </w:r>
          <w:r>
            <w:fldChar w:fldCharType="end"/>
          </w:r>
          <w:r>
            <w:fldChar w:fldCharType="end"/>
          </w:r>
        </w:p>
        <w:p w14:paraId="34FCD97F">
          <w:pPr>
            <w:pStyle w:val="11"/>
            <w:tabs>
              <w:tab w:val="right" w:leader="dot" w:pos="8504"/>
              <w:tab w:val="clear" w:pos="8296"/>
            </w:tabs>
          </w:pPr>
          <w:r>
            <w:fldChar w:fldCharType="begin"/>
          </w:r>
          <w:r>
            <w:instrText xml:space="preserve"> HYPERLINK \l _Toc11773 </w:instrText>
          </w:r>
          <w:r>
            <w:fldChar w:fldCharType="separate"/>
          </w:r>
          <w:r>
            <w:rPr>
              <w:rFonts w:hint="eastAsia"/>
            </w:rPr>
            <w:t>《美术基础》课程教学大纲</w:t>
          </w:r>
          <w:r>
            <w:tab/>
          </w:r>
          <w:r>
            <w:fldChar w:fldCharType="begin"/>
          </w:r>
          <w:r>
            <w:instrText xml:space="preserve"> PAGEREF _Toc11773 \h </w:instrText>
          </w:r>
          <w:r>
            <w:fldChar w:fldCharType="separate"/>
          </w:r>
          <w:r>
            <w:t>403</w:t>
          </w:r>
          <w:r>
            <w:fldChar w:fldCharType="end"/>
          </w:r>
          <w:r>
            <w:fldChar w:fldCharType="end"/>
          </w:r>
        </w:p>
        <w:p w14:paraId="2EE4FC69">
          <w:pPr>
            <w:pStyle w:val="11"/>
            <w:tabs>
              <w:tab w:val="right" w:leader="dot" w:pos="8504"/>
              <w:tab w:val="clear" w:pos="8296"/>
            </w:tabs>
          </w:pPr>
          <w:r>
            <w:fldChar w:fldCharType="begin"/>
          </w:r>
          <w:r>
            <w:instrText xml:space="preserve"> HYPERLINK \l _Toc17719 </w:instrText>
          </w:r>
          <w:r>
            <w:fldChar w:fldCharType="separate"/>
          </w:r>
          <w:r>
            <w:rPr>
              <w:rFonts w:hint="eastAsia"/>
            </w:rPr>
            <w:t>《音乐基础》课程教学大纲</w:t>
          </w:r>
          <w:r>
            <w:tab/>
          </w:r>
          <w:r>
            <w:fldChar w:fldCharType="begin"/>
          </w:r>
          <w:r>
            <w:instrText xml:space="preserve"> PAGEREF _Toc17719 \h </w:instrText>
          </w:r>
          <w:r>
            <w:fldChar w:fldCharType="separate"/>
          </w:r>
          <w:r>
            <w:t>409</w:t>
          </w:r>
          <w:r>
            <w:fldChar w:fldCharType="end"/>
          </w:r>
          <w:r>
            <w:fldChar w:fldCharType="end"/>
          </w:r>
        </w:p>
        <w:p w14:paraId="4A88D737">
          <w:pPr>
            <w:pStyle w:val="11"/>
            <w:tabs>
              <w:tab w:val="right" w:leader="dot" w:pos="8504"/>
              <w:tab w:val="clear" w:pos="8296"/>
            </w:tabs>
          </w:pPr>
          <w:r>
            <w:fldChar w:fldCharType="begin"/>
          </w:r>
          <w:r>
            <w:instrText xml:space="preserve"> HYPERLINK \l _Toc11195 </w:instrText>
          </w:r>
          <w:r>
            <w:fldChar w:fldCharType="separate"/>
          </w:r>
          <w:r>
            <w:rPr>
              <w:rFonts w:hint="eastAsia"/>
            </w:rPr>
            <w:t>《小学科学课程与教学论》课程教学大纲</w:t>
          </w:r>
          <w:r>
            <w:tab/>
          </w:r>
          <w:r>
            <w:fldChar w:fldCharType="begin"/>
          </w:r>
          <w:r>
            <w:instrText xml:space="preserve"> PAGEREF _Toc11195 \h </w:instrText>
          </w:r>
          <w:r>
            <w:fldChar w:fldCharType="separate"/>
          </w:r>
          <w:r>
            <w:t>416</w:t>
          </w:r>
          <w:r>
            <w:fldChar w:fldCharType="end"/>
          </w:r>
          <w:r>
            <w:fldChar w:fldCharType="end"/>
          </w:r>
        </w:p>
        <w:p w14:paraId="5D5CCF44">
          <w:pPr>
            <w:pStyle w:val="11"/>
            <w:tabs>
              <w:tab w:val="right" w:leader="dot" w:pos="8504"/>
              <w:tab w:val="clear" w:pos="8296"/>
            </w:tabs>
          </w:pPr>
          <w:r>
            <w:fldChar w:fldCharType="begin"/>
          </w:r>
          <w:r>
            <w:instrText xml:space="preserve"> HYPERLINK \l _Toc13900 </w:instrText>
          </w:r>
          <w:r>
            <w:fldChar w:fldCharType="separate"/>
          </w:r>
          <w:r>
            <w:rPr>
              <w:rFonts w:hint="eastAsia"/>
            </w:rPr>
            <w:t>《逻辑学》课程教学大纲</w:t>
          </w:r>
          <w:r>
            <w:tab/>
          </w:r>
          <w:r>
            <w:fldChar w:fldCharType="begin"/>
          </w:r>
          <w:r>
            <w:instrText xml:space="preserve"> PAGEREF _Toc13900 \h </w:instrText>
          </w:r>
          <w:r>
            <w:fldChar w:fldCharType="separate"/>
          </w:r>
          <w:r>
            <w:t>423</w:t>
          </w:r>
          <w:r>
            <w:fldChar w:fldCharType="end"/>
          </w:r>
          <w:r>
            <w:fldChar w:fldCharType="end"/>
          </w:r>
        </w:p>
        <w:p w14:paraId="1AE64240">
          <w:pPr>
            <w:pStyle w:val="11"/>
            <w:tabs>
              <w:tab w:val="right" w:leader="dot" w:pos="8504"/>
              <w:tab w:val="clear" w:pos="8296"/>
            </w:tabs>
          </w:pPr>
          <w:r>
            <w:fldChar w:fldCharType="begin"/>
          </w:r>
          <w:r>
            <w:instrText xml:space="preserve"> HYPERLINK \l _Toc21553 </w:instrText>
          </w:r>
          <w:r>
            <w:fldChar w:fldCharType="separate"/>
          </w:r>
          <w:r>
            <w:rPr>
              <w:rFonts w:hint="eastAsia"/>
            </w:rPr>
            <w:t>《数学史》课程教学大纲</w:t>
          </w:r>
          <w:r>
            <w:tab/>
          </w:r>
          <w:r>
            <w:fldChar w:fldCharType="begin"/>
          </w:r>
          <w:r>
            <w:instrText xml:space="preserve"> PAGEREF _Toc21553 \h </w:instrText>
          </w:r>
          <w:r>
            <w:fldChar w:fldCharType="separate"/>
          </w:r>
          <w:r>
            <w:t>429</w:t>
          </w:r>
          <w:r>
            <w:fldChar w:fldCharType="end"/>
          </w:r>
          <w:r>
            <w:fldChar w:fldCharType="end"/>
          </w:r>
        </w:p>
        <w:p w14:paraId="7D68EF56">
          <w:pPr>
            <w:pStyle w:val="11"/>
            <w:tabs>
              <w:tab w:val="right" w:leader="dot" w:pos="8504"/>
              <w:tab w:val="clear" w:pos="8296"/>
            </w:tabs>
          </w:pPr>
          <w:r>
            <w:fldChar w:fldCharType="begin"/>
          </w:r>
          <w:r>
            <w:instrText xml:space="preserve"> HYPERLINK \l _Toc6633 </w:instrText>
          </w:r>
          <w:r>
            <w:fldChar w:fldCharType="separate"/>
          </w:r>
          <w:r>
            <w:rPr>
              <w:rFonts w:hint="eastAsia"/>
            </w:rPr>
            <w:t>《</w:t>
          </w:r>
          <w:r>
            <w:t>计算方法</w:t>
          </w:r>
          <w:r>
            <w:rPr>
              <w:rFonts w:hint="eastAsia"/>
              <w:lang w:eastAsia="zh-CN"/>
            </w:rPr>
            <w:t>》</w:t>
          </w:r>
          <w:r>
            <w:t>课程教学大纲</w:t>
          </w:r>
          <w:r>
            <w:tab/>
          </w:r>
          <w:r>
            <w:fldChar w:fldCharType="begin"/>
          </w:r>
          <w:r>
            <w:instrText xml:space="preserve"> PAGEREF _Toc6633 \h </w:instrText>
          </w:r>
          <w:r>
            <w:fldChar w:fldCharType="separate"/>
          </w:r>
          <w:r>
            <w:t>437</w:t>
          </w:r>
          <w:r>
            <w:fldChar w:fldCharType="end"/>
          </w:r>
          <w:r>
            <w:fldChar w:fldCharType="end"/>
          </w:r>
        </w:p>
        <w:p w14:paraId="2A478F7B">
          <w:pPr>
            <w:pStyle w:val="11"/>
            <w:tabs>
              <w:tab w:val="right" w:leader="dot" w:pos="8504"/>
              <w:tab w:val="clear" w:pos="8296"/>
            </w:tabs>
          </w:pPr>
          <w:r>
            <w:fldChar w:fldCharType="begin"/>
          </w:r>
          <w:r>
            <w:instrText xml:space="preserve"> HYPERLINK \l _Toc8700 </w:instrText>
          </w:r>
          <w:r>
            <w:fldChar w:fldCharType="separate"/>
          </w:r>
          <w:r>
            <w:rPr>
              <w:rFonts w:hint="eastAsia"/>
            </w:rPr>
            <w:t>《</w:t>
          </w:r>
          <w:r>
            <w:t>小学数学思维训练</w:t>
          </w:r>
          <w:r>
            <w:rPr>
              <w:rFonts w:hint="eastAsia"/>
            </w:rPr>
            <w:t>》</w:t>
          </w:r>
          <w:r>
            <w:t>课程教学大纲</w:t>
          </w:r>
          <w:r>
            <w:tab/>
          </w:r>
          <w:r>
            <w:fldChar w:fldCharType="begin"/>
          </w:r>
          <w:r>
            <w:instrText xml:space="preserve"> PAGEREF _Toc8700 \h </w:instrText>
          </w:r>
          <w:r>
            <w:fldChar w:fldCharType="separate"/>
          </w:r>
          <w:r>
            <w:t>443</w:t>
          </w:r>
          <w:r>
            <w:fldChar w:fldCharType="end"/>
          </w:r>
          <w:r>
            <w:fldChar w:fldCharType="end"/>
          </w:r>
        </w:p>
        <w:p w14:paraId="211DD22C">
          <w:pPr>
            <w:pStyle w:val="11"/>
            <w:tabs>
              <w:tab w:val="right" w:leader="dot" w:pos="8504"/>
              <w:tab w:val="clear" w:pos="8296"/>
            </w:tabs>
          </w:pPr>
          <w:r>
            <w:fldChar w:fldCharType="begin"/>
          </w:r>
          <w:r>
            <w:instrText xml:space="preserve"> HYPERLINK \l _Toc6082 </w:instrText>
          </w:r>
          <w:r>
            <w:fldChar w:fldCharType="separate"/>
          </w:r>
          <w:r>
            <w:rPr>
              <w:rFonts w:hint="eastAsia"/>
            </w:rPr>
            <w:t>《综合实践活动设计》课程教学大纲</w:t>
          </w:r>
          <w:r>
            <w:tab/>
          </w:r>
          <w:r>
            <w:fldChar w:fldCharType="begin"/>
          </w:r>
          <w:r>
            <w:instrText xml:space="preserve"> PAGEREF _Toc6082 \h </w:instrText>
          </w:r>
          <w:r>
            <w:fldChar w:fldCharType="separate"/>
          </w:r>
          <w:r>
            <w:t>448</w:t>
          </w:r>
          <w:r>
            <w:fldChar w:fldCharType="end"/>
          </w:r>
          <w:r>
            <w:fldChar w:fldCharType="end"/>
          </w:r>
        </w:p>
        <w:p w14:paraId="3B50F4ED">
          <w:pPr>
            <w:pStyle w:val="11"/>
            <w:tabs>
              <w:tab w:val="right" w:leader="dot" w:pos="8504"/>
              <w:tab w:val="clear" w:pos="8296"/>
            </w:tabs>
          </w:pPr>
          <w:r>
            <w:fldChar w:fldCharType="begin"/>
          </w:r>
          <w:r>
            <w:instrText xml:space="preserve"> HYPERLINK \l _Toc32607 </w:instrText>
          </w:r>
          <w:r>
            <w:fldChar w:fldCharType="separate"/>
          </w:r>
          <w:r>
            <w:rPr>
              <w:rFonts w:hint="eastAsia" w:ascii="Times New Roman" w:hAnsi="Times New Roman" w:eastAsia="宋体" w:cs="Times New Roman"/>
              <w:szCs w:val="44"/>
            </w:rPr>
            <w:t>《航模制作与训练课程》课程教学大纲</w:t>
          </w:r>
          <w:r>
            <w:tab/>
          </w:r>
          <w:r>
            <w:fldChar w:fldCharType="begin"/>
          </w:r>
          <w:r>
            <w:instrText xml:space="preserve"> PAGEREF _Toc32607 \h </w:instrText>
          </w:r>
          <w:r>
            <w:fldChar w:fldCharType="separate"/>
          </w:r>
          <w:r>
            <w:t>456</w:t>
          </w:r>
          <w:r>
            <w:fldChar w:fldCharType="end"/>
          </w:r>
          <w:r>
            <w:fldChar w:fldCharType="end"/>
          </w:r>
        </w:p>
        <w:p w14:paraId="3D6BD698">
          <w:pPr>
            <w:pStyle w:val="11"/>
            <w:tabs>
              <w:tab w:val="right" w:leader="dot" w:pos="8504"/>
              <w:tab w:val="clear" w:pos="8296"/>
            </w:tabs>
          </w:pPr>
          <w:r>
            <w:fldChar w:fldCharType="begin"/>
          </w:r>
          <w:r>
            <w:instrText xml:space="preserve"> HYPERLINK \l _Toc21737 </w:instrText>
          </w:r>
          <w:r>
            <w:fldChar w:fldCharType="separate"/>
          </w:r>
          <w:r>
            <w:rPr>
              <w:rFonts w:hint="eastAsia"/>
            </w:rPr>
            <w:t>《机器人制作与训练</w:t>
          </w:r>
          <w:r>
            <w:t>课程</w:t>
          </w:r>
          <w:r>
            <w:rPr>
              <w:rFonts w:hint="eastAsia"/>
            </w:rPr>
            <w:t>》</w:t>
          </w:r>
          <w:r>
            <w:t>教学大纲</w:t>
          </w:r>
          <w:r>
            <w:tab/>
          </w:r>
          <w:r>
            <w:fldChar w:fldCharType="begin"/>
          </w:r>
          <w:r>
            <w:instrText xml:space="preserve"> PAGEREF _Toc21737 \h </w:instrText>
          </w:r>
          <w:r>
            <w:fldChar w:fldCharType="separate"/>
          </w:r>
          <w:r>
            <w:t>466</w:t>
          </w:r>
          <w:r>
            <w:fldChar w:fldCharType="end"/>
          </w:r>
          <w:r>
            <w:fldChar w:fldCharType="end"/>
          </w:r>
        </w:p>
        <w:p w14:paraId="03D43FB2">
          <w:pPr>
            <w:pStyle w:val="11"/>
            <w:tabs>
              <w:tab w:val="right" w:leader="dot" w:pos="8504"/>
              <w:tab w:val="clear" w:pos="8296"/>
            </w:tabs>
          </w:pPr>
          <w:r>
            <w:fldChar w:fldCharType="begin"/>
          </w:r>
          <w:r>
            <w:instrText xml:space="preserve"> HYPERLINK \l _Toc14746 </w:instrText>
          </w:r>
          <w:r>
            <w:fldChar w:fldCharType="separate"/>
          </w:r>
          <w:r>
            <w:rPr>
              <w:rFonts w:hint="eastAsia"/>
            </w:rPr>
            <w:t>《STEAM课程设计》课程教学大纲</w:t>
          </w:r>
          <w:r>
            <w:tab/>
          </w:r>
          <w:r>
            <w:fldChar w:fldCharType="begin"/>
          </w:r>
          <w:r>
            <w:instrText xml:space="preserve"> PAGEREF _Toc14746 \h </w:instrText>
          </w:r>
          <w:r>
            <w:fldChar w:fldCharType="separate"/>
          </w:r>
          <w:r>
            <w:t>473</w:t>
          </w:r>
          <w:r>
            <w:fldChar w:fldCharType="end"/>
          </w:r>
          <w:r>
            <w:fldChar w:fldCharType="end"/>
          </w:r>
        </w:p>
        <w:p w14:paraId="279ABB9E">
          <w:pPr>
            <w:pStyle w:val="11"/>
            <w:tabs>
              <w:tab w:val="right" w:leader="dot" w:pos="8504"/>
              <w:tab w:val="clear" w:pos="8296"/>
            </w:tabs>
          </w:pPr>
          <w:r>
            <w:fldChar w:fldCharType="begin"/>
          </w:r>
          <w:r>
            <w:instrText xml:space="preserve"> HYPERLINK \l _Toc31813 </w:instrText>
          </w:r>
          <w:r>
            <w:fldChar w:fldCharType="separate"/>
          </w:r>
          <w:r>
            <w:rPr>
              <w:rFonts w:hint="eastAsia"/>
            </w:rPr>
            <w:t>《科学实验指导》课程教学大纲</w:t>
          </w:r>
          <w:r>
            <w:tab/>
          </w:r>
          <w:r>
            <w:fldChar w:fldCharType="begin"/>
          </w:r>
          <w:r>
            <w:instrText xml:space="preserve"> PAGEREF _Toc31813 \h </w:instrText>
          </w:r>
          <w:r>
            <w:fldChar w:fldCharType="separate"/>
          </w:r>
          <w:r>
            <w:t>479</w:t>
          </w:r>
          <w:r>
            <w:fldChar w:fldCharType="end"/>
          </w:r>
          <w:r>
            <w:fldChar w:fldCharType="end"/>
          </w:r>
        </w:p>
        <w:p w14:paraId="6D3EB692">
          <w:pPr>
            <w:pStyle w:val="11"/>
            <w:tabs>
              <w:tab w:val="right" w:leader="dot" w:pos="8504"/>
              <w:tab w:val="clear" w:pos="8296"/>
            </w:tabs>
          </w:pPr>
          <w:r>
            <w:fldChar w:fldCharType="begin"/>
          </w:r>
          <w:r>
            <w:instrText xml:space="preserve"> HYPERLINK \l _Toc16377 </w:instrText>
          </w:r>
          <w:r>
            <w:fldChar w:fldCharType="separate"/>
          </w:r>
          <w:r>
            <w:rPr>
              <w:rFonts w:hint="eastAsia"/>
            </w:rPr>
            <w:t>《</w:t>
          </w:r>
          <w:r>
            <w:t>小学科学教学案例研究</w:t>
          </w:r>
          <w:r>
            <w:rPr>
              <w:rFonts w:hint="eastAsia"/>
            </w:rPr>
            <w:t>》课程教学大纲</w:t>
          </w:r>
          <w:r>
            <w:tab/>
          </w:r>
          <w:r>
            <w:fldChar w:fldCharType="begin"/>
          </w:r>
          <w:r>
            <w:instrText xml:space="preserve"> PAGEREF _Toc16377 \h </w:instrText>
          </w:r>
          <w:r>
            <w:fldChar w:fldCharType="separate"/>
          </w:r>
          <w:r>
            <w:t>486</w:t>
          </w:r>
          <w:r>
            <w:fldChar w:fldCharType="end"/>
          </w:r>
          <w:r>
            <w:fldChar w:fldCharType="end"/>
          </w:r>
        </w:p>
        <w:p w14:paraId="717FC61A">
          <w:pPr>
            <w:pStyle w:val="11"/>
            <w:tabs>
              <w:tab w:val="right" w:leader="dot" w:pos="8504"/>
              <w:tab w:val="clear" w:pos="8296"/>
            </w:tabs>
          </w:pPr>
          <w:r>
            <w:fldChar w:fldCharType="begin"/>
          </w:r>
          <w:r>
            <w:instrText xml:space="preserve"> HYPERLINK \l _Toc30708 </w:instrText>
          </w:r>
          <w:r>
            <w:fldChar w:fldCharType="separate"/>
          </w:r>
          <w:r>
            <w:rPr>
              <w:rFonts w:hint="eastAsia"/>
            </w:rPr>
            <w:t>《</w:t>
          </w:r>
          <w:r>
            <w:t>数学建模课程</w:t>
          </w:r>
          <w:r>
            <w:rPr>
              <w:rFonts w:hint="eastAsia"/>
            </w:rPr>
            <w:t>》</w:t>
          </w:r>
          <w:r>
            <w:t>教学大纲</w:t>
          </w:r>
          <w:r>
            <w:tab/>
          </w:r>
          <w:r>
            <w:fldChar w:fldCharType="begin"/>
          </w:r>
          <w:r>
            <w:instrText xml:space="preserve"> PAGEREF _Toc30708 \h </w:instrText>
          </w:r>
          <w:r>
            <w:fldChar w:fldCharType="separate"/>
          </w:r>
          <w:r>
            <w:t>494</w:t>
          </w:r>
          <w:r>
            <w:fldChar w:fldCharType="end"/>
          </w:r>
          <w:r>
            <w:fldChar w:fldCharType="end"/>
          </w:r>
        </w:p>
        <w:p w14:paraId="6A53EF19">
          <w:pPr>
            <w:pStyle w:val="11"/>
            <w:tabs>
              <w:tab w:val="right" w:leader="dot" w:pos="8504"/>
              <w:tab w:val="clear" w:pos="8296"/>
            </w:tabs>
          </w:pPr>
          <w:r>
            <w:fldChar w:fldCharType="begin"/>
          </w:r>
          <w:r>
            <w:instrText xml:space="preserve"> HYPERLINK \l _Toc5172 </w:instrText>
          </w:r>
          <w:r>
            <w:fldChar w:fldCharType="separate"/>
          </w:r>
          <w:r>
            <w:rPr>
              <w:rFonts w:hint="eastAsia"/>
            </w:rPr>
            <w:t>《小学数学教学案例研究》课程教学大纲</w:t>
          </w:r>
          <w:r>
            <w:tab/>
          </w:r>
          <w:r>
            <w:fldChar w:fldCharType="begin"/>
          </w:r>
          <w:r>
            <w:instrText xml:space="preserve"> PAGEREF _Toc5172 \h </w:instrText>
          </w:r>
          <w:r>
            <w:fldChar w:fldCharType="separate"/>
          </w:r>
          <w:r>
            <w:t>501</w:t>
          </w:r>
          <w:r>
            <w:fldChar w:fldCharType="end"/>
          </w:r>
          <w:r>
            <w:fldChar w:fldCharType="end"/>
          </w:r>
        </w:p>
        <w:p w14:paraId="3A1409D5">
          <w:pPr>
            <w:pStyle w:val="11"/>
            <w:tabs>
              <w:tab w:val="right" w:leader="dot" w:pos="8504"/>
              <w:tab w:val="clear" w:pos="8296"/>
            </w:tabs>
          </w:pPr>
          <w:r>
            <w:fldChar w:fldCharType="begin"/>
          </w:r>
          <w:r>
            <w:instrText xml:space="preserve"> HYPERLINK \l _Toc19084 </w:instrText>
          </w:r>
          <w:r>
            <w:fldChar w:fldCharType="separate"/>
          </w:r>
          <w:r>
            <w:rPr>
              <w:rFonts w:hint="eastAsia"/>
            </w:rPr>
            <w:t>《小学数学解题指导》课程教学大纲</w:t>
          </w:r>
          <w:r>
            <w:tab/>
          </w:r>
          <w:r>
            <w:fldChar w:fldCharType="begin"/>
          </w:r>
          <w:r>
            <w:instrText xml:space="preserve"> PAGEREF _Toc19084 \h </w:instrText>
          </w:r>
          <w:r>
            <w:fldChar w:fldCharType="separate"/>
          </w:r>
          <w:r>
            <w:t>508</w:t>
          </w:r>
          <w:r>
            <w:fldChar w:fldCharType="end"/>
          </w:r>
          <w:r>
            <w:fldChar w:fldCharType="end"/>
          </w:r>
        </w:p>
        <w:p w14:paraId="1A025510">
          <w:pPr>
            <w:pStyle w:val="11"/>
            <w:tabs>
              <w:tab w:val="right" w:leader="dot" w:pos="8504"/>
              <w:tab w:val="clear" w:pos="8296"/>
            </w:tabs>
          </w:pPr>
          <w:r>
            <w:fldChar w:fldCharType="begin"/>
          </w:r>
          <w:r>
            <w:instrText xml:space="preserve"> HYPERLINK \l _Toc16169 </w:instrText>
          </w:r>
          <w:r>
            <w:fldChar w:fldCharType="separate"/>
          </w:r>
          <w:r>
            <w:rPr>
              <w:rFonts w:hint="eastAsia"/>
            </w:rPr>
            <w:t>《认知实习》课程教学大纲</w:t>
          </w:r>
          <w:r>
            <w:tab/>
          </w:r>
          <w:r>
            <w:fldChar w:fldCharType="begin"/>
          </w:r>
          <w:r>
            <w:instrText xml:space="preserve"> PAGEREF _Toc16169 \h </w:instrText>
          </w:r>
          <w:r>
            <w:fldChar w:fldCharType="separate"/>
          </w:r>
          <w:r>
            <w:t>514</w:t>
          </w:r>
          <w:r>
            <w:fldChar w:fldCharType="end"/>
          </w:r>
          <w:r>
            <w:fldChar w:fldCharType="end"/>
          </w:r>
        </w:p>
        <w:p w14:paraId="5F168C90">
          <w:pPr>
            <w:pStyle w:val="11"/>
            <w:tabs>
              <w:tab w:val="right" w:leader="dot" w:pos="8504"/>
              <w:tab w:val="clear" w:pos="8296"/>
            </w:tabs>
          </w:pPr>
          <w:r>
            <w:fldChar w:fldCharType="begin"/>
          </w:r>
          <w:r>
            <w:instrText xml:space="preserve"> HYPERLINK \l _Toc12184 </w:instrText>
          </w:r>
          <w:r>
            <w:fldChar w:fldCharType="separate"/>
          </w:r>
          <w:r>
            <w:rPr>
              <w:rFonts w:hint="eastAsia"/>
            </w:rPr>
            <w:t>《教育见习I》课程</w:t>
          </w:r>
          <w:r>
            <w:t>教学大纲</w:t>
          </w:r>
          <w:r>
            <w:tab/>
          </w:r>
          <w:r>
            <w:fldChar w:fldCharType="begin"/>
          </w:r>
          <w:r>
            <w:instrText xml:space="preserve"> PAGEREF _Toc12184 \h </w:instrText>
          </w:r>
          <w:r>
            <w:fldChar w:fldCharType="separate"/>
          </w:r>
          <w:r>
            <w:t>520</w:t>
          </w:r>
          <w:r>
            <w:fldChar w:fldCharType="end"/>
          </w:r>
          <w:r>
            <w:fldChar w:fldCharType="end"/>
          </w:r>
        </w:p>
        <w:p w14:paraId="6B67607F">
          <w:pPr>
            <w:pStyle w:val="11"/>
            <w:tabs>
              <w:tab w:val="right" w:leader="dot" w:pos="8504"/>
              <w:tab w:val="clear" w:pos="8296"/>
            </w:tabs>
          </w:pPr>
          <w:r>
            <w:fldChar w:fldCharType="begin"/>
          </w:r>
          <w:r>
            <w:instrText xml:space="preserve"> HYPERLINK \l _Toc29674 </w:instrText>
          </w:r>
          <w:r>
            <w:fldChar w:fldCharType="separate"/>
          </w:r>
          <w:r>
            <w:rPr>
              <w:rFonts w:hint="eastAsia"/>
            </w:rPr>
            <w:t>《教育见习Ⅱ》教学大纲</w:t>
          </w:r>
          <w:r>
            <w:tab/>
          </w:r>
          <w:r>
            <w:fldChar w:fldCharType="begin"/>
          </w:r>
          <w:r>
            <w:instrText xml:space="preserve"> PAGEREF _Toc29674 \h </w:instrText>
          </w:r>
          <w:r>
            <w:fldChar w:fldCharType="separate"/>
          </w:r>
          <w:r>
            <w:t>526</w:t>
          </w:r>
          <w:r>
            <w:fldChar w:fldCharType="end"/>
          </w:r>
          <w:r>
            <w:fldChar w:fldCharType="end"/>
          </w:r>
        </w:p>
        <w:p w14:paraId="51FAD519">
          <w:pPr>
            <w:pStyle w:val="11"/>
            <w:tabs>
              <w:tab w:val="right" w:leader="dot" w:pos="8504"/>
              <w:tab w:val="clear" w:pos="8296"/>
            </w:tabs>
          </w:pPr>
          <w:r>
            <w:fldChar w:fldCharType="begin"/>
          </w:r>
          <w:r>
            <w:instrText xml:space="preserve"> HYPERLINK \l _Toc9411 </w:instrText>
          </w:r>
          <w:r>
            <w:fldChar w:fldCharType="separate"/>
          </w:r>
          <w:r>
            <w:rPr>
              <w:rFonts w:hint="eastAsia"/>
            </w:rPr>
            <w:t>《教学实训》课程教学大纲</w:t>
          </w:r>
          <w:r>
            <w:tab/>
          </w:r>
          <w:r>
            <w:fldChar w:fldCharType="begin"/>
          </w:r>
          <w:r>
            <w:instrText xml:space="preserve"> PAGEREF _Toc9411 \h </w:instrText>
          </w:r>
          <w:r>
            <w:fldChar w:fldCharType="separate"/>
          </w:r>
          <w:r>
            <w:t>532</w:t>
          </w:r>
          <w:r>
            <w:fldChar w:fldCharType="end"/>
          </w:r>
          <w:r>
            <w:fldChar w:fldCharType="end"/>
          </w:r>
        </w:p>
        <w:p w14:paraId="397502F1">
          <w:pPr>
            <w:pStyle w:val="11"/>
            <w:tabs>
              <w:tab w:val="right" w:leader="dot" w:pos="8504"/>
              <w:tab w:val="clear" w:pos="8296"/>
            </w:tabs>
          </w:pPr>
          <w:r>
            <w:fldChar w:fldCharType="begin"/>
          </w:r>
          <w:r>
            <w:instrText xml:space="preserve"> HYPERLINK \l _Toc7351 </w:instrText>
          </w:r>
          <w:r>
            <w:fldChar w:fldCharType="separate"/>
          </w:r>
          <w:r>
            <w:rPr>
              <w:rFonts w:hint="eastAsia"/>
            </w:rPr>
            <w:t>《教育实习I》课程教学大纲</w:t>
          </w:r>
          <w:r>
            <w:tab/>
          </w:r>
          <w:r>
            <w:fldChar w:fldCharType="begin"/>
          </w:r>
          <w:r>
            <w:instrText xml:space="preserve"> PAGEREF _Toc7351 \h </w:instrText>
          </w:r>
          <w:r>
            <w:fldChar w:fldCharType="separate"/>
          </w:r>
          <w:r>
            <w:t>537</w:t>
          </w:r>
          <w:r>
            <w:fldChar w:fldCharType="end"/>
          </w:r>
          <w:r>
            <w:fldChar w:fldCharType="end"/>
          </w:r>
        </w:p>
        <w:p w14:paraId="5F572B09">
          <w:pPr>
            <w:pStyle w:val="11"/>
            <w:tabs>
              <w:tab w:val="right" w:leader="dot" w:pos="8504"/>
              <w:tab w:val="clear" w:pos="8296"/>
            </w:tabs>
          </w:pPr>
          <w:r>
            <w:fldChar w:fldCharType="begin"/>
          </w:r>
          <w:r>
            <w:instrText xml:space="preserve"> HYPERLINK \l _Toc18830 </w:instrText>
          </w:r>
          <w:r>
            <w:fldChar w:fldCharType="separate"/>
          </w:r>
          <w:r>
            <w:rPr>
              <w:rFonts w:hint="eastAsia"/>
            </w:rPr>
            <w:t>《教育研习》课程</w:t>
          </w:r>
          <w:r>
            <w:t>教学大纲</w:t>
          </w:r>
          <w:r>
            <w:tab/>
          </w:r>
          <w:r>
            <w:fldChar w:fldCharType="begin"/>
          </w:r>
          <w:r>
            <w:instrText xml:space="preserve"> PAGEREF _Toc18830 \h </w:instrText>
          </w:r>
          <w:r>
            <w:fldChar w:fldCharType="separate"/>
          </w:r>
          <w:r>
            <w:t>543</w:t>
          </w:r>
          <w:r>
            <w:fldChar w:fldCharType="end"/>
          </w:r>
          <w:r>
            <w:fldChar w:fldCharType="end"/>
          </w:r>
        </w:p>
        <w:p w14:paraId="1A4DEFDA">
          <w:pPr>
            <w:pStyle w:val="11"/>
            <w:tabs>
              <w:tab w:val="right" w:leader="dot" w:pos="8504"/>
              <w:tab w:val="clear" w:pos="8296"/>
            </w:tabs>
          </w:pPr>
          <w:r>
            <w:fldChar w:fldCharType="begin"/>
          </w:r>
          <w:r>
            <w:instrText xml:space="preserve"> HYPERLINK \l _Toc10340 </w:instrText>
          </w:r>
          <w:r>
            <w:fldChar w:fldCharType="separate"/>
          </w:r>
          <w:r>
            <w:rPr>
              <w:rFonts w:hint="eastAsia"/>
            </w:rPr>
            <w:t>《教育实习II》课程教学大纲</w:t>
          </w:r>
          <w:r>
            <w:tab/>
          </w:r>
          <w:r>
            <w:fldChar w:fldCharType="begin"/>
          </w:r>
          <w:r>
            <w:instrText xml:space="preserve"> PAGEREF _Toc10340 \h </w:instrText>
          </w:r>
          <w:r>
            <w:fldChar w:fldCharType="separate"/>
          </w:r>
          <w:r>
            <w:t>550</w:t>
          </w:r>
          <w:r>
            <w:fldChar w:fldCharType="end"/>
          </w:r>
          <w:r>
            <w:fldChar w:fldCharType="end"/>
          </w:r>
        </w:p>
        <w:p w14:paraId="2D4C2A5B">
          <w:pPr>
            <w:pStyle w:val="11"/>
            <w:tabs>
              <w:tab w:val="right" w:leader="dot" w:pos="8504"/>
              <w:tab w:val="clear" w:pos="8296"/>
            </w:tabs>
          </w:pPr>
          <w:r>
            <w:fldChar w:fldCharType="begin"/>
          </w:r>
          <w:r>
            <w:instrText xml:space="preserve"> HYPERLINK \l _Toc12675 </w:instrText>
          </w:r>
          <w:r>
            <w:fldChar w:fldCharType="separate"/>
          </w:r>
          <w:r>
            <w:rPr>
              <w:rFonts w:hint="eastAsia" w:ascii="Times New Roman" w:hAnsi="Times New Roman" w:eastAsia="宋体" w:cs="Times New Roman"/>
              <w:szCs w:val="44"/>
            </w:rPr>
            <w:t>《毕业论文》课程教学大纲</w:t>
          </w:r>
          <w:r>
            <w:tab/>
          </w:r>
          <w:r>
            <w:fldChar w:fldCharType="begin"/>
          </w:r>
          <w:r>
            <w:instrText xml:space="preserve"> PAGEREF _Toc12675 \h </w:instrText>
          </w:r>
          <w:r>
            <w:fldChar w:fldCharType="separate"/>
          </w:r>
          <w:r>
            <w:t>556</w:t>
          </w:r>
          <w:r>
            <w:fldChar w:fldCharType="end"/>
          </w:r>
          <w:r>
            <w:fldChar w:fldCharType="end"/>
          </w:r>
        </w:p>
        <w:p w14:paraId="1C750D41">
          <w:r>
            <w:fldChar w:fldCharType="end"/>
          </w:r>
        </w:p>
      </w:sdtContent>
    </w:sdt>
    <w:p w14:paraId="518A2D89"/>
    <w:bookmarkEnd w:id="0"/>
    <w:p w14:paraId="3D01C014">
      <w:pPr>
        <w:rPr>
          <w:rFonts w:hint="eastAsia" w:ascii="等线" w:hAnsi="等线" w:eastAsia="等线" w:cs="等线"/>
          <w:b/>
          <w:bCs/>
          <w:sz w:val="44"/>
          <w:szCs w:val="44"/>
        </w:rPr>
      </w:pPr>
      <w:r>
        <w:rPr>
          <w:rFonts w:hint="eastAsia" w:ascii="等线" w:hAnsi="等线" w:eastAsia="等线" w:cs="等线"/>
          <w:b/>
          <w:bCs/>
          <w:sz w:val="44"/>
          <w:szCs w:val="44"/>
        </w:rPr>
        <w:br w:type="page"/>
      </w:r>
    </w:p>
    <w:p w14:paraId="07329AE8">
      <w:pPr>
        <w:pStyle w:val="2"/>
        <w:tabs>
          <w:tab w:val="left" w:pos="720"/>
          <w:tab w:val="left" w:pos="2700"/>
        </w:tabs>
        <w:spacing w:line="360" w:lineRule="auto"/>
        <w:jc w:val="center"/>
      </w:pPr>
      <w:bookmarkStart w:id="1" w:name="_Toc4561"/>
      <w:bookmarkStart w:id="2" w:name="_Toc12481"/>
      <w:r>
        <w:rPr>
          <w:rFonts w:hint="eastAsia"/>
        </w:rPr>
        <w:t>《思想道德与法治》课程教学大纲</w:t>
      </w:r>
      <w:bookmarkEnd w:id="1"/>
      <w:bookmarkEnd w:id="2"/>
    </w:p>
    <w:p w14:paraId="3B6D6F61">
      <w:pPr>
        <w:spacing w:line="360" w:lineRule="auto"/>
        <w:jc w:val="center"/>
        <w:rPr>
          <w:rFonts w:ascii="Times New Roman" w:hAnsi="Times New Roman" w:eastAsia="宋体" w:cs="Times New Roman"/>
          <w:sz w:val="28"/>
          <w:szCs w:val="28"/>
        </w:rPr>
      </w:pPr>
      <w:r>
        <w:rPr>
          <w:rFonts w:ascii="Times New Roman" w:hAnsi="Times New Roman" w:eastAsia="宋体" w:cs="Times New Roman"/>
          <w:b/>
          <w:bCs/>
          <w:sz w:val="28"/>
          <w:szCs w:val="28"/>
        </w:rPr>
        <w:t>（Ideological Morality and Rule of Law）</w:t>
      </w:r>
    </w:p>
    <w:p w14:paraId="70569F72">
      <w:pPr>
        <w:spacing w:line="360" w:lineRule="auto"/>
        <w:jc w:val="center"/>
        <w:rPr>
          <w:rFonts w:ascii="Times New Roman" w:hAnsi="Times New Roman" w:eastAsia="黑体" w:cs="Times New Roman"/>
          <w:bCs/>
          <w:sz w:val="30"/>
        </w:rPr>
      </w:pPr>
    </w:p>
    <w:p w14:paraId="462FD5FE">
      <w:pPr>
        <w:spacing w:line="360" w:lineRule="auto"/>
        <w:ind w:firstLine="482" w:firstLineChars="200"/>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课程名称：思想道德与法治</w:t>
      </w:r>
    </w:p>
    <w:p w14:paraId="34315B99">
      <w:pPr>
        <w:spacing w:line="360" w:lineRule="auto"/>
        <w:ind w:firstLine="482" w:firstLineChars="200"/>
        <w:rPr>
          <w:rFonts w:ascii="Times New Roman" w:hAnsi="Times New Roman" w:eastAsia="宋体" w:cs="Times New Roman"/>
          <w:b/>
          <w:bCs/>
          <w:sz w:val="28"/>
          <w:szCs w:val="28"/>
        </w:rPr>
      </w:pPr>
      <w:r>
        <w:rPr>
          <w:rFonts w:ascii="Times New Roman" w:hAnsi="Times New Roman" w:eastAsia="宋体" w:cs="Times New Roman"/>
          <w:b/>
          <w:bCs/>
          <w:kern w:val="0"/>
          <w:sz w:val="24"/>
        </w:rPr>
        <w:t>课程代码：</w:t>
      </w:r>
      <w:r>
        <w:rPr>
          <w:rFonts w:hint="eastAsia" w:ascii="Times New Roman" w:hAnsi="Times New Roman" w:eastAsia="宋体" w:cs="Times New Roman"/>
          <w:b/>
          <w:bCs/>
          <w:kern w:val="0"/>
          <w:sz w:val="24"/>
        </w:rPr>
        <w:t>10010</w:t>
      </w:r>
      <w:r>
        <w:rPr>
          <w:rFonts w:ascii="Times New Roman" w:hAnsi="Times New Roman" w:eastAsia="宋体" w:cs="Times New Roman"/>
          <w:b/>
          <w:bCs/>
          <w:kern w:val="0"/>
          <w:sz w:val="24"/>
        </w:rPr>
        <w:t>3</w:t>
      </w:r>
      <w:r>
        <w:rPr>
          <w:rFonts w:hint="eastAsia" w:ascii="Times New Roman" w:hAnsi="Times New Roman" w:eastAsia="宋体" w:cs="Times New Roman"/>
          <w:b/>
          <w:bCs/>
          <w:kern w:val="0"/>
          <w:sz w:val="24"/>
        </w:rPr>
        <w:t>1</w:t>
      </w:r>
    </w:p>
    <w:p w14:paraId="6493CCC1">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分：</w:t>
      </w:r>
      <w:r>
        <w:rPr>
          <w:rFonts w:hint="eastAsia" w:ascii="Times New Roman" w:hAnsi="Times New Roman" w:eastAsia="宋体" w:cs="Times New Roman"/>
          <w:b/>
          <w:bCs/>
          <w:kern w:val="0"/>
          <w:sz w:val="24"/>
        </w:rPr>
        <w:t>3</w:t>
      </w:r>
    </w:p>
    <w:p w14:paraId="1522EF98">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时：</w:t>
      </w:r>
      <w:r>
        <w:rPr>
          <w:rFonts w:hint="eastAsia" w:ascii="Times New Roman" w:hAnsi="Times New Roman" w:eastAsia="宋体" w:cs="Times New Roman"/>
          <w:b/>
          <w:bCs/>
          <w:kern w:val="0"/>
          <w:sz w:val="24"/>
        </w:rPr>
        <w:t>48</w:t>
      </w:r>
      <w:r>
        <w:rPr>
          <w:rFonts w:ascii="Times New Roman" w:hAnsi="Times New Roman" w:eastAsia="宋体" w:cs="Times New Roman"/>
          <w:b/>
          <w:bCs/>
          <w:kern w:val="0"/>
          <w:sz w:val="24"/>
        </w:rPr>
        <w:t xml:space="preserve"> </w:t>
      </w:r>
      <w:r>
        <w:rPr>
          <w:rFonts w:hint="eastAsia" w:ascii="Times New Roman" w:hAnsi="Times New Roman" w:eastAsia="宋体" w:cs="Times New Roman"/>
          <w:b/>
          <w:bCs/>
          <w:kern w:val="0"/>
          <w:sz w:val="24"/>
        </w:rPr>
        <w:t>（其中：讲授学时42， 实践学时6）</w:t>
      </w:r>
    </w:p>
    <w:p w14:paraId="784E47C6">
      <w:pPr>
        <w:spacing w:line="360"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先修课程：</w:t>
      </w:r>
      <w:r>
        <w:rPr>
          <w:rFonts w:hint="eastAsia" w:ascii="宋体" w:hAnsi="宋体" w:eastAsia="宋体" w:cs="Times New Roman"/>
          <w:b/>
          <w:bCs/>
          <w:kern w:val="0"/>
          <w:sz w:val="24"/>
        </w:rPr>
        <w:t>无</w:t>
      </w:r>
    </w:p>
    <w:p w14:paraId="6E24618D">
      <w:pPr>
        <w:spacing w:line="360"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适用专业：</w:t>
      </w:r>
      <w:r>
        <w:rPr>
          <w:rFonts w:hint="eastAsia" w:ascii="宋体" w:hAnsi="宋体" w:eastAsia="宋体" w:cs="Times New Roman"/>
          <w:b/>
          <w:bCs/>
          <w:kern w:val="0"/>
          <w:sz w:val="24"/>
        </w:rPr>
        <w:t>小学教育</w:t>
      </w:r>
    </w:p>
    <w:p w14:paraId="04BF4A59">
      <w:pPr>
        <w:spacing w:line="360" w:lineRule="auto"/>
        <w:ind w:firstLine="482" w:firstLineChars="200"/>
        <w:rPr>
          <w:rFonts w:ascii="Times New Roman" w:hAnsi="Times New Roman" w:eastAsia="宋体" w:cs="Times New Roman"/>
          <w:b/>
          <w:bCs/>
          <w:kern w:val="0"/>
          <w:sz w:val="24"/>
        </w:rPr>
      </w:pPr>
    </w:p>
    <w:p w14:paraId="3993F001">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7B6B2EA0">
      <w:pPr>
        <w:spacing w:line="360"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kern w:val="0"/>
          <w:szCs w:val="21"/>
        </w:rPr>
        <w:t>本课程是面向小学教育专业开设的通识必修课。通过本课程的学习，培养学生了解中华民族的传统美德和社会主义核心价值体系的基本内容，掌握以爱国主义为核心的民族精神和以改革创新为核心的时代精神实质，认识建设社会主义法治体系的基本内涵和重要意义，坚定科学的理想信念，树立正确的人生观和价值观，培养良好的思想道德素质和法律素质，加强自我修养，从而成为德智体美劳全面发展的社会主义事业的合格建设者和可靠接班人。</w:t>
      </w:r>
    </w:p>
    <w:p w14:paraId="59E8AF47">
      <w:pPr>
        <w:spacing w:line="360" w:lineRule="auto"/>
        <w:jc w:val="left"/>
        <w:rPr>
          <w:rFonts w:hint="eastAsia" w:ascii="宋体" w:hAnsi="宋体" w:eastAsia="宋体" w:cs="Times New Roman"/>
          <w:b/>
          <w:color w:val="000000"/>
          <w:sz w:val="24"/>
        </w:rPr>
      </w:pPr>
    </w:p>
    <w:p w14:paraId="4E991A13">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628A183A">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6D0544A">
      <w:pPr>
        <w:snapToGrid w:val="0"/>
        <w:spacing w:line="360" w:lineRule="auto"/>
        <w:ind w:firstLine="413" w:firstLineChars="196"/>
        <w:rPr>
          <w:rFonts w:hint="eastAsia" w:ascii="宋体" w:hAnsi="宋体" w:eastAsia="宋体"/>
          <w:kern w:val="0"/>
          <w:szCs w:val="21"/>
        </w:rPr>
      </w:pPr>
      <w:r>
        <w:rPr>
          <w:rFonts w:hint="eastAsia" w:ascii="宋体" w:hAnsi="宋体" w:eastAsia="宋体"/>
          <w:b/>
          <w:bCs/>
          <w:color w:val="000000"/>
          <w:kern w:val="0"/>
          <w:szCs w:val="21"/>
        </w:rPr>
        <w:t>目标1：</w:t>
      </w:r>
      <w:r>
        <w:rPr>
          <w:rFonts w:hint="eastAsia" w:ascii="宋体" w:hAnsi="宋体" w:eastAsia="宋体"/>
          <w:kern w:val="0"/>
          <w:szCs w:val="21"/>
        </w:rPr>
        <w:t>坚定科学的理想信念，树立正确的人生观和价值观，能够科学认识社会，理解和认同社会主义核心价值观。</w:t>
      </w:r>
    </w:p>
    <w:p w14:paraId="613E9850">
      <w:pPr>
        <w:snapToGrid w:val="0"/>
        <w:spacing w:line="360" w:lineRule="auto"/>
        <w:ind w:firstLine="413" w:firstLineChars="196"/>
        <w:rPr>
          <w:rFonts w:hint="eastAsia" w:ascii="宋体" w:hAnsi="宋体" w:eastAsia="宋体"/>
          <w:color w:val="000000"/>
          <w:kern w:val="0"/>
          <w:szCs w:val="21"/>
        </w:rPr>
      </w:pPr>
      <w:r>
        <w:rPr>
          <w:rFonts w:hint="eastAsia" w:ascii="宋体" w:hAnsi="宋体" w:eastAsia="宋体"/>
          <w:b/>
          <w:bCs/>
          <w:color w:val="000000"/>
          <w:kern w:val="0"/>
          <w:szCs w:val="21"/>
        </w:rPr>
        <w:t>目标2：</w:t>
      </w:r>
      <w:r>
        <w:rPr>
          <w:rFonts w:hint="eastAsia" w:ascii="Times New Roman" w:hAnsi="Times New Roman" w:eastAsia="宋体" w:cs="Times New Roman"/>
          <w:kern w:val="0"/>
          <w:szCs w:val="21"/>
        </w:rPr>
        <w:t>了解社会主义法治体系，</w:t>
      </w:r>
      <w:r>
        <w:rPr>
          <w:rFonts w:hint="eastAsia" w:ascii="宋体" w:hAnsi="宋体" w:eastAsia="宋体"/>
          <w:kern w:val="0"/>
          <w:szCs w:val="21"/>
        </w:rPr>
        <w:t>能够掌握与专业相关的法律规范，具备</w:t>
      </w:r>
      <w:r>
        <w:rPr>
          <w:rFonts w:hint="eastAsia" w:ascii="Times New Roman" w:hAnsi="Times New Roman" w:eastAsia="宋体" w:cs="Times New Roman"/>
          <w:kern w:val="0"/>
          <w:szCs w:val="21"/>
        </w:rPr>
        <w:t>良好的</w:t>
      </w:r>
      <w:r>
        <w:rPr>
          <w:rFonts w:hint="eastAsia" w:ascii="宋体" w:hAnsi="宋体" w:eastAsia="宋体"/>
          <w:kern w:val="0"/>
          <w:szCs w:val="21"/>
        </w:rPr>
        <w:t>法律素养。</w:t>
      </w:r>
    </w:p>
    <w:p w14:paraId="39661173">
      <w:pPr>
        <w:snapToGrid w:val="0"/>
        <w:spacing w:line="360" w:lineRule="auto"/>
        <w:ind w:firstLine="413" w:firstLineChars="196"/>
        <w:rPr>
          <w:rFonts w:hint="eastAsia" w:ascii="宋体" w:hAnsi="宋体" w:eastAsia="宋体"/>
          <w:b/>
          <w:bCs/>
          <w:kern w:val="0"/>
          <w:szCs w:val="21"/>
        </w:rPr>
      </w:pPr>
      <w:r>
        <w:rPr>
          <w:rFonts w:hint="eastAsia" w:ascii="宋体" w:hAnsi="宋体" w:eastAsia="宋体"/>
          <w:b/>
          <w:bCs/>
          <w:color w:val="000000"/>
          <w:kern w:val="0"/>
          <w:szCs w:val="21"/>
        </w:rPr>
        <w:t>目标3：</w:t>
      </w:r>
      <w:r>
        <w:rPr>
          <w:rFonts w:hint="eastAsia" w:ascii="Times New Roman" w:hAnsi="Times New Roman" w:eastAsia="宋体" w:cs="Times New Roman"/>
          <w:kern w:val="0"/>
          <w:szCs w:val="21"/>
        </w:rPr>
        <w:t>了解社会主义核心价值体系和社会主义道德规范，</w:t>
      </w:r>
      <w:r>
        <w:rPr>
          <w:rFonts w:hint="eastAsia" w:ascii="宋体" w:hAnsi="宋体" w:eastAsia="宋体"/>
          <w:kern w:val="0"/>
          <w:szCs w:val="21"/>
        </w:rPr>
        <w:t>具备良好的思想道德素质。</w:t>
      </w:r>
      <w:r>
        <w:rPr>
          <w:rFonts w:hint="eastAsia" w:ascii="宋体" w:hAnsi="宋体" w:eastAsia="宋体"/>
          <w:b/>
          <w:bCs/>
          <w:kern w:val="0"/>
          <w:szCs w:val="21"/>
        </w:rPr>
        <w:t xml:space="preserve"> </w:t>
      </w:r>
    </w:p>
    <w:p w14:paraId="1BB84132">
      <w:pPr>
        <w:snapToGrid w:val="0"/>
        <w:spacing w:line="360" w:lineRule="auto"/>
        <w:ind w:firstLine="413" w:firstLineChars="196"/>
        <w:rPr>
          <w:rFonts w:hint="eastAsia" w:ascii="宋体" w:hAnsi="宋体" w:eastAsia="宋体"/>
          <w:b/>
          <w:bCs/>
          <w:color w:val="000000"/>
          <w:kern w:val="0"/>
          <w:szCs w:val="21"/>
        </w:rPr>
      </w:pPr>
    </w:p>
    <w:p w14:paraId="06A9DB88">
      <w:pPr>
        <w:snapToGrid w:val="0"/>
        <w:spacing w:line="360" w:lineRule="auto"/>
        <w:ind w:firstLine="413" w:firstLineChars="196"/>
        <w:rPr>
          <w:rFonts w:hint="eastAsia" w:ascii="宋体" w:hAnsi="宋体" w:eastAsia="宋体"/>
          <w:b/>
          <w:bCs/>
          <w:color w:val="000000"/>
          <w:szCs w:val="21"/>
        </w:rPr>
      </w:pPr>
      <w:r>
        <w:rPr>
          <w:rFonts w:hint="eastAsia" w:ascii="宋体" w:hAnsi="宋体" w:eastAsia="宋体"/>
          <w:b/>
          <w:bCs/>
          <w:color w:val="000000"/>
          <w:szCs w:val="21"/>
        </w:rPr>
        <w:t>（二）</w:t>
      </w:r>
      <w:r>
        <w:rPr>
          <w:rFonts w:ascii="宋体" w:hAnsi="宋体" w:eastAsia="宋体"/>
          <w:b/>
          <w:bCs/>
          <w:color w:val="000000"/>
          <w:szCs w:val="21"/>
        </w:rPr>
        <w:t>课程目标</w:t>
      </w:r>
      <w:r>
        <w:rPr>
          <w:rFonts w:hint="eastAsia" w:ascii="宋体" w:hAnsi="宋体" w:eastAsia="宋体"/>
          <w:b/>
          <w:bCs/>
          <w:color w:val="000000"/>
          <w:szCs w:val="21"/>
        </w:rPr>
        <w:t>及其</w:t>
      </w:r>
      <w:r>
        <w:rPr>
          <w:rFonts w:ascii="宋体" w:hAnsi="宋体" w:eastAsia="宋体"/>
          <w:b/>
          <w:bCs/>
          <w:color w:val="000000"/>
          <w:szCs w:val="21"/>
        </w:rPr>
        <w:t>对毕业要求指标点的支撑</w:t>
      </w:r>
    </w:p>
    <w:tbl>
      <w:tblPr>
        <w:tblStyle w:val="14"/>
        <w:tblW w:w="8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2165"/>
        <w:gridCol w:w="5228"/>
        <w:gridCol w:w="1110"/>
      </w:tblGrid>
      <w:tr w14:paraId="5DAA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615" w:hRule="atLeast"/>
        </w:trPr>
        <w:tc>
          <w:tcPr>
            <w:tcW w:w="2165" w:type="dxa"/>
            <w:tcBorders>
              <w:top w:val="single" w:color="000000" w:sz="8" w:space="0"/>
              <w:left w:val="single" w:color="000000" w:sz="8" w:space="0"/>
              <w:bottom w:val="single" w:color="000000" w:sz="8" w:space="0"/>
              <w:right w:val="single" w:color="000000" w:sz="8" w:space="0"/>
            </w:tcBorders>
          </w:tcPr>
          <w:p w14:paraId="3D57A502">
            <w:pPr>
              <w:snapToGrid w:val="0"/>
              <w:spacing w:before="178"/>
              <w:ind w:left="112" w:right="102"/>
              <w:jc w:val="center"/>
              <w:rPr>
                <w:rFonts w:hint="eastAsia" w:ascii="宋体" w:hAnsi="宋体" w:eastAsia="宋体"/>
                <w:b/>
                <w:bCs/>
                <w:color w:val="000000"/>
                <w:kern w:val="0"/>
                <w:szCs w:val="21"/>
              </w:rPr>
            </w:pPr>
            <w:r>
              <w:rPr>
                <w:rFonts w:hint="eastAsia" w:ascii="宋体" w:hAnsi="宋体" w:eastAsia="宋体"/>
                <w:b/>
                <w:bCs/>
                <w:color w:val="000000"/>
                <w:kern w:val="0"/>
                <w:szCs w:val="21"/>
              </w:rPr>
              <w:t>毕业要求</w:t>
            </w:r>
          </w:p>
        </w:tc>
        <w:tc>
          <w:tcPr>
            <w:tcW w:w="5228" w:type="dxa"/>
            <w:tcBorders>
              <w:top w:val="single" w:color="000000" w:sz="8" w:space="0"/>
              <w:left w:val="single" w:color="000000" w:sz="8" w:space="0"/>
              <w:bottom w:val="single" w:color="000000" w:sz="8" w:space="0"/>
              <w:right w:val="single" w:color="000000" w:sz="8" w:space="0"/>
            </w:tcBorders>
          </w:tcPr>
          <w:p w14:paraId="666204D5">
            <w:pPr>
              <w:snapToGrid w:val="0"/>
              <w:spacing w:before="178"/>
              <w:ind w:left="442"/>
              <w:jc w:val="center"/>
              <w:rPr>
                <w:rFonts w:hint="eastAsia" w:ascii="宋体" w:hAnsi="宋体" w:eastAsia="宋体"/>
                <w:b/>
                <w:bCs/>
                <w:color w:val="000000"/>
                <w:kern w:val="0"/>
                <w:szCs w:val="21"/>
              </w:rPr>
            </w:pPr>
            <w:r>
              <w:rPr>
                <w:rFonts w:ascii="宋体" w:hAnsi="宋体" w:eastAsia="宋体"/>
                <w:b/>
                <w:bCs/>
                <w:color w:val="000000"/>
                <w:kern w:val="0"/>
                <w:szCs w:val="21"/>
              </w:rPr>
              <w:t>支撑毕业要求指标点</w:t>
            </w:r>
          </w:p>
        </w:tc>
        <w:tc>
          <w:tcPr>
            <w:tcW w:w="1110" w:type="dxa"/>
            <w:tcBorders>
              <w:top w:val="single" w:color="000000" w:sz="8" w:space="0"/>
              <w:left w:val="single" w:color="000000" w:sz="8" w:space="0"/>
              <w:bottom w:val="single" w:color="000000" w:sz="8" w:space="0"/>
              <w:right w:val="single" w:color="000000" w:sz="8" w:space="0"/>
            </w:tcBorders>
          </w:tcPr>
          <w:p w14:paraId="596047AE">
            <w:pPr>
              <w:snapToGrid w:val="0"/>
              <w:spacing w:before="178"/>
              <w:ind w:left="64" w:right="60"/>
              <w:jc w:val="center"/>
              <w:rPr>
                <w:rFonts w:hint="eastAsia" w:ascii="宋体" w:hAnsi="宋体" w:eastAsia="宋体"/>
                <w:b/>
                <w:bCs/>
                <w:color w:val="000000"/>
                <w:kern w:val="0"/>
                <w:szCs w:val="21"/>
              </w:rPr>
            </w:pPr>
            <w:r>
              <w:rPr>
                <w:rFonts w:hint="eastAsia" w:ascii="宋体" w:hAnsi="宋体" w:eastAsia="宋体"/>
                <w:b/>
                <w:bCs/>
                <w:color w:val="000000"/>
                <w:kern w:val="0"/>
                <w:szCs w:val="21"/>
              </w:rPr>
              <w:t>课程目标</w:t>
            </w:r>
          </w:p>
        </w:tc>
      </w:tr>
      <w:tr w14:paraId="76A1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69" w:hRule="atLeast"/>
        </w:trPr>
        <w:tc>
          <w:tcPr>
            <w:tcW w:w="2165" w:type="dxa"/>
            <w:tcBorders>
              <w:top w:val="single" w:color="000000" w:sz="8" w:space="0"/>
              <w:left w:val="single" w:color="000000" w:sz="8" w:space="0"/>
              <w:bottom w:val="single" w:color="000000" w:sz="8" w:space="0"/>
              <w:right w:val="single" w:color="000000" w:sz="8" w:space="0"/>
            </w:tcBorders>
            <w:vAlign w:val="center"/>
          </w:tcPr>
          <w:p w14:paraId="787DA6BD">
            <w:pPr>
              <w:snapToGrid w:val="0"/>
              <w:jc w:val="center"/>
              <w:rPr>
                <w:rFonts w:hint="eastAsia" w:ascii="宋体" w:hAnsi="宋体" w:eastAsia="宋体"/>
                <w:color w:val="000000"/>
                <w:kern w:val="0"/>
                <w:szCs w:val="21"/>
              </w:rPr>
            </w:pPr>
            <w:r>
              <w:rPr>
                <w:rFonts w:hint="eastAsia" w:ascii="Times New Roman" w:hAnsi="Times New Roman" w:eastAsia="宋体" w:cs="Times New Roman"/>
                <w:b/>
                <w:bCs/>
                <w:szCs w:val="21"/>
              </w:rPr>
              <w:t>毕业要求1：师德规范</w:t>
            </w:r>
          </w:p>
        </w:tc>
        <w:tc>
          <w:tcPr>
            <w:tcW w:w="5228" w:type="dxa"/>
            <w:tcBorders>
              <w:top w:val="single" w:color="000000" w:sz="8" w:space="0"/>
              <w:left w:val="single" w:color="000000" w:sz="8" w:space="0"/>
              <w:bottom w:val="single" w:color="000000" w:sz="8" w:space="0"/>
              <w:right w:val="single" w:color="000000" w:sz="8" w:space="0"/>
            </w:tcBorders>
            <w:vAlign w:val="center"/>
          </w:tcPr>
          <w:p w14:paraId="077290D5">
            <w:pPr>
              <w:snapToGrid w:val="0"/>
              <w:ind w:left="1" w:hanging="1"/>
              <w:jc w:val="left"/>
              <w:rPr>
                <w:rFonts w:hint="eastAsia" w:ascii="宋体" w:hAnsi="宋体" w:eastAsia="宋体"/>
                <w:color w:val="000000"/>
                <w:kern w:val="0"/>
                <w:szCs w:val="21"/>
              </w:rPr>
            </w:pPr>
            <w:r>
              <w:rPr>
                <w:rFonts w:hint="eastAsia" w:ascii="宋体" w:hAnsi="宋体" w:eastAsia="宋体"/>
                <w:b/>
                <w:bCs/>
                <w:color w:val="000000"/>
                <w:kern w:val="0"/>
                <w:szCs w:val="21"/>
              </w:rPr>
              <w:t>指标点1-1：</w:t>
            </w:r>
            <w:r>
              <w:rPr>
                <w:rFonts w:hint="eastAsia" w:ascii="宋体" w:hAnsi="宋体" w:eastAsia="宋体"/>
                <w:color w:val="000000"/>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10" w:type="dxa"/>
            <w:tcBorders>
              <w:top w:val="single" w:color="000000" w:sz="8" w:space="0"/>
              <w:left w:val="single" w:color="000000" w:sz="8" w:space="0"/>
              <w:bottom w:val="single" w:color="000000" w:sz="8" w:space="0"/>
              <w:right w:val="single" w:color="000000" w:sz="8" w:space="0"/>
            </w:tcBorders>
            <w:vAlign w:val="center"/>
          </w:tcPr>
          <w:p w14:paraId="512AEBB5">
            <w:pPr>
              <w:snapToGrid w:val="0"/>
              <w:jc w:val="center"/>
              <w:rPr>
                <w:rFonts w:hint="eastAsia" w:ascii="宋体" w:hAnsi="宋体" w:eastAsia="宋体"/>
                <w:color w:val="000000"/>
                <w:kern w:val="0"/>
                <w:szCs w:val="21"/>
              </w:rPr>
            </w:pPr>
            <w:r>
              <w:rPr>
                <w:rFonts w:hint="eastAsia" w:ascii="Times New Roman" w:hAnsi="Times New Roman" w:eastAsia="宋体" w:cs="Times New Roman"/>
                <w:szCs w:val="21"/>
              </w:rPr>
              <w:t>课程目标1</w:t>
            </w:r>
          </w:p>
        </w:tc>
      </w:tr>
      <w:tr w14:paraId="0ADD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712" w:hRule="atLeast"/>
        </w:trPr>
        <w:tc>
          <w:tcPr>
            <w:tcW w:w="2165" w:type="dxa"/>
            <w:tcBorders>
              <w:top w:val="single" w:color="000000" w:sz="8" w:space="0"/>
              <w:left w:val="single" w:color="000000" w:sz="8" w:space="0"/>
              <w:bottom w:val="single" w:color="000000" w:sz="8" w:space="0"/>
              <w:right w:val="single" w:color="000000" w:sz="8" w:space="0"/>
            </w:tcBorders>
            <w:vAlign w:val="center"/>
          </w:tcPr>
          <w:p w14:paraId="27B9666B">
            <w:pPr>
              <w:snapToGrid w:val="0"/>
              <w:jc w:val="center"/>
              <w:rPr>
                <w:rFonts w:hint="eastAsia" w:ascii="宋体" w:hAnsi="宋体" w:eastAsia="宋体"/>
                <w:color w:val="000000"/>
                <w:kern w:val="0"/>
                <w:szCs w:val="21"/>
              </w:rPr>
            </w:pPr>
            <w:r>
              <w:rPr>
                <w:rFonts w:hint="eastAsia" w:ascii="Times New Roman" w:hAnsi="Times New Roman" w:eastAsia="宋体" w:cs="Times New Roman"/>
                <w:b/>
                <w:bCs/>
                <w:szCs w:val="21"/>
              </w:rPr>
              <w:t>毕业要求1：师德规范</w:t>
            </w:r>
          </w:p>
        </w:tc>
        <w:tc>
          <w:tcPr>
            <w:tcW w:w="5228" w:type="dxa"/>
            <w:tcBorders>
              <w:top w:val="single" w:color="000000" w:sz="8" w:space="0"/>
              <w:left w:val="single" w:color="000000" w:sz="8" w:space="0"/>
              <w:bottom w:val="single" w:color="000000" w:sz="8" w:space="0"/>
              <w:right w:val="single" w:color="000000" w:sz="8" w:space="0"/>
            </w:tcBorders>
            <w:vAlign w:val="center"/>
          </w:tcPr>
          <w:p w14:paraId="0E9AD571">
            <w:pPr>
              <w:snapToGrid w:val="0"/>
              <w:ind w:left="1" w:hanging="1"/>
              <w:jc w:val="left"/>
              <w:rPr>
                <w:rFonts w:hint="eastAsia" w:ascii="宋体" w:hAnsi="宋体" w:eastAsia="宋体"/>
                <w:color w:val="000000"/>
                <w:kern w:val="0"/>
                <w:szCs w:val="21"/>
              </w:rPr>
            </w:pPr>
            <w:r>
              <w:rPr>
                <w:rFonts w:hint="eastAsia" w:ascii="宋体" w:hAnsi="宋体" w:eastAsia="宋体"/>
                <w:b/>
                <w:bCs/>
                <w:color w:val="000000"/>
                <w:kern w:val="0"/>
                <w:szCs w:val="21"/>
              </w:rPr>
              <w:t>指标点1-2：</w:t>
            </w:r>
            <w:r>
              <w:rPr>
                <w:rFonts w:hint="eastAsia" w:ascii="宋体" w:hAnsi="宋体" w:eastAsia="宋体"/>
                <w:color w:val="000000"/>
                <w:kern w:val="0"/>
                <w:szCs w:val="21"/>
              </w:rPr>
              <w:t xml:space="preserve">【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 </w:t>
            </w:r>
          </w:p>
        </w:tc>
        <w:tc>
          <w:tcPr>
            <w:tcW w:w="1110" w:type="dxa"/>
            <w:tcBorders>
              <w:top w:val="single" w:color="000000" w:sz="8" w:space="0"/>
              <w:left w:val="single" w:color="000000" w:sz="8" w:space="0"/>
              <w:bottom w:val="single" w:color="000000" w:sz="8" w:space="0"/>
              <w:right w:val="single" w:color="000000" w:sz="8" w:space="0"/>
            </w:tcBorders>
            <w:vAlign w:val="center"/>
          </w:tcPr>
          <w:p w14:paraId="64FAF6DD">
            <w:pPr>
              <w:snapToGrid w:val="0"/>
              <w:jc w:val="center"/>
              <w:rPr>
                <w:rFonts w:hint="eastAsia" w:ascii="宋体" w:hAnsi="宋体" w:eastAsia="宋体"/>
                <w:color w:val="000000"/>
                <w:kern w:val="0"/>
                <w:szCs w:val="21"/>
              </w:rPr>
            </w:pPr>
            <w:r>
              <w:rPr>
                <w:rFonts w:hint="eastAsia" w:ascii="Times New Roman" w:hAnsi="Times New Roman" w:eastAsia="宋体" w:cs="Times New Roman"/>
                <w:szCs w:val="21"/>
              </w:rPr>
              <w:t>课程目标2</w:t>
            </w:r>
          </w:p>
        </w:tc>
      </w:tr>
      <w:tr w14:paraId="23A9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193" w:hRule="atLeast"/>
        </w:trPr>
        <w:tc>
          <w:tcPr>
            <w:tcW w:w="21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C21558">
            <w:pPr>
              <w:widowControl/>
              <w:spacing w:line="340" w:lineRule="exact"/>
              <w:rPr>
                <w:b/>
                <w:bCs/>
                <w:szCs w:val="23"/>
              </w:rPr>
            </w:pPr>
            <w:r>
              <w:rPr>
                <w:b/>
                <w:bCs/>
                <w:color w:val="000000"/>
                <w:kern w:val="0"/>
                <w:szCs w:val="21"/>
              </w:rPr>
              <w:t>毕业要求2：</w:t>
            </w:r>
            <w:r>
              <w:rPr>
                <w:b/>
                <w:bCs/>
                <w:szCs w:val="23"/>
              </w:rPr>
              <w:t>教育情怀</w:t>
            </w:r>
          </w:p>
          <w:p w14:paraId="78B9D2F7">
            <w:pPr>
              <w:snapToGrid w:val="0"/>
              <w:jc w:val="center"/>
              <w:rPr>
                <w:rFonts w:ascii="Times New Roman" w:hAnsi="Times New Roman" w:eastAsia="宋体" w:cs="Times New Roman"/>
                <w:b/>
                <w:bCs/>
                <w:szCs w:val="21"/>
              </w:rPr>
            </w:pPr>
          </w:p>
        </w:tc>
        <w:tc>
          <w:tcPr>
            <w:tcW w:w="52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DF538E">
            <w:pPr>
              <w:snapToGrid w:val="0"/>
              <w:ind w:left="1" w:hanging="1"/>
              <w:jc w:val="left"/>
              <w:rPr>
                <w:rFonts w:hint="eastAsia" w:ascii="宋体" w:hAnsi="宋体" w:eastAsia="宋体"/>
                <w:b/>
                <w:bCs/>
                <w:color w:val="000000"/>
                <w:kern w:val="0"/>
                <w:szCs w:val="21"/>
              </w:rPr>
            </w:pPr>
            <w:r>
              <w:rPr>
                <w:rFonts w:hint="eastAsia" w:ascii="宋体" w:hAnsi="宋体" w:eastAsia="宋体"/>
                <w:b/>
                <w:bCs/>
                <w:color w:val="000000"/>
                <w:kern w:val="0"/>
                <w:szCs w:val="21"/>
              </w:rPr>
              <w:t>指标点2-3：</w:t>
            </w:r>
            <w:r>
              <w:rPr>
                <w:rFonts w:hint="eastAsia" w:ascii="宋体" w:hAnsi="宋体" w:eastAsia="宋体"/>
                <w:color w:val="000000"/>
                <w:kern w:val="0"/>
                <w:szCs w:val="21"/>
              </w:rPr>
              <w:t>【自身修养良好】具有较好的人文艺术底蕴与科学精神，言行举止符合教师职业标准，情感积极，人格健全，身心健康。</w:t>
            </w:r>
          </w:p>
        </w:tc>
        <w:tc>
          <w:tcPr>
            <w:tcW w:w="11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9531F3">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4A51CC42">
      <w:pPr>
        <w:snapToGrid w:val="0"/>
        <w:spacing w:line="360" w:lineRule="auto"/>
        <w:rPr>
          <w:rFonts w:hint="eastAsia" w:ascii="宋体" w:hAnsi="宋体" w:eastAsia="宋体"/>
          <w:b/>
          <w:bCs/>
          <w:color w:val="000000"/>
          <w:sz w:val="28"/>
          <w:szCs w:val="28"/>
        </w:rPr>
      </w:pPr>
    </w:p>
    <w:p w14:paraId="3F15D0E6">
      <w:pPr>
        <w:snapToGrid w:val="0"/>
        <w:spacing w:line="360" w:lineRule="auto"/>
        <w:rPr>
          <w:rFonts w:hint="eastAsia" w:ascii="宋体" w:hAnsi="宋体" w:eastAsia="宋体"/>
          <w:b/>
          <w:bCs/>
          <w:color w:val="000000"/>
          <w:sz w:val="24"/>
        </w:rPr>
      </w:pPr>
      <w:r>
        <w:rPr>
          <w:rFonts w:ascii="宋体" w:hAnsi="宋体" w:eastAsia="宋体"/>
          <w:b/>
          <w:bCs/>
          <w:color w:val="000000"/>
          <w:sz w:val="24"/>
        </w:rPr>
        <w:t>三、课程内容及要求</w:t>
      </w:r>
    </w:p>
    <w:tbl>
      <w:tblPr>
        <w:tblStyle w:val="13"/>
        <w:tblW w:w="1092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97"/>
        <w:gridCol w:w="2577"/>
        <w:gridCol w:w="1082"/>
        <w:gridCol w:w="3586"/>
        <w:gridCol w:w="1571"/>
        <w:gridCol w:w="708"/>
      </w:tblGrid>
      <w:tr w14:paraId="0BACB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42FBE7FD">
            <w:pPr>
              <w:jc w:val="center"/>
              <w:rPr>
                <w:rFonts w:hint="eastAsia" w:ascii="宋体" w:hAnsi="宋体" w:eastAsia="宋体" w:cs="宋体"/>
                <w:b/>
                <w:bCs/>
                <w:szCs w:val="21"/>
              </w:rPr>
            </w:pPr>
            <w:r>
              <w:rPr>
                <w:rFonts w:hint="eastAsia" w:ascii="宋体" w:hAnsi="宋体" w:eastAsia="宋体" w:cs="宋体"/>
                <w:b/>
                <w:bCs/>
                <w:szCs w:val="21"/>
              </w:rPr>
              <w:t>知识单元</w:t>
            </w:r>
          </w:p>
        </w:tc>
        <w:tc>
          <w:tcPr>
            <w:tcW w:w="2577" w:type="dxa"/>
            <w:shd w:val="clear" w:color="auto" w:fill="auto"/>
            <w:vAlign w:val="center"/>
          </w:tcPr>
          <w:p w14:paraId="54FFA5FB">
            <w:pPr>
              <w:jc w:val="center"/>
              <w:rPr>
                <w:rFonts w:hint="eastAsia" w:ascii="宋体" w:hAnsi="宋体" w:eastAsia="宋体" w:cs="宋体"/>
                <w:b/>
                <w:bCs/>
                <w:szCs w:val="21"/>
              </w:rPr>
            </w:pPr>
            <w:r>
              <w:rPr>
                <w:rFonts w:hint="eastAsia" w:ascii="宋体" w:hAnsi="宋体" w:eastAsia="宋体" w:cs="宋体"/>
                <w:b/>
                <w:bCs/>
                <w:szCs w:val="21"/>
              </w:rPr>
              <w:t>知识点</w:t>
            </w:r>
          </w:p>
        </w:tc>
        <w:tc>
          <w:tcPr>
            <w:tcW w:w="1082" w:type="dxa"/>
            <w:shd w:val="clear" w:color="auto" w:fill="auto"/>
            <w:vAlign w:val="center"/>
          </w:tcPr>
          <w:p w14:paraId="6E8F7C8D">
            <w:pPr>
              <w:jc w:val="center"/>
              <w:rPr>
                <w:rFonts w:hint="eastAsia" w:ascii="宋体" w:hAnsi="宋体" w:eastAsia="宋体" w:cs="宋体"/>
                <w:b/>
                <w:color w:val="000000"/>
                <w:szCs w:val="21"/>
              </w:rPr>
            </w:pPr>
            <w:r>
              <w:rPr>
                <w:rFonts w:hint="eastAsia" w:ascii="宋体" w:hAnsi="宋体" w:eastAsia="宋体" w:cs="宋体"/>
                <w:b/>
                <w:color w:val="000000"/>
                <w:szCs w:val="21"/>
              </w:rPr>
              <w:t>对应</w:t>
            </w:r>
          </w:p>
          <w:p w14:paraId="11AA1C6B">
            <w:pPr>
              <w:jc w:val="center"/>
              <w:rPr>
                <w:rFonts w:hint="eastAsia" w:ascii="宋体" w:hAnsi="宋体" w:eastAsia="宋体" w:cs="宋体"/>
                <w:b/>
                <w:bCs/>
                <w:szCs w:val="21"/>
              </w:rPr>
            </w:pPr>
            <w:r>
              <w:rPr>
                <w:rFonts w:hint="eastAsia" w:ascii="宋体" w:hAnsi="宋体" w:eastAsia="宋体" w:cs="宋体"/>
                <w:b/>
                <w:color w:val="000000"/>
                <w:szCs w:val="21"/>
              </w:rPr>
              <w:t>课程目标</w:t>
            </w:r>
          </w:p>
        </w:tc>
        <w:tc>
          <w:tcPr>
            <w:tcW w:w="3586" w:type="dxa"/>
            <w:shd w:val="clear" w:color="auto" w:fill="auto"/>
            <w:vAlign w:val="center"/>
          </w:tcPr>
          <w:p w14:paraId="4610FDA0">
            <w:pPr>
              <w:jc w:val="center"/>
              <w:rPr>
                <w:rFonts w:hint="eastAsia" w:ascii="宋体" w:hAnsi="宋体" w:eastAsia="宋体" w:cs="宋体"/>
                <w:b/>
                <w:bCs/>
                <w:szCs w:val="21"/>
              </w:rPr>
            </w:pPr>
            <w:r>
              <w:rPr>
                <w:rFonts w:hint="eastAsia" w:ascii="宋体" w:hAnsi="宋体" w:eastAsia="宋体" w:cs="宋体"/>
                <w:b/>
                <w:bCs/>
                <w:szCs w:val="21"/>
              </w:rPr>
              <w:t>预期学习成效</w:t>
            </w:r>
          </w:p>
        </w:tc>
        <w:tc>
          <w:tcPr>
            <w:tcW w:w="1571" w:type="dxa"/>
            <w:shd w:val="clear" w:color="auto" w:fill="auto"/>
            <w:vAlign w:val="center"/>
          </w:tcPr>
          <w:p w14:paraId="14DECB47">
            <w:pPr>
              <w:jc w:val="center"/>
              <w:rPr>
                <w:rFonts w:hint="eastAsia" w:ascii="宋体" w:hAnsi="宋体" w:eastAsia="宋体" w:cs="宋体"/>
                <w:b/>
                <w:bCs/>
                <w:szCs w:val="21"/>
              </w:rPr>
            </w:pPr>
            <w:r>
              <w:rPr>
                <w:rFonts w:hint="eastAsia" w:ascii="宋体" w:hAnsi="宋体" w:eastAsia="宋体" w:cs="宋体"/>
                <w:b/>
                <w:bCs/>
                <w:szCs w:val="21"/>
              </w:rPr>
              <w:t>实现</w:t>
            </w:r>
          </w:p>
          <w:p w14:paraId="422928B4">
            <w:pPr>
              <w:jc w:val="center"/>
              <w:rPr>
                <w:rFonts w:hint="eastAsia" w:ascii="宋体" w:hAnsi="宋体" w:eastAsia="宋体" w:cs="宋体"/>
                <w:b/>
                <w:bCs/>
                <w:szCs w:val="21"/>
              </w:rPr>
            </w:pPr>
            <w:r>
              <w:rPr>
                <w:rFonts w:hint="eastAsia" w:ascii="宋体" w:hAnsi="宋体" w:eastAsia="宋体" w:cs="宋体"/>
                <w:b/>
                <w:bCs/>
                <w:szCs w:val="21"/>
              </w:rPr>
              <w:t>环节</w:t>
            </w:r>
          </w:p>
        </w:tc>
        <w:tc>
          <w:tcPr>
            <w:tcW w:w="708" w:type="dxa"/>
            <w:shd w:val="clear" w:color="auto" w:fill="auto"/>
            <w:vAlign w:val="center"/>
          </w:tcPr>
          <w:p w14:paraId="400B46ED">
            <w:pPr>
              <w:jc w:val="center"/>
              <w:rPr>
                <w:rFonts w:hint="eastAsia" w:ascii="宋体" w:hAnsi="宋体" w:eastAsia="宋体" w:cs="宋体"/>
                <w:b/>
                <w:bCs/>
                <w:szCs w:val="21"/>
              </w:rPr>
            </w:pPr>
            <w:r>
              <w:rPr>
                <w:rFonts w:hint="eastAsia" w:ascii="宋体" w:hAnsi="宋体" w:eastAsia="宋体" w:cs="宋体"/>
                <w:b/>
                <w:bCs/>
                <w:szCs w:val="21"/>
              </w:rPr>
              <w:t>学时</w:t>
            </w:r>
          </w:p>
        </w:tc>
      </w:tr>
      <w:tr w14:paraId="131D5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27" w:hRule="atLeast"/>
          <w:jc w:val="center"/>
        </w:trPr>
        <w:tc>
          <w:tcPr>
            <w:tcW w:w="1397" w:type="dxa"/>
            <w:shd w:val="clear" w:color="auto" w:fill="auto"/>
            <w:vAlign w:val="center"/>
          </w:tcPr>
          <w:p w14:paraId="7C94A4D3">
            <w:pPr>
              <w:adjustRightInd w:val="0"/>
              <w:snapToGrid w:val="0"/>
              <w:jc w:val="center"/>
              <w:rPr>
                <w:rFonts w:hint="eastAsia" w:ascii="宋体" w:hAnsi="宋体" w:eastAsia="宋体" w:cs="宋体"/>
                <w:szCs w:val="21"/>
              </w:rPr>
            </w:pPr>
            <w:r>
              <w:rPr>
                <w:rFonts w:hint="eastAsia" w:ascii="宋体" w:hAnsi="宋体" w:eastAsia="宋体" w:cs="宋体"/>
                <w:bCs/>
                <w:szCs w:val="21"/>
              </w:rPr>
              <w:t>绪论 担当复兴大任 成就时代新人</w:t>
            </w:r>
          </w:p>
        </w:tc>
        <w:tc>
          <w:tcPr>
            <w:tcW w:w="2577" w:type="dxa"/>
            <w:shd w:val="clear" w:color="auto" w:fill="auto"/>
            <w:vAlign w:val="center"/>
          </w:tcPr>
          <w:p w14:paraId="6D8434CD">
            <w:pPr>
              <w:adjustRightInd w:val="0"/>
              <w:snapToGrid w:val="0"/>
              <w:rPr>
                <w:rFonts w:hint="eastAsia" w:ascii="宋体" w:hAnsi="宋体" w:eastAsia="宋体" w:cs="宋体"/>
                <w:szCs w:val="21"/>
              </w:rPr>
            </w:pPr>
            <w:r>
              <w:rPr>
                <w:rFonts w:hint="eastAsia" w:ascii="宋体" w:hAnsi="宋体" w:eastAsia="宋体" w:cs="宋体"/>
                <w:szCs w:val="21"/>
              </w:rPr>
              <w:t>（1）我们处在中国特色社会主义新时代</w:t>
            </w:r>
          </w:p>
          <w:p w14:paraId="03EA89F2">
            <w:pPr>
              <w:adjustRightInd w:val="0"/>
              <w:snapToGrid w:val="0"/>
              <w:rPr>
                <w:rFonts w:hint="eastAsia" w:ascii="宋体" w:hAnsi="宋体" w:eastAsia="宋体" w:cs="宋体"/>
                <w:szCs w:val="21"/>
              </w:rPr>
            </w:pPr>
            <w:r>
              <w:rPr>
                <w:rFonts w:hint="eastAsia" w:ascii="宋体" w:hAnsi="宋体" w:eastAsia="宋体" w:cs="宋体"/>
                <w:szCs w:val="21"/>
              </w:rPr>
              <w:t>（2）新时代呼唤民族复兴大任的时代新人</w:t>
            </w:r>
          </w:p>
          <w:p w14:paraId="57BACAED">
            <w:pPr>
              <w:adjustRightInd w:val="0"/>
              <w:snapToGrid w:val="0"/>
              <w:rPr>
                <w:rFonts w:hint="eastAsia" w:ascii="宋体" w:hAnsi="宋体" w:eastAsia="宋体" w:cs="宋体"/>
                <w:szCs w:val="21"/>
              </w:rPr>
            </w:pPr>
            <w:r>
              <w:rPr>
                <w:rFonts w:hint="eastAsia" w:ascii="宋体" w:hAnsi="宋体" w:eastAsia="宋体" w:cs="宋体"/>
                <w:szCs w:val="21"/>
              </w:rPr>
              <w:t>（3）不断提升思想道德素质和法治素养</w:t>
            </w:r>
          </w:p>
          <w:p w14:paraId="3407C0E9">
            <w:pPr>
              <w:adjustRightInd w:val="0"/>
              <w:snapToGrid w:val="0"/>
              <w:rPr>
                <w:rFonts w:hint="eastAsia" w:ascii="宋体" w:hAnsi="宋体" w:eastAsia="宋体" w:cs="宋体"/>
                <w:szCs w:val="21"/>
              </w:rPr>
            </w:pPr>
          </w:p>
        </w:tc>
        <w:tc>
          <w:tcPr>
            <w:tcW w:w="1082" w:type="dxa"/>
            <w:shd w:val="clear" w:color="auto" w:fill="auto"/>
            <w:vAlign w:val="center"/>
          </w:tcPr>
          <w:p w14:paraId="28808A2E">
            <w:pPr>
              <w:jc w:val="center"/>
              <w:rPr>
                <w:rFonts w:hint="eastAsia" w:ascii="宋体" w:hAnsi="宋体" w:eastAsia="宋体" w:cs="宋体"/>
                <w:szCs w:val="21"/>
              </w:rPr>
            </w:pPr>
            <w:r>
              <w:rPr>
                <w:rFonts w:hint="eastAsia" w:ascii="宋体" w:hAnsi="宋体" w:eastAsia="宋体" w:cs="宋体"/>
                <w:szCs w:val="21"/>
              </w:rPr>
              <w:t>目标1</w:t>
            </w:r>
          </w:p>
          <w:p w14:paraId="6641D0E3">
            <w:pPr>
              <w:jc w:val="center"/>
              <w:rPr>
                <w:rFonts w:hint="eastAsia" w:ascii="宋体" w:hAnsi="宋体" w:eastAsia="宋体" w:cs="宋体"/>
                <w:szCs w:val="21"/>
              </w:rPr>
            </w:pPr>
            <w:r>
              <w:rPr>
                <w:rFonts w:hint="eastAsia" w:ascii="宋体" w:hAnsi="宋体" w:eastAsia="宋体" w:cs="宋体"/>
                <w:szCs w:val="21"/>
              </w:rPr>
              <w:t>目标2</w:t>
            </w:r>
          </w:p>
          <w:p w14:paraId="05F78DED">
            <w:pPr>
              <w:jc w:val="center"/>
              <w:rPr>
                <w:rFonts w:hint="eastAsia" w:ascii="宋体" w:hAnsi="宋体" w:eastAsia="宋体" w:cs="宋体"/>
                <w:szCs w:val="21"/>
              </w:rPr>
            </w:pPr>
            <w:r>
              <w:rPr>
                <w:rFonts w:hint="eastAsia" w:ascii="宋体" w:hAnsi="宋体" w:eastAsia="宋体" w:cs="宋体"/>
                <w:szCs w:val="21"/>
              </w:rPr>
              <w:t>目标3</w:t>
            </w:r>
          </w:p>
        </w:tc>
        <w:tc>
          <w:tcPr>
            <w:tcW w:w="3586" w:type="dxa"/>
            <w:shd w:val="clear" w:color="auto" w:fill="auto"/>
            <w:vAlign w:val="center"/>
          </w:tcPr>
          <w:p w14:paraId="050C8170">
            <w:pPr>
              <w:autoSpaceDE w:val="0"/>
              <w:autoSpaceDN w:val="0"/>
              <w:adjustRightInd w:val="0"/>
              <w:rPr>
                <w:rFonts w:hint="eastAsia" w:ascii="宋体" w:hAnsi="宋体" w:eastAsia="宋体" w:cs="宋体"/>
                <w:kern w:val="0"/>
                <w:szCs w:val="21"/>
              </w:rPr>
            </w:pPr>
            <w:r>
              <w:rPr>
                <w:rFonts w:hint="eastAsia" w:ascii="宋体" w:hAnsi="宋体" w:eastAsia="宋体" w:cs="宋体"/>
                <w:kern w:val="0"/>
                <w:szCs w:val="21"/>
              </w:rPr>
              <w:t>了解中国发展的新方位，中国特色社会主义进入了新时代；理解中国特色社会主义进入新时代的实践价值和世界意义；掌握学习本课程的学习方法，增强学习的积极性和主动性，明确自己肩负的历史使命和时代责任</w:t>
            </w:r>
          </w:p>
        </w:tc>
        <w:tc>
          <w:tcPr>
            <w:tcW w:w="1571" w:type="dxa"/>
            <w:shd w:val="clear" w:color="auto" w:fill="auto"/>
            <w:vAlign w:val="center"/>
          </w:tcPr>
          <w:p w14:paraId="4BCE4BF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444588B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3A99C41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3804A5BC">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2556EF0C">
            <w:pPr>
              <w:jc w:val="center"/>
              <w:rPr>
                <w:rFonts w:hint="eastAsia" w:ascii="宋体" w:hAnsi="宋体" w:eastAsia="宋体" w:cs="宋体"/>
                <w:szCs w:val="21"/>
              </w:rPr>
            </w:pPr>
            <w:r>
              <w:rPr>
                <w:rFonts w:hint="eastAsia" w:ascii="宋体" w:hAnsi="宋体" w:eastAsia="宋体" w:cs="宋体"/>
                <w:szCs w:val="21"/>
              </w:rPr>
              <w:t>2</w:t>
            </w:r>
          </w:p>
        </w:tc>
      </w:tr>
      <w:tr w14:paraId="5B8C0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67F9C229">
            <w:pPr>
              <w:adjustRightInd w:val="0"/>
              <w:snapToGrid w:val="0"/>
              <w:jc w:val="center"/>
              <w:rPr>
                <w:rFonts w:hint="eastAsia" w:ascii="宋体" w:hAnsi="宋体" w:eastAsia="宋体" w:cs="宋体"/>
                <w:szCs w:val="21"/>
              </w:rPr>
            </w:pPr>
            <w:r>
              <w:rPr>
                <w:rFonts w:hint="eastAsia" w:ascii="宋体" w:hAnsi="宋体" w:eastAsia="宋体" w:cs="宋体"/>
                <w:szCs w:val="21"/>
              </w:rPr>
              <w:t>第一章 领悟人生真谛 把握人生方向</w:t>
            </w:r>
          </w:p>
        </w:tc>
        <w:tc>
          <w:tcPr>
            <w:tcW w:w="2577" w:type="dxa"/>
            <w:shd w:val="clear" w:color="auto" w:fill="auto"/>
            <w:vAlign w:val="center"/>
          </w:tcPr>
          <w:p w14:paraId="739A9162">
            <w:pPr>
              <w:rPr>
                <w:rFonts w:hint="eastAsia" w:ascii="宋体" w:hAnsi="宋体" w:eastAsia="宋体" w:cs="宋体"/>
                <w:color w:val="000000"/>
                <w:szCs w:val="21"/>
              </w:rPr>
            </w:pPr>
            <w:r>
              <w:rPr>
                <w:rFonts w:hint="eastAsia" w:ascii="宋体" w:hAnsi="宋体" w:eastAsia="宋体" w:cs="宋体"/>
                <w:color w:val="000000"/>
                <w:szCs w:val="21"/>
              </w:rPr>
              <w:t>（1）人生观是对人生的总看法</w:t>
            </w:r>
          </w:p>
          <w:p w14:paraId="0BC84B6D">
            <w:pPr>
              <w:rPr>
                <w:rFonts w:hint="eastAsia" w:ascii="宋体" w:hAnsi="宋体" w:eastAsia="宋体" w:cs="宋体"/>
                <w:color w:val="000000"/>
                <w:szCs w:val="21"/>
              </w:rPr>
            </w:pPr>
            <w:r>
              <w:rPr>
                <w:rFonts w:hint="eastAsia" w:ascii="宋体" w:hAnsi="宋体" w:eastAsia="宋体" w:cs="宋体"/>
                <w:color w:val="000000"/>
                <w:szCs w:val="21"/>
              </w:rPr>
              <w:t>（2）正确的人生观</w:t>
            </w:r>
          </w:p>
          <w:p w14:paraId="1E023A97">
            <w:pPr>
              <w:rPr>
                <w:rFonts w:hint="eastAsia" w:ascii="宋体" w:hAnsi="宋体" w:eastAsia="宋体" w:cs="宋体"/>
                <w:color w:val="000000"/>
                <w:szCs w:val="21"/>
              </w:rPr>
            </w:pPr>
            <w:r>
              <w:rPr>
                <w:rFonts w:hint="eastAsia" w:ascii="宋体" w:hAnsi="宋体" w:eastAsia="宋体" w:cs="宋体"/>
                <w:color w:val="000000"/>
                <w:szCs w:val="21"/>
              </w:rPr>
              <w:t>（3）创造有意义的人生</w:t>
            </w:r>
            <w:bookmarkStart w:id="3" w:name="_Toc45149937"/>
          </w:p>
          <w:bookmarkEnd w:id="3"/>
          <w:p w14:paraId="568E69DA">
            <w:pPr>
              <w:rPr>
                <w:rFonts w:hint="eastAsia" w:ascii="宋体" w:hAnsi="宋体" w:eastAsia="宋体" w:cs="宋体"/>
                <w:szCs w:val="21"/>
              </w:rPr>
            </w:pPr>
          </w:p>
        </w:tc>
        <w:tc>
          <w:tcPr>
            <w:tcW w:w="1082" w:type="dxa"/>
            <w:shd w:val="clear" w:color="auto" w:fill="auto"/>
            <w:vAlign w:val="center"/>
          </w:tcPr>
          <w:p w14:paraId="307FB679">
            <w:pPr>
              <w:jc w:val="center"/>
              <w:rPr>
                <w:rFonts w:hint="eastAsia" w:ascii="宋体" w:hAnsi="宋体" w:eastAsia="宋体" w:cs="宋体"/>
                <w:szCs w:val="21"/>
              </w:rPr>
            </w:pPr>
            <w:r>
              <w:rPr>
                <w:rFonts w:hint="eastAsia" w:ascii="宋体" w:hAnsi="宋体" w:eastAsia="宋体" w:cs="宋体"/>
                <w:szCs w:val="21"/>
              </w:rPr>
              <w:t>目标1</w:t>
            </w:r>
          </w:p>
        </w:tc>
        <w:tc>
          <w:tcPr>
            <w:tcW w:w="3586" w:type="dxa"/>
            <w:shd w:val="clear" w:color="auto" w:fill="auto"/>
            <w:vAlign w:val="center"/>
          </w:tcPr>
          <w:p w14:paraId="2E88177A">
            <w:pPr>
              <w:rPr>
                <w:rFonts w:hint="eastAsia" w:ascii="宋体" w:hAnsi="宋体" w:eastAsia="宋体" w:cs="宋体"/>
                <w:szCs w:val="21"/>
              </w:rPr>
            </w:pPr>
            <w:r>
              <w:rPr>
                <w:rFonts w:hint="eastAsia" w:ascii="宋体" w:hAnsi="宋体" w:eastAsia="宋体" w:cs="宋体"/>
                <w:szCs w:val="21"/>
              </w:rPr>
              <w:t>了解人生观的基本内涵以及对人生的重要作用；理解树立为人民服务的人生观的重要意义；掌握处理各种关系的方法，立志在实践中创造有价值的人生，做到和谐发展</w:t>
            </w:r>
          </w:p>
        </w:tc>
        <w:tc>
          <w:tcPr>
            <w:tcW w:w="1571" w:type="dxa"/>
            <w:shd w:val="clear" w:color="auto" w:fill="auto"/>
            <w:vAlign w:val="center"/>
          </w:tcPr>
          <w:p w14:paraId="35F95CC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A69977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7FE3664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51D85DCE">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74938CC3">
            <w:pPr>
              <w:jc w:val="center"/>
              <w:rPr>
                <w:rFonts w:hint="eastAsia" w:ascii="宋体" w:hAnsi="宋体" w:eastAsia="宋体" w:cs="宋体"/>
                <w:szCs w:val="21"/>
              </w:rPr>
            </w:pPr>
            <w:r>
              <w:rPr>
                <w:rFonts w:hint="eastAsia" w:ascii="宋体" w:hAnsi="宋体" w:eastAsia="宋体" w:cs="宋体"/>
                <w:szCs w:val="21"/>
              </w:rPr>
              <w:t>6</w:t>
            </w:r>
          </w:p>
        </w:tc>
      </w:tr>
      <w:tr w14:paraId="223FA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262A4EAD">
            <w:pPr>
              <w:jc w:val="center"/>
              <w:rPr>
                <w:rFonts w:hint="eastAsia" w:ascii="宋体" w:hAnsi="宋体" w:eastAsia="宋体" w:cs="宋体"/>
                <w:szCs w:val="21"/>
              </w:rPr>
            </w:pPr>
            <w:r>
              <w:rPr>
                <w:rFonts w:hint="eastAsia" w:ascii="宋体" w:hAnsi="宋体" w:eastAsia="宋体" w:cs="宋体"/>
                <w:szCs w:val="21"/>
              </w:rPr>
              <w:t>第二章 追求远大理想 坚定崇高信念</w:t>
            </w:r>
          </w:p>
        </w:tc>
        <w:tc>
          <w:tcPr>
            <w:tcW w:w="2577" w:type="dxa"/>
            <w:shd w:val="clear" w:color="auto" w:fill="auto"/>
            <w:vAlign w:val="center"/>
          </w:tcPr>
          <w:p w14:paraId="401909BB">
            <w:pPr>
              <w:rPr>
                <w:rFonts w:hint="eastAsia" w:ascii="宋体" w:hAnsi="宋体" w:eastAsia="宋体" w:cs="宋体"/>
                <w:szCs w:val="21"/>
              </w:rPr>
            </w:pPr>
            <w:r>
              <w:rPr>
                <w:rFonts w:hint="eastAsia" w:ascii="宋体" w:hAnsi="宋体" w:eastAsia="宋体" w:cs="宋体"/>
                <w:szCs w:val="21"/>
              </w:rPr>
              <w:t>（1）理想信念的内涵及重要性</w:t>
            </w:r>
          </w:p>
          <w:p w14:paraId="1B971E55">
            <w:pPr>
              <w:rPr>
                <w:rFonts w:hint="eastAsia" w:ascii="宋体" w:hAnsi="宋体" w:eastAsia="宋体" w:cs="宋体"/>
                <w:szCs w:val="21"/>
              </w:rPr>
            </w:pPr>
            <w:r>
              <w:rPr>
                <w:rFonts w:hint="eastAsia" w:ascii="宋体" w:hAnsi="宋体" w:eastAsia="宋体" w:cs="宋体"/>
                <w:szCs w:val="21"/>
              </w:rPr>
              <w:t>（2）坚定信仰信念信心</w:t>
            </w:r>
          </w:p>
          <w:p w14:paraId="0F735CBA">
            <w:pPr>
              <w:rPr>
                <w:rFonts w:hint="eastAsia" w:ascii="宋体" w:hAnsi="宋体" w:eastAsia="宋体" w:cs="宋体"/>
                <w:szCs w:val="21"/>
              </w:rPr>
            </w:pPr>
            <w:r>
              <w:rPr>
                <w:rFonts w:hint="eastAsia" w:ascii="宋体" w:hAnsi="宋体" w:eastAsia="宋体" w:cs="宋体"/>
                <w:szCs w:val="21"/>
              </w:rPr>
              <w:t>（3）在实现中国梦的实践中放飞青春梦想</w:t>
            </w:r>
          </w:p>
          <w:p w14:paraId="57B907BD">
            <w:pPr>
              <w:rPr>
                <w:rFonts w:hint="eastAsia" w:ascii="宋体" w:hAnsi="宋体" w:eastAsia="宋体" w:cs="宋体"/>
                <w:color w:val="000000"/>
                <w:szCs w:val="21"/>
              </w:rPr>
            </w:pPr>
          </w:p>
        </w:tc>
        <w:tc>
          <w:tcPr>
            <w:tcW w:w="1082" w:type="dxa"/>
            <w:shd w:val="clear" w:color="auto" w:fill="auto"/>
            <w:vAlign w:val="center"/>
          </w:tcPr>
          <w:p w14:paraId="706AB207">
            <w:pPr>
              <w:jc w:val="center"/>
              <w:rPr>
                <w:rFonts w:hint="eastAsia" w:ascii="宋体" w:hAnsi="宋体" w:eastAsia="宋体" w:cs="宋体"/>
                <w:szCs w:val="21"/>
              </w:rPr>
            </w:pPr>
            <w:r>
              <w:rPr>
                <w:rFonts w:hint="eastAsia" w:ascii="宋体" w:hAnsi="宋体" w:eastAsia="宋体" w:cs="宋体"/>
                <w:szCs w:val="21"/>
              </w:rPr>
              <w:t>目标1</w:t>
            </w:r>
          </w:p>
        </w:tc>
        <w:tc>
          <w:tcPr>
            <w:tcW w:w="3586" w:type="dxa"/>
            <w:shd w:val="clear" w:color="auto" w:fill="auto"/>
            <w:vAlign w:val="center"/>
          </w:tcPr>
          <w:p w14:paraId="483CA49D">
            <w:pPr>
              <w:rPr>
                <w:rFonts w:hint="eastAsia" w:ascii="宋体" w:hAnsi="宋体" w:eastAsia="宋体" w:cs="宋体"/>
                <w:szCs w:val="21"/>
              </w:rPr>
            </w:pPr>
            <w:r>
              <w:rPr>
                <w:rFonts w:hint="eastAsia" w:ascii="宋体" w:hAnsi="宋体" w:eastAsia="宋体" w:cs="宋体"/>
                <w:szCs w:val="21"/>
              </w:rPr>
              <w:t>了解理想信念、共同理想的含义和特征；理解理想信念对大学生成才的重要意义，树立马克思主义的崇高的理想信念；掌握把理想转化为现实，实现中国梦的基本条件</w:t>
            </w:r>
          </w:p>
        </w:tc>
        <w:tc>
          <w:tcPr>
            <w:tcW w:w="1571" w:type="dxa"/>
            <w:shd w:val="clear" w:color="auto" w:fill="auto"/>
            <w:vAlign w:val="center"/>
          </w:tcPr>
          <w:p w14:paraId="5983EE6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55ED22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11B19E2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660D1289">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1E8CFFD7">
            <w:pPr>
              <w:jc w:val="center"/>
              <w:rPr>
                <w:rFonts w:hint="eastAsia" w:ascii="宋体" w:hAnsi="宋体" w:eastAsia="宋体" w:cs="宋体"/>
                <w:szCs w:val="21"/>
              </w:rPr>
            </w:pPr>
            <w:r>
              <w:rPr>
                <w:rFonts w:hint="eastAsia" w:ascii="宋体" w:hAnsi="宋体" w:eastAsia="宋体" w:cs="宋体"/>
                <w:szCs w:val="21"/>
              </w:rPr>
              <w:t>6</w:t>
            </w:r>
          </w:p>
        </w:tc>
      </w:tr>
      <w:tr w14:paraId="22CDC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001364D7">
            <w:pPr>
              <w:jc w:val="center"/>
              <w:rPr>
                <w:rFonts w:hint="eastAsia" w:ascii="宋体" w:hAnsi="宋体" w:eastAsia="宋体" w:cs="宋体"/>
                <w:szCs w:val="21"/>
              </w:rPr>
            </w:pPr>
            <w:r>
              <w:rPr>
                <w:rFonts w:hint="eastAsia" w:ascii="宋体" w:hAnsi="宋体" w:eastAsia="宋体" w:cs="宋体"/>
                <w:szCs w:val="21"/>
              </w:rPr>
              <w:t>第三章 继承优良传统 弘扬中国精神</w:t>
            </w:r>
          </w:p>
        </w:tc>
        <w:tc>
          <w:tcPr>
            <w:tcW w:w="2577" w:type="dxa"/>
            <w:shd w:val="clear" w:color="auto" w:fill="auto"/>
            <w:vAlign w:val="center"/>
          </w:tcPr>
          <w:p w14:paraId="03104C66">
            <w:pPr>
              <w:rPr>
                <w:rFonts w:hint="eastAsia" w:ascii="宋体" w:hAnsi="宋体" w:eastAsia="宋体" w:cs="宋体"/>
                <w:szCs w:val="21"/>
              </w:rPr>
            </w:pPr>
            <w:r>
              <w:rPr>
                <w:rFonts w:hint="eastAsia" w:ascii="宋体" w:hAnsi="宋体" w:eastAsia="宋体" w:cs="宋体"/>
                <w:szCs w:val="21"/>
              </w:rPr>
              <w:t>（1）中国精神是兴国强国之魂；</w:t>
            </w:r>
          </w:p>
          <w:p w14:paraId="234F92B1">
            <w:pPr>
              <w:rPr>
                <w:rFonts w:hint="eastAsia" w:ascii="宋体" w:hAnsi="宋体" w:eastAsia="宋体" w:cs="宋体"/>
                <w:szCs w:val="21"/>
              </w:rPr>
            </w:pPr>
            <w:r>
              <w:rPr>
                <w:rFonts w:hint="eastAsia" w:ascii="宋体" w:hAnsi="宋体" w:eastAsia="宋体" w:cs="宋体"/>
                <w:szCs w:val="21"/>
              </w:rPr>
              <w:t>（2）做新时代的忠诚爱国者</w:t>
            </w:r>
          </w:p>
          <w:p w14:paraId="3EBB42D2">
            <w:pPr>
              <w:rPr>
                <w:rFonts w:hint="eastAsia" w:ascii="宋体" w:hAnsi="宋体" w:eastAsia="宋体" w:cs="宋体"/>
                <w:color w:val="000000"/>
                <w:szCs w:val="21"/>
              </w:rPr>
            </w:pPr>
            <w:r>
              <w:rPr>
                <w:rFonts w:hint="eastAsia" w:ascii="宋体" w:hAnsi="宋体" w:eastAsia="宋体" w:cs="宋体"/>
                <w:szCs w:val="21"/>
              </w:rPr>
              <w:t>（3）让改革创新成为青春远航的动力</w:t>
            </w:r>
          </w:p>
        </w:tc>
        <w:tc>
          <w:tcPr>
            <w:tcW w:w="1082" w:type="dxa"/>
            <w:shd w:val="clear" w:color="auto" w:fill="auto"/>
            <w:vAlign w:val="center"/>
          </w:tcPr>
          <w:p w14:paraId="30FF5499">
            <w:pPr>
              <w:jc w:val="center"/>
              <w:rPr>
                <w:rFonts w:hint="eastAsia" w:ascii="宋体" w:hAnsi="宋体" w:eastAsia="宋体" w:cs="宋体"/>
                <w:szCs w:val="21"/>
              </w:rPr>
            </w:pPr>
            <w:r>
              <w:rPr>
                <w:rFonts w:hint="eastAsia" w:ascii="宋体" w:hAnsi="宋体" w:eastAsia="宋体" w:cs="宋体"/>
                <w:szCs w:val="21"/>
              </w:rPr>
              <w:t>目标1</w:t>
            </w:r>
          </w:p>
        </w:tc>
        <w:tc>
          <w:tcPr>
            <w:tcW w:w="3586" w:type="dxa"/>
            <w:shd w:val="clear" w:color="auto" w:fill="auto"/>
            <w:vAlign w:val="center"/>
          </w:tcPr>
          <w:p w14:paraId="4E5D310C">
            <w:pPr>
              <w:autoSpaceDE w:val="0"/>
              <w:autoSpaceDN w:val="0"/>
              <w:adjustRightInd w:val="0"/>
              <w:rPr>
                <w:rFonts w:hint="eastAsia" w:ascii="宋体" w:hAnsi="宋体" w:eastAsia="宋体" w:cs="宋体"/>
                <w:szCs w:val="21"/>
              </w:rPr>
            </w:pPr>
            <w:r>
              <w:rPr>
                <w:rFonts w:hint="eastAsia" w:ascii="宋体" w:hAnsi="宋体" w:eastAsia="宋体" w:cs="宋体"/>
                <w:szCs w:val="21"/>
              </w:rPr>
              <w:t>了解中国精神的科学内涵，实现中国梦必须弘扬中国精神；理解爱国主义的科学内涵和民族精神的优良传统，创新创造是中华民族的民族禀赋；掌握做忠诚的爱国者及改革创新实践者的途径</w:t>
            </w:r>
          </w:p>
        </w:tc>
        <w:tc>
          <w:tcPr>
            <w:tcW w:w="1571" w:type="dxa"/>
            <w:shd w:val="clear" w:color="auto" w:fill="auto"/>
            <w:vAlign w:val="center"/>
          </w:tcPr>
          <w:p w14:paraId="682F6D6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7E85E72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7201CD5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4A2F33FC">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0FEA1900">
            <w:pPr>
              <w:jc w:val="center"/>
              <w:rPr>
                <w:rFonts w:hint="eastAsia" w:ascii="宋体" w:hAnsi="宋体" w:eastAsia="宋体" w:cs="宋体"/>
                <w:szCs w:val="21"/>
              </w:rPr>
            </w:pPr>
            <w:r>
              <w:rPr>
                <w:rFonts w:hint="eastAsia" w:ascii="宋体" w:hAnsi="宋体" w:eastAsia="宋体" w:cs="宋体"/>
                <w:szCs w:val="21"/>
              </w:rPr>
              <w:t>6</w:t>
            </w:r>
          </w:p>
        </w:tc>
      </w:tr>
      <w:tr w14:paraId="4754F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4C965639">
            <w:pPr>
              <w:jc w:val="center"/>
              <w:rPr>
                <w:rFonts w:hint="eastAsia" w:ascii="宋体" w:hAnsi="宋体" w:eastAsia="宋体" w:cs="宋体"/>
                <w:szCs w:val="21"/>
              </w:rPr>
            </w:pPr>
            <w:r>
              <w:rPr>
                <w:rFonts w:hint="eastAsia" w:ascii="宋体" w:hAnsi="宋体" w:eastAsia="宋体" w:cs="宋体"/>
                <w:szCs w:val="21"/>
              </w:rPr>
              <w:t>第四章 明确价值要求 践行价值准则</w:t>
            </w:r>
          </w:p>
        </w:tc>
        <w:tc>
          <w:tcPr>
            <w:tcW w:w="2577" w:type="dxa"/>
            <w:shd w:val="clear" w:color="auto" w:fill="auto"/>
            <w:vAlign w:val="center"/>
          </w:tcPr>
          <w:p w14:paraId="3E76AAB7">
            <w:pPr>
              <w:adjustRightInd w:val="0"/>
              <w:snapToGrid w:val="0"/>
              <w:rPr>
                <w:rFonts w:hint="eastAsia" w:ascii="宋体" w:hAnsi="宋体" w:eastAsia="宋体" w:cs="宋体"/>
                <w:szCs w:val="21"/>
              </w:rPr>
            </w:pPr>
            <w:r>
              <w:rPr>
                <w:rFonts w:hint="eastAsia" w:ascii="宋体" w:hAnsi="宋体" w:eastAsia="宋体" w:cs="宋体"/>
                <w:szCs w:val="21"/>
              </w:rPr>
              <w:t>（1）全体人民共同的价值追求</w:t>
            </w:r>
          </w:p>
          <w:p w14:paraId="697FF86F">
            <w:pPr>
              <w:adjustRightInd w:val="0"/>
              <w:snapToGrid w:val="0"/>
              <w:rPr>
                <w:rFonts w:hint="eastAsia" w:ascii="宋体" w:hAnsi="宋体" w:eastAsia="宋体" w:cs="宋体"/>
                <w:szCs w:val="21"/>
              </w:rPr>
            </w:pPr>
            <w:r>
              <w:rPr>
                <w:rFonts w:hint="eastAsia" w:ascii="宋体" w:hAnsi="宋体" w:eastAsia="宋体" w:cs="宋体"/>
                <w:szCs w:val="21"/>
              </w:rPr>
              <w:t>（2)社会主义核心价值观的显著特征</w:t>
            </w:r>
          </w:p>
          <w:p w14:paraId="6D6A9EE0">
            <w:pPr>
              <w:adjustRightInd w:val="0"/>
              <w:snapToGrid w:val="0"/>
              <w:rPr>
                <w:rFonts w:hint="eastAsia" w:ascii="宋体" w:hAnsi="宋体" w:eastAsia="宋体" w:cs="宋体"/>
                <w:szCs w:val="21"/>
              </w:rPr>
            </w:pPr>
            <w:r>
              <w:rPr>
                <w:rFonts w:hint="eastAsia" w:ascii="宋体" w:hAnsi="宋体" w:eastAsia="宋体" w:cs="宋体"/>
                <w:szCs w:val="21"/>
              </w:rPr>
              <w:t>(3)积极践行社会主义核心价值观</w:t>
            </w:r>
          </w:p>
          <w:p w14:paraId="2E5DEE70">
            <w:pPr>
              <w:adjustRightInd w:val="0"/>
              <w:snapToGrid w:val="0"/>
              <w:rPr>
                <w:rFonts w:hint="eastAsia" w:ascii="宋体" w:hAnsi="宋体" w:eastAsia="宋体" w:cs="宋体"/>
                <w:szCs w:val="21"/>
              </w:rPr>
            </w:pPr>
          </w:p>
        </w:tc>
        <w:tc>
          <w:tcPr>
            <w:tcW w:w="1082" w:type="dxa"/>
            <w:shd w:val="clear" w:color="auto" w:fill="auto"/>
            <w:vAlign w:val="center"/>
          </w:tcPr>
          <w:p w14:paraId="64910A4A">
            <w:pPr>
              <w:jc w:val="center"/>
              <w:rPr>
                <w:rFonts w:hint="eastAsia" w:ascii="宋体" w:hAnsi="宋体" w:eastAsia="宋体" w:cs="宋体"/>
                <w:szCs w:val="21"/>
              </w:rPr>
            </w:pPr>
            <w:r>
              <w:rPr>
                <w:rFonts w:hint="eastAsia" w:ascii="宋体" w:hAnsi="宋体" w:eastAsia="宋体" w:cs="宋体"/>
                <w:szCs w:val="21"/>
              </w:rPr>
              <w:t>目标1</w:t>
            </w:r>
          </w:p>
          <w:p w14:paraId="2B449D4A">
            <w:pPr>
              <w:jc w:val="center"/>
              <w:rPr>
                <w:rFonts w:hint="eastAsia" w:ascii="宋体" w:hAnsi="宋体" w:eastAsia="宋体" w:cs="宋体"/>
                <w:szCs w:val="21"/>
              </w:rPr>
            </w:pPr>
            <w:r>
              <w:rPr>
                <w:rFonts w:hint="eastAsia" w:ascii="宋体" w:hAnsi="宋体" w:eastAsia="宋体" w:cs="宋体"/>
                <w:szCs w:val="21"/>
              </w:rPr>
              <w:t>目标2</w:t>
            </w:r>
          </w:p>
        </w:tc>
        <w:tc>
          <w:tcPr>
            <w:tcW w:w="3586" w:type="dxa"/>
            <w:shd w:val="clear" w:color="auto" w:fill="auto"/>
            <w:vAlign w:val="center"/>
          </w:tcPr>
          <w:p w14:paraId="0252E2A6">
            <w:pPr>
              <w:rPr>
                <w:rFonts w:hint="eastAsia" w:ascii="宋体" w:hAnsi="宋体" w:eastAsia="宋体" w:cs="宋体"/>
                <w:szCs w:val="21"/>
              </w:rPr>
            </w:pPr>
            <w:r>
              <w:rPr>
                <w:rFonts w:hint="eastAsia" w:ascii="宋体" w:hAnsi="宋体" w:eastAsia="宋体" w:cs="宋体"/>
                <w:szCs w:val="21"/>
              </w:rPr>
              <w:t>了解社会主义核心价值观的基本内容；理解社会主义核心价值观的历史底蕴、现实基础、道义力量；掌握积极努力做社会主义核心价值观的践行者，扣好人生的第一个扣子</w:t>
            </w:r>
          </w:p>
          <w:p w14:paraId="40CDA7B6">
            <w:pPr>
              <w:rPr>
                <w:rFonts w:hint="eastAsia" w:ascii="宋体" w:hAnsi="宋体" w:eastAsia="宋体" w:cs="宋体"/>
                <w:szCs w:val="21"/>
              </w:rPr>
            </w:pPr>
          </w:p>
        </w:tc>
        <w:tc>
          <w:tcPr>
            <w:tcW w:w="1571" w:type="dxa"/>
            <w:shd w:val="clear" w:color="auto" w:fill="auto"/>
            <w:vAlign w:val="center"/>
          </w:tcPr>
          <w:p w14:paraId="2CA7CDC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C8F3CC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5E1AF86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4BB77E86">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597DB9FD">
            <w:pPr>
              <w:jc w:val="center"/>
              <w:rPr>
                <w:rFonts w:hint="eastAsia" w:ascii="宋体" w:hAnsi="宋体" w:eastAsia="宋体" w:cs="宋体"/>
                <w:szCs w:val="21"/>
              </w:rPr>
            </w:pPr>
            <w:r>
              <w:rPr>
                <w:rFonts w:hint="eastAsia" w:ascii="宋体" w:hAnsi="宋体" w:eastAsia="宋体" w:cs="宋体"/>
                <w:szCs w:val="21"/>
              </w:rPr>
              <w:t>6</w:t>
            </w:r>
          </w:p>
        </w:tc>
      </w:tr>
      <w:tr w14:paraId="46552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397" w:type="dxa"/>
            <w:shd w:val="clear" w:color="auto" w:fill="auto"/>
            <w:vAlign w:val="center"/>
          </w:tcPr>
          <w:p w14:paraId="221CAC52">
            <w:pPr>
              <w:jc w:val="center"/>
              <w:rPr>
                <w:rFonts w:hint="eastAsia" w:ascii="宋体" w:hAnsi="宋体" w:eastAsia="宋体" w:cs="宋体"/>
                <w:szCs w:val="21"/>
              </w:rPr>
            </w:pPr>
            <w:r>
              <w:rPr>
                <w:rFonts w:hint="eastAsia" w:ascii="宋体" w:hAnsi="宋体" w:eastAsia="宋体" w:cs="宋体"/>
                <w:szCs w:val="21"/>
              </w:rPr>
              <w:t>第五章 遵守道德规范 锤炼道德品格</w:t>
            </w:r>
          </w:p>
        </w:tc>
        <w:tc>
          <w:tcPr>
            <w:tcW w:w="2577" w:type="dxa"/>
            <w:shd w:val="clear" w:color="auto" w:fill="auto"/>
            <w:vAlign w:val="center"/>
          </w:tcPr>
          <w:p w14:paraId="410B8900">
            <w:pPr>
              <w:rPr>
                <w:rFonts w:hint="eastAsia" w:ascii="宋体" w:hAnsi="宋体" w:eastAsia="宋体" w:cs="宋体"/>
                <w:szCs w:val="21"/>
              </w:rPr>
            </w:pPr>
            <w:r>
              <w:rPr>
                <w:rFonts w:hint="eastAsia" w:ascii="宋体" w:hAnsi="宋体" w:eastAsia="宋体" w:cs="宋体"/>
                <w:szCs w:val="21"/>
              </w:rPr>
              <w:t>(1)社会主义道德的核心与原则</w:t>
            </w:r>
          </w:p>
          <w:p w14:paraId="72939C37">
            <w:pPr>
              <w:rPr>
                <w:rFonts w:hint="eastAsia" w:ascii="宋体" w:hAnsi="宋体" w:eastAsia="宋体" w:cs="宋体"/>
                <w:szCs w:val="21"/>
              </w:rPr>
            </w:pPr>
            <w:r>
              <w:rPr>
                <w:rFonts w:hint="eastAsia" w:ascii="宋体" w:hAnsi="宋体" w:eastAsia="宋体" w:cs="宋体"/>
                <w:szCs w:val="21"/>
              </w:rPr>
              <w:t>(2)吸收借鉴优秀道德成果</w:t>
            </w:r>
          </w:p>
          <w:p w14:paraId="23DCD44E">
            <w:pPr>
              <w:rPr>
                <w:rFonts w:hint="eastAsia" w:ascii="宋体" w:hAnsi="宋体" w:eastAsia="宋体" w:cs="宋体"/>
                <w:szCs w:val="21"/>
              </w:rPr>
            </w:pPr>
            <w:r>
              <w:rPr>
                <w:rFonts w:hint="eastAsia" w:ascii="宋体" w:hAnsi="宋体" w:eastAsia="宋体" w:cs="宋体"/>
                <w:szCs w:val="21"/>
              </w:rPr>
              <w:t>(3)投身崇德向善的道德实践</w:t>
            </w:r>
          </w:p>
          <w:p w14:paraId="69C98495">
            <w:pPr>
              <w:rPr>
                <w:rFonts w:hint="eastAsia" w:ascii="宋体" w:hAnsi="宋体" w:eastAsia="宋体" w:cs="宋体"/>
                <w:szCs w:val="21"/>
              </w:rPr>
            </w:pPr>
          </w:p>
        </w:tc>
        <w:tc>
          <w:tcPr>
            <w:tcW w:w="1082" w:type="dxa"/>
            <w:shd w:val="clear" w:color="auto" w:fill="auto"/>
            <w:vAlign w:val="center"/>
          </w:tcPr>
          <w:p w14:paraId="72F03692">
            <w:pPr>
              <w:jc w:val="center"/>
              <w:rPr>
                <w:rFonts w:hint="eastAsia" w:ascii="宋体" w:hAnsi="宋体" w:eastAsia="宋体" w:cs="宋体"/>
                <w:szCs w:val="21"/>
              </w:rPr>
            </w:pPr>
            <w:r>
              <w:rPr>
                <w:rFonts w:hint="eastAsia" w:ascii="宋体" w:hAnsi="宋体" w:eastAsia="宋体" w:cs="宋体"/>
                <w:szCs w:val="21"/>
              </w:rPr>
              <w:t>目标1</w:t>
            </w:r>
          </w:p>
          <w:p w14:paraId="046A7534">
            <w:pPr>
              <w:jc w:val="center"/>
              <w:rPr>
                <w:rFonts w:hint="eastAsia" w:ascii="宋体" w:hAnsi="宋体" w:eastAsia="宋体" w:cs="宋体"/>
                <w:kern w:val="0"/>
                <w:szCs w:val="21"/>
              </w:rPr>
            </w:pPr>
            <w:r>
              <w:rPr>
                <w:rFonts w:hint="eastAsia" w:ascii="宋体" w:hAnsi="宋体" w:eastAsia="宋体" w:cs="宋体"/>
                <w:szCs w:val="21"/>
              </w:rPr>
              <w:t>目标3</w:t>
            </w:r>
          </w:p>
        </w:tc>
        <w:tc>
          <w:tcPr>
            <w:tcW w:w="3586" w:type="dxa"/>
            <w:shd w:val="clear" w:color="auto" w:fill="auto"/>
            <w:vAlign w:val="center"/>
          </w:tcPr>
          <w:p w14:paraId="031F109B">
            <w:pPr>
              <w:rPr>
                <w:rFonts w:hint="eastAsia" w:ascii="宋体" w:hAnsi="宋体" w:eastAsia="宋体" w:cs="宋体"/>
                <w:kern w:val="0"/>
                <w:szCs w:val="21"/>
              </w:rPr>
            </w:pPr>
            <w:r>
              <w:rPr>
                <w:rFonts w:hint="eastAsia" w:ascii="宋体" w:hAnsi="宋体" w:eastAsia="宋体" w:cs="宋体"/>
                <w:kern w:val="0"/>
                <w:szCs w:val="21"/>
              </w:rPr>
              <w:t>了解道德的历史演变、功能、作用和中华民族优良道德传统、革命道德；理解公共生活、职业生活、婚姻家庭生活中的道德与法律的内容；正确的择业观、职业观、恋爱观、婚姻观及公德意识的养成；掌握学习和掌握社会生活领域的道德规范和法律规范，自觉加强道德修养和法律修养，锤炼高尚品格</w:t>
            </w:r>
          </w:p>
        </w:tc>
        <w:tc>
          <w:tcPr>
            <w:tcW w:w="1571" w:type="dxa"/>
            <w:shd w:val="clear" w:color="auto" w:fill="auto"/>
            <w:vAlign w:val="center"/>
          </w:tcPr>
          <w:p w14:paraId="59CCAD1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C18968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7653CE1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0815939C">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3ECC7FF2">
            <w:pPr>
              <w:jc w:val="center"/>
              <w:rPr>
                <w:rFonts w:hint="eastAsia" w:ascii="宋体" w:hAnsi="宋体" w:eastAsia="宋体" w:cs="宋体"/>
                <w:szCs w:val="21"/>
              </w:rPr>
            </w:pPr>
            <w:r>
              <w:rPr>
                <w:rFonts w:hint="eastAsia" w:ascii="宋体" w:hAnsi="宋体" w:eastAsia="宋体" w:cs="宋体"/>
                <w:szCs w:val="21"/>
              </w:rPr>
              <w:t>8</w:t>
            </w:r>
          </w:p>
        </w:tc>
      </w:tr>
      <w:tr w14:paraId="08376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4C40C4B6">
            <w:pPr>
              <w:jc w:val="center"/>
              <w:rPr>
                <w:rFonts w:hint="eastAsia" w:ascii="宋体" w:hAnsi="宋体" w:eastAsia="宋体" w:cs="宋体"/>
                <w:szCs w:val="21"/>
              </w:rPr>
            </w:pPr>
            <w:r>
              <w:rPr>
                <w:rFonts w:hint="eastAsia" w:ascii="宋体" w:hAnsi="宋体" w:eastAsia="宋体" w:cs="宋体"/>
                <w:szCs w:val="21"/>
              </w:rPr>
              <w:t>第六章 学习法治思想 提升法治素养</w:t>
            </w:r>
          </w:p>
        </w:tc>
        <w:tc>
          <w:tcPr>
            <w:tcW w:w="2577" w:type="dxa"/>
            <w:shd w:val="clear" w:color="auto" w:fill="auto"/>
            <w:vAlign w:val="center"/>
          </w:tcPr>
          <w:p w14:paraId="6BC76051">
            <w:pPr>
              <w:rPr>
                <w:rFonts w:hint="eastAsia" w:ascii="宋体" w:hAnsi="宋体" w:eastAsia="宋体" w:cs="宋体"/>
                <w:szCs w:val="21"/>
              </w:rPr>
            </w:pPr>
            <w:r>
              <w:rPr>
                <w:rFonts w:hint="eastAsia" w:ascii="宋体" w:hAnsi="宋体" w:eastAsia="宋体" w:cs="宋体"/>
                <w:szCs w:val="21"/>
              </w:rPr>
              <w:t>（1）社会主义法律的特征和运行</w:t>
            </w:r>
          </w:p>
          <w:p w14:paraId="5AC6FA56">
            <w:pPr>
              <w:rPr>
                <w:rFonts w:hint="eastAsia" w:ascii="宋体" w:hAnsi="宋体" w:eastAsia="宋体" w:cs="宋体"/>
                <w:szCs w:val="21"/>
              </w:rPr>
            </w:pPr>
            <w:r>
              <w:rPr>
                <w:rFonts w:hint="eastAsia" w:ascii="宋体" w:hAnsi="宋体" w:eastAsia="宋体" w:cs="宋体"/>
                <w:szCs w:val="21"/>
              </w:rPr>
              <w:t>（2）坚持全面依法治国；</w:t>
            </w:r>
          </w:p>
          <w:p w14:paraId="1E7E9946">
            <w:pPr>
              <w:rPr>
                <w:rFonts w:hint="eastAsia" w:ascii="宋体" w:hAnsi="宋体" w:eastAsia="宋体" w:cs="宋体"/>
                <w:szCs w:val="21"/>
              </w:rPr>
            </w:pPr>
            <w:r>
              <w:rPr>
                <w:rFonts w:hint="eastAsia" w:ascii="宋体" w:hAnsi="宋体" w:eastAsia="宋体" w:cs="宋体"/>
                <w:szCs w:val="21"/>
              </w:rPr>
              <w:t>（3）维护宪法权威</w:t>
            </w:r>
          </w:p>
          <w:p w14:paraId="79CAD8B6">
            <w:pPr>
              <w:rPr>
                <w:rFonts w:hint="eastAsia" w:ascii="宋体" w:hAnsi="宋体" w:eastAsia="宋体" w:cs="宋体"/>
                <w:szCs w:val="21"/>
              </w:rPr>
            </w:pPr>
            <w:r>
              <w:rPr>
                <w:rFonts w:hint="eastAsia" w:ascii="宋体" w:hAnsi="宋体" w:eastAsia="宋体" w:cs="宋体"/>
                <w:szCs w:val="21"/>
              </w:rPr>
              <w:t>（4）自觉尊法学法守法用法</w:t>
            </w:r>
          </w:p>
          <w:p w14:paraId="75E8A67D">
            <w:pPr>
              <w:rPr>
                <w:rFonts w:hint="eastAsia" w:ascii="宋体" w:hAnsi="宋体" w:eastAsia="宋体" w:cs="宋体"/>
                <w:szCs w:val="21"/>
              </w:rPr>
            </w:pPr>
          </w:p>
        </w:tc>
        <w:tc>
          <w:tcPr>
            <w:tcW w:w="1082" w:type="dxa"/>
            <w:shd w:val="clear" w:color="auto" w:fill="auto"/>
            <w:vAlign w:val="center"/>
          </w:tcPr>
          <w:p w14:paraId="79480AA9">
            <w:pPr>
              <w:jc w:val="center"/>
              <w:rPr>
                <w:rFonts w:hint="eastAsia" w:ascii="宋体" w:hAnsi="宋体" w:eastAsia="宋体" w:cs="宋体"/>
                <w:szCs w:val="21"/>
              </w:rPr>
            </w:pPr>
            <w:r>
              <w:rPr>
                <w:rFonts w:hint="eastAsia" w:ascii="宋体" w:hAnsi="宋体" w:eastAsia="宋体" w:cs="宋体"/>
                <w:szCs w:val="21"/>
              </w:rPr>
              <w:t>目标1</w:t>
            </w:r>
          </w:p>
          <w:p w14:paraId="5BCDDBF8">
            <w:pPr>
              <w:jc w:val="center"/>
              <w:rPr>
                <w:rFonts w:hint="eastAsia" w:ascii="宋体" w:hAnsi="宋体" w:eastAsia="宋体" w:cs="宋体"/>
                <w:szCs w:val="21"/>
              </w:rPr>
            </w:pPr>
            <w:r>
              <w:rPr>
                <w:rFonts w:hint="eastAsia" w:ascii="宋体" w:hAnsi="宋体" w:eastAsia="宋体" w:cs="宋体"/>
                <w:szCs w:val="21"/>
              </w:rPr>
              <w:t>目标2</w:t>
            </w:r>
          </w:p>
          <w:p w14:paraId="037CAC90">
            <w:pPr>
              <w:jc w:val="center"/>
              <w:rPr>
                <w:rFonts w:hint="eastAsia" w:ascii="宋体" w:hAnsi="宋体" w:eastAsia="宋体" w:cs="宋体"/>
                <w:kern w:val="0"/>
                <w:szCs w:val="21"/>
              </w:rPr>
            </w:pPr>
          </w:p>
        </w:tc>
        <w:tc>
          <w:tcPr>
            <w:tcW w:w="3586" w:type="dxa"/>
            <w:shd w:val="clear" w:color="auto" w:fill="auto"/>
            <w:vAlign w:val="center"/>
          </w:tcPr>
          <w:p w14:paraId="60F4C044">
            <w:pPr>
              <w:rPr>
                <w:rFonts w:hint="eastAsia" w:ascii="宋体" w:hAnsi="宋体" w:eastAsia="宋体" w:cs="宋体"/>
                <w:kern w:val="0"/>
                <w:szCs w:val="21"/>
              </w:rPr>
            </w:pPr>
            <w:r>
              <w:rPr>
                <w:rFonts w:hint="eastAsia" w:ascii="宋体" w:hAnsi="宋体" w:eastAsia="宋体" w:cs="宋体"/>
                <w:kern w:val="0"/>
                <w:szCs w:val="21"/>
              </w:rPr>
              <w:t>了解法律的概念与历史发展，宪法规定的基本制度、实体法律部门和程序法律部门，社会主义法治思维方式与法律的至上地位，法律权利与义务以及二者的关系；理解社会主义法治观念的主要内容、社主义法治思维方式的基本含义和特征，我国宪法法律规定的权利和义务；掌握中国特色社会主义法治体系，不断增强维护法律尊严的自觉性和责任感；树立法治理念，培养法治思维，维护法律权威，成为具有良好的法律素质的社会主义建设者和接班人，如何依法行使权利和履行义务</w:t>
            </w:r>
          </w:p>
        </w:tc>
        <w:tc>
          <w:tcPr>
            <w:tcW w:w="1571" w:type="dxa"/>
            <w:shd w:val="clear" w:color="auto" w:fill="auto"/>
            <w:vAlign w:val="center"/>
          </w:tcPr>
          <w:p w14:paraId="2880D42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7156F79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3066250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59A6E258">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72462647">
            <w:pPr>
              <w:jc w:val="center"/>
              <w:rPr>
                <w:rFonts w:hint="eastAsia" w:ascii="宋体" w:hAnsi="宋体" w:eastAsia="宋体" w:cs="宋体"/>
                <w:szCs w:val="21"/>
              </w:rPr>
            </w:pPr>
            <w:r>
              <w:rPr>
                <w:rFonts w:hint="eastAsia" w:ascii="宋体" w:hAnsi="宋体" w:eastAsia="宋体" w:cs="宋体"/>
                <w:szCs w:val="21"/>
              </w:rPr>
              <w:t>8</w:t>
            </w:r>
          </w:p>
        </w:tc>
      </w:tr>
      <w:tr w14:paraId="68C40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50DB23DE">
            <w:pPr>
              <w:jc w:val="center"/>
              <w:rPr>
                <w:rFonts w:hint="eastAsia" w:ascii="宋体" w:hAnsi="宋体" w:eastAsia="宋体" w:cs="宋体"/>
                <w:szCs w:val="21"/>
              </w:rPr>
            </w:pPr>
            <w:r>
              <w:rPr>
                <w:rFonts w:hint="eastAsia" w:ascii="宋体" w:hAnsi="宋体" w:eastAsia="宋体" w:cs="宋体"/>
                <w:bCs/>
                <w:szCs w:val="21"/>
              </w:rPr>
              <w:t>思想政治理论课实践</w:t>
            </w:r>
          </w:p>
        </w:tc>
        <w:tc>
          <w:tcPr>
            <w:tcW w:w="8816" w:type="dxa"/>
            <w:gridSpan w:val="4"/>
            <w:shd w:val="clear" w:color="auto" w:fill="auto"/>
            <w:vAlign w:val="center"/>
          </w:tcPr>
          <w:p w14:paraId="01FBDD36">
            <w:pPr>
              <w:rPr>
                <w:rFonts w:hint="eastAsia" w:ascii="宋体" w:hAnsi="宋体" w:eastAsia="宋体" w:cs="宋体"/>
                <w:szCs w:val="21"/>
              </w:rPr>
            </w:pPr>
            <w:r>
              <w:rPr>
                <w:rFonts w:hint="eastAsia" w:ascii="宋体" w:hAnsi="宋体" w:eastAsia="宋体" w:cs="宋体"/>
                <w:bCs/>
                <w:szCs w:val="21"/>
              </w:rPr>
              <w:t>落实教育部要求，本课程的实践学时计入“思想政治理论课实践”课程。学院组织实践教师指导学生分散在第一学期至第四学期完成“思想政治理论课实践”项目，学生的实践成绩在第四学期计入“思想政治理论课实践”课程成绩。</w:t>
            </w:r>
          </w:p>
        </w:tc>
        <w:tc>
          <w:tcPr>
            <w:tcW w:w="708" w:type="dxa"/>
            <w:shd w:val="clear" w:color="auto" w:fill="auto"/>
            <w:vAlign w:val="center"/>
          </w:tcPr>
          <w:p w14:paraId="366200C3">
            <w:pPr>
              <w:jc w:val="center"/>
              <w:rPr>
                <w:rFonts w:hint="eastAsia" w:ascii="宋体" w:hAnsi="宋体" w:eastAsia="宋体" w:cs="宋体"/>
                <w:szCs w:val="21"/>
              </w:rPr>
            </w:pPr>
            <w:r>
              <w:rPr>
                <w:rFonts w:hint="eastAsia" w:ascii="宋体" w:hAnsi="宋体" w:eastAsia="宋体" w:cs="宋体"/>
                <w:szCs w:val="21"/>
              </w:rPr>
              <w:t>6</w:t>
            </w:r>
          </w:p>
        </w:tc>
      </w:tr>
    </w:tbl>
    <w:p w14:paraId="449D6AEE">
      <w:pPr>
        <w:snapToGrid w:val="0"/>
        <w:spacing w:line="360" w:lineRule="auto"/>
        <w:ind w:firstLine="281" w:firstLineChars="100"/>
        <w:rPr>
          <w:rFonts w:hint="eastAsia" w:ascii="宋体" w:hAnsi="宋体" w:eastAsia="宋体"/>
          <w:b/>
          <w:bCs/>
          <w:color w:val="000000"/>
          <w:sz w:val="28"/>
          <w:szCs w:val="28"/>
        </w:rPr>
      </w:pPr>
    </w:p>
    <w:p w14:paraId="661C040D">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5BD44D8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AAEEF9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42B1D0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2010"/>
        <w:gridCol w:w="1553"/>
        <w:gridCol w:w="1335"/>
        <w:gridCol w:w="1494"/>
        <w:gridCol w:w="815"/>
      </w:tblGrid>
      <w:tr w14:paraId="1670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restart"/>
            <w:vAlign w:val="center"/>
          </w:tcPr>
          <w:p w14:paraId="250531A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392" w:type="dxa"/>
            <w:gridSpan w:val="4"/>
            <w:vAlign w:val="center"/>
          </w:tcPr>
          <w:p w14:paraId="534E3ED6">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815" w:type="dxa"/>
            <w:vMerge w:val="restart"/>
            <w:vAlign w:val="center"/>
          </w:tcPr>
          <w:p w14:paraId="7BCD84E9">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8E6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011F73A8">
            <w:pPr>
              <w:spacing w:line="360" w:lineRule="auto"/>
              <w:jc w:val="center"/>
              <w:rPr>
                <w:rFonts w:hint="eastAsia" w:ascii="宋体" w:hAnsi="宋体" w:eastAsia="宋体" w:cs="Times New Roman"/>
                <w:szCs w:val="21"/>
              </w:rPr>
            </w:pPr>
          </w:p>
        </w:tc>
        <w:tc>
          <w:tcPr>
            <w:tcW w:w="2010" w:type="dxa"/>
            <w:vAlign w:val="center"/>
          </w:tcPr>
          <w:p w14:paraId="2EA4AFD3">
            <w:pPr>
              <w:spacing w:line="360" w:lineRule="auto"/>
              <w:jc w:val="center"/>
              <w:rPr>
                <w:rFonts w:hint="eastAsia" w:ascii="宋体" w:hAnsi="宋体" w:eastAsia="宋体" w:cs="Times New Roman"/>
                <w:szCs w:val="21"/>
              </w:rPr>
            </w:pPr>
            <w:r>
              <w:rPr>
                <w:rFonts w:hint="eastAsia" w:ascii="宋体" w:hAnsi="宋体" w:eastAsia="宋体" w:cs="Times New Roman"/>
                <w:szCs w:val="21"/>
              </w:rPr>
              <w:t>网络课堂学习</w:t>
            </w:r>
          </w:p>
        </w:tc>
        <w:tc>
          <w:tcPr>
            <w:tcW w:w="1553" w:type="dxa"/>
            <w:vAlign w:val="center"/>
          </w:tcPr>
          <w:p w14:paraId="7EFA098A">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平时表现</w:t>
            </w:r>
          </w:p>
        </w:tc>
        <w:tc>
          <w:tcPr>
            <w:tcW w:w="1335" w:type="dxa"/>
            <w:vAlign w:val="center"/>
          </w:tcPr>
          <w:p w14:paraId="594D014F">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w:t>
            </w:r>
          </w:p>
        </w:tc>
        <w:tc>
          <w:tcPr>
            <w:tcW w:w="1494" w:type="dxa"/>
            <w:vAlign w:val="center"/>
          </w:tcPr>
          <w:p w14:paraId="7A3813D4">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815" w:type="dxa"/>
            <w:vMerge w:val="continue"/>
            <w:vAlign w:val="center"/>
          </w:tcPr>
          <w:p w14:paraId="545DADF1">
            <w:pPr>
              <w:spacing w:line="360" w:lineRule="auto"/>
              <w:jc w:val="center"/>
              <w:rPr>
                <w:rFonts w:hint="eastAsia" w:ascii="宋体" w:hAnsi="宋体" w:eastAsia="宋体" w:cs="Times New Roman"/>
                <w:szCs w:val="21"/>
              </w:rPr>
            </w:pPr>
          </w:p>
        </w:tc>
      </w:tr>
      <w:tr w14:paraId="7433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14:paraId="39A7601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010" w:type="dxa"/>
            <w:vAlign w:val="center"/>
          </w:tcPr>
          <w:p w14:paraId="651D612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3" w:type="dxa"/>
            <w:vAlign w:val="center"/>
          </w:tcPr>
          <w:p w14:paraId="33246A4F">
            <w:pPr>
              <w:spacing w:line="360" w:lineRule="auto"/>
              <w:jc w:val="center"/>
              <w:rPr>
                <w:rFonts w:hint="eastAsia" w:ascii="宋体" w:hAnsi="宋体" w:eastAsia="宋体" w:cs="Times New Roman"/>
                <w:szCs w:val="21"/>
              </w:rPr>
            </w:pPr>
          </w:p>
        </w:tc>
        <w:tc>
          <w:tcPr>
            <w:tcW w:w="1335" w:type="dxa"/>
            <w:vAlign w:val="center"/>
          </w:tcPr>
          <w:p w14:paraId="170F367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94" w:type="dxa"/>
            <w:vAlign w:val="center"/>
          </w:tcPr>
          <w:p w14:paraId="3DA8231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15" w:type="dxa"/>
            <w:vAlign w:val="center"/>
          </w:tcPr>
          <w:p w14:paraId="76569F89">
            <w:pPr>
              <w:spacing w:line="360" w:lineRule="auto"/>
              <w:jc w:val="center"/>
              <w:rPr>
                <w:rFonts w:hint="eastAsia" w:ascii="宋体" w:hAnsi="宋体" w:eastAsia="宋体" w:cs="Times New Roman"/>
                <w:szCs w:val="21"/>
              </w:rPr>
            </w:pPr>
            <w:r>
              <w:rPr>
                <w:rFonts w:hint="eastAsia" w:ascii="宋体" w:hAnsi="宋体" w:eastAsia="宋体" w:cs="Times New Roman"/>
                <w:szCs w:val="21"/>
              </w:rPr>
              <w:t>36</w:t>
            </w:r>
          </w:p>
        </w:tc>
      </w:tr>
      <w:tr w14:paraId="1DD2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14:paraId="6FFDD68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010" w:type="dxa"/>
            <w:vAlign w:val="center"/>
          </w:tcPr>
          <w:p w14:paraId="781CADF8">
            <w:pPr>
              <w:spacing w:line="360" w:lineRule="auto"/>
              <w:jc w:val="center"/>
              <w:rPr>
                <w:rFonts w:hint="eastAsia" w:ascii="宋体" w:hAnsi="宋体" w:eastAsia="宋体" w:cs="Times New Roman"/>
                <w:szCs w:val="21"/>
              </w:rPr>
            </w:pPr>
          </w:p>
        </w:tc>
        <w:tc>
          <w:tcPr>
            <w:tcW w:w="1553" w:type="dxa"/>
            <w:vAlign w:val="center"/>
          </w:tcPr>
          <w:p w14:paraId="7F4AFFB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5" w:type="dxa"/>
            <w:vAlign w:val="center"/>
          </w:tcPr>
          <w:p w14:paraId="7B40528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94" w:type="dxa"/>
            <w:vAlign w:val="center"/>
          </w:tcPr>
          <w:p w14:paraId="6DAC44B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15" w:type="dxa"/>
            <w:vAlign w:val="center"/>
          </w:tcPr>
          <w:p w14:paraId="04D5EC31">
            <w:pPr>
              <w:spacing w:line="360" w:lineRule="auto"/>
              <w:jc w:val="center"/>
              <w:rPr>
                <w:rFonts w:hint="eastAsia" w:ascii="宋体" w:hAnsi="宋体" w:eastAsia="宋体" w:cs="Times New Roman"/>
                <w:szCs w:val="21"/>
              </w:rPr>
            </w:pPr>
            <w:r>
              <w:rPr>
                <w:rFonts w:hint="eastAsia" w:ascii="宋体" w:hAnsi="宋体" w:eastAsia="宋体" w:cs="Times New Roman"/>
                <w:szCs w:val="21"/>
              </w:rPr>
              <w:t>42</w:t>
            </w:r>
          </w:p>
        </w:tc>
      </w:tr>
      <w:tr w14:paraId="4F07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14:paraId="3AEBB83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010" w:type="dxa"/>
            <w:vAlign w:val="center"/>
          </w:tcPr>
          <w:p w14:paraId="0005E7A0">
            <w:pPr>
              <w:spacing w:line="360" w:lineRule="auto"/>
              <w:jc w:val="center"/>
              <w:rPr>
                <w:rFonts w:hint="eastAsia" w:ascii="宋体" w:hAnsi="宋体" w:eastAsia="宋体" w:cs="Times New Roman"/>
                <w:szCs w:val="21"/>
              </w:rPr>
            </w:pPr>
          </w:p>
        </w:tc>
        <w:tc>
          <w:tcPr>
            <w:tcW w:w="1553" w:type="dxa"/>
            <w:vAlign w:val="center"/>
          </w:tcPr>
          <w:p w14:paraId="7D93A4F6">
            <w:pPr>
              <w:spacing w:line="360" w:lineRule="auto"/>
              <w:jc w:val="center"/>
              <w:rPr>
                <w:rFonts w:hint="eastAsia" w:ascii="宋体" w:hAnsi="宋体" w:eastAsia="宋体" w:cs="Times New Roman"/>
                <w:szCs w:val="21"/>
              </w:rPr>
            </w:pPr>
          </w:p>
        </w:tc>
        <w:tc>
          <w:tcPr>
            <w:tcW w:w="1335" w:type="dxa"/>
            <w:vAlign w:val="center"/>
          </w:tcPr>
          <w:p w14:paraId="242C684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94" w:type="dxa"/>
            <w:vAlign w:val="center"/>
          </w:tcPr>
          <w:p w14:paraId="56A95D9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15" w:type="dxa"/>
            <w:vAlign w:val="center"/>
          </w:tcPr>
          <w:p w14:paraId="3A790024">
            <w:pPr>
              <w:spacing w:line="360" w:lineRule="auto"/>
              <w:jc w:val="center"/>
              <w:rPr>
                <w:rFonts w:hint="eastAsia" w:ascii="宋体" w:hAnsi="宋体" w:eastAsia="宋体" w:cs="Times New Roman"/>
                <w:szCs w:val="21"/>
              </w:rPr>
            </w:pPr>
            <w:r>
              <w:rPr>
                <w:rFonts w:hint="eastAsia" w:ascii="宋体" w:hAnsi="宋体" w:eastAsia="宋体" w:cs="Times New Roman"/>
                <w:szCs w:val="21"/>
              </w:rPr>
              <w:t>22</w:t>
            </w:r>
          </w:p>
        </w:tc>
      </w:tr>
      <w:tr w14:paraId="22EB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14:paraId="61CC68A6">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2010" w:type="dxa"/>
            <w:vAlign w:val="center"/>
          </w:tcPr>
          <w:p w14:paraId="79D78C08">
            <w:pPr>
              <w:spacing w:line="360" w:lineRule="auto"/>
              <w:jc w:val="center"/>
              <w:rPr>
                <w:rFonts w:hint="eastAsia" w:ascii="宋体" w:hAnsi="宋体" w:eastAsia="宋体" w:cs="Times New Roman"/>
                <w:szCs w:val="21"/>
              </w:rPr>
            </w:pPr>
          </w:p>
        </w:tc>
        <w:tc>
          <w:tcPr>
            <w:tcW w:w="1553" w:type="dxa"/>
            <w:vAlign w:val="center"/>
          </w:tcPr>
          <w:p w14:paraId="5D24060A">
            <w:pPr>
              <w:spacing w:line="360" w:lineRule="auto"/>
              <w:jc w:val="center"/>
              <w:rPr>
                <w:rFonts w:hint="eastAsia" w:ascii="宋体" w:hAnsi="宋体" w:eastAsia="宋体" w:cs="Times New Roman"/>
                <w:szCs w:val="21"/>
              </w:rPr>
            </w:pPr>
          </w:p>
        </w:tc>
        <w:tc>
          <w:tcPr>
            <w:tcW w:w="1335" w:type="dxa"/>
            <w:vAlign w:val="center"/>
          </w:tcPr>
          <w:p w14:paraId="4A08A6A4">
            <w:pPr>
              <w:spacing w:line="360" w:lineRule="auto"/>
              <w:jc w:val="center"/>
              <w:rPr>
                <w:rFonts w:hint="eastAsia" w:ascii="宋体" w:hAnsi="宋体" w:eastAsia="宋体" w:cs="Times New Roman"/>
                <w:szCs w:val="21"/>
              </w:rPr>
            </w:pPr>
          </w:p>
        </w:tc>
        <w:tc>
          <w:tcPr>
            <w:tcW w:w="1494" w:type="dxa"/>
            <w:vAlign w:val="center"/>
          </w:tcPr>
          <w:p w14:paraId="48EDC8D4">
            <w:pPr>
              <w:spacing w:line="360" w:lineRule="auto"/>
              <w:jc w:val="center"/>
              <w:rPr>
                <w:rFonts w:hint="eastAsia" w:ascii="宋体" w:hAnsi="宋体" w:eastAsia="宋体" w:cs="Times New Roman"/>
                <w:szCs w:val="21"/>
              </w:rPr>
            </w:pPr>
          </w:p>
        </w:tc>
        <w:tc>
          <w:tcPr>
            <w:tcW w:w="815" w:type="dxa"/>
            <w:vAlign w:val="center"/>
          </w:tcPr>
          <w:p w14:paraId="653E5264">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8CA90FC">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E28F51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44FD35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38"/>
      </w:tblGrid>
      <w:tr w14:paraId="7503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6AA15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6BC7B6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7D7988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AFD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C7AF6D3">
            <w:pPr>
              <w:jc w:val="center"/>
              <w:rPr>
                <w:rFonts w:ascii="Times New Roman" w:hAnsi="Times New Roman" w:eastAsia="宋体" w:cs="Times New Roman"/>
                <w:b/>
                <w:bCs/>
                <w:szCs w:val="21"/>
              </w:rPr>
            </w:pPr>
            <w:r>
              <w:rPr>
                <w:rFonts w:hint="eastAsia" w:ascii="Times New Roman" w:hAnsi="Times New Roman" w:eastAsia="宋体" w:cs="Times New Roman"/>
                <w:szCs w:val="21"/>
              </w:rPr>
              <w:t>网络课堂学习</w:t>
            </w:r>
          </w:p>
        </w:tc>
        <w:tc>
          <w:tcPr>
            <w:tcW w:w="7141" w:type="dxa"/>
            <w:vAlign w:val="center"/>
          </w:tcPr>
          <w:p w14:paraId="345BC69C">
            <w:pPr>
              <w:jc w:val="center"/>
              <w:rPr>
                <w:rFonts w:ascii="Times New Roman" w:hAnsi="Times New Roman" w:eastAsia="宋体" w:cs="Times New Roman"/>
                <w:szCs w:val="21"/>
              </w:rPr>
            </w:pPr>
            <w:r>
              <w:rPr>
                <w:rFonts w:hint="eastAsia" w:ascii="Times New Roman" w:hAnsi="Times New Roman" w:eastAsia="宋体" w:cs="Times New Roman"/>
                <w:szCs w:val="21"/>
              </w:rPr>
              <w:t>通过网络视频观看、互动讨论等，考核对思想道德与法治理论的理解和运用</w:t>
            </w:r>
          </w:p>
        </w:tc>
        <w:tc>
          <w:tcPr>
            <w:tcW w:w="0" w:type="auto"/>
            <w:vAlign w:val="center"/>
          </w:tcPr>
          <w:p w14:paraId="3FDF0CDD">
            <w:pPr>
              <w:jc w:val="center"/>
              <w:rPr>
                <w:rFonts w:hint="eastAsia" w:ascii="宋体" w:hAnsi="宋体" w:eastAsia="宋体" w:cs="宋体"/>
                <w:szCs w:val="21"/>
              </w:rPr>
            </w:pPr>
            <w:r>
              <w:rPr>
                <w:rFonts w:hint="eastAsia" w:ascii="宋体" w:hAnsi="宋体" w:eastAsia="宋体" w:cs="宋体"/>
                <w:szCs w:val="21"/>
              </w:rPr>
              <w:t>10%</w:t>
            </w:r>
          </w:p>
        </w:tc>
      </w:tr>
      <w:tr w14:paraId="5158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327114">
            <w:pPr>
              <w:rPr>
                <w:rFonts w:ascii="Times New Roman" w:hAnsi="Times New Roman" w:eastAsia="宋体" w:cs="Times New Roman"/>
                <w:szCs w:val="21"/>
              </w:rPr>
            </w:pPr>
            <w:r>
              <w:rPr>
                <w:rFonts w:hint="eastAsia" w:ascii="Times New Roman" w:hAnsi="Times New Roman" w:eastAsia="宋体" w:cs="Times New Roman"/>
                <w:szCs w:val="21"/>
              </w:rPr>
              <w:t>平时表现</w:t>
            </w:r>
          </w:p>
        </w:tc>
        <w:tc>
          <w:tcPr>
            <w:tcW w:w="7141" w:type="dxa"/>
            <w:vAlign w:val="center"/>
          </w:tcPr>
          <w:p w14:paraId="3428C357">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通过出勤情况、听课表现、学习互动等，考核对思想道德与法治理论的理解和运用。</w:t>
            </w:r>
          </w:p>
        </w:tc>
        <w:tc>
          <w:tcPr>
            <w:tcW w:w="0" w:type="auto"/>
            <w:vAlign w:val="center"/>
          </w:tcPr>
          <w:p w14:paraId="1ADAA77D">
            <w:pPr>
              <w:jc w:val="center"/>
              <w:rPr>
                <w:rFonts w:hint="eastAsia" w:ascii="宋体" w:hAnsi="宋体" w:eastAsia="宋体" w:cs="宋体"/>
                <w:szCs w:val="21"/>
              </w:rPr>
            </w:pPr>
            <w:r>
              <w:rPr>
                <w:rFonts w:hint="eastAsia" w:ascii="宋体" w:hAnsi="宋体" w:eastAsia="宋体" w:cs="宋体"/>
                <w:szCs w:val="21"/>
              </w:rPr>
              <w:t>20%</w:t>
            </w:r>
          </w:p>
        </w:tc>
      </w:tr>
      <w:tr w14:paraId="7932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AE740B">
            <w:pPr>
              <w:rPr>
                <w:rFonts w:ascii="Times New Roman" w:hAnsi="Times New Roman" w:eastAsia="宋体" w:cs="Times New Roman"/>
                <w:szCs w:val="21"/>
              </w:rPr>
            </w:pPr>
            <w:r>
              <w:rPr>
                <w:rFonts w:hint="eastAsia" w:ascii="Times New Roman" w:hAnsi="Times New Roman" w:eastAsia="宋体" w:cs="Times New Roman"/>
                <w:szCs w:val="21"/>
              </w:rPr>
              <w:t>作业</w:t>
            </w:r>
          </w:p>
        </w:tc>
        <w:tc>
          <w:tcPr>
            <w:tcW w:w="7141" w:type="dxa"/>
            <w:vAlign w:val="center"/>
          </w:tcPr>
          <w:p w14:paraId="7FA6AC86">
            <w:pPr>
              <w:widowControl/>
              <w:spacing w:line="264" w:lineRule="auto"/>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平时作业共3次。</w:t>
            </w:r>
            <w:r>
              <w:rPr>
                <w:rFonts w:hint="eastAsia" w:ascii="宋体" w:hAnsi="宋体" w:eastAsia="宋体" w:cs="宋体"/>
                <w:color w:val="000000"/>
                <w:kern w:val="0"/>
                <w:szCs w:val="21"/>
                <w:lang w:bidi="ar"/>
              </w:rPr>
              <w:t>一</w:t>
            </w:r>
            <w:r>
              <w:rPr>
                <w:rFonts w:hint="eastAsia" w:ascii="Times New Roman" w:hAnsi="Times New Roman" w:eastAsia="宋体" w:cs="Times New Roman"/>
                <w:szCs w:val="21"/>
              </w:rPr>
              <w:t>和二为主观题，以小论文或分析报告等的规范性、准确性、逻辑性及整洁性等为评分的主要依据。三为单元测试题，</w:t>
            </w:r>
            <w:r>
              <w:rPr>
                <w:rFonts w:hint="eastAsia" w:ascii="宋体" w:hAnsi="宋体" w:eastAsia="宋体" w:cs="宋体"/>
                <w:color w:val="000000"/>
                <w:kern w:val="0"/>
                <w:szCs w:val="21"/>
                <w:lang w:bidi="ar"/>
              </w:rPr>
              <w:t>主要考查基础知识和基本理论的掌握，以题目的正确率为得分依据。</w:t>
            </w:r>
          </w:p>
        </w:tc>
        <w:tc>
          <w:tcPr>
            <w:tcW w:w="0" w:type="auto"/>
            <w:vAlign w:val="center"/>
          </w:tcPr>
          <w:p w14:paraId="38358B6A">
            <w:pPr>
              <w:jc w:val="center"/>
              <w:rPr>
                <w:rFonts w:hint="eastAsia" w:ascii="宋体" w:hAnsi="宋体" w:eastAsia="宋体" w:cs="宋体"/>
                <w:szCs w:val="21"/>
              </w:rPr>
            </w:pPr>
            <w:r>
              <w:rPr>
                <w:rFonts w:hint="eastAsia" w:ascii="宋体" w:hAnsi="宋体" w:eastAsia="宋体" w:cs="宋体"/>
                <w:szCs w:val="21"/>
              </w:rPr>
              <w:t>30%</w:t>
            </w:r>
          </w:p>
        </w:tc>
      </w:tr>
      <w:tr w14:paraId="5D9A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69B60C">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36799525">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单项选择题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多项选择题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判断题、填空题、论述题</w:t>
            </w:r>
            <w:r>
              <w:rPr>
                <w:rFonts w:ascii="Times New Roman" w:hAnsi="Times New Roman" w:eastAsia="宋体" w:cs="Times New Roman"/>
                <w:color w:val="000000"/>
                <w:szCs w:val="21"/>
              </w:rPr>
              <w:t>等，以卷面成绩的</w:t>
            </w:r>
            <w:r>
              <w:rPr>
                <w:rFonts w:hint="eastAsia" w:ascii="Times New Roman" w:hAnsi="Times New Roman" w:eastAsia="宋体" w:cs="Times New Roman"/>
                <w:color w:val="000000"/>
                <w:szCs w:val="21"/>
              </w:rPr>
              <w:t>40</w:t>
            </w:r>
            <w:r>
              <w:rPr>
                <w:rFonts w:ascii="Times New Roman" w:hAnsi="Times New Roman" w:eastAsia="宋体" w:cs="Times New Roman"/>
                <w:color w:val="000000"/>
                <w:szCs w:val="21"/>
              </w:rPr>
              <w:t>%计入课程总成绩。其中考核</w:t>
            </w:r>
            <w:r>
              <w:rPr>
                <w:rFonts w:hint="eastAsia" w:ascii="Times New Roman" w:hAnsi="Times New Roman" w:eastAsia="宋体" w:cs="Times New Roman"/>
                <w:color w:val="000000"/>
                <w:szCs w:val="21"/>
              </w:rPr>
              <w:t>思想道德与法治基本理论和知识型题目占5</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%；考核学生运用思想道德与法治基本理论知识进行分析问题和解决问题能力的题型占5</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715B7B6A">
            <w:pPr>
              <w:jc w:val="center"/>
              <w:rPr>
                <w:rFonts w:hint="eastAsia" w:ascii="宋体" w:hAnsi="宋体" w:eastAsia="宋体" w:cs="宋体"/>
                <w:szCs w:val="21"/>
              </w:rPr>
            </w:pPr>
            <w:r>
              <w:rPr>
                <w:rFonts w:hint="eastAsia" w:ascii="宋体" w:hAnsi="宋体" w:eastAsia="宋体" w:cs="宋体"/>
                <w:szCs w:val="21"/>
              </w:rPr>
              <w:t>40%</w:t>
            </w:r>
          </w:p>
        </w:tc>
      </w:tr>
      <w:tr w14:paraId="1404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AAA295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D008D7A">
            <w:pPr>
              <w:jc w:val="left"/>
              <w:rPr>
                <w:rFonts w:ascii="Times New Roman" w:hAnsi="Times New Roman" w:eastAsia="宋体" w:cs="Times New Roman"/>
                <w:szCs w:val="21"/>
              </w:rPr>
            </w:pPr>
          </w:p>
        </w:tc>
        <w:tc>
          <w:tcPr>
            <w:tcW w:w="0" w:type="auto"/>
            <w:vAlign w:val="center"/>
          </w:tcPr>
          <w:p w14:paraId="594054DD">
            <w:pPr>
              <w:jc w:val="center"/>
              <w:rPr>
                <w:rFonts w:hint="eastAsia" w:ascii="宋体" w:hAnsi="宋体" w:eastAsia="宋体" w:cs="宋体"/>
                <w:szCs w:val="21"/>
              </w:rPr>
            </w:pPr>
            <w:r>
              <w:rPr>
                <w:rFonts w:hint="eastAsia" w:ascii="宋体" w:hAnsi="宋体" w:eastAsia="宋体" w:cs="宋体"/>
                <w:szCs w:val="21"/>
              </w:rPr>
              <w:t>100%</w:t>
            </w:r>
          </w:p>
        </w:tc>
      </w:tr>
    </w:tbl>
    <w:p w14:paraId="0E25A641">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567BA5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7658F2E">
      <w:pPr>
        <w:snapToGrid w:val="0"/>
        <w:spacing w:line="360" w:lineRule="auto"/>
        <w:ind w:firstLine="210" w:firstLineChars="100"/>
        <w:rPr>
          <w:rFonts w:hint="eastAsia" w:ascii="宋体" w:hAnsi="宋体" w:eastAsia="宋体"/>
          <w:b/>
          <w:bCs/>
          <w:color w:val="000000"/>
          <w:sz w:val="28"/>
          <w:szCs w:val="28"/>
        </w:rPr>
      </w:pPr>
      <w:r>
        <w:rPr>
          <w:rFonts w:ascii="宋体" w:hAnsi="宋体" w:eastAsia="宋体" w:cs="Times New Roman"/>
          <w:color w:val="000000"/>
          <w:szCs w:val="21"/>
        </w:rPr>
        <w:object>
          <v:shape id="_x0000_i1025"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25" DrawAspect="Content" ObjectID="_1468075725" r:id="rId4">
            <o:LockedField>false</o:LockedField>
          </o:OLEObject>
        </w:object>
      </w:r>
    </w:p>
    <w:p w14:paraId="5E3281D2">
      <w:pPr>
        <w:spacing w:line="360" w:lineRule="auto"/>
        <w:rPr>
          <w:rFonts w:ascii="Times New Roman" w:hAnsi="Times New Roman" w:eastAsia="宋体" w:cs="Times New Roman"/>
          <w:b/>
          <w:sz w:val="24"/>
        </w:rPr>
      </w:pPr>
      <w:r>
        <w:rPr>
          <w:rFonts w:hint="eastAsia" w:ascii="Times New Roman" w:hAnsi="Times New Roman" w:eastAsia="宋体" w:cs="Times New Roman"/>
          <w:b/>
          <w:sz w:val="24"/>
        </w:rPr>
        <w:t>五</w:t>
      </w:r>
      <w:r>
        <w:rPr>
          <w:rFonts w:ascii="Times New Roman" w:hAnsi="Times New Roman" w:eastAsia="宋体" w:cs="Times New Roman"/>
          <w:b/>
          <w:sz w:val="24"/>
        </w:rPr>
        <w:t>、</w:t>
      </w:r>
      <w:r>
        <w:rPr>
          <w:rFonts w:hint="eastAsia" w:ascii="Times New Roman" w:hAnsi="Times New Roman" w:eastAsia="宋体" w:cs="Times New Roman"/>
          <w:b/>
          <w:sz w:val="24"/>
        </w:rPr>
        <w:t>有关说明</w:t>
      </w:r>
    </w:p>
    <w:p w14:paraId="52AB3246">
      <w:pPr>
        <w:spacing w:line="360" w:lineRule="auto"/>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（一）持续改进</w:t>
      </w:r>
    </w:p>
    <w:p w14:paraId="0CB4913B">
      <w:pPr>
        <w:spacing w:line="360" w:lineRule="auto"/>
        <w:ind w:firstLine="420" w:firstLineChars="200"/>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本课程根据网络课堂学习、平时表现、作业和期末考试等考核情况，以及学生、教学督导等反馈，及时对教学中不足之处进行改进，并在下一轮课程教学中整改完善，确保相应毕业要求观测点达成。</w:t>
      </w:r>
    </w:p>
    <w:p w14:paraId="06344A32">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1F0F17C3">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 xml:space="preserve">《思想道德与法治》，本书编写组主编，高等教育出版社，2023年2月版 </w:t>
      </w:r>
    </w:p>
    <w:p w14:paraId="210F6524">
      <w:pPr>
        <w:spacing w:line="360" w:lineRule="auto"/>
        <w:rPr>
          <w:rFonts w:ascii="Times New Roman" w:hAnsi="Times New Roman" w:eastAsia="宋体" w:cs="Times New Roman"/>
          <w:b/>
          <w:szCs w:val="21"/>
        </w:rPr>
      </w:pPr>
      <w:r>
        <w:rPr>
          <w:rFonts w:hint="eastAsia" w:ascii="Times New Roman" w:hAnsi="Times New Roman" w:eastAsia="宋体" w:cs="Times New Roman"/>
          <w:b/>
          <w:szCs w:val="21"/>
        </w:rPr>
        <w:t>（三）</w:t>
      </w:r>
      <w:r>
        <w:rPr>
          <w:rFonts w:ascii="Times New Roman" w:hAnsi="Times New Roman" w:eastAsia="宋体" w:cs="Times New Roman"/>
          <w:b/>
          <w:szCs w:val="21"/>
        </w:rPr>
        <w:t>参考书目</w:t>
      </w:r>
    </w:p>
    <w:p w14:paraId="66A7CCA0">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1.《习近平谈治国理政》第一卷，外文出版社，2018</w:t>
      </w:r>
    </w:p>
    <w:p w14:paraId="4E61F8F4">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2.《习近平关于实现中华民族伟大复兴的中国梦论述摘编》，中央文献出版社，2013</w:t>
      </w:r>
    </w:p>
    <w:p w14:paraId="1F9898E3">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3.《新时代爱国主义教育实施纲要》，人民出版社，2019</w:t>
      </w:r>
    </w:p>
    <w:p w14:paraId="3C2DF3B0">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4.《新时代公民道德建设实施纲要》，人民出版社，2019</w:t>
      </w:r>
    </w:p>
    <w:p w14:paraId="49EA7BC2">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5.《中华人民共和国民法典》，法律出版社，2020</w:t>
      </w:r>
    </w:p>
    <w:p w14:paraId="439A8CA1">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6.《习近平法治思想概论》，高等教育出版社，2021</w:t>
      </w:r>
    </w:p>
    <w:p w14:paraId="1B11DD73">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7.《习近平法治思想学习纲要》，人民出版社、学习出版社，2021</w:t>
      </w:r>
    </w:p>
    <w:p w14:paraId="176939E8">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8.《习近平关于社会主义精神文明建设论述摘编》，中央文献出版社，2022</w:t>
      </w:r>
    </w:p>
    <w:p w14:paraId="3ADF2471">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9. 毛泽东：《为人民服务》，《毛泽东选集》第3卷，人民出版社，1991</w:t>
      </w:r>
    </w:p>
    <w:p w14:paraId="1D85CE82">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10. 习近平：《在纪念马克思诞辰200周年大会上的讲话》，人民出版社，2018</w:t>
      </w:r>
    </w:p>
    <w:p w14:paraId="31500155">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11. 习近平：《论坚持全面依法治国》，中央文献出版社，2020</w:t>
      </w:r>
    </w:p>
    <w:p w14:paraId="654FE4E1">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12. 习近平：《高举中国特色社会主义伟大旗帜 为全面建设社会主义现代化国家而团结奋斗——在中国共产党第二十次全国代表大会上的报告》，人民出版社，2022</w:t>
      </w:r>
    </w:p>
    <w:p w14:paraId="450C851F">
      <w:pPr>
        <w:autoSpaceDE w:val="0"/>
        <w:autoSpaceDN w:val="0"/>
        <w:adjustRightInd w:val="0"/>
        <w:spacing w:line="360" w:lineRule="auto"/>
        <w:ind w:firstLine="422" w:firstLineChars="200"/>
        <w:jc w:val="left"/>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（四）教学改革</w:t>
      </w:r>
    </w:p>
    <w:p w14:paraId="0C5BD9FF">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本课程的教学改革，需制定相应的教学方案。</w:t>
      </w:r>
    </w:p>
    <w:p w14:paraId="3AC6B60C">
      <w:pPr>
        <w:spacing w:line="360" w:lineRule="auto"/>
        <w:ind w:firstLine="420" w:firstLineChars="200"/>
        <w:rPr>
          <w:rFonts w:ascii="Times New Roman" w:hAnsi="Times New Roman" w:eastAsia="宋体" w:cs="Times New Roman"/>
          <w:szCs w:val="21"/>
        </w:rPr>
      </w:pPr>
    </w:p>
    <w:p w14:paraId="7442BCDA">
      <w:pPr>
        <w:autoSpaceDE w:val="0"/>
        <w:autoSpaceDN w:val="0"/>
        <w:adjustRightInd w:val="0"/>
        <w:spacing w:line="360" w:lineRule="auto"/>
        <w:ind w:firstLine="4935" w:firstLineChars="2350"/>
        <w:jc w:val="left"/>
        <w:rPr>
          <w:rFonts w:ascii="Times New Roman" w:hAnsi="Times New Roman" w:eastAsia="宋体" w:cs="Times New Roman"/>
          <w:kern w:val="0"/>
          <w:szCs w:val="21"/>
        </w:rPr>
      </w:pPr>
    </w:p>
    <w:p w14:paraId="3F53F6E0">
      <w:pPr>
        <w:autoSpaceDE w:val="0"/>
        <w:autoSpaceDN w:val="0"/>
        <w:adjustRightInd w:val="0"/>
        <w:spacing w:line="360" w:lineRule="auto"/>
        <w:ind w:firstLine="4935" w:firstLineChars="2350"/>
        <w:jc w:val="right"/>
        <w:rPr>
          <w:rFonts w:ascii="Times New Roman" w:hAnsi="Times New Roman" w:eastAsia="宋体" w:cs="Times New Roman"/>
          <w:kern w:val="0"/>
          <w:szCs w:val="21"/>
        </w:rPr>
      </w:pPr>
      <w:r>
        <w:rPr>
          <w:rFonts w:ascii="Times New Roman" w:hAnsi="Times New Roman" w:eastAsia="宋体" w:cs="Times New Roman"/>
          <w:kern w:val="0"/>
          <w:szCs w:val="21"/>
        </w:rPr>
        <w:t>执笔人：</w:t>
      </w:r>
      <w:r>
        <w:rPr>
          <w:rFonts w:hint="eastAsia" w:ascii="Times New Roman" w:hAnsi="Times New Roman" w:eastAsia="宋体" w:cs="Times New Roman"/>
          <w:kern w:val="0"/>
          <w:szCs w:val="21"/>
        </w:rPr>
        <w:t xml:space="preserve">陈 </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瑶</w:t>
      </w:r>
    </w:p>
    <w:p w14:paraId="1332B6A3">
      <w:pPr>
        <w:autoSpaceDE w:val="0"/>
        <w:autoSpaceDN w:val="0"/>
        <w:adjustRightInd w:val="0"/>
        <w:spacing w:line="360" w:lineRule="auto"/>
        <w:ind w:left="5670" w:leftChars="2700"/>
        <w:jc w:val="right"/>
        <w:rPr>
          <w:rFonts w:ascii="Times New Roman" w:hAnsi="Times New Roman" w:eastAsia="宋体" w:cs="Times New Roman"/>
          <w:kern w:val="0"/>
          <w:szCs w:val="21"/>
        </w:rPr>
      </w:pPr>
      <w:r>
        <w:rPr>
          <w:rFonts w:ascii="Times New Roman" w:hAnsi="Times New Roman" w:eastAsia="宋体" w:cs="Times New Roman"/>
          <w:kern w:val="0"/>
          <w:szCs w:val="21"/>
        </w:rPr>
        <w:t>审定人：</w:t>
      </w:r>
      <w:r>
        <w:rPr>
          <w:rFonts w:hint="eastAsia" w:ascii="Times New Roman" w:hAnsi="Times New Roman" w:eastAsia="宋体" w:cs="Times New Roman"/>
          <w:kern w:val="0"/>
          <w:szCs w:val="21"/>
        </w:rPr>
        <w:t>夏天静</w:t>
      </w:r>
    </w:p>
    <w:p w14:paraId="1B9534BA">
      <w:pPr>
        <w:autoSpaceDE w:val="0"/>
        <w:autoSpaceDN w:val="0"/>
        <w:adjustRightInd w:val="0"/>
        <w:spacing w:line="360" w:lineRule="auto"/>
        <w:ind w:left="5670" w:leftChars="2700"/>
        <w:jc w:val="right"/>
        <w:rPr>
          <w:rFonts w:ascii="Times New Roman" w:hAnsi="Times New Roman" w:eastAsia="宋体" w:cs="Times New Roman"/>
          <w:kern w:val="0"/>
          <w:szCs w:val="21"/>
        </w:rPr>
      </w:pPr>
      <w:r>
        <w:rPr>
          <w:rFonts w:hint="eastAsia" w:ascii="Times New Roman" w:hAnsi="Times New Roman" w:eastAsia="宋体" w:cs="Times New Roman"/>
          <w:kern w:val="0"/>
          <w:szCs w:val="21"/>
        </w:rPr>
        <w:t>审批</w:t>
      </w:r>
      <w:r>
        <w:rPr>
          <w:rFonts w:ascii="Times New Roman" w:hAnsi="Times New Roman" w:eastAsia="宋体" w:cs="Times New Roman"/>
          <w:kern w:val="0"/>
          <w:szCs w:val="21"/>
        </w:rPr>
        <w:t>人：</w:t>
      </w:r>
      <w:r>
        <w:rPr>
          <w:rFonts w:hint="eastAsia" w:ascii="Times New Roman" w:hAnsi="Times New Roman" w:eastAsia="宋体" w:cs="Times New Roman"/>
          <w:kern w:val="0"/>
          <w:szCs w:val="21"/>
        </w:rPr>
        <w:t>熊焱生</w:t>
      </w:r>
    </w:p>
    <w:p w14:paraId="46148F2C">
      <w:pPr>
        <w:autoSpaceDE w:val="0"/>
        <w:autoSpaceDN w:val="0"/>
        <w:adjustRightInd w:val="0"/>
        <w:spacing w:line="360" w:lineRule="auto"/>
        <w:ind w:firstLine="4620" w:firstLineChars="2200"/>
        <w:jc w:val="right"/>
        <w:rPr>
          <w:rFonts w:ascii="Times New Roman" w:hAnsi="Times New Roman" w:eastAsia="宋体" w:cs="Times New Roman"/>
          <w:szCs w:val="21"/>
        </w:rPr>
      </w:pPr>
      <w:r>
        <w:rPr>
          <w:rFonts w:hint="eastAsia" w:ascii="Times New Roman" w:hAnsi="Times New Roman" w:eastAsia="宋体" w:cs="Times New Roman"/>
          <w:kern w:val="0"/>
          <w:szCs w:val="21"/>
        </w:rPr>
        <w:t>2024年9月1日</w:t>
      </w:r>
    </w:p>
    <w:p w14:paraId="1DC56F64">
      <w:pPr>
        <w:rPr>
          <w:rFonts w:hint="eastAsia" w:ascii="等线" w:hAnsi="等线" w:eastAsia="等线" w:cs="等线"/>
          <w:b/>
          <w:bCs/>
          <w:sz w:val="44"/>
          <w:szCs w:val="44"/>
        </w:rPr>
      </w:pPr>
      <w:r>
        <w:rPr>
          <w:rFonts w:hint="eastAsia" w:ascii="等线" w:hAnsi="等线" w:eastAsia="等线" w:cs="等线"/>
          <w:b/>
          <w:bCs/>
          <w:sz w:val="44"/>
          <w:szCs w:val="44"/>
        </w:rPr>
        <w:br w:type="page"/>
      </w:r>
    </w:p>
    <w:p w14:paraId="3A4F1217">
      <w:pPr>
        <w:pStyle w:val="2"/>
        <w:tabs>
          <w:tab w:val="left" w:pos="720"/>
          <w:tab w:val="left" w:pos="2700"/>
        </w:tabs>
        <w:rPr>
          <w:rFonts w:ascii="Times New Roman" w:hAnsi="Times New Roman"/>
        </w:rPr>
      </w:pPr>
      <w:bookmarkStart w:id="4" w:name="_Toc17679"/>
      <w:bookmarkStart w:id="5" w:name="_Toc45149938"/>
      <w:bookmarkStart w:id="6" w:name="_Toc72821551"/>
      <w:bookmarkStart w:id="7" w:name="_Toc26529"/>
      <w:r>
        <w:rPr>
          <w:rFonts w:hint="eastAsia" w:ascii="Times New Roman" w:hAnsi="Times New Roman"/>
        </w:rPr>
        <w:t>《中国近现代史纲要》课程教学大纲</w:t>
      </w:r>
      <w:bookmarkEnd w:id="4"/>
      <w:bookmarkEnd w:id="5"/>
      <w:bookmarkEnd w:id="6"/>
    </w:p>
    <w:p w14:paraId="0675D021">
      <w:pPr>
        <w:rPr>
          <w:b/>
          <w:bCs/>
          <w:sz w:val="30"/>
        </w:rPr>
      </w:pPr>
      <w:r>
        <w:rPr>
          <w:b/>
          <w:bCs/>
          <w:sz w:val="30"/>
        </w:rPr>
        <w:t>（</w:t>
      </w:r>
      <w:r>
        <w:rPr>
          <w:rFonts w:hint="eastAsia"/>
          <w:b/>
          <w:bCs/>
          <w:sz w:val="30"/>
        </w:rPr>
        <w:t>Introduction to Chinese Modern and Contemporary History</w:t>
      </w:r>
      <w:r>
        <w:rPr>
          <w:b/>
          <w:bCs/>
          <w:sz w:val="30"/>
        </w:rPr>
        <w:t>）</w:t>
      </w:r>
    </w:p>
    <w:p w14:paraId="70BE384F">
      <w:pPr>
        <w:rPr>
          <w:b/>
          <w:bCs/>
          <w:sz w:val="30"/>
        </w:rPr>
      </w:pPr>
    </w:p>
    <w:p w14:paraId="4C8322FD">
      <w:pPr>
        <w:spacing w:line="360" w:lineRule="auto"/>
        <w:ind w:firstLine="562" w:firstLineChars="200"/>
        <w:rPr>
          <w:b/>
          <w:sz w:val="28"/>
          <w:szCs w:val="28"/>
        </w:rPr>
      </w:pPr>
      <w:r>
        <w:rPr>
          <w:b/>
          <w:sz w:val="28"/>
          <w:szCs w:val="28"/>
        </w:rPr>
        <w:t>一、课程概况</w:t>
      </w:r>
    </w:p>
    <w:p w14:paraId="5DE21A27">
      <w:pPr>
        <w:spacing w:line="360" w:lineRule="auto"/>
        <w:ind w:firstLine="482" w:firstLineChars="200"/>
        <w:rPr>
          <w:b/>
          <w:sz w:val="28"/>
          <w:szCs w:val="28"/>
        </w:rPr>
      </w:pPr>
      <w:r>
        <w:rPr>
          <w:b/>
          <w:bCs/>
          <w:kern w:val="0"/>
          <w:sz w:val="24"/>
        </w:rPr>
        <w:t>课程代码</w:t>
      </w:r>
      <w:r>
        <w:rPr>
          <w:b/>
          <w:kern w:val="0"/>
          <w:sz w:val="24"/>
        </w:rPr>
        <w:t>：</w:t>
      </w:r>
      <w:r>
        <w:rPr>
          <w:rFonts w:hint="eastAsia"/>
          <w:kern w:val="0"/>
          <w:sz w:val="24"/>
        </w:rPr>
        <w:t>10020</w:t>
      </w:r>
      <w:r>
        <w:rPr>
          <w:kern w:val="0"/>
          <w:sz w:val="24"/>
        </w:rPr>
        <w:t>31</w:t>
      </w:r>
    </w:p>
    <w:p w14:paraId="461226A1">
      <w:pPr>
        <w:spacing w:line="360" w:lineRule="auto"/>
        <w:ind w:firstLine="482" w:firstLineChars="200"/>
        <w:rPr>
          <w:kern w:val="0"/>
          <w:sz w:val="24"/>
        </w:rPr>
      </w:pPr>
      <w:r>
        <w:rPr>
          <w:b/>
          <w:bCs/>
          <w:kern w:val="0"/>
          <w:sz w:val="24"/>
        </w:rPr>
        <w:t>学    分</w:t>
      </w:r>
      <w:r>
        <w:rPr>
          <w:b/>
          <w:kern w:val="0"/>
          <w:sz w:val="24"/>
        </w:rPr>
        <w:t>：</w:t>
      </w:r>
      <w:r>
        <w:rPr>
          <w:rFonts w:hint="eastAsia"/>
          <w:kern w:val="0"/>
          <w:sz w:val="24"/>
        </w:rPr>
        <w:t>3</w:t>
      </w:r>
    </w:p>
    <w:p w14:paraId="4160CDDF">
      <w:pPr>
        <w:spacing w:line="360" w:lineRule="auto"/>
        <w:ind w:firstLine="482" w:firstLineChars="200"/>
        <w:rPr>
          <w:kern w:val="0"/>
          <w:sz w:val="24"/>
        </w:rPr>
      </w:pPr>
      <w:r>
        <w:rPr>
          <w:b/>
          <w:bCs/>
          <w:kern w:val="0"/>
          <w:sz w:val="24"/>
        </w:rPr>
        <w:t>学    时</w:t>
      </w:r>
      <w:r>
        <w:rPr>
          <w:b/>
          <w:kern w:val="0"/>
          <w:sz w:val="24"/>
        </w:rPr>
        <w:t>：</w:t>
      </w:r>
      <w:r>
        <w:rPr>
          <w:rFonts w:hint="eastAsia"/>
          <w:kern w:val="0"/>
          <w:sz w:val="24"/>
        </w:rPr>
        <w:t>48（其中：讲授学时4</w:t>
      </w:r>
      <w:r>
        <w:rPr>
          <w:kern w:val="0"/>
          <w:sz w:val="24"/>
        </w:rPr>
        <w:t>2</w:t>
      </w:r>
      <w:r>
        <w:rPr>
          <w:rFonts w:hint="eastAsia"/>
          <w:kern w:val="0"/>
          <w:sz w:val="24"/>
        </w:rPr>
        <w:t>，实践学时6）</w:t>
      </w:r>
    </w:p>
    <w:p w14:paraId="39C6C69E">
      <w:pPr>
        <w:spacing w:line="360" w:lineRule="auto"/>
        <w:ind w:firstLine="482" w:firstLineChars="200"/>
        <w:rPr>
          <w:bCs/>
          <w:kern w:val="0"/>
          <w:sz w:val="24"/>
        </w:rPr>
      </w:pPr>
      <w:r>
        <w:rPr>
          <w:b/>
          <w:bCs/>
          <w:kern w:val="0"/>
          <w:sz w:val="24"/>
        </w:rPr>
        <w:t>先修课程</w:t>
      </w:r>
      <w:r>
        <w:rPr>
          <w:b/>
          <w:kern w:val="0"/>
          <w:sz w:val="24"/>
        </w:rPr>
        <w:t>：</w:t>
      </w:r>
      <w:r>
        <w:rPr>
          <w:rFonts w:hint="eastAsia"/>
          <w:kern w:val="0"/>
          <w:sz w:val="24"/>
        </w:rPr>
        <w:t>思想道德与法治</w:t>
      </w:r>
    </w:p>
    <w:p w14:paraId="19BE76BD">
      <w:pPr>
        <w:spacing w:line="360" w:lineRule="auto"/>
        <w:ind w:firstLine="482" w:firstLineChars="200"/>
        <w:rPr>
          <w:bCs/>
          <w:kern w:val="0"/>
          <w:sz w:val="24"/>
        </w:rPr>
      </w:pPr>
      <w:r>
        <w:rPr>
          <w:b/>
          <w:bCs/>
          <w:kern w:val="0"/>
          <w:sz w:val="24"/>
        </w:rPr>
        <w:t>适用专业</w:t>
      </w:r>
      <w:r>
        <w:rPr>
          <w:b/>
          <w:kern w:val="0"/>
          <w:sz w:val="24"/>
        </w:rPr>
        <w:t>：</w:t>
      </w:r>
      <w:r>
        <w:rPr>
          <w:rFonts w:hint="eastAsia"/>
          <w:bCs/>
          <w:kern w:val="0"/>
          <w:sz w:val="24"/>
        </w:rPr>
        <w:t>所有本科专业</w:t>
      </w:r>
    </w:p>
    <w:p w14:paraId="3ADDF43F">
      <w:pPr>
        <w:spacing w:line="360" w:lineRule="auto"/>
        <w:ind w:firstLine="482" w:firstLineChars="200"/>
        <w:rPr>
          <w:kern w:val="0"/>
          <w:sz w:val="24"/>
        </w:rPr>
      </w:pPr>
      <w:r>
        <w:rPr>
          <w:b/>
          <w:bCs/>
          <w:kern w:val="0"/>
          <w:sz w:val="24"/>
        </w:rPr>
        <w:t>教    材</w:t>
      </w:r>
      <w:r>
        <w:rPr>
          <w:b/>
          <w:kern w:val="0"/>
          <w:sz w:val="24"/>
        </w:rPr>
        <w:t>：</w:t>
      </w:r>
      <w:r>
        <w:rPr>
          <w:rFonts w:hint="eastAsia"/>
          <w:bCs/>
          <w:kern w:val="0"/>
          <w:sz w:val="24"/>
        </w:rPr>
        <w:t>《中国近现代史纲要》</w:t>
      </w:r>
      <w:r>
        <w:rPr>
          <w:bCs/>
          <w:kern w:val="0"/>
          <w:sz w:val="24"/>
        </w:rPr>
        <w:t>，</w:t>
      </w:r>
      <w:r>
        <w:rPr>
          <w:rFonts w:hint="eastAsia"/>
          <w:sz w:val="24"/>
          <w:szCs w:val="21"/>
        </w:rPr>
        <w:t>本书编写组主编，</w:t>
      </w:r>
      <w:r>
        <w:rPr>
          <w:rFonts w:hint="eastAsia"/>
          <w:kern w:val="0"/>
          <w:sz w:val="24"/>
        </w:rPr>
        <w:t>高等教育</w:t>
      </w:r>
      <w:r>
        <w:rPr>
          <w:kern w:val="0"/>
          <w:sz w:val="24"/>
        </w:rPr>
        <w:t>出版社，</w:t>
      </w:r>
      <w:r>
        <w:rPr>
          <w:rFonts w:hint="eastAsia"/>
          <w:kern w:val="0"/>
          <w:sz w:val="24"/>
        </w:rPr>
        <w:t>20</w:t>
      </w:r>
      <w:r>
        <w:rPr>
          <w:kern w:val="0"/>
          <w:sz w:val="24"/>
        </w:rPr>
        <w:t>23</w:t>
      </w:r>
      <w:r>
        <w:rPr>
          <w:rFonts w:hint="eastAsia"/>
          <w:kern w:val="0"/>
          <w:sz w:val="24"/>
        </w:rPr>
        <w:t>年版</w:t>
      </w:r>
    </w:p>
    <w:p w14:paraId="6FEFE894">
      <w:pPr>
        <w:spacing w:line="360" w:lineRule="auto"/>
        <w:ind w:firstLine="482" w:firstLineChars="200"/>
        <w:rPr>
          <w:kern w:val="0"/>
          <w:sz w:val="24"/>
        </w:rPr>
      </w:pPr>
      <w:r>
        <w:rPr>
          <w:b/>
          <w:bCs/>
          <w:kern w:val="0"/>
          <w:sz w:val="24"/>
        </w:rPr>
        <w:t>课程归口：</w:t>
      </w:r>
      <w:r>
        <w:rPr>
          <w:rFonts w:hint="eastAsia"/>
          <w:bCs/>
          <w:kern w:val="0"/>
          <w:sz w:val="24"/>
        </w:rPr>
        <w:t>马克思主义</w:t>
      </w:r>
      <w:r>
        <w:rPr>
          <w:kern w:val="0"/>
          <w:sz w:val="24"/>
        </w:rPr>
        <w:t>学院</w:t>
      </w:r>
    </w:p>
    <w:p w14:paraId="61BA71D8">
      <w:pPr>
        <w:spacing w:line="360" w:lineRule="auto"/>
        <w:ind w:firstLine="482" w:firstLineChars="200"/>
        <w:rPr>
          <w:bCs/>
          <w:color w:val="000000"/>
          <w:sz w:val="24"/>
        </w:rPr>
      </w:pPr>
      <w:r>
        <w:rPr>
          <w:b/>
          <w:bCs/>
          <w:kern w:val="0"/>
          <w:sz w:val="24"/>
        </w:rPr>
        <w:t>课程</w:t>
      </w:r>
      <w:r>
        <w:rPr>
          <w:rFonts w:hint="eastAsia"/>
          <w:b/>
          <w:bCs/>
          <w:kern w:val="0"/>
          <w:sz w:val="24"/>
        </w:rPr>
        <w:t>性质与</w:t>
      </w:r>
      <w:r>
        <w:rPr>
          <w:b/>
          <w:bCs/>
          <w:kern w:val="0"/>
          <w:sz w:val="24"/>
        </w:rPr>
        <w:t>任务：</w:t>
      </w:r>
      <w:r>
        <w:rPr>
          <w:rFonts w:hint="eastAsia"/>
          <w:bCs/>
          <w:color w:val="000000"/>
          <w:sz w:val="24"/>
        </w:rPr>
        <w:t>本课程是</w:t>
      </w:r>
      <w:r>
        <w:rPr>
          <w:rFonts w:hint="eastAsia"/>
          <w:bCs/>
          <w:kern w:val="0"/>
          <w:sz w:val="24"/>
        </w:rPr>
        <w:t>所有本科</w:t>
      </w:r>
      <w:r>
        <w:rPr>
          <w:rFonts w:hint="eastAsia"/>
          <w:bCs/>
          <w:color w:val="000000"/>
          <w:sz w:val="24"/>
        </w:rPr>
        <w:t>专业的通识必修课。通过本课程的学习，培养学生</w:t>
      </w:r>
      <w:r>
        <w:rPr>
          <w:rFonts w:hint="eastAsia"/>
          <w:sz w:val="24"/>
        </w:rPr>
        <w:t>树立马克思主义唯物史观、正确党史观和大历史观；帮助学生了解国史、国情，深刻领会历史和人民是怎样选择了马克思主义，选择了中国共产党，选择了社会主义道路、选择了改革开放，深刻领会中国共产党为什么能、马克思主义为什么行、中国特色社会主义为什么好，</w:t>
      </w:r>
      <w:r>
        <w:rPr>
          <w:rFonts w:hint="eastAsia"/>
          <w:bCs/>
          <w:color w:val="000000"/>
          <w:sz w:val="24"/>
        </w:rPr>
        <w:t>为后续思想政治理论课及思想政治理论课实践环节奠定基础。</w:t>
      </w:r>
    </w:p>
    <w:p w14:paraId="48AE63E1">
      <w:pPr>
        <w:spacing w:line="360" w:lineRule="auto"/>
        <w:ind w:firstLine="562" w:firstLineChars="200"/>
        <w:rPr>
          <w:b/>
          <w:sz w:val="28"/>
          <w:szCs w:val="28"/>
        </w:rPr>
      </w:pPr>
      <w:r>
        <w:rPr>
          <w:b/>
          <w:sz w:val="28"/>
          <w:szCs w:val="28"/>
        </w:rPr>
        <w:t>二、课程目标</w:t>
      </w:r>
    </w:p>
    <w:p w14:paraId="653A849B">
      <w:pPr>
        <w:spacing w:line="360" w:lineRule="auto"/>
        <w:ind w:firstLine="480" w:firstLineChars="200"/>
        <w:rPr>
          <w:sz w:val="24"/>
        </w:rPr>
      </w:pPr>
      <w:r>
        <w:rPr>
          <w:rFonts w:hint="eastAsia"/>
          <w:sz w:val="24"/>
        </w:rPr>
        <w:t>目标1.坚持四项基本原则，具有人文社会科学素养，了解国史国情，树立唯物史观，自觉维护国家利益。</w:t>
      </w:r>
    </w:p>
    <w:p w14:paraId="10FE0E4C">
      <w:pPr>
        <w:spacing w:line="360" w:lineRule="auto"/>
        <w:ind w:firstLine="480" w:firstLineChars="200"/>
        <w:rPr>
          <w:color w:val="000000"/>
          <w:sz w:val="24"/>
        </w:rPr>
      </w:pPr>
      <w:r>
        <w:rPr>
          <w:color w:val="000000"/>
          <w:sz w:val="24"/>
        </w:rPr>
        <w:t>本课程支撑</w:t>
      </w:r>
      <w:r>
        <w:rPr>
          <w:sz w:val="24"/>
        </w:rPr>
        <w:t>专业</w:t>
      </w:r>
      <w:r>
        <w:rPr>
          <w:rFonts w:hint="eastAsia"/>
          <w:sz w:val="24"/>
        </w:rPr>
        <w:t>人才</w:t>
      </w:r>
      <w:r>
        <w:rPr>
          <w:sz w:val="24"/>
        </w:rPr>
        <w:t>培养</w:t>
      </w:r>
      <w:r>
        <w:rPr>
          <w:rFonts w:hint="eastAsia"/>
          <w:sz w:val="24"/>
        </w:rPr>
        <w:t>方案</w:t>
      </w:r>
      <w:r>
        <w:rPr>
          <w:color w:val="000000"/>
          <w:sz w:val="24"/>
        </w:rPr>
        <w:t>中毕业要求</w:t>
      </w:r>
      <w:r>
        <w:rPr>
          <w:rFonts w:hint="eastAsia"/>
          <w:color w:val="000000"/>
          <w:sz w:val="24"/>
        </w:rPr>
        <w:t>8</w:t>
      </w:r>
      <w:r>
        <w:rPr>
          <w:color w:val="000000"/>
          <w:sz w:val="24"/>
        </w:rPr>
        <w:t>-1</w:t>
      </w:r>
      <w:r>
        <w:rPr>
          <w:rFonts w:hint="eastAsia"/>
          <w:color w:val="000000"/>
          <w:sz w:val="24"/>
        </w:rPr>
        <w:t>，对应关系如表所示。</w:t>
      </w:r>
    </w:p>
    <w:tbl>
      <w:tblPr>
        <w:tblStyle w:val="13"/>
        <w:tblW w:w="8408" w:type="dxa"/>
        <w:tblInd w:w="-5" w:type="dxa"/>
        <w:tblLayout w:type="fixed"/>
        <w:tblCellMar>
          <w:top w:w="0" w:type="dxa"/>
          <w:left w:w="108" w:type="dxa"/>
          <w:bottom w:w="0" w:type="dxa"/>
          <w:right w:w="108" w:type="dxa"/>
        </w:tblCellMar>
      </w:tblPr>
      <w:tblGrid>
        <w:gridCol w:w="1791"/>
        <w:gridCol w:w="944"/>
        <w:gridCol w:w="944"/>
        <w:gridCol w:w="945"/>
        <w:gridCol w:w="945"/>
        <w:gridCol w:w="945"/>
        <w:gridCol w:w="945"/>
        <w:gridCol w:w="949"/>
      </w:tblGrid>
      <w:tr w14:paraId="7C481BD9">
        <w:tblPrEx>
          <w:tblCellMar>
            <w:top w:w="0" w:type="dxa"/>
            <w:left w:w="108" w:type="dxa"/>
            <w:bottom w:w="0" w:type="dxa"/>
            <w:right w:w="108" w:type="dxa"/>
          </w:tblCellMar>
        </w:tblPrEx>
        <w:trPr>
          <w:trHeight w:val="514" w:hRule="atLeast"/>
        </w:trPr>
        <w:tc>
          <w:tcPr>
            <w:tcW w:w="1791"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D7720DE">
            <w:pPr>
              <w:widowControl/>
              <w:jc w:val="center"/>
              <w:rPr>
                <w:kern w:val="0"/>
                <w:szCs w:val="21"/>
              </w:rPr>
            </w:pPr>
            <w:bookmarkStart w:id="8" w:name="_Hlk143980636"/>
            <w:r>
              <w:rPr>
                <w:kern w:val="0"/>
                <w:szCs w:val="21"/>
              </w:rPr>
              <w:t>毕业要求</w:t>
            </w:r>
          </w:p>
          <w:p w14:paraId="5E34EBBE">
            <w:pPr>
              <w:widowControl/>
              <w:jc w:val="center"/>
              <w:rPr>
                <w:kern w:val="0"/>
                <w:szCs w:val="21"/>
              </w:rPr>
            </w:pPr>
            <w:r>
              <w:rPr>
                <w:kern w:val="0"/>
                <w:szCs w:val="21"/>
              </w:rPr>
              <w:t>指标点</w:t>
            </w:r>
            <w:bookmarkEnd w:id="8"/>
          </w:p>
        </w:tc>
        <w:tc>
          <w:tcPr>
            <w:tcW w:w="6617" w:type="dxa"/>
            <w:gridSpan w:val="7"/>
            <w:tcBorders>
              <w:top w:val="single" w:color="auto" w:sz="4" w:space="0"/>
              <w:left w:val="nil"/>
              <w:bottom w:val="single" w:color="auto" w:sz="4" w:space="0"/>
              <w:right w:val="single" w:color="auto" w:sz="4" w:space="0"/>
            </w:tcBorders>
            <w:shd w:val="clear" w:color="auto" w:fill="FFFFFF"/>
            <w:vAlign w:val="center"/>
          </w:tcPr>
          <w:p w14:paraId="2F44C50C">
            <w:pPr>
              <w:widowControl/>
              <w:jc w:val="center"/>
              <w:rPr>
                <w:kern w:val="0"/>
                <w:szCs w:val="21"/>
              </w:rPr>
            </w:pPr>
            <w:r>
              <w:rPr>
                <w:kern w:val="0"/>
                <w:szCs w:val="21"/>
              </w:rPr>
              <w:t>课程目标</w:t>
            </w:r>
          </w:p>
        </w:tc>
      </w:tr>
      <w:tr w14:paraId="045A7423">
        <w:tblPrEx>
          <w:tblCellMar>
            <w:top w:w="0" w:type="dxa"/>
            <w:left w:w="108" w:type="dxa"/>
            <w:bottom w:w="0" w:type="dxa"/>
            <w:right w:w="108" w:type="dxa"/>
          </w:tblCellMar>
        </w:tblPrEx>
        <w:trPr>
          <w:trHeight w:val="491" w:hRule="atLeast"/>
        </w:trPr>
        <w:tc>
          <w:tcPr>
            <w:tcW w:w="1791"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5614066">
            <w:pPr>
              <w:widowControl/>
              <w:jc w:val="center"/>
              <w:rPr>
                <w:kern w:val="0"/>
                <w:szCs w:val="21"/>
              </w:rPr>
            </w:pPr>
          </w:p>
        </w:tc>
        <w:tc>
          <w:tcPr>
            <w:tcW w:w="944" w:type="dxa"/>
            <w:tcBorders>
              <w:top w:val="nil"/>
              <w:left w:val="nil"/>
              <w:bottom w:val="single" w:color="auto" w:sz="4" w:space="0"/>
              <w:right w:val="single" w:color="auto" w:sz="4" w:space="0"/>
            </w:tcBorders>
            <w:shd w:val="clear" w:color="auto" w:fill="FFFFFF"/>
            <w:vAlign w:val="center"/>
          </w:tcPr>
          <w:p w14:paraId="2EF090E7">
            <w:pPr>
              <w:widowControl/>
              <w:jc w:val="center"/>
              <w:rPr>
                <w:kern w:val="0"/>
                <w:szCs w:val="21"/>
              </w:rPr>
            </w:pPr>
            <w:r>
              <w:rPr>
                <w:kern w:val="0"/>
                <w:szCs w:val="21"/>
              </w:rPr>
              <w:t>目标1</w:t>
            </w:r>
          </w:p>
        </w:tc>
        <w:tc>
          <w:tcPr>
            <w:tcW w:w="944" w:type="dxa"/>
            <w:tcBorders>
              <w:top w:val="nil"/>
              <w:left w:val="nil"/>
              <w:bottom w:val="single" w:color="auto" w:sz="4" w:space="0"/>
              <w:right w:val="single" w:color="auto" w:sz="4" w:space="0"/>
            </w:tcBorders>
            <w:shd w:val="clear" w:color="auto" w:fill="FFFFFF"/>
            <w:vAlign w:val="center"/>
          </w:tcPr>
          <w:p w14:paraId="5DF3AD88">
            <w:pPr>
              <w:widowControl/>
              <w:jc w:val="center"/>
              <w:rPr>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68551C69">
            <w:pPr>
              <w:widowControl/>
              <w:jc w:val="center"/>
              <w:rPr>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242FD877">
            <w:pPr>
              <w:widowControl/>
              <w:jc w:val="center"/>
              <w:rPr>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5A900B6B">
            <w:pPr>
              <w:widowControl/>
              <w:jc w:val="center"/>
              <w:rPr>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6312FEEE">
            <w:pPr>
              <w:widowControl/>
              <w:jc w:val="center"/>
              <w:rPr>
                <w:kern w:val="0"/>
                <w:szCs w:val="21"/>
              </w:rPr>
            </w:pPr>
          </w:p>
        </w:tc>
        <w:tc>
          <w:tcPr>
            <w:tcW w:w="949" w:type="dxa"/>
            <w:tcBorders>
              <w:top w:val="nil"/>
              <w:left w:val="nil"/>
              <w:bottom w:val="single" w:color="auto" w:sz="4" w:space="0"/>
              <w:right w:val="single" w:color="auto" w:sz="4" w:space="0"/>
            </w:tcBorders>
            <w:shd w:val="clear" w:color="auto" w:fill="FFFFFF"/>
            <w:vAlign w:val="center"/>
          </w:tcPr>
          <w:p w14:paraId="6ACAE25A">
            <w:pPr>
              <w:widowControl/>
              <w:jc w:val="center"/>
              <w:rPr>
                <w:kern w:val="0"/>
                <w:szCs w:val="21"/>
              </w:rPr>
            </w:pPr>
          </w:p>
        </w:tc>
      </w:tr>
      <w:tr w14:paraId="2F875A5E">
        <w:tblPrEx>
          <w:tblCellMar>
            <w:top w:w="0" w:type="dxa"/>
            <w:left w:w="108" w:type="dxa"/>
            <w:bottom w:w="0" w:type="dxa"/>
            <w:right w:w="108" w:type="dxa"/>
          </w:tblCellMar>
        </w:tblPrEx>
        <w:trPr>
          <w:trHeight w:val="481" w:hRule="atLeast"/>
        </w:trPr>
        <w:tc>
          <w:tcPr>
            <w:tcW w:w="1791" w:type="dxa"/>
            <w:tcBorders>
              <w:top w:val="nil"/>
              <w:left w:val="single" w:color="auto" w:sz="4" w:space="0"/>
              <w:bottom w:val="single" w:color="auto" w:sz="4" w:space="0"/>
              <w:right w:val="single" w:color="auto" w:sz="4" w:space="0"/>
            </w:tcBorders>
            <w:vAlign w:val="center"/>
          </w:tcPr>
          <w:p w14:paraId="1D260350">
            <w:pPr>
              <w:widowControl/>
              <w:jc w:val="center"/>
              <w:rPr>
                <w:rFonts w:hint="eastAsia" w:ascii="宋体" w:hAnsi="宋体"/>
                <w:kern w:val="0"/>
                <w:szCs w:val="21"/>
              </w:rPr>
            </w:pPr>
            <w:r>
              <w:rPr>
                <w:rFonts w:ascii="宋体" w:hAnsi="宋体"/>
                <w:kern w:val="0"/>
                <w:szCs w:val="21"/>
              </w:rPr>
              <w:t>毕业要求</w:t>
            </w:r>
            <w:r>
              <w:rPr>
                <w:rFonts w:ascii="宋体" w:hAnsi="宋体"/>
                <w:szCs w:val="21"/>
              </w:rPr>
              <w:t>8-1</w:t>
            </w:r>
          </w:p>
        </w:tc>
        <w:tc>
          <w:tcPr>
            <w:tcW w:w="944" w:type="dxa"/>
            <w:tcBorders>
              <w:top w:val="nil"/>
              <w:left w:val="nil"/>
              <w:bottom w:val="single" w:color="auto" w:sz="4" w:space="0"/>
              <w:right w:val="single" w:color="auto" w:sz="4" w:space="0"/>
            </w:tcBorders>
            <w:vAlign w:val="center"/>
          </w:tcPr>
          <w:p w14:paraId="5659C810">
            <w:pPr>
              <w:widowControl/>
              <w:jc w:val="center"/>
              <w:rPr>
                <w:kern w:val="0"/>
                <w:szCs w:val="21"/>
              </w:rPr>
            </w:pPr>
            <w:r>
              <w:rPr>
                <w:rFonts w:hint="eastAsia"/>
                <w:kern w:val="0"/>
                <w:szCs w:val="21"/>
              </w:rPr>
              <w:t>√</w:t>
            </w:r>
          </w:p>
        </w:tc>
        <w:tc>
          <w:tcPr>
            <w:tcW w:w="944" w:type="dxa"/>
            <w:tcBorders>
              <w:top w:val="nil"/>
              <w:left w:val="nil"/>
              <w:bottom w:val="single" w:color="auto" w:sz="4" w:space="0"/>
              <w:right w:val="single" w:color="auto" w:sz="4" w:space="0"/>
            </w:tcBorders>
            <w:vAlign w:val="center"/>
          </w:tcPr>
          <w:p w14:paraId="4D5CE9E6">
            <w:pPr>
              <w:widowControl/>
              <w:jc w:val="center"/>
              <w:rPr>
                <w:kern w:val="0"/>
                <w:szCs w:val="21"/>
              </w:rPr>
            </w:pPr>
          </w:p>
        </w:tc>
        <w:tc>
          <w:tcPr>
            <w:tcW w:w="945" w:type="dxa"/>
            <w:tcBorders>
              <w:top w:val="nil"/>
              <w:left w:val="nil"/>
              <w:bottom w:val="single" w:color="auto" w:sz="4" w:space="0"/>
              <w:right w:val="single" w:color="auto" w:sz="4" w:space="0"/>
            </w:tcBorders>
            <w:vAlign w:val="center"/>
          </w:tcPr>
          <w:p w14:paraId="0085FF77">
            <w:pPr>
              <w:widowControl/>
              <w:jc w:val="center"/>
              <w:rPr>
                <w:kern w:val="0"/>
                <w:szCs w:val="21"/>
              </w:rPr>
            </w:pPr>
          </w:p>
        </w:tc>
        <w:tc>
          <w:tcPr>
            <w:tcW w:w="945" w:type="dxa"/>
            <w:tcBorders>
              <w:top w:val="nil"/>
              <w:left w:val="nil"/>
              <w:bottom w:val="single" w:color="auto" w:sz="4" w:space="0"/>
              <w:right w:val="single" w:color="auto" w:sz="4" w:space="0"/>
            </w:tcBorders>
            <w:vAlign w:val="center"/>
          </w:tcPr>
          <w:p w14:paraId="2FA622B7">
            <w:pPr>
              <w:widowControl/>
              <w:jc w:val="center"/>
              <w:rPr>
                <w:kern w:val="0"/>
                <w:szCs w:val="21"/>
              </w:rPr>
            </w:pPr>
          </w:p>
        </w:tc>
        <w:tc>
          <w:tcPr>
            <w:tcW w:w="945" w:type="dxa"/>
            <w:tcBorders>
              <w:top w:val="nil"/>
              <w:left w:val="nil"/>
              <w:bottom w:val="single" w:color="auto" w:sz="4" w:space="0"/>
              <w:right w:val="single" w:color="auto" w:sz="4" w:space="0"/>
            </w:tcBorders>
            <w:vAlign w:val="center"/>
          </w:tcPr>
          <w:p w14:paraId="138E9FF3">
            <w:pPr>
              <w:widowControl/>
              <w:jc w:val="center"/>
              <w:rPr>
                <w:kern w:val="0"/>
                <w:szCs w:val="21"/>
              </w:rPr>
            </w:pPr>
          </w:p>
        </w:tc>
        <w:tc>
          <w:tcPr>
            <w:tcW w:w="945" w:type="dxa"/>
            <w:tcBorders>
              <w:top w:val="nil"/>
              <w:left w:val="nil"/>
              <w:bottom w:val="single" w:color="auto" w:sz="4" w:space="0"/>
              <w:right w:val="single" w:color="auto" w:sz="4" w:space="0"/>
            </w:tcBorders>
            <w:vAlign w:val="center"/>
          </w:tcPr>
          <w:p w14:paraId="619AE79B">
            <w:pPr>
              <w:widowControl/>
              <w:jc w:val="center"/>
              <w:rPr>
                <w:kern w:val="0"/>
                <w:szCs w:val="21"/>
              </w:rPr>
            </w:pPr>
          </w:p>
        </w:tc>
        <w:tc>
          <w:tcPr>
            <w:tcW w:w="949" w:type="dxa"/>
            <w:tcBorders>
              <w:top w:val="nil"/>
              <w:left w:val="nil"/>
              <w:bottom w:val="single" w:color="auto" w:sz="4" w:space="0"/>
              <w:right w:val="single" w:color="auto" w:sz="4" w:space="0"/>
            </w:tcBorders>
            <w:vAlign w:val="center"/>
          </w:tcPr>
          <w:p w14:paraId="0EB421F5">
            <w:pPr>
              <w:widowControl/>
              <w:jc w:val="center"/>
              <w:rPr>
                <w:kern w:val="0"/>
                <w:szCs w:val="21"/>
              </w:rPr>
            </w:pPr>
          </w:p>
        </w:tc>
      </w:tr>
    </w:tbl>
    <w:p w14:paraId="76A2A1FC">
      <w:pPr>
        <w:spacing w:line="360" w:lineRule="auto"/>
        <w:ind w:firstLine="562" w:firstLineChars="200"/>
        <w:rPr>
          <w:b/>
          <w:sz w:val="28"/>
          <w:szCs w:val="28"/>
        </w:rPr>
      </w:pPr>
      <w:r>
        <w:rPr>
          <w:b/>
          <w:sz w:val="28"/>
          <w:szCs w:val="28"/>
        </w:rPr>
        <w:t>三、</w:t>
      </w:r>
      <w:r>
        <w:rPr>
          <w:rFonts w:hint="eastAsia"/>
          <w:b/>
          <w:sz w:val="28"/>
          <w:szCs w:val="28"/>
        </w:rPr>
        <w:t>教学</w:t>
      </w:r>
      <w:r>
        <w:rPr>
          <w:b/>
          <w:sz w:val="28"/>
          <w:szCs w:val="28"/>
        </w:rPr>
        <w:t>内容及要求</w:t>
      </w:r>
    </w:p>
    <w:p w14:paraId="582D3895">
      <w:pPr>
        <w:spacing w:line="360" w:lineRule="auto"/>
        <w:ind w:firstLine="482" w:firstLineChars="200"/>
        <w:rPr>
          <w:rFonts w:hint="eastAsia" w:ascii="宋体" w:hAnsi="宋体"/>
          <w:b/>
          <w:bCs/>
          <w:sz w:val="24"/>
          <w:szCs w:val="28"/>
        </w:rPr>
      </w:pPr>
      <w:r>
        <w:rPr>
          <w:rFonts w:hint="eastAsia" w:ascii="宋体" w:hAnsi="宋体"/>
          <w:b/>
          <w:sz w:val="24"/>
        </w:rPr>
        <w:t>（一）</w:t>
      </w:r>
      <w:r>
        <w:rPr>
          <w:rFonts w:hint="eastAsia" w:ascii="宋体" w:hAnsi="宋体"/>
          <w:b/>
          <w:bCs/>
          <w:sz w:val="24"/>
          <w:szCs w:val="28"/>
        </w:rPr>
        <w:t>导言</w:t>
      </w:r>
    </w:p>
    <w:p w14:paraId="59E085AB">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1574CD49">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中国近代史综述</w:t>
      </w:r>
    </w:p>
    <w:p w14:paraId="3CF42D08">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中国现代史综述</w:t>
      </w:r>
    </w:p>
    <w:p w14:paraId="7E7058A1">
      <w:pPr>
        <w:spacing w:line="360" w:lineRule="auto"/>
        <w:ind w:firstLine="480" w:firstLineChars="200"/>
        <w:rPr>
          <w:rFonts w:hint="eastAsia" w:ascii="宋体" w:hAnsi="宋体"/>
          <w:b/>
          <w:bCs/>
          <w:sz w:val="24"/>
          <w:szCs w:val="28"/>
        </w:rPr>
      </w:pPr>
      <w:r>
        <w:rPr>
          <w:rFonts w:ascii="宋体" w:hAnsi="宋体"/>
          <w:sz w:val="24"/>
        </w:rPr>
        <w:t>（3）</w:t>
      </w:r>
      <w:r>
        <w:rPr>
          <w:rFonts w:hint="eastAsia" w:ascii="宋体" w:hAnsi="宋体"/>
          <w:sz w:val="24"/>
        </w:rPr>
        <w:t>学习中国近现代史的目的和要求</w:t>
      </w:r>
    </w:p>
    <w:p w14:paraId="370518B1">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5991100C">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理解中国近现代史的主流和本质</w:t>
      </w:r>
    </w:p>
    <w:p w14:paraId="2D217CB8">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认识学习中国近现代史的目的和要求</w:t>
      </w:r>
    </w:p>
    <w:p w14:paraId="78BA68F2">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2258FE68">
      <w:pPr>
        <w:spacing w:line="360" w:lineRule="auto"/>
        <w:ind w:firstLine="480" w:firstLineChars="200"/>
        <w:rPr>
          <w:rFonts w:hint="eastAsia" w:ascii="宋体" w:hAnsi="宋体"/>
          <w:color w:val="000000"/>
          <w:sz w:val="24"/>
        </w:rPr>
      </w:pPr>
      <w:r>
        <w:rPr>
          <w:rFonts w:hint="eastAsia" w:ascii="宋体" w:hAnsi="宋体"/>
          <w:color w:val="000000"/>
          <w:sz w:val="24"/>
        </w:rPr>
        <w:t>（1）中国近现代史的主流和本质</w:t>
      </w:r>
    </w:p>
    <w:p w14:paraId="4B24A43D">
      <w:pPr>
        <w:spacing w:line="360" w:lineRule="auto"/>
        <w:ind w:firstLine="480" w:firstLineChars="200"/>
        <w:rPr>
          <w:rFonts w:hint="eastAsia" w:ascii="宋体" w:hAnsi="宋体"/>
          <w:color w:val="000000"/>
          <w:sz w:val="24"/>
        </w:rPr>
      </w:pPr>
      <w:r>
        <w:rPr>
          <w:rFonts w:hint="eastAsia" w:ascii="宋体" w:hAnsi="宋体"/>
          <w:color w:val="000000"/>
          <w:sz w:val="24"/>
        </w:rPr>
        <w:t>（2）学习中国近现代史的目的</w:t>
      </w:r>
    </w:p>
    <w:p w14:paraId="57BD8470">
      <w:pPr>
        <w:spacing w:line="360" w:lineRule="auto"/>
        <w:ind w:firstLine="482" w:firstLineChars="200"/>
        <w:rPr>
          <w:rFonts w:hint="eastAsia" w:ascii="宋体" w:hAnsi="宋体"/>
          <w:b/>
          <w:bCs/>
          <w:sz w:val="24"/>
          <w:szCs w:val="28"/>
        </w:rPr>
      </w:pPr>
      <w:r>
        <w:rPr>
          <w:rFonts w:hint="eastAsia" w:ascii="宋体" w:hAnsi="宋体"/>
          <w:b/>
          <w:sz w:val="24"/>
        </w:rPr>
        <w:t>（二）</w:t>
      </w:r>
      <w:r>
        <w:rPr>
          <w:rFonts w:hint="eastAsia" w:ascii="宋体" w:hAnsi="宋体"/>
          <w:b/>
          <w:bCs/>
          <w:sz w:val="24"/>
          <w:szCs w:val="28"/>
        </w:rPr>
        <w:t>进入近代后中华民族的磨难与抗争</w:t>
      </w:r>
    </w:p>
    <w:p w14:paraId="1C8E9315">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24AD50AA">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鸦片战争前后的中国与世界</w:t>
      </w:r>
    </w:p>
    <w:p w14:paraId="27FC60E7">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西方列强对中国的侵略</w:t>
      </w:r>
    </w:p>
    <w:p w14:paraId="181E3AEA">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反抗外国武装侵略的斗争</w:t>
      </w:r>
    </w:p>
    <w:p w14:paraId="5AC6D0F0">
      <w:pPr>
        <w:spacing w:line="360" w:lineRule="auto"/>
        <w:ind w:firstLine="480" w:firstLineChars="200"/>
        <w:rPr>
          <w:rFonts w:hint="eastAsia" w:ascii="宋体" w:hAnsi="宋体"/>
          <w:color w:val="000000"/>
          <w:sz w:val="24"/>
        </w:rPr>
      </w:pPr>
      <w:r>
        <w:rPr>
          <w:rFonts w:ascii="宋体" w:hAnsi="宋体"/>
          <w:sz w:val="24"/>
        </w:rPr>
        <w:t>（4）</w:t>
      </w:r>
      <w:r>
        <w:rPr>
          <w:rFonts w:hint="eastAsia" w:ascii="宋体" w:hAnsi="宋体"/>
          <w:sz w:val="24"/>
        </w:rPr>
        <w:t>反侵略战争的失败与民族意识的觉醒</w:t>
      </w:r>
    </w:p>
    <w:p w14:paraId="184A6E4B">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7A75E452">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认识近代以来西方列强对中国的侵略</w:t>
      </w:r>
    </w:p>
    <w:p w14:paraId="17C51D05">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了解近代以来中国人民的反侵略斗争</w:t>
      </w:r>
    </w:p>
    <w:p w14:paraId="7FF70CC6">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理解反侵略战争的失败如何引起民族意识的觉醒</w:t>
      </w:r>
    </w:p>
    <w:p w14:paraId="43B1FE77">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1E7C02DC">
      <w:pPr>
        <w:spacing w:line="360" w:lineRule="auto"/>
        <w:ind w:firstLine="480" w:firstLineChars="200"/>
        <w:rPr>
          <w:rFonts w:hint="eastAsia" w:ascii="宋体" w:hAnsi="宋体"/>
          <w:color w:val="000000"/>
          <w:sz w:val="24"/>
        </w:rPr>
      </w:pPr>
      <w:r>
        <w:rPr>
          <w:rFonts w:hint="eastAsia" w:ascii="宋体" w:hAnsi="宋体"/>
          <w:color w:val="000000"/>
          <w:sz w:val="24"/>
        </w:rPr>
        <w:t>（1）反侵略战争失败的根本原因</w:t>
      </w:r>
    </w:p>
    <w:p w14:paraId="16866D6B">
      <w:pPr>
        <w:spacing w:line="360" w:lineRule="auto"/>
        <w:ind w:firstLine="480" w:firstLineChars="200"/>
        <w:rPr>
          <w:rFonts w:hint="eastAsia" w:ascii="宋体" w:hAnsi="宋体"/>
          <w:color w:val="000000"/>
          <w:sz w:val="24"/>
        </w:rPr>
      </w:pPr>
      <w:r>
        <w:rPr>
          <w:rFonts w:hint="eastAsia" w:ascii="宋体" w:hAnsi="宋体"/>
          <w:color w:val="000000"/>
          <w:sz w:val="24"/>
        </w:rPr>
        <w:t>（2）反侵略战争失败的历史教训</w:t>
      </w:r>
    </w:p>
    <w:p w14:paraId="3E205DE4">
      <w:pPr>
        <w:spacing w:line="360" w:lineRule="auto"/>
        <w:ind w:firstLine="482" w:firstLineChars="200"/>
        <w:rPr>
          <w:rFonts w:hint="eastAsia" w:ascii="宋体" w:hAnsi="宋体"/>
          <w:b/>
          <w:bCs/>
          <w:sz w:val="24"/>
          <w:szCs w:val="28"/>
        </w:rPr>
      </w:pPr>
      <w:r>
        <w:rPr>
          <w:rFonts w:hint="eastAsia" w:ascii="宋体" w:hAnsi="宋体"/>
          <w:b/>
          <w:sz w:val="24"/>
        </w:rPr>
        <w:t>（三）</w:t>
      </w:r>
      <w:r>
        <w:rPr>
          <w:rFonts w:hint="eastAsia" w:ascii="宋体" w:hAnsi="宋体"/>
          <w:b/>
          <w:bCs/>
          <w:sz w:val="24"/>
          <w:szCs w:val="28"/>
        </w:rPr>
        <w:t>不同社会力量对国家出路的早期探索</w:t>
      </w:r>
    </w:p>
    <w:p w14:paraId="7ABEBA42">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01FC6C4B">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太平天国运动的起落</w:t>
      </w:r>
    </w:p>
    <w:p w14:paraId="4BD32587">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洋务运动的兴衰</w:t>
      </w:r>
    </w:p>
    <w:p w14:paraId="7E53934B">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维新运动的兴起和夭折</w:t>
      </w:r>
    </w:p>
    <w:p w14:paraId="6746A0A0">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1B8D080C">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认识近代中国不同社会力量对国家出路的早期探索过程</w:t>
      </w:r>
    </w:p>
    <w:p w14:paraId="0C7A79BF">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理解近代中国不同社会力量对国家出路早期探索失败的原因</w:t>
      </w:r>
    </w:p>
    <w:p w14:paraId="519D4F81">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1AFFEDC5">
      <w:pPr>
        <w:spacing w:line="360" w:lineRule="auto"/>
        <w:ind w:firstLine="480" w:firstLineChars="200"/>
        <w:rPr>
          <w:rFonts w:hint="eastAsia" w:ascii="宋体" w:hAnsi="宋体"/>
          <w:color w:val="000000"/>
          <w:sz w:val="24"/>
        </w:rPr>
      </w:pPr>
      <w:r>
        <w:rPr>
          <w:rFonts w:hint="eastAsia" w:ascii="宋体" w:hAnsi="宋体"/>
          <w:color w:val="000000"/>
          <w:sz w:val="24"/>
        </w:rPr>
        <w:t>（1）太平天国运动的意义</w:t>
      </w:r>
    </w:p>
    <w:p w14:paraId="6751533D">
      <w:pPr>
        <w:spacing w:line="360" w:lineRule="auto"/>
        <w:ind w:firstLine="480" w:firstLineChars="200"/>
        <w:rPr>
          <w:rFonts w:hint="eastAsia" w:ascii="宋体" w:hAnsi="宋体"/>
          <w:color w:val="000000"/>
          <w:sz w:val="24"/>
        </w:rPr>
      </w:pPr>
      <w:r>
        <w:rPr>
          <w:rFonts w:hint="eastAsia" w:ascii="宋体" w:hAnsi="宋体"/>
          <w:color w:val="000000"/>
          <w:sz w:val="24"/>
        </w:rPr>
        <w:t>（2）洋务运动失败的原因</w:t>
      </w:r>
    </w:p>
    <w:p w14:paraId="35F33F9A">
      <w:pPr>
        <w:spacing w:line="360" w:lineRule="auto"/>
        <w:ind w:firstLine="480" w:firstLineChars="200"/>
        <w:rPr>
          <w:rFonts w:hint="eastAsia" w:ascii="宋体" w:hAnsi="宋体"/>
          <w:color w:val="000000"/>
          <w:sz w:val="24"/>
        </w:rPr>
      </w:pPr>
      <w:r>
        <w:rPr>
          <w:rFonts w:hint="eastAsia" w:ascii="宋体" w:hAnsi="宋体"/>
          <w:color w:val="000000"/>
          <w:sz w:val="24"/>
        </w:rPr>
        <w:t>（</w:t>
      </w:r>
      <w:r>
        <w:rPr>
          <w:rFonts w:ascii="宋体" w:hAnsi="宋体"/>
          <w:color w:val="000000"/>
          <w:sz w:val="24"/>
        </w:rPr>
        <w:t>3</w:t>
      </w:r>
      <w:r>
        <w:rPr>
          <w:rFonts w:hint="eastAsia" w:ascii="宋体" w:hAnsi="宋体"/>
          <w:color w:val="000000"/>
          <w:sz w:val="24"/>
        </w:rPr>
        <w:t>）维新运动失败的教训</w:t>
      </w:r>
    </w:p>
    <w:p w14:paraId="4FDBB4C3">
      <w:pPr>
        <w:spacing w:line="360" w:lineRule="auto"/>
        <w:ind w:firstLine="482" w:firstLineChars="200"/>
        <w:rPr>
          <w:rFonts w:hint="eastAsia" w:ascii="宋体" w:hAnsi="宋体"/>
          <w:b/>
          <w:bCs/>
          <w:sz w:val="24"/>
          <w:szCs w:val="28"/>
        </w:rPr>
      </w:pPr>
      <w:r>
        <w:rPr>
          <w:rFonts w:hint="eastAsia" w:ascii="宋体" w:hAnsi="宋体"/>
          <w:b/>
          <w:sz w:val="24"/>
        </w:rPr>
        <w:t>（四）</w:t>
      </w:r>
      <w:r>
        <w:rPr>
          <w:rFonts w:hint="eastAsia" w:ascii="宋体" w:hAnsi="宋体"/>
          <w:b/>
          <w:bCs/>
          <w:sz w:val="24"/>
          <w:szCs w:val="28"/>
        </w:rPr>
        <w:t>辛亥革命与君主专制制度的终结</w:t>
      </w:r>
    </w:p>
    <w:p w14:paraId="3AB2710F">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6AA82C94">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举起近代民族民主革命的旗帜</w:t>
      </w:r>
    </w:p>
    <w:p w14:paraId="50C32BB1">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辛亥革命与中华民国的建立</w:t>
      </w:r>
    </w:p>
    <w:p w14:paraId="6A6FFDCA">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北洋军阀统治与旧民主主义革命的失败</w:t>
      </w:r>
    </w:p>
    <w:p w14:paraId="65681C13">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660A021B">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了解辛亥革命爆发的历史条件</w:t>
      </w:r>
    </w:p>
    <w:p w14:paraId="28FFB3A8">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认识辛亥革命的历史意义</w:t>
      </w:r>
    </w:p>
    <w:p w14:paraId="749BF272">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理解辛亥革命失败的原因</w:t>
      </w:r>
    </w:p>
    <w:p w14:paraId="1DB0E505">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264EAFFC">
      <w:pPr>
        <w:spacing w:line="360" w:lineRule="auto"/>
        <w:ind w:firstLine="480" w:firstLineChars="200"/>
        <w:rPr>
          <w:rFonts w:hint="eastAsia" w:ascii="宋体" w:hAnsi="宋体"/>
          <w:color w:val="000000"/>
          <w:sz w:val="24"/>
        </w:rPr>
      </w:pPr>
      <w:r>
        <w:rPr>
          <w:rFonts w:hint="eastAsia" w:ascii="宋体" w:hAnsi="宋体"/>
          <w:color w:val="000000"/>
          <w:sz w:val="24"/>
        </w:rPr>
        <w:t>（1）辛亥革命爆发的历史条件</w:t>
      </w:r>
    </w:p>
    <w:p w14:paraId="33C20EBF">
      <w:pPr>
        <w:spacing w:line="360" w:lineRule="auto"/>
        <w:ind w:firstLine="480" w:firstLineChars="200"/>
        <w:rPr>
          <w:rFonts w:hint="eastAsia" w:ascii="宋体" w:hAnsi="宋体"/>
          <w:color w:val="000000"/>
          <w:sz w:val="24"/>
        </w:rPr>
      </w:pPr>
      <w:r>
        <w:rPr>
          <w:rFonts w:hint="eastAsia" w:ascii="宋体" w:hAnsi="宋体"/>
          <w:color w:val="000000"/>
          <w:sz w:val="24"/>
        </w:rPr>
        <w:t>（2）辛亥革命失败的教训</w:t>
      </w:r>
    </w:p>
    <w:p w14:paraId="36BC71B4">
      <w:pPr>
        <w:spacing w:line="360" w:lineRule="auto"/>
        <w:ind w:firstLine="482" w:firstLineChars="200"/>
        <w:rPr>
          <w:rFonts w:hint="eastAsia" w:ascii="宋体" w:hAnsi="宋体"/>
          <w:b/>
          <w:bCs/>
          <w:sz w:val="24"/>
          <w:szCs w:val="28"/>
        </w:rPr>
      </w:pPr>
      <w:r>
        <w:rPr>
          <w:rFonts w:hint="eastAsia" w:ascii="宋体" w:hAnsi="宋体"/>
          <w:b/>
          <w:sz w:val="24"/>
        </w:rPr>
        <w:t>（五）</w:t>
      </w:r>
      <w:r>
        <w:rPr>
          <w:rFonts w:hint="eastAsia" w:ascii="宋体" w:hAnsi="宋体"/>
          <w:b/>
          <w:bCs/>
          <w:sz w:val="24"/>
          <w:szCs w:val="28"/>
        </w:rPr>
        <w:t>中国共产党成立和中国革命新局面</w:t>
      </w:r>
    </w:p>
    <w:p w14:paraId="7662E8B2">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4B85DA7E">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新文化运动和五四运动</w:t>
      </w:r>
    </w:p>
    <w:p w14:paraId="691BE7EA">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马克思主义广泛传播与中国共产党诞生</w:t>
      </w:r>
    </w:p>
    <w:p w14:paraId="6E9CFB89">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中国革命的新局面</w:t>
      </w:r>
    </w:p>
    <w:p w14:paraId="176A9675">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6F1AB854">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认识五四运动的历史意义</w:t>
      </w:r>
    </w:p>
    <w:p w14:paraId="6F1E66B3">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认识中国共产党成立的背景和过程</w:t>
      </w:r>
    </w:p>
    <w:p w14:paraId="7C56C85A">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认识中国共产党推动中国革命出现新局面</w:t>
      </w:r>
    </w:p>
    <w:p w14:paraId="2851111E">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490A7F71">
      <w:pPr>
        <w:spacing w:line="360" w:lineRule="auto"/>
        <w:ind w:firstLine="480" w:firstLineChars="200"/>
        <w:rPr>
          <w:rFonts w:hint="eastAsia" w:ascii="宋体" w:hAnsi="宋体"/>
          <w:color w:val="000000"/>
          <w:sz w:val="24"/>
        </w:rPr>
      </w:pPr>
      <w:r>
        <w:rPr>
          <w:rFonts w:hint="eastAsia" w:ascii="宋体" w:hAnsi="宋体"/>
          <w:color w:val="000000"/>
          <w:sz w:val="24"/>
        </w:rPr>
        <w:t>（1）五四运动与五四精神</w:t>
      </w:r>
    </w:p>
    <w:p w14:paraId="32C80032">
      <w:pPr>
        <w:spacing w:line="360" w:lineRule="auto"/>
        <w:ind w:firstLine="480" w:firstLineChars="200"/>
        <w:rPr>
          <w:rFonts w:hint="eastAsia" w:ascii="宋体" w:hAnsi="宋体"/>
          <w:color w:val="000000"/>
          <w:sz w:val="24"/>
        </w:rPr>
      </w:pPr>
      <w:r>
        <w:rPr>
          <w:rFonts w:hint="eastAsia" w:ascii="宋体" w:hAnsi="宋体"/>
          <w:color w:val="000000"/>
          <w:sz w:val="24"/>
        </w:rPr>
        <w:t>（2）中国共产党成立的历史必然性</w:t>
      </w:r>
    </w:p>
    <w:p w14:paraId="3DBC5874">
      <w:pPr>
        <w:spacing w:line="360" w:lineRule="auto"/>
        <w:ind w:firstLine="480" w:firstLineChars="200"/>
        <w:rPr>
          <w:rFonts w:hint="eastAsia" w:ascii="宋体" w:hAnsi="宋体"/>
          <w:color w:val="000000"/>
          <w:sz w:val="24"/>
        </w:rPr>
      </w:pPr>
      <w:r>
        <w:rPr>
          <w:rFonts w:hint="eastAsia" w:ascii="宋体" w:hAnsi="宋体"/>
          <w:color w:val="000000"/>
          <w:sz w:val="24"/>
        </w:rPr>
        <w:t>（3）中国共产党成立的伟大意义</w:t>
      </w:r>
    </w:p>
    <w:p w14:paraId="7D9A2F41">
      <w:pPr>
        <w:spacing w:line="360" w:lineRule="auto"/>
        <w:ind w:firstLine="482" w:firstLineChars="200"/>
        <w:rPr>
          <w:rFonts w:hint="eastAsia" w:ascii="宋体" w:hAnsi="宋体"/>
          <w:b/>
          <w:bCs/>
          <w:sz w:val="24"/>
          <w:szCs w:val="28"/>
        </w:rPr>
      </w:pPr>
      <w:r>
        <w:rPr>
          <w:rFonts w:hint="eastAsia" w:ascii="宋体" w:hAnsi="宋体"/>
          <w:b/>
          <w:sz w:val="24"/>
        </w:rPr>
        <w:t>（六）</w:t>
      </w:r>
      <w:r>
        <w:rPr>
          <w:rFonts w:hint="eastAsia" w:ascii="宋体" w:hAnsi="宋体"/>
          <w:b/>
          <w:bCs/>
          <w:sz w:val="24"/>
          <w:szCs w:val="28"/>
        </w:rPr>
        <w:t>中国革命的新道路</w:t>
      </w:r>
    </w:p>
    <w:p w14:paraId="1F13DE01">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58389CE9">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中国共产党对革命新道路的探索</w:t>
      </w:r>
    </w:p>
    <w:p w14:paraId="0EE87A9A">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中国革命在曲折中前进</w:t>
      </w:r>
    </w:p>
    <w:p w14:paraId="07B42543">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2506417A">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认识国民党统治及其本质</w:t>
      </w:r>
    </w:p>
    <w:p w14:paraId="7C0A9964">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了解</w:t>
      </w:r>
      <w:bookmarkStart w:id="9" w:name="_Hlk144221413"/>
      <w:r>
        <w:rPr>
          <w:rFonts w:hint="eastAsia" w:ascii="宋体" w:hAnsi="宋体"/>
          <w:sz w:val="24"/>
        </w:rPr>
        <w:t>中国共产党探索革命新道路的艰辛历程</w:t>
      </w:r>
      <w:bookmarkEnd w:id="9"/>
    </w:p>
    <w:p w14:paraId="3DAB9ABF">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理解中国革命如何实现伟大转折</w:t>
      </w:r>
    </w:p>
    <w:p w14:paraId="7B5C7051">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244DD8F3">
      <w:pPr>
        <w:spacing w:line="360" w:lineRule="auto"/>
        <w:ind w:firstLine="480" w:firstLineChars="200"/>
        <w:rPr>
          <w:rFonts w:hint="eastAsia" w:ascii="宋体" w:hAnsi="宋体"/>
          <w:color w:val="000000"/>
          <w:sz w:val="24"/>
        </w:rPr>
      </w:pPr>
      <w:r>
        <w:rPr>
          <w:rFonts w:hint="eastAsia" w:ascii="宋体" w:hAnsi="宋体"/>
          <w:color w:val="000000"/>
          <w:sz w:val="24"/>
        </w:rPr>
        <w:t>（1）中国革命新道路的开辟</w:t>
      </w:r>
    </w:p>
    <w:p w14:paraId="5988B020">
      <w:pPr>
        <w:spacing w:line="360" w:lineRule="auto"/>
        <w:ind w:firstLine="480" w:firstLineChars="200"/>
        <w:rPr>
          <w:rFonts w:hint="eastAsia" w:ascii="宋体" w:hAnsi="宋体"/>
          <w:color w:val="000000"/>
          <w:sz w:val="24"/>
        </w:rPr>
      </w:pPr>
      <w:r>
        <w:rPr>
          <w:rFonts w:hint="eastAsia" w:ascii="宋体" w:hAnsi="宋体"/>
          <w:color w:val="000000"/>
          <w:sz w:val="24"/>
        </w:rPr>
        <w:t>（2）遵义会议及其历史意义</w:t>
      </w:r>
    </w:p>
    <w:p w14:paraId="6BD9B143">
      <w:pPr>
        <w:spacing w:line="360" w:lineRule="auto"/>
        <w:ind w:firstLine="480" w:firstLineChars="200"/>
        <w:rPr>
          <w:rFonts w:hint="eastAsia" w:ascii="宋体" w:hAnsi="宋体"/>
          <w:color w:val="000000"/>
          <w:sz w:val="24"/>
        </w:rPr>
      </w:pPr>
      <w:r>
        <w:rPr>
          <w:rFonts w:hint="eastAsia" w:ascii="宋体" w:hAnsi="宋体"/>
          <w:color w:val="000000"/>
          <w:sz w:val="24"/>
        </w:rPr>
        <w:t>（3）长征精神及其当代价值</w:t>
      </w:r>
    </w:p>
    <w:p w14:paraId="197237ED">
      <w:pPr>
        <w:spacing w:line="360" w:lineRule="auto"/>
        <w:ind w:firstLine="482" w:firstLineChars="200"/>
        <w:rPr>
          <w:rFonts w:hint="eastAsia" w:ascii="宋体" w:hAnsi="宋体"/>
          <w:b/>
          <w:bCs/>
          <w:sz w:val="24"/>
          <w:szCs w:val="28"/>
        </w:rPr>
      </w:pPr>
      <w:r>
        <w:rPr>
          <w:rFonts w:hint="eastAsia" w:ascii="宋体" w:hAnsi="宋体"/>
          <w:b/>
          <w:sz w:val="24"/>
        </w:rPr>
        <w:t>（七）</w:t>
      </w:r>
      <w:r>
        <w:rPr>
          <w:rFonts w:hint="eastAsia" w:ascii="宋体" w:hAnsi="宋体"/>
          <w:b/>
          <w:bCs/>
          <w:sz w:val="24"/>
          <w:szCs w:val="28"/>
        </w:rPr>
        <w:t>中华民族的抗日战争</w:t>
      </w:r>
    </w:p>
    <w:p w14:paraId="4DD837D1">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7AE23A05">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日本发动企图灭亡中国的侵略战争</w:t>
      </w:r>
    </w:p>
    <w:p w14:paraId="53D8BDA3">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中国人民奋起抗击日本侵略者</w:t>
      </w:r>
    </w:p>
    <w:p w14:paraId="3CEFFEBE">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抗日战争的正面战场</w:t>
      </w:r>
    </w:p>
    <w:p w14:paraId="5E0C8169">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抗日战争的中流砥柱</w:t>
      </w:r>
    </w:p>
    <w:p w14:paraId="20CD7070">
      <w:pPr>
        <w:spacing w:line="360" w:lineRule="auto"/>
        <w:ind w:firstLine="480" w:firstLineChars="200"/>
        <w:rPr>
          <w:rFonts w:hint="eastAsia" w:ascii="宋体" w:hAnsi="宋体"/>
          <w:color w:val="000000"/>
          <w:sz w:val="24"/>
        </w:rPr>
      </w:pPr>
      <w:bookmarkStart w:id="10" w:name="_Hlk144228850"/>
      <w:r>
        <w:rPr>
          <w:rFonts w:ascii="宋体" w:hAnsi="宋体"/>
          <w:sz w:val="24"/>
        </w:rPr>
        <w:t>（5）</w:t>
      </w:r>
      <w:r>
        <w:rPr>
          <w:rFonts w:hint="eastAsia" w:ascii="宋体" w:hAnsi="宋体"/>
          <w:sz w:val="24"/>
        </w:rPr>
        <w:t>抗日战争的胜利及其意义</w:t>
      </w:r>
      <w:bookmarkEnd w:id="10"/>
    </w:p>
    <w:p w14:paraId="045F439F">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55B1D073">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认识抗日战争的历史进程、主流和本质</w:t>
      </w:r>
    </w:p>
    <w:p w14:paraId="2196B3A1">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理解中国共产党是全民族抗战的中流砥柱</w:t>
      </w:r>
    </w:p>
    <w:p w14:paraId="2D75F7E3">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认识抗日战争胜利的重大意义</w:t>
      </w:r>
    </w:p>
    <w:p w14:paraId="21B3957C">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017A7D9C">
      <w:pPr>
        <w:spacing w:line="360" w:lineRule="auto"/>
        <w:ind w:firstLine="480" w:firstLineChars="200"/>
        <w:rPr>
          <w:rFonts w:hint="eastAsia" w:ascii="宋体" w:hAnsi="宋体"/>
          <w:color w:val="000000"/>
          <w:sz w:val="24"/>
        </w:rPr>
      </w:pPr>
      <w:r>
        <w:rPr>
          <w:rFonts w:hint="eastAsia" w:ascii="宋体" w:hAnsi="宋体"/>
          <w:color w:val="000000"/>
          <w:sz w:val="24"/>
        </w:rPr>
        <w:t>（1）日本发动企图灭亡中国的侵略战争给中华民族带来的深重灾难</w:t>
      </w:r>
    </w:p>
    <w:p w14:paraId="533168B1">
      <w:pPr>
        <w:spacing w:line="360" w:lineRule="auto"/>
        <w:ind w:firstLine="480" w:firstLineChars="200"/>
        <w:rPr>
          <w:rFonts w:hint="eastAsia" w:ascii="宋体" w:hAnsi="宋体"/>
          <w:color w:val="000000"/>
          <w:sz w:val="24"/>
        </w:rPr>
      </w:pPr>
      <w:r>
        <w:rPr>
          <w:rFonts w:hint="eastAsia" w:ascii="宋体" w:hAnsi="宋体"/>
          <w:color w:val="000000"/>
          <w:sz w:val="24"/>
        </w:rPr>
        <w:t>（2）抗日民族统一战线建立和巩固的艰难历程</w:t>
      </w:r>
    </w:p>
    <w:p w14:paraId="298A2FC9">
      <w:pPr>
        <w:spacing w:line="360" w:lineRule="auto"/>
        <w:ind w:firstLine="480" w:firstLineChars="200"/>
        <w:rPr>
          <w:rFonts w:hint="eastAsia" w:ascii="宋体" w:hAnsi="宋体"/>
          <w:color w:val="000000"/>
          <w:sz w:val="24"/>
        </w:rPr>
      </w:pPr>
      <w:r>
        <w:rPr>
          <w:rFonts w:hint="eastAsia" w:ascii="宋体" w:hAnsi="宋体"/>
          <w:color w:val="000000"/>
          <w:sz w:val="24"/>
        </w:rPr>
        <w:t>（3）中国共产党是抗日战争的中流砥柱</w:t>
      </w:r>
    </w:p>
    <w:p w14:paraId="3557FD06">
      <w:pPr>
        <w:spacing w:line="360" w:lineRule="auto"/>
        <w:ind w:firstLine="480" w:firstLineChars="200"/>
        <w:rPr>
          <w:rFonts w:hint="eastAsia" w:ascii="宋体" w:hAnsi="宋体"/>
          <w:color w:val="000000"/>
          <w:sz w:val="24"/>
        </w:rPr>
      </w:pPr>
      <w:r>
        <w:rPr>
          <w:rFonts w:hint="eastAsia" w:ascii="宋体" w:hAnsi="宋体"/>
          <w:color w:val="000000"/>
          <w:sz w:val="24"/>
        </w:rPr>
        <w:t>（4）抗战胜利的伟大意义</w:t>
      </w:r>
    </w:p>
    <w:p w14:paraId="0B92A234">
      <w:pPr>
        <w:spacing w:line="360" w:lineRule="auto"/>
        <w:ind w:firstLine="482" w:firstLineChars="200"/>
        <w:rPr>
          <w:rFonts w:hint="eastAsia" w:ascii="宋体" w:hAnsi="宋体"/>
          <w:b/>
          <w:bCs/>
          <w:sz w:val="24"/>
          <w:szCs w:val="28"/>
        </w:rPr>
      </w:pPr>
      <w:bookmarkStart w:id="11" w:name="_Hlk144228698"/>
      <w:r>
        <w:rPr>
          <w:rFonts w:hint="eastAsia" w:ascii="宋体" w:hAnsi="宋体"/>
          <w:b/>
          <w:sz w:val="24"/>
        </w:rPr>
        <w:t>（八）</w:t>
      </w:r>
      <w:r>
        <w:rPr>
          <w:rFonts w:hint="eastAsia" w:ascii="宋体" w:hAnsi="宋体"/>
          <w:b/>
          <w:bCs/>
          <w:sz w:val="24"/>
          <w:szCs w:val="28"/>
        </w:rPr>
        <w:t>为建立新中国而奋斗</w:t>
      </w:r>
    </w:p>
    <w:p w14:paraId="13656243">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33774EC0">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从争取和平民主到击退国民党的军事进攻</w:t>
      </w:r>
    </w:p>
    <w:p w14:paraId="0314EE40">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全国解放战争的发展和第二条战线的形成</w:t>
      </w:r>
    </w:p>
    <w:p w14:paraId="5504C033">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中国共产党与民主党派的团结合作</w:t>
      </w:r>
    </w:p>
    <w:p w14:paraId="324E5227">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建立人民民主专政的新中国</w:t>
      </w:r>
    </w:p>
    <w:p w14:paraId="01B262AF">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3380961D">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认识第二条战线形成和发展的重要意义</w:t>
      </w:r>
    </w:p>
    <w:p w14:paraId="670B9566">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认识中华人民共和国的建立和中国共产党执政地位的确立是历史和人民的选择</w:t>
      </w:r>
    </w:p>
    <w:p w14:paraId="426F6A1B">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474677E8">
      <w:pPr>
        <w:spacing w:line="360" w:lineRule="auto"/>
        <w:ind w:firstLine="480" w:firstLineChars="200"/>
        <w:rPr>
          <w:rFonts w:hint="eastAsia" w:ascii="宋体" w:hAnsi="宋体"/>
          <w:color w:val="000000"/>
          <w:sz w:val="24"/>
        </w:rPr>
      </w:pPr>
      <w:r>
        <w:rPr>
          <w:rFonts w:hint="eastAsia" w:ascii="宋体" w:hAnsi="宋体"/>
          <w:color w:val="000000"/>
          <w:sz w:val="24"/>
        </w:rPr>
        <w:t>（1）三种建国方案与两个中国命运形成的历史背景</w:t>
      </w:r>
    </w:p>
    <w:p w14:paraId="7572E0E9">
      <w:pPr>
        <w:spacing w:line="360" w:lineRule="auto"/>
        <w:ind w:firstLine="480" w:firstLineChars="200"/>
        <w:rPr>
          <w:rFonts w:hint="eastAsia" w:ascii="宋体" w:hAnsi="宋体"/>
          <w:color w:val="000000"/>
          <w:sz w:val="24"/>
        </w:rPr>
      </w:pPr>
      <w:r>
        <w:rPr>
          <w:rFonts w:hint="eastAsia" w:ascii="宋体" w:hAnsi="宋体"/>
          <w:color w:val="000000"/>
          <w:sz w:val="24"/>
        </w:rPr>
        <w:t>（2）新民主主义革命胜利的原因和基本经验</w:t>
      </w:r>
      <w:bookmarkEnd w:id="11"/>
    </w:p>
    <w:p w14:paraId="532B3E7C">
      <w:pPr>
        <w:spacing w:line="360" w:lineRule="auto"/>
        <w:ind w:firstLine="482" w:firstLineChars="200"/>
        <w:rPr>
          <w:rFonts w:hint="eastAsia" w:ascii="宋体" w:hAnsi="宋体"/>
          <w:b/>
          <w:bCs/>
          <w:sz w:val="24"/>
          <w:szCs w:val="28"/>
        </w:rPr>
      </w:pPr>
      <w:r>
        <w:rPr>
          <w:rFonts w:hint="eastAsia" w:ascii="宋体" w:hAnsi="宋体"/>
          <w:b/>
          <w:sz w:val="24"/>
        </w:rPr>
        <w:t>（九）</w:t>
      </w:r>
      <w:r>
        <w:rPr>
          <w:rFonts w:hint="eastAsia" w:ascii="宋体" w:hAnsi="宋体"/>
          <w:b/>
          <w:bCs/>
          <w:sz w:val="24"/>
          <w:szCs w:val="28"/>
        </w:rPr>
        <w:t>中华人民共和国的成立与中国社会主义建设道路的探索</w:t>
      </w:r>
    </w:p>
    <w:p w14:paraId="3D08EDFE">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1A9F060A">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中华人民共和国的成立和新生人民政权的巩固</w:t>
      </w:r>
    </w:p>
    <w:p w14:paraId="61B75C29">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党在过渡时期的总路线及其实施</w:t>
      </w:r>
    </w:p>
    <w:p w14:paraId="52578961">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初步确立社会主义基本制度</w:t>
      </w:r>
    </w:p>
    <w:p w14:paraId="033E2B14">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全面建设社会主义的良好开端</w:t>
      </w:r>
    </w:p>
    <w:p w14:paraId="030753C5">
      <w:pPr>
        <w:spacing w:line="360" w:lineRule="auto"/>
        <w:ind w:firstLine="480" w:firstLineChars="200"/>
        <w:rPr>
          <w:rFonts w:hint="eastAsia" w:ascii="宋体" w:hAnsi="宋体"/>
          <w:sz w:val="24"/>
        </w:rPr>
      </w:pPr>
      <w:r>
        <w:rPr>
          <w:rFonts w:ascii="宋体" w:hAnsi="宋体"/>
          <w:sz w:val="24"/>
        </w:rPr>
        <w:t>（5）</w:t>
      </w:r>
      <w:r>
        <w:rPr>
          <w:rFonts w:hint="eastAsia" w:ascii="宋体" w:hAnsi="宋体"/>
          <w:sz w:val="24"/>
        </w:rPr>
        <w:t>社会主义道路的艰辛探索和曲折发展</w:t>
      </w:r>
    </w:p>
    <w:p w14:paraId="4B255435">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721C4319">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了解中华人民共和国的成立和新生人民政权巩固的过程</w:t>
      </w:r>
    </w:p>
    <w:p w14:paraId="41470414">
      <w:pPr>
        <w:spacing w:line="360" w:lineRule="auto"/>
        <w:ind w:firstLine="480" w:firstLineChars="200"/>
        <w:rPr>
          <w:rFonts w:hint="eastAsia" w:ascii="宋体" w:hAnsi="宋体"/>
          <w:sz w:val="24"/>
        </w:rPr>
      </w:pPr>
      <w:bookmarkStart w:id="12" w:name="_Hlk144229035"/>
      <w:r>
        <w:rPr>
          <w:rFonts w:ascii="宋体" w:hAnsi="宋体"/>
          <w:sz w:val="24"/>
        </w:rPr>
        <w:t>（2）</w:t>
      </w:r>
      <w:r>
        <w:rPr>
          <w:rFonts w:hint="eastAsia" w:ascii="宋体" w:hAnsi="宋体"/>
          <w:sz w:val="24"/>
        </w:rPr>
        <w:t>认识中华人民共和国走上社会主义道路是历史</w:t>
      </w:r>
      <w:bookmarkEnd w:id="12"/>
      <w:r>
        <w:rPr>
          <w:rFonts w:hint="eastAsia" w:ascii="宋体" w:hAnsi="宋体"/>
          <w:sz w:val="24"/>
        </w:rPr>
        <w:t>和人民的选择</w:t>
      </w:r>
    </w:p>
    <w:p w14:paraId="5C743F9E">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认识中华人民共和国确立社会主义基本制度的历史意义</w:t>
      </w:r>
    </w:p>
    <w:p w14:paraId="72B96DC2">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4EB491C1">
      <w:pPr>
        <w:spacing w:line="360" w:lineRule="auto"/>
        <w:ind w:firstLine="480" w:firstLineChars="200"/>
        <w:rPr>
          <w:rFonts w:hint="eastAsia" w:ascii="宋体" w:hAnsi="宋体"/>
          <w:color w:val="000000"/>
          <w:sz w:val="24"/>
        </w:rPr>
      </w:pPr>
      <w:r>
        <w:rPr>
          <w:rFonts w:hint="eastAsia" w:ascii="宋体" w:hAnsi="宋体"/>
          <w:color w:val="000000"/>
          <w:sz w:val="24"/>
        </w:rPr>
        <w:t>（1）社会主义制度在中国的确立是历史和人民的选择</w:t>
      </w:r>
    </w:p>
    <w:p w14:paraId="004870B5">
      <w:pPr>
        <w:spacing w:line="360" w:lineRule="auto"/>
        <w:ind w:firstLine="480" w:firstLineChars="200"/>
        <w:rPr>
          <w:rFonts w:hint="eastAsia" w:ascii="宋体" w:hAnsi="宋体"/>
          <w:color w:val="000000"/>
          <w:sz w:val="24"/>
        </w:rPr>
      </w:pPr>
      <w:r>
        <w:rPr>
          <w:rFonts w:hint="eastAsia" w:ascii="宋体" w:hAnsi="宋体"/>
          <w:color w:val="000000"/>
          <w:sz w:val="24"/>
        </w:rPr>
        <w:t>（2）全面建设社会主义的成就和历史经验</w:t>
      </w:r>
    </w:p>
    <w:p w14:paraId="76189030">
      <w:pPr>
        <w:spacing w:line="360" w:lineRule="auto"/>
        <w:ind w:firstLine="482" w:firstLineChars="200"/>
        <w:rPr>
          <w:rFonts w:hint="eastAsia" w:ascii="宋体" w:hAnsi="宋体"/>
          <w:b/>
          <w:bCs/>
          <w:sz w:val="24"/>
          <w:szCs w:val="28"/>
        </w:rPr>
      </w:pPr>
      <w:r>
        <w:rPr>
          <w:rFonts w:hint="eastAsia" w:ascii="宋体" w:hAnsi="宋体"/>
          <w:b/>
          <w:sz w:val="24"/>
        </w:rPr>
        <w:t>（十）</w:t>
      </w:r>
      <w:r>
        <w:rPr>
          <w:rFonts w:hint="eastAsia" w:ascii="宋体" w:hAnsi="宋体"/>
          <w:b/>
          <w:bCs/>
          <w:sz w:val="24"/>
          <w:szCs w:val="28"/>
        </w:rPr>
        <w:t>改革开放与中国特色社会主义的开创和发展</w:t>
      </w:r>
    </w:p>
    <w:p w14:paraId="276089BC">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3D90C2BF">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历史性的伟大转折和改革开放的起步</w:t>
      </w:r>
    </w:p>
    <w:p w14:paraId="758BDDDE">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改革开放和社会主义现代化建设新局面</w:t>
      </w:r>
    </w:p>
    <w:p w14:paraId="11CB8E9A">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把中国特色社会主义推向21世纪</w:t>
      </w:r>
    </w:p>
    <w:p w14:paraId="492A74A6">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在新形势下坚持和发展中国特色社会主义</w:t>
      </w:r>
    </w:p>
    <w:p w14:paraId="7CC9E1D0">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67E8DCC6">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认识历史性的伟大转折和社会主义现代化建设新局面</w:t>
      </w:r>
    </w:p>
    <w:p w14:paraId="6B6A8DA4">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认识改革开放和社会主义现代化建设发展的历史进程</w:t>
      </w:r>
    </w:p>
    <w:p w14:paraId="71C8B420">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3BB33107">
      <w:pPr>
        <w:spacing w:line="360" w:lineRule="auto"/>
        <w:ind w:firstLine="480" w:firstLineChars="200"/>
        <w:rPr>
          <w:rFonts w:hint="eastAsia" w:ascii="宋体" w:hAnsi="宋体"/>
          <w:color w:val="000000"/>
          <w:sz w:val="24"/>
        </w:rPr>
      </w:pPr>
      <w:r>
        <w:rPr>
          <w:rFonts w:hint="eastAsia" w:ascii="宋体" w:hAnsi="宋体"/>
          <w:color w:val="000000"/>
          <w:sz w:val="24"/>
        </w:rPr>
        <w:t>（1）改革开放的发展成就和历史意义</w:t>
      </w:r>
    </w:p>
    <w:p w14:paraId="646CA7B1">
      <w:pPr>
        <w:spacing w:line="360" w:lineRule="auto"/>
        <w:ind w:firstLine="480" w:firstLineChars="200"/>
        <w:rPr>
          <w:rFonts w:hint="eastAsia" w:ascii="宋体" w:hAnsi="宋体"/>
          <w:b/>
          <w:sz w:val="28"/>
          <w:szCs w:val="28"/>
        </w:rPr>
      </w:pPr>
      <w:r>
        <w:rPr>
          <w:rFonts w:hint="eastAsia" w:ascii="宋体" w:hAnsi="宋体"/>
          <w:color w:val="000000"/>
          <w:sz w:val="24"/>
        </w:rPr>
        <w:t>（2）中国特色社会主义的开创和发展</w:t>
      </w:r>
    </w:p>
    <w:p w14:paraId="376A1C73">
      <w:pPr>
        <w:spacing w:line="360" w:lineRule="auto"/>
        <w:ind w:firstLine="482" w:firstLineChars="200"/>
        <w:rPr>
          <w:rFonts w:hint="eastAsia" w:ascii="宋体" w:hAnsi="宋体"/>
          <w:b/>
          <w:bCs/>
          <w:sz w:val="24"/>
          <w:szCs w:val="28"/>
        </w:rPr>
      </w:pPr>
      <w:r>
        <w:rPr>
          <w:rFonts w:hint="eastAsia" w:ascii="宋体" w:hAnsi="宋体"/>
          <w:b/>
          <w:sz w:val="24"/>
        </w:rPr>
        <w:t>（十一）</w:t>
      </w:r>
      <w:r>
        <w:rPr>
          <w:rFonts w:hint="eastAsia" w:ascii="宋体" w:hAnsi="宋体"/>
          <w:b/>
          <w:bCs/>
          <w:sz w:val="24"/>
          <w:szCs w:val="28"/>
        </w:rPr>
        <w:t>中国特色社会主义进入新时代</w:t>
      </w:r>
    </w:p>
    <w:p w14:paraId="7CD237DF">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27B66CE2">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开拓中国特色社会主义更为广阔的发展前景</w:t>
      </w:r>
    </w:p>
    <w:p w14:paraId="1C7BF225">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把新时代中国特色社会主义不断推向前进</w:t>
      </w:r>
    </w:p>
    <w:p w14:paraId="5A053953">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开启全面建设社会主义现代化国家新征程</w:t>
      </w:r>
    </w:p>
    <w:p w14:paraId="157514B9">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47A8C271">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了解中国特色社会主义进入新时代的发展成就</w:t>
      </w:r>
    </w:p>
    <w:p w14:paraId="30383C99">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认识习近平新时代中国特色社会主义思想的意义</w:t>
      </w:r>
    </w:p>
    <w:p w14:paraId="7879815C">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认识中国共产党的百年奋斗重大成就和历史经验</w:t>
      </w:r>
    </w:p>
    <w:p w14:paraId="6864A712">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786A5918">
      <w:pPr>
        <w:spacing w:line="360" w:lineRule="auto"/>
        <w:ind w:firstLine="480" w:firstLineChars="200"/>
        <w:rPr>
          <w:rFonts w:hint="eastAsia" w:ascii="宋体" w:hAnsi="宋体"/>
          <w:color w:val="000000"/>
          <w:sz w:val="24"/>
        </w:rPr>
      </w:pPr>
      <w:r>
        <w:rPr>
          <w:rFonts w:hint="eastAsia" w:ascii="宋体" w:hAnsi="宋体"/>
          <w:color w:val="000000"/>
          <w:sz w:val="24"/>
        </w:rPr>
        <w:t>（1）中国特色社会主义进入新时代的历史方位</w:t>
      </w:r>
    </w:p>
    <w:p w14:paraId="22E8DBB7">
      <w:pPr>
        <w:spacing w:line="360" w:lineRule="auto"/>
        <w:ind w:firstLine="480" w:firstLineChars="200"/>
        <w:rPr>
          <w:rFonts w:hint="eastAsia" w:ascii="宋体" w:hAnsi="宋体"/>
          <w:color w:val="000000"/>
          <w:sz w:val="24"/>
        </w:rPr>
      </w:pPr>
      <w:r>
        <w:rPr>
          <w:rFonts w:hint="eastAsia" w:ascii="宋体" w:hAnsi="宋体"/>
          <w:color w:val="000000"/>
          <w:sz w:val="24"/>
        </w:rPr>
        <w:t>（2）习近平新时代中国特色社会主义思想的指导地位</w:t>
      </w:r>
    </w:p>
    <w:p w14:paraId="5A41C7D5">
      <w:pPr>
        <w:spacing w:line="360" w:lineRule="auto"/>
        <w:ind w:firstLine="480" w:firstLineChars="200"/>
        <w:rPr>
          <w:rFonts w:hint="eastAsia" w:ascii="宋体" w:hAnsi="宋体"/>
          <w:color w:val="000000"/>
          <w:sz w:val="24"/>
        </w:rPr>
      </w:pPr>
      <w:r>
        <w:rPr>
          <w:rFonts w:hint="eastAsia" w:ascii="宋体" w:hAnsi="宋体"/>
          <w:color w:val="000000"/>
          <w:sz w:val="24"/>
        </w:rPr>
        <w:t>（3）以中国式现代化全面推进中华民族伟大复兴</w:t>
      </w:r>
    </w:p>
    <w:p w14:paraId="289C13BE">
      <w:pPr>
        <w:spacing w:line="360" w:lineRule="auto"/>
        <w:ind w:firstLine="480" w:firstLineChars="20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Style w:val="13"/>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647"/>
        <w:gridCol w:w="1275"/>
        <w:gridCol w:w="1134"/>
        <w:gridCol w:w="709"/>
        <w:gridCol w:w="709"/>
      </w:tblGrid>
      <w:tr w14:paraId="478A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shd w:val="clear" w:color="auto" w:fill="FFFFFF"/>
            <w:vAlign w:val="center"/>
          </w:tcPr>
          <w:p w14:paraId="06AE1FF1">
            <w:pPr>
              <w:jc w:val="center"/>
              <w:rPr>
                <w:color w:val="000000"/>
                <w:szCs w:val="21"/>
              </w:rPr>
            </w:pPr>
            <w:r>
              <w:rPr>
                <w:rFonts w:hint="eastAsia"/>
                <w:color w:val="000000"/>
                <w:szCs w:val="21"/>
              </w:rPr>
              <w:t>序号</w:t>
            </w:r>
          </w:p>
        </w:tc>
        <w:tc>
          <w:tcPr>
            <w:tcW w:w="3647" w:type="dxa"/>
            <w:shd w:val="clear" w:color="auto" w:fill="FFFFFF"/>
            <w:vAlign w:val="center"/>
          </w:tcPr>
          <w:p w14:paraId="610C11B4">
            <w:pPr>
              <w:jc w:val="center"/>
              <w:rPr>
                <w:color w:val="000000"/>
                <w:szCs w:val="21"/>
              </w:rPr>
            </w:pPr>
            <w:r>
              <w:rPr>
                <w:color w:val="000000"/>
                <w:szCs w:val="21"/>
              </w:rPr>
              <w:t>教学内容</w:t>
            </w:r>
          </w:p>
        </w:tc>
        <w:tc>
          <w:tcPr>
            <w:tcW w:w="1275" w:type="dxa"/>
            <w:shd w:val="clear" w:color="auto" w:fill="FFFFFF"/>
            <w:vAlign w:val="center"/>
          </w:tcPr>
          <w:p w14:paraId="2710063A">
            <w:pPr>
              <w:jc w:val="center"/>
              <w:rPr>
                <w:szCs w:val="21"/>
              </w:rPr>
            </w:pPr>
            <w:r>
              <w:rPr>
                <w:szCs w:val="21"/>
              </w:rPr>
              <w:t>支撑</w:t>
            </w:r>
            <w:r>
              <w:rPr>
                <w:rFonts w:hint="eastAsia"/>
                <w:szCs w:val="21"/>
              </w:rPr>
              <w:t>的</w:t>
            </w:r>
          </w:p>
          <w:p w14:paraId="2CCB9EC3">
            <w:pPr>
              <w:jc w:val="center"/>
              <w:rPr>
                <w:szCs w:val="21"/>
              </w:rPr>
            </w:pPr>
            <w:r>
              <w:rPr>
                <w:szCs w:val="21"/>
              </w:rPr>
              <w:t>课程目标</w:t>
            </w:r>
          </w:p>
        </w:tc>
        <w:tc>
          <w:tcPr>
            <w:tcW w:w="1134" w:type="dxa"/>
            <w:shd w:val="clear" w:color="auto" w:fill="FFFFFF"/>
            <w:vAlign w:val="center"/>
          </w:tcPr>
          <w:p w14:paraId="1A966174">
            <w:pPr>
              <w:jc w:val="center"/>
              <w:rPr>
                <w:szCs w:val="21"/>
              </w:rPr>
            </w:pPr>
            <w:r>
              <w:rPr>
                <w:szCs w:val="21"/>
              </w:rPr>
              <w:t>支撑</w:t>
            </w:r>
            <w:r>
              <w:rPr>
                <w:rFonts w:hint="eastAsia"/>
                <w:szCs w:val="21"/>
              </w:rPr>
              <w:t>的</w:t>
            </w:r>
          </w:p>
          <w:p w14:paraId="162564FA">
            <w:pPr>
              <w:jc w:val="center"/>
              <w:rPr>
                <w:szCs w:val="21"/>
              </w:rPr>
            </w:pPr>
            <w:r>
              <w:rPr>
                <w:szCs w:val="21"/>
              </w:rPr>
              <w:t>毕业要求</w:t>
            </w:r>
          </w:p>
          <w:p w14:paraId="339F8963">
            <w:pPr>
              <w:jc w:val="center"/>
              <w:rPr>
                <w:szCs w:val="21"/>
              </w:rPr>
            </w:pPr>
            <w:r>
              <w:rPr>
                <w:szCs w:val="21"/>
              </w:rPr>
              <w:t>指标点</w:t>
            </w:r>
          </w:p>
        </w:tc>
        <w:tc>
          <w:tcPr>
            <w:tcW w:w="709" w:type="dxa"/>
            <w:shd w:val="clear" w:color="auto" w:fill="FFFFFF"/>
            <w:vAlign w:val="center"/>
          </w:tcPr>
          <w:p w14:paraId="0A666825">
            <w:pPr>
              <w:jc w:val="center"/>
              <w:rPr>
                <w:szCs w:val="21"/>
              </w:rPr>
            </w:pPr>
            <w:r>
              <w:rPr>
                <w:szCs w:val="21"/>
              </w:rPr>
              <w:t>讲</w:t>
            </w:r>
            <w:r>
              <w:rPr>
                <w:rFonts w:hint="eastAsia"/>
                <w:szCs w:val="21"/>
              </w:rPr>
              <w:t>授</w:t>
            </w:r>
          </w:p>
          <w:p w14:paraId="15B60A5E">
            <w:pPr>
              <w:jc w:val="center"/>
              <w:rPr>
                <w:szCs w:val="21"/>
              </w:rPr>
            </w:pPr>
            <w:r>
              <w:rPr>
                <w:szCs w:val="21"/>
              </w:rPr>
              <w:t>学时</w:t>
            </w:r>
          </w:p>
        </w:tc>
        <w:tc>
          <w:tcPr>
            <w:tcW w:w="709" w:type="dxa"/>
            <w:shd w:val="clear" w:color="auto" w:fill="FFFFFF"/>
            <w:vAlign w:val="center"/>
          </w:tcPr>
          <w:p w14:paraId="03B87119">
            <w:pPr>
              <w:jc w:val="center"/>
              <w:rPr>
                <w:szCs w:val="21"/>
              </w:rPr>
            </w:pPr>
            <w:r>
              <w:rPr>
                <w:rFonts w:hint="eastAsia"/>
                <w:szCs w:val="21"/>
              </w:rPr>
              <w:t>实践</w:t>
            </w:r>
          </w:p>
          <w:p w14:paraId="55D7815B">
            <w:pPr>
              <w:jc w:val="center"/>
              <w:rPr>
                <w:szCs w:val="21"/>
              </w:rPr>
            </w:pPr>
            <w:r>
              <w:rPr>
                <w:szCs w:val="21"/>
              </w:rPr>
              <w:t>学时</w:t>
            </w:r>
          </w:p>
        </w:tc>
      </w:tr>
      <w:tr w14:paraId="309F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227F3487">
            <w:pPr>
              <w:jc w:val="center"/>
              <w:rPr>
                <w:szCs w:val="21"/>
              </w:rPr>
            </w:pPr>
            <w:r>
              <w:rPr>
                <w:rFonts w:hint="eastAsia"/>
                <w:szCs w:val="21"/>
              </w:rPr>
              <w:t>1</w:t>
            </w:r>
          </w:p>
        </w:tc>
        <w:tc>
          <w:tcPr>
            <w:tcW w:w="3647" w:type="dxa"/>
            <w:vAlign w:val="center"/>
          </w:tcPr>
          <w:p w14:paraId="050EF643">
            <w:pPr>
              <w:jc w:val="left"/>
              <w:rPr>
                <w:color w:val="000000"/>
                <w:szCs w:val="21"/>
              </w:rPr>
            </w:pPr>
            <w:r>
              <w:rPr>
                <w:rFonts w:hint="eastAsia"/>
                <w:color w:val="000000"/>
                <w:szCs w:val="21"/>
              </w:rPr>
              <w:t>导言</w:t>
            </w:r>
          </w:p>
        </w:tc>
        <w:tc>
          <w:tcPr>
            <w:tcW w:w="1275" w:type="dxa"/>
            <w:vAlign w:val="center"/>
          </w:tcPr>
          <w:p w14:paraId="2A0A2C4D">
            <w:pPr>
              <w:jc w:val="center"/>
              <w:rPr>
                <w:color w:val="000000"/>
                <w:szCs w:val="21"/>
              </w:rPr>
            </w:pPr>
            <w:r>
              <w:rPr>
                <w:color w:val="000000"/>
                <w:szCs w:val="21"/>
              </w:rPr>
              <w:t>目标</w:t>
            </w:r>
            <w:r>
              <w:rPr>
                <w:rFonts w:hint="eastAsia"/>
                <w:szCs w:val="21"/>
              </w:rPr>
              <w:t>1</w:t>
            </w:r>
          </w:p>
        </w:tc>
        <w:tc>
          <w:tcPr>
            <w:tcW w:w="1134" w:type="dxa"/>
            <w:vAlign w:val="center"/>
          </w:tcPr>
          <w:p w14:paraId="63525625">
            <w:pPr>
              <w:jc w:val="center"/>
              <w:rPr>
                <w:szCs w:val="21"/>
              </w:rPr>
            </w:pPr>
            <w:r>
              <w:rPr>
                <w:szCs w:val="21"/>
              </w:rPr>
              <w:t>8-1</w:t>
            </w:r>
          </w:p>
        </w:tc>
        <w:tc>
          <w:tcPr>
            <w:tcW w:w="709" w:type="dxa"/>
            <w:vAlign w:val="center"/>
          </w:tcPr>
          <w:p w14:paraId="68BFB0EA">
            <w:pPr>
              <w:jc w:val="center"/>
              <w:rPr>
                <w:szCs w:val="21"/>
              </w:rPr>
            </w:pPr>
            <w:r>
              <w:rPr>
                <w:rFonts w:hint="eastAsia"/>
                <w:szCs w:val="21"/>
              </w:rPr>
              <w:t>3</w:t>
            </w:r>
          </w:p>
        </w:tc>
        <w:tc>
          <w:tcPr>
            <w:tcW w:w="709" w:type="dxa"/>
            <w:vAlign w:val="center"/>
          </w:tcPr>
          <w:p w14:paraId="1CF2FB4B">
            <w:pPr>
              <w:jc w:val="center"/>
              <w:rPr>
                <w:szCs w:val="21"/>
              </w:rPr>
            </w:pPr>
          </w:p>
        </w:tc>
      </w:tr>
      <w:tr w14:paraId="1CFF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6614B0E8">
            <w:pPr>
              <w:jc w:val="center"/>
              <w:rPr>
                <w:szCs w:val="21"/>
              </w:rPr>
            </w:pPr>
            <w:r>
              <w:rPr>
                <w:rFonts w:hint="eastAsia"/>
                <w:szCs w:val="21"/>
              </w:rPr>
              <w:t>2</w:t>
            </w:r>
          </w:p>
        </w:tc>
        <w:tc>
          <w:tcPr>
            <w:tcW w:w="3647" w:type="dxa"/>
            <w:vAlign w:val="center"/>
          </w:tcPr>
          <w:p w14:paraId="42D3B1A3">
            <w:pPr>
              <w:jc w:val="left"/>
              <w:rPr>
                <w:color w:val="000000"/>
                <w:szCs w:val="21"/>
              </w:rPr>
            </w:pPr>
            <w:r>
              <w:rPr>
                <w:rFonts w:hint="eastAsia"/>
                <w:color w:val="000000"/>
                <w:szCs w:val="21"/>
              </w:rPr>
              <w:t>进入近代后中华民族的磨难与抗争</w:t>
            </w:r>
          </w:p>
        </w:tc>
        <w:tc>
          <w:tcPr>
            <w:tcW w:w="1275" w:type="dxa"/>
            <w:vAlign w:val="center"/>
          </w:tcPr>
          <w:p w14:paraId="4E528FA2">
            <w:pPr>
              <w:jc w:val="center"/>
              <w:rPr>
                <w:color w:val="000000"/>
                <w:szCs w:val="21"/>
              </w:rPr>
            </w:pPr>
            <w:r>
              <w:rPr>
                <w:rFonts w:hint="eastAsia"/>
                <w:color w:val="000000"/>
                <w:szCs w:val="21"/>
              </w:rPr>
              <w:t>目标1</w:t>
            </w:r>
          </w:p>
        </w:tc>
        <w:tc>
          <w:tcPr>
            <w:tcW w:w="1134" w:type="dxa"/>
            <w:vAlign w:val="center"/>
          </w:tcPr>
          <w:p w14:paraId="505D1663">
            <w:pPr>
              <w:jc w:val="center"/>
              <w:rPr>
                <w:szCs w:val="21"/>
              </w:rPr>
            </w:pPr>
            <w:r>
              <w:rPr>
                <w:szCs w:val="21"/>
              </w:rPr>
              <w:t>8-1</w:t>
            </w:r>
          </w:p>
        </w:tc>
        <w:tc>
          <w:tcPr>
            <w:tcW w:w="709" w:type="dxa"/>
            <w:vAlign w:val="center"/>
          </w:tcPr>
          <w:p w14:paraId="1E30BA52">
            <w:pPr>
              <w:jc w:val="center"/>
              <w:rPr>
                <w:szCs w:val="21"/>
              </w:rPr>
            </w:pPr>
            <w:r>
              <w:rPr>
                <w:rFonts w:hint="eastAsia"/>
                <w:szCs w:val="21"/>
              </w:rPr>
              <w:t>3</w:t>
            </w:r>
          </w:p>
        </w:tc>
        <w:tc>
          <w:tcPr>
            <w:tcW w:w="709" w:type="dxa"/>
            <w:vAlign w:val="center"/>
          </w:tcPr>
          <w:p w14:paraId="4E6893E9">
            <w:pPr>
              <w:jc w:val="center"/>
              <w:rPr>
                <w:szCs w:val="21"/>
              </w:rPr>
            </w:pPr>
          </w:p>
        </w:tc>
      </w:tr>
      <w:tr w14:paraId="67D1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047BE27D">
            <w:pPr>
              <w:jc w:val="center"/>
              <w:rPr>
                <w:szCs w:val="21"/>
              </w:rPr>
            </w:pPr>
            <w:r>
              <w:rPr>
                <w:rFonts w:hint="eastAsia"/>
                <w:szCs w:val="21"/>
              </w:rPr>
              <w:t>3</w:t>
            </w:r>
          </w:p>
        </w:tc>
        <w:tc>
          <w:tcPr>
            <w:tcW w:w="3647" w:type="dxa"/>
            <w:vAlign w:val="center"/>
          </w:tcPr>
          <w:p w14:paraId="1FAC9481">
            <w:pPr>
              <w:jc w:val="left"/>
              <w:rPr>
                <w:color w:val="000000"/>
                <w:szCs w:val="21"/>
              </w:rPr>
            </w:pPr>
            <w:r>
              <w:rPr>
                <w:rFonts w:hint="eastAsia"/>
                <w:color w:val="000000"/>
                <w:szCs w:val="21"/>
              </w:rPr>
              <w:t>不同社会力量对国家出路的早期探索</w:t>
            </w:r>
          </w:p>
        </w:tc>
        <w:tc>
          <w:tcPr>
            <w:tcW w:w="1275" w:type="dxa"/>
            <w:vAlign w:val="center"/>
          </w:tcPr>
          <w:p w14:paraId="3AC9CA18">
            <w:pPr>
              <w:jc w:val="center"/>
              <w:rPr>
                <w:color w:val="000000"/>
                <w:szCs w:val="21"/>
              </w:rPr>
            </w:pPr>
            <w:r>
              <w:rPr>
                <w:rFonts w:hint="eastAsia"/>
                <w:color w:val="000000"/>
                <w:szCs w:val="21"/>
              </w:rPr>
              <w:t>目标1</w:t>
            </w:r>
          </w:p>
        </w:tc>
        <w:tc>
          <w:tcPr>
            <w:tcW w:w="1134" w:type="dxa"/>
            <w:vAlign w:val="center"/>
          </w:tcPr>
          <w:p w14:paraId="6A5ABB28">
            <w:pPr>
              <w:jc w:val="center"/>
              <w:rPr>
                <w:szCs w:val="21"/>
              </w:rPr>
            </w:pPr>
            <w:r>
              <w:rPr>
                <w:szCs w:val="21"/>
              </w:rPr>
              <w:t>8-1</w:t>
            </w:r>
          </w:p>
        </w:tc>
        <w:tc>
          <w:tcPr>
            <w:tcW w:w="709" w:type="dxa"/>
            <w:vAlign w:val="center"/>
          </w:tcPr>
          <w:p w14:paraId="35CACF77">
            <w:pPr>
              <w:jc w:val="center"/>
              <w:rPr>
                <w:szCs w:val="21"/>
              </w:rPr>
            </w:pPr>
            <w:r>
              <w:rPr>
                <w:rFonts w:hint="eastAsia"/>
                <w:szCs w:val="21"/>
              </w:rPr>
              <w:t>3</w:t>
            </w:r>
          </w:p>
        </w:tc>
        <w:tc>
          <w:tcPr>
            <w:tcW w:w="709" w:type="dxa"/>
            <w:vAlign w:val="center"/>
          </w:tcPr>
          <w:p w14:paraId="4085CB37">
            <w:pPr>
              <w:jc w:val="center"/>
              <w:rPr>
                <w:szCs w:val="21"/>
              </w:rPr>
            </w:pPr>
          </w:p>
        </w:tc>
      </w:tr>
      <w:tr w14:paraId="427E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7A642E5A">
            <w:pPr>
              <w:jc w:val="center"/>
              <w:rPr>
                <w:szCs w:val="21"/>
              </w:rPr>
            </w:pPr>
            <w:r>
              <w:rPr>
                <w:rFonts w:hint="eastAsia"/>
                <w:szCs w:val="21"/>
              </w:rPr>
              <w:t>4</w:t>
            </w:r>
          </w:p>
        </w:tc>
        <w:tc>
          <w:tcPr>
            <w:tcW w:w="3647" w:type="dxa"/>
            <w:vAlign w:val="center"/>
          </w:tcPr>
          <w:p w14:paraId="7053281B">
            <w:pPr>
              <w:jc w:val="left"/>
              <w:rPr>
                <w:b/>
                <w:sz w:val="24"/>
              </w:rPr>
            </w:pPr>
            <w:r>
              <w:rPr>
                <w:rFonts w:hint="eastAsia"/>
                <w:color w:val="000000"/>
                <w:szCs w:val="21"/>
              </w:rPr>
              <w:t>辛亥革命与君主专制制度的终结</w:t>
            </w:r>
          </w:p>
        </w:tc>
        <w:tc>
          <w:tcPr>
            <w:tcW w:w="1275" w:type="dxa"/>
            <w:vAlign w:val="center"/>
          </w:tcPr>
          <w:p w14:paraId="413685ED">
            <w:pPr>
              <w:jc w:val="center"/>
              <w:rPr>
                <w:color w:val="000000"/>
                <w:szCs w:val="21"/>
              </w:rPr>
            </w:pPr>
            <w:r>
              <w:rPr>
                <w:rFonts w:hint="eastAsia"/>
                <w:color w:val="000000"/>
                <w:szCs w:val="21"/>
              </w:rPr>
              <w:t>目标1</w:t>
            </w:r>
          </w:p>
        </w:tc>
        <w:tc>
          <w:tcPr>
            <w:tcW w:w="1134" w:type="dxa"/>
            <w:vAlign w:val="center"/>
          </w:tcPr>
          <w:p w14:paraId="63BCA126">
            <w:pPr>
              <w:jc w:val="center"/>
              <w:rPr>
                <w:szCs w:val="21"/>
              </w:rPr>
            </w:pPr>
            <w:r>
              <w:rPr>
                <w:szCs w:val="21"/>
              </w:rPr>
              <w:t>8-1</w:t>
            </w:r>
          </w:p>
        </w:tc>
        <w:tc>
          <w:tcPr>
            <w:tcW w:w="709" w:type="dxa"/>
            <w:vAlign w:val="center"/>
          </w:tcPr>
          <w:p w14:paraId="567F16A7">
            <w:pPr>
              <w:jc w:val="center"/>
              <w:rPr>
                <w:szCs w:val="21"/>
              </w:rPr>
            </w:pPr>
            <w:r>
              <w:rPr>
                <w:rFonts w:hint="eastAsia"/>
                <w:szCs w:val="21"/>
              </w:rPr>
              <w:t>3</w:t>
            </w:r>
          </w:p>
        </w:tc>
        <w:tc>
          <w:tcPr>
            <w:tcW w:w="709" w:type="dxa"/>
            <w:vAlign w:val="center"/>
          </w:tcPr>
          <w:p w14:paraId="6494FB6D">
            <w:pPr>
              <w:jc w:val="center"/>
              <w:rPr>
                <w:szCs w:val="21"/>
              </w:rPr>
            </w:pPr>
          </w:p>
        </w:tc>
      </w:tr>
      <w:tr w14:paraId="20AC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0A26E4BE">
            <w:pPr>
              <w:jc w:val="center"/>
              <w:rPr>
                <w:szCs w:val="21"/>
              </w:rPr>
            </w:pPr>
            <w:r>
              <w:rPr>
                <w:rFonts w:hint="eastAsia"/>
                <w:szCs w:val="21"/>
              </w:rPr>
              <w:t>5</w:t>
            </w:r>
          </w:p>
        </w:tc>
        <w:tc>
          <w:tcPr>
            <w:tcW w:w="3647" w:type="dxa"/>
            <w:vAlign w:val="center"/>
          </w:tcPr>
          <w:p w14:paraId="11221269">
            <w:pPr>
              <w:jc w:val="left"/>
              <w:rPr>
                <w:b/>
                <w:sz w:val="24"/>
              </w:rPr>
            </w:pPr>
            <w:r>
              <w:rPr>
                <w:rFonts w:hint="eastAsia"/>
                <w:color w:val="000000"/>
                <w:szCs w:val="21"/>
              </w:rPr>
              <w:t>中国共产党成立和中国革命新局面</w:t>
            </w:r>
          </w:p>
        </w:tc>
        <w:tc>
          <w:tcPr>
            <w:tcW w:w="1275" w:type="dxa"/>
            <w:vAlign w:val="center"/>
          </w:tcPr>
          <w:p w14:paraId="63290143">
            <w:pPr>
              <w:jc w:val="center"/>
              <w:rPr>
                <w:color w:val="000000"/>
                <w:szCs w:val="21"/>
              </w:rPr>
            </w:pPr>
            <w:r>
              <w:rPr>
                <w:rFonts w:hint="eastAsia"/>
                <w:color w:val="000000"/>
                <w:szCs w:val="21"/>
              </w:rPr>
              <w:t>目标1</w:t>
            </w:r>
          </w:p>
        </w:tc>
        <w:tc>
          <w:tcPr>
            <w:tcW w:w="1134" w:type="dxa"/>
            <w:vAlign w:val="center"/>
          </w:tcPr>
          <w:p w14:paraId="37224D3E">
            <w:pPr>
              <w:jc w:val="center"/>
              <w:rPr>
                <w:szCs w:val="21"/>
              </w:rPr>
            </w:pPr>
            <w:r>
              <w:rPr>
                <w:szCs w:val="21"/>
              </w:rPr>
              <w:t>8-1</w:t>
            </w:r>
          </w:p>
        </w:tc>
        <w:tc>
          <w:tcPr>
            <w:tcW w:w="709" w:type="dxa"/>
            <w:vAlign w:val="center"/>
          </w:tcPr>
          <w:p w14:paraId="39FA1E90">
            <w:pPr>
              <w:jc w:val="center"/>
              <w:rPr>
                <w:szCs w:val="21"/>
              </w:rPr>
            </w:pPr>
            <w:r>
              <w:rPr>
                <w:szCs w:val="21"/>
              </w:rPr>
              <w:t>6</w:t>
            </w:r>
          </w:p>
        </w:tc>
        <w:tc>
          <w:tcPr>
            <w:tcW w:w="709" w:type="dxa"/>
            <w:vAlign w:val="center"/>
          </w:tcPr>
          <w:p w14:paraId="4B734863">
            <w:pPr>
              <w:jc w:val="center"/>
              <w:rPr>
                <w:szCs w:val="21"/>
              </w:rPr>
            </w:pPr>
          </w:p>
        </w:tc>
      </w:tr>
      <w:tr w14:paraId="3A29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236C79AA">
            <w:pPr>
              <w:jc w:val="center"/>
              <w:rPr>
                <w:szCs w:val="21"/>
              </w:rPr>
            </w:pPr>
            <w:r>
              <w:rPr>
                <w:rFonts w:hint="eastAsia"/>
                <w:szCs w:val="21"/>
              </w:rPr>
              <w:t>6</w:t>
            </w:r>
          </w:p>
        </w:tc>
        <w:tc>
          <w:tcPr>
            <w:tcW w:w="3647" w:type="dxa"/>
            <w:vAlign w:val="center"/>
          </w:tcPr>
          <w:p w14:paraId="13842888">
            <w:pPr>
              <w:jc w:val="left"/>
              <w:rPr>
                <w:b/>
                <w:sz w:val="24"/>
              </w:rPr>
            </w:pPr>
            <w:r>
              <w:rPr>
                <w:rFonts w:hint="eastAsia"/>
                <w:color w:val="000000"/>
                <w:szCs w:val="21"/>
              </w:rPr>
              <w:t>中国革命的新道路</w:t>
            </w:r>
          </w:p>
        </w:tc>
        <w:tc>
          <w:tcPr>
            <w:tcW w:w="1275" w:type="dxa"/>
            <w:vAlign w:val="center"/>
          </w:tcPr>
          <w:p w14:paraId="50139E9B">
            <w:pPr>
              <w:jc w:val="center"/>
              <w:rPr>
                <w:color w:val="000000"/>
                <w:szCs w:val="21"/>
              </w:rPr>
            </w:pPr>
            <w:r>
              <w:rPr>
                <w:rFonts w:hint="eastAsia"/>
                <w:color w:val="000000"/>
                <w:szCs w:val="21"/>
              </w:rPr>
              <w:t>目标1</w:t>
            </w:r>
          </w:p>
        </w:tc>
        <w:tc>
          <w:tcPr>
            <w:tcW w:w="1134" w:type="dxa"/>
            <w:vAlign w:val="center"/>
          </w:tcPr>
          <w:p w14:paraId="1BB878CD">
            <w:pPr>
              <w:jc w:val="center"/>
              <w:rPr>
                <w:szCs w:val="21"/>
              </w:rPr>
            </w:pPr>
            <w:r>
              <w:rPr>
                <w:szCs w:val="21"/>
              </w:rPr>
              <w:t>8-1</w:t>
            </w:r>
          </w:p>
        </w:tc>
        <w:tc>
          <w:tcPr>
            <w:tcW w:w="709" w:type="dxa"/>
            <w:vAlign w:val="center"/>
          </w:tcPr>
          <w:p w14:paraId="0EFF17CF">
            <w:pPr>
              <w:jc w:val="center"/>
              <w:rPr>
                <w:szCs w:val="21"/>
              </w:rPr>
            </w:pPr>
            <w:r>
              <w:rPr>
                <w:rFonts w:hint="eastAsia"/>
                <w:szCs w:val="21"/>
              </w:rPr>
              <w:t>3</w:t>
            </w:r>
          </w:p>
        </w:tc>
        <w:tc>
          <w:tcPr>
            <w:tcW w:w="709" w:type="dxa"/>
            <w:vAlign w:val="center"/>
          </w:tcPr>
          <w:p w14:paraId="6B4110AD">
            <w:pPr>
              <w:jc w:val="center"/>
              <w:rPr>
                <w:szCs w:val="21"/>
              </w:rPr>
            </w:pPr>
          </w:p>
        </w:tc>
      </w:tr>
      <w:tr w14:paraId="49A1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6B862D3A">
            <w:pPr>
              <w:jc w:val="center"/>
              <w:rPr>
                <w:szCs w:val="21"/>
              </w:rPr>
            </w:pPr>
            <w:r>
              <w:rPr>
                <w:rFonts w:hint="eastAsia"/>
                <w:szCs w:val="21"/>
              </w:rPr>
              <w:t>7</w:t>
            </w:r>
          </w:p>
        </w:tc>
        <w:tc>
          <w:tcPr>
            <w:tcW w:w="3647" w:type="dxa"/>
            <w:vAlign w:val="center"/>
          </w:tcPr>
          <w:p w14:paraId="1581FD9D">
            <w:pPr>
              <w:jc w:val="left"/>
              <w:rPr>
                <w:b/>
                <w:sz w:val="24"/>
              </w:rPr>
            </w:pPr>
            <w:r>
              <w:rPr>
                <w:rFonts w:hint="eastAsia"/>
                <w:color w:val="000000"/>
                <w:szCs w:val="21"/>
              </w:rPr>
              <w:t>中华民族的抗日战争</w:t>
            </w:r>
          </w:p>
        </w:tc>
        <w:tc>
          <w:tcPr>
            <w:tcW w:w="1275" w:type="dxa"/>
            <w:vAlign w:val="center"/>
          </w:tcPr>
          <w:p w14:paraId="36EB271C">
            <w:pPr>
              <w:jc w:val="center"/>
              <w:rPr>
                <w:color w:val="000000"/>
                <w:szCs w:val="21"/>
              </w:rPr>
            </w:pPr>
            <w:r>
              <w:rPr>
                <w:rFonts w:hint="eastAsia"/>
                <w:color w:val="000000"/>
                <w:szCs w:val="21"/>
              </w:rPr>
              <w:t>目标1</w:t>
            </w:r>
          </w:p>
        </w:tc>
        <w:tc>
          <w:tcPr>
            <w:tcW w:w="1134" w:type="dxa"/>
            <w:vAlign w:val="center"/>
          </w:tcPr>
          <w:p w14:paraId="7648240D">
            <w:pPr>
              <w:jc w:val="center"/>
              <w:rPr>
                <w:szCs w:val="21"/>
              </w:rPr>
            </w:pPr>
            <w:r>
              <w:rPr>
                <w:szCs w:val="21"/>
              </w:rPr>
              <w:t>8-1</w:t>
            </w:r>
          </w:p>
        </w:tc>
        <w:tc>
          <w:tcPr>
            <w:tcW w:w="709" w:type="dxa"/>
            <w:vAlign w:val="center"/>
          </w:tcPr>
          <w:p w14:paraId="489C007B">
            <w:pPr>
              <w:jc w:val="center"/>
              <w:rPr>
                <w:szCs w:val="21"/>
              </w:rPr>
            </w:pPr>
            <w:r>
              <w:rPr>
                <w:rFonts w:hint="eastAsia"/>
                <w:szCs w:val="21"/>
              </w:rPr>
              <w:t>6</w:t>
            </w:r>
          </w:p>
        </w:tc>
        <w:tc>
          <w:tcPr>
            <w:tcW w:w="709" w:type="dxa"/>
            <w:vAlign w:val="center"/>
          </w:tcPr>
          <w:p w14:paraId="23CB4EF8">
            <w:pPr>
              <w:jc w:val="center"/>
              <w:rPr>
                <w:szCs w:val="21"/>
              </w:rPr>
            </w:pPr>
          </w:p>
        </w:tc>
      </w:tr>
      <w:tr w14:paraId="15E2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4A9CFEAE">
            <w:pPr>
              <w:jc w:val="center"/>
              <w:rPr>
                <w:szCs w:val="21"/>
              </w:rPr>
            </w:pPr>
            <w:r>
              <w:rPr>
                <w:rFonts w:hint="eastAsia"/>
                <w:szCs w:val="21"/>
              </w:rPr>
              <w:t>8</w:t>
            </w:r>
          </w:p>
        </w:tc>
        <w:tc>
          <w:tcPr>
            <w:tcW w:w="3647" w:type="dxa"/>
            <w:vAlign w:val="center"/>
          </w:tcPr>
          <w:p w14:paraId="03E347A9">
            <w:pPr>
              <w:jc w:val="left"/>
              <w:rPr>
                <w:b/>
                <w:sz w:val="24"/>
              </w:rPr>
            </w:pPr>
            <w:r>
              <w:rPr>
                <w:rFonts w:hint="eastAsia"/>
                <w:color w:val="000000"/>
                <w:szCs w:val="21"/>
              </w:rPr>
              <w:t>为建立新中国而奋斗</w:t>
            </w:r>
          </w:p>
        </w:tc>
        <w:tc>
          <w:tcPr>
            <w:tcW w:w="1275" w:type="dxa"/>
            <w:vAlign w:val="center"/>
          </w:tcPr>
          <w:p w14:paraId="4140C7D5">
            <w:pPr>
              <w:jc w:val="center"/>
              <w:rPr>
                <w:color w:val="000000"/>
                <w:szCs w:val="21"/>
              </w:rPr>
            </w:pPr>
            <w:r>
              <w:rPr>
                <w:rFonts w:hint="eastAsia"/>
                <w:color w:val="000000"/>
                <w:szCs w:val="21"/>
              </w:rPr>
              <w:t>目标1</w:t>
            </w:r>
          </w:p>
        </w:tc>
        <w:tc>
          <w:tcPr>
            <w:tcW w:w="1134" w:type="dxa"/>
            <w:vAlign w:val="center"/>
          </w:tcPr>
          <w:p w14:paraId="6D3EFB03">
            <w:pPr>
              <w:jc w:val="center"/>
              <w:rPr>
                <w:szCs w:val="21"/>
              </w:rPr>
            </w:pPr>
            <w:r>
              <w:rPr>
                <w:szCs w:val="21"/>
              </w:rPr>
              <w:t>8-1</w:t>
            </w:r>
          </w:p>
        </w:tc>
        <w:tc>
          <w:tcPr>
            <w:tcW w:w="709" w:type="dxa"/>
            <w:vAlign w:val="center"/>
          </w:tcPr>
          <w:p w14:paraId="24308A9E">
            <w:pPr>
              <w:jc w:val="center"/>
              <w:rPr>
                <w:szCs w:val="21"/>
              </w:rPr>
            </w:pPr>
            <w:r>
              <w:rPr>
                <w:rFonts w:hint="eastAsia"/>
                <w:szCs w:val="21"/>
              </w:rPr>
              <w:t>3</w:t>
            </w:r>
          </w:p>
        </w:tc>
        <w:tc>
          <w:tcPr>
            <w:tcW w:w="709" w:type="dxa"/>
            <w:vAlign w:val="center"/>
          </w:tcPr>
          <w:p w14:paraId="754291DB">
            <w:pPr>
              <w:jc w:val="center"/>
              <w:rPr>
                <w:szCs w:val="21"/>
              </w:rPr>
            </w:pPr>
          </w:p>
        </w:tc>
      </w:tr>
      <w:tr w14:paraId="69E9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2DCF6908">
            <w:pPr>
              <w:jc w:val="center"/>
              <w:rPr>
                <w:szCs w:val="21"/>
              </w:rPr>
            </w:pPr>
            <w:r>
              <w:rPr>
                <w:rFonts w:hint="eastAsia"/>
                <w:szCs w:val="21"/>
              </w:rPr>
              <w:t>9</w:t>
            </w:r>
          </w:p>
        </w:tc>
        <w:tc>
          <w:tcPr>
            <w:tcW w:w="3647" w:type="dxa"/>
            <w:vAlign w:val="center"/>
          </w:tcPr>
          <w:p w14:paraId="08FD3246">
            <w:pPr>
              <w:jc w:val="left"/>
              <w:rPr>
                <w:b/>
                <w:sz w:val="24"/>
              </w:rPr>
            </w:pPr>
            <w:r>
              <w:rPr>
                <w:rFonts w:hint="eastAsia"/>
                <w:color w:val="000000"/>
                <w:szCs w:val="21"/>
              </w:rPr>
              <w:t>中华人民共和国的成立与中国社会主义建设道路的探索</w:t>
            </w:r>
          </w:p>
        </w:tc>
        <w:tc>
          <w:tcPr>
            <w:tcW w:w="1275" w:type="dxa"/>
            <w:vAlign w:val="center"/>
          </w:tcPr>
          <w:p w14:paraId="747E5D27">
            <w:pPr>
              <w:jc w:val="center"/>
              <w:rPr>
                <w:color w:val="000000"/>
                <w:szCs w:val="21"/>
              </w:rPr>
            </w:pPr>
            <w:r>
              <w:rPr>
                <w:rFonts w:hint="eastAsia"/>
                <w:color w:val="000000"/>
                <w:szCs w:val="21"/>
              </w:rPr>
              <w:t>目标1</w:t>
            </w:r>
          </w:p>
        </w:tc>
        <w:tc>
          <w:tcPr>
            <w:tcW w:w="1134" w:type="dxa"/>
            <w:vAlign w:val="center"/>
          </w:tcPr>
          <w:p w14:paraId="2EC88413">
            <w:pPr>
              <w:jc w:val="center"/>
              <w:rPr>
                <w:szCs w:val="21"/>
              </w:rPr>
            </w:pPr>
            <w:r>
              <w:rPr>
                <w:szCs w:val="21"/>
              </w:rPr>
              <w:t>8-1</w:t>
            </w:r>
          </w:p>
        </w:tc>
        <w:tc>
          <w:tcPr>
            <w:tcW w:w="709" w:type="dxa"/>
            <w:vAlign w:val="center"/>
          </w:tcPr>
          <w:p w14:paraId="5D7F9DC0">
            <w:pPr>
              <w:jc w:val="center"/>
              <w:rPr>
                <w:szCs w:val="21"/>
              </w:rPr>
            </w:pPr>
            <w:r>
              <w:rPr>
                <w:rFonts w:hint="eastAsia"/>
                <w:szCs w:val="21"/>
              </w:rPr>
              <w:t>3</w:t>
            </w:r>
          </w:p>
        </w:tc>
        <w:tc>
          <w:tcPr>
            <w:tcW w:w="709" w:type="dxa"/>
            <w:vAlign w:val="center"/>
          </w:tcPr>
          <w:p w14:paraId="03D3A838">
            <w:pPr>
              <w:jc w:val="center"/>
              <w:rPr>
                <w:szCs w:val="21"/>
              </w:rPr>
            </w:pPr>
          </w:p>
        </w:tc>
      </w:tr>
      <w:tr w14:paraId="5815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40" w:type="dxa"/>
            <w:vAlign w:val="center"/>
          </w:tcPr>
          <w:p w14:paraId="2EC454FB">
            <w:pPr>
              <w:jc w:val="center"/>
              <w:rPr>
                <w:szCs w:val="21"/>
              </w:rPr>
            </w:pPr>
            <w:r>
              <w:rPr>
                <w:rFonts w:hint="eastAsia"/>
                <w:szCs w:val="21"/>
              </w:rPr>
              <w:t>1</w:t>
            </w:r>
            <w:r>
              <w:rPr>
                <w:szCs w:val="21"/>
              </w:rPr>
              <w:t>0</w:t>
            </w:r>
          </w:p>
        </w:tc>
        <w:tc>
          <w:tcPr>
            <w:tcW w:w="3647" w:type="dxa"/>
            <w:vAlign w:val="center"/>
          </w:tcPr>
          <w:p w14:paraId="3CFCED89">
            <w:pPr>
              <w:jc w:val="left"/>
              <w:rPr>
                <w:b/>
                <w:sz w:val="24"/>
              </w:rPr>
            </w:pPr>
            <w:r>
              <w:rPr>
                <w:rFonts w:hint="eastAsia"/>
                <w:color w:val="000000"/>
                <w:szCs w:val="21"/>
              </w:rPr>
              <w:t>改革开放与中国特色社会主义的开创和发展</w:t>
            </w:r>
          </w:p>
        </w:tc>
        <w:tc>
          <w:tcPr>
            <w:tcW w:w="1275" w:type="dxa"/>
            <w:vAlign w:val="center"/>
          </w:tcPr>
          <w:p w14:paraId="4E317E21">
            <w:pPr>
              <w:jc w:val="center"/>
              <w:rPr>
                <w:color w:val="000000"/>
                <w:szCs w:val="21"/>
              </w:rPr>
            </w:pPr>
            <w:r>
              <w:rPr>
                <w:rFonts w:hint="eastAsia"/>
                <w:color w:val="000000"/>
                <w:szCs w:val="21"/>
              </w:rPr>
              <w:t>目标1</w:t>
            </w:r>
          </w:p>
        </w:tc>
        <w:tc>
          <w:tcPr>
            <w:tcW w:w="1134" w:type="dxa"/>
            <w:vAlign w:val="center"/>
          </w:tcPr>
          <w:p w14:paraId="5BC09E44">
            <w:pPr>
              <w:jc w:val="center"/>
              <w:rPr>
                <w:szCs w:val="21"/>
              </w:rPr>
            </w:pPr>
            <w:r>
              <w:rPr>
                <w:szCs w:val="21"/>
              </w:rPr>
              <w:t>8-1</w:t>
            </w:r>
          </w:p>
        </w:tc>
        <w:tc>
          <w:tcPr>
            <w:tcW w:w="709" w:type="dxa"/>
            <w:vAlign w:val="center"/>
          </w:tcPr>
          <w:p w14:paraId="07846E39">
            <w:pPr>
              <w:jc w:val="center"/>
              <w:rPr>
                <w:szCs w:val="21"/>
              </w:rPr>
            </w:pPr>
            <w:r>
              <w:rPr>
                <w:rFonts w:hint="eastAsia"/>
                <w:szCs w:val="21"/>
              </w:rPr>
              <w:t>3</w:t>
            </w:r>
          </w:p>
        </w:tc>
        <w:tc>
          <w:tcPr>
            <w:tcW w:w="709" w:type="dxa"/>
            <w:vAlign w:val="center"/>
          </w:tcPr>
          <w:p w14:paraId="7E853A2C">
            <w:pPr>
              <w:jc w:val="center"/>
              <w:rPr>
                <w:szCs w:val="21"/>
              </w:rPr>
            </w:pPr>
          </w:p>
        </w:tc>
      </w:tr>
      <w:tr w14:paraId="4C60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5403502E">
            <w:pPr>
              <w:jc w:val="center"/>
              <w:rPr>
                <w:szCs w:val="21"/>
              </w:rPr>
            </w:pPr>
            <w:r>
              <w:rPr>
                <w:rFonts w:hint="eastAsia"/>
                <w:szCs w:val="21"/>
              </w:rPr>
              <w:t>1</w:t>
            </w:r>
            <w:r>
              <w:rPr>
                <w:szCs w:val="21"/>
              </w:rPr>
              <w:t>1</w:t>
            </w:r>
          </w:p>
        </w:tc>
        <w:tc>
          <w:tcPr>
            <w:tcW w:w="3647" w:type="dxa"/>
            <w:vAlign w:val="center"/>
          </w:tcPr>
          <w:p w14:paraId="1E27C87C">
            <w:pPr>
              <w:jc w:val="left"/>
              <w:rPr>
                <w:color w:val="000000"/>
                <w:szCs w:val="21"/>
              </w:rPr>
            </w:pPr>
            <w:r>
              <w:rPr>
                <w:rFonts w:hint="eastAsia"/>
                <w:color w:val="000000"/>
                <w:szCs w:val="21"/>
              </w:rPr>
              <w:t>中国特色社会主义进入新时代</w:t>
            </w:r>
          </w:p>
        </w:tc>
        <w:tc>
          <w:tcPr>
            <w:tcW w:w="1275" w:type="dxa"/>
            <w:vAlign w:val="center"/>
          </w:tcPr>
          <w:p w14:paraId="7742F35E">
            <w:pPr>
              <w:jc w:val="center"/>
              <w:rPr>
                <w:color w:val="000000"/>
                <w:szCs w:val="21"/>
              </w:rPr>
            </w:pPr>
            <w:r>
              <w:rPr>
                <w:rFonts w:hint="eastAsia"/>
                <w:color w:val="000000"/>
                <w:szCs w:val="21"/>
              </w:rPr>
              <w:t>目标1</w:t>
            </w:r>
          </w:p>
        </w:tc>
        <w:tc>
          <w:tcPr>
            <w:tcW w:w="1134" w:type="dxa"/>
            <w:vAlign w:val="center"/>
          </w:tcPr>
          <w:p w14:paraId="5E7F5170">
            <w:pPr>
              <w:jc w:val="center"/>
              <w:rPr>
                <w:szCs w:val="21"/>
              </w:rPr>
            </w:pPr>
            <w:r>
              <w:rPr>
                <w:szCs w:val="21"/>
              </w:rPr>
              <w:t>8-1</w:t>
            </w:r>
          </w:p>
        </w:tc>
        <w:tc>
          <w:tcPr>
            <w:tcW w:w="709" w:type="dxa"/>
            <w:vAlign w:val="center"/>
          </w:tcPr>
          <w:p w14:paraId="55640BEE">
            <w:pPr>
              <w:jc w:val="center"/>
              <w:rPr>
                <w:szCs w:val="21"/>
              </w:rPr>
            </w:pPr>
            <w:r>
              <w:rPr>
                <w:rFonts w:hint="eastAsia"/>
                <w:szCs w:val="21"/>
              </w:rPr>
              <w:t>6</w:t>
            </w:r>
          </w:p>
        </w:tc>
        <w:tc>
          <w:tcPr>
            <w:tcW w:w="709" w:type="dxa"/>
            <w:vAlign w:val="center"/>
          </w:tcPr>
          <w:p w14:paraId="7A2A85EB">
            <w:pPr>
              <w:jc w:val="center"/>
              <w:rPr>
                <w:szCs w:val="21"/>
              </w:rPr>
            </w:pPr>
          </w:p>
        </w:tc>
      </w:tr>
      <w:tr w14:paraId="6A1D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40" w:type="dxa"/>
            <w:vAlign w:val="center"/>
          </w:tcPr>
          <w:p w14:paraId="2F38F795">
            <w:pPr>
              <w:jc w:val="center"/>
              <w:rPr>
                <w:szCs w:val="21"/>
              </w:rPr>
            </w:pPr>
            <w:r>
              <w:rPr>
                <w:rFonts w:hint="eastAsia"/>
                <w:szCs w:val="21"/>
              </w:rPr>
              <w:t>1</w:t>
            </w:r>
            <w:r>
              <w:rPr>
                <w:szCs w:val="21"/>
              </w:rPr>
              <w:t>2</w:t>
            </w:r>
          </w:p>
        </w:tc>
        <w:tc>
          <w:tcPr>
            <w:tcW w:w="3647" w:type="dxa"/>
            <w:vAlign w:val="center"/>
          </w:tcPr>
          <w:p w14:paraId="377ECB13">
            <w:pPr>
              <w:jc w:val="left"/>
              <w:rPr>
                <w:color w:val="000000"/>
                <w:szCs w:val="21"/>
              </w:rPr>
            </w:pPr>
            <w:r>
              <w:rPr>
                <w:rFonts w:hint="eastAsia"/>
                <w:color w:val="000000"/>
                <w:szCs w:val="21"/>
              </w:rPr>
              <w:t>思想政治理论课实践</w:t>
            </w:r>
          </w:p>
        </w:tc>
        <w:tc>
          <w:tcPr>
            <w:tcW w:w="1275" w:type="dxa"/>
            <w:vAlign w:val="center"/>
          </w:tcPr>
          <w:p w14:paraId="1641575F">
            <w:pPr>
              <w:jc w:val="center"/>
              <w:rPr>
                <w:color w:val="000000"/>
                <w:szCs w:val="21"/>
              </w:rPr>
            </w:pPr>
          </w:p>
        </w:tc>
        <w:tc>
          <w:tcPr>
            <w:tcW w:w="1134" w:type="dxa"/>
            <w:vAlign w:val="center"/>
          </w:tcPr>
          <w:p w14:paraId="63C18537">
            <w:pPr>
              <w:jc w:val="center"/>
              <w:rPr>
                <w:szCs w:val="21"/>
              </w:rPr>
            </w:pPr>
          </w:p>
        </w:tc>
        <w:tc>
          <w:tcPr>
            <w:tcW w:w="709" w:type="dxa"/>
            <w:vAlign w:val="center"/>
          </w:tcPr>
          <w:p w14:paraId="1220878B">
            <w:pPr>
              <w:jc w:val="center"/>
              <w:rPr>
                <w:szCs w:val="21"/>
              </w:rPr>
            </w:pPr>
          </w:p>
        </w:tc>
        <w:tc>
          <w:tcPr>
            <w:tcW w:w="709" w:type="dxa"/>
            <w:vAlign w:val="center"/>
          </w:tcPr>
          <w:p w14:paraId="04FC9CF1">
            <w:pPr>
              <w:jc w:val="center"/>
              <w:rPr>
                <w:szCs w:val="21"/>
              </w:rPr>
            </w:pPr>
            <w:r>
              <w:rPr>
                <w:rFonts w:hint="eastAsia"/>
                <w:szCs w:val="21"/>
              </w:rPr>
              <w:t>6</w:t>
            </w:r>
          </w:p>
        </w:tc>
      </w:tr>
      <w:tr w14:paraId="327D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6" w:type="dxa"/>
            <w:gridSpan w:val="4"/>
            <w:vAlign w:val="center"/>
          </w:tcPr>
          <w:p w14:paraId="0801CAD7">
            <w:pPr>
              <w:jc w:val="center"/>
              <w:rPr>
                <w:szCs w:val="21"/>
              </w:rPr>
            </w:pPr>
            <w:r>
              <w:rPr>
                <w:szCs w:val="21"/>
              </w:rPr>
              <w:t>合计</w:t>
            </w:r>
          </w:p>
        </w:tc>
        <w:tc>
          <w:tcPr>
            <w:tcW w:w="709" w:type="dxa"/>
            <w:vAlign w:val="center"/>
          </w:tcPr>
          <w:p w14:paraId="47CF4D6E">
            <w:pPr>
              <w:jc w:val="center"/>
              <w:rPr>
                <w:szCs w:val="21"/>
              </w:rPr>
            </w:pPr>
            <w:r>
              <w:rPr>
                <w:rFonts w:hint="eastAsia"/>
                <w:szCs w:val="21"/>
              </w:rPr>
              <w:t>4</w:t>
            </w:r>
            <w:r>
              <w:rPr>
                <w:szCs w:val="21"/>
              </w:rPr>
              <w:t>2</w:t>
            </w:r>
          </w:p>
        </w:tc>
        <w:tc>
          <w:tcPr>
            <w:tcW w:w="709" w:type="dxa"/>
            <w:vAlign w:val="center"/>
          </w:tcPr>
          <w:p w14:paraId="76DA5F0E">
            <w:pPr>
              <w:jc w:val="center"/>
              <w:rPr>
                <w:szCs w:val="21"/>
              </w:rPr>
            </w:pPr>
            <w:r>
              <w:rPr>
                <w:rFonts w:hint="eastAsia"/>
                <w:szCs w:val="21"/>
              </w:rPr>
              <w:t>6</w:t>
            </w:r>
          </w:p>
        </w:tc>
      </w:tr>
    </w:tbl>
    <w:p w14:paraId="190C872F">
      <w:pPr>
        <w:spacing w:line="360" w:lineRule="auto"/>
        <w:ind w:firstLine="562" w:firstLineChars="200"/>
        <w:rPr>
          <w:b/>
          <w:sz w:val="28"/>
          <w:szCs w:val="28"/>
        </w:rPr>
      </w:pPr>
      <w:r>
        <w:rPr>
          <w:rFonts w:hint="eastAsia"/>
          <w:b/>
          <w:sz w:val="28"/>
          <w:szCs w:val="28"/>
        </w:rPr>
        <w:t>四、课程实施</w:t>
      </w:r>
    </w:p>
    <w:p w14:paraId="10AAC97A">
      <w:pPr>
        <w:spacing w:line="360" w:lineRule="auto"/>
        <w:ind w:firstLine="482" w:firstLineChars="200"/>
        <w:rPr>
          <w:b/>
          <w:sz w:val="24"/>
        </w:rPr>
      </w:pPr>
      <w:r>
        <w:rPr>
          <w:rFonts w:hint="eastAsia"/>
          <w:b/>
          <w:sz w:val="24"/>
        </w:rPr>
        <w:t>（一）教学组织</w:t>
      </w:r>
    </w:p>
    <w:p w14:paraId="03001807">
      <w:pPr>
        <w:spacing w:line="360" w:lineRule="auto"/>
        <w:ind w:firstLine="480" w:firstLineChars="200"/>
        <w:rPr>
          <w:sz w:val="24"/>
        </w:rPr>
      </w:pPr>
      <w:r>
        <w:rPr>
          <w:rFonts w:hint="eastAsia"/>
          <w:sz w:val="24"/>
        </w:rPr>
        <w:t>1.教研室组织任课教师按教学计划进度表在讲授课时内完成理论教学任务，组织对学生的网络学习考核、平时表现考核、作业考核和期末考核，评定学生的课程成绩。</w:t>
      </w:r>
    </w:p>
    <w:p w14:paraId="35A67BB1">
      <w:pPr>
        <w:spacing w:line="360" w:lineRule="auto"/>
        <w:ind w:firstLine="480" w:firstLineChars="200"/>
        <w:rPr>
          <w:sz w:val="24"/>
        </w:rPr>
      </w:pPr>
      <w:r>
        <w:rPr>
          <w:rFonts w:hint="eastAsia"/>
          <w:sz w:val="24"/>
        </w:rPr>
        <w:t>2.落实教育部要求，本课程的实践学时计入“思想政治理论课实践”课程。学院组织实践教师指导学生分散在第一学期至第四学期完成“思想政治理论课实践”项目，学生的实践成绩在第四学期计入“思想政治理论课实践”课程成绩。</w:t>
      </w:r>
    </w:p>
    <w:p w14:paraId="4EE40327">
      <w:pPr>
        <w:spacing w:line="360" w:lineRule="auto"/>
        <w:ind w:firstLine="482" w:firstLineChars="200"/>
        <w:rPr>
          <w:b/>
          <w:sz w:val="24"/>
        </w:rPr>
      </w:pPr>
      <w:r>
        <w:rPr>
          <w:rFonts w:hint="eastAsia"/>
          <w:b/>
          <w:sz w:val="24"/>
        </w:rPr>
        <w:t>（二）教学方法与教学手段</w:t>
      </w:r>
    </w:p>
    <w:p w14:paraId="1C59D573">
      <w:pPr>
        <w:spacing w:line="360" w:lineRule="auto"/>
        <w:ind w:firstLine="480" w:firstLineChars="200"/>
        <w:rPr>
          <w:sz w:val="24"/>
        </w:rPr>
      </w:pPr>
      <w:r>
        <w:rPr>
          <w:sz w:val="24"/>
        </w:rPr>
        <w:t>1.</w:t>
      </w:r>
      <w:r>
        <w:rPr>
          <w:rFonts w:hint="eastAsia"/>
          <w:sz w:val="24"/>
        </w:rPr>
        <w:t>采用研究式、启发式、讨论式、案例式等教学法，结合实际让学生真正了解并掌握中国近现代史的主流和本质，使学生树立正确的历史观念，从而具备社会主义核心价值观和良好的人文科学素养。</w:t>
      </w:r>
    </w:p>
    <w:p w14:paraId="3D5E4DEE">
      <w:pPr>
        <w:spacing w:line="360" w:lineRule="auto"/>
        <w:ind w:firstLine="480" w:firstLineChars="200"/>
        <w:rPr>
          <w:sz w:val="24"/>
        </w:rPr>
      </w:pPr>
      <w:r>
        <w:rPr>
          <w:sz w:val="24"/>
        </w:rPr>
        <w:t>2.</w:t>
      </w:r>
      <w:r>
        <w:rPr>
          <w:rFonts w:hint="eastAsia"/>
          <w:sz w:val="24"/>
        </w:rPr>
        <w:t>采用多媒体教学手段，结合时事政治和案例分析，引导学生认真思考，在保证讲课进度的同时，注意学生的掌握程度和课堂气氛。</w:t>
      </w:r>
    </w:p>
    <w:p w14:paraId="65E0834B">
      <w:pPr>
        <w:spacing w:line="360" w:lineRule="auto"/>
        <w:ind w:firstLine="482" w:firstLineChars="200"/>
        <w:rPr>
          <w:b/>
          <w:sz w:val="24"/>
        </w:rPr>
      </w:pPr>
      <w:r>
        <w:rPr>
          <w:rFonts w:hint="eastAsia"/>
          <w:b/>
          <w:sz w:val="24"/>
        </w:rPr>
        <w:t>（三）主要教学环节质量要求如表所示。</w:t>
      </w:r>
    </w:p>
    <w:tbl>
      <w:tblPr>
        <w:tblStyle w:val="13"/>
        <w:tblW w:w="8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93"/>
        <w:gridCol w:w="6757"/>
      </w:tblGrid>
      <w:tr w14:paraId="1FC3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55" w:type="dxa"/>
            <w:gridSpan w:val="2"/>
            <w:tcMar>
              <w:left w:w="28" w:type="dxa"/>
              <w:right w:w="28" w:type="dxa"/>
            </w:tcMar>
            <w:vAlign w:val="center"/>
          </w:tcPr>
          <w:p w14:paraId="7119BA4C">
            <w:pPr>
              <w:jc w:val="center"/>
              <w:rPr>
                <w:szCs w:val="21"/>
              </w:rPr>
            </w:pPr>
            <w:r>
              <w:rPr>
                <w:bCs/>
                <w:szCs w:val="21"/>
              </w:rPr>
              <w:t>主要教学环节</w:t>
            </w:r>
          </w:p>
        </w:tc>
        <w:tc>
          <w:tcPr>
            <w:tcW w:w="6757" w:type="dxa"/>
            <w:vAlign w:val="center"/>
          </w:tcPr>
          <w:p w14:paraId="030CDE97">
            <w:pPr>
              <w:jc w:val="center"/>
              <w:rPr>
                <w:szCs w:val="21"/>
              </w:rPr>
            </w:pPr>
            <w:r>
              <w:rPr>
                <w:bCs/>
                <w:szCs w:val="21"/>
              </w:rPr>
              <w:t>质量</w:t>
            </w:r>
            <w:r>
              <w:rPr>
                <w:rFonts w:hint="eastAsia"/>
                <w:bCs/>
                <w:szCs w:val="21"/>
              </w:rPr>
              <w:t>要求</w:t>
            </w:r>
          </w:p>
        </w:tc>
      </w:tr>
      <w:tr w14:paraId="0B1C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562" w:type="dxa"/>
            <w:vAlign w:val="center"/>
          </w:tcPr>
          <w:p w14:paraId="396AC2F4">
            <w:pPr>
              <w:jc w:val="center"/>
              <w:rPr>
                <w:szCs w:val="21"/>
              </w:rPr>
            </w:pPr>
            <w:r>
              <w:rPr>
                <w:szCs w:val="21"/>
              </w:rPr>
              <w:t>1</w:t>
            </w:r>
          </w:p>
        </w:tc>
        <w:tc>
          <w:tcPr>
            <w:tcW w:w="993" w:type="dxa"/>
            <w:tcMar>
              <w:left w:w="28" w:type="dxa"/>
              <w:right w:w="28" w:type="dxa"/>
            </w:tcMar>
            <w:vAlign w:val="center"/>
          </w:tcPr>
          <w:p w14:paraId="4FC5EAB3">
            <w:pPr>
              <w:jc w:val="center"/>
              <w:rPr>
                <w:szCs w:val="21"/>
              </w:rPr>
            </w:pPr>
            <w:r>
              <w:rPr>
                <w:szCs w:val="21"/>
              </w:rPr>
              <w:t>备课</w:t>
            </w:r>
          </w:p>
        </w:tc>
        <w:tc>
          <w:tcPr>
            <w:tcW w:w="6757" w:type="dxa"/>
            <w:vAlign w:val="center"/>
          </w:tcPr>
          <w:p w14:paraId="76C9A99E">
            <w:pPr>
              <w:rPr>
                <w:szCs w:val="21"/>
              </w:rPr>
            </w:pPr>
            <w:r>
              <w:rPr>
                <w:rFonts w:hint="eastAsia"/>
                <w:szCs w:val="21"/>
              </w:rPr>
              <w:t>1.掌握本课程教学大纲内容，严格按照教学大纲要求进行本课程教学内容的组织；</w:t>
            </w:r>
          </w:p>
          <w:p w14:paraId="317D1560">
            <w:pPr>
              <w:rPr>
                <w:szCs w:val="21"/>
              </w:rPr>
            </w:pPr>
            <w:r>
              <w:rPr>
                <w:rFonts w:hint="eastAsia"/>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26A9CAD5">
            <w:pPr>
              <w:rPr>
                <w:szCs w:val="21"/>
              </w:rPr>
            </w:pPr>
            <w:r>
              <w:rPr>
                <w:szCs w:val="21"/>
              </w:rPr>
              <w:t>3.</w:t>
            </w:r>
            <w:r>
              <w:rPr>
                <w:rFonts w:hint="eastAsia"/>
                <w:szCs w:val="21"/>
              </w:rPr>
              <w:t>结合课程特点，制作课件，运用多媒体教学手段讲授部分教学内容；</w:t>
            </w:r>
          </w:p>
          <w:p w14:paraId="5AD727BE">
            <w:pPr>
              <w:rPr>
                <w:szCs w:val="21"/>
              </w:rPr>
            </w:pPr>
            <w:r>
              <w:rPr>
                <w:szCs w:val="21"/>
              </w:rPr>
              <w:t>4.</w:t>
            </w:r>
            <w:r>
              <w:rPr>
                <w:rFonts w:hint="eastAsia"/>
                <w:szCs w:val="21"/>
              </w:rPr>
              <w:t>确定各章节课程内容的教学方法，构思授课思路、技巧和方法。</w:t>
            </w:r>
          </w:p>
        </w:tc>
      </w:tr>
      <w:tr w14:paraId="2D73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6" w:hRule="atLeast"/>
          <w:jc w:val="center"/>
        </w:trPr>
        <w:tc>
          <w:tcPr>
            <w:tcW w:w="562" w:type="dxa"/>
            <w:vAlign w:val="center"/>
          </w:tcPr>
          <w:p w14:paraId="5F6B9513">
            <w:pPr>
              <w:jc w:val="center"/>
              <w:rPr>
                <w:szCs w:val="21"/>
              </w:rPr>
            </w:pPr>
            <w:r>
              <w:rPr>
                <w:szCs w:val="21"/>
              </w:rPr>
              <w:t>2</w:t>
            </w:r>
          </w:p>
        </w:tc>
        <w:tc>
          <w:tcPr>
            <w:tcW w:w="993" w:type="dxa"/>
            <w:tcMar>
              <w:left w:w="28" w:type="dxa"/>
              <w:right w:w="28" w:type="dxa"/>
            </w:tcMar>
            <w:vAlign w:val="center"/>
          </w:tcPr>
          <w:p w14:paraId="3D42F11D">
            <w:pPr>
              <w:jc w:val="center"/>
              <w:rPr>
                <w:szCs w:val="21"/>
              </w:rPr>
            </w:pPr>
            <w:r>
              <w:rPr>
                <w:szCs w:val="21"/>
              </w:rPr>
              <w:t>讲授</w:t>
            </w:r>
          </w:p>
        </w:tc>
        <w:tc>
          <w:tcPr>
            <w:tcW w:w="6757" w:type="dxa"/>
            <w:vAlign w:val="center"/>
          </w:tcPr>
          <w:p w14:paraId="4C28BF00">
            <w:pPr>
              <w:rPr>
                <w:szCs w:val="21"/>
              </w:rPr>
            </w:pPr>
            <w:r>
              <w:rPr>
                <w:szCs w:val="21"/>
              </w:rPr>
              <w:t>1.</w:t>
            </w:r>
            <w:r>
              <w:rPr>
                <w:rFonts w:hint="eastAsia"/>
                <w:szCs w:val="21"/>
              </w:rPr>
              <w:t>要点准确，推理正确，条理清晰，重点突出，理论联系实际，熟练地解答和讲解例题；</w:t>
            </w:r>
          </w:p>
          <w:p w14:paraId="52343831">
            <w:pPr>
              <w:rPr>
                <w:szCs w:val="21"/>
              </w:rPr>
            </w:pPr>
            <w:r>
              <w:rPr>
                <w:szCs w:val="21"/>
              </w:rPr>
              <w:t>2.</w:t>
            </w:r>
            <w:r>
              <w:rPr>
                <w:rFonts w:hint="eastAsia"/>
                <w:szCs w:val="21"/>
              </w:rPr>
              <w:t>采用多种教学方式（如启发式教学、讨论式教学、案例式教学等），注重培养学生的思想政治素质，提高学生发现、分析和解决问题的能力，以便让学生能体会和领略学科研究的思路和方法；</w:t>
            </w:r>
          </w:p>
          <w:p w14:paraId="385C9DCC">
            <w:pPr>
              <w:rPr>
                <w:szCs w:val="21"/>
              </w:rPr>
            </w:pPr>
            <w:r>
              <w:rPr>
                <w:szCs w:val="21"/>
              </w:rPr>
              <w:t>3.</w:t>
            </w:r>
            <w:r>
              <w:rPr>
                <w:rFonts w:hint="eastAsia"/>
                <w:szCs w:val="21"/>
              </w:rPr>
              <w:t>运用多媒体教学手段、课堂讨论、辩论、演讲等多种形式开展教学，以培养学生分析问题和解决问题的能力，培养学生语言组织与表达的能力；</w:t>
            </w:r>
          </w:p>
          <w:p w14:paraId="541E6776">
            <w:pPr>
              <w:rPr>
                <w:szCs w:val="21"/>
              </w:rPr>
            </w:pPr>
            <w:r>
              <w:rPr>
                <w:szCs w:val="21"/>
              </w:rPr>
              <w:t>4.</w:t>
            </w:r>
            <w:r>
              <w:rPr>
                <w:rFonts w:hint="eastAsia"/>
                <w:szCs w:val="21"/>
              </w:rPr>
              <w:t>表达方式尽量便于学生理解、接受，力求形象生动，使学生在掌握知识的过程中，保持较为浓厚的兴趣。</w:t>
            </w:r>
          </w:p>
        </w:tc>
      </w:tr>
      <w:tr w14:paraId="0343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6" w:hRule="atLeast"/>
          <w:jc w:val="center"/>
        </w:trPr>
        <w:tc>
          <w:tcPr>
            <w:tcW w:w="562" w:type="dxa"/>
            <w:vAlign w:val="center"/>
          </w:tcPr>
          <w:p w14:paraId="54E05259">
            <w:pPr>
              <w:jc w:val="center"/>
              <w:rPr>
                <w:szCs w:val="21"/>
              </w:rPr>
            </w:pPr>
            <w:r>
              <w:rPr>
                <w:szCs w:val="21"/>
              </w:rPr>
              <w:t>3</w:t>
            </w:r>
          </w:p>
        </w:tc>
        <w:tc>
          <w:tcPr>
            <w:tcW w:w="993" w:type="dxa"/>
            <w:tcMar>
              <w:left w:w="28" w:type="dxa"/>
              <w:right w:w="28" w:type="dxa"/>
            </w:tcMar>
            <w:vAlign w:val="center"/>
          </w:tcPr>
          <w:p w14:paraId="3CC3F7D9">
            <w:pPr>
              <w:jc w:val="center"/>
              <w:rPr>
                <w:szCs w:val="21"/>
              </w:rPr>
            </w:pPr>
            <w:r>
              <w:rPr>
                <w:szCs w:val="21"/>
              </w:rPr>
              <w:t>作业布置</w:t>
            </w:r>
          </w:p>
          <w:p w14:paraId="45081FAA">
            <w:pPr>
              <w:jc w:val="center"/>
              <w:rPr>
                <w:szCs w:val="21"/>
              </w:rPr>
            </w:pPr>
            <w:r>
              <w:rPr>
                <w:szCs w:val="21"/>
              </w:rPr>
              <w:t>与批改</w:t>
            </w:r>
          </w:p>
        </w:tc>
        <w:tc>
          <w:tcPr>
            <w:tcW w:w="6757" w:type="dxa"/>
            <w:vAlign w:val="center"/>
          </w:tcPr>
          <w:p w14:paraId="63B3A2CF">
            <w:pPr>
              <w:rPr>
                <w:szCs w:val="21"/>
              </w:rPr>
            </w:pPr>
            <w:r>
              <w:rPr>
                <w:rFonts w:hint="eastAsia"/>
                <w:szCs w:val="21"/>
              </w:rPr>
              <w:t>学生完成作业必须达到以下基本要求：</w:t>
            </w:r>
          </w:p>
          <w:p w14:paraId="7D79C82C">
            <w:pPr>
              <w:rPr>
                <w:szCs w:val="21"/>
              </w:rPr>
            </w:pPr>
            <w:r>
              <w:rPr>
                <w:rFonts w:hint="eastAsia"/>
                <w:szCs w:val="21"/>
              </w:rPr>
              <w:t>1</w:t>
            </w:r>
            <w:r>
              <w:rPr>
                <w:szCs w:val="21"/>
              </w:rPr>
              <w:t>.</w:t>
            </w:r>
            <w:r>
              <w:rPr>
                <w:rFonts w:hint="eastAsia"/>
                <w:szCs w:val="21"/>
              </w:rPr>
              <w:t>按时按量完成作业，不缺交，不抄袭；</w:t>
            </w:r>
          </w:p>
          <w:p w14:paraId="44012C2E">
            <w:pPr>
              <w:rPr>
                <w:szCs w:val="21"/>
              </w:rPr>
            </w:pPr>
            <w:r>
              <w:rPr>
                <w:rFonts w:hint="eastAsia"/>
                <w:szCs w:val="21"/>
              </w:rPr>
              <w:t>2</w:t>
            </w:r>
            <w:r>
              <w:rPr>
                <w:szCs w:val="21"/>
              </w:rPr>
              <w:t>.</w:t>
            </w:r>
            <w:r>
              <w:rPr>
                <w:rFonts w:hint="eastAsia"/>
                <w:szCs w:val="21"/>
              </w:rPr>
              <w:t>作业本规范，书写清晰；</w:t>
            </w:r>
          </w:p>
          <w:p w14:paraId="7C08C5A3">
            <w:pPr>
              <w:rPr>
                <w:szCs w:val="21"/>
              </w:rPr>
            </w:pPr>
            <w:r>
              <w:rPr>
                <w:rFonts w:hint="eastAsia"/>
                <w:szCs w:val="21"/>
              </w:rPr>
              <w:t>3</w:t>
            </w:r>
            <w:r>
              <w:rPr>
                <w:szCs w:val="21"/>
              </w:rPr>
              <w:t>.</w:t>
            </w:r>
            <w:r>
              <w:rPr>
                <w:rFonts w:hint="eastAsia"/>
                <w:szCs w:val="21"/>
              </w:rPr>
              <w:t>作业要结构完整、层次分明、逻辑严密，符合学科语言表达规范。</w:t>
            </w:r>
          </w:p>
          <w:p w14:paraId="7792F1C0">
            <w:pPr>
              <w:rPr>
                <w:szCs w:val="21"/>
              </w:rPr>
            </w:pPr>
            <w:r>
              <w:rPr>
                <w:rFonts w:hint="eastAsia"/>
                <w:szCs w:val="21"/>
              </w:rPr>
              <w:t>教师批改或讲评作业要求如下：</w:t>
            </w:r>
          </w:p>
          <w:p w14:paraId="5B51568C">
            <w:pPr>
              <w:rPr>
                <w:szCs w:val="21"/>
              </w:rPr>
            </w:pPr>
            <w:r>
              <w:rPr>
                <w:rFonts w:hint="eastAsia"/>
                <w:szCs w:val="21"/>
              </w:rPr>
              <w:t>1</w:t>
            </w:r>
            <w:r>
              <w:rPr>
                <w:szCs w:val="21"/>
              </w:rPr>
              <w:t>.</w:t>
            </w:r>
            <w:r>
              <w:rPr>
                <w:rFonts w:hint="eastAsia"/>
                <w:szCs w:val="21"/>
              </w:rPr>
              <w:t>学生的作业要全批全改，并按时批改、讲评学生每次交来的作业；</w:t>
            </w:r>
          </w:p>
          <w:p w14:paraId="5A72262E">
            <w:pPr>
              <w:rPr>
                <w:szCs w:val="21"/>
              </w:rPr>
            </w:pPr>
            <w:r>
              <w:rPr>
                <w:rFonts w:hint="eastAsia"/>
                <w:szCs w:val="21"/>
              </w:rPr>
              <w:t>2</w:t>
            </w:r>
            <w:r>
              <w:rPr>
                <w:szCs w:val="21"/>
              </w:rPr>
              <w:t>.</w:t>
            </w:r>
            <w:r>
              <w:rPr>
                <w:rFonts w:hint="eastAsia"/>
                <w:szCs w:val="21"/>
              </w:rPr>
              <w:t>教师批改或讲评作业要认真、细致，每次批改或讲评作业后，按百分制评定成绩，并写明日期；</w:t>
            </w:r>
          </w:p>
          <w:p w14:paraId="682F8D13">
            <w:pPr>
              <w:rPr>
                <w:szCs w:val="21"/>
              </w:rPr>
            </w:pPr>
            <w:r>
              <w:rPr>
                <w:rFonts w:hint="eastAsia"/>
                <w:szCs w:val="21"/>
              </w:rPr>
              <w:t>3</w:t>
            </w:r>
            <w:r>
              <w:rPr>
                <w:szCs w:val="21"/>
              </w:rPr>
              <w:t>.</w:t>
            </w:r>
            <w:r>
              <w:rPr>
                <w:rFonts w:hint="eastAsia"/>
                <w:szCs w:val="21"/>
              </w:rPr>
              <w:t>期末按每个学生作业的平均成绩，作为本课程总评成绩中平时成绩的重要组成部分。</w:t>
            </w:r>
          </w:p>
        </w:tc>
      </w:tr>
      <w:tr w14:paraId="0FAC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62" w:type="dxa"/>
            <w:vAlign w:val="center"/>
          </w:tcPr>
          <w:p w14:paraId="600DE5D0">
            <w:pPr>
              <w:jc w:val="center"/>
              <w:rPr>
                <w:szCs w:val="21"/>
              </w:rPr>
            </w:pPr>
            <w:r>
              <w:rPr>
                <w:rFonts w:hint="eastAsia"/>
                <w:szCs w:val="21"/>
              </w:rPr>
              <w:t>4</w:t>
            </w:r>
          </w:p>
        </w:tc>
        <w:tc>
          <w:tcPr>
            <w:tcW w:w="993" w:type="dxa"/>
            <w:tcMar>
              <w:left w:w="28" w:type="dxa"/>
              <w:right w:w="28" w:type="dxa"/>
            </w:tcMar>
            <w:vAlign w:val="center"/>
          </w:tcPr>
          <w:p w14:paraId="103653C7">
            <w:pPr>
              <w:jc w:val="center"/>
              <w:rPr>
                <w:szCs w:val="21"/>
              </w:rPr>
            </w:pPr>
            <w:r>
              <w:rPr>
                <w:szCs w:val="21"/>
              </w:rPr>
              <w:t>课外答疑</w:t>
            </w:r>
          </w:p>
        </w:tc>
        <w:tc>
          <w:tcPr>
            <w:tcW w:w="6757" w:type="dxa"/>
            <w:vAlign w:val="center"/>
          </w:tcPr>
          <w:p w14:paraId="0F38C366">
            <w:pPr>
              <w:rPr>
                <w:szCs w:val="21"/>
              </w:rPr>
            </w:pPr>
            <w:r>
              <w:rPr>
                <w:rFonts w:hint="eastAsia"/>
                <w:szCs w:val="21"/>
              </w:rPr>
              <w:t>任课教师安排时间进行课外答疑与辅导工作。</w:t>
            </w:r>
          </w:p>
        </w:tc>
      </w:tr>
      <w:tr w14:paraId="07C4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562" w:type="dxa"/>
            <w:vAlign w:val="center"/>
          </w:tcPr>
          <w:p w14:paraId="77ED8F87">
            <w:pPr>
              <w:jc w:val="center"/>
              <w:rPr>
                <w:szCs w:val="21"/>
              </w:rPr>
            </w:pPr>
            <w:r>
              <w:rPr>
                <w:rFonts w:hint="eastAsia"/>
                <w:szCs w:val="21"/>
              </w:rPr>
              <w:t>5</w:t>
            </w:r>
          </w:p>
        </w:tc>
        <w:tc>
          <w:tcPr>
            <w:tcW w:w="993" w:type="dxa"/>
            <w:tcMar>
              <w:left w:w="28" w:type="dxa"/>
              <w:right w:w="28" w:type="dxa"/>
            </w:tcMar>
            <w:vAlign w:val="center"/>
          </w:tcPr>
          <w:p w14:paraId="6FA820AE">
            <w:pPr>
              <w:jc w:val="center"/>
              <w:rPr>
                <w:szCs w:val="21"/>
              </w:rPr>
            </w:pPr>
            <w:r>
              <w:rPr>
                <w:szCs w:val="21"/>
              </w:rPr>
              <w:t>成绩考核</w:t>
            </w:r>
          </w:p>
        </w:tc>
        <w:tc>
          <w:tcPr>
            <w:tcW w:w="6757" w:type="dxa"/>
            <w:vAlign w:val="center"/>
          </w:tcPr>
          <w:p w14:paraId="1FFAB01E">
            <w:pPr>
              <w:rPr>
                <w:szCs w:val="21"/>
              </w:rPr>
            </w:pPr>
            <w:r>
              <w:rPr>
                <w:rFonts w:hint="eastAsia"/>
                <w:szCs w:val="21"/>
              </w:rPr>
              <w:t>本课程期末考核的方式为闭卷考试，采取教考分离方式。总评成绩的评定见课程考核方案。期末考核成绩低于40分，总评成绩不及格。有下列情况之一，取消其考核资格，该课程期末成绩标记为“停考”，总评成绩以零分计算，必须重修：</w:t>
            </w:r>
          </w:p>
          <w:p w14:paraId="6F4340F1">
            <w:pPr>
              <w:rPr>
                <w:szCs w:val="21"/>
              </w:rPr>
            </w:pPr>
            <w:r>
              <w:rPr>
                <w:szCs w:val="21"/>
              </w:rPr>
              <w:t>1.</w:t>
            </w:r>
            <w:r>
              <w:rPr>
                <w:rFonts w:hint="eastAsia"/>
                <w:szCs w:val="21"/>
              </w:rPr>
              <w:t>缺交作业达全学期总量的三分之一及以上；</w:t>
            </w:r>
          </w:p>
          <w:p w14:paraId="021F59C9">
            <w:pPr>
              <w:rPr>
                <w:szCs w:val="21"/>
              </w:rPr>
            </w:pPr>
            <w:r>
              <w:rPr>
                <w:rFonts w:hint="eastAsia"/>
                <w:szCs w:val="21"/>
              </w:rPr>
              <w:t>2</w:t>
            </w:r>
            <w:r>
              <w:rPr>
                <w:szCs w:val="21"/>
              </w:rPr>
              <w:t>.</w:t>
            </w:r>
            <w:r>
              <w:rPr>
                <w:rFonts w:hint="eastAsia"/>
                <w:szCs w:val="21"/>
              </w:rPr>
              <w:t>缺课达讲授总学时数的三分之一及以上。</w:t>
            </w:r>
          </w:p>
        </w:tc>
      </w:tr>
    </w:tbl>
    <w:p w14:paraId="0C1D79F3">
      <w:pPr>
        <w:spacing w:line="360" w:lineRule="auto"/>
        <w:ind w:firstLine="562" w:firstLineChars="200"/>
        <w:rPr>
          <w:b/>
          <w:sz w:val="28"/>
          <w:szCs w:val="28"/>
        </w:rPr>
      </w:pPr>
      <w:r>
        <w:rPr>
          <w:rFonts w:hint="eastAsia"/>
          <w:b/>
          <w:sz w:val="28"/>
          <w:szCs w:val="28"/>
        </w:rPr>
        <w:t>五、课程</w:t>
      </w:r>
      <w:r>
        <w:rPr>
          <w:b/>
          <w:sz w:val="28"/>
          <w:szCs w:val="28"/>
        </w:rPr>
        <w:t>考核</w:t>
      </w:r>
    </w:p>
    <w:p w14:paraId="61DC2865">
      <w:pPr>
        <w:spacing w:line="360" w:lineRule="auto"/>
        <w:ind w:firstLine="480" w:firstLineChars="200"/>
        <w:rPr>
          <w:sz w:val="24"/>
        </w:rPr>
      </w:pPr>
      <w:r>
        <w:rPr>
          <w:rFonts w:hint="eastAsia"/>
          <w:sz w:val="24"/>
        </w:rPr>
        <w:t>（一）课程考核包括期末考试、网络学习、平时表现、作业考核等，课程考核不包括实践考核，期末考试采用闭卷方式。</w:t>
      </w:r>
    </w:p>
    <w:p w14:paraId="5606A66D">
      <w:pPr>
        <w:spacing w:line="360" w:lineRule="auto"/>
        <w:ind w:firstLine="480" w:firstLineChars="200"/>
        <w:rPr>
          <w:sz w:val="24"/>
        </w:rPr>
      </w:pPr>
      <w:r>
        <w:rPr>
          <w:rFonts w:hint="eastAsia"/>
          <w:sz w:val="24"/>
        </w:rPr>
        <w:t>（二）课程总评成绩=网络学习成绩×1</w:t>
      </w:r>
      <w:r>
        <w:rPr>
          <w:sz w:val="24"/>
        </w:rPr>
        <w:t>0%</w:t>
      </w:r>
      <w:r>
        <w:rPr>
          <w:rFonts w:hint="eastAsia"/>
          <w:sz w:val="24"/>
        </w:rPr>
        <w:t>+平时表现成绩×2</w:t>
      </w:r>
      <w:r>
        <w:rPr>
          <w:sz w:val="24"/>
        </w:rPr>
        <w:t>0</w:t>
      </w:r>
      <w:r>
        <w:rPr>
          <w:rFonts w:hint="eastAsia"/>
          <w:sz w:val="24"/>
        </w:rPr>
        <w:t>%+作业成绩×30%+期末考试成绩×40%，课程总评成绩不包含实践成绩，具体内容和比例如表所示。</w:t>
      </w:r>
    </w:p>
    <w:tbl>
      <w:tblPr>
        <w:tblStyle w:val="13"/>
        <w:tblpPr w:leftFromText="180" w:rightFromText="180" w:vertAnchor="text" w:horzAnchor="margin" w:tblpXSpec="center" w:tblpY="244"/>
        <w:tblW w:w="8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134"/>
        <w:gridCol w:w="4252"/>
        <w:gridCol w:w="1479"/>
      </w:tblGrid>
      <w:tr w14:paraId="17B1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413" w:type="dxa"/>
            <w:shd w:val="clear" w:color="auto" w:fill="FFFFFF"/>
            <w:tcMar>
              <w:left w:w="57" w:type="dxa"/>
              <w:right w:w="57" w:type="dxa"/>
            </w:tcMar>
            <w:vAlign w:val="center"/>
          </w:tcPr>
          <w:p w14:paraId="582B8095">
            <w:pPr>
              <w:pStyle w:val="34"/>
              <w:jc w:val="center"/>
              <w:rPr>
                <w:rFonts w:eastAsia="宋体"/>
              </w:rPr>
            </w:pPr>
            <w:r>
              <w:rPr>
                <w:rFonts w:hint="eastAsia" w:eastAsia="宋体"/>
              </w:rPr>
              <w:t>考核环节</w:t>
            </w:r>
          </w:p>
        </w:tc>
        <w:tc>
          <w:tcPr>
            <w:tcW w:w="1134" w:type="dxa"/>
            <w:shd w:val="clear" w:color="auto" w:fill="FFFFFF"/>
            <w:vAlign w:val="center"/>
          </w:tcPr>
          <w:p w14:paraId="17F0BDEE">
            <w:pPr>
              <w:pStyle w:val="34"/>
              <w:jc w:val="center"/>
              <w:rPr>
                <w:rFonts w:eastAsia="宋体"/>
              </w:rPr>
            </w:pPr>
            <w:r>
              <w:rPr>
                <w:rFonts w:hint="eastAsia" w:eastAsia="宋体"/>
              </w:rPr>
              <w:t>成绩比例</w:t>
            </w:r>
          </w:p>
        </w:tc>
        <w:tc>
          <w:tcPr>
            <w:tcW w:w="4252" w:type="dxa"/>
            <w:shd w:val="clear" w:color="auto" w:fill="FFFFFF"/>
            <w:vAlign w:val="center"/>
          </w:tcPr>
          <w:p w14:paraId="09B31939">
            <w:pPr>
              <w:pStyle w:val="34"/>
              <w:jc w:val="center"/>
              <w:rPr>
                <w:rFonts w:eastAsia="宋体"/>
              </w:rPr>
            </w:pPr>
            <w:r>
              <w:rPr>
                <w:rFonts w:eastAsia="宋体"/>
              </w:rPr>
              <w:t>考核</w:t>
            </w:r>
            <w:r>
              <w:rPr>
                <w:rFonts w:hint="eastAsia" w:eastAsia="宋体"/>
              </w:rPr>
              <w:t>内容</w:t>
            </w:r>
          </w:p>
        </w:tc>
        <w:tc>
          <w:tcPr>
            <w:tcW w:w="1479" w:type="dxa"/>
            <w:shd w:val="clear" w:color="auto" w:fill="FFFFFF"/>
            <w:vAlign w:val="center"/>
          </w:tcPr>
          <w:p w14:paraId="36DB574E">
            <w:pPr>
              <w:pStyle w:val="34"/>
              <w:jc w:val="center"/>
              <w:rPr>
                <w:rFonts w:eastAsia="宋体"/>
              </w:rPr>
            </w:pPr>
            <w:r>
              <w:rPr>
                <w:rFonts w:hint="eastAsia" w:eastAsia="宋体"/>
              </w:rPr>
              <w:t>支撑目标</w:t>
            </w:r>
          </w:p>
        </w:tc>
      </w:tr>
      <w:tr w14:paraId="596C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3" w:type="dxa"/>
            <w:shd w:val="clear" w:color="auto" w:fill="FFFFFF"/>
            <w:tcMar>
              <w:left w:w="57" w:type="dxa"/>
              <w:right w:w="57" w:type="dxa"/>
            </w:tcMar>
            <w:vAlign w:val="center"/>
          </w:tcPr>
          <w:p w14:paraId="00A44FC4">
            <w:pPr>
              <w:pStyle w:val="34"/>
              <w:jc w:val="center"/>
              <w:rPr>
                <w:rFonts w:eastAsia="宋体"/>
              </w:rPr>
            </w:pPr>
            <w:r>
              <w:rPr>
                <w:rFonts w:hint="eastAsia" w:eastAsia="宋体"/>
              </w:rPr>
              <w:t>网络学习</w:t>
            </w:r>
          </w:p>
        </w:tc>
        <w:tc>
          <w:tcPr>
            <w:tcW w:w="1134" w:type="dxa"/>
            <w:shd w:val="clear" w:color="auto" w:fill="FFFFFF"/>
            <w:vAlign w:val="center"/>
          </w:tcPr>
          <w:p w14:paraId="3A94CEAC">
            <w:pPr>
              <w:pStyle w:val="34"/>
              <w:jc w:val="center"/>
              <w:rPr>
                <w:rFonts w:eastAsia="宋体"/>
              </w:rPr>
            </w:pPr>
            <w:r>
              <w:rPr>
                <w:rFonts w:hint="eastAsia" w:eastAsia="宋体"/>
              </w:rPr>
              <w:t>1</w:t>
            </w:r>
            <w:r>
              <w:rPr>
                <w:rFonts w:eastAsia="宋体"/>
              </w:rPr>
              <w:t>0%</w:t>
            </w:r>
          </w:p>
        </w:tc>
        <w:tc>
          <w:tcPr>
            <w:tcW w:w="4252" w:type="dxa"/>
            <w:shd w:val="clear" w:color="auto" w:fill="FFFFFF"/>
            <w:vAlign w:val="center"/>
          </w:tcPr>
          <w:p w14:paraId="79C9665D">
            <w:pPr>
              <w:pStyle w:val="34"/>
              <w:rPr>
                <w:rFonts w:eastAsia="宋体"/>
                <w:color w:val="000000"/>
                <w:szCs w:val="21"/>
              </w:rPr>
            </w:pPr>
            <w:r>
              <w:rPr>
                <w:rFonts w:hint="eastAsia" w:eastAsia="宋体"/>
                <w:color w:val="000000"/>
                <w:szCs w:val="21"/>
              </w:rPr>
              <w:t>通过视频学习、互动讨论等考核对课程理论的理解和运用</w:t>
            </w:r>
          </w:p>
        </w:tc>
        <w:tc>
          <w:tcPr>
            <w:tcW w:w="1479" w:type="dxa"/>
            <w:shd w:val="clear" w:color="auto" w:fill="FFFFFF"/>
            <w:vAlign w:val="center"/>
          </w:tcPr>
          <w:p w14:paraId="3E68E6D6">
            <w:pPr>
              <w:pStyle w:val="34"/>
              <w:jc w:val="center"/>
              <w:rPr>
                <w:rFonts w:eastAsia="宋体"/>
              </w:rPr>
            </w:pPr>
            <w:r>
              <w:rPr>
                <w:rFonts w:hint="eastAsia" w:eastAsia="宋体"/>
              </w:rPr>
              <w:t>目标1</w:t>
            </w:r>
          </w:p>
        </w:tc>
      </w:tr>
      <w:tr w14:paraId="23A2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3" w:type="dxa"/>
            <w:tcMar>
              <w:left w:w="57" w:type="dxa"/>
              <w:right w:w="57" w:type="dxa"/>
            </w:tcMar>
            <w:vAlign w:val="center"/>
          </w:tcPr>
          <w:p w14:paraId="2F92B10C">
            <w:pPr>
              <w:pStyle w:val="34"/>
              <w:jc w:val="center"/>
              <w:rPr>
                <w:rFonts w:eastAsia="宋体"/>
              </w:rPr>
            </w:pPr>
            <w:r>
              <w:rPr>
                <w:rFonts w:hint="eastAsia" w:eastAsia="宋体"/>
              </w:rPr>
              <w:t>平时表现</w:t>
            </w:r>
          </w:p>
        </w:tc>
        <w:tc>
          <w:tcPr>
            <w:tcW w:w="1134" w:type="dxa"/>
            <w:vAlign w:val="center"/>
          </w:tcPr>
          <w:p w14:paraId="299EDEAB">
            <w:pPr>
              <w:pStyle w:val="34"/>
              <w:jc w:val="center"/>
              <w:rPr>
                <w:rFonts w:eastAsia="宋体"/>
              </w:rPr>
            </w:pPr>
            <w:r>
              <w:rPr>
                <w:rFonts w:hint="eastAsia" w:eastAsia="宋体"/>
              </w:rPr>
              <w:t>2</w:t>
            </w:r>
            <w:r>
              <w:rPr>
                <w:rFonts w:eastAsia="宋体"/>
              </w:rPr>
              <w:t>0%</w:t>
            </w:r>
          </w:p>
        </w:tc>
        <w:tc>
          <w:tcPr>
            <w:tcW w:w="4252" w:type="dxa"/>
            <w:vAlign w:val="center"/>
          </w:tcPr>
          <w:p w14:paraId="4ED120A2">
            <w:pPr>
              <w:pStyle w:val="34"/>
              <w:rPr>
                <w:rFonts w:eastAsia="宋体"/>
                <w:szCs w:val="21"/>
              </w:rPr>
            </w:pPr>
            <w:r>
              <w:rPr>
                <w:rFonts w:hint="eastAsia" w:eastAsia="宋体"/>
                <w:color w:val="000000"/>
                <w:szCs w:val="21"/>
              </w:rPr>
              <w:t>通过课堂互动、听课表现等考核对课程理论的理解和运用</w:t>
            </w:r>
          </w:p>
        </w:tc>
        <w:tc>
          <w:tcPr>
            <w:tcW w:w="1479" w:type="dxa"/>
            <w:shd w:val="clear" w:color="auto" w:fill="FFFFFF"/>
            <w:vAlign w:val="center"/>
          </w:tcPr>
          <w:p w14:paraId="47DDD0E0">
            <w:pPr>
              <w:pStyle w:val="34"/>
              <w:jc w:val="center"/>
              <w:rPr>
                <w:rFonts w:eastAsia="宋体"/>
                <w:color w:val="000000"/>
                <w:szCs w:val="21"/>
              </w:rPr>
            </w:pPr>
            <w:r>
              <w:rPr>
                <w:rFonts w:hint="eastAsia" w:eastAsia="宋体"/>
              </w:rPr>
              <w:t>目标1</w:t>
            </w:r>
          </w:p>
        </w:tc>
      </w:tr>
      <w:tr w14:paraId="5E81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3" w:type="dxa"/>
            <w:tcMar>
              <w:left w:w="57" w:type="dxa"/>
              <w:right w:w="57" w:type="dxa"/>
            </w:tcMar>
            <w:vAlign w:val="center"/>
          </w:tcPr>
          <w:p w14:paraId="3EABDD3B">
            <w:pPr>
              <w:pStyle w:val="34"/>
              <w:jc w:val="center"/>
              <w:rPr>
                <w:rFonts w:eastAsia="宋体"/>
              </w:rPr>
            </w:pPr>
            <w:r>
              <w:rPr>
                <w:rFonts w:hint="eastAsia" w:eastAsia="宋体"/>
              </w:rPr>
              <w:t>作业</w:t>
            </w:r>
          </w:p>
        </w:tc>
        <w:tc>
          <w:tcPr>
            <w:tcW w:w="1134" w:type="dxa"/>
            <w:vAlign w:val="center"/>
          </w:tcPr>
          <w:p w14:paraId="6252F2DA">
            <w:pPr>
              <w:pStyle w:val="34"/>
              <w:jc w:val="center"/>
              <w:rPr>
                <w:rFonts w:eastAsia="宋体"/>
              </w:rPr>
            </w:pPr>
            <w:r>
              <w:rPr>
                <w:rFonts w:eastAsia="宋体"/>
              </w:rPr>
              <w:t>30%</w:t>
            </w:r>
            <w:r>
              <w:rPr>
                <w:rFonts w:hint="eastAsia" w:eastAsia="宋体"/>
              </w:rPr>
              <w:t xml:space="preserve"> </w:t>
            </w:r>
          </w:p>
        </w:tc>
        <w:tc>
          <w:tcPr>
            <w:tcW w:w="4252" w:type="dxa"/>
            <w:vAlign w:val="center"/>
          </w:tcPr>
          <w:p w14:paraId="233B8DE8">
            <w:pPr>
              <w:pStyle w:val="34"/>
              <w:rPr>
                <w:rFonts w:eastAsia="宋体"/>
                <w:color w:val="000000"/>
                <w:szCs w:val="21"/>
              </w:rPr>
            </w:pPr>
            <w:r>
              <w:rPr>
                <w:rFonts w:hint="eastAsia" w:eastAsia="宋体"/>
                <w:color w:val="000000"/>
                <w:szCs w:val="21"/>
              </w:rPr>
              <w:t>通过章节测验、思考题等考核对课程理论的理解和运用</w:t>
            </w:r>
          </w:p>
        </w:tc>
        <w:tc>
          <w:tcPr>
            <w:tcW w:w="1479" w:type="dxa"/>
            <w:tcBorders>
              <w:bottom w:val="single" w:color="auto" w:sz="4" w:space="0"/>
            </w:tcBorders>
            <w:shd w:val="clear" w:color="auto" w:fill="FFFFFF"/>
            <w:vAlign w:val="center"/>
          </w:tcPr>
          <w:p w14:paraId="3EBFC8A9">
            <w:pPr>
              <w:pStyle w:val="34"/>
              <w:jc w:val="center"/>
              <w:rPr>
                <w:rFonts w:eastAsia="宋体"/>
                <w:color w:val="000000"/>
                <w:szCs w:val="21"/>
              </w:rPr>
            </w:pPr>
            <w:r>
              <w:rPr>
                <w:rFonts w:hint="eastAsia" w:eastAsia="宋体"/>
              </w:rPr>
              <w:t>目标1</w:t>
            </w:r>
          </w:p>
        </w:tc>
      </w:tr>
      <w:tr w14:paraId="57CE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3" w:type="dxa"/>
            <w:tcMar>
              <w:left w:w="57" w:type="dxa"/>
              <w:right w:w="57" w:type="dxa"/>
            </w:tcMar>
            <w:vAlign w:val="center"/>
          </w:tcPr>
          <w:p w14:paraId="34518251">
            <w:pPr>
              <w:pStyle w:val="34"/>
              <w:jc w:val="center"/>
              <w:rPr>
                <w:rFonts w:eastAsia="宋体"/>
              </w:rPr>
            </w:pPr>
            <w:r>
              <w:rPr>
                <w:rFonts w:hint="eastAsia" w:eastAsia="宋体"/>
              </w:rPr>
              <w:t>期末考试</w:t>
            </w:r>
          </w:p>
        </w:tc>
        <w:tc>
          <w:tcPr>
            <w:tcW w:w="1134" w:type="dxa"/>
            <w:vAlign w:val="center"/>
          </w:tcPr>
          <w:p w14:paraId="36013013">
            <w:pPr>
              <w:pStyle w:val="34"/>
              <w:jc w:val="center"/>
              <w:rPr>
                <w:rFonts w:eastAsia="宋体"/>
              </w:rPr>
            </w:pPr>
            <w:r>
              <w:rPr>
                <w:rFonts w:hint="eastAsia" w:eastAsia="宋体"/>
              </w:rPr>
              <w:t xml:space="preserve">40% </w:t>
            </w:r>
          </w:p>
        </w:tc>
        <w:tc>
          <w:tcPr>
            <w:tcW w:w="4252" w:type="dxa"/>
            <w:tcBorders>
              <w:left w:val="single" w:color="auto" w:sz="4" w:space="0"/>
            </w:tcBorders>
            <w:vAlign w:val="center"/>
          </w:tcPr>
          <w:p w14:paraId="669E09CA">
            <w:pPr>
              <w:pStyle w:val="34"/>
              <w:rPr>
                <w:rFonts w:eastAsia="宋体"/>
                <w:color w:val="000000"/>
                <w:szCs w:val="21"/>
              </w:rPr>
            </w:pPr>
            <w:r>
              <w:rPr>
                <w:rFonts w:hint="eastAsia" w:eastAsia="宋体"/>
                <w:color w:val="000000"/>
                <w:szCs w:val="21"/>
              </w:rPr>
              <w:t>通过选择题、填空题和论述题等考核对课程理论的理解和运用</w:t>
            </w:r>
          </w:p>
        </w:tc>
        <w:tc>
          <w:tcPr>
            <w:tcW w:w="1479" w:type="dxa"/>
            <w:shd w:val="clear" w:color="auto" w:fill="FFFFFF"/>
            <w:vAlign w:val="center"/>
          </w:tcPr>
          <w:p w14:paraId="57EA6FC2">
            <w:pPr>
              <w:widowControl/>
              <w:jc w:val="center"/>
            </w:pPr>
            <w:r>
              <w:rPr>
                <w:rFonts w:hint="eastAsia"/>
              </w:rPr>
              <w:t>目标1</w:t>
            </w:r>
          </w:p>
        </w:tc>
      </w:tr>
    </w:tbl>
    <w:p w14:paraId="22BE05CB">
      <w:pPr>
        <w:spacing w:line="360" w:lineRule="auto"/>
        <w:rPr>
          <w:sz w:val="24"/>
          <w:szCs w:val="22"/>
        </w:rPr>
      </w:pPr>
      <w:r>
        <w:rPr>
          <w:rFonts w:hint="eastAsia"/>
          <w:sz w:val="24"/>
          <w:szCs w:val="22"/>
        </w:rPr>
        <w:t>备注：</w:t>
      </w:r>
      <w:r>
        <w:rPr>
          <w:sz w:val="24"/>
          <w:szCs w:val="22"/>
        </w:rPr>
        <w:t>课程目标达成度计算方法如下：</w:t>
      </w:r>
    </w:p>
    <w:p w14:paraId="6EF0F7F0">
      <w:pPr>
        <w:spacing w:line="360" w:lineRule="auto"/>
        <w:jc w:val="center"/>
        <w:rPr>
          <w:sz w:val="24"/>
          <w:szCs w:val="22"/>
        </w:rPr>
      </w:pPr>
      <w:r>
        <w:rPr>
          <w:position w:val="-26"/>
          <w:sz w:val="24"/>
          <w:szCs w:val="22"/>
        </w:rPr>
        <w:object>
          <v:shape id="_x0000_i1026" o:spt="75" type="#_x0000_t75" style="height:33.4pt;width:338.25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p>
    <w:p w14:paraId="2D649F0F">
      <w:pPr>
        <w:spacing w:line="360" w:lineRule="auto"/>
        <w:ind w:firstLine="562" w:firstLineChars="200"/>
        <w:rPr>
          <w:b/>
          <w:sz w:val="28"/>
          <w:szCs w:val="28"/>
        </w:rPr>
      </w:pPr>
      <w:r>
        <w:rPr>
          <w:rFonts w:hint="eastAsia"/>
          <w:b/>
          <w:sz w:val="28"/>
          <w:szCs w:val="28"/>
        </w:rPr>
        <w:t>六</w:t>
      </w:r>
      <w:r>
        <w:rPr>
          <w:b/>
          <w:sz w:val="28"/>
          <w:szCs w:val="28"/>
        </w:rPr>
        <w:t>、</w:t>
      </w:r>
      <w:r>
        <w:rPr>
          <w:rFonts w:hint="eastAsia"/>
          <w:b/>
          <w:sz w:val="28"/>
          <w:szCs w:val="28"/>
        </w:rPr>
        <w:t>有关说明</w:t>
      </w:r>
    </w:p>
    <w:p w14:paraId="0836D972">
      <w:pPr>
        <w:spacing w:line="360" w:lineRule="auto"/>
        <w:ind w:firstLine="482" w:firstLineChars="200"/>
        <w:rPr>
          <w:b/>
          <w:color w:val="000000"/>
          <w:sz w:val="24"/>
          <w:szCs w:val="22"/>
        </w:rPr>
      </w:pPr>
      <w:r>
        <w:rPr>
          <w:rFonts w:hint="eastAsia"/>
          <w:b/>
          <w:color w:val="000000"/>
          <w:sz w:val="24"/>
          <w:szCs w:val="22"/>
        </w:rPr>
        <w:t>（一）持续改进</w:t>
      </w:r>
    </w:p>
    <w:p w14:paraId="3B409978">
      <w:pPr>
        <w:spacing w:line="360" w:lineRule="auto"/>
        <w:ind w:firstLine="480" w:firstLineChars="200"/>
        <w:rPr>
          <w:color w:val="000000"/>
          <w:sz w:val="24"/>
        </w:rPr>
      </w:pPr>
      <w:r>
        <w:rPr>
          <w:rFonts w:hint="eastAsia"/>
          <w:color w:val="000000"/>
          <w:sz w:val="24"/>
        </w:rPr>
        <w:t>本课程根据网络学习、平时表现、作业和期末考试等考核情况，以及学生、教学督导等反馈，及时对教学中不足之处进行改进，并在下一轮课程教学中整改完善，确保相应毕业要求观测点达成。</w:t>
      </w:r>
    </w:p>
    <w:p w14:paraId="384C6D22">
      <w:pPr>
        <w:spacing w:line="360" w:lineRule="auto"/>
        <w:ind w:firstLine="482" w:firstLineChars="200"/>
        <w:rPr>
          <w:b/>
          <w:color w:val="000000"/>
          <w:sz w:val="24"/>
          <w:szCs w:val="22"/>
        </w:rPr>
      </w:pPr>
      <w:r>
        <w:rPr>
          <w:rFonts w:hint="eastAsia"/>
          <w:b/>
          <w:color w:val="000000"/>
          <w:sz w:val="24"/>
          <w:szCs w:val="22"/>
        </w:rPr>
        <w:t>（二）</w:t>
      </w:r>
      <w:r>
        <w:rPr>
          <w:b/>
          <w:color w:val="000000"/>
          <w:sz w:val="24"/>
          <w:szCs w:val="22"/>
        </w:rPr>
        <w:t>参考书目及学习资料</w:t>
      </w:r>
    </w:p>
    <w:p w14:paraId="67037157">
      <w:pPr>
        <w:autoSpaceDE w:val="0"/>
        <w:autoSpaceDN w:val="0"/>
        <w:adjustRightInd w:val="0"/>
        <w:spacing w:line="360" w:lineRule="auto"/>
        <w:ind w:firstLine="480" w:firstLineChars="200"/>
        <w:jc w:val="left"/>
        <w:rPr>
          <w:sz w:val="24"/>
          <w:szCs w:val="21"/>
        </w:rPr>
      </w:pPr>
      <w:r>
        <w:rPr>
          <w:sz w:val="24"/>
          <w:szCs w:val="21"/>
        </w:rPr>
        <w:t>1.</w:t>
      </w:r>
      <w:r>
        <w:rPr>
          <w:rFonts w:hint="eastAsia"/>
          <w:sz w:val="24"/>
        </w:rPr>
        <w:t>《从鸦片战争到五四运动》，人民出版社，</w:t>
      </w:r>
      <w:r>
        <w:rPr>
          <w:sz w:val="24"/>
        </w:rPr>
        <w:t>1998</w:t>
      </w:r>
    </w:p>
    <w:p w14:paraId="0A1FF518">
      <w:pPr>
        <w:spacing w:line="360" w:lineRule="auto"/>
        <w:ind w:firstLine="480" w:firstLineChars="200"/>
        <w:rPr>
          <w:sz w:val="24"/>
        </w:rPr>
      </w:pPr>
      <w:r>
        <w:rPr>
          <w:sz w:val="24"/>
          <w:szCs w:val="21"/>
        </w:rPr>
        <w:t>2.</w:t>
      </w:r>
      <w:r>
        <w:rPr>
          <w:rFonts w:hint="eastAsia"/>
          <w:sz w:val="24"/>
        </w:rPr>
        <w:t>《习近平新时代中国特色社会主义思想学习问答</w:t>
      </w:r>
      <w:r>
        <w:rPr>
          <w:sz w:val="24"/>
        </w:rPr>
        <w:t>》</w:t>
      </w:r>
      <w:r>
        <w:rPr>
          <w:rFonts w:hint="eastAsia"/>
          <w:sz w:val="24"/>
        </w:rPr>
        <w:t>，学习出版社、人民出版社，2021</w:t>
      </w:r>
    </w:p>
    <w:p w14:paraId="070A4F12">
      <w:pPr>
        <w:spacing w:line="360" w:lineRule="auto"/>
        <w:ind w:firstLine="480" w:firstLineChars="200"/>
        <w:rPr>
          <w:sz w:val="24"/>
        </w:rPr>
      </w:pPr>
      <w:r>
        <w:rPr>
          <w:sz w:val="24"/>
          <w:szCs w:val="21"/>
        </w:rPr>
        <w:t>3.</w:t>
      </w:r>
      <w:r>
        <w:rPr>
          <w:rFonts w:hint="eastAsia"/>
          <w:sz w:val="24"/>
        </w:rPr>
        <w:t>《中国共产党简史》，人民出版社，2</w:t>
      </w:r>
      <w:r>
        <w:rPr>
          <w:sz w:val="24"/>
        </w:rPr>
        <w:t>021</w:t>
      </w:r>
    </w:p>
    <w:p w14:paraId="3188259B">
      <w:pPr>
        <w:autoSpaceDE w:val="0"/>
        <w:autoSpaceDN w:val="0"/>
        <w:adjustRightInd w:val="0"/>
        <w:spacing w:line="360" w:lineRule="auto"/>
        <w:ind w:firstLine="480" w:firstLineChars="200"/>
        <w:jc w:val="left"/>
        <w:rPr>
          <w:color w:val="FF0000"/>
          <w:sz w:val="24"/>
        </w:rPr>
      </w:pPr>
      <w:r>
        <w:rPr>
          <w:sz w:val="24"/>
          <w:szCs w:val="21"/>
        </w:rPr>
        <w:t>4.</w:t>
      </w:r>
      <w:r>
        <w:rPr>
          <w:rFonts w:hint="eastAsia"/>
          <w:sz w:val="24"/>
          <w:szCs w:val="21"/>
        </w:rPr>
        <w:t>《中国共产党的一百年》，中共党史出版社，</w:t>
      </w:r>
      <w:r>
        <w:rPr>
          <w:sz w:val="24"/>
        </w:rPr>
        <w:t>2022</w:t>
      </w:r>
    </w:p>
    <w:p w14:paraId="4F176A66">
      <w:pPr>
        <w:autoSpaceDE w:val="0"/>
        <w:autoSpaceDN w:val="0"/>
        <w:adjustRightInd w:val="0"/>
        <w:spacing w:line="360" w:lineRule="auto"/>
        <w:ind w:firstLine="480" w:firstLineChars="200"/>
        <w:jc w:val="left"/>
        <w:rPr>
          <w:sz w:val="24"/>
        </w:rPr>
      </w:pPr>
      <w:r>
        <w:rPr>
          <w:sz w:val="24"/>
        </w:rPr>
        <w:t>5</w:t>
      </w:r>
      <w:r>
        <w:rPr>
          <w:rFonts w:hint="eastAsia"/>
          <w:sz w:val="24"/>
        </w:rPr>
        <w:t>.《党的二十届三中全会</w:t>
      </w:r>
      <w:r>
        <w:rPr>
          <w:rFonts w:hint="eastAsia" w:ascii="宋体" w:hAnsi="宋体"/>
          <w:sz w:val="24"/>
        </w:rPr>
        <w:t>〈</w:t>
      </w:r>
      <w:r>
        <w:rPr>
          <w:rFonts w:hint="eastAsia"/>
          <w:sz w:val="24"/>
        </w:rPr>
        <w:t>决定</w:t>
      </w:r>
      <w:r>
        <w:rPr>
          <w:rFonts w:hint="eastAsia" w:ascii="宋体" w:hAnsi="宋体"/>
          <w:sz w:val="24"/>
        </w:rPr>
        <w:t>〉</w:t>
      </w:r>
      <w:r>
        <w:rPr>
          <w:rFonts w:hint="eastAsia"/>
          <w:sz w:val="24"/>
        </w:rPr>
        <w:t>学习辅导百问》，党建读物出版社、学习出版社，2</w:t>
      </w:r>
      <w:r>
        <w:rPr>
          <w:sz w:val="24"/>
        </w:rPr>
        <w:t>02</w:t>
      </w:r>
      <w:r>
        <w:rPr>
          <w:rFonts w:hint="eastAsia"/>
          <w:sz w:val="24"/>
        </w:rPr>
        <w:t>4</w:t>
      </w:r>
    </w:p>
    <w:p w14:paraId="5059A2A5">
      <w:pPr>
        <w:spacing w:line="360" w:lineRule="auto"/>
        <w:ind w:firstLine="482" w:firstLineChars="200"/>
        <w:rPr>
          <w:b/>
          <w:color w:val="000000"/>
          <w:sz w:val="24"/>
          <w:szCs w:val="22"/>
        </w:rPr>
      </w:pPr>
      <w:r>
        <w:rPr>
          <w:rFonts w:hint="eastAsia"/>
          <w:b/>
          <w:color w:val="000000"/>
          <w:sz w:val="24"/>
          <w:szCs w:val="22"/>
        </w:rPr>
        <w:t>（三）教学改革</w:t>
      </w:r>
    </w:p>
    <w:p w14:paraId="19C17ABF">
      <w:pPr>
        <w:autoSpaceDE w:val="0"/>
        <w:autoSpaceDN w:val="0"/>
        <w:adjustRightInd w:val="0"/>
        <w:spacing w:line="360" w:lineRule="auto"/>
        <w:ind w:firstLine="480" w:firstLineChars="200"/>
        <w:jc w:val="left"/>
        <w:rPr>
          <w:sz w:val="24"/>
        </w:rPr>
      </w:pPr>
      <w:r>
        <w:rPr>
          <w:rFonts w:hint="eastAsia"/>
          <w:sz w:val="24"/>
        </w:rPr>
        <w:t>本课程的教学改革，需制定相应的教学方案。</w:t>
      </w:r>
    </w:p>
    <w:p w14:paraId="2E8EACF5">
      <w:pPr>
        <w:autoSpaceDE w:val="0"/>
        <w:autoSpaceDN w:val="0"/>
        <w:adjustRightInd w:val="0"/>
        <w:spacing w:line="360" w:lineRule="auto"/>
        <w:ind w:firstLine="480" w:firstLineChars="200"/>
        <w:jc w:val="right"/>
        <w:rPr>
          <w:kern w:val="0"/>
          <w:sz w:val="24"/>
          <w:szCs w:val="21"/>
        </w:rPr>
      </w:pPr>
      <w:r>
        <w:rPr>
          <w:kern w:val="0"/>
          <w:sz w:val="24"/>
          <w:szCs w:val="21"/>
        </w:rPr>
        <w:t>执笔人：</w:t>
      </w:r>
      <w:r>
        <w:rPr>
          <w:rFonts w:hint="eastAsia"/>
          <w:kern w:val="0"/>
          <w:sz w:val="24"/>
          <w:szCs w:val="21"/>
        </w:rPr>
        <w:t>王若颖</w:t>
      </w:r>
    </w:p>
    <w:p w14:paraId="328DF5FE">
      <w:pPr>
        <w:autoSpaceDE w:val="0"/>
        <w:autoSpaceDN w:val="0"/>
        <w:adjustRightInd w:val="0"/>
        <w:spacing w:line="360" w:lineRule="auto"/>
        <w:jc w:val="right"/>
        <w:rPr>
          <w:kern w:val="0"/>
          <w:sz w:val="24"/>
          <w:szCs w:val="21"/>
        </w:rPr>
      </w:pPr>
      <w:r>
        <w:rPr>
          <w:kern w:val="0"/>
          <w:sz w:val="24"/>
          <w:szCs w:val="21"/>
        </w:rPr>
        <w:t>审定人：</w:t>
      </w:r>
      <w:bookmarkStart w:id="13" w:name="_Hlk143874663"/>
      <w:r>
        <w:rPr>
          <w:rFonts w:hint="eastAsia"/>
          <w:kern w:val="0"/>
          <w:sz w:val="24"/>
          <w:szCs w:val="21"/>
        </w:rPr>
        <w:t>夏天静</w:t>
      </w:r>
      <w:bookmarkEnd w:id="13"/>
    </w:p>
    <w:p w14:paraId="0B22D397">
      <w:pPr>
        <w:wordWrap w:val="0"/>
        <w:autoSpaceDE w:val="0"/>
        <w:autoSpaceDN w:val="0"/>
        <w:adjustRightInd w:val="0"/>
        <w:spacing w:line="360" w:lineRule="auto"/>
        <w:jc w:val="right"/>
        <w:rPr>
          <w:kern w:val="0"/>
          <w:sz w:val="24"/>
          <w:szCs w:val="21"/>
        </w:rPr>
      </w:pPr>
      <w:r>
        <w:rPr>
          <w:kern w:val="0"/>
          <w:sz w:val="24"/>
          <w:szCs w:val="21"/>
        </w:rPr>
        <w:t>审批人：</w:t>
      </w:r>
      <w:r>
        <w:rPr>
          <w:rFonts w:hint="eastAsia"/>
          <w:kern w:val="0"/>
          <w:sz w:val="24"/>
          <w:szCs w:val="21"/>
        </w:rPr>
        <w:t>熊焱生</w:t>
      </w:r>
    </w:p>
    <w:p w14:paraId="2651A7BD">
      <w:pPr>
        <w:autoSpaceDE w:val="0"/>
        <w:autoSpaceDN w:val="0"/>
        <w:adjustRightInd w:val="0"/>
        <w:spacing w:line="360" w:lineRule="auto"/>
        <w:jc w:val="right"/>
        <w:rPr>
          <w:rFonts w:hint="eastAsia"/>
          <w:kern w:val="0"/>
          <w:sz w:val="24"/>
          <w:szCs w:val="21"/>
        </w:rPr>
      </w:pPr>
      <w:r>
        <w:rPr>
          <w:rFonts w:hint="eastAsia"/>
          <w:kern w:val="0"/>
          <w:sz w:val="24"/>
          <w:szCs w:val="21"/>
        </w:rPr>
        <w:t>批准时间：</w:t>
      </w:r>
      <w:r>
        <w:rPr>
          <w:kern w:val="0"/>
          <w:sz w:val="24"/>
          <w:szCs w:val="21"/>
        </w:rPr>
        <w:t>202</w:t>
      </w:r>
      <w:r>
        <w:rPr>
          <w:rFonts w:hint="eastAsia"/>
          <w:kern w:val="0"/>
          <w:sz w:val="24"/>
          <w:szCs w:val="21"/>
        </w:rPr>
        <w:t>4年0</w:t>
      </w:r>
      <w:r>
        <w:rPr>
          <w:kern w:val="0"/>
          <w:sz w:val="24"/>
          <w:szCs w:val="21"/>
        </w:rPr>
        <w:t>8</w:t>
      </w:r>
      <w:r>
        <w:rPr>
          <w:rFonts w:hint="eastAsia"/>
          <w:kern w:val="0"/>
          <w:sz w:val="24"/>
          <w:szCs w:val="21"/>
        </w:rPr>
        <w:t>月</w:t>
      </w:r>
      <w:r>
        <w:rPr>
          <w:kern w:val="0"/>
          <w:sz w:val="24"/>
          <w:szCs w:val="21"/>
        </w:rPr>
        <w:t>30</w:t>
      </w:r>
      <w:r>
        <w:rPr>
          <w:rFonts w:hint="eastAsia"/>
          <w:kern w:val="0"/>
          <w:sz w:val="24"/>
          <w:szCs w:val="21"/>
        </w:rPr>
        <w:t>日</w:t>
      </w:r>
    </w:p>
    <w:p w14:paraId="521BF1D1">
      <w:pPr>
        <w:rPr>
          <w:rFonts w:hint="eastAsia"/>
          <w:kern w:val="0"/>
          <w:sz w:val="24"/>
          <w:szCs w:val="21"/>
        </w:rPr>
      </w:pPr>
      <w:r>
        <w:rPr>
          <w:rFonts w:hint="eastAsia"/>
          <w:kern w:val="0"/>
          <w:sz w:val="24"/>
          <w:szCs w:val="21"/>
        </w:rPr>
        <w:br w:type="page"/>
      </w:r>
    </w:p>
    <w:p w14:paraId="76753BF6">
      <w:pPr>
        <w:pStyle w:val="2"/>
        <w:bidi w:val="0"/>
        <w:rPr>
          <w:rFonts w:ascii="Times New Roman" w:hAnsi="Times New Roman" w:eastAsia="宋体" w:cs="Times New Roman"/>
          <w:b/>
          <w:szCs w:val="44"/>
        </w:rPr>
      </w:pPr>
      <w:bookmarkStart w:id="14" w:name="_Toc16594"/>
      <w:r>
        <w:rPr>
          <w:rFonts w:hint="eastAsia"/>
        </w:rPr>
        <w:t>《马克思主义基本原理》课程教学大纲</w:t>
      </w:r>
      <w:bookmarkEnd w:id="14"/>
    </w:p>
    <w:p w14:paraId="0A8A38B8">
      <w:pPr>
        <w:spacing w:line="360" w:lineRule="auto"/>
        <w:jc w:val="center"/>
        <w:rPr>
          <w:rFonts w:ascii="Times New Roman" w:hAnsi="Times New Roman" w:eastAsia="宋体" w:cs="Times New Roman"/>
          <w:bCs/>
          <w:sz w:val="30"/>
          <w:szCs w:val="30"/>
        </w:rPr>
      </w:pPr>
      <w:r>
        <w:rPr>
          <w:rFonts w:hint="eastAsia" w:ascii="Times New Roman" w:hAnsi="Times New Roman" w:eastAsia="宋体" w:cs="Times New Roman"/>
          <w:b/>
          <w:bCs/>
          <w:sz w:val="28"/>
          <w:szCs w:val="28"/>
        </w:rPr>
        <w:t>（Basic Principles of Marxism）</w:t>
      </w:r>
    </w:p>
    <w:p w14:paraId="73AE9121">
      <w:pPr>
        <w:spacing w:line="360" w:lineRule="auto"/>
        <w:ind w:firstLine="482" w:firstLineChars="200"/>
        <w:jc w:val="left"/>
        <w:rPr>
          <w:rFonts w:ascii="Times New Roman" w:hAnsi="Times New Roman" w:eastAsia="宋体" w:cs="Times New Roman"/>
          <w:b/>
          <w:sz w:val="24"/>
          <w:szCs w:val="24"/>
        </w:rPr>
      </w:pPr>
    </w:p>
    <w:p w14:paraId="0B02983A">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课程名称：马克思主义基本原理</w:t>
      </w:r>
    </w:p>
    <w:p w14:paraId="7D9698A5">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课程代码：1003031</w:t>
      </w:r>
    </w:p>
    <w:p w14:paraId="156AFF42">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 xml:space="preserve">学 </w:t>
      </w:r>
      <w:r>
        <w:rPr>
          <w:rFonts w:ascii="宋体" w:hAnsi="宋体" w:eastAsia="宋体" w:cs="Times New Roman"/>
          <w:b/>
          <w:sz w:val="24"/>
          <w:szCs w:val="24"/>
        </w:rPr>
        <w:t xml:space="preserve">   </w:t>
      </w:r>
      <w:r>
        <w:rPr>
          <w:rFonts w:hint="eastAsia" w:ascii="宋体" w:hAnsi="宋体" w:eastAsia="宋体" w:cs="Times New Roman"/>
          <w:b/>
          <w:sz w:val="24"/>
          <w:szCs w:val="24"/>
        </w:rPr>
        <w:t>分：3</w:t>
      </w:r>
    </w:p>
    <w:p w14:paraId="44CF50A2">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 xml:space="preserve">学 </w:t>
      </w:r>
      <w:r>
        <w:rPr>
          <w:rFonts w:ascii="宋体" w:hAnsi="宋体" w:eastAsia="宋体" w:cs="Times New Roman"/>
          <w:b/>
          <w:sz w:val="24"/>
          <w:szCs w:val="24"/>
        </w:rPr>
        <w:t xml:space="preserve">   </w:t>
      </w:r>
      <w:r>
        <w:rPr>
          <w:rFonts w:hint="eastAsia" w:ascii="宋体" w:hAnsi="宋体" w:eastAsia="宋体" w:cs="Times New Roman"/>
          <w:b/>
          <w:sz w:val="24"/>
          <w:szCs w:val="24"/>
        </w:rPr>
        <w:t>时：48（其中：讲授学时42，实践学时6）</w:t>
      </w:r>
    </w:p>
    <w:p w14:paraId="60551F88">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先修课程：思想道德与法治、中国近现代史纲要</w:t>
      </w:r>
    </w:p>
    <w:p w14:paraId="3CA78597">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适用专业：小学教育</w:t>
      </w:r>
    </w:p>
    <w:p w14:paraId="01BCBBE4">
      <w:pPr>
        <w:spacing w:line="360" w:lineRule="auto"/>
        <w:jc w:val="left"/>
        <w:rPr>
          <w:rFonts w:ascii="Times New Roman" w:hAnsi="Times New Roman" w:eastAsia="宋体" w:cs="Times New Roman"/>
          <w:b/>
          <w:sz w:val="24"/>
          <w:szCs w:val="24"/>
        </w:rPr>
      </w:pPr>
    </w:p>
    <w:p w14:paraId="4080B8A0">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61D0424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面向小学教育专业开设的通识必修课。通过本课程的学习，使学生理解马克思主义基本原理相关理论，掌握辩证唯物主义和历史唯物主义的基本观点，认识资本主义本质和社会主义建立、实践和发展的必然性，学会运用马克思主义的立场、观点、方法来认识、分析和解决问题，树立马克思主义的世界观、人生观和价值观，为后续思想政治理论课及思想政治理论课实践环节奠定基础，从而完成人才培养目标。</w:t>
      </w:r>
    </w:p>
    <w:p w14:paraId="0D8C2E7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55DF17F8">
      <w:pPr>
        <w:spacing w:line="360" w:lineRule="auto"/>
        <w:ind w:firstLine="422" w:firstLineChars="200"/>
        <w:rPr>
          <w:rFonts w:ascii="宋体" w:hAnsi="宋体" w:eastAsia="宋体" w:cs="Times New Roman"/>
          <w:b/>
          <w:color w:val="000000"/>
          <w:szCs w:val="21"/>
        </w:rPr>
      </w:pPr>
      <w:bookmarkStart w:id="15" w:name="_Hlk187778138"/>
      <w:r>
        <w:rPr>
          <w:rFonts w:hint="eastAsia" w:ascii="宋体" w:hAnsi="宋体" w:eastAsia="宋体" w:cs="Times New Roman"/>
          <w:b/>
          <w:color w:val="000000"/>
          <w:szCs w:val="21"/>
        </w:rPr>
        <w:t>（一）课程具体目标</w:t>
      </w:r>
    </w:p>
    <w:p w14:paraId="6AA75A49">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w:t>
      </w:r>
      <w:r>
        <w:rPr>
          <w:rFonts w:ascii="Times New Roman" w:hAnsi="Times New Roman" w:eastAsia="宋体" w:cs="Times New Roman"/>
          <w:bCs/>
          <w:szCs w:val="21"/>
        </w:rPr>
        <w:t>培养学生立足国情认知与全球视野，系统理解新时代中国特色社会主义思想理论体系，准确把握其对中国式现代化建设的核心指导价值。坚定中国特色社会主义政治认同，自觉践行社会主义核心价值观，将党的教育方针转化为育人实践的行动自觉。深植教师职业价值认同，铸就</w:t>
      </w:r>
      <w:r>
        <w:rPr>
          <w:rFonts w:hint="eastAsia" w:ascii="Times New Roman" w:hAnsi="Times New Roman" w:eastAsia="宋体" w:cs="Times New Roman"/>
          <w:bCs/>
          <w:szCs w:val="21"/>
        </w:rPr>
        <w:t>“</w:t>
      </w:r>
      <w:r>
        <w:rPr>
          <w:rFonts w:ascii="Times New Roman" w:hAnsi="Times New Roman" w:eastAsia="宋体" w:cs="Times New Roman"/>
          <w:bCs/>
          <w:szCs w:val="21"/>
        </w:rPr>
        <w:t>四有</w:t>
      </w:r>
      <w:r>
        <w:rPr>
          <w:rFonts w:hint="eastAsia" w:ascii="Times New Roman" w:hAnsi="Times New Roman" w:eastAsia="宋体" w:cs="Times New Roman"/>
          <w:bCs/>
          <w:szCs w:val="21"/>
        </w:rPr>
        <w:t>”</w:t>
      </w:r>
      <w:r>
        <w:rPr>
          <w:rFonts w:ascii="Times New Roman" w:hAnsi="Times New Roman" w:eastAsia="宋体" w:cs="Times New Roman"/>
          <w:bCs/>
          <w:szCs w:val="21"/>
        </w:rPr>
        <w:t>教师核心素养。</w:t>
      </w:r>
    </w:p>
    <w:p w14:paraId="313F9084">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目标2：</w:t>
      </w:r>
      <w:r>
        <w:rPr>
          <w:rFonts w:hint="eastAsia" w:ascii="Times New Roman" w:hAnsi="Times New Roman" w:eastAsia="宋体" w:cs="Times New Roman"/>
          <w:bCs/>
          <w:szCs w:val="21"/>
        </w:rPr>
        <w:t>在马克思主义理论指导下培养学生的</w:t>
      </w:r>
      <w:r>
        <w:rPr>
          <w:rFonts w:ascii="Times New Roman" w:hAnsi="Times New Roman" w:eastAsia="宋体" w:cs="Times New Roman"/>
          <w:bCs/>
          <w:szCs w:val="21"/>
        </w:rPr>
        <w:t>人文艺术涵养与求实科学精神，恪守教师职业行为规范，保持正向情感状态，形成健全人格特质，实现身心协调发展</w:t>
      </w:r>
      <w:r>
        <w:rPr>
          <w:rFonts w:hint="eastAsia" w:ascii="Times New Roman" w:hAnsi="Times New Roman" w:eastAsia="宋体" w:cs="Times New Roman"/>
          <w:bCs/>
          <w:szCs w:val="21"/>
        </w:rPr>
        <w:t>。</w:t>
      </w:r>
    </w:p>
    <w:p w14:paraId="6E97E44D">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目标3：</w:t>
      </w:r>
      <w:bookmarkEnd w:id="15"/>
      <w:r>
        <w:rPr>
          <w:rFonts w:hint="eastAsia" w:ascii="Times New Roman" w:hAnsi="Times New Roman" w:eastAsia="宋体" w:cs="Times New Roman"/>
          <w:bCs/>
          <w:szCs w:val="21"/>
        </w:rPr>
        <w:t>科学地运用马克思主义的世界观和方法论，帮助学生培养与小学教育本科专业相应的自然科学和人文社会科学知识素养，并将其运用到教育实践中。</w:t>
      </w:r>
    </w:p>
    <w:p w14:paraId="541E61B2">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Cs/>
          <w:szCs w:val="21"/>
        </w:rPr>
        <w:t>培养反思意识和批判性思维素养，对在日常学习和教育实践中发现的教育现象和问题，能运用辩证唯物主义和历史唯物主义的方法进行探索和研究，通过持续反思优化教学实践。</w:t>
      </w:r>
    </w:p>
    <w:p w14:paraId="2C96D018">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5381"/>
        <w:gridCol w:w="1281"/>
      </w:tblGrid>
      <w:tr w14:paraId="5240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30B9E7C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381" w:type="dxa"/>
            <w:vAlign w:val="center"/>
          </w:tcPr>
          <w:p w14:paraId="66FEC7C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281" w:type="dxa"/>
            <w:vAlign w:val="center"/>
          </w:tcPr>
          <w:p w14:paraId="5743772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1A0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024B97B7">
            <w:pPr>
              <w:spacing w:line="276"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毕业要求1：师德规范</w:t>
            </w:r>
          </w:p>
        </w:tc>
        <w:tc>
          <w:tcPr>
            <w:tcW w:w="5381" w:type="dxa"/>
            <w:vAlign w:val="center"/>
          </w:tcPr>
          <w:p w14:paraId="290809CB">
            <w:pPr>
              <w:spacing w:line="276" w:lineRule="auto"/>
              <w:jc w:val="left"/>
              <w:rPr>
                <w:rFonts w:ascii="Times New Roman" w:hAnsi="Times New Roman" w:eastAsia="宋体" w:cs="Times New Roman"/>
                <w:szCs w:val="21"/>
              </w:rPr>
            </w:pPr>
            <w:r>
              <w:rPr>
                <w:rFonts w:hint="eastAsia" w:ascii="Times New Roman" w:hAnsi="Times New Roman" w:eastAsia="宋体" w:cs="Times New Roman"/>
                <w:b/>
                <w:bCs/>
                <w:szCs w:val="21"/>
              </w:rPr>
              <w:t>指标点</w:t>
            </w:r>
            <w:r>
              <w:rPr>
                <w:rFonts w:ascii="Times New Roman" w:hAnsi="Times New Roman" w:eastAsia="宋体" w:cs="Times New Roman"/>
                <w:b/>
                <w:bCs/>
                <w:szCs w:val="21"/>
              </w:rPr>
              <w:t>1-1</w:t>
            </w:r>
            <w:r>
              <w:rPr>
                <w:rFonts w:hint="eastAsia" w:ascii="Times New Roman" w:hAnsi="Times New Roman" w:eastAsia="宋体" w:cs="Times New Roman"/>
                <w:b/>
                <w:bCs/>
                <w:szCs w:val="21"/>
              </w:rPr>
              <w:t>：</w:t>
            </w:r>
            <w:r>
              <w:rPr>
                <w:rFonts w:hint="eastAsia" w:ascii="Times New Roman" w:hAnsi="Times New Roman" w:eastAsia="宋体" w:cs="Times New Roman"/>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281" w:type="dxa"/>
            <w:vAlign w:val="center"/>
          </w:tcPr>
          <w:p w14:paraId="346C8113">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6BB9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43CC0AD5">
            <w:pPr>
              <w:spacing w:line="276"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毕业要求2：教育情怀</w:t>
            </w:r>
          </w:p>
        </w:tc>
        <w:tc>
          <w:tcPr>
            <w:tcW w:w="5381" w:type="dxa"/>
            <w:vAlign w:val="center"/>
          </w:tcPr>
          <w:p w14:paraId="05C85337">
            <w:pPr>
              <w:spacing w:line="276" w:lineRule="auto"/>
              <w:jc w:val="left"/>
              <w:rPr>
                <w:rFonts w:ascii="Times New Roman" w:hAnsi="Times New Roman" w:eastAsia="宋体" w:cs="Times New Roman"/>
                <w:szCs w:val="21"/>
              </w:rPr>
            </w:pPr>
            <w:r>
              <w:rPr>
                <w:rFonts w:hint="eastAsia" w:ascii="宋体" w:hAnsi="宋体" w:eastAsia="宋体" w:cs="Times New Roman"/>
                <w:b/>
                <w:bCs/>
                <w:color w:val="000000"/>
                <w:spacing w:val="2"/>
                <w:kern w:val="0"/>
                <w:szCs w:val="21"/>
              </w:rPr>
              <w:t>指标点2-3：</w:t>
            </w:r>
            <w:r>
              <w:rPr>
                <w:rFonts w:hint="eastAsia" w:ascii="宋体" w:hAnsi="宋体" w:eastAsia="宋体" w:cs="Times New Roman"/>
                <w:color w:val="000000"/>
                <w:spacing w:val="2"/>
                <w:kern w:val="0"/>
                <w:szCs w:val="21"/>
              </w:rPr>
              <w:t>【自身修养良好】具有较好的人文艺术底蕴与科学精神，言行举止符合教师职业标准，情感积极，人格健全，身心健康。</w:t>
            </w:r>
          </w:p>
        </w:tc>
        <w:tc>
          <w:tcPr>
            <w:tcW w:w="1281" w:type="dxa"/>
            <w:vAlign w:val="center"/>
          </w:tcPr>
          <w:p w14:paraId="712D238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6695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464B59B4">
            <w:pPr>
              <w:spacing w:line="276"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毕业要求3：学科素养</w:t>
            </w:r>
          </w:p>
        </w:tc>
        <w:tc>
          <w:tcPr>
            <w:tcW w:w="5381" w:type="dxa"/>
            <w:vAlign w:val="center"/>
          </w:tcPr>
          <w:p w14:paraId="53BD3BB6">
            <w:pPr>
              <w:spacing w:line="276" w:lineRule="auto"/>
              <w:jc w:val="left"/>
              <w:rPr>
                <w:rFonts w:ascii="宋体" w:hAnsi="宋体" w:eastAsia="宋体" w:cs="Times New Roman"/>
                <w:color w:val="000000"/>
                <w:spacing w:val="2"/>
                <w:kern w:val="0"/>
                <w:szCs w:val="21"/>
              </w:rPr>
            </w:pPr>
            <w:r>
              <w:rPr>
                <w:rFonts w:hint="eastAsia" w:ascii="宋体" w:hAnsi="宋体" w:eastAsia="宋体" w:cs="Times New Roman"/>
                <w:b/>
                <w:bCs/>
                <w:color w:val="000000"/>
                <w:spacing w:val="2"/>
                <w:kern w:val="0"/>
                <w:szCs w:val="21"/>
              </w:rPr>
              <w:t>指标点3-1：</w:t>
            </w:r>
            <w:r>
              <w:rPr>
                <w:rFonts w:hint="eastAsia" w:ascii="宋体" w:hAnsi="宋体" w:eastAsia="宋体" w:cs="Times New Roman"/>
                <w:color w:val="000000"/>
                <w:spacing w:val="2"/>
                <w:kern w:val="0"/>
                <w:szCs w:val="21"/>
              </w:rPr>
              <w:t>【通识知识广博】具有小学教育本科专业相应的自然科学和人文社会科学知识素养。</w:t>
            </w:r>
          </w:p>
        </w:tc>
        <w:tc>
          <w:tcPr>
            <w:tcW w:w="1281" w:type="dxa"/>
            <w:vAlign w:val="center"/>
          </w:tcPr>
          <w:p w14:paraId="1DA88F7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75B6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066F917A">
            <w:pPr>
              <w:spacing w:line="276"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毕业要求7：学会反思</w:t>
            </w:r>
          </w:p>
        </w:tc>
        <w:tc>
          <w:tcPr>
            <w:tcW w:w="5381" w:type="dxa"/>
            <w:vAlign w:val="center"/>
          </w:tcPr>
          <w:p w14:paraId="012C9FCF">
            <w:pPr>
              <w:spacing w:line="276" w:lineRule="auto"/>
              <w:jc w:val="left"/>
              <w:rPr>
                <w:rFonts w:ascii="Times New Roman" w:hAnsi="Times New Roman" w:eastAsia="宋体" w:cs="Times New Roman"/>
                <w:szCs w:val="21"/>
              </w:rPr>
            </w:pPr>
            <w:r>
              <w:rPr>
                <w:rFonts w:hint="eastAsia" w:ascii="宋体" w:hAnsi="宋体" w:eastAsia="宋体" w:cs="Times New Roman"/>
                <w:b/>
                <w:bCs/>
                <w:color w:val="000000"/>
                <w:kern w:val="0"/>
                <w:szCs w:val="21"/>
              </w:rPr>
              <w:t>指标点</w:t>
            </w:r>
            <w:r>
              <w:rPr>
                <w:rFonts w:ascii="宋体" w:hAnsi="宋体" w:eastAsia="宋体" w:cs="Times New Roman"/>
                <w:b/>
                <w:bCs/>
                <w:color w:val="000000"/>
                <w:kern w:val="0"/>
                <w:szCs w:val="21"/>
              </w:rPr>
              <w:t>7-3：</w:t>
            </w:r>
            <w:r>
              <w:rPr>
                <w:rFonts w:hint="eastAsia" w:ascii="宋体" w:hAnsi="宋体" w:eastAsia="宋体" w:cs="Times New Roman"/>
                <w:color w:val="000000"/>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281" w:type="dxa"/>
            <w:vAlign w:val="center"/>
          </w:tcPr>
          <w:p w14:paraId="27FB7B4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课程目标4</w:t>
            </w:r>
          </w:p>
        </w:tc>
      </w:tr>
    </w:tbl>
    <w:p w14:paraId="644A5AC1">
      <w:pPr>
        <w:spacing w:line="360" w:lineRule="auto"/>
        <w:jc w:val="left"/>
        <w:rPr>
          <w:rFonts w:ascii="宋体" w:hAnsi="宋体" w:eastAsia="宋体" w:cs="Times New Roman"/>
          <w:b/>
          <w:color w:val="000000"/>
          <w:sz w:val="28"/>
          <w:szCs w:val="28"/>
        </w:rPr>
      </w:pPr>
    </w:p>
    <w:p w14:paraId="13887927">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635"/>
        <w:gridCol w:w="1134"/>
        <w:gridCol w:w="3260"/>
        <w:gridCol w:w="1342"/>
        <w:gridCol w:w="656"/>
      </w:tblGrid>
      <w:tr w14:paraId="6A4A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759C9B3E">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13FC7DB5">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635" w:type="dxa"/>
            <w:vAlign w:val="center"/>
          </w:tcPr>
          <w:p w14:paraId="586F36AF">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D91BEAD">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1B4CCA4B">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6BF951BF">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342" w:type="dxa"/>
            <w:vAlign w:val="center"/>
          </w:tcPr>
          <w:p w14:paraId="56C1F68F">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56" w:type="dxa"/>
            <w:vAlign w:val="center"/>
          </w:tcPr>
          <w:p w14:paraId="6A1CB49F">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4433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3AE4C0D4">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1.导论</w:t>
            </w:r>
          </w:p>
        </w:tc>
        <w:tc>
          <w:tcPr>
            <w:tcW w:w="1635" w:type="dxa"/>
            <w:vAlign w:val="center"/>
          </w:tcPr>
          <w:p w14:paraId="74C650B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（1）什么是马克思主义</w:t>
            </w:r>
          </w:p>
          <w:p w14:paraId="771281A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（2）马克思主义的创立与发展（3）马克思主义的鲜明特征（4）马克思主义的当代价值</w:t>
            </w:r>
          </w:p>
          <w:p w14:paraId="1C05889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（5）自觉学习和运用马克思主义</w:t>
            </w:r>
          </w:p>
        </w:tc>
        <w:tc>
          <w:tcPr>
            <w:tcW w:w="1134" w:type="dxa"/>
            <w:vAlign w:val="center"/>
          </w:tcPr>
          <w:p w14:paraId="1B54D78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p w14:paraId="20DC2584">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目标2</w:t>
            </w:r>
          </w:p>
          <w:p w14:paraId="3897EE8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目标3</w:t>
            </w:r>
          </w:p>
          <w:p w14:paraId="37A68603">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目标4</w:t>
            </w:r>
          </w:p>
        </w:tc>
        <w:tc>
          <w:tcPr>
            <w:tcW w:w="3260" w:type="dxa"/>
            <w:vAlign w:val="center"/>
          </w:tcPr>
          <w:p w14:paraId="0A6FFA2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学生能够从总体上理解和把握什么是马克思主义，；</w:t>
            </w:r>
          </w:p>
          <w:p w14:paraId="04DD8F6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了解马克思主义产生的历史过程和发展阶段；</w:t>
            </w:r>
          </w:p>
          <w:p w14:paraId="42D424D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掌握马克思主义的鲜明特征；</w:t>
            </w:r>
          </w:p>
          <w:p w14:paraId="5F95F03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4.认识马克思主义的当代价值；</w:t>
            </w:r>
          </w:p>
          <w:p w14:paraId="162D835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w:t>
            </w:r>
            <w:r>
              <w:rPr>
                <w:rFonts w:hint="eastAsia" w:ascii="宋体" w:hAnsi="宋体" w:eastAsia="宋体" w:cs="Times New Roman"/>
                <w:color w:val="000000"/>
                <w:szCs w:val="21"/>
              </w:rPr>
              <w:t>理解为什么要学习马克思主义，掌握学习、运用科学理论的原则和方法。</w:t>
            </w:r>
          </w:p>
        </w:tc>
        <w:tc>
          <w:tcPr>
            <w:tcW w:w="1342" w:type="dxa"/>
            <w:vAlign w:val="center"/>
          </w:tcPr>
          <w:p w14:paraId="6B136E4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37A67F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69F273C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15504A0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16AF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0A5BF699">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2.世界的物质性及发展规律</w:t>
            </w:r>
          </w:p>
        </w:tc>
        <w:tc>
          <w:tcPr>
            <w:tcW w:w="1635" w:type="dxa"/>
            <w:vAlign w:val="center"/>
          </w:tcPr>
          <w:p w14:paraId="05100BF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（1）世界多样性与物质统一性</w:t>
            </w:r>
          </w:p>
          <w:p w14:paraId="53A71DE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（2）事物的普遍联系和变化发展</w:t>
            </w:r>
          </w:p>
          <w:p w14:paraId="4D3207D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（3）唯物辩证法是认识世界和改造世界的根本方法</w:t>
            </w:r>
          </w:p>
        </w:tc>
        <w:tc>
          <w:tcPr>
            <w:tcW w:w="1134" w:type="dxa"/>
            <w:vAlign w:val="center"/>
          </w:tcPr>
          <w:p w14:paraId="1363D1C6">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目标2</w:t>
            </w:r>
          </w:p>
          <w:p w14:paraId="77734668">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目标3</w:t>
            </w:r>
          </w:p>
          <w:p w14:paraId="1C610DC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目标4</w:t>
            </w:r>
          </w:p>
        </w:tc>
        <w:tc>
          <w:tcPr>
            <w:tcW w:w="3260" w:type="dxa"/>
            <w:vAlign w:val="center"/>
          </w:tcPr>
          <w:p w14:paraId="525B3B6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1.掌握辩证唯物主义基本原理，把握物质与意识的辩证关系以及世界的物质统一性；</w:t>
            </w:r>
          </w:p>
          <w:p w14:paraId="1103A92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rPr>
              <w:t>理解</w:t>
            </w:r>
            <w:r>
              <w:rPr>
                <w:rFonts w:hint="eastAsia" w:ascii="宋体" w:hAnsi="宋体" w:eastAsia="宋体" w:cs="Times New Roman"/>
                <w:color w:val="000000"/>
                <w:szCs w:val="21"/>
              </w:rPr>
              <w:t>事</w:t>
            </w:r>
            <w:r>
              <w:rPr>
                <w:rFonts w:hint="eastAsia" w:ascii="宋体" w:hAnsi="宋体" w:eastAsia="宋体"/>
              </w:rPr>
              <w:t>物联系和发展</w:t>
            </w:r>
            <w:r>
              <w:rPr>
                <w:rFonts w:hint="eastAsia" w:ascii="宋体" w:hAnsi="宋体" w:eastAsia="宋体" w:cs="Times New Roman"/>
                <w:color w:val="000000"/>
                <w:szCs w:val="21"/>
              </w:rPr>
              <w:t>的基本规律和基本环节；</w:t>
            </w:r>
          </w:p>
          <w:p w14:paraId="547D0DD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3.坚持科学的世界观和方法论，运用唯物辩证法分析和解决问题，不断增强思维能力</w:t>
            </w:r>
            <w:r>
              <w:rPr>
                <w:rFonts w:ascii="宋体" w:hAnsi="宋体" w:eastAsia="宋体" w:cs="Times New Roman"/>
                <w:color w:val="000000"/>
                <w:szCs w:val="21"/>
              </w:rPr>
              <w:t>。</w:t>
            </w:r>
          </w:p>
        </w:tc>
        <w:tc>
          <w:tcPr>
            <w:tcW w:w="1342" w:type="dxa"/>
            <w:vAlign w:val="center"/>
          </w:tcPr>
          <w:p w14:paraId="5C89C92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2CF7A0C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32E005E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574F425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9</w:t>
            </w:r>
          </w:p>
        </w:tc>
      </w:tr>
      <w:tr w14:paraId="7F3F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72E25498">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3.实践与认识及其发展规律</w:t>
            </w:r>
          </w:p>
        </w:tc>
        <w:tc>
          <w:tcPr>
            <w:tcW w:w="1635" w:type="dxa"/>
            <w:vAlign w:val="center"/>
          </w:tcPr>
          <w:p w14:paraId="6FD445F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（1）实践与认识</w:t>
            </w:r>
          </w:p>
          <w:p w14:paraId="3D8C697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（2）真理与价值</w:t>
            </w:r>
          </w:p>
          <w:p w14:paraId="4EB80E7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（3）认识世界和改造世界</w:t>
            </w:r>
          </w:p>
        </w:tc>
        <w:tc>
          <w:tcPr>
            <w:tcW w:w="1134" w:type="dxa"/>
            <w:vAlign w:val="center"/>
          </w:tcPr>
          <w:p w14:paraId="060FE99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目标3</w:t>
            </w:r>
          </w:p>
          <w:p w14:paraId="2B7FF63B">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目标4</w:t>
            </w:r>
          </w:p>
        </w:tc>
        <w:tc>
          <w:tcPr>
            <w:tcW w:w="3260" w:type="dxa"/>
            <w:vAlign w:val="center"/>
          </w:tcPr>
          <w:p w14:paraId="671602C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1.了解马克思主义的实践观、认识论和价值论的基本观点；</w:t>
            </w:r>
          </w:p>
          <w:p w14:paraId="5274B7B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2.掌握实践、认识、真理、价值的本质及其相互关系，树立实践第一的观点，树立正确的价值观；</w:t>
            </w:r>
          </w:p>
          <w:p w14:paraId="62B8251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rPr>
              <w:t>理解如何</w:t>
            </w:r>
            <w:r>
              <w:rPr>
                <w:rFonts w:hint="eastAsia" w:ascii="宋体" w:hAnsi="宋体" w:eastAsia="宋体" w:cs="Times New Roman"/>
                <w:color w:val="000000"/>
                <w:szCs w:val="21"/>
              </w:rPr>
              <w:t>在改造客观世界的同时改造主观世界，努力实现理论创新和实践创新的良性互动</w:t>
            </w:r>
            <w:r>
              <w:rPr>
                <w:rFonts w:ascii="宋体" w:hAnsi="宋体" w:eastAsia="宋体" w:cs="Times New Roman"/>
                <w:color w:val="000000"/>
                <w:szCs w:val="21"/>
              </w:rPr>
              <w:t>。</w:t>
            </w:r>
          </w:p>
        </w:tc>
        <w:tc>
          <w:tcPr>
            <w:tcW w:w="1342" w:type="dxa"/>
            <w:vAlign w:val="center"/>
          </w:tcPr>
          <w:p w14:paraId="4D73E61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24F723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6CDDDB6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16380C5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65AF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32D2D0F9">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4.人类社会及其发展规律</w:t>
            </w:r>
          </w:p>
        </w:tc>
        <w:tc>
          <w:tcPr>
            <w:tcW w:w="1635" w:type="dxa"/>
            <w:vAlign w:val="center"/>
          </w:tcPr>
          <w:p w14:paraId="5CA7B0B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（1）人类社会的存在与发展（2）社会历史发展的动力</w:t>
            </w:r>
          </w:p>
          <w:p w14:paraId="2832D7D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（3）人民群众在历史发展中的作用</w:t>
            </w:r>
          </w:p>
        </w:tc>
        <w:tc>
          <w:tcPr>
            <w:tcW w:w="1134" w:type="dxa"/>
            <w:vAlign w:val="center"/>
          </w:tcPr>
          <w:p w14:paraId="418EFC8B">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p w14:paraId="257B252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目标4</w:t>
            </w:r>
          </w:p>
        </w:tc>
        <w:tc>
          <w:tcPr>
            <w:tcW w:w="3260" w:type="dxa"/>
            <w:vAlign w:val="center"/>
          </w:tcPr>
          <w:p w14:paraId="004C4B8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1.学习和把握历史唯物主义的基本原理，着重了解社会存在与社会意识的辩证关系；</w:t>
            </w:r>
          </w:p>
          <w:p w14:paraId="09F9C95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rPr>
              <w:t>理解</w:t>
            </w:r>
            <w:r>
              <w:rPr>
                <w:rFonts w:hint="eastAsia" w:ascii="宋体" w:hAnsi="宋体" w:eastAsia="宋体" w:cs="Times New Roman"/>
                <w:color w:val="000000"/>
                <w:szCs w:val="21"/>
              </w:rPr>
              <w:t>社会基本矛盾及其运动规律、社会发展的动力以及人民群众和个人在社会历史中的作用；</w:t>
            </w:r>
          </w:p>
          <w:p w14:paraId="4EADE5E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3.提高运用历史唯物主义正确认识历史和现实、正确认识社会发展规律的自觉性和能力。</w:t>
            </w:r>
          </w:p>
        </w:tc>
        <w:tc>
          <w:tcPr>
            <w:tcW w:w="1342" w:type="dxa"/>
            <w:vAlign w:val="center"/>
          </w:tcPr>
          <w:p w14:paraId="005981D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4D7B34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6204B8C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6A309AC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4FA0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0B70642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5.资本主义的本质及规律</w:t>
            </w:r>
          </w:p>
        </w:tc>
        <w:tc>
          <w:tcPr>
            <w:tcW w:w="1635" w:type="dxa"/>
            <w:vAlign w:val="center"/>
          </w:tcPr>
          <w:p w14:paraId="71BE482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（1）商品经济和价值规律（2）资本主义经济制度的本质</w:t>
            </w:r>
          </w:p>
          <w:p w14:paraId="2BE2541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（3）资本主义政治制度和意识形态</w:t>
            </w:r>
          </w:p>
        </w:tc>
        <w:tc>
          <w:tcPr>
            <w:tcW w:w="1134" w:type="dxa"/>
            <w:vAlign w:val="center"/>
          </w:tcPr>
          <w:p w14:paraId="24C1978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tc>
        <w:tc>
          <w:tcPr>
            <w:tcW w:w="3260" w:type="dxa"/>
            <w:vAlign w:val="center"/>
          </w:tcPr>
          <w:p w14:paraId="31DE07D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1.运用马克思主义的立场观点方法，准确认识资本主义生产方式的基本矛盾；</w:t>
            </w:r>
          </w:p>
          <w:p w14:paraId="2DDF334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2.深刻理解资本主义经济制度的本质，正确把握社会化大生产和商品经济运动的一般规律；</w:t>
            </w:r>
          </w:p>
          <w:p w14:paraId="66BFB7E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3.正确认识和把握资本主义政治制度、意识形态及其本质。</w:t>
            </w:r>
          </w:p>
        </w:tc>
        <w:tc>
          <w:tcPr>
            <w:tcW w:w="1342" w:type="dxa"/>
            <w:vAlign w:val="center"/>
          </w:tcPr>
          <w:p w14:paraId="6400370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74C9E6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516697F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67E17709">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67DA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BA6B79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6.资本主义的发展及其趋势</w:t>
            </w:r>
          </w:p>
        </w:tc>
        <w:tc>
          <w:tcPr>
            <w:tcW w:w="1635" w:type="dxa"/>
            <w:vAlign w:val="center"/>
          </w:tcPr>
          <w:p w14:paraId="25DD49E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（1）垄断资本主义的形成与发展</w:t>
            </w:r>
          </w:p>
          <w:p w14:paraId="356847E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（2）正确认识当代资本主义的新变化</w:t>
            </w:r>
          </w:p>
          <w:p w14:paraId="7C9A685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（3）资本主义的历史地位和发展趋势</w:t>
            </w:r>
          </w:p>
        </w:tc>
        <w:tc>
          <w:tcPr>
            <w:tcW w:w="1134" w:type="dxa"/>
            <w:vAlign w:val="center"/>
          </w:tcPr>
          <w:p w14:paraId="4AA1B72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目标2</w:t>
            </w:r>
          </w:p>
          <w:p w14:paraId="38FB71FD">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目标4</w:t>
            </w:r>
          </w:p>
        </w:tc>
        <w:tc>
          <w:tcPr>
            <w:tcW w:w="3260" w:type="dxa"/>
            <w:vAlign w:val="center"/>
          </w:tcPr>
          <w:p w14:paraId="2150BA3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1.了解资本主义从自由竞争发展到垄断的进程，科学认识国家垄断资本主义和经济全球化；</w:t>
            </w:r>
          </w:p>
          <w:p w14:paraId="3103EE5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2.正确认识第二次世界大战后资本主义的变化及其实质，当代资本主义变化的新特征，世界大变局下资本主义的矛盾与冲突；</w:t>
            </w:r>
          </w:p>
          <w:p w14:paraId="7EDBB28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rPr>
              <w:t xml:space="preserve"> </w:t>
            </w:r>
            <w:r>
              <w:rPr>
                <w:rFonts w:hint="eastAsia" w:ascii="宋体" w:hAnsi="宋体" w:eastAsia="宋体" w:cs="Times New Roman"/>
                <w:color w:val="000000"/>
                <w:szCs w:val="21"/>
              </w:rPr>
              <w:t>深刻理解资本主义的历史地位及其为社会主义所代替的历史必然性，坚定资本主义必然灭亡、社会主义必然胜利的信念。</w:t>
            </w:r>
          </w:p>
        </w:tc>
        <w:tc>
          <w:tcPr>
            <w:tcW w:w="1342" w:type="dxa"/>
            <w:vAlign w:val="center"/>
          </w:tcPr>
          <w:p w14:paraId="4D5D025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42EC17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10C06BC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40F3E66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6153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4626B366">
            <w:pPr>
              <w:spacing w:line="276" w:lineRule="auto"/>
              <w:jc w:val="center"/>
              <w:rPr>
                <w:rFonts w:ascii="宋体" w:hAnsi="宋体" w:eastAsia="宋体" w:cs="Times New Roman"/>
                <w:szCs w:val="21"/>
              </w:rPr>
            </w:pPr>
            <w:r>
              <w:rPr>
                <w:rFonts w:hint="eastAsia" w:ascii="宋体" w:hAnsi="宋体" w:eastAsia="宋体" w:cs="Times New Roman"/>
                <w:szCs w:val="21"/>
              </w:rPr>
              <w:t>7.</w:t>
            </w:r>
            <w:r>
              <w:rPr>
                <w:rFonts w:hint="eastAsia"/>
              </w:rPr>
              <w:t xml:space="preserve"> </w:t>
            </w:r>
            <w:r>
              <w:rPr>
                <w:rFonts w:hint="eastAsia" w:ascii="宋体" w:hAnsi="宋体" w:eastAsia="宋体" w:cs="Times New Roman"/>
                <w:szCs w:val="21"/>
              </w:rPr>
              <w:t>社会主义的发展及其规律</w:t>
            </w:r>
          </w:p>
        </w:tc>
        <w:tc>
          <w:tcPr>
            <w:tcW w:w="1635" w:type="dxa"/>
            <w:vAlign w:val="center"/>
          </w:tcPr>
          <w:p w14:paraId="55BD1A3C">
            <w:pPr>
              <w:spacing w:line="276" w:lineRule="auto"/>
              <w:jc w:val="left"/>
              <w:rPr>
                <w:rFonts w:ascii="宋体" w:hAnsi="宋体" w:eastAsia="宋体" w:cs="Times New Roman"/>
                <w:szCs w:val="21"/>
              </w:rPr>
            </w:pPr>
            <w:r>
              <w:rPr>
                <w:rFonts w:hint="eastAsia" w:ascii="宋体" w:hAnsi="宋体" w:eastAsia="宋体" w:cs="Times New Roman"/>
                <w:szCs w:val="21"/>
              </w:rPr>
              <w:t>（1）社会主义五百年的历史进程</w:t>
            </w:r>
          </w:p>
          <w:p w14:paraId="52A442E4">
            <w:pPr>
              <w:spacing w:line="276" w:lineRule="auto"/>
              <w:jc w:val="left"/>
              <w:rPr>
                <w:rFonts w:ascii="宋体" w:hAnsi="宋体" w:eastAsia="宋体" w:cs="Times New Roman"/>
                <w:szCs w:val="21"/>
              </w:rPr>
            </w:pPr>
            <w:r>
              <w:rPr>
                <w:rFonts w:hint="eastAsia" w:ascii="宋体" w:hAnsi="宋体" w:eastAsia="宋体" w:cs="Times New Roman"/>
                <w:szCs w:val="21"/>
              </w:rPr>
              <w:t>（2）科学社会主义基本原则（3）在实践中探索现实社会主义的发展规律</w:t>
            </w:r>
          </w:p>
        </w:tc>
        <w:tc>
          <w:tcPr>
            <w:tcW w:w="1134" w:type="dxa"/>
            <w:vAlign w:val="center"/>
          </w:tcPr>
          <w:p w14:paraId="02A70F88">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p w14:paraId="5E0B7AB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目标2</w:t>
            </w:r>
          </w:p>
          <w:p w14:paraId="796ED189">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目标3</w:t>
            </w:r>
          </w:p>
        </w:tc>
        <w:tc>
          <w:tcPr>
            <w:tcW w:w="3260" w:type="dxa"/>
            <w:vAlign w:val="center"/>
          </w:tcPr>
          <w:p w14:paraId="2B69619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1.学习和了解社会主义五百年的发展历程，把握科学社会主义基本原则；</w:t>
            </w:r>
          </w:p>
          <w:p w14:paraId="04D0C7A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2.认识社会主义建设过程的长期性，明确社会主义发展道路的多样性，把握新时代中国特色社会主义在社会主义发展史上的里程碑意义；</w:t>
            </w:r>
          </w:p>
          <w:p w14:paraId="588717B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3.能够遵循社会主义在实践中开拓前进的发展规律，以昂扬奋进的姿态推进社会主义事业走向光明未来。</w:t>
            </w:r>
          </w:p>
        </w:tc>
        <w:tc>
          <w:tcPr>
            <w:tcW w:w="1342" w:type="dxa"/>
            <w:vAlign w:val="center"/>
          </w:tcPr>
          <w:p w14:paraId="51A4E7F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3E63186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7AAC6AC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43885C8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21FC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61A9AF20">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8.共产主义崇高理想及其最终实现</w:t>
            </w:r>
          </w:p>
        </w:tc>
        <w:tc>
          <w:tcPr>
            <w:tcW w:w="1635" w:type="dxa"/>
            <w:vAlign w:val="center"/>
          </w:tcPr>
          <w:p w14:paraId="45B03EE8">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（1）展望未来共产主义新社会（2）实现共产主义是历史发展的必然趋势</w:t>
            </w:r>
          </w:p>
          <w:p w14:paraId="156A33C9">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（3）共产主义远大理想与中国特色社会主义共同理想</w:t>
            </w:r>
          </w:p>
        </w:tc>
        <w:tc>
          <w:tcPr>
            <w:tcW w:w="1134" w:type="dxa"/>
            <w:vAlign w:val="center"/>
          </w:tcPr>
          <w:p w14:paraId="26514FE8">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p w14:paraId="18733F5D">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目标2</w:t>
            </w:r>
          </w:p>
          <w:p w14:paraId="1852A296">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目标3</w:t>
            </w:r>
          </w:p>
        </w:tc>
        <w:tc>
          <w:tcPr>
            <w:tcW w:w="3260" w:type="dxa"/>
            <w:vAlign w:val="center"/>
          </w:tcPr>
          <w:p w14:paraId="35341921">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1.掌握预见未来社会的方法论原则，把握共产主义社会的基本特征；</w:t>
            </w:r>
          </w:p>
          <w:p w14:paraId="2AB4C927">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2.深刻认识实现共产主义的历史必然性和长期性；</w:t>
            </w:r>
          </w:p>
          <w:p w14:paraId="74959F8D">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3.帮助学生正确处理理想与现实、个人理想和社会理想、远大理想与共同理想的关系，坚定理想信念，投身新时代中国特色社会主义事业。</w:t>
            </w:r>
          </w:p>
        </w:tc>
        <w:tc>
          <w:tcPr>
            <w:tcW w:w="1342" w:type="dxa"/>
            <w:vAlign w:val="center"/>
          </w:tcPr>
          <w:p w14:paraId="2B16E1E1">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27E43FBE">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7A6E2F0A">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700F9CB9">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0DB7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271" w:type="dxa"/>
            <w:vAlign w:val="center"/>
          </w:tcPr>
          <w:p w14:paraId="69724E68">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思想政治理论课实践</w:t>
            </w:r>
          </w:p>
        </w:tc>
        <w:tc>
          <w:tcPr>
            <w:tcW w:w="7371" w:type="dxa"/>
            <w:gridSpan w:val="4"/>
            <w:vAlign w:val="center"/>
          </w:tcPr>
          <w:p w14:paraId="6136EE4E">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落实教育部要求，本课程的实践学时计入“思想政治理论课实践”课程。学院组织实践教师指导学生分散在第一学期至第四学期完成“思想政治理论课实践”项目，学生的实践成绩在第四学期计入“思想政治理论课实践”课程成绩。</w:t>
            </w:r>
          </w:p>
        </w:tc>
        <w:tc>
          <w:tcPr>
            <w:tcW w:w="656" w:type="dxa"/>
            <w:vAlign w:val="center"/>
          </w:tcPr>
          <w:p w14:paraId="13611036">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bl>
    <w:p w14:paraId="5B8E6DCE">
      <w:pPr>
        <w:spacing w:line="360" w:lineRule="auto"/>
        <w:jc w:val="left"/>
        <w:rPr>
          <w:rFonts w:ascii="Times New Roman" w:hAnsi="Times New Roman" w:eastAsia="宋体" w:cs="Times New Roman"/>
          <w:sz w:val="24"/>
          <w:szCs w:val="24"/>
        </w:rPr>
      </w:pPr>
    </w:p>
    <w:p w14:paraId="02176FE0">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82B976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B5C18A6">
      <w:pPr>
        <w:spacing w:line="360" w:lineRule="auto"/>
        <w:ind w:firstLine="420" w:firstLineChars="200"/>
        <w:jc w:val="left"/>
        <w:rPr>
          <w:rFonts w:ascii="Times New Roman" w:hAnsi="Times New Roman" w:eastAsia="宋体" w:cs="Times New Roman"/>
          <w:b/>
          <w:bCs/>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B085637">
      <w:pPr>
        <w:spacing w:line="360" w:lineRule="auto"/>
        <w:jc w:val="center"/>
        <w:rPr>
          <w:rFonts w:ascii="Times New Roman" w:hAnsi="Times New Roman" w:eastAsia="宋体" w:cs="Times New Roman"/>
          <w:b/>
          <w:bCs/>
          <w:szCs w:val="21"/>
        </w:rPr>
      </w:pPr>
    </w:p>
    <w:p w14:paraId="372A54B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616"/>
        <w:gridCol w:w="1560"/>
        <w:gridCol w:w="1559"/>
        <w:gridCol w:w="1559"/>
        <w:gridCol w:w="992"/>
      </w:tblGrid>
      <w:tr w14:paraId="601D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vMerge w:val="restart"/>
            <w:vAlign w:val="center"/>
          </w:tcPr>
          <w:p w14:paraId="6E0019F0">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6294" w:type="dxa"/>
            <w:gridSpan w:val="4"/>
            <w:vAlign w:val="center"/>
          </w:tcPr>
          <w:p w14:paraId="14EFEDE6">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992" w:type="dxa"/>
            <w:vMerge w:val="restart"/>
            <w:vAlign w:val="center"/>
          </w:tcPr>
          <w:p w14:paraId="53863EA2">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5289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70A41706">
            <w:pPr>
              <w:spacing w:line="360" w:lineRule="auto"/>
              <w:jc w:val="center"/>
              <w:rPr>
                <w:rFonts w:ascii="宋体" w:hAnsi="宋体" w:eastAsia="宋体" w:cs="Times New Roman"/>
                <w:szCs w:val="21"/>
              </w:rPr>
            </w:pPr>
          </w:p>
        </w:tc>
        <w:tc>
          <w:tcPr>
            <w:tcW w:w="1616" w:type="dxa"/>
          </w:tcPr>
          <w:p w14:paraId="6F2F73BC">
            <w:pPr>
              <w:spacing w:line="360" w:lineRule="auto"/>
              <w:jc w:val="center"/>
              <w:rPr>
                <w:rFonts w:hint="eastAsia" w:ascii="宋体" w:hAnsi="宋体" w:eastAsia="宋体" w:cs="Times New Roman"/>
                <w:szCs w:val="21"/>
              </w:rPr>
            </w:pPr>
            <w:r>
              <w:rPr>
                <w:rFonts w:hint="eastAsia" w:ascii="宋体" w:hAnsi="宋体" w:eastAsia="宋体" w:cs="Times New Roman"/>
                <w:szCs w:val="21"/>
              </w:rPr>
              <w:t>网络学习</w:t>
            </w:r>
          </w:p>
        </w:tc>
        <w:tc>
          <w:tcPr>
            <w:tcW w:w="1560" w:type="dxa"/>
            <w:vAlign w:val="center"/>
          </w:tcPr>
          <w:p w14:paraId="62144128">
            <w:pPr>
              <w:spacing w:line="360" w:lineRule="auto"/>
              <w:jc w:val="center"/>
              <w:rPr>
                <w:rFonts w:ascii="宋体" w:hAnsi="宋体" w:eastAsia="宋体" w:cs="Times New Roman"/>
                <w:szCs w:val="21"/>
              </w:rPr>
            </w:pPr>
            <w:r>
              <w:rPr>
                <w:rFonts w:hint="eastAsia" w:ascii="宋体" w:hAnsi="宋体" w:eastAsia="宋体" w:cs="Times New Roman"/>
                <w:szCs w:val="21"/>
              </w:rPr>
              <w:t>平时表现</w:t>
            </w:r>
          </w:p>
        </w:tc>
        <w:tc>
          <w:tcPr>
            <w:tcW w:w="1559" w:type="dxa"/>
            <w:vAlign w:val="center"/>
          </w:tcPr>
          <w:p w14:paraId="3E147EA9">
            <w:pPr>
              <w:spacing w:line="360" w:lineRule="auto"/>
              <w:jc w:val="center"/>
              <w:rPr>
                <w:rFonts w:ascii="宋体" w:hAnsi="宋体" w:eastAsia="宋体" w:cs="Times New Roman"/>
                <w:szCs w:val="21"/>
              </w:rPr>
            </w:pPr>
            <w:r>
              <w:rPr>
                <w:rFonts w:hint="eastAsia" w:ascii="宋体" w:hAnsi="宋体" w:eastAsia="宋体" w:cs="Times New Roman"/>
                <w:szCs w:val="21"/>
              </w:rPr>
              <w:t>作业</w:t>
            </w:r>
          </w:p>
        </w:tc>
        <w:tc>
          <w:tcPr>
            <w:tcW w:w="1559" w:type="dxa"/>
            <w:vAlign w:val="center"/>
          </w:tcPr>
          <w:p w14:paraId="334BFF26">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992" w:type="dxa"/>
            <w:vMerge w:val="continue"/>
            <w:vAlign w:val="center"/>
          </w:tcPr>
          <w:p w14:paraId="058821E9">
            <w:pPr>
              <w:spacing w:line="360" w:lineRule="auto"/>
              <w:jc w:val="center"/>
              <w:rPr>
                <w:rFonts w:ascii="宋体" w:hAnsi="宋体" w:eastAsia="宋体" w:cs="Times New Roman"/>
                <w:szCs w:val="21"/>
              </w:rPr>
            </w:pPr>
          </w:p>
        </w:tc>
      </w:tr>
      <w:tr w14:paraId="3B98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389AC04">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616" w:type="dxa"/>
          </w:tcPr>
          <w:p w14:paraId="33BD2A2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5398CA5A">
            <w:pPr>
              <w:spacing w:line="360" w:lineRule="auto"/>
              <w:jc w:val="center"/>
              <w:rPr>
                <w:rFonts w:ascii="宋体" w:hAnsi="宋体" w:eastAsia="宋体" w:cs="Times New Roman"/>
                <w:szCs w:val="21"/>
              </w:rPr>
            </w:pPr>
          </w:p>
        </w:tc>
        <w:tc>
          <w:tcPr>
            <w:tcW w:w="1559" w:type="dxa"/>
            <w:vAlign w:val="center"/>
          </w:tcPr>
          <w:p w14:paraId="2797C1A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03EDE1A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57F70C1A">
            <w:pPr>
              <w:spacing w:line="360" w:lineRule="auto"/>
              <w:jc w:val="center"/>
              <w:rPr>
                <w:rFonts w:ascii="宋体" w:hAnsi="宋体" w:eastAsia="宋体" w:cs="Times New Roman"/>
                <w:szCs w:val="21"/>
              </w:rPr>
            </w:pPr>
            <w:r>
              <w:rPr>
                <w:rFonts w:hint="eastAsia" w:ascii="宋体" w:hAnsi="宋体" w:eastAsia="宋体" w:cs="Times New Roman"/>
                <w:szCs w:val="21"/>
              </w:rPr>
              <w:t>26</w:t>
            </w:r>
          </w:p>
        </w:tc>
      </w:tr>
      <w:tr w14:paraId="0527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4B7B890">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616" w:type="dxa"/>
          </w:tcPr>
          <w:p w14:paraId="670AD03E">
            <w:pPr>
              <w:spacing w:line="360" w:lineRule="auto"/>
              <w:jc w:val="center"/>
              <w:rPr>
                <w:rFonts w:ascii="宋体" w:hAnsi="宋体" w:eastAsia="宋体" w:cs="Times New Roman"/>
                <w:szCs w:val="21"/>
              </w:rPr>
            </w:pPr>
          </w:p>
        </w:tc>
        <w:tc>
          <w:tcPr>
            <w:tcW w:w="1560" w:type="dxa"/>
            <w:vAlign w:val="center"/>
          </w:tcPr>
          <w:p w14:paraId="27304A6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02A3F07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664D004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330FEDEC">
            <w:pPr>
              <w:spacing w:line="360" w:lineRule="auto"/>
              <w:jc w:val="cente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3</w:t>
            </w:r>
          </w:p>
        </w:tc>
      </w:tr>
      <w:tr w14:paraId="1E83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04AE913">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616" w:type="dxa"/>
          </w:tcPr>
          <w:p w14:paraId="5103890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64DC574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740DA67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4AB83BB6">
            <w:pPr>
              <w:spacing w:line="360" w:lineRule="auto"/>
              <w:jc w:val="center"/>
              <w:rPr>
                <w:rFonts w:ascii="宋体" w:hAnsi="宋体" w:eastAsia="宋体" w:cs="Times New Roman"/>
                <w:szCs w:val="21"/>
              </w:rPr>
            </w:pPr>
          </w:p>
        </w:tc>
        <w:tc>
          <w:tcPr>
            <w:tcW w:w="992" w:type="dxa"/>
            <w:vAlign w:val="center"/>
          </w:tcPr>
          <w:p w14:paraId="18D7812C">
            <w:pPr>
              <w:spacing w:line="360" w:lineRule="auto"/>
              <w:jc w:val="cente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5</w:t>
            </w:r>
          </w:p>
        </w:tc>
      </w:tr>
      <w:tr w14:paraId="2CF8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ACD905B">
            <w:pPr>
              <w:spacing w:line="360" w:lineRule="auto"/>
              <w:jc w:val="center"/>
              <w:rPr>
                <w:rFonts w:ascii="宋体" w:hAnsi="宋体" w:eastAsia="宋体" w:cs="Times New Roman"/>
                <w:szCs w:val="21"/>
              </w:rPr>
            </w:pPr>
            <w:r>
              <w:rPr>
                <w:rFonts w:hint="eastAsia" w:ascii="宋体" w:hAnsi="宋体" w:eastAsia="宋体" w:cs="Times New Roman"/>
                <w:szCs w:val="21"/>
              </w:rPr>
              <w:t>课程目标4</w:t>
            </w:r>
          </w:p>
        </w:tc>
        <w:tc>
          <w:tcPr>
            <w:tcW w:w="1616" w:type="dxa"/>
          </w:tcPr>
          <w:p w14:paraId="4DC4560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2B27C91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3059CBD3">
            <w:pPr>
              <w:spacing w:line="360" w:lineRule="auto"/>
              <w:jc w:val="center"/>
              <w:rPr>
                <w:rFonts w:ascii="宋体" w:hAnsi="宋体" w:eastAsia="宋体" w:cs="Times New Roman"/>
                <w:szCs w:val="21"/>
              </w:rPr>
            </w:pPr>
          </w:p>
        </w:tc>
        <w:tc>
          <w:tcPr>
            <w:tcW w:w="1559" w:type="dxa"/>
            <w:vAlign w:val="center"/>
          </w:tcPr>
          <w:p w14:paraId="7FED230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4765F1C0">
            <w:pPr>
              <w:spacing w:line="360" w:lineRule="auto"/>
              <w:jc w:val="cente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6</w:t>
            </w:r>
          </w:p>
        </w:tc>
      </w:tr>
      <w:tr w14:paraId="15DE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49A51994">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616" w:type="dxa"/>
          </w:tcPr>
          <w:p w14:paraId="28B5BA85">
            <w:pPr>
              <w:spacing w:line="360" w:lineRule="auto"/>
              <w:jc w:val="center"/>
              <w:rPr>
                <w:rFonts w:ascii="宋体" w:hAnsi="宋体" w:eastAsia="宋体" w:cs="Times New Roman"/>
                <w:szCs w:val="21"/>
              </w:rPr>
            </w:pPr>
          </w:p>
        </w:tc>
        <w:tc>
          <w:tcPr>
            <w:tcW w:w="1560" w:type="dxa"/>
            <w:vAlign w:val="center"/>
          </w:tcPr>
          <w:p w14:paraId="5DD30CB8">
            <w:pPr>
              <w:spacing w:line="360" w:lineRule="auto"/>
              <w:jc w:val="center"/>
              <w:rPr>
                <w:rFonts w:ascii="宋体" w:hAnsi="宋体" w:eastAsia="宋体" w:cs="Times New Roman"/>
                <w:szCs w:val="21"/>
              </w:rPr>
            </w:pPr>
          </w:p>
        </w:tc>
        <w:tc>
          <w:tcPr>
            <w:tcW w:w="1559" w:type="dxa"/>
            <w:vAlign w:val="center"/>
          </w:tcPr>
          <w:p w14:paraId="049BD367">
            <w:pPr>
              <w:spacing w:line="360" w:lineRule="auto"/>
              <w:jc w:val="center"/>
              <w:rPr>
                <w:rFonts w:ascii="宋体" w:hAnsi="宋体" w:eastAsia="宋体" w:cs="Times New Roman"/>
                <w:szCs w:val="21"/>
              </w:rPr>
            </w:pPr>
          </w:p>
        </w:tc>
        <w:tc>
          <w:tcPr>
            <w:tcW w:w="1559" w:type="dxa"/>
            <w:vAlign w:val="center"/>
          </w:tcPr>
          <w:p w14:paraId="6909C0C0">
            <w:pPr>
              <w:spacing w:line="360" w:lineRule="auto"/>
              <w:jc w:val="center"/>
              <w:rPr>
                <w:rFonts w:ascii="宋体" w:hAnsi="宋体" w:eastAsia="宋体" w:cs="Times New Roman"/>
                <w:szCs w:val="21"/>
              </w:rPr>
            </w:pPr>
          </w:p>
        </w:tc>
        <w:tc>
          <w:tcPr>
            <w:tcW w:w="992" w:type="dxa"/>
            <w:vAlign w:val="center"/>
          </w:tcPr>
          <w:p w14:paraId="363477A4">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1A79DC5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006A2A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99A276D">
      <w:pPr>
        <w:jc w:val="center"/>
        <w:rPr>
          <w:rFonts w:ascii="Times New Roman" w:hAnsi="Times New Roman" w:eastAsia="宋体" w:cs="Times New Roman"/>
          <w:b/>
          <w:bCs/>
          <w:szCs w:val="21"/>
        </w:rPr>
      </w:pPr>
    </w:p>
    <w:p w14:paraId="19E73CC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7126"/>
        <w:gridCol w:w="850"/>
      </w:tblGrid>
      <w:tr w14:paraId="20CB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5712FF9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26" w:type="dxa"/>
            <w:vAlign w:val="center"/>
          </w:tcPr>
          <w:p w14:paraId="0EE3721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850" w:type="dxa"/>
            <w:vAlign w:val="center"/>
          </w:tcPr>
          <w:p w14:paraId="469D6F7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62B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6" w:type="dxa"/>
            <w:vAlign w:val="center"/>
          </w:tcPr>
          <w:p w14:paraId="4982F68E">
            <w:pPr>
              <w:jc w:val="center"/>
              <w:rPr>
                <w:rFonts w:ascii="宋体" w:hAnsi="宋体" w:eastAsia="宋体"/>
              </w:rPr>
            </w:pPr>
            <w:r>
              <w:rPr>
                <w:rFonts w:hint="eastAsia" w:ascii="宋体" w:hAnsi="宋体" w:eastAsia="宋体"/>
              </w:rPr>
              <w:t>网络学习</w:t>
            </w:r>
          </w:p>
        </w:tc>
        <w:tc>
          <w:tcPr>
            <w:tcW w:w="7126" w:type="dxa"/>
            <w:vAlign w:val="center"/>
          </w:tcPr>
          <w:p w14:paraId="403975D6">
            <w:pPr>
              <w:spacing w:line="264" w:lineRule="auto"/>
              <w:jc w:val="left"/>
              <w:rPr>
                <w:rFonts w:ascii="宋体" w:hAnsi="宋体" w:eastAsia="宋体"/>
              </w:rPr>
            </w:pPr>
            <w:r>
              <w:rPr>
                <w:rFonts w:hint="eastAsia" w:ascii="宋体" w:hAnsi="宋体" w:eastAsia="宋体"/>
              </w:rPr>
              <w:t>通过视频学习，互动讨论等考核对课程理论的理解和运用</w:t>
            </w:r>
          </w:p>
        </w:tc>
        <w:tc>
          <w:tcPr>
            <w:tcW w:w="850" w:type="dxa"/>
            <w:vAlign w:val="center"/>
          </w:tcPr>
          <w:p w14:paraId="776A5AD2">
            <w:pPr>
              <w:jc w:val="center"/>
              <w:rPr>
                <w:rFonts w:ascii="宋体" w:hAnsi="宋体" w:eastAsia="宋体" w:cs="Times New Roman"/>
                <w:szCs w:val="21"/>
              </w:rPr>
            </w:pPr>
            <w:r>
              <w:rPr>
                <w:rFonts w:hint="eastAsia"/>
              </w:rPr>
              <w:t>10%</w:t>
            </w:r>
          </w:p>
        </w:tc>
      </w:tr>
      <w:tr w14:paraId="3E15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28E56FBE">
            <w:pPr>
              <w:jc w:val="center"/>
              <w:rPr>
                <w:rFonts w:ascii="宋体" w:hAnsi="宋体" w:eastAsia="宋体"/>
              </w:rPr>
            </w:pPr>
            <w:r>
              <w:rPr>
                <w:rFonts w:hint="eastAsia" w:ascii="宋体" w:hAnsi="宋体" w:eastAsia="宋体"/>
              </w:rPr>
              <w:t>平时表现</w:t>
            </w:r>
          </w:p>
        </w:tc>
        <w:tc>
          <w:tcPr>
            <w:tcW w:w="7126" w:type="dxa"/>
            <w:vAlign w:val="center"/>
          </w:tcPr>
          <w:p w14:paraId="04FCA006">
            <w:pPr>
              <w:spacing w:line="264" w:lineRule="auto"/>
              <w:jc w:val="left"/>
              <w:rPr>
                <w:rFonts w:ascii="宋体" w:hAnsi="宋体" w:eastAsia="宋体" w:cs="Times New Roman"/>
                <w:szCs w:val="21"/>
              </w:rPr>
            </w:pPr>
            <w:r>
              <w:rPr>
                <w:rFonts w:hint="eastAsia" w:ascii="宋体" w:hAnsi="宋体" w:eastAsia="宋体"/>
              </w:rPr>
              <w:t>通过课堂互动、听课表现等考核学生对马克思主义基本原理的理解和运用。</w:t>
            </w:r>
          </w:p>
        </w:tc>
        <w:tc>
          <w:tcPr>
            <w:tcW w:w="850" w:type="dxa"/>
            <w:vAlign w:val="center"/>
          </w:tcPr>
          <w:p w14:paraId="6A93AB0B">
            <w:pPr>
              <w:jc w:val="center"/>
              <w:rPr>
                <w:rFonts w:ascii="宋体" w:hAnsi="宋体" w:eastAsia="宋体" w:cs="Times New Roman"/>
                <w:szCs w:val="21"/>
              </w:rPr>
            </w:pPr>
            <w:r>
              <w:rPr>
                <w:rFonts w:hint="eastAsia"/>
              </w:rPr>
              <w:t>20%</w:t>
            </w:r>
          </w:p>
        </w:tc>
      </w:tr>
      <w:tr w14:paraId="36C1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6097B119">
            <w:pPr>
              <w:jc w:val="center"/>
              <w:rPr>
                <w:rFonts w:ascii="宋体" w:hAnsi="宋体" w:eastAsia="宋体"/>
              </w:rPr>
            </w:pPr>
            <w:r>
              <w:rPr>
                <w:rFonts w:hint="eastAsia" w:ascii="宋体" w:hAnsi="宋体" w:eastAsia="宋体"/>
              </w:rPr>
              <w:t>作业</w:t>
            </w:r>
          </w:p>
        </w:tc>
        <w:tc>
          <w:tcPr>
            <w:tcW w:w="7126" w:type="dxa"/>
            <w:vAlign w:val="center"/>
          </w:tcPr>
          <w:p w14:paraId="36720458">
            <w:pPr>
              <w:widowControl/>
              <w:spacing w:line="264" w:lineRule="auto"/>
              <w:jc w:val="left"/>
              <w:rPr>
                <w:rFonts w:ascii="宋体" w:hAnsi="宋体" w:eastAsia="宋体" w:cs="宋体"/>
                <w:color w:val="000000"/>
                <w:kern w:val="0"/>
                <w:szCs w:val="21"/>
                <w:lang w:bidi="ar"/>
              </w:rPr>
            </w:pPr>
            <w:r>
              <w:rPr>
                <w:rFonts w:hint="eastAsia" w:ascii="宋体" w:hAnsi="宋体" w:eastAsia="宋体"/>
              </w:rPr>
              <w:t>通过章节测验、思考题等考核学生对课程知识点的理解和应用；对每次作业完成情况做记录并百分制打分，计算全部作业的平均成绩。</w:t>
            </w:r>
          </w:p>
        </w:tc>
        <w:tc>
          <w:tcPr>
            <w:tcW w:w="850" w:type="dxa"/>
            <w:vAlign w:val="center"/>
          </w:tcPr>
          <w:p w14:paraId="4F1D6BE6">
            <w:pPr>
              <w:jc w:val="center"/>
              <w:rPr>
                <w:rFonts w:ascii="宋体" w:hAnsi="宋体" w:eastAsia="宋体" w:cs="Times New Roman"/>
                <w:szCs w:val="21"/>
              </w:rPr>
            </w:pPr>
            <w:r>
              <w:rPr>
                <w:rFonts w:hint="eastAsia"/>
              </w:rPr>
              <w:t>30%</w:t>
            </w:r>
          </w:p>
        </w:tc>
      </w:tr>
      <w:tr w14:paraId="3E46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2E924B89">
            <w:pPr>
              <w:jc w:val="center"/>
              <w:rPr>
                <w:rFonts w:ascii="宋体" w:hAnsi="宋体" w:eastAsia="宋体"/>
              </w:rPr>
            </w:pPr>
            <w:r>
              <w:rPr>
                <w:rFonts w:hint="eastAsia" w:ascii="宋体" w:hAnsi="宋体" w:eastAsia="宋体"/>
              </w:rPr>
              <w:t>期末考试</w:t>
            </w:r>
          </w:p>
        </w:tc>
        <w:tc>
          <w:tcPr>
            <w:tcW w:w="7126" w:type="dxa"/>
            <w:vAlign w:val="center"/>
          </w:tcPr>
          <w:p w14:paraId="3D68882F">
            <w:pPr>
              <w:widowControl/>
              <w:spacing w:line="264" w:lineRule="auto"/>
              <w:jc w:val="left"/>
              <w:rPr>
                <w:rFonts w:ascii="宋体" w:hAnsi="宋体" w:eastAsia="宋体" w:cs="宋体"/>
                <w:color w:val="000000"/>
                <w:kern w:val="0"/>
                <w:szCs w:val="21"/>
                <w:lang w:bidi="ar"/>
              </w:rPr>
            </w:pPr>
            <w:r>
              <w:rPr>
                <w:rFonts w:hint="eastAsia" w:ascii="宋体" w:hAnsi="宋体" w:eastAsia="宋体"/>
              </w:rPr>
              <w:t>通过单项选择题、多项选择题、填空题、判断题和论述题等，考核思想政治理论基础知识和马克思主义的立场、观点和方法的运用。</w:t>
            </w:r>
          </w:p>
        </w:tc>
        <w:tc>
          <w:tcPr>
            <w:tcW w:w="850" w:type="dxa"/>
            <w:vAlign w:val="center"/>
          </w:tcPr>
          <w:p w14:paraId="6E3D3C80">
            <w:pPr>
              <w:jc w:val="center"/>
              <w:rPr>
                <w:rFonts w:ascii="宋体" w:hAnsi="宋体" w:eastAsia="宋体" w:cs="Times New Roman"/>
                <w:szCs w:val="21"/>
              </w:rPr>
            </w:pPr>
            <w:r>
              <w:rPr>
                <w:rFonts w:hint="eastAsia"/>
              </w:rPr>
              <w:t>40%</w:t>
            </w:r>
          </w:p>
        </w:tc>
      </w:tr>
      <w:tr w14:paraId="3575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tcPr>
          <w:p w14:paraId="44181C9F">
            <w:pPr>
              <w:rPr>
                <w:rFonts w:ascii="宋体" w:hAnsi="宋体" w:eastAsia="宋体" w:cs="Times New Roman"/>
                <w:szCs w:val="21"/>
              </w:rPr>
            </w:pPr>
            <w:r>
              <w:rPr>
                <w:rFonts w:hint="eastAsia" w:ascii="宋体" w:hAnsi="宋体" w:eastAsia="宋体"/>
              </w:rPr>
              <w:t>合计</w:t>
            </w:r>
          </w:p>
        </w:tc>
        <w:tc>
          <w:tcPr>
            <w:tcW w:w="7126" w:type="dxa"/>
          </w:tcPr>
          <w:p w14:paraId="6C0ECFA2">
            <w:pPr>
              <w:spacing w:line="264" w:lineRule="auto"/>
              <w:jc w:val="left"/>
              <w:rPr>
                <w:rFonts w:ascii="宋体" w:hAnsi="宋体" w:eastAsia="宋体" w:cs="Times New Roman"/>
                <w:szCs w:val="21"/>
              </w:rPr>
            </w:pPr>
          </w:p>
        </w:tc>
        <w:tc>
          <w:tcPr>
            <w:tcW w:w="850" w:type="dxa"/>
            <w:vAlign w:val="center"/>
          </w:tcPr>
          <w:p w14:paraId="0F406BD2">
            <w:pPr>
              <w:jc w:val="center"/>
              <w:rPr>
                <w:rFonts w:ascii="宋体" w:hAnsi="宋体" w:eastAsia="宋体" w:cs="Times New Roman"/>
                <w:szCs w:val="21"/>
              </w:rPr>
            </w:pPr>
            <w:r>
              <w:rPr>
                <w:rFonts w:hint="eastAsia" w:ascii="宋体" w:hAnsi="宋体" w:eastAsia="宋体" w:cs="Times New Roman"/>
                <w:szCs w:val="21"/>
              </w:rPr>
              <w:t>100%</w:t>
            </w:r>
          </w:p>
        </w:tc>
      </w:tr>
    </w:tbl>
    <w:p w14:paraId="67C30082">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EF7713D">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5C00E39">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27" o:spt="75" type="#_x0000_t75" style="height:25.3pt;width:404.3pt;" o:ole="t" filled="f" o:preferrelative="t" stroked="f" coordsize="21600,21600">
            <v:path/>
            <v:fill on="f" focussize="0,0"/>
            <v:stroke on="f" joinstyle="miter"/>
            <v:imagedata r:id="rId5" o:title=""/>
            <o:lock v:ext="edit" aspectratio="t"/>
            <w10:wrap type="none"/>
            <w10:anchorlock/>
          </v:shape>
          <o:OLEObject Type="Embed" ProgID="Equation.3" ShapeID="_x0000_i1027" DrawAspect="Content" ObjectID="_1468075727" r:id="rId8">
            <o:LockedField>false</o:LockedField>
          </o:OLEObject>
        </w:object>
      </w:r>
    </w:p>
    <w:p w14:paraId="23EE6B1D">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五、有关说明</w:t>
      </w:r>
    </w:p>
    <w:p w14:paraId="0C8FF92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A56EB5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本课程根据学生作业、课堂讨论、平时考核情况，以及学生、教学督导等反馈，及时对教学中不足之处进行改进，并在下一轮课程教学中整改完善，确保相应毕业要求指标点达成。</w:t>
      </w:r>
    </w:p>
    <w:p w14:paraId="44DF34FF">
      <w:pPr>
        <w:spacing w:line="360" w:lineRule="auto"/>
        <w:jc w:val="left"/>
        <w:rPr>
          <w:rFonts w:ascii="Times New Roman" w:hAnsi="Times New Roman" w:eastAsia="宋体" w:cs="Times New Roman"/>
          <w:b/>
          <w:szCs w:val="21"/>
        </w:rPr>
      </w:pPr>
    </w:p>
    <w:p w14:paraId="438E769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4B6760FB">
      <w:pPr>
        <w:spacing w:line="360" w:lineRule="auto"/>
        <w:ind w:firstLine="420" w:firstLineChars="20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《马克思主义基本原理》，本书编写组主编，高等教育出版社，2023年2月</w:t>
      </w:r>
    </w:p>
    <w:p w14:paraId="580061E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2B4C1164">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1.《马克思恩格斯选集》（1-4卷），人民出版社，2012</w:t>
      </w:r>
    </w:p>
    <w:p w14:paraId="2043EFC3">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2.《列宁选集》（1-4卷），人民出版社，2012</w:t>
      </w:r>
    </w:p>
    <w:p w14:paraId="6951DBC9">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3.《毛泽东选集》（1-4卷），人民出版社，1991</w:t>
      </w:r>
    </w:p>
    <w:p w14:paraId="0469A6F5">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4.《邓小平文选》（1-3卷），人民出版社，1995</w:t>
      </w:r>
    </w:p>
    <w:p w14:paraId="6436BEEC">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5.《江泽民文选》（1-3卷），人民出版社，2006</w:t>
      </w:r>
    </w:p>
    <w:p w14:paraId="23474D3C">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6.《胡锦涛文选》（1-3卷），人民出版社，2016</w:t>
      </w:r>
    </w:p>
    <w:p w14:paraId="016AC70D">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7.《习近平著作选读》（第一卷），人民出版社，2023</w:t>
      </w:r>
    </w:p>
    <w:p w14:paraId="7862DF70">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8.《习近平著作选读》（第二卷），人民出版社，2023</w:t>
      </w:r>
    </w:p>
    <w:p w14:paraId="0422C1DB">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9.《习近平经济思想学习纲要》，人民出版社、学习出版社，2022</w:t>
      </w:r>
    </w:p>
    <w:p w14:paraId="61C178EF">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10.《习近平新时代中国特色社会主义思想专题摘编》，党建读物出版社，2023</w:t>
      </w:r>
    </w:p>
    <w:p w14:paraId="0135338B">
      <w:pPr>
        <w:spacing w:line="360" w:lineRule="auto"/>
        <w:rPr>
          <w:rFonts w:ascii="宋体" w:hAnsi="宋体" w:eastAsia="宋体"/>
          <w:b/>
          <w:bCs/>
        </w:rPr>
      </w:pPr>
      <w:r>
        <w:rPr>
          <w:rFonts w:hint="eastAsia" w:ascii="宋体" w:hAnsi="宋体" w:eastAsia="宋体"/>
          <w:b/>
          <w:bCs/>
        </w:rPr>
        <w:t>（四）教学改革</w:t>
      </w:r>
    </w:p>
    <w:p w14:paraId="7107182F">
      <w:pPr>
        <w:spacing w:line="360" w:lineRule="auto"/>
        <w:rPr>
          <w:rFonts w:ascii="宋体" w:hAnsi="宋体" w:eastAsia="宋体"/>
        </w:rPr>
      </w:pPr>
      <w:r>
        <w:rPr>
          <w:rFonts w:hint="eastAsia" w:ascii="宋体" w:hAnsi="宋体" w:eastAsia="宋体"/>
        </w:rPr>
        <w:t>本课程的教学改革，需制定相应的教学方案。</w:t>
      </w:r>
    </w:p>
    <w:p w14:paraId="3837C839">
      <w:pPr>
        <w:spacing w:line="360" w:lineRule="auto"/>
        <w:rPr>
          <w:rFonts w:ascii="宋体" w:hAnsi="宋体" w:eastAsia="宋体"/>
        </w:rPr>
      </w:pPr>
    </w:p>
    <w:p w14:paraId="4F090F8B"/>
    <w:p w14:paraId="29A6235C">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p>
    <w:p w14:paraId="65A74E6C">
      <w:pPr>
        <w:spacing w:line="360" w:lineRule="auto"/>
        <w:ind w:firstLine="5520" w:firstLineChars="2300"/>
        <w:rPr>
          <w:rFonts w:ascii="宋体" w:hAnsi="宋体" w:eastAsia="宋体"/>
          <w:sz w:val="24"/>
          <w:szCs w:val="24"/>
        </w:rPr>
      </w:pPr>
      <w:r>
        <w:rPr>
          <w:rFonts w:hint="eastAsia" w:ascii="Times New Roman" w:hAnsi="Times New Roman" w:eastAsia="宋体" w:cs="Times New Roman"/>
          <w:sz w:val="24"/>
          <w:szCs w:val="24"/>
        </w:rPr>
        <w:t xml:space="preserve"> </w:t>
      </w:r>
      <w:r>
        <w:rPr>
          <w:rFonts w:hint="eastAsia" w:ascii="宋体" w:hAnsi="宋体" w:eastAsia="宋体"/>
          <w:sz w:val="24"/>
          <w:szCs w:val="24"/>
        </w:rPr>
        <w:t xml:space="preserve">执 笔 人：赵菲菲    </w:t>
      </w:r>
    </w:p>
    <w:p w14:paraId="5E786272">
      <w:pPr>
        <w:spacing w:line="360" w:lineRule="auto"/>
        <w:rPr>
          <w:rFonts w:ascii="宋体" w:hAnsi="宋体" w:eastAsia="宋体"/>
          <w:sz w:val="24"/>
          <w:szCs w:val="24"/>
        </w:rPr>
      </w:pPr>
      <w:r>
        <w:rPr>
          <w:rFonts w:hint="eastAsia" w:ascii="宋体" w:hAnsi="宋体" w:eastAsia="宋体"/>
          <w:sz w:val="24"/>
          <w:szCs w:val="24"/>
        </w:rPr>
        <w:t xml:space="preserve">                                               审 定 人：夏天静</w:t>
      </w:r>
    </w:p>
    <w:p w14:paraId="4B6587C1">
      <w:pPr>
        <w:spacing w:line="360" w:lineRule="auto"/>
        <w:rPr>
          <w:rFonts w:ascii="宋体" w:hAnsi="宋体" w:eastAsia="宋体"/>
          <w:sz w:val="24"/>
          <w:szCs w:val="24"/>
        </w:rPr>
      </w:pPr>
      <w:r>
        <w:rPr>
          <w:rFonts w:hint="eastAsia" w:ascii="宋体" w:hAnsi="宋体" w:eastAsia="宋体"/>
          <w:sz w:val="24"/>
          <w:szCs w:val="24"/>
        </w:rPr>
        <w:t xml:space="preserve">                                               审 批 人：熊焱生</w:t>
      </w:r>
    </w:p>
    <w:p w14:paraId="1115D6E0">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p>
    <w:p w14:paraId="0DE10819">
      <w:pPr>
        <w:spacing w:line="360" w:lineRule="auto"/>
        <w:jc w:val="center"/>
        <w:rPr>
          <w:rFonts w:ascii="宋体" w:hAnsi="宋体" w:eastAsia="宋体" w:cs="Times New Roman"/>
          <w:sz w:val="24"/>
          <w:szCs w:val="24"/>
        </w:rPr>
      </w:pPr>
      <w:r>
        <w:rPr>
          <w:rFonts w:hint="eastAsia" w:ascii="Times New Roman" w:hAnsi="Times New Roman" w:eastAsia="宋体" w:cs="Times New Roman"/>
          <w:sz w:val="24"/>
          <w:szCs w:val="24"/>
        </w:rPr>
        <w:t xml:space="preserve">                  </w:t>
      </w:r>
      <w:r>
        <w:rPr>
          <w:rFonts w:hint="eastAsia" w:ascii="宋体" w:hAnsi="宋体" w:eastAsia="宋体" w:cs="Times New Roman"/>
          <w:sz w:val="24"/>
          <w:szCs w:val="24"/>
        </w:rPr>
        <w:t xml:space="preserve">                      批准时间： 2024</w:t>
      </w:r>
      <w:r>
        <w:rPr>
          <w:rFonts w:hint="eastAsia" w:ascii="宋体" w:hAnsi="宋体" w:eastAsia="宋体" w:cs="Times New Roman"/>
          <w:sz w:val="24"/>
          <w:szCs w:val="24"/>
          <w:lang w:val="en-US" w:eastAsia="zh-CN"/>
        </w:rPr>
        <w:t>年</w:t>
      </w:r>
      <w:r>
        <w:rPr>
          <w:rFonts w:hint="eastAsia" w:ascii="宋体" w:hAnsi="宋体" w:eastAsia="宋体" w:cs="Times New Roman"/>
          <w:sz w:val="24"/>
          <w:szCs w:val="24"/>
        </w:rPr>
        <w:t>8</w:t>
      </w:r>
      <w:r>
        <w:rPr>
          <w:rFonts w:hint="eastAsia" w:ascii="宋体" w:hAnsi="宋体" w:eastAsia="宋体" w:cs="Times New Roman"/>
          <w:sz w:val="24"/>
          <w:szCs w:val="24"/>
          <w:lang w:val="en-US" w:eastAsia="zh-CN"/>
        </w:rPr>
        <w:t>月30</w:t>
      </w:r>
      <w:r>
        <w:rPr>
          <w:rFonts w:ascii="宋体" w:hAnsi="宋体" w:eastAsia="宋体" w:cs="Times New Roman"/>
          <w:sz w:val="24"/>
          <w:szCs w:val="24"/>
        </w:rPr>
        <w:t>日</w:t>
      </w:r>
    </w:p>
    <w:p w14:paraId="0D006DD1">
      <w:pPr>
        <w:rPr>
          <w:rFonts w:ascii="宋体" w:hAnsi="宋体" w:eastAsia="宋体"/>
        </w:rPr>
      </w:pPr>
    </w:p>
    <w:p w14:paraId="6481B062"/>
    <w:p w14:paraId="7AE21D2F">
      <w:pPr>
        <w:autoSpaceDE w:val="0"/>
        <w:autoSpaceDN w:val="0"/>
        <w:adjustRightInd w:val="0"/>
        <w:spacing w:line="360" w:lineRule="auto"/>
        <w:jc w:val="right"/>
        <w:rPr>
          <w:rFonts w:hint="eastAsia"/>
          <w:kern w:val="0"/>
          <w:sz w:val="24"/>
          <w:szCs w:val="21"/>
        </w:rPr>
      </w:pPr>
    </w:p>
    <w:p w14:paraId="1518ADFA">
      <w:r>
        <w:rPr>
          <w:rFonts w:hint="eastAsia"/>
        </w:rPr>
        <w:br w:type="page"/>
      </w:r>
    </w:p>
    <w:p w14:paraId="11518F84">
      <w:pPr>
        <w:pStyle w:val="2"/>
        <w:bidi w:val="0"/>
      </w:pPr>
      <w:bookmarkStart w:id="16" w:name="_Toc30020"/>
      <w:r>
        <w:rPr>
          <w:rFonts w:hint="eastAsia"/>
          <w:lang w:eastAsia="zh-CN"/>
        </w:rPr>
        <w:t>《</w:t>
      </w:r>
      <w:r>
        <w:rPr>
          <w:rFonts w:hint="eastAsia"/>
        </w:rPr>
        <w:t>毛泽东思想和中国特色社会主义理论体系概论</w:t>
      </w:r>
      <w:r>
        <w:rPr>
          <w:rFonts w:hint="eastAsia"/>
          <w:lang w:eastAsia="zh-CN"/>
        </w:rPr>
        <w:t>》</w:t>
      </w:r>
      <w:r>
        <w:rPr>
          <w:rFonts w:hint="eastAsia"/>
        </w:rPr>
        <w:t>课程教学大纲</w:t>
      </w:r>
      <w:bookmarkEnd w:id="16"/>
    </w:p>
    <w:p w14:paraId="65022676">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（Introduction to Mao Zedong Thought and Theoretical System of Socialism with Chinese Characteristics）</w:t>
      </w:r>
    </w:p>
    <w:p w14:paraId="23662923">
      <w:pPr>
        <w:spacing w:line="360" w:lineRule="auto"/>
        <w:ind w:firstLine="551" w:firstLineChars="196"/>
        <w:rPr>
          <w:rFonts w:asciiTheme="minorEastAsia" w:hAnsiTheme="minorEastAsia"/>
          <w:b/>
          <w:sz w:val="28"/>
          <w:szCs w:val="28"/>
        </w:rPr>
      </w:pPr>
    </w:p>
    <w:p w14:paraId="48C99DFD">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课程名称：毛泽东思想和中国特色社会主义理论体系概论</w:t>
      </w:r>
    </w:p>
    <w:p w14:paraId="0EC02265">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课程代码：1004031</w:t>
      </w:r>
    </w:p>
    <w:p w14:paraId="4D9F189C">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    分：3</w:t>
      </w:r>
    </w:p>
    <w:p w14:paraId="3D8F2732">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    时：48（其中：讲授学时42，实践学时6）</w:t>
      </w:r>
    </w:p>
    <w:p w14:paraId="0F12C35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先修课程：思想道德与法治、中国近现代史纲要、马克思主义基本原理</w:t>
      </w:r>
    </w:p>
    <w:p w14:paraId="65D3225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适用专业：小学教育</w:t>
      </w:r>
    </w:p>
    <w:p w14:paraId="73327534">
      <w:pPr>
        <w:spacing w:line="312" w:lineRule="auto"/>
        <w:jc w:val="center"/>
        <w:rPr>
          <w:rFonts w:ascii="Times New Roman" w:hAnsi="Times New Roman" w:eastAsia="黑体" w:cs="Times New Roman"/>
          <w:bCs/>
          <w:sz w:val="30"/>
          <w:szCs w:val="24"/>
        </w:rPr>
      </w:pPr>
    </w:p>
    <w:p w14:paraId="3E26232A">
      <w:pPr>
        <w:pStyle w:val="35"/>
        <w:autoSpaceDE w:val="0"/>
        <w:autoSpaceDN w:val="0"/>
        <w:adjustRightInd w:val="0"/>
        <w:spacing w:line="360" w:lineRule="auto"/>
        <w:ind w:firstLine="0" w:firstLineChars="0"/>
        <w:jc w:val="left"/>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一、课程简介</w:t>
      </w:r>
    </w:p>
    <w:p w14:paraId="656D088A">
      <w:pPr>
        <w:pStyle w:val="35"/>
        <w:autoSpaceDE w:val="0"/>
        <w:autoSpaceDN w:val="0"/>
        <w:adjustRightInd w:val="0"/>
        <w:spacing w:line="360" w:lineRule="auto"/>
        <w:jc w:val="left"/>
        <w:rPr>
          <w:rFonts w:ascii="宋体" w:hAnsi="宋体" w:eastAsia="宋体" w:cs="Times New Roman"/>
          <w:b/>
          <w:bCs/>
          <w:kern w:val="0"/>
          <w:sz w:val="24"/>
          <w:szCs w:val="24"/>
        </w:rPr>
      </w:pPr>
      <w:r>
        <w:rPr>
          <w:rFonts w:hint="eastAsia" w:ascii="Times New Roman" w:hAnsi="Times New Roman" w:eastAsia="宋体" w:cs="Times New Roman"/>
          <w:kern w:val="0"/>
          <w:szCs w:val="21"/>
        </w:rPr>
        <w:t>本课程</w:t>
      </w:r>
      <w:r>
        <w:rPr>
          <w:rFonts w:ascii="Times New Roman" w:hAnsi="Times New Roman" w:eastAsia="宋体" w:cs="Times New Roman"/>
          <w:kern w:val="0"/>
          <w:szCs w:val="21"/>
        </w:rPr>
        <w:t>是</w:t>
      </w:r>
      <w:r>
        <w:rPr>
          <w:rFonts w:hint="eastAsia" w:ascii="Times New Roman" w:hAnsi="Times New Roman" w:eastAsia="宋体" w:cs="Times New Roman"/>
          <w:kern w:val="0"/>
          <w:szCs w:val="21"/>
        </w:rPr>
        <w:t>所有本科专业的通识必修</w:t>
      </w:r>
      <w:r>
        <w:rPr>
          <w:rFonts w:ascii="Times New Roman" w:hAnsi="Times New Roman" w:eastAsia="宋体" w:cs="Times New Roman"/>
          <w:kern w:val="0"/>
          <w:szCs w:val="21"/>
        </w:rPr>
        <w:t>课。</w:t>
      </w:r>
      <w:r>
        <w:rPr>
          <w:rFonts w:hint="eastAsia" w:ascii="Times New Roman" w:hAnsi="Times New Roman" w:eastAsia="宋体" w:cs="Times New Roman"/>
          <w:kern w:val="0"/>
          <w:szCs w:val="21"/>
        </w:rPr>
        <w:t>本课程系统介绍了马克思主义中国化进程中形成的理论成果，在回顾中国共产党领导人民进行的革命、建设、改革的历史进程、历史变革、历史成就的基础上，着重介绍了中国共产党在新时代坚持的基本理论、基本路线、基本方略，培养学生运用马克思主义的立场、观点和方法认识问题、分析问题和解决问题的能力，坚定中国特色社会主义道路自信、理论自信、制度自信和文化自信，努力成为中国特色社会主义事业的建设者和接班人，自觉为实现中华民族伟大复兴的中国梦而努力奋斗，为后续思想政治理论课及思想政治理论课实践环节奠定基础。</w:t>
      </w:r>
    </w:p>
    <w:p w14:paraId="5C9F783F">
      <w:pPr>
        <w:pStyle w:val="35"/>
        <w:autoSpaceDE w:val="0"/>
        <w:autoSpaceDN w:val="0"/>
        <w:adjustRightInd w:val="0"/>
        <w:spacing w:line="360" w:lineRule="auto"/>
        <w:ind w:firstLine="0" w:firstLineChars="0"/>
        <w:jc w:val="left"/>
        <w:rPr>
          <w:rFonts w:ascii="宋体" w:hAnsi="宋体" w:eastAsia="宋体" w:cs="Times New Roman"/>
          <w:b/>
          <w:bCs/>
          <w:kern w:val="0"/>
          <w:sz w:val="24"/>
          <w:szCs w:val="24"/>
        </w:rPr>
      </w:pPr>
      <w:r>
        <w:rPr>
          <w:rFonts w:hint="eastAsia" w:ascii="宋体" w:hAnsi="宋体" w:eastAsia="宋体" w:cs="Times New Roman"/>
          <w:b/>
          <w:bCs/>
          <w:kern w:val="0"/>
          <w:sz w:val="24"/>
          <w:szCs w:val="24"/>
        </w:rPr>
        <w:t>二、课程目标</w:t>
      </w:r>
    </w:p>
    <w:p w14:paraId="4E17ECE8">
      <w:pPr>
        <w:spacing w:line="360" w:lineRule="auto"/>
        <w:ind w:left="489"/>
        <w:rPr>
          <w:rFonts w:ascii="宋体" w:hAnsi="宋体" w:eastAsia="宋体"/>
          <w:b/>
          <w:szCs w:val="21"/>
        </w:rPr>
      </w:pPr>
      <w:r>
        <w:rPr>
          <w:rFonts w:hint="eastAsia" w:ascii="宋体" w:hAnsi="宋体" w:eastAsia="宋体"/>
          <w:b/>
          <w:szCs w:val="21"/>
        </w:rPr>
        <w:t>（一）课程具体目标</w:t>
      </w:r>
    </w:p>
    <w:p w14:paraId="7813E545">
      <w:pPr>
        <w:spacing w:line="360" w:lineRule="auto"/>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目标1：掌握马克思主义中国化时代化的历史进程和理论成果，认同中国特色社会主义，能够在实践中自觉践行社会主义核心价值观，履行社会责任。</w:t>
      </w:r>
    </w:p>
    <w:p w14:paraId="1F413310">
      <w:pPr>
        <w:spacing w:line="360" w:lineRule="auto"/>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目标2：掌握毛泽东思想的形成发展、主要内容和历史地位，具有较好的人文底蕴和科学精神。</w:t>
      </w:r>
    </w:p>
    <w:p w14:paraId="613F2638">
      <w:pPr>
        <w:spacing w:line="360" w:lineRule="auto"/>
        <w:ind w:firstLine="420" w:firstLineChars="200"/>
        <w:rPr>
          <w:rFonts w:ascii="宋体" w:hAnsi="宋体" w:eastAsia="宋体" w:cs="宋体"/>
          <w:color w:val="000000" w:themeColor="text1"/>
          <w:kern w:val="0"/>
          <w:szCs w:val="21"/>
          <w14:textFill>
            <w14:solidFill>
              <w14:schemeClr w14:val="tx1"/>
            </w14:solidFill>
          </w14:textFill>
        </w:rPr>
        <w:sectPr>
          <w:pgSz w:w="11906" w:h="16838"/>
          <w:pgMar w:top="1701" w:right="1701" w:bottom="1440" w:left="1701" w:header="851" w:footer="851" w:gutter="0"/>
          <w:cols w:space="425" w:num="1"/>
          <w:docGrid w:type="lines" w:linePitch="312" w:charSpace="0"/>
        </w:sectPr>
      </w:pPr>
    </w:p>
    <w:p w14:paraId="576719D4">
      <w:pPr>
        <w:spacing w:line="360" w:lineRule="auto"/>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目标3: 掌握邓小平理论的形成发展、主要内容和历史地位，具有相应的人文社会科学知识素养。掌握 “三个代表”重要思想、科学发展观的形成发展、主要内容和历史地位，</w:t>
      </w:r>
      <w:r>
        <w:rPr>
          <w:rFonts w:hint="eastAsia" w:ascii="宋体" w:hAnsi="宋体" w:eastAsia="宋体" w:cs="宋体"/>
          <w:color w:val="000000" w:themeColor="text1"/>
          <w:szCs w:val="21"/>
          <w14:textFill>
            <w14:solidFill>
              <w14:schemeClr w14:val="tx1"/>
            </w14:solidFill>
          </w14:textFill>
        </w:rPr>
        <w:t>初步掌握反思方法和技能，对在日常学习中发现的现象和问题，进行探索和研究，有自己的思考和见解。</w:t>
      </w:r>
    </w:p>
    <w:p w14:paraId="457C432C">
      <w:pPr>
        <w:spacing w:before="156" w:beforeLines="50" w:after="156" w:afterLines="50" w:line="360" w:lineRule="auto"/>
        <w:jc w:val="left"/>
        <w:rPr>
          <w:rFonts w:ascii="宋体" w:hAnsi="宋体" w:eastAsia="宋体"/>
          <w:b/>
          <w:bCs/>
          <w:szCs w:val="21"/>
        </w:rPr>
      </w:pPr>
      <w:r>
        <w:rPr>
          <w:rFonts w:hint="eastAsia" w:ascii="宋体" w:hAnsi="宋体" w:eastAsia="宋体"/>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EF2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DAF36C6">
            <w:pPr>
              <w:spacing w:line="360" w:lineRule="auto"/>
              <w:jc w:val="center"/>
              <w:rPr>
                <w:rFonts w:ascii="宋体" w:hAnsi="宋体" w:eastAsia="宋体" w:cs="宋体"/>
                <w:b/>
                <w:bCs/>
                <w:kern w:val="0"/>
                <w:szCs w:val="21"/>
              </w:rPr>
            </w:pPr>
            <w:r>
              <w:rPr>
                <w:rFonts w:hint="eastAsia" w:ascii="宋体" w:hAnsi="宋体" w:eastAsia="宋体" w:cs="宋体"/>
                <w:b/>
                <w:bCs/>
                <w:kern w:val="0"/>
                <w:szCs w:val="21"/>
              </w:rPr>
              <w:t>毕业要求</w:t>
            </w:r>
          </w:p>
        </w:tc>
        <w:tc>
          <w:tcPr>
            <w:tcW w:w="5688" w:type="dxa"/>
            <w:vAlign w:val="center"/>
          </w:tcPr>
          <w:p w14:paraId="7AFFEBD8">
            <w:pPr>
              <w:spacing w:line="360" w:lineRule="auto"/>
              <w:jc w:val="center"/>
              <w:rPr>
                <w:rFonts w:ascii="宋体" w:hAnsi="宋体" w:eastAsia="宋体" w:cs="宋体"/>
                <w:b/>
                <w:bCs/>
                <w:kern w:val="0"/>
                <w:szCs w:val="21"/>
              </w:rPr>
            </w:pPr>
            <w:r>
              <w:rPr>
                <w:rFonts w:hint="eastAsia" w:ascii="宋体" w:hAnsi="宋体" w:eastAsia="宋体" w:cs="宋体"/>
                <w:b/>
                <w:bCs/>
                <w:kern w:val="0"/>
                <w:szCs w:val="21"/>
              </w:rPr>
              <w:t>毕业要求指标点</w:t>
            </w:r>
          </w:p>
        </w:tc>
        <w:tc>
          <w:tcPr>
            <w:tcW w:w="1191" w:type="dxa"/>
            <w:vAlign w:val="center"/>
          </w:tcPr>
          <w:p w14:paraId="6F1ED805">
            <w:pPr>
              <w:spacing w:line="360" w:lineRule="auto"/>
              <w:jc w:val="center"/>
              <w:rPr>
                <w:rFonts w:ascii="宋体" w:hAnsi="宋体" w:eastAsia="宋体" w:cs="宋体"/>
                <w:b/>
                <w:bCs/>
                <w:kern w:val="0"/>
                <w:szCs w:val="21"/>
              </w:rPr>
            </w:pPr>
            <w:r>
              <w:rPr>
                <w:rFonts w:hint="eastAsia" w:ascii="宋体" w:hAnsi="宋体" w:eastAsia="宋体" w:cs="宋体"/>
                <w:b/>
                <w:bCs/>
                <w:kern w:val="0"/>
                <w:szCs w:val="21"/>
              </w:rPr>
              <w:t>课程目标</w:t>
            </w:r>
          </w:p>
        </w:tc>
      </w:tr>
      <w:tr w14:paraId="586A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D7BABCE">
            <w:pPr>
              <w:spacing w:line="276"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毕业要求1师德规范</w:t>
            </w:r>
          </w:p>
        </w:tc>
        <w:tc>
          <w:tcPr>
            <w:tcW w:w="5688" w:type="dxa"/>
            <w:vAlign w:val="center"/>
          </w:tcPr>
          <w:p w14:paraId="51D05171">
            <w:pPr>
              <w:widowControl/>
              <w:jc w:val="lef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指标点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31C05F30">
            <w:pPr>
              <w:spacing w:line="276" w:lineRule="auto"/>
              <w:jc w:val="left"/>
              <w:rPr>
                <w:rFonts w:ascii="宋体" w:hAnsi="宋体" w:eastAsia="宋体" w:cs="宋体"/>
                <w:kern w:val="0"/>
                <w:szCs w:val="21"/>
              </w:rPr>
            </w:pPr>
            <w:r>
              <w:rPr>
                <w:rFonts w:hint="eastAsia" w:ascii="宋体" w:hAnsi="宋体" w:eastAsia="宋体" w:cs="宋体"/>
                <w:kern w:val="0"/>
                <w:szCs w:val="21"/>
              </w:rPr>
              <w:t>课程目标1</w:t>
            </w:r>
          </w:p>
        </w:tc>
      </w:tr>
      <w:tr w14:paraId="4981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FB9333E">
            <w:pPr>
              <w:spacing w:line="276"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毕业要求2教育情怀</w:t>
            </w:r>
          </w:p>
        </w:tc>
        <w:tc>
          <w:tcPr>
            <w:tcW w:w="5688" w:type="dxa"/>
            <w:vAlign w:val="center"/>
          </w:tcPr>
          <w:p w14:paraId="093B859F">
            <w:pPr>
              <w:widowControl/>
              <w:jc w:val="left"/>
              <w:rPr>
                <w:rFonts w:ascii="宋体" w:hAnsi="宋体" w:eastAsia="宋体" w:cs="Times New Roman"/>
                <w:color w:val="000000" w:themeColor="text1"/>
                <w:kern w:val="0"/>
                <w:szCs w:val="21"/>
                <w14:textFill>
                  <w14:solidFill>
                    <w14:schemeClr w14:val="tx1"/>
                  </w14:solidFill>
                </w14:textFill>
              </w:rPr>
            </w:pPr>
            <w:r>
              <w:rPr>
                <w:rFonts w:ascii="宋体" w:hAnsi="宋体" w:eastAsia="宋体" w:cs="宋体"/>
                <w:color w:val="000000" w:themeColor="text1"/>
                <w:spacing w:val="2"/>
                <w:kern w:val="0"/>
                <w:szCs w:val="21"/>
                <w14:textFill>
                  <w14:solidFill>
                    <w14:schemeClr w14:val="tx1"/>
                  </w14:solidFill>
                </w14:textFill>
              </w:rPr>
              <w:t>指标点2-3：</w:t>
            </w:r>
            <w:r>
              <w:rPr>
                <w:rFonts w:hint="eastAsia" w:ascii="宋体" w:hAnsi="宋体" w:eastAsia="宋体" w:cs="宋体"/>
                <w:color w:val="000000" w:themeColor="text1"/>
                <w:spacing w:val="2"/>
                <w:kern w:val="0"/>
                <w:szCs w:val="21"/>
                <w14:textFill>
                  <w14:solidFill>
                    <w14:schemeClr w14:val="tx1"/>
                  </w14:solidFill>
                </w14:textFill>
              </w:rPr>
              <w:t>【自身修养良好】</w:t>
            </w:r>
            <w:r>
              <w:rPr>
                <w:rFonts w:hint="eastAsia" w:ascii="宋体" w:hAnsi="宋体" w:eastAsia="宋体" w:cs="Times New Roman"/>
                <w:color w:val="000000" w:themeColor="text1"/>
                <w:szCs w:val="21"/>
                <w14:textFill>
                  <w14:solidFill>
                    <w14:schemeClr w14:val="tx1"/>
                  </w14:solidFill>
                </w14:textFill>
              </w:rPr>
              <w:t>具有较好的人文艺术底蕴与科学精神，言行举止符合教师职业标准，情感积极，人格健全，身心健康。</w:t>
            </w:r>
          </w:p>
        </w:tc>
        <w:tc>
          <w:tcPr>
            <w:tcW w:w="1191" w:type="dxa"/>
            <w:vAlign w:val="center"/>
          </w:tcPr>
          <w:p w14:paraId="1DD975A9">
            <w:pPr>
              <w:spacing w:line="276" w:lineRule="auto"/>
              <w:jc w:val="left"/>
              <w:rPr>
                <w:rFonts w:ascii="宋体" w:hAnsi="宋体" w:eastAsia="宋体" w:cs="宋体"/>
                <w:kern w:val="0"/>
                <w:szCs w:val="21"/>
              </w:rPr>
            </w:pPr>
            <w:r>
              <w:rPr>
                <w:rFonts w:hint="eastAsia" w:ascii="宋体" w:hAnsi="宋体" w:eastAsia="宋体" w:cs="宋体"/>
                <w:kern w:val="0"/>
                <w:szCs w:val="21"/>
              </w:rPr>
              <w:t>课程目标2</w:t>
            </w:r>
          </w:p>
        </w:tc>
      </w:tr>
      <w:tr w14:paraId="003F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2098" w:type="dxa"/>
            <w:vAlign w:val="center"/>
          </w:tcPr>
          <w:p w14:paraId="13CB1132">
            <w:pPr>
              <w:spacing w:line="276"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毕业要求7学会反思</w:t>
            </w:r>
          </w:p>
        </w:tc>
        <w:tc>
          <w:tcPr>
            <w:tcW w:w="5688" w:type="dxa"/>
            <w:vAlign w:val="center"/>
          </w:tcPr>
          <w:p w14:paraId="632ABFA4">
            <w:pPr>
              <w:widowControl/>
              <w:jc w:val="left"/>
              <w:rPr>
                <w:rFonts w:ascii="宋体" w:hAnsi="宋体" w:eastAsia="宋体" w:cs="Times New Roman"/>
                <w:color w:val="000000" w:themeColor="text1"/>
                <w:kern w:val="0"/>
                <w:szCs w:val="21"/>
                <w14:textFill>
                  <w14:solidFill>
                    <w14:schemeClr w14:val="tx1"/>
                  </w14:solidFill>
                </w14:textFill>
              </w:rPr>
            </w:pPr>
            <w:r>
              <w:rPr>
                <w:rFonts w:ascii="宋体" w:hAnsi="宋体" w:eastAsia="宋体" w:cs="宋体"/>
                <w:color w:val="000000" w:themeColor="text1"/>
                <w:spacing w:val="2"/>
                <w:kern w:val="0"/>
                <w:szCs w:val="21"/>
                <w14:textFill>
                  <w14:solidFill>
                    <w14:schemeClr w14:val="tx1"/>
                  </w14:solidFill>
                </w14:textFill>
              </w:rPr>
              <w:t>指标点7-</w:t>
            </w:r>
            <w:r>
              <w:rPr>
                <w:rFonts w:hint="eastAsia" w:ascii="宋体" w:hAnsi="宋体" w:eastAsia="宋体" w:cs="宋体"/>
                <w:color w:val="000000" w:themeColor="text1"/>
                <w:spacing w:val="2"/>
                <w:kern w:val="0"/>
                <w:szCs w:val="21"/>
                <w14:textFill>
                  <w14:solidFill>
                    <w14:schemeClr w14:val="tx1"/>
                  </w14:solidFill>
                </w14:textFill>
              </w:rPr>
              <w:t>1</w:t>
            </w:r>
            <w:r>
              <w:rPr>
                <w:rFonts w:ascii="宋体" w:hAnsi="宋体" w:eastAsia="宋体" w:cs="宋体"/>
                <w:color w:val="000000" w:themeColor="text1"/>
                <w:spacing w:val="2"/>
                <w:kern w:val="0"/>
                <w:szCs w:val="21"/>
                <w14:textFill>
                  <w14:solidFill>
                    <w14:schemeClr w14:val="tx1"/>
                  </w14:solidFill>
                </w14:textFill>
              </w:rPr>
              <w:t>：</w:t>
            </w:r>
            <w:r>
              <w:rPr>
                <w:rFonts w:hint="eastAsia" w:ascii="宋体" w:hAnsi="宋体" w:eastAsia="宋体" w:cs="Times New Roman"/>
                <w:color w:val="000000" w:themeColor="text1"/>
                <w:szCs w:val="21"/>
                <w14:textFill>
                  <w14:solidFill>
                    <w14:schemeClr w14:val="tx1"/>
                  </w14:solidFill>
                </w14:textFill>
              </w:rPr>
              <w:t xml:space="preserve">【教育视野开阔】积极关注基础教育领域的国内外交流进展，了解国内外基础教育改革发展的动态，具有宽广的教育视野，能够主动适应新时代和教育发展需求。 </w:t>
            </w:r>
          </w:p>
        </w:tc>
        <w:tc>
          <w:tcPr>
            <w:tcW w:w="1191" w:type="dxa"/>
            <w:vAlign w:val="center"/>
          </w:tcPr>
          <w:p w14:paraId="2C0E1FFA">
            <w:pPr>
              <w:spacing w:line="276" w:lineRule="auto"/>
              <w:jc w:val="left"/>
              <w:rPr>
                <w:rFonts w:ascii="宋体" w:hAnsi="宋体" w:eastAsia="宋体" w:cs="宋体"/>
                <w:kern w:val="0"/>
                <w:szCs w:val="21"/>
              </w:rPr>
            </w:pPr>
            <w:r>
              <w:rPr>
                <w:rFonts w:hint="eastAsia" w:ascii="宋体" w:hAnsi="宋体" w:eastAsia="宋体" w:cs="宋体"/>
                <w:kern w:val="0"/>
                <w:szCs w:val="21"/>
              </w:rPr>
              <w:t>课程目标3</w:t>
            </w:r>
          </w:p>
        </w:tc>
      </w:tr>
    </w:tbl>
    <w:p w14:paraId="62DFE16C">
      <w:pPr>
        <w:spacing w:before="156" w:beforeLines="50" w:after="156" w:afterLines="50" w:line="360" w:lineRule="auto"/>
        <w:rPr>
          <w:rFonts w:ascii="宋体" w:hAnsi="宋体" w:eastAsia="宋体" w:cs="宋体"/>
          <w:b/>
          <w:sz w:val="24"/>
          <w:szCs w:val="24"/>
        </w:rPr>
      </w:pPr>
    </w:p>
    <w:p w14:paraId="1E466426">
      <w:pPr>
        <w:spacing w:before="156" w:beforeLines="50" w:after="156" w:afterLines="50" w:line="360" w:lineRule="auto"/>
        <w:rPr>
          <w:rFonts w:ascii="宋体" w:hAnsi="宋体" w:eastAsia="宋体" w:cs="宋体"/>
          <w:b/>
          <w:sz w:val="24"/>
          <w:szCs w:val="24"/>
        </w:rPr>
      </w:pPr>
      <w:r>
        <w:rPr>
          <w:rFonts w:hint="eastAsia" w:ascii="宋体" w:hAnsi="宋体" w:eastAsia="宋体" w:cs="宋体"/>
          <w:b/>
          <w:sz w:val="24"/>
          <w:szCs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2042"/>
        <w:gridCol w:w="927"/>
        <w:gridCol w:w="3260"/>
        <w:gridCol w:w="1560"/>
        <w:gridCol w:w="438"/>
      </w:tblGrid>
      <w:tr w14:paraId="13AF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71" w:type="dxa"/>
            <w:vAlign w:val="center"/>
          </w:tcPr>
          <w:p w14:paraId="4589C5F1">
            <w:pPr>
              <w:jc w:val="center"/>
              <w:rPr>
                <w:rFonts w:ascii="宋体" w:hAnsi="宋体" w:eastAsia="宋体" w:cs="宋体"/>
                <w:b/>
                <w:color w:val="000000"/>
                <w:kern w:val="0"/>
                <w:szCs w:val="21"/>
              </w:rPr>
            </w:pPr>
            <w:r>
              <w:rPr>
                <w:rFonts w:hint="eastAsia" w:ascii="宋体" w:hAnsi="宋体" w:eastAsia="宋体" w:cs="宋体"/>
                <w:b/>
                <w:color w:val="000000"/>
                <w:kern w:val="0"/>
                <w:szCs w:val="21"/>
              </w:rPr>
              <w:t>知识</w:t>
            </w:r>
          </w:p>
          <w:p w14:paraId="33A5EAD6">
            <w:pPr>
              <w:jc w:val="center"/>
              <w:rPr>
                <w:rFonts w:ascii="宋体" w:hAnsi="宋体" w:eastAsia="宋体" w:cs="宋体"/>
                <w:b/>
                <w:color w:val="000000"/>
                <w:kern w:val="0"/>
                <w:szCs w:val="21"/>
              </w:rPr>
            </w:pPr>
            <w:r>
              <w:rPr>
                <w:rFonts w:hint="eastAsia" w:ascii="宋体" w:hAnsi="宋体" w:eastAsia="宋体" w:cs="宋体"/>
                <w:b/>
                <w:color w:val="000000"/>
                <w:kern w:val="0"/>
                <w:szCs w:val="21"/>
              </w:rPr>
              <w:t>单元</w:t>
            </w:r>
          </w:p>
        </w:tc>
        <w:tc>
          <w:tcPr>
            <w:tcW w:w="2042" w:type="dxa"/>
            <w:vAlign w:val="center"/>
          </w:tcPr>
          <w:p w14:paraId="17DEB49A">
            <w:pPr>
              <w:jc w:val="center"/>
              <w:rPr>
                <w:rFonts w:ascii="宋体" w:hAnsi="宋体" w:eastAsia="宋体" w:cs="宋体"/>
                <w:b/>
                <w:kern w:val="0"/>
                <w:szCs w:val="21"/>
              </w:rPr>
            </w:pPr>
            <w:r>
              <w:rPr>
                <w:rFonts w:hint="eastAsia" w:ascii="宋体" w:hAnsi="宋体" w:eastAsia="宋体" w:cs="宋体"/>
                <w:b/>
                <w:kern w:val="0"/>
                <w:szCs w:val="21"/>
              </w:rPr>
              <w:t>知识点</w:t>
            </w:r>
          </w:p>
        </w:tc>
        <w:tc>
          <w:tcPr>
            <w:tcW w:w="927" w:type="dxa"/>
            <w:vAlign w:val="center"/>
          </w:tcPr>
          <w:p w14:paraId="087908A5">
            <w:pPr>
              <w:jc w:val="center"/>
              <w:rPr>
                <w:rFonts w:ascii="宋体" w:hAnsi="宋体" w:eastAsia="宋体" w:cs="宋体"/>
                <w:b/>
                <w:color w:val="000000"/>
                <w:kern w:val="0"/>
                <w:szCs w:val="21"/>
              </w:rPr>
            </w:pPr>
            <w:r>
              <w:rPr>
                <w:rFonts w:hint="eastAsia" w:ascii="宋体" w:hAnsi="宋体" w:eastAsia="宋体" w:cs="宋体"/>
                <w:b/>
                <w:color w:val="000000"/>
                <w:kern w:val="0"/>
                <w:szCs w:val="21"/>
              </w:rPr>
              <w:t>对应</w:t>
            </w:r>
          </w:p>
          <w:p w14:paraId="70E110E1">
            <w:pPr>
              <w:jc w:val="center"/>
              <w:rPr>
                <w:rFonts w:ascii="宋体" w:hAnsi="宋体" w:eastAsia="宋体" w:cs="宋体"/>
                <w:b/>
                <w:color w:val="000000"/>
                <w:kern w:val="0"/>
                <w:szCs w:val="21"/>
              </w:rPr>
            </w:pPr>
            <w:r>
              <w:rPr>
                <w:rFonts w:hint="eastAsia" w:ascii="宋体" w:hAnsi="宋体" w:eastAsia="宋体" w:cs="宋体"/>
                <w:b/>
                <w:color w:val="000000"/>
                <w:kern w:val="0"/>
                <w:szCs w:val="21"/>
              </w:rPr>
              <w:t>课程目标</w:t>
            </w:r>
          </w:p>
        </w:tc>
        <w:tc>
          <w:tcPr>
            <w:tcW w:w="3260" w:type="dxa"/>
            <w:vAlign w:val="center"/>
          </w:tcPr>
          <w:p w14:paraId="2A099B0C">
            <w:pPr>
              <w:jc w:val="center"/>
              <w:rPr>
                <w:rFonts w:ascii="宋体" w:hAnsi="宋体" w:eastAsia="宋体" w:cs="宋体"/>
                <w:b/>
                <w:kern w:val="0"/>
                <w:szCs w:val="21"/>
              </w:rPr>
            </w:pPr>
            <w:r>
              <w:rPr>
                <w:rFonts w:hint="eastAsia" w:ascii="宋体" w:hAnsi="宋体" w:eastAsia="宋体" w:cs="宋体"/>
                <w:b/>
                <w:kern w:val="0"/>
                <w:szCs w:val="21"/>
              </w:rPr>
              <w:t>预期学习成效</w:t>
            </w:r>
          </w:p>
        </w:tc>
        <w:tc>
          <w:tcPr>
            <w:tcW w:w="1560" w:type="dxa"/>
            <w:vAlign w:val="center"/>
          </w:tcPr>
          <w:p w14:paraId="4FDE7AEC">
            <w:pPr>
              <w:jc w:val="center"/>
              <w:rPr>
                <w:rFonts w:ascii="宋体" w:hAnsi="宋体" w:eastAsia="宋体" w:cs="宋体"/>
                <w:b/>
                <w:kern w:val="0"/>
                <w:szCs w:val="21"/>
              </w:rPr>
            </w:pPr>
            <w:r>
              <w:rPr>
                <w:rFonts w:hint="eastAsia" w:ascii="宋体" w:hAnsi="宋体" w:eastAsia="宋体" w:cs="宋体"/>
                <w:b/>
                <w:kern w:val="0"/>
                <w:szCs w:val="21"/>
              </w:rPr>
              <w:t>实现环节（全部照抄</w:t>
            </w:r>
          </w:p>
        </w:tc>
        <w:tc>
          <w:tcPr>
            <w:tcW w:w="438" w:type="dxa"/>
            <w:vAlign w:val="center"/>
          </w:tcPr>
          <w:p w14:paraId="38FF871F">
            <w:pPr>
              <w:jc w:val="center"/>
              <w:rPr>
                <w:rFonts w:ascii="宋体" w:hAnsi="宋体" w:eastAsia="宋体" w:cs="宋体"/>
                <w:b/>
                <w:color w:val="000000"/>
                <w:kern w:val="0"/>
                <w:szCs w:val="21"/>
              </w:rPr>
            </w:pPr>
            <w:r>
              <w:rPr>
                <w:rFonts w:hint="eastAsia" w:ascii="宋体" w:hAnsi="宋体" w:eastAsia="宋体" w:cs="宋体"/>
                <w:b/>
                <w:color w:val="000000"/>
                <w:kern w:val="0"/>
                <w:szCs w:val="21"/>
              </w:rPr>
              <w:t>学时</w:t>
            </w:r>
          </w:p>
        </w:tc>
      </w:tr>
      <w:tr w14:paraId="1BDA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jc w:val="center"/>
        </w:trPr>
        <w:tc>
          <w:tcPr>
            <w:tcW w:w="1071" w:type="dxa"/>
            <w:vAlign w:val="center"/>
          </w:tcPr>
          <w:p w14:paraId="3F6C3ED9">
            <w:pPr>
              <w:spacing w:line="264" w:lineRule="auto"/>
              <w:rPr>
                <w:rFonts w:ascii="宋体" w:hAnsi="宋体" w:eastAsia="宋体" w:cs="宋体"/>
                <w:color w:val="000000"/>
                <w:kern w:val="0"/>
                <w:szCs w:val="21"/>
              </w:rPr>
            </w:pPr>
            <w:r>
              <w:rPr>
                <w:rFonts w:hint="eastAsia" w:ascii="宋体" w:hAnsi="宋体" w:eastAsia="宋体" w:cs="宋体"/>
                <w:color w:val="000000"/>
                <w:kern w:val="0"/>
                <w:szCs w:val="21"/>
              </w:rPr>
              <w:t>1.导论</w:t>
            </w:r>
          </w:p>
        </w:tc>
        <w:tc>
          <w:tcPr>
            <w:tcW w:w="2042" w:type="dxa"/>
            <w:vAlign w:val="center"/>
          </w:tcPr>
          <w:p w14:paraId="31B38213">
            <w:pPr>
              <w:adjustRightInd w:val="0"/>
              <w:snapToGrid w:val="0"/>
              <w:spacing w:line="264" w:lineRule="auto"/>
              <w:jc w:val="left"/>
              <w:rPr>
                <w:rFonts w:ascii="宋体" w:hAnsi="宋体" w:eastAsia="宋体" w:cs="宋体"/>
                <w:kern w:val="0"/>
                <w:szCs w:val="21"/>
              </w:rPr>
            </w:pPr>
            <w:r>
              <w:rPr>
                <w:rFonts w:hint="eastAsia" w:ascii="宋体" w:hAnsi="宋体" w:eastAsia="宋体" w:cs="宋体"/>
                <w:kern w:val="0"/>
                <w:szCs w:val="21"/>
              </w:rPr>
              <w:t>（1）马克思主义中国化的科学内涵</w:t>
            </w:r>
          </w:p>
          <w:p w14:paraId="449B753B">
            <w:pPr>
              <w:adjustRightInd w:val="0"/>
              <w:snapToGrid w:val="0"/>
              <w:spacing w:line="264" w:lineRule="auto"/>
              <w:jc w:val="left"/>
              <w:rPr>
                <w:rFonts w:ascii="宋体" w:hAnsi="宋体" w:eastAsia="宋体" w:cs="宋体"/>
                <w:kern w:val="0"/>
                <w:szCs w:val="21"/>
              </w:rPr>
            </w:pPr>
            <w:r>
              <w:rPr>
                <w:rFonts w:hint="eastAsia" w:ascii="宋体" w:hAnsi="宋体" w:eastAsia="宋体" w:cs="宋体"/>
                <w:kern w:val="0"/>
                <w:szCs w:val="21"/>
              </w:rPr>
              <w:t>（2）马克思主义中国化的两大历史性飞跃</w:t>
            </w:r>
          </w:p>
          <w:p w14:paraId="61083E11">
            <w:pPr>
              <w:adjustRightInd w:val="0"/>
              <w:snapToGrid w:val="0"/>
              <w:spacing w:line="264" w:lineRule="auto"/>
              <w:jc w:val="left"/>
              <w:rPr>
                <w:rFonts w:ascii="宋体" w:hAnsi="宋体" w:eastAsia="宋体" w:cs="宋体"/>
                <w:kern w:val="0"/>
                <w:szCs w:val="21"/>
              </w:rPr>
            </w:pPr>
            <w:r>
              <w:rPr>
                <w:rFonts w:hint="eastAsia" w:ascii="宋体" w:hAnsi="宋体" w:eastAsia="宋体" w:cs="宋体"/>
                <w:kern w:val="0"/>
                <w:szCs w:val="21"/>
              </w:rPr>
              <w:t>（3）毛泽东思想和中国特色社会主义理论体系的关系</w:t>
            </w:r>
          </w:p>
        </w:tc>
        <w:tc>
          <w:tcPr>
            <w:tcW w:w="927" w:type="dxa"/>
            <w:vAlign w:val="center"/>
          </w:tcPr>
          <w:p w14:paraId="5937A6EC">
            <w:pPr>
              <w:adjustRightInd w:val="0"/>
              <w:snapToGrid w:val="0"/>
              <w:spacing w:line="264"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课程目标1、2、3</w:t>
            </w:r>
          </w:p>
        </w:tc>
        <w:tc>
          <w:tcPr>
            <w:tcW w:w="3260" w:type="dxa"/>
            <w:vAlign w:val="center"/>
          </w:tcPr>
          <w:p w14:paraId="7008B958">
            <w:pPr>
              <w:adjustRightInd w:val="0"/>
              <w:snapToGrid w:val="0"/>
              <w:spacing w:line="264" w:lineRule="auto"/>
              <w:jc w:val="left"/>
              <w:rPr>
                <w:rFonts w:ascii="宋体" w:hAnsi="宋体" w:eastAsia="宋体" w:cs="宋体"/>
                <w:kern w:val="0"/>
                <w:szCs w:val="21"/>
              </w:rPr>
            </w:pPr>
            <w:r>
              <w:rPr>
                <w:rFonts w:hint="eastAsia" w:ascii="宋体" w:hAnsi="宋体" w:eastAsia="宋体" w:cs="宋体"/>
                <w:kern w:val="0"/>
                <w:szCs w:val="21"/>
              </w:rPr>
              <w:t>1.通过教学，使学生了解和掌握马克思主义中国化的科学内涵、实质及两大历史性飞跃；</w:t>
            </w:r>
          </w:p>
          <w:p w14:paraId="527283FD">
            <w:pPr>
              <w:adjustRightInd w:val="0"/>
              <w:snapToGrid w:val="0"/>
              <w:spacing w:line="264" w:lineRule="auto"/>
              <w:jc w:val="left"/>
              <w:rPr>
                <w:rFonts w:ascii="宋体" w:hAnsi="宋体" w:eastAsia="宋体" w:cs="宋体"/>
                <w:kern w:val="0"/>
                <w:szCs w:val="21"/>
              </w:rPr>
            </w:pPr>
            <w:r>
              <w:rPr>
                <w:rFonts w:hint="eastAsia" w:ascii="宋体" w:hAnsi="宋体" w:eastAsia="宋体" w:cs="宋体"/>
                <w:kern w:val="0"/>
                <w:szCs w:val="21"/>
              </w:rPr>
              <w:t>2.了解开设本课程的目的与要求、教材主要内容及逻辑结构、学习要求；</w:t>
            </w:r>
          </w:p>
          <w:p w14:paraId="7B6A9840">
            <w:pPr>
              <w:adjustRightInd w:val="0"/>
              <w:snapToGrid w:val="0"/>
              <w:spacing w:line="264" w:lineRule="auto"/>
              <w:jc w:val="left"/>
              <w:rPr>
                <w:rFonts w:ascii="宋体" w:hAnsi="宋体" w:eastAsia="宋体" w:cs="宋体"/>
                <w:kern w:val="0"/>
                <w:szCs w:val="21"/>
              </w:rPr>
            </w:pPr>
            <w:r>
              <w:rPr>
                <w:rFonts w:hint="eastAsia" w:ascii="宋体" w:hAnsi="宋体" w:eastAsia="宋体" w:cs="宋体"/>
                <w:kern w:val="0"/>
                <w:szCs w:val="21"/>
              </w:rPr>
              <w:t>3.理解毛泽东思想和中国特色社会主义理论体系的关系；深刻认识学习本课程的重要性。</w:t>
            </w:r>
          </w:p>
        </w:tc>
        <w:tc>
          <w:tcPr>
            <w:tcW w:w="1560" w:type="dxa"/>
            <w:vAlign w:val="center"/>
          </w:tcPr>
          <w:p w14:paraId="196507AE">
            <w:pPr>
              <w:spacing w:line="269" w:lineRule="auto"/>
              <w:jc w:val="left"/>
              <w:rPr>
                <w:rFonts w:ascii="宋体" w:hAnsi="宋体" w:eastAsia="宋体" w:cs="宋体"/>
                <w:kern w:val="0"/>
                <w:szCs w:val="21"/>
              </w:rPr>
            </w:pPr>
            <w:r>
              <w:rPr>
                <w:rFonts w:hint="eastAsia" w:ascii="宋体" w:hAnsi="宋体" w:eastAsia="宋体" w:cs="宋体"/>
                <w:kern w:val="0"/>
                <w:szCs w:val="21"/>
              </w:rPr>
              <w:t>1.线上学习</w:t>
            </w:r>
          </w:p>
          <w:p w14:paraId="2AD9C243">
            <w:pPr>
              <w:spacing w:line="269" w:lineRule="auto"/>
              <w:jc w:val="left"/>
              <w:rPr>
                <w:rFonts w:ascii="宋体" w:hAnsi="宋体" w:eastAsia="宋体" w:cs="宋体"/>
                <w:kern w:val="0"/>
                <w:szCs w:val="21"/>
              </w:rPr>
            </w:pPr>
            <w:r>
              <w:rPr>
                <w:rFonts w:hint="eastAsia" w:ascii="宋体" w:hAnsi="宋体" w:eastAsia="宋体" w:cs="宋体"/>
                <w:kern w:val="0"/>
                <w:szCs w:val="21"/>
              </w:rPr>
              <w:t>2.多媒体教学</w:t>
            </w:r>
          </w:p>
          <w:p w14:paraId="550DF9DA">
            <w:pPr>
              <w:spacing w:line="269" w:lineRule="auto"/>
              <w:jc w:val="left"/>
              <w:rPr>
                <w:rFonts w:ascii="宋体" w:hAnsi="宋体" w:eastAsia="宋体" w:cs="宋体"/>
                <w:kern w:val="0"/>
                <w:szCs w:val="21"/>
              </w:rPr>
            </w:pPr>
            <w:r>
              <w:rPr>
                <w:rFonts w:hint="eastAsia" w:ascii="宋体" w:hAnsi="宋体" w:eastAsia="宋体" w:cs="宋体"/>
                <w:kern w:val="0"/>
                <w:szCs w:val="21"/>
              </w:rPr>
              <w:t>3.课堂讨论</w:t>
            </w:r>
          </w:p>
          <w:p w14:paraId="653E0E9B">
            <w:pPr>
              <w:spacing w:line="269" w:lineRule="auto"/>
              <w:jc w:val="left"/>
              <w:rPr>
                <w:rFonts w:ascii="宋体" w:hAnsi="宋体" w:eastAsia="宋体" w:cs="宋体"/>
                <w:kern w:val="0"/>
                <w:szCs w:val="21"/>
              </w:rPr>
            </w:pPr>
            <w:r>
              <w:rPr>
                <w:rFonts w:hint="eastAsia" w:ascii="宋体" w:hAnsi="宋体" w:eastAsia="宋体" w:cs="宋体"/>
                <w:kern w:val="0"/>
                <w:szCs w:val="21"/>
              </w:rPr>
              <w:t>4.单元测验</w:t>
            </w:r>
          </w:p>
        </w:tc>
        <w:tc>
          <w:tcPr>
            <w:tcW w:w="438" w:type="dxa"/>
            <w:vAlign w:val="center"/>
          </w:tcPr>
          <w:p w14:paraId="3FE34B70">
            <w:pPr>
              <w:spacing w:line="269"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r>
      <w:tr w14:paraId="4238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0CB73065">
            <w:pPr>
              <w:spacing w:line="264" w:lineRule="auto"/>
              <w:rPr>
                <w:rFonts w:ascii="宋体" w:hAnsi="宋体" w:eastAsia="宋体" w:cs="宋体"/>
                <w:color w:val="000000"/>
                <w:kern w:val="0"/>
                <w:szCs w:val="21"/>
              </w:rPr>
            </w:pPr>
            <w:r>
              <w:rPr>
                <w:rFonts w:hint="eastAsia" w:ascii="宋体" w:hAnsi="宋体" w:eastAsia="宋体" w:cs="宋体"/>
                <w:color w:val="000000"/>
                <w:kern w:val="0"/>
                <w:szCs w:val="21"/>
              </w:rPr>
              <w:t>2.毛泽东思想及其历史地位</w:t>
            </w:r>
          </w:p>
        </w:tc>
        <w:tc>
          <w:tcPr>
            <w:tcW w:w="2042" w:type="dxa"/>
            <w:vAlign w:val="center"/>
          </w:tcPr>
          <w:p w14:paraId="0FE24D5B">
            <w:p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（1）毛泽东思想的形成</w:t>
            </w:r>
          </w:p>
          <w:p w14:paraId="08B19F2A">
            <w:p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（2）毛泽东思想的主要内容和活的灵魂</w:t>
            </w:r>
          </w:p>
          <w:p w14:paraId="09ED822C">
            <w:p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（3）毛泽东思想的历史地位</w:t>
            </w:r>
          </w:p>
        </w:tc>
        <w:tc>
          <w:tcPr>
            <w:tcW w:w="927" w:type="dxa"/>
            <w:vAlign w:val="center"/>
          </w:tcPr>
          <w:p w14:paraId="72BBBA07">
            <w:pPr>
              <w:adjustRightInd w:val="0"/>
              <w:snapToGrid w:val="0"/>
              <w:spacing w:line="264"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课程目标1、2</w:t>
            </w:r>
          </w:p>
        </w:tc>
        <w:tc>
          <w:tcPr>
            <w:tcW w:w="3260" w:type="dxa"/>
            <w:vAlign w:val="center"/>
          </w:tcPr>
          <w:p w14:paraId="4AA0E71A">
            <w:p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1.通过教学，帮助学生了解毛泽东思想形成的社会历史条件和过程、主要内容；</w:t>
            </w:r>
          </w:p>
          <w:p w14:paraId="22819D68">
            <w:p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2.理解毛泽东思想活的灵魂；深刻认识毛泽东思想的历史地位和指导意义。</w:t>
            </w:r>
          </w:p>
        </w:tc>
        <w:tc>
          <w:tcPr>
            <w:tcW w:w="1560" w:type="dxa"/>
            <w:vAlign w:val="center"/>
          </w:tcPr>
          <w:p w14:paraId="2B54B443">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1.线上学习</w:t>
            </w:r>
          </w:p>
          <w:p w14:paraId="1E605AE1">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2.多媒体教学</w:t>
            </w:r>
          </w:p>
          <w:p w14:paraId="459C6842">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3.课堂讨论</w:t>
            </w:r>
          </w:p>
          <w:p w14:paraId="408B932B">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4.单元测验</w:t>
            </w:r>
          </w:p>
        </w:tc>
        <w:tc>
          <w:tcPr>
            <w:tcW w:w="438" w:type="dxa"/>
            <w:vAlign w:val="center"/>
          </w:tcPr>
          <w:p w14:paraId="5FECAEA1">
            <w:pPr>
              <w:spacing w:line="269"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6</w:t>
            </w:r>
          </w:p>
        </w:tc>
      </w:tr>
      <w:tr w14:paraId="1934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00CCE533">
            <w:pPr>
              <w:spacing w:line="264"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3.新民主主义革命理论</w:t>
            </w:r>
          </w:p>
        </w:tc>
        <w:tc>
          <w:tcPr>
            <w:tcW w:w="2042" w:type="dxa"/>
            <w:shd w:val="clear" w:color="auto" w:fill="auto"/>
            <w:vAlign w:val="center"/>
          </w:tcPr>
          <w:p w14:paraId="0190810D">
            <w:p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（1）新民主主义革命理论形成</w:t>
            </w:r>
          </w:p>
          <w:p w14:paraId="20359582">
            <w:p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（2）新民主主义革命的总路线和基本纲领</w:t>
            </w:r>
          </w:p>
          <w:p w14:paraId="2894B77B">
            <w:p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（3）新民主主义革命的道路和基本经验</w:t>
            </w:r>
          </w:p>
        </w:tc>
        <w:tc>
          <w:tcPr>
            <w:tcW w:w="927" w:type="dxa"/>
            <w:shd w:val="clear" w:color="auto" w:fill="auto"/>
            <w:vAlign w:val="center"/>
          </w:tcPr>
          <w:p w14:paraId="22FF1BEE">
            <w:pPr>
              <w:adjustRightInd w:val="0"/>
              <w:snapToGrid w:val="0"/>
              <w:spacing w:line="264"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课程目标1、2</w:t>
            </w:r>
          </w:p>
        </w:tc>
        <w:tc>
          <w:tcPr>
            <w:tcW w:w="3260" w:type="dxa"/>
            <w:shd w:val="clear" w:color="auto" w:fill="auto"/>
            <w:vAlign w:val="center"/>
          </w:tcPr>
          <w:p w14:paraId="7F47F14F">
            <w:p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1.通过教学帮助学生了解和掌握新民主主义革命理论的形成；</w:t>
            </w:r>
          </w:p>
          <w:p w14:paraId="5AE94E5F">
            <w:p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2.理解新民主主义革命的总路线和基本纲领、新民主主义的革命道路和基本经验；</w:t>
            </w:r>
          </w:p>
          <w:p w14:paraId="2F1D8DAE">
            <w:p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3.深刻认识新民主主义革命理论的意义。</w:t>
            </w:r>
          </w:p>
        </w:tc>
        <w:tc>
          <w:tcPr>
            <w:tcW w:w="1560" w:type="dxa"/>
            <w:shd w:val="clear" w:color="auto" w:fill="auto"/>
            <w:vAlign w:val="center"/>
          </w:tcPr>
          <w:p w14:paraId="1E4AA6E8">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1.线上学习</w:t>
            </w:r>
          </w:p>
          <w:p w14:paraId="4E5C0B61">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2.多媒体教学</w:t>
            </w:r>
          </w:p>
          <w:p w14:paraId="3061F26A">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3.课堂讨论</w:t>
            </w:r>
          </w:p>
          <w:p w14:paraId="065A87A5">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4.单元测验</w:t>
            </w:r>
          </w:p>
        </w:tc>
        <w:tc>
          <w:tcPr>
            <w:tcW w:w="438" w:type="dxa"/>
            <w:vAlign w:val="center"/>
          </w:tcPr>
          <w:p w14:paraId="561E064A">
            <w:pPr>
              <w:spacing w:line="269"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r>
      <w:tr w14:paraId="57E3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7282E624">
            <w:pPr>
              <w:spacing w:line="264"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4.</w:t>
            </w:r>
            <w:r>
              <w:rPr>
                <w:rFonts w:hint="eastAsia" w:ascii="宋体" w:hAnsi="宋体" w:eastAsia="宋体" w:cs="宋体"/>
                <w:szCs w:val="21"/>
              </w:rPr>
              <w:t>社会主义改造理论</w:t>
            </w:r>
          </w:p>
        </w:tc>
        <w:tc>
          <w:tcPr>
            <w:tcW w:w="2042" w:type="dxa"/>
            <w:shd w:val="clear" w:color="auto" w:fill="auto"/>
            <w:vAlign w:val="center"/>
          </w:tcPr>
          <w:p w14:paraId="1A9DFD6F">
            <w:pPr>
              <w:adjustRightInd w:val="0"/>
              <w:snapToGrid w:val="0"/>
              <w:spacing w:line="264" w:lineRule="auto"/>
              <w:rPr>
                <w:rFonts w:ascii="宋体" w:hAnsi="宋体" w:eastAsia="宋体" w:cs="宋体"/>
                <w:szCs w:val="21"/>
              </w:rPr>
            </w:pPr>
            <w:r>
              <w:rPr>
                <w:rFonts w:hint="eastAsia" w:ascii="宋体" w:hAnsi="宋体" w:eastAsia="宋体" w:cs="宋体"/>
                <w:szCs w:val="21"/>
              </w:rPr>
              <w:t>（1）从新民主主义到社会主义的转变</w:t>
            </w:r>
          </w:p>
          <w:p w14:paraId="7DE42573">
            <w:pPr>
              <w:adjustRightInd w:val="0"/>
              <w:snapToGrid w:val="0"/>
              <w:spacing w:line="264" w:lineRule="auto"/>
              <w:rPr>
                <w:rFonts w:ascii="宋体" w:hAnsi="宋体" w:eastAsia="宋体" w:cs="宋体"/>
                <w:szCs w:val="21"/>
              </w:rPr>
            </w:pPr>
            <w:r>
              <w:rPr>
                <w:rFonts w:hint="eastAsia" w:ascii="宋体" w:hAnsi="宋体" w:eastAsia="宋体" w:cs="宋体"/>
                <w:szCs w:val="21"/>
              </w:rPr>
              <w:t>（2）社会主义改造道路和历史经验</w:t>
            </w:r>
          </w:p>
          <w:p w14:paraId="190879C6">
            <w:pPr>
              <w:adjustRightInd w:val="0"/>
              <w:snapToGrid w:val="0"/>
              <w:spacing w:line="264" w:lineRule="auto"/>
              <w:rPr>
                <w:rFonts w:ascii="宋体" w:hAnsi="宋体" w:eastAsia="宋体" w:cs="宋体"/>
                <w:szCs w:val="21"/>
              </w:rPr>
            </w:pPr>
            <w:r>
              <w:rPr>
                <w:rFonts w:hint="eastAsia" w:ascii="宋体" w:hAnsi="宋体" w:eastAsia="宋体" w:cs="宋体"/>
                <w:szCs w:val="21"/>
              </w:rPr>
              <w:t>（3）社会主义制度在中国的确立</w:t>
            </w:r>
          </w:p>
          <w:p w14:paraId="03940FAA">
            <w:pPr>
              <w:adjustRightInd w:val="0"/>
              <w:snapToGrid w:val="0"/>
              <w:spacing w:line="264" w:lineRule="auto"/>
              <w:jc w:val="left"/>
              <w:rPr>
                <w:rFonts w:ascii="宋体" w:hAnsi="宋体" w:eastAsia="宋体" w:cs="宋体"/>
                <w:color w:val="000000"/>
                <w:kern w:val="0"/>
                <w:szCs w:val="21"/>
              </w:rPr>
            </w:pPr>
          </w:p>
        </w:tc>
        <w:tc>
          <w:tcPr>
            <w:tcW w:w="927" w:type="dxa"/>
            <w:shd w:val="clear" w:color="auto" w:fill="auto"/>
            <w:vAlign w:val="center"/>
          </w:tcPr>
          <w:p w14:paraId="73139B77">
            <w:pPr>
              <w:adjustRightInd w:val="0"/>
              <w:snapToGrid w:val="0"/>
              <w:spacing w:line="264"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课程目标1、2</w:t>
            </w:r>
          </w:p>
        </w:tc>
        <w:tc>
          <w:tcPr>
            <w:tcW w:w="3260" w:type="dxa"/>
            <w:shd w:val="clear" w:color="auto" w:fill="auto"/>
            <w:vAlign w:val="center"/>
          </w:tcPr>
          <w:p w14:paraId="2C30D307">
            <w:pPr>
              <w:numPr>
                <w:ilvl w:val="0"/>
                <w:numId w:val="1"/>
              </w:numPr>
              <w:adjustRightInd w:val="0"/>
              <w:snapToGrid w:val="0"/>
              <w:spacing w:line="264" w:lineRule="auto"/>
              <w:rPr>
                <w:rFonts w:ascii="宋体" w:hAnsi="宋体" w:eastAsia="宋体" w:cs="宋体"/>
                <w:szCs w:val="21"/>
              </w:rPr>
            </w:pPr>
            <w:r>
              <w:rPr>
                <w:rFonts w:hint="eastAsia" w:ascii="宋体" w:hAnsi="宋体" w:eastAsia="宋体" w:cs="宋体"/>
                <w:szCs w:val="21"/>
              </w:rPr>
              <w:t>通过教学，帮助学生了解从新民主主义向社会主义的转变的历史必然性；</w:t>
            </w:r>
          </w:p>
          <w:p w14:paraId="3876637B">
            <w:pPr>
              <w:numPr>
                <w:ilvl w:val="0"/>
                <w:numId w:val="1"/>
              </w:numPr>
              <w:adjustRightInd w:val="0"/>
              <w:snapToGrid w:val="0"/>
              <w:spacing w:line="264" w:lineRule="auto"/>
              <w:rPr>
                <w:rFonts w:ascii="宋体" w:hAnsi="宋体" w:eastAsia="宋体" w:cs="宋体"/>
                <w:szCs w:val="21"/>
              </w:rPr>
            </w:pPr>
            <w:r>
              <w:rPr>
                <w:rFonts w:hint="eastAsia" w:ascii="宋体" w:hAnsi="宋体" w:eastAsia="宋体" w:cs="宋体"/>
                <w:szCs w:val="21"/>
              </w:rPr>
              <w:t>理解适合中国特点的社会主义改造道路；</w:t>
            </w:r>
          </w:p>
          <w:p w14:paraId="71830FF6">
            <w:pPr>
              <w:numPr>
                <w:ilvl w:val="0"/>
                <w:numId w:val="1"/>
              </w:numPr>
              <w:adjustRightInd w:val="0"/>
              <w:snapToGrid w:val="0"/>
              <w:spacing w:line="264" w:lineRule="auto"/>
              <w:rPr>
                <w:rFonts w:ascii="宋体" w:hAnsi="宋体" w:eastAsia="宋体" w:cs="宋体"/>
                <w:color w:val="000000"/>
                <w:kern w:val="0"/>
                <w:szCs w:val="21"/>
              </w:rPr>
            </w:pPr>
            <w:r>
              <w:rPr>
                <w:rFonts w:hint="eastAsia" w:ascii="宋体" w:hAnsi="宋体" w:eastAsia="宋体" w:cs="宋体"/>
                <w:szCs w:val="21"/>
              </w:rPr>
              <w:t>深刻认识社会主义制度在中国确立的历史意义。</w:t>
            </w:r>
          </w:p>
        </w:tc>
        <w:tc>
          <w:tcPr>
            <w:tcW w:w="1560" w:type="dxa"/>
            <w:shd w:val="clear" w:color="auto" w:fill="auto"/>
            <w:vAlign w:val="center"/>
          </w:tcPr>
          <w:p w14:paraId="6218D895">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1.线上学习</w:t>
            </w:r>
          </w:p>
          <w:p w14:paraId="603F675D">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2.多媒体教学</w:t>
            </w:r>
          </w:p>
          <w:p w14:paraId="4406DBD7">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3.课堂讨论</w:t>
            </w:r>
          </w:p>
          <w:p w14:paraId="2F1DA012">
            <w:pPr>
              <w:spacing w:line="269" w:lineRule="auto"/>
              <w:jc w:val="left"/>
              <w:rPr>
                <w:rFonts w:ascii="宋体" w:hAnsi="宋体" w:eastAsia="宋体" w:cs="宋体"/>
                <w:color w:val="000000"/>
                <w:kern w:val="0"/>
                <w:szCs w:val="21"/>
              </w:rPr>
            </w:pPr>
            <w:r>
              <w:rPr>
                <w:rFonts w:hint="eastAsia" w:ascii="宋体" w:hAnsi="宋体" w:eastAsia="宋体" w:cs="宋体"/>
                <w:color w:val="000000"/>
                <w:kern w:val="0"/>
                <w:szCs w:val="21"/>
              </w:rPr>
              <w:t>4.单元测验</w:t>
            </w:r>
          </w:p>
        </w:tc>
        <w:tc>
          <w:tcPr>
            <w:tcW w:w="438" w:type="dxa"/>
            <w:vAlign w:val="center"/>
          </w:tcPr>
          <w:p w14:paraId="42CA0C3C">
            <w:pPr>
              <w:spacing w:line="269"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6</w:t>
            </w:r>
          </w:p>
        </w:tc>
      </w:tr>
      <w:tr w14:paraId="0725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19F7D837">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5.社会主义建设道路初步探索的理论成果</w:t>
            </w:r>
          </w:p>
        </w:tc>
        <w:tc>
          <w:tcPr>
            <w:tcW w:w="2042" w:type="dxa"/>
            <w:shd w:val="clear" w:color="auto" w:fill="auto"/>
            <w:vAlign w:val="center"/>
          </w:tcPr>
          <w:p w14:paraId="2B12780F">
            <w:pPr>
              <w:adjustRightInd w:val="0"/>
              <w:snapToGrid w:val="0"/>
              <w:spacing w:line="264" w:lineRule="auto"/>
              <w:rPr>
                <w:rFonts w:ascii="宋体" w:hAnsi="宋体" w:eastAsia="宋体" w:cs="宋体"/>
                <w:szCs w:val="21"/>
              </w:rPr>
            </w:pPr>
            <w:r>
              <w:rPr>
                <w:rFonts w:hint="eastAsia" w:ascii="宋体" w:hAnsi="宋体" w:eastAsia="宋体" w:cs="宋体"/>
                <w:szCs w:val="21"/>
              </w:rPr>
              <w:t>（1）社会主义建设道路初步探索的重要理论成果</w:t>
            </w:r>
          </w:p>
          <w:p w14:paraId="5701ABC9">
            <w:pPr>
              <w:adjustRightInd w:val="0"/>
              <w:snapToGrid w:val="0"/>
              <w:spacing w:line="264" w:lineRule="auto"/>
              <w:rPr>
                <w:rFonts w:ascii="宋体" w:hAnsi="宋体" w:eastAsia="宋体" w:cs="宋体"/>
                <w:szCs w:val="21"/>
              </w:rPr>
            </w:pPr>
            <w:r>
              <w:rPr>
                <w:rFonts w:hint="eastAsia" w:ascii="宋体" w:hAnsi="宋体" w:eastAsia="宋体" w:cs="宋体"/>
                <w:szCs w:val="21"/>
              </w:rPr>
              <w:t>（2）社会主义建设道路初步探索的意义和经验教训</w:t>
            </w:r>
          </w:p>
          <w:p w14:paraId="73C43E1A">
            <w:pPr>
              <w:adjustRightInd w:val="0"/>
              <w:snapToGrid w:val="0"/>
              <w:spacing w:line="264" w:lineRule="auto"/>
              <w:jc w:val="left"/>
              <w:rPr>
                <w:rFonts w:ascii="宋体" w:hAnsi="宋体" w:eastAsia="宋体" w:cs="宋体"/>
                <w:color w:val="000000"/>
                <w:kern w:val="0"/>
                <w:szCs w:val="21"/>
              </w:rPr>
            </w:pPr>
          </w:p>
        </w:tc>
        <w:tc>
          <w:tcPr>
            <w:tcW w:w="927" w:type="dxa"/>
            <w:shd w:val="clear" w:color="auto" w:fill="auto"/>
            <w:vAlign w:val="center"/>
          </w:tcPr>
          <w:p w14:paraId="13525ECB">
            <w:pPr>
              <w:adjustRightInd w:val="0"/>
              <w:snapToGrid w:val="0"/>
              <w:spacing w:line="264"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课程目标1、2</w:t>
            </w:r>
          </w:p>
        </w:tc>
        <w:tc>
          <w:tcPr>
            <w:tcW w:w="3260" w:type="dxa"/>
            <w:shd w:val="clear" w:color="auto" w:fill="auto"/>
            <w:vAlign w:val="center"/>
          </w:tcPr>
          <w:p w14:paraId="3F27DA18">
            <w:pPr>
              <w:numPr>
                <w:ilvl w:val="0"/>
                <w:numId w:val="2"/>
              </w:numPr>
              <w:adjustRightInd w:val="0"/>
              <w:snapToGrid w:val="0"/>
              <w:spacing w:line="264" w:lineRule="auto"/>
              <w:jc w:val="left"/>
              <w:rPr>
                <w:rFonts w:ascii="宋体" w:hAnsi="宋体" w:eastAsia="宋体" w:cs="宋体"/>
                <w:szCs w:val="21"/>
              </w:rPr>
            </w:pPr>
            <w:r>
              <w:rPr>
                <w:rFonts w:hint="eastAsia" w:ascii="宋体" w:hAnsi="宋体" w:eastAsia="宋体" w:cs="宋体"/>
                <w:szCs w:val="21"/>
              </w:rPr>
              <w:t>通过教学，帮助学生了解新中国成立后党对社会主义建设道路初步探索的思想成果；</w:t>
            </w:r>
          </w:p>
          <w:p w14:paraId="47F70953">
            <w:pPr>
              <w:numPr>
                <w:ilvl w:val="0"/>
                <w:numId w:val="2"/>
              </w:num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szCs w:val="21"/>
              </w:rPr>
              <w:t>理解社会主义建设道路初步探索的意义和经验教训；</w:t>
            </w:r>
          </w:p>
          <w:p w14:paraId="16A1B534">
            <w:pPr>
              <w:numPr>
                <w:ilvl w:val="0"/>
                <w:numId w:val="2"/>
              </w:num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szCs w:val="21"/>
              </w:rPr>
              <w:t>深刻认识社会主义建设道路初步探索过程中形成的正确的理论原则和经验总结，是毛泽东思想体系的重要内容。</w:t>
            </w:r>
          </w:p>
        </w:tc>
        <w:tc>
          <w:tcPr>
            <w:tcW w:w="1560" w:type="dxa"/>
            <w:shd w:val="clear" w:color="auto" w:fill="auto"/>
            <w:vAlign w:val="center"/>
          </w:tcPr>
          <w:p w14:paraId="69E6EC11">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1.线上学习</w:t>
            </w:r>
          </w:p>
          <w:p w14:paraId="5300B5FA">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2.多媒体教学</w:t>
            </w:r>
          </w:p>
          <w:p w14:paraId="5B652C16">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3.课堂讨论</w:t>
            </w:r>
          </w:p>
          <w:p w14:paraId="7CDF1447">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4.单元测验</w:t>
            </w:r>
          </w:p>
        </w:tc>
        <w:tc>
          <w:tcPr>
            <w:tcW w:w="438" w:type="dxa"/>
            <w:vAlign w:val="center"/>
          </w:tcPr>
          <w:p w14:paraId="0346F961">
            <w:pPr>
              <w:spacing w:line="269"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r>
      <w:tr w14:paraId="2620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7540B4F0">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6.</w:t>
            </w:r>
            <w:r>
              <w:rPr>
                <w:rFonts w:hint="eastAsia" w:ascii="宋体" w:hAnsi="宋体" w:eastAsia="宋体" w:cs="宋体"/>
                <w:szCs w:val="21"/>
              </w:rPr>
              <w:t>邓小平理论</w:t>
            </w:r>
          </w:p>
        </w:tc>
        <w:tc>
          <w:tcPr>
            <w:tcW w:w="2042" w:type="dxa"/>
            <w:shd w:val="clear" w:color="auto" w:fill="auto"/>
            <w:vAlign w:val="center"/>
          </w:tcPr>
          <w:p w14:paraId="371879AF">
            <w:pPr>
              <w:adjustRightInd w:val="0"/>
              <w:snapToGrid w:val="0"/>
              <w:spacing w:line="264" w:lineRule="auto"/>
              <w:rPr>
                <w:rFonts w:ascii="宋体" w:hAnsi="宋体" w:eastAsia="宋体" w:cs="宋体"/>
                <w:szCs w:val="21"/>
              </w:rPr>
            </w:pPr>
            <w:r>
              <w:rPr>
                <w:rFonts w:hint="eastAsia" w:ascii="宋体" w:hAnsi="宋体" w:eastAsia="宋体" w:cs="宋体"/>
                <w:szCs w:val="21"/>
              </w:rPr>
              <w:t>（1）邓小平理论的形成</w:t>
            </w:r>
          </w:p>
          <w:p w14:paraId="164E6387">
            <w:pPr>
              <w:adjustRightInd w:val="0"/>
              <w:snapToGrid w:val="0"/>
              <w:spacing w:line="264" w:lineRule="auto"/>
              <w:rPr>
                <w:rFonts w:ascii="宋体" w:hAnsi="宋体" w:eastAsia="宋体" w:cs="宋体"/>
                <w:szCs w:val="21"/>
              </w:rPr>
            </w:pPr>
            <w:r>
              <w:rPr>
                <w:rFonts w:hint="eastAsia" w:ascii="宋体" w:hAnsi="宋体" w:eastAsia="宋体" w:cs="宋体"/>
                <w:szCs w:val="21"/>
              </w:rPr>
              <w:t>（2）邓小平理论的基本问题和主要内容</w:t>
            </w:r>
          </w:p>
          <w:p w14:paraId="2A23AD7B">
            <w:pPr>
              <w:adjustRightInd w:val="0"/>
              <w:snapToGrid w:val="0"/>
              <w:spacing w:line="264" w:lineRule="auto"/>
              <w:rPr>
                <w:rFonts w:ascii="宋体" w:hAnsi="宋体" w:eastAsia="宋体" w:cs="宋体"/>
                <w:color w:val="000000"/>
                <w:kern w:val="0"/>
                <w:szCs w:val="21"/>
              </w:rPr>
            </w:pPr>
            <w:r>
              <w:rPr>
                <w:rFonts w:hint="eastAsia" w:ascii="宋体" w:hAnsi="宋体" w:eastAsia="宋体" w:cs="宋体"/>
                <w:szCs w:val="21"/>
              </w:rPr>
              <w:t>（3）邓小平理论的历史地位</w:t>
            </w:r>
          </w:p>
        </w:tc>
        <w:tc>
          <w:tcPr>
            <w:tcW w:w="927" w:type="dxa"/>
            <w:shd w:val="clear" w:color="auto" w:fill="auto"/>
            <w:vAlign w:val="center"/>
          </w:tcPr>
          <w:p w14:paraId="7939A15C">
            <w:pPr>
              <w:adjustRightInd w:val="0"/>
              <w:snapToGrid w:val="0"/>
              <w:spacing w:line="264"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课程目标1、3</w:t>
            </w:r>
          </w:p>
        </w:tc>
        <w:tc>
          <w:tcPr>
            <w:tcW w:w="3260" w:type="dxa"/>
            <w:shd w:val="clear" w:color="auto" w:fill="auto"/>
            <w:vAlign w:val="center"/>
          </w:tcPr>
          <w:p w14:paraId="2F935CC4">
            <w:pPr>
              <w:numPr>
                <w:ilvl w:val="0"/>
                <w:numId w:val="3"/>
              </w:numPr>
              <w:adjustRightInd w:val="0"/>
              <w:snapToGrid w:val="0"/>
              <w:spacing w:line="264" w:lineRule="auto"/>
              <w:jc w:val="left"/>
              <w:rPr>
                <w:rFonts w:ascii="宋体" w:hAnsi="宋体" w:eastAsia="宋体" w:cs="宋体"/>
                <w:szCs w:val="21"/>
              </w:rPr>
            </w:pPr>
            <w:r>
              <w:rPr>
                <w:rFonts w:hint="eastAsia" w:ascii="宋体" w:hAnsi="宋体" w:eastAsia="宋体" w:cs="宋体"/>
                <w:szCs w:val="21"/>
              </w:rPr>
              <w:t>通过教学，帮助学生了解邓小平理论形成的社会历史条件、过程；</w:t>
            </w:r>
          </w:p>
          <w:p w14:paraId="0AC7999D">
            <w:pPr>
              <w:numPr>
                <w:ilvl w:val="0"/>
                <w:numId w:val="3"/>
              </w:num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szCs w:val="21"/>
              </w:rPr>
              <w:t>掌握和理解邓小平理论的基本问题和主要内容；</w:t>
            </w:r>
          </w:p>
          <w:p w14:paraId="1451F2E4">
            <w:pPr>
              <w:numPr>
                <w:ilvl w:val="0"/>
                <w:numId w:val="3"/>
              </w:numPr>
              <w:adjustRightInd w:val="0"/>
              <w:snapToGrid w:val="0"/>
              <w:spacing w:line="264" w:lineRule="auto"/>
              <w:jc w:val="left"/>
              <w:rPr>
                <w:rFonts w:ascii="宋体" w:hAnsi="宋体" w:eastAsia="宋体" w:cs="宋体"/>
                <w:color w:val="000000"/>
                <w:kern w:val="0"/>
                <w:szCs w:val="21"/>
              </w:rPr>
            </w:pPr>
            <w:r>
              <w:rPr>
                <w:rFonts w:hint="eastAsia" w:ascii="宋体" w:hAnsi="宋体" w:eastAsia="宋体" w:cs="宋体"/>
                <w:szCs w:val="21"/>
              </w:rPr>
              <w:t>深刻认识邓小平理论的历史地位和意义。</w:t>
            </w:r>
          </w:p>
        </w:tc>
        <w:tc>
          <w:tcPr>
            <w:tcW w:w="1560" w:type="dxa"/>
            <w:shd w:val="clear" w:color="auto" w:fill="auto"/>
            <w:vAlign w:val="center"/>
          </w:tcPr>
          <w:p w14:paraId="341CFE1B">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1.线上学习</w:t>
            </w:r>
          </w:p>
          <w:p w14:paraId="2B289086">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2.多媒体教学</w:t>
            </w:r>
          </w:p>
          <w:p w14:paraId="670CFFBB">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3.课堂讨论</w:t>
            </w:r>
          </w:p>
          <w:p w14:paraId="3C961825">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4.单元测验</w:t>
            </w:r>
          </w:p>
        </w:tc>
        <w:tc>
          <w:tcPr>
            <w:tcW w:w="438" w:type="dxa"/>
            <w:vAlign w:val="center"/>
          </w:tcPr>
          <w:p w14:paraId="72AC58E9">
            <w:pPr>
              <w:spacing w:line="269"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6</w:t>
            </w:r>
          </w:p>
        </w:tc>
      </w:tr>
      <w:tr w14:paraId="2EE2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7AF56B94">
            <w:pPr>
              <w:spacing w:line="276" w:lineRule="auto"/>
              <w:jc w:val="center"/>
              <w:rPr>
                <w:rFonts w:ascii="宋体" w:hAnsi="宋体" w:eastAsia="宋体" w:cs="宋体"/>
                <w:kern w:val="0"/>
                <w:szCs w:val="21"/>
              </w:rPr>
            </w:pPr>
            <w:r>
              <w:rPr>
                <w:rFonts w:hint="eastAsia" w:ascii="宋体" w:hAnsi="宋体" w:eastAsia="宋体" w:cs="宋体"/>
                <w:kern w:val="0"/>
                <w:szCs w:val="21"/>
              </w:rPr>
              <w:t>7.</w:t>
            </w:r>
            <w:r>
              <w:rPr>
                <w:rFonts w:hint="eastAsia" w:ascii="宋体" w:hAnsi="宋体" w:eastAsia="宋体" w:cs="宋体"/>
                <w:szCs w:val="21"/>
              </w:rPr>
              <w:t>“三个代表”重要思想</w:t>
            </w:r>
          </w:p>
        </w:tc>
        <w:tc>
          <w:tcPr>
            <w:tcW w:w="2042" w:type="dxa"/>
            <w:shd w:val="clear" w:color="auto" w:fill="auto"/>
            <w:vAlign w:val="center"/>
          </w:tcPr>
          <w:p w14:paraId="0275401A">
            <w:pPr>
              <w:adjustRightInd w:val="0"/>
              <w:snapToGrid w:val="0"/>
              <w:spacing w:line="264" w:lineRule="auto"/>
              <w:rPr>
                <w:rFonts w:ascii="宋体" w:hAnsi="宋体" w:eastAsia="宋体" w:cs="宋体"/>
                <w:szCs w:val="21"/>
              </w:rPr>
            </w:pPr>
            <w:r>
              <w:rPr>
                <w:rFonts w:hint="eastAsia" w:ascii="宋体" w:hAnsi="宋体" w:eastAsia="宋体" w:cs="宋体"/>
                <w:szCs w:val="21"/>
              </w:rPr>
              <w:t>（1）“三个代表”重要思想的形成</w:t>
            </w:r>
          </w:p>
          <w:p w14:paraId="2F89F2D9">
            <w:pPr>
              <w:adjustRightInd w:val="0"/>
              <w:snapToGrid w:val="0"/>
              <w:spacing w:line="264" w:lineRule="auto"/>
              <w:rPr>
                <w:rFonts w:ascii="宋体" w:hAnsi="宋体" w:eastAsia="宋体" w:cs="宋体"/>
                <w:szCs w:val="21"/>
              </w:rPr>
            </w:pPr>
            <w:r>
              <w:rPr>
                <w:rFonts w:hint="eastAsia" w:ascii="宋体" w:hAnsi="宋体" w:eastAsia="宋体" w:cs="宋体"/>
                <w:szCs w:val="21"/>
              </w:rPr>
              <w:t>（2）“三个代表”重要思想的核心观点和主要内容</w:t>
            </w:r>
          </w:p>
          <w:p w14:paraId="22C88BEB">
            <w:pPr>
              <w:adjustRightInd w:val="0"/>
              <w:snapToGrid w:val="0"/>
              <w:spacing w:line="264" w:lineRule="auto"/>
              <w:rPr>
                <w:rFonts w:ascii="宋体" w:hAnsi="宋体" w:eastAsia="宋体" w:cs="宋体"/>
                <w:kern w:val="0"/>
                <w:szCs w:val="21"/>
              </w:rPr>
            </w:pPr>
            <w:r>
              <w:rPr>
                <w:rFonts w:hint="eastAsia" w:ascii="宋体" w:hAnsi="宋体" w:eastAsia="宋体" w:cs="宋体"/>
                <w:szCs w:val="21"/>
              </w:rPr>
              <w:t>（3）“三个代表”重要思想的历史地位和意义</w:t>
            </w:r>
          </w:p>
        </w:tc>
        <w:tc>
          <w:tcPr>
            <w:tcW w:w="927" w:type="dxa"/>
            <w:shd w:val="clear" w:color="auto" w:fill="auto"/>
            <w:vAlign w:val="center"/>
          </w:tcPr>
          <w:p w14:paraId="423D72D6">
            <w:pPr>
              <w:adjustRightInd w:val="0"/>
              <w:snapToGrid w:val="0"/>
              <w:spacing w:line="264"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课程目标1、3</w:t>
            </w:r>
          </w:p>
        </w:tc>
        <w:tc>
          <w:tcPr>
            <w:tcW w:w="3260" w:type="dxa"/>
            <w:shd w:val="clear" w:color="auto" w:fill="auto"/>
            <w:vAlign w:val="center"/>
          </w:tcPr>
          <w:p w14:paraId="375B3F89">
            <w:pPr>
              <w:numPr>
                <w:ilvl w:val="0"/>
                <w:numId w:val="4"/>
              </w:numPr>
              <w:adjustRightInd w:val="0"/>
              <w:snapToGrid w:val="0"/>
              <w:spacing w:line="264" w:lineRule="auto"/>
              <w:rPr>
                <w:rFonts w:ascii="宋体" w:hAnsi="宋体" w:eastAsia="宋体" w:cs="宋体"/>
                <w:szCs w:val="21"/>
              </w:rPr>
            </w:pPr>
            <w:r>
              <w:rPr>
                <w:rFonts w:hint="eastAsia" w:ascii="宋体" w:hAnsi="宋体" w:eastAsia="宋体" w:cs="宋体"/>
                <w:szCs w:val="21"/>
              </w:rPr>
              <w:t>通过学习，帮助学生了解“三个代表”重要思想的形成的社会历史条件和形成过程；</w:t>
            </w:r>
          </w:p>
          <w:p w14:paraId="196B8A84">
            <w:pPr>
              <w:numPr>
                <w:ilvl w:val="0"/>
                <w:numId w:val="4"/>
              </w:numPr>
              <w:adjustRightInd w:val="0"/>
              <w:snapToGrid w:val="0"/>
              <w:spacing w:line="264" w:lineRule="auto"/>
              <w:rPr>
                <w:rFonts w:ascii="宋体" w:hAnsi="宋体" w:eastAsia="宋体" w:cs="宋体"/>
                <w:szCs w:val="21"/>
              </w:rPr>
            </w:pPr>
            <w:r>
              <w:rPr>
                <w:rFonts w:hint="eastAsia" w:ascii="宋体" w:hAnsi="宋体" w:eastAsia="宋体" w:cs="宋体"/>
                <w:szCs w:val="21"/>
              </w:rPr>
              <w:t>理解“三个代表”重要思想的核心观点和主要内容；</w:t>
            </w:r>
          </w:p>
          <w:p w14:paraId="3E32D21A">
            <w:pPr>
              <w:numPr>
                <w:ilvl w:val="0"/>
                <w:numId w:val="4"/>
              </w:numPr>
              <w:adjustRightInd w:val="0"/>
              <w:snapToGrid w:val="0"/>
              <w:spacing w:line="264" w:lineRule="auto"/>
              <w:rPr>
                <w:rFonts w:ascii="宋体" w:hAnsi="宋体" w:eastAsia="宋体" w:cs="宋体"/>
                <w:color w:val="000000"/>
                <w:kern w:val="0"/>
                <w:szCs w:val="21"/>
              </w:rPr>
            </w:pPr>
            <w:r>
              <w:rPr>
                <w:rFonts w:hint="eastAsia" w:ascii="宋体" w:hAnsi="宋体" w:eastAsia="宋体" w:cs="宋体"/>
                <w:szCs w:val="21"/>
              </w:rPr>
              <w:t>深刻认识“三个代表”重要思想的历史地位和意义。</w:t>
            </w:r>
          </w:p>
        </w:tc>
        <w:tc>
          <w:tcPr>
            <w:tcW w:w="1560" w:type="dxa"/>
            <w:shd w:val="clear" w:color="auto" w:fill="auto"/>
            <w:vAlign w:val="center"/>
          </w:tcPr>
          <w:p w14:paraId="3CD659F6">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1.线上学习</w:t>
            </w:r>
          </w:p>
          <w:p w14:paraId="7D6326F3">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2.多媒体教学</w:t>
            </w:r>
          </w:p>
          <w:p w14:paraId="547F136B">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3.课堂讨论</w:t>
            </w:r>
          </w:p>
          <w:p w14:paraId="606ABCEA">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4.单元测验</w:t>
            </w:r>
          </w:p>
        </w:tc>
        <w:tc>
          <w:tcPr>
            <w:tcW w:w="438" w:type="dxa"/>
            <w:vAlign w:val="center"/>
          </w:tcPr>
          <w:p w14:paraId="360C3414">
            <w:pPr>
              <w:spacing w:line="269"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6</w:t>
            </w:r>
          </w:p>
        </w:tc>
      </w:tr>
      <w:tr w14:paraId="5356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shd w:val="clear" w:color="auto" w:fill="auto"/>
            <w:vAlign w:val="center"/>
          </w:tcPr>
          <w:p w14:paraId="23CA7EA8">
            <w:pPr>
              <w:spacing w:line="264"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8.</w:t>
            </w:r>
            <w:r>
              <w:rPr>
                <w:rFonts w:hint="eastAsia" w:ascii="宋体" w:hAnsi="宋体" w:eastAsia="宋体" w:cs="宋体"/>
                <w:szCs w:val="21"/>
              </w:rPr>
              <w:t>科学发展观</w:t>
            </w:r>
          </w:p>
        </w:tc>
        <w:tc>
          <w:tcPr>
            <w:tcW w:w="2042" w:type="dxa"/>
            <w:shd w:val="clear" w:color="auto" w:fill="auto"/>
            <w:vAlign w:val="center"/>
          </w:tcPr>
          <w:p w14:paraId="1B519B1B">
            <w:pPr>
              <w:adjustRightInd w:val="0"/>
              <w:snapToGrid w:val="0"/>
              <w:spacing w:line="264" w:lineRule="auto"/>
              <w:rPr>
                <w:rFonts w:ascii="宋体" w:hAnsi="宋体" w:eastAsia="宋体" w:cs="宋体"/>
                <w:szCs w:val="21"/>
              </w:rPr>
            </w:pPr>
            <w:r>
              <w:rPr>
                <w:rFonts w:hint="eastAsia" w:ascii="宋体" w:hAnsi="宋体" w:eastAsia="宋体" w:cs="宋体"/>
                <w:szCs w:val="21"/>
              </w:rPr>
              <w:t>（1）科学发展观的形成</w:t>
            </w:r>
          </w:p>
          <w:p w14:paraId="710C9616">
            <w:pPr>
              <w:adjustRightInd w:val="0"/>
              <w:snapToGrid w:val="0"/>
              <w:spacing w:line="264" w:lineRule="auto"/>
              <w:rPr>
                <w:rFonts w:ascii="宋体" w:hAnsi="宋体" w:eastAsia="宋体" w:cs="宋体"/>
                <w:szCs w:val="21"/>
              </w:rPr>
            </w:pPr>
            <w:r>
              <w:rPr>
                <w:rFonts w:hint="eastAsia" w:ascii="宋体" w:hAnsi="宋体" w:eastAsia="宋体" w:cs="宋体"/>
                <w:szCs w:val="21"/>
              </w:rPr>
              <w:t>（2）科学发展观重要思想的科学内涵和主要内容</w:t>
            </w:r>
          </w:p>
          <w:p w14:paraId="6F288F38">
            <w:pPr>
              <w:adjustRightInd w:val="0"/>
              <w:snapToGrid w:val="0"/>
              <w:spacing w:line="264" w:lineRule="auto"/>
              <w:rPr>
                <w:rFonts w:ascii="宋体" w:hAnsi="宋体" w:eastAsia="宋体" w:cs="宋体"/>
                <w:szCs w:val="21"/>
              </w:rPr>
            </w:pPr>
            <w:r>
              <w:rPr>
                <w:rFonts w:hint="eastAsia" w:ascii="宋体" w:hAnsi="宋体" w:eastAsia="宋体" w:cs="宋体"/>
                <w:szCs w:val="21"/>
              </w:rPr>
              <w:t>（3）科学发展观的历史地位和意义</w:t>
            </w:r>
          </w:p>
        </w:tc>
        <w:tc>
          <w:tcPr>
            <w:tcW w:w="927" w:type="dxa"/>
            <w:shd w:val="clear" w:color="auto" w:fill="auto"/>
            <w:vAlign w:val="center"/>
          </w:tcPr>
          <w:p w14:paraId="1DD74663">
            <w:pPr>
              <w:adjustRightInd w:val="0"/>
              <w:snapToGrid w:val="0"/>
              <w:spacing w:line="264"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课程目标1、2</w:t>
            </w:r>
          </w:p>
        </w:tc>
        <w:tc>
          <w:tcPr>
            <w:tcW w:w="3260" w:type="dxa"/>
            <w:shd w:val="clear" w:color="auto" w:fill="auto"/>
            <w:vAlign w:val="center"/>
          </w:tcPr>
          <w:p w14:paraId="403D0049">
            <w:pPr>
              <w:numPr>
                <w:ilvl w:val="0"/>
                <w:numId w:val="5"/>
              </w:numPr>
              <w:adjustRightInd w:val="0"/>
              <w:snapToGrid w:val="0"/>
              <w:spacing w:line="264" w:lineRule="auto"/>
              <w:rPr>
                <w:rFonts w:ascii="宋体" w:hAnsi="宋体" w:eastAsia="宋体" w:cs="宋体"/>
                <w:szCs w:val="21"/>
              </w:rPr>
            </w:pPr>
            <w:r>
              <w:rPr>
                <w:rFonts w:hint="eastAsia" w:ascii="宋体" w:hAnsi="宋体" w:eastAsia="宋体" w:cs="宋体"/>
                <w:szCs w:val="21"/>
              </w:rPr>
              <w:t>通过学习，帮助学生了解科学发展观形成的社会历史条件和形成过程；</w:t>
            </w:r>
          </w:p>
          <w:p w14:paraId="57F96847">
            <w:pPr>
              <w:numPr>
                <w:ilvl w:val="0"/>
                <w:numId w:val="5"/>
              </w:numPr>
              <w:adjustRightInd w:val="0"/>
              <w:snapToGrid w:val="0"/>
              <w:spacing w:line="264" w:lineRule="auto"/>
              <w:rPr>
                <w:rFonts w:ascii="宋体" w:hAnsi="宋体" w:eastAsia="宋体" w:cs="宋体"/>
                <w:szCs w:val="21"/>
              </w:rPr>
            </w:pPr>
            <w:r>
              <w:rPr>
                <w:rFonts w:hint="eastAsia" w:ascii="宋体" w:hAnsi="宋体" w:eastAsia="宋体" w:cs="宋体"/>
                <w:szCs w:val="21"/>
              </w:rPr>
              <w:t>理解科学发展观重要思想的科学内涵和主要内容；</w:t>
            </w:r>
          </w:p>
          <w:p w14:paraId="102E96AE">
            <w:pPr>
              <w:numPr>
                <w:ilvl w:val="0"/>
                <w:numId w:val="5"/>
              </w:numPr>
              <w:adjustRightInd w:val="0"/>
              <w:snapToGrid w:val="0"/>
              <w:spacing w:line="264" w:lineRule="auto"/>
              <w:rPr>
                <w:rFonts w:ascii="宋体" w:hAnsi="宋体" w:eastAsia="宋体" w:cs="宋体"/>
                <w:color w:val="000000"/>
                <w:kern w:val="0"/>
                <w:szCs w:val="21"/>
              </w:rPr>
            </w:pPr>
            <w:r>
              <w:rPr>
                <w:rFonts w:hint="eastAsia" w:ascii="宋体" w:hAnsi="宋体" w:eastAsia="宋体" w:cs="宋体"/>
                <w:szCs w:val="21"/>
              </w:rPr>
              <w:t>深刻认识科学发展观的历史地位和意义。</w:t>
            </w:r>
          </w:p>
        </w:tc>
        <w:tc>
          <w:tcPr>
            <w:tcW w:w="1560" w:type="dxa"/>
            <w:shd w:val="clear" w:color="auto" w:fill="auto"/>
            <w:vAlign w:val="center"/>
          </w:tcPr>
          <w:p w14:paraId="18761B04">
            <w:pPr>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1.线上学习</w:t>
            </w:r>
          </w:p>
          <w:p w14:paraId="65568C6D">
            <w:pPr>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2.多媒体教学</w:t>
            </w:r>
          </w:p>
          <w:p w14:paraId="43A0A3BF">
            <w:pPr>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3.课堂讨论</w:t>
            </w:r>
          </w:p>
          <w:p w14:paraId="1CB6287A">
            <w:pPr>
              <w:spacing w:line="264" w:lineRule="auto"/>
              <w:jc w:val="left"/>
              <w:rPr>
                <w:rFonts w:ascii="宋体" w:hAnsi="宋体" w:eastAsia="宋体" w:cs="宋体"/>
                <w:color w:val="000000"/>
                <w:kern w:val="0"/>
                <w:szCs w:val="21"/>
              </w:rPr>
            </w:pPr>
            <w:r>
              <w:rPr>
                <w:rFonts w:hint="eastAsia" w:ascii="宋体" w:hAnsi="宋体" w:eastAsia="宋体" w:cs="宋体"/>
                <w:color w:val="000000"/>
                <w:kern w:val="0"/>
                <w:szCs w:val="21"/>
              </w:rPr>
              <w:t>4.单元测验</w:t>
            </w:r>
          </w:p>
        </w:tc>
        <w:tc>
          <w:tcPr>
            <w:tcW w:w="438" w:type="dxa"/>
            <w:vAlign w:val="center"/>
          </w:tcPr>
          <w:p w14:paraId="3273365A">
            <w:pPr>
              <w:spacing w:line="269"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6</w:t>
            </w:r>
          </w:p>
        </w:tc>
      </w:tr>
      <w:tr w14:paraId="1EB3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43F15B4E">
            <w:pPr>
              <w:spacing w:line="264" w:lineRule="auto"/>
              <w:rPr>
                <w:rFonts w:ascii="宋体" w:hAnsi="宋体" w:eastAsia="宋体" w:cs="宋体"/>
                <w:szCs w:val="21"/>
              </w:rPr>
            </w:pPr>
            <w:r>
              <w:rPr>
                <w:rFonts w:hint="eastAsia" w:ascii="宋体" w:hAnsi="宋体" w:eastAsia="宋体" w:cs="宋体"/>
                <w:szCs w:val="21"/>
              </w:rPr>
              <w:t>9.实践</w:t>
            </w:r>
          </w:p>
        </w:tc>
        <w:tc>
          <w:tcPr>
            <w:tcW w:w="2042" w:type="dxa"/>
            <w:vAlign w:val="center"/>
          </w:tcPr>
          <w:p w14:paraId="557B3B55">
            <w:pPr>
              <w:adjustRightInd w:val="0"/>
              <w:snapToGrid w:val="0"/>
              <w:spacing w:line="264" w:lineRule="auto"/>
              <w:rPr>
                <w:rFonts w:ascii="宋体" w:hAnsi="宋体" w:eastAsia="宋体" w:cs="宋体"/>
                <w:szCs w:val="21"/>
              </w:rPr>
            </w:pPr>
            <w:r>
              <w:rPr>
                <w:rFonts w:hint="eastAsia" w:ascii="宋体" w:hAnsi="宋体" w:eastAsia="宋体" w:cs="宋体"/>
                <w:szCs w:val="21"/>
              </w:rPr>
              <w:t>（1）与思想政治理论相关的实践</w:t>
            </w:r>
          </w:p>
          <w:p w14:paraId="1788B521">
            <w:pPr>
              <w:adjustRightInd w:val="0"/>
              <w:snapToGrid w:val="0"/>
              <w:spacing w:line="264" w:lineRule="auto"/>
              <w:jc w:val="left"/>
              <w:rPr>
                <w:rFonts w:ascii="宋体" w:hAnsi="宋体" w:eastAsia="宋体" w:cs="宋体"/>
                <w:szCs w:val="21"/>
              </w:rPr>
            </w:pPr>
            <w:r>
              <w:rPr>
                <w:rFonts w:hint="eastAsia" w:ascii="宋体" w:hAnsi="宋体" w:eastAsia="宋体" w:cs="宋体"/>
                <w:szCs w:val="21"/>
              </w:rPr>
              <w:t>（2）理论联系实际</w:t>
            </w:r>
          </w:p>
        </w:tc>
        <w:tc>
          <w:tcPr>
            <w:tcW w:w="927" w:type="dxa"/>
            <w:vAlign w:val="center"/>
          </w:tcPr>
          <w:p w14:paraId="723635BF">
            <w:pPr>
              <w:adjustRightInd w:val="0"/>
              <w:snapToGrid w:val="0"/>
              <w:spacing w:line="264" w:lineRule="auto"/>
              <w:jc w:val="center"/>
              <w:rPr>
                <w:rFonts w:ascii="宋体" w:hAnsi="宋体" w:eastAsia="宋体" w:cs="宋体"/>
                <w:szCs w:val="21"/>
              </w:rPr>
            </w:pPr>
            <w:r>
              <w:rPr>
                <w:rFonts w:hint="eastAsia" w:ascii="宋体" w:hAnsi="宋体" w:eastAsia="宋体" w:cs="宋体"/>
                <w:color w:val="000000" w:themeColor="text1"/>
                <w:szCs w:val="21"/>
                <w14:textFill>
                  <w14:solidFill>
                    <w14:schemeClr w14:val="tx1"/>
                  </w14:solidFill>
                </w14:textFill>
              </w:rPr>
              <w:t>课程目标1、2、3</w:t>
            </w:r>
          </w:p>
        </w:tc>
        <w:tc>
          <w:tcPr>
            <w:tcW w:w="3260" w:type="dxa"/>
            <w:vAlign w:val="center"/>
          </w:tcPr>
          <w:p w14:paraId="721B42D0">
            <w:pPr>
              <w:adjustRightInd w:val="0"/>
              <w:snapToGrid w:val="0"/>
              <w:spacing w:line="264" w:lineRule="auto"/>
              <w:jc w:val="left"/>
              <w:rPr>
                <w:rFonts w:ascii="宋体" w:hAnsi="宋体" w:eastAsia="宋体" w:cs="宋体"/>
                <w:szCs w:val="21"/>
              </w:rPr>
            </w:pPr>
            <w:r>
              <w:rPr>
                <w:rFonts w:hint="eastAsia" w:ascii="宋体" w:hAnsi="宋体" w:eastAsia="宋体" w:cs="宋体"/>
                <w:szCs w:val="21"/>
              </w:rPr>
              <w:t>能够将思想政治理论联系社会现实，积极参与校内外相关实践。</w:t>
            </w:r>
          </w:p>
        </w:tc>
        <w:tc>
          <w:tcPr>
            <w:tcW w:w="1560" w:type="dxa"/>
            <w:vAlign w:val="center"/>
          </w:tcPr>
          <w:p w14:paraId="68AC7A4B">
            <w:pPr>
              <w:spacing w:line="269" w:lineRule="auto"/>
              <w:jc w:val="left"/>
              <w:rPr>
                <w:rFonts w:ascii="宋体" w:hAnsi="宋体" w:eastAsia="宋体" w:cs="宋体"/>
                <w:szCs w:val="21"/>
              </w:rPr>
            </w:pPr>
            <w:r>
              <w:rPr>
                <w:rFonts w:hint="eastAsia" w:ascii="宋体" w:hAnsi="宋体" w:eastAsia="宋体" w:cs="宋体"/>
                <w:szCs w:val="21"/>
              </w:rPr>
              <w:t>实践教学</w:t>
            </w:r>
          </w:p>
        </w:tc>
        <w:tc>
          <w:tcPr>
            <w:tcW w:w="438" w:type="dxa"/>
            <w:vAlign w:val="center"/>
          </w:tcPr>
          <w:p w14:paraId="0B455696">
            <w:pPr>
              <w:spacing w:line="269"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6</w:t>
            </w:r>
          </w:p>
        </w:tc>
      </w:tr>
    </w:tbl>
    <w:p w14:paraId="1FE9B7B8">
      <w:pPr>
        <w:adjustRightInd w:val="0"/>
        <w:snapToGrid w:val="0"/>
        <w:spacing w:before="156" w:beforeLines="50" w:after="156" w:afterLines="50" w:line="360" w:lineRule="auto"/>
        <w:jc w:val="left"/>
        <w:rPr>
          <w:rFonts w:ascii="宋体" w:hAnsi="宋体" w:eastAsia="宋体"/>
          <w:b/>
          <w:color w:val="000000"/>
          <w:sz w:val="24"/>
          <w:szCs w:val="24"/>
        </w:rPr>
      </w:pPr>
    </w:p>
    <w:p w14:paraId="06A6F9CF">
      <w:pPr>
        <w:adjustRightInd w:val="0"/>
        <w:snapToGrid w:val="0"/>
        <w:spacing w:before="156" w:beforeLines="50" w:after="156" w:afterLines="50" w:line="360" w:lineRule="auto"/>
        <w:jc w:val="left"/>
        <w:rPr>
          <w:rFonts w:ascii="宋体" w:hAnsi="宋体" w:eastAsia="宋体"/>
          <w:sz w:val="24"/>
          <w:szCs w:val="24"/>
        </w:rPr>
      </w:pPr>
      <w:r>
        <w:rPr>
          <w:rFonts w:hint="eastAsia" w:ascii="宋体" w:hAnsi="宋体" w:eastAsia="宋体"/>
          <w:b/>
          <w:color w:val="000000"/>
          <w:sz w:val="24"/>
          <w:szCs w:val="24"/>
        </w:rPr>
        <w:t>四、目标评价与成绩评定</w:t>
      </w:r>
    </w:p>
    <w:p w14:paraId="29C91709">
      <w:pPr>
        <w:adjustRightInd w:val="0"/>
        <w:snapToGrid w:val="0"/>
        <w:spacing w:before="156" w:beforeLines="50" w:after="156" w:afterLines="50" w:line="360" w:lineRule="auto"/>
        <w:jc w:val="left"/>
        <w:rPr>
          <w:rFonts w:ascii="宋体" w:hAnsi="宋体" w:eastAsia="宋体"/>
          <w:b/>
          <w:sz w:val="24"/>
          <w:szCs w:val="24"/>
        </w:rPr>
      </w:pPr>
      <w:r>
        <w:rPr>
          <w:rFonts w:hint="eastAsia" w:ascii="宋体" w:hAnsi="宋体" w:eastAsia="宋体"/>
          <w:b/>
          <w:szCs w:val="21"/>
        </w:rPr>
        <w:t>（一）课程目标评价方式</w:t>
      </w:r>
    </w:p>
    <w:p w14:paraId="1EFD80E8">
      <w:pPr>
        <w:spacing w:line="360" w:lineRule="auto"/>
        <w:ind w:firstLine="420" w:firstLineChars="200"/>
        <w:jc w:val="left"/>
        <w:rPr>
          <w:rFonts w:ascii="宋体" w:hAnsi="宋体" w:eastAsia="宋体"/>
          <w:szCs w:val="21"/>
        </w:rPr>
      </w:pPr>
      <w:r>
        <w:rPr>
          <w:rFonts w:hint="eastAsia" w:ascii="宋体" w:hAnsi="宋体" w:eastAsia="宋体"/>
          <w:szCs w:val="21"/>
        </w:rPr>
        <w:t>根据总体设计，用于评价各课程目标的评价方式如表3</w:t>
      </w:r>
      <w:r>
        <w:rPr>
          <w:rFonts w:ascii="宋体" w:hAnsi="宋体" w:eastAsia="宋体"/>
          <w:szCs w:val="21"/>
        </w:rPr>
        <w:t>所示。</w:t>
      </w:r>
    </w:p>
    <w:p w14:paraId="59C2E566">
      <w:pPr>
        <w:spacing w:line="360" w:lineRule="auto"/>
        <w:jc w:val="center"/>
        <w:rPr>
          <w:b/>
          <w:bCs/>
          <w:szCs w:val="21"/>
        </w:rPr>
      </w:pPr>
      <w:r>
        <w:rPr>
          <w:rFonts w:hint="eastAsia" w:ascii="宋体" w:hAnsi="宋体" w:eastAsia="宋体" w:cs="宋体"/>
          <w:b/>
          <w:bCs/>
          <w:szCs w:val="21"/>
        </w:rPr>
        <w:t>表3课程教学评价设计总表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397"/>
        <w:gridCol w:w="1594"/>
        <w:gridCol w:w="1476"/>
        <w:gridCol w:w="1615"/>
        <w:gridCol w:w="994"/>
      </w:tblGrid>
      <w:tr w14:paraId="4BFF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0C71B756">
            <w:pPr>
              <w:spacing w:line="360" w:lineRule="auto"/>
              <w:jc w:val="center"/>
              <w:rPr>
                <w:rFonts w:ascii="宋体" w:hAnsi="宋体" w:eastAsia="宋体" w:cs="宋体"/>
                <w:szCs w:val="21"/>
              </w:rPr>
            </w:pPr>
            <w:r>
              <w:rPr>
                <w:rFonts w:hint="eastAsia" w:ascii="宋体" w:hAnsi="宋体" w:eastAsia="宋体" w:cs="宋体"/>
                <w:szCs w:val="21"/>
              </w:rPr>
              <w:t>课程目标</w:t>
            </w:r>
          </w:p>
        </w:tc>
        <w:tc>
          <w:tcPr>
            <w:tcW w:w="6082" w:type="dxa"/>
            <w:gridSpan w:val="4"/>
            <w:vAlign w:val="center"/>
          </w:tcPr>
          <w:p w14:paraId="184B4766">
            <w:pPr>
              <w:spacing w:line="360" w:lineRule="auto"/>
              <w:jc w:val="center"/>
              <w:rPr>
                <w:rFonts w:ascii="宋体" w:hAnsi="宋体" w:eastAsia="宋体" w:cs="宋体"/>
                <w:szCs w:val="21"/>
              </w:rPr>
            </w:pPr>
            <w:r>
              <w:rPr>
                <w:rFonts w:hint="eastAsia" w:ascii="宋体" w:hAnsi="宋体" w:eastAsia="宋体" w:cs="宋体"/>
                <w:szCs w:val="21"/>
              </w:rPr>
              <w:t>评价与成绩评定方法</w:t>
            </w:r>
          </w:p>
        </w:tc>
        <w:tc>
          <w:tcPr>
            <w:tcW w:w="994" w:type="dxa"/>
            <w:vMerge w:val="restart"/>
            <w:vAlign w:val="center"/>
          </w:tcPr>
          <w:p w14:paraId="160573F7">
            <w:pPr>
              <w:spacing w:line="360" w:lineRule="auto"/>
              <w:jc w:val="center"/>
              <w:rPr>
                <w:rFonts w:ascii="宋体" w:hAnsi="宋体" w:eastAsia="宋体" w:cs="宋体"/>
                <w:szCs w:val="21"/>
              </w:rPr>
            </w:pPr>
            <w:r>
              <w:rPr>
                <w:rFonts w:hint="eastAsia" w:ascii="宋体" w:hAnsi="宋体" w:eastAsia="宋体" w:cs="宋体"/>
                <w:szCs w:val="21"/>
              </w:rPr>
              <w:t>分值</w:t>
            </w:r>
          </w:p>
        </w:tc>
      </w:tr>
      <w:tr w14:paraId="2692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E7C8C99">
            <w:pPr>
              <w:spacing w:line="360" w:lineRule="auto"/>
              <w:jc w:val="center"/>
              <w:rPr>
                <w:rFonts w:ascii="宋体" w:hAnsi="宋体" w:eastAsia="宋体" w:cs="宋体"/>
                <w:szCs w:val="21"/>
              </w:rPr>
            </w:pPr>
          </w:p>
        </w:tc>
        <w:tc>
          <w:tcPr>
            <w:tcW w:w="1397" w:type="dxa"/>
            <w:vAlign w:val="center"/>
          </w:tcPr>
          <w:p w14:paraId="1CFDCB21">
            <w:pPr>
              <w:spacing w:line="360" w:lineRule="auto"/>
              <w:jc w:val="center"/>
              <w:rPr>
                <w:rFonts w:ascii="宋体" w:hAnsi="宋体" w:eastAsia="宋体" w:cs="宋体"/>
                <w:szCs w:val="21"/>
              </w:rPr>
            </w:pPr>
            <w:r>
              <w:rPr>
                <w:rFonts w:hint="eastAsia" w:ascii="宋体" w:hAnsi="宋体" w:eastAsia="宋体" w:cs="宋体"/>
                <w:szCs w:val="21"/>
              </w:rPr>
              <w:t>平时作业</w:t>
            </w:r>
          </w:p>
        </w:tc>
        <w:tc>
          <w:tcPr>
            <w:tcW w:w="1594" w:type="dxa"/>
            <w:vAlign w:val="center"/>
          </w:tcPr>
          <w:p w14:paraId="48926DC4">
            <w:pPr>
              <w:spacing w:line="360" w:lineRule="auto"/>
              <w:jc w:val="center"/>
              <w:rPr>
                <w:rFonts w:ascii="宋体" w:hAnsi="宋体" w:eastAsia="宋体" w:cs="宋体"/>
                <w:szCs w:val="21"/>
              </w:rPr>
            </w:pPr>
            <w:r>
              <w:rPr>
                <w:rFonts w:hint="eastAsia" w:ascii="宋体" w:hAnsi="宋体" w:eastAsia="宋体" w:cs="宋体"/>
                <w:szCs w:val="21"/>
              </w:rPr>
              <w:t>平时表现</w:t>
            </w:r>
          </w:p>
        </w:tc>
        <w:tc>
          <w:tcPr>
            <w:tcW w:w="1476" w:type="dxa"/>
            <w:vAlign w:val="center"/>
          </w:tcPr>
          <w:p w14:paraId="149C3B1F">
            <w:pPr>
              <w:spacing w:line="360" w:lineRule="auto"/>
              <w:jc w:val="center"/>
              <w:rPr>
                <w:rFonts w:ascii="宋体" w:hAnsi="宋体" w:eastAsia="宋体" w:cs="宋体"/>
                <w:szCs w:val="21"/>
              </w:rPr>
            </w:pPr>
            <w:r>
              <w:rPr>
                <w:rFonts w:hint="eastAsia" w:ascii="宋体" w:hAnsi="宋体" w:eastAsia="宋体" w:cs="宋体"/>
                <w:szCs w:val="21"/>
              </w:rPr>
              <w:t>网络学习</w:t>
            </w:r>
          </w:p>
        </w:tc>
        <w:tc>
          <w:tcPr>
            <w:tcW w:w="1615" w:type="dxa"/>
            <w:vAlign w:val="center"/>
          </w:tcPr>
          <w:p w14:paraId="69765FCC">
            <w:pPr>
              <w:spacing w:line="360" w:lineRule="auto"/>
              <w:jc w:val="center"/>
              <w:rPr>
                <w:rFonts w:ascii="宋体" w:hAnsi="宋体" w:eastAsia="宋体" w:cs="宋体"/>
                <w:szCs w:val="21"/>
              </w:rPr>
            </w:pPr>
            <w:r>
              <w:rPr>
                <w:rFonts w:hint="eastAsia" w:ascii="宋体" w:hAnsi="宋体" w:eastAsia="宋体" w:cs="宋体"/>
                <w:szCs w:val="21"/>
              </w:rPr>
              <w:t>期末考试</w:t>
            </w:r>
          </w:p>
        </w:tc>
        <w:tc>
          <w:tcPr>
            <w:tcW w:w="994" w:type="dxa"/>
            <w:vMerge w:val="continue"/>
            <w:vAlign w:val="center"/>
          </w:tcPr>
          <w:p w14:paraId="680DEFAD">
            <w:pPr>
              <w:spacing w:line="360" w:lineRule="auto"/>
              <w:jc w:val="center"/>
              <w:rPr>
                <w:rFonts w:ascii="宋体" w:hAnsi="宋体" w:eastAsia="宋体" w:cs="宋体"/>
                <w:szCs w:val="21"/>
              </w:rPr>
            </w:pPr>
          </w:p>
        </w:tc>
      </w:tr>
      <w:tr w14:paraId="2AC3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AC401A5">
            <w:pPr>
              <w:spacing w:line="360" w:lineRule="auto"/>
              <w:jc w:val="center"/>
              <w:rPr>
                <w:rFonts w:ascii="宋体" w:hAnsi="宋体" w:eastAsia="宋体" w:cs="宋体"/>
                <w:szCs w:val="21"/>
              </w:rPr>
            </w:pPr>
            <w:r>
              <w:rPr>
                <w:rFonts w:hint="eastAsia" w:ascii="宋体" w:hAnsi="宋体" w:eastAsia="宋体" w:cs="宋体"/>
                <w:szCs w:val="21"/>
              </w:rPr>
              <w:t>课程目标1</w:t>
            </w:r>
          </w:p>
        </w:tc>
        <w:tc>
          <w:tcPr>
            <w:tcW w:w="1397" w:type="dxa"/>
            <w:vAlign w:val="center"/>
          </w:tcPr>
          <w:p w14:paraId="114E9A50">
            <w:pPr>
              <w:spacing w:line="360" w:lineRule="auto"/>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F050"/>
            </w:r>
          </w:p>
        </w:tc>
        <w:tc>
          <w:tcPr>
            <w:tcW w:w="1594" w:type="dxa"/>
            <w:vAlign w:val="center"/>
          </w:tcPr>
          <w:p w14:paraId="1AF3049B">
            <w:pPr>
              <w:spacing w:line="360" w:lineRule="auto"/>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F050"/>
            </w:r>
          </w:p>
        </w:tc>
        <w:tc>
          <w:tcPr>
            <w:tcW w:w="1476" w:type="dxa"/>
            <w:vAlign w:val="center"/>
          </w:tcPr>
          <w:p w14:paraId="1C2E5147">
            <w:pPr>
              <w:spacing w:line="360" w:lineRule="auto"/>
              <w:jc w:val="center"/>
              <w:rPr>
                <w:rFonts w:ascii="宋体" w:hAnsi="宋体" w:eastAsia="宋体" w:cs="宋体"/>
                <w:color w:val="000000" w:themeColor="text1"/>
                <w:szCs w:val="21"/>
                <w14:textFill>
                  <w14:solidFill>
                    <w14:schemeClr w14:val="tx1"/>
                  </w14:solidFill>
                </w14:textFill>
              </w:rPr>
            </w:pPr>
          </w:p>
        </w:tc>
        <w:tc>
          <w:tcPr>
            <w:tcW w:w="1615" w:type="dxa"/>
            <w:vAlign w:val="center"/>
          </w:tcPr>
          <w:p w14:paraId="3A51809A">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F050"/>
            </w:r>
          </w:p>
        </w:tc>
        <w:tc>
          <w:tcPr>
            <w:tcW w:w="994" w:type="dxa"/>
            <w:vAlign w:val="center"/>
          </w:tcPr>
          <w:p w14:paraId="1ABA89E5">
            <w:pPr>
              <w:spacing w:line="360" w:lineRule="auto"/>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w:t>
            </w:r>
          </w:p>
        </w:tc>
      </w:tr>
      <w:tr w14:paraId="23EC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D3D65C">
            <w:pPr>
              <w:spacing w:line="360" w:lineRule="auto"/>
              <w:jc w:val="center"/>
              <w:rPr>
                <w:rFonts w:ascii="宋体" w:hAnsi="宋体" w:eastAsia="宋体" w:cs="宋体"/>
                <w:szCs w:val="21"/>
              </w:rPr>
            </w:pPr>
            <w:r>
              <w:rPr>
                <w:rFonts w:hint="eastAsia" w:ascii="宋体" w:hAnsi="宋体" w:eastAsia="宋体" w:cs="宋体"/>
                <w:szCs w:val="21"/>
              </w:rPr>
              <w:t>课程目标2</w:t>
            </w:r>
          </w:p>
        </w:tc>
        <w:tc>
          <w:tcPr>
            <w:tcW w:w="1397" w:type="dxa"/>
            <w:vAlign w:val="center"/>
          </w:tcPr>
          <w:p w14:paraId="5CBECC2D">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F050"/>
            </w:r>
          </w:p>
        </w:tc>
        <w:tc>
          <w:tcPr>
            <w:tcW w:w="1594" w:type="dxa"/>
            <w:vAlign w:val="center"/>
          </w:tcPr>
          <w:p w14:paraId="4B2B9650">
            <w:pPr>
              <w:spacing w:line="360" w:lineRule="auto"/>
              <w:jc w:val="center"/>
              <w:rPr>
                <w:rFonts w:ascii="宋体" w:hAnsi="宋体" w:eastAsia="宋体" w:cs="宋体"/>
                <w:color w:val="000000" w:themeColor="text1"/>
                <w:szCs w:val="21"/>
                <w14:textFill>
                  <w14:solidFill>
                    <w14:schemeClr w14:val="tx1"/>
                  </w14:solidFill>
                </w14:textFill>
              </w:rPr>
            </w:pPr>
          </w:p>
        </w:tc>
        <w:tc>
          <w:tcPr>
            <w:tcW w:w="1476" w:type="dxa"/>
            <w:vAlign w:val="center"/>
          </w:tcPr>
          <w:p w14:paraId="5AF0A2F6">
            <w:pPr>
              <w:spacing w:line="360" w:lineRule="auto"/>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F050"/>
            </w:r>
          </w:p>
        </w:tc>
        <w:tc>
          <w:tcPr>
            <w:tcW w:w="1615" w:type="dxa"/>
            <w:vAlign w:val="center"/>
          </w:tcPr>
          <w:p w14:paraId="53AC5890">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F050"/>
            </w:r>
          </w:p>
        </w:tc>
        <w:tc>
          <w:tcPr>
            <w:tcW w:w="994" w:type="dxa"/>
            <w:vAlign w:val="center"/>
          </w:tcPr>
          <w:p w14:paraId="3A58C44A">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w:t>
            </w:r>
          </w:p>
        </w:tc>
      </w:tr>
      <w:tr w14:paraId="3B6F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CF20117">
            <w:pPr>
              <w:spacing w:line="360" w:lineRule="auto"/>
              <w:jc w:val="center"/>
              <w:rPr>
                <w:rFonts w:ascii="宋体" w:hAnsi="宋体" w:eastAsia="宋体" w:cs="宋体"/>
                <w:szCs w:val="21"/>
              </w:rPr>
            </w:pPr>
            <w:r>
              <w:rPr>
                <w:rFonts w:hint="eastAsia" w:ascii="宋体" w:hAnsi="宋体" w:eastAsia="宋体" w:cs="宋体"/>
                <w:szCs w:val="21"/>
              </w:rPr>
              <w:t>课程目标3</w:t>
            </w:r>
          </w:p>
        </w:tc>
        <w:tc>
          <w:tcPr>
            <w:tcW w:w="1397" w:type="dxa"/>
            <w:vAlign w:val="center"/>
          </w:tcPr>
          <w:p w14:paraId="6C6FC745">
            <w:pPr>
              <w:spacing w:line="360" w:lineRule="auto"/>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F050"/>
            </w:r>
          </w:p>
        </w:tc>
        <w:tc>
          <w:tcPr>
            <w:tcW w:w="1594" w:type="dxa"/>
            <w:vAlign w:val="center"/>
          </w:tcPr>
          <w:p w14:paraId="7A2E165A">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F050"/>
            </w:r>
          </w:p>
        </w:tc>
        <w:tc>
          <w:tcPr>
            <w:tcW w:w="1476" w:type="dxa"/>
            <w:vAlign w:val="center"/>
          </w:tcPr>
          <w:p w14:paraId="131DD775">
            <w:pPr>
              <w:spacing w:line="360" w:lineRule="auto"/>
              <w:jc w:val="center"/>
              <w:rPr>
                <w:rFonts w:ascii="宋体" w:hAnsi="宋体" w:eastAsia="宋体" w:cs="宋体"/>
                <w:color w:val="000000" w:themeColor="text1"/>
                <w:szCs w:val="21"/>
                <w14:textFill>
                  <w14:solidFill>
                    <w14:schemeClr w14:val="tx1"/>
                  </w14:solidFill>
                </w14:textFill>
              </w:rPr>
            </w:pPr>
          </w:p>
        </w:tc>
        <w:tc>
          <w:tcPr>
            <w:tcW w:w="1615" w:type="dxa"/>
            <w:vAlign w:val="center"/>
          </w:tcPr>
          <w:p w14:paraId="1DB2ABC8">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sym w:font="Wingdings 2" w:char="F050"/>
            </w:r>
          </w:p>
        </w:tc>
        <w:tc>
          <w:tcPr>
            <w:tcW w:w="994" w:type="dxa"/>
            <w:vAlign w:val="center"/>
          </w:tcPr>
          <w:p w14:paraId="091E1052">
            <w:pPr>
              <w:spacing w:line="360" w:lineRule="auto"/>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30</w:t>
            </w:r>
          </w:p>
        </w:tc>
      </w:tr>
      <w:tr w14:paraId="73C5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C0CA669">
            <w:pPr>
              <w:spacing w:line="360" w:lineRule="auto"/>
              <w:jc w:val="center"/>
              <w:rPr>
                <w:rFonts w:ascii="宋体" w:hAnsi="宋体" w:eastAsia="宋体" w:cs="宋体"/>
                <w:szCs w:val="21"/>
              </w:rPr>
            </w:pPr>
            <w:r>
              <w:rPr>
                <w:rFonts w:hint="eastAsia" w:ascii="宋体" w:hAnsi="宋体" w:eastAsia="宋体" w:cs="宋体"/>
                <w:szCs w:val="21"/>
              </w:rPr>
              <w:t>合计</w:t>
            </w:r>
          </w:p>
        </w:tc>
        <w:tc>
          <w:tcPr>
            <w:tcW w:w="1397" w:type="dxa"/>
            <w:vAlign w:val="center"/>
          </w:tcPr>
          <w:p w14:paraId="54F521AB">
            <w:pPr>
              <w:spacing w:line="360" w:lineRule="auto"/>
              <w:jc w:val="center"/>
              <w:rPr>
                <w:rFonts w:ascii="宋体" w:hAnsi="宋体" w:eastAsia="宋体" w:cs="宋体"/>
                <w:szCs w:val="21"/>
              </w:rPr>
            </w:pPr>
          </w:p>
        </w:tc>
        <w:tc>
          <w:tcPr>
            <w:tcW w:w="1594" w:type="dxa"/>
            <w:vAlign w:val="center"/>
          </w:tcPr>
          <w:p w14:paraId="76E6205A">
            <w:pPr>
              <w:spacing w:line="360" w:lineRule="auto"/>
              <w:jc w:val="center"/>
              <w:rPr>
                <w:rFonts w:ascii="宋体" w:hAnsi="宋体" w:eastAsia="宋体" w:cs="宋体"/>
                <w:szCs w:val="21"/>
              </w:rPr>
            </w:pPr>
          </w:p>
        </w:tc>
        <w:tc>
          <w:tcPr>
            <w:tcW w:w="1476" w:type="dxa"/>
            <w:vAlign w:val="center"/>
          </w:tcPr>
          <w:p w14:paraId="6B89BEB4">
            <w:pPr>
              <w:spacing w:line="360" w:lineRule="auto"/>
              <w:jc w:val="center"/>
              <w:rPr>
                <w:rFonts w:ascii="宋体" w:hAnsi="宋体" w:eastAsia="宋体" w:cs="宋体"/>
                <w:szCs w:val="21"/>
              </w:rPr>
            </w:pPr>
          </w:p>
        </w:tc>
        <w:tc>
          <w:tcPr>
            <w:tcW w:w="1615" w:type="dxa"/>
            <w:vAlign w:val="center"/>
          </w:tcPr>
          <w:p w14:paraId="31151EE3">
            <w:pPr>
              <w:spacing w:line="360" w:lineRule="auto"/>
              <w:jc w:val="center"/>
              <w:rPr>
                <w:rFonts w:ascii="宋体" w:hAnsi="宋体" w:eastAsia="宋体" w:cs="宋体"/>
                <w:szCs w:val="21"/>
              </w:rPr>
            </w:pPr>
          </w:p>
        </w:tc>
        <w:tc>
          <w:tcPr>
            <w:tcW w:w="994" w:type="dxa"/>
            <w:vAlign w:val="center"/>
          </w:tcPr>
          <w:p w14:paraId="24641F64">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100</w:t>
            </w:r>
          </w:p>
        </w:tc>
      </w:tr>
    </w:tbl>
    <w:p w14:paraId="2D50E22A">
      <w:pPr>
        <w:spacing w:before="156" w:beforeLines="50" w:line="360" w:lineRule="auto"/>
        <w:jc w:val="left"/>
        <w:rPr>
          <w:rFonts w:ascii="宋体" w:hAnsi="宋体" w:eastAsia="宋体"/>
          <w:b/>
          <w:szCs w:val="21"/>
        </w:rPr>
      </w:pPr>
      <w:r>
        <w:rPr>
          <w:rFonts w:hint="eastAsia" w:ascii="宋体" w:hAnsi="宋体" w:eastAsia="宋体"/>
          <w:b/>
          <w:szCs w:val="21"/>
        </w:rPr>
        <w:t>（二）成绩评定细则</w:t>
      </w:r>
    </w:p>
    <w:p w14:paraId="0FAC3E98">
      <w:pPr>
        <w:spacing w:line="360" w:lineRule="auto"/>
        <w:jc w:val="left"/>
        <w:rPr>
          <w:rFonts w:ascii="宋体" w:hAnsi="宋体" w:eastAsia="宋体"/>
          <w:szCs w:val="21"/>
        </w:rPr>
      </w:pPr>
      <w:r>
        <w:rPr>
          <w:rFonts w:hint="eastAsia" w:ascii="宋体" w:hAnsi="宋体" w:eastAsia="宋体"/>
          <w:szCs w:val="21"/>
        </w:rPr>
        <w:t>各部分的评价方式和成绩评定的细则如表4所示：</w:t>
      </w:r>
    </w:p>
    <w:p w14:paraId="46C36177">
      <w:pPr>
        <w:jc w:val="center"/>
        <w:rPr>
          <w:rFonts w:ascii="宋体" w:hAnsi="宋体" w:eastAsia="宋体" w:cs="宋体"/>
          <w:b/>
          <w:bCs/>
          <w:szCs w:val="21"/>
        </w:rPr>
      </w:pPr>
      <w:r>
        <w:rPr>
          <w:rFonts w:hint="eastAsia" w:ascii="宋体" w:hAnsi="宋体" w:eastAsia="宋体" w:cs="宋体"/>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6923"/>
        <w:gridCol w:w="706"/>
      </w:tblGrid>
      <w:tr w14:paraId="1FC9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0F995F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3" w:type="dxa"/>
            <w:vAlign w:val="center"/>
          </w:tcPr>
          <w:p w14:paraId="48172CE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DE6254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715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977455E">
            <w:pPr>
              <w:rPr>
                <w:rFonts w:ascii="Times New Roman" w:hAnsi="Times New Roman" w:eastAsia="宋体" w:cs="Times New Roman"/>
                <w:szCs w:val="21"/>
              </w:rPr>
            </w:pPr>
            <w:r>
              <w:rPr>
                <w:rFonts w:hint="eastAsia" w:ascii="Times New Roman" w:hAnsi="Times New Roman" w:eastAsia="宋体" w:cs="Times New Roman"/>
                <w:szCs w:val="21"/>
              </w:rPr>
              <w:t>网络学习</w:t>
            </w:r>
          </w:p>
        </w:tc>
        <w:tc>
          <w:tcPr>
            <w:tcW w:w="6923" w:type="dxa"/>
            <w:vAlign w:val="center"/>
          </w:tcPr>
          <w:p w14:paraId="2D738969">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themeColor="text1"/>
                <w:szCs w:val="21"/>
                <w14:textFill>
                  <w14:solidFill>
                    <w14:schemeClr w14:val="tx1"/>
                  </w14:solidFill>
                </w14:textFill>
              </w:rPr>
              <w:t>通过视频学习、互动讨论等考核对课程理论的理解和运用。</w:t>
            </w:r>
          </w:p>
        </w:tc>
        <w:tc>
          <w:tcPr>
            <w:tcW w:w="0" w:type="auto"/>
            <w:vAlign w:val="center"/>
          </w:tcPr>
          <w:p w14:paraId="24DE5E06">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7FC5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21C972CF">
            <w:pPr>
              <w:rPr>
                <w:rFonts w:ascii="Times New Roman" w:hAnsi="Times New Roman" w:eastAsia="宋体" w:cs="Times New Roman"/>
                <w:szCs w:val="21"/>
              </w:rPr>
            </w:pPr>
            <w:r>
              <w:rPr>
                <w:rFonts w:hint="eastAsia" w:ascii="Times New Roman" w:hAnsi="Times New Roman" w:eastAsia="宋体" w:cs="Times New Roman"/>
                <w:szCs w:val="21"/>
              </w:rPr>
              <w:t>平时表现</w:t>
            </w:r>
          </w:p>
        </w:tc>
        <w:tc>
          <w:tcPr>
            <w:tcW w:w="6923" w:type="dxa"/>
            <w:vAlign w:val="center"/>
          </w:tcPr>
          <w:p w14:paraId="35AF6CD5">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themeColor="text1"/>
                <w:szCs w:val="21"/>
                <w14:textFill>
                  <w14:solidFill>
                    <w14:schemeClr w14:val="tx1"/>
                  </w14:solidFill>
                </w14:textFill>
              </w:rPr>
              <w:t>通过课堂互动、学习态度等考核对课程理论的理解和运用。</w:t>
            </w:r>
          </w:p>
        </w:tc>
        <w:tc>
          <w:tcPr>
            <w:tcW w:w="0" w:type="auto"/>
            <w:vAlign w:val="center"/>
          </w:tcPr>
          <w:p w14:paraId="7648D044">
            <w:pPr>
              <w:jc w:val="center"/>
              <w:rPr>
                <w:rFonts w:ascii="Times New Roman" w:hAnsi="Times New Roman" w:eastAsia="宋体" w:cs="Times New Roman"/>
                <w:szCs w:val="21"/>
              </w:rPr>
            </w:pPr>
            <w:r>
              <w:rPr>
                <w:rFonts w:ascii="Times New Roman" w:hAnsi="Times New Roman" w:eastAsia="宋体" w:cs="Times New Roman"/>
                <w:szCs w:val="21"/>
              </w:rPr>
              <w:t>20</w:t>
            </w:r>
            <w:r>
              <w:rPr>
                <w:rFonts w:hint="eastAsia" w:ascii="Times New Roman" w:hAnsi="Times New Roman" w:eastAsia="宋体" w:cs="Times New Roman"/>
                <w:szCs w:val="21"/>
              </w:rPr>
              <w:t>%</w:t>
            </w:r>
          </w:p>
        </w:tc>
      </w:tr>
      <w:tr w14:paraId="19D7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09AF1E6">
            <w:pPr>
              <w:rPr>
                <w:rFonts w:ascii="Times New Roman" w:hAnsi="Times New Roman" w:eastAsia="宋体" w:cs="Times New Roman"/>
                <w:szCs w:val="21"/>
              </w:rPr>
            </w:pPr>
            <w:r>
              <w:rPr>
                <w:rFonts w:hint="eastAsia" w:ascii="Times New Roman" w:hAnsi="Times New Roman" w:eastAsia="宋体" w:cs="Times New Roman"/>
                <w:szCs w:val="21"/>
              </w:rPr>
              <w:t>作业</w:t>
            </w:r>
          </w:p>
        </w:tc>
        <w:tc>
          <w:tcPr>
            <w:tcW w:w="6923" w:type="dxa"/>
            <w:vAlign w:val="center"/>
          </w:tcPr>
          <w:p w14:paraId="7FA3AECD">
            <w:pPr>
              <w:rPr>
                <w:rFonts w:eastAsia="宋体" w:cs="Times New Roman" w:asciiTheme="minorEastAsia" w:hAnsiTheme="minorEastAsia"/>
                <w:kern w:val="0"/>
                <w:szCs w:val="21"/>
              </w:rPr>
            </w:pPr>
            <w:r>
              <w:rPr>
                <w:rFonts w:hint="eastAsia" w:ascii="Times New Roman" w:hAnsi="Times New Roman" w:eastAsia="宋体" w:cs="Times New Roman"/>
                <w:color w:val="000000" w:themeColor="text1"/>
                <w:szCs w:val="21"/>
                <w14:textFill>
                  <w14:solidFill>
                    <w14:schemeClr w14:val="tx1"/>
                  </w14:solidFill>
                </w14:textFill>
              </w:rPr>
              <w:t>通过章节测验、思考题等考核对课程理论的理解和运用。</w:t>
            </w:r>
          </w:p>
        </w:tc>
        <w:tc>
          <w:tcPr>
            <w:tcW w:w="0" w:type="auto"/>
            <w:vAlign w:val="center"/>
          </w:tcPr>
          <w:p w14:paraId="3D5B9DC1">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3AFC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4101B7F">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923" w:type="dxa"/>
            <w:vAlign w:val="center"/>
          </w:tcPr>
          <w:p w14:paraId="1E4025B2">
            <w:pPr>
              <w:spacing w:line="264" w:lineRule="auto"/>
              <w:jc w:val="left"/>
              <w:rPr>
                <w:rFonts w:ascii="Times New Roman" w:hAnsi="Times New Roman" w:eastAsia="宋体" w:cs="Times New Roman"/>
                <w:szCs w:val="21"/>
              </w:rPr>
            </w:pPr>
            <w:r>
              <w:rPr>
                <w:rFonts w:eastAsia="宋体" w:cs="Times New Roman" w:asciiTheme="minorEastAsia" w:hAnsiTheme="minorEastAsia"/>
                <w:bCs/>
                <w:kern w:val="24"/>
                <w:szCs w:val="21"/>
              </w:rPr>
              <w:t>试卷题型包括</w:t>
            </w:r>
            <w:r>
              <w:rPr>
                <w:rFonts w:hint="eastAsia" w:eastAsia="宋体" w:cs="Times New Roman" w:asciiTheme="minorEastAsia" w:hAnsiTheme="minorEastAsia"/>
                <w:bCs/>
                <w:kern w:val="24"/>
                <w:szCs w:val="21"/>
              </w:rPr>
              <w:t>单项</w:t>
            </w:r>
            <w:r>
              <w:rPr>
                <w:rFonts w:eastAsia="宋体" w:cs="Times New Roman" w:asciiTheme="minorEastAsia" w:hAnsiTheme="minorEastAsia"/>
                <w:bCs/>
                <w:kern w:val="24"/>
                <w:szCs w:val="21"/>
              </w:rPr>
              <w:t>选择题、</w:t>
            </w:r>
            <w:r>
              <w:rPr>
                <w:rFonts w:eastAsia="宋体" w:cs="Times New Roman" w:asciiTheme="minorEastAsia" w:hAnsiTheme="minorEastAsia"/>
                <w:kern w:val="0"/>
                <w:szCs w:val="21"/>
              </w:rPr>
              <w:t>判断题</w:t>
            </w:r>
            <w:r>
              <w:rPr>
                <w:rFonts w:eastAsia="宋体" w:cs="Times New Roman" w:asciiTheme="minorEastAsia" w:hAnsiTheme="minorEastAsia"/>
                <w:bCs/>
                <w:kern w:val="24"/>
                <w:szCs w:val="21"/>
              </w:rPr>
              <w:t>、</w:t>
            </w:r>
            <w:r>
              <w:rPr>
                <w:rFonts w:hint="eastAsia" w:eastAsia="宋体" w:cs="Times New Roman" w:asciiTheme="minorEastAsia" w:hAnsiTheme="minorEastAsia"/>
                <w:bCs/>
                <w:kern w:val="24"/>
                <w:szCs w:val="21"/>
              </w:rPr>
              <w:t>多项选择</w:t>
            </w:r>
            <w:r>
              <w:rPr>
                <w:rFonts w:eastAsia="宋体" w:cs="Times New Roman" w:asciiTheme="minorEastAsia" w:hAnsiTheme="minorEastAsia"/>
                <w:bCs/>
                <w:kern w:val="24"/>
                <w:szCs w:val="21"/>
              </w:rPr>
              <w:t>题等。考核思政理论基础知识</w:t>
            </w:r>
            <w:r>
              <w:rPr>
                <w:rFonts w:hint="eastAsia" w:eastAsia="宋体" w:cs="Times New Roman" w:asciiTheme="minorEastAsia" w:hAnsiTheme="minorEastAsia"/>
                <w:bCs/>
                <w:kern w:val="24"/>
                <w:szCs w:val="21"/>
              </w:rPr>
              <w:t>和</w:t>
            </w:r>
            <w:r>
              <w:rPr>
                <w:rFonts w:eastAsia="宋体" w:cs="Times New Roman" w:asciiTheme="minorEastAsia" w:hAnsiTheme="minorEastAsia"/>
                <w:bCs/>
                <w:kern w:val="24"/>
                <w:szCs w:val="21"/>
              </w:rPr>
              <w:t>马克思主义的立场</w:t>
            </w:r>
            <w:r>
              <w:rPr>
                <w:rFonts w:hint="eastAsia" w:eastAsia="宋体" w:cs="Times New Roman" w:asciiTheme="minorEastAsia" w:hAnsiTheme="minorEastAsia"/>
                <w:bCs/>
                <w:kern w:val="24"/>
                <w:szCs w:val="21"/>
              </w:rPr>
              <w:t>、</w:t>
            </w:r>
            <w:r>
              <w:rPr>
                <w:rFonts w:eastAsia="宋体" w:cs="Times New Roman" w:asciiTheme="minorEastAsia" w:hAnsiTheme="minorEastAsia"/>
                <w:bCs/>
                <w:kern w:val="24"/>
                <w:szCs w:val="21"/>
              </w:rPr>
              <w:t>观点和方法</w:t>
            </w:r>
            <w:r>
              <w:rPr>
                <w:rFonts w:hint="eastAsia" w:eastAsia="宋体" w:cs="Times New Roman" w:asciiTheme="minorEastAsia" w:hAnsiTheme="minorEastAsia"/>
                <w:bCs/>
                <w:kern w:val="24"/>
                <w:szCs w:val="21"/>
              </w:rPr>
              <w:t>的</w:t>
            </w:r>
            <w:r>
              <w:rPr>
                <w:rFonts w:eastAsia="宋体" w:cs="Times New Roman" w:asciiTheme="minorEastAsia" w:hAnsiTheme="minorEastAsia"/>
                <w:bCs/>
                <w:kern w:val="24"/>
                <w:szCs w:val="21"/>
              </w:rPr>
              <w:t>运用</w:t>
            </w:r>
            <w:r>
              <w:rPr>
                <w:rFonts w:hint="eastAsia" w:eastAsia="宋体" w:cs="Times New Roman" w:asciiTheme="minorEastAsia" w:hAnsiTheme="minorEastAsia"/>
                <w:kern w:val="0"/>
                <w:szCs w:val="21"/>
              </w:rPr>
              <w:t>。</w:t>
            </w:r>
          </w:p>
        </w:tc>
        <w:tc>
          <w:tcPr>
            <w:tcW w:w="0" w:type="auto"/>
            <w:vAlign w:val="center"/>
          </w:tcPr>
          <w:p w14:paraId="284CB4CF">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1C04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43DEB6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ACE6316">
            <w:pPr>
              <w:jc w:val="left"/>
              <w:rPr>
                <w:rFonts w:ascii="Times New Roman" w:hAnsi="Times New Roman" w:eastAsia="宋体" w:cs="Times New Roman"/>
                <w:szCs w:val="21"/>
              </w:rPr>
            </w:pPr>
          </w:p>
        </w:tc>
        <w:tc>
          <w:tcPr>
            <w:tcW w:w="0" w:type="auto"/>
            <w:vAlign w:val="center"/>
          </w:tcPr>
          <w:p w14:paraId="1899C520">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358E355">
      <w:pPr>
        <w:adjustRightInd w:val="0"/>
        <w:snapToGrid w:val="0"/>
        <w:spacing w:before="156" w:beforeLines="50" w:line="360" w:lineRule="auto"/>
        <w:jc w:val="left"/>
        <w:rPr>
          <w:rFonts w:ascii="宋体" w:hAnsi="宋体" w:eastAsia="宋体"/>
          <w:b/>
          <w:color w:val="000000"/>
          <w:szCs w:val="21"/>
        </w:rPr>
      </w:pPr>
      <w:r>
        <w:rPr>
          <w:rFonts w:hint="eastAsia" w:ascii="宋体" w:hAnsi="宋体" w:eastAsia="宋体"/>
          <w:b/>
          <w:color w:val="000000"/>
          <w:szCs w:val="21"/>
        </w:rPr>
        <w:t>（三）课程目标达成度计算方法</w:t>
      </w:r>
    </w:p>
    <w:p w14:paraId="310F638B">
      <w:pPr>
        <w:spacing w:line="360" w:lineRule="auto"/>
        <w:ind w:firstLine="411" w:firstLineChars="196"/>
        <w:jc w:val="left"/>
        <w:rPr>
          <w:rFonts w:ascii="宋体" w:hAnsi="宋体" w:eastAsia="宋体"/>
          <w:color w:val="000000"/>
          <w:sz w:val="24"/>
          <w:szCs w:val="24"/>
        </w:rPr>
      </w:pPr>
      <w:r>
        <w:rPr>
          <w:rFonts w:hint="eastAsia" w:ascii="宋体" w:hAnsi="宋体" w:eastAsia="宋体"/>
          <w:color w:val="000000"/>
          <w:szCs w:val="21"/>
        </w:rPr>
        <w:t>所有课程目标均需大于等于</w:t>
      </w:r>
      <w:r>
        <w:rPr>
          <w:rFonts w:ascii="宋体" w:hAnsi="宋体" w:eastAsia="宋体"/>
          <w:color w:val="000000"/>
          <w:szCs w:val="21"/>
        </w:rPr>
        <w:t>0.6，否则总评成绩不及格，需要补考或重修。每门课程目标总体达成度计算方法如下：</w:t>
      </w:r>
    </w:p>
    <w:p w14:paraId="72422626">
      <w:pPr>
        <w:spacing w:before="156" w:beforeLines="50" w:line="360" w:lineRule="auto"/>
        <w:ind w:firstLine="420" w:firstLineChars="200"/>
        <w:jc w:val="left"/>
        <w:rPr>
          <w:rFonts w:asciiTheme="minorEastAsia" w:hAnsiTheme="minorEastAsia"/>
          <w:sz w:val="24"/>
        </w:rPr>
      </w:pPr>
      <w:r>
        <w:rPr>
          <w:rFonts w:ascii="宋体" w:hAnsi="宋体"/>
          <w:color w:val="000000"/>
          <w:szCs w:val="21"/>
        </w:rPr>
        <w:object>
          <v:shape id="_x0000_i1028" o:spt="75" type="#_x0000_t75" style="height:25.15pt;width:404.25pt;" o:ole="t" filled="f" o:preferrelative="t" stroked="f" coordsize="21600,21600">
            <v:path/>
            <v:fill on="f" focussize="0,0"/>
            <v:stroke on="f" joinstyle="miter"/>
            <v:imagedata r:id="rId5" o:title=""/>
            <o:lock v:ext="edit" aspectratio="t"/>
            <w10:wrap type="none"/>
            <w10:anchorlock/>
          </v:shape>
          <o:OLEObject Type="Embed" ProgID="Equation.3" ShapeID="_x0000_i1028" DrawAspect="Content" ObjectID="_1468075728" r:id="rId9">
            <o:LockedField>false</o:LockedField>
          </o:OLEObject>
        </w:object>
      </w:r>
    </w:p>
    <w:p w14:paraId="339DD20A">
      <w:pPr>
        <w:spacing w:line="360" w:lineRule="auto"/>
        <w:rPr>
          <w:rFonts w:ascii="宋体" w:hAnsi="宋体" w:eastAsia="宋体"/>
          <w:b/>
          <w:sz w:val="24"/>
          <w:szCs w:val="24"/>
        </w:rPr>
      </w:pPr>
      <w:r>
        <w:rPr>
          <w:rFonts w:hint="eastAsia" w:ascii="宋体" w:hAnsi="宋体" w:eastAsia="宋体"/>
          <w:b/>
          <w:sz w:val="24"/>
          <w:szCs w:val="24"/>
        </w:rPr>
        <w:t>五</w:t>
      </w:r>
      <w:r>
        <w:rPr>
          <w:rFonts w:ascii="宋体" w:hAnsi="宋体" w:eastAsia="宋体"/>
          <w:b/>
          <w:sz w:val="24"/>
          <w:szCs w:val="24"/>
        </w:rPr>
        <w:t>、</w:t>
      </w:r>
      <w:r>
        <w:rPr>
          <w:rFonts w:hint="eastAsia" w:ascii="宋体" w:hAnsi="宋体" w:eastAsia="宋体"/>
          <w:b/>
          <w:sz w:val="24"/>
          <w:szCs w:val="24"/>
        </w:rPr>
        <w:t>有关说明</w:t>
      </w:r>
    </w:p>
    <w:p w14:paraId="2E438704">
      <w:pPr>
        <w:spacing w:line="360" w:lineRule="auto"/>
        <w:ind w:firstLine="422" w:firstLineChars="200"/>
        <w:rPr>
          <w:rFonts w:ascii="宋体" w:hAnsi="宋体" w:eastAsia="宋体"/>
          <w:b/>
          <w:color w:val="000000"/>
          <w:szCs w:val="21"/>
        </w:rPr>
      </w:pPr>
      <w:r>
        <w:rPr>
          <w:rFonts w:hint="eastAsia" w:ascii="宋体" w:hAnsi="宋体" w:eastAsia="宋体"/>
          <w:b/>
          <w:color w:val="000000"/>
          <w:szCs w:val="21"/>
        </w:rPr>
        <w:t>（一）持续改进</w:t>
      </w:r>
    </w:p>
    <w:p w14:paraId="08109B82">
      <w:pPr>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本课程根据平时表现、作业、实践和期末考试等考核情况，以及学生、教学督导等反馈，及时对教学中不足之处进行改进，并在下一轮课程教学中整改完善，确保相应毕业要求达成。</w:t>
      </w:r>
    </w:p>
    <w:p w14:paraId="7DC72816">
      <w:pPr>
        <w:spacing w:line="360" w:lineRule="auto"/>
        <w:ind w:firstLine="422" w:firstLineChars="200"/>
        <w:rPr>
          <w:rFonts w:ascii="宋体" w:hAnsi="宋体" w:eastAsia="宋体"/>
          <w:b/>
          <w:color w:val="000000"/>
          <w:szCs w:val="21"/>
        </w:rPr>
      </w:pPr>
      <w:r>
        <w:rPr>
          <w:rFonts w:hint="eastAsia" w:ascii="宋体" w:hAnsi="宋体" w:eastAsia="宋体"/>
          <w:b/>
          <w:color w:val="000000"/>
          <w:szCs w:val="21"/>
        </w:rPr>
        <w:t>（二）建议教材</w:t>
      </w:r>
    </w:p>
    <w:p w14:paraId="1090F650">
      <w:pPr>
        <w:spacing w:line="336"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《毛泽东思想和中国特色社会主义理论体系概论》编写组主编</w:t>
      </w:r>
      <w:r>
        <w:rPr>
          <w:rFonts w:ascii="宋体" w:hAnsi="宋体" w:eastAsia="宋体" w:cs="Times New Roman"/>
          <w:color w:val="000000"/>
          <w:szCs w:val="21"/>
        </w:rPr>
        <w:t>.</w:t>
      </w:r>
      <w:r>
        <w:rPr>
          <w:rFonts w:hint="eastAsia" w:ascii="宋体" w:hAnsi="宋体" w:eastAsia="宋体" w:cs="Times New Roman"/>
          <w:color w:val="000000"/>
          <w:szCs w:val="21"/>
        </w:rPr>
        <w:t xml:space="preserve"> 毛泽东思想和中国特色社会主义理论体系概论，高等教育出版社，2021</w:t>
      </w:r>
      <w:r>
        <w:rPr>
          <w:rFonts w:ascii="宋体" w:hAnsi="宋体" w:eastAsia="宋体" w:cs="Times New Roman"/>
          <w:color w:val="000000"/>
          <w:szCs w:val="21"/>
        </w:rPr>
        <w:t>.</w:t>
      </w:r>
      <w:r>
        <w:rPr>
          <w:rFonts w:hint="eastAsia" w:ascii="宋体" w:hAnsi="宋体" w:eastAsia="宋体" w:cs="Times New Roman"/>
          <w:color w:val="000000"/>
          <w:szCs w:val="21"/>
        </w:rPr>
        <w:t xml:space="preserve"> （马克思主义理论研究和建设工程重点教材）</w:t>
      </w:r>
    </w:p>
    <w:p w14:paraId="5D97EF11">
      <w:pPr>
        <w:spacing w:line="360" w:lineRule="auto"/>
        <w:ind w:firstLine="422" w:firstLineChars="200"/>
        <w:rPr>
          <w:rFonts w:ascii="宋体" w:hAnsi="宋体" w:eastAsia="宋体"/>
          <w:b/>
          <w:color w:val="000000"/>
          <w:szCs w:val="21"/>
        </w:rPr>
      </w:pPr>
      <w:r>
        <w:rPr>
          <w:rFonts w:hint="eastAsia" w:ascii="宋体" w:hAnsi="宋体" w:eastAsia="宋体"/>
          <w:b/>
          <w:color w:val="000000"/>
          <w:szCs w:val="21"/>
        </w:rPr>
        <w:t>（三）</w:t>
      </w:r>
      <w:r>
        <w:rPr>
          <w:rFonts w:ascii="宋体" w:hAnsi="宋体" w:eastAsia="宋体"/>
          <w:b/>
          <w:color w:val="000000"/>
          <w:szCs w:val="21"/>
        </w:rPr>
        <w:t>参考书目</w:t>
      </w:r>
    </w:p>
    <w:p w14:paraId="48C2D9BB">
      <w:pPr>
        <w:spacing w:line="360" w:lineRule="auto"/>
        <w:ind w:firstLine="420"/>
        <w:rPr>
          <w:rFonts w:ascii="宋体" w:hAnsi="宋体" w:eastAsia="宋体" w:cs="宋体"/>
          <w:szCs w:val="21"/>
        </w:rPr>
      </w:pPr>
      <w:bookmarkStart w:id="17" w:name="_Hlk44772693"/>
      <w:r>
        <w:rPr>
          <w:rFonts w:hint="eastAsia" w:ascii="宋体" w:hAnsi="宋体" w:eastAsia="宋体" w:cs="宋体"/>
          <w:szCs w:val="21"/>
        </w:rPr>
        <w:t>1.毛泽东选集（第1-4卷）.人民出版社，1991.</w:t>
      </w:r>
    </w:p>
    <w:p w14:paraId="4E6F3189">
      <w:pPr>
        <w:spacing w:line="360" w:lineRule="auto"/>
        <w:ind w:firstLine="420" w:firstLineChars="200"/>
        <w:rPr>
          <w:rFonts w:ascii="宋体" w:hAnsi="宋体" w:eastAsia="宋体" w:cs="宋体"/>
          <w:szCs w:val="21"/>
        </w:rPr>
      </w:pPr>
      <w:r>
        <w:rPr>
          <w:rFonts w:hint="eastAsia" w:ascii="宋体" w:hAnsi="宋体" w:eastAsia="宋体" w:cs="宋体"/>
          <w:szCs w:val="21"/>
        </w:rPr>
        <w:t>2.邓小平文选（第1-3卷）.人民出版社，1995.</w:t>
      </w:r>
    </w:p>
    <w:p w14:paraId="715E0638">
      <w:pPr>
        <w:spacing w:line="360" w:lineRule="auto"/>
        <w:ind w:firstLine="420" w:firstLineChars="200"/>
        <w:rPr>
          <w:rFonts w:ascii="宋体" w:hAnsi="宋体" w:eastAsia="宋体" w:cs="宋体"/>
          <w:szCs w:val="21"/>
        </w:rPr>
      </w:pPr>
      <w:r>
        <w:rPr>
          <w:rFonts w:hint="eastAsia" w:ascii="宋体" w:hAnsi="宋体" w:eastAsia="宋体" w:cs="宋体"/>
          <w:szCs w:val="21"/>
        </w:rPr>
        <w:t>3.江泽民文选（1-3卷）.人民出版社，2006.</w:t>
      </w:r>
    </w:p>
    <w:p w14:paraId="7AB2C7BA">
      <w:pPr>
        <w:spacing w:line="360" w:lineRule="auto"/>
        <w:ind w:firstLine="420" w:firstLineChars="200"/>
        <w:rPr>
          <w:rFonts w:ascii="宋体" w:hAnsi="宋体" w:eastAsia="宋体" w:cs="宋体"/>
          <w:szCs w:val="21"/>
        </w:rPr>
      </w:pPr>
      <w:r>
        <w:rPr>
          <w:rFonts w:hint="eastAsia" w:ascii="宋体" w:hAnsi="宋体" w:eastAsia="宋体" w:cs="宋体"/>
          <w:szCs w:val="21"/>
        </w:rPr>
        <w:t>4.胡锦涛文选（第1-3卷）.人民出版社，2016.</w:t>
      </w:r>
    </w:p>
    <w:p w14:paraId="074ABF93">
      <w:pPr>
        <w:spacing w:line="360" w:lineRule="auto"/>
        <w:ind w:firstLine="420" w:firstLineChars="200"/>
        <w:rPr>
          <w:rFonts w:ascii="宋体" w:hAnsi="宋体" w:eastAsia="宋体" w:cs="宋体"/>
          <w:szCs w:val="21"/>
        </w:rPr>
      </w:pPr>
      <w:r>
        <w:rPr>
          <w:rFonts w:hint="eastAsia" w:ascii="宋体" w:hAnsi="宋体" w:eastAsia="宋体" w:cs="宋体"/>
          <w:szCs w:val="21"/>
        </w:rPr>
        <w:t>5.习近平新时代中国特色社会主义思想概论</w:t>
      </w:r>
      <w:r>
        <w:rPr>
          <w:rFonts w:ascii="宋体" w:hAnsi="宋体" w:eastAsia="宋体" w:cs="宋体"/>
          <w:szCs w:val="21"/>
        </w:rPr>
        <w:t>.</w:t>
      </w:r>
      <w:r>
        <w:rPr>
          <w:rFonts w:hint="eastAsia" w:ascii="宋体" w:hAnsi="宋体" w:eastAsia="宋体" w:cs="宋体"/>
          <w:szCs w:val="21"/>
        </w:rPr>
        <w:t>高等教育出版社、人民出版社，2023</w:t>
      </w:r>
      <w:r>
        <w:rPr>
          <w:rFonts w:ascii="宋体" w:hAnsi="宋体" w:eastAsia="宋体" w:cs="宋体"/>
          <w:szCs w:val="21"/>
        </w:rPr>
        <w:t>.</w:t>
      </w:r>
    </w:p>
    <w:p w14:paraId="705A516F">
      <w:pPr>
        <w:spacing w:line="360" w:lineRule="auto"/>
        <w:ind w:firstLine="420" w:firstLineChars="200"/>
        <w:rPr>
          <w:rFonts w:ascii="宋体" w:hAnsi="宋体" w:eastAsia="宋体" w:cs="宋体"/>
          <w:szCs w:val="21"/>
        </w:rPr>
      </w:pPr>
      <w:r>
        <w:rPr>
          <w:rFonts w:hint="eastAsia" w:ascii="宋体" w:hAnsi="宋体" w:eastAsia="宋体" w:cs="宋体"/>
          <w:szCs w:val="21"/>
        </w:rPr>
        <w:t>6.习近平新时代中国特色社会主义思想专题摘编</w:t>
      </w:r>
      <w:r>
        <w:rPr>
          <w:rFonts w:ascii="宋体" w:hAnsi="宋体" w:eastAsia="宋体" w:cs="宋体"/>
          <w:szCs w:val="21"/>
        </w:rPr>
        <w:t>.</w:t>
      </w:r>
      <w:r>
        <w:rPr>
          <w:rFonts w:hint="eastAsia" w:ascii="宋体" w:hAnsi="宋体" w:eastAsia="宋体" w:cs="宋体"/>
          <w:szCs w:val="21"/>
        </w:rPr>
        <w:t>党建读物出版社，2023</w:t>
      </w:r>
      <w:r>
        <w:rPr>
          <w:rFonts w:ascii="宋体" w:hAnsi="宋体" w:eastAsia="宋体" w:cs="宋体"/>
          <w:szCs w:val="21"/>
        </w:rPr>
        <w:t>.</w:t>
      </w:r>
    </w:p>
    <w:p w14:paraId="37403881">
      <w:pPr>
        <w:spacing w:line="360" w:lineRule="auto"/>
        <w:ind w:firstLine="422" w:firstLineChars="200"/>
        <w:rPr>
          <w:rFonts w:ascii="宋体" w:hAnsi="宋体" w:eastAsia="宋体" w:cs="Times New Roman"/>
          <w:b/>
          <w:bCs/>
          <w:szCs w:val="21"/>
        </w:rPr>
      </w:pPr>
      <w:r>
        <w:rPr>
          <w:rFonts w:hint="eastAsia" w:ascii="宋体" w:hAnsi="宋体" w:eastAsia="宋体" w:cs="Times New Roman"/>
          <w:b/>
          <w:bCs/>
          <w:szCs w:val="21"/>
        </w:rPr>
        <w:t>（四）教学改革</w:t>
      </w:r>
    </w:p>
    <w:p w14:paraId="2A0CB043">
      <w:pPr>
        <w:spacing w:line="360" w:lineRule="auto"/>
        <w:ind w:firstLine="420" w:firstLineChars="200"/>
        <w:rPr>
          <w:rFonts w:ascii="宋体" w:hAnsi="宋体" w:eastAsia="宋体" w:cs="宋体"/>
          <w:szCs w:val="21"/>
        </w:rPr>
      </w:pPr>
      <w:r>
        <w:rPr>
          <w:rFonts w:hint="eastAsia" w:ascii="宋体" w:hAnsi="宋体" w:eastAsia="宋体" w:cs="宋体"/>
          <w:szCs w:val="21"/>
        </w:rPr>
        <w:t>本课程的教学改革，需制定相应的教学方案。</w:t>
      </w:r>
      <w:bookmarkEnd w:id="17"/>
    </w:p>
    <w:p w14:paraId="22835999">
      <w:pPr>
        <w:autoSpaceDE w:val="0"/>
        <w:autoSpaceDN w:val="0"/>
        <w:adjustRightInd w:val="0"/>
        <w:spacing w:line="360" w:lineRule="auto"/>
        <w:ind w:firstLine="480" w:firstLineChars="200"/>
        <w:jc w:val="right"/>
        <w:rPr>
          <w:rFonts w:ascii="宋体" w:hAnsi="宋体" w:eastAsia="宋体" w:cs="宋体"/>
          <w:kern w:val="0"/>
          <w:sz w:val="24"/>
          <w:szCs w:val="24"/>
        </w:rPr>
      </w:pPr>
      <w:r>
        <w:rPr>
          <w:rFonts w:hint="eastAsia" w:ascii="宋体" w:hAnsi="宋体" w:eastAsia="宋体" w:cs="宋体"/>
          <w:kern w:val="0"/>
          <w:sz w:val="24"/>
          <w:szCs w:val="24"/>
        </w:rPr>
        <w:t>执笔人：赵  颖</w:t>
      </w:r>
    </w:p>
    <w:p w14:paraId="5F1BEB04">
      <w:pPr>
        <w:autoSpaceDE w:val="0"/>
        <w:autoSpaceDN w:val="0"/>
        <w:adjustRightInd w:val="0"/>
        <w:spacing w:line="360" w:lineRule="auto"/>
        <w:ind w:firstLine="480" w:firstLineChars="200"/>
        <w:jc w:val="right"/>
        <w:rPr>
          <w:rFonts w:ascii="宋体" w:hAnsi="宋体" w:eastAsia="宋体" w:cs="宋体"/>
          <w:kern w:val="0"/>
          <w:sz w:val="24"/>
          <w:szCs w:val="24"/>
        </w:rPr>
      </w:pPr>
      <w:r>
        <w:rPr>
          <w:rFonts w:hint="eastAsia" w:ascii="宋体" w:hAnsi="宋体" w:eastAsia="宋体" w:cs="宋体"/>
          <w:kern w:val="0"/>
          <w:sz w:val="24"/>
          <w:szCs w:val="24"/>
        </w:rPr>
        <w:t>审定人：夏天静</w:t>
      </w:r>
    </w:p>
    <w:p w14:paraId="15242788">
      <w:pPr>
        <w:autoSpaceDE w:val="0"/>
        <w:autoSpaceDN w:val="0"/>
        <w:adjustRightInd w:val="0"/>
        <w:spacing w:line="360" w:lineRule="auto"/>
        <w:ind w:firstLine="480" w:firstLineChars="200"/>
        <w:jc w:val="right"/>
        <w:rPr>
          <w:rFonts w:ascii="宋体" w:hAnsi="宋体" w:eastAsia="宋体" w:cs="宋体"/>
          <w:kern w:val="0"/>
          <w:sz w:val="24"/>
          <w:szCs w:val="24"/>
        </w:rPr>
      </w:pPr>
      <w:r>
        <w:rPr>
          <w:rFonts w:hint="eastAsia" w:ascii="宋体" w:hAnsi="宋体" w:eastAsia="宋体" w:cs="宋体"/>
          <w:kern w:val="0"/>
          <w:sz w:val="24"/>
          <w:szCs w:val="24"/>
        </w:rPr>
        <w:t>审批人：</w:t>
      </w:r>
      <w:r>
        <w:rPr>
          <w:rFonts w:hint="eastAsia" w:ascii="Times New Roman" w:hAnsi="Times New Roman" w:eastAsia="宋体" w:cs="Times New Roman"/>
          <w:kern w:val="0"/>
          <w:sz w:val="24"/>
          <w:szCs w:val="21"/>
        </w:rPr>
        <w:t>熊焱生</w:t>
      </w:r>
    </w:p>
    <w:p w14:paraId="5B9F8E3C">
      <w:pPr>
        <w:autoSpaceDE w:val="0"/>
        <w:autoSpaceDN w:val="0"/>
        <w:adjustRightInd w:val="0"/>
        <w:spacing w:line="360" w:lineRule="auto"/>
        <w:ind w:firstLine="480" w:firstLineChars="200"/>
        <w:jc w:val="right"/>
        <w:rPr>
          <w:rFonts w:ascii="宋体" w:hAnsi="宋体" w:eastAsia="宋体" w:cs="宋体"/>
          <w:color w:val="FF0000"/>
          <w:kern w:val="0"/>
          <w:sz w:val="24"/>
          <w:szCs w:val="24"/>
        </w:rPr>
      </w:pPr>
      <w:r>
        <w:rPr>
          <w:rFonts w:hint="eastAsia" w:ascii="宋体" w:hAnsi="宋体" w:eastAsia="宋体" w:cs="宋体"/>
          <w:kern w:val="0"/>
          <w:sz w:val="24"/>
          <w:szCs w:val="24"/>
        </w:rPr>
        <w:t>2024年08月30日</w:t>
      </w:r>
    </w:p>
    <w:p w14:paraId="16DECAF8">
      <w:pPr>
        <w:spacing w:line="360" w:lineRule="auto"/>
        <w:ind w:firstLine="562" w:firstLineChars="200"/>
        <w:jc w:val="left"/>
        <w:rPr>
          <w:rFonts w:ascii="Times New Roman" w:hAnsi="Times New Roman" w:eastAsia="宋体" w:cs="Times New Roman"/>
          <w:b/>
          <w:sz w:val="28"/>
          <w:szCs w:val="28"/>
        </w:rPr>
      </w:pPr>
    </w:p>
    <w:p w14:paraId="21E40D78">
      <w:pPr>
        <w:rPr>
          <w:rFonts w:hint="eastAsia"/>
        </w:rPr>
      </w:pPr>
      <w:r>
        <w:rPr>
          <w:rFonts w:hint="eastAsia"/>
        </w:rPr>
        <w:br w:type="page"/>
      </w:r>
    </w:p>
    <w:p w14:paraId="41B4420B">
      <w:pPr>
        <w:pStyle w:val="2"/>
        <w:bidi w:val="0"/>
      </w:pPr>
      <w:bookmarkStart w:id="18" w:name="_Toc26669"/>
      <w:r>
        <w:rPr>
          <w:rFonts w:hint="eastAsia"/>
          <w:lang w:eastAsia="zh-CN"/>
        </w:rPr>
        <w:t>《</w:t>
      </w:r>
      <w:r>
        <w:rPr>
          <w:rFonts w:hint="eastAsia"/>
        </w:rPr>
        <w:t>习近平新时代中国特色社会主义思想概论</w:t>
      </w:r>
      <w:r>
        <w:rPr>
          <w:rFonts w:hint="eastAsia"/>
          <w:lang w:eastAsia="zh-CN"/>
        </w:rPr>
        <w:t>》</w:t>
      </w:r>
      <w:r>
        <w:rPr>
          <w:rFonts w:hint="eastAsia"/>
        </w:rPr>
        <w:t>课程教学大纲</w:t>
      </w:r>
      <w:bookmarkEnd w:id="18"/>
    </w:p>
    <w:p w14:paraId="3B568261">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（Introduction to Xi Jinping Thought on Socialism with Chinese Characteristics for a New Era）</w:t>
      </w:r>
    </w:p>
    <w:p w14:paraId="00D489AD">
      <w:pPr>
        <w:spacing w:line="360" w:lineRule="auto"/>
        <w:ind w:firstLine="562" w:firstLineChars="200"/>
        <w:rPr>
          <w:rFonts w:ascii="Times New Roman" w:hAnsi="Times New Roman" w:eastAsia="宋体" w:cs="Times New Roman"/>
          <w:b/>
          <w:sz w:val="28"/>
          <w:szCs w:val="28"/>
        </w:rPr>
      </w:pPr>
    </w:p>
    <w:p w14:paraId="74B25B6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课程名称：习近平新时代中国特色社会主义概论</w:t>
      </w:r>
    </w:p>
    <w:p w14:paraId="3885E0A1">
      <w:pPr>
        <w:spacing w:line="336" w:lineRule="auto"/>
        <w:ind w:firstLine="482" w:firstLineChars="200"/>
        <w:rPr>
          <w:rFonts w:ascii="Times New Roman" w:hAnsi="Times New Roman" w:eastAsia="宋体" w:cs="Times New Roman"/>
          <w:b/>
          <w:bCs/>
          <w:sz w:val="28"/>
          <w:szCs w:val="28"/>
        </w:rPr>
      </w:pPr>
      <w:r>
        <w:rPr>
          <w:rFonts w:ascii="Times New Roman" w:hAnsi="Times New Roman" w:eastAsia="宋体" w:cs="Times New Roman"/>
          <w:b/>
          <w:bCs/>
          <w:kern w:val="0"/>
          <w:sz w:val="24"/>
          <w:szCs w:val="24"/>
        </w:rPr>
        <w:t>课程代码：1005031</w:t>
      </w:r>
    </w:p>
    <w:p w14:paraId="030759BB">
      <w:pPr>
        <w:spacing w:line="336"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学    分：3</w:t>
      </w:r>
    </w:p>
    <w:p w14:paraId="4C0A1B39">
      <w:pPr>
        <w:spacing w:line="336"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学    时：48</w:t>
      </w:r>
    </w:p>
    <w:p w14:paraId="3AC32DB4">
      <w:pPr>
        <w:spacing w:line="336"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hint="eastAsia" w:ascii="Times New Roman" w:hAnsi="Times New Roman" w:eastAsia="宋体" w:cs="Times New Roman"/>
          <w:b/>
          <w:bCs/>
          <w:kern w:val="0"/>
          <w:sz w:val="24"/>
          <w:szCs w:val="24"/>
        </w:rPr>
        <w:t>思想道德与法治、中国近现代史纲要、马克思主义基本原理</w:t>
      </w:r>
    </w:p>
    <w:p w14:paraId="550C27FD">
      <w:pPr>
        <w:spacing w:line="336"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适用专业：</w:t>
      </w:r>
      <w:r>
        <w:rPr>
          <w:rFonts w:hint="eastAsia" w:ascii="Times New Roman" w:hAnsi="Times New Roman" w:eastAsia="宋体" w:cs="Times New Roman"/>
          <w:b/>
          <w:bCs/>
          <w:kern w:val="0"/>
          <w:sz w:val="24"/>
          <w:szCs w:val="24"/>
        </w:rPr>
        <w:t>小学教育</w:t>
      </w:r>
    </w:p>
    <w:p w14:paraId="7FD94D5F">
      <w:pPr>
        <w:spacing w:line="336" w:lineRule="auto"/>
        <w:ind w:firstLine="482" w:firstLineChars="200"/>
        <w:rPr>
          <w:rFonts w:hint="eastAsia" w:ascii="Times New Roman" w:hAnsi="Times New Roman" w:eastAsia="宋体" w:cs="Times New Roman"/>
          <w:b/>
          <w:bCs/>
          <w:kern w:val="0"/>
          <w:sz w:val="24"/>
          <w:szCs w:val="24"/>
        </w:rPr>
      </w:pPr>
    </w:p>
    <w:p w14:paraId="4E670753">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一、课程</w:t>
      </w:r>
      <w:r>
        <w:rPr>
          <w:rFonts w:hint="eastAsia" w:ascii="Times New Roman" w:hAnsi="Times New Roman" w:eastAsia="宋体" w:cs="Times New Roman"/>
          <w:b/>
          <w:sz w:val="24"/>
          <w:szCs w:val="24"/>
        </w:rPr>
        <w:t>简介</w:t>
      </w:r>
    </w:p>
    <w:p w14:paraId="6190E300">
      <w:pPr>
        <w:autoSpaceDE w:val="0"/>
        <w:autoSpaceDN w:val="0"/>
        <w:adjustRightInd w:val="0"/>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kern w:val="0"/>
          <w:szCs w:val="21"/>
        </w:rPr>
        <w:t>本课程</w:t>
      </w:r>
      <w:r>
        <w:rPr>
          <w:rFonts w:ascii="Times New Roman" w:hAnsi="Times New Roman" w:eastAsia="宋体" w:cs="Times New Roman"/>
          <w:kern w:val="0"/>
          <w:szCs w:val="21"/>
        </w:rPr>
        <w:t>是</w:t>
      </w:r>
      <w:r>
        <w:rPr>
          <w:rFonts w:hint="eastAsia" w:ascii="Times New Roman" w:hAnsi="Times New Roman" w:eastAsia="宋体" w:cs="Times New Roman"/>
          <w:kern w:val="0"/>
          <w:szCs w:val="21"/>
        </w:rPr>
        <w:t>小学教育本科专业的通识必修</w:t>
      </w:r>
      <w:r>
        <w:rPr>
          <w:rFonts w:ascii="Times New Roman" w:hAnsi="Times New Roman" w:eastAsia="宋体" w:cs="Times New Roman"/>
          <w:kern w:val="0"/>
          <w:szCs w:val="21"/>
        </w:rPr>
        <w:t>课</w:t>
      </w:r>
      <w:r>
        <w:rPr>
          <w:rFonts w:ascii="Times New Roman" w:hAnsi="Times New Roman" w:eastAsia="宋体" w:cs="Times New Roman"/>
          <w:szCs w:val="21"/>
        </w:rPr>
        <w:t>。</w:t>
      </w:r>
      <w:r>
        <w:rPr>
          <w:rFonts w:hint="eastAsia" w:ascii="Times New Roman" w:hAnsi="Times New Roman" w:eastAsia="宋体" w:cs="Times New Roman"/>
          <w:szCs w:val="21"/>
        </w:rPr>
        <w:t>本课程围绕科学回答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而展开，通过系统讲授习近平新时代中国特色社会主义思想形成的时代背景、核心要义、精神实质、丰富内涵、重大意义、历史地位和实践要求，帮助大学生掌握党的最新理论创新成果，提升理论素养，树牢“四个意识”</w:t>
      </w:r>
      <w:r>
        <w:rPr>
          <w:rFonts w:ascii="Times New Roman" w:hAnsi="Times New Roman" w:eastAsia="宋体" w:cs="Times New Roman"/>
          <w:szCs w:val="21"/>
        </w:rPr>
        <w:t>，坚定</w:t>
      </w:r>
      <w:r>
        <w:rPr>
          <w:rFonts w:hint="eastAsia" w:ascii="Times New Roman" w:hAnsi="Times New Roman" w:eastAsia="宋体" w:cs="Times New Roman"/>
          <w:szCs w:val="21"/>
        </w:rPr>
        <w:t>“四个自信”</w:t>
      </w:r>
      <w:r>
        <w:rPr>
          <w:rFonts w:ascii="Times New Roman" w:hAnsi="Times New Roman" w:eastAsia="宋体" w:cs="Times New Roman"/>
          <w:szCs w:val="21"/>
        </w:rPr>
        <w:t>，坚决做到</w:t>
      </w:r>
      <w:r>
        <w:rPr>
          <w:rFonts w:hint="eastAsia" w:ascii="Times New Roman" w:hAnsi="Times New Roman" w:eastAsia="宋体" w:cs="Times New Roman"/>
          <w:szCs w:val="21"/>
        </w:rPr>
        <w:t>“两个维护”</w:t>
      </w:r>
      <w:r>
        <w:rPr>
          <w:rFonts w:ascii="Times New Roman" w:hAnsi="Times New Roman" w:eastAsia="宋体" w:cs="Times New Roman"/>
          <w:szCs w:val="21"/>
        </w:rPr>
        <w:t>，有助于学生更好把握中国特色社会主义</w:t>
      </w:r>
      <w:r>
        <w:rPr>
          <w:rFonts w:hint="eastAsia" w:ascii="Times New Roman" w:hAnsi="Times New Roman" w:eastAsia="宋体" w:cs="Times New Roman"/>
          <w:szCs w:val="21"/>
        </w:rPr>
        <w:t>的理论精髓与实践要义，自觉投身到建设新时代中国特色社会主义的伟大历史进程中去，成为中国特色社会主义事业的建设者和接班人。</w:t>
      </w:r>
    </w:p>
    <w:p w14:paraId="0E616DC4">
      <w:pPr>
        <w:spacing w:line="360" w:lineRule="auto"/>
        <w:rPr>
          <w:rFonts w:ascii="Times New Roman" w:hAnsi="Times New Roman" w:eastAsia="宋体" w:cs="Times New Roman"/>
          <w:b/>
          <w:sz w:val="28"/>
          <w:szCs w:val="28"/>
        </w:rPr>
      </w:pPr>
    </w:p>
    <w:p w14:paraId="4ABCA7DB">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二、课程目标及对毕业要求的支撑</w:t>
      </w:r>
    </w:p>
    <w:p w14:paraId="42806A7B">
      <w:pPr>
        <w:spacing w:line="360" w:lineRule="auto"/>
        <w:ind w:firstLine="422" w:firstLineChars="200"/>
        <w:rPr>
          <w:rFonts w:ascii="宋体" w:hAnsi="宋体" w:eastAsia="宋体" w:cs="宋体"/>
          <w:b/>
          <w:szCs w:val="21"/>
        </w:rPr>
      </w:pPr>
      <w:r>
        <w:rPr>
          <w:rFonts w:hint="eastAsia" w:ascii="宋体" w:hAnsi="宋体" w:eastAsia="宋体" w:cs="宋体"/>
          <w:b/>
          <w:szCs w:val="21"/>
        </w:rPr>
        <w:t>（一）课程具体目标</w:t>
      </w:r>
    </w:p>
    <w:p w14:paraId="5381B611">
      <w:pPr>
        <w:spacing w:line="360" w:lineRule="auto"/>
        <w:ind w:firstLine="422" w:firstLineChars="200"/>
        <w:rPr>
          <w:rFonts w:ascii="宋体" w:hAnsi="宋体" w:eastAsia="宋体" w:cs="宋体"/>
          <w:bCs/>
          <w:szCs w:val="21"/>
        </w:rPr>
      </w:pPr>
      <w:r>
        <w:rPr>
          <w:rFonts w:hint="eastAsia" w:ascii="宋体" w:hAnsi="宋体" w:eastAsia="宋体" w:cs="宋体"/>
          <w:b/>
          <w:szCs w:val="21"/>
        </w:rPr>
        <w:t>目标1.</w:t>
      </w:r>
      <w:r>
        <w:rPr>
          <w:rFonts w:hint="eastAsia" w:ascii="宋体" w:hAnsi="宋体" w:eastAsia="宋体" w:cs="宋体"/>
          <w:bCs/>
          <w:szCs w:val="21"/>
        </w:rPr>
        <w:t xml:space="preserve"> 能够掌握党的最新理论创新成果，更好把握中国特色社会主义的理论精髓，提升理论素养。认同中国特色社会主义，自觉践行社会主义核心价值观，贯彻党的教育方针。</w:t>
      </w:r>
    </w:p>
    <w:p w14:paraId="32328BA9">
      <w:pPr>
        <w:spacing w:line="360" w:lineRule="auto"/>
        <w:ind w:firstLine="422" w:firstLineChars="200"/>
        <w:rPr>
          <w:rFonts w:ascii="宋体" w:hAnsi="宋体" w:eastAsia="宋体" w:cs="宋体"/>
          <w:bCs/>
          <w:szCs w:val="21"/>
        </w:rPr>
      </w:pPr>
      <w:r>
        <w:rPr>
          <w:rFonts w:hint="eastAsia" w:ascii="宋体" w:hAnsi="宋体" w:eastAsia="宋体" w:cs="宋体"/>
          <w:b/>
          <w:szCs w:val="21"/>
        </w:rPr>
        <w:t>目标 2.</w:t>
      </w:r>
      <w:r>
        <w:rPr>
          <w:rFonts w:hint="eastAsia" w:ascii="宋体" w:hAnsi="宋体" w:eastAsia="宋体" w:cs="宋体"/>
          <w:bCs/>
          <w:szCs w:val="21"/>
        </w:rPr>
        <w:t>能够掌握习</w:t>
      </w:r>
      <w:bookmarkStart w:id="19" w:name="_Hlk187841676"/>
      <w:r>
        <w:rPr>
          <w:rFonts w:hint="eastAsia" w:ascii="宋体" w:hAnsi="宋体" w:eastAsia="宋体" w:cs="宋体"/>
          <w:bCs/>
          <w:szCs w:val="21"/>
        </w:rPr>
        <w:t>近平新时代中国特色社会主义思想</w:t>
      </w:r>
      <w:bookmarkEnd w:id="19"/>
      <w:r>
        <w:rPr>
          <w:rFonts w:hint="eastAsia" w:ascii="宋体" w:hAnsi="宋体" w:eastAsia="宋体" w:cs="宋体"/>
          <w:bCs/>
          <w:szCs w:val="21"/>
        </w:rPr>
        <w:t>的核心要义、方法论、根本立场，增强运用习近平新时代中国特色社会主义思想指导实践的能力，提高科学思维能力，增强分析问题、解决问题的实践本领。</w:t>
      </w:r>
    </w:p>
    <w:p w14:paraId="0DFF58DE">
      <w:pPr>
        <w:spacing w:line="360" w:lineRule="auto"/>
        <w:ind w:firstLine="422" w:firstLineChars="200"/>
        <w:rPr>
          <w:rFonts w:ascii="宋体" w:hAnsi="宋体" w:eastAsia="宋体" w:cs="宋体"/>
          <w:bCs/>
          <w:szCs w:val="21"/>
        </w:rPr>
      </w:pPr>
      <w:r>
        <w:rPr>
          <w:rFonts w:hint="eastAsia" w:ascii="宋体" w:hAnsi="宋体" w:eastAsia="宋体" w:cs="宋体"/>
          <w:b/>
          <w:szCs w:val="21"/>
        </w:rPr>
        <w:t>目标</w:t>
      </w:r>
      <w:r>
        <w:rPr>
          <w:rFonts w:ascii="宋体" w:hAnsi="宋体" w:eastAsia="宋体" w:cs="宋体"/>
          <w:b/>
          <w:szCs w:val="21"/>
        </w:rPr>
        <w:t>3</w:t>
      </w:r>
      <w:r>
        <w:rPr>
          <w:rFonts w:hint="eastAsia" w:ascii="宋体" w:hAnsi="宋体" w:eastAsia="宋体" w:cs="宋体"/>
          <w:b/>
          <w:szCs w:val="21"/>
        </w:rPr>
        <w:t>.</w:t>
      </w:r>
      <w:r>
        <w:rPr>
          <w:rFonts w:hint="eastAsia" w:ascii="宋体" w:hAnsi="宋体" w:eastAsia="宋体" w:cs="宋体"/>
          <w:bCs/>
          <w:szCs w:val="21"/>
        </w:rPr>
        <w:t>能够掌握近平新时代中国特色社会主义思想主要内容，掌握“十个明确”“十四个坚持”“十三个方面成就”所涉及的相关知识。</w:t>
      </w:r>
    </w:p>
    <w:p w14:paraId="1800E45D">
      <w:pPr>
        <w:spacing w:line="360" w:lineRule="auto"/>
        <w:ind w:firstLine="422" w:firstLineChars="200"/>
        <w:rPr>
          <w:rFonts w:ascii="宋体" w:hAnsi="宋体" w:eastAsia="宋体" w:cs="宋体"/>
          <w:b/>
          <w:szCs w:val="21"/>
        </w:rPr>
      </w:pPr>
      <w:r>
        <w:rPr>
          <w:rFonts w:hint="eastAsia" w:ascii="宋体" w:hAnsi="宋体" w:eastAsia="宋体" w:cs="宋体"/>
          <w:b/>
          <w:szCs w:val="21"/>
        </w:rPr>
        <w:t>（二）课程目标及其对毕业要求指标点的支撑</w:t>
      </w:r>
    </w:p>
    <w:tbl>
      <w:tblPr>
        <w:tblStyle w:val="13"/>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4961"/>
        <w:gridCol w:w="1345"/>
      </w:tblGrid>
      <w:tr w14:paraId="1D11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122" w:type="dxa"/>
            <w:shd w:val="clear" w:color="auto" w:fill="auto"/>
            <w:noWrap/>
            <w:vAlign w:val="center"/>
          </w:tcPr>
          <w:p w14:paraId="75458199">
            <w:pPr>
              <w:widowControl/>
              <w:jc w:val="center"/>
              <w:rPr>
                <w:rFonts w:ascii="宋体" w:hAnsi="宋体" w:eastAsia="宋体" w:cs="宋体"/>
                <w:b/>
                <w:bCs/>
                <w:kern w:val="0"/>
                <w:szCs w:val="21"/>
              </w:rPr>
            </w:pPr>
            <w:r>
              <w:rPr>
                <w:rFonts w:hint="eastAsia" w:ascii="宋体" w:hAnsi="宋体" w:eastAsia="宋体" w:cs="宋体"/>
                <w:b/>
                <w:bCs/>
                <w:kern w:val="0"/>
                <w:szCs w:val="21"/>
              </w:rPr>
              <w:t>毕业要求</w:t>
            </w:r>
          </w:p>
        </w:tc>
        <w:tc>
          <w:tcPr>
            <w:tcW w:w="4961" w:type="dxa"/>
            <w:shd w:val="clear" w:color="auto" w:fill="auto"/>
            <w:noWrap/>
            <w:vAlign w:val="center"/>
          </w:tcPr>
          <w:p w14:paraId="0689C52B">
            <w:pPr>
              <w:widowControl/>
              <w:jc w:val="center"/>
              <w:rPr>
                <w:rFonts w:ascii="宋体" w:hAnsi="宋体" w:eastAsia="宋体" w:cs="宋体"/>
                <w:b/>
                <w:bCs/>
                <w:kern w:val="0"/>
                <w:szCs w:val="21"/>
              </w:rPr>
            </w:pPr>
            <w:r>
              <w:rPr>
                <w:rFonts w:hint="eastAsia" w:ascii="宋体" w:hAnsi="宋体" w:eastAsia="宋体" w:cs="宋体"/>
                <w:b/>
                <w:bCs/>
                <w:kern w:val="0"/>
                <w:szCs w:val="21"/>
              </w:rPr>
              <w:t>毕业要求指标点</w:t>
            </w:r>
          </w:p>
        </w:tc>
        <w:tc>
          <w:tcPr>
            <w:tcW w:w="1345" w:type="dxa"/>
            <w:shd w:val="clear" w:color="auto" w:fill="auto"/>
            <w:noWrap/>
            <w:vAlign w:val="center"/>
          </w:tcPr>
          <w:p w14:paraId="6E5DBC63">
            <w:pPr>
              <w:widowControl/>
              <w:jc w:val="center"/>
              <w:rPr>
                <w:rFonts w:ascii="宋体" w:hAnsi="宋体" w:eastAsia="宋体" w:cs="宋体"/>
                <w:b/>
                <w:bCs/>
                <w:kern w:val="0"/>
                <w:szCs w:val="21"/>
              </w:rPr>
            </w:pPr>
            <w:r>
              <w:rPr>
                <w:rFonts w:hint="eastAsia" w:ascii="宋体" w:hAnsi="宋体" w:eastAsia="宋体" w:cs="宋体"/>
                <w:b/>
                <w:bCs/>
                <w:kern w:val="0"/>
                <w:szCs w:val="21"/>
              </w:rPr>
              <w:t>课程目标</w:t>
            </w:r>
          </w:p>
        </w:tc>
      </w:tr>
      <w:tr w14:paraId="41FC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122" w:type="dxa"/>
            <w:shd w:val="clear" w:color="auto" w:fill="auto"/>
            <w:noWrap/>
            <w:vAlign w:val="center"/>
          </w:tcPr>
          <w:p w14:paraId="359ABA78">
            <w:pPr>
              <w:widowControl/>
              <w:jc w:val="center"/>
              <w:rPr>
                <w:rFonts w:ascii="宋体" w:hAnsi="宋体" w:eastAsia="宋体" w:cs="宋体"/>
                <w:kern w:val="0"/>
                <w:szCs w:val="21"/>
              </w:rPr>
            </w:pPr>
            <w:r>
              <w:rPr>
                <w:rFonts w:hint="eastAsia" w:ascii="宋体" w:hAnsi="宋体" w:eastAsia="宋体" w:cs="宋体"/>
                <w:kern w:val="0"/>
                <w:szCs w:val="21"/>
              </w:rPr>
              <w:t>毕业要求1师德规范</w:t>
            </w:r>
          </w:p>
        </w:tc>
        <w:tc>
          <w:tcPr>
            <w:tcW w:w="4961" w:type="dxa"/>
            <w:shd w:val="clear" w:color="auto" w:fill="auto"/>
            <w:noWrap/>
            <w:vAlign w:val="center"/>
          </w:tcPr>
          <w:p w14:paraId="0BF062DE">
            <w:pPr>
              <w:rPr>
                <w:rFonts w:ascii="宋体" w:hAnsi="宋体" w:eastAsia="宋体" w:cs="宋体"/>
                <w:bCs/>
                <w:kern w:val="0"/>
                <w:szCs w:val="21"/>
              </w:rPr>
            </w:pPr>
            <w:r>
              <w:rPr>
                <w:rFonts w:hint="eastAsia" w:ascii="宋体" w:hAnsi="宋体" w:eastAsia="宋体" w:cs="宋体"/>
                <w:bCs/>
                <w:kern w:val="0"/>
                <w:szCs w:val="21"/>
              </w:rPr>
              <w:t>指标点</w:t>
            </w:r>
            <w:r>
              <w:rPr>
                <w:rFonts w:ascii="宋体" w:hAnsi="宋体" w:eastAsia="宋体" w:cs="宋体"/>
                <w:bCs/>
                <w:kern w:val="0"/>
                <w:szCs w:val="21"/>
              </w:rPr>
              <w:t>1-1：【理想信念坚定】了解我国国情及国际局势，深刻</w:t>
            </w:r>
            <w:r>
              <w:rPr>
                <w:rFonts w:hint="eastAsia" w:ascii="宋体" w:hAnsi="宋体" w:eastAsia="宋体" w:cs="宋体"/>
                <w:bCs/>
                <w:kern w:val="0"/>
                <w:szCs w:val="21"/>
              </w:rPr>
              <w:t>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345" w:type="dxa"/>
            <w:shd w:val="clear" w:color="auto" w:fill="auto"/>
            <w:noWrap/>
            <w:vAlign w:val="center"/>
          </w:tcPr>
          <w:p w14:paraId="200D86E3">
            <w:pPr>
              <w:widowControl/>
              <w:rPr>
                <w:rFonts w:ascii="宋体" w:hAnsi="宋体" w:eastAsia="宋体" w:cs="宋体"/>
                <w:bCs/>
                <w:kern w:val="0"/>
                <w:szCs w:val="21"/>
              </w:rPr>
            </w:pPr>
            <w:r>
              <w:rPr>
                <w:rFonts w:hint="eastAsia" w:ascii="宋体" w:hAnsi="宋体" w:eastAsia="宋体" w:cs="宋体"/>
                <w:bCs/>
                <w:kern w:val="0"/>
                <w:szCs w:val="21"/>
              </w:rPr>
              <w:t>课程目标1</w:t>
            </w:r>
          </w:p>
        </w:tc>
      </w:tr>
      <w:tr w14:paraId="0710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122" w:type="dxa"/>
            <w:shd w:val="clear" w:color="auto" w:fill="auto"/>
            <w:noWrap/>
            <w:vAlign w:val="center"/>
          </w:tcPr>
          <w:p w14:paraId="0DFBDC67">
            <w:pPr>
              <w:widowControl/>
              <w:jc w:val="center"/>
              <w:rPr>
                <w:rFonts w:ascii="宋体" w:hAnsi="宋体" w:eastAsia="宋体" w:cs="宋体"/>
                <w:kern w:val="0"/>
                <w:szCs w:val="21"/>
              </w:rPr>
            </w:pPr>
            <w:r>
              <w:rPr>
                <w:rFonts w:hint="eastAsia" w:ascii="宋体" w:hAnsi="宋体" w:eastAsia="宋体" w:cs="宋体"/>
                <w:kern w:val="0"/>
                <w:szCs w:val="21"/>
              </w:rPr>
              <w:t>毕业要求2教育情怀</w:t>
            </w:r>
          </w:p>
        </w:tc>
        <w:tc>
          <w:tcPr>
            <w:tcW w:w="4961" w:type="dxa"/>
            <w:shd w:val="clear" w:color="auto" w:fill="auto"/>
            <w:noWrap/>
            <w:vAlign w:val="center"/>
          </w:tcPr>
          <w:p w14:paraId="124317D0">
            <w:pPr>
              <w:rPr>
                <w:rFonts w:ascii="宋体" w:hAnsi="宋体" w:eastAsia="宋体" w:cs="宋体"/>
                <w:bCs/>
                <w:kern w:val="0"/>
                <w:szCs w:val="21"/>
              </w:rPr>
            </w:pPr>
            <w:r>
              <w:rPr>
                <w:rFonts w:hint="eastAsia" w:ascii="宋体" w:hAnsi="宋体" w:eastAsia="宋体" w:cs="宋体"/>
                <w:bCs/>
                <w:kern w:val="0"/>
                <w:szCs w:val="21"/>
              </w:rPr>
              <w:t>指标点</w:t>
            </w:r>
            <w:r>
              <w:rPr>
                <w:rFonts w:ascii="宋体" w:hAnsi="宋体" w:eastAsia="宋体" w:cs="宋体"/>
                <w:bCs/>
                <w:kern w:val="0"/>
                <w:szCs w:val="21"/>
              </w:rPr>
              <w:t>2-3：【自身修养良好】具有较好的人文艺术底蕴与科学</w:t>
            </w:r>
            <w:r>
              <w:rPr>
                <w:rFonts w:hint="eastAsia" w:ascii="宋体" w:hAnsi="宋体" w:eastAsia="宋体" w:cs="宋体"/>
                <w:bCs/>
                <w:kern w:val="0"/>
                <w:szCs w:val="21"/>
              </w:rPr>
              <w:t>精神，言行举止符合教师职业标准，情感积极，人格健全，身心健康。</w:t>
            </w:r>
          </w:p>
        </w:tc>
        <w:tc>
          <w:tcPr>
            <w:tcW w:w="1345" w:type="dxa"/>
            <w:shd w:val="clear" w:color="auto" w:fill="auto"/>
            <w:noWrap/>
            <w:vAlign w:val="center"/>
          </w:tcPr>
          <w:p w14:paraId="32F54979">
            <w:pPr>
              <w:widowControl/>
              <w:rPr>
                <w:rFonts w:ascii="宋体" w:hAnsi="宋体" w:eastAsia="宋体" w:cs="宋体"/>
                <w:bCs/>
                <w:kern w:val="0"/>
                <w:szCs w:val="21"/>
              </w:rPr>
            </w:pPr>
            <w:r>
              <w:rPr>
                <w:rFonts w:hint="eastAsia" w:ascii="宋体" w:hAnsi="宋体" w:eastAsia="宋体" w:cs="宋体"/>
                <w:bCs/>
                <w:kern w:val="0"/>
                <w:szCs w:val="21"/>
              </w:rPr>
              <w:t>课程目标2</w:t>
            </w:r>
          </w:p>
        </w:tc>
      </w:tr>
      <w:tr w14:paraId="451E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122" w:type="dxa"/>
            <w:shd w:val="clear" w:color="auto" w:fill="auto"/>
            <w:noWrap/>
            <w:vAlign w:val="center"/>
          </w:tcPr>
          <w:p w14:paraId="0ED2730B">
            <w:pPr>
              <w:widowControl/>
              <w:jc w:val="center"/>
              <w:rPr>
                <w:rFonts w:ascii="宋体" w:hAnsi="宋体" w:eastAsia="宋体" w:cs="宋体"/>
                <w:kern w:val="0"/>
                <w:szCs w:val="21"/>
              </w:rPr>
            </w:pPr>
            <w:r>
              <w:rPr>
                <w:rFonts w:hint="eastAsia" w:ascii="宋体" w:hAnsi="宋体" w:eastAsia="宋体" w:cs="宋体"/>
                <w:kern w:val="0"/>
                <w:szCs w:val="21"/>
              </w:rPr>
              <w:t>毕业要求7学会反思</w:t>
            </w:r>
          </w:p>
        </w:tc>
        <w:tc>
          <w:tcPr>
            <w:tcW w:w="4961" w:type="dxa"/>
            <w:shd w:val="clear" w:color="auto" w:fill="auto"/>
            <w:noWrap/>
            <w:vAlign w:val="center"/>
          </w:tcPr>
          <w:p w14:paraId="3A942C63">
            <w:pPr>
              <w:widowControl/>
              <w:rPr>
                <w:rFonts w:ascii="宋体" w:hAnsi="宋体" w:eastAsia="宋体" w:cs="宋体"/>
                <w:kern w:val="0"/>
                <w:szCs w:val="21"/>
              </w:rPr>
            </w:pPr>
            <w:r>
              <w:rPr>
                <w:rFonts w:hint="eastAsia" w:ascii="宋体" w:hAnsi="宋体" w:eastAsia="宋体" w:cs="宋体"/>
                <w:kern w:val="0"/>
                <w:szCs w:val="21"/>
              </w:rPr>
              <w:t>指标点</w:t>
            </w:r>
            <w:r>
              <w:rPr>
                <w:rFonts w:ascii="宋体" w:hAnsi="宋体" w:eastAsia="宋体" w:cs="宋体"/>
                <w:kern w:val="0"/>
                <w:szCs w:val="21"/>
              </w:rPr>
              <w:t>7-1：【教育视野开阔】积极关注基础教育领域的国内外</w:t>
            </w:r>
            <w:r>
              <w:rPr>
                <w:rFonts w:hint="eastAsia" w:ascii="宋体" w:hAnsi="宋体" w:eastAsia="宋体" w:cs="宋体"/>
                <w:kern w:val="0"/>
                <w:szCs w:val="21"/>
              </w:rPr>
              <w:t>交流进展，了解国内外基础教育改革发展的动态，具有宽广的教育视野，能够主动适应新时代和教育发展需求。</w:t>
            </w:r>
          </w:p>
        </w:tc>
        <w:tc>
          <w:tcPr>
            <w:tcW w:w="1345" w:type="dxa"/>
            <w:shd w:val="clear" w:color="auto" w:fill="auto"/>
            <w:noWrap/>
            <w:vAlign w:val="center"/>
          </w:tcPr>
          <w:p w14:paraId="61779F10">
            <w:pPr>
              <w:widowControl/>
              <w:ind w:right="34" w:rightChars="16"/>
              <w:rPr>
                <w:rFonts w:ascii="宋体" w:hAnsi="宋体" w:eastAsia="宋体" w:cs="宋体"/>
                <w:bCs/>
                <w:kern w:val="0"/>
                <w:szCs w:val="21"/>
              </w:rPr>
            </w:pPr>
            <w:r>
              <w:rPr>
                <w:rFonts w:hint="eastAsia" w:ascii="宋体" w:hAnsi="宋体" w:eastAsia="宋体" w:cs="宋体"/>
                <w:bCs/>
                <w:kern w:val="0"/>
                <w:szCs w:val="21"/>
              </w:rPr>
              <w:t>课程目标</w:t>
            </w:r>
            <w:r>
              <w:rPr>
                <w:rFonts w:ascii="宋体" w:hAnsi="宋体" w:eastAsia="宋体" w:cs="宋体"/>
                <w:bCs/>
                <w:kern w:val="0"/>
                <w:szCs w:val="21"/>
              </w:rPr>
              <w:t>3</w:t>
            </w:r>
          </w:p>
        </w:tc>
      </w:tr>
    </w:tbl>
    <w:p w14:paraId="30913634">
      <w:pPr>
        <w:spacing w:line="360" w:lineRule="auto"/>
        <w:ind w:firstLine="482" w:firstLineChars="200"/>
        <w:rPr>
          <w:rFonts w:ascii="Times New Roman" w:hAnsi="Times New Roman" w:eastAsia="宋体" w:cs="Times New Roman"/>
          <w:b/>
          <w:sz w:val="24"/>
          <w:szCs w:val="24"/>
        </w:rPr>
      </w:pPr>
    </w:p>
    <w:p w14:paraId="763B9287">
      <w:pPr>
        <w:spacing w:line="360" w:lineRule="auto"/>
        <w:ind w:firstLine="482" w:firstLineChars="200"/>
        <w:rPr>
          <w:rFonts w:hint="eastAsia" w:ascii="Times New Roman" w:hAnsi="Times New Roman" w:eastAsia="宋体" w:cs="Times New Roman"/>
          <w:b/>
          <w:sz w:val="24"/>
          <w:szCs w:val="24"/>
        </w:rPr>
      </w:pPr>
      <w:r>
        <w:rPr>
          <w:rFonts w:ascii="Times New Roman" w:hAnsi="Times New Roman" w:eastAsia="宋体" w:cs="Times New Roman"/>
          <w:b/>
          <w:sz w:val="24"/>
          <w:szCs w:val="24"/>
        </w:rPr>
        <w:t>三、</w:t>
      </w:r>
      <w:r>
        <w:rPr>
          <w:rFonts w:hint="eastAsia" w:ascii="Times New Roman" w:hAnsi="Times New Roman" w:eastAsia="宋体" w:cs="Times New Roman"/>
          <w:b/>
          <w:sz w:val="24"/>
          <w:szCs w:val="24"/>
        </w:rPr>
        <w:t>教学内容与预期学习成效</w:t>
      </w:r>
    </w:p>
    <w:tbl>
      <w:tblPr>
        <w:tblStyle w:val="13"/>
        <w:tblW w:w="892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126"/>
        <w:gridCol w:w="1276"/>
        <w:gridCol w:w="2268"/>
        <w:gridCol w:w="1559"/>
        <w:gridCol w:w="709"/>
      </w:tblGrid>
      <w:tr w14:paraId="125D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shd w:val="clear" w:color="auto" w:fill="FFFFFF"/>
            <w:vAlign w:val="center"/>
          </w:tcPr>
          <w:p w14:paraId="7F6011ED">
            <w:pPr>
              <w:jc w:val="center"/>
              <w:rPr>
                <w:rFonts w:ascii="宋体" w:hAnsi="宋体" w:eastAsia="宋体" w:cs="Times New Roman"/>
                <w:szCs w:val="21"/>
              </w:rPr>
            </w:pPr>
            <w:r>
              <w:rPr>
                <w:rFonts w:hint="eastAsia" w:ascii="宋体" w:hAnsi="宋体" w:eastAsia="宋体" w:cs="Times New Roman"/>
                <w:szCs w:val="21"/>
              </w:rPr>
              <w:t>知识单元</w:t>
            </w:r>
          </w:p>
        </w:tc>
        <w:tc>
          <w:tcPr>
            <w:tcW w:w="2126" w:type="dxa"/>
            <w:shd w:val="clear" w:color="auto" w:fill="FFFFFF"/>
            <w:vAlign w:val="center"/>
          </w:tcPr>
          <w:p w14:paraId="239CB067">
            <w:pPr>
              <w:jc w:val="center"/>
              <w:rPr>
                <w:rFonts w:ascii="宋体" w:hAnsi="宋体" w:eastAsia="宋体" w:cs="Times New Roman"/>
                <w:szCs w:val="21"/>
              </w:rPr>
            </w:pPr>
            <w:r>
              <w:rPr>
                <w:rFonts w:hint="eastAsia" w:ascii="宋体" w:hAnsi="宋体" w:eastAsia="宋体" w:cs="Times New Roman"/>
                <w:szCs w:val="21"/>
              </w:rPr>
              <w:t>知识点</w:t>
            </w:r>
          </w:p>
        </w:tc>
        <w:tc>
          <w:tcPr>
            <w:tcW w:w="1276" w:type="dxa"/>
            <w:shd w:val="clear" w:color="auto" w:fill="FFFFFF"/>
            <w:vAlign w:val="center"/>
          </w:tcPr>
          <w:p w14:paraId="2E4B55C7">
            <w:pPr>
              <w:jc w:val="center"/>
              <w:rPr>
                <w:rFonts w:ascii="宋体" w:hAnsi="宋体" w:eastAsia="宋体" w:cs="宋体"/>
                <w:szCs w:val="21"/>
              </w:rPr>
            </w:pPr>
            <w:r>
              <w:rPr>
                <w:rFonts w:hint="eastAsia" w:ascii="宋体" w:hAnsi="宋体" w:eastAsia="宋体" w:cs="宋体"/>
                <w:szCs w:val="21"/>
              </w:rPr>
              <w:t>对应</w:t>
            </w:r>
          </w:p>
          <w:p w14:paraId="584408E1">
            <w:pPr>
              <w:jc w:val="center"/>
              <w:rPr>
                <w:rFonts w:hint="eastAsia" w:ascii="宋体" w:hAnsi="宋体" w:eastAsia="宋体" w:cs="Times New Roman"/>
                <w:szCs w:val="21"/>
              </w:rPr>
            </w:pPr>
            <w:r>
              <w:rPr>
                <w:rFonts w:hint="eastAsia" w:ascii="宋体" w:hAnsi="宋体" w:eastAsia="宋体" w:cs="宋体"/>
                <w:szCs w:val="21"/>
              </w:rPr>
              <w:t>课程目标</w:t>
            </w:r>
          </w:p>
        </w:tc>
        <w:tc>
          <w:tcPr>
            <w:tcW w:w="2268" w:type="dxa"/>
            <w:shd w:val="clear" w:color="auto" w:fill="FFFFFF"/>
            <w:vAlign w:val="center"/>
          </w:tcPr>
          <w:p w14:paraId="4D282A45">
            <w:pPr>
              <w:jc w:val="center"/>
              <w:rPr>
                <w:rFonts w:ascii="宋体" w:hAnsi="宋体" w:eastAsia="宋体" w:cs="Times New Roman"/>
                <w:szCs w:val="21"/>
              </w:rPr>
            </w:pPr>
            <w:r>
              <w:rPr>
                <w:rFonts w:hint="eastAsia" w:ascii="宋体" w:hAnsi="宋体" w:eastAsia="宋体" w:cs="Times New Roman"/>
                <w:szCs w:val="21"/>
              </w:rPr>
              <w:t>预期学习成果</w:t>
            </w:r>
          </w:p>
        </w:tc>
        <w:tc>
          <w:tcPr>
            <w:tcW w:w="1559" w:type="dxa"/>
            <w:shd w:val="clear" w:color="auto" w:fill="FFFFFF"/>
            <w:vAlign w:val="center"/>
          </w:tcPr>
          <w:p w14:paraId="368B3D9F">
            <w:pPr>
              <w:jc w:val="center"/>
              <w:rPr>
                <w:rFonts w:hint="eastAsia" w:ascii="宋体" w:hAnsi="宋体" w:eastAsia="宋体" w:cs="Times New Roman"/>
                <w:szCs w:val="21"/>
              </w:rPr>
            </w:pPr>
            <w:r>
              <w:rPr>
                <w:rFonts w:hint="eastAsia" w:ascii="宋体" w:hAnsi="宋体" w:eastAsia="宋体" w:cs="宋体"/>
                <w:szCs w:val="21"/>
              </w:rPr>
              <w:t>实现环节</w:t>
            </w:r>
          </w:p>
        </w:tc>
        <w:tc>
          <w:tcPr>
            <w:tcW w:w="709" w:type="dxa"/>
            <w:shd w:val="clear" w:color="auto" w:fill="FFFFFF"/>
            <w:vAlign w:val="center"/>
          </w:tcPr>
          <w:p w14:paraId="77EA818F">
            <w:pPr>
              <w:jc w:val="center"/>
              <w:rPr>
                <w:rFonts w:ascii="宋体" w:hAnsi="宋体" w:eastAsia="宋体" w:cs="Times New Roman"/>
                <w:szCs w:val="21"/>
              </w:rPr>
            </w:pPr>
            <w:r>
              <w:rPr>
                <w:rFonts w:hint="eastAsia" w:ascii="宋体" w:hAnsi="宋体" w:eastAsia="宋体" w:cs="Times New Roman"/>
                <w:szCs w:val="21"/>
              </w:rPr>
              <w:t>学时</w:t>
            </w:r>
          </w:p>
        </w:tc>
      </w:tr>
      <w:tr w14:paraId="724F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14EF8F3E">
            <w:pPr>
              <w:jc w:val="center"/>
              <w:rPr>
                <w:rFonts w:ascii="宋体" w:hAnsi="宋体" w:eastAsia="宋体" w:cs="Times New Roman"/>
                <w:szCs w:val="21"/>
              </w:rPr>
            </w:pPr>
            <w:r>
              <w:rPr>
                <w:rFonts w:hint="eastAsia" w:ascii="宋体" w:hAnsi="宋体" w:eastAsia="宋体" w:cs="Times New Roman"/>
                <w:szCs w:val="21"/>
              </w:rPr>
              <w:t>1.导论</w:t>
            </w:r>
          </w:p>
        </w:tc>
        <w:tc>
          <w:tcPr>
            <w:tcW w:w="2126" w:type="dxa"/>
            <w:vAlign w:val="center"/>
          </w:tcPr>
          <w:p w14:paraId="4556FF4F">
            <w:pPr>
              <w:jc w:val="left"/>
              <w:rPr>
                <w:rFonts w:ascii="宋体" w:hAnsi="宋体" w:eastAsia="宋体" w:cs="Times New Roman"/>
                <w:b/>
                <w:bCs/>
                <w:szCs w:val="21"/>
              </w:rPr>
            </w:pPr>
          </w:p>
          <w:p w14:paraId="358D65F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1）习近平新时代中国特色社会主义思想创立的时代背景</w:t>
            </w:r>
          </w:p>
          <w:p w14:paraId="0C8DC6F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2）习近平新时代中国特色社会主义思想是“两个结合”的重大成果</w:t>
            </w:r>
          </w:p>
          <w:p w14:paraId="3617C75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3）习近平新时代中国特色社会主义思想是完整的科学体系</w:t>
            </w:r>
          </w:p>
          <w:p w14:paraId="4946BF2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4）习近平新时代中国特色社会主义思想的历史地位</w:t>
            </w:r>
          </w:p>
          <w:p w14:paraId="3A20FD2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5）深刻领悟“两个确立”的决定性意义</w:t>
            </w:r>
          </w:p>
          <w:p w14:paraId="1E9BEEC0">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6）学好用好习近平新时代中国特色社会主义思想</w:t>
            </w:r>
          </w:p>
          <w:p w14:paraId="5B5FC8CF">
            <w:pPr>
              <w:jc w:val="left"/>
              <w:rPr>
                <w:rFonts w:ascii="宋体" w:hAnsi="宋体" w:eastAsia="宋体" w:cs="Times New Roman"/>
                <w:szCs w:val="21"/>
              </w:rPr>
            </w:pPr>
          </w:p>
        </w:tc>
        <w:tc>
          <w:tcPr>
            <w:tcW w:w="1276" w:type="dxa"/>
            <w:vAlign w:val="center"/>
          </w:tcPr>
          <w:p w14:paraId="64C06A9B">
            <w:pPr>
              <w:jc w:val="left"/>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1</w:t>
            </w:r>
            <w:r>
              <w:rPr>
                <w:rFonts w:hint="eastAsia" w:ascii="宋体" w:hAnsi="宋体" w:eastAsia="宋体" w:cs="Times New Roman"/>
                <w:szCs w:val="21"/>
              </w:rPr>
              <w:t>课程目标</w:t>
            </w:r>
            <w:r>
              <w:rPr>
                <w:rFonts w:ascii="宋体" w:hAnsi="宋体" w:eastAsia="宋体" w:cs="Times New Roman"/>
                <w:szCs w:val="21"/>
              </w:rPr>
              <w:t>2</w:t>
            </w:r>
            <w:r>
              <w:rPr>
                <w:rFonts w:hint="eastAsia" w:ascii="宋体" w:hAnsi="宋体" w:eastAsia="宋体" w:cs="Times New Roman"/>
                <w:szCs w:val="21"/>
              </w:rPr>
              <w:t>课程目标</w:t>
            </w:r>
            <w:r>
              <w:rPr>
                <w:rFonts w:ascii="宋体" w:hAnsi="宋体" w:eastAsia="宋体" w:cs="Times New Roman"/>
                <w:szCs w:val="21"/>
              </w:rPr>
              <w:t>3</w:t>
            </w:r>
          </w:p>
        </w:tc>
        <w:tc>
          <w:tcPr>
            <w:tcW w:w="2268" w:type="dxa"/>
            <w:vAlign w:val="center"/>
          </w:tcPr>
          <w:p w14:paraId="04A7907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1）掌握习近平新时代中国特色社会主义思想形成的时代背景、核心要义、精神实质、丰富内涵</w:t>
            </w:r>
          </w:p>
          <w:p w14:paraId="2B5E8C0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2）理解习近平新时代中国特色社会主义思想的重大意义、历史地位和实践要求</w:t>
            </w:r>
          </w:p>
          <w:p w14:paraId="652E13F2">
            <w:pPr>
              <w:jc w:val="left"/>
              <w:rPr>
                <w:rFonts w:ascii="宋体" w:hAnsi="宋体" w:eastAsia="宋体" w:cs="Times New Roman"/>
                <w:szCs w:val="21"/>
              </w:rPr>
            </w:pPr>
          </w:p>
        </w:tc>
        <w:tc>
          <w:tcPr>
            <w:tcW w:w="1559" w:type="dxa"/>
            <w:vAlign w:val="center"/>
          </w:tcPr>
          <w:p w14:paraId="488D28A8">
            <w:pPr>
              <w:jc w:val="left"/>
              <w:rPr>
                <w:rFonts w:ascii="宋体" w:hAnsi="宋体" w:eastAsia="宋体" w:cs="Times New Roman"/>
                <w:szCs w:val="21"/>
              </w:rPr>
            </w:pPr>
            <w:r>
              <w:rPr>
                <w:rFonts w:ascii="宋体" w:hAnsi="宋体" w:eastAsia="宋体" w:cs="Times New Roman"/>
                <w:szCs w:val="21"/>
              </w:rPr>
              <w:t>1.线上学习</w:t>
            </w:r>
          </w:p>
          <w:p w14:paraId="7B3F5375">
            <w:pPr>
              <w:jc w:val="left"/>
              <w:rPr>
                <w:rFonts w:ascii="宋体" w:hAnsi="宋体" w:eastAsia="宋体" w:cs="Times New Roman"/>
                <w:szCs w:val="21"/>
              </w:rPr>
            </w:pPr>
            <w:r>
              <w:rPr>
                <w:rFonts w:ascii="宋体" w:hAnsi="宋体" w:eastAsia="宋体" w:cs="Times New Roman"/>
                <w:szCs w:val="21"/>
              </w:rPr>
              <w:t>2.多媒体教学</w:t>
            </w:r>
          </w:p>
          <w:p w14:paraId="2286AF74">
            <w:pPr>
              <w:jc w:val="left"/>
              <w:rPr>
                <w:rFonts w:ascii="宋体" w:hAnsi="宋体" w:eastAsia="宋体" w:cs="Times New Roman"/>
                <w:szCs w:val="21"/>
              </w:rPr>
            </w:pPr>
            <w:r>
              <w:rPr>
                <w:rFonts w:ascii="宋体" w:hAnsi="宋体" w:eastAsia="宋体" w:cs="Times New Roman"/>
                <w:szCs w:val="21"/>
              </w:rPr>
              <w:t>3.课堂讨论</w:t>
            </w:r>
          </w:p>
          <w:p w14:paraId="0BF39E73">
            <w:pPr>
              <w:jc w:val="left"/>
              <w:rPr>
                <w:rFonts w:hint="eastAsia" w:ascii="宋体" w:hAnsi="宋体" w:eastAsia="宋体" w:cs="Times New Roman"/>
                <w:szCs w:val="21"/>
              </w:rPr>
            </w:pPr>
            <w:r>
              <w:rPr>
                <w:rFonts w:ascii="宋体" w:hAnsi="宋体" w:eastAsia="宋体" w:cs="Times New Roman"/>
                <w:szCs w:val="21"/>
              </w:rPr>
              <w:t>4.单元测验</w:t>
            </w:r>
          </w:p>
        </w:tc>
        <w:tc>
          <w:tcPr>
            <w:tcW w:w="709" w:type="dxa"/>
            <w:vAlign w:val="center"/>
          </w:tcPr>
          <w:p w14:paraId="33C02858">
            <w:pPr>
              <w:jc w:val="center"/>
              <w:rPr>
                <w:rFonts w:ascii="宋体" w:hAnsi="宋体" w:eastAsia="宋体" w:cs="Times New Roman"/>
                <w:szCs w:val="21"/>
              </w:rPr>
            </w:pPr>
            <w:r>
              <w:rPr>
                <w:rFonts w:hint="eastAsia" w:ascii="宋体" w:hAnsi="宋体" w:eastAsia="宋体" w:cs="Times New Roman"/>
                <w:szCs w:val="21"/>
              </w:rPr>
              <w:t>3</w:t>
            </w:r>
          </w:p>
        </w:tc>
      </w:tr>
      <w:tr w14:paraId="4941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16E7EBF5">
            <w:pPr>
              <w:jc w:val="left"/>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新时代坚持和发展中国特色社会主义</w:t>
            </w:r>
          </w:p>
          <w:p w14:paraId="7F117389">
            <w:pPr>
              <w:jc w:val="center"/>
              <w:rPr>
                <w:rFonts w:ascii="宋体" w:hAnsi="宋体" w:eastAsia="宋体" w:cs="Times New Roman"/>
                <w:szCs w:val="21"/>
              </w:rPr>
            </w:pPr>
          </w:p>
        </w:tc>
        <w:tc>
          <w:tcPr>
            <w:tcW w:w="2126" w:type="dxa"/>
            <w:vAlign w:val="center"/>
          </w:tcPr>
          <w:p w14:paraId="613B984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1）方向决定道路，道路决定命运</w:t>
            </w:r>
          </w:p>
          <w:p w14:paraId="464DAE5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2）中国特色社会主义进入新时代</w:t>
            </w:r>
            <w:r>
              <w:rPr>
                <w:rFonts w:ascii="宋体" w:hAnsi="宋体" w:eastAsia="宋体" w:cs="Times New Roman"/>
                <w:szCs w:val="21"/>
              </w:rPr>
              <w:tab/>
            </w:r>
          </w:p>
          <w:p w14:paraId="2D27061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3）新时代坚持和发展中国特色社会主义要一以贯之</w:t>
            </w:r>
          </w:p>
          <w:p w14:paraId="7C282B29">
            <w:pPr>
              <w:jc w:val="left"/>
              <w:rPr>
                <w:rFonts w:ascii="宋体" w:hAnsi="宋体" w:eastAsia="宋体" w:cs="Times New Roman"/>
                <w:szCs w:val="21"/>
              </w:rPr>
            </w:pPr>
          </w:p>
        </w:tc>
        <w:tc>
          <w:tcPr>
            <w:tcW w:w="1276" w:type="dxa"/>
            <w:vAlign w:val="center"/>
          </w:tcPr>
          <w:p w14:paraId="16380AE7">
            <w:pPr>
              <w:jc w:val="left"/>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1课程目标2课程目标3</w:t>
            </w:r>
          </w:p>
        </w:tc>
        <w:tc>
          <w:tcPr>
            <w:tcW w:w="2268" w:type="dxa"/>
            <w:vAlign w:val="center"/>
          </w:tcPr>
          <w:p w14:paraId="2C0CBA3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1）理解中国特色社会主义是历史和人民的选择</w:t>
            </w:r>
          </w:p>
          <w:p w14:paraId="7F5055E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2）掌握中国特色社会主义新时代的科学内涵、新时代伟大变革及其里程碑意义</w:t>
            </w:r>
          </w:p>
          <w:p w14:paraId="47FC3FC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3）理解全面贯彻党的基本理论、基本路线、基本方略，统筹推进“五位一体”总体布局和协调推进“四个全面”战略布局的重大意义</w:t>
            </w:r>
          </w:p>
        </w:tc>
        <w:tc>
          <w:tcPr>
            <w:tcW w:w="1559" w:type="dxa"/>
            <w:vAlign w:val="center"/>
          </w:tcPr>
          <w:p w14:paraId="26ED4C4A">
            <w:pPr>
              <w:jc w:val="left"/>
              <w:rPr>
                <w:rFonts w:ascii="宋体" w:hAnsi="宋体" w:eastAsia="宋体"/>
                <w:szCs w:val="21"/>
              </w:rPr>
            </w:pPr>
            <w:r>
              <w:rPr>
                <w:rFonts w:ascii="宋体" w:hAnsi="宋体" w:eastAsia="宋体"/>
                <w:szCs w:val="21"/>
              </w:rPr>
              <w:t>1.线上学习</w:t>
            </w:r>
          </w:p>
          <w:p w14:paraId="78948886">
            <w:pPr>
              <w:jc w:val="left"/>
              <w:rPr>
                <w:rFonts w:ascii="宋体" w:hAnsi="宋体" w:eastAsia="宋体"/>
                <w:szCs w:val="21"/>
              </w:rPr>
            </w:pPr>
            <w:r>
              <w:rPr>
                <w:rFonts w:ascii="宋体" w:hAnsi="宋体" w:eastAsia="宋体"/>
                <w:szCs w:val="21"/>
              </w:rPr>
              <w:t>2.多媒体教学</w:t>
            </w:r>
          </w:p>
          <w:p w14:paraId="75466E1E">
            <w:pPr>
              <w:jc w:val="left"/>
              <w:rPr>
                <w:rFonts w:ascii="宋体" w:hAnsi="宋体" w:eastAsia="宋体"/>
                <w:szCs w:val="21"/>
              </w:rPr>
            </w:pPr>
            <w:r>
              <w:rPr>
                <w:rFonts w:ascii="宋体" w:hAnsi="宋体" w:eastAsia="宋体"/>
                <w:szCs w:val="21"/>
              </w:rPr>
              <w:t>3.课堂讨论</w:t>
            </w:r>
          </w:p>
          <w:p w14:paraId="049744B9">
            <w:pPr>
              <w:jc w:val="left"/>
              <w:rPr>
                <w:rFonts w:ascii="宋体" w:hAnsi="宋体" w:eastAsia="宋体"/>
                <w:szCs w:val="21"/>
              </w:rPr>
            </w:pPr>
            <w:r>
              <w:rPr>
                <w:rFonts w:ascii="宋体" w:hAnsi="宋体" w:eastAsia="宋体"/>
                <w:szCs w:val="21"/>
              </w:rPr>
              <w:t>4.单元测验</w:t>
            </w:r>
          </w:p>
        </w:tc>
        <w:tc>
          <w:tcPr>
            <w:tcW w:w="709" w:type="dxa"/>
            <w:vMerge w:val="restart"/>
            <w:vAlign w:val="center"/>
          </w:tcPr>
          <w:p w14:paraId="3328A75D">
            <w:pPr>
              <w:jc w:val="center"/>
              <w:rPr>
                <w:rFonts w:ascii="宋体" w:hAnsi="宋体" w:eastAsia="宋体" w:cs="Times New Roman"/>
                <w:szCs w:val="21"/>
              </w:rPr>
            </w:pPr>
            <w:r>
              <w:rPr>
                <w:rFonts w:ascii="宋体" w:hAnsi="宋体" w:eastAsia="宋体"/>
                <w:szCs w:val="21"/>
              </w:rPr>
              <w:t>3</w:t>
            </w:r>
          </w:p>
          <w:p w14:paraId="39A97958">
            <w:pPr>
              <w:jc w:val="center"/>
              <w:rPr>
                <w:rFonts w:ascii="宋体" w:hAnsi="宋体" w:eastAsia="宋体" w:cs="Times New Roman"/>
                <w:szCs w:val="21"/>
              </w:rPr>
            </w:pPr>
          </w:p>
        </w:tc>
      </w:tr>
      <w:tr w14:paraId="2E24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672DE5A4">
            <w:pPr>
              <w:jc w:val="cente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以中国式现代化全面推进中华民族伟大复兴</w:t>
            </w:r>
          </w:p>
        </w:tc>
        <w:tc>
          <w:tcPr>
            <w:tcW w:w="2126" w:type="dxa"/>
            <w:vAlign w:val="center"/>
          </w:tcPr>
          <w:p w14:paraId="66CFC41B">
            <w:pPr>
              <w:jc w:val="left"/>
              <w:rPr>
                <w:rFonts w:ascii="宋体" w:hAnsi="宋体" w:eastAsia="宋体" w:cs="Times New Roman"/>
                <w:szCs w:val="21"/>
              </w:rPr>
            </w:pPr>
          </w:p>
          <w:p w14:paraId="4BA31F7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1）中华民族近代以来最伟大的梦想</w:t>
            </w:r>
          </w:p>
          <w:p w14:paraId="4BFBFCE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2）中国式现代化是强国建设、民族复兴的唯一正确道路</w:t>
            </w:r>
          </w:p>
          <w:p w14:paraId="1D2181A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3）推进中国式现代化行稳致远</w:t>
            </w:r>
          </w:p>
          <w:p w14:paraId="1C8FA801">
            <w:pPr>
              <w:jc w:val="left"/>
              <w:rPr>
                <w:rFonts w:ascii="宋体" w:hAnsi="宋体" w:eastAsia="宋体" w:cs="Times New Roman"/>
                <w:szCs w:val="21"/>
              </w:rPr>
            </w:pPr>
          </w:p>
        </w:tc>
        <w:tc>
          <w:tcPr>
            <w:tcW w:w="1276" w:type="dxa"/>
            <w:vAlign w:val="center"/>
          </w:tcPr>
          <w:p w14:paraId="4C7A0FE9">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4E2CFE6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1）理解中华民族伟大复兴中国梦的内涵</w:t>
            </w:r>
          </w:p>
          <w:p w14:paraId="2F27F58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2）理解全面建成小康社会的里程碑意义</w:t>
            </w:r>
          </w:p>
          <w:p w14:paraId="2B02320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3）掌握中国式现代化的中国特色、本质要求和重大原则</w:t>
            </w:r>
          </w:p>
          <w:p w14:paraId="0E45FA0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4）掌握推进中国式现代化需要正确处理的重大关系</w:t>
            </w:r>
          </w:p>
        </w:tc>
        <w:tc>
          <w:tcPr>
            <w:tcW w:w="1559" w:type="dxa"/>
            <w:vAlign w:val="center"/>
          </w:tcPr>
          <w:p w14:paraId="36B50E35">
            <w:pPr>
              <w:jc w:val="left"/>
              <w:rPr>
                <w:rFonts w:ascii="宋体" w:hAnsi="宋体" w:eastAsia="宋体" w:cs="Times New Roman"/>
                <w:szCs w:val="21"/>
              </w:rPr>
            </w:pPr>
            <w:r>
              <w:rPr>
                <w:rFonts w:ascii="宋体" w:hAnsi="宋体" w:eastAsia="宋体" w:cs="Times New Roman"/>
                <w:szCs w:val="21"/>
              </w:rPr>
              <w:t>1.线上学习</w:t>
            </w:r>
          </w:p>
          <w:p w14:paraId="5AEEE297">
            <w:pPr>
              <w:jc w:val="left"/>
              <w:rPr>
                <w:rFonts w:ascii="宋体" w:hAnsi="宋体" w:eastAsia="宋体" w:cs="Times New Roman"/>
                <w:szCs w:val="21"/>
              </w:rPr>
            </w:pPr>
            <w:r>
              <w:rPr>
                <w:rFonts w:ascii="宋体" w:hAnsi="宋体" w:eastAsia="宋体" w:cs="Times New Roman"/>
                <w:szCs w:val="21"/>
              </w:rPr>
              <w:t>2.多媒体教学</w:t>
            </w:r>
          </w:p>
          <w:p w14:paraId="1977A4CF">
            <w:pPr>
              <w:jc w:val="left"/>
              <w:rPr>
                <w:rFonts w:ascii="宋体" w:hAnsi="宋体" w:eastAsia="宋体" w:cs="Times New Roman"/>
                <w:szCs w:val="21"/>
              </w:rPr>
            </w:pPr>
            <w:r>
              <w:rPr>
                <w:rFonts w:ascii="宋体" w:hAnsi="宋体" w:eastAsia="宋体" w:cs="Times New Roman"/>
                <w:szCs w:val="21"/>
              </w:rPr>
              <w:t>3.课堂讨论</w:t>
            </w:r>
          </w:p>
          <w:p w14:paraId="7C9D2DD4">
            <w:pPr>
              <w:jc w:val="left"/>
              <w:rPr>
                <w:rFonts w:ascii="宋体" w:hAnsi="宋体" w:eastAsia="宋体" w:cs="Times New Roman"/>
                <w:szCs w:val="21"/>
              </w:rPr>
            </w:pPr>
            <w:r>
              <w:rPr>
                <w:rFonts w:ascii="宋体" w:hAnsi="宋体" w:eastAsia="宋体" w:cs="Times New Roman"/>
                <w:szCs w:val="21"/>
              </w:rPr>
              <w:t>4.单元测验</w:t>
            </w:r>
          </w:p>
        </w:tc>
        <w:tc>
          <w:tcPr>
            <w:tcW w:w="709" w:type="dxa"/>
            <w:vMerge w:val="continue"/>
            <w:vAlign w:val="center"/>
          </w:tcPr>
          <w:p w14:paraId="2D96B7D0">
            <w:pPr>
              <w:jc w:val="center"/>
              <w:rPr>
                <w:rFonts w:ascii="宋体" w:hAnsi="宋体" w:eastAsia="宋体" w:cs="Times New Roman"/>
                <w:szCs w:val="21"/>
              </w:rPr>
            </w:pPr>
          </w:p>
        </w:tc>
      </w:tr>
      <w:tr w14:paraId="26C5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070ADBAE">
            <w:pPr>
              <w:jc w:val="left"/>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坚持党的全面领导</w:t>
            </w:r>
          </w:p>
          <w:p w14:paraId="45D3359D">
            <w:pPr>
              <w:jc w:val="center"/>
              <w:rPr>
                <w:rFonts w:ascii="宋体" w:hAnsi="宋体" w:eastAsia="宋体" w:cs="Times New Roman"/>
                <w:szCs w:val="21"/>
              </w:rPr>
            </w:pPr>
          </w:p>
        </w:tc>
        <w:tc>
          <w:tcPr>
            <w:tcW w:w="2126" w:type="dxa"/>
            <w:vAlign w:val="center"/>
          </w:tcPr>
          <w:p w14:paraId="277E785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1）中国共产党领导是中国特色社会主义最本质的特征</w:t>
            </w:r>
          </w:p>
          <w:p w14:paraId="39DC424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2）坚持党对一切工作的领导</w:t>
            </w:r>
          </w:p>
          <w:p w14:paraId="51E87ED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3）健全和完善党的领导制度体系</w:t>
            </w:r>
          </w:p>
          <w:p w14:paraId="39E7BA15">
            <w:pPr>
              <w:jc w:val="left"/>
              <w:rPr>
                <w:rFonts w:ascii="宋体" w:hAnsi="宋体" w:eastAsia="宋体" w:cs="Times New Roman"/>
                <w:szCs w:val="21"/>
              </w:rPr>
            </w:pPr>
          </w:p>
        </w:tc>
        <w:tc>
          <w:tcPr>
            <w:tcW w:w="1276" w:type="dxa"/>
            <w:vAlign w:val="center"/>
          </w:tcPr>
          <w:p w14:paraId="6BE4E871">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09DA973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1）掌握中国共产党领导是中国特色社会主义最本质的特征，党的领导制度是我国的根本领导制度</w:t>
            </w:r>
          </w:p>
          <w:p w14:paraId="21E8D04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2）掌握坚持党对一切工作的领导的重大意义、科学内涵、历史必然性和现实紧迫性</w:t>
            </w:r>
          </w:p>
          <w:p w14:paraId="7B8C35A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3）理解党的领导是全面的、系统的、整体的，自觉在思想上政治上行动上同以习近平同志为核心的党中央保持高度一致</w:t>
            </w:r>
          </w:p>
          <w:p w14:paraId="4CF3F28E">
            <w:pPr>
              <w:jc w:val="left"/>
              <w:rPr>
                <w:rFonts w:ascii="宋体" w:hAnsi="宋体" w:eastAsia="宋体" w:cs="Times New Roman"/>
                <w:szCs w:val="21"/>
              </w:rPr>
            </w:pPr>
          </w:p>
        </w:tc>
        <w:tc>
          <w:tcPr>
            <w:tcW w:w="1559" w:type="dxa"/>
            <w:vAlign w:val="center"/>
          </w:tcPr>
          <w:p w14:paraId="3FAC999A">
            <w:pPr>
              <w:jc w:val="left"/>
              <w:rPr>
                <w:rFonts w:ascii="宋体" w:hAnsi="宋体" w:eastAsia="宋体"/>
                <w:szCs w:val="21"/>
              </w:rPr>
            </w:pPr>
            <w:r>
              <w:rPr>
                <w:rFonts w:ascii="宋体" w:hAnsi="宋体" w:eastAsia="宋体"/>
                <w:szCs w:val="21"/>
              </w:rPr>
              <w:t>1.线上学习</w:t>
            </w:r>
          </w:p>
          <w:p w14:paraId="5B8D8781">
            <w:pPr>
              <w:jc w:val="left"/>
              <w:rPr>
                <w:rFonts w:ascii="宋体" w:hAnsi="宋体" w:eastAsia="宋体"/>
                <w:szCs w:val="21"/>
              </w:rPr>
            </w:pPr>
            <w:r>
              <w:rPr>
                <w:rFonts w:ascii="宋体" w:hAnsi="宋体" w:eastAsia="宋体"/>
                <w:szCs w:val="21"/>
              </w:rPr>
              <w:t>2.多媒体教学</w:t>
            </w:r>
          </w:p>
          <w:p w14:paraId="5F94428B">
            <w:pPr>
              <w:jc w:val="left"/>
              <w:rPr>
                <w:rFonts w:ascii="宋体" w:hAnsi="宋体" w:eastAsia="宋体"/>
                <w:szCs w:val="21"/>
              </w:rPr>
            </w:pPr>
            <w:r>
              <w:rPr>
                <w:rFonts w:ascii="宋体" w:hAnsi="宋体" w:eastAsia="宋体"/>
                <w:szCs w:val="21"/>
              </w:rPr>
              <w:t>3.课堂讨论</w:t>
            </w:r>
          </w:p>
          <w:p w14:paraId="1501530A">
            <w:pPr>
              <w:jc w:val="left"/>
              <w:rPr>
                <w:rFonts w:ascii="宋体" w:hAnsi="宋体" w:eastAsia="宋体"/>
                <w:szCs w:val="21"/>
              </w:rPr>
            </w:pPr>
            <w:r>
              <w:rPr>
                <w:rFonts w:ascii="宋体" w:hAnsi="宋体" w:eastAsia="宋体"/>
                <w:szCs w:val="21"/>
              </w:rPr>
              <w:t>4.单元测验</w:t>
            </w:r>
          </w:p>
        </w:tc>
        <w:tc>
          <w:tcPr>
            <w:tcW w:w="709" w:type="dxa"/>
            <w:vAlign w:val="center"/>
          </w:tcPr>
          <w:p w14:paraId="45AD2127">
            <w:pPr>
              <w:jc w:val="center"/>
              <w:rPr>
                <w:rFonts w:ascii="宋体" w:hAnsi="宋体" w:eastAsia="宋体" w:cs="Times New Roman"/>
                <w:szCs w:val="21"/>
              </w:rPr>
            </w:pPr>
            <w:r>
              <w:rPr>
                <w:rFonts w:ascii="宋体" w:hAnsi="宋体" w:eastAsia="宋体"/>
                <w:szCs w:val="21"/>
              </w:rPr>
              <w:t>3</w:t>
            </w:r>
          </w:p>
        </w:tc>
      </w:tr>
      <w:tr w14:paraId="3BD7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008776B3">
            <w:pPr>
              <w:jc w:val="left"/>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w:t>
            </w:r>
            <w:r>
              <w:rPr>
                <w:rFonts w:hint="eastAsia" w:ascii="宋体" w:hAnsi="宋体" w:eastAsia="宋体" w:cs="Times New Roman"/>
                <w:szCs w:val="21"/>
              </w:rPr>
              <w:t>坚持以人民为中心</w:t>
            </w:r>
          </w:p>
        </w:tc>
        <w:tc>
          <w:tcPr>
            <w:tcW w:w="2126" w:type="dxa"/>
            <w:vAlign w:val="center"/>
          </w:tcPr>
          <w:p w14:paraId="4C2462A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1）江山就是人民，人民就是江山</w:t>
            </w:r>
          </w:p>
          <w:p w14:paraId="2AEAAF8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2）坚持人民至上</w:t>
            </w:r>
          </w:p>
          <w:p w14:paraId="085C0990">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3）全面落实以人民为中心的发展思想</w:t>
            </w:r>
          </w:p>
          <w:p w14:paraId="21891692">
            <w:pPr>
              <w:jc w:val="left"/>
              <w:rPr>
                <w:rFonts w:ascii="宋体" w:hAnsi="宋体" w:eastAsia="宋体" w:cs="Times New Roman"/>
                <w:szCs w:val="21"/>
              </w:rPr>
            </w:pPr>
          </w:p>
        </w:tc>
        <w:tc>
          <w:tcPr>
            <w:tcW w:w="1276" w:type="dxa"/>
            <w:vAlign w:val="center"/>
          </w:tcPr>
          <w:p w14:paraId="31FFFD7B">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2333A98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1）理解“江山就是人民，人民就是江山”的深刻内涵</w:t>
            </w:r>
          </w:p>
          <w:p w14:paraId="0FFB1BE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2）掌握坚持人民至上的实践要求</w:t>
            </w:r>
          </w:p>
          <w:p w14:paraId="2F6B06F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3）掌握坚持以人民为中心的发展思想的基本内涵</w:t>
            </w:r>
          </w:p>
          <w:p w14:paraId="37F6666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4）掌握扎实推动全体人民共同富裕的原则和思路</w:t>
            </w:r>
          </w:p>
          <w:p w14:paraId="02C44EC0">
            <w:pPr>
              <w:jc w:val="left"/>
              <w:rPr>
                <w:rFonts w:ascii="宋体" w:hAnsi="宋体" w:eastAsia="宋体" w:cs="Times New Roman"/>
                <w:szCs w:val="21"/>
              </w:rPr>
            </w:pPr>
          </w:p>
        </w:tc>
        <w:tc>
          <w:tcPr>
            <w:tcW w:w="1559" w:type="dxa"/>
            <w:vAlign w:val="center"/>
          </w:tcPr>
          <w:p w14:paraId="6901CF0F">
            <w:pPr>
              <w:jc w:val="left"/>
              <w:rPr>
                <w:rFonts w:ascii="宋体" w:hAnsi="宋体" w:eastAsia="宋体"/>
                <w:szCs w:val="21"/>
              </w:rPr>
            </w:pPr>
            <w:r>
              <w:rPr>
                <w:rFonts w:ascii="宋体" w:hAnsi="宋体" w:eastAsia="宋体"/>
                <w:szCs w:val="21"/>
              </w:rPr>
              <w:t>1.线上学习</w:t>
            </w:r>
          </w:p>
          <w:p w14:paraId="05715A61">
            <w:pPr>
              <w:jc w:val="left"/>
              <w:rPr>
                <w:rFonts w:ascii="宋体" w:hAnsi="宋体" w:eastAsia="宋体"/>
                <w:szCs w:val="21"/>
              </w:rPr>
            </w:pPr>
            <w:r>
              <w:rPr>
                <w:rFonts w:ascii="宋体" w:hAnsi="宋体" w:eastAsia="宋体"/>
                <w:szCs w:val="21"/>
              </w:rPr>
              <w:t>2.多媒体教学</w:t>
            </w:r>
          </w:p>
          <w:p w14:paraId="68A4EC3D">
            <w:pPr>
              <w:jc w:val="left"/>
              <w:rPr>
                <w:rFonts w:ascii="宋体" w:hAnsi="宋体" w:eastAsia="宋体"/>
                <w:szCs w:val="21"/>
              </w:rPr>
            </w:pPr>
            <w:r>
              <w:rPr>
                <w:rFonts w:ascii="宋体" w:hAnsi="宋体" w:eastAsia="宋体"/>
                <w:szCs w:val="21"/>
              </w:rPr>
              <w:t>3.课堂讨论</w:t>
            </w:r>
          </w:p>
          <w:p w14:paraId="73D9EAC6">
            <w:pPr>
              <w:jc w:val="left"/>
              <w:rPr>
                <w:rFonts w:ascii="宋体" w:hAnsi="宋体" w:eastAsia="宋体"/>
                <w:szCs w:val="21"/>
              </w:rPr>
            </w:pPr>
            <w:r>
              <w:rPr>
                <w:rFonts w:ascii="宋体" w:hAnsi="宋体" w:eastAsia="宋体"/>
                <w:szCs w:val="21"/>
              </w:rPr>
              <w:t>4.单元测验</w:t>
            </w:r>
          </w:p>
        </w:tc>
        <w:tc>
          <w:tcPr>
            <w:tcW w:w="709" w:type="dxa"/>
            <w:vAlign w:val="center"/>
          </w:tcPr>
          <w:p w14:paraId="400DC57C">
            <w:pPr>
              <w:jc w:val="center"/>
              <w:rPr>
                <w:rFonts w:ascii="宋体" w:hAnsi="宋体" w:eastAsia="宋体" w:cs="Times New Roman"/>
                <w:szCs w:val="21"/>
              </w:rPr>
            </w:pPr>
            <w:r>
              <w:rPr>
                <w:rFonts w:ascii="宋体" w:hAnsi="宋体" w:eastAsia="宋体"/>
                <w:szCs w:val="21"/>
              </w:rPr>
              <w:t>3</w:t>
            </w:r>
          </w:p>
        </w:tc>
      </w:tr>
      <w:tr w14:paraId="1465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43FA0463">
            <w:pPr>
              <w:jc w:val="left"/>
              <w:rPr>
                <w:rFonts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全面深化改革开放</w:t>
            </w:r>
          </w:p>
          <w:p w14:paraId="4F043141">
            <w:pPr>
              <w:jc w:val="center"/>
              <w:rPr>
                <w:rFonts w:ascii="宋体" w:hAnsi="宋体" w:eastAsia="宋体" w:cs="Times New Roman"/>
                <w:szCs w:val="21"/>
              </w:rPr>
            </w:pPr>
          </w:p>
        </w:tc>
        <w:tc>
          <w:tcPr>
            <w:tcW w:w="2126" w:type="dxa"/>
            <w:vAlign w:val="center"/>
          </w:tcPr>
          <w:p w14:paraId="7F9EB78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1）改革开放是决定当代中国命运的关键一招</w:t>
            </w:r>
          </w:p>
          <w:p w14:paraId="06F32E2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2）统筹推进各领域各方面改革开放</w:t>
            </w:r>
          </w:p>
          <w:p w14:paraId="2953FB3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3）将改革开放进行到底</w:t>
            </w:r>
          </w:p>
        </w:tc>
        <w:tc>
          <w:tcPr>
            <w:tcW w:w="1276" w:type="dxa"/>
            <w:vAlign w:val="center"/>
          </w:tcPr>
          <w:p w14:paraId="1DEEC81A">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15DA2A9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1）理解新时代全面深化改革开放是一场深刻革命</w:t>
            </w:r>
          </w:p>
          <w:p w14:paraId="6DA12EC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2）掌握坚持全面深化改革开放的正确方向，全面深化改革的重大意义、总目标、重大部署、方法论等。</w:t>
            </w:r>
          </w:p>
          <w:p w14:paraId="5B8DA55F">
            <w:pPr>
              <w:jc w:val="left"/>
              <w:rPr>
                <w:rFonts w:ascii="宋体" w:hAnsi="宋体" w:eastAsia="宋体" w:cs="Times New Roman"/>
                <w:szCs w:val="21"/>
              </w:rPr>
            </w:pPr>
          </w:p>
        </w:tc>
        <w:tc>
          <w:tcPr>
            <w:tcW w:w="1559" w:type="dxa"/>
            <w:vAlign w:val="center"/>
          </w:tcPr>
          <w:p w14:paraId="144A096C">
            <w:pPr>
              <w:jc w:val="left"/>
              <w:rPr>
                <w:rFonts w:ascii="宋体" w:hAnsi="宋体" w:eastAsia="宋体"/>
                <w:szCs w:val="21"/>
              </w:rPr>
            </w:pPr>
            <w:r>
              <w:rPr>
                <w:rFonts w:ascii="宋体" w:hAnsi="宋体" w:eastAsia="宋体"/>
                <w:szCs w:val="21"/>
              </w:rPr>
              <w:t>1.线上学习</w:t>
            </w:r>
          </w:p>
          <w:p w14:paraId="775836B1">
            <w:pPr>
              <w:jc w:val="left"/>
              <w:rPr>
                <w:rFonts w:ascii="宋体" w:hAnsi="宋体" w:eastAsia="宋体"/>
                <w:szCs w:val="21"/>
              </w:rPr>
            </w:pPr>
            <w:r>
              <w:rPr>
                <w:rFonts w:ascii="宋体" w:hAnsi="宋体" w:eastAsia="宋体"/>
                <w:szCs w:val="21"/>
              </w:rPr>
              <w:t>2.多媒体教学</w:t>
            </w:r>
          </w:p>
          <w:p w14:paraId="0E3728ED">
            <w:pPr>
              <w:jc w:val="left"/>
              <w:rPr>
                <w:rFonts w:ascii="宋体" w:hAnsi="宋体" w:eastAsia="宋体"/>
                <w:szCs w:val="21"/>
              </w:rPr>
            </w:pPr>
            <w:r>
              <w:rPr>
                <w:rFonts w:ascii="宋体" w:hAnsi="宋体" w:eastAsia="宋体"/>
                <w:szCs w:val="21"/>
              </w:rPr>
              <w:t>3.课堂讨论</w:t>
            </w:r>
          </w:p>
          <w:p w14:paraId="3E37119D">
            <w:pPr>
              <w:jc w:val="left"/>
              <w:rPr>
                <w:rFonts w:ascii="宋体" w:hAnsi="宋体" w:eastAsia="宋体"/>
                <w:szCs w:val="21"/>
              </w:rPr>
            </w:pPr>
            <w:r>
              <w:rPr>
                <w:rFonts w:ascii="宋体" w:hAnsi="宋体" w:eastAsia="宋体"/>
                <w:szCs w:val="21"/>
              </w:rPr>
              <w:t>4.单元测验</w:t>
            </w:r>
          </w:p>
        </w:tc>
        <w:tc>
          <w:tcPr>
            <w:tcW w:w="709" w:type="dxa"/>
            <w:vAlign w:val="center"/>
          </w:tcPr>
          <w:p w14:paraId="640E162F">
            <w:pPr>
              <w:jc w:val="center"/>
              <w:rPr>
                <w:rFonts w:ascii="宋体" w:hAnsi="宋体" w:eastAsia="宋体" w:cs="Times New Roman"/>
                <w:szCs w:val="21"/>
              </w:rPr>
            </w:pPr>
            <w:r>
              <w:rPr>
                <w:rFonts w:ascii="宋体" w:hAnsi="宋体" w:eastAsia="宋体"/>
                <w:szCs w:val="21"/>
              </w:rPr>
              <w:t>3</w:t>
            </w:r>
          </w:p>
        </w:tc>
      </w:tr>
      <w:tr w14:paraId="4FDE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133FEE97">
            <w:pPr>
              <w:jc w:val="left"/>
              <w:rPr>
                <w:rFonts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w:t>
            </w:r>
            <w:r>
              <w:rPr>
                <w:rFonts w:hint="eastAsia" w:ascii="宋体" w:hAnsi="宋体" w:eastAsia="宋体" w:cs="Times New Roman"/>
                <w:szCs w:val="21"/>
              </w:rPr>
              <w:t>推动高质量发展</w:t>
            </w:r>
          </w:p>
          <w:p w14:paraId="1D64183D">
            <w:pPr>
              <w:jc w:val="center"/>
              <w:rPr>
                <w:rFonts w:ascii="宋体" w:hAnsi="宋体" w:eastAsia="宋体" w:cs="Times New Roman"/>
                <w:szCs w:val="21"/>
              </w:rPr>
            </w:pPr>
          </w:p>
        </w:tc>
        <w:tc>
          <w:tcPr>
            <w:tcW w:w="2126" w:type="dxa"/>
            <w:vAlign w:val="center"/>
          </w:tcPr>
          <w:p w14:paraId="12F97E9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1）完整、准确、全面贯彻新发展理念</w:t>
            </w:r>
          </w:p>
          <w:p w14:paraId="087B4C9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2）坚持和完善社会主义基本经济制度</w:t>
            </w:r>
          </w:p>
          <w:p w14:paraId="7D350FF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3）加快构建新发展格局</w:t>
            </w:r>
          </w:p>
          <w:p w14:paraId="351BC83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4）建设现代化经济体系</w:t>
            </w:r>
          </w:p>
        </w:tc>
        <w:tc>
          <w:tcPr>
            <w:tcW w:w="1276" w:type="dxa"/>
            <w:vAlign w:val="center"/>
          </w:tcPr>
          <w:p w14:paraId="6C9C24DB">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05DBCBD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1）理解新发展理念的形成背景、科学内涵和实践要求</w:t>
            </w:r>
          </w:p>
          <w:p w14:paraId="5C28520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2）理解我国经济转向高质量发展的深刻内涵和重大意义</w:t>
            </w:r>
          </w:p>
          <w:p w14:paraId="11E066C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3）掌握坚持和完善社会主义基本经济制度的内涵和重大意义</w:t>
            </w:r>
          </w:p>
          <w:p w14:paraId="68D2F67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4）掌握构建以国内大循环为主体、国内国际双循环相互促进的新发展格局</w:t>
            </w:r>
          </w:p>
        </w:tc>
        <w:tc>
          <w:tcPr>
            <w:tcW w:w="1559" w:type="dxa"/>
            <w:vAlign w:val="center"/>
          </w:tcPr>
          <w:p w14:paraId="38DF5CB1">
            <w:pPr>
              <w:jc w:val="left"/>
              <w:rPr>
                <w:rFonts w:ascii="宋体" w:hAnsi="宋体" w:eastAsia="宋体"/>
                <w:szCs w:val="21"/>
              </w:rPr>
            </w:pPr>
            <w:r>
              <w:rPr>
                <w:rFonts w:ascii="宋体" w:hAnsi="宋体" w:eastAsia="宋体"/>
                <w:szCs w:val="21"/>
              </w:rPr>
              <w:t>1.线上学习</w:t>
            </w:r>
          </w:p>
          <w:p w14:paraId="6BF3B3B6">
            <w:pPr>
              <w:jc w:val="left"/>
              <w:rPr>
                <w:rFonts w:ascii="宋体" w:hAnsi="宋体" w:eastAsia="宋体"/>
                <w:szCs w:val="21"/>
              </w:rPr>
            </w:pPr>
            <w:r>
              <w:rPr>
                <w:rFonts w:ascii="宋体" w:hAnsi="宋体" w:eastAsia="宋体"/>
                <w:szCs w:val="21"/>
              </w:rPr>
              <w:t>2.多媒体教学</w:t>
            </w:r>
          </w:p>
          <w:p w14:paraId="7F423CE8">
            <w:pPr>
              <w:jc w:val="left"/>
              <w:rPr>
                <w:rFonts w:ascii="宋体" w:hAnsi="宋体" w:eastAsia="宋体"/>
                <w:szCs w:val="21"/>
              </w:rPr>
            </w:pPr>
            <w:r>
              <w:rPr>
                <w:rFonts w:ascii="宋体" w:hAnsi="宋体" w:eastAsia="宋体"/>
                <w:szCs w:val="21"/>
              </w:rPr>
              <w:t>3.课堂讨论</w:t>
            </w:r>
          </w:p>
          <w:p w14:paraId="0E3AB2DE">
            <w:pPr>
              <w:jc w:val="left"/>
              <w:rPr>
                <w:rFonts w:ascii="宋体" w:hAnsi="宋体" w:eastAsia="宋体"/>
                <w:szCs w:val="21"/>
              </w:rPr>
            </w:pPr>
            <w:r>
              <w:rPr>
                <w:rFonts w:ascii="宋体" w:hAnsi="宋体" w:eastAsia="宋体"/>
                <w:szCs w:val="21"/>
              </w:rPr>
              <w:t>4.单元测验</w:t>
            </w:r>
          </w:p>
        </w:tc>
        <w:tc>
          <w:tcPr>
            <w:tcW w:w="709" w:type="dxa"/>
            <w:vAlign w:val="center"/>
          </w:tcPr>
          <w:p w14:paraId="00472DB3">
            <w:pPr>
              <w:jc w:val="center"/>
              <w:rPr>
                <w:rFonts w:ascii="宋体" w:hAnsi="宋体" w:eastAsia="宋体" w:cs="Times New Roman"/>
                <w:szCs w:val="21"/>
              </w:rPr>
            </w:pPr>
            <w:r>
              <w:rPr>
                <w:rFonts w:ascii="宋体" w:hAnsi="宋体" w:eastAsia="宋体"/>
                <w:szCs w:val="21"/>
              </w:rPr>
              <w:t>3</w:t>
            </w:r>
          </w:p>
        </w:tc>
      </w:tr>
      <w:tr w14:paraId="5169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2257C0F0">
            <w:pPr>
              <w:jc w:val="center"/>
              <w:rPr>
                <w:rFonts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社会主义现代化建设的教育、科技、人才战略</w:t>
            </w:r>
          </w:p>
        </w:tc>
        <w:tc>
          <w:tcPr>
            <w:tcW w:w="2126" w:type="dxa"/>
            <w:vAlign w:val="center"/>
          </w:tcPr>
          <w:p w14:paraId="1B916D4A">
            <w:pPr>
              <w:jc w:val="left"/>
              <w:rPr>
                <w:rFonts w:ascii="宋体" w:hAnsi="宋体" w:eastAsia="宋体" w:cs="Times New Roman"/>
                <w:szCs w:val="21"/>
              </w:rPr>
            </w:pPr>
          </w:p>
          <w:p w14:paraId="351A68E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1）全面建设社会主义现代化国家的基础性、战略性支撑</w:t>
            </w:r>
          </w:p>
          <w:p w14:paraId="5137488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2）加快建设教育强国</w:t>
            </w:r>
          </w:p>
          <w:p w14:paraId="50E6180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3）加快建设科技强国</w:t>
            </w:r>
          </w:p>
          <w:p w14:paraId="26343B6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4）加快建设人才强国</w:t>
            </w:r>
          </w:p>
          <w:p w14:paraId="39D8D841">
            <w:pPr>
              <w:jc w:val="left"/>
              <w:rPr>
                <w:rFonts w:ascii="宋体" w:hAnsi="宋体" w:eastAsia="宋体" w:cs="Times New Roman"/>
                <w:szCs w:val="21"/>
              </w:rPr>
            </w:pPr>
          </w:p>
        </w:tc>
        <w:tc>
          <w:tcPr>
            <w:tcW w:w="1276" w:type="dxa"/>
            <w:vAlign w:val="center"/>
          </w:tcPr>
          <w:p w14:paraId="2EFBD2DE">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4EED07A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1）理解教育、科技、人才是全面建设社会主义现代化国家的基础性、战略性支撑</w:t>
            </w:r>
          </w:p>
          <w:p w14:paraId="764BB44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2）理解教育是国之大计、党之大计、在国家发展中的基础性先导性全局性地位</w:t>
            </w:r>
          </w:p>
          <w:p w14:paraId="514F4E5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3）理解科技自立自强是国家强盛之基、安全之要，人才是实现民族振兴、赢得国际竞争主动的战略资源</w:t>
            </w:r>
          </w:p>
          <w:p w14:paraId="6A7C93D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4）掌握建设教育强国、科技强国、人才强国的内在一致性和相互支撑性</w:t>
            </w:r>
          </w:p>
        </w:tc>
        <w:tc>
          <w:tcPr>
            <w:tcW w:w="1559" w:type="dxa"/>
            <w:vAlign w:val="center"/>
          </w:tcPr>
          <w:p w14:paraId="5D852877">
            <w:pPr>
              <w:jc w:val="left"/>
              <w:rPr>
                <w:rFonts w:ascii="宋体" w:hAnsi="宋体" w:eastAsia="宋体"/>
                <w:szCs w:val="21"/>
              </w:rPr>
            </w:pPr>
            <w:r>
              <w:rPr>
                <w:rFonts w:ascii="宋体" w:hAnsi="宋体" w:eastAsia="宋体"/>
                <w:szCs w:val="21"/>
              </w:rPr>
              <w:t>1.线上学习</w:t>
            </w:r>
          </w:p>
          <w:p w14:paraId="586E3891">
            <w:pPr>
              <w:jc w:val="left"/>
              <w:rPr>
                <w:rFonts w:ascii="宋体" w:hAnsi="宋体" w:eastAsia="宋体"/>
                <w:szCs w:val="21"/>
              </w:rPr>
            </w:pPr>
            <w:r>
              <w:rPr>
                <w:rFonts w:ascii="宋体" w:hAnsi="宋体" w:eastAsia="宋体"/>
                <w:szCs w:val="21"/>
              </w:rPr>
              <w:t>2.多媒体教学</w:t>
            </w:r>
          </w:p>
          <w:p w14:paraId="177CFCA1">
            <w:pPr>
              <w:jc w:val="left"/>
              <w:rPr>
                <w:rFonts w:ascii="宋体" w:hAnsi="宋体" w:eastAsia="宋体"/>
                <w:szCs w:val="21"/>
              </w:rPr>
            </w:pPr>
            <w:r>
              <w:rPr>
                <w:rFonts w:ascii="宋体" w:hAnsi="宋体" w:eastAsia="宋体"/>
                <w:szCs w:val="21"/>
              </w:rPr>
              <w:t>3.课堂讨论</w:t>
            </w:r>
          </w:p>
          <w:p w14:paraId="1F283F60">
            <w:pPr>
              <w:jc w:val="left"/>
              <w:rPr>
                <w:rFonts w:ascii="宋体" w:hAnsi="宋体" w:eastAsia="宋体"/>
                <w:szCs w:val="21"/>
              </w:rPr>
            </w:pPr>
            <w:r>
              <w:rPr>
                <w:rFonts w:ascii="宋体" w:hAnsi="宋体" w:eastAsia="宋体"/>
                <w:szCs w:val="21"/>
              </w:rPr>
              <w:t>4.单元测验</w:t>
            </w:r>
          </w:p>
        </w:tc>
        <w:tc>
          <w:tcPr>
            <w:tcW w:w="709" w:type="dxa"/>
            <w:vAlign w:val="center"/>
          </w:tcPr>
          <w:p w14:paraId="4840F9E5">
            <w:pPr>
              <w:jc w:val="center"/>
              <w:rPr>
                <w:rFonts w:ascii="宋体" w:hAnsi="宋体" w:eastAsia="宋体" w:cs="Times New Roman"/>
                <w:szCs w:val="21"/>
              </w:rPr>
            </w:pPr>
            <w:r>
              <w:rPr>
                <w:rFonts w:ascii="宋体" w:hAnsi="宋体" w:eastAsia="宋体"/>
                <w:szCs w:val="21"/>
              </w:rPr>
              <w:t>3</w:t>
            </w:r>
          </w:p>
        </w:tc>
      </w:tr>
      <w:tr w14:paraId="2241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642E0420">
            <w:pPr>
              <w:jc w:val="left"/>
              <w:rPr>
                <w:rFonts w:hint="eastAsia" w:ascii="宋体" w:hAnsi="宋体" w:eastAsia="宋体" w:cs="Times New Roman"/>
                <w:szCs w:val="21"/>
              </w:rPr>
            </w:pPr>
            <w:r>
              <w:rPr>
                <w:rFonts w:hint="eastAsia" w:ascii="宋体" w:hAnsi="宋体" w:eastAsia="宋体" w:cs="Times New Roman"/>
                <w:szCs w:val="21"/>
              </w:rPr>
              <w:t>9</w:t>
            </w:r>
            <w:r>
              <w:rPr>
                <w:rFonts w:ascii="宋体" w:hAnsi="宋体" w:eastAsia="宋体" w:cs="Times New Roman"/>
                <w:szCs w:val="21"/>
              </w:rPr>
              <w:t>.</w:t>
            </w:r>
            <w:r>
              <w:rPr>
                <w:rFonts w:hint="eastAsia" w:ascii="宋体" w:hAnsi="宋体" w:eastAsia="宋体" w:cs="Times New Roman"/>
                <w:szCs w:val="21"/>
              </w:rPr>
              <w:t>发展全过程人民民主</w:t>
            </w:r>
          </w:p>
        </w:tc>
        <w:tc>
          <w:tcPr>
            <w:tcW w:w="2126" w:type="dxa"/>
            <w:vAlign w:val="center"/>
          </w:tcPr>
          <w:p w14:paraId="2D7C4BF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1）坚定中国特色社会主义政治制度自信</w:t>
            </w:r>
          </w:p>
          <w:p w14:paraId="147C46D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2）全过程人民民主是社会主义民主政治的本质属性</w:t>
            </w:r>
          </w:p>
          <w:p w14:paraId="7EB73BD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3）健全人民当家作主的制度体系</w:t>
            </w:r>
          </w:p>
          <w:p w14:paraId="7457E67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4）巩固和发展新时代爱国统一战线</w:t>
            </w:r>
          </w:p>
        </w:tc>
        <w:tc>
          <w:tcPr>
            <w:tcW w:w="1276" w:type="dxa"/>
            <w:vAlign w:val="center"/>
          </w:tcPr>
          <w:p w14:paraId="4C3F15CD">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6B3239E0">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1）理解全过程人民民主是社会主义民主政治的本质属性</w:t>
            </w:r>
          </w:p>
          <w:p w14:paraId="00E338F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2）掌握全过程人民民主的基本内涵，发展全过程人民民主的重大意义和实践要求，人民当家作主制度体系的主要内容</w:t>
            </w:r>
          </w:p>
          <w:p w14:paraId="280C450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3）理解巩固和发展新时代爱国统一战线的重要意义</w:t>
            </w:r>
          </w:p>
          <w:p w14:paraId="79C1D2D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4）掌握坚定不移走中国特色社会主义政治发展道路意义与内涵</w:t>
            </w:r>
          </w:p>
          <w:p w14:paraId="1BC2ACFB">
            <w:pPr>
              <w:jc w:val="left"/>
              <w:rPr>
                <w:rFonts w:ascii="宋体" w:hAnsi="宋体" w:eastAsia="宋体" w:cs="Times New Roman"/>
                <w:szCs w:val="21"/>
              </w:rPr>
            </w:pPr>
          </w:p>
          <w:p w14:paraId="1672E8D6">
            <w:pPr>
              <w:jc w:val="left"/>
              <w:rPr>
                <w:rFonts w:ascii="宋体" w:hAnsi="宋体" w:eastAsia="宋体" w:cs="Times New Roman"/>
                <w:szCs w:val="21"/>
              </w:rPr>
            </w:pPr>
          </w:p>
        </w:tc>
        <w:tc>
          <w:tcPr>
            <w:tcW w:w="1559" w:type="dxa"/>
            <w:vAlign w:val="center"/>
          </w:tcPr>
          <w:p w14:paraId="01D3B18E">
            <w:pPr>
              <w:jc w:val="left"/>
              <w:rPr>
                <w:rFonts w:ascii="宋体" w:hAnsi="宋体" w:eastAsia="宋体"/>
                <w:szCs w:val="21"/>
              </w:rPr>
            </w:pPr>
            <w:r>
              <w:rPr>
                <w:rFonts w:ascii="宋体" w:hAnsi="宋体" w:eastAsia="宋体"/>
                <w:szCs w:val="21"/>
              </w:rPr>
              <w:t>1.线上学习</w:t>
            </w:r>
          </w:p>
          <w:p w14:paraId="314F33AF">
            <w:pPr>
              <w:jc w:val="left"/>
              <w:rPr>
                <w:rFonts w:ascii="宋体" w:hAnsi="宋体" w:eastAsia="宋体"/>
                <w:szCs w:val="21"/>
              </w:rPr>
            </w:pPr>
            <w:r>
              <w:rPr>
                <w:rFonts w:ascii="宋体" w:hAnsi="宋体" w:eastAsia="宋体"/>
                <w:szCs w:val="21"/>
              </w:rPr>
              <w:t>2.多媒体教学</w:t>
            </w:r>
          </w:p>
          <w:p w14:paraId="467E82AA">
            <w:pPr>
              <w:jc w:val="left"/>
              <w:rPr>
                <w:rFonts w:ascii="宋体" w:hAnsi="宋体" w:eastAsia="宋体"/>
                <w:szCs w:val="21"/>
              </w:rPr>
            </w:pPr>
            <w:r>
              <w:rPr>
                <w:rFonts w:ascii="宋体" w:hAnsi="宋体" w:eastAsia="宋体"/>
                <w:szCs w:val="21"/>
              </w:rPr>
              <w:t>3.课堂讨论</w:t>
            </w:r>
          </w:p>
          <w:p w14:paraId="27FE3B9C">
            <w:pPr>
              <w:jc w:val="left"/>
              <w:rPr>
                <w:rFonts w:ascii="宋体" w:hAnsi="宋体" w:eastAsia="宋体"/>
                <w:szCs w:val="21"/>
              </w:rPr>
            </w:pPr>
            <w:r>
              <w:rPr>
                <w:rFonts w:ascii="宋体" w:hAnsi="宋体" w:eastAsia="宋体"/>
                <w:szCs w:val="21"/>
              </w:rPr>
              <w:t>4.单元测验</w:t>
            </w:r>
          </w:p>
        </w:tc>
        <w:tc>
          <w:tcPr>
            <w:tcW w:w="709" w:type="dxa"/>
            <w:vAlign w:val="center"/>
          </w:tcPr>
          <w:p w14:paraId="515B1070">
            <w:pPr>
              <w:jc w:val="center"/>
              <w:rPr>
                <w:rFonts w:ascii="宋体" w:hAnsi="宋体" w:eastAsia="宋体" w:cs="Times New Roman"/>
                <w:szCs w:val="21"/>
              </w:rPr>
            </w:pPr>
            <w:r>
              <w:rPr>
                <w:rFonts w:ascii="宋体" w:hAnsi="宋体" w:eastAsia="宋体"/>
                <w:szCs w:val="21"/>
              </w:rPr>
              <w:t>3</w:t>
            </w:r>
          </w:p>
        </w:tc>
      </w:tr>
      <w:tr w14:paraId="4AFB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4DFFCE48">
            <w:pPr>
              <w:jc w:val="cente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全面依法治国</w:t>
            </w:r>
          </w:p>
        </w:tc>
        <w:tc>
          <w:tcPr>
            <w:tcW w:w="2126" w:type="dxa"/>
            <w:vAlign w:val="center"/>
          </w:tcPr>
          <w:p w14:paraId="69998ED3">
            <w:pPr>
              <w:jc w:val="left"/>
              <w:rPr>
                <w:rFonts w:ascii="宋体" w:hAnsi="宋体" w:eastAsia="宋体" w:cs="Times New Roman"/>
                <w:b/>
                <w:szCs w:val="21"/>
              </w:rPr>
            </w:pPr>
          </w:p>
          <w:p w14:paraId="4309195B">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1）坚持中国特色社会主义法治道路</w:t>
            </w:r>
          </w:p>
          <w:p w14:paraId="4F1E96B1">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2）建设中国特色社会主义法治体系</w:t>
            </w:r>
          </w:p>
          <w:p w14:paraId="6387EDF3">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3）加快建设法治中国</w:t>
            </w:r>
          </w:p>
          <w:p w14:paraId="6CF2CD16">
            <w:pPr>
              <w:jc w:val="left"/>
              <w:rPr>
                <w:rFonts w:ascii="宋体" w:hAnsi="宋体" w:eastAsia="宋体" w:cs="Times New Roman"/>
                <w:bCs/>
                <w:szCs w:val="21"/>
              </w:rPr>
            </w:pPr>
          </w:p>
        </w:tc>
        <w:tc>
          <w:tcPr>
            <w:tcW w:w="1276" w:type="dxa"/>
            <w:vAlign w:val="center"/>
          </w:tcPr>
          <w:p w14:paraId="0D95AABF">
            <w:pPr>
              <w:jc w:val="left"/>
              <w:rPr>
                <w:rFonts w:hint="eastAsia" w:ascii="宋体" w:hAnsi="宋体" w:eastAsia="宋体" w:cs="Times New Roman"/>
                <w:bCs/>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39B2A8F2">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1）掌握全面依法治国的总目标，全面依法治国的重大意义和实践要求</w:t>
            </w:r>
          </w:p>
          <w:p w14:paraId="160831BF">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2）掌握中国特色社会主义法治道路的核心要义和基本原则，中国特色社会主义法治体系的主要内容</w:t>
            </w:r>
          </w:p>
          <w:p w14:paraId="53691A18">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2）了解加快推进法治中国建设的主要任务</w:t>
            </w:r>
          </w:p>
          <w:p w14:paraId="021ADCEB">
            <w:pPr>
              <w:jc w:val="center"/>
              <w:rPr>
                <w:rFonts w:ascii="宋体" w:hAnsi="宋体" w:eastAsia="宋体" w:cs="Times New Roman"/>
                <w:szCs w:val="21"/>
              </w:rPr>
            </w:pPr>
          </w:p>
        </w:tc>
        <w:tc>
          <w:tcPr>
            <w:tcW w:w="1559" w:type="dxa"/>
            <w:vAlign w:val="center"/>
          </w:tcPr>
          <w:p w14:paraId="462C6B03">
            <w:pPr>
              <w:jc w:val="left"/>
              <w:rPr>
                <w:rFonts w:ascii="宋体" w:hAnsi="宋体" w:eastAsia="宋体"/>
                <w:szCs w:val="21"/>
              </w:rPr>
            </w:pPr>
            <w:r>
              <w:rPr>
                <w:rFonts w:ascii="宋体" w:hAnsi="宋体" w:eastAsia="宋体"/>
                <w:szCs w:val="21"/>
              </w:rPr>
              <w:t>1.线上学习</w:t>
            </w:r>
          </w:p>
          <w:p w14:paraId="311224F6">
            <w:pPr>
              <w:jc w:val="left"/>
              <w:rPr>
                <w:rFonts w:ascii="宋体" w:hAnsi="宋体" w:eastAsia="宋体"/>
                <w:szCs w:val="21"/>
              </w:rPr>
            </w:pPr>
            <w:r>
              <w:rPr>
                <w:rFonts w:ascii="宋体" w:hAnsi="宋体" w:eastAsia="宋体"/>
                <w:szCs w:val="21"/>
              </w:rPr>
              <w:t>2.多媒体教学</w:t>
            </w:r>
          </w:p>
          <w:p w14:paraId="2020C72A">
            <w:pPr>
              <w:jc w:val="left"/>
              <w:rPr>
                <w:rFonts w:ascii="宋体" w:hAnsi="宋体" w:eastAsia="宋体"/>
                <w:szCs w:val="21"/>
              </w:rPr>
            </w:pPr>
            <w:r>
              <w:rPr>
                <w:rFonts w:ascii="宋体" w:hAnsi="宋体" w:eastAsia="宋体"/>
                <w:szCs w:val="21"/>
              </w:rPr>
              <w:t>3.课堂讨论</w:t>
            </w:r>
          </w:p>
          <w:p w14:paraId="72703685">
            <w:pPr>
              <w:jc w:val="left"/>
              <w:rPr>
                <w:rFonts w:ascii="宋体" w:hAnsi="宋体" w:eastAsia="宋体"/>
                <w:szCs w:val="21"/>
              </w:rPr>
            </w:pPr>
            <w:r>
              <w:rPr>
                <w:rFonts w:ascii="宋体" w:hAnsi="宋体" w:eastAsia="宋体"/>
                <w:szCs w:val="21"/>
              </w:rPr>
              <w:t>4.单元测验</w:t>
            </w:r>
          </w:p>
        </w:tc>
        <w:tc>
          <w:tcPr>
            <w:tcW w:w="709" w:type="dxa"/>
            <w:vAlign w:val="center"/>
          </w:tcPr>
          <w:p w14:paraId="5B99E0D0">
            <w:pPr>
              <w:jc w:val="center"/>
              <w:rPr>
                <w:rFonts w:ascii="宋体" w:hAnsi="宋体" w:eastAsia="宋体" w:cs="Times New Roman"/>
                <w:szCs w:val="21"/>
              </w:rPr>
            </w:pPr>
            <w:r>
              <w:rPr>
                <w:rFonts w:ascii="宋体" w:hAnsi="宋体" w:eastAsia="宋体"/>
                <w:szCs w:val="21"/>
              </w:rPr>
              <w:t>3</w:t>
            </w:r>
          </w:p>
        </w:tc>
      </w:tr>
      <w:tr w14:paraId="43FB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2A525560">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建设社会主义文化强国</w:t>
            </w:r>
          </w:p>
          <w:p w14:paraId="1DFEE55F">
            <w:pPr>
              <w:jc w:val="center"/>
              <w:rPr>
                <w:rFonts w:ascii="宋体" w:hAnsi="宋体" w:eastAsia="宋体" w:cs="Times New Roman"/>
                <w:szCs w:val="21"/>
              </w:rPr>
            </w:pPr>
          </w:p>
        </w:tc>
        <w:tc>
          <w:tcPr>
            <w:tcW w:w="2126" w:type="dxa"/>
            <w:vAlign w:val="center"/>
          </w:tcPr>
          <w:p w14:paraId="0BD06E4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1）文化是民族生存和发展的重要力量</w:t>
            </w:r>
          </w:p>
          <w:p w14:paraId="5622D74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2）建设具有强大凝聚力和引领力的社会主义意识形态</w:t>
            </w:r>
          </w:p>
          <w:p w14:paraId="11A8CD6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3）以社会主义核心价值观引领文化建设</w:t>
            </w:r>
          </w:p>
          <w:p w14:paraId="13DDAF4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4）铸就社会主义文化新辉煌</w:t>
            </w:r>
          </w:p>
          <w:p w14:paraId="2589883E">
            <w:pPr>
              <w:jc w:val="left"/>
              <w:rPr>
                <w:rFonts w:ascii="宋体" w:hAnsi="宋体" w:eastAsia="宋体" w:cs="Times New Roman"/>
                <w:szCs w:val="21"/>
              </w:rPr>
            </w:pPr>
          </w:p>
        </w:tc>
        <w:tc>
          <w:tcPr>
            <w:tcW w:w="1276" w:type="dxa"/>
            <w:vAlign w:val="center"/>
          </w:tcPr>
          <w:p w14:paraId="198F5D67">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283C70B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1）理解文化自信是实现中华民族伟大复兴的强大精神力量</w:t>
            </w:r>
          </w:p>
          <w:p w14:paraId="31BCED2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2）掌握建设中国特色社会主义文化、坚持马克思主义在意识形态领域指导地位的根本制度、用社会主义核心价值观凝心聚力的重大意义，理解提升国家文化软实力和中华文化影响力的实践要求</w:t>
            </w:r>
            <w:r>
              <w:rPr>
                <w:rFonts w:ascii="宋体" w:hAnsi="宋体" w:eastAsia="宋体" w:cs="Times New Roman"/>
                <w:szCs w:val="21"/>
              </w:rPr>
              <w:tab/>
            </w:r>
          </w:p>
          <w:p w14:paraId="37E3C93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3）掌握培育和践行社会主义核心价值观的基本要求</w:t>
            </w:r>
          </w:p>
          <w:p w14:paraId="38AC069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4）了解中华文明的突出特性</w:t>
            </w:r>
          </w:p>
          <w:p w14:paraId="3A85E277">
            <w:pPr>
              <w:jc w:val="left"/>
              <w:rPr>
                <w:rFonts w:ascii="宋体" w:hAnsi="宋体" w:eastAsia="宋体" w:cs="Times New Roman"/>
                <w:szCs w:val="21"/>
              </w:rPr>
            </w:pPr>
          </w:p>
        </w:tc>
        <w:tc>
          <w:tcPr>
            <w:tcW w:w="1559" w:type="dxa"/>
            <w:vAlign w:val="center"/>
          </w:tcPr>
          <w:p w14:paraId="561B93C9">
            <w:pPr>
              <w:jc w:val="left"/>
              <w:rPr>
                <w:rFonts w:ascii="宋体" w:hAnsi="宋体" w:eastAsia="宋体"/>
                <w:szCs w:val="21"/>
              </w:rPr>
            </w:pPr>
          </w:p>
        </w:tc>
        <w:tc>
          <w:tcPr>
            <w:tcW w:w="709" w:type="dxa"/>
            <w:vAlign w:val="center"/>
          </w:tcPr>
          <w:p w14:paraId="3D4DC2A0">
            <w:pPr>
              <w:jc w:val="center"/>
              <w:rPr>
                <w:rFonts w:ascii="宋体" w:hAnsi="宋体" w:eastAsia="宋体" w:cs="Times New Roman"/>
                <w:szCs w:val="21"/>
              </w:rPr>
            </w:pPr>
            <w:r>
              <w:rPr>
                <w:rFonts w:ascii="宋体" w:hAnsi="宋体" w:eastAsia="宋体"/>
                <w:szCs w:val="21"/>
              </w:rPr>
              <w:t>3</w:t>
            </w:r>
          </w:p>
        </w:tc>
      </w:tr>
      <w:tr w14:paraId="6D09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68431F57">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以保障和改善民生为重点加强社会建设</w:t>
            </w:r>
          </w:p>
          <w:p w14:paraId="19F63A88">
            <w:pPr>
              <w:jc w:val="center"/>
              <w:rPr>
                <w:rFonts w:ascii="宋体" w:hAnsi="宋体" w:eastAsia="宋体" w:cs="Times New Roman"/>
                <w:szCs w:val="21"/>
              </w:rPr>
            </w:pPr>
          </w:p>
        </w:tc>
        <w:tc>
          <w:tcPr>
            <w:tcW w:w="2126" w:type="dxa"/>
            <w:vAlign w:val="center"/>
          </w:tcPr>
          <w:p w14:paraId="54780DE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1）让人民生活幸福是“国之大者”</w:t>
            </w:r>
          </w:p>
          <w:p w14:paraId="1CBAF9D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2）不断提高人民生活品质</w:t>
            </w:r>
          </w:p>
          <w:p w14:paraId="4C10790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3）在共建共治共享中推进社会治理现代化</w:t>
            </w:r>
          </w:p>
          <w:p w14:paraId="25862D78">
            <w:pPr>
              <w:jc w:val="left"/>
              <w:rPr>
                <w:rFonts w:ascii="宋体" w:hAnsi="宋体" w:eastAsia="宋体" w:cs="Times New Roman"/>
                <w:szCs w:val="21"/>
              </w:rPr>
            </w:pPr>
          </w:p>
        </w:tc>
        <w:tc>
          <w:tcPr>
            <w:tcW w:w="1276" w:type="dxa"/>
            <w:vAlign w:val="center"/>
          </w:tcPr>
          <w:p w14:paraId="6CB26D1D">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278B097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1）理解在发展中增进民生福祉</w:t>
            </w:r>
          </w:p>
          <w:p w14:paraId="1BF809C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2）理解提高人民生活品质的主要着力点</w:t>
            </w:r>
          </w:p>
          <w:p w14:paraId="159B08E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3）理解以民生为重点的社会建设的重大意义，理解增强人民获得感、幸福感、安全感，推进社会治理现代化的实践要求。</w:t>
            </w:r>
          </w:p>
          <w:p w14:paraId="77B267C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4）掌握加强和创新社会治理的意义和要求</w:t>
            </w:r>
          </w:p>
          <w:p w14:paraId="12451F68">
            <w:pPr>
              <w:jc w:val="left"/>
              <w:rPr>
                <w:rFonts w:ascii="宋体" w:hAnsi="宋体" w:eastAsia="宋体" w:cs="Times New Roman"/>
                <w:szCs w:val="21"/>
              </w:rPr>
            </w:pPr>
          </w:p>
        </w:tc>
        <w:tc>
          <w:tcPr>
            <w:tcW w:w="1559" w:type="dxa"/>
            <w:vAlign w:val="center"/>
          </w:tcPr>
          <w:p w14:paraId="56EAC708">
            <w:pPr>
              <w:jc w:val="left"/>
              <w:rPr>
                <w:rFonts w:ascii="宋体" w:hAnsi="宋体" w:eastAsia="宋体"/>
                <w:szCs w:val="21"/>
              </w:rPr>
            </w:pPr>
            <w:r>
              <w:rPr>
                <w:rFonts w:ascii="宋体" w:hAnsi="宋体" w:eastAsia="宋体"/>
                <w:szCs w:val="21"/>
              </w:rPr>
              <w:t>1.线上学习</w:t>
            </w:r>
          </w:p>
          <w:p w14:paraId="07E265FC">
            <w:pPr>
              <w:jc w:val="left"/>
              <w:rPr>
                <w:rFonts w:ascii="宋体" w:hAnsi="宋体" w:eastAsia="宋体"/>
                <w:szCs w:val="21"/>
              </w:rPr>
            </w:pPr>
            <w:r>
              <w:rPr>
                <w:rFonts w:ascii="宋体" w:hAnsi="宋体" w:eastAsia="宋体"/>
                <w:szCs w:val="21"/>
              </w:rPr>
              <w:t>2.多媒体教学</w:t>
            </w:r>
          </w:p>
          <w:p w14:paraId="136F337D">
            <w:pPr>
              <w:jc w:val="left"/>
              <w:rPr>
                <w:rFonts w:ascii="宋体" w:hAnsi="宋体" w:eastAsia="宋体"/>
                <w:szCs w:val="21"/>
              </w:rPr>
            </w:pPr>
            <w:r>
              <w:rPr>
                <w:rFonts w:ascii="宋体" w:hAnsi="宋体" w:eastAsia="宋体"/>
                <w:szCs w:val="21"/>
              </w:rPr>
              <w:t>3.课堂讨论</w:t>
            </w:r>
          </w:p>
          <w:p w14:paraId="00795912">
            <w:pPr>
              <w:jc w:val="left"/>
              <w:rPr>
                <w:rFonts w:ascii="宋体" w:hAnsi="宋体" w:eastAsia="宋体"/>
                <w:szCs w:val="21"/>
              </w:rPr>
            </w:pPr>
            <w:r>
              <w:rPr>
                <w:rFonts w:ascii="宋体" w:hAnsi="宋体" w:eastAsia="宋体"/>
                <w:szCs w:val="21"/>
              </w:rPr>
              <w:t>4.单元测验</w:t>
            </w:r>
          </w:p>
        </w:tc>
        <w:tc>
          <w:tcPr>
            <w:tcW w:w="709" w:type="dxa"/>
            <w:vAlign w:val="center"/>
          </w:tcPr>
          <w:p w14:paraId="00D29D0C">
            <w:pPr>
              <w:jc w:val="center"/>
              <w:rPr>
                <w:rFonts w:ascii="宋体" w:hAnsi="宋体" w:eastAsia="宋体" w:cs="Times New Roman"/>
                <w:szCs w:val="21"/>
              </w:rPr>
            </w:pPr>
            <w:r>
              <w:rPr>
                <w:rFonts w:ascii="宋体" w:hAnsi="宋体" w:eastAsia="宋体"/>
                <w:szCs w:val="21"/>
              </w:rPr>
              <w:t>3</w:t>
            </w:r>
          </w:p>
        </w:tc>
      </w:tr>
      <w:tr w14:paraId="5D28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4F111AB0">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3.</w:t>
            </w:r>
            <w:r>
              <w:rPr>
                <w:rFonts w:hint="eastAsia" w:ascii="宋体" w:hAnsi="宋体" w:eastAsia="宋体" w:cs="Times New Roman"/>
                <w:szCs w:val="21"/>
              </w:rPr>
              <w:t>建设社会主义生态文明</w:t>
            </w:r>
          </w:p>
          <w:p w14:paraId="2A5D0D59">
            <w:pPr>
              <w:jc w:val="center"/>
              <w:rPr>
                <w:rFonts w:ascii="宋体" w:hAnsi="宋体" w:eastAsia="宋体" w:cs="Times New Roman"/>
                <w:szCs w:val="21"/>
              </w:rPr>
            </w:pPr>
          </w:p>
        </w:tc>
        <w:tc>
          <w:tcPr>
            <w:tcW w:w="2126" w:type="dxa"/>
            <w:vAlign w:val="center"/>
          </w:tcPr>
          <w:p w14:paraId="7DEF1F3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1）坚持人与自然和谐共生</w:t>
            </w:r>
          </w:p>
          <w:p w14:paraId="598D2A6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2）建设美丽中国</w:t>
            </w:r>
          </w:p>
          <w:p w14:paraId="17A10F9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3）共谋全球生态文明建设之路</w:t>
            </w:r>
          </w:p>
          <w:p w14:paraId="53AE189B">
            <w:pPr>
              <w:jc w:val="left"/>
              <w:rPr>
                <w:rFonts w:ascii="宋体" w:hAnsi="宋体" w:eastAsia="宋体" w:cs="Times New Roman"/>
                <w:szCs w:val="21"/>
              </w:rPr>
            </w:pPr>
          </w:p>
        </w:tc>
        <w:tc>
          <w:tcPr>
            <w:tcW w:w="1276" w:type="dxa"/>
            <w:vAlign w:val="center"/>
          </w:tcPr>
          <w:p w14:paraId="65427D94">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58F2C9F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1）掌握社会主义生态文明的科学内涵</w:t>
            </w:r>
          </w:p>
          <w:p w14:paraId="753B433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2）理解建设生态文明的重大意义和实践要求</w:t>
            </w:r>
          </w:p>
          <w:p w14:paraId="7D8EE5E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3）掌握绿水青山就是金山银山的科学内涵</w:t>
            </w:r>
          </w:p>
          <w:p w14:paraId="6E15D27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4）了解建设美丽中国的主要任务</w:t>
            </w:r>
          </w:p>
          <w:p w14:paraId="5637DE1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5）了解全球环境治理的中国方案</w:t>
            </w:r>
          </w:p>
          <w:p w14:paraId="385027D8">
            <w:pPr>
              <w:jc w:val="left"/>
              <w:rPr>
                <w:rFonts w:ascii="宋体" w:hAnsi="宋体" w:eastAsia="宋体" w:cs="Times New Roman"/>
                <w:szCs w:val="21"/>
              </w:rPr>
            </w:pPr>
          </w:p>
        </w:tc>
        <w:tc>
          <w:tcPr>
            <w:tcW w:w="1559" w:type="dxa"/>
            <w:vAlign w:val="center"/>
          </w:tcPr>
          <w:p w14:paraId="6CA2B866">
            <w:pPr>
              <w:jc w:val="left"/>
              <w:rPr>
                <w:rFonts w:ascii="宋体" w:hAnsi="宋体" w:eastAsia="宋体"/>
                <w:szCs w:val="21"/>
              </w:rPr>
            </w:pPr>
            <w:r>
              <w:rPr>
                <w:rFonts w:ascii="宋体" w:hAnsi="宋体" w:eastAsia="宋体"/>
                <w:szCs w:val="21"/>
              </w:rPr>
              <w:t>1.线上学习</w:t>
            </w:r>
          </w:p>
          <w:p w14:paraId="39890F6D">
            <w:pPr>
              <w:jc w:val="left"/>
              <w:rPr>
                <w:rFonts w:ascii="宋体" w:hAnsi="宋体" w:eastAsia="宋体"/>
                <w:szCs w:val="21"/>
              </w:rPr>
            </w:pPr>
            <w:r>
              <w:rPr>
                <w:rFonts w:ascii="宋体" w:hAnsi="宋体" w:eastAsia="宋体"/>
                <w:szCs w:val="21"/>
              </w:rPr>
              <w:t>2.多媒体教学</w:t>
            </w:r>
          </w:p>
          <w:p w14:paraId="5A219180">
            <w:pPr>
              <w:jc w:val="left"/>
              <w:rPr>
                <w:rFonts w:ascii="宋体" w:hAnsi="宋体" w:eastAsia="宋体"/>
                <w:szCs w:val="21"/>
              </w:rPr>
            </w:pPr>
            <w:r>
              <w:rPr>
                <w:rFonts w:ascii="宋体" w:hAnsi="宋体" w:eastAsia="宋体"/>
                <w:szCs w:val="21"/>
              </w:rPr>
              <w:t>3.课堂讨论</w:t>
            </w:r>
          </w:p>
          <w:p w14:paraId="14722964">
            <w:pPr>
              <w:jc w:val="left"/>
              <w:rPr>
                <w:rFonts w:ascii="宋体" w:hAnsi="宋体" w:eastAsia="宋体"/>
                <w:szCs w:val="21"/>
              </w:rPr>
            </w:pPr>
            <w:r>
              <w:rPr>
                <w:rFonts w:ascii="宋体" w:hAnsi="宋体" w:eastAsia="宋体"/>
                <w:szCs w:val="21"/>
              </w:rPr>
              <w:t>4.单元测验</w:t>
            </w:r>
          </w:p>
        </w:tc>
        <w:tc>
          <w:tcPr>
            <w:tcW w:w="709" w:type="dxa"/>
            <w:vAlign w:val="center"/>
          </w:tcPr>
          <w:p w14:paraId="76155D3C">
            <w:pPr>
              <w:jc w:val="center"/>
              <w:rPr>
                <w:rFonts w:ascii="宋体" w:hAnsi="宋体" w:eastAsia="宋体" w:cs="Times New Roman"/>
                <w:szCs w:val="21"/>
              </w:rPr>
            </w:pPr>
            <w:r>
              <w:rPr>
                <w:rFonts w:ascii="宋体" w:hAnsi="宋体" w:eastAsia="宋体"/>
                <w:szCs w:val="21"/>
              </w:rPr>
              <w:t>3</w:t>
            </w:r>
          </w:p>
        </w:tc>
      </w:tr>
      <w:tr w14:paraId="1DC8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71817031">
            <w:pPr>
              <w:jc w:val="cente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4.</w:t>
            </w:r>
            <w:r>
              <w:rPr>
                <w:rFonts w:hint="eastAsia" w:ascii="宋体" w:hAnsi="宋体" w:eastAsia="宋体" w:cs="Times New Roman"/>
                <w:szCs w:val="21"/>
              </w:rPr>
              <w:t>维护和塑造国家安全</w:t>
            </w:r>
          </w:p>
        </w:tc>
        <w:tc>
          <w:tcPr>
            <w:tcW w:w="2126" w:type="dxa"/>
            <w:vAlign w:val="center"/>
          </w:tcPr>
          <w:p w14:paraId="0DBA0DED">
            <w:pPr>
              <w:jc w:val="left"/>
              <w:rPr>
                <w:rFonts w:ascii="宋体" w:hAnsi="宋体" w:eastAsia="宋体" w:cs="Times New Roman"/>
                <w:b/>
                <w:bCs/>
                <w:szCs w:val="21"/>
              </w:rPr>
            </w:pPr>
          </w:p>
          <w:p w14:paraId="35B4F5F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1）坚持总体国家安全观</w:t>
            </w:r>
          </w:p>
          <w:p w14:paraId="7A4CFFC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2）构建统筹各领域安全的新安全格局</w:t>
            </w:r>
          </w:p>
          <w:p w14:paraId="1880BC1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3）开创新时代国家安全工作新局面</w:t>
            </w:r>
          </w:p>
        </w:tc>
        <w:tc>
          <w:tcPr>
            <w:tcW w:w="1276" w:type="dxa"/>
            <w:vAlign w:val="center"/>
          </w:tcPr>
          <w:p w14:paraId="0A0A9AEF">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1DBDBBD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1）理解国家安全是民族复兴的根基</w:t>
            </w:r>
          </w:p>
          <w:p w14:paraId="12DB108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2）理解总体国家安全观的丰富内涵和指导意义</w:t>
            </w:r>
          </w:p>
          <w:p w14:paraId="7914D49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3）掌握构建统筹各领域安全的新安全格局</w:t>
            </w:r>
          </w:p>
          <w:p w14:paraId="2F2C99B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4）掌握推进国家安全体系和能力现代化</w:t>
            </w:r>
          </w:p>
          <w:p w14:paraId="5D12F5A6">
            <w:pPr>
              <w:jc w:val="center"/>
              <w:rPr>
                <w:rFonts w:ascii="宋体" w:hAnsi="宋体" w:eastAsia="宋体" w:cs="Times New Roman"/>
                <w:szCs w:val="21"/>
              </w:rPr>
            </w:pPr>
          </w:p>
        </w:tc>
        <w:tc>
          <w:tcPr>
            <w:tcW w:w="1559" w:type="dxa"/>
            <w:vAlign w:val="center"/>
          </w:tcPr>
          <w:p w14:paraId="4829787D">
            <w:pPr>
              <w:jc w:val="left"/>
              <w:rPr>
                <w:rFonts w:ascii="宋体" w:hAnsi="宋体" w:eastAsia="宋体"/>
                <w:szCs w:val="21"/>
              </w:rPr>
            </w:pPr>
            <w:r>
              <w:rPr>
                <w:rFonts w:ascii="宋体" w:hAnsi="宋体" w:eastAsia="宋体"/>
                <w:szCs w:val="21"/>
              </w:rPr>
              <w:t>1.线上学习</w:t>
            </w:r>
          </w:p>
          <w:p w14:paraId="7A00277A">
            <w:pPr>
              <w:jc w:val="left"/>
              <w:rPr>
                <w:rFonts w:ascii="宋体" w:hAnsi="宋体" w:eastAsia="宋体"/>
                <w:szCs w:val="21"/>
              </w:rPr>
            </w:pPr>
            <w:r>
              <w:rPr>
                <w:rFonts w:ascii="宋体" w:hAnsi="宋体" w:eastAsia="宋体"/>
                <w:szCs w:val="21"/>
              </w:rPr>
              <w:t>2.多媒体教学</w:t>
            </w:r>
          </w:p>
          <w:p w14:paraId="72F76BE1">
            <w:pPr>
              <w:jc w:val="left"/>
              <w:rPr>
                <w:rFonts w:ascii="宋体" w:hAnsi="宋体" w:eastAsia="宋体"/>
                <w:szCs w:val="21"/>
              </w:rPr>
            </w:pPr>
            <w:r>
              <w:rPr>
                <w:rFonts w:ascii="宋体" w:hAnsi="宋体" w:eastAsia="宋体"/>
                <w:szCs w:val="21"/>
              </w:rPr>
              <w:t>3.课堂讨论</w:t>
            </w:r>
          </w:p>
          <w:p w14:paraId="7CE4D6F6">
            <w:pPr>
              <w:jc w:val="left"/>
              <w:rPr>
                <w:rFonts w:ascii="宋体" w:hAnsi="宋体" w:eastAsia="宋体"/>
                <w:szCs w:val="21"/>
              </w:rPr>
            </w:pPr>
            <w:r>
              <w:rPr>
                <w:rFonts w:ascii="宋体" w:hAnsi="宋体" w:eastAsia="宋体"/>
                <w:szCs w:val="21"/>
              </w:rPr>
              <w:t>4.单元测验</w:t>
            </w:r>
          </w:p>
        </w:tc>
        <w:tc>
          <w:tcPr>
            <w:tcW w:w="709" w:type="dxa"/>
            <w:vAlign w:val="center"/>
          </w:tcPr>
          <w:p w14:paraId="3B66C329">
            <w:pPr>
              <w:jc w:val="center"/>
              <w:rPr>
                <w:rFonts w:ascii="宋体" w:hAnsi="宋体" w:eastAsia="宋体" w:cs="Times New Roman"/>
                <w:szCs w:val="21"/>
              </w:rPr>
            </w:pPr>
            <w:r>
              <w:rPr>
                <w:rFonts w:ascii="宋体" w:hAnsi="宋体" w:eastAsia="宋体"/>
                <w:szCs w:val="21"/>
              </w:rPr>
              <w:t>3</w:t>
            </w:r>
          </w:p>
        </w:tc>
      </w:tr>
      <w:tr w14:paraId="3222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03B680BF">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5.</w:t>
            </w:r>
            <w:r>
              <w:rPr>
                <w:rFonts w:hint="eastAsia" w:ascii="宋体" w:hAnsi="宋体" w:eastAsia="宋体" w:cs="Times New Roman"/>
                <w:szCs w:val="21"/>
              </w:rPr>
              <w:t>建设巩固国防和强大人民军队</w:t>
            </w:r>
          </w:p>
          <w:p w14:paraId="28D8FF64">
            <w:pPr>
              <w:jc w:val="center"/>
              <w:rPr>
                <w:rFonts w:ascii="宋体" w:hAnsi="宋体" w:eastAsia="宋体" w:cs="Times New Roman"/>
                <w:szCs w:val="21"/>
              </w:rPr>
            </w:pPr>
          </w:p>
        </w:tc>
        <w:tc>
          <w:tcPr>
            <w:tcW w:w="2126" w:type="dxa"/>
            <w:vAlign w:val="center"/>
          </w:tcPr>
          <w:p w14:paraId="18CEAF6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1）强国必须强军，军强才能国安</w:t>
            </w:r>
          </w:p>
          <w:p w14:paraId="4C2B393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2）实现党在新时代的强军目标</w:t>
            </w:r>
          </w:p>
          <w:p w14:paraId="313EBB10">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3）加快推进国防和军队现代化</w:t>
            </w:r>
          </w:p>
          <w:p w14:paraId="295AA1B1">
            <w:pPr>
              <w:jc w:val="left"/>
              <w:rPr>
                <w:rFonts w:ascii="宋体" w:hAnsi="宋体" w:eastAsia="宋体" w:cs="Times New Roman"/>
                <w:szCs w:val="21"/>
              </w:rPr>
            </w:pPr>
          </w:p>
        </w:tc>
        <w:tc>
          <w:tcPr>
            <w:tcW w:w="1276" w:type="dxa"/>
            <w:vAlign w:val="center"/>
          </w:tcPr>
          <w:p w14:paraId="4B131C9E">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14F9DAB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1）理解建设巩固国防和强大人民军队的重大意义</w:t>
            </w:r>
          </w:p>
          <w:p w14:paraId="504983E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2）理解党在新时代的强军目标</w:t>
            </w:r>
          </w:p>
          <w:p w14:paraId="2F5585A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3）掌握坚持党对人民军队绝对领导的根本原则和制度</w:t>
            </w:r>
          </w:p>
          <w:p w14:paraId="7EF4A6D0">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4）掌握习近平强军思想的重大意义、丰富内涵和精神实质</w:t>
            </w:r>
          </w:p>
          <w:p w14:paraId="0AB06949">
            <w:pPr>
              <w:jc w:val="left"/>
              <w:rPr>
                <w:rFonts w:ascii="宋体" w:hAnsi="宋体" w:eastAsia="宋体" w:cs="Times New Roman"/>
                <w:szCs w:val="21"/>
              </w:rPr>
            </w:pPr>
          </w:p>
        </w:tc>
        <w:tc>
          <w:tcPr>
            <w:tcW w:w="1559" w:type="dxa"/>
            <w:vAlign w:val="center"/>
          </w:tcPr>
          <w:p w14:paraId="63A5FB49">
            <w:pPr>
              <w:jc w:val="left"/>
              <w:rPr>
                <w:rFonts w:ascii="宋体" w:hAnsi="宋体" w:eastAsia="宋体"/>
                <w:szCs w:val="21"/>
              </w:rPr>
            </w:pPr>
            <w:r>
              <w:rPr>
                <w:rFonts w:ascii="宋体" w:hAnsi="宋体" w:eastAsia="宋体"/>
                <w:szCs w:val="21"/>
              </w:rPr>
              <w:t>1.线上学习</w:t>
            </w:r>
          </w:p>
          <w:p w14:paraId="71A60ABD">
            <w:pPr>
              <w:jc w:val="left"/>
              <w:rPr>
                <w:rFonts w:ascii="宋体" w:hAnsi="宋体" w:eastAsia="宋体"/>
                <w:szCs w:val="21"/>
              </w:rPr>
            </w:pPr>
            <w:r>
              <w:rPr>
                <w:rFonts w:ascii="宋体" w:hAnsi="宋体" w:eastAsia="宋体"/>
                <w:szCs w:val="21"/>
              </w:rPr>
              <w:t>2.多媒体教学</w:t>
            </w:r>
          </w:p>
          <w:p w14:paraId="09F6F218">
            <w:pPr>
              <w:jc w:val="left"/>
              <w:rPr>
                <w:rFonts w:ascii="宋体" w:hAnsi="宋体" w:eastAsia="宋体"/>
                <w:szCs w:val="21"/>
              </w:rPr>
            </w:pPr>
            <w:r>
              <w:rPr>
                <w:rFonts w:ascii="宋体" w:hAnsi="宋体" w:eastAsia="宋体"/>
                <w:szCs w:val="21"/>
              </w:rPr>
              <w:t>3.课堂讨论</w:t>
            </w:r>
          </w:p>
          <w:p w14:paraId="0EE5FFB8">
            <w:pPr>
              <w:jc w:val="left"/>
              <w:rPr>
                <w:rFonts w:ascii="宋体" w:hAnsi="宋体" w:eastAsia="宋体"/>
                <w:szCs w:val="21"/>
              </w:rPr>
            </w:pPr>
            <w:r>
              <w:rPr>
                <w:rFonts w:ascii="宋体" w:hAnsi="宋体" w:eastAsia="宋体"/>
                <w:szCs w:val="21"/>
              </w:rPr>
              <w:t>4.单元测验</w:t>
            </w:r>
          </w:p>
        </w:tc>
        <w:tc>
          <w:tcPr>
            <w:tcW w:w="709" w:type="dxa"/>
            <w:vMerge w:val="restart"/>
            <w:vAlign w:val="center"/>
          </w:tcPr>
          <w:p w14:paraId="2CC3C267">
            <w:pPr>
              <w:jc w:val="center"/>
              <w:rPr>
                <w:rFonts w:ascii="宋体" w:hAnsi="宋体" w:eastAsia="宋体" w:cs="Times New Roman"/>
                <w:szCs w:val="21"/>
              </w:rPr>
            </w:pPr>
            <w:r>
              <w:rPr>
                <w:rFonts w:ascii="宋体" w:hAnsi="宋体" w:eastAsia="宋体"/>
                <w:szCs w:val="21"/>
              </w:rPr>
              <w:t>3</w:t>
            </w:r>
          </w:p>
          <w:p w14:paraId="6D05BBB0">
            <w:pPr>
              <w:jc w:val="center"/>
              <w:rPr>
                <w:rFonts w:ascii="宋体" w:hAnsi="宋体" w:eastAsia="宋体" w:cs="Times New Roman"/>
                <w:szCs w:val="21"/>
              </w:rPr>
            </w:pPr>
          </w:p>
        </w:tc>
      </w:tr>
      <w:tr w14:paraId="0488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06F221BF">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6.</w:t>
            </w:r>
            <w:r>
              <w:rPr>
                <w:rFonts w:hint="eastAsia" w:ascii="宋体" w:hAnsi="宋体" w:eastAsia="宋体" w:cs="Times New Roman"/>
                <w:szCs w:val="21"/>
              </w:rPr>
              <w:t>坚持“一国两制”和推进祖国完全统一</w:t>
            </w:r>
          </w:p>
          <w:p w14:paraId="7DA9B733">
            <w:pPr>
              <w:jc w:val="center"/>
              <w:rPr>
                <w:rFonts w:ascii="宋体" w:hAnsi="宋体" w:eastAsia="宋体" w:cs="Times New Roman"/>
                <w:szCs w:val="21"/>
              </w:rPr>
            </w:pPr>
          </w:p>
        </w:tc>
        <w:tc>
          <w:tcPr>
            <w:tcW w:w="2126" w:type="dxa"/>
            <w:vAlign w:val="center"/>
          </w:tcPr>
          <w:p w14:paraId="00C3C19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1）全面准确理解和贯彻"一国两制"方针</w:t>
            </w:r>
          </w:p>
          <w:p w14:paraId="70E7594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2）保持香港、澳门长期繁荣稳定</w:t>
            </w:r>
          </w:p>
          <w:p w14:paraId="765A0B2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3）推进祖国完全统一</w:t>
            </w:r>
          </w:p>
          <w:p w14:paraId="50BB399C">
            <w:pPr>
              <w:jc w:val="left"/>
              <w:rPr>
                <w:rFonts w:ascii="宋体" w:hAnsi="宋体" w:eastAsia="宋体" w:cs="Times New Roman"/>
                <w:szCs w:val="21"/>
              </w:rPr>
            </w:pPr>
          </w:p>
        </w:tc>
        <w:tc>
          <w:tcPr>
            <w:tcW w:w="1276" w:type="dxa"/>
            <w:vAlign w:val="center"/>
          </w:tcPr>
          <w:p w14:paraId="57B57E70">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399DFC0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1）理解“一国两制”的科学内涵和重大意义</w:t>
            </w:r>
          </w:p>
          <w:p w14:paraId="7CDA50A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2）理解新时代“一国两制”在香港、澳门的成功实践</w:t>
            </w:r>
          </w:p>
          <w:p w14:paraId="5E55657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3）理解新时代党解决台湾问题的总体方略</w:t>
            </w:r>
          </w:p>
          <w:p w14:paraId="0D229306">
            <w:pPr>
              <w:jc w:val="center"/>
              <w:rPr>
                <w:rFonts w:ascii="宋体" w:hAnsi="宋体" w:eastAsia="宋体" w:cs="Times New Roman"/>
                <w:szCs w:val="21"/>
              </w:rPr>
            </w:pPr>
          </w:p>
        </w:tc>
        <w:tc>
          <w:tcPr>
            <w:tcW w:w="1559" w:type="dxa"/>
            <w:vAlign w:val="center"/>
          </w:tcPr>
          <w:p w14:paraId="72BE1335">
            <w:pPr>
              <w:jc w:val="left"/>
              <w:rPr>
                <w:rFonts w:ascii="宋体" w:hAnsi="宋体" w:eastAsia="宋体" w:cs="Times New Roman"/>
                <w:szCs w:val="21"/>
              </w:rPr>
            </w:pPr>
            <w:r>
              <w:rPr>
                <w:rFonts w:ascii="宋体" w:hAnsi="宋体" w:eastAsia="宋体" w:cs="Times New Roman"/>
                <w:szCs w:val="21"/>
              </w:rPr>
              <w:t>1.线上学习</w:t>
            </w:r>
          </w:p>
          <w:p w14:paraId="00F3BEC3">
            <w:pPr>
              <w:jc w:val="left"/>
              <w:rPr>
                <w:rFonts w:ascii="宋体" w:hAnsi="宋体" w:eastAsia="宋体" w:cs="Times New Roman"/>
                <w:szCs w:val="21"/>
              </w:rPr>
            </w:pPr>
            <w:r>
              <w:rPr>
                <w:rFonts w:ascii="宋体" w:hAnsi="宋体" w:eastAsia="宋体" w:cs="Times New Roman"/>
                <w:szCs w:val="21"/>
              </w:rPr>
              <w:t>2.多媒体教学</w:t>
            </w:r>
          </w:p>
          <w:p w14:paraId="21E9ECEC">
            <w:pPr>
              <w:jc w:val="left"/>
              <w:rPr>
                <w:rFonts w:ascii="宋体" w:hAnsi="宋体" w:eastAsia="宋体" w:cs="Times New Roman"/>
                <w:szCs w:val="21"/>
              </w:rPr>
            </w:pPr>
            <w:r>
              <w:rPr>
                <w:rFonts w:ascii="宋体" w:hAnsi="宋体" w:eastAsia="宋体" w:cs="Times New Roman"/>
                <w:szCs w:val="21"/>
              </w:rPr>
              <w:t>3.课堂讨论</w:t>
            </w:r>
          </w:p>
          <w:p w14:paraId="3691A275">
            <w:pPr>
              <w:jc w:val="left"/>
              <w:rPr>
                <w:rFonts w:ascii="宋体" w:hAnsi="宋体" w:eastAsia="宋体" w:cs="Times New Roman"/>
                <w:szCs w:val="21"/>
              </w:rPr>
            </w:pPr>
            <w:r>
              <w:rPr>
                <w:rFonts w:ascii="宋体" w:hAnsi="宋体" w:eastAsia="宋体" w:cs="Times New Roman"/>
                <w:szCs w:val="21"/>
              </w:rPr>
              <w:t>4.单元测验</w:t>
            </w:r>
          </w:p>
        </w:tc>
        <w:tc>
          <w:tcPr>
            <w:tcW w:w="709" w:type="dxa"/>
            <w:vMerge w:val="continue"/>
            <w:vAlign w:val="center"/>
          </w:tcPr>
          <w:p w14:paraId="026F0C46">
            <w:pPr>
              <w:jc w:val="center"/>
              <w:rPr>
                <w:rFonts w:ascii="宋体" w:hAnsi="宋体" w:eastAsia="宋体" w:cs="Times New Roman"/>
                <w:szCs w:val="21"/>
              </w:rPr>
            </w:pPr>
          </w:p>
        </w:tc>
      </w:tr>
      <w:tr w14:paraId="2C8B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425642F2">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7.</w:t>
            </w:r>
            <w:r>
              <w:rPr>
                <w:rFonts w:hint="eastAsia" w:ascii="宋体" w:hAnsi="宋体" w:eastAsia="宋体" w:cs="Times New Roman"/>
                <w:szCs w:val="21"/>
              </w:rPr>
              <w:t>中国特色大国外交和推动构建人类命运共同体</w:t>
            </w:r>
          </w:p>
          <w:p w14:paraId="760F2E37">
            <w:pPr>
              <w:jc w:val="center"/>
              <w:rPr>
                <w:rFonts w:ascii="宋体" w:hAnsi="宋体" w:eastAsia="宋体" w:cs="Times New Roman"/>
                <w:szCs w:val="21"/>
              </w:rPr>
            </w:pPr>
          </w:p>
        </w:tc>
        <w:tc>
          <w:tcPr>
            <w:tcW w:w="2126" w:type="dxa"/>
            <w:vAlign w:val="center"/>
          </w:tcPr>
          <w:p w14:paraId="4DDB6F1E">
            <w:pPr>
              <w:jc w:val="left"/>
              <w:rPr>
                <w:rFonts w:ascii="宋体" w:hAnsi="宋体" w:eastAsia="宋体" w:cs="Times New Roman"/>
                <w:szCs w:val="21"/>
              </w:rPr>
            </w:pPr>
            <w:r>
              <w:rPr>
                <w:rFonts w:ascii="宋体" w:hAnsi="宋体" w:eastAsia="宋体" w:cs="Times New Roman"/>
                <w:szCs w:val="21"/>
              </w:rPr>
              <w:t>1.教学内容</w:t>
            </w:r>
          </w:p>
          <w:p w14:paraId="7642C3C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1）新时代中国外交在大变局中开创新局</w:t>
            </w:r>
          </w:p>
          <w:p w14:paraId="7A5DF9D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2）全面推进中国特色大国外交</w:t>
            </w:r>
          </w:p>
          <w:p w14:paraId="0245B440">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3）推动构建人类命运共同体</w:t>
            </w:r>
          </w:p>
          <w:p w14:paraId="4076750B">
            <w:pPr>
              <w:jc w:val="left"/>
              <w:rPr>
                <w:rFonts w:ascii="宋体" w:hAnsi="宋体" w:eastAsia="宋体" w:cs="Times New Roman"/>
                <w:szCs w:val="21"/>
              </w:rPr>
            </w:pPr>
          </w:p>
        </w:tc>
        <w:tc>
          <w:tcPr>
            <w:tcW w:w="1276" w:type="dxa"/>
            <w:vAlign w:val="center"/>
          </w:tcPr>
          <w:p w14:paraId="3CBE0371">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1B74EF2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1）理解当今世界正经历百年未有之大变局</w:t>
            </w:r>
          </w:p>
          <w:p w14:paraId="700781E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2）掌握全面推进中国特色大国外交的原则和布局</w:t>
            </w:r>
          </w:p>
          <w:p w14:paraId="6B1094B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3）理解推动构建人类命运共同体的丰富内涵和实践成果</w:t>
            </w:r>
          </w:p>
          <w:p w14:paraId="76258000">
            <w:pPr>
              <w:jc w:val="center"/>
              <w:rPr>
                <w:rFonts w:ascii="宋体" w:hAnsi="宋体" w:eastAsia="宋体" w:cs="Times New Roman"/>
                <w:szCs w:val="21"/>
              </w:rPr>
            </w:pPr>
          </w:p>
        </w:tc>
        <w:tc>
          <w:tcPr>
            <w:tcW w:w="1559" w:type="dxa"/>
            <w:vAlign w:val="center"/>
          </w:tcPr>
          <w:p w14:paraId="53A22E30">
            <w:pPr>
              <w:jc w:val="left"/>
              <w:rPr>
                <w:rFonts w:ascii="宋体" w:hAnsi="宋体" w:eastAsia="宋体"/>
                <w:szCs w:val="21"/>
              </w:rPr>
            </w:pPr>
            <w:r>
              <w:rPr>
                <w:rFonts w:ascii="宋体" w:hAnsi="宋体" w:eastAsia="宋体"/>
                <w:szCs w:val="21"/>
              </w:rPr>
              <w:t>1.线上学习</w:t>
            </w:r>
          </w:p>
          <w:p w14:paraId="0FD2D07D">
            <w:pPr>
              <w:jc w:val="left"/>
              <w:rPr>
                <w:rFonts w:ascii="宋体" w:hAnsi="宋体" w:eastAsia="宋体"/>
                <w:szCs w:val="21"/>
              </w:rPr>
            </w:pPr>
            <w:r>
              <w:rPr>
                <w:rFonts w:ascii="宋体" w:hAnsi="宋体" w:eastAsia="宋体"/>
                <w:szCs w:val="21"/>
              </w:rPr>
              <w:t>2.多媒体教学</w:t>
            </w:r>
          </w:p>
          <w:p w14:paraId="25951837">
            <w:pPr>
              <w:jc w:val="left"/>
              <w:rPr>
                <w:rFonts w:ascii="宋体" w:hAnsi="宋体" w:eastAsia="宋体"/>
                <w:szCs w:val="21"/>
              </w:rPr>
            </w:pPr>
            <w:r>
              <w:rPr>
                <w:rFonts w:ascii="宋体" w:hAnsi="宋体" w:eastAsia="宋体"/>
                <w:szCs w:val="21"/>
              </w:rPr>
              <w:t>3.课堂讨论</w:t>
            </w:r>
          </w:p>
          <w:p w14:paraId="3303893F">
            <w:pPr>
              <w:jc w:val="left"/>
              <w:rPr>
                <w:rFonts w:ascii="宋体" w:hAnsi="宋体" w:eastAsia="宋体"/>
                <w:szCs w:val="21"/>
              </w:rPr>
            </w:pPr>
            <w:r>
              <w:rPr>
                <w:rFonts w:ascii="宋体" w:hAnsi="宋体" w:eastAsia="宋体"/>
                <w:szCs w:val="21"/>
              </w:rPr>
              <w:t>4.单元测验</w:t>
            </w:r>
          </w:p>
        </w:tc>
        <w:tc>
          <w:tcPr>
            <w:tcW w:w="709" w:type="dxa"/>
            <w:vAlign w:val="center"/>
          </w:tcPr>
          <w:p w14:paraId="17AC6C46">
            <w:pPr>
              <w:jc w:val="center"/>
              <w:rPr>
                <w:rFonts w:ascii="宋体" w:hAnsi="宋体" w:eastAsia="宋体" w:cs="Times New Roman"/>
                <w:szCs w:val="21"/>
              </w:rPr>
            </w:pPr>
            <w:r>
              <w:rPr>
                <w:rFonts w:ascii="宋体" w:hAnsi="宋体" w:eastAsia="宋体"/>
                <w:szCs w:val="21"/>
              </w:rPr>
              <w:t>3</w:t>
            </w:r>
          </w:p>
        </w:tc>
      </w:tr>
      <w:tr w14:paraId="1C0C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7774C3E9">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8.</w:t>
            </w:r>
            <w:r>
              <w:rPr>
                <w:rFonts w:hint="eastAsia" w:ascii="宋体" w:hAnsi="宋体" w:eastAsia="宋体" w:cs="Times New Roman"/>
                <w:szCs w:val="21"/>
              </w:rPr>
              <w:t>全面从严治党</w:t>
            </w:r>
          </w:p>
          <w:p w14:paraId="7C6A6D33">
            <w:pPr>
              <w:jc w:val="center"/>
              <w:rPr>
                <w:rFonts w:ascii="宋体" w:hAnsi="宋体" w:eastAsia="宋体" w:cs="Times New Roman"/>
                <w:szCs w:val="21"/>
              </w:rPr>
            </w:pPr>
          </w:p>
        </w:tc>
        <w:tc>
          <w:tcPr>
            <w:tcW w:w="2126" w:type="dxa"/>
            <w:vAlign w:val="center"/>
          </w:tcPr>
          <w:p w14:paraId="13B06739">
            <w:pPr>
              <w:jc w:val="left"/>
              <w:rPr>
                <w:rFonts w:ascii="宋体" w:hAnsi="宋体" w:eastAsia="宋体" w:cs="Times New Roman"/>
                <w:szCs w:val="21"/>
              </w:rPr>
            </w:pPr>
            <w:r>
              <w:rPr>
                <w:rFonts w:ascii="宋体" w:hAnsi="宋体" w:eastAsia="宋体" w:cs="Times New Roman"/>
                <w:szCs w:val="21"/>
              </w:rPr>
              <w:t>1.教学内容</w:t>
            </w:r>
          </w:p>
          <w:p w14:paraId="7174B02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1）全面从严治党是新时代党的建设的鲜明主题</w:t>
            </w:r>
          </w:p>
          <w:p w14:paraId="249695B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2）以政治建设为统领深入推进党的建设</w:t>
            </w:r>
          </w:p>
          <w:p w14:paraId="3FFA8DA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3）坚定不移推进反腐败斗争</w:t>
            </w:r>
          </w:p>
          <w:p w14:paraId="2CB8FE4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4）建设长期执政的马克思主义政党二个答案</w:t>
            </w:r>
          </w:p>
          <w:p w14:paraId="544FA404">
            <w:pPr>
              <w:jc w:val="left"/>
              <w:rPr>
                <w:rFonts w:ascii="宋体" w:hAnsi="宋体" w:eastAsia="宋体" w:cs="Times New Roman"/>
                <w:szCs w:val="21"/>
              </w:rPr>
            </w:pPr>
          </w:p>
        </w:tc>
        <w:tc>
          <w:tcPr>
            <w:tcW w:w="1276" w:type="dxa"/>
            <w:vAlign w:val="center"/>
          </w:tcPr>
          <w:p w14:paraId="17711B7E">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0E540E5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1）掌握全面从严治党的基本内涵</w:t>
            </w:r>
          </w:p>
          <w:p w14:paraId="49B6CDC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2）理解全面从严治党这场伟大自我革命的重大意义</w:t>
            </w:r>
          </w:p>
          <w:p w14:paraId="0500877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3）掌握以党的政治建设统领党的建设各项工作</w:t>
            </w:r>
          </w:p>
          <w:p w14:paraId="005A6B2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4）理解反腐败斗争取得压倒性胜利并全面巩固</w:t>
            </w:r>
          </w:p>
          <w:p w14:paraId="27CC849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5）掌握党的自我革命是跳出历史周期率的第</w:t>
            </w:r>
          </w:p>
        </w:tc>
        <w:tc>
          <w:tcPr>
            <w:tcW w:w="1559" w:type="dxa"/>
            <w:vAlign w:val="center"/>
          </w:tcPr>
          <w:p w14:paraId="04517FD9">
            <w:pPr>
              <w:jc w:val="left"/>
              <w:rPr>
                <w:rFonts w:ascii="宋体" w:hAnsi="宋体" w:eastAsia="宋体"/>
                <w:szCs w:val="21"/>
              </w:rPr>
            </w:pPr>
            <w:r>
              <w:rPr>
                <w:rFonts w:ascii="宋体" w:hAnsi="宋体" w:eastAsia="宋体"/>
                <w:szCs w:val="21"/>
              </w:rPr>
              <w:t>1.线上学习</w:t>
            </w:r>
          </w:p>
          <w:p w14:paraId="45A25803">
            <w:pPr>
              <w:jc w:val="left"/>
              <w:rPr>
                <w:rFonts w:ascii="宋体" w:hAnsi="宋体" w:eastAsia="宋体"/>
                <w:szCs w:val="21"/>
              </w:rPr>
            </w:pPr>
            <w:r>
              <w:rPr>
                <w:rFonts w:ascii="宋体" w:hAnsi="宋体" w:eastAsia="宋体"/>
                <w:szCs w:val="21"/>
              </w:rPr>
              <w:t>2.多媒体教学</w:t>
            </w:r>
          </w:p>
          <w:p w14:paraId="00173D11">
            <w:pPr>
              <w:jc w:val="left"/>
              <w:rPr>
                <w:rFonts w:ascii="宋体" w:hAnsi="宋体" w:eastAsia="宋体"/>
                <w:szCs w:val="21"/>
              </w:rPr>
            </w:pPr>
            <w:r>
              <w:rPr>
                <w:rFonts w:ascii="宋体" w:hAnsi="宋体" w:eastAsia="宋体"/>
                <w:szCs w:val="21"/>
              </w:rPr>
              <w:t>3.课堂讨论</w:t>
            </w:r>
          </w:p>
          <w:p w14:paraId="1E57D037">
            <w:pPr>
              <w:jc w:val="left"/>
              <w:rPr>
                <w:rFonts w:ascii="宋体" w:hAnsi="宋体" w:eastAsia="宋体"/>
                <w:szCs w:val="21"/>
              </w:rPr>
            </w:pPr>
            <w:r>
              <w:rPr>
                <w:rFonts w:ascii="宋体" w:hAnsi="宋体" w:eastAsia="宋体"/>
                <w:szCs w:val="21"/>
              </w:rPr>
              <w:t>4.单元测验</w:t>
            </w:r>
          </w:p>
        </w:tc>
        <w:tc>
          <w:tcPr>
            <w:tcW w:w="709" w:type="dxa"/>
            <w:vAlign w:val="center"/>
          </w:tcPr>
          <w:p w14:paraId="6C085AA5">
            <w:pPr>
              <w:jc w:val="center"/>
              <w:rPr>
                <w:rFonts w:ascii="宋体" w:hAnsi="宋体" w:eastAsia="宋体" w:cs="Times New Roman"/>
                <w:szCs w:val="21"/>
              </w:rPr>
            </w:pPr>
            <w:r>
              <w:rPr>
                <w:rFonts w:ascii="宋体" w:hAnsi="宋体" w:eastAsia="宋体"/>
                <w:szCs w:val="21"/>
              </w:rPr>
              <w:t>3</w:t>
            </w:r>
          </w:p>
        </w:tc>
      </w:tr>
    </w:tbl>
    <w:p w14:paraId="4619E074">
      <w:pPr>
        <w:rPr>
          <w:rFonts w:hint="eastAsia" w:ascii="Times New Roman" w:hAnsi="Times New Roman" w:eastAsia="宋体" w:cs="Times New Roman"/>
          <w:b/>
          <w:sz w:val="28"/>
          <w:szCs w:val="28"/>
        </w:rPr>
      </w:pPr>
    </w:p>
    <w:p w14:paraId="6671368F">
      <w:pPr>
        <w:rPr>
          <w:rFonts w:ascii="宋体" w:hAnsi="宋体" w:eastAsia="宋体" w:cs="宋体"/>
          <w:b/>
          <w:sz w:val="24"/>
          <w:szCs w:val="24"/>
        </w:rPr>
      </w:pPr>
      <w:r>
        <w:rPr>
          <w:rFonts w:hint="eastAsia" w:ascii="宋体" w:hAnsi="宋体" w:eastAsia="宋体" w:cs="宋体"/>
          <w:b/>
          <w:sz w:val="24"/>
          <w:szCs w:val="24"/>
        </w:rPr>
        <w:t>四、目标评价与成绩评定</w:t>
      </w:r>
    </w:p>
    <w:p w14:paraId="2046ECFC">
      <w:pPr>
        <w:spacing w:line="360" w:lineRule="auto"/>
        <w:ind w:firstLine="422" w:firstLineChars="200"/>
        <w:rPr>
          <w:rFonts w:ascii="宋体" w:hAnsi="宋体" w:eastAsia="宋体" w:cs="宋体"/>
          <w:b/>
          <w:szCs w:val="21"/>
        </w:rPr>
      </w:pPr>
      <w:r>
        <w:rPr>
          <w:rFonts w:hint="eastAsia" w:ascii="宋体" w:hAnsi="宋体" w:eastAsia="宋体" w:cs="宋体"/>
          <w:b/>
          <w:szCs w:val="21"/>
        </w:rPr>
        <w:t>（一）课程目标评价方式</w:t>
      </w:r>
    </w:p>
    <w:p w14:paraId="5BFE3BA3">
      <w:pPr>
        <w:spacing w:line="360" w:lineRule="auto"/>
        <w:ind w:firstLine="420" w:firstLineChars="200"/>
        <w:rPr>
          <w:rFonts w:hint="eastAsia" w:ascii="宋体" w:hAnsi="宋体" w:eastAsia="宋体" w:cs="宋体"/>
          <w:bCs/>
          <w:szCs w:val="21"/>
        </w:rPr>
      </w:pPr>
      <w:r>
        <w:rPr>
          <w:rFonts w:hint="eastAsia" w:ascii="宋体" w:hAnsi="宋体" w:eastAsia="宋体" w:cs="宋体"/>
          <w:bCs/>
          <w:szCs w:val="21"/>
        </w:rPr>
        <w:t>根据总体设计，用于评价各课程目标的评价方式如表 3 所示</w:t>
      </w:r>
    </w:p>
    <w:p w14:paraId="11AEA0A6">
      <w:pPr>
        <w:spacing w:line="360" w:lineRule="auto"/>
        <w:jc w:val="center"/>
        <w:rPr>
          <w:rFonts w:hint="eastAsia" w:ascii="宋体" w:hAnsi="宋体" w:eastAsia="宋体" w:cs="宋体"/>
          <w:bCs/>
          <w:szCs w:val="21"/>
        </w:rPr>
      </w:pPr>
      <w:r>
        <w:rPr>
          <w:rFonts w:hint="eastAsia" w:ascii="宋体" w:hAnsi="宋体" w:eastAsia="宋体" w:cs="宋体"/>
          <w:b/>
          <w:bCs/>
          <w:szCs w:val="21"/>
        </w:rPr>
        <w:t>表3课程教学评价设计总表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14:paraId="6F64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restart"/>
          </w:tcPr>
          <w:p w14:paraId="4342CFFB">
            <w:pPr>
              <w:spacing w:line="360" w:lineRule="auto"/>
              <w:rPr>
                <w:rFonts w:ascii="宋体" w:hAnsi="宋体" w:eastAsia="宋体" w:cs="宋体"/>
                <w:bCs/>
                <w:szCs w:val="21"/>
              </w:rPr>
            </w:pPr>
            <w:r>
              <w:rPr>
                <w:rFonts w:hint="eastAsia" w:ascii="宋体" w:hAnsi="宋体" w:eastAsia="宋体" w:cs="宋体"/>
                <w:bCs/>
                <w:szCs w:val="21"/>
              </w:rPr>
              <w:t>课程目标</w:t>
            </w:r>
          </w:p>
        </w:tc>
        <w:tc>
          <w:tcPr>
            <w:tcW w:w="5531" w:type="dxa"/>
            <w:gridSpan w:val="4"/>
          </w:tcPr>
          <w:p w14:paraId="75319C02">
            <w:pPr>
              <w:spacing w:line="360" w:lineRule="auto"/>
              <w:jc w:val="center"/>
              <w:rPr>
                <w:rFonts w:ascii="宋体" w:hAnsi="宋体" w:eastAsia="宋体" w:cs="宋体"/>
                <w:bCs/>
                <w:szCs w:val="21"/>
              </w:rPr>
            </w:pPr>
            <w:r>
              <w:rPr>
                <w:rFonts w:hint="eastAsia" w:ascii="宋体" w:hAnsi="宋体" w:eastAsia="宋体" w:cs="宋体"/>
                <w:bCs/>
                <w:szCs w:val="21"/>
              </w:rPr>
              <w:t>评价与成绩评定方法</w:t>
            </w:r>
          </w:p>
        </w:tc>
        <w:tc>
          <w:tcPr>
            <w:tcW w:w="1383" w:type="dxa"/>
            <w:vMerge w:val="restart"/>
          </w:tcPr>
          <w:p w14:paraId="0B3AF20A">
            <w:pPr>
              <w:spacing w:line="360" w:lineRule="auto"/>
              <w:rPr>
                <w:rFonts w:ascii="宋体" w:hAnsi="宋体" w:eastAsia="宋体" w:cs="宋体"/>
                <w:bCs/>
                <w:szCs w:val="21"/>
              </w:rPr>
            </w:pPr>
            <w:r>
              <w:rPr>
                <w:rFonts w:hint="eastAsia" w:ascii="宋体" w:hAnsi="宋体" w:eastAsia="宋体" w:cs="宋体"/>
                <w:bCs/>
                <w:szCs w:val="21"/>
              </w:rPr>
              <w:t>分值</w:t>
            </w:r>
          </w:p>
        </w:tc>
      </w:tr>
      <w:tr w14:paraId="3E02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tcPr>
          <w:p w14:paraId="6F3087AB">
            <w:pPr>
              <w:spacing w:line="360" w:lineRule="auto"/>
              <w:rPr>
                <w:rFonts w:ascii="宋体" w:hAnsi="宋体" w:eastAsia="宋体" w:cs="宋体"/>
                <w:bCs/>
                <w:szCs w:val="21"/>
              </w:rPr>
            </w:pPr>
          </w:p>
        </w:tc>
        <w:tc>
          <w:tcPr>
            <w:tcW w:w="1382" w:type="dxa"/>
          </w:tcPr>
          <w:p w14:paraId="33D19FA3">
            <w:pPr>
              <w:spacing w:line="360" w:lineRule="auto"/>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网络学习</w:t>
            </w:r>
          </w:p>
        </w:tc>
        <w:tc>
          <w:tcPr>
            <w:tcW w:w="1383" w:type="dxa"/>
          </w:tcPr>
          <w:p w14:paraId="0BE5F514">
            <w:pPr>
              <w:spacing w:line="360" w:lineRule="auto"/>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平时表现</w:t>
            </w:r>
          </w:p>
        </w:tc>
        <w:tc>
          <w:tcPr>
            <w:tcW w:w="1383" w:type="dxa"/>
          </w:tcPr>
          <w:p w14:paraId="0FF7B0F9">
            <w:pPr>
              <w:spacing w:line="360" w:lineRule="auto"/>
              <w:rPr>
                <w:rFonts w:ascii="宋体" w:hAnsi="宋体" w:eastAsia="宋体" w:cs="宋体"/>
                <w:bCs/>
                <w:szCs w:val="21"/>
              </w:rPr>
            </w:pPr>
            <w:r>
              <w:rPr>
                <w:rFonts w:hint="eastAsia" w:ascii="宋体" w:hAnsi="宋体" w:eastAsia="宋体" w:cs="宋体"/>
                <w:bCs/>
                <w:color w:val="000000" w:themeColor="text1"/>
                <w:szCs w:val="21"/>
                <w14:textFill>
                  <w14:solidFill>
                    <w14:schemeClr w14:val="tx1"/>
                  </w14:solidFill>
                </w14:textFill>
              </w:rPr>
              <w:t>作业</w:t>
            </w:r>
          </w:p>
        </w:tc>
        <w:tc>
          <w:tcPr>
            <w:tcW w:w="1383" w:type="dxa"/>
          </w:tcPr>
          <w:p w14:paraId="2C4CF67B">
            <w:pPr>
              <w:spacing w:line="360" w:lineRule="auto"/>
              <w:rPr>
                <w:rFonts w:ascii="宋体" w:hAnsi="宋体" w:eastAsia="宋体" w:cs="宋体"/>
                <w:bCs/>
                <w:szCs w:val="21"/>
              </w:rPr>
            </w:pPr>
            <w:r>
              <w:rPr>
                <w:rFonts w:hint="eastAsia" w:ascii="宋体" w:hAnsi="宋体" w:eastAsia="宋体" w:cs="宋体"/>
                <w:bCs/>
                <w:szCs w:val="21"/>
              </w:rPr>
              <w:t>期末考试</w:t>
            </w:r>
          </w:p>
        </w:tc>
        <w:tc>
          <w:tcPr>
            <w:tcW w:w="1383" w:type="dxa"/>
            <w:vMerge w:val="continue"/>
          </w:tcPr>
          <w:p w14:paraId="1F98A51A">
            <w:pPr>
              <w:spacing w:line="360" w:lineRule="auto"/>
              <w:rPr>
                <w:rFonts w:ascii="宋体" w:hAnsi="宋体" w:eastAsia="宋体" w:cs="宋体"/>
                <w:bCs/>
                <w:szCs w:val="21"/>
              </w:rPr>
            </w:pPr>
          </w:p>
        </w:tc>
      </w:tr>
      <w:tr w14:paraId="3D93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14:paraId="04605E2B">
            <w:pPr>
              <w:spacing w:line="360" w:lineRule="auto"/>
              <w:rPr>
                <w:rFonts w:ascii="宋体" w:hAnsi="宋体" w:eastAsia="宋体" w:cs="宋体"/>
                <w:bCs/>
                <w:szCs w:val="21"/>
              </w:rPr>
            </w:pPr>
            <w:r>
              <w:rPr>
                <w:rFonts w:hint="eastAsia" w:ascii="宋体" w:hAnsi="宋体" w:eastAsia="宋体" w:cs="宋体"/>
                <w:bCs/>
                <w:szCs w:val="21"/>
              </w:rPr>
              <w:t>课程目标 1</w:t>
            </w:r>
          </w:p>
        </w:tc>
        <w:tc>
          <w:tcPr>
            <w:tcW w:w="1382" w:type="dxa"/>
          </w:tcPr>
          <w:p w14:paraId="0009385E">
            <w:pPr>
              <w:spacing w:line="360" w:lineRule="auto"/>
              <w:jc w:val="center"/>
              <w:rPr>
                <w:rFonts w:ascii="宋体" w:hAnsi="宋体" w:eastAsia="宋体" w:cs="宋体"/>
                <w:bCs/>
                <w:szCs w:val="21"/>
                <w:highlight w:val="yellow"/>
              </w:rPr>
            </w:pPr>
            <w:r>
              <w:rPr>
                <w:rFonts w:hint="eastAsia" w:ascii="宋体" w:hAnsi="宋体" w:eastAsia="宋体" w:cs="宋体"/>
                <w:bCs/>
                <w:szCs w:val="21"/>
              </w:rPr>
              <w:t>√</w:t>
            </w:r>
          </w:p>
        </w:tc>
        <w:tc>
          <w:tcPr>
            <w:tcW w:w="1383" w:type="dxa"/>
            <w:shd w:val="clear" w:color="auto" w:fill="auto"/>
          </w:tcPr>
          <w:p w14:paraId="7CC43015">
            <w:pPr>
              <w:spacing w:line="360" w:lineRule="auto"/>
              <w:jc w:val="center"/>
              <w:rPr>
                <w:rFonts w:ascii="宋体" w:hAnsi="宋体" w:eastAsia="宋体" w:cs="宋体"/>
                <w:bCs/>
                <w:szCs w:val="21"/>
                <w:highlight w:val="yellow"/>
              </w:rPr>
            </w:pPr>
            <w:r>
              <w:rPr>
                <w:rFonts w:hint="eastAsia" w:ascii="宋体" w:hAnsi="宋体" w:eastAsia="宋体" w:cs="宋体"/>
                <w:bCs/>
                <w:szCs w:val="21"/>
              </w:rPr>
              <w:t>√</w:t>
            </w:r>
          </w:p>
        </w:tc>
        <w:tc>
          <w:tcPr>
            <w:tcW w:w="1383" w:type="dxa"/>
          </w:tcPr>
          <w:p w14:paraId="0D758FD7">
            <w:pPr>
              <w:spacing w:line="360" w:lineRule="auto"/>
              <w:jc w:val="center"/>
              <w:rPr>
                <w:rFonts w:ascii="宋体" w:hAnsi="宋体" w:eastAsia="宋体" w:cs="宋体"/>
                <w:bCs/>
                <w:szCs w:val="21"/>
              </w:rPr>
            </w:pPr>
            <w:r>
              <w:rPr>
                <w:rFonts w:hint="eastAsia" w:ascii="宋体" w:hAnsi="宋体" w:eastAsia="宋体" w:cs="宋体"/>
                <w:bCs/>
                <w:szCs w:val="21"/>
              </w:rPr>
              <w:t>√</w:t>
            </w:r>
          </w:p>
        </w:tc>
        <w:tc>
          <w:tcPr>
            <w:tcW w:w="1383" w:type="dxa"/>
            <w:shd w:val="clear" w:color="auto" w:fill="auto"/>
          </w:tcPr>
          <w:p w14:paraId="721BF61B">
            <w:pPr>
              <w:spacing w:line="360" w:lineRule="auto"/>
              <w:jc w:val="center"/>
              <w:rPr>
                <w:rFonts w:ascii="宋体" w:hAnsi="宋体" w:eastAsia="宋体" w:cs="宋体"/>
                <w:bCs/>
                <w:szCs w:val="21"/>
              </w:rPr>
            </w:pPr>
            <w:r>
              <w:rPr>
                <w:rFonts w:hint="eastAsia" w:ascii="宋体" w:hAnsi="宋体" w:eastAsia="宋体" w:cs="宋体"/>
                <w:bCs/>
                <w:szCs w:val="21"/>
              </w:rPr>
              <w:t>√</w:t>
            </w:r>
          </w:p>
        </w:tc>
        <w:tc>
          <w:tcPr>
            <w:tcW w:w="1383" w:type="dxa"/>
          </w:tcPr>
          <w:p w14:paraId="35BD6332">
            <w:pPr>
              <w:spacing w:line="360" w:lineRule="auto"/>
              <w:rPr>
                <w:rFonts w:ascii="宋体" w:hAnsi="宋体" w:eastAsia="宋体" w:cs="宋体"/>
                <w:bCs/>
                <w:szCs w:val="21"/>
              </w:rPr>
            </w:pPr>
            <w:r>
              <w:rPr>
                <w:rFonts w:hint="eastAsia" w:ascii="宋体" w:hAnsi="宋体" w:eastAsia="宋体" w:cs="宋体"/>
                <w:bCs/>
                <w:szCs w:val="21"/>
              </w:rPr>
              <w:t>4</w:t>
            </w:r>
            <w:r>
              <w:rPr>
                <w:rFonts w:ascii="宋体" w:hAnsi="宋体" w:eastAsia="宋体" w:cs="宋体"/>
                <w:bCs/>
                <w:szCs w:val="21"/>
              </w:rPr>
              <w:t>0</w:t>
            </w:r>
          </w:p>
        </w:tc>
      </w:tr>
      <w:tr w14:paraId="1AA2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14:paraId="53065C2E">
            <w:pPr>
              <w:spacing w:line="360" w:lineRule="auto"/>
              <w:rPr>
                <w:rFonts w:ascii="宋体" w:hAnsi="宋体" w:eastAsia="宋体" w:cs="宋体"/>
                <w:bCs/>
                <w:szCs w:val="21"/>
              </w:rPr>
            </w:pPr>
            <w:r>
              <w:rPr>
                <w:rFonts w:hint="eastAsia" w:ascii="宋体" w:hAnsi="宋体" w:eastAsia="宋体" w:cs="宋体"/>
                <w:bCs/>
                <w:szCs w:val="21"/>
              </w:rPr>
              <w:t>课程目标 2</w:t>
            </w:r>
          </w:p>
        </w:tc>
        <w:tc>
          <w:tcPr>
            <w:tcW w:w="1382" w:type="dxa"/>
            <w:shd w:val="clear" w:color="auto" w:fill="auto"/>
          </w:tcPr>
          <w:p w14:paraId="360B2335">
            <w:pPr>
              <w:spacing w:line="360" w:lineRule="auto"/>
              <w:jc w:val="center"/>
              <w:rPr>
                <w:rFonts w:ascii="宋体" w:hAnsi="宋体" w:eastAsia="宋体" w:cs="宋体"/>
                <w:bCs/>
                <w:szCs w:val="21"/>
              </w:rPr>
            </w:pPr>
          </w:p>
        </w:tc>
        <w:tc>
          <w:tcPr>
            <w:tcW w:w="1383" w:type="dxa"/>
          </w:tcPr>
          <w:p w14:paraId="64528191">
            <w:pPr>
              <w:spacing w:line="360" w:lineRule="auto"/>
              <w:jc w:val="center"/>
              <w:rPr>
                <w:rFonts w:ascii="宋体" w:hAnsi="宋体" w:eastAsia="宋体" w:cs="宋体"/>
                <w:bCs/>
                <w:szCs w:val="21"/>
              </w:rPr>
            </w:pPr>
            <w:r>
              <w:rPr>
                <w:rFonts w:hint="eastAsia" w:ascii="宋体" w:hAnsi="宋体" w:eastAsia="宋体" w:cs="宋体"/>
                <w:bCs/>
                <w:szCs w:val="21"/>
              </w:rPr>
              <w:t>√</w:t>
            </w:r>
          </w:p>
        </w:tc>
        <w:tc>
          <w:tcPr>
            <w:tcW w:w="1383" w:type="dxa"/>
          </w:tcPr>
          <w:p w14:paraId="4C41854C">
            <w:pPr>
              <w:spacing w:line="360" w:lineRule="auto"/>
              <w:jc w:val="center"/>
              <w:rPr>
                <w:rFonts w:ascii="宋体" w:hAnsi="宋体" w:eastAsia="宋体" w:cs="宋体"/>
                <w:bCs/>
                <w:szCs w:val="21"/>
              </w:rPr>
            </w:pPr>
            <w:r>
              <w:rPr>
                <w:rFonts w:hint="eastAsia" w:ascii="宋体" w:hAnsi="宋体" w:eastAsia="宋体" w:cs="宋体"/>
                <w:bCs/>
                <w:szCs w:val="21"/>
              </w:rPr>
              <w:t>√</w:t>
            </w:r>
          </w:p>
        </w:tc>
        <w:tc>
          <w:tcPr>
            <w:tcW w:w="1383" w:type="dxa"/>
            <w:shd w:val="clear" w:color="auto" w:fill="auto"/>
          </w:tcPr>
          <w:p w14:paraId="08A3847D">
            <w:pPr>
              <w:spacing w:line="360" w:lineRule="auto"/>
              <w:jc w:val="center"/>
              <w:rPr>
                <w:rFonts w:ascii="宋体" w:hAnsi="宋体" w:eastAsia="宋体" w:cs="宋体"/>
                <w:bCs/>
                <w:szCs w:val="21"/>
              </w:rPr>
            </w:pPr>
            <w:r>
              <w:rPr>
                <w:rFonts w:hint="eastAsia" w:ascii="宋体" w:hAnsi="宋体" w:eastAsia="宋体" w:cs="宋体"/>
                <w:bCs/>
                <w:szCs w:val="21"/>
              </w:rPr>
              <w:t>√</w:t>
            </w:r>
          </w:p>
        </w:tc>
        <w:tc>
          <w:tcPr>
            <w:tcW w:w="1383" w:type="dxa"/>
          </w:tcPr>
          <w:p w14:paraId="041E54A7">
            <w:pPr>
              <w:spacing w:line="360" w:lineRule="auto"/>
              <w:rPr>
                <w:rFonts w:ascii="宋体" w:hAnsi="宋体" w:eastAsia="宋体" w:cs="宋体"/>
                <w:bCs/>
                <w:szCs w:val="21"/>
              </w:rPr>
            </w:pPr>
            <w:r>
              <w:rPr>
                <w:rFonts w:hint="eastAsia" w:ascii="宋体" w:hAnsi="宋体" w:eastAsia="宋体" w:cs="宋体"/>
                <w:bCs/>
                <w:szCs w:val="21"/>
              </w:rPr>
              <w:t>4</w:t>
            </w:r>
            <w:r>
              <w:rPr>
                <w:rFonts w:ascii="宋体" w:hAnsi="宋体" w:eastAsia="宋体" w:cs="宋体"/>
                <w:bCs/>
                <w:szCs w:val="21"/>
              </w:rPr>
              <w:t>0</w:t>
            </w:r>
          </w:p>
        </w:tc>
      </w:tr>
      <w:tr w14:paraId="718E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14:paraId="5ECC30E0">
            <w:pPr>
              <w:spacing w:line="360" w:lineRule="auto"/>
              <w:rPr>
                <w:rFonts w:ascii="宋体" w:hAnsi="宋体" w:eastAsia="宋体" w:cs="宋体"/>
                <w:bCs/>
                <w:szCs w:val="21"/>
              </w:rPr>
            </w:pPr>
            <w:r>
              <w:rPr>
                <w:rFonts w:hint="eastAsia" w:ascii="宋体" w:hAnsi="宋体" w:eastAsia="宋体" w:cs="宋体"/>
                <w:bCs/>
                <w:szCs w:val="21"/>
              </w:rPr>
              <w:t>课程目标 3</w:t>
            </w:r>
          </w:p>
        </w:tc>
        <w:tc>
          <w:tcPr>
            <w:tcW w:w="1382" w:type="dxa"/>
          </w:tcPr>
          <w:p w14:paraId="5A7BFB82">
            <w:pPr>
              <w:spacing w:line="360" w:lineRule="auto"/>
              <w:jc w:val="center"/>
              <w:rPr>
                <w:rFonts w:ascii="宋体" w:hAnsi="宋体" w:eastAsia="宋体" w:cs="宋体"/>
                <w:bCs/>
                <w:szCs w:val="21"/>
                <w:highlight w:val="yellow"/>
              </w:rPr>
            </w:pPr>
          </w:p>
        </w:tc>
        <w:tc>
          <w:tcPr>
            <w:tcW w:w="1383" w:type="dxa"/>
          </w:tcPr>
          <w:p w14:paraId="616C86E9">
            <w:pPr>
              <w:spacing w:line="360" w:lineRule="auto"/>
              <w:jc w:val="center"/>
              <w:rPr>
                <w:rFonts w:ascii="宋体" w:hAnsi="宋体" w:eastAsia="宋体" w:cs="宋体"/>
                <w:bCs/>
                <w:szCs w:val="21"/>
                <w:highlight w:val="yellow"/>
              </w:rPr>
            </w:pPr>
          </w:p>
        </w:tc>
        <w:tc>
          <w:tcPr>
            <w:tcW w:w="1383" w:type="dxa"/>
            <w:shd w:val="clear" w:color="auto" w:fill="auto"/>
          </w:tcPr>
          <w:p w14:paraId="1B808CF0">
            <w:pPr>
              <w:spacing w:line="360" w:lineRule="auto"/>
              <w:jc w:val="center"/>
              <w:rPr>
                <w:rFonts w:ascii="宋体" w:hAnsi="宋体" w:eastAsia="宋体" w:cs="宋体"/>
                <w:bCs/>
                <w:szCs w:val="21"/>
                <w:highlight w:val="yellow"/>
              </w:rPr>
            </w:pPr>
            <w:r>
              <w:rPr>
                <w:rFonts w:hint="eastAsia" w:ascii="宋体" w:hAnsi="宋体" w:eastAsia="宋体" w:cs="宋体"/>
                <w:bCs/>
                <w:szCs w:val="21"/>
              </w:rPr>
              <w:t>√</w:t>
            </w:r>
          </w:p>
        </w:tc>
        <w:tc>
          <w:tcPr>
            <w:tcW w:w="1383" w:type="dxa"/>
            <w:shd w:val="clear" w:color="auto" w:fill="auto"/>
          </w:tcPr>
          <w:p w14:paraId="2DAB8311">
            <w:pPr>
              <w:spacing w:line="360" w:lineRule="auto"/>
              <w:jc w:val="center"/>
              <w:rPr>
                <w:rFonts w:ascii="宋体" w:hAnsi="宋体" w:eastAsia="宋体" w:cs="宋体"/>
                <w:bCs/>
                <w:szCs w:val="21"/>
                <w:highlight w:val="yellow"/>
              </w:rPr>
            </w:pPr>
            <w:r>
              <w:rPr>
                <w:rFonts w:hint="eastAsia" w:ascii="宋体" w:hAnsi="宋体" w:eastAsia="宋体" w:cs="宋体"/>
                <w:bCs/>
                <w:szCs w:val="21"/>
              </w:rPr>
              <w:t>√</w:t>
            </w:r>
          </w:p>
        </w:tc>
        <w:tc>
          <w:tcPr>
            <w:tcW w:w="1383" w:type="dxa"/>
          </w:tcPr>
          <w:p w14:paraId="27CFFFA4">
            <w:pPr>
              <w:spacing w:line="360" w:lineRule="auto"/>
              <w:rPr>
                <w:rFonts w:ascii="宋体" w:hAnsi="宋体" w:eastAsia="宋体" w:cs="宋体"/>
                <w:bCs/>
                <w:szCs w:val="21"/>
              </w:rPr>
            </w:pPr>
            <w:r>
              <w:rPr>
                <w:rFonts w:hint="eastAsia" w:ascii="宋体" w:hAnsi="宋体" w:eastAsia="宋体" w:cs="宋体"/>
                <w:bCs/>
                <w:szCs w:val="21"/>
              </w:rPr>
              <w:t>2</w:t>
            </w:r>
            <w:r>
              <w:rPr>
                <w:rFonts w:ascii="宋体" w:hAnsi="宋体" w:eastAsia="宋体" w:cs="宋体"/>
                <w:bCs/>
                <w:szCs w:val="21"/>
              </w:rPr>
              <w:t>0</w:t>
            </w:r>
          </w:p>
        </w:tc>
      </w:tr>
      <w:tr w14:paraId="31B7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14:paraId="0A203446">
            <w:pPr>
              <w:spacing w:line="360" w:lineRule="auto"/>
              <w:rPr>
                <w:rFonts w:ascii="宋体" w:hAnsi="宋体" w:eastAsia="宋体" w:cs="宋体"/>
                <w:bCs/>
                <w:szCs w:val="21"/>
              </w:rPr>
            </w:pPr>
            <w:r>
              <w:rPr>
                <w:rFonts w:hint="eastAsia" w:ascii="宋体" w:hAnsi="宋体" w:eastAsia="宋体" w:cs="宋体"/>
                <w:bCs/>
                <w:szCs w:val="21"/>
              </w:rPr>
              <w:t>合计</w:t>
            </w:r>
          </w:p>
        </w:tc>
        <w:tc>
          <w:tcPr>
            <w:tcW w:w="1382" w:type="dxa"/>
          </w:tcPr>
          <w:p w14:paraId="108208B2">
            <w:pPr>
              <w:spacing w:line="360" w:lineRule="auto"/>
              <w:rPr>
                <w:rFonts w:ascii="宋体" w:hAnsi="宋体" w:eastAsia="宋体" w:cs="宋体"/>
                <w:bCs/>
                <w:strike/>
                <w:color w:val="FF0000"/>
                <w:szCs w:val="21"/>
                <w:highlight w:val="yellow"/>
              </w:rPr>
            </w:pPr>
          </w:p>
        </w:tc>
        <w:tc>
          <w:tcPr>
            <w:tcW w:w="1383" w:type="dxa"/>
          </w:tcPr>
          <w:p w14:paraId="67944F08">
            <w:pPr>
              <w:spacing w:line="360" w:lineRule="auto"/>
              <w:rPr>
                <w:rFonts w:ascii="宋体" w:hAnsi="宋体" w:eastAsia="宋体" w:cs="宋体"/>
                <w:bCs/>
                <w:strike/>
                <w:color w:val="FF0000"/>
                <w:szCs w:val="21"/>
                <w:highlight w:val="yellow"/>
              </w:rPr>
            </w:pPr>
          </w:p>
        </w:tc>
        <w:tc>
          <w:tcPr>
            <w:tcW w:w="1383" w:type="dxa"/>
          </w:tcPr>
          <w:p w14:paraId="3FA8D2DA">
            <w:pPr>
              <w:spacing w:line="360" w:lineRule="auto"/>
              <w:rPr>
                <w:rFonts w:ascii="宋体" w:hAnsi="宋体" w:eastAsia="宋体" w:cs="宋体"/>
                <w:bCs/>
                <w:color w:val="FF0000"/>
                <w:szCs w:val="21"/>
                <w:highlight w:val="yellow"/>
              </w:rPr>
            </w:pPr>
          </w:p>
        </w:tc>
        <w:tc>
          <w:tcPr>
            <w:tcW w:w="1383" w:type="dxa"/>
          </w:tcPr>
          <w:p w14:paraId="4AADD315">
            <w:pPr>
              <w:spacing w:line="360" w:lineRule="auto"/>
              <w:rPr>
                <w:rFonts w:ascii="宋体" w:hAnsi="宋体" w:eastAsia="宋体" w:cs="宋体"/>
                <w:bCs/>
                <w:color w:val="FF0000"/>
                <w:szCs w:val="21"/>
                <w:highlight w:val="yellow"/>
              </w:rPr>
            </w:pPr>
          </w:p>
        </w:tc>
        <w:tc>
          <w:tcPr>
            <w:tcW w:w="1383" w:type="dxa"/>
          </w:tcPr>
          <w:p w14:paraId="098796F6">
            <w:pPr>
              <w:spacing w:line="360" w:lineRule="auto"/>
              <w:rPr>
                <w:rFonts w:ascii="宋体" w:hAnsi="宋体" w:eastAsia="宋体" w:cs="宋体"/>
                <w:bCs/>
                <w:szCs w:val="21"/>
              </w:rPr>
            </w:pPr>
            <w:r>
              <w:rPr>
                <w:rFonts w:hint="eastAsia" w:ascii="宋体" w:hAnsi="宋体" w:eastAsia="宋体" w:cs="宋体"/>
                <w:bCs/>
                <w:szCs w:val="21"/>
              </w:rPr>
              <w:t>100</w:t>
            </w:r>
          </w:p>
        </w:tc>
      </w:tr>
    </w:tbl>
    <w:p w14:paraId="57D539B9">
      <w:pPr>
        <w:spacing w:line="360" w:lineRule="auto"/>
        <w:ind w:firstLine="422" w:firstLineChars="200"/>
        <w:rPr>
          <w:rFonts w:ascii="宋体" w:hAnsi="宋体" w:eastAsia="宋体" w:cs="宋体"/>
          <w:b/>
          <w:szCs w:val="21"/>
        </w:rPr>
      </w:pPr>
      <w:r>
        <w:rPr>
          <w:rFonts w:hint="eastAsia" w:ascii="宋体" w:hAnsi="宋体" w:eastAsia="宋体" w:cs="宋体"/>
          <w:b/>
          <w:szCs w:val="21"/>
        </w:rPr>
        <w:t>（二）成绩评定细则</w:t>
      </w:r>
    </w:p>
    <w:p w14:paraId="2A1461F9">
      <w:pPr>
        <w:spacing w:line="360" w:lineRule="auto"/>
        <w:ind w:firstLine="420" w:firstLineChars="200"/>
        <w:rPr>
          <w:rFonts w:ascii="宋体" w:hAnsi="宋体" w:eastAsia="宋体" w:cs="宋体"/>
          <w:bCs/>
          <w:szCs w:val="21"/>
        </w:rPr>
      </w:pPr>
      <w:r>
        <w:rPr>
          <w:rFonts w:hint="eastAsia" w:ascii="宋体" w:hAnsi="宋体" w:eastAsia="宋体" w:cs="宋体"/>
          <w:bCs/>
          <w:szCs w:val="21"/>
        </w:rPr>
        <w:t>各部分的评价方式和成绩评定的细则如表 4 所示：</w:t>
      </w:r>
    </w:p>
    <w:p w14:paraId="6AFF5948">
      <w:pPr>
        <w:spacing w:line="360" w:lineRule="auto"/>
        <w:ind w:firstLine="422" w:firstLineChars="200"/>
        <w:jc w:val="center"/>
        <w:rPr>
          <w:rFonts w:ascii="宋体" w:hAnsi="宋体" w:eastAsia="宋体" w:cs="宋体"/>
          <w:b/>
          <w:szCs w:val="21"/>
        </w:rPr>
      </w:pPr>
      <w:r>
        <w:rPr>
          <w:rFonts w:hint="eastAsia" w:ascii="宋体" w:hAnsi="宋体" w:eastAsia="宋体" w:cs="宋体"/>
          <w:b/>
          <w:szCs w:val="21"/>
        </w:rPr>
        <w:t>表 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6237"/>
        <w:gridCol w:w="930"/>
      </w:tblGrid>
      <w:tr w14:paraId="1DEB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1111877">
            <w:pPr>
              <w:spacing w:line="360" w:lineRule="auto"/>
              <w:jc w:val="center"/>
              <w:rPr>
                <w:rFonts w:ascii="宋体" w:hAnsi="宋体" w:eastAsia="宋体" w:cs="宋体"/>
                <w:b/>
                <w:szCs w:val="21"/>
              </w:rPr>
            </w:pPr>
            <w:r>
              <w:rPr>
                <w:rFonts w:hint="eastAsia" w:ascii="宋体" w:hAnsi="宋体" w:eastAsia="宋体" w:cs="宋体"/>
                <w:b/>
                <w:szCs w:val="21"/>
              </w:rPr>
              <w:t>评价</w:t>
            </w:r>
          </w:p>
          <w:p w14:paraId="67E46A11">
            <w:pPr>
              <w:spacing w:line="360" w:lineRule="auto"/>
              <w:jc w:val="center"/>
              <w:rPr>
                <w:rFonts w:ascii="宋体" w:hAnsi="宋体" w:eastAsia="宋体" w:cs="宋体"/>
                <w:b/>
                <w:szCs w:val="21"/>
              </w:rPr>
            </w:pPr>
            <w:r>
              <w:rPr>
                <w:rFonts w:hint="eastAsia" w:ascii="宋体" w:hAnsi="宋体" w:eastAsia="宋体" w:cs="宋体"/>
                <w:b/>
                <w:szCs w:val="21"/>
              </w:rPr>
              <w:t>方式</w:t>
            </w:r>
          </w:p>
        </w:tc>
        <w:tc>
          <w:tcPr>
            <w:tcW w:w="6237" w:type="dxa"/>
            <w:vAlign w:val="center"/>
          </w:tcPr>
          <w:p w14:paraId="40C5EA0A">
            <w:pPr>
              <w:spacing w:line="360" w:lineRule="auto"/>
              <w:jc w:val="center"/>
              <w:rPr>
                <w:rFonts w:ascii="宋体" w:hAnsi="宋体" w:eastAsia="宋体" w:cs="宋体"/>
                <w:b/>
                <w:szCs w:val="21"/>
              </w:rPr>
            </w:pPr>
            <w:r>
              <w:rPr>
                <w:rFonts w:hint="eastAsia" w:ascii="宋体" w:hAnsi="宋体" w:eastAsia="宋体" w:cs="宋体"/>
                <w:b/>
                <w:szCs w:val="21"/>
              </w:rPr>
              <w:t>评定细则</w:t>
            </w:r>
          </w:p>
        </w:tc>
        <w:tc>
          <w:tcPr>
            <w:tcW w:w="930" w:type="dxa"/>
            <w:vAlign w:val="center"/>
          </w:tcPr>
          <w:p w14:paraId="03B04FA3">
            <w:pPr>
              <w:spacing w:line="360" w:lineRule="auto"/>
              <w:jc w:val="center"/>
              <w:rPr>
                <w:rFonts w:ascii="宋体" w:hAnsi="宋体" w:eastAsia="宋体" w:cs="宋体"/>
                <w:b/>
                <w:szCs w:val="21"/>
              </w:rPr>
            </w:pPr>
            <w:r>
              <w:rPr>
                <w:rFonts w:hint="eastAsia" w:ascii="宋体" w:hAnsi="宋体" w:eastAsia="宋体" w:cs="宋体"/>
                <w:b/>
                <w:szCs w:val="21"/>
              </w:rPr>
              <w:t>占比</w:t>
            </w:r>
          </w:p>
        </w:tc>
      </w:tr>
      <w:tr w14:paraId="779F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7FA943">
            <w:pPr>
              <w:spacing w:line="360" w:lineRule="auto"/>
              <w:jc w:val="center"/>
              <w:rPr>
                <w:rFonts w:hint="eastAsia" w:ascii="宋体" w:hAnsi="宋体" w:eastAsia="宋体" w:cs="宋体"/>
                <w:bCs/>
                <w:szCs w:val="21"/>
              </w:rPr>
            </w:pPr>
            <w:r>
              <w:rPr>
                <w:rFonts w:hint="eastAsia" w:ascii="宋体" w:hAnsi="宋体" w:eastAsia="宋体" w:cs="宋体"/>
                <w:bCs/>
                <w:szCs w:val="21"/>
              </w:rPr>
              <w:t>网络学习</w:t>
            </w:r>
          </w:p>
        </w:tc>
        <w:tc>
          <w:tcPr>
            <w:tcW w:w="6237" w:type="dxa"/>
          </w:tcPr>
          <w:p w14:paraId="0C8D3986">
            <w:pPr>
              <w:spacing w:line="360" w:lineRule="auto"/>
              <w:ind w:firstLine="420" w:firstLineChars="200"/>
              <w:jc w:val="left"/>
              <w:rPr>
                <w:rFonts w:hint="eastAsia" w:ascii="宋体" w:hAnsi="宋体" w:eastAsia="宋体" w:cs="宋体"/>
                <w:bCs/>
                <w:szCs w:val="21"/>
              </w:rPr>
            </w:pPr>
            <w:r>
              <w:rPr>
                <w:rFonts w:hint="eastAsia" w:ascii="宋体" w:hAnsi="宋体" w:eastAsia="宋体" w:cs="宋体"/>
                <w:bCs/>
                <w:szCs w:val="21"/>
              </w:rPr>
              <w:t>通过视频学习时长、线上互动讨论等评定</w:t>
            </w:r>
          </w:p>
        </w:tc>
        <w:tc>
          <w:tcPr>
            <w:tcW w:w="930" w:type="dxa"/>
            <w:vAlign w:val="center"/>
          </w:tcPr>
          <w:p w14:paraId="20E4766A">
            <w:pPr>
              <w:spacing w:line="360" w:lineRule="auto"/>
              <w:jc w:val="center"/>
              <w:rPr>
                <w:rFonts w:hint="eastAsia" w:ascii="宋体" w:hAnsi="宋体" w:eastAsia="宋体" w:cs="宋体"/>
                <w:bCs/>
                <w:szCs w:val="21"/>
              </w:rPr>
            </w:pPr>
            <w:r>
              <w:rPr>
                <w:rFonts w:hint="eastAsia" w:ascii="宋体" w:hAnsi="宋体" w:eastAsia="宋体" w:cs="宋体"/>
                <w:bCs/>
                <w:szCs w:val="21"/>
              </w:rPr>
              <w:t>1</w:t>
            </w:r>
            <w:r>
              <w:rPr>
                <w:rFonts w:ascii="宋体" w:hAnsi="宋体" w:eastAsia="宋体" w:cs="宋体"/>
                <w:bCs/>
                <w:szCs w:val="21"/>
              </w:rPr>
              <w:t>0%</w:t>
            </w:r>
          </w:p>
        </w:tc>
      </w:tr>
      <w:tr w14:paraId="00F3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A65926">
            <w:pPr>
              <w:spacing w:line="360" w:lineRule="auto"/>
              <w:jc w:val="center"/>
              <w:rPr>
                <w:rFonts w:ascii="宋体" w:hAnsi="宋体" w:eastAsia="宋体" w:cs="宋体"/>
                <w:bCs/>
                <w:szCs w:val="21"/>
              </w:rPr>
            </w:pPr>
            <w:r>
              <w:rPr>
                <w:rFonts w:hint="eastAsia" w:ascii="宋体" w:hAnsi="宋体" w:eastAsia="宋体" w:cs="宋体"/>
                <w:bCs/>
                <w:szCs w:val="21"/>
              </w:rPr>
              <w:t>平时表现</w:t>
            </w:r>
          </w:p>
        </w:tc>
        <w:tc>
          <w:tcPr>
            <w:tcW w:w="6237" w:type="dxa"/>
          </w:tcPr>
          <w:p w14:paraId="37B70CED">
            <w:pPr>
              <w:spacing w:line="360" w:lineRule="auto"/>
              <w:ind w:firstLine="420" w:firstLineChars="200"/>
              <w:jc w:val="left"/>
              <w:rPr>
                <w:rFonts w:ascii="宋体" w:hAnsi="宋体" w:eastAsia="宋体" w:cs="宋体"/>
                <w:bCs/>
                <w:szCs w:val="21"/>
              </w:rPr>
            </w:pPr>
            <w:r>
              <w:rPr>
                <w:rFonts w:hint="eastAsia" w:ascii="宋体" w:hAnsi="宋体" w:eastAsia="宋体" w:cs="宋体"/>
                <w:bCs/>
                <w:szCs w:val="21"/>
              </w:rPr>
              <w:t>一是课堂不定期点名，考核能否按时到勤，旷课一次扣20分，迟到或早退一次扣5分。二是关注学生做笔记的情况以及课堂听课情况，以督促学生按时上课，认真听讲；课堂随机提问，提高学生上课的集中度和参与度，并考察学生当堂课程的掌握情况。三是线上学习时长、讨论互动。</w:t>
            </w:r>
          </w:p>
        </w:tc>
        <w:tc>
          <w:tcPr>
            <w:tcW w:w="930" w:type="dxa"/>
            <w:vAlign w:val="center"/>
          </w:tcPr>
          <w:p w14:paraId="0477BF56">
            <w:pPr>
              <w:spacing w:line="360" w:lineRule="auto"/>
              <w:jc w:val="center"/>
              <w:rPr>
                <w:rFonts w:ascii="宋体" w:hAnsi="宋体" w:eastAsia="宋体" w:cs="宋体"/>
                <w:bCs/>
                <w:szCs w:val="21"/>
              </w:rPr>
            </w:pPr>
            <w:r>
              <w:rPr>
                <w:rFonts w:ascii="宋体" w:hAnsi="宋体" w:eastAsia="宋体" w:cs="宋体"/>
                <w:bCs/>
                <w:szCs w:val="21"/>
              </w:rPr>
              <w:t>20</w:t>
            </w:r>
            <w:r>
              <w:rPr>
                <w:rFonts w:hint="eastAsia" w:ascii="宋体" w:hAnsi="宋体" w:eastAsia="宋体" w:cs="宋体"/>
                <w:bCs/>
                <w:szCs w:val="21"/>
              </w:rPr>
              <w:t>%</w:t>
            </w:r>
          </w:p>
        </w:tc>
      </w:tr>
      <w:tr w14:paraId="1C5B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F98271">
            <w:pPr>
              <w:spacing w:line="360" w:lineRule="auto"/>
              <w:jc w:val="center"/>
              <w:rPr>
                <w:rFonts w:ascii="宋体" w:hAnsi="宋体" w:eastAsia="宋体" w:cs="宋体"/>
                <w:bCs/>
                <w:szCs w:val="21"/>
              </w:rPr>
            </w:pPr>
            <w:r>
              <w:rPr>
                <w:rFonts w:hint="eastAsia" w:ascii="宋体" w:hAnsi="宋体" w:eastAsia="宋体" w:cs="宋体"/>
                <w:bCs/>
                <w:szCs w:val="21"/>
              </w:rPr>
              <w:t>作业</w:t>
            </w:r>
          </w:p>
        </w:tc>
        <w:tc>
          <w:tcPr>
            <w:tcW w:w="6237" w:type="dxa"/>
          </w:tcPr>
          <w:p w14:paraId="640DEBE3">
            <w:pPr>
              <w:spacing w:line="360" w:lineRule="auto"/>
              <w:ind w:firstLine="420" w:firstLineChars="200"/>
              <w:jc w:val="left"/>
              <w:rPr>
                <w:rFonts w:ascii="宋体" w:hAnsi="宋体" w:eastAsia="宋体" w:cs="宋体"/>
                <w:bCs/>
                <w:szCs w:val="21"/>
              </w:rPr>
            </w:pPr>
            <w:r>
              <w:rPr>
                <w:rFonts w:hint="eastAsia" w:ascii="宋体" w:hAnsi="宋体" w:eastAsia="宋体" w:cs="宋体"/>
                <w:bCs/>
                <w:szCs w:val="21"/>
              </w:rPr>
              <w:t>通过两次理论作业和每个单元的测验考核学生对课程知识点的理解和应用：对每次作业完成情况做记录并百分制打分，计算全部作业的平均成绩。</w:t>
            </w:r>
          </w:p>
        </w:tc>
        <w:tc>
          <w:tcPr>
            <w:tcW w:w="930" w:type="dxa"/>
            <w:vAlign w:val="center"/>
          </w:tcPr>
          <w:p w14:paraId="051F49B5">
            <w:pPr>
              <w:spacing w:line="360" w:lineRule="auto"/>
              <w:jc w:val="center"/>
              <w:rPr>
                <w:rFonts w:ascii="宋体" w:hAnsi="宋体" w:eastAsia="宋体" w:cs="宋体"/>
                <w:bCs/>
                <w:szCs w:val="21"/>
              </w:rPr>
            </w:pPr>
            <w:r>
              <w:rPr>
                <w:rFonts w:ascii="宋体" w:hAnsi="宋体" w:eastAsia="宋体" w:cs="宋体"/>
                <w:bCs/>
                <w:szCs w:val="21"/>
              </w:rPr>
              <w:t>30</w:t>
            </w:r>
            <w:r>
              <w:rPr>
                <w:rFonts w:hint="eastAsia" w:ascii="宋体" w:hAnsi="宋体" w:eastAsia="宋体" w:cs="宋体"/>
                <w:bCs/>
                <w:szCs w:val="21"/>
              </w:rPr>
              <w:t>%</w:t>
            </w:r>
          </w:p>
        </w:tc>
      </w:tr>
      <w:tr w14:paraId="3066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52BFE1">
            <w:pPr>
              <w:spacing w:line="360" w:lineRule="auto"/>
              <w:jc w:val="center"/>
              <w:rPr>
                <w:rFonts w:ascii="宋体" w:hAnsi="宋体" w:eastAsia="宋体" w:cs="宋体"/>
                <w:bCs/>
                <w:szCs w:val="21"/>
              </w:rPr>
            </w:pPr>
            <w:r>
              <w:rPr>
                <w:rFonts w:hint="eastAsia" w:ascii="宋体" w:hAnsi="宋体" w:eastAsia="宋体" w:cs="宋体"/>
                <w:bCs/>
                <w:szCs w:val="21"/>
              </w:rPr>
              <w:t>期末考试</w:t>
            </w:r>
          </w:p>
        </w:tc>
        <w:tc>
          <w:tcPr>
            <w:tcW w:w="6237" w:type="dxa"/>
          </w:tcPr>
          <w:p w14:paraId="1297F1A8">
            <w:pPr>
              <w:spacing w:line="360" w:lineRule="auto"/>
              <w:jc w:val="left"/>
              <w:rPr>
                <w:rFonts w:ascii="宋体" w:hAnsi="宋体" w:eastAsia="宋体" w:cs="宋体"/>
                <w:bCs/>
                <w:szCs w:val="21"/>
              </w:rPr>
            </w:pPr>
            <w:r>
              <w:rPr>
                <w:rFonts w:hint="eastAsia" w:ascii="宋体" w:hAnsi="宋体" w:eastAsia="宋体" w:cs="宋体"/>
                <w:bCs/>
                <w:szCs w:val="21"/>
              </w:rPr>
              <w:t>试卷题型包括判断题、填空题、单项选择题等。考核对习近平新时代中国特色社会主义思想的理解和运用。</w:t>
            </w:r>
          </w:p>
        </w:tc>
        <w:tc>
          <w:tcPr>
            <w:tcW w:w="930" w:type="dxa"/>
            <w:vAlign w:val="center"/>
          </w:tcPr>
          <w:p w14:paraId="6A1E887B">
            <w:pPr>
              <w:spacing w:line="360" w:lineRule="auto"/>
              <w:jc w:val="center"/>
              <w:rPr>
                <w:rFonts w:ascii="宋体" w:hAnsi="宋体" w:eastAsia="宋体" w:cs="宋体"/>
                <w:bCs/>
                <w:szCs w:val="21"/>
              </w:rPr>
            </w:pPr>
            <w:r>
              <w:rPr>
                <w:rFonts w:hint="eastAsia" w:ascii="宋体" w:hAnsi="宋体" w:eastAsia="宋体" w:cs="宋体"/>
                <w:bCs/>
                <w:szCs w:val="21"/>
              </w:rPr>
              <w:t>40%</w:t>
            </w:r>
          </w:p>
        </w:tc>
      </w:tr>
      <w:tr w14:paraId="341C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946A95">
            <w:pPr>
              <w:spacing w:line="360" w:lineRule="auto"/>
              <w:jc w:val="center"/>
              <w:rPr>
                <w:rFonts w:ascii="宋体" w:hAnsi="宋体" w:eastAsia="宋体" w:cs="宋体"/>
                <w:b/>
                <w:szCs w:val="21"/>
              </w:rPr>
            </w:pPr>
            <w:r>
              <w:rPr>
                <w:rFonts w:hint="eastAsia" w:ascii="宋体" w:hAnsi="宋体" w:eastAsia="宋体" w:cs="宋体"/>
                <w:b/>
                <w:szCs w:val="21"/>
              </w:rPr>
              <w:t>合计</w:t>
            </w:r>
          </w:p>
        </w:tc>
        <w:tc>
          <w:tcPr>
            <w:tcW w:w="6237" w:type="dxa"/>
          </w:tcPr>
          <w:p w14:paraId="2BC9B823">
            <w:pPr>
              <w:spacing w:line="360" w:lineRule="auto"/>
              <w:jc w:val="center"/>
              <w:rPr>
                <w:rFonts w:ascii="宋体" w:hAnsi="宋体" w:eastAsia="宋体" w:cs="宋体"/>
                <w:b/>
                <w:szCs w:val="21"/>
              </w:rPr>
            </w:pPr>
          </w:p>
        </w:tc>
        <w:tc>
          <w:tcPr>
            <w:tcW w:w="930" w:type="dxa"/>
          </w:tcPr>
          <w:p w14:paraId="74A9E0AB">
            <w:pPr>
              <w:spacing w:line="360" w:lineRule="auto"/>
              <w:jc w:val="center"/>
              <w:rPr>
                <w:rFonts w:ascii="宋体" w:hAnsi="宋体" w:eastAsia="宋体" w:cs="宋体"/>
                <w:b/>
                <w:szCs w:val="21"/>
              </w:rPr>
            </w:pPr>
            <w:r>
              <w:rPr>
                <w:rFonts w:hint="eastAsia" w:ascii="宋体" w:hAnsi="宋体" w:eastAsia="宋体" w:cs="宋体"/>
                <w:b/>
                <w:szCs w:val="21"/>
              </w:rPr>
              <w:t>100%</w:t>
            </w:r>
          </w:p>
        </w:tc>
      </w:tr>
    </w:tbl>
    <w:p w14:paraId="5A10F2E8">
      <w:pPr>
        <w:spacing w:line="360" w:lineRule="auto"/>
        <w:jc w:val="left"/>
        <w:rPr>
          <w:rFonts w:hint="eastAsia" w:ascii="宋体" w:hAnsi="宋体" w:eastAsia="宋体" w:cs="宋体"/>
          <w:b/>
          <w:szCs w:val="21"/>
        </w:rPr>
      </w:pPr>
    </w:p>
    <w:p w14:paraId="537D91B2">
      <w:pPr>
        <w:spacing w:line="360" w:lineRule="auto"/>
        <w:ind w:firstLine="422" w:firstLineChars="200"/>
        <w:jc w:val="left"/>
        <w:rPr>
          <w:rFonts w:ascii="宋体" w:hAnsi="宋体" w:eastAsia="宋体" w:cs="宋体"/>
          <w:b/>
          <w:szCs w:val="21"/>
        </w:rPr>
      </w:pPr>
      <w:r>
        <w:rPr>
          <w:rFonts w:hint="eastAsia" w:ascii="宋体" w:hAnsi="宋体" w:eastAsia="宋体" w:cs="宋体"/>
          <w:b/>
          <w:szCs w:val="21"/>
        </w:rPr>
        <w:t>（三）课程目标达成度计算方法</w:t>
      </w:r>
    </w:p>
    <w:p w14:paraId="134B3322">
      <w:pPr>
        <w:spacing w:line="360" w:lineRule="auto"/>
        <w:ind w:firstLine="420" w:firstLineChars="200"/>
        <w:jc w:val="left"/>
        <w:rPr>
          <w:rFonts w:ascii="宋体" w:hAnsi="宋体" w:eastAsia="宋体" w:cs="宋体"/>
          <w:bCs/>
          <w:szCs w:val="21"/>
        </w:rPr>
      </w:pPr>
      <w:r>
        <w:rPr>
          <w:rFonts w:hint="eastAsia" w:ascii="宋体" w:hAnsi="宋体" w:eastAsia="宋体" w:cs="宋体"/>
          <w:bCs/>
          <w:szCs w:val="21"/>
        </w:rPr>
        <w:t xml:space="preserve">所有课程目标均需大于等于 0.6，否则总评成绩不及格，需要补考或重修。每门课程目标总体达成度计算方法如下： </w:t>
      </w:r>
    </w:p>
    <w:p w14:paraId="46F54E2F">
      <w:pPr>
        <w:spacing w:line="360" w:lineRule="auto"/>
        <w:ind w:firstLine="420" w:firstLineChars="200"/>
        <w:jc w:val="left"/>
        <w:rPr>
          <w:rFonts w:ascii="Times New Roman" w:hAnsi="Times New Roman" w:eastAsia="宋体" w:cs="Times New Roman"/>
          <w:bCs/>
          <w:sz w:val="24"/>
          <w:szCs w:val="24"/>
        </w:rPr>
      </w:pPr>
      <w:r>
        <w:rPr>
          <w:rFonts w:ascii="宋体" w:hAnsi="宋体" w:eastAsia="宋体" w:cs="Times New Roman"/>
          <w:color w:val="000000"/>
          <w:szCs w:val="21"/>
        </w:rPr>
        <w:object>
          <v:shape id="_x0000_i1029" o:spt="75" type="#_x0000_t75" style="height:25.5pt;width:404.3pt;" o:ole="t" filled="f" o:preferrelative="t" stroked="f" coordsize="21600,21600">
            <v:path/>
            <v:fill on="f" focussize="0,0"/>
            <v:stroke on="f" joinstyle="miter"/>
            <v:imagedata r:id="rId5" o:title=""/>
            <o:lock v:ext="edit" aspectratio="t"/>
            <w10:wrap type="none"/>
            <w10:anchorlock/>
          </v:shape>
          <o:OLEObject Type="Embed" ProgID="Equation.3" ShapeID="_x0000_i1029" DrawAspect="Content" ObjectID="_1468075729" r:id="rId10">
            <o:LockedField>false</o:LockedField>
          </o:OLEObject>
        </w:object>
      </w:r>
    </w:p>
    <w:p w14:paraId="4BC528B5">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五</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有关说明</w:t>
      </w:r>
    </w:p>
    <w:p w14:paraId="65B7741B">
      <w:pPr>
        <w:spacing w:line="360" w:lineRule="auto"/>
        <w:ind w:firstLine="422" w:firstLineChars="200"/>
        <w:rPr>
          <w:rFonts w:ascii="宋体" w:hAnsi="宋体" w:eastAsia="宋体" w:cs="宋体"/>
          <w:b/>
          <w:color w:val="000000"/>
          <w:szCs w:val="21"/>
        </w:rPr>
      </w:pPr>
      <w:r>
        <w:rPr>
          <w:rFonts w:hint="eastAsia" w:ascii="宋体" w:hAnsi="宋体" w:eastAsia="宋体" w:cs="宋体"/>
          <w:b/>
          <w:color w:val="000000"/>
          <w:szCs w:val="21"/>
        </w:rPr>
        <w:t>（一）持续改进</w:t>
      </w:r>
    </w:p>
    <w:p w14:paraId="49EE0D2B">
      <w:pPr>
        <w:spacing w:line="360" w:lineRule="auto"/>
        <w:ind w:firstLine="420" w:firstLineChars="200"/>
        <w:rPr>
          <w:rFonts w:ascii="宋体" w:hAnsi="宋体" w:eastAsia="宋体" w:cs="宋体"/>
          <w:color w:val="000000"/>
          <w:szCs w:val="21"/>
        </w:rPr>
      </w:pPr>
      <w:r>
        <w:rPr>
          <w:rFonts w:hint="eastAsia" w:ascii="宋体" w:hAnsi="宋体" w:eastAsia="宋体" w:cs="宋体"/>
          <w:color w:val="000000"/>
          <w:szCs w:val="21"/>
        </w:rPr>
        <w:t>本课程根据平时表现、作业、实践和期末考试等考核情况，以及学生、教学督导等反馈，及时对教学中不足之处进行改进，并在下一轮课程教学中整改完善，确保相应毕业要求达成。</w:t>
      </w:r>
    </w:p>
    <w:p w14:paraId="4C7C10E6">
      <w:pPr>
        <w:spacing w:line="360" w:lineRule="auto"/>
        <w:ind w:firstLine="422" w:firstLineChars="200"/>
        <w:rPr>
          <w:rFonts w:ascii="宋体" w:hAnsi="宋体" w:eastAsia="宋体" w:cs="宋体"/>
          <w:b/>
          <w:color w:val="000000"/>
          <w:szCs w:val="21"/>
        </w:rPr>
      </w:pPr>
      <w:r>
        <w:rPr>
          <w:rFonts w:hint="eastAsia" w:ascii="宋体" w:hAnsi="宋体" w:eastAsia="宋体" w:cs="宋体"/>
          <w:b/>
          <w:color w:val="000000"/>
          <w:szCs w:val="21"/>
        </w:rPr>
        <w:t>（二）参考书目及学习资料</w:t>
      </w:r>
    </w:p>
    <w:p w14:paraId="4EA11F12">
      <w:pPr>
        <w:spacing w:line="360" w:lineRule="auto"/>
        <w:ind w:firstLine="420" w:firstLineChars="200"/>
        <w:rPr>
          <w:rFonts w:ascii="宋体" w:hAnsi="宋体" w:eastAsia="宋体" w:cs="宋体"/>
          <w:szCs w:val="21"/>
        </w:rPr>
      </w:pPr>
      <w:bookmarkStart w:id="20" w:name="_Hlk116297680"/>
      <w:r>
        <w:rPr>
          <w:rFonts w:hint="eastAsia" w:ascii="宋体" w:hAnsi="宋体" w:eastAsia="宋体" w:cs="宋体"/>
          <w:szCs w:val="21"/>
        </w:rPr>
        <w:t>1. 《习近平谈治国理政》，外文出版社，2014</w:t>
      </w:r>
    </w:p>
    <w:p w14:paraId="1631D560">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2. </w:t>
      </w:r>
      <w:bookmarkStart w:id="21" w:name="_Hlk115408979"/>
      <w:r>
        <w:rPr>
          <w:rFonts w:hint="eastAsia" w:ascii="宋体" w:hAnsi="宋体" w:eastAsia="宋体" w:cs="宋体"/>
          <w:szCs w:val="21"/>
        </w:rPr>
        <w:t>《习近平谈治国理政（第二卷）》，外文出版社，2017</w:t>
      </w:r>
      <w:bookmarkEnd w:id="21"/>
    </w:p>
    <w:p w14:paraId="10D38391">
      <w:pPr>
        <w:spacing w:line="360" w:lineRule="auto"/>
        <w:ind w:firstLine="420" w:firstLineChars="200"/>
        <w:rPr>
          <w:rFonts w:ascii="宋体" w:hAnsi="宋体" w:eastAsia="宋体" w:cs="宋体"/>
          <w:szCs w:val="21"/>
        </w:rPr>
      </w:pPr>
      <w:r>
        <w:rPr>
          <w:rFonts w:hint="eastAsia" w:ascii="宋体" w:hAnsi="宋体" w:eastAsia="宋体" w:cs="宋体"/>
          <w:szCs w:val="21"/>
        </w:rPr>
        <w:t>3. 《习近平谈治国理政（第三卷）》，外文出版社，2020</w:t>
      </w:r>
    </w:p>
    <w:p w14:paraId="1D6B144A">
      <w:pPr>
        <w:spacing w:line="360" w:lineRule="auto"/>
        <w:ind w:firstLine="420" w:firstLineChars="200"/>
        <w:rPr>
          <w:rFonts w:ascii="宋体" w:hAnsi="宋体" w:eastAsia="宋体" w:cs="宋体"/>
          <w:szCs w:val="21"/>
        </w:rPr>
      </w:pPr>
      <w:r>
        <w:rPr>
          <w:rFonts w:hint="eastAsia" w:ascii="宋体" w:hAnsi="宋体" w:eastAsia="宋体" w:cs="宋体"/>
          <w:szCs w:val="21"/>
        </w:rPr>
        <w:t>4. 《习近平谈治国理政（第四卷）》，外文出版社，2022</w:t>
      </w:r>
    </w:p>
    <w:bookmarkEnd w:id="20"/>
    <w:p w14:paraId="2FF620B8">
      <w:pPr>
        <w:spacing w:line="360" w:lineRule="auto"/>
        <w:ind w:firstLine="420" w:firstLineChars="200"/>
        <w:rPr>
          <w:rFonts w:ascii="宋体" w:hAnsi="宋体" w:eastAsia="宋体" w:cs="宋体"/>
          <w:szCs w:val="21"/>
        </w:rPr>
      </w:pPr>
      <w:r>
        <w:rPr>
          <w:rFonts w:hint="eastAsia" w:ascii="宋体" w:hAnsi="宋体" w:eastAsia="宋体" w:cs="宋体"/>
          <w:szCs w:val="21"/>
        </w:rPr>
        <w:t>5.《习近平新时代中国特色社会主义思想学习纲要》，学习出版社、人民出版社，2019</w:t>
      </w:r>
    </w:p>
    <w:p w14:paraId="1051F16A">
      <w:pPr>
        <w:spacing w:line="360" w:lineRule="auto"/>
        <w:ind w:firstLine="420" w:firstLineChars="200"/>
        <w:rPr>
          <w:rFonts w:ascii="宋体" w:hAnsi="宋体" w:eastAsia="宋体" w:cs="宋体"/>
          <w:szCs w:val="21"/>
        </w:rPr>
      </w:pPr>
      <w:r>
        <w:rPr>
          <w:rFonts w:hint="eastAsia" w:ascii="宋体" w:hAnsi="宋体" w:eastAsia="宋体" w:cs="宋体"/>
          <w:szCs w:val="21"/>
        </w:rPr>
        <w:t>6.《习近平新时代中国特色社会主义思想基本问题》，中共中央党校出版社，2020</w:t>
      </w:r>
    </w:p>
    <w:p w14:paraId="32A71652">
      <w:pPr>
        <w:spacing w:line="360" w:lineRule="auto"/>
        <w:ind w:firstLine="422" w:firstLineChars="200"/>
        <w:rPr>
          <w:rFonts w:ascii="宋体" w:hAnsi="宋体" w:eastAsia="宋体" w:cs="宋体"/>
          <w:b/>
          <w:bCs/>
          <w:szCs w:val="21"/>
        </w:rPr>
      </w:pPr>
      <w:r>
        <w:rPr>
          <w:rFonts w:hint="eastAsia" w:ascii="宋体" w:hAnsi="宋体" w:eastAsia="宋体" w:cs="宋体"/>
          <w:b/>
          <w:bCs/>
          <w:szCs w:val="21"/>
        </w:rPr>
        <w:t>（三）教学改革</w:t>
      </w:r>
    </w:p>
    <w:p w14:paraId="4F102513">
      <w:pPr>
        <w:spacing w:line="360" w:lineRule="auto"/>
        <w:ind w:firstLine="420" w:firstLineChars="200"/>
        <w:rPr>
          <w:rFonts w:ascii="宋体" w:hAnsi="宋体" w:eastAsia="宋体" w:cs="宋体"/>
          <w:szCs w:val="21"/>
        </w:rPr>
      </w:pPr>
      <w:r>
        <w:rPr>
          <w:rFonts w:hint="eastAsia" w:ascii="宋体" w:hAnsi="宋体" w:eastAsia="宋体" w:cs="宋体"/>
          <w:szCs w:val="21"/>
        </w:rPr>
        <w:t>本课程的教学改革，需制定相应的教学方案。</w:t>
      </w:r>
    </w:p>
    <w:p w14:paraId="396B2936">
      <w:pPr>
        <w:autoSpaceDE w:val="0"/>
        <w:autoSpaceDN w:val="0"/>
        <w:adjustRightInd w:val="0"/>
        <w:spacing w:line="360" w:lineRule="auto"/>
        <w:ind w:firstLine="480" w:firstLineChars="200"/>
        <w:jc w:val="right"/>
        <w:rPr>
          <w:rFonts w:ascii="Times New Roman" w:hAnsi="Times New Roman" w:eastAsia="宋体" w:cs="Times New Roman"/>
          <w:kern w:val="0"/>
          <w:sz w:val="24"/>
          <w:szCs w:val="21"/>
        </w:rPr>
      </w:pPr>
    </w:p>
    <w:p w14:paraId="5F18D841">
      <w:pPr>
        <w:autoSpaceDE w:val="0"/>
        <w:autoSpaceDN w:val="0"/>
        <w:adjustRightInd w:val="0"/>
        <w:spacing w:line="360" w:lineRule="auto"/>
        <w:ind w:firstLine="480" w:firstLineChars="200"/>
        <w:jc w:val="right"/>
        <w:rPr>
          <w:rFonts w:ascii="Times New Roman" w:hAnsi="Times New Roman" w:eastAsia="宋体" w:cs="Times New Roman"/>
          <w:kern w:val="0"/>
          <w:sz w:val="24"/>
          <w:szCs w:val="21"/>
        </w:rPr>
      </w:pPr>
    </w:p>
    <w:p w14:paraId="572D1512">
      <w:pPr>
        <w:autoSpaceDE w:val="0"/>
        <w:autoSpaceDN w:val="0"/>
        <w:adjustRightInd w:val="0"/>
        <w:spacing w:line="360" w:lineRule="auto"/>
        <w:ind w:right="720" w:firstLine="480" w:firstLineChars="200"/>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rPr>
        <w:t>袁青欢</w:t>
      </w:r>
    </w:p>
    <w:p w14:paraId="778E3D1C">
      <w:pPr>
        <w:autoSpaceDE w:val="0"/>
        <w:autoSpaceDN w:val="0"/>
        <w:adjustRightInd w:val="0"/>
        <w:spacing w:line="360" w:lineRule="auto"/>
        <w:ind w:right="720" w:firstLine="480" w:firstLineChars="200"/>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hint="eastAsia" w:ascii="Times New Roman" w:hAnsi="Times New Roman" w:eastAsia="宋体" w:cs="Times New Roman"/>
          <w:kern w:val="0"/>
          <w:sz w:val="24"/>
          <w:szCs w:val="21"/>
        </w:rPr>
        <w:t>夏天静</w:t>
      </w:r>
      <w:r>
        <w:rPr>
          <w:rFonts w:ascii="Times New Roman" w:hAnsi="Times New Roman" w:eastAsia="宋体" w:cs="Times New Roman"/>
          <w:kern w:val="0"/>
          <w:sz w:val="24"/>
          <w:szCs w:val="21"/>
        </w:rPr>
        <w:t xml:space="preserve"> </w:t>
      </w:r>
    </w:p>
    <w:p w14:paraId="26CB58C1">
      <w:pPr>
        <w:autoSpaceDE w:val="0"/>
        <w:autoSpaceDN w:val="0"/>
        <w:adjustRightInd w:val="0"/>
        <w:spacing w:line="360" w:lineRule="auto"/>
        <w:ind w:right="720" w:firstLine="480" w:firstLineChars="200"/>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审批人：</w:t>
      </w:r>
      <w:r>
        <w:rPr>
          <w:rFonts w:hint="eastAsia" w:ascii="Times New Roman" w:hAnsi="Times New Roman" w:eastAsia="宋体" w:cs="Times New Roman"/>
          <w:kern w:val="0"/>
          <w:sz w:val="24"/>
          <w:szCs w:val="21"/>
        </w:rPr>
        <w:t>熊焱生</w:t>
      </w:r>
      <w:r>
        <w:rPr>
          <w:rFonts w:ascii="Times New Roman" w:hAnsi="Times New Roman" w:eastAsia="宋体" w:cs="Times New Roman"/>
          <w:kern w:val="0"/>
          <w:sz w:val="24"/>
          <w:szCs w:val="21"/>
        </w:rPr>
        <w:t xml:space="preserve"> </w:t>
      </w:r>
    </w:p>
    <w:p w14:paraId="6218A812">
      <w:pPr>
        <w:autoSpaceDE w:val="0"/>
        <w:autoSpaceDN w:val="0"/>
        <w:adjustRightInd w:val="0"/>
        <w:spacing w:line="360" w:lineRule="auto"/>
        <w:ind w:right="651" w:firstLine="480" w:firstLineChars="200"/>
        <w:jc w:val="right"/>
      </w:pPr>
      <w:r>
        <w:rPr>
          <w:rFonts w:ascii="Times New Roman" w:hAnsi="Times New Roman" w:eastAsia="宋体" w:cs="Times New Roman"/>
          <w:kern w:val="0"/>
          <w:sz w:val="24"/>
          <w:szCs w:val="21"/>
        </w:rPr>
        <w:t>202</w:t>
      </w:r>
      <w:r>
        <w:rPr>
          <w:rFonts w:hint="eastAsia" w:ascii="Times New Roman" w:hAnsi="Times New Roman" w:eastAsia="宋体" w:cs="Times New Roman"/>
          <w:kern w:val="0"/>
          <w:sz w:val="24"/>
          <w:szCs w:val="21"/>
          <w:lang w:val="en-US" w:eastAsia="zh-CN"/>
        </w:rPr>
        <w:t>4</w:t>
      </w:r>
      <w:r>
        <w:rPr>
          <w:rFonts w:hint="eastAsia" w:ascii="Times New Roman" w:hAnsi="Times New Roman" w:eastAsia="宋体" w:cs="Times New Roman"/>
          <w:kern w:val="0"/>
          <w:sz w:val="24"/>
          <w:szCs w:val="21"/>
        </w:rPr>
        <w:t>年</w:t>
      </w:r>
      <w:r>
        <w:rPr>
          <w:rFonts w:hint="eastAsia" w:ascii="Times New Roman" w:hAnsi="Times New Roman" w:eastAsia="宋体" w:cs="Times New Roman"/>
          <w:kern w:val="0"/>
          <w:sz w:val="24"/>
          <w:szCs w:val="21"/>
          <w:lang w:val="en-US" w:eastAsia="zh-CN"/>
        </w:rPr>
        <w:t>08</w:t>
      </w:r>
      <w:r>
        <w:rPr>
          <w:rFonts w:hint="eastAsia" w:ascii="Times New Roman" w:hAnsi="Times New Roman" w:eastAsia="宋体" w:cs="Times New Roman"/>
          <w:kern w:val="0"/>
          <w:sz w:val="24"/>
          <w:szCs w:val="21"/>
        </w:rPr>
        <w:t>月</w:t>
      </w:r>
      <w:r>
        <w:rPr>
          <w:rFonts w:hint="eastAsia" w:ascii="Times New Roman" w:hAnsi="Times New Roman" w:eastAsia="宋体" w:cs="Times New Roman"/>
          <w:kern w:val="0"/>
          <w:sz w:val="24"/>
          <w:szCs w:val="21"/>
          <w:lang w:val="en-US" w:eastAsia="zh-CN"/>
        </w:rPr>
        <w:t>30</w:t>
      </w:r>
      <w:r>
        <w:rPr>
          <w:rFonts w:hint="eastAsia" w:ascii="Times New Roman" w:hAnsi="Times New Roman" w:eastAsia="宋体" w:cs="Times New Roman"/>
          <w:kern w:val="0"/>
          <w:sz w:val="24"/>
          <w:szCs w:val="21"/>
        </w:rPr>
        <w:t>日</w:t>
      </w:r>
    </w:p>
    <w:p w14:paraId="022AADBB">
      <w:pPr>
        <w:rPr>
          <w:rFonts w:hint="eastAsia"/>
        </w:rPr>
      </w:pPr>
      <w:r>
        <w:rPr>
          <w:rFonts w:hint="eastAsia"/>
        </w:rPr>
        <w:br w:type="page"/>
      </w:r>
    </w:p>
    <w:p w14:paraId="05A5D8BC">
      <w:pPr>
        <w:pStyle w:val="3"/>
      </w:pPr>
      <w:bookmarkStart w:id="22" w:name="_Toc2149"/>
      <w:r>
        <w:rPr>
          <w:rFonts w:hint="eastAsia"/>
        </w:rPr>
        <w:t>《习近平总书记关于教育的重要论述研究》课程教学大纲</w:t>
      </w:r>
      <w:bookmarkEnd w:id="22"/>
    </w:p>
    <w:p w14:paraId="46785740">
      <w:pPr>
        <w:spacing w:line="360" w:lineRule="auto"/>
        <w:jc w:val="center"/>
        <w:rPr>
          <w:rFonts w:ascii="Times New Roman" w:hAnsi="Times New Roman" w:eastAsia="宋体" w:cs="Times New Roman"/>
          <w:bCs/>
          <w:sz w:val="30"/>
          <w:szCs w:val="30"/>
        </w:rPr>
      </w:pPr>
      <w:r>
        <w:rPr>
          <w:rFonts w:hint="eastAsia" w:ascii="Times New Roman" w:hAnsi="Times New Roman" w:eastAsia="宋体" w:cs="Times New Roman"/>
          <w:b/>
          <w:bCs/>
          <w:sz w:val="28"/>
          <w:szCs w:val="28"/>
        </w:rPr>
        <w:t>（</w:t>
      </w:r>
      <w:r>
        <w:rPr>
          <w:rFonts w:hint="eastAsia" w:ascii="Times New Roman" w:hAnsi="Times New Roman" w:eastAsia="等线" w:cs="Times New Roman"/>
          <w:b/>
          <w:bCs/>
          <w:sz w:val="24"/>
        </w:rPr>
        <w:t>General Secretary Xi Jinping's Important Exposition on Education</w:t>
      </w:r>
      <w:r>
        <w:rPr>
          <w:rFonts w:hint="eastAsia" w:ascii="Times New Roman" w:hAnsi="Times New Roman" w:eastAsia="宋体" w:cs="Times New Roman"/>
          <w:b/>
          <w:bCs/>
          <w:sz w:val="28"/>
          <w:szCs w:val="28"/>
        </w:rPr>
        <w:t>）</w:t>
      </w:r>
    </w:p>
    <w:p w14:paraId="11B7F983">
      <w:pPr>
        <w:spacing w:line="360" w:lineRule="auto"/>
        <w:ind w:firstLine="482" w:firstLineChars="200"/>
        <w:jc w:val="left"/>
        <w:rPr>
          <w:rFonts w:ascii="Times New Roman" w:hAnsi="Times New Roman" w:eastAsia="宋体" w:cs="Times New Roman"/>
          <w:b/>
          <w:sz w:val="24"/>
        </w:rPr>
      </w:pPr>
    </w:p>
    <w:p w14:paraId="59EBC019">
      <w:pPr>
        <w:spacing w:line="360" w:lineRule="auto"/>
        <w:ind w:firstLine="482" w:firstLineChars="200"/>
        <w:jc w:val="left"/>
        <w:rPr>
          <w:rFonts w:ascii="Times New Roman" w:hAnsi="Times New Roman" w:eastAsia="宋体" w:cs="Times New Roman"/>
          <w:b/>
          <w:sz w:val="24"/>
        </w:rPr>
      </w:pPr>
    </w:p>
    <w:p w14:paraId="4435710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课程名称：习近平总书记关于教育的重要论述研究</w:t>
      </w:r>
    </w:p>
    <w:p w14:paraId="513EBDC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课程代码：2400002</w:t>
      </w:r>
    </w:p>
    <w:p w14:paraId="6F02CAF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分：1</w:t>
      </w:r>
    </w:p>
    <w:p w14:paraId="59313980">
      <w:pPr>
        <w:spacing w:line="360" w:lineRule="auto"/>
        <w:ind w:firstLine="482" w:firstLineChars="200"/>
        <w:jc w:val="left"/>
        <w:rPr>
          <w:rFonts w:hint="default" w:ascii="Times New Roman" w:hAnsi="Times New Roman" w:eastAsia="宋体" w:cs="Times New Roman"/>
          <w:sz w:val="24"/>
          <w:lang w:val="en-US" w:eastAsia="zh-CN"/>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Times New Roman" w:hAnsi="Times New Roman" w:eastAsia="宋体" w:cs="Times New Roman"/>
          <w:b/>
          <w:sz w:val="24"/>
          <w:lang w:val="en-US" w:eastAsia="zh-CN"/>
        </w:rPr>
        <w:t>16</w:t>
      </w:r>
    </w:p>
    <w:p w14:paraId="5077C056">
      <w:pPr>
        <w:spacing w:line="360" w:lineRule="auto"/>
        <w:ind w:firstLine="482" w:firstLineChars="200"/>
        <w:jc w:val="left"/>
        <w:rPr>
          <w:rFonts w:ascii="Times New Roman" w:hAnsi="Times New Roman" w:eastAsia="等线" w:cs="Times New Roman"/>
          <w:sz w:val="24"/>
        </w:rPr>
      </w:pPr>
      <w:r>
        <w:rPr>
          <w:rFonts w:hint="eastAsia" w:ascii="Times New Roman" w:hAnsi="Times New Roman" w:eastAsia="宋体" w:cs="Times New Roman"/>
          <w:b/>
          <w:sz w:val="24"/>
        </w:rPr>
        <w:t>先修课程：中国近现代史纲要</w:t>
      </w:r>
    </w:p>
    <w:p w14:paraId="1D1A7F1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1C8AFCD0">
      <w:pPr>
        <w:spacing w:line="360" w:lineRule="auto"/>
        <w:jc w:val="left"/>
        <w:rPr>
          <w:rFonts w:ascii="Times New Roman" w:hAnsi="Times New Roman" w:eastAsia="宋体" w:cs="Times New Roman"/>
          <w:b/>
          <w:sz w:val="24"/>
        </w:rPr>
      </w:pPr>
    </w:p>
    <w:p w14:paraId="1B116E6A">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06C58A7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教师教育类公共必修课程。为推动教育系统广大干部师生深入学贯彻学习总书记关于教育的重要论述，教育部组织编写了《习近平总书记教育重要论述讲义》。党的十八大以来，习近平总书记就教育改革发展作出了一系列重要讲话、指示批示，提出了一系列新理念新思想新观点，形成了习近平总书记关于教育的重要论述。习近平总书记关于教育的重要论述从根本上阐明了新时代中国特色社会主义教育发展方向、道路、方针、原则等一系列方向性根本性战略性问题，以全新的视野深化了对社会主义建设规律、教育发展规律、人才培养规律的认识，开拓了马克思主义教育思想的新境界，标志着中国特色社会主义教育理论发展达到了新高度，为加快推进教育现代化、建设教育强国、办好人民满意的教育提供了根本遵循和行动指南。</w:t>
      </w:r>
    </w:p>
    <w:p w14:paraId="635E96CE">
      <w:pPr>
        <w:spacing w:line="360" w:lineRule="auto"/>
        <w:jc w:val="left"/>
        <w:rPr>
          <w:rFonts w:hint="eastAsia" w:ascii="宋体" w:hAnsi="宋体" w:eastAsia="宋体" w:cs="Times New Roman"/>
          <w:b/>
          <w:color w:val="000000"/>
          <w:szCs w:val="21"/>
        </w:rPr>
      </w:pPr>
    </w:p>
    <w:p w14:paraId="3ECC3BEC">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3C239378">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3BDD280E">
      <w:pPr>
        <w:spacing w:before="156" w:beforeLines="50" w:after="156" w:after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目标1：</w:t>
      </w:r>
      <w:r>
        <w:rPr>
          <w:rFonts w:hint="eastAsia" w:ascii="Times New Roman" w:hAnsi="Times New Roman" w:eastAsia="宋体" w:cs="Times New Roman"/>
          <w:bCs/>
          <w:szCs w:val="21"/>
        </w:rPr>
        <w:t>真学真用。总书记关于教育的重要论述为新时代中国特色社会主义教育指明了方向指明了道路、揭示了本质揭示了规律、给出了要求给出了方法，教育战线要紧密联系工作实际，真学真用，把总书记关于教育的重要论述落下去、落到位。</w:t>
      </w:r>
    </w:p>
    <w:p w14:paraId="2E56632D">
      <w:pPr>
        <w:spacing w:before="156" w:beforeLines="50" w:after="156" w:afterLines="50"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目标2：</w:t>
      </w:r>
      <w:r>
        <w:rPr>
          <w:rFonts w:hint="eastAsia" w:ascii="Times New Roman" w:hAnsi="Times New Roman" w:eastAsia="宋体" w:cs="Times New Roman"/>
          <w:bCs/>
          <w:szCs w:val="21"/>
        </w:rPr>
        <w:t>学深学透。要深刻领会总书记关于教育地位作用和目标的重要论述、总书记关于立德树人这一根本任务的重要论述、总书记关于教师队伍建设的重要论述、总书记关于教育改革的重要论述、总书记关于党对教育工作全面领导的重要论述，掌握全面、把握重点、理解难点。</w:t>
      </w:r>
    </w:p>
    <w:p w14:paraId="432770C4">
      <w:pPr>
        <w:spacing w:before="156" w:beforeLines="50" w:after="156" w:afterLines="50"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Cs/>
          <w:szCs w:val="21"/>
        </w:rPr>
        <w:t>会学善学。要坚持融入思想学、形成体系学、带着问题学、提升本领学，学习好宣传好落实好总书记关于教育的重要论述，提高政治站位、提升理论自觉、树立问题导向，坚持真学、真懂、真信、真用，推动学习往深里走、往实里走、往心里走。</w:t>
      </w:r>
    </w:p>
    <w:p w14:paraId="5B1DEA9D">
      <w:pPr>
        <w:spacing w:before="156" w:beforeLines="50" w:after="156" w:afterLines="50"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40"/>
        <w:tblW w:w="9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590"/>
      </w:tblGrid>
      <w:tr w14:paraId="4694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5BE79F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1759553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590" w:type="dxa"/>
            <w:vAlign w:val="center"/>
          </w:tcPr>
          <w:p w14:paraId="5926F51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DD8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00E453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4E827D90">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590" w:type="dxa"/>
            <w:vAlign w:val="center"/>
          </w:tcPr>
          <w:p w14:paraId="7F17DFB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51ED7619">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1、2、3</w:t>
            </w:r>
          </w:p>
        </w:tc>
      </w:tr>
      <w:tr w14:paraId="61C4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2DB9E7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0E5B8E9B">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590" w:type="dxa"/>
            <w:vAlign w:val="center"/>
          </w:tcPr>
          <w:p w14:paraId="697A937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1E774CAA">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1、2、3</w:t>
            </w:r>
          </w:p>
        </w:tc>
      </w:tr>
    </w:tbl>
    <w:p w14:paraId="587F50E7">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274F98E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深刻领会、认真践行习总书记关于教育的重要论述，贯彻“九个坚持”。</w:t>
      </w:r>
    </w:p>
    <w:p w14:paraId="33AA3189">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40"/>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2067"/>
        <w:gridCol w:w="1275"/>
        <w:gridCol w:w="2975"/>
        <w:gridCol w:w="1594"/>
        <w:gridCol w:w="489"/>
      </w:tblGrid>
      <w:tr w14:paraId="5AD6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Align w:val="center"/>
          </w:tcPr>
          <w:p w14:paraId="233B172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2CF430D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067" w:type="dxa"/>
            <w:vAlign w:val="center"/>
          </w:tcPr>
          <w:p w14:paraId="2F01D99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275" w:type="dxa"/>
            <w:vAlign w:val="center"/>
          </w:tcPr>
          <w:p w14:paraId="7504F52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5A3ECD8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975" w:type="dxa"/>
            <w:vAlign w:val="center"/>
          </w:tcPr>
          <w:p w14:paraId="3660DDD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94" w:type="dxa"/>
            <w:vAlign w:val="center"/>
          </w:tcPr>
          <w:p w14:paraId="3D2C24E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89" w:type="dxa"/>
            <w:vAlign w:val="center"/>
          </w:tcPr>
          <w:p w14:paraId="618F8B0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03BA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6CE964C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1.中国特色社会主义教育事业的发展方向（教育宏观发展方向）</w:t>
            </w:r>
          </w:p>
        </w:tc>
        <w:tc>
          <w:tcPr>
            <w:tcW w:w="2067" w:type="dxa"/>
            <w:vAlign w:val="center"/>
          </w:tcPr>
          <w:p w14:paraId="50CC2FB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1.建设教育强国的根本遵循；</w:t>
            </w:r>
          </w:p>
          <w:p w14:paraId="444F380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2.坚持党对教育事业的全面领导；</w:t>
            </w:r>
          </w:p>
          <w:p w14:paraId="2E2629E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3.社会主义的发展方向；</w:t>
            </w:r>
          </w:p>
          <w:p w14:paraId="092190C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4.优先发展教育</w:t>
            </w:r>
          </w:p>
        </w:tc>
        <w:tc>
          <w:tcPr>
            <w:tcW w:w="1275" w:type="dxa"/>
            <w:vAlign w:val="center"/>
          </w:tcPr>
          <w:p w14:paraId="67BCF02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975" w:type="dxa"/>
            <w:vAlign w:val="center"/>
          </w:tcPr>
          <w:p w14:paraId="5656B0CF">
            <w:pPr>
              <w:numPr>
                <w:ilvl w:val="0"/>
                <w:numId w:val="6"/>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理解习近平总书记教育重要论述的时代背景、科学内涵、重大意义；</w:t>
            </w:r>
          </w:p>
          <w:p w14:paraId="56C9D375">
            <w:pPr>
              <w:numPr>
                <w:ilvl w:val="0"/>
                <w:numId w:val="6"/>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理解课程思政的理念；</w:t>
            </w:r>
          </w:p>
          <w:p w14:paraId="17C21CA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3.运用课程思政理念理解教育发展的方向并践行教育教学活动。</w:t>
            </w:r>
          </w:p>
        </w:tc>
        <w:tc>
          <w:tcPr>
            <w:tcW w:w="1594" w:type="dxa"/>
            <w:vAlign w:val="center"/>
          </w:tcPr>
          <w:p w14:paraId="0CD2E54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1B292C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0AB4FEA3">
            <w:pPr>
              <w:spacing w:line="269" w:lineRule="auto"/>
              <w:jc w:val="left"/>
              <w:rPr>
                <w:rFonts w:hint="eastAsia" w:ascii="宋体" w:hAnsi="宋体" w:eastAsia="宋体" w:cs="Times New Roman"/>
                <w:color w:val="000000"/>
                <w:szCs w:val="21"/>
              </w:rPr>
            </w:pPr>
          </w:p>
        </w:tc>
        <w:tc>
          <w:tcPr>
            <w:tcW w:w="489" w:type="dxa"/>
            <w:vAlign w:val="center"/>
          </w:tcPr>
          <w:p w14:paraId="5C9964BE">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p>
        </w:tc>
      </w:tr>
      <w:tr w14:paraId="0C2C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2AFF19B1">
            <w:pPr>
              <w:spacing w:line="264" w:lineRule="auto"/>
              <w:jc w:val="center"/>
              <w:rPr>
                <w:rFonts w:hint="eastAsia" w:ascii="宋体" w:hAnsi="宋体" w:eastAsia="宋体" w:cs="Times New Roman"/>
                <w:color w:val="000000"/>
                <w:szCs w:val="21"/>
              </w:rPr>
            </w:pPr>
          </w:p>
        </w:tc>
        <w:tc>
          <w:tcPr>
            <w:tcW w:w="8400" w:type="dxa"/>
            <w:gridSpan w:val="5"/>
            <w:vAlign w:val="center"/>
          </w:tcPr>
          <w:p w14:paraId="17895FCA">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探讨建设教育强国和坚持党对教育事业的全面领导时，鼓励学生深入思考如何在实际教学中贯彻党的教育方针，把握教育发展的正确政治方向。结合社会主义核心价值观，探讨如何通过教育教学活动培养学生的爱国主义精神和社会责任感，确保教育不仅关注知识的传授，更注重思想道德的引导，为中国特色社会主义事业培养德才兼备的建设者和接班人。</w:t>
            </w:r>
          </w:p>
        </w:tc>
      </w:tr>
      <w:tr w14:paraId="3594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21B5374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2.立德树人（育人的方式）</w:t>
            </w:r>
          </w:p>
        </w:tc>
        <w:tc>
          <w:tcPr>
            <w:tcW w:w="2067" w:type="dxa"/>
            <w:vAlign w:val="center"/>
          </w:tcPr>
          <w:p w14:paraId="40175B8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1.扎根中国大地办教育，以人民为中心，并坚持立德树人的教育目的；</w:t>
            </w:r>
          </w:p>
          <w:p w14:paraId="5B1EA8E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2.教育优先发展的战略地位。</w:t>
            </w:r>
          </w:p>
        </w:tc>
        <w:tc>
          <w:tcPr>
            <w:tcW w:w="1275" w:type="dxa"/>
            <w:vAlign w:val="center"/>
          </w:tcPr>
          <w:p w14:paraId="42435AF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975" w:type="dxa"/>
            <w:vAlign w:val="center"/>
          </w:tcPr>
          <w:p w14:paraId="2D06CCBE">
            <w:pPr>
              <w:numPr>
                <w:ilvl w:val="0"/>
                <w:numId w:val="7"/>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将以人民为重，扎根中国大地办教育；</w:t>
            </w:r>
          </w:p>
          <w:p w14:paraId="78E96245">
            <w:pPr>
              <w:numPr>
                <w:ilvl w:val="0"/>
                <w:numId w:val="7"/>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坚持把立德树人贯彻学生学习的过程。</w:t>
            </w:r>
          </w:p>
        </w:tc>
        <w:tc>
          <w:tcPr>
            <w:tcW w:w="1594" w:type="dxa"/>
            <w:vAlign w:val="center"/>
          </w:tcPr>
          <w:p w14:paraId="2C6BFBA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45A343E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23712B9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3.平时作业</w:t>
            </w:r>
          </w:p>
        </w:tc>
        <w:tc>
          <w:tcPr>
            <w:tcW w:w="489" w:type="dxa"/>
            <w:vAlign w:val="center"/>
          </w:tcPr>
          <w:p w14:paraId="47A239EA">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p>
        </w:tc>
      </w:tr>
      <w:tr w14:paraId="356B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2127009E">
            <w:pPr>
              <w:spacing w:line="264" w:lineRule="auto"/>
              <w:jc w:val="center"/>
              <w:rPr>
                <w:rFonts w:hint="eastAsia" w:ascii="宋体" w:hAnsi="宋体" w:eastAsia="宋体" w:cs="Times New Roman"/>
                <w:color w:val="000000"/>
                <w:szCs w:val="21"/>
              </w:rPr>
            </w:pPr>
          </w:p>
        </w:tc>
        <w:tc>
          <w:tcPr>
            <w:tcW w:w="8400" w:type="dxa"/>
            <w:gridSpan w:val="5"/>
            <w:vAlign w:val="center"/>
          </w:tcPr>
          <w:p w14:paraId="704F8343">
            <w:pPr>
              <w:spacing w:line="360"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探讨立德树人的教育目的时，引导学生思考如何在教育实践中将德育与智育有机结合，把培养学生的道德品质放在首位。通过扎根中国大地办教育的实际案例，强调坚持以人民为中心的重要性，讨论如何在教学过程中融入社会主义核心价值观，培养学生的社会责任感和使命感，使他们成为有理想、有本领、有担当的新时代建设者。</w:t>
            </w:r>
          </w:p>
        </w:tc>
      </w:tr>
      <w:tr w14:paraId="671D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7E0CD8A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3.深化教育改革促进民族伟大复兴（教育的途径与使命）</w:t>
            </w:r>
          </w:p>
        </w:tc>
        <w:tc>
          <w:tcPr>
            <w:tcW w:w="2067" w:type="dxa"/>
            <w:vAlign w:val="center"/>
          </w:tcPr>
          <w:p w14:paraId="4DDFCCE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1.探讨改革如何推动中国教育系统的现代化和国际化，以及改革对教育质量和效率的正面影响。</w:t>
            </w:r>
          </w:p>
          <w:p w14:paraId="1DC515D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分析当前教育系统中存在的主要问题，讨论包括课程、评估、教师发展在内的综合改革策略。</w:t>
            </w:r>
          </w:p>
          <w:p w14:paraId="2CE36AA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2.探讨教育强国的战略意义和实现路径，包括教育的普及率提高、质量提升和创新能力加强。</w:t>
            </w:r>
          </w:p>
        </w:tc>
        <w:tc>
          <w:tcPr>
            <w:tcW w:w="1275" w:type="dxa"/>
            <w:vAlign w:val="center"/>
          </w:tcPr>
          <w:p w14:paraId="2B7EDC6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975" w:type="dxa"/>
            <w:vAlign w:val="center"/>
          </w:tcPr>
          <w:p w14:paraId="3CD98E6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1.能够详细描述教育改革的必要性和历史进程；</w:t>
            </w:r>
          </w:p>
          <w:p w14:paraId="013876A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2、理解全球教育开放的趋势及其对我国教育影响；</w:t>
            </w:r>
          </w:p>
          <w:p w14:paraId="6E2CED2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3.能够阐述建设教育强国的具体措施和预期效果；</w:t>
            </w:r>
          </w:p>
          <w:p w14:paraId="4C94225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4.理解教育如何服务于国家的社会经济发展战略。</w:t>
            </w:r>
          </w:p>
        </w:tc>
        <w:tc>
          <w:tcPr>
            <w:tcW w:w="1594" w:type="dxa"/>
            <w:vAlign w:val="center"/>
          </w:tcPr>
          <w:p w14:paraId="69F5D87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77D3E6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tc>
        <w:tc>
          <w:tcPr>
            <w:tcW w:w="489" w:type="dxa"/>
            <w:vAlign w:val="center"/>
          </w:tcPr>
          <w:p w14:paraId="3AD060C5">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p>
        </w:tc>
      </w:tr>
      <w:tr w14:paraId="41C1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6567495C">
            <w:pPr>
              <w:spacing w:line="264" w:lineRule="auto"/>
              <w:jc w:val="center"/>
              <w:rPr>
                <w:rFonts w:hint="eastAsia" w:ascii="宋体" w:hAnsi="宋体" w:eastAsia="宋体" w:cs="Times New Roman"/>
                <w:color w:val="000000"/>
                <w:szCs w:val="21"/>
              </w:rPr>
            </w:pPr>
          </w:p>
        </w:tc>
        <w:tc>
          <w:tcPr>
            <w:tcW w:w="8400" w:type="dxa"/>
            <w:gridSpan w:val="5"/>
            <w:vAlign w:val="center"/>
          </w:tcPr>
          <w:p w14:paraId="467641A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探讨教育改革的过程中，引导学生理解教育改革如何服务于民族伟大复兴的战略目标，强调教育对实现中华民族伟大复兴的关键作用。结合社会主义核心价值观，讨论如何在教育改革中体现公平、公正的原则，推动教育系统的现代化与国际化，同时关注教育资源的优化配置和全民教育的均衡发展。通过批判性思维和策略规划，培养学生的领导力和社会责任感，使他们能够积极参与教育改革，促进国家的社会经济发展。</w:t>
            </w:r>
          </w:p>
        </w:tc>
      </w:tr>
      <w:tr w14:paraId="1A8F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448ED96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4.把教师队伍建设作为基础工作（教师队伍建设）</w:t>
            </w:r>
          </w:p>
        </w:tc>
        <w:tc>
          <w:tcPr>
            <w:tcW w:w="2067" w:type="dxa"/>
            <w:vAlign w:val="center"/>
          </w:tcPr>
          <w:p w14:paraId="373791A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1.理解教师在教育系统中的核心地位及其对教育质量的影响，探索教师角色的历史和现代转变；</w:t>
            </w:r>
          </w:p>
          <w:p w14:paraId="69DB547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2.分析公众对优秀教师的期望和标准，以及如何通过道德操守、教学技能和持续学习来满足这些期望；</w:t>
            </w:r>
          </w:p>
          <w:p w14:paraId="1E45085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3.探讨教师专业发展的策略，包括教育政策、持续培训和职业发展路径的设计。</w:t>
            </w:r>
          </w:p>
        </w:tc>
        <w:tc>
          <w:tcPr>
            <w:tcW w:w="1275" w:type="dxa"/>
            <w:vAlign w:val="center"/>
          </w:tcPr>
          <w:p w14:paraId="595CDB2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975" w:type="dxa"/>
            <w:vAlign w:val="center"/>
          </w:tcPr>
          <w:p w14:paraId="5A5024D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1.能够描述优秀教师的特质和行为，理解教师专业道德的重要性；</w:t>
            </w:r>
          </w:p>
          <w:p w14:paraId="4FA1EC0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2.理解教师专业化发展的国内外模式和趋势，包括教师评估和激励机制；</w:t>
            </w:r>
          </w:p>
          <w:p w14:paraId="11E88A8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3.形成批判性思维能力，能评估和提出改进教师教育和培训系统的建议；</w:t>
            </w:r>
          </w:p>
          <w:p w14:paraId="2118446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4.提升领导力和沟通技能，能在未来的教育环境中有效地支持和提升教师队伍的职业发展。</w:t>
            </w:r>
          </w:p>
        </w:tc>
        <w:tc>
          <w:tcPr>
            <w:tcW w:w="1594" w:type="dxa"/>
            <w:vAlign w:val="center"/>
          </w:tcPr>
          <w:p w14:paraId="3B04DC9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448F570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tc>
        <w:tc>
          <w:tcPr>
            <w:tcW w:w="489" w:type="dxa"/>
            <w:vAlign w:val="center"/>
          </w:tcPr>
          <w:p w14:paraId="4A0AC75D">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bookmarkStart w:id="306" w:name="_GoBack"/>
            <w:bookmarkEnd w:id="306"/>
          </w:p>
        </w:tc>
      </w:tr>
      <w:tr w14:paraId="0908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009DD2B4">
            <w:pPr>
              <w:spacing w:line="276" w:lineRule="auto"/>
              <w:jc w:val="center"/>
              <w:rPr>
                <w:rFonts w:hint="eastAsia" w:ascii="宋体" w:hAnsi="宋体" w:eastAsia="宋体" w:cs="Times New Roman"/>
                <w:color w:val="000000"/>
                <w:szCs w:val="21"/>
              </w:rPr>
            </w:pPr>
          </w:p>
        </w:tc>
        <w:tc>
          <w:tcPr>
            <w:tcW w:w="8400" w:type="dxa"/>
            <w:gridSpan w:val="5"/>
            <w:vAlign w:val="center"/>
          </w:tcPr>
          <w:p w14:paraId="41A8EFE6">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讨论教师队伍建设时，引导学生认识到教师在教育系统中的核心作用，以及如何通过提升教师的职业道德和专业素养，推动教育质量的整体提升。结合社会主义核心价值观，探讨如何在教师培训和职业发展中融入思想政治教育，培养教师的社会责任感和职业使命感。同时，讨论如何通过政策支持和资源优化，平衡教师的工作压力，提升教师的职业满意度，使他们能够更好地服务于国家的教育事业和社会发展。</w:t>
            </w:r>
          </w:p>
        </w:tc>
      </w:tr>
    </w:tbl>
    <w:p w14:paraId="17CDDAD0">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4F50274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10037E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tbl>
      <w:tblPr>
        <w:tblStyle w:val="40"/>
        <w:tblpPr w:leftFromText="180" w:rightFromText="180" w:vertAnchor="text" w:horzAnchor="page" w:tblpX="1697" w:tblpY="626"/>
        <w:tblOverlap w:val="never"/>
        <w:tblW w:w="9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839"/>
        <w:gridCol w:w="1850"/>
        <w:gridCol w:w="2000"/>
        <w:gridCol w:w="2192"/>
      </w:tblGrid>
      <w:tr w14:paraId="346E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106D294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689" w:type="dxa"/>
            <w:gridSpan w:val="3"/>
            <w:vAlign w:val="center"/>
          </w:tcPr>
          <w:p w14:paraId="46D46D04">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2192" w:type="dxa"/>
            <w:vMerge w:val="restart"/>
            <w:vAlign w:val="center"/>
          </w:tcPr>
          <w:p w14:paraId="5E671A74">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841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15C1C019">
            <w:pPr>
              <w:spacing w:line="360" w:lineRule="auto"/>
              <w:jc w:val="center"/>
              <w:rPr>
                <w:rFonts w:hint="eastAsia" w:ascii="宋体" w:hAnsi="宋体" w:eastAsia="宋体" w:cs="Times New Roman"/>
                <w:szCs w:val="21"/>
              </w:rPr>
            </w:pPr>
          </w:p>
        </w:tc>
        <w:tc>
          <w:tcPr>
            <w:tcW w:w="1839" w:type="dxa"/>
            <w:vAlign w:val="center"/>
          </w:tcPr>
          <w:p w14:paraId="44F34763">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850" w:type="dxa"/>
            <w:vAlign w:val="center"/>
          </w:tcPr>
          <w:p w14:paraId="440685AB">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2000" w:type="dxa"/>
            <w:vAlign w:val="center"/>
          </w:tcPr>
          <w:p w14:paraId="4942CFC1">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期末考查</w:t>
            </w:r>
          </w:p>
        </w:tc>
        <w:tc>
          <w:tcPr>
            <w:tcW w:w="2192" w:type="dxa"/>
            <w:vMerge w:val="continue"/>
            <w:vAlign w:val="center"/>
          </w:tcPr>
          <w:p w14:paraId="232908C4">
            <w:pPr>
              <w:spacing w:line="360" w:lineRule="auto"/>
              <w:jc w:val="center"/>
              <w:rPr>
                <w:rFonts w:hint="eastAsia" w:ascii="宋体" w:hAnsi="宋体" w:eastAsia="宋体" w:cs="Times New Roman"/>
                <w:szCs w:val="21"/>
              </w:rPr>
            </w:pPr>
          </w:p>
        </w:tc>
      </w:tr>
      <w:tr w14:paraId="4D0B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vAlign w:val="center"/>
          </w:tcPr>
          <w:p w14:paraId="16E16F6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839" w:type="dxa"/>
            <w:vAlign w:val="center"/>
          </w:tcPr>
          <w:p w14:paraId="617AD32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50" w:type="dxa"/>
            <w:vAlign w:val="center"/>
          </w:tcPr>
          <w:p w14:paraId="40033CC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000" w:type="dxa"/>
            <w:vAlign w:val="center"/>
          </w:tcPr>
          <w:p w14:paraId="573EC42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92" w:type="dxa"/>
            <w:vAlign w:val="center"/>
          </w:tcPr>
          <w:p w14:paraId="1DF7F8AB">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47F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4A429D3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839" w:type="dxa"/>
            <w:vAlign w:val="center"/>
          </w:tcPr>
          <w:p w14:paraId="78964C2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50" w:type="dxa"/>
            <w:vAlign w:val="center"/>
          </w:tcPr>
          <w:p w14:paraId="38F35F3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000" w:type="dxa"/>
            <w:vAlign w:val="center"/>
          </w:tcPr>
          <w:p w14:paraId="6B98708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92" w:type="dxa"/>
            <w:vAlign w:val="center"/>
          </w:tcPr>
          <w:p w14:paraId="522304E6">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626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8175F1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839" w:type="dxa"/>
            <w:vAlign w:val="center"/>
          </w:tcPr>
          <w:p w14:paraId="13A789D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50" w:type="dxa"/>
            <w:vAlign w:val="center"/>
          </w:tcPr>
          <w:p w14:paraId="1D5EBA9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000" w:type="dxa"/>
            <w:vAlign w:val="center"/>
          </w:tcPr>
          <w:p w14:paraId="56291E6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92" w:type="dxa"/>
            <w:vAlign w:val="center"/>
          </w:tcPr>
          <w:p w14:paraId="027F3BD2">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2792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FF57AEE">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839" w:type="dxa"/>
            <w:vAlign w:val="center"/>
          </w:tcPr>
          <w:p w14:paraId="3779EC1B">
            <w:pPr>
              <w:spacing w:line="360" w:lineRule="auto"/>
              <w:jc w:val="center"/>
              <w:rPr>
                <w:rFonts w:hint="eastAsia" w:ascii="宋体" w:hAnsi="宋体" w:eastAsia="宋体" w:cs="Times New Roman"/>
                <w:szCs w:val="21"/>
              </w:rPr>
            </w:pPr>
          </w:p>
        </w:tc>
        <w:tc>
          <w:tcPr>
            <w:tcW w:w="1850" w:type="dxa"/>
            <w:vAlign w:val="center"/>
          </w:tcPr>
          <w:p w14:paraId="5B639429">
            <w:pPr>
              <w:spacing w:line="360" w:lineRule="auto"/>
              <w:jc w:val="center"/>
              <w:rPr>
                <w:rFonts w:hint="eastAsia" w:ascii="宋体" w:hAnsi="宋体" w:eastAsia="宋体" w:cs="Times New Roman"/>
                <w:szCs w:val="21"/>
              </w:rPr>
            </w:pPr>
          </w:p>
        </w:tc>
        <w:tc>
          <w:tcPr>
            <w:tcW w:w="2000" w:type="dxa"/>
            <w:vAlign w:val="center"/>
          </w:tcPr>
          <w:p w14:paraId="1637C642">
            <w:pPr>
              <w:spacing w:line="360" w:lineRule="auto"/>
              <w:jc w:val="center"/>
              <w:rPr>
                <w:rFonts w:hint="eastAsia" w:ascii="宋体" w:hAnsi="宋体" w:eastAsia="宋体" w:cs="Times New Roman"/>
                <w:szCs w:val="21"/>
              </w:rPr>
            </w:pPr>
          </w:p>
        </w:tc>
        <w:tc>
          <w:tcPr>
            <w:tcW w:w="2192" w:type="dxa"/>
            <w:vAlign w:val="center"/>
          </w:tcPr>
          <w:p w14:paraId="74BD91E3">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15DA2C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p w14:paraId="403B7886">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48B95A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9F913D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40"/>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249"/>
        <w:gridCol w:w="1092"/>
      </w:tblGrid>
      <w:tr w14:paraId="1D67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37BEA3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249" w:type="dxa"/>
            <w:vAlign w:val="center"/>
          </w:tcPr>
          <w:p w14:paraId="63D50D2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092" w:type="dxa"/>
            <w:vAlign w:val="center"/>
          </w:tcPr>
          <w:p w14:paraId="7F6694D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204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37DA6F">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249" w:type="dxa"/>
            <w:vAlign w:val="center"/>
          </w:tcPr>
          <w:p w14:paraId="51C3B3C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平时作业共1次，为小论文或讨论题，论述的逻辑性、充分性及深刻性为评分的主要依据。</w:t>
            </w:r>
          </w:p>
        </w:tc>
        <w:tc>
          <w:tcPr>
            <w:tcW w:w="1092" w:type="dxa"/>
            <w:vAlign w:val="center"/>
          </w:tcPr>
          <w:p w14:paraId="5BD4E93B">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3E54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B09F1A1">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249" w:type="dxa"/>
            <w:vAlign w:val="center"/>
          </w:tcPr>
          <w:p w14:paraId="57877DA9">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迟到一次扣2分，无故缺席一次扣5分，累计达2次及以上取消课程成绩。</w:t>
            </w:r>
          </w:p>
          <w:p w14:paraId="03ECA3E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1092" w:type="dxa"/>
            <w:vAlign w:val="center"/>
          </w:tcPr>
          <w:p w14:paraId="285775EF">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25EB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AE00FAD">
            <w:pPr>
              <w:rPr>
                <w:rFonts w:ascii="Times New Roman" w:hAnsi="Times New Roman" w:eastAsia="宋体" w:cs="Times New Roman"/>
                <w:szCs w:val="21"/>
              </w:rPr>
            </w:pPr>
            <w:r>
              <w:rPr>
                <w:rFonts w:hint="eastAsia" w:ascii="Times New Roman" w:hAnsi="Times New Roman" w:eastAsia="宋体" w:cs="Times New Roman"/>
                <w:szCs w:val="21"/>
              </w:rPr>
              <w:t>期末考查</w:t>
            </w:r>
          </w:p>
        </w:tc>
        <w:tc>
          <w:tcPr>
            <w:tcW w:w="7249" w:type="dxa"/>
            <w:vAlign w:val="center"/>
          </w:tcPr>
          <w:p w14:paraId="40C636D7">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完成课程论文，考查学生对所学内容的认识、理解和应用情况</w:t>
            </w:r>
          </w:p>
        </w:tc>
        <w:tc>
          <w:tcPr>
            <w:tcW w:w="1092" w:type="dxa"/>
            <w:vAlign w:val="center"/>
          </w:tcPr>
          <w:p w14:paraId="0F32AB87">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169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45D9F45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249" w:type="dxa"/>
            <w:vAlign w:val="center"/>
          </w:tcPr>
          <w:p w14:paraId="557F3F5D">
            <w:pPr>
              <w:jc w:val="left"/>
              <w:rPr>
                <w:rFonts w:ascii="Times New Roman" w:hAnsi="Times New Roman" w:eastAsia="宋体" w:cs="Times New Roman"/>
                <w:szCs w:val="21"/>
              </w:rPr>
            </w:pPr>
          </w:p>
        </w:tc>
        <w:tc>
          <w:tcPr>
            <w:tcW w:w="1092" w:type="dxa"/>
            <w:vAlign w:val="center"/>
          </w:tcPr>
          <w:p w14:paraId="0DAEAE80">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9AC8DC4">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2BC76FC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D18B104">
      <w:pPr>
        <w:spacing w:line="360" w:lineRule="auto"/>
        <w:jc w:val="left"/>
        <w:rPr>
          <w:rFonts w:ascii="Times New Roman" w:hAnsi="Times New Roman" w:eastAsia="宋体" w:cs="Times New Roman"/>
          <w:b/>
          <w:bCs/>
          <w:sz w:val="24"/>
        </w:rPr>
      </w:pPr>
      <w:r>
        <w:rPr>
          <w:rFonts w:ascii="宋体" w:hAnsi="宋体" w:eastAsia="宋体" w:cs="Times New Roman"/>
          <w:color w:val="000000"/>
          <w:szCs w:val="21"/>
        </w:rPr>
        <w:object>
          <v:shape id="_x0000_i1030"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30" DrawAspect="Content" ObjectID="_1468075730" r:id="rId11">
            <o:LockedField>false</o:LockedField>
          </o:OLEObject>
        </w:object>
      </w:r>
      <w:r>
        <w:rPr>
          <w:rFonts w:hint="eastAsia" w:ascii="宋体" w:hAnsi="宋体" w:eastAsia="宋体" w:cs="Times New Roman"/>
          <w:b/>
          <w:color w:val="000000"/>
          <w:sz w:val="24"/>
        </w:rPr>
        <w:t>五、有关说明</w:t>
      </w:r>
    </w:p>
    <w:p w14:paraId="574B9A0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A5FF10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根据学生课堂教学中的反应、课后反馈、作业质量，以及领导、督导、教师同行等的听课情况，及时发现和改进教学中的不足之处，确保相应毕业要求指标点达成。</w:t>
      </w:r>
    </w:p>
    <w:p w14:paraId="1DAD88A2">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255F7D74">
      <w:pPr>
        <w:spacing w:line="360" w:lineRule="auto"/>
        <w:ind w:firstLine="420" w:firstLineChars="20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编写组.习近平总书记教育重要论述讲义[M].北京：高等教育出版社，2020.</w:t>
      </w:r>
    </w:p>
    <w:p w14:paraId="5B5C935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98E814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 习近平.论教育[M].北京：中央文献出版社，2024.</w:t>
      </w:r>
    </w:p>
    <w:p w14:paraId="3B0130A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2.胡金平.学校教育发展[M].上海：华东师范大学出版社，2016.</w:t>
      </w:r>
    </w:p>
    <w:p w14:paraId="37B3ECD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3.教育学原理编写组. 教育学原理[M]. 北京: 高等教育出版社, 2019.</w:t>
      </w:r>
    </w:p>
    <w:p w14:paraId="0C9248E8">
      <w:pPr>
        <w:rPr>
          <w:rFonts w:hint="eastAsia" w:ascii="等线" w:hAnsi="等线" w:eastAsia="等线" w:cs="Times New Roman"/>
          <w:szCs w:val="22"/>
        </w:rPr>
      </w:pPr>
    </w:p>
    <w:p w14:paraId="63039A5C">
      <w:pPr>
        <w:rPr>
          <w:rFonts w:hint="eastAsia" w:ascii="等线" w:hAnsi="等线" w:eastAsia="等线" w:cs="Times New Roman"/>
          <w:szCs w:val="22"/>
        </w:rPr>
      </w:pPr>
    </w:p>
    <w:p w14:paraId="1C45B076">
      <w:pPr>
        <w:wordWrap w:val="0"/>
        <w:spacing w:line="360" w:lineRule="auto"/>
        <w:ind w:right="1440"/>
        <w:jc w:val="center"/>
        <w:rPr>
          <w:rFonts w:ascii="Times New Roman" w:hAnsi="Times New Roman" w:eastAsia="宋体" w:cs="Times New Roman"/>
          <w:sz w:val="24"/>
        </w:rPr>
      </w:pPr>
      <w:r>
        <w:rPr>
          <w:rFonts w:hint="eastAsia" w:ascii="Times New Roman" w:hAnsi="Times New Roman" w:eastAsia="宋体" w:cs="Times New Roman"/>
          <w:sz w:val="24"/>
        </w:rPr>
        <w:t xml:space="preserve">                                       执 笔 人： 姚玉香</w:t>
      </w:r>
    </w:p>
    <w:p w14:paraId="388F6E11">
      <w:pPr>
        <w:wordWrap w:val="0"/>
        <w:spacing w:line="360" w:lineRule="auto"/>
        <w:ind w:right="1440"/>
        <w:jc w:val="center"/>
        <w:rPr>
          <w:rFonts w:ascii="Times New Roman" w:hAnsi="Times New Roman" w:eastAsia="宋体" w:cs="Times New Roman"/>
          <w:sz w:val="24"/>
        </w:rPr>
      </w:pPr>
      <w:r>
        <w:rPr>
          <w:rFonts w:hint="eastAsia" w:ascii="Times New Roman" w:hAnsi="Times New Roman" w:eastAsia="宋体" w:cs="Times New Roman"/>
          <w:sz w:val="24"/>
        </w:rPr>
        <w:t xml:space="preserve">                                       审 定 人： 王  健</w:t>
      </w:r>
    </w:p>
    <w:p w14:paraId="717E5BCA">
      <w:pPr>
        <w:spacing w:line="360" w:lineRule="auto"/>
        <w:ind w:right="1440"/>
        <w:jc w:val="center"/>
        <w:rPr>
          <w:rFonts w:ascii="Times New Roman" w:hAnsi="Times New Roman" w:eastAsia="宋体" w:cs="Times New Roman"/>
          <w:sz w:val="24"/>
        </w:rPr>
      </w:pPr>
      <w:r>
        <w:rPr>
          <w:rFonts w:hint="eastAsia" w:ascii="Times New Roman" w:hAnsi="Times New Roman" w:eastAsia="宋体" w:cs="Times New Roman"/>
          <w:sz w:val="24"/>
        </w:rPr>
        <w:t xml:space="preserve">                                       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17943784">
      <w:pPr>
        <w:spacing w:line="360" w:lineRule="auto"/>
        <w:ind w:right="240" w:firstLine="4800" w:firstLineChars="2000"/>
        <w:jc w:val="lef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 </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2C22826B">
      <w:pPr>
        <w:rPr>
          <w:rFonts w:hint="eastAsia" w:ascii="等线" w:hAnsi="等线" w:eastAsia="等线" w:cs="Times New Roman"/>
          <w:szCs w:val="22"/>
        </w:rPr>
      </w:pPr>
    </w:p>
    <w:p w14:paraId="18B51C45">
      <w:pPr>
        <w:bidi w:val="0"/>
      </w:pPr>
      <w:r>
        <w:br w:type="page"/>
      </w:r>
    </w:p>
    <w:p w14:paraId="6ED71B7F">
      <w:pPr>
        <w:pStyle w:val="2"/>
      </w:pPr>
      <w:bookmarkStart w:id="23" w:name="_Toc32721"/>
      <w:r>
        <w:rPr>
          <w:rFonts w:hint="eastAsia"/>
        </w:rPr>
        <w:t>《形势与政策》课程教学大纲</w:t>
      </w:r>
      <w:bookmarkEnd w:id="7"/>
      <w:bookmarkEnd w:id="23"/>
    </w:p>
    <w:p w14:paraId="4D46C282">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Situation And Policy</w:t>
      </w:r>
      <w:r>
        <w:rPr>
          <w:rFonts w:ascii="Times New Roman" w:hAnsi="Times New Roman" w:eastAsia="宋体" w:cs="Times New Roman"/>
          <w:b/>
          <w:bCs/>
          <w:sz w:val="28"/>
          <w:szCs w:val="28"/>
        </w:rPr>
        <w:t>）</w:t>
      </w:r>
    </w:p>
    <w:p w14:paraId="2EA0DA4E">
      <w:pPr>
        <w:spacing w:line="360" w:lineRule="auto"/>
        <w:jc w:val="center"/>
        <w:rPr>
          <w:rFonts w:ascii="Times New Roman" w:hAnsi="Times New Roman" w:eastAsia="宋体" w:cs="Times New Roman"/>
          <w:bCs/>
          <w:sz w:val="30"/>
          <w:szCs w:val="30"/>
        </w:rPr>
      </w:pPr>
    </w:p>
    <w:p w14:paraId="6BE3BD7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课程名称：形势与政策</w:t>
      </w:r>
    </w:p>
    <w:p w14:paraId="1AE7B9D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课程代码：1006031形势与政策Ⅰ(上)、1006032形势与政策Ⅰ(下)</w:t>
      </w:r>
    </w:p>
    <w:p w14:paraId="46D08D6C">
      <w:pPr>
        <w:spacing w:line="360" w:lineRule="auto"/>
        <w:ind w:firstLine="1687" w:firstLineChars="700"/>
        <w:jc w:val="left"/>
        <w:rPr>
          <w:rFonts w:ascii="Times New Roman" w:hAnsi="Times New Roman" w:eastAsia="宋体" w:cs="Times New Roman"/>
          <w:b/>
          <w:sz w:val="24"/>
        </w:rPr>
      </w:pPr>
      <w:r>
        <w:rPr>
          <w:rFonts w:hint="eastAsia" w:ascii="Times New Roman" w:hAnsi="Times New Roman" w:eastAsia="宋体" w:cs="Times New Roman"/>
          <w:b/>
          <w:sz w:val="24"/>
        </w:rPr>
        <w:t>1006033形势与政策Ⅱ(上)、1006034形势与政策Ⅱ(下)</w:t>
      </w:r>
    </w:p>
    <w:p w14:paraId="49CE43CC">
      <w:pPr>
        <w:spacing w:line="360" w:lineRule="auto"/>
        <w:ind w:firstLine="1687" w:firstLineChars="700"/>
        <w:jc w:val="left"/>
        <w:rPr>
          <w:rFonts w:ascii="Times New Roman" w:hAnsi="Times New Roman" w:eastAsia="宋体" w:cs="Times New Roman"/>
          <w:b/>
          <w:sz w:val="24"/>
        </w:rPr>
      </w:pPr>
      <w:r>
        <w:rPr>
          <w:rFonts w:hint="eastAsia" w:ascii="Times New Roman" w:hAnsi="Times New Roman" w:eastAsia="宋体" w:cs="Times New Roman"/>
          <w:b/>
          <w:sz w:val="24"/>
        </w:rPr>
        <w:t>1006035形势与政策Ⅲ(上)、1006036形势与政策Ⅲ(下)</w:t>
      </w:r>
    </w:p>
    <w:p w14:paraId="090BC19A">
      <w:pPr>
        <w:spacing w:line="360" w:lineRule="auto"/>
        <w:ind w:firstLine="1687" w:firstLineChars="700"/>
        <w:jc w:val="left"/>
        <w:rPr>
          <w:rFonts w:ascii="Times New Roman" w:hAnsi="Times New Roman" w:eastAsia="宋体" w:cs="Times New Roman"/>
          <w:b/>
          <w:sz w:val="24"/>
        </w:rPr>
      </w:pPr>
      <w:r>
        <w:rPr>
          <w:rFonts w:hint="eastAsia" w:ascii="Times New Roman" w:hAnsi="Times New Roman" w:eastAsia="宋体" w:cs="Times New Roman"/>
          <w:b/>
          <w:sz w:val="24"/>
        </w:rPr>
        <w:t>1006037形势与政策Ⅳ(上)、1006038形势与政策Ⅳ(下)</w:t>
      </w:r>
    </w:p>
    <w:p w14:paraId="230EF847">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分：2（其中，形势与政策Ⅰ(上)0.25、形势与政策Ⅰ(下)0.25、形势与政策Ⅱ(上) 0.25、形势与政策Ⅱ(下) 0.25、形势与政策Ⅲ(上) 0.25、形势与政策Ⅲ(下) 0.25、形势与政策Ⅳ(上) 0.25、形势与政策Ⅳ(下) 0.25）</w:t>
      </w:r>
    </w:p>
    <w:p w14:paraId="105792A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时：64</w:t>
      </w:r>
    </w:p>
    <w:p w14:paraId="0AA13EB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66EF177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7D632FA6">
      <w:pPr>
        <w:spacing w:line="360" w:lineRule="auto"/>
        <w:jc w:val="left"/>
        <w:rPr>
          <w:rFonts w:ascii="Times New Roman" w:hAnsi="Times New Roman" w:eastAsia="宋体" w:cs="Times New Roman"/>
          <w:b/>
          <w:sz w:val="24"/>
        </w:rPr>
      </w:pPr>
    </w:p>
    <w:p w14:paraId="6127FF32">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5675FFCC">
      <w:pPr>
        <w:spacing w:line="360" w:lineRule="auto"/>
        <w:ind w:firstLine="420" w:firstLineChars="200"/>
        <w:jc w:val="left"/>
        <w:rPr>
          <w:rFonts w:hint="eastAsia" w:ascii="宋体" w:hAnsi="宋体" w:eastAsia="宋体" w:cs="Times New Roman"/>
          <w:b/>
          <w:color w:val="000000"/>
          <w:szCs w:val="21"/>
        </w:rPr>
      </w:pPr>
      <w:r>
        <w:rPr>
          <w:rFonts w:hint="eastAsia" w:ascii="Times New Roman" w:hAnsi="Times New Roman" w:eastAsia="宋体" w:cs="Times New Roman"/>
          <w:szCs w:val="21"/>
        </w:rPr>
        <w:t>本课程是小学教育专业的通识必修课。本课程系统介绍了新时代国内外形势、党和国家事业的历史性成就、历史性变革和历史性机遇挑战，培养学生准确理解党的基本理论、基本路线和基本方略的能力，树立“四个意识”，坚定“四个自信”。</w:t>
      </w:r>
    </w:p>
    <w:p w14:paraId="07E31EC3">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2F1FD6AA">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37AF798">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bookmarkStart w:id="24" w:name="_Hlk187586849"/>
      <w:r>
        <w:rPr>
          <w:rFonts w:hint="eastAsia" w:ascii="Times New Roman" w:hAnsi="Times New Roman" w:eastAsia="宋体" w:cs="Times New Roman"/>
          <w:b/>
          <w:szCs w:val="21"/>
        </w:rPr>
        <w:t xml:space="preserve"> </w:t>
      </w:r>
      <w:bookmarkEnd w:id="24"/>
      <w:r>
        <w:rPr>
          <w:rFonts w:hint="eastAsia" w:ascii="Times New Roman" w:hAnsi="Times New Roman" w:eastAsia="宋体" w:cs="Times New Roman"/>
          <w:szCs w:val="21"/>
        </w:rPr>
        <w:t>帮助学生了解时代发展大势、基本国情和党的教育方针，引导学生积极践行社会主义核心价值观，以立德树人为己任，忠诚党的教育方针。增强人文社会科学素养和社会责任感，了解相关法律法规政策，能够依法执教，知晓作为社会主义接班人所肩负的责任和使命。</w:t>
      </w:r>
    </w:p>
    <w:p w14:paraId="4F797921">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5323"/>
        <w:gridCol w:w="1191"/>
      </w:tblGrid>
      <w:tr w14:paraId="56E5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dxa"/>
            <w:vAlign w:val="center"/>
          </w:tcPr>
          <w:p w14:paraId="0228CB0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323" w:type="dxa"/>
            <w:vAlign w:val="center"/>
          </w:tcPr>
          <w:p w14:paraId="7201451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35C4B87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BFF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dxa"/>
            <w:vAlign w:val="center"/>
          </w:tcPr>
          <w:p w14:paraId="3693EA4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323" w:type="dxa"/>
            <w:vAlign w:val="center"/>
          </w:tcPr>
          <w:p w14:paraId="638EB0F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w:t>
            </w:r>
            <w:r>
              <w:rPr>
                <w:rFonts w:hint="eastAsia" w:ascii="宋体" w:hAnsi="Times New Roman" w:eastAsia="宋体" w:cs="宋体"/>
                <w:color w:val="000000"/>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7428603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bl>
    <w:p w14:paraId="260F3A9C">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676"/>
        <w:gridCol w:w="1111"/>
        <w:gridCol w:w="3173"/>
        <w:gridCol w:w="1523"/>
        <w:gridCol w:w="636"/>
      </w:tblGrid>
      <w:tr w14:paraId="5EAD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1484C2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3D9DAFE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572454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6BD8812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6BDF45C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6F85AFE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6B9F01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563C344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236F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E46C2F7">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rPr>
              <w:t xml:space="preserve"> </w:t>
            </w:r>
            <w:r>
              <w:rPr>
                <w:rFonts w:hint="eastAsia" w:ascii="宋体" w:hAnsi="宋体" w:eastAsia="宋体" w:cs="Times New Roman"/>
                <w:color w:val="000000"/>
                <w:szCs w:val="21"/>
              </w:rPr>
              <w:t>全面从严治党形势与政策专题</w:t>
            </w:r>
          </w:p>
        </w:tc>
        <w:tc>
          <w:tcPr>
            <w:tcW w:w="1701" w:type="dxa"/>
            <w:vAlign w:val="center"/>
          </w:tcPr>
          <w:p w14:paraId="0BB25FD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（1）党的二十大精神</w:t>
            </w:r>
          </w:p>
          <w:p w14:paraId="55127F7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（2）党的领导制度体系</w:t>
            </w:r>
          </w:p>
          <w:p w14:paraId="41B1987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（3）爱国主义精神</w:t>
            </w:r>
          </w:p>
        </w:tc>
        <w:tc>
          <w:tcPr>
            <w:tcW w:w="1134" w:type="dxa"/>
            <w:vAlign w:val="center"/>
          </w:tcPr>
          <w:p w14:paraId="553377C1">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3286157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能够正确理解党的基本路线、重大方针和政策，把对课程的认识统一到党和国家的科学判断上和正确决策上。</w:t>
            </w:r>
          </w:p>
        </w:tc>
        <w:tc>
          <w:tcPr>
            <w:tcW w:w="1560" w:type="dxa"/>
            <w:vAlign w:val="center"/>
          </w:tcPr>
          <w:p w14:paraId="5CF2FEE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7128C67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2.单元测验</w:t>
            </w:r>
          </w:p>
          <w:p w14:paraId="4453B7E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3.互动讨论</w:t>
            </w:r>
          </w:p>
        </w:tc>
        <w:tc>
          <w:tcPr>
            <w:tcW w:w="438" w:type="dxa"/>
            <w:vAlign w:val="center"/>
          </w:tcPr>
          <w:p w14:paraId="5AC3C528">
            <w:pPr>
              <w:jc w:val="center"/>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×8</w:t>
            </w:r>
            <w:r>
              <w:rPr>
                <w:rFonts w:ascii="宋体" w:hAnsi="宋体" w:eastAsia="宋体" w:cs="Times New Roman"/>
                <w:color w:val="000000"/>
                <w:szCs w:val="21"/>
              </w:rPr>
              <w:t xml:space="preserve"> </w:t>
            </w:r>
          </w:p>
        </w:tc>
      </w:tr>
      <w:tr w14:paraId="3FB2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335DE2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2.我国经济社会发展形势与政策专题</w:t>
            </w:r>
          </w:p>
        </w:tc>
        <w:tc>
          <w:tcPr>
            <w:tcW w:w="1701" w:type="dxa"/>
            <w:vAlign w:val="center"/>
          </w:tcPr>
          <w:p w14:paraId="449942C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（1）脱贫攻坚战</w:t>
            </w:r>
          </w:p>
          <w:p w14:paraId="46A2E13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（2）我国经济形势与发展战略</w:t>
            </w:r>
          </w:p>
          <w:p w14:paraId="71A722E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（3）科技创新体制机制</w:t>
            </w:r>
          </w:p>
        </w:tc>
        <w:tc>
          <w:tcPr>
            <w:tcW w:w="1134" w:type="dxa"/>
            <w:vAlign w:val="center"/>
          </w:tcPr>
          <w:p w14:paraId="33F2873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A39B1D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能够正确理解党的基本路线、重大方针和政策，把对课程的认识统一到党和国家的科学判断上和正确决策上。</w:t>
            </w:r>
          </w:p>
        </w:tc>
        <w:tc>
          <w:tcPr>
            <w:tcW w:w="1560" w:type="dxa"/>
            <w:vAlign w:val="center"/>
          </w:tcPr>
          <w:p w14:paraId="1267E6F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37152AC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2.单元测验</w:t>
            </w:r>
          </w:p>
          <w:p w14:paraId="421747A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3.互动讨论</w:t>
            </w:r>
          </w:p>
        </w:tc>
        <w:tc>
          <w:tcPr>
            <w:tcW w:w="438" w:type="dxa"/>
            <w:vAlign w:val="center"/>
          </w:tcPr>
          <w:p w14:paraId="1225657B">
            <w:pPr>
              <w:jc w:val="center"/>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×8</w:t>
            </w:r>
            <w:r>
              <w:rPr>
                <w:rFonts w:ascii="宋体" w:hAnsi="宋体" w:eastAsia="宋体" w:cs="Times New Roman"/>
                <w:color w:val="000000"/>
                <w:szCs w:val="21"/>
              </w:rPr>
              <w:t xml:space="preserve"> </w:t>
            </w:r>
          </w:p>
        </w:tc>
      </w:tr>
      <w:tr w14:paraId="76F8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DEAD49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3.港澳台工作形势与政策专题</w:t>
            </w:r>
          </w:p>
        </w:tc>
        <w:tc>
          <w:tcPr>
            <w:tcW w:w="1701" w:type="dxa"/>
            <w:vAlign w:val="center"/>
          </w:tcPr>
          <w:p w14:paraId="44E9BC6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（1）“一国两制”“港人治港”“澳人治澳”</w:t>
            </w:r>
          </w:p>
          <w:p w14:paraId="55EDB3A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（2）高度自治的方针</w:t>
            </w:r>
          </w:p>
          <w:p w14:paraId="1B12E22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（3）两岸关系发展大势</w:t>
            </w:r>
          </w:p>
        </w:tc>
        <w:tc>
          <w:tcPr>
            <w:tcW w:w="1134" w:type="dxa"/>
            <w:vAlign w:val="center"/>
          </w:tcPr>
          <w:p w14:paraId="3E7A674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8D9E83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能够深刻认识中国特色社会主义制度的显著优势，坚定“一国两制”制度自信；充分了解对台工作的新局势新气象。</w:t>
            </w:r>
          </w:p>
        </w:tc>
        <w:tc>
          <w:tcPr>
            <w:tcW w:w="1560" w:type="dxa"/>
            <w:vAlign w:val="center"/>
          </w:tcPr>
          <w:p w14:paraId="5AAE476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6AF5B73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2.单元测验</w:t>
            </w:r>
          </w:p>
          <w:p w14:paraId="6F81DA4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3.互动讨论</w:t>
            </w:r>
          </w:p>
        </w:tc>
        <w:tc>
          <w:tcPr>
            <w:tcW w:w="438" w:type="dxa"/>
            <w:vAlign w:val="center"/>
          </w:tcPr>
          <w:p w14:paraId="639F727D">
            <w:pPr>
              <w:jc w:val="center"/>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×8</w:t>
            </w:r>
            <w:r>
              <w:rPr>
                <w:rFonts w:ascii="宋体" w:hAnsi="宋体" w:eastAsia="宋体" w:cs="Times New Roman"/>
                <w:color w:val="000000"/>
                <w:szCs w:val="21"/>
              </w:rPr>
              <w:t xml:space="preserve"> </w:t>
            </w:r>
          </w:p>
        </w:tc>
      </w:tr>
      <w:tr w14:paraId="483C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64F662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4.国际形势与政策专题</w:t>
            </w:r>
          </w:p>
        </w:tc>
        <w:tc>
          <w:tcPr>
            <w:tcW w:w="1701" w:type="dxa"/>
            <w:vAlign w:val="center"/>
          </w:tcPr>
          <w:p w14:paraId="4F0EFE5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（1）世界百年未有之大变局与新时代中国特色大国外交</w:t>
            </w:r>
          </w:p>
          <w:p w14:paraId="0D4072C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（2）开放型世界经济</w:t>
            </w:r>
          </w:p>
        </w:tc>
        <w:tc>
          <w:tcPr>
            <w:tcW w:w="1134" w:type="dxa"/>
            <w:vAlign w:val="center"/>
          </w:tcPr>
          <w:p w14:paraId="7C80ED7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923345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能够掌握正确分析形势和理解政策的能力，特别是对国际重大事件的分析和判断能力，进一步坚定中国特色社会主义制度自信。</w:t>
            </w:r>
          </w:p>
        </w:tc>
        <w:tc>
          <w:tcPr>
            <w:tcW w:w="1560" w:type="dxa"/>
            <w:vAlign w:val="center"/>
          </w:tcPr>
          <w:p w14:paraId="569BD15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32BAA11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2.单元测验</w:t>
            </w:r>
          </w:p>
          <w:p w14:paraId="3CC2C8D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3.互动讨论</w:t>
            </w:r>
          </w:p>
        </w:tc>
        <w:tc>
          <w:tcPr>
            <w:tcW w:w="438" w:type="dxa"/>
            <w:vAlign w:val="center"/>
          </w:tcPr>
          <w:p w14:paraId="179EF57C">
            <w:pPr>
              <w:jc w:val="center"/>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×8</w:t>
            </w:r>
            <w:r>
              <w:rPr>
                <w:rFonts w:ascii="宋体" w:hAnsi="宋体" w:eastAsia="宋体" w:cs="Times New Roman"/>
                <w:color w:val="000000"/>
                <w:szCs w:val="21"/>
              </w:rPr>
              <w:t xml:space="preserve"> </w:t>
            </w:r>
          </w:p>
        </w:tc>
      </w:tr>
    </w:tbl>
    <w:p w14:paraId="4EE2A890">
      <w:pPr>
        <w:spacing w:line="360" w:lineRule="auto"/>
        <w:jc w:val="left"/>
        <w:rPr>
          <w:rFonts w:ascii="Times New Roman" w:hAnsi="Times New Roman" w:eastAsia="宋体" w:cs="Times New Roman"/>
          <w:sz w:val="24"/>
        </w:rPr>
      </w:pPr>
    </w:p>
    <w:p w14:paraId="686979AC">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316DA1C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5E38D5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5B2BBE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871"/>
        <w:gridCol w:w="1985"/>
        <w:gridCol w:w="1984"/>
        <w:gridCol w:w="1418"/>
      </w:tblGrid>
      <w:tr w14:paraId="106D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restart"/>
            <w:vAlign w:val="center"/>
          </w:tcPr>
          <w:p w14:paraId="04DEFFE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840" w:type="dxa"/>
            <w:gridSpan w:val="3"/>
            <w:vAlign w:val="center"/>
          </w:tcPr>
          <w:p w14:paraId="7A0B43B6">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418" w:type="dxa"/>
            <w:vMerge w:val="restart"/>
            <w:vAlign w:val="center"/>
          </w:tcPr>
          <w:p w14:paraId="1D318951">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035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9AC2B73">
            <w:pPr>
              <w:spacing w:line="360" w:lineRule="auto"/>
              <w:jc w:val="center"/>
              <w:rPr>
                <w:rFonts w:hint="eastAsia" w:ascii="宋体" w:hAnsi="宋体" w:eastAsia="宋体" w:cs="Times New Roman"/>
                <w:szCs w:val="21"/>
              </w:rPr>
            </w:pPr>
          </w:p>
        </w:tc>
        <w:tc>
          <w:tcPr>
            <w:tcW w:w="1871" w:type="dxa"/>
            <w:vAlign w:val="center"/>
          </w:tcPr>
          <w:p w14:paraId="3D0BB810">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平时表现成绩</w:t>
            </w:r>
          </w:p>
        </w:tc>
        <w:tc>
          <w:tcPr>
            <w:tcW w:w="1985" w:type="dxa"/>
            <w:vAlign w:val="center"/>
          </w:tcPr>
          <w:p w14:paraId="05A11D20">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作业成绩</w:t>
            </w:r>
          </w:p>
        </w:tc>
        <w:tc>
          <w:tcPr>
            <w:tcW w:w="1984" w:type="dxa"/>
            <w:vAlign w:val="center"/>
          </w:tcPr>
          <w:p w14:paraId="10E709E7">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418" w:type="dxa"/>
            <w:vMerge w:val="continue"/>
            <w:vAlign w:val="center"/>
          </w:tcPr>
          <w:p w14:paraId="0A739C04">
            <w:pPr>
              <w:spacing w:line="360" w:lineRule="auto"/>
              <w:jc w:val="center"/>
              <w:rPr>
                <w:rFonts w:hint="eastAsia" w:ascii="宋体" w:hAnsi="宋体" w:eastAsia="宋体" w:cs="Times New Roman"/>
                <w:szCs w:val="21"/>
              </w:rPr>
            </w:pPr>
          </w:p>
        </w:tc>
      </w:tr>
      <w:tr w14:paraId="3FA5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D9A38F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871" w:type="dxa"/>
            <w:vAlign w:val="center"/>
          </w:tcPr>
          <w:p w14:paraId="008892C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85" w:type="dxa"/>
            <w:vAlign w:val="center"/>
          </w:tcPr>
          <w:p w14:paraId="1273D2D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84" w:type="dxa"/>
            <w:vAlign w:val="center"/>
          </w:tcPr>
          <w:p w14:paraId="006BF67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8" w:type="dxa"/>
            <w:vAlign w:val="center"/>
          </w:tcPr>
          <w:p w14:paraId="48DC1F32">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r w14:paraId="34CC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E2E6E80">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871" w:type="dxa"/>
            <w:vAlign w:val="center"/>
          </w:tcPr>
          <w:p w14:paraId="6651F6EB">
            <w:pPr>
              <w:spacing w:line="360" w:lineRule="auto"/>
              <w:jc w:val="center"/>
              <w:rPr>
                <w:rFonts w:hint="eastAsia" w:ascii="宋体" w:hAnsi="宋体" w:eastAsia="宋体" w:cs="Times New Roman"/>
                <w:szCs w:val="21"/>
              </w:rPr>
            </w:pPr>
          </w:p>
        </w:tc>
        <w:tc>
          <w:tcPr>
            <w:tcW w:w="1985" w:type="dxa"/>
            <w:vAlign w:val="center"/>
          </w:tcPr>
          <w:p w14:paraId="717A8E14">
            <w:pPr>
              <w:spacing w:line="360" w:lineRule="auto"/>
              <w:jc w:val="center"/>
              <w:rPr>
                <w:rFonts w:hint="eastAsia" w:ascii="宋体" w:hAnsi="宋体" w:eastAsia="宋体" w:cs="Times New Roman"/>
                <w:szCs w:val="21"/>
              </w:rPr>
            </w:pPr>
          </w:p>
        </w:tc>
        <w:tc>
          <w:tcPr>
            <w:tcW w:w="1984" w:type="dxa"/>
            <w:vAlign w:val="center"/>
          </w:tcPr>
          <w:p w14:paraId="05A98703">
            <w:pPr>
              <w:spacing w:line="360" w:lineRule="auto"/>
              <w:jc w:val="center"/>
              <w:rPr>
                <w:rFonts w:hint="eastAsia" w:ascii="宋体" w:hAnsi="宋体" w:eastAsia="宋体" w:cs="Times New Roman"/>
                <w:szCs w:val="21"/>
              </w:rPr>
            </w:pPr>
          </w:p>
        </w:tc>
        <w:tc>
          <w:tcPr>
            <w:tcW w:w="1418" w:type="dxa"/>
            <w:vAlign w:val="center"/>
          </w:tcPr>
          <w:p w14:paraId="53AD2760">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12F4398">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D40DFD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CD8B2E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8D8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53C8F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9519A6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A9D1FC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6B2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53FFD2">
            <w:pPr>
              <w:rPr>
                <w:rFonts w:ascii="Times New Roman" w:hAnsi="Times New Roman" w:eastAsia="宋体" w:cs="Times New Roman"/>
                <w:szCs w:val="21"/>
              </w:rPr>
            </w:pPr>
            <w:r>
              <w:rPr>
                <w:rFonts w:hint="eastAsia" w:ascii="Times New Roman" w:hAnsi="Times New Roman" w:eastAsia="宋体" w:cs="Times New Roman"/>
                <w:szCs w:val="21"/>
              </w:rPr>
              <w:t>平时表现</w:t>
            </w:r>
          </w:p>
        </w:tc>
        <w:tc>
          <w:tcPr>
            <w:tcW w:w="7141" w:type="dxa"/>
            <w:vAlign w:val="center"/>
          </w:tcPr>
          <w:p w14:paraId="5689F97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通过网络学习、听课表现、学习互动等情况，考核对形势与政策专题理论的理解和运用</w:t>
            </w:r>
          </w:p>
        </w:tc>
        <w:tc>
          <w:tcPr>
            <w:tcW w:w="0" w:type="auto"/>
            <w:vAlign w:val="center"/>
          </w:tcPr>
          <w:p w14:paraId="06347D2A">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3F4F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3DDF902">
            <w:pPr>
              <w:rPr>
                <w:rFonts w:ascii="Times New Roman" w:hAnsi="Times New Roman" w:eastAsia="宋体" w:cs="Times New Roman"/>
                <w:szCs w:val="21"/>
              </w:rPr>
            </w:pPr>
            <w:r>
              <w:rPr>
                <w:rFonts w:hint="eastAsia" w:ascii="Times New Roman" w:hAnsi="Times New Roman" w:eastAsia="宋体" w:cs="Times New Roman"/>
                <w:szCs w:val="21"/>
              </w:rPr>
              <w:t>作业</w:t>
            </w:r>
          </w:p>
        </w:tc>
        <w:tc>
          <w:tcPr>
            <w:tcW w:w="7141" w:type="dxa"/>
            <w:vAlign w:val="center"/>
          </w:tcPr>
          <w:p w14:paraId="15A6810B">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通过每个专题的单元测验考核对课程理论的理解和运用</w:t>
            </w:r>
          </w:p>
        </w:tc>
        <w:tc>
          <w:tcPr>
            <w:tcW w:w="0" w:type="auto"/>
            <w:vAlign w:val="center"/>
          </w:tcPr>
          <w:p w14:paraId="2FB14921">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5321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F3A5A7">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E26D673">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单选题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多选题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填空题</w:t>
            </w:r>
            <w:r>
              <w:rPr>
                <w:rFonts w:ascii="Times New Roman" w:hAnsi="Times New Roman" w:eastAsia="宋体" w:cs="Times New Roman"/>
                <w:color w:val="000000"/>
                <w:szCs w:val="21"/>
              </w:rPr>
              <w:t>，以卷面成绩的</w:t>
            </w:r>
            <w:r>
              <w:rPr>
                <w:rFonts w:hint="eastAsia" w:ascii="Times New Roman" w:hAnsi="Times New Roman" w:eastAsia="宋体" w:cs="Times New Roman"/>
                <w:color w:val="000000"/>
                <w:szCs w:val="21"/>
              </w:rPr>
              <w:t>4</w:t>
            </w:r>
            <w:r>
              <w:rPr>
                <w:rFonts w:ascii="Times New Roman" w:hAnsi="Times New Roman" w:eastAsia="宋体" w:cs="Times New Roman"/>
                <w:color w:val="000000"/>
                <w:szCs w:val="21"/>
              </w:rPr>
              <w:t>0%计入课程总成绩。</w:t>
            </w:r>
            <w:r>
              <w:rPr>
                <w:rFonts w:hint="eastAsia" w:ascii="Times New Roman" w:hAnsi="Times New Roman" w:eastAsia="宋体" w:cs="Times New Roman"/>
                <w:color w:val="000000"/>
                <w:szCs w:val="21"/>
              </w:rPr>
              <w:t>主要考核学生对新时代国内外形势的认识；对新时期党和国家事业的历史性成就、历史性变革、历史性机遇和挑战的认识。</w:t>
            </w:r>
          </w:p>
        </w:tc>
        <w:tc>
          <w:tcPr>
            <w:tcW w:w="0" w:type="auto"/>
            <w:vAlign w:val="center"/>
          </w:tcPr>
          <w:p w14:paraId="32FDF15D">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33BA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06F908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3082E30">
            <w:pPr>
              <w:jc w:val="left"/>
              <w:rPr>
                <w:rFonts w:ascii="Times New Roman" w:hAnsi="Times New Roman" w:eastAsia="宋体" w:cs="Times New Roman"/>
                <w:szCs w:val="21"/>
              </w:rPr>
            </w:pPr>
          </w:p>
        </w:tc>
        <w:tc>
          <w:tcPr>
            <w:tcW w:w="0" w:type="auto"/>
            <w:vAlign w:val="center"/>
          </w:tcPr>
          <w:p w14:paraId="3BE0A22F">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AD10FFF">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615F75D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6388888">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31" o:spt="75" type="#_x0000_t75" style="height:24.75pt;width:404.25pt;" o:ole="t" filled="f" o:preferrelative="t" stroked="f" coordsize="21600,21600">
            <v:path/>
            <v:fill on="f" focussize="0,0"/>
            <v:stroke on="f" joinstyle="miter"/>
            <v:imagedata r:id="rId5" o:title=""/>
            <o:lock v:ext="edit" aspectratio="t"/>
            <w10:wrap type="none"/>
            <w10:anchorlock/>
          </v:shape>
          <o:OLEObject Type="Embed" ProgID="Equation.3" ShapeID="_x0000_i1031" DrawAspect="Content" ObjectID="_1468075731" r:id="rId12">
            <o:LockedField>false</o:LockedField>
          </o:OLEObject>
        </w:object>
      </w:r>
    </w:p>
    <w:p w14:paraId="61DA918F">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五、有关说明</w:t>
      </w:r>
    </w:p>
    <w:p w14:paraId="190F181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31B9E2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本课程根据平时表现、作业和期末考试等考核情况，以及学生、教学督导等反馈情况，及时对教学中不足之处进行改进，并在下一轮课程教学中整改完善，确保相应毕业要求观测点达成。</w:t>
      </w:r>
    </w:p>
    <w:p w14:paraId="058EB3F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4E9B630C">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《形势与政策》，江苏省形势与政策教学指导委员会编，南京大学出版社，最新版</w:t>
      </w:r>
    </w:p>
    <w:p w14:paraId="3A33AC6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B6A04F2">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 教育部印发《高校“形势与政策”课教学要点》</w:t>
      </w:r>
    </w:p>
    <w:p w14:paraId="5D4C98B8">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 《时事报告》，中共中央宣传部主管，《时事报告》杂志社</w:t>
      </w:r>
    </w:p>
    <w:p w14:paraId="5E8BBEC2">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3. 《习近平新时代中国特色社会主义思想学习纲要》，学习出版社，2019</w:t>
      </w:r>
    </w:p>
    <w:p w14:paraId="3221F23E">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4.《党的二十届三中全会〈决定〉学习辅导百问》，学习出版社、党建读物出版社，2024</w:t>
      </w:r>
    </w:p>
    <w:p w14:paraId="5B56FF3A">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5. 学习网站：人民网、新华网、光明网等</w:t>
      </w:r>
    </w:p>
    <w:p w14:paraId="338A3195"/>
    <w:p w14:paraId="579CEEFA"/>
    <w:p w14:paraId="3A88E275"/>
    <w:p w14:paraId="30648316"/>
    <w:p w14:paraId="1B05C201"/>
    <w:p w14:paraId="46F06021">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                                            执 笔 人：姚彦琳</w:t>
      </w:r>
    </w:p>
    <w:p w14:paraId="0EA49B92">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                                            审 定 人：夏天静</w:t>
      </w:r>
    </w:p>
    <w:p w14:paraId="5BF0F1C0">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                                            审 批 人：熊焱生</w:t>
      </w:r>
    </w:p>
    <w:p w14:paraId="4577380E">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 xml:space="preserve">                                          批准时间：2024</w:t>
      </w:r>
      <w:r>
        <w:rPr>
          <w:rFonts w:ascii="Times New Roman" w:hAnsi="Times New Roman" w:eastAsia="宋体" w:cs="Times New Roman"/>
          <w:sz w:val="24"/>
        </w:rPr>
        <w:t>年</w:t>
      </w:r>
      <w:r>
        <w:rPr>
          <w:rFonts w:hint="eastAsia" w:ascii="Times New Roman" w:hAnsi="Times New Roman" w:eastAsia="宋体" w:cs="Times New Roman"/>
          <w:sz w:val="24"/>
        </w:rPr>
        <w:t>8</w:t>
      </w:r>
      <w:r>
        <w:rPr>
          <w:rFonts w:ascii="Times New Roman" w:hAnsi="Times New Roman" w:eastAsia="宋体" w:cs="Times New Roman"/>
          <w:sz w:val="24"/>
        </w:rPr>
        <w:t>月</w:t>
      </w:r>
      <w:r>
        <w:rPr>
          <w:rFonts w:hint="eastAsia" w:ascii="Times New Roman" w:hAnsi="Times New Roman" w:eastAsia="宋体" w:cs="Times New Roman"/>
          <w:sz w:val="24"/>
        </w:rPr>
        <w:t>30</w:t>
      </w:r>
      <w:r>
        <w:rPr>
          <w:rFonts w:ascii="Times New Roman" w:hAnsi="Times New Roman" w:eastAsia="宋体" w:cs="Times New Roman"/>
          <w:sz w:val="24"/>
        </w:rPr>
        <w:t>日</w:t>
      </w:r>
    </w:p>
    <w:p w14:paraId="09AE3ABE">
      <w:pPr>
        <w:rPr>
          <w:rFonts w:ascii="Times New Roman" w:hAnsi="Times New Roman" w:eastAsia="宋体" w:cs="Times New Roman"/>
          <w:sz w:val="24"/>
        </w:rPr>
      </w:pPr>
      <w:r>
        <w:rPr>
          <w:rFonts w:ascii="Times New Roman" w:hAnsi="Times New Roman" w:eastAsia="宋体" w:cs="Times New Roman"/>
          <w:sz w:val="24"/>
        </w:rPr>
        <w:br w:type="page"/>
      </w:r>
    </w:p>
    <w:p w14:paraId="7C1053B3">
      <w:pPr>
        <w:spacing w:line="360" w:lineRule="auto"/>
        <w:jc w:val="right"/>
        <w:rPr>
          <w:rFonts w:ascii="Times New Roman" w:hAnsi="Times New Roman" w:eastAsia="宋体" w:cs="Times New Roman"/>
          <w:sz w:val="24"/>
        </w:rPr>
      </w:pPr>
    </w:p>
    <w:p w14:paraId="19680193">
      <w:pPr>
        <w:pStyle w:val="2"/>
        <w:tabs>
          <w:tab w:val="left" w:pos="720"/>
          <w:tab w:val="left" w:pos="2700"/>
        </w:tabs>
      </w:pPr>
      <w:bookmarkStart w:id="25" w:name="_Toc5353"/>
      <w:bookmarkStart w:id="26" w:name="_Toc2177"/>
      <w:r>
        <w:rPr>
          <w:rFonts w:hint="eastAsia"/>
        </w:rPr>
        <w:t>《体育I》课程教学大纲</w:t>
      </w:r>
      <w:bookmarkEnd w:id="25"/>
      <w:bookmarkEnd w:id="26"/>
    </w:p>
    <w:p w14:paraId="46112E82">
      <w:pPr>
        <w:spacing w:line="312" w:lineRule="auto"/>
        <w:jc w:val="center"/>
        <w:rPr>
          <w:rFonts w:hint="eastAsia" w:ascii="仿宋" w:hAnsi="仿宋" w:eastAsia="仿宋"/>
          <w:b/>
          <w:bCs/>
          <w:sz w:val="30"/>
        </w:rPr>
      </w:pPr>
      <w:r>
        <w:rPr>
          <w:rFonts w:ascii="仿宋" w:hAnsi="仿宋" w:eastAsia="仿宋"/>
          <w:b/>
          <w:bCs/>
          <w:sz w:val="30"/>
        </w:rPr>
        <w:t>（Physical  Education I）</w:t>
      </w:r>
    </w:p>
    <w:p w14:paraId="1C31FD5B">
      <w:pPr>
        <w:spacing w:line="360" w:lineRule="auto"/>
        <w:ind w:firstLine="551" w:firstLineChars="196"/>
        <w:rPr>
          <w:rFonts w:hint="eastAsia" w:ascii="仿宋" w:hAnsi="仿宋" w:eastAsia="仿宋"/>
          <w:b/>
          <w:sz w:val="28"/>
          <w:szCs w:val="28"/>
        </w:rPr>
      </w:pPr>
      <w:r>
        <w:rPr>
          <w:rFonts w:ascii="仿宋" w:hAnsi="仿宋" w:eastAsia="仿宋"/>
          <w:b/>
          <w:sz w:val="28"/>
          <w:szCs w:val="28"/>
        </w:rPr>
        <w:t>一、课程概况</w:t>
      </w:r>
    </w:p>
    <w:p w14:paraId="44D15484">
      <w:pPr>
        <w:spacing w:line="360" w:lineRule="auto"/>
        <w:ind w:firstLine="482" w:firstLineChars="200"/>
        <w:rPr>
          <w:rFonts w:hint="eastAsia" w:ascii="仿宋" w:hAnsi="仿宋" w:eastAsia="仿宋"/>
          <w:b/>
          <w:sz w:val="24"/>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11010</w:t>
      </w:r>
      <w:r>
        <w:rPr>
          <w:rFonts w:ascii="仿宋" w:hAnsi="仿宋" w:eastAsia="仿宋"/>
          <w:bCs/>
          <w:kern w:val="0"/>
          <w:sz w:val="24"/>
        </w:rPr>
        <w:t>10</w:t>
      </w:r>
    </w:p>
    <w:p w14:paraId="2DA4183B">
      <w:pPr>
        <w:spacing w:line="360" w:lineRule="auto"/>
        <w:ind w:firstLine="482" w:firstLineChars="200"/>
        <w:rPr>
          <w:rFonts w:hint="eastAsia" w:ascii="仿宋" w:hAnsi="仿宋" w:eastAsia="仿宋"/>
          <w:bCs/>
          <w:kern w:val="0"/>
          <w:sz w:val="24"/>
        </w:rPr>
      </w:pPr>
      <w:r>
        <w:rPr>
          <w:rFonts w:ascii="仿宋" w:hAnsi="仿宋" w:eastAsia="仿宋"/>
          <w:b/>
          <w:bCs/>
          <w:kern w:val="0"/>
          <w:sz w:val="24"/>
        </w:rPr>
        <w:t>学    分</w:t>
      </w:r>
      <w:r>
        <w:rPr>
          <w:rFonts w:ascii="仿宋" w:hAnsi="仿宋" w:eastAsia="仿宋"/>
          <w:b/>
          <w:kern w:val="0"/>
          <w:sz w:val="24"/>
        </w:rPr>
        <w:t>：</w:t>
      </w:r>
      <w:r>
        <w:rPr>
          <w:rFonts w:ascii="仿宋" w:hAnsi="仿宋" w:eastAsia="仿宋"/>
          <w:bCs/>
          <w:kern w:val="0"/>
          <w:sz w:val="24"/>
        </w:rPr>
        <w:t>0.75</w:t>
      </w:r>
    </w:p>
    <w:p w14:paraId="0B4265D4">
      <w:pPr>
        <w:spacing w:line="360" w:lineRule="auto"/>
        <w:ind w:firstLine="482" w:firstLineChars="200"/>
        <w:rPr>
          <w:rFonts w:hint="eastAsia"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hint="eastAsia" w:ascii="仿宋" w:hAnsi="仿宋" w:eastAsia="仿宋"/>
          <w:kern w:val="0"/>
          <w:sz w:val="24"/>
        </w:rPr>
        <w:t>3</w:t>
      </w:r>
      <w:r>
        <w:rPr>
          <w:rFonts w:ascii="仿宋" w:hAnsi="仿宋" w:eastAsia="仿宋"/>
          <w:kern w:val="0"/>
          <w:sz w:val="24"/>
        </w:rPr>
        <w:t>0</w:t>
      </w:r>
    </w:p>
    <w:p w14:paraId="0D493A0E">
      <w:pPr>
        <w:spacing w:line="360" w:lineRule="auto"/>
        <w:ind w:firstLine="482" w:firstLineChars="200"/>
        <w:rPr>
          <w:rFonts w:hint="eastAsia" w:ascii="仿宋" w:hAnsi="仿宋" w:eastAsia="仿宋"/>
          <w:kern w:val="0"/>
          <w:sz w:val="24"/>
        </w:rPr>
      </w:pPr>
      <w:r>
        <w:rPr>
          <w:rFonts w:ascii="仿宋" w:hAnsi="仿宋" w:eastAsia="仿宋"/>
          <w:b/>
          <w:bCs/>
          <w:kern w:val="0"/>
          <w:sz w:val="24"/>
        </w:rPr>
        <w:t>先修课程</w:t>
      </w:r>
      <w:r>
        <w:rPr>
          <w:rFonts w:ascii="仿宋" w:hAnsi="仿宋" w:eastAsia="仿宋"/>
          <w:b/>
          <w:kern w:val="0"/>
          <w:sz w:val="24"/>
        </w:rPr>
        <w:t>：</w:t>
      </w:r>
      <w:r>
        <w:rPr>
          <w:rFonts w:hint="eastAsia" w:ascii="仿宋" w:hAnsi="仿宋" w:eastAsia="仿宋"/>
          <w:bCs/>
          <w:kern w:val="0"/>
          <w:sz w:val="24"/>
        </w:rPr>
        <w:t>无</w:t>
      </w:r>
    </w:p>
    <w:p w14:paraId="4D44DBDD">
      <w:pPr>
        <w:spacing w:line="360" w:lineRule="auto"/>
        <w:ind w:firstLine="482" w:firstLineChars="200"/>
        <w:rPr>
          <w:rFonts w:hint="eastAsia"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hint="eastAsia" w:ascii="仿宋" w:hAnsi="仿宋" w:eastAsia="仿宋"/>
          <w:kern w:val="0"/>
          <w:sz w:val="24"/>
        </w:rPr>
        <w:t>全校各专业</w:t>
      </w:r>
      <w:r>
        <w:rPr>
          <w:rFonts w:ascii="仿宋" w:hAnsi="仿宋" w:eastAsia="仿宋"/>
          <w:kern w:val="0"/>
          <w:sz w:val="24"/>
        </w:rPr>
        <w:t xml:space="preserve">                        </w:t>
      </w:r>
    </w:p>
    <w:p w14:paraId="65B390A3">
      <w:pPr>
        <w:spacing w:line="360" w:lineRule="auto"/>
        <w:ind w:firstLine="482" w:firstLineChars="200"/>
        <w:rPr>
          <w:rFonts w:hint="eastAsia" w:ascii="仿宋" w:hAnsi="仿宋" w:eastAsia="仿宋"/>
          <w:kern w:val="0"/>
          <w:sz w:val="24"/>
        </w:rPr>
      </w:pPr>
      <w:r>
        <w:rPr>
          <w:rFonts w:ascii="仿宋" w:hAnsi="仿宋" w:eastAsia="仿宋"/>
          <w:b/>
          <w:bCs/>
          <w:kern w:val="0"/>
          <w:sz w:val="24"/>
        </w:rPr>
        <w:t>教</w:t>
      </w:r>
      <w:r>
        <w:rPr>
          <w:rFonts w:hint="eastAsia" w:ascii="仿宋" w:hAnsi="仿宋" w:eastAsia="仿宋"/>
          <w:b/>
          <w:bCs/>
          <w:kern w:val="0"/>
          <w:sz w:val="24"/>
        </w:rPr>
        <w:t xml:space="preserve"> </w:t>
      </w:r>
      <w:r>
        <w:rPr>
          <w:rFonts w:ascii="仿宋" w:hAnsi="仿宋" w:eastAsia="仿宋"/>
          <w:b/>
          <w:bCs/>
          <w:kern w:val="0"/>
          <w:sz w:val="24"/>
        </w:rPr>
        <w:t xml:space="preserve">   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34C0B7E0">
      <w:pPr>
        <w:spacing w:line="360" w:lineRule="auto"/>
        <w:ind w:firstLine="482" w:firstLineChars="200"/>
        <w:rPr>
          <w:rFonts w:hint="eastAsia"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605ACD1D">
      <w:pPr>
        <w:autoSpaceDE w:val="0"/>
        <w:autoSpaceDN w:val="0"/>
        <w:adjustRightInd w:val="0"/>
        <w:spacing w:line="360" w:lineRule="auto"/>
        <w:ind w:firstLine="482" w:firstLineChars="200"/>
        <w:jc w:val="left"/>
        <w:rPr>
          <w:rFonts w:hint="eastAsia" w:ascii="仿宋" w:hAnsi="仿宋" w:eastAsia="仿宋"/>
          <w:sz w:val="24"/>
        </w:rPr>
      </w:pPr>
      <w:bookmarkStart w:id="27" w:name="_Hlk27938417"/>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本课程是面向全校各专业开设的以身体练习为主要手段，以培养学生体育人文素养和塑造健全人格为主要目的，以提高学生体质健康水平为主要目标的通识必修课。其教学安排在第一学年第一学期进行。</w:t>
      </w:r>
    </w:p>
    <w:p w14:paraId="167BA8FB">
      <w:pPr>
        <w:autoSpaceDE w:val="0"/>
        <w:autoSpaceDN w:val="0"/>
        <w:adjustRightInd w:val="0"/>
        <w:spacing w:line="360" w:lineRule="auto"/>
        <w:ind w:firstLine="480" w:firstLineChars="200"/>
        <w:jc w:val="left"/>
        <w:rPr>
          <w:rFonts w:hint="eastAsia" w:ascii="仿宋" w:hAnsi="仿宋" w:eastAsia="仿宋"/>
          <w:sz w:val="24"/>
        </w:rPr>
      </w:pPr>
      <w:r>
        <w:rPr>
          <w:rFonts w:ascii="仿宋" w:hAnsi="仿宋" w:eastAsia="仿宋"/>
          <w:sz w:val="24"/>
        </w:rPr>
        <w:t>通过本课程的学习，</w:t>
      </w:r>
      <w:r>
        <w:rPr>
          <w:rFonts w:hint="eastAsia" w:ascii="仿宋" w:hAnsi="仿宋" w:eastAsia="仿宋"/>
          <w:sz w:val="24"/>
        </w:rPr>
        <w:t>使学生掌握和应用基本的体育与健康知识及运动技能，增强学生体质与健康水平，激发学生参与体育活动的兴趣，促进身心和谐发展和体育技能与素养的提高。坚持以立德树人为根本，通过融入社会主义核心价值观、做人做</w:t>
      </w:r>
      <w:r>
        <w:rPr>
          <w:rFonts w:ascii="仿宋" w:hAnsi="仿宋" w:eastAsia="仿宋"/>
          <w:sz w:val="24"/>
        </w:rPr>
        <w:t>事的道理</w:t>
      </w:r>
      <w:r>
        <w:rPr>
          <w:rFonts w:hint="eastAsia" w:ascii="仿宋" w:hAnsi="仿宋" w:eastAsia="仿宋"/>
          <w:sz w:val="24"/>
        </w:rPr>
        <w:t>和</w:t>
      </w:r>
      <w:r>
        <w:rPr>
          <w:rFonts w:ascii="仿宋" w:hAnsi="仿宋" w:eastAsia="仿宋"/>
          <w:sz w:val="24"/>
        </w:rPr>
        <w:t>体育精神</w:t>
      </w:r>
      <w:r>
        <w:rPr>
          <w:rFonts w:hint="eastAsia" w:ascii="仿宋" w:hAnsi="仿宋" w:eastAsia="仿宋"/>
          <w:sz w:val="24"/>
        </w:rPr>
        <w:t>等课程思政元素，培养学生的爱国情怀、体育道德、规则意识、合作精神和意志</w:t>
      </w:r>
      <w:r>
        <w:rPr>
          <w:rFonts w:ascii="仿宋" w:hAnsi="仿宋" w:eastAsia="仿宋"/>
          <w:sz w:val="24"/>
        </w:rPr>
        <w:t>品质</w:t>
      </w:r>
      <w:r>
        <w:rPr>
          <w:rFonts w:hint="eastAsia" w:ascii="仿宋" w:hAnsi="仿宋" w:eastAsia="仿宋"/>
          <w:sz w:val="24"/>
        </w:rPr>
        <w:t>，增强与他人交流沟通、团结合作的能力，提升学生体育核心素养。本课程将为后续课程的学习以及相关课程的学习与训练奠定重要的基础。</w:t>
      </w:r>
    </w:p>
    <w:bookmarkEnd w:id="27"/>
    <w:p w14:paraId="210E57B0">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二</w:t>
      </w:r>
      <w:r>
        <w:rPr>
          <w:rFonts w:ascii="仿宋" w:hAnsi="仿宋" w:eastAsia="仿宋"/>
          <w:b/>
          <w:sz w:val="28"/>
          <w:szCs w:val="28"/>
        </w:rPr>
        <w:t>、课程目标</w:t>
      </w:r>
      <w:r>
        <w:rPr>
          <w:rFonts w:hint="eastAsia" w:ascii="仿宋" w:hAnsi="仿宋" w:eastAsia="仿宋"/>
          <w:b/>
          <w:sz w:val="28"/>
          <w:szCs w:val="28"/>
        </w:rPr>
        <w:t>与毕业要求指标点对应关系</w:t>
      </w:r>
    </w:p>
    <w:p w14:paraId="3E46BEBF">
      <w:pPr>
        <w:spacing w:line="360" w:lineRule="auto"/>
        <w:ind w:firstLine="480" w:firstLineChars="200"/>
        <w:rPr>
          <w:rFonts w:hint="eastAsia" w:ascii="仿宋" w:hAnsi="仿宋" w:eastAsia="仿宋"/>
          <w:sz w:val="24"/>
        </w:rPr>
      </w:pPr>
      <w:r>
        <w:rPr>
          <w:rFonts w:hint="eastAsia" w:ascii="仿宋" w:hAnsi="仿宋" w:eastAsia="仿宋"/>
          <w:sz w:val="24"/>
        </w:rPr>
        <w:t>目标1：全面发展体能，提高运动能力，掌握体育基本理论知识和基本技术，了解体育锻炼的健身原理，具有一定的体育文化素养和欣赏能力。树立“健康第一”思想和正确的体育道德观，增强团结协作意识、规则意识、公平意识和积极进取意识。</w:t>
      </w:r>
    </w:p>
    <w:p w14:paraId="3B108DFD">
      <w:pPr>
        <w:spacing w:line="360" w:lineRule="auto"/>
        <w:ind w:firstLine="480" w:firstLineChars="200"/>
        <w:rPr>
          <w:rFonts w:hint="eastAsia" w:ascii="仿宋" w:hAnsi="仿宋" w:eastAsia="仿宋"/>
          <w:sz w:val="24"/>
        </w:rPr>
      </w:pPr>
      <w:r>
        <w:rPr>
          <w:rFonts w:hint="eastAsia" w:ascii="仿宋" w:hAnsi="仿宋" w:eastAsia="仿宋"/>
          <w:sz w:val="24"/>
        </w:rPr>
        <w:t>目标</w:t>
      </w:r>
      <w:r>
        <w:rPr>
          <w:rFonts w:ascii="仿宋" w:hAnsi="仿宋" w:eastAsia="仿宋"/>
          <w:sz w:val="24"/>
        </w:rPr>
        <w:t>2</w:t>
      </w:r>
      <w:r>
        <w:rPr>
          <w:rFonts w:hint="eastAsia" w:ascii="仿宋" w:hAnsi="仿宋" w:eastAsia="仿宋"/>
          <w:sz w:val="24"/>
        </w:rPr>
        <w:t>：积极参与各种体育活动，掌握所学项目的基本技能和锻炼方法，能科学地进行体育锻炼，掌握常见运动损伤的处理方法。学会利用体育调节身心，改善心理状态，养成积极乐观的生活态度。</w:t>
      </w:r>
    </w:p>
    <w:p w14:paraId="0523EC45">
      <w:pPr>
        <w:spacing w:line="360" w:lineRule="auto"/>
        <w:ind w:firstLine="480" w:firstLineChars="200"/>
        <w:rPr>
          <w:rFonts w:hint="eastAsia"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13"/>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132DD246">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4E2BBFDF">
            <w:pPr>
              <w:widowControl/>
              <w:jc w:val="center"/>
              <w:rPr>
                <w:rFonts w:hint="eastAsia" w:ascii="仿宋" w:hAnsi="仿宋" w:eastAsia="仿宋"/>
                <w:kern w:val="0"/>
                <w:szCs w:val="21"/>
              </w:rPr>
            </w:pPr>
            <w:r>
              <w:rPr>
                <w:rFonts w:ascii="仿宋" w:hAnsi="仿宋" w:eastAsia="仿宋"/>
                <w:kern w:val="0"/>
                <w:szCs w:val="21"/>
              </w:rPr>
              <w:t>毕业要求</w:t>
            </w:r>
          </w:p>
          <w:p w14:paraId="7F6CBFAD">
            <w:pPr>
              <w:widowControl/>
              <w:jc w:val="center"/>
              <w:rPr>
                <w:rFonts w:hint="eastAsia" w:ascii="仿宋" w:hAnsi="仿宋" w:eastAsia="仿宋"/>
                <w:kern w:val="0"/>
                <w:szCs w:val="21"/>
              </w:rPr>
            </w:pPr>
            <w:r>
              <w:rPr>
                <w:rFonts w:ascii="仿宋" w:hAnsi="仿宋" w:eastAsia="仿宋"/>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0A023EBF">
            <w:pPr>
              <w:widowControl/>
              <w:jc w:val="center"/>
              <w:rPr>
                <w:rFonts w:hint="eastAsia" w:ascii="仿宋" w:hAnsi="仿宋" w:eastAsia="仿宋"/>
                <w:kern w:val="0"/>
                <w:szCs w:val="21"/>
              </w:rPr>
            </w:pPr>
            <w:r>
              <w:rPr>
                <w:rFonts w:ascii="仿宋" w:hAnsi="仿宋" w:eastAsia="仿宋"/>
                <w:kern w:val="0"/>
                <w:szCs w:val="21"/>
              </w:rPr>
              <w:t>课程目标</w:t>
            </w:r>
          </w:p>
        </w:tc>
      </w:tr>
      <w:tr w14:paraId="4C42AEEC">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FE87356">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39D9503">
            <w:pPr>
              <w:widowControl/>
              <w:jc w:val="center"/>
              <w:rPr>
                <w:rFonts w:hint="eastAsia" w:ascii="仿宋" w:hAnsi="仿宋" w:eastAsia="仿宋"/>
                <w:kern w:val="0"/>
                <w:szCs w:val="21"/>
              </w:rPr>
            </w:pPr>
            <w:r>
              <w:rPr>
                <w:rFonts w:ascii="仿宋" w:hAnsi="仿宋" w:eastAsia="仿宋"/>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7F6A8E12">
            <w:pPr>
              <w:widowControl/>
              <w:jc w:val="center"/>
              <w:rPr>
                <w:rFonts w:hint="eastAsia" w:ascii="仿宋" w:hAnsi="仿宋" w:eastAsia="仿宋"/>
                <w:kern w:val="0"/>
                <w:szCs w:val="21"/>
              </w:rPr>
            </w:pPr>
            <w:r>
              <w:rPr>
                <w:rFonts w:ascii="仿宋" w:hAnsi="仿宋" w:eastAsia="仿宋"/>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35D93DA7">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6A1F05E8">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4332981B">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07022332">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80CF167">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2395FE1F">
            <w:pPr>
              <w:widowControl/>
              <w:jc w:val="center"/>
              <w:rPr>
                <w:rFonts w:hint="eastAsia" w:ascii="仿宋" w:hAnsi="仿宋" w:eastAsia="仿宋"/>
                <w:kern w:val="0"/>
                <w:szCs w:val="21"/>
              </w:rPr>
            </w:pPr>
          </w:p>
        </w:tc>
      </w:tr>
      <w:tr w14:paraId="4F2EE6AF">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353D6E66">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510" w:type="pct"/>
            <w:tcBorders>
              <w:top w:val="nil"/>
              <w:left w:val="nil"/>
              <w:bottom w:val="single" w:color="auto" w:sz="4" w:space="0"/>
              <w:right w:val="single" w:color="auto" w:sz="4" w:space="0"/>
            </w:tcBorders>
            <w:noWrap/>
            <w:vAlign w:val="center"/>
          </w:tcPr>
          <w:p w14:paraId="10C110A8">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59A8A916">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366BA9B4">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5B5A29C4">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D013A11">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31D6D4D">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3AF6F59F">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2F3995A7">
            <w:pPr>
              <w:widowControl/>
              <w:jc w:val="center"/>
              <w:rPr>
                <w:rFonts w:hint="eastAsia" w:ascii="仿宋" w:hAnsi="仿宋" w:eastAsia="仿宋"/>
                <w:kern w:val="0"/>
                <w:szCs w:val="21"/>
              </w:rPr>
            </w:pPr>
          </w:p>
        </w:tc>
      </w:tr>
      <w:tr w14:paraId="7A0CE6E6">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55549832">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510" w:type="pct"/>
            <w:tcBorders>
              <w:top w:val="nil"/>
              <w:left w:val="nil"/>
              <w:bottom w:val="single" w:color="auto" w:sz="4" w:space="0"/>
              <w:right w:val="single" w:color="auto" w:sz="4" w:space="0"/>
            </w:tcBorders>
            <w:noWrap/>
            <w:vAlign w:val="center"/>
          </w:tcPr>
          <w:p w14:paraId="295FA117">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54B3AA8C">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0BA2A9BC">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A5641D9">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5A2916A5">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55698AC">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162BEB6F">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2DF3B8FF">
            <w:pPr>
              <w:widowControl/>
              <w:jc w:val="center"/>
              <w:rPr>
                <w:rFonts w:hint="eastAsia" w:ascii="仿宋" w:hAnsi="仿宋" w:eastAsia="仿宋"/>
                <w:kern w:val="0"/>
                <w:szCs w:val="21"/>
              </w:rPr>
            </w:pPr>
          </w:p>
        </w:tc>
      </w:tr>
    </w:tbl>
    <w:p w14:paraId="5C0304B5">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三</w:t>
      </w:r>
      <w:r>
        <w:rPr>
          <w:rFonts w:ascii="仿宋" w:hAnsi="仿宋" w:eastAsia="仿宋"/>
          <w:b/>
          <w:sz w:val="28"/>
          <w:szCs w:val="28"/>
        </w:rPr>
        <w:t>、课程内容及要求</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78AA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7AD87708">
            <w:pPr>
              <w:jc w:val="center"/>
              <w:rPr>
                <w:rFonts w:hint="eastAsia" w:ascii="仿宋" w:hAnsi="仿宋" w:eastAsia="仿宋"/>
                <w:b/>
                <w:bCs/>
                <w:szCs w:val="21"/>
              </w:rPr>
            </w:pPr>
            <w:r>
              <w:rPr>
                <w:rFonts w:ascii="仿宋" w:hAnsi="仿宋" w:eastAsia="仿宋"/>
                <w:b/>
                <w:bCs/>
                <w:szCs w:val="21"/>
              </w:rPr>
              <w:t>序号</w:t>
            </w:r>
          </w:p>
        </w:tc>
        <w:tc>
          <w:tcPr>
            <w:tcW w:w="1623" w:type="pct"/>
            <w:vAlign w:val="center"/>
          </w:tcPr>
          <w:p w14:paraId="5D5B6198">
            <w:pPr>
              <w:jc w:val="center"/>
              <w:rPr>
                <w:rFonts w:hint="eastAsia" w:ascii="仿宋" w:hAnsi="仿宋" w:eastAsia="仿宋"/>
                <w:b/>
                <w:bCs/>
                <w:szCs w:val="21"/>
              </w:rPr>
            </w:pPr>
            <w:r>
              <w:rPr>
                <w:rFonts w:ascii="仿宋" w:hAnsi="仿宋" w:eastAsia="仿宋"/>
                <w:b/>
                <w:bCs/>
                <w:szCs w:val="21"/>
              </w:rPr>
              <w:t>教学内容</w:t>
            </w:r>
          </w:p>
        </w:tc>
        <w:tc>
          <w:tcPr>
            <w:tcW w:w="541" w:type="pct"/>
            <w:vAlign w:val="center"/>
          </w:tcPr>
          <w:p w14:paraId="15BBEF72">
            <w:pPr>
              <w:jc w:val="center"/>
              <w:rPr>
                <w:rFonts w:hint="eastAsia" w:ascii="仿宋" w:hAnsi="仿宋" w:eastAsia="仿宋"/>
                <w:b/>
                <w:bCs/>
                <w:szCs w:val="21"/>
              </w:rPr>
            </w:pPr>
            <w:r>
              <w:rPr>
                <w:rFonts w:ascii="仿宋" w:hAnsi="仿宋" w:eastAsia="仿宋"/>
                <w:b/>
                <w:bCs/>
                <w:szCs w:val="21"/>
              </w:rPr>
              <w:t>思政</w:t>
            </w:r>
          </w:p>
          <w:p w14:paraId="65DD991E">
            <w:pPr>
              <w:jc w:val="center"/>
              <w:rPr>
                <w:rFonts w:hint="eastAsia" w:ascii="仿宋" w:hAnsi="仿宋" w:eastAsia="仿宋"/>
                <w:b/>
                <w:bCs/>
                <w:szCs w:val="21"/>
              </w:rPr>
            </w:pPr>
            <w:r>
              <w:rPr>
                <w:rFonts w:ascii="仿宋" w:hAnsi="仿宋" w:eastAsia="仿宋"/>
                <w:b/>
                <w:bCs/>
                <w:szCs w:val="21"/>
              </w:rPr>
              <w:t>元素</w:t>
            </w:r>
          </w:p>
        </w:tc>
        <w:tc>
          <w:tcPr>
            <w:tcW w:w="1160" w:type="pct"/>
            <w:vAlign w:val="center"/>
          </w:tcPr>
          <w:p w14:paraId="0147F04A">
            <w:pPr>
              <w:jc w:val="center"/>
              <w:rPr>
                <w:rFonts w:hint="eastAsia" w:ascii="仿宋" w:hAnsi="仿宋" w:eastAsia="仿宋"/>
                <w:b/>
                <w:bCs/>
                <w:szCs w:val="21"/>
              </w:rPr>
            </w:pPr>
            <w:r>
              <w:rPr>
                <w:rFonts w:ascii="仿宋" w:hAnsi="仿宋" w:eastAsia="仿宋"/>
                <w:b/>
                <w:bCs/>
                <w:szCs w:val="21"/>
              </w:rPr>
              <w:t>预期学习成果</w:t>
            </w:r>
          </w:p>
        </w:tc>
        <w:tc>
          <w:tcPr>
            <w:tcW w:w="386" w:type="pct"/>
            <w:vAlign w:val="center"/>
          </w:tcPr>
          <w:p w14:paraId="3FD9F8EF">
            <w:pPr>
              <w:jc w:val="center"/>
              <w:rPr>
                <w:rFonts w:hint="eastAsia" w:ascii="仿宋" w:hAnsi="仿宋" w:eastAsia="仿宋"/>
                <w:b/>
                <w:bCs/>
                <w:szCs w:val="21"/>
              </w:rPr>
            </w:pPr>
            <w:r>
              <w:rPr>
                <w:rFonts w:ascii="仿宋" w:hAnsi="仿宋" w:eastAsia="仿宋"/>
                <w:b/>
                <w:bCs/>
                <w:szCs w:val="21"/>
              </w:rPr>
              <w:t>教学学时</w:t>
            </w:r>
          </w:p>
        </w:tc>
        <w:tc>
          <w:tcPr>
            <w:tcW w:w="464" w:type="pct"/>
            <w:vAlign w:val="center"/>
          </w:tcPr>
          <w:p w14:paraId="282FCF8E">
            <w:pPr>
              <w:jc w:val="center"/>
              <w:rPr>
                <w:rFonts w:hint="eastAsia" w:ascii="仿宋" w:hAnsi="仿宋" w:eastAsia="仿宋"/>
                <w:b/>
                <w:bCs/>
                <w:szCs w:val="21"/>
              </w:rPr>
            </w:pPr>
            <w:r>
              <w:rPr>
                <w:rFonts w:ascii="仿宋" w:hAnsi="仿宋" w:eastAsia="仿宋"/>
                <w:b/>
                <w:bCs/>
                <w:szCs w:val="21"/>
              </w:rPr>
              <w:t>教学</w:t>
            </w:r>
          </w:p>
          <w:p w14:paraId="4D3A3AA6">
            <w:pPr>
              <w:jc w:val="center"/>
              <w:rPr>
                <w:rFonts w:hint="eastAsia" w:ascii="仿宋" w:hAnsi="仿宋" w:eastAsia="仿宋"/>
                <w:b/>
                <w:bCs/>
                <w:szCs w:val="21"/>
              </w:rPr>
            </w:pPr>
            <w:r>
              <w:rPr>
                <w:rFonts w:ascii="仿宋" w:hAnsi="仿宋" w:eastAsia="仿宋"/>
                <w:b/>
                <w:bCs/>
                <w:szCs w:val="21"/>
              </w:rPr>
              <w:t>方式</w:t>
            </w:r>
          </w:p>
        </w:tc>
        <w:tc>
          <w:tcPr>
            <w:tcW w:w="520" w:type="pct"/>
            <w:vAlign w:val="center"/>
          </w:tcPr>
          <w:p w14:paraId="4DE8D7C2">
            <w:pPr>
              <w:jc w:val="center"/>
              <w:rPr>
                <w:rFonts w:hint="eastAsia" w:ascii="仿宋" w:hAnsi="仿宋" w:eastAsia="仿宋"/>
                <w:b/>
                <w:bCs/>
                <w:szCs w:val="21"/>
              </w:rPr>
            </w:pPr>
            <w:r>
              <w:rPr>
                <w:rFonts w:ascii="仿宋" w:hAnsi="仿宋" w:eastAsia="仿宋"/>
                <w:b/>
                <w:bCs/>
                <w:szCs w:val="21"/>
              </w:rPr>
              <w:t>支撑课程目标</w:t>
            </w:r>
          </w:p>
        </w:tc>
      </w:tr>
      <w:tr w14:paraId="6BB3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2D9143FB">
            <w:pPr>
              <w:jc w:val="center"/>
              <w:rPr>
                <w:rFonts w:hint="eastAsia" w:ascii="仿宋" w:hAnsi="仿宋" w:eastAsia="仿宋"/>
                <w:szCs w:val="21"/>
              </w:rPr>
            </w:pPr>
            <w:r>
              <w:rPr>
                <w:rFonts w:ascii="仿宋" w:hAnsi="仿宋" w:eastAsia="仿宋"/>
                <w:szCs w:val="21"/>
              </w:rPr>
              <w:t>1</w:t>
            </w:r>
          </w:p>
        </w:tc>
        <w:tc>
          <w:tcPr>
            <w:tcW w:w="1623" w:type="pct"/>
            <w:vAlign w:val="center"/>
          </w:tcPr>
          <w:p w14:paraId="38E9AFC1">
            <w:pPr>
              <w:spacing w:line="240" w:lineRule="exact"/>
              <w:jc w:val="left"/>
              <w:rPr>
                <w:rFonts w:hint="eastAsia" w:ascii="仿宋" w:hAnsi="仿宋" w:eastAsia="仿宋"/>
                <w:b/>
                <w:szCs w:val="21"/>
              </w:rPr>
            </w:pPr>
            <w:r>
              <w:rPr>
                <w:rFonts w:hint="eastAsia" w:ascii="仿宋" w:hAnsi="仿宋" w:eastAsia="仿宋"/>
                <w:b/>
                <w:szCs w:val="21"/>
              </w:rPr>
              <w:t>㈠体育理论部分:</w:t>
            </w:r>
          </w:p>
          <w:p w14:paraId="78084219">
            <w:pPr>
              <w:spacing w:line="240" w:lineRule="exact"/>
              <w:jc w:val="left"/>
              <w:rPr>
                <w:rFonts w:hint="eastAsia" w:ascii="仿宋" w:hAnsi="仿宋" w:eastAsia="仿宋"/>
                <w:bCs/>
              </w:rPr>
            </w:pPr>
            <w:r>
              <w:rPr>
                <w:rFonts w:hint="eastAsia" w:ascii="仿宋" w:hAnsi="仿宋" w:eastAsia="仿宋"/>
                <w:bCs/>
              </w:rPr>
              <w:t>1.学生思想政治教育：我校体育运动发展概况、国家领导人与体育、奥运明星的励志故事、社会主义核心价值观与体育等；</w:t>
            </w:r>
          </w:p>
          <w:p w14:paraId="6FDCA1C1">
            <w:pPr>
              <w:spacing w:line="240" w:lineRule="exact"/>
              <w:rPr>
                <w:rFonts w:hint="eastAsia" w:ascii="仿宋" w:hAnsi="仿宋" w:eastAsia="仿宋"/>
                <w:bCs/>
              </w:rPr>
            </w:pPr>
            <w:r>
              <w:rPr>
                <w:rFonts w:hint="eastAsia" w:ascii="仿宋" w:hAnsi="仿宋" w:eastAsia="仿宋"/>
                <w:bCs/>
              </w:rPr>
              <w:t>2</w:t>
            </w:r>
            <w:r>
              <w:rPr>
                <w:rFonts w:ascii="仿宋" w:hAnsi="仿宋" w:eastAsia="仿宋"/>
                <w:bCs/>
              </w:rPr>
              <w:t>.</w:t>
            </w:r>
            <w:r>
              <w:rPr>
                <w:rFonts w:hint="eastAsia" w:ascii="仿宋" w:hAnsi="仿宋" w:eastAsia="仿宋"/>
                <w:bCs/>
              </w:rPr>
              <w:t>体育安全教育：我校体育课堂管理规定、体育运动伤害事故的安全教育及预防与处理措施、常见运动损伤的预防与处理等；</w:t>
            </w:r>
          </w:p>
          <w:p w14:paraId="7E365FDF">
            <w:pPr>
              <w:spacing w:line="240" w:lineRule="exact"/>
              <w:rPr>
                <w:rFonts w:hint="eastAsia" w:ascii="仿宋" w:hAnsi="仿宋" w:eastAsia="仿宋"/>
                <w:bCs/>
              </w:rPr>
            </w:pPr>
            <w:r>
              <w:rPr>
                <w:rFonts w:hint="eastAsia" w:ascii="仿宋" w:hAnsi="仿宋" w:eastAsia="仿宋"/>
                <w:bCs/>
              </w:rPr>
              <w:t>3.体育基本理论：各运动项目的基本技战术知识、组织与竞赛、基本规则和裁判法，大学体育</w:t>
            </w:r>
            <w:r>
              <w:rPr>
                <w:rFonts w:ascii="仿宋" w:hAnsi="仿宋" w:eastAsia="仿宋"/>
                <w:bCs/>
              </w:rPr>
              <w:t>概述</w:t>
            </w:r>
            <w:r>
              <w:rPr>
                <w:rFonts w:hint="eastAsia" w:ascii="仿宋" w:hAnsi="仿宋" w:eastAsia="仿宋"/>
                <w:bCs/>
              </w:rPr>
              <w:t>、</w:t>
            </w:r>
            <w:r>
              <w:rPr>
                <w:rFonts w:hint="eastAsia" w:ascii="仿宋" w:hAnsi="仿宋" w:eastAsia="仿宋"/>
                <w:szCs w:val="21"/>
              </w:rPr>
              <w:t>体育锻炼与健康、体质测量</w:t>
            </w:r>
            <w:r>
              <w:rPr>
                <w:rFonts w:ascii="仿宋" w:hAnsi="仿宋" w:eastAsia="仿宋"/>
                <w:szCs w:val="21"/>
              </w:rPr>
              <w:t>与评价</w:t>
            </w:r>
            <w:r>
              <w:rPr>
                <w:rFonts w:hint="eastAsia" w:ascii="仿宋" w:hAnsi="仿宋" w:eastAsia="仿宋"/>
                <w:szCs w:val="21"/>
              </w:rPr>
              <w:t>。</w:t>
            </w:r>
            <w:r>
              <w:rPr>
                <w:rFonts w:ascii="仿宋" w:hAnsi="仿宋" w:eastAsia="仿宋"/>
                <w:szCs w:val="21"/>
              </w:rPr>
              <w:t xml:space="preserve"> </w:t>
            </w:r>
          </w:p>
          <w:p w14:paraId="0708EA79">
            <w:pPr>
              <w:spacing w:line="240" w:lineRule="exact"/>
              <w:jc w:val="left"/>
              <w:rPr>
                <w:rFonts w:hint="eastAsia" w:ascii="仿宋" w:hAnsi="仿宋" w:eastAsia="仿宋"/>
                <w:szCs w:val="21"/>
              </w:rPr>
            </w:pPr>
            <w:r>
              <w:rPr>
                <w:rFonts w:hint="eastAsia" w:ascii="仿宋" w:hAnsi="仿宋" w:eastAsia="仿宋"/>
                <w:b/>
                <w:szCs w:val="21"/>
              </w:rPr>
              <w:t>重点：</w:t>
            </w:r>
            <w:r>
              <w:rPr>
                <w:rFonts w:hint="eastAsia" w:ascii="仿宋" w:hAnsi="仿宋" w:eastAsia="仿宋"/>
                <w:szCs w:val="21"/>
              </w:rPr>
              <w:t>了</w:t>
            </w:r>
            <w:r>
              <w:rPr>
                <w:rFonts w:ascii="仿宋" w:hAnsi="仿宋" w:eastAsia="仿宋"/>
                <w:szCs w:val="21"/>
              </w:rPr>
              <w:t>解</w:t>
            </w:r>
            <w:r>
              <w:rPr>
                <w:rFonts w:hint="eastAsia" w:ascii="仿宋" w:hAnsi="仿宋" w:eastAsia="仿宋"/>
                <w:szCs w:val="21"/>
              </w:rPr>
              <w:t>大学体育</w:t>
            </w:r>
            <w:r>
              <w:rPr>
                <w:rFonts w:ascii="仿宋" w:hAnsi="仿宋" w:eastAsia="仿宋"/>
                <w:szCs w:val="21"/>
              </w:rPr>
              <w:t>要求</w:t>
            </w:r>
            <w:r>
              <w:rPr>
                <w:rFonts w:hint="eastAsia" w:ascii="仿宋" w:hAnsi="仿宋" w:eastAsia="仿宋"/>
                <w:szCs w:val="21"/>
              </w:rPr>
              <w:t>、体育安全教育等；</w:t>
            </w:r>
          </w:p>
          <w:p w14:paraId="7C17CC31">
            <w:pPr>
              <w:spacing w:line="240" w:lineRule="exact"/>
              <w:jc w:val="left"/>
              <w:rPr>
                <w:rFonts w:hint="eastAsia" w:ascii="仿宋" w:hAnsi="仿宋" w:eastAsia="仿宋"/>
                <w:szCs w:val="21"/>
              </w:rPr>
            </w:pPr>
            <w:r>
              <w:rPr>
                <w:rFonts w:hint="eastAsia" w:ascii="仿宋" w:hAnsi="仿宋" w:eastAsia="仿宋"/>
                <w:b/>
                <w:szCs w:val="21"/>
              </w:rPr>
              <w:t>难点：</w:t>
            </w:r>
            <w:r>
              <w:rPr>
                <w:rFonts w:hint="eastAsia" w:ascii="仿宋" w:hAnsi="仿宋" w:eastAsia="仿宋"/>
                <w:szCs w:val="21"/>
              </w:rPr>
              <w:t>理解和运用体育与健康知识，培养健康行为习惯。</w:t>
            </w:r>
          </w:p>
        </w:tc>
        <w:tc>
          <w:tcPr>
            <w:tcW w:w="541" w:type="pct"/>
            <w:vAlign w:val="center"/>
          </w:tcPr>
          <w:p w14:paraId="38016265">
            <w:pPr>
              <w:spacing w:line="240" w:lineRule="exact"/>
              <w:jc w:val="center"/>
              <w:rPr>
                <w:rFonts w:hint="eastAsia" w:ascii="仿宋" w:hAnsi="仿宋" w:eastAsia="仿宋"/>
                <w:kern w:val="0"/>
                <w:szCs w:val="21"/>
              </w:rPr>
            </w:pPr>
            <w:r>
              <w:rPr>
                <w:rFonts w:hint="eastAsia" w:ascii="仿宋" w:hAnsi="仿宋" w:eastAsia="仿宋"/>
                <w:kern w:val="0"/>
                <w:szCs w:val="21"/>
              </w:rPr>
              <w:t>理想信念、国家认同和</w:t>
            </w:r>
            <w:r>
              <w:rPr>
                <w:rFonts w:hint="eastAsia" w:ascii="仿宋" w:hAnsi="仿宋" w:eastAsia="仿宋"/>
                <w:szCs w:val="21"/>
              </w:rPr>
              <w:t>社会主义核心价值观等</w:t>
            </w:r>
            <w:r>
              <w:rPr>
                <w:rFonts w:hint="eastAsia" w:ascii="仿宋" w:hAnsi="仿宋" w:eastAsia="仿宋"/>
                <w:kern w:val="0"/>
                <w:szCs w:val="21"/>
              </w:rPr>
              <w:t>教育；健康中国教育。</w:t>
            </w:r>
          </w:p>
        </w:tc>
        <w:tc>
          <w:tcPr>
            <w:tcW w:w="1160" w:type="pct"/>
            <w:vAlign w:val="center"/>
          </w:tcPr>
          <w:p w14:paraId="28289A6E">
            <w:pPr>
              <w:autoSpaceDE w:val="0"/>
              <w:autoSpaceDN w:val="0"/>
              <w:adjustRightInd w:val="0"/>
              <w:spacing w:line="240" w:lineRule="exact"/>
              <w:jc w:val="left"/>
              <w:rPr>
                <w:rFonts w:hint="eastAsia" w:ascii="仿宋" w:hAnsi="仿宋" w:eastAsia="仿宋"/>
                <w:kern w:val="0"/>
                <w:szCs w:val="21"/>
              </w:rPr>
            </w:pPr>
            <w:r>
              <w:rPr>
                <w:rFonts w:hint="eastAsia" w:ascii="仿宋" w:hAnsi="仿宋" w:eastAsia="仿宋"/>
                <w:kern w:val="0"/>
                <w:szCs w:val="21"/>
              </w:rPr>
              <w:t>通过教学，使学生全方位了解我校体育工作、课程学习内容和要求，方便同学办理体育事宜、完成体育学习、发挥体育特长、丰富体育生活、激发学生奋发向上的意志品质和阳光心态；帮助学生树立“健康第一”的观念，养成体育锻炼习惯；培养学生家国情怀、社会责任感和良好的个人品质，发扬体育的力量。</w:t>
            </w:r>
          </w:p>
        </w:tc>
        <w:tc>
          <w:tcPr>
            <w:tcW w:w="386" w:type="pct"/>
            <w:vAlign w:val="center"/>
          </w:tcPr>
          <w:p w14:paraId="38B92A5B">
            <w:pPr>
              <w:jc w:val="center"/>
              <w:rPr>
                <w:rFonts w:hint="eastAsia" w:ascii="仿宋" w:hAnsi="仿宋" w:eastAsia="仿宋"/>
                <w:szCs w:val="21"/>
              </w:rPr>
            </w:pPr>
            <w:r>
              <w:rPr>
                <w:rFonts w:ascii="仿宋" w:hAnsi="仿宋" w:eastAsia="仿宋"/>
                <w:szCs w:val="21"/>
              </w:rPr>
              <w:t>4</w:t>
            </w:r>
          </w:p>
        </w:tc>
        <w:tc>
          <w:tcPr>
            <w:tcW w:w="464" w:type="pct"/>
            <w:vAlign w:val="center"/>
          </w:tcPr>
          <w:p w14:paraId="329AA7F9">
            <w:pPr>
              <w:jc w:val="center"/>
              <w:rPr>
                <w:rFonts w:hint="eastAsia" w:ascii="仿宋" w:hAnsi="仿宋" w:eastAsia="仿宋"/>
                <w:szCs w:val="21"/>
              </w:rPr>
            </w:pPr>
            <w:r>
              <w:rPr>
                <w:rFonts w:hint="eastAsia" w:ascii="仿宋" w:hAnsi="仿宋" w:eastAsia="仿宋"/>
                <w:szCs w:val="21"/>
              </w:rPr>
              <w:t>讲授法</w:t>
            </w:r>
          </w:p>
        </w:tc>
        <w:tc>
          <w:tcPr>
            <w:tcW w:w="520" w:type="pct"/>
            <w:vAlign w:val="center"/>
          </w:tcPr>
          <w:p w14:paraId="722AB6CC">
            <w:pPr>
              <w:jc w:val="left"/>
              <w:rPr>
                <w:rFonts w:hint="eastAsia" w:ascii="仿宋" w:hAnsi="仿宋" w:eastAsia="仿宋"/>
                <w:szCs w:val="21"/>
              </w:rPr>
            </w:pPr>
            <w:r>
              <w:rPr>
                <w:rFonts w:hint="eastAsia" w:ascii="仿宋" w:hAnsi="仿宋" w:eastAsia="仿宋"/>
                <w:szCs w:val="21"/>
              </w:rPr>
              <w:t>目标1目标2</w:t>
            </w:r>
          </w:p>
        </w:tc>
      </w:tr>
      <w:tr w14:paraId="32A0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66B0C81E">
            <w:pPr>
              <w:jc w:val="center"/>
              <w:rPr>
                <w:rFonts w:hint="eastAsia" w:ascii="仿宋" w:hAnsi="仿宋" w:eastAsia="仿宋"/>
                <w:szCs w:val="21"/>
              </w:rPr>
            </w:pPr>
            <w:r>
              <w:rPr>
                <w:rFonts w:ascii="仿宋" w:hAnsi="仿宋" w:eastAsia="仿宋"/>
                <w:szCs w:val="21"/>
              </w:rPr>
              <w:t>2</w:t>
            </w:r>
          </w:p>
        </w:tc>
        <w:tc>
          <w:tcPr>
            <w:tcW w:w="1623" w:type="pct"/>
            <w:vAlign w:val="center"/>
          </w:tcPr>
          <w:p w14:paraId="26FA2382">
            <w:pPr>
              <w:spacing w:line="240" w:lineRule="exact"/>
              <w:jc w:val="left"/>
              <w:rPr>
                <w:rFonts w:hint="eastAsia" w:ascii="仿宋" w:hAnsi="仿宋" w:eastAsia="仿宋"/>
                <w:b/>
                <w:szCs w:val="21"/>
              </w:rPr>
            </w:pPr>
            <w:r>
              <w:rPr>
                <w:rFonts w:hint="eastAsia" w:ascii="仿宋" w:hAnsi="仿宋" w:eastAsia="仿宋"/>
                <w:b/>
                <w:szCs w:val="21"/>
              </w:rPr>
              <w:t>㈡实践部分：</w:t>
            </w:r>
          </w:p>
          <w:p w14:paraId="6530E853">
            <w:pPr>
              <w:spacing w:line="240" w:lineRule="exact"/>
              <w:rPr>
                <w:rFonts w:hint="eastAsia" w:ascii="仿宋" w:hAnsi="仿宋" w:eastAsia="仿宋"/>
                <w:bCs/>
              </w:rPr>
            </w:pPr>
            <w:r>
              <w:rPr>
                <w:rFonts w:hint="eastAsia" w:ascii="仿宋" w:hAnsi="仿宋" w:eastAsia="仿宋"/>
                <w:bCs/>
              </w:rPr>
              <w:t>1.各运动项目和身体素质为主，主要包括篮球、足球、五</w:t>
            </w:r>
            <w:r>
              <w:rPr>
                <w:rFonts w:ascii="仿宋" w:hAnsi="仿宋" w:eastAsia="仿宋"/>
                <w:bCs/>
              </w:rPr>
              <w:t>人制</w:t>
            </w:r>
            <w:r>
              <w:rPr>
                <w:rFonts w:hint="eastAsia" w:ascii="仿宋" w:hAnsi="仿宋" w:eastAsia="仿宋"/>
                <w:bCs/>
              </w:rPr>
              <w:t>足球</w:t>
            </w:r>
            <w:r>
              <w:rPr>
                <w:rFonts w:ascii="仿宋" w:hAnsi="仿宋" w:eastAsia="仿宋"/>
                <w:bCs/>
              </w:rPr>
              <w:t>、</w:t>
            </w:r>
            <w:r>
              <w:rPr>
                <w:rFonts w:hint="eastAsia" w:ascii="仿宋" w:hAnsi="仿宋" w:eastAsia="仿宋"/>
                <w:bCs/>
              </w:rPr>
              <w:t>排球、乒</w:t>
            </w:r>
            <w:r>
              <w:rPr>
                <w:rFonts w:ascii="仿宋" w:hAnsi="仿宋" w:eastAsia="仿宋"/>
                <w:bCs/>
              </w:rPr>
              <w:t>乓球、</w:t>
            </w:r>
            <w:r>
              <w:rPr>
                <w:rFonts w:hint="eastAsia" w:ascii="仿宋" w:hAnsi="仿宋" w:eastAsia="仿宋"/>
                <w:bCs/>
              </w:rPr>
              <w:t>排舞(女)、武术、散打、健美操(女)、排舞(女)、花样</w:t>
            </w:r>
            <w:r>
              <w:rPr>
                <w:rFonts w:ascii="仿宋" w:hAnsi="仿宋" w:eastAsia="仿宋"/>
                <w:bCs/>
              </w:rPr>
              <w:t>跳绳</w:t>
            </w:r>
            <w:r>
              <w:rPr>
                <w:rFonts w:hint="eastAsia" w:ascii="仿宋" w:hAnsi="仿宋" w:eastAsia="仿宋"/>
                <w:bCs/>
              </w:rPr>
              <w:t>、飞盘和体育保健等。</w:t>
            </w:r>
          </w:p>
          <w:p w14:paraId="204D978A">
            <w:pPr>
              <w:spacing w:line="240" w:lineRule="exact"/>
              <w:rPr>
                <w:rFonts w:hint="eastAsia" w:ascii="仿宋" w:hAnsi="仿宋" w:eastAsia="仿宋"/>
                <w:bCs/>
              </w:rPr>
            </w:pPr>
            <w:r>
              <w:rPr>
                <w:rFonts w:ascii="仿宋" w:hAnsi="仿宋" w:eastAsia="仿宋"/>
                <w:bCs/>
              </w:rPr>
              <w:t>2</w:t>
            </w:r>
            <w:r>
              <w:rPr>
                <w:rFonts w:hint="eastAsia" w:ascii="仿宋" w:hAnsi="仿宋" w:eastAsia="仿宋"/>
                <w:bCs/>
              </w:rPr>
              <w:t>.健康标准测试和发展体能</w:t>
            </w:r>
          </w:p>
          <w:p w14:paraId="5BBB4560">
            <w:pPr>
              <w:spacing w:line="240" w:lineRule="exact"/>
              <w:rPr>
                <w:rFonts w:hint="eastAsia" w:ascii="仿宋" w:hAnsi="仿宋" w:eastAsia="仿宋"/>
                <w:bCs/>
              </w:rPr>
            </w:pPr>
            <w:r>
              <w:rPr>
                <w:rFonts w:hint="eastAsia" w:ascii="仿宋" w:hAnsi="仿宋" w:eastAsia="仿宋"/>
                <w:b/>
                <w:bCs/>
              </w:rPr>
              <w:t>重点：</w:t>
            </w:r>
            <w:r>
              <w:rPr>
                <w:rFonts w:hint="eastAsia" w:ascii="仿宋" w:hAnsi="仿宋" w:eastAsia="仿宋"/>
                <w:bCs/>
              </w:rPr>
              <w:t>掌握所学项目基本技能、规则及锻炼方法。</w:t>
            </w:r>
          </w:p>
          <w:p w14:paraId="3A614F37">
            <w:pPr>
              <w:spacing w:line="240" w:lineRule="exact"/>
              <w:rPr>
                <w:rFonts w:hint="eastAsia" w:ascii="仿宋" w:hAnsi="仿宋" w:eastAsia="仿宋"/>
                <w:bCs/>
              </w:rPr>
            </w:pPr>
            <w:r>
              <w:rPr>
                <w:rFonts w:hint="eastAsia" w:ascii="仿宋" w:hAnsi="仿宋" w:eastAsia="仿宋"/>
                <w:b/>
                <w:bCs/>
              </w:rPr>
              <w:t>难点：</w:t>
            </w:r>
            <w:r>
              <w:rPr>
                <w:rFonts w:hint="eastAsia" w:ascii="仿宋" w:hAnsi="仿宋" w:eastAsia="仿宋"/>
                <w:bCs/>
              </w:rPr>
              <w:t>学会运用所学项目技能，自主和自觉锻炼意识，发展体育精神、</w:t>
            </w:r>
            <w:r>
              <w:rPr>
                <w:rFonts w:ascii="仿宋" w:hAnsi="仿宋" w:eastAsia="仿宋"/>
                <w:bCs/>
              </w:rPr>
              <w:t>健全</w:t>
            </w:r>
            <w:r>
              <w:rPr>
                <w:rFonts w:hint="eastAsia" w:ascii="仿宋" w:hAnsi="仿宋" w:eastAsia="仿宋"/>
                <w:bCs/>
              </w:rPr>
              <w:t>人格。</w:t>
            </w:r>
          </w:p>
        </w:tc>
        <w:tc>
          <w:tcPr>
            <w:tcW w:w="541" w:type="pct"/>
            <w:vAlign w:val="center"/>
          </w:tcPr>
          <w:p w14:paraId="4228B491">
            <w:pPr>
              <w:widowControl/>
              <w:spacing w:line="240" w:lineRule="exact"/>
              <w:ind w:left="-44" w:leftChars="-21" w:right="-109" w:rightChars="-52" w:firstLine="44" w:firstLineChars="21"/>
              <w:jc w:val="left"/>
              <w:rPr>
                <w:rFonts w:hint="eastAsia"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意志品德培育；遵纪守则</w:t>
            </w:r>
            <w:r>
              <w:rPr>
                <w:rFonts w:ascii="仿宋" w:hAnsi="仿宋" w:eastAsia="仿宋"/>
                <w:kern w:val="0"/>
                <w:szCs w:val="21"/>
              </w:rPr>
              <w:t>和</w:t>
            </w:r>
            <w:r>
              <w:rPr>
                <w:rFonts w:hint="eastAsia" w:ascii="仿宋" w:hAnsi="仿宋" w:eastAsia="仿宋"/>
                <w:kern w:val="0"/>
                <w:szCs w:val="21"/>
              </w:rPr>
              <w:t>诚信意识教育。</w:t>
            </w:r>
          </w:p>
        </w:tc>
        <w:tc>
          <w:tcPr>
            <w:tcW w:w="1160" w:type="pct"/>
            <w:vAlign w:val="center"/>
          </w:tcPr>
          <w:p w14:paraId="2EA3F25F">
            <w:pPr>
              <w:spacing w:line="240" w:lineRule="exact"/>
              <w:jc w:val="left"/>
              <w:rPr>
                <w:rFonts w:hint="eastAsia" w:ascii="仿宋" w:hAnsi="仿宋" w:eastAsia="仿宋"/>
                <w:szCs w:val="21"/>
              </w:rPr>
            </w:pPr>
            <w:r>
              <w:rPr>
                <w:rFonts w:hint="eastAsia" w:ascii="仿宋" w:hAnsi="仿宋" w:eastAsia="仿宋"/>
                <w:szCs w:val="21"/>
              </w:rPr>
              <w:t>通过</w:t>
            </w:r>
            <w:r>
              <w:rPr>
                <w:rFonts w:ascii="仿宋" w:hAnsi="仿宋" w:eastAsia="仿宋"/>
                <w:szCs w:val="21"/>
              </w:rPr>
              <w:t>学习，</w:t>
            </w:r>
            <w:r>
              <w:rPr>
                <w:rFonts w:hint="eastAsia" w:ascii="仿宋" w:hAnsi="仿宋" w:eastAsia="仿宋"/>
                <w:szCs w:val="21"/>
              </w:rPr>
              <w:t>使学生了解和掌握所选运动项目基本知识、基本技术和锻炼方法；发展身体素质，增强体质；提升人际交往能力，提高竞争、合作意识和社会责任感；</w:t>
            </w:r>
            <w:r>
              <w:rPr>
                <w:rFonts w:ascii="仿宋" w:hAnsi="仿宋" w:eastAsia="仿宋"/>
                <w:szCs w:val="21"/>
              </w:rPr>
              <w:t>遵守</w:t>
            </w:r>
            <w:r>
              <w:rPr>
                <w:rFonts w:hint="eastAsia" w:ascii="仿宋" w:hAnsi="仿宋" w:eastAsia="仿宋"/>
                <w:szCs w:val="21"/>
              </w:rPr>
              <w:t>规则</w:t>
            </w:r>
            <w:r>
              <w:rPr>
                <w:rFonts w:ascii="仿宋" w:hAnsi="仿宋" w:eastAsia="仿宋"/>
                <w:szCs w:val="21"/>
              </w:rPr>
              <w:t>和</w:t>
            </w:r>
            <w:r>
              <w:rPr>
                <w:rFonts w:hint="eastAsia" w:ascii="仿宋" w:hAnsi="仿宋" w:eastAsia="仿宋"/>
                <w:szCs w:val="21"/>
              </w:rPr>
              <w:t>诚信自律</w:t>
            </w:r>
            <w:r>
              <w:rPr>
                <w:rFonts w:ascii="仿宋" w:hAnsi="仿宋" w:eastAsia="仿宋"/>
                <w:szCs w:val="21"/>
              </w:rPr>
              <w:t>，</w:t>
            </w:r>
            <w:r>
              <w:rPr>
                <w:rFonts w:hint="eastAsia" w:ascii="仿宋" w:hAnsi="仿宋" w:eastAsia="仿宋"/>
                <w:szCs w:val="21"/>
              </w:rPr>
              <w:t>形成健康的生活方式和积极进取且充满活力的人生态度。</w:t>
            </w:r>
          </w:p>
        </w:tc>
        <w:tc>
          <w:tcPr>
            <w:tcW w:w="386" w:type="pct"/>
            <w:vAlign w:val="center"/>
          </w:tcPr>
          <w:p w14:paraId="6295FC3A">
            <w:pPr>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6</w:t>
            </w:r>
          </w:p>
        </w:tc>
        <w:tc>
          <w:tcPr>
            <w:tcW w:w="464" w:type="pct"/>
            <w:vAlign w:val="center"/>
          </w:tcPr>
          <w:p w14:paraId="2EFA357B">
            <w:pPr>
              <w:jc w:val="center"/>
              <w:rPr>
                <w:rFonts w:hint="eastAsia"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vAlign w:val="center"/>
          </w:tcPr>
          <w:p w14:paraId="4FE2858D">
            <w:pPr>
              <w:jc w:val="left"/>
              <w:rPr>
                <w:rFonts w:hint="eastAsia" w:ascii="仿宋" w:hAnsi="仿宋" w:eastAsia="仿宋"/>
                <w:szCs w:val="21"/>
              </w:rPr>
            </w:pPr>
            <w:r>
              <w:rPr>
                <w:rFonts w:hint="eastAsia" w:ascii="仿宋" w:hAnsi="仿宋" w:eastAsia="仿宋"/>
                <w:szCs w:val="21"/>
              </w:rPr>
              <w:t>目标1</w:t>
            </w:r>
          </w:p>
          <w:p w14:paraId="402A5235">
            <w:pPr>
              <w:jc w:val="left"/>
              <w:rPr>
                <w:rFonts w:hint="eastAsia" w:ascii="仿宋" w:hAnsi="仿宋" w:eastAsia="仿宋"/>
                <w:szCs w:val="21"/>
              </w:rPr>
            </w:pPr>
            <w:r>
              <w:rPr>
                <w:rFonts w:hint="eastAsia" w:ascii="仿宋" w:hAnsi="仿宋" w:eastAsia="仿宋"/>
                <w:szCs w:val="21"/>
              </w:rPr>
              <w:t>目标2</w:t>
            </w:r>
          </w:p>
        </w:tc>
      </w:tr>
    </w:tbl>
    <w:p w14:paraId="53B00078">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四、课程实施</w:t>
      </w:r>
    </w:p>
    <w:p w14:paraId="220EE88B">
      <w:pPr>
        <w:spacing w:before="156" w:beforeLines="50" w:after="156" w:afterLines="50" w:line="360" w:lineRule="auto"/>
        <w:ind w:firstLine="482" w:firstLineChars="200"/>
        <w:jc w:val="left"/>
        <w:rPr>
          <w:rFonts w:hint="eastAsia" w:ascii="仿宋" w:hAnsi="仿宋" w:eastAsia="仿宋"/>
          <w:b/>
          <w:sz w:val="24"/>
        </w:rPr>
      </w:pPr>
      <w:r>
        <w:rPr>
          <w:rFonts w:hint="eastAsia" w:ascii="仿宋" w:hAnsi="仿宋" w:eastAsia="仿宋"/>
          <w:b/>
          <w:sz w:val="24"/>
        </w:rPr>
        <w:t>（一）教学方法与手段</w:t>
      </w:r>
    </w:p>
    <w:p w14:paraId="30FBD405">
      <w:pPr>
        <w:spacing w:before="156" w:beforeLines="50" w:after="156" w:afterLines="50" w:line="360" w:lineRule="auto"/>
        <w:ind w:firstLine="480" w:firstLineChars="200"/>
        <w:jc w:val="left"/>
        <w:rPr>
          <w:rFonts w:hint="eastAsia" w:ascii="仿宋" w:hAnsi="仿宋" w:eastAsia="仿宋"/>
          <w:sz w:val="24"/>
        </w:rPr>
      </w:pPr>
      <w:r>
        <w:rPr>
          <w:rFonts w:ascii="仿宋" w:hAnsi="仿宋" w:eastAsia="仿宋"/>
          <w:sz w:val="24"/>
        </w:rPr>
        <w:t>1</w:t>
      </w:r>
      <w:r>
        <w:rPr>
          <w:rFonts w:hint="eastAsia" w:ascii="仿宋" w:hAnsi="仿宋" w:eastAsia="仿宋"/>
          <w:sz w:val="24"/>
        </w:rPr>
        <w:t>．本课程以实践教学为主，教学方法与手段的运用要考虑到学生的实际情况，从实际出发，因材施教，注意区别对待，激发学生学习兴趣，着重培养学生自学、自练、自评、互评等能力。</w:t>
      </w:r>
      <w:r>
        <w:rPr>
          <w:rFonts w:ascii="仿宋" w:hAnsi="仿宋" w:eastAsia="仿宋"/>
          <w:sz w:val="24"/>
        </w:rPr>
        <w:t xml:space="preserve">  </w:t>
      </w:r>
    </w:p>
    <w:p w14:paraId="48018E25">
      <w:pPr>
        <w:spacing w:before="156" w:beforeLines="50" w:after="156" w:afterLines="50" w:line="360" w:lineRule="auto"/>
        <w:ind w:firstLine="480" w:firstLineChars="200"/>
        <w:jc w:val="left"/>
        <w:rPr>
          <w:rFonts w:hint="eastAsia" w:ascii="仿宋" w:hAnsi="仿宋" w:eastAsia="仿宋"/>
          <w:sz w:val="24"/>
        </w:rPr>
      </w:pPr>
      <w:r>
        <w:rPr>
          <w:rFonts w:ascii="仿宋" w:hAnsi="仿宋" w:eastAsia="仿宋"/>
          <w:sz w:val="24"/>
        </w:rPr>
        <w:t>2</w:t>
      </w:r>
      <w:r>
        <w:rPr>
          <w:rFonts w:hint="eastAsia" w:ascii="仿宋" w:hAnsi="仿宋" w:eastAsia="仿宋"/>
          <w:sz w:val="24"/>
        </w:rPr>
        <w:t>．教学方法与手段的运用合理，注意防止伤害事故发生，重视学生自我保护能力培养。</w:t>
      </w:r>
      <w:r>
        <w:rPr>
          <w:rFonts w:ascii="仿宋" w:hAnsi="仿宋" w:eastAsia="仿宋"/>
          <w:sz w:val="24"/>
        </w:rPr>
        <w:t> </w:t>
      </w:r>
    </w:p>
    <w:p w14:paraId="7EB70278">
      <w:pPr>
        <w:spacing w:before="156" w:beforeLines="50" w:after="156" w:afterLines="50" w:line="360" w:lineRule="auto"/>
        <w:ind w:firstLine="480" w:firstLineChars="200"/>
        <w:jc w:val="left"/>
        <w:rPr>
          <w:rFonts w:hint="eastAsia" w:ascii="仿宋" w:hAnsi="仿宋" w:eastAsia="仿宋"/>
          <w:sz w:val="24"/>
        </w:rPr>
      </w:pPr>
      <w:r>
        <w:rPr>
          <w:rFonts w:hint="eastAsia" w:ascii="仿宋" w:hAnsi="仿宋" w:eastAsia="仿宋"/>
          <w:sz w:val="24"/>
        </w:rPr>
        <w:t>3．针对体育教学的特点，本课程将采用：讲解法、示范法、完整法、分解法、集体练习、小组练习等教学方法，并利用多媒体教学方式，提高学生的欣赏能力、让学生更加深刻的了解所学项目。</w:t>
      </w:r>
    </w:p>
    <w:p w14:paraId="4DE6BE6A">
      <w:pPr>
        <w:spacing w:line="360" w:lineRule="auto"/>
        <w:ind w:firstLine="482" w:firstLineChars="200"/>
        <w:rPr>
          <w:rFonts w:hint="eastAsia" w:ascii="仿宋" w:hAnsi="仿宋" w:eastAsia="仿宋"/>
          <w:b/>
          <w:sz w:val="24"/>
        </w:rPr>
      </w:pPr>
      <w:r>
        <w:rPr>
          <w:rFonts w:hint="eastAsia" w:ascii="仿宋" w:hAnsi="仿宋" w:eastAsia="仿宋"/>
          <w:b/>
          <w:sz w:val="24"/>
        </w:rPr>
        <w:t>（二）课程实施与保障</w:t>
      </w:r>
    </w:p>
    <w:tbl>
      <w:tblPr>
        <w:tblStyle w:val="13"/>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111"/>
        <w:gridCol w:w="6781"/>
      </w:tblGrid>
      <w:tr w14:paraId="58AF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dxa"/>
            <w:gridSpan w:val="2"/>
            <w:tcBorders>
              <w:top w:val="single" w:color="auto" w:sz="8" w:space="0"/>
              <w:left w:val="single" w:color="auto" w:sz="8" w:space="0"/>
              <w:right w:val="single" w:color="auto" w:sz="8" w:space="0"/>
            </w:tcBorders>
            <w:tcMar>
              <w:left w:w="28" w:type="dxa"/>
              <w:right w:w="28" w:type="dxa"/>
            </w:tcMar>
            <w:vAlign w:val="center"/>
          </w:tcPr>
          <w:p w14:paraId="2823B60F">
            <w:pPr>
              <w:spacing w:line="276" w:lineRule="auto"/>
              <w:jc w:val="center"/>
              <w:rPr>
                <w:rFonts w:hint="eastAsia" w:ascii="仿宋" w:hAnsi="仿宋" w:eastAsia="仿宋"/>
                <w:sz w:val="24"/>
              </w:rPr>
            </w:pPr>
            <w:r>
              <w:rPr>
                <w:rFonts w:ascii="仿宋" w:hAnsi="仿宋" w:eastAsia="仿宋" w:cs="宋体"/>
                <w:b/>
                <w:bCs/>
                <w:sz w:val="24"/>
              </w:rPr>
              <w:t>主要教学环节</w:t>
            </w:r>
          </w:p>
        </w:tc>
        <w:tc>
          <w:tcPr>
            <w:tcW w:w="6781" w:type="dxa"/>
            <w:tcBorders>
              <w:top w:val="single" w:color="auto" w:sz="8" w:space="0"/>
              <w:left w:val="single" w:color="auto" w:sz="8" w:space="0"/>
              <w:right w:val="single" w:color="auto" w:sz="8" w:space="0"/>
            </w:tcBorders>
            <w:vAlign w:val="center"/>
          </w:tcPr>
          <w:p w14:paraId="7D0C3736">
            <w:pPr>
              <w:spacing w:line="276" w:lineRule="auto"/>
              <w:jc w:val="center"/>
              <w:rPr>
                <w:rFonts w:hint="eastAsia" w:ascii="仿宋" w:hAnsi="仿宋" w:eastAsia="仿宋"/>
                <w:sz w:val="24"/>
              </w:rPr>
            </w:pPr>
            <w:r>
              <w:rPr>
                <w:rFonts w:hint="eastAsia" w:ascii="仿宋" w:hAnsi="仿宋" w:eastAsia="仿宋" w:cs="宋体"/>
                <w:b/>
                <w:bCs/>
                <w:sz w:val="24"/>
              </w:rPr>
              <w:t>质量要求</w:t>
            </w:r>
          </w:p>
        </w:tc>
      </w:tr>
      <w:tr w14:paraId="72D1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4D2D2E29">
            <w:pPr>
              <w:spacing w:line="276" w:lineRule="auto"/>
              <w:jc w:val="center"/>
              <w:rPr>
                <w:rFonts w:hint="eastAsia" w:ascii="仿宋" w:hAnsi="仿宋" w:eastAsia="仿宋"/>
                <w:sz w:val="24"/>
              </w:rPr>
            </w:pPr>
            <w:r>
              <w:rPr>
                <w:rFonts w:hint="eastAsia" w:ascii="仿宋" w:hAnsi="仿宋" w:eastAsia="仿宋"/>
                <w:sz w:val="24"/>
              </w:rPr>
              <w:t>1</w:t>
            </w:r>
          </w:p>
        </w:tc>
        <w:tc>
          <w:tcPr>
            <w:tcW w:w="1111" w:type="dxa"/>
            <w:tcMar>
              <w:left w:w="28" w:type="dxa"/>
              <w:right w:w="28" w:type="dxa"/>
            </w:tcMar>
            <w:vAlign w:val="center"/>
          </w:tcPr>
          <w:p w14:paraId="5950AFB6">
            <w:pPr>
              <w:spacing w:line="276" w:lineRule="auto"/>
              <w:jc w:val="center"/>
              <w:rPr>
                <w:rFonts w:hint="eastAsia" w:ascii="仿宋" w:hAnsi="仿宋" w:eastAsia="仿宋"/>
                <w:sz w:val="24"/>
              </w:rPr>
            </w:pPr>
            <w:r>
              <w:rPr>
                <w:rFonts w:hint="eastAsia" w:ascii="仿宋" w:hAnsi="仿宋" w:eastAsia="仿宋"/>
                <w:sz w:val="24"/>
              </w:rPr>
              <w:t>备课</w:t>
            </w:r>
          </w:p>
        </w:tc>
        <w:tc>
          <w:tcPr>
            <w:tcW w:w="6781" w:type="dxa"/>
            <w:tcBorders>
              <w:right w:val="single" w:color="auto" w:sz="8" w:space="0"/>
            </w:tcBorders>
            <w:vAlign w:val="center"/>
          </w:tcPr>
          <w:p w14:paraId="0771CAA3">
            <w:pPr>
              <w:autoSpaceDE w:val="0"/>
              <w:autoSpaceDN w:val="0"/>
              <w:adjustRightInd w:val="0"/>
              <w:snapToGrid w:val="0"/>
              <w:spacing w:line="30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掌握本课程教学大纲内容，严格按照教学大纲要求进行本课程教学内容的组织；</w:t>
            </w:r>
          </w:p>
          <w:p w14:paraId="337789CF">
            <w:pPr>
              <w:autoSpaceDE w:val="0"/>
              <w:autoSpaceDN w:val="0"/>
              <w:adjustRightInd w:val="0"/>
              <w:snapToGrid w:val="0"/>
              <w:spacing w:line="300" w:lineRule="exact"/>
              <w:jc w:val="left"/>
              <w:rPr>
                <w:rFonts w:hint="eastAsia"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熟悉教材各章节，借助相关专业书籍资料，并依据教学大纲编写授课计划；</w:t>
            </w:r>
          </w:p>
          <w:p w14:paraId="0BEEA5B1">
            <w:pPr>
              <w:autoSpaceDE w:val="0"/>
              <w:autoSpaceDN w:val="0"/>
              <w:adjustRightInd w:val="0"/>
              <w:snapToGrid w:val="0"/>
              <w:spacing w:line="300" w:lineRule="exact"/>
              <w:jc w:val="left"/>
              <w:rPr>
                <w:rFonts w:hint="eastAsia" w:ascii="仿宋" w:hAnsi="仿宋" w:eastAsia="仿宋" w:cs="宋体"/>
                <w:spacing w:val="-8"/>
                <w:kern w:val="0"/>
                <w:sz w:val="22"/>
              </w:rPr>
            </w:pPr>
            <w:r>
              <w:rPr>
                <w:rFonts w:ascii="仿宋" w:hAnsi="仿宋" w:eastAsia="仿宋" w:cs="宋体"/>
                <w:spacing w:val="-8"/>
                <w:kern w:val="0"/>
                <w:sz w:val="22"/>
              </w:rPr>
              <w:t>3.</w:t>
            </w:r>
            <w:r>
              <w:rPr>
                <w:rFonts w:hint="eastAsia" w:ascii="仿宋" w:hAnsi="仿宋" w:eastAsia="仿宋" w:cs="宋体"/>
                <w:spacing w:val="-8"/>
                <w:kern w:val="0"/>
                <w:sz w:val="22"/>
              </w:rPr>
              <w:t>结合课程特点，制作课件，运用多媒体教学手段讲授部分教学内容；</w:t>
            </w:r>
            <w:r>
              <w:rPr>
                <w:rFonts w:ascii="仿宋" w:hAnsi="仿宋" w:eastAsia="仿宋" w:cs="宋体"/>
                <w:spacing w:val="-8"/>
                <w:kern w:val="0"/>
                <w:sz w:val="22"/>
              </w:rPr>
              <w:t xml:space="preserve"> </w:t>
            </w:r>
          </w:p>
          <w:p w14:paraId="5D572275">
            <w:pPr>
              <w:autoSpaceDE w:val="0"/>
              <w:autoSpaceDN w:val="0"/>
              <w:adjustRightInd w:val="0"/>
              <w:snapToGrid w:val="0"/>
              <w:spacing w:line="300" w:lineRule="exact"/>
              <w:jc w:val="left"/>
              <w:rPr>
                <w:rFonts w:hint="eastAsia" w:ascii="仿宋" w:hAnsi="仿宋" w:eastAsia="仿宋"/>
                <w:sz w:val="24"/>
              </w:rPr>
            </w:pPr>
            <w:r>
              <w:rPr>
                <w:rFonts w:ascii="仿宋" w:hAnsi="仿宋" w:eastAsia="仿宋" w:cs="宋体"/>
                <w:kern w:val="0"/>
                <w:sz w:val="22"/>
              </w:rPr>
              <w:t>4.</w:t>
            </w:r>
            <w:r>
              <w:rPr>
                <w:rFonts w:hint="eastAsia" w:ascii="仿宋" w:hAnsi="仿宋" w:eastAsia="仿宋" w:cs="宋体"/>
                <w:kern w:val="0"/>
                <w:sz w:val="22"/>
              </w:rPr>
              <w:t>确定各章节课程内容的教学方法，构思授课思路、技巧和方法。</w:t>
            </w:r>
          </w:p>
        </w:tc>
      </w:tr>
      <w:tr w14:paraId="76BC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76CB2441">
            <w:pPr>
              <w:spacing w:line="276" w:lineRule="auto"/>
              <w:jc w:val="center"/>
              <w:rPr>
                <w:rFonts w:hint="eastAsia" w:ascii="仿宋" w:hAnsi="仿宋" w:eastAsia="仿宋"/>
                <w:sz w:val="24"/>
              </w:rPr>
            </w:pPr>
            <w:r>
              <w:rPr>
                <w:rFonts w:hint="eastAsia" w:ascii="仿宋" w:hAnsi="仿宋" w:eastAsia="仿宋"/>
                <w:sz w:val="24"/>
              </w:rPr>
              <w:t>2</w:t>
            </w:r>
          </w:p>
        </w:tc>
        <w:tc>
          <w:tcPr>
            <w:tcW w:w="1111" w:type="dxa"/>
            <w:tcMar>
              <w:left w:w="28" w:type="dxa"/>
              <w:right w:w="28" w:type="dxa"/>
            </w:tcMar>
            <w:vAlign w:val="center"/>
          </w:tcPr>
          <w:p w14:paraId="6A3AC321">
            <w:pPr>
              <w:spacing w:line="276" w:lineRule="auto"/>
              <w:jc w:val="center"/>
              <w:rPr>
                <w:rFonts w:hint="eastAsia" w:ascii="仿宋" w:hAnsi="仿宋" w:eastAsia="仿宋"/>
                <w:sz w:val="24"/>
              </w:rPr>
            </w:pPr>
            <w:r>
              <w:rPr>
                <w:rFonts w:hint="eastAsia" w:ascii="仿宋" w:hAnsi="仿宋" w:eastAsia="仿宋"/>
                <w:sz w:val="24"/>
              </w:rPr>
              <w:t>讲授</w:t>
            </w:r>
          </w:p>
        </w:tc>
        <w:tc>
          <w:tcPr>
            <w:tcW w:w="6781" w:type="dxa"/>
            <w:tcBorders>
              <w:right w:val="single" w:color="auto" w:sz="8" w:space="0"/>
            </w:tcBorders>
            <w:vAlign w:val="center"/>
          </w:tcPr>
          <w:p w14:paraId="6B5CAA05">
            <w:pPr>
              <w:autoSpaceDE w:val="0"/>
              <w:autoSpaceDN w:val="0"/>
              <w:adjustRightInd w:val="0"/>
              <w:snapToGrid w:val="0"/>
              <w:spacing w:line="30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rPr>
              <w:t>满足需要，发展个性；</w:t>
            </w:r>
            <w:r>
              <w:rPr>
                <w:rFonts w:hint="eastAsia" w:ascii="仿宋" w:hAnsi="仿宋" w:eastAsia="仿宋" w:cs="宋体"/>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5CF36445">
            <w:pPr>
              <w:autoSpaceDE w:val="0"/>
              <w:autoSpaceDN w:val="0"/>
              <w:adjustRightInd w:val="0"/>
              <w:snapToGrid w:val="0"/>
              <w:spacing w:line="300" w:lineRule="exact"/>
              <w:jc w:val="left"/>
              <w:rPr>
                <w:rFonts w:hint="eastAsia"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采用多种教学方式（如启发式教学、导学式、发现式等），精讲多练，培养学生自学、自练、自评、互评等能力。</w:t>
            </w:r>
          </w:p>
          <w:p w14:paraId="005A9EFC">
            <w:pPr>
              <w:autoSpaceDE w:val="0"/>
              <w:autoSpaceDN w:val="0"/>
              <w:adjustRightInd w:val="0"/>
              <w:snapToGrid w:val="0"/>
              <w:spacing w:line="300" w:lineRule="exact"/>
              <w:jc w:val="left"/>
              <w:rPr>
                <w:rFonts w:hint="eastAsia" w:ascii="仿宋" w:hAnsi="仿宋" w:eastAsia="仿宋" w:cs="宋体"/>
                <w:kern w:val="0"/>
                <w:sz w:val="22"/>
              </w:rPr>
            </w:pPr>
            <w:r>
              <w:rPr>
                <w:rFonts w:hint="eastAsia" w:ascii="仿宋" w:hAnsi="仿宋" w:eastAsia="仿宋" w:cs="宋体"/>
                <w:kern w:val="0"/>
                <w:sz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2F91DCF3">
            <w:pPr>
              <w:autoSpaceDE w:val="0"/>
              <w:autoSpaceDN w:val="0"/>
              <w:adjustRightInd w:val="0"/>
              <w:snapToGrid w:val="0"/>
              <w:spacing w:line="300" w:lineRule="exact"/>
              <w:jc w:val="left"/>
              <w:rPr>
                <w:rFonts w:hint="eastAsia" w:ascii="仿宋" w:hAnsi="仿宋" w:eastAsia="仿宋" w:cs="宋体"/>
                <w:kern w:val="0"/>
                <w:sz w:val="22"/>
              </w:rPr>
            </w:pPr>
            <w:r>
              <w:rPr>
                <w:rFonts w:hint="eastAsia" w:ascii="仿宋" w:hAnsi="仿宋" w:eastAsia="仿宋" w:cs="宋体"/>
                <w:kern w:val="0"/>
                <w:sz w:val="22"/>
              </w:rPr>
              <w:t>4.区别对待，因材施教。重视安全和关心基础较差的学生成长。</w:t>
            </w:r>
          </w:p>
          <w:p w14:paraId="09D620FC">
            <w:pPr>
              <w:autoSpaceDE w:val="0"/>
              <w:autoSpaceDN w:val="0"/>
              <w:adjustRightInd w:val="0"/>
              <w:snapToGrid w:val="0"/>
              <w:spacing w:line="300" w:lineRule="exact"/>
              <w:jc w:val="left"/>
              <w:rPr>
                <w:rFonts w:hint="eastAsia" w:ascii="仿宋" w:hAnsi="仿宋" w:eastAsia="仿宋" w:cs="宋体"/>
                <w:kern w:val="0"/>
                <w:sz w:val="22"/>
              </w:rPr>
            </w:pPr>
            <w:r>
              <w:rPr>
                <w:rFonts w:hint="eastAsia" w:ascii="仿宋" w:hAnsi="仿宋" w:eastAsia="仿宋" w:cs="宋体"/>
                <w:kern w:val="0"/>
                <w:sz w:val="22"/>
              </w:rPr>
              <w:t>5.教学中教师要以身作则，言传身教，做到既教学又育人。培养学生的优良品质，达到身心全面发展。</w:t>
            </w:r>
          </w:p>
        </w:tc>
      </w:tr>
      <w:tr w14:paraId="5C97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2B80D3B0">
            <w:pPr>
              <w:spacing w:line="276" w:lineRule="auto"/>
              <w:jc w:val="center"/>
              <w:rPr>
                <w:rFonts w:hint="eastAsia" w:ascii="仿宋" w:hAnsi="仿宋" w:eastAsia="仿宋"/>
                <w:sz w:val="24"/>
              </w:rPr>
            </w:pPr>
            <w:r>
              <w:rPr>
                <w:rFonts w:ascii="仿宋" w:hAnsi="仿宋" w:eastAsia="仿宋"/>
                <w:sz w:val="24"/>
              </w:rPr>
              <w:t>3</w:t>
            </w:r>
          </w:p>
        </w:tc>
        <w:tc>
          <w:tcPr>
            <w:tcW w:w="1111" w:type="dxa"/>
            <w:tcMar>
              <w:left w:w="28" w:type="dxa"/>
              <w:right w:w="28" w:type="dxa"/>
            </w:tcMar>
            <w:vAlign w:val="center"/>
          </w:tcPr>
          <w:p w14:paraId="0845BE50">
            <w:pPr>
              <w:spacing w:line="276" w:lineRule="auto"/>
              <w:jc w:val="center"/>
              <w:rPr>
                <w:rFonts w:hint="eastAsia" w:ascii="仿宋" w:hAnsi="仿宋" w:eastAsia="仿宋"/>
                <w:sz w:val="24"/>
              </w:rPr>
            </w:pPr>
            <w:r>
              <w:rPr>
                <w:rFonts w:hint="eastAsia" w:ascii="仿宋" w:hAnsi="仿宋" w:eastAsia="仿宋"/>
                <w:sz w:val="24"/>
              </w:rPr>
              <w:t>课外练习</w:t>
            </w:r>
          </w:p>
        </w:tc>
        <w:tc>
          <w:tcPr>
            <w:tcW w:w="6781" w:type="dxa"/>
            <w:tcBorders>
              <w:right w:val="single" w:color="auto" w:sz="8" w:space="0"/>
            </w:tcBorders>
            <w:vAlign w:val="center"/>
          </w:tcPr>
          <w:p w14:paraId="76A2BF74">
            <w:pPr>
              <w:autoSpaceDE w:val="0"/>
              <w:autoSpaceDN w:val="0"/>
              <w:adjustRightInd w:val="0"/>
              <w:snapToGrid w:val="0"/>
              <w:spacing w:line="300" w:lineRule="exact"/>
              <w:jc w:val="left"/>
              <w:rPr>
                <w:rFonts w:hint="eastAsia" w:ascii="仿宋" w:hAnsi="仿宋" w:eastAsia="仿宋" w:cs="宋体"/>
                <w:kern w:val="0"/>
                <w:sz w:val="22"/>
              </w:rPr>
            </w:pPr>
            <w:r>
              <w:rPr>
                <w:rFonts w:hint="eastAsia" w:ascii="仿宋" w:hAnsi="仿宋" w:eastAsia="仿宋" w:cs="宋体"/>
                <w:kern w:val="0"/>
                <w:sz w:val="22"/>
              </w:rPr>
              <w:t>课外练习是教师布置课外练习内容，重点要求学生利用课余时间巩固课堂上所学的技术动作，形成正确的动力定型，同时要求学生加强身体素质练习。</w:t>
            </w:r>
          </w:p>
        </w:tc>
      </w:tr>
      <w:tr w14:paraId="5753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420AFA4A">
            <w:pPr>
              <w:spacing w:line="276" w:lineRule="auto"/>
              <w:jc w:val="center"/>
              <w:rPr>
                <w:rFonts w:hint="eastAsia" w:ascii="仿宋" w:hAnsi="仿宋" w:eastAsia="仿宋"/>
                <w:sz w:val="24"/>
              </w:rPr>
            </w:pPr>
            <w:r>
              <w:rPr>
                <w:rFonts w:ascii="仿宋" w:hAnsi="仿宋" w:eastAsia="仿宋"/>
                <w:sz w:val="24"/>
              </w:rPr>
              <w:t>4</w:t>
            </w:r>
          </w:p>
        </w:tc>
        <w:tc>
          <w:tcPr>
            <w:tcW w:w="1111" w:type="dxa"/>
            <w:tcMar>
              <w:left w:w="28" w:type="dxa"/>
              <w:right w:w="28" w:type="dxa"/>
            </w:tcMar>
            <w:vAlign w:val="center"/>
          </w:tcPr>
          <w:p w14:paraId="3A30C44C">
            <w:pPr>
              <w:spacing w:line="276" w:lineRule="auto"/>
              <w:jc w:val="center"/>
              <w:rPr>
                <w:rFonts w:hint="eastAsia" w:ascii="仿宋" w:hAnsi="仿宋" w:eastAsia="仿宋"/>
                <w:sz w:val="24"/>
              </w:rPr>
            </w:pPr>
            <w:r>
              <w:rPr>
                <w:rFonts w:hint="eastAsia" w:ascii="仿宋" w:hAnsi="仿宋" w:eastAsia="仿宋"/>
                <w:sz w:val="24"/>
              </w:rPr>
              <w:t>成绩考核</w:t>
            </w:r>
          </w:p>
        </w:tc>
        <w:tc>
          <w:tcPr>
            <w:tcW w:w="6781" w:type="dxa"/>
            <w:tcBorders>
              <w:right w:val="single" w:color="auto" w:sz="8" w:space="0"/>
            </w:tcBorders>
            <w:vAlign w:val="center"/>
          </w:tcPr>
          <w:p w14:paraId="7BE76229">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本课程考核的方式：考试。总评成绩的评定见课程评分方案。有下列情况之一者，总评成绩为不及格：</w:t>
            </w:r>
          </w:p>
          <w:p w14:paraId="76ADB4D4">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.课外</w:t>
            </w:r>
            <w:r>
              <w:rPr>
                <w:rFonts w:ascii="仿宋" w:hAnsi="仿宋" w:eastAsia="仿宋" w:cs="宋体"/>
                <w:kern w:val="0"/>
                <w:sz w:val="22"/>
              </w:rPr>
              <w:t>体育</w:t>
            </w:r>
            <w:r>
              <w:rPr>
                <w:rFonts w:hint="eastAsia" w:ascii="仿宋" w:hAnsi="仿宋" w:eastAsia="仿宋" w:cs="宋体"/>
                <w:kern w:val="0"/>
                <w:sz w:val="22"/>
              </w:rPr>
              <w:t>锻炼</w:t>
            </w:r>
            <w:r>
              <w:rPr>
                <w:rFonts w:ascii="仿宋" w:hAnsi="仿宋" w:eastAsia="仿宋" w:cs="宋体"/>
                <w:kern w:val="0"/>
                <w:sz w:val="22"/>
              </w:rPr>
              <w:t>不合格</w:t>
            </w:r>
            <w:r>
              <w:rPr>
                <w:rFonts w:hint="eastAsia" w:ascii="仿宋" w:hAnsi="仿宋" w:eastAsia="仿宋" w:cs="宋体"/>
                <w:kern w:val="0"/>
                <w:sz w:val="22"/>
              </w:rPr>
              <w:t>者；</w:t>
            </w:r>
          </w:p>
          <w:p w14:paraId="00FF25A0">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2.缺课次数达本学期总授课学时的</w:t>
            </w:r>
            <w:r>
              <w:rPr>
                <w:rFonts w:ascii="仿宋" w:hAnsi="仿宋" w:eastAsia="仿宋" w:cs="宋体"/>
                <w:kern w:val="0"/>
                <w:sz w:val="22"/>
              </w:rPr>
              <w:t>1/3</w:t>
            </w:r>
            <w:r>
              <w:rPr>
                <w:rFonts w:hint="eastAsia" w:ascii="仿宋" w:hAnsi="仿宋" w:eastAsia="仿宋" w:cs="宋体"/>
                <w:kern w:val="0"/>
                <w:sz w:val="22"/>
              </w:rPr>
              <w:t>以上者；</w:t>
            </w:r>
          </w:p>
        </w:tc>
      </w:tr>
    </w:tbl>
    <w:p w14:paraId="2B3146F7">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五</w:t>
      </w:r>
      <w:r>
        <w:rPr>
          <w:rFonts w:ascii="仿宋" w:hAnsi="仿宋" w:eastAsia="仿宋" w:cs="宋体"/>
          <w:b/>
          <w:sz w:val="28"/>
          <w:szCs w:val="28"/>
        </w:rPr>
        <w:t>、</w:t>
      </w:r>
      <w:r>
        <w:rPr>
          <w:rFonts w:hint="eastAsia" w:ascii="仿宋" w:hAnsi="仿宋" w:eastAsia="仿宋" w:cs="宋体"/>
          <w:b/>
          <w:sz w:val="28"/>
          <w:szCs w:val="28"/>
        </w:rPr>
        <w:t>课程考核</w:t>
      </w:r>
    </w:p>
    <w:p w14:paraId="1C7C3551">
      <w:pPr>
        <w:spacing w:line="360" w:lineRule="auto"/>
        <w:ind w:firstLine="480" w:firstLineChars="200"/>
        <w:rPr>
          <w:rFonts w:hint="eastAsia" w:ascii="仿宋" w:hAnsi="仿宋" w:eastAsia="仿宋"/>
          <w:sz w:val="24"/>
        </w:rPr>
      </w:pPr>
      <w:r>
        <w:rPr>
          <w:rFonts w:hint="eastAsia" w:ascii="仿宋" w:hAnsi="仿宋" w:eastAsia="仿宋"/>
          <w:sz w:val="24"/>
        </w:rPr>
        <w:t>（一）课程考核由期末考试和平时考核构成，期末考试采用随堂方式。</w:t>
      </w:r>
    </w:p>
    <w:p w14:paraId="6416381E">
      <w:pPr>
        <w:spacing w:line="360" w:lineRule="auto"/>
        <w:ind w:firstLine="480" w:firstLineChars="200"/>
        <w:jc w:val="left"/>
        <w:rPr>
          <w:rFonts w:hint="eastAsia" w:ascii="仿宋" w:hAnsi="仿宋" w:eastAsia="仿宋"/>
          <w:sz w:val="24"/>
        </w:rPr>
      </w:pPr>
      <w:r>
        <w:rPr>
          <w:rFonts w:hint="eastAsia" w:ascii="仿宋" w:hAnsi="仿宋" w:eastAsia="仿宋"/>
          <w:sz w:val="24"/>
        </w:rPr>
        <w:t>（二）课程总评成绩=平时成绩50%+期末考试50%，平时成绩=课堂表现10%+课外锻炼20%+体质测试20%。</w:t>
      </w:r>
    </w:p>
    <w:p w14:paraId="4373D2FB">
      <w:pPr>
        <w:spacing w:line="360" w:lineRule="auto"/>
        <w:ind w:firstLine="480" w:firstLineChars="200"/>
        <w:rPr>
          <w:rFonts w:hint="eastAsia" w:ascii="仿宋" w:hAnsi="仿宋" w:eastAsia="仿宋"/>
          <w:sz w:val="24"/>
        </w:rPr>
      </w:pPr>
      <w:r>
        <w:rPr>
          <w:rFonts w:ascii="仿宋" w:hAnsi="仿宋" w:eastAsia="仿宋"/>
          <w:sz w:val="24"/>
        </w:rPr>
        <w:t>具体内容和比例</w:t>
      </w:r>
      <w:r>
        <w:rPr>
          <w:rFonts w:hint="eastAsia" w:ascii="仿宋" w:hAnsi="仿宋" w:eastAsia="仿宋"/>
          <w:sz w:val="24"/>
        </w:rPr>
        <w:t>如表所示：</w:t>
      </w:r>
    </w:p>
    <w:tbl>
      <w:tblPr>
        <w:tblStyle w:val="13"/>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86"/>
        <w:gridCol w:w="1310"/>
      </w:tblGrid>
      <w:tr w14:paraId="67F4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tcMar>
              <w:left w:w="57" w:type="dxa"/>
              <w:right w:w="57" w:type="dxa"/>
            </w:tcMar>
            <w:vAlign w:val="center"/>
          </w:tcPr>
          <w:p w14:paraId="4D71B93B">
            <w:pPr>
              <w:jc w:val="center"/>
              <w:rPr>
                <w:rFonts w:hint="eastAsia" w:ascii="仿宋" w:hAnsi="仿宋" w:eastAsia="仿宋"/>
                <w:szCs w:val="21"/>
              </w:rPr>
            </w:pPr>
            <w:r>
              <w:rPr>
                <w:rFonts w:ascii="仿宋" w:hAnsi="仿宋" w:eastAsia="仿宋"/>
                <w:szCs w:val="21"/>
              </w:rPr>
              <w:t>成绩组成</w:t>
            </w:r>
          </w:p>
        </w:tc>
        <w:tc>
          <w:tcPr>
            <w:tcW w:w="1301" w:type="dxa"/>
            <w:shd w:val="clear" w:color="auto" w:fill="FFFFFF"/>
            <w:vAlign w:val="center"/>
          </w:tcPr>
          <w:p w14:paraId="1EDBE24E">
            <w:pPr>
              <w:jc w:val="center"/>
              <w:rPr>
                <w:rFonts w:hint="eastAsia" w:ascii="仿宋" w:hAnsi="仿宋" w:eastAsia="仿宋"/>
                <w:szCs w:val="21"/>
              </w:rPr>
            </w:pPr>
            <w:r>
              <w:rPr>
                <w:rFonts w:ascii="仿宋" w:hAnsi="仿宋" w:eastAsia="仿宋"/>
                <w:szCs w:val="21"/>
              </w:rPr>
              <w:t>考核/评价环节</w:t>
            </w:r>
          </w:p>
        </w:tc>
        <w:tc>
          <w:tcPr>
            <w:tcW w:w="741" w:type="dxa"/>
            <w:shd w:val="clear" w:color="auto" w:fill="FFFFFF"/>
            <w:vAlign w:val="center"/>
          </w:tcPr>
          <w:p w14:paraId="748583F4">
            <w:pPr>
              <w:jc w:val="center"/>
              <w:rPr>
                <w:rFonts w:hint="eastAsia" w:ascii="仿宋" w:hAnsi="仿宋" w:eastAsia="仿宋"/>
                <w:szCs w:val="21"/>
              </w:rPr>
            </w:pPr>
            <w:r>
              <w:rPr>
                <w:rFonts w:hint="eastAsia" w:ascii="仿宋" w:hAnsi="仿宋" w:eastAsia="仿宋"/>
                <w:szCs w:val="21"/>
              </w:rPr>
              <w:t>权重</w:t>
            </w:r>
          </w:p>
        </w:tc>
        <w:tc>
          <w:tcPr>
            <w:tcW w:w="4086" w:type="dxa"/>
            <w:shd w:val="clear" w:color="auto" w:fill="FFFFFF"/>
            <w:vAlign w:val="center"/>
          </w:tcPr>
          <w:p w14:paraId="41241BA1">
            <w:pPr>
              <w:jc w:val="center"/>
              <w:rPr>
                <w:rFonts w:hint="eastAsia" w:ascii="仿宋" w:hAnsi="仿宋" w:eastAsia="仿宋"/>
                <w:szCs w:val="21"/>
              </w:rPr>
            </w:pPr>
            <w:r>
              <w:rPr>
                <w:rFonts w:ascii="仿宋" w:hAnsi="仿宋" w:eastAsia="仿宋"/>
                <w:szCs w:val="21"/>
              </w:rPr>
              <w:t>考核/评价细则</w:t>
            </w:r>
          </w:p>
        </w:tc>
        <w:tc>
          <w:tcPr>
            <w:tcW w:w="1310" w:type="dxa"/>
            <w:shd w:val="clear" w:color="auto" w:fill="FFFFFF"/>
            <w:vAlign w:val="center"/>
          </w:tcPr>
          <w:p w14:paraId="2144D039">
            <w:pPr>
              <w:jc w:val="center"/>
              <w:rPr>
                <w:rFonts w:hint="eastAsia" w:ascii="仿宋" w:hAnsi="仿宋" w:eastAsia="仿宋"/>
                <w:szCs w:val="21"/>
              </w:rPr>
            </w:pPr>
            <w:r>
              <w:rPr>
                <w:rFonts w:ascii="仿宋" w:hAnsi="仿宋" w:eastAsia="仿宋"/>
                <w:szCs w:val="21"/>
              </w:rPr>
              <w:t>对应的毕业要求指标点</w:t>
            </w:r>
          </w:p>
        </w:tc>
      </w:tr>
      <w:tr w14:paraId="4FC2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tcMar>
              <w:left w:w="57" w:type="dxa"/>
              <w:right w:w="57" w:type="dxa"/>
            </w:tcMar>
            <w:vAlign w:val="center"/>
          </w:tcPr>
          <w:p w14:paraId="3873B1C5">
            <w:pPr>
              <w:jc w:val="center"/>
              <w:rPr>
                <w:rFonts w:hint="eastAsia" w:ascii="仿宋" w:hAnsi="仿宋" w:eastAsia="仿宋"/>
                <w:szCs w:val="21"/>
              </w:rPr>
            </w:pPr>
            <w:r>
              <w:rPr>
                <w:rFonts w:ascii="仿宋" w:hAnsi="仿宋" w:eastAsia="仿宋"/>
                <w:szCs w:val="21"/>
              </w:rPr>
              <w:t>平时成绩</w:t>
            </w:r>
          </w:p>
          <w:p w14:paraId="49779CE5">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vAlign w:val="center"/>
          </w:tcPr>
          <w:p w14:paraId="0CCADE3A">
            <w:pPr>
              <w:spacing w:line="276" w:lineRule="auto"/>
              <w:jc w:val="center"/>
              <w:rPr>
                <w:rFonts w:hint="eastAsia" w:ascii="仿宋" w:hAnsi="仿宋" w:eastAsia="仿宋"/>
                <w:szCs w:val="21"/>
              </w:rPr>
            </w:pPr>
            <w:r>
              <w:rPr>
                <w:rFonts w:hint="eastAsia" w:ascii="仿宋" w:hAnsi="仿宋" w:eastAsia="仿宋"/>
                <w:szCs w:val="21"/>
              </w:rPr>
              <w:t>课堂表现</w:t>
            </w:r>
          </w:p>
        </w:tc>
        <w:tc>
          <w:tcPr>
            <w:tcW w:w="741" w:type="dxa"/>
            <w:vAlign w:val="center"/>
          </w:tcPr>
          <w:p w14:paraId="5DBC1329">
            <w:pPr>
              <w:rPr>
                <w:rFonts w:hint="eastAsia" w:ascii="仿宋" w:hAnsi="仿宋" w:eastAsia="仿宋"/>
                <w:szCs w:val="21"/>
              </w:rPr>
            </w:pPr>
            <w:r>
              <w:rPr>
                <w:rFonts w:hint="eastAsia" w:ascii="仿宋" w:hAnsi="仿宋" w:eastAsia="仿宋"/>
                <w:szCs w:val="21"/>
              </w:rPr>
              <w:t xml:space="preserve"> </w:t>
            </w:r>
            <w:r>
              <w:rPr>
                <w:rFonts w:ascii="仿宋" w:hAnsi="仿宋" w:eastAsia="仿宋"/>
                <w:szCs w:val="21"/>
              </w:rPr>
              <w:t>10%</w:t>
            </w:r>
          </w:p>
        </w:tc>
        <w:tc>
          <w:tcPr>
            <w:tcW w:w="4086" w:type="dxa"/>
            <w:vAlign w:val="center"/>
          </w:tcPr>
          <w:p w14:paraId="1337FFA9">
            <w:pPr>
              <w:spacing w:line="320" w:lineRule="exact"/>
              <w:jc w:val="left"/>
              <w:rPr>
                <w:rFonts w:hint="eastAsia" w:ascii="仿宋" w:hAnsi="仿宋" w:eastAsia="仿宋"/>
                <w:sz w:val="24"/>
              </w:rPr>
            </w:pPr>
            <w:r>
              <w:rPr>
                <w:rFonts w:ascii="仿宋" w:hAnsi="仿宋" w:eastAsia="仿宋"/>
                <w:bCs/>
                <w:kern w:val="24"/>
                <w:szCs w:val="21"/>
              </w:rPr>
              <w:t>课堂</w:t>
            </w:r>
            <w:r>
              <w:rPr>
                <w:rFonts w:hint="eastAsia" w:ascii="仿宋" w:hAnsi="仿宋" w:eastAsia="仿宋"/>
                <w:bCs/>
                <w:kern w:val="24"/>
                <w:szCs w:val="21"/>
              </w:rPr>
              <w:t>整队</w:t>
            </w:r>
            <w:r>
              <w:rPr>
                <w:rFonts w:ascii="仿宋" w:hAnsi="仿宋" w:eastAsia="仿宋"/>
                <w:bCs/>
                <w:kern w:val="24"/>
                <w:szCs w:val="21"/>
              </w:rPr>
              <w:t>点名</w:t>
            </w:r>
            <w:r>
              <w:rPr>
                <w:rFonts w:hint="eastAsia" w:ascii="仿宋" w:hAnsi="仿宋" w:eastAsia="仿宋"/>
                <w:bCs/>
                <w:kern w:val="24"/>
                <w:szCs w:val="21"/>
              </w:rPr>
              <w:t>，考核</w:t>
            </w:r>
            <w:r>
              <w:rPr>
                <w:rFonts w:hint="eastAsia" w:ascii="仿宋" w:hAnsi="仿宋" w:eastAsia="仿宋"/>
                <w:szCs w:val="21"/>
              </w:rPr>
              <w:t>能否按时到勤，旷课一次扣</w:t>
            </w:r>
            <w:r>
              <w:rPr>
                <w:rFonts w:ascii="仿宋" w:hAnsi="仿宋" w:eastAsia="仿宋"/>
                <w:szCs w:val="21"/>
              </w:rPr>
              <w:t>20</w:t>
            </w:r>
            <w:r>
              <w:rPr>
                <w:rFonts w:hint="eastAsia" w:ascii="仿宋" w:hAnsi="仿宋" w:eastAsia="仿宋"/>
                <w:szCs w:val="21"/>
              </w:rPr>
              <w:t>分，迟到与早退等一次扣</w:t>
            </w:r>
            <w:r>
              <w:rPr>
                <w:rFonts w:ascii="仿宋" w:hAnsi="仿宋" w:eastAsia="仿宋"/>
                <w:szCs w:val="21"/>
              </w:rPr>
              <w:t>10</w:t>
            </w:r>
            <w:r>
              <w:rPr>
                <w:rFonts w:hint="eastAsia" w:ascii="仿宋" w:hAnsi="仿宋" w:eastAsia="仿宋"/>
                <w:szCs w:val="21"/>
              </w:rPr>
              <w:t>分。</w:t>
            </w:r>
          </w:p>
        </w:tc>
        <w:tc>
          <w:tcPr>
            <w:tcW w:w="1310" w:type="dxa"/>
            <w:vAlign w:val="center"/>
          </w:tcPr>
          <w:p w14:paraId="6657C238">
            <w:pPr>
              <w:jc w:val="center"/>
              <w:rPr>
                <w:rFonts w:hint="eastAsia" w:ascii="仿宋" w:hAnsi="仿宋" w:eastAsia="仿宋"/>
                <w:szCs w:val="21"/>
              </w:rPr>
            </w:pPr>
            <w:r>
              <w:rPr>
                <w:rFonts w:hint="eastAsia" w:ascii="仿宋" w:hAnsi="仿宋" w:eastAsia="仿宋"/>
                <w:bCs/>
                <w:szCs w:val="21"/>
              </w:rPr>
              <w:t>8、</w:t>
            </w:r>
            <w:r>
              <w:rPr>
                <w:rFonts w:ascii="仿宋" w:hAnsi="仿宋" w:eastAsia="仿宋"/>
                <w:bCs/>
                <w:szCs w:val="21"/>
              </w:rPr>
              <w:t>9</w:t>
            </w:r>
          </w:p>
        </w:tc>
      </w:tr>
      <w:tr w14:paraId="1452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tcMar>
              <w:left w:w="57" w:type="dxa"/>
              <w:right w:w="57" w:type="dxa"/>
            </w:tcMar>
            <w:vAlign w:val="center"/>
          </w:tcPr>
          <w:p w14:paraId="00D7FE6F">
            <w:pPr>
              <w:jc w:val="center"/>
              <w:rPr>
                <w:rFonts w:hint="eastAsia" w:ascii="仿宋" w:hAnsi="仿宋" w:eastAsia="仿宋"/>
                <w:szCs w:val="21"/>
              </w:rPr>
            </w:pPr>
          </w:p>
        </w:tc>
        <w:tc>
          <w:tcPr>
            <w:tcW w:w="1301" w:type="dxa"/>
            <w:vAlign w:val="center"/>
          </w:tcPr>
          <w:p w14:paraId="794896DA">
            <w:pPr>
              <w:spacing w:line="276" w:lineRule="auto"/>
              <w:jc w:val="center"/>
              <w:rPr>
                <w:rFonts w:hint="eastAsia" w:ascii="仿宋" w:hAnsi="仿宋" w:eastAsia="仿宋"/>
                <w:szCs w:val="21"/>
              </w:rPr>
            </w:pPr>
            <w:r>
              <w:rPr>
                <w:rFonts w:hint="eastAsia" w:ascii="仿宋" w:hAnsi="仿宋" w:eastAsia="仿宋"/>
                <w:szCs w:val="21"/>
              </w:rPr>
              <w:t>课外锻炼</w:t>
            </w:r>
          </w:p>
        </w:tc>
        <w:tc>
          <w:tcPr>
            <w:tcW w:w="741" w:type="dxa"/>
            <w:vAlign w:val="center"/>
          </w:tcPr>
          <w:p w14:paraId="70D021AE">
            <w:pPr>
              <w:rPr>
                <w:rFonts w:hint="eastAsia" w:ascii="仿宋" w:hAnsi="仿宋" w:eastAsia="仿宋"/>
                <w:szCs w:val="21"/>
              </w:rPr>
            </w:pPr>
            <w:r>
              <w:rPr>
                <w:rFonts w:hint="eastAsia" w:ascii="仿宋" w:hAnsi="仿宋" w:eastAsia="仿宋"/>
                <w:szCs w:val="21"/>
              </w:rPr>
              <w:t xml:space="preserve"> </w:t>
            </w:r>
            <w:r>
              <w:rPr>
                <w:rFonts w:ascii="仿宋" w:hAnsi="仿宋" w:eastAsia="仿宋"/>
                <w:szCs w:val="21"/>
              </w:rPr>
              <w:t>20%</w:t>
            </w:r>
          </w:p>
        </w:tc>
        <w:tc>
          <w:tcPr>
            <w:tcW w:w="4086" w:type="dxa"/>
            <w:vAlign w:val="center"/>
          </w:tcPr>
          <w:p w14:paraId="7BA8F895">
            <w:pPr>
              <w:spacing w:line="320" w:lineRule="exact"/>
              <w:jc w:val="left"/>
              <w:rPr>
                <w:rFonts w:hint="eastAsia" w:ascii="仿宋" w:hAnsi="仿宋" w:eastAsia="仿宋"/>
                <w:bCs/>
                <w:kern w:val="24"/>
                <w:szCs w:val="21"/>
              </w:rPr>
            </w:pPr>
            <w:r>
              <w:rPr>
                <w:rFonts w:hint="eastAsia" w:ascii="仿宋" w:hAnsi="仿宋" w:eastAsia="仿宋"/>
                <w:bCs/>
                <w:kern w:val="24"/>
                <w:szCs w:val="21"/>
              </w:rPr>
              <w:t>课外</w:t>
            </w:r>
            <w:r>
              <w:rPr>
                <w:rFonts w:ascii="仿宋" w:hAnsi="仿宋" w:eastAsia="仿宋"/>
                <w:bCs/>
                <w:kern w:val="24"/>
                <w:szCs w:val="21"/>
              </w:rPr>
              <w:t>体育</w:t>
            </w:r>
            <w:r>
              <w:rPr>
                <w:rFonts w:hint="eastAsia" w:ascii="仿宋" w:hAnsi="仿宋" w:eastAsia="仿宋"/>
                <w:bCs/>
                <w:kern w:val="24"/>
                <w:szCs w:val="21"/>
              </w:rPr>
              <w:t>锻炼成绩纳入学期体育成绩总评，占总评分数的</w:t>
            </w:r>
            <w:r>
              <w:rPr>
                <w:rFonts w:ascii="仿宋" w:hAnsi="仿宋" w:eastAsia="仿宋"/>
                <w:bCs/>
                <w:kern w:val="24"/>
                <w:szCs w:val="21"/>
              </w:rPr>
              <w:t>2</w:t>
            </w:r>
            <w:r>
              <w:rPr>
                <w:rFonts w:hint="eastAsia" w:ascii="仿宋" w:hAnsi="仿宋" w:eastAsia="仿宋"/>
                <w:bCs/>
                <w:kern w:val="24"/>
                <w:szCs w:val="21"/>
              </w:rPr>
              <w:t>0%。主</w:t>
            </w:r>
            <w:r>
              <w:rPr>
                <w:rFonts w:ascii="仿宋" w:hAnsi="仿宋" w:eastAsia="仿宋"/>
                <w:bCs/>
                <w:kern w:val="24"/>
                <w:szCs w:val="21"/>
              </w:rPr>
              <w:t>要</w:t>
            </w:r>
            <w:r>
              <w:rPr>
                <w:rFonts w:hint="eastAsia" w:ascii="仿宋" w:hAnsi="仿宋" w:eastAsia="仿宋"/>
                <w:bCs/>
                <w:kern w:val="24"/>
                <w:szCs w:val="21"/>
              </w:rPr>
              <w:t>包括晨跑、课外健身跑、健身辅导站、体育社团或单项协会健身活动和校级、院级、体育社团组织的体育竞赛活动等。</w:t>
            </w:r>
          </w:p>
        </w:tc>
        <w:tc>
          <w:tcPr>
            <w:tcW w:w="1310" w:type="dxa"/>
            <w:vAlign w:val="center"/>
          </w:tcPr>
          <w:p w14:paraId="1C556D62">
            <w:pPr>
              <w:jc w:val="center"/>
              <w:rPr>
                <w:rFonts w:hint="eastAsia" w:ascii="仿宋" w:hAnsi="仿宋" w:eastAsia="仿宋"/>
              </w:rPr>
            </w:pPr>
            <w:r>
              <w:rPr>
                <w:rFonts w:hint="eastAsia" w:ascii="仿宋" w:hAnsi="仿宋" w:eastAsia="仿宋"/>
              </w:rPr>
              <w:t>8、9</w:t>
            </w:r>
          </w:p>
        </w:tc>
      </w:tr>
      <w:tr w14:paraId="6A42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040" w:type="dxa"/>
            <w:vMerge w:val="continue"/>
            <w:tcMar>
              <w:left w:w="57" w:type="dxa"/>
              <w:right w:w="57" w:type="dxa"/>
            </w:tcMar>
            <w:vAlign w:val="center"/>
          </w:tcPr>
          <w:p w14:paraId="2A2906F4">
            <w:pPr>
              <w:jc w:val="center"/>
              <w:rPr>
                <w:rFonts w:hint="eastAsia" w:ascii="仿宋" w:hAnsi="仿宋" w:eastAsia="仿宋"/>
                <w:szCs w:val="21"/>
              </w:rPr>
            </w:pPr>
          </w:p>
        </w:tc>
        <w:tc>
          <w:tcPr>
            <w:tcW w:w="1301" w:type="dxa"/>
            <w:vAlign w:val="center"/>
          </w:tcPr>
          <w:p w14:paraId="02FC8DFE">
            <w:pPr>
              <w:spacing w:line="276" w:lineRule="auto"/>
              <w:jc w:val="center"/>
              <w:rPr>
                <w:rFonts w:hint="eastAsia" w:ascii="仿宋" w:hAnsi="仿宋" w:eastAsia="仿宋"/>
                <w:szCs w:val="21"/>
              </w:rPr>
            </w:pPr>
            <w:r>
              <w:rPr>
                <w:rFonts w:hint="eastAsia" w:ascii="仿宋" w:hAnsi="仿宋" w:eastAsia="仿宋"/>
                <w:szCs w:val="21"/>
              </w:rPr>
              <w:t>体质测试</w:t>
            </w:r>
          </w:p>
        </w:tc>
        <w:tc>
          <w:tcPr>
            <w:tcW w:w="741" w:type="dxa"/>
            <w:vAlign w:val="center"/>
          </w:tcPr>
          <w:p w14:paraId="2DE00A76">
            <w:pPr>
              <w:jc w:val="center"/>
              <w:rPr>
                <w:rFonts w:hint="eastAsia" w:ascii="仿宋" w:hAnsi="仿宋" w:eastAsia="仿宋"/>
                <w:szCs w:val="21"/>
              </w:rPr>
            </w:pPr>
            <w:r>
              <w:rPr>
                <w:rFonts w:ascii="仿宋" w:hAnsi="仿宋" w:eastAsia="仿宋"/>
                <w:szCs w:val="21"/>
              </w:rPr>
              <w:t>2</w:t>
            </w:r>
            <w:r>
              <w:rPr>
                <w:rFonts w:hint="eastAsia" w:ascii="仿宋" w:hAnsi="仿宋" w:eastAsia="仿宋"/>
                <w:szCs w:val="21"/>
              </w:rPr>
              <w:t>0</w:t>
            </w:r>
            <w:r>
              <w:rPr>
                <w:rFonts w:ascii="仿宋" w:hAnsi="仿宋" w:eastAsia="仿宋"/>
                <w:szCs w:val="21"/>
              </w:rPr>
              <w:t>%</w:t>
            </w:r>
          </w:p>
        </w:tc>
        <w:tc>
          <w:tcPr>
            <w:tcW w:w="4086" w:type="dxa"/>
            <w:vAlign w:val="center"/>
          </w:tcPr>
          <w:p w14:paraId="06FE2BC3">
            <w:pPr>
              <w:spacing w:line="320" w:lineRule="exact"/>
              <w:jc w:val="left"/>
              <w:rPr>
                <w:rFonts w:hint="eastAsia" w:ascii="仿宋" w:hAnsi="仿宋" w:eastAsia="仿宋"/>
                <w:sz w:val="24"/>
              </w:rPr>
            </w:pPr>
            <w:r>
              <w:rPr>
                <w:rFonts w:hint="eastAsia" w:ascii="仿宋" w:hAnsi="仿宋" w:eastAsia="仿宋"/>
                <w:bCs/>
                <w:kern w:val="24"/>
                <w:szCs w:val="21"/>
              </w:rPr>
              <w:t>根据《国家学生体质健康标准》</w:t>
            </w:r>
            <w:r>
              <w:rPr>
                <w:rFonts w:ascii="仿宋" w:hAnsi="仿宋" w:eastAsia="仿宋"/>
                <w:bCs/>
                <w:kern w:val="24"/>
                <w:szCs w:val="21"/>
              </w:rPr>
              <w:t>测试要求</w:t>
            </w:r>
            <w:r>
              <w:rPr>
                <w:rFonts w:hint="eastAsia" w:ascii="仿宋" w:hAnsi="仿宋" w:eastAsia="仿宋"/>
                <w:bCs/>
                <w:kern w:val="24"/>
                <w:szCs w:val="21"/>
              </w:rPr>
              <w:t>，测试身高、体重、肺活量、立定跳远、一分钟仰卧起坐（女）/引体向上（男）、坐位体前屈、50M、1000M（男）/800M（女）等</w:t>
            </w:r>
            <w:r>
              <w:rPr>
                <w:rFonts w:ascii="仿宋" w:hAnsi="仿宋" w:eastAsia="仿宋"/>
                <w:bCs/>
                <w:kern w:val="24"/>
                <w:szCs w:val="21"/>
              </w:rPr>
              <w:t>八</w:t>
            </w:r>
            <w:r>
              <w:rPr>
                <w:rFonts w:hint="eastAsia" w:ascii="仿宋" w:hAnsi="仿宋" w:eastAsia="仿宋"/>
                <w:bCs/>
                <w:kern w:val="24"/>
                <w:szCs w:val="21"/>
              </w:rPr>
              <w:t>个</w:t>
            </w:r>
            <w:r>
              <w:rPr>
                <w:rFonts w:ascii="仿宋" w:hAnsi="仿宋" w:eastAsia="仿宋"/>
                <w:bCs/>
                <w:kern w:val="24"/>
                <w:szCs w:val="21"/>
              </w:rPr>
              <w:t>项</w:t>
            </w:r>
            <w:r>
              <w:rPr>
                <w:rFonts w:hint="eastAsia" w:ascii="仿宋" w:hAnsi="仿宋" w:eastAsia="仿宋"/>
                <w:bCs/>
                <w:kern w:val="24"/>
                <w:szCs w:val="21"/>
              </w:rPr>
              <w:t>目；</w:t>
            </w:r>
            <w:r>
              <w:rPr>
                <w:rFonts w:ascii="仿宋" w:hAnsi="仿宋" w:eastAsia="仿宋"/>
                <w:bCs/>
                <w:kern w:val="24"/>
                <w:szCs w:val="21"/>
              </w:rPr>
              <w:t>课堂测试</w:t>
            </w:r>
            <w:r>
              <w:rPr>
                <w:rFonts w:hint="eastAsia" w:ascii="仿宋" w:hAnsi="仿宋" w:eastAsia="仿宋"/>
                <w:bCs/>
                <w:kern w:val="24"/>
                <w:szCs w:val="21"/>
              </w:rPr>
              <w:t>，评分参照《国</w:t>
            </w:r>
            <w:r>
              <w:rPr>
                <w:rFonts w:ascii="仿宋" w:hAnsi="仿宋" w:eastAsia="仿宋"/>
                <w:bCs/>
                <w:kern w:val="24"/>
                <w:szCs w:val="21"/>
              </w:rPr>
              <w:t>家</w:t>
            </w:r>
            <w:r>
              <w:rPr>
                <w:rFonts w:hint="eastAsia" w:ascii="仿宋" w:hAnsi="仿宋" w:eastAsia="仿宋"/>
                <w:bCs/>
                <w:kern w:val="24"/>
                <w:szCs w:val="21"/>
              </w:rPr>
              <w:t>学生体质健康标准》</w:t>
            </w:r>
            <w:r>
              <w:rPr>
                <w:rFonts w:ascii="仿宋" w:hAnsi="仿宋" w:eastAsia="仿宋"/>
                <w:bCs/>
                <w:kern w:val="24"/>
                <w:szCs w:val="21"/>
              </w:rPr>
              <w:t>。</w:t>
            </w:r>
          </w:p>
        </w:tc>
        <w:tc>
          <w:tcPr>
            <w:tcW w:w="1310" w:type="dxa"/>
            <w:vAlign w:val="center"/>
          </w:tcPr>
          <w:p w14:paraId="5FE1889E">
            <w:pPr>
              <w:jc w:val="center"/>
              <w:rPr>
                <w:rFonts w:hint="eastAsia" w:ascii="仿宋" w:hAnsi="仿宋" w:eastAsia="仿宋"/>
              </w:rPr>
            </w:pPr>
            <w:r>
              <w:rPr>
                <w:rFonts w:hint="eastAsia" w:ascii="仿宋" w:hAnsi="仿宋" w:eastAsia="仿宋"/>
              </w:rPr>
              <w:t>8、9</w:t>
            </w:r>
          </w:p>
        </w:tc>
      </w:tr>
      <w:tr w14:paraId="5988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tcMar>
              <w:left w:w="57" w:type="dxa"/>
              <w:right w:w="57" w:type="dxa"/>
            </w:tcMar>
            <w:vAlign w:val="center"/>
          </w:tcPr>
          <w:p w14:paraId="264DD869">
            <w:pPr>
              <w:jc w:val="center"/>
              <w:rPr>
                <w:rFonts w:hint="eastAsia" w:ascii="仿宋" w:hAnsi="仿宋" w:eastAsia="仿宋"/>
                <w:szCs w:val="21"/>
              </w:rPr>
            </w:pPr>
            <w:r>
              <w:rPr>
                <w:rFonts w:ascii="仿宋" w:hAnsi="仿宋" w:eastAsia="仿宋"/>
                <w:szCs w:val="21"/>
              </w:rPr>
              <w:t>期末考试</w:t>
            </w:r>
          </w:p>
          <w:p w14:paraId="1373F4E3">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vAlign w:val="center"/>
          </w:tcPr>
          <w:p w14:paraId="6286598B">
            <w:pPr>
              <w:jc w:val="center"/>
              <w:rPr>
                <w:rFonts w:hint="eastAsia" w:ascii="仿宋" w:hAnsi="仿宋" w:eastAsia="仿宋"/>
                <w:szCs w:val="21"/>
              </w:rPr>
            </w:pPr>
            <w:r>
              <w:rPr>
                <w:rFonts w:ascii="仿宋" w:hAnsi="仿宋" w:eastAsia="仿宋"/>
                <w:szCs w:val="21"/>
              </w:rPr>
              <w:t>期末</w:t>
            </w:r>
            <w:r>
              <w:rPr>
                <w:rFonts w:hint="eastAsia" w:ascii="仿宋" w:hAnsi="仿宋" w:eastAsia="仿宋"/>
                <w:szCs w:val="21"/>
              </w:rPr>
              <w:t>运动技能</w:t>
            </w:r>
            <w:r>
              <w:rPr>
                <w:rFonts w:ascii="仿宋" w:hAnsi="仿宋" w:eastAsia="仿宋"/>
                <w:szCs w:val="21"/>
              </w:rPr>
              <w:t>考试</w:t>
            </w:r>
          </w:p>
        </w:tc>
        <w:tc>
          <w:tcPr>
            <w:tcW w:w="741" w:type="dxa"/>
            <w:vAlign w:val="center"/>
          </w:tcPr>
          <w:p w14:paraId="5726025C">
            <w:pPr>
              <w:jc w:val="center"/>
              <w:rPr>
                <w:rFonts w:hint="eastAsia" w:ascii="仿宋" w:hAnsi="仿宋" w:eastAsia="仿宋"/>
                <w:szCs w:val="21"/>
              </w:rPr>
            </w:pPr>
            <w:r>
              <w:rPr>
                <w:rFonts w:hint="eastAsia" w:ascii="仿宋" w:hAnsi="仿宋" w:eastAsia="仿宋"/>
                <w:szCs w:val="21"/>
              </w:rPr>
              <w:t xml:space="preserve">   </w:t>
            </w:r>
            <w:r>
              <w:rPr>
                <w:rFonts w:ascii="仿宋" w:hAnsi="仿宋" w:eastAsia="仿宋"/>
                <w:szCs w:val="21"/>
              </w:rPr>
              <w:t>5</w:t>
            </w:r>
            <w:r>
              <w:rPr>
                <w:rFonts w:hint="eastAsia" w:ascii="仿宋" w:hAnsi="仿宋" w:eastAsia="仿宋"/>
                <w:szCs w:val="21"/>
              </w:rPr>
              <w:t>0</w:t>
            </w:r>
            <w:r>
              <w:rPr>
                <w:rFonts w:ascii="仿宋" w:hAnsi="仿宋" w:eastAsia="仿宋"/>
                <w:szCs w:val="21"/>
              </w:rPr>
              <w:t>%</w:t>
            </w:r>
          </w:p>
        </w:tc>
        <w:tc>
          <w:tcPr>
            <w:tcW w:w="4086" w:type="dxa"/>
            <w:vAlign w:val="center"/>
          </w:tcPr>
          <w:p w14:paraId="68356D98">
            <w:pPr>
              <w:spacing w:line="400" w:lineRule="exact"/>
              <w:jc w:val="center"/>
              <w:rPr>
                <w:rFonts w:hint="eastAsia" w:ascii="仿宋" w:hAnsi="仿宋" w:eastAsia="仿宋"/>
                <w:color w:val="000000"/>
                <w:szCs w:val="21"/>
              </w:rPr>
            </w:pPr>
            <w:r>
              <w:rPr>
                <w:rFonts w:hint="eastAsia" w:ascii="仿宋" w:hAnsi="仿宋" w:eastAsia="仿宋"/>
                <w:color w:val="000000"/>
                <w:szCs w:val="21"/>
              </w:rPr>
              <w:t>各专项技能</w:t>
            </w:r>
          </w:p>
        </w:tc>
        <w:tc>
          <w:tcPr>
            <w:tcW w:w="1310" w:type="dxa"/>
            <w:vAlign w:val="center"/>
          </w:tcPr>
          <w:p w14:paraId="64BA48D1">
            <w:pPr>
              <w:jc w:val="center"/>
              <w:rPr>
                <w:rFonts w:hint="eastAsia" w:ascii="仿宋" w:hAnsi="仿宋" w:eastAsia="仿宋"/>
                <w:szCs w:val="21"/>
              </w:rPr>
            </w:pPr>
            <w:r>
              <w:rPr>
                <w:rFonts w:hint="eastAsia" w:ascii="仿宋" w:hAnsi="仿宋" w:eastAsia="仿宋"/>
                <w:bCs/>
                <w:szCs w:val="21"/>
              </w:rPr>
              <w:t>8、9</w:t>
            </w:r>
          </w:p>
        </w:tc>
      </w:tr>
    </w:tbl>
    <w:p w14:paraId="6149B21C">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六</w:t>
      </w:r>
      <w:r>
        <w:rPr>
          <w:rFonts w:ascii="仿宋" w:hAnsi="仿宋" w:eastAsia="仿宋"/>
          <w:b/>
          <w:sz w:val="28"/>
          <w:szCs w:val="28"/>
        </w:rPr>
        <w:t>、</w:t>
      </w:r>
      <w:r>
        <w:rPr>
          <w:rFonts w:hint="eastAsia" w:ascii="仿宋" w:hAnsi="仿宋" w:eastAsia="仿宋"/>
          <w:b/>
          <w:sz w:val="28"/>
          <w:szCs w:val="28"/>
        </w:rPr>
        <w:t>有关说明</w:t>
      </w:r>
    </w:p>
    <w:p w14:paraId="6342CDD6">
      <w:pPr>
        <w:spacing w:line="360" w:lineRule="auto"/>
        <w:ind w:firstLine="482" w:firstLineChars="200"/>
        <w:rPr>
          <w:rFonts w:hint="eastAsia" w:ascii="仿宋" w:hAnsi="仿宋" w:eastAsia="仿宋"/>
          <w:b/>
          <w:color w:val="000000"/>
          <w:sz w:val="24"/>
        </w:rPr>
      </w:pPr>
      <w:r>
        <w:rPr>
          <w:rFonts w:hint="eastAsia" w:ascii="仿宋" w:hAnsi="仿宋" w:eastAsia="仿宋"/>
          <w:b/>
          <w:color w:val="000000"/>
          <w:sz w:val="24"/>
        </w:rPr>
        <w:t>（一）持续改进</w:t>
      </w:r>
    </w:p>
    <w:p w14:paraId="14DF79A4">
      <w:pPr>
        <w:spacing w:line="360" w:lineRule="auto"/>
        <w:ind w:firstLine="480" w:firstLineChars="200"/>
        <w:rPr>
          <w:rFonts w:hint="eastAsia" w:ascii="仿宋" w:hAnsi="仿宋" w:eastAsia="仿宋"/>
          <w:sz w:val="24"/>
        </w:rPr>
      </w:pPr>
      <w:r>
        <w:rPr>
          <w:rFonts w:hint="eastAsia" w:ascii="仿宋" w:hAnsi="仿宋" w:eastAsia="仿宋"/>
          <w:sz w:val="24"/>
        </w:rPr>
        <w:t>本课程根据学生课外</w:t>
      </w:r>
      <w:r>
        <w:rPr>
          <w:rFonts w:ascii="仿宋" w:hAnsi="仿宋" w:eastAsia="仿宋"/>
          <w:sz w:val="24"/>
        </w:rPr>
        <w:t>体育</w:t>
      </w:r>
      <w:r>
        <w:rPr>
          <w:rFonts w:hint="eastAsia" w:ascii="仿宋" w:hAnsi="仿宋" w:eastAsia="仿宋"/>
          <w:sz w:val="24"/>
        </w:rPr>
        <w:t>锻炼、课堂表现、体质测试、平时考核情况，以及学生、教学督导等反馈，及时对教学中不足之处进行改进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5C4A3575">
      <w:pPr>
        <w:spacing w:line="360" w:lineRule="auto"/>
        <w:ind w:firstLine="482" w:firstLineChars="200"/>
        <w:jc w:val="left"/>
        <w:rPr>
          <w:rFonts w:hint="eastAsia" w:ascii="仿宋" w:hAnsi="仿宋" w:eastAsia="仿宋"/>
          <w:sz w:val="24"/>
        </w:rPr>
      </w:pPr>
      <w:r>
        <w:rPr>
          <w:rFonts w:hint="eastAsia" w:ascii="仿宋" w:hAnsi="仿宋" w:eastAsia="仿宋"/>
          <w:b/>
          <w:color w:val="000000"/>
          <w:sz w:val="24"/>
        </w:rPr>
        <w:t>（二）教学参考书</w:t>
      </w:r>
    </w:p>
    <w:p w14:paraId="25F1C224">
      <w:pPr>
        <w:spacing w:line="360" w:lineRule="auto"/>
        <w:ind w:firstLine="480" w:firstLineChars="200"/>
        <w:jc w:val="left"/>
        <w:rPr>
          <w:rFonts w:hint="eastAsia"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46B1A37D">
      <w:pPr>
        <w:wordWrap w:val="0"/>
        <w:spacing w:line="360" w:lineRule="exact"/>
        <w:ind w:firstLine="480" w:firstLineChars="200"/>
        <w:jc w:val="right"/>
        <w:rPr>
          <w:rFonts w:hint="eastAsia" w:ascii="仿宋" w:hAnsi="仿宋" w:eastAsia="仿宋"/>
          <w:sz w:val="24"/>
        </w:rPr>
      </w:pPr>
      <w:r>
        <w:rPr>
          <w:rFonts w:hint="eastAsia" w:ascii="仿宋" w:hAnsi="仿宋" w:eastAsia="仿宋"/>
          <w:sz w:val="24"/>
        </w:rPr>
        <w:t xml:space="preserve">执笔人：顾 </w:t>
      </w:r>
      <w:r>
        <w:rPr>
          <w:rFonts w:ascii="仿宋" w:hAnsi="仿宋" w:eastAsia="仿宋"/>
          <w:sz w:val="24"/>
        </w:rPr>
        <w:t xml:space="preserve"> </w:t>
      </w:r>
      <w:r>
        <w:rPr>
          <w:rFonts w:hint="eastAsia" w:ascii="仿宋" w:hAnsi="仿宋" w:eastAsia="仿宋"/>
          <w:sz w:val="24"/>
        </w:rPr>
        <w:t xml:space="preserve">宏 </w:t>
      </w:r>
    </w:p>
    <w:p w14:paraId="27D9C608">
      <w:pPr>
        <w:wordWrap w:val="0"/>
        <w:spacing w:line="360" w:lineRule="exact"/>
        <w:ind w:firstLine="480" w:firstLineChars="200"/>
        <w:jc w:val="right"/>
        <w:rPr>
          <w:rFonts w:hint="eastAsia" w:ascii="仿宋" w:hAnsi="仿宋" w:eastAsia="仿宋"/>
          <w:sz w:val="24"/>
        </w:rPr>
      </w:pPr>
      <w:r>
        <w:rPr>
          <w:rFonts w:hint="eastAsia" w:ascii="仿宋" w:hAnsi="仿宋" w:eastAsia="仿宋"/>
          <w:sz w:val="24"/>
        </w:rPr>
        <w:t>审定人：朱亚</w:t>
      </w:r>
      <w:r>
        <w:rPr>
          <w:rFonts w:ascii="仿宋" w:hAnsi="仿宋" w:eastAsia="仿宋"/>
          <w:sz w:val="24"/>
        </w:rPr>
        <w:t>男</w:t>
      </w:r>
      <w:r>
        <w:rPr>
          <w:rFonts w:hint="eastAsia" w:ascii="仿宋" w:hAnsi="仿宋" w:eastAsia="仿宋"/>
          <w:sz w:val="24"/>
        </w:rPr>
        <w:t xml:space="preserve"> </w:t>
      </w:r>
    </w:p>
    <w:p w14:paraId="688EEFA7">
      <w:pPr>
        <w:wordWrap w:val="0"/>
        <w:spacing w:line="360" w:lineRule="exact"/>
        <w:ind w:firstLine="480" w:firstLineChars="200"/>
        <w:jc w:val="right"/>
        <w:rPr>
          <w:rFonts w:hint="eastAsia" w:ascii="仿宋" w:hAnsi="仿宋" w:eastAsia="仿宋"/>
          <w:sz w:val="24"/>
        </w:rPr>
      </w:pPr>
      <w:r>
        <w:rPr>
          <w:rFonts w:hint="eastAsia" w:ascii="仿宋" w:hAnsi="仿宋" w:eastAsia="仿宋"/>
          <w:sz w:val="24"/>
        </w:rPr>
        <w:t>批准人：王红</w:t>
      </w:r>
      <w:r>
        <w:rPr>
          <w:rFonts w:ascii="仿宋" w:hAnsi="仿宋" w:eastAsia="仿宋"/>
          <w:sz w:val="24"/>
        </w:rPr>
        <w:t>福</w:t>
      </w:r>
      <w:r>
        <w:rPr>
          <w:rFonts w:hint="eastAsia" w:ascii="仿宋" w:hAnsi="仿宋" w:eastAsia="仿宋"/>
          <w:sz w:val="24"/>
        </w:rPr>
        <w:t xml:space="preserve"> </w:t>
      </w:r>
    </w:p>
    <w:p w14:paraId="4E8CD633">
      <w:pPr>
        <w:spacing w:line="312" w:lineRule="auto"/>
        <w:jc w:val="center"/>
        <w:rPr>
          <w:rFonts w:hint="eastAsia" w:ascii="仿宋" w:hAnsi="仿宋" w:eastAsia="仿宋"/>
          <w:b/>
          <w:bCs/>
          <w:sz w:val="30"/>
        </w:rPr>
      </w:pPr>
    </w:p>
    <w:p w14:paraId="0C023806">
      <w:pPr>
        <w:spacing w:line="312" w:lineRule="auto"/>
        <w:jc w:val="center"/>
        <w:rPr>
          <w:rFonts w:hint="eastAsia" w:ascii="仿宋" w:hAnsi="仿宋" w:eastAsia="仿宋"/>
          <w:b/>
          <w:bCs/>
          <w:sz w:val="30"/>
        </w:rPr>
      </w:pPr>
    </w:p>
    <w:p w14:paraId="4C2BFB52">
      <w:pPr>
        <w:spacing w:line="312" w:lineRule="auto"/>
        <w:jc w:val="center"/>
        <w:rPr>
          <w:rFonts w:hint="eastAsia" w:ascii="仿宋" w:hAnsi="仿宋" w:eastAsia="仿宋"/>
          <w:b/>
          <w:bCs/>
          <w:sz w:val="30"/>
        </w:rPr>
      </w:pPr>
    </w:p>
    <w:p w14:paraId="4E555B05">
      <w:pPr>
        <w:spacing w:line="312" w:lineRule="auto"/>
        <w:jc w:val="center"/>
        <w:rPr>
          <w:rFonts w:hint="eastAsia" w:ascii="仿宋" w:hAnsi="仿宋" w:eastAsia="仿宋"/>
          <w:b/>
          <w:bCs/>
          <w:sz w:val="30"/>
        </w:rPr>
      </w:pPr>
    </w:p>
    <w:p w14:paraId="3B91ADAD">
      <w:pPr>
        <w:spacing w:line="312" w:lineRule="auto"/>
        <w:jc w:val="center"/>
        <w:rPr>
          <w:rFonts w:hint="eastAsia" w:ascii="仿宋" w:hAnsi="仿宋" w:eastAsia="仿宋"/>
          <w:b/>
          <w:bCs/>
          <w:sz w:val="30"/>
        </w:rPr>
      </w:pPr>
    </w:p>
    <w:p w14:paraId="5EC09E09">
      <w:pPr>
        <w:spacing w:line="312" w:lineRule="auto"/>
        <w:jc w:val="center"/>
        <w:rPr>
          <w:rFonts w:hint="eastAsia" w:ascii="仿宋" w:hAnsi="仿宋" w:eastAsia="仿宋"/>
          <w:b/>
          <w:bCs/>
          <w:sz w:val="30"/>
        </w:rPr>
      </w:pPr>
    </w:p>
    <w:p w14:paraId="1E7BB775">
      <w:pPr>
        <w:spacing w:line="312" w:lineRule="auto"/>
        <w:jc w:val="center"/>
        <w:rPr>
          <w:rFonts w:hint="eastAsia" w:ascii="仿宋" w:hAnsi="仿宋" w:eastAsia="仿宋"/>
          <w:b/>
          <w:bCs/>
          <w:sz w:val="30"/>
        </w:rPr>
      </w:pPr>
    </w:p>
    <w:p w14:paraId="0B39C478">
      <w:pPr>
        <w:spacing w:line="312" w:lineRule="auto"/>
        <w:jc w:val="center"/>
        <w:rPr>
          <w:rFonts w:hint="eastAsia" w:ascii="仿宋" w:hAnsi="仿宋" w:eastAsia="仿宋"/>
          <w:b/>
          <w:bCs/>
          <w:sz w:val="30"/>
        </w:rPr>
      </w:pPr>
    </w:p>
    <w:p w14:paraId="4232F594">
      <w:pPr>
        <w:spacing w:line="312" w:lineRule="auto"/>
        <w:jc w:val="center"/>
        <w:rPr>
          <w:rFonts w:hint="eastAsia" w:ascii="仿宋" w:hAnsi="仿宋" w:eastAsia="仿宋"/>
          <w:b/>
          <w:bCs/>
          <w:sz w:val="30"/>
        </w:rPr>
      </w:pPr>
    </w:p>
    <w:p w14:paraId="3803FB45">
      <w:pPr>
        <w:spacing w:line="312" w:lineRule="auto"/>
        <w:jc w:val="center"/>
        <w:rPr>
          <w:rFonts w:hint="eastAsia" w:ascii="仿宋" w:hAnsi="仿宋" w:eastAsia="仿宋"/>
          <w:b/>
          <w:bCs/>
          <w:sz w:val="30"/>
        </w:rPr>
      </w:pPr>
    </w:p>
    <w:p w14:paraId="0BCB4B01">
      <w:pPr>
        <w:spacing w:line="312" w:lineRule="auto"/>
        <w:jc w:val="center"/>
        <w:rPr>
          <w:rFonts w:hint="eastAsia" w:ascii="仿宋" w:hAnsi="仿宋" w:eastAsia="仿宋"/>
          <w:b/>
          <w:bCs/>
          <w:sz w:val="30"/>
        </w:rPr>
      </w:pPr>
    </w:p>
    <w:p w14:paraId="11091D0A">
      <w:pPr>
        <w:spacing w:line="312" w:lineRule="auto"/>
        <w:jc w:val="center"/>
        <w:rPr>
          <w:rFonts w:hint="eastAsia" w:ascii="仿宋" w:hAnsi="仿宋" w:eastAsia="仿宋"/>
          <w:b/>
          <w:bCs/>
          <w:sz w:val="30"/>
        </w:rPr>
      </w:pPr>
    </w:p>
    <w:p w14:paraId="25ABBA89">
      <w:pPr>
        <w:spacing w:line="312" w:lineRule="auto"/>
        <w:jc w:val="center"/>
        <w:rPr>
          <w:rFonts w:hint="eastAsia" w:ascii="仿宋" w:hAnsi="仿宋" w:eastAsia="仿宋"/>
          <w:b/>
          <w:bCs/>
          <w:sz w:val="30"/>
        </w:rPr>
      </w:pPr>
    </w:p>
    <w:p w14:paraId="481FF28F">
      <w:pPr>
        <w:pStyle w:val="2"/>
        <w:tabs>
          <w:tab w:val="left" w:pos="720"/>
          <w:tab w:val="left" w:pos="2700"/>
        </w:tabs>
      </w:pPr>
      <w:bookmarkStart w:id="28" w:name="_Toc29064"/>
      <w:bookmarkStart w:id="29" w:name="_Toc31750"/>
      <w:r>
        <w:rPr>
          <w:rFonts w:hint="eastAsia"/>
        </w:rPr>
        <w:t>《体育II》课程教学大纲</w:t>
      </w:r>
      <w:bookmarkEnd w:id="28"/>
      <w:bookmarkEnd w:id="29"/>
    </w:p>
    <w:p w14:paraId="0CA93B28">
      <w:pPr>
        <w:spacing w:line="312" w:lineRule="auto"/>
        <w:jc w:val="center"/>
        <w:rPr>
          <w:rFonts w:hint="eastAsia" w:ascii="仿宋" w:hAnsi="仿宋" w:eastAsia="仿宋"/>
          <w:b/>
          <w:bCs/>
          <w:sz w:val="30"/>
        </w:rPr>
      </w:pPr>
      <w:r>
        <w:rPr>
          <w:rFonts w:ascii="仿宋" w:hAnsi="仿宋" w:eastAsia="仿宋"/>
          <w:b/>
          <w:bCs/>
          <w:sz w:val="30"/>
        </w:rPr>
        <w:t>（Physical  Education I</w:t>
      </w:r>
      <w:r>
        <w:rPr>
          <w:rFonts w:hint="eastAsia" w:ascii="仿宋" w:hAnsi="仿宋" w:eastAsia="仿宋"/>
          <w:b/>
          <w:bCs/>
          <w:sz w:val="30"/>
        </w:rPr>
        <w:t>I</w:t>
      </w:r>
      <w:r>
        <w:rPr>
          <w:rFonts w:ascii="仿宋" w:hAnsi="仿宋" w:eastAsia="仿宋"/>
          <w:b/>
          <w:bCs/>
          <w:sz w:val="30"/>
        </w:rPr>
        <w:t>）</w:t>
      </w:r>
    </w:p>
    <w:p w14:paraId="534F33E3">
      <w:pPr>
        <w:spacing w:line="360" w:lineRule="auto"/>
        <w:ind w:firstLine="551" w:firstLineChars="196"/>
        <w:jc w:val="left"/>
        <w:rPr>
          <w:rFonts w:hint="eastAsia" w:ascii="仿宋" w:hAnsi="仿宋" w:eastAsia="仿宋"/>
          <w:b/>
          <w:sz w:val="28"/>
          <w:szCs w:val="28"/>
        </w:rPr>
      </w:pPr>
      <w:r>
        <w:rPr>
          <w:rFonts w:ascii="仿宋" w:hAnsi="仿宋" w:eastAsia="仿宋"/>
          <w:b/>
          <w:sz w:val="28"/>
          <w:szCs w:val="28"/>
        </w:rPr>
        <w:t>一、课程概况</w:t>
      </w:r>
    </w:p>
    <w:p w14:paraId="20867ACF">
      <w:pPr>
        <w:spacing w:line="360" w:lineRule="auto"/>
        <w:ind w:firstLine="482" w:firstLineChars="200"/>
        <w:jc w:val="left"/>
        <w:rPr>
          <w:rFonts w:hint="eastAsia" w:ascii="仿宋" w:hAnsi="仿宋" w:eastAsia="仿宋"/>
          <w:b/>
          <w:sz w:val="24"/>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11010</w:t>
      </w:r>
      <w:r>
        <w:rPr>
          <w:rFonts w:ascii="仿宋" w:hAnsi="仿宋" w:eastAsia="仿宋"/>
          <w:bCs/>
          <w:kern w:val="0"/>
          <w:sz w:val="24"/>
        </w:rPr>
        <w:t>20</w:t>
      </w:r>
    </w:p>
    <w:p w14:paraId="62222DE4">
      <w:pPr>
        <w:spacing w:line="360" w:lineRule="auto"/>
        <w:ind w:firstLine="482" w:firstLineChars="200"/>
        <w:jc w:val="left"/>
        <w:rPr>
          <w:rFonts w:hint="eastAsia" w:ascii="仿宋" w:hAnsi="仿宋" w:eastAsia="仿宋"/>
          <w:bCs/>
          <w:kern w:val="0"/>
          <w:sz w:val="24"/>
        </w:rPr>
      </w:pPr>
      <w:r>
        <w:rPr>
          <w:rFonts w:ascii="仿宋" w:hAnsi="仿宋" w:eastAsia="仿宋"/>
          <w:b/>
          <w:bCs/>
          <w:kern w:val="0"/>
          <w:sz w:val="24"/>
        </w:rPr>
        <w:t>学    分</w:t>
      </w:r>
      <w:r>
        <w:rPr>
          <w:rFonts w:ascii="仿宋" w:hAnsi="仿宋" w:eastAsia="仿宋"/>
          <w:b/>
          <w:kern w:val="0"/>
          <w:sz w:val="24"/>
        </w:rPr>
        <w:t>：</w:t>
      </w:r>
      <w:r>
        <w:rPr>
          <w:rFonts w:hint="eastAsia" w:ascii="仿宋" w:hAnsi="仿宋" w:eastAsia="仿宋"/>
          <w:bCs/>
          <w:kern w:val="0"/>
          <w:sz w:val="24"/>
        </w:rPr>
        <w:t>0.75</w:t>
      </w:r>
    </w:p>
    <w:p w14:paraId="544763BC">
      <w:pPr>
        <w:spacing w:line="360" w:lineRule="auto"/>
        <w:ind w:firstLine="482" w:firstLineChars="200"/>
        <w:jc w:val="left"/>
        <w:rPr>
          <w:rFonts w:hint="eastAsia"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hint="eastAsia" w:ascii="仿宋" w:hAnsi="仿宋" w:eastAsia="仿宋"/>
          <w:kern w:val="0"/>
          <w:sz w:val="24"/>
        </w:rPr>
        <w:t>3</w:t>
      </w:r>
      <w:r>
        <w:rPr>
          <w:rFonts w:ascii="仿宋" w:hAnsi="仿宋" w:eastAsia="仿宋"/>
          <w:kern w:val="0"/>
          <w:sz w:val="24"/>
        </w:rPr>
        <w:t>0</w:t>
      </w:r>
    </w:p>
    <w:p w14:paraId="51CA1051">
      <w:pPr>
        <w:spacing w:line="360" w:lineRule="auto"/>
        <w:ind w:firstLine="482" w:firstLineChars="200"/>
        <w:jc w:val="left"/>
        <w:rPr>
          <w:rFonts w:hint="eastAsia" w:ascii="仿宋" w:hAnsi="仿宋" w:eastAsia="仿宋"/>
          <w:bCs/>
          <w:kern w:val="0"/>
          <w:sz w:val="24"/>
        </w:rPr>
      </w:pPr>
      <w:r>
        <w:rPr>
          <w:rFonts w:ascii="仿宋" w:hAnsi="仿宋" w:eastAsia="仿宋"/>
          <w:b/>
          <w:bCs/>
          <w:kern w:val="0"/>
          <w:sz w:val="24"/>
        </w:rPr>
        <w:t>先修课程</w:t>
      </w:r>
      <w:r>
        <w:rPr>
          <w:rFonts w:ascii="仿宋" w:hAnsi="仿宋" w:eastAsia="仿宋"/>
          <w:b/>
          <w:kern w:val="0"/>
          <w:sz w:val="24"/>
        </w:rPr>
        <w:t>：</w:t>
      </w:r>
      <w:r>
        <w:rPr>
          <w:rFonts w:hint="eastAsia" w:ascii="仿宋" w:hAnsi="仿宋" w:eastAsia="仿宋"/>
          <w:bCs/>
          <w:kern w:val="0"/>
          <w:sz w:val="24"/>
        </w:rPr>
        <w:t>无</w:t>
      </w:r>
    </w:p>
    <w:p w14:paraId="4FE0D847">
      <w:pPr>
        <w:spacing w:line="360" w:lineRule="auto"/>
        <w:ind w:firstLine="482" w:firstLineChars="200"/>
        <w:jc w:val="left"/>
        <w:rPr>
          <w:rFonts w:hint="eastAsia"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hint="eastAsia" w:ascii="仿宋" w:hAnsi="仿宋" w:eastAsia="仿宋"/>
          <w:kern w:val="0"/>
          <w:sz w:val="24"/>
        </w:rPr>
        <w:t>全校各专业</w:t>
      </w:r>
      <w:r>
        <w:rPr>
          <w:rFonts w:ascii="仿宋" w:hAnsi="仿宋" w:eastAsia="仿宋"/>
          <w:kern w:val="0"/>
          <w:sz w:val="24"/>
        </w:rPr>
        <w:t xml:space="preserve">                        </w:t>
      </w:r>
    </w:p>
    <w:p w14:paraId="7FD6085C">
      <w:pPr>
        <w:spacing w:line="360" w:lineRule="auto"/>
        <w:ind w:firstLine="482" w:firstLineChars="200"/>
        <w:jc w:val="left"/>
        <w:rPr>
          <w:rFonts w:hint="eastAsia" w:ascii="仿宋" w:hAnsi="仿宋" w:eastAsia="仿宋"/>
          <w:kern w:val="0"/>
          <w:sz w:val="24"/>
        </w:rPr>
      </w:pPr>
      <w:r>
        <w:rPr>
          <w:rFonts w:ascii="仿宋" w:hAnsi="仿宋" w:eastAsia="仿宋"/>
          <w:b/>
          <w:bCs/>
          <w:kern w:val="0"/>
          <w:sz w:val="24"/>
        </w:rPr>
        <w:t>教</w:t>
      </w:r>
      <w:r>
        <w:rPr>
          <w:rFonts w:hint="eastAsia" w:ascii="仿宋" w:hAnsi="仿宋" w:eastAsia="仿宋"/>
          <w:b/>
          <w:bCs/>
          <w:kern w:val="0"/>
          <w:sz w:val="24"/>
        </w:rPr>
        <w:t xml:space="preserve"> </w:t>
      </w:r>
      <w:r>
        <w:rPr>
          <w:rFonts w:ascii="仿宋" w:hAnsi="仿宋" w:eastAsia="仿宋"/>
          <w:b/>
          <w:bCs/>
          <w:kern w:val="0"/>
          <w:sz w:val="24"/>
        </w:rPr>
        <w:t xml:space="preserve">   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510BB931">
      <w:pPr>
        <w:spacing w:line="360" w:lineRule="auto"/>
        <w:ind w:firstLine="482" w:firstLineChars="200"/>
        <w:jc w:val="left"/>
        <w:rPr>
          <w:rFonts w:hint="eastAsia"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49CC6BBC">
      <w:pPr>
        <w:autoSpaceDE w:val="0"/>
        <w:autoSpaceDN w:val="0"/>
        <w:adjustRightInd w:val="0"/>
        <w:spacing w:line="360" w:lineRule="auto"/>
        <w:ind w:firstLine="482" w:firstLineChars="200"/>
        <w:jc w:val="left"/>
        <w:rPr>
          <w:rFonts w:hint="eastAsia" w:ascii="仿宋" w:hAnsi="仿宋" w:eastAsia="仿宋"/>
          <w:sz w:val="24"/>
        </w:rPr>
      </w:pPr>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二学期进行。</w:t>
      </w:r>
    </w:p>
    <w:p w14:paraId="424DEA75">
      <w:pPr>
        <w:autoSpaceDE w:val="0"/>
        <w:autoSpaceDN w:val="0"/>
        <w:adjustRightInd w:val="0"/>
        <w:spacing w:line="360" w:lineRule="auto"/>
        <w:ind w:firstLine="480" w:firstLineChars="200"/>
        <w:jc w:val="left"/>
        <w:rPr>
          <w:rFonts w:hint="eastAsia" w:ascii="仿宋" w:hAnsi="仿宋" w:eastAsia="仿宋"/>
          <w:sz w:val="24"/>
        </w:rPr>
      </w:pPr>
      <w:r>
        <w:rPr>
          <w:rFonts w:hint="eastAsia" w:ascii="仿宋" w:hAnsi="仿宋" w:eastAsia="仿宋"/>
          <w:sz w:val="24"/>
        </w:rPr>
        <w:t>通过本课程的学习，使学生掌握和应用基本的体育与健康知识及运动技能，增强学生体质与健康水平，激发学生参与体育活动的兴趣，促进身心和谐发展和体育技能与素养的提高。坚持以立德树人为根本，通过融入社会主义核心价值观、做人做事的道理和体育精神等课程思政元素，培养学生的爱国情怀、体育道德、规则意识、合作精神和意志品质，增强与他人交流沟通、团结合作的能力，提升学生体育核心素养。本课程将为后续课程的学习以及相关课程的学习与训练奠定重要的基础。</w:t>
      </w:r>
    </w:p>
    <w:p w14:paraId="42285834">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二</w:t>
      </w:r>
      <w:r>
        <w:rPr>
          <w:rFonts w:ascii="仿宋" w:hAnsi="仿宋" w:eastAsia="仿宋"/>
          <w:b/>
          <w:sz w:val="28"/>
          <w:szCs w:val="28"/>
        </w:rPr>
        <w:t>、课程目标</w:t>
      </w:r>
      <w:r>
        <w:rPr>
          <w:rFonts w:hint="eastAsia" w:ascii="仿宋" w:hAnsi="仿宋" w:eastAsia="仿宋"/>
          <w:b/>
          <w:sz w:val="28"/>
          <w:szCs w:val="28"/>
        </w:rPr>
        <w:t>与毕业要求指标点对应关系</w:t>
      </w:r>
    </w:p>
    <w:p w14:paraId="20CCAA98">
      <w:pPr>
        <w:spacing w:line="360" w:lineRule="auto"/>
        <w:ind w:firstLine="480" w:firstLineChars="200"/>
        <w:rPr>
          <w:rFonts w:hint="eastAsia" w:ascii="仿宋" w:hAnsi="仿宋" w:eastAsia="仿宋"/>
          <w:sz w:val="24"/>
        </w:rPr>
      </w:pPr>
      <w:r>
        <w:rPr>
          <w:rFonts w:hint="eastAsia" w:ascii="仿宋" w:hAnsi="仿宋" w:eastAsia="仿宋"/>
          <w:sz w:val="24"/>
        </w:rPr>
        <w:t>目标1：全面发展体能，提高运动能力，掌握体育基本理论知识和基本技术，了解体育锻炼的健身原理，具有一定的体育文化素养和体育欣赏能力。树立“健康第一”思想和正确的体育道德观，增强团结协作意识、规则意识、公平意识和积极进取意识。</w:t>
      </w:r>
    </w:p>
    <w:p w14:paraId="66B94BAE">
      <w:pPr>
        <w:spacing w:line="360" w:lineRule="auto"/>
        <w:ind w:firstLine="480" w:firstLineChars="200"/>
        <w:rPr>
          <w:rFonts w:hint="eastAsia" w:ascii="仿宋" w:hAnsi="仿宋" w:eastAsia="仿宋"/>
          <w:sz w:val="24"/>
        </w:rPr>
      </w:pPr>
      <w:r>
        <w:rPr>
          <w:rFonts w:hint="eastAsia" w:ascii="仿宋" w:hAnsi="仿宋" w:eastAsia="仿宋"/>
          <w:sz w:val="24"/>
        </w:rPr>
        <w:t>目标2：积极参与各种体育活动，掌握所学项目的基本技能和锻炼方法，能科学地进行体育锻炼，掌握常见运动损伤的处理方法。学会利用体育调节身心，改善心理状态，养成积极乐观的生活态度。</w:t>
      </w:r>
    </w:p>
    <w:p w14:paraId="6D993078">
      <w:pPr>
        <w:spacing w:line="360" w:lineRule="auto"/>
        <w:ind w:firstLine="480" w:firstLineChars="200"/>
        <w:rPr>
          <w:rFonts w:hint="eastAsia"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13"/>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70928CF9">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28E558C4">
            <w:pPr>
              <w:widowControl/>
              <w:jc w:val="center"/>
              <w:rPr>
                <w:rFonts w:hint="eastAsia" w:ascii="仿宋" w:hAnsi="仿宋" w:eastAsia="仿宋"/>
                <w:kern w:val="0"/>
                <w:szCs w:val="21"/>
              </w:rPr>
            </w:pPr>
            <w:r>
              <w:rPr>
                <w:rFonts w:ascii="仿宋" w:hAnsi="仿宋" w:eastAsia="仿宋"/>
                <w:kern w:val="0"/>
                <w:szCs w:val="21"/>
              </w:rPr>
              <w:t>毕业要求</w:t>
            </w:r>
          </w:p>
          <w:p w14:paraId="018B23B6">
            <w:pPr>
              <w:widowControl/>
              <w:jc w:val="center"/>
              <w:rPr>
                <w:rFonts w:hint="eastAsia" w:ascii="仿宋" w:hAnsi="仿宋" w:eastAsia="仿宋"/>
                <w:kern w:val="0"/>
                <w:szCs w:val="21"/>
              </w:rPr>
            </w:pPr>
            <w:r>
              <w:rPr>
                <w:rFonts w:ascii="仿宋" w:hAnsi="仿宋" w:eastAsia="仿宋"/>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51E59BB0">
            <w:pPr>
              <w:widowControl/>
              <w:jc w:val="center"/>
              <w:rPr>
                <w:rFonts w:hint="eastAsia" w:ascii="仿宋" w:hAnsi="仿宋" w:eastAsia="仿宋"/>
                <w:kern w:val="0"/>
                <w:szCs w:val="21"/>
              </w:rPr>
            </w:pPr>
            <w:r>
              <w:rPr>
                <w:rFonts w:ascii="仿宋" w:hAnsi="仿宋" w:eastAsia="仿宋"/>
                <w:kern w:val="0"/>
                <w:szCs w:val="21"/>
              </w:rPr>
              <w:t>课程目标</w:t>
            </w:r>
          </w:p>
        </w:tc>
      </w:tr>
      <w:tr w14:paraId="26ADC57B">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1371030">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874D248">
            <w:pPr>
              <w:widowControl/>
              <w:jc w:val="center"/>
              <w:rPr>
                <w:rFonts w:hint="eastAsia" w:ascii="仿宋" w:hAnsi="仿宋" w:eastAsia="仿宋"/>
                <w:kern w:val="0"/>
                <w:szCs w:val="21"/>
              </w:rPr>
            </w:pPr>
            <w:r>
              <w:rPr>
                <w:rFonts w:ascii="仿宋" w:hAnsi="仿宋" w:eastAsia="仿宋"/>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34B413FC">
            <w:pPr>
              <w:widowControl/>
              <w:jc w:val="center"/>
              <w:rPr>
                <w:rFonts w:hint="eastAsia" w:ascii="仿宋" w:hAnsi="仿宋" w:eastAsia="仿宋"/>
                <w:kern w:val="0"/>
                <w:szCs w:val="21"/>
              </w:rPr>
            </w:pPr>
            <w:r>
              <w:rPr>
                <w:rFonts w:ascii="仿宋" w:hAnsi="仿宋" w:eastAsia="仿宋"/>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7B6F7FE3">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F8A2365">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17CC450">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5A841D2F">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1960721D">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24067470">
            <w:pPr>
              <w:widowControl/>
              <w:jc w:val="center"/>
              <w:rPr>
                <w:rFonts w:hint="eastAsia" w:ascii="仿宋" w:hAnsi="仿宋" w:eastAsia="仿宋"/>
                <w:kern w:val="0"/>
                <w:szCs w:val="21"/>
              </w:rPr>
            </w:pPr>
          </w:p>
        </w:tc>
      </w:tr>
      <w:tr w14:paraId="3EB1D39E">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737DBC86">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510" w:type="pct"/>
            <w:tcBorders>
              <w:top w:val="nil"/>
              <w:left w:val="nil"/>
              <w:bottom w:val="single" w:color="auto" w:sz="4" w:space="0"/>
              <w:right w:val="single" w:color="auto" w:sz="4" w:space="0"/>
            </w:tcBorders>
            <w:noWrap/>
            <w:vAlign w:val="center"/>
          </w:tcPr>
          <w:p w14:paraId="39B64D67">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21C4317A">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7EAACC9D">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978A52F">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465E98C">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4BD61DE">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06082D4">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3187B830">
            <w:pPr>
              <w:widowControl/>
              <w:jc w:val="center"/>
              <w:rPr>
                <w:rFonts w:hint="eastAsia" w:ascii="仿宋" w:hAnsi="仿宋" w:eastAsia="仿宋"/>
                <w:kern w:val="0"/>
                <w:szCs w:val="21"/>
              </w:rPr>
            </w:pPr>
          </w:p>
        </w:tc>
      </w:tr>
      <w:tr w14:paraId="2640ADA8">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4710277E">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510" w:type="pct"/>
            <w:tcBorders>
              <w:top w:val="nil"/>
              <w:left w:val="nil"/>
              <w:bottom w:val="single" w:color="auto" w:sz="4" w:space="0"/>
              <w:right w:val="single" w:color="auto" w:sz="4" w:space="0"/>
            </w:tcBorders>
            <w:noWrap/>
            <w:vAlign w:val="center"/>
          </w:tcPr>
          <w:p w14:paraId="51C7F778">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7F6DA99B">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2D10988B">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0B8E270">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FD3C9A3">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AEB623B">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3324608E">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1598E973">
            <w:pPr>
              <w:widowControl/>
              <w:jc w:val="center"/>
              <w:rPr>
                <w:rFonts w:hint="eastAsia" w:ascii="仿宋" w:hAnsi="仿宋" w:eastAsia="仿宋"/>
                <w:kern w:val="0"/>
                <w:szCs w:val="21"/>
              </w:rPr>
            </w:pPr>
          </w:p>
        </w:tc>
      </w:tr>
    </w:tbl>
    <w:p w14:paraId="1A52C772">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三</w:t>
      </w:r>
      <w:r>
        <w:rPr>
          <w:rFonts w:ascii="仿宋" w:hAnsi="仿宋" w:eastAsia="仿宋"/>
          <w:b/>
          <w:sz w:val="28"/>
          <w:szCs w:val="28"/>
        </w:rPr>
        <w:t>、课程内容及要求</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0836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74BA29D7">
            <w:pPr>
              <w:jc w:val="center"/>
              <w:rPr>
                <w:rFonts w:hint="eastAsia" w:ascii="仿宋" w:hAnsi="仿宋" w:eastAsia="仿宋"/>
                <w:b/>
                <w:bCs/>
                <w:szCs w:val="21"/>
              </w:rPr>
            </w:pPr>
            <w:r>
              <w:rPr>
                <w:rFonts w:ascii="仿宋" w:hAnsi="仿宋" w:eastAsia="仿宋"/>
                <w:b/>
                <w:bCs/>
                <w:szCs w:val="21"/>
              </w:rPr>
              <w:t>序号</w:t>
            </w:r>
          </w:p>
        </w:tc>
        <w:tc>
          <w:tcPr>
            <w:tcW w:w="1623" w:type="pct"/>
            <w:vAlign w:val="center"/>
          </w:tcPr>
          <w:p w14:paraId="24E41D9C">
            <w:pPr>
              <w:jc w:val="center"/>
              <w:rPr>
                <w:rFonts w:hint="eastAsia" w:ascii="仿宋" w:hAnsi="仿宋" w:eastAsia="仿宋"/>
                <w:b/>
                <w:bCs/>
                <w:szCs w:val="21"/>
              </w:rPr>
            </w:pPr>
            <w:r>
              <w:rPr>
                <w:rFonts w:ascii="仿宋" w:hAnsi="仿宋" w:eastAsia="仿宋"/>
                <w:b/>
                <w:bCs/>
                <w:szCs w:val="21"/>
              </w:rPr>
              <w:t>教学内容</w:t>
            </w:r>
          </w:p>
        </w:tc>
        <w:tc>
          <w:tcPr>
            <w:tcW w:w="541" w:type="pct"/>
            <w:vAlign w:val="center"/>
          </w:tcPr>
          <w:p w14:paraId="5E50B0ED">
            <w:pPr>
              <w:jc w:val="center"/>
              <w:rPr>
                <w:rFonts w:hint="eastAsia" w:ascii="仿宋" w:hAnsi="仿宋" w:eastAsia="仿宋"/>
                <w:b/>
                <w:bCs/>
                <w:szCs w:val="21"/>
              </w:rPr>
            </w:pPr>
            <w:r>
              <w:rPr>
                <w:rFonts w:ascii="仿宋" w:hAnsi="仿宋" w:eastAsia="仿宋"/>
                <w:b/>
                <w:bCs/>
                <w:szCs w:val="21"/>
              </w:rPr>
              <w:t>思政</w:t>
            </w:r>
          </w:p>
          <w:p w14:paraId="58A06A55">
            <w:pPr>
              <w:jc w:val="center"/>
              <w:rPr>
                <w:rFonts w:hint="eastAsia" w:ascii="仿宋" w:hAnsi="仿宋" w:eastAsia="仿宋"/>
                <w:b/>
                <w:bCs/>
                <w:szCs w:val="21"/>
              </w:rPr>
            </w:pPr>
            <w:r>
              <w:rPr>
                <w:rFonts w:ascii="仿宋" w:hAnsi="仿宋" w:eastAsia="仿宋"/>
                <w:b/>
                <w:bCs/>
                <w:szCs w:val="21"/>
              </w:rPr>
              <w:t>元素</w:t>
            </w:r>
          </w:p>
        </w:tc>
        <w:tc>
          <w:tcPr>
            <w:tcW w:w="1160" w:type="pct"/>
            <w:vAlign w:val="center"/>
          </w:tcPr>
          <w:p w14:paraId="1D1C30D9">
            <w:pPr>
              <w:jc w:val="center"/>
              <w:rPr>
                <w:rFonts w:hint="eastAsia" w:ascii="仿宋" w:hAnsi="仿宋" w:eastAsia="仿宋"/>
                <w:b/>
                <w:bCs/>
                <w:szCs w:val="21"/>
              </w:rPr>
            </w:pPr>
            <w:r>
              <w:rPr>
                <w:rFonts w:ascii="仿宋" w:hAnsi="仿宋" w:eastAsia="仿宋"/>
                <w:b/>
                <w:bCs/>
                <w:szCs w:val="21"/>
              </w:rPr>
              <w:t>预期学习成果</w:t>
            </w:r>
          </w:p>
        </w:tc>
        <w:tc>
          <w:tcPr>
            <w:tcW w:w="386" w:type="pct"/>
            <w:vAlign w:val="center"/>
          </w:tcPr>
          <w:p w14:paraId="5D8AB2DF">
            <w:pPr>
              <w:jc w:val="center"/>
              <w:rPr>
                <w:rFonts w:hint="eastAsia" w:ascii="仿宋" w:hAnsi="仿宋" w:eastAsia="仿宋"/>
                <w:b/>
                <w:bCs/>
                <w:szCs w:val="21"/>
              </w:rPr>
            </w:pPr>
            <w:r>
              <w:rPr>
                <w:rFonts w:ascii="仿宋" w:hAnsi="仿宋" w:eastAsia="仿宋"/>
                <w:b/>
                <w:bCs/>
                <w:szCs w:val="21"/>
              </w:rPr>
              <w:t>教学学时</w:t>
            </w:r>
          </w:p>
        </w:tc>
        <w:tc>
          <w:tcPr>
            <w:tcW w:w="464" w:type="pct"/>
            <w:vAlign w:val="center"/>
          </w:tcPr>
          <w:p w14:paraId="2CFCFE23">
            <w:pPr>
              <w:jc w:val="center"/>
              <w:rPr>
                <w:rFonts w:hint="eastAsia" w:ascii="仿宋" w:hAnsi="仿宋" w:eastAsia="仿宋"/>
                <w:b/>
                <w:bCs/>
                <w:szCs w:val="21"/>
              </w:rPr>
            </w:pPr>
            <w:r>
              <w:rPr>
                <w:rFonts w:ascii="仿宋" w:hAnsi="仿宋" w:eastAsia="仿宋"/>
                <w:b/>
                <w:bCs/>
                <w:szCs w:val="21"/>
              </w:rPr>
              <w:t>教学</w:t>
            </w:r>
          </w:p>
          <w:p w14:paraId="00AE587D">
            <w:pPr>
              <w:jc w:val="center"/>
              <w:rPr>
                <w:rFonts w:hint="eastAsia" w:ascii="仿宋" w:hAnsi="仿宋" w:eastAsia="仿宋"/>
                <w:b/>
                <w:bCs/>
                <w:szCs w:val="21"/>
              </w:rPr>
            </w:pPr>
            <w:r>
              <w:rPr>
                <w:rFonts w:ascii="仿宋" w:hAnsi="仿宋" w:eastAsia="仿宋"/>
                <w:b/>
                <w:bCs/>
                <w:szCs w:val="21"/>
              </w:rPr>
              <w:t>方式</w:t>
            </w:r>
          </w:p>
        </w:tc>
        <w:tc>
          <w:tcPr>
            <w:tcW w:w="520" w:type="pct"/>
            <w:vAlign w:val="center"/>
          </w:tcPr>
          <w:p w14:paraId="3B8569BC">
            <w:pPr>
              <w:jc w:val="center"/>
              <w:rPr>
                <w:rFonts w:hint="eastAsia" w:ascii="仿宋" w:hAnsi="仿宋" w:eastAsia="仿宋"/>
                <w:b/>
                <w:bCs/>
                <w:szCs w:val="21"/>
              </w:rPr>
            </w:pPr>
            <w:r>
              <w:rPr>
                <w:rFonts w:ascii="仿宋" w:hAnsi="仿宋" w:eastAsia="仿宋"/>
                <w:b/>
                <w:bCs/>
                <w:szCs w:val="21"/>
              </w:rPr>
              <w:t>支撑课程目标</w:t>
            </w:r>
          </w:p>
        </w:tc>
      </w:tr>
      <w:tr w14:paraId="3C60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1F58AF6A">
            <w:pPr>
              <w:jc w:val="center"/>
              <w:rPr>
                <w:rFonts w:hint="eastAsia" w:ascii="仿宋" w:hAnsi="仿宋" w:eastAsia="仿宋"/>
                <w:szCs w:val="21"/>
              </w:rPr>
            </w:pPr>
            <w:r>
              <w:rPr>
                <w:rFonts w:ascii="仿宋" w:hAnsi="仿宋" w:eastAsia="仿宋"/>
                <w:szCs w:val="21"/>
              </w:rPr>
              <w:t>1</w:t>
            </w:r>
          </w:p>
        </w:tc>
        <w:tc>
          <w:tcPr>
            <w:tcW w:w="1623" w:type="pct"/>
            <w:vAlign w:val="center"/>
          </w:tcPr>
          <w:p w14:paraId="284E49F4">
            <w:pPr>
              <w:spacing w:line="240" w:lineRule="exact"/>
              <w:jc w:val="left"/>
              <w:rPr>
                <w:rFonts w:hint="eastAsia" w:ascii="仿宋" w:hAnsi="仿宋" w:eastAsia="仿宋"/>
                <w:b/>
                <w:szCs w:val="21"/>
              </w:rPr>
            </w:pPr>
            <w:r>
              <w:rPr>
                <w:rFonts w:hint="eastAsia" w:ascii="仿宋" w:hAnsi="仿宋" w:eastAsia="仿宋"/>
                <w:b/>
                <w:szCs w:val="21"/>
              </w:rPr>
              <w:t>㈠体育理论部分:</w:t>
            </w:r>
          </w:p>
          <w:p w14:paraId="5E77E450">
            <w:pPr>
              <w:spacing w:line="240" w:lineRule="exact"/>
              <w:jc w:val="left"/>
              <w:rPr>
                <w:rFonts w:hint="eastAsia" w:ascii="仿宋" w:hAnsi="仿宋" w:eastAsia="仿宋"/>
                <w:bCs/>
              </w:rPr>
            </w:pPr>
            <w:r>
              <w:rPr>
                <w:rFonts w:hint="eastAsia" w:ascii="仿宋" w:hAnsi="仿宋" w:eastAsia="仿宋"/>
                <w:bCs/>
              </w:rPr>
              <w:t>1.学生思想政治教育：国家领导人与体育、奥运明星的励志故事、社会主义核心价值观与体育等；</w:t>
            </w:r>
          </w:p>
          <w:p w14:paraId="387EC6A0">
            <w:pPr>
              <w:spacing w:line="240" w:lineRule="exact"/>
              <w:jc w:val="left"/>
              <w:rPr>
                <w:rFonts w:hint="eastAsia" w:ascii="仿宋" w:hAnsi="仿宋" w:eastAsia="仿宋"/>
                <w:b/>
                <w:szCs w:val="21"/>
              </w:rPr>
            </w:pPr>
            <w:r>
              <w:rPr>
                <w:rFonts w:hint="eastAsia" w:ascii="仿宋" w:hAnsi="仿宋" w:eastAsia="仿宋"/>
                <w:bCs/>
              </w:rPr>
              <w:t>2.体育安全教育：体育运动伤害事故的安全教育及预防与处理措施、常见运动损伤的预防与处理等；</w:t>
            </w:r>
          </w:p>
          <w:p w14:paraId="7296C1BD">
            <w:pPr>
              <w:spacing w:line="240" w:lineRule="exact"/>
              <w:jc w:val="left"/>
              <w:rPr>
                <w:rFonts w:hint="eastAsia" w:ascii="仿宋" w:hAnsi="仿宋" w:eastAsia="仿宋"/>
              </w:rPr>
            </w:pPr>
            <w:r>
              <w:rPr>
                <w:rFonts w:hint="eastAsia" w:ascii="仿宋" w:hAnsi="仿宋" w:eastAsia="仿宋"/>
              </w:rPr>
              <w:t>3.体育基本理论：各运动项目的基本理论知识，体育竞赛</w:t>
            </w:r>
            <w:r>
              <w:rPr>
                <w:rFonts w:ascii="仿宋" w:hAnsi="仿宋" w:eastAsia="仿宋"/>
              </w:rPr>
              <w:t>与欣赏</w:t>
            </w:r>
            <w:r>
              <w:rPr>
                <w:rFonts w:hint="eastAsia" w:ascii="仿宋" w:hAnsi="仿宋" w:eastAsia="仿宋"/>
              </w:rPr>
              <w:t>等。</w:t>
            </w:r>
          </w:p>
          <w:p w14:paraId="1C9352CB">
            <w:pPr>
              <w:spacing w:line="240" w:lineRule="exact"/>
              <w:jc w:val="left"/>
              <w:rPr>
                <w:rFonts w:hint="eastAsia" w:ascii="仿宋" w:hAnsi="仿宋" w:eastAsia="仿宋"/>
                <w:szCs w:val="21"/>
              </w:rPr>
            </w:pPr>
            <w:r>
              <w:rPr>
                <w:rFonts w:hint="eastAsia" w:ascii="仿宋" w:hAnsi="仿宋" w:eastAsia="仿宋"/>
                <w:b/>
                <w:szCs w:val="21"/>
              </w:rPr>
              <w:t>重点：</w:t>
            </w:r>
            <w:r>
              <w:rPr>
                <w:rFonts w:hint="eastAsia" w:ascii="仿宋" w:hAnsi="仿宋" w:eastAsia="仿宋"/>
                <w:szCs w:val="21"/>
              </w:rPr>
              <w:t>常见运动损伤的急救及处理、奥林匹克运动与中国；</w:t>
            </w:r>
          </w:p>
          <w:p w14:paraId="5ADBF536">
            <w:pPr>
              <w:spacing w:line="240" w:lineRule="exact"/>
              <w:jc w:val="left"/>
              <w:rPr>
                <w:rFonts w:hint="eastAsia" w:ascii="仿宋" w:hAnsi="仿宋" w:eastAsia="仿宋"/>
                <w:szCs w:val="21"/>
              </w:rPr>
            </w:pPr>
            <w:r>
              <w:rPr>
                <w:rFonts w:hint="eastAsia" w:ascii="仿宋" w:hAnsi="仿宋" w:eastAsia="仿宋"/>
                <w:b/>
                <w:szCs w:val="21"/>
              </w:rPr>
              <w:t>难点：</w:t>
            </w:r>
            <w:r>
              <w:rPr>
                <w:rFonts w:hint="eastAsia" w:ascii="仿宋" w:hAnsi="仿宋" w:eastAsia="仿宋"/>
                <w:szCs w:val="21"/>
              </w:rPr>
              <w:t>理解奥林匹克</w:t>
            </w:r>
            <w:r>
              <w:rPr>
                <w:rFonts w:ascii="仿宋" w:hAnsi="仿宋" w:eastAsia="仿宋"/>
                <w:szCs w:val="21"/>
              </w:rPr>
              <w:t>格言</w:t>
            </w:r>
            <w:r>
              <w:rPr>
                <w:rFonts w:hint="eastAsia" w:ascii="仿宋" w:hAnsi="仿宋" w:eastAsia="仿宋"/>
                <w:szCs w:val="21"/>
              </w:rPr>
              <w:t>，培养学生公平竞争、团结协作、自强不息、自信不止的体育精神。</w:t>
            </w:r>
          </w:p>
        </w:tc>
        <w:tc>
          <w:tcPr>
            <w:tcW w:w="541" w:type="pct"/>
            <w:vAlign w:val="center"/>
          </w:tcPr>
          <w:p w14:paraId="435AECB0">
            <w:pPr>
              <w:jc w:val="center"/>
              <w:rPr>
                <w:rFonts w:hint="eastAsia" w:ascii="仿宋" w:hAnsi="仿宋" w:eastAsia="仿宋"/>
                <w:kern w:val="0"/>
                <w:szCs w:val="21"/>
              </w:rPr>
            </w:pPr>
            <w:r>
              <w:rPr>
                <w:rFonts w:hint="eastAsia" w:ascii="仿宋" w:hAnsi="仿宋" w:eastAsia="仿宋"/>
                <w:kern w:val="0"/>
                <w:szCs w:val="21"/>
              </w:rPr>
              <w:t>理想信念、国家认同和</w:t>
            </w:r>
            <w:r>
              <w:rPr>
                <w:rFonts w:hint="eastAsia" w:ascii="仿宋" w:hAnsi="仿宋" w:eastAsia="仿宋"/>
                <w:szCs w:val="21"/>
              </w:rPr>
              <w:t>社会主义核心价值观等</w:t>
            </w:r>
            <w:r>
              <w:rPr>
                <w:rFonts w:hint="eastAsia" w:ascii="仿宋" w:hAnsi="仿宋" w:eastAsia="仿宋"/>
                <w:kern w:val="0"/>
                <w:szCs w:val="21"/>
              </w:rPr>
              <w:t xml:space="preserve">教育。 </w:t>
            </w:r>
          </w:p>
        </w:tc>
        <w:tc>
          <w:tcPr>
            <w:tcW w:w="1160" w:type="pct"/>
            <w:vAlign w:val="center"/>
          </w:tcPr>
          <w:p w14:paraId="1236EE23">
            <w:pPr>
              <w:autoSpaceDE w:val="0"/>
              <w:autoSpaceDN w:val="0"/>
              <w:adjustRightInd w:val="0"/>
              <w:jc w:val="left"/>
              <w:rPr>
                <w:rFonts w:hint="eastAsia" w:ascii="仿宋" w:hAnsi="仿宋" w:eastAsia="仿宋"/>
                <w:kern w:val="0"/>
                <w:szCs w:val="21"/>
              </w:rPr>
            </w:pPr>
            <w:r>
              <w:rPr>
                <w:rFonts w:hint="eastAsia" w:ascii="仿宋" w:hAnsi="仿宋" w:eastAsia="仿宋"/>
                <w:kern w:val="0"/>
                <w:szCs w:val="21"/>
              </w:rPr>
              <w:t>通过教学，使学生了解和基本掌握常见运动创伤预防和处理方法，具备一</w:t>
            </w:r>
            <w:r>
              <w:rPr>
                <w:rFonts w:ascii="仿宋" w:hAnsi="仿宋" w:eastAsia="仿宋"/>
                <w:kern w:val="0"/>
                <w:szCs w:val="21"/>
              </w:rPr>
              <w:t>定欣赏</w:t>
            </w:r>
            <w:r>
              <w:rPr>
                <w:rFonts w:hint="eastAsia" w:ascii="仿宋" w:hAnsi="仿宋" w:eastAsia="仿宋"/>
                <w:kern w:val="0"/>
                <w:szCs w:val="21"/>
              </w:rPr>
              <w:t>各类</w:t>
            </w:r>
            <w:r>
              <w:rPr>
                <w:rFonts w:ascii="仿宋" w:hAnsi="仿宋" w:eastAsia="仿宋"/>
                <w:kern w:val="0"/>
                <w:szCs w:val="21"/>
              </w:rPr>
              <w:t>体育竞赛</w:t>
            </w:r>
            <w:r>
              <w:rPr>
                <w:rFonts w:hint="eastAsia" w:ascii="仿宋" w:hAnsi="仿宋" w:eastAsia="仿宋"/>
                <w:kern w:val="0"/>
                <w:szCs w:val="21"/>
              </w:rPr>
              <w:t>能力</w:t>
            </w:r>
            <w:r>
              <w:rPr>
                <w:rFonts w:ascii="仿宋" w:hAnsi="仿宋" w:eastAsia="仿宋"/>
                <w:kern w:val="0"/>
                <w:szCs w:val="21"/>
              </w:rPr>
              <w:t>，</w:t>
            </w:r>
            <w:r>
              <w:rPr>
                <w:rFonts w:hint="eastAsia" w:ascii="仿宋" w:hAnsi="仿宋" w:eastAsia="仿宋"/>
                <w:kern w:val="0"/>
                <w:szCs w:val="21"/>
              </w:rPr>
              <w:t>了解中国与奥林匹克运动简史和奥林匹克文化精神，激发学生爱国情怀和追求和平、向往美好、顽强拼搏、不甘平庸、不断进取的体育精神。</w:t>
            </w:r>
          </w:p>
        </w:tc>
        <w:tc>
          <w:tcPr>
            <w:tcW w:w="386" w:type="pct"/>
            <w:vAlign w:val="center"/>
          </w:tcPr>
          <w:p w14:paraId="605A7228">
            <w:pPr>
              <w:jc w:val="center"/>
              <w:rPr>
                <w:rFonts w:hint="eastAsia" w:ascii="仿宋" w:hAnsi="仿宋" w:eastAsia="仿宋"/>
                <w:szCs w:val="21"/>
              </w:rPr>
            </w:pPr>
            <w:r>
              <w:rPr>
                <w:rFonts w:ascii="仿宋" w:hAnsi="仿宋" w:eastAsia="仿宋"/>
                <w:szCs w:val="21"/>
              </w:rPr>
              <w:t>4</w:t>
            </w:r>
          </w:p>
        </w:tc>
        <w:tc>
          <w:tcPr>
            <w:tcW w:w="464" w:type="pct"/>
            <w:vAlign w:val="center"/>
          </w:tcPr>
          <w:p w14:paraId="08DA4047">
            <w:pPr>
              <w:jc w:val="center"/>
              <w:rPr>
                <w:rFonts w:hint="eastAsia" w:ascii="仿宋" w:hAnsi="仿宋" w:eastAsia="仿宋"/>
                <w:szCs w:val="21"/>
              </w:rPr>
            </w:pPr>
            <w:r>
              <w:rPr>
                <w:rFonts w:hint="eastAsia" w:ascii="仿宋" w:hAnsi="仿宋" w:eastAsia="仿宋"/>
                <w:szCs w:val="21"/>
              </w:rPr>
              <w:t>讲授法</w:t>
            </w:r>
          </w:p>
        </w:tc>
        <w:tc>
          <w:tcPr>
            <w:tcW w:w="520" w:type="pct"/>
            <w:vAlign w:val="center"/>
          </w:tcPr>
          <w:p w14:paraId="37E08BCE">
            <w:pPr>
              <w:jc w:val="left"/>
              <w:rPr>
                <w:rFonts w:hint="eastAsia" w:ascii="仿宋" w:hAnsi="仿宋" w:eastAsia="仿宋"/>
                <w:szCs w:val="21"/>
              </w:rPr>
            </w:pPr>
            <w:r>
              <w:rPr>
                <w:rFonts w:hint="eastAsia" w:ascii="仿宋" w:hAnsi="仿宋" w:eastAsia="仿宋"/>
                <w:szCs w:val="21"/>
              </w:rPr>
              <w:t>目标1目标2</w:t>
            </w:r>
          </w:p>
        </w:tc>
      </w:tr>
      <w:tr w14:paraId="224F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523EF9C7">
            <w:pPr>
              <w:jc w:val="center"/>
              <w:rPr>
                <w:rFonts w:hint="eastAsia" w:ascii="仿宋" w:hAnsi="仿宋" w:eastAsia="仿宋"/>
                <w:szCs w:val="21"/>
              </w:rPr>
            </w:pPr>
            <w:r>
              <w:rPr>
                <w:rFonts w:ascii="仿宋" w:hAnsi="仿宋" w:eastAsia="仿宋"/>
                <w:szCs w:val="21"/>
              </w:rPr>
              <w:t>2</w:t>
            </w:r>
          </w:p>
        </w:tc>
        <w:tc>
          <w:tcPr>
            <w:tcW w:w="1623" w:type="pct"/>
            <w:vAlign w:val="center"/>
          </w:tcPr>
          <w:p w14:paraId="550128EC">
            <w:pPr>
              <w:jc w:val="left"/>
              <w:rPr>
                <w:rFonts w:hint="eastAsia" w:ascii="仿宋" w:hAnsi="仿宋" w:eastAsia="仿宋"/>
                <w:b/>
                <w:szCs w:val="21"/>
              </w:rPr>
            </w:pPr>
            <w:r>
              <w:rPr>
                <w:rFonts w:hint="eastAsia" w:ascii="仿宋" w:hAnsi="仿宋" w:eastAsia="仿宋"/>
                <w:b/>
                <w:szCs w:val="21"/>
              </w:rPr>
              <w:t>㈡实践部分：</w:t>
            </w:r>
          </w:p>
          <w:p w14:paraId="288BD993">
            <w:pPr>
              <w:jc w:val="left"/>
              <w:rPr>
                <w:rFonts w:hint="eastAsia" w:ascii="仿宋" w:hAnsi="仿宋" w:eastAsia="仿宋"/>
                <w:bCs/>
              </w:rPr>
            </w:pPr>
            <w:r>
              <w:rPr>
                <w:rFonts w:hint="eastAsia" w:ascii="仿宋" w:hAnsi="仿宋" w:eastAsia="仿宋"/>
                <w:bCs/>
              </w:rPr>
              <w:t>1.各运动项目和身体素质为主，主要包括篮球、足球、五</w:t>
            </w:r>
            <w:r>
              <w:rPr>
                <w:rFonts w:ascii="仿宋" w:hAnsi="仿宋" w:eastAsia="仿宋"/>
                <w:bCs/>
              </w:rPr>
              <w:t>人制</w:t>
            </w:r>
            <w:r>
              <w:rPr>
                <w:rFonts w:hint="eastAsia" w:ascii="仿宋" w:hAnsi="仿宋" w:eastAsia="仿宋"/>
                <w:bCs/>
              </w:rPr>
              <w:t>足球</w:t>
            </w:r>
            <w:r>
              <w:rPr>
                <w:rFonts w:ascii="仿宋" w:hAnsi="仿宋" w:eastAsia="仿宋"/>
                <w:bCs/>
              </w:rPr>
              <w:t>、</w:t>
            </w:r>
            <w:r>
              <w:rPr>
                <w:rFonts w:hint="eastAsia" w:ascii="仿宋" w:hAnsi="仿宋" w:eastAsia="仿宋"/>
                <w:bCs/>
              </w:rPr>
              <w:t>排球、乒</w:t>
            </w:r>
            <w:r>
              <w:rPr>
                <w:rFonts w:ascii="仿宋" w:hAnsi="仿宋" w:eastAsia="仿宋"/>
                <w:bCs/>
              </w:rPr>
              <w:t>乓球、</w:t>
            </w:r>
            <w:r>
              <w:rPr>
                <w:rFonts w:hint="eastAsia" w:ascii="仿宋" w:hAnsi="仿宋" w:eastAsia="仿宋"/>
                <w:bCs/>
              </w:rPr>
              <w:t>排舞(女)、武术、散打、健美操(女)、排舞(女)、花样</w:t>
            </w:r>
            <w:r>
              <w:rPr>
                <w:rFonts w:ascii="仿宋" w:hAnsi="仿宋" w:eastAsia="仿宋"/>
                <w:bCs/>
              </w:rPr>
              <w:t>跳绳</w:t>
            </w:r>
            <w:r>
              <w:rPr>
                <w:rFonts w:hint="eastAsia" w:ascii="仿宋" w:hAnsi="仿宋" w:eastAsia="仿宋"/>
                <w:bCs/>
              </w:rPr>
              <w:t>、飞盘和体育保健等。</w:t>
            </w:r>
          </w:p>
          <w:p w14:paraId="1826AF33">
            <w:pPr>
              <w:jc w:val="left"/>
              <w:rPr>
                <w:rFonts w:hint="eastAsia" w:ascii="仿宋" w:hAnsi="仿宋" w:eastAsia="仿宋"/>
                <w:bCs/>
              </w:rPr>
            </w:pPr>
            <w:r>
              <w:rPr>
                <w:rFonts w:ascii="仿宋" w:hAnsi="仿宋" w:eastAsia="仿宋"/>
                <w:bCs/>
              </w:rPr>
              <w:t>2</w:t>
            </w:r>
            <w:r>
              <w:rPr>
                <w:rFonts w:hint="eastAsia" w:ascii="仿宋" w:hAnsi="仿宋" w:eastAsia="仿宋"/>
                <w:bCs/>
              </w:rPr>
              <w:t>.健康标准测试和发展体能</w:t>
            </w:r>
          </w:p>
          <w:p w14:paraId="1F1C065B">
            <w:pPr>
              <w:jc w:val="left"/>
              <w:rPr>
                <w:rFonts w:hint="eastAsia" w:ascii="仿宋" w:hAnsi="仿宋" w:eastAsia="仿宋"/>
                <w:bCs/>
              </w:rPr>
            </w:pPr>
            <w:r>
              <w:rPr>
                <w:rFonts w:hint="eastAsia" w:ascii="仿宋" w:hAnsi="仿宋" w:eastAsia="仿宋"/>
                <w:b/>
                <w:bCs/>
              </w:rPr>
              <w:t>重点：</w:t>
            </w:r>
            <w:r>
              <w:rPr>
                <w:rFonts w:hint="eastAsia" w:ascii="仿宋" w:hAnsi="仿宋" w:eastAsia="仿宋"/>
                <w:bCs/>
              </w:rPr>
              <w:t>掌握所学项目基本技能、规则及锻炼方法。</w:t>
            </w:r>
          </w:p>
          <w:p w14:paraId="112C87D6">
            <w:pPr>
              <w:jc w:val="left"/>
              <w:rPr>
                <w:rFonts w:hint="eastAsia" w:ascii="仿宋" w:hAnsi="仿宋" w:eastAsia="仿宋"/>
                <w:bCs/>
              </w:rPr>
            </w:pPr>
            <w:r>
              <w:rPr>
                <w:rFonts w:hint="eastAsia" w:ascii="仿宋" w:hAnsi="仿宋" w:eastAsia="仿宋"/>
                <w:b/>
                <w:bCs/>
              </w:rPr>
              <w:t>难点：</w:t>
            </w:r>
            <w:r>
              <w:rPr>
                <w:rFonts w:hint="eastAsia" w:ascii="仿宋" w:hAnsi="仿宋" w:eastAsia="仿宋"/>
                <w:bCs/>
              </w:rPr>
              <w:t>学会运用所学项目技能，自主和自觉锻炼意识，发展体育精神、</w:t>
            </w:r>
            <w:r>
              <w:rPr>
                <w:rFonts w:ascii="仿宋" w:hAnsi="仿宋" w:eastAsia="仿宋"/>
                <w:bCs/>
              </w:rPr>
              <w:t>健全</w:t>
            </w:r>
            <w:r>
              <w:rPr>
                <w:rFonts w:hint="eastAsia" w:ascii="仿宋" w:hAnsi="仿宋" w:eastAsia="仿宋"/>
                <w:bCs/>
              </w:rPr>
              <w:t>人格。</w:t>
            </w:r>
          </w:p>
        </w:tc>
        <w:tc>
          <w:tcPr>
            <w:tcW w:w="541" w:type="pct"/>
            <w:vAlign w:val="center"/>
          </w:tcPr>
          <w:p w14:paraId="7463C7C0">
            <w:pPr>
              <w:widowControl/>
              <w:ind w:left="-44" w:leftChars="-21" w:right="-109" w:rightChars="-52" w:firstLine="44" w:firstLineChars="21"/>
              <w:jc w:val="left"/>
              <w:rPr>
                <w:rFonts w:hint="eastAsia"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意志品德培育；规则</w:t>
            </w:r>
            <w:r>
              <w:rPr>
                <w:rFonts w:ascii="仿宋" w:hAnsi="仿宋" w:eastAsia="仿宋"/>
                <w:kern w:val="0"/>
                <w:szCs w:val="21"/>
              </w:rPr>
              <w:t>意识和</w:t>
            </w:r>
            <w:r>
              <w:rPr>
                <w:rFonts w:hint="eastAsia" w:ascii="仿宋" w:hAnsi="仿宋" w:eastAsia="仿宋"/>
                <w:kern w:val="0"/>
                <w:szCs w:val="21"/>
              </w:rPr>
              <w:t>诚信意识教育。</w:t>
            </w:r>
          </w:p>
        </w:tc>
        <w:tc>
          <w:tcPr>
            <w:tcW w:w="1160" w:type="pct"/>
            <w:vAlign w:val="center"/>
          </w:tcPr>
          <w:p w14:paraId="32F2F4A1">
            <w:pPr>
              <w:spacing w:line="280" w:lineRule="exact"/>
              <w:jc w:val="left"/>
              <w:rPr>
                <w:rFonts w:hint="eastAsia" w:ascii="仿宋" w:hAnsi="仿宋" w:eastAsia="仿宋"/>
                <w:szCs w:val="21"/>
              </w:rPr>
            </w:pPr>
            <w:r>
              <w:rPr>
                <w:rFonts w:hint="eastAsia" w:ascii="仿宋" w:hAnsi="仿宋" w:eastAsia="仿宋"/>
                <w:szCs w:val="21"/>
              </w:rPr>
              <w:t>通过</w:t>
            </w:r>
            <w:r>
              <w:rPr>
                <w:rFonts w:ascii="仿宋" w:hAnsi="仿宋" w:eastAsia="仿宋"/>
                <w:szCs w:val="21"/>
              </w:rPr>
              <w:t>学习，</w:t>
            </w:r>
            <w:r>
              <w:rPr>
                <w:rFonts w:hint="eastAsia" w:ascii="仿宋" w:hAnsi="仿宋" w:eastAsia="仿宋"/>
                <w:szCs w:val="21"/>
              </w:rPr>
              <w:t>使学生了解和掌握所选运动项目的基本知识、基本技术和锻炼方法；</w:t>
            </w:r>
            <w:r>
              <w:rPr>
                <w:rFonts w:hint="eastAsia" w:ascii="仿宋" w:hAnsi="仿宋" w:eastAsia="仿宋"/>
                <w:bCs/>
              </w:rPr>
              <w:t>发展学生的力量、灵敏、协调、平衡等身体素质及提高感知能力</w:t>
            </w:r>
            <w:r>
              <w:rPr>
                <w:rFonts w:hint="eastAsia" w:ascii="仿宋" w:hAnsi="仿宋" w:eastAsia="仿宋"/>
                <w:szCs w:val="21"/>
              </w:rPr>
              <w:t>；增强人际交往能力，培养团结协作的集体主义精神、顽强拼搏的竞争意识和爱国主义情怀。</w:t>
            </w:r>
          </w:p>
        </w:tc>
        <w:tc>
          <w:tcPr>
            <w:tcW w:w="386" w:type="pct"/>
            <w:vAlign w:val="center"/>
          </w:tcPr>
          <w:p w14:paraId="2D9FA346">
            <w:pPr>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6</w:t>
            </w:r>
          </w:p>
        </w:tc>
        <w:tc>
          <w:tcPr>
            <w:tcW w:w="464" w:type="pct"/>
            <w:vAlign w:val="center"/>
          </w:tcPr>
          <w:p w14:paraId="604785A6">
            <w:pPr>
              <w:rPr>
                <w:rFonts w:hint="eastAsia"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vAlign w:val="center"/>
          </w:tcPr>
          <w:p w14:paraId="32DF2D9D">
            <w:pPr>
              <w:jc w:val="left"/>
              <w:rPr>
                <w:rFonts w:hint="eastAsia" w:ascii="仿宋" w:hAnsi="仿宋" w:eastAsia="仿宋"/>
                <w:szCs w:val="21"/>
              </w:rPr>
            </w:pPr>
            <w:r>
              <w:rPr>
                <w:rFonts w:hint="eastAsia" w:ascii="仿宋" w:hAnsi="仿宋" w:eastAsia="仿宋"/>
                <w:szCs w:val="21"/>
              </w:rPr>
              <w:t>目标1</w:t>
            </w:r>
          </w:p>
          <w:p w14:paraId="36E5A0A0">
            <w:pPr>
              <w:jc w:val="left"/>
              <w:rPr>
                <w:rFonts w:hint="eastAsia" w:ascii="仿宋" w:hAnsi="仿宋" w:eastAsia="仿宋"/>
                <w:szCs w:val="21"/>
              </w:rPr>
            </w:pPr>
            <w:r>
              <w:rPr>
                <w:rFonts w:hint="eastAsia" w:ascii="仿宋" w:hAnsi="仿宋" w:eastAsia="仿宋"/>
                <w:szCs w:val="21"/>
              </w:rPr>
              <w:t>目标2</w:t>
            </w:r>
          </w:p>
        </w:tc>
      </w:tr>
    </w:tbl>
    <w:p w14:paraId="6DDC7898">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四、课程实施</w:t>
      </w:r>
    </w:p>
    <w:p w14:paraId="3E0B48A5">
      <w:pPr>
        <w:spacing w:before="156" w:beforeLines="50" w:after="156" w:afterLines="50" w:line="360" w:lineRule="auto"/>
        <w:ind w:firstLine="482" w:firstLineChars="200"/>
        <w:jc w:val="left"/>
        <w:rPr>
          <w:rFonts w:hint="eastAsia" w:ascii="仿宋" w:hAnsi="仿宋" w:eastAsia="仿宋"/>
          <w:b/>
          <w:sz w:val="24"/>
        </w:rPr>
      </w:pPr>
      <w:r>
        <w:rPr>
          <w:rFonts w:hint="eastAsia" w:ascii="仿宋" w:hAnsi="仿宋" w:eastAsia="仿宋"/>
          <w:b/>
          <w:sz w:val="24"/>
        </w:rPr>
        <w:t>（一）教学方法与手段</w:t>
      </w:r>
    </w:p>
    <w:p w14:paraId="51EEAB4C">
      <w:pPr>
        <w:spacing w:line="360" w:lineRule="auto"/>
        <w:ind w:firstLine="480" w:firstLineChars="200"/>
        <w:rPr>
          <w:rFonts w:hint="eastAsia" w:ascii="仿宋" w:hAnsi="仿宋" w:eastAsia="仿宋"/>
          <w:sz w:val="24"/>
        </w:rPr>
      </w:pPr>
      <w:r>
        <w:rPr>
          <w:rFonts w:ascii="仿宋" w:hAnsi="仿宋" w:eastAsia="仿宋"/>
          <w:sz w:val="24"/>
        </w:rPr>
        <w:t>1</w:t>
      </w:r>
      <w:r>
        <w:rPr>
          <w:rFonts w:hint="eastAsia" w:ascii="仿宋" w:hAnsi="仿宋" w:eastAsia="仿宋"/>
          <w:sz w:val="24"/>
        </w:rPr>
        <w:t>．本课程以实践教学为主，教学方法与手段的运用要考虑到学生的实际情况，从实际出发，因材施教，注意区别对待，激发学生学习兴趣，着重培养学生自学、自练、自评、互评等能力。</w:t>
      </w:r>
      <w:r>
        <w:rPr>
          <w:rFonts w:ascii="仿宋" w:hAnsi="仿宋" w:eastAsia="仿宋"/>
          <w:sz w:val="24"/>
        </w:rPr>
        <w:t xml:space="preserve">  </w:t>
      </w:r>
    </w:p>
    <w:p w14:paraId="4C2E55C8">
      <w:pPr>
        <w:spacing w:line="360" w:lineRule="auto"/>
        <w:ind w:firstLine="480" w:firstLineChars="200"/>
        <w:rPr>
          <w:rFonts w:hint="eastAsia" w:ascii="仿宋" w:hAnsi="仿宋" w:eastAsia="仿宋"/>
          <w:sz w:val="24"/>
        </w:rPr>
      </w:pPr>
      <w:r>
        <w:rPr>
          <w:rFonts w:ascii="仿宋" w:hAnsi="仿宋" w:eastAsia="仿宋"/>
          <w:sz w:val="24"/>
        </w:rPr>
        <w:t>2</w:t>
      </w:r>
      <w:r>
        <w:rPr>
          <w:rFonts w:hint="eastAsia" w:ascii="仿宋" w:hAnsi="仿宋" w:eastAsia="仿宋"/>
          <w:sz w:val="24"/>
        </w:rPr>
        <w:t>．教学方法与手段的运用合理，注意防止伤害事故发生，重视学生自我保护能力培养。</w:t>
      </w:r>
      <w:r>
        <w:rPr>
          <w:rFonts w:ascii="仿宋" w:hAnsi="仿宋" w:eastAsia="仿宋"/>
          <w:sz w:val="24"/>
        </w:rPr>
        <w:t> </w:t>
      </w:r>
    </w:p>
    <w:p w14:paraId="289DA4F6">
      <w:pPr>
        <w:spacing w:line="360" w:lineRule="auto"/>
        <w:ind w:firstLine="480" w:firstLineChars="200"/>
        <w:rPr>
          <w:rFonts w:hint="eastAsia" w:ascii="仿宋" w:hAnsi="仿宋" w:eastAsia="仿宋"/>
          <w:sz w:val="24"/>
        </w:rPr>
      </w:pPr>
      <w:r>
        <w:rPr>
          <w:rFonts w:hint="eastAsia" w:ascii="仿宋" w:hAnsi="仿宋" w:eastAsia="仿宋"/>
          <w:sz w:val="24"/>
        </w:rPr>
        <w:t>3．针对体育教学的特点，本课程将采用：讲解法、示范法、完整法、分解法、集体练习、小组练习等教学方法，并利用多媒体教学方式，提高学生的欣赏能力、让学生更加深刻的了解所学项目。</w:t>
      </w:r>
    </w:p>
    <w:p w14:paraId="42CE39E6">
      <w:pPr>
        <w:spacing w:line="360" w:lineRule="auto"/>
        <w:ind w:firstLine="482" w:firstLineChars="200"/>
        <w:rPr>
          <w:rFonts w:hint="eastAsia" w:ascii="仿宋" w:hAnsi="仿宋" w:eastAsia="仿宋"/>
          <w:b/>
          <w:sz w:val="24"/>
        </w:rPr>
      </w:pPr>
      <w:r>
        <w:rPr>
          <w:rFonts w:hint="eastAsia" w:ascii="仿宋" w:hAnsi="仿宋" w:eastAsia="仿宋"/>
          <w:b/>
          <w:sz w:val="24"/>
        </w:rPr>
        <w:t>（二）课程实施与保障</w:t>
      </w:r>
    </w:p>
    <w:tbl>
      <w:tblPr>
        <w:tblStyle w:val="13"/>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134"/>
        <w:gridCol w:w="6758"/>
      </w:tblGrid>
      <w:tr w14:paraId="4DC8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3" w:type="dxa"/>
            <w:gridSpan w:val="2"/>
            <w:tcBorders>
              <w:top w:val="single" w:color="auto" w:sz="8" w:space="0"/>
              <w:left w:val="single" w:color="auto" w:sz="8" w:space="0"/>
              <w:right w:val="single" w:color="auto" w:sz="8" w:space="0"/>
            </w:tcBorders>
            <w:tcMar>
              <w:left w:w="28" w:type="dxa"/>
              <w:right w:w="28" w:type="dxa"/>
            </w:tcMar>
            <w:vAlign w:val="center"/>
          </w:tcPr>
          <w:p w14:paraId="7C8FFFCC">
            <w:pPr>
              <w:spacing w:line="276" w:lineRule="auto"/>
              <w:jc w:val="center"/>
              <w:rPr>
                <w:rFonts w:hint="eastAsia" w:ascii="仿宋" w:hAnsi="仿宋" w:eastAsia="仿宋"/>
                <w:sz w:val="24"/>
              </w:rPr>
            </w:pPr>
            <w:r>
              <w:rPr>
                <w:rFonts w:ascii="仿宋" w:hAnsi="仿宋" w:eastAsia="仿宋" w:cs="宋体"/>
                <w:b/>
                <w:bCs/>
                <w:sz w:val="24"/>
              </w:rPr>
              <w:t>主要教学环节</w:t>
            </w:r>
          </w:p>
        </w:tc>
        <w:tc>
          <w:tcPr>
            <w:tcW w:w="6758" w:type="dxa"/>
            <w:tcBorders>
              <w:top w:val="single" w:color="auto" w:sz="8" w:space="0"/>
              <w:left w:val="single" w:color="auto" w:sz="8" w:space="0"/>
              <w:right w:val="single" w:color="auto" w:sz="8" w:space="0"/>
            </w:tcBorders>
            <w:vAlign w:val="center"/>
          </w:tcPr>
          <w:p w14:paraId="3B552DBF">
            <w:pPr>
              <w:spacing w:line="276" w:lineRule="auto"/>
              <w:jc w:val="center"/>
              <w:rPr>
                <w:rFonts w:hint="eastAsia" w:ascii="仿宋" w:hAnsi="仿宋" w:eastAsia="仿宋"/>
                <w:sz w:val="24"/>
              </w:rPr>
            </w:pPr>
            <w:r>
              <w:rPr>
                <w:rFonts w:hint="eastAsia" w:ascii="仿宋" w:hAnsi="仿宋" w:eastAsia="仿宋" w:cs="宋体"/>
                <w:b/>
                <w:bCs/>
                <w:sz w:val="24"/>
              </w:rPr>
              <w:t>质量要求</w:t>
            </w:r>
          </w:p>
        </w:tc>
      </w:tr>
      <w:tr w14:paraId="55E5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29057179">
            <w:pPr>
              <w:spacing w:line="276" w:lineRule="auto"/>
              <w:jc w:val="center"/>
              <w:rPr>
                <w:rFonts w:hint="eastAsia" w:ascii="仿宋" w:hAnsi="仿宋" w:eastAsia="仿宋"/>
                <w:sz w:val="24"/>
              </w:rPr>
            </w:pPr>
            <w:r>
              <w:rPr>
                <w:rFonts w:hint="eastAsia" w:ascii="仿宋" w:hAnsi="仿宋" w:eastAsia="仿宋"/>
                <w:sz w:val="24"/>
              </w:rPr>
              <w:t>1</w:t>
            </w:r>
          </w:p>
        </w:tc>
        <w:tc>
          <w:tcPr>
            <w:tcW w:w="1134" w:type="dxa"/>
            <w:tcMar>
              <w:left w:w="28" w:type="dxa"/>
              <w:right w:w="28" w:type="dxa"/>
            </w:tcMar>
            <w:vAlign w:val="center"/>
          </w:tcPr>
          <w:p w14:paraId="50DEF577">
            <w:pPr>
              <w:spacing w:line="276" w:lineRule="auto"/>
              <w:jc w:val="center"/>
              <w:rPr>
                <w:rFonts w:hint="eastAsia" w:ascii="仿宋" w:hAnsi="仿宋" w:eastAsia="仿宋"/>
                <w:sz w:val="24"/>
              </w:rPr>
            </w:pPr>
            <w:r>
              <w:rPr>
                <w:rFonts w:hint="eastAsia" w:ascii="仿宋" w:hAnsi="仿宋" w:eastAsia="仿宋"/>
                <w:sz w:val="24"/>
              </w:rPr>
              <w:t>备课</w:t>
            </w:r>
          </w:p>
        </w:tc>
        <w:tc>
          <w:tcPr>
            <w:tcW w:w="6758" w:type="dxa"/>
            <w:tcBorders>
              <w:right w:val="single" w:color="auto" w:sz="8" w:space="0"/>
            </w:tcBorders>
            <w:vAlign w:val="center"/>
          </w:tcPr>
          <w:p w14:paraId="147BAD26">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掌握本课程教学大纲内容，严格按照教学大纲要求进行本课程教学内容的组织；</w:t>
            </w:r>
          </w:p>
          <w:p w14:paraId="67AE5941">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熟悉教材各章节，借助相关专业书籍资料，并依据教学大纲编写授课计划；</w:t>
            </w:r>
          </w:p>
          <w:p w14:paraId="26A2F346">
            <w:pPr>
              <w:autoSpaceDE w:val="0"/>
              <w:autoSpaceDN w:val="0"/>
              <w:adjustRightInd w:val="0"/>
              <w:snapToGrid w:val="0"/>
              <w:spacing w:line="320" w:lineRule="exact"/>
              <w:jc w:val="left"/>
              <w:rPr>
                <w:rFonts w:hint="eastAsia" w:ascii="仿宋" w:hAnsi="仿宋" w:eastAsia="仿宋" w:cs="宋体"/>
                <w:spacing w:val="-10"/>
                <w:kern w:val="0"/>
                <w:sz w:val="22"/>
              </w:rPr>
            </w:pPr>
            <w:r>
              <w:rPr>
                <w:rFonts w:ascii="仿宋" w:hAnsi="仿宋" w:eastAsia="仿宋" w:cs="宋体"/>
                <w:spacing w:val="-10"/>
                <w:kern w:val="0"/>
                <w:sz w:val="22"/>
              </w:rPr>
              <w:t>3.</w:t>
            </w:r>
            <w:r>
              <w:rPr>
                <w:rFonts w:hint="eastAsia" w:ascii="仿宋" w:hAnsi="仿宋" w:eastAsia="仿宋" w:cs="宋体"/>
                <w:spacing w:val="-10"/>
                <w:kern w:val="0"/>
                <w:sz w:val="22"/>
              </w:rPr>
              <w:t>结合课程特点，制作课件，运用多媒体教学手段讲授部分教学内容；</w:t>
            </w:r>
            <w:r>
              <w:rPr>
                <w:rFonts w:ascii="仿宋" w:hAnsi="仿宋" w:eastAsia="仿宋" w:cs="宋体"/>
                <w:spacing w:val="-10"/>
                <w:kern w:val="0"/>
                <w:sz w:val="22"/>
              </w:rPr>
              <w:t xml:space="preserve"> </w:t>
            </w:r>
          </w:p>
          <w:p w14:paraId="545B840B">
            <w:pPr>
              <w:autoSpaceDE w:val="0"/>
              <w:autoSpaceDN w:val="0"/>
              <w:adjustRightInd w:val="0"/>
              <w:snapToGrid w:val="0"/>
              <w:spacing w:line="320" w:lineRule="exact"/>
              <w:jc w:val="left"/>
              <w:rPr>
                <w:rFonts w:hint="eastAsia" w:ascii="仿宋" w:hAnsi="仿宋" w:eastAsia="仿宋"/>
                <w:sz w:val="24"/>
              </w:rPr>
            </w:pPr>
            <w:r>
              <w:rPr>
                <w:rFonts w:ascii="仿宋" w:hAnsi="仿宋" w:eastAsia="仿宋" w:cs="宋体"/>
                <w:kern w:val="0"/>
                <w:sz w:val="22"/>
              </w:rPr>
              <w:t>4.</w:t>
            </w:r>
            <w:r>
              <w:rPr>
                <w:rFonts w:hint="eastAsia" w:ascii="仿宋" w:hAnsi="仿宋" w:eastAsia="仿宋" w:cs="宋体"/>
                <w:kern w:val="0"/>
                <w:sz w:val="22"/>
              </w:rPr>
              <w:t>确定各章节课程内容的教学方法，构思授课思路、技巧和方法。</w:t>
            </w:r>
          </w:p>
        </w:tc>
      </w:tr>
      <w:tr w14:paraId="1C09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5FD2FC51">
            <w:pPr>
              <w:spacing w:line="276" w:lineRule="auto"/>
              <w:jc w:val="center"/>
              <w:rPr>
                <w:rFonts w:hint="eastAsia" w:ascii="仿宋" w:hAnsi="仿宋" w:eastAsia="仿宋"/>
                <w:sz w:val="24"/>
              </w:rPr>
            </w:pPr>
            <w:r>
              <w:rPr>
                <w:rFonts w:hint="eastAsia" w:ascii="仿宋" w:hAnsi="仿宋" w:eastAsia="仿宋"/>
                <w:sz w:val="24"/>
              </w:rPr>
              <w:t>2</w:t>
            </w:r>
          </w:p>
        </w:tc>
        <w:tc>
          <w:tcPr>
            <w:tcW w:w="1134" w:type="dxa"/>
            <w:tcMar>
              <w:left w:w="28" w:type="dxa"/>
              <w:right w:w="28" w:type="dxa"/>
            </w:tcMar>
            <w:vAlign w:val="center"/>
          </w:tcPr>
          <w:p w14:paraId="3C2693FB">
            <w:pPr>
              <w:spacing w:line="276" w:lineRule="auto"/>
              <w:jc w:val="center"/>
              <w:rPr>
                <w:rFonts w:hint="eastAsia" w:ascii="仿宋" w:hAnsi="仿宋" w:eastAsia="仿宋"/>
                <w:sz w:val="24"/>
              </w:rPr>
            </w:pPr>
            <w:r>
              <w:rPr>
                <w:rFonts w:hint="eastAsia" w:ascii="仿宋" w:hAnsi="仿宋" w:eastAsia="仿宋"/>
                <w:sz w:val="24"/>
              </w:rPr>
              <w:t>讲授</w:t>
            </w:r>
          </w:p>
        </w:tc>
        <w:tc>
          <w:tcPr>
            <w:tcW w:w="6758" w:type="dxa"/>
            <w:tcBorders>
              <w:right w:val="single" w:color="auto" w:sz="8" w:space="0"/>
            </w:tcBorders>
            <w:vAlign w:val="center"/>
          </w:tcPr>
          <w:p w14:paraId="2F07D4E2">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rPr>
              <w:t>满足需要，发展个性；</w:t>
            </w:r>
            <w:r>
              <w:rPr>
                <w:rFonts w:hint="eastAsia" w:ascii="仿宋" w:hAnsi="仿宋" w:eastAsia="仿宋" w:cs="宋体"/>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5A7EADA1">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采用多种教学方式（如启发式教学、导学式、发现式等），精讲多练，培养学生自学、自练、自评、互评等能力。</w:t>
            </w:r>
          </w:p>
          <w:p w14:paraId="48D7D6EC">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1B5D08FB">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4.区别对待，因材施教。重视安全和关心基础较差的学生成长。</w:t>
            </w:r>
          </w:p>
          <w:p w14:paraId="5B2E5894">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5.教学中教师要以身作则，言传身教，做到既教学又育人。培养学生的优良品质，达到身心全面发展。</w:t>
            </w:r>
          </w:p>
        </w:tc>
      </w:tr>
      <w:tr w14:paraId="1ECB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213703FD">
            <w:pPr>
              <w:spacing w:line="276" w:lineRule="auto"/>
              <w:jc w:val="center"/>
              <w:rPr>
                <w:rFonts w:hint="eastAsia" w:ascii="仿宋" w:hAnsi="仿宋" w:eastAsia="仿宋"/>
                <w:sz w:val="24"/>
              </w:rPr>
            </w:pPr>
            <w:r>
              <w:rPr>
                <w:rFonts w:ascii="仿宋" w:hAnsi="仿宋" w:eastAsia="仿宋"/>
                <w:sz w:val="24"/>
              </w:rPr>
              <w:t>3</w:t>
            </w:r>
          </w:p>
        </w:tc>
        <w:tc>
          <w:tcPr>
            <w:tcW w:w="1134" w:type="dxa"/>
            <w:tcMar>
              <w:left w:w="28" w:type="dxa"/>
              <w:right w:w="28" w:type="dxa"/>
            </w:tcMar>
            <w:vAlign w:val="center"/>
          </w:tcPr>
          <w:p w14:paraId="56A0D547">
            <w:pPr>
              <w:spacing w:line="276" w:lineRule="auto"/>
              <w:jc w:val="center"/>
              <w:rPr>
                <w:rFonts w:hint="eastAsia" w:ascii="仿宋" w:hAnsi="仿宋" w:eastAsia="仿宋"/>
                <w:sz w:val="24"/>
              </w:rPr>
            </w:pPr>
            <w:r>
              <w:rPr>
                <w:rFonts w:hint="eastAsia" w:ascii="仿宋" w:hAnsi="仿宋" w:eastAsia="仿宋"/>
                <w:sz w:val="24"/>
              </w:rPr>
              <w:t>课外练习</w:t>
            </w:r>
          </w:p>
        </w:tc>
        <w:tc>
          <w:tcPr>
            <w:tcW w:w="6758" w:type="dxa"/>
            <w:tcBorders>
              <w:right w:val="single" w:color="auto" w:sz="8" w:space="0"/>
            </w:tcBorders>
            <w:vAlign w:val="center"/>
          </w:tcPr>
          <w:p w14:paraId="7322F2DC">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课外练习是教师布置课外练习内容，重点要求学生利用课余时间巩固课堂上所学的技术动作，形成正确的动力定型，同时要求学生加强身体素质练习。</w:t>
            </w:r>
          </w:p>
        </w:tc>
      </w:tr>
      <w:tr w14:paraId="7C08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0DB4A28D">
            <w:pPr>
              <w:spacing w:line="276" w:lineRule="auto"/>
              <w:jc w:val="center"/>
              <w:rPr>
                <w:rFonts w:hint="eastAsia" w:ascii="仿宋" w:hAnsi="仿宋" w:eastAsia="仿宋"/>
                <w:sz w:val="24"/>
              </w:rPr>
            </w:pPr>
            <w:r>
              <w:rPr>
                <w:rFonts w:ascii="仿宋" w:hAnsi="仿宋" w:eastAsia="仿宋"/>
                <w:sz w:val="24"/>
              </w:rPr>
              <w:t>4</w:t>
            </w:r>
          </w:p>
        </w:tc>
        <w:tc>
          <w:tcPr>
            <w:tcW w:w="1134" w:type="dxa"/>
            <w:tcMar>
              <w:left w:w="28" w:type="dxa"/>
              <w:right w:w="28" w:type="dxa"/>
            </w:tcMar>
            <w:vAlign w:val="center"/>
          </w:tcPr>
          <w:p w14:paraId="65CCBB82">
            <w:pPr>
              <w:spacing w:line="276" w:lineRule="auto"/>
              <w:jc w:val="center"/>
              <w:rPr>
                <w:rFonts w:hint="eastAsia" w:ascii="仿宋" w:hAnsi="仿宋" w:eastAsia="仿宋"/>
                <w:sz w:val="24"/>
              </w:rPr>
            </w:pPr>
            <w:r>
              <w:rPr>
                <w:rFonts w:hint="eastAsia" w:ascii="仿宋" w:hAnsi="仿宋" w:eastAsia="仿宋"/>
                <w:sz w:val="24"/>
              </w:rPr>
              <w:t>成绩考核</w:t>
            </w:r>
          </w:p>
        </w:tc>
        <w:tc>
          <w:tcPr>
            <w:tcW w:w="6758" w:type="dxa"/>
            <w:tcBorders>
              <w:right w:val="single" w:color="auto" w:sz="8" w:space="0"/>
            </w:tcBorders>
            <w:vAlign w:val="center"/>
          </w:tcPr>
          <w:p w14:paraId="7A426495">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本课程考核的方式：考试。总评成绩的评定见课程评分方案。有下列情况之一者，总评成绩为不及格：</w:t>
            </w:r>
          </w:p>
          <w:p w14:paraId="601999B8">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.课外</w:t>
            </w:r>
            <w:r>
              <w:rPr>
                <w:rFonts w:ascii="仿宋" w:hAnsi="仿宋" w:eastAsia="仿宋" w:cs="宋体"/>
                <w:kern w:val="0"/>
                <w:sz w:val="22"/>
              </w:rPr>
              <w:t>体育</w:t>
            </w:r>
            <w:r>
              <w:rPr>
                <w:rFonts w:hint="eastAsia" w:ascii="仿宋" w:hAnsi="仿宋" w:eastAsia="仿宋" w:cs="宋体"/>
                <w:kern w:val="0"/>
                <w:sz w:val="22"/>
              </w:rPr>
              <w:t>锻炼</w:t>
            </w:r>
            <w:r>
              <w:rPr>
                <w:rFonts w:ascii="仿宋" w:hAnsi="仿宋" w:eastAsia="仿宋" w:cs="宋体"/>
                <w:kern w:val="0"/>
                <w:sz w:val="22"/>
              </w:rPr>
              <w:t>不合格</w:t>
            </w:r>
            <w:r>
              <w:rPr>
                <w:rFonts w:hint="eastAsia" w:ascii="仿宋" w:hAnsi="仿宋" w:eastAsia="仿宋" w:cs="宋体"/>
                <w:kern w:val="0"/>
                <w:sz w:val="22"/>
              </w:rPr>
              <w:t>者；</w:t>
            </w:r>
          </w:p>
          <w:p w14:paraId="512B0FC5">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2.缺课次数达本学期总授课学时的</w:t>
            </w:r>
            <w:r>
              <w:rPr>
                <w:rFonts w:ascii="仿宋" w:hAnsi="仿宋" w:eastAsia="仿宋" w:cs="宋体"/>
                <w:kern w:val="0"/>
                <w:sz w:val="22"/>
              </w:rPr>
              <w:t>1/3</w:t>
            </w:r>
            <w:r>
              <w:rPr>
                <w:rFonts w:hint="eastAsia" w:ascii="仿宋" w:hAnsi="仿宋" w:eastAsia="仿宋" w:cs="宋体"/>
                <w:kern w:val="0"/>
                <w:sz w:val="22"/>
              </w:rPr>
              <w:t>以上者；</w:t>
            </w:r>
          </w:p>
        </w:tc>
      </w:tr>
    </w:tbl>
    <w:p w14:paraId="791DD5B8">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五</w:t>
      </w:r>
      <w:r>
        <w:rPr>
          <w:rFonts w:ascii="仿宋" w:hAnsi="仿宋" w:eastAsia="仿宋" w:cs="宋体"/>
          <w:b/>
          <w:sz w:val="28"/>
          <w:szCs w:val="28"/>
        </w:rPr>
        <w:t>、</w:t>
      </w:r>
      <w:r>
        <w:rPr>
          <w:rFonts w:hint="eastAsia" w:ascii="仿宋" w:hAnsi="仿宋" w:eastAsia="仿宋" w:cs="宋体"/>
          <w:b/>
          <w:sz w:val="28"/>
          <w:szCs w:val="28"/>
        </w:rPr>
        <w:t>课程考核</w:t>
      </w:r>
    </w:p>
    <w:p w14:paraId="089CE238">
      <w:pPr>
        <w:spacing w:line="360" w:lineRule="auto"/>
        <w:ind w:firstLine="480" w:firstLineChars="200"/>
        <w:rPr>
          <w:rFonts w:hint="eastAsia" w:ascii="仿宋" w:hAnsi="仿宋" w:eastAsia="仿宋"/>
          <w:sz w:val="24"/>
        </w:rPr>
      </w:pPr>
      <w:r>
        <w:rPr>
          <w:rFonts w:hint="eastAsia" w:ascii="仿宋" w:hAnsi="仿宋" w:eastAsia="仿宋"/>
          <w:sz w:val="24"/>
        </w:rPr>
        <w:t>（一）课程考核由期末考试和平时考核构成，期末考试采用随堂方式。</w:t>
      </w:r>
    </w:p>
    <w:p w14:paraId="059F20E4">
      <w:pPr>
        <w:spacing w:line="360" w:lineRule="auto"/>
        <w:ind w:firstLine="480" w:firstLineChars="200"/>
        <w:rPr>
          <w:rFonts w:hint="eastAsia" w:ascii="仿宋" w:hAnsi="仿宋" w:eastAsia="仿宋"/>
          <w:sz w:val="24"/>
        </w:rPr>
      </w:pPr>
      <w:r>
        <w:rPr>
          <w:rFonts w:hint="eastAsia" w:ascii="仿宋" w:hAnsi="仿宋" w:eastAsia="仿宋"/>
          <w:sz w:val="24"/>
        </w:rPr>
        <w:t>（二）</w:t>
      </w:r>
      <w:r>
        <w:rPr>
          <w:rFonts w:ascii="仿宋" w:hAnsi="仿宋" w:eastAsia="仿宋"/>
          <w:sz w:val="24"/>
        </w:rPr>
        <w:t>课程</w:t>
      </w:r>
      <w:r>
        <w:rPr>
          <w:rFonts w:hint="eastAsia" w:ascii="仿宋" w:hAnsi="仿宋" w:eastAsia="仿宋"/>
          <w:sz w:val="24"/>
        </w:rPr>
        <w:t>总评成绩=平时成绩</w:t>
      </w:r>
      <w:r>
        <w:rPr>
          <w:rFonts w:ascii="仿宋" w:hAnsi="仿宋" w:eastAsia="仿宋"/>
          <w:sz w:val="24"/>
        </w:rPr>
        <w:t>5</w:t>
      </w:r>
      <w:r>
        <w:rPr>
          <w:rFonts w:hint="eastAsia" w:ascii="仿宋" w:hAnsi="仿宋" w:eastAsia="仿宋"/>
          <w:sz w:val="24"/>
        </w:rPr>
        <w:t>0%+</w:t>
      </w:r>
      <w:r>
        <w:rPr>
          <w:rFonts w:ascii="仿宋" w:hAnsi="仿宋" w:eastAsia="仿宋"/>
          <w:sz w:val="24"/>
        </w:rPr>
        <w:t>期末考试5</w:t>
      </w:r>
      <w:r>
        <w:rPr>
          <w:rFonts w:hint="eastAsia" w:ascii="仿宋" w:hAnsi="仿宋" w:eastAsia="仿宋"/>
          <w:sz w:val="24"/>
        </w:rPr>
        <w:t>0%，平时成绩=课堂表现</w:t>
      </w:r>
      <w:r>
        <w:rPr>
          <w:rFonts w:ascii="仿宋" w:hAnsi="仿宋" w:eastAsia="仿宋"/>
          <w:sz w:val="24"/>
        </w:rPr>
        <w:t>10</w:t>
      </w:r>
      <w:r>
        <w:rPr>
          <w:rFonts w:hint="eastAsia" w:ascii="仿宋" w:hAnsi="仿宋" w:eastAsia="仿宋"/>
          <w:sz w:val="24"/>
        </w:rPr>
        <w:t>%+课外体育锻炼</w:t>
      </w:r>
      <w:r>
        <w:rPr>
          <w:rFonts w:ascii="仿宋" w:hAnsi="仿宋" w:eastAsia="仿宋"/>
          <w:sz w:val="24"/>
        </w:rPr>
        <w:t>20</w:t>
      </w:r>
      <w:r>
        <w:rPr>
          <w:rFonts w:hint="eastAsia" w:ascii="仿宋" w:hAnsi="仿宋" w:eastAsia="仿宋"/>
          <w:sz w:val="24"/>
        </w:rPr>
        <w:t>%+身体素质</w:t>
      </w:r>
      <w:r>
        <w:rPr>
          <w:rFonts w:ascii="仿宋" w:hAnsi="仿宋" w:eastAsia="仿宋"/>
          <w:sz w:val="24"/>
        </w:rPr>
        <w:t>2</w:t>
      </w:r>
      <w:r>
        <w:rPr>
          <w:rFonts w:hint="eastAsia" w:ascii="仿宋" w:hAnsi="仿宋" w:eastAsia="仿宋"/>
          <w:sz w:val="24"/>
        </w:rPr>
        <w:t>0%。</w:t>
      </w:r>
    </w:p>
    <w:p w14:paraId="44BD7430">
      <w:pPr>
        <w:spacing w:line="360" w:lineRule="auto"/>
        <w:ind w:firstLine="480" w:firstLineChars="200"/>
        <w:rPr>
          <w:rFonts w:hint="eastAsia" w:ascii="仿宋" w:hAnsi="仿宋" w:eastAsia="仿宋"/>
          <w:sz w:val="24"/>
        </w:rPr>
      </w:pPr>
      <w:r>
        <w:rPr>
          <w:rFonts w:ascii="仿宋" w:hAnsi="仿宋" w:eastAsia="仿宋"/>
          <w:sz w:val="24"/>
        </w:rPr>
        <w:t>具体内容和比例</w:t>
      </w:r>
      <w:r>
        <w:rPr>
          <w:rFonts w:hint="eastAsia" w:ascii="仿宋" w:hAnsi="仿宋" w:eastAsia="仿宋"/>
          <w:sz w:val="24"/>
        </w:rPr>
        <w:t>如表所示：</w:t>
      </w:r>
    </w:p>
    <w:tbl>
      <w:tblPr>
        <w:tblStyle w:val="13"/>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86"/>
        <w:gridCol w:w="1310"/>
      </w:tblGrid>
      <w:tr w14:paraId="3788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tcMar>
              <w:left w:w="57" w:type="dxa"/>
              <w:right w:w="57" w:type="dxa"/>
            </w:tcMar>
            <w:vAlign w:val="center"/>
          </w:tcPr>
          <w:p w14:paraId="331F3978">
            <w:pPr>
              <w:jc w:val="center"/>
              <w:rPr>
                <w:rFonts w:hint="eastAsia" w:ascii="仿宋" w:hAnsi="仿宋" w:eastAsia="仿宋"/>
                <w:szCs w:val="21"/>
              </w:rPr>
            </w:pPr>
            <w:r>
              <w:rPr>
                <w:rFonts w:ascii="仿宋" w:hAnsi="仿宋" w:eastAsia="仿宋"/>
                <w:szCs w:val="21"/>
              </w:rPr>
              <w:t>成绩组成</w:t>
            </w:r>
          </w:p>
        </w:tc>
        <w:tc>
          <w:tcPr>
            <w:tcW w:w="1301" w:type="dxa"/>
            <w:shd w:val="clear" w:color="auto" w:fill="FFFFFF"/>
            <w:vAlign w:val="center"/>
          </w:tcPr>
          <w:p w14:paraId="4FEC76E0">
            <w:pPr>
              <w:jc w:val="center"/>
              <w:rPr>
                <w:rFonts w:hint="eastAsia" w:ascii="仿宋" w:hAnsi="仿宋" w:eastAsia="仿宋"/>
                <w:szCs w:val="21"/>
              </w:rPr>
            </w:pPr>
            <w:r>
              <w:rPr>
                <w:rFonts w:ascii="仿宋" w:hAnsi="仿宋" w:eastAsia="仿宋"/>
                <w:szCs w:val="21"/>
              </w:rPr>
              <w:t>考核/评价环节</w:t>
            </w:r>
          </w:p>
        </w:tc>
        <w:tc>
          <w:tcPr>
            <w:tcW w:w="741" w:type="dxa"/>
            <w:shd w:val="clear" w:color="auto" w:fill="FFFFFF"/>
            <w:vAlign w:val="center"/>
          </w:tcPr>
          <w:p w14:paraId="3D9957C0">
            <w:pPr>
              <w:jc w:val="center"/>
              <w:rPr>
                <w:rFonts w:hint="eastAsia" w:ascii="仿宋" w:hAnsi="仿宋" w:eastAsia="仿宋"/>
                <w:szCs w:val="21"/>
              </w:rPr>
            </w:pPr>
            <w:r>
              <w:rPr>
                <w:rFonts w:hint="eastAsia" w:ascii="仿宋" w:hAnsi="仿宋" w:eastAsia="仿宋"/>
                <w:szCs w:val="21"/>
              </w:rPr>
              <w:t>权重</w:t>
            </w:r>
          </w:p>
        </w:tc>
        <w:tc>
          <w:tcPr>
            <w:tcW w:w="4086" w:type="dxa"/>
            <w:shd w:val="clear" w:color="auto" w:fill="FFFFFF"/>
            <w:vAlign w:val="center"/>
          </w:tcPr>
          <w:p w14:paraId="3EC83B90">
            <w:pPr>
              <w:jc w:val="center"/>
              <w:rPr>
                <w:rFonts w:hint="eastAsia" w:ascii="仿宋" w:hAnsi="仿宋" w:eastAsia="仿宋"/>
                <w:szCs w:val="21"/>
              </w:rPr>
            </w:pPr>
            <w:r>
              <w:rPr>
                <w:rFonts w:ascii="仿宋" w:hAnsi="仿宋" w:eastAsia="仿宋"/>
                <w:szCs w:val="21"/>
              </w:rPr>
              <w:t>考核/评价细则</w:t>
            </w:r>
          </w:p>
        </w:tc>
        <w:tc>
          <w:tcPr>
            <w:tcW w:w="1310" w:type="dxa"/>
            <w:shd w:val="clear" w:color="auto" w:fill="FFFFFF"/>
            <w:vAlign w:val="center"/>
          </w:tcPr>
          <w:p w14:paraId="22A1E2D9">
            <w:pPr>
              <w:jc w:val="center"/>
              <w:rPr>
                <w:rFonts w:hint="eastAsia" w:ascii="仿宋" w:hAnsi="仿宋" w:eastAsia="仿宋"/>
                <w:szCs w:val="21"/>
              </w:rPr>
            </w:pPr>
            <w:r>
              <w:rPr>
                <w:rFonts w:ascii="仿宋" w:hAnsi="仿宋" w:eastAsia="仿宋"/>
                <w:szCs w:val="21"/>
              </w:rPr>
              <w:t>对应的毕业要求指标点</w:t>
            </w:r>
          </w:p>
        </w:tc>
      </w:tr>
      <w:tr w14:paraId="1F93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tcMar>
              <w:left w:w="57" w:type="dxa"/>
              <w:right w:w="57" w:type="dxa"/>
            </w:tcMar>
            <w:vAlign w:val="center"/>
          </w:tcPr>
          <w:p w14:paraId="07316B30">
            <w:pPr>
              <w:jc w:val="center"/>
              <w:rPr>
                <w:rFonts w:hint="eastAsia" w:ascii="仿宋" w:hAnsi="仿宋" w:eastAsia="仿宋"/>
                <w:szCs w:val="21"/>
              </w:rPr>
            </w:pPr>
            <w:r>
              <w:rPr>
                <w:rFonts w:ascii="仿宋" w:hAnsi="仿宋" w:eastAsia="仿宋"/>
                <w:szCs w:val="21"/>
              </w:rPr>
              <w:t>平时成绩</w:t>
            </w:r>
          </w:p>
          <w:p w14:paraId="0DE9D4C7">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vAlign w:val="center"/>
          </w:tcPr>
          <w:p w14:paraId="5E947C94">
            <w:pPr>
              <w:spacing w:line="276" w:lineRule="auto"/>
              <w:jc w:val="center"/>
              <w:rPr>
                <w:rFonts w:hint="eastAsia" w:ascii="仿宋" w:hAnsi="仿宋" w:eastAsia="仿宋"/>
                <w:szCs w:val="21"/>
              </w:rPr>
            </w:pPr>
            <w:r>
              <w:rPr>
                <w:rFonts w:hint="eastAsia" w:ascii="仿宋" w:hAnsi="仿宋" w:eastAsia="仿宋"/>
                <w:szCs w:val="21"/>
              </w:rPr>
              <w:t>课堂表现</w:t>
            </w:r>
          </w:p>
        </w:tc>
        <w:tc>
          <w:tcPr>
            <w:tcW w:w="741" w:type="dxa"/>
            <w:vAlign w:val="center"/>
          </w:tcPr>
          <w:p w14:paraId="017C3301">
            <w:pPr>
              <w:rPr>
                <w:rFonts w:hint="eastAsia" w:ascii="仿宋" w:hAnsi="仿宋" w:eastAsia="仿宋"/>
                <w:szCs w:val="21"/>
              </w:rPr>
            </w:pPr>
            <w:r>
              <w:rPr>
                <w:rFonts w:hint="eastAsia" w:ascii="仿宋" w:hAnsi="仿宋" w:eastAsia="仿宋"/>
                <w:szCs w:val="21"/>
              </w:rPr>
              <w:t xml:space="preserve"> </w:t>
            </w:r>
            <w:r>
              <w:rPr>
                <w:rFonts w:ascii="仿宋" w:hAnsi="仿宋" w:eastAsia="仿宋"/>
                <w:szCs w:val="21"/>
              </w:rPr>
              <w:t>10%</w:t>
            </w:r>
          </w:p>
        </w:tc>
        <w:tc>
          <w:tcPr>
            <w:tcW w:w="4086" w:type="dxa"/>
            <w:vAlign w:val="center"/>
          </w:tcPr>
          <w:p w14:paraId="14BD5CCC">
            <w:pPr>
              <w:spacing w:line="320" w:lineRule="exact"/>
              <w:jc w:val="left"/>
              <w:rPr>
                <w:rFonts w:hint="eastAsia" w:ascii="仿宋" w:hAnsi="仿宋" w:eastAsia="仿宋"/>
                <w:sz w:val="24"/>
              </w:rPr>
            </w:pPr>
            <w:r>
              <w:rPr>
                <w:rFonts w:ascii="仿宋" w:hAnsi="仿宋" w:eastAsia="仿宋"/>
                <w:bCs/>
                <w:kern w:val="24"/>
                <w:szCs w:val="21"/>
              </w:rPr>
              <w:t>课堂</w:t>
            </w:r>
            <w:r>
              <w:rPr>
                <w:rFonts w:hint="eastAsia" w:ascii="仿宋" w:hAnsi="仿宋" w:eastAsia="仿宋"/>
                <w:bCs/>
                <w:kern w:val="24"/>
                <w:szCs w:val="21"/>
              </w:rPr>
              <w:t>整队</w:t>
            </w:r>
            <w:r>
              <w:rPr>
                <w:rFonts w:ascii="仿宋" w:hAnsi="仿宋" w:eastAsia="仿宋"/>
                <w:bCs/>
                <w:kern w:val="24"/>
                <w:szCs w:val="21"/>
              </w:rPr>
              <w:t>点名</w:t>
            </w:r>
            <w:r>
              <w:rPr>
                <w:rFonts w:hint="eastAsia" w:ascii="仿宋" w:hAnsi="仿宋" w:eastAsia="仿宋"/>
                <w:bCs/>
                <w:kern w:val="24"/>
                <w:szCs w:val="21"/>
              </w:rPr>
              <w:t>，考核</w:t>
            </w:r>
            <w:r>
              <w:rPr>
                <w:rFonts w:hint="eastAsia" w:ascii="仿宋" w:hAnsi="仿宋" w:eastAsia="仿宋"/>
                <w:szCs w:val="21"/>
              </w:rPr>
              <w:t>能否按时到勤，旷课一次扣</w:t>
            </w:r>
            <w:r>
              <w:rPr>
                <w:rFonts w:ascii="仿宋" w:hAnsi="仿宋" w:eastAsia="仿宋"/>
                <w:szCs w:val="21"/>
              </w:rPr>
              <w:t>20</w:t>
            </w:r>
            <w:r>
              <w:rPr>
                <w:rFonts w:hint="eastAsia" w:ascii="仿宋" w:hAnsi="仿宋" w:eastAsia="仿宋"/>
                <w:szCs w:val="21"/>
              </w:rPr>
              <w:t>分，迟到与早退等一次扣</w:t>
            </w:r>
            <w:r>
              <w:rPr>
                <w:rFonts w:ascii="仿宋" w:hAnsi="仿宋" w:eastAsia="仿宋"/>
                <w:szCs w:val="21"/>
              </w:rPr>
              <w:t>10</w:t>
            </w:r>
            <w:r>
              <w:rPr>
                <w:rFonts w:hint="eastAsia" w:ascii="仿宋" w:hAnsi="仿宋" w:eastAsia="仿宋"/>
                <w:szCs w:val="21"/>
              </w:rPr>
              <w:t>分。</w:t>
            </w:r>
          </w:p>
        </w:tc>
        <w:tc>
          <w:tcPr>
            <w:tcW w:w="1310" w:type="dxa"/>
            <w:vAlign w:val="center"/>
          </w:tcPr>
          <w:p w14:paraId="3F9DB0C3">
            <w:pPr>
              <w:jc w:val="center"/>
              <w:rPr>
                <w:rFonts w:hint="eastAsia" w:ascii="仿宋" w:hAnsi="仿宋" w:eastAsia="仿宋"/>
                <w:szCs w:val="21"/>
              </w:rPr>
            </w:pPr>
            <w:r>
              <w:rPr>
                <w:rFonts w:hint="eastAsia" w:ascii="仿宋" w:hAnsi="仿宋" w:eastAsia="仿宋"/>
                <w:bCs/>
                <w:szCs w:val="21"/>
              </w:rPr>
              <w:t>8、</w:t>
            </w:r>
            <w:r>
              <w:rPr>
                <w:rFonts w:ascii="仿宋" w:hAnsi="仿宋" w:eastAsia="仿宋"/>
                <w:bCs/>
                <w:szCs w:val="21"/>
              </w:rPr>
              <w:t>9</w:t>
            </w:r>
          </w:p>
        </w:tc>
      </w:tr>
      <w:tr w14:paraId="4424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tcMar>
              <w:left w:w="57" w:type="dxa"/>
              <w:right w:w="57" w:type="dxa"/>
            </w:tcMar>
            <w:vAlign w:val="center"/>
          </w:tcPr>
          <w:p w14:paraId="665D6909">
            <w:pPr>
              <w:jc w:val="center"/>
              <w:rPr>
                <w:rFonts w:hint="eastAsia" w:ascii="仿宋" w:hAnsi="仿宋" w:eastAsia="仿宋"/>
                <w:szCs w:val="21"/>
              </w:rPr>
            </w:pPr>
          </w:p>
        </w:tc>
        <w:tc>
          <w:tcPr>
            <w:tcW w:w="1301" w:type="dxa"/>
            <w:vAlign w:val="center"/>
          </w:tcPr>
          <w:p w14:paraId="28935F74">
            <w:pPr>
              <w:spacing w:line="276" w:lineRule="auto"/>
              <w:jc w:val="center"/>
              <w:rPr>
                <w:rFonts w:hint="eastAsia" w:ascii="仿宋" w:hAnsi="仿宋" w:eastAsia="仿宋"/>
                <w:szCs w:val="21"/>
              </w:rPr>
            </w:pPr>
            <w:r>
              <w:rPr>
                <w:rFonts w:hint="eastAsia" w:ascii="仿宋" w:hAnsi="仿宋" w:eastAsia="仿宋"/>
                <w:szCs w:val="21"/>
              </w:rPr>
              <w:t>课外锻炼</w:t>
            </w:r>
          </w:p>
        </w:tc>
        <w:tc>
          <w:tcPr>
            <w:tcW w:w="741" w:type="dxa"/>
            <w:vAlign w:val="center"/>
          </w:tcPr>
          <w:p w14:paraId="38C1AF2C">
            <w:pPr>
              <w:rPr>
                <w:rFonts w:hint="eastAsia" w:ascii="仿宋" w:hAnsi="仿宋" w:eastAsia="仿宋"/>
                <w:szCs w:val="21"/>
              </w:rPr>
            </w:pPr>
            <w:r>
              <w:rPr>
                <w:rFonts w:hint="eastAsia" w:ascii="仿宋" w:hAnsi="仿宋" w:eastAsia="仿宋"/>
                <w:szCs w:val="21"/>
              </w:rPr>
              <w:t xml:space="preserve"> </w:t>
            </w:r>
            <w:r>
              <w:rPr>
                <w:rFonts w:ascii="仿宋" w:hAnsi="仿宋" w:eastAsia="仿宋"/>
                <w:szCs w:val="21"/>
              </w:rPr>
              <w:t>20%</w:t>
            </w:r>
          </w:p>
        </w:tc>
        <w:tc>
          <w:tcPr>
            <w:tcW w:w="4086" w:type="dxa"/>
            <w:vAlign w:val="center"/>
          </w:tcPr>
          <w:p w14:paraId="7969F024">
            <w:pPr>
              <w:spacing w:line="280" w:lineRule="exact"/>
              <w:jc w:val="left"/>
              <w:rPr>
                <w:rFonts w:hint="eastAsia" w:ascii="仿宋" w:hAnsi="仿宋" w:eastAsia="仿宋"/>
                <w:bCs/>
                <w:kern w:val="24"/>
                <w:szCs w:val="21"/>
              </w:rPr>
            </w:pPr>
            <w:r>
              <w:rPr>
                <w:rFonts w:hint="eastAsia" w:ascii="仿宋" w:hAnsi="仿宋" w:eastAsia="仿宋"/>
                <w:bCs/>
                <w:kern w:val="24"/>
                <w:szCs w:val="21"/>
              </w:rPr>
              <w:t>课外</w:t>
            </w:r>
            <w:r>
              <w:rPr>
                <w:rFonts w:ascii="仿宋" w:hAnsi="仿宋" w:eastAsia="仿宋"/>
                <w:bCs/>
                <w:kern w:val="24"/>
                <w:szCs w:val="21"/>
              </w:rPr>
              <w:t>体育</w:t>
            </w:r>
            <w:r>
              <w:rPr>
                <w:rFonts w:hint="eastAsia" w:ascii="仿宋" w:hAnsi="仿宋" w:eastAsia="仿宋"/>
                <w:bCs/>
                <w:kern w:val="24"/>
                <w:szCs w:val="21"/>
              </w:rPr>
              <w:t>锻炼成绩纳入学期体育成绩总评，占总评分数的</w:t>
            </w:r>
            <w:r>
              <w:rPr>
                <w:rFonts w:ascii="仿宋" w:hAnsi="仿宋" w:eastAsia="仿宋"/>
                <w:bCs/>
                <w:kern w:val="24"/>
                <w:szCs w:val="21"/>
              </w:rPr>
              <w:t>2</w:t>
            </w:r>
            <w:r>
              <w:rPr>
                <w:rFonts w:hint="eastAsia" w:ascii="仿宋" w:hAnsi="仿宋" w:eastAsia="仿宋"/>
                <w:bCs/>
                <w:kern w:val="24"/>
                <w:szCs w:val="21"/>
              </w:rPr>
              <w:t>0%。主</w:t>
            </w:r>
            <w:r>
              <w:rPr>
                <w:rFonts w:ascii="仿宋" w:hAnsi="仿宋" w:eastAsia="仿宋"/>
                <w:bCs/>
                <w:kern w:val="24"/>
                <w:szCs w:val="21"/>
              </w:rPr>
              <w:t>要</w:t>
            </w:r>
            <w:r>
              <w:rPr>
                <w:rFonts w:hint="eastAsia" w:ascii="仿宋" w:hAnsi="仿宋" w:eastAsia="仿宋"/>
                <w:bCs/>
                <w:kern w:val="24"/>
                <w:szCs w:val="21"/>
              </w:rPr>
              <w:t>包括晨跑、课外健身跑、健身辅导站、体育社团或单项协会健身活动和校级、院级、体育社团组织的体育竞赛活动等。</w:t>
            </w:r>
          </w:p>
        </w:tc>
        <w:tc>
          <w:tcPr>
            <w:tcW w:w="1310" w:type="dxa"/>
            <w:vAlign w:val="center"/>
          </w:tcPr>
          <w:p w14:paraId="702E8804">
            <w:pPr>
              <w:jc w:val="center"/>
              <w:rPr>
                <w:rFonts w:hint="eastAsia" w:ascii="仿宋" w:hAnsi="仿宋" w:eastAsia="仿宋"/>
              </w:rPr>
            </w:pPr>
            <w:r>
              <w:rPr>
                <w:rFonts w:hint="eastAsia" w:ascii="仿宋" w:hAnsi="仿宋" w:eastAsia="仿宋"/>
              </w:rPr>
              <w:t>8、9</w:t>
            </w:r>
          </w:p>
        </w:tc>
      </w:tr>
      <w:tr w14:paraId="60D3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040" w:type="dxa"/>
            <w:vMerge w:val="continue"/>
            <w:tcMar>
              <w:left w:w="57" w:type="dxa"/>
              <w:right w:w="57" w:type="dxa"/>
            </w:tcMar>
            <w:vAlign w:val="center"/>
          </w:tcPr>
          <w:p w14:paraId="58AC7393">
            <w:pPr>
              <w:jc w:val="center"/>
              <w:rPr>
                <w:rFonts w:hint="eastAsia" w:ascii="仿宋" w:hAnsi="仿宋" w:eastAsia="仿宋"/>
                <w:szCs w:val="21"/>
              </w:rPr>
            </w:pPr>
          </w:p>
        </w:tc>
        <w:tc>
          <w:tcPr>
            <w:tcW w:w="1301" w:type="dxa"/>
            <w:vAlign w:val="center"/>
          </w:tcPr>
          <w:p w14:paraId="6ADAA5C4">
            <w:pPr>
              <w:spacing w:line="276" w:lineRule="auto"/>
              <w:jc w:val="center"/>
              <w:rPr>
                <w:rFonts w:hint="eastAsia" w:ascii="仿宋" w:hAnsi="仿宋" w:eastAsia="仿宋"/>
                <w:szCs w:val="21"/>
              </w:rPr>
            </w:pPr>
            <w:r>
              <w:rPr>
                <w:rFonts w:hint="eastAsia" w:ascii="仿宋" w:hAnsi="仿宋" w:eastAsia="仿宋"/>
                <w:szCs w:val="21"/>
              </w:rPr>
              <w:t>身体素质</w:t>
            </w:r>
          </w:p>
        </w:tc>
        <w:tc>
          <w:tcPr>
            <w:tcW w:w="741" w:type="dxa"/>
            <w:vAlign w:val="center"/>
          </w:tcPr>
          <w:p w14:paraId="61164876">
            <w:pPr>
              <w:jc w:val="center"/>
              <w:rPr>
                <w:rFonts w:hint="eastAsia" w:ascii="仿宋" w:hAnsi="仿宋" w:eastAsia="仿宋"/>
                <w:szCs w:val="21"/>
              </w:rPr>
            </w:pPr>
            <w:r>
              <w:rPr>
                <w:rFonts w:ascii="仿宋" w:hAnsi="仿宋" w:eastAsia="仿宋"/>
                <w:szCs w:val="21"/>
              </w:rPr>
              <w:t>2</w:t>
            </w:r>
            <w:r>
              <w:rPr>
                <w:rFonts w:hint="eastAsia" w:ascii="仿宋" w:hAnsi="仿宋" w:eastAsia="仿宋"/>
                <w:szCs w:val="21"/>
              </w:rPr>
              <w:t>0</w:t>
            </w:r>
            <w:r>
              <w:rPr>
                <w:rFonts w:ascii="仿宋" w:hAnsi="仿宋" w:eastAsia="仿宋"/>
                <w:szCs w:val="21"/>
              </w:rPr>
              <w:t>%</w:t>
            </w:r>
          </w:p>
        </w:tc>
        <w:tc>
          <w:tcPr>
            <w:tcW w:w="4086" w:type="dxa"/>
            <w:vAlign w:val="center"/>
          </w:tcPr>
          <w:p w14:paraId="2EE6C53D">
            <w:pPr>
              <w:spacing w:line="280" w:lineRule="exact"/>
              <w:jc w:val="left"/>
              <w:rPr>
                <w:rFonts w:hint="eastAsia" w:ascii="仿宋" w:hAnsi="仿宋" w:eastAsia="仿宋"/>
                <w:sz w:val="24"/>
              </w:rPr>
            </w:pPr>
            <w:r>
              <w:rPr>
                <w:rFonts w:ascii="仿宋" w:hAnsi="仿宋" w:eastAsia="仿宋"/>
                <w:bCs/>
                <w:kern w:val="24"/>
                <w:szCs w:val="21"/>
              </w:rPr>
              <w:t>课堂测试</w:t>
            </w:r>
            <w:r>
              <w:rPr>
                <w:rFonts w:hint="eastAsia" w:ascii="仿宋" w:hAnsi="仿宋" w:eastAsia="仿宋"/>
                <w:bCs/>
                <w:kern w:val="24"/>
                <w:szCs w:val="21"/>
              </w:rPr>
              <w:t>，评分参照《国</w:t>
            </w:r>
            <w:r>
              <w:rPr>
                <w:rFonts w:ascii="仿宋" w:hAnsi="仿宋" w:eastAsia="仿宋"/>
                <w:bCs/>
                <w:kern w:val="24"/>
                <w:szCs w:val="21"/>
              </w:rPr>
              <w:t>家</w:t>
            </w:r>
            <w:r>
              <w:rPr>
                <w:rFonts w:hint="eastAsia" w:ascii="仿宋" w:hAnsi="仿宋" w:eastAsia="仿宋"/>
                <w:bCs/>
                <w:kern w:val="24"/>
                <w:szCs w:val="21"/>
              </w:rPr>
              <w:t>学生体质健康标准》</w:t>
            </w:r>
            <w:r>
              <w:rPr>
                <w:rFonts w:ascii="仿宋" w:hAnsi="仿宋" w:eastAsia="仿宋"/>
                <w:bCs/>
                <w:kern w:val="24"/>
                <w:szCs w:val="21"/>
              </w:rPr>
              <w:t>。</w:t>
            </w:r>
          </w:p>
        </w:tc>
        <w:tc>
          <w:tcPr>
            <w:tcW w:w="1310" w:type="dxa"/>
            <w:vAlign w:val="center"/>
          </w:tcPr>
          <w:p w14:paraId="66297DFD">
            <w:pPr>
              <w:jc w:val="center"/>
              <w:rPr>
                <w:rFonts w:hint="eastAsia" w:ascii="仿宋" w:hAnsi="仿宋" w:eastAsia="仿宋"/>
              </w:rPr>
            </w:pPr>
            <w:r>
              <w:rPr>
                <w:rFonts w:hint="eastAsia" w:ascii="仿宋" w:hAnsi="仿宋" w:eastAsia="仿宋"/>
              </w:rPr>
              <w:t>8、9</w:t>
            </w:r>
          </w:p>
        </w:tc>
      </w:tr>
      <w:tr w14:paraId="5B7B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tcMar>
              <w:left w:w="57" w:type="dxa"/>
              <w:right w:w="57" w:type="dxa"/>
            </w:tcMar>
            <w:vAlign w:val="center"/>
          </w:tcPr>
          <w:p w14:paraId="2398EEB2">
            <w:pPr>
              <w:jc w:val="center"/>
              <w:rPr>
                <w:rFonts w:hint="eastAsia" w:ascii="仿宋" w:hAnsi="仿宋" w:eastAsia="仿宋"/>
                <w:szCs w:val="21"/>
              </w:rPr>
            </w:pPr>
            <w:r>
              <w:rPr>
                <w:rFonts w:ascii="仿宋" w:hAnsi="仿宋" w:eastAsia="仿宋"/>
                <w:szCs w:val="21"/>
              </w:rPr>
              <w:t>期末考试</w:t>
            </w:r>
          </w:p>
          <w:p w14:paraId="3D09E893">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vAlign w:val="center"/>
          </w:tcPr>
          <w:p w14:paraId="402C14F0">
            <w:pPr>
              <w:jc w:val="center"/>
              <w:rPr>
                <w:rFonts w:hint="eastAsia" w:ascii="仿宋" w:hAnsi="仿宋" w:eastAsia="仿宋"/>
                <w:szCs w:val="21"/>
              </w:rPr>
            </w:pPr>
            <w:r>
              <w:rPr>
                <w:rFonts w:ascii="仿宋" w:hAnsi="仿宋" w:eastAsia="仿宋"/>
                <w:szCs w:val="21"/>
              </w:rPr>
              <w:t>期末</w:t>
            </w:r>
            <w:r>
              <w:rPr>
                <w:rFonts w:hint="eastAsia" w:ascii="仿宋" w:hAnsi="仿宋" w:eastAsia="仿宋"/>
                <w:szCs w:val="21"/>
              </w:rPr>
              <w:t>运动技能</w:t>
            </w:r>
            <w:r>
              <w:rPr>
                <w:rFonts w:ascii="仿宋" w:hAnsi="仿宋" w:eastAsia="仿宋"/>
                <w:szCs w:val="21"/>
              </w:rPr>
              <w:t>考试</w:t>
            </w:r>
          </w:p>
        </w:tc>
        <w:tc>
          <w:tcPr>
            <w:tcW w:w="741" w:type="dxa"/>
            <w:vAlign w:val="center"/>
          </w:tcPr>
          <w:p w14:paraId="762C043D">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r>
              <w:rPr>
                <w:rFonts w:ascii="仿宋" w:hAnsi="仿宋" w:eastAsia="仿宋"/>
                <w:szCs w:val="21"/>
              </w:rPr>
              <w:t>%</w:t>
            </w:r>
          </w:p>
        </w:tc>
        <w:tc>
          <w:tcPr>
            <w:tcW w:w="4086" w:type="dxa"/>
            <w:vAlign w:val="center"/>
          </w:tcPr>
          <w:p w14:paraId="11AB9C30">
            <w:pPr>
              <w:spacing w:line="400" w:lineRule="exact"/>
              <w:jc w:val="center"/>
              <w:rPr>
                <w:rFonts w:hint="eastAsia" w:ascii="仿宋" w:hAnsi="仿宋" w:eastAsia="仿宋"/>
                <w:color w:val="000000"/>
                <w:szCs w:val="21"/>
              </w:rPr>
            </w:pPr>
            <w:r>
              <w:rPr>
                <w:rFonts w:hint="eastAsia" w:ascii="仿宋" w:hAnsi="仿宋" w:eastAsia="仿宋"/>
                <w:color w:val="000000"/>
                <w:szCs w:val="21"/>
              </w:rPr>
              <w:t>各专项技能</w:t>
            </w:r>
          </w:p>
        </w:tc>
        <w:tc>
          <w:tcPr>
            <w:tcW w:w="1310" w:type="dxa"/>
            <w:vAlign w:val="center"/>
          </w:tcPr>
          <w:p w14:paraId="7F939302">
            <w:pPr>
              <w:jc w:val="center"/>
              <w:rPr>
                <w:rFonts w:hint="eastAsia" w:ascii="仿宋" w:hAnsi="仿宋" w:eastAsia="仿宋"/>
                <w:szCs w:val="21"/>
              </w:rPr>
            </w:pPr>
            <w:r>
              <w:rPr>
                <w:rFonts w:hint="eastAsia" w:ascii="仿宋" w:hAnsi="仿宋" w:eastAsia="仿宋"/>
                <w:bCs/>
                <w:szCs w:val="21"/>
              </w:rPr>
              <w:t>8、9</w:t>
            </w:r>
          </w:p>
        </w:tc>
      </w:tr>
    </w:tbl>
    <w:p w14:paraId="32F7ABB1">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六</w:t>
      </w:r>
      <w:r>
        <w:rPr>
          <w:rFonts w:ascii="仿宋" w:hAnsi="仿宋" w:eastAsia="仿宋"/>
          <w:b/>
          <w:sz w:val="28"/>
          <w:szCs w:val="28"/>
        </w:rPr>
        <w:t>、</w:t>
      </w:r>
      <w:r>
        <w:rPr>
          <w:rFonts w:hint="eastAsia" w:ascii="仿宋" w:hAnsi="仿宋" w:eastAsia="仿宋"/>
          <w:b/>
          <w:sz w:val="28"/>
          <w:szCs w:val="28"/>
        </w:rPr>
        <w:t>有关说明</w:t>
      </w:r>
    </w:p>
    <w:p w14:paraId="62826596">
      <w:pPr>
        <w:spacing w:line="360" w:lineRule="auto"/>
        <w:ind w:firstLine="482" w:firstLineChars="200"/>
        <w:rPr>
          <w:rFonts w:hint="eastAsia" w:ascii="仿宋" w:hAnsi="仿宋" w:eastAsia="仿宋"/>
          <w:b/>
          <w:color w:val="000000"/>
          <w:sz w:val="24"/>
        </w:rPr>
      </w:pPr>
      <w:r>
        <w:rPr>
          <w:rFonts w:hint="eastAsia" w:ascii="仿宋" w:hAnsi="仿宋" w:eastAsia="仿宋"/>
          <w:b/>
          <w:color w:val="000000"/>
          <w:sz w:val="24"/>
        </w:rPr>
        <w:t>（一）持续改进</w:t>
      </w:r>
    </w:p>
    <w:p w14:paraId="3F8025DA">
      <w:pPr>
        <w:spacing w:line="360" w:lineRule="auto"/>
        <w:ind w:firstLine="480" w:firstLineChars="200"/>
        <w:rPr>
          <w:rFonts w:hint="eastAsia" w:ascii="仿宋" w:hAnsi="仿宋" w:eastAsia="仿宋"/>
          <w:sz w:val="24"/>
        </w:rPr>
      </w:pPr>
      <w:r>
        <w:rPr>
          <w:rFonts w:hint="eastAsia" w:ascii="仿宋" w:hAnsi="仿宋" w:eastAsia="仿宋"/>
          <w:sz w:val="24"/>
        </w:rPr>
        <w:t>本课程根据学生课外</w:t>
      </w:r>
      <w:r>
        <w:rPr>
          <w:rFonts w:ascii="仿宋" w:hAnsi="仿宋" w:eastAsia="仿宋"/>
          <w:sz w:val="24"/>
        </w:rPr>
        <w:t>体育</w:t>
      </w:r>
      <w:r>
        <w:rPr>
          <w:rFonts w:hint="eastAsia" w:ascii="仿宋" w:hAnsi="仿宋" w:eastAsia="仿宋"/>
          <w:sz w:val="24"/>
        </w:rPr>
        <w:t>锻炼、课堂表现、身体素质</w:t>
      </w:r>
      <w:r>
        <w:rPr>
          <w:rFonts w:ascii="仿宋" w:hAnsi="仿宋" w:eastAsia="仿宋"/>
          <w:sz w:val="24"/>
        </w:rPr>
        <w:t>测试</w:t>
      </w:r>
      <w:r>
        <w:rPr>
          <w:rFonts w:hint="eastAsia" w:ascii="仿宋" w:hAnsi="仿宋" w:eastAsia="仿宋"/>
          <w:sz w:val="24"/>
        </w:rPr>
        <w:t>、平时考核情况，以及学生、教学督导等反馈，及时对教学中不足之处进行改进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3238E76D">
      <w:pPr>
        <w:spacing w:line="360" w:lineRule="auto"/>
        <w:ind w:firstLine="482" w:firstLineChars="200"/>
        <w:jc w:val="left"/>
        <w:rPr>
          <w:rFonts w:hint="eastAsia" w:ascii="仿宋" w:hAnsi="仿宋" w:eastAsia="仿宋"/>
          <w:sz w:val="24"/>
        </w:rPr>
      </w:pPr>
      <w:r>
        <w:rPr>
          <w:rFonts w:hint="eastAsia" w:ascii="仿宋" w:hAnsi="仿宋" w:eastAsia="仿宋"/>
          <w:b/>
          <w:color w:val="000000"/>
          <w:sz w:val="24"/>
        </w:rPr>
        <w:t>（二）教学参考书</w:t>
      </w:r>
    </w:p>
    <w:p w14:paraId="4C130229">
      <w:pPr>
        <w:spacing w:line="360" w:lineRule="auto"/>
        <w:ind w:firstLine="480" w:firstLineChars="200"/>
        <w:jc w:val="left"/>
        <w:rPr>
          <w:rFonts w:hint="eastAsia"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1046B644">
      <w:pPr>
        <w:wordWrap w:val="0"/>
        <w:spacing w:line="360" w:lineRule="exact"/>
        <w:ind w:firstLine="480" w:firstLineChars="200"/>
        <w:jc w:val="right"/>
        <w:rPr>
          <w:rFonts w:hint="eastAsia" w:ascii="仿宋" w:hAnsi="仿宋" w:eastAsia="仿宋"/>
          <w:sz w:val="24"/>
        </w:rPr>
      </w:pPr>
      <w:r>
        <w:rPr>
          <w:rFonts w:hint="eastAsia" w:ascii="仿宋" w:hAnsi="仿宋" w:eastAsia="仿宋"/>
          <w:sz w:val="24"/>
        </w:rPr>
        <w:t xml:space="preserve">执笔人：顾 </w:t>
      </w:r>
      <w:r>
        <w:rPr>
          <w:rFonts w:ascii="仿宋" w:hAnsi="仿宋" w:eastAsia="仿宋"/>
          <w:sz w:val="24"/>
        </w:rPr>
        <w:t xml:space="preserve"> </w:t>
      </w:r>
      <w:r>
        <w:rPr>
          <w:rFonts w:hint="eastAsia" w:ascii="仿宋" w:hAnsi="仿宋" w:eastAsia="仿宋"/>
          <w:sz w:val="24"/>
        </w:rPr>
        <w:t>宏</w:t>
      </w:r>
    </w:p>
    <w:p w14:paraId="03CAFA3E">
      <w:pPr>
        <w:wordWrap w:val="0"/>
        <w:spacing w:line="360" w:lineRule="exact"/>
        <w:ind w:firstLine="480" w:firstLineChars="200"/>
        <w:jc w:val="right"/>
        <w:rPr>
          <w:rFonts w:hint="eastAsia" w:ascii="仿宋" w:hAnsi="仿宋" w:eastAsia="仿宋"/>
          <w:sz w:val="24"/>
        </w:rPr>
      </w:pPr>
      <w:r>
        <w:rPr>
          <w:rFonts w:hint="eastAsia" w:ascii="仿宋" w:hAnsi="仿宋" w:eastAsia="仿宋"/>
          <w:sz w:val="24"/>
        </w:rPr>
        <w:t>审定人：朱亚男</w:t>
      </w:r>
    </w:p>
    <w:p w14:paraId="1CEEBE18">
      <w:pPr>
        <w:spacing w:line="360" w:lineRule="exact"/>
        <w:ind w:firstLine="480" w:firstLineChars="200"/>
        <w:jc w:val="right"/>
        <w:rPr>
          <w:rFonts w:hint="eastAsia" w:ascii="仿宋" w:hAnsi="仿宋" w:eastAsia="仿宋"/>
          <w:sz w:val="24"/>
        </w:rPr>
      </w:pPr>
      <w:r>
        <w:rPr>
          <w:rFonts w:hint="eastAsia" w:ascii="仿宋" w:hAnsi="仿宋" w:eastAsia="仿宋"/>
          <w:sz w:val="24"/>
        </w:rPr>
        <w:t>批准人：王红</w:t>
      </w:r>
      <w:r>
        <w:rPr>
          <w:rFonts w:ascii="仿宋" w:hAnsi="仿宋" w:eastAsia="仿宋"/>
          <w:sz w:val="24"/>
        </w:rPr>
        <w:t>福</w:t>
      </w:r>
    </w:p>
    <w:p w14:paraId="0DFF6096">
      <w:pPr>
        <w:spacing w:line="360" w:lineRule="exact"/>
        <w:rPr>
          <w:rFonts w:hint="eastAsia" w:ascii="仿宋" w:hAnsi="仿宋" w:eastAsia="仿宋"/>
          <w:b/>
          <w:bCs/>
          <w:szCs w:val="21"/>
        </w:rPr>
      </w:pPr>
    </w:p>
    <w:p w14:paraId="19290102">
      <w:pPr>
        <w:spacing w:line="360" w:lineRule="exact"/>
        <w:rPr>
          <w:rFonts w:hint="eastAsia" w:ascii="仿宋" w:hAnsi="仿宋" w:eastAsia="仿宋"/>
          <w:b/>
          <w:bCs/>
          <w:szCs w:val="21"/>
        </w:rPr>
      </w:pPr>
    </w:p>
    <w:p w14:paraId="55186B23">
      <w:pPr>
        <w:spacing w:line="360" w:lineRule="exact"/>
        <w:rPr>
          <w:rFonts w:hint="eastAsia" w:ascii="仿宋" w:hAnsi="仿宋" w:eastAsia="仿宋"/>
          <w:b/>
          <w:bCs/>
          <w:szCs w:val="21"/>
        </w:rPr>
      </w:pPr>
    </w:p>
    <w:p w14:paraId="24D30D83">
      <w:pPr>
        <w:spacing w:line="360" w:lineRule="exact"/>
        <w:rPr>
          <w:rFonts w:hint="eastAsia" w:ascii="仿宋" w:hAnsi="仿宋" w:eastAsia="仿宋"/>
          <w:b/>
          <w:bCs/>
          <w:szCs w:val="21"/>
        </w:rPr>
      </w:pPr>
    </w:p>
    <w:p w14:paraId="4FBA0E5D">
      <w:pPr>
        <w:spacing w:line="360" w:lineRule="exact"/>
        <w:rPr>
          <w:rFonts w:hint="eastAsia" w:ascii="仿宋" w:hAnsi="仿宋" w:eastAsia="仿宋"/>
          <w:b/>
          <w:bCs/>
          <w:szCs w:val="21"/>
        </w:rPr>
      </w:pPr>
    </w:p>
    <w:p w14:paraId="2FC5F355">
      <w:pPr>
        <w:spacing w:line="360" w:lineRule="exact"/>
        <w:rPr>
          <w:rFonts w:hint="eastAsia" w:ascii="仿宋" w:hAnsi="仿宋" w:eastAsia="仿宋"/>
          <w:b/>
          <w:bCs/>
          <w:szCs w:val="21"/>
        </w:rPr>
      </w:pPr>
    </w:p>
    <w:p w14:paraId="5814CCC8">
      <w:pPr>
        <w:spacing w:line="360" w:lineRule="exact"/>
        <w:rPr>
          <w:rFonts w:hint="eastAsia" w:ascii="仿宋" w:hAnsi="仿宋" w:eastAsia="仿宋"/>
          <w:b/>
          <w:bCs/>
          <w:szCs w:val="21"/>
        </w:rPr>
      </w:pPr>
    </w:p>
    <w:p w14:paraId="31010ABF">
      <w:pPr>
        <w:spacing w:line="360" w:lineRule="exact"/>
        <w:rPr>
          <w:rFonts w:hint="eastAsia" w:ascii="仿宋" w:hAnsi="仿宋" w:eastAsia="仿宋"/>
          <w:b/>
          <w:bCs/>
          <w:szCs w:val="21"/>
        </w:rPr>
      </w:pPr>
    </w:p>
    <w:p w14:paraId="1005FF0E">
      <w:pPr>
        <w:spacing w:line="360" w:lineRule="exact"/>
        <w:rPr>
          <w:rFonts w:hint="eastAsia" w:ascii="仿宋" w:hAnsi="仿宋" w:eastAsia="仿宋"/>
          <w:b/>
          <w:bCs/>
          <w:szCs w:val="21"/>
        </w:rPr>
      </w:pPr>
    </w:p>
    <w:p w14:paraId="5116825E">
      <w:pPr>
        <w:spacing w:line="360" w:lineRule="exact"/>
        <w:rPr>
          <w:rFonts w:hint="eastAsia" w:ascii="仿宋" w:hAnsi="仿宋" w:eastAsia="仿宋"/>
          <w:b/>
          <w:bCs/>
          <w:szCs w:val="21"/>
        </w:rPr>
      </w:pPr>
    </w:p>
    <w:p w14:paraId="67943885">
      <w:pPr>
        <w:spacing w:line="360" w:lineRule="exact"/>
        <w:rPr>
          <w:rFonts w:hint="eastAsia" w:ascii="仿宋" w:hAnsi="仿宋" w:eastAsia="仿宋"/>
          <w:b/>
          <w:bCs/>
          <w:szCs w:val="21"/>
        </w:rPr>
      </w:pPr>
    </w:p>
    <w:p w14:paraId="3C49477E">
      <w:pPr>
        <w:spacing w:line="360" w:lineRule="exact"/>
        <w:rPr>
          <w:rFonts w:hint="eastAsia" w:ascii="仿宋" w:hAnsi="仿宋" w:eastAsia="仿宋"/>
          <w:b/>
          <w:bCs/>
          <w:szCs w:val="21"/>
        </w:rPr>
      </w:pPr>
    </w:p>
    <w:p w14:paraId="62488C4E">
      <w:pPr>
        <w:spacing w:line="360" w:lineRule="exact"/>
        <w:rPr>
          <w:rFonts w:hint="eastAsia" w:ascii="仿宋" w:hAnsi="仿宋" w:eastAsia="仿宋"/>
          <w:b/>
          <w:bCs/>
          <w:szCs w:val="21"/>
        </w:rPr>
      </w:pPr>
    </w:p>
    <w:p w14:paraId="143B7CE2">
      <w:pPr>
        <w:spacing w:line="360" w:lineRule="exact"/>
        <w:rPr>
          <w:rFonts w:hint="eastAsia" w:ascii="仿宋" w:hAnsi="仿宋" w:eastAsia="仿宋"/>
          <w:b/>
          <w:bCs/>
          <w:szCs w:val="21"/>
        </w:rPr>
      </w:pPr>
    </w:p>
    <w:p w14:paraId="493296D5">
      <w:pPr>
        <w:spacing w:line="360" w:lineRule="exact"/>
        <w:rPr>
          <w:rFonts w:hint="eastAsia" w:ascii="仿宋" w:hAnsi="仿宋" w:eastAsia="仿宋"/>
          <w:b/>
          <w:bCs/>
          <w:szCs w:val="21"/>
        </w:rPr>
      </w:pPr>
    </w:p>
    <w:p w14:paraId="34D15414">
      <w:pPr>
        <w:spacing w:line="360" w:lineRule="exact"/>
        <w:rPr>
          <w:rFonts w:hint="eastAsia" w:ascii="仿宋" w:hAnsi="仿宋" w:eastAsia="仿宋"/>
          <w:b/>
          <w:bCs/>
          <w:szCs w:val="21"/>
        </w:rPr>
      </w:pPr>
    </w:p>
    <w:p w14:paraId="5D934FEA">
      <w:pPr>
        <w:spacing w:line="360" w:lineRule="exact"/>
        <w:rPr>
          <w:rFonts w:hint="eastAsia" w:ascii="仿宋" w:hAnsi="仿宋" w:eastAsia="仿宋"/>
          <w:b/>
          <w:bCs/>
          <w:szCs w:val="21"/>
        </w:rPr>
      </w:pPr>
    </w:p>
    <w:p w14:paraId="776DBD3D">
      <w:pPr>
        <w:pStyle w:val="2"/>
        <w:tabs>
          <w:tab w:val="left" w:pos="720"/>
          <w:tab w:val="left" w:pos="2700"/>
        </w:tabs>
      </w:pPr>
      <w:bookmarkStart w:id="30" w:name="_Toc10601"/>
      <w:bookmarkStart w:id="31" w:name="_Toc19387"/>
      <w:r>
        <w:rPr>
          <w:rFonts w:hint="eastAsia"/>
        </w:rPr>
        <w:t>《体育III》</w:t>
      </w:r>
      <w:r>
        <w:t>课程教学大纲</w:t>
      </w:r>
      <w:bookmarkEnd w:id="30"/>
      <w:bookmarkEnd w:id="31"/>
    </w:p>
    <w:p w14:paraId="4801C951">
      <w:pPr>
        <w:spacing w:line="312" w:lineRule="auto"/>
        <w:jc w:val="center"/>
        <w:rPr>
          <w:rFonts w:hint="eastAsia" w:ascii="仿宋" w:hAnsi="仿宋" w:eastAsia="仿宋"/>
          <w:b/>
          <w:bCs/>
          <w:sz w:val="30"/>
        </w:rPr>
      </w:pPr>
      <w:r>
        <w:rPr>
          <w:rFonts w:ascii="仿宋" w:hAnsi="仿宋" w:eastAsia="仿宋"/>
          <w:b/>
          <w:bCs/>
          <w:sz w:val="30"/>
        </w:rPr>
        <w:t>（Physical  Education I</w:t>
      </w:r>
      <w:r>
        <w:rPr>
          <w:rFonts w:hint="eastAsia" w:ascii="仿宋" w:hAnsi="仿宋" w:eastAsia="仿宋"/>
          <w:b/>
          <w:bCs/>
          <w:sz w:val="30"/>
        </w:rPr>
        <w:t>II</w:t>
      </w:r>
      <w:r>
        <w:rPr>
          <w:rFonts w:ascii="仿宋" w:hAnsi="仿宋" w:eastAsia="仿宋"/>
          <w:b/>
          <w:bCs/>
          <w:sz w:val="30"/>
        </w:rPr>
        <w:t>）</w:t>
      </w:r>
    </w:p>
    <w:p w14:paraId="07950185">
      <w:pPr>
        <w:spacing w:line="360" w:lineRule="auto"/>
        <w:ind w:firstLine="551" w:firstLineChars="196"/>
        <w:rPr>
          <w:rFonts w:hint="eastAsia" w:ascii="仿宋" w:hAnsi="仿宋" w:eastAsia="仿宋"/>
          <w:b/>
          <w:sz w:val="28"/>
          <w:szCs w:val="28"/>
        </w:rPr>
      </w:pPr>
      <w:r>
        <w:rPr>
          <w:rFonts w:ascii="仿宋" w:hAnsi="仿宋" w:eastAsia="仿宋"/>
          <w:b/>
          <w:sz w:val="28"/>
          <w:szCs w:val="28"/>
        </w:rPr>
        <w:t>一、课程概况</w:t>
      </w:r>
    </w:p>
    <w:p w14:paraId="7A67FDAA">
      <w:pPr>
        <w:spacing w:line="360" w:lineRule="auto"/>
        <w:ind w:firstLine="482" w:firstLineChars="200"/>
        <w:rPr>
          <w:rFonts w:hint="eastAsia" w:ascii="仿宋" w:hAnsi="仿宋" w:eastAsia="仿宋"/>
          <w:b/>
          <w:sz w:val="28"/>
          <w:szCs w:val="28"/>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1102010</w:t>
      </w:r>
    </w:p>
    <w:p w14:paraId="027B655D">
      <w:pPr>
        <w:spacing w:line="360" w:lineRule="auto"/>
        <w:ind w:firstLine="482" w:firstLineChars="200"/>
        <w:rPr>
          <w:rFonts w:hint="eastAsia" w:ascii="仿宋" w:hAnsi="仿宋" w:eastAsia="仿宋"/>
          <w:b/>
          <w:kern w:val="0"/>
          <w:sz w:val="24"/>
        </w:rPr>
      </w:pPr>
      <w:r>
        <w:rPr>
          <w:rFonts w:ascii="仿宋" w:hAnsi="仿宋" w:eastAsia="仿宋"/>
          <w:b/>
          <w:bCs/>
          <w:kern w:val="0"/>
          <w:sz w:val="24"/>
        </w:rPr>
        <w:t>学    分</w:t>
      </w:r>
      <w:r>
        <w:rPr>
          <w:rFonts w:ascii="仿宋" w:hAnsi="仿宋" w:eastAsia="仿宋"/>
          <w:b/>
          <w:kern w:val="0"/>
          <w:sz w:val="24"/>
        </w:rPr>
        <w:t>：</w:t>
      </w:r>
      <w:r>
        <w:rPr>
          <w:rFonts w:ascii="仿宋" w:hAnsi="仿宋" w:eastAsia="仿宋"/>
          <w:bCs/>
          <w:kern w:val="0"/>
          <w:sz w:val="24"/>
        </w:rPr>
        <w:t>0.75</w:t>
      </w:r>
    </w:p>
    <w:p w14:paraId="52EC44FA">
      <w:pPr>
        <w:spacing w:line="360" w:lineRule="auto"/>
        <w:ind w:firstLine="482" w:firstLineChars="200"/>
        <w:rPr>
          <w:rFonts w:hint="eastAsia"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hint="eastAsia" w:ascii="仿宋" w:hAnsi="仿宋" w:eastAsia="仿宋"/>
          <w:kern w:val="0"/>
          <w:sz w:val="24"/>
        </w:rPr>
        <w:t>3</w:t>
      </w:r>
      <w:r>
        <w:rPr>
          <w:rFonts w:ascii="仿宋" w:hAnsi="仿宋" w:eastAsia="仿宋"/>
          <w:kern w:val="0"/>
          <w:sz w:val="24"/>
        </w:rPr>
        <w:t>0</w:t>
      </w:r>
    </w:p>
    <w:p w14:paraId="4D1EFA65">
      <w:pPr>
        <w:spacing w:line="360" w:lineRule="auto"/>
        <w:ind w:firstLine="482" w:firstLineChars="200"/>
        <w:rPr>
          <w:rFonts w:hint="eastAsia" w:ascii="仿宋" w:hAnsi="仿宋" w:eastAsia="仿宋"/>
          <w:b/>
          <w:bCs/>
          <w:kern w:val="0"/>
          <w:sz w:val="24"/>
        </w:rPr>
      </w:pPr>
      <w:r>
        <w:rPr>
          <w:rFonts w:hint="eastAsia" w:ascii="仿宋" w:hAnsi="仿宋" w:eastAsia="仿宋"/>
          <w:b/>
          <w:bCs/>
          <w:kern w:val="0"/>
          <w:sz w:val="24"/>
        </w:rPr>
        <w:t>先修课程：</w:t>
      </w:r>
      <w:r>
        <w:rPr>
          <w:rFonts w:hint="eastAsia" w:ascii="仿宋" w:hAnsi="仿宋" w:eastAsia="仿宋"/>
          <w:kern w:val="0"/>
          <w:sz w:val="24"/>
        </w:rPr>
        <w:t>无</w:t>
      </w:r>
    </w:p>
    <w:p w14:paraId="3878E1CA">
      <w:pPr>
        <w:spacing w:line="360" w:lineRule="auto"/>
        <w:ind w:firstLine="482" w:firstLineChars="200"/>
        <w:rPr>
          <w:rFonts w:hint="eastAsia"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hint="eastAsia" w:ascii="仿宋" w:hAnsi="仿宋" w:eastAsia="仿宋"/>
          <w:kern w:val="0"/>
          <w:sz w:val="24"/>
        </w:rPr>
        <w:t>全校各专业</w:t>
      </w:r>
      <w:r>
        <w:rPr>
          <w:rFonts w:ascii="仿宋" w:hAnsi="仿宋" w:eastAsia="仿宋"/>
          <w:kern w:val="0"/>
          <w:sz w:val="24"/>
        </w:rPr>
        <w:t xml:space="preserve">                        </w:t>
      </w:r>
    </w:p>
    <w:p w14:paraId="107AC7D8">
      <w:pPr>
        <w:spacing w:line="360" w:lineRule="auto"/>
        <w:ind w:firstLine="482" w:firstLineChars="200"/>
        <w:rPr>
          <w:rFonts w:hint="eastAsia" w:ascii="仿宋" w:hAnsi="仿宋" w:eastAsia="仿宋"/>
          <w:kern w:val="0"/>
          <w:sz w:val="24"/>
        </w:rPr>
      </w:pPr>
      <w:r>
        <w:rPr>
          <w:rFonts w:ascii="仿宋" w:hAnsi="仿宋" w:eastAsia="仿宋"/>
          <w:b/>
          <w:bCs/>
          <w:kern w:val="0"/>
          <w:sz w:val="24"/>
        </w:rPr>
        <w:t>教</w:t>
      </w:r>
      <w:r>
        <w:rPr>
          <w:rFonts w:hint="eastAsia" w:ascii="仿宋" w:hAnsi="仿宋" w:eastAsia="仿宋"/>
          <w:b/>
          <w:bCs/>
          <w:kern w:val="0"/>
          <w:sz w:val="24"/>
        </w:rPr>
        <w:t xml:space="preserve">    </w:t>
      </w:r>
      <w:r>
        <w:rPr>
          <w:rFonts w:ascii="仿宋" w:hAnsi="仿宋" w:eastAsia="仿宋"/>
          <w:b/>
          <w:bCs/>
          <w:kern w:val="0"/>
          <w:sz w:val="24"/>
        </w:rPr>
        <w:t>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51516B8E">
      <w:pPr>
        <w:spacing w:line="360" w:lineRule="auto"/>
        <w:ind w:firstLine="482" w:firstLineChars="200"/>
        <w:rPr>
          <w:rFonts w:hint="eastAsia"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3B98085E">
      <w:pPr>
        <w:autoSpaceDE w:val="0"/>
        <w:autoSpaceDN w:val="0"/>
        <w:adjustRightInd w:val="0"/>
        <w:spacing w:line="360" w:lineRule="auto"/>
        <w:ind w:firstLine="482" w:firstLineChars="200"/>
        <w:jc w:val="left"/>
        <w:rPr>
          <w:rFonts w:hint="eastAsia" w:ascii="仿宋" w:hAnsi="仿宋" w:eastAsia="仿宋"/>
          <w:sz w:val="24"/>
        </w:rPr>
      </w:pPr>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其教学安排在第二学年第三学期进行。课程主要内容包括篮球、足球、排球、羽毛球、乒乓球、网球、武术、手球、健美（男）、健美操（女）、艺术体操、跆拳道、散</w:t>
      </w:r>
      <w:r>
        <w:rPr>
          <w:rFonts w:ascii="仿宋" w:hAnsi="仿宋" w:eastAsia="仿宋"/>
          <w:sz w:val="24"/>
        </w:rPr>
        <w:t>打</w:t>
      </w:r>
      <w:r>
        <w:rPr>
          <w:rFonts w:hint="eastAsia" w:ascii="仿宋" w:hAnsi="仿宋" w:eastAsia="仿宋"/>
          <w:sz w:val="24"/>
        </w:rPr>
        <w:t>、瑜伽、体育舞蹈和体育保健等项目。</w:t>
      </w:r>
    </w:p>
    <w:p w14:paraId="5285D98F">
      <w:pPr>
        <w:spacing w:line="360" w:lineRule="auto"/>
        <w:ind w:firstLine="480" w:firstLineChars="200"/>
        <w:rPr>
          <w:rFonts w:hint="eastAsia" w:ascii="仿宋" w:hAnsi="仿宋" w:eastAsia="仿宋"/>
          <w:sz w:val="24"/>
        </w:rPr>
      </w:pPr>
      <w:r>
        <w:rPr>
          <w:rFonts w:hint="eastAsia" w:ascii="仿宋" w:hAnsi="仿宋" w:eastAsia="仿宋"/>
          <w:sz w:val="24"/>
        </w:rPr>
        <w:t>通过本课程的学习，使学生较全面、系统地掌握所学项目的基本理论知识，正确、熟练地掌握所学</w:t>
      </w:r>
      <w:r>
        <w:rPr>
          <w:rFonts w:ascii="仿宋" w:hAnsi="仿宋" w:eastAsia="仿宋"/>
          <w:sz w:val="24"/>
        </w:rPr>
        <w:t>项目</w:t>
      </w:r>
      <w:r>
        <w:rPr>
          <w:rFonts w:hint="eastAsia" w:ascii="仿宋" w:hAnsi="仿宋" w:eastAsia="仿宋"/>
          <w:sz w:val="24"/>
        </w:rPr>
        <w:t>基本技术和战术，发展专项身体素质，并能在比赛或练习中灵活运用，从而提高学生的身体素质和促进学生身心健康发展。坚持以立德树人为根本，通过融入社会主义核心价值观、做人做事的道理和体育精神等课程思政元素，培养学生的爱国情怀、良好的体育道德风尚、团队精神、体育文化素养和顽强的意志品质。基本形成终身体育意识和自觉锻炼习惯。</w:t>
      </w:r>
    </w:p>
    <w:p w14:paraId="73F833DD">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二</w:t>
      </w:r>
      <w:r>
        <w:rPr>
          <w:rFonts w:ascii="仿宋" w:hAnsi="仿宋" w:eastAsia="仿宋"/>
          <w:b/>
          <w:sz w:val="28"/>
          <w:szCs w:val="28"/>
        </w:rPr>
        <w:t>、课程目标</w:t>
      </w:r>
      <w:r>
        <w:rPr>
          <w:rFonts w:hint="eastAsia" w:ascii="仿宋" w:hAnsi="仿宋" w:eastAsia="仿宋"/>
          <w:b/>
          <w:sz w:val="28"/>
          <w:szCs w:val="28"/>
        </w:rPr>
        <w:t>与毕业要求指标点对应关系</w:t>
      </w:r>
    </w:p>
    <w:p w14:paraId="13EA9B3A">
      <w:pPr>
        <w:spacing w:line="360" w:lineRule="auto"/>
        <w:ind w:firstLine="480" w:firstLineChars="200"/>
        <w:rPr>
          <w:rFonts w:hint="eastAsia" w:ascii="仿宋" w:hAnsi="仿宋" w:eastAsia="仿宋"/>
          <w:sz w:val="24"/>
        </w:rPr>
      </w:pPr>
      <w:r>
        <w:rPr>
          <w:rFonts w:hint="eastAsia" w:ascii="仿宋" w:hAnsi="仿宋" w:eastAsia="仿宋"/>
          <w:sz w:val="24"/>
        </w:rPr>
        <w:t>目标1：全面发展体能，提高运动能力，掌握体育基本理论知识和基本技术，具有一定的体育文化素养和体育欣赏能力。树立“健康第一”思想和正确的体育道德观，培养勇于拼搏、团结进取、战胜自我的优良品质。</w:t>
      </w:r>
    </w:p>
    <w:p w14:paraId="2A51AFF3">
      <w:pPr>
        <w:spacing w:line="360" w:lineRule="auto"/>
        <w:ind w:firstLine="480" w:firstLineChars="200"/>
        <w:rPr>
          <w:rFonts w:hint="eastAsia" w:ascii="仿宋" w:hAnsi="仿宋" w:eastAsia="仿宋"/>
          <w:sz w:val="24"/>
        </w:rPr>
      </w:pPr>
      <w:r>
        <w:rPr>
          <w:rFonts w:hint="eastAsia" w:ascii="仿宋" w:hAnsi="仿宋" w:eastAsia="仿宋"/>
          <w:sz w:val="24"/>
        </w:rPr>
        <w:t>目标</w:t>
      </w:r>
      <w:r>
        <w:rPr>
          <w:rFonts w:ascii="仿宋" w:hAnsi="仿宋" w:eastAsia="仿宋"/>
          <w:sz w:val="24"/>
        </w:rPr>
        <w:t>2</w:t>
      </w:r>
      <w:r>
        <w:rPr>
          <w:rFonts w:hint="eastAsia" w:ascii="仿宋" w:hAnsi="仿宋" w:eastAsia="仿宋"/>
          <w:sz w:val="24"/>
        </w:rPr>
        <w:t>：爱好并积极参与各种体育运动，掌握1-2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1AD7D9BE">
      <w:pPr>
        <w:spacing w:line="360" w:lineRule="auto"/>
        <w:ind w:firstLine="480" w:firstLineChars="200"/>
        <w:rPr>
          <w:rFonts w:hint="eastAsia"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13"/>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0CD5722F">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65C9070B">
            <w:pPr>
              <w:widowControl/>
              <w:jc w:val="center"/>
              <w:rPr>
                <w:rFonts w:hint="eastAsia" w:ascii="仿宋" w:hAnsi="仿宋" w:eastAsia="仿宋"/>
                <w:kern w:val="0"/>
                <w:szCs w:val="21"/>
              </w:rPr>
            </w:pPr>
            <w:r>
              <w:rPr>
                <w:rFonts w:ascii="仿宋" w:hAnsi="仿宋" w:eastAsia="仿宋"/>
                <w:kern w:val="0"/>
                <w:szCs w:val="21"/>
              </w:rPr>
              <w:t>毕业要求</w:t>
            </w:r>
          </w:p>
          <w:p w14:paraId="6C201399">
            <w:pPr>
              <w:widowControl/>
              <w:jc w:val="center"/>
              <w:rPr>
                <w:rFonts w:hint="eastAsia" w:ascii="仿宋" w:hAnsi="仿宋" w:eastAsia="仿宋"/>
                <w:kern w:val="0"/>
                <w:szCs w:val="21"/>
              </w:rPr>
            </w:pPr>
            <w:r>
              <w:rPr>
                <w:rFonts w:ascii="仿宋" w:hAnsi="仿宋" w:eastAsia="仿宋"/>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259CD649">
            <w:pPr>
              <w:widowControl/>
              <w:jc w:val="center"/>
              <w:rPr>
                <w:rFonts w:hint="eastAsia" w:ascii="仿宋" w:hAnsi="仿宋" w:eastAsia="仿宋"/>
                <w:kern w:val="0"/>
                <w:szCs w:val="21"/>
              </w:rPr>
            </w:pPr>
            <w:r>
              <w:rPr>
                <w:rFonts w:ascii="仿宋" w:hAnsi="仿宋" w:eastAsia="仿宋"/>
                <w:kern w:val="0"/>
                <w:szCs w:val="21"/>
              </w:rPr>
              <w:t>课程目标</w:t>
            </w:r>
          </w:p>
        </w:tc>
      </w:tr>
      <w:tr w14:paraId="02F84FAE">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38A295F">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1662197A">
            <w:pPr>
              <w:widowControl/>
              <w:jc w:val="center"/>
              <w:rPr>
                <w:rFonts w:hint="eastAsia" w:ascii="仿宋" w:hAnsi="仿宋" w:eastAsia="仿宋"/>
                <w:kern w:val="0"/>
                <w:szCs w:val="21"/>
              </w:rPr>
            </w:pPr>
            <w:r>
              <w:rPr>
                <w:rFonts w:ascii="仿宋" w:hAnsi="仿宋" w:eastAsia="仿宋"/>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4C780974">
            <w:pPr>
              <w:widowControl/>
              <w:jc w:val="center"/>
              <w:rPr>
                <w:rFonts w:hint="eastAsia" w:ascii="仿宋" w:hAnsi="仿宋" w:eastAsia="仿宋"/>
                <w:kern w:val="0"/>
                <w:szCs w:val="21"/>
              </w:rPr>
            </w:pPr>
            <w:r>
              <w:rPr>
                <w:rFonts w:ascii="仿宋" w:hAnsi="仿宋" w:eastAsia="仿宋"/>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340F8075">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51BFCFC3">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46923BB7">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309A715">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545BB508">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5D3CDD07">
            <w:pPr>
              <w:widowControl/>
              <w:jc w:val="center"/>
              <w:rPr>
                <w:rFonts w:hint="eastAsia" w:ascii="仿宋" w:hAnsi="仿宋" w:eastAsia="仿宋"/>
                <w:kern w:val="0"/>
                <w:szCs w:val="21"/>
              </w:rPr>
            </w:pPr>
          </w:p>
        </w:tc>
      </w:tr>
      <w:tr w14:paraId="3DB48CAC">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0B157C8A">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510" w:type="pct"/>
            <w:tcBorders>
              <w:top w:val="nil"/>
              <w:left w:val="nil"/>
              <w:bottom w:val="single" w:color="auto" w:sz="4" w:space="0"/>
              <w:right w:val="single" w:color="auto" w:sz="4" w:space="0"/>
            </w:tcBorders>
            <w:noWrap/>
            <w:vAlign w:val="center"/>
          </w:tcPr>
          <w:p w14:paraId="525761B2">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7D4BD6E6">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61802007">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B598ABB">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52BE7C7">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067677B">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19F99747">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172D3E1D">
            <w:pPr>
              <w:widowControl/>
              <w:jc w:val="center"/>
              <w:rPr>
                <w:rFonts w:hint="eastAsia" w:ascii="仿宋" w:hAnsi="仿宋" w:eastAsia="仿宋"/>
                <w:kern w:val="0"/>
                <w:szCs w:val="21"/>
              </w:rPr>
            </w:pPr>
          </w:p>
        </w:tc>
      </w:tr>
      <w:tr w14:paraId="0620BAD5">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52857FFA">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510" w:type="pct"/>
            <w:tcBorders>
              <w:top w:val="nil"/>
              <w:left w:val="nil"/>
              <w:bottom w:val="single" w:color="auto" w:sz="4" w:space="0"/>
              <w:right w:val="single" w:color="auto" w:sz="4" w:space="0"/>
            </w:tcBorders>
            <w:noWrap/>
            <w:vAlign w:val="center"/>
          </w:tcPr>
          <w:p w14:paraId="668B6F89">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0E42D32F">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34AC6194">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54284ABF">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8C87561">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D4BC49C">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4EC25B41">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1133AA80">
            <w:pPr>
              <w:widowControl/>
              <w:jc w:val="center"/>
              <w:rPr>
                <w:rFonts w:hint="eastAsia" w:ascii="仿宋" w:hAnsi="仿宋" w:eastAsia="仿宋"/>
                <w:kern w:val="0"/>
                <w:szCs w:val="21"/>
              </w:rPr>
            </w:pPr>
          </w:p>
        </w:tc>
      </w:tr>
    </w:tbl>
    <w:p w14:paraId="30AC380D">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三</w:t>
      </w:r>
      <w:r>
        <w:rPr>
          <w:rFonts w:ascii="仿宋" w:hAnsi="仿宋" w:eastAsia="仿宋"/>
          <w:b/>
          <w:sz w:val="28"/>
          <w:szCs w:val="28"/>
        </w:rPr>
        <w:t>、课程内容及要求</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07EC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59EF06D0">
            <w:pPr>
              <w:jc w:val="center"/>
              <w:rPr>
                <w:rFonts w:hint="eastAsia" w:ascii="仿宋" w:hAnsi="仿宋" w:eastAsia="仿宋"/>
                <w:b/>
                <w:bCs/>
                <w:szCs w:val="21"/>
              </w:rPr>
            </w:pPr>
            <w:r>
              <w:rPr>
                <w:rFonts w:ascii="仿宋" w:hAnsi="仿宋" w:eastAsia="仿宋"/>
                <w:b/>
                <w:bCs/>
                <w:szCs w:val="21"/>
              </w:rPr>
              <w:t>序号</w:t>
            </w:r>
          </w:p>
        </w:tc>
        <w:tc>
          <w:tcPr>
            <w:tcW w:w="1623" w:type="pct"/>
            <w:vAlign w:val="center"/>
          </w:tcPr>
          <w:p w14:paraId="41E54D54">
            <w:pPr>
              <w:jc w:val="center"/>
              <w:rPr>
                <w:rFonts w:hint="eastAsia" w:ascii="仿宋" w:hAnsi="仿宋" w:eastAsia="仿宋"/>
                <w:b/>
                <w:bCs/>
                <w:szCs w:val="21"/>
              </w:rPr>
            </w:pPr>
            <w:r>
              <w:rPr>
                <w:rFonts w:ascii="仿宋" w:hAnsi="仿宋" w:eastAsia="仿宋"/>
                <w:b/>
                <w:bCs/>
                <w:szCs w:val="21"/>
              </w:rPr>
              <w:t>教学内容</w:t>
            </w:r>
          </w:p>
        </w:tc>
        <w:tc>
          <w:tcPr>
            <w:tcW w:w="541" w:type="pct"/>
            <w:vAlign w:val="center"/>
          </w:tcPr>
          <w:p w14:paraId="14D45B59">
            <w:pPr>
              <w:jc w:val="center"/>
              <w:rPr>
                <w:rFonts w:hint="eastAsia" w:ascii="仿宋" w:hAnsi="仿宋" w:eastAsia="仿宋"/>
                <w:b/>
                <w:bCs/>
                <w:szCs w:val="21"/>
              </w:rPr>
            </w:pPr>
            <w:r>
              <w:rPr>
                <w:rFonts w:ascii="仿宋" w:hAnsi="仿宋" w:eastAsia="仿宋"/>
                <w:b/>
                <w:bCs/>
                <w:szCs w:val="21"/>
              </w:rPr>
              <w:t>思政</w:t>
            </w:r>
          </w:p>
          <w:p w14:paraId="31C111EA">
            <w:pPr>
              <w:jc w:val="center"/>
              <w:rPr>
                <w:rFonts w:hint="eastAsia" w:ascii="仿宋" w:hAnsi="仿宋" w:eastAsia="仿宋"/>
                <w:b/>
                <w:bCs/>
                <w:szCs w:val="21"/>
              </w:rPr>
            </w:pPr>
            <w:r>
              <w:rPr>
                <w:rFonts w:ascii="仿宋" w:hAnsi="仿宋" w:eastAsia="仿宋"/>
                <w:b/>
                <w:bCs/>
                <w:szCs w:val="21"/>
              </w:rPr>
              <w:t>元素</w:t>
            </w:r>
          </w:p>
        </w:tc>
        <w:tc>
          <w:tcPr>
            <w:tcW w:w="1160" w:type="pct"/>
            <w:vAlign w:val="center"/>
          </w:tcPr>
          <w:p w14:paraId="56D91AC5">
            <w:pPr>
              <w:jc w:val="center"/>
              <w:rPr>
                <w:rFonts w:hint="eastAsia" w:ascii="仿宋" w:hAnsi="仿宋" w:eastAsia="仿宋"/>
                <w:b/>
                <w:bCs/>
                <w:szCs w:val="21"/>
              </w:rPr>
            </w:pPr>
            <w:r>
              <w:rPr>
                <w:rFonts w:ascii="仿宋" w:hAnsi="仿宋" w:eastAsia="仿宋"/>
                <w:b/>
                <w:bCs/>
                <w:szCs w:val="21"/>
              </w:rPr>
              <w:t>预期学习成果</w:t>
            </w:r>
          </w:p>
        </w:tc>
        <w:tc>
          <w:tcPr>
            <w:tcW w:w="386" w:type="pct"/>
            <w:vAlign w:val="center"/>
          </w:tcPr>
          <w:p w14:paraId="61E4CC75">
            <w:pPr>
              <w:jc w:val="center"/>
              <w:rPr>
                <w:rFonts w:hint="eastAsia" w:ascii="仿宋" w:hAnsi="仿宋" w:eastAsia="仿宋"/>
                <w:b/>
                <w:bCs/>
                <w:szCs w:val="21"/>
              </w:rPr>
            </w:pPr>
            <w:r>
              <w:rPr>
                <w:rFonts w:ascii="仿宋" w:hAnsi="仿宋" w:eastAsia="仿宋"/>
                <w:b/>
                <w:bCs/>
                <w:szCs w:val="21"/>
              </w:rPr>
              <w:t>教学学时</w:t>
            </w:r>
          </w:p>
        </w:tc>
        <w:tc>
          <w:tcPr>
            <w:tcW w:w="464" w:type="pct"/>
            <w:vAlign w:val="center"/>
          </w:tcPr>
          <w:p w14:paraId="21849CFE">
            <w:pPr>
              <w:jc w:val="center"/>
              <w:rPr>
                <w:rFonts w:hint="eastAsia" w:ascii="仿宋" w:hAnsi="仿宋" w:eastAsia="仿宋"/>
                <w:b/>
                <w:bCs/>
                <w:szCs w:val="21"/>
              </w:rPr>
            </w:pPr>
            <w:r>
              <w:rPr>
                <w:rFonts w:ascii="仿宋" w:hAnsi="仿宋" w:eastAsia="仿宋"/>
                <w:b/>
                <w:bCs/>
                <w:szCs w:val="21"/>
              </w:rPr>
              <w:t>教学</w:t>
            </w:r>
          </w:p>
          <w:p w14:paraId="778772BE">
            <w:pPr>
              <w:jc w:val="center"/>
              <w:rPr>
                <w:rFonts w:hint="eastAsia" w:ascii="仿宋" w:hAnsi="仿宋" w:eastAsia="仿宋"/>
                <w:b/>
                <w:bCs/>
                <w:szCs w:val="21"/>
              </w:rPr>
            </w:pPr>
            <w:r>
              <w:rPr>
                <w:rFonts w:ascii="仿宋" w:hAnsi="仿宋" w:eastAsia="仿宋"/>
                <w:b/>
                <w:bCs/>
                <w:szCs w:val="21"/>
              </w:rPr>
              <w:t>方式</w:t>
            </w:r>
          </w:p>
        </w:tc>
        <w:tc>
          <w:tcPr>
            <w:tcW w:w="520" w:type="pct"/>
            <w:vAlign w:val="center"/>
          </w:tcPr>
          <w:p w14:paraId="2249E540">
            <w:pPr>
              <w:jc w:val="center"/>
              <w:rPr>
                <w:rFonts w:hint="eastAsia" w:ascii="仿宋" w:hAnsi="仿宋" w:eastAsia="仿宋"/>
                <w:b/>
                <w:bCs/>
                <w:szCs w:val="21"/>
              </w:rPr>
            </w:pPr>
            <w:r>
              <w:rPr>
                <w:rFonts w:ascii="仿宋" w:hAnsi="仿宋" w:eastAsia="仿宋"/>
                <w:b/>
                <w:bCs/>
                <w:szCs w:val="21"/>
              </w:rPr>
              <w:t>支撑课程目标</w:t>
            </w:r>
          </w:p>
        </w:tc>
      </w:tr>
      <w:tr w14:paraId="168F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1A52B234">
            <w:pPr>
              <w:jc w:val="center"/>
              <w:rPr>
                <w:rFonts w:hint="eastAsia" w:ascii="仿宋" w:hAnsi="仿宋" w:eastAsia="仿宋"/>
                <w:szCs w:val="21"/>
              </w:rPr>
            </w:pPr>
            <w:r>
              <w:rPr>
                <w:rFonts w:ascii="仿宋" w:hAnsi="仿宋" w:eastAsia="仿宋"/>
                <w:szCs w:val="21"/>
              </w:rPr>
              <w:t>1</w:t>
            </w:r>
          </w:p>
        </w:tc>
        <w:tc>
          <w:tcPr>
            <w:tcW w:w="1623" w:type="pct"/>
            <w:vAlign w:val="center"/>
          </w:tcPr>
          <w:p w14:paraId="718B44FC">
            <w:pPr>
              <w:jc w:val="left"/>
              <w:rPr>
                <w:rFonts w:hint="eastAsia" w:ascii="仿宋" w:hAnsi="仿宋" w:eastAsia="仿宋"/>
                <w:b/>
                <w:szCs w:val="21"/>
              </w:rPr>
            </w:pPr>
            <w:r>
              <w:rPr>
                <w:rFonts w:hint="eastAsia" w:ascii="仿宋" w:hAnsi="仿宋" w:eastAsia="仿宋"/>
                <w:b/>
                <w:szCs w:val="21"/>
              </w:rPr>
              <w:t>㈠体育理论部分:</w:t>
            </w:r>
          </w:p>
          <w:p w14:paraId="06E27E6C">
            <w:pPr>
              <w:jc w:val="left"/>
              <w:rPr>
                <w:rFonts w:hint="eastAsia" w:ascii="仿宋" w:hAnsi="仿宋" w:eastAsia="仿宋"/>
                <w:bCs/>
              </w:rPr>
            </w:pPr>
            <w:r>
              <w:rPr>
                <w:rFonts w:hint="eastAsia" w:ascii="仿宋" w:hAnsi="仿宋" w:eastAsia="仿宋"/>
                <w:bCs/>
              </w:rPr>
              <w:t>1.学生思想政治教育：我校体育运动发展概况、国家领导人与体育、奥运明星的励志故事、社会主义核心价值观与体育等；</w:t>
            </w:r>
          </w:p>
          <w:p w14:paraId="3A18A6EA">
            <w:pPr>
              <w:jc w:val="left"/>
              <w:rPr>
                <w:rFonts w:hint="eastAsia" w:ascii="仿宋" w:hAnsi="仿宋" w:eastAsia="仿宋"/>
              </w:rPr>
            </w:pPr>
            <w:r>
              <w:rPr>
                <w:rFonts w:hint="eastAsia" w:ascii="仿宋" w:hAnsi="仿宋" w:eastAsia="仿宋"/>
                <w:bCs/>
              </w:rPr>
              <w:t>2</w:t>
            </w:r>
            <w:r>
              <w:rPr>
                <w:rFonts w:ascii="仿宋" w:hAnsi="仿宋" w:eastAsia="仿宋"/>
                <w:bCs/>
              </w:rPr>
              <w:t>.</w:t>
            </w:r>
            <w:r>
              <w:rPr>
                <w:rFonts w:hint="eastAsia" w:ascii="仿宋" w:hAnsi="仿宋" w:eastAsia="仿宋"/>
              </w:rPr>
              <w:t>体育安全教育：体育运动伤害事故的安全教育及预防与处理措施、常见运动损伤的预防与处理等；</w:t>
            </w:r>
          </w:p>
          <w:p w14:paraId="5EC822E4">
            <w:pPr>
              <w:jc w:val="left"/>
              <w:rPr>
                <w:rFonts w:hint="eastAsia" w:ascii="仿宋" w:hAnsi="仿宋" w:eastAsia="仿宋"/>
                <w:szCs w:val="21"/>
              </w:rPr>
            </w:pPr>
            <w:r>
              <w:rPr>
                <w:rFonts w:hint="eastAsia" w:ascii="仿宋" w:hAnsi="仿宋" w:eastAsia="仿宋"/>
              </w:rPr>
              <w:t>3.体育基本理论：各运动项目的基本技战术知识、组织与竞赛、基本规则和裁判法，运动健身的基本原理与锻炼方法，体育锻炼的自我监督与评价，体育养生与保健知识等；</w:t>
            </w:r>
          </w:p>
          <w:p w14:paraId="3EEF7466">
            <w:pPr>
              <w:ind w:right="-170" w:rightChars="-81"/>
              <w:jc w:val="left"/>
              <w:rPr>
                <w:rFonts w:hint="eastAsia" w:ascii="仿宋" w:hAnsi="仿宋" w:eastAsia="仿宋"/>
                <w:szCs w:val="21"/>
              </w:rPr>
            </w:pPr>
            <w:r>
              <w:rPr>
                <w:rFonts w:hint="eastAsia" w:ascii="仿宋" w:hAnsi="仿宋" w:eastAsia="仿宋"/>
                <w:b/>
                <w:szCs w:val="21"/>
              </w:rPr>
              <w:t>重点：</w:t>
            </w:r>
            <w:r>
              <w:rPr>
                <w:rFonts w:hint="eastAsia" w:ascii="仿宋" w:hAnsi="仿宋" w:eastAsia="仿宋"/>
                <w:szCs w:val="21"/>
              </w:rPr>
              <w:t>体育安全教育、掌握所学项目的基本知识；</w:t>
            </w:r>
          </w:p>
          <w:p w14:paraId="0351324B">
            <w:pPr>
              <w:jc w:val="left"/>
              <w:rPr>
                <w:rFonts w:hint="eastAsia" w:ascii="仿宋" w:hAnsi="仿宋" w:eastAsia="仿宋"/>
                <w:szCs w:val="21"/>
              </w:rPr>
            </w:pPr>
            <w:r>
              <w:rPr>
                <w:rFonts w:hint="eastAsia" w:ascii="仿宋" w:hAnsi="仿宋" w:eastAsia="仿宋"/>
                <w:b/>
                <w:szCs w:val="21"/>
              </w:rPr>
              <w:t>难点：</w:t>
            </w:r>
            <w:r>
              <w:rPr>
                <w:rFonts w:hint="eastAsia" w:ascii="仿宋" w:hAnsi="仿宋" w:eastAsia="仿宋"/>
                <w:szCs w:val="21"/>
              </w:rPr>
              <w:t>培养学生自</w:t>
            </w:r>
            <w:r>
              <w:rPr>
                <w:rFonts w:ascii="仿宋" w:hAnsi="仿宋" w:eastAsia="仿宋"/>
                <w:szCs w:val="21"/>
              </w:rPr>
              <w:t>主锻炼能力和</w:t>
            </w:r>
            <w:r>
              <w:rPr>
                <w:rFonts w:hint="eastAsia" w:ascii="仿宋" w:hAnsi="仿宋" w:eastAsia="仿宋"/>
                <w:szCs w:val="21"/>
              </w:rPr>
              <w:t>自觉锻炼意识。</w:t>
            </w:r>
          </w:p>
        </w:tc>
        <w:tc>
          <w:tcPr>
            <w:tcW w:w="541" w:type="pct"/>
            <w:vAlign w:val="center"/>
          </w:tcPr>
          <w:p w14:paraId="5D03146D">
            <w:pPr>
              <w:jc w:val="center"/>
              <w:rPr>
                <w:rFonts w:hint="eastAsia" w:ascii="仿宋" w:hAnsi="仿宋" w:eastAsia="仿宋"/>
                <w:kern w:val="0"/>
                <w:szCs w:val="21"/>
              </w:rPr>
            </w:pPr>
            <w:r>
              <w:rPr>
                <w:rFonts w:hint="eastAsia" w:ascii="仿宋" w:hAnsi="仿宋" w:eastAsia="仿宋"/>
                <w:kern w:val="0"/>
                <w:szCs w:val="21"/>
              </w:rPr>
              <w:t>理想信念、国家认同和社会主义核心价值观等教育；安全</w:t>
            </w:r>
            <w:r>
              <w:rPr>
                <w:rFonts w:ascii="仿宋" w:hAnsi="仿宋" w:eastAsia="仿宋"/>
                <w:kern w:val="0"/>
                <w:szCs w:val="21"/>
              </w:rPr>
              <w:t>意识、</w:t>
            </w:r>
            <w:r>
              <w:rPr>
                <w:rFonts w:hint="eastAsia" w:ascii="仿宋" w:hAnsi="仿宋" w:eastAsia="仿宋"/>
                <w:kern w:val="0"/>
                <w:szCs w:val="21"/>
              </w:rPr>
              <w:t>健康意识教育</w:t>
            </w:r>
            <w:r>
              <w:rPr>
                <w:rFonts w:ascii="仿宋" w:hAnsi="仿宋" w:eastAsia="仿宋"/>
                <w:kern w:val="0"/>
                <w:szCs w:val="21"/>
              </w:rPr>
              <w:t>；</w:t>
            </w:r>
            <w:r>
              <w:rPr>
                <w:rFonts w:hint="eastAsia" w:ascii="仿宋" w:hAnsi="仿宋" w:eastAsia="仿宋"/>
                <w:kern w:val="0"/>
                <w:szCs w:val="21"/>
              </w:rPr>
              <w:t xml:space="preserve"> </w:t>
            </w:r>
          </w:p>
        </w:tc>
        <w:tc>
          <w:tcPr>
            <w:tcW w:w="1160" w:type="pct"/>
            <w:vAlign w:val="center"/>
          </w:tcPr>
          <w:p w14:paraId="5A3387BE">
            <w:pPr>
              <w:autoSpaceDE w:val="0"/>
              <w:autoSpaceDN w:val="0"/>
              <w:adjustRightInd w:val="0"/>
              <w:jc w:val="left"/>
              <w:rPr>
                <w:rFonts w:hint="eastAsia" w:ascii="仿宋" w:hAnsi="仿宋" w:eastAsia="仿宋"/>
                <w:kern w:val="0"/>
                <w:szCs w:val="21"/>
              </w:rPr>
            </w:pPr>
            <w:r>
              <w:rPr>
                <w:rFonts w:hint="eastAsia" w:ascii="仿宋" w:hAnsi="仿宋" w:eastAsia="仿宋"/>
                <w:kern w:val="0"/>
                <w:szCs w:val="21"/>
              </w:rPr>
              <w:t>通过教学，提高对体育的正确认识，形成正确积极的体育态度，学会运用科学理论指导健身锻炼实际，从而自觉遵循体育运动的规律，实现体育锻炼的目的。</w:t>
            </w:r>
          </w:p>
        </w:tc>
        <w:tc>
          <w:tcPr>
            <w:tcW w:w="386" w:type="pct"/>
            <w:vAlign w:val="center"/>
          </w:tcPr>
          <w:p w14:paraId="05EB7552">
            <w:pPr>
              <w:jc w:val="center"/>
              <w:rPr>
                <w:rFonts w:hint="eastAsia" w:ascii="仿宋" w:hAnsi="仿宋" w:eastAsia="仿宋"/>
                <w:szCs w:val="21"/>
              </w:rPr>
            </w:pPr>
            <w:r>
              <w:rPr>
                <w:rFonts w:ascii="仿宋" w:hAnsi="仿宋" w:eastAsia="仿宋"/>
                <w:szCs w:val="21"/>
              </w:rPr>
              <w:t>4</w:t>
            </w:r>
          </w:p>
        </w:tc>
        <w:tc>
          <w:tcPr>
            <w:tcW w:w="464" w:type="pct"/>
            <w:vAlign w:val="center"/>
          </w:tcPr>
          <w:p w14:paraId="3500707B">
            <w:pPr>
              <w:jc w:val="left"/>
              <w:rPr>
                <w:rFonts w:hint="eastAsia" w:ascii="仿宋" w:hAnsi="仿宋" w:eastAsia="仿宋"/>
                <w:szCs w:val="21"/>
              </w:rPr>
            </w:pPr>
            <w:r>
              <w:rPr>
                <w:rFonts w:hint="eastAsia" w:ascii="仿宋" w:hAnsi="仿宋" w:eastAsia="仿宋"/>
                <w:szCs w:val="21"/>
              </w:rPr>
              <w:t>讲授法</w:t>
            </w:r>
          </w:p>
        </w:tc>
        <w:tc>
          <w:tcPr>
            <w:tcW w:w="520" w:type="pct"/>
            <w:vAlign w:val="center"/>
          </w:tcPr>
          <w:p w14:paraId="6CE7E02B">
            <w:pPr>
              <w:jc w:val="left"/>
              <w:rPr>
                <w:rFonts w:hint="eastAsia" w:ascii="仿宋" w:hAnsi="仿宋" w:eastAsia="仿宋"/>
                <w:szCs w:val="21"/>
              </w:rPr>
            </w:pPr>
            <w:r>
              <w:rPr>
                <w:rFonts w:hint="eastAsia" w:ascii="仿宋" w:hAnsi="仿宋" w:eastAsia="仿宋"/>
                <w:szCs w:val="21"/>
              </w:rPr>
              <w:t>目标1目标2</w:t>
            </w:r>
          </w:p>
        </w:tc>
      </w:tr>
      <w:tr w14:paraId="3264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25072DB2">
            <w:pPr>
              <w:jc w:val="center"/>
              <w:rPr>
                <w:rFonts w:hint="eastAsia" w:ascii="仿宋" w:hAnsi="仿宋" w:eastAsia="仿宋"/>
                <w:szCs w:val="21"/>
              </w:rPr>
            </w:pPr>
            <w:r>
              <w:rPr>
                <w:rFonts w:ascii="仿宋" w:hAnsi="仿宋" w:eastAsia="仿宋"/>
                <w:szCs w:val="21"/>
              </w:rPr>
              <w:t>2</w:t>
            </w:r>
          </w:p>
        </w:tc>
        <w:tc>
          <w:tcPr>
            <w:tcW w:w="1623" w:type="pct"/>
            <w:vAlign w:val="center"/>
          </w:tcPr>
          <w:p w14:paraId="1F70D431">
            <w:pPr>
              <w:jc w:val="left"/>
              <w:rPr>
                <w:rFonts w:hint="eastAsia" w:ascii="仿宋" w:hAnsi="仿宋" w:eastAsia="仿宋"/>
                <w:b/>
                <w:szCs w:val="21"/>
              </w:rPr>
            </w:pPr>
            <w:r>
              <w:rPr>
                <w:rFonts w:hint="eastAsia" w:ascii="仿宋" w:hAnsi="仿宋" w:eastAsia="仿宋"/>
                <w:b/>
                <w:szCs w:val="21"/>
              </w:rPr>
              <w:t>㈡实践部分：</w:t>
            </w:r>
          </w:p>
          <w:p w14:paraId="46891D10">
            <w:pPr>
              <w:rPr>
                <w:rFonts w:hint="eastAsia" w:ascii="仿宋" w:hAnsi="仿宋" w:eastAsia="仿宋"/>
                <w:bCs/>
              </w:rPr>
            </w:pPr>
            <w:r>
              <w:rPr>
                <w:rFonts w:hint="eastAsia" w:ascii="仿宋" w:hAnsi="仿宋" w:eastAsia="仿宋"/>
                <w:bCs/>
              </w:rPr>
              <w:t>各运动项目和身体素质为主，主要包括篮球、足球、排球、手球、乒乓球、网球、羽毛球、台球、健美（男）、体育舞蹈、武术、散打、跆拳道、艺术体操、健美操（女）、排舞（女）、瑜伽、体育舞蹈和体育保健等项目。</w:t>
            </w:r>
          </w:p>
          <w:p w14:paraId="152CD0AC">
            <w:pPr>
              <w:rPr>
                <w:rFonts w:hint="eastAsia" w:ascii="仿宋" w:hAnsi="仿宋" w:eastAsia="仿宋"/>
                <w:bCs/>
              </w:rPr>
            </w:pPr>
            <w:r>
              <w:rPr>
                <w:rFonts w:hint="eastAsia" w:ascii="仿宋" w:hAnsi="仿宋" w:eastAsia="仿宋"/>
                <w:b/>
                <w:bCs/>
              </w:rPr>
              <w:t>重点：</w:t>
            </w:r>
            <w:r>
              <w:rPr>
                <w:rFonts w:hint="eastAsia" w:ascii="仿宋" w:hAnsi="仿宋" w:eastAsia="仿宋"/>
                <w:bCs/>
              </w:rPr>
              <w:t>掌握所学项目基本技能、规则及锻炼方法。</w:t>
            </w:r>
          </w:p>
          <w:p w14:paraId="734E1280">
            <w:pPr>
              <w:rPr>
                <w:rFonts w:hint="eastAsia" w:ascii="仿宋" w:hAnsi="仿宋" w:eastAsia="仿宋"/>
                <w:bCs/>
              </w:rPr>
            </w:pPr>
            <w:r>
              <w:rPr>
                <w:rFonts w:hint="eastAsia" w:ascii="仿宋" w:hAnsi="仿宋" w:eastAsia="仿宋"/>
                <w:b/>
                <w:bCs/>
              </w:rPr>
              <w:t>难点：</w:t>
            </w:r>
            <w:r>
              <w:rPr>
                <w:rFonts w:hint="eastAsia" w:ascii="仿宋" w:hAnsi="仿宋" w:eastAsia="仿宋"/>
                <w:bCs/>
              </w:rPr>
              <w:t>合理运用所学</w:t>
            </w:r>
            <w:r>
              <w:rPr>
                <w:rFonts w:ascii="仿宋" w:hAnsi="仿宋" w:eastAsia="仿宋"/>
                <w:bCs/>
              </w:rPr>
              <w:t>项目</w:t>
            </w:r>
            <w:r>
              <w:rPr>
                <w:rFonts w:hint="eastAsia" w:ascii="仿宋" w:hAnsi="仿宋" w:eastAsia="仿宋"/>
                <w:bCs/>
              </w:rPr>
              <w:t>技能，自</w:t>
            </w:r>
            <w:r>
              <w:rPr>
                <w:rFonts w:ascii="仿宋" w:hAnsi="仿宋" w:eastAsia="仿宋"/>
                <w:bCs/>
              </w:rPr>
              <w:t>主</w:t>
            </w:r>
            <w:r>
              <w:rPr>
                <w:rFonts w:hint="eastAsia" w:ascii="仿宋" w:hAnsi="仿宋" w:eastAsia="仿宋"/>
                <w:bCs/>
              </w:rPr>
              <w:t>和</w:t>
            </w:r>
            <w:r>
              <w:rPr>
                <w:rFonts w:ascii="仿宋" w:hAnsi="仿宋" w:eastAsia="仿宋"/>
                <w:bCs/>
              </w:rPr>
              <w:t>自觉锻炼</w:t>
            </w:r>
            <w:r>
              <w:rPr>
                <w:rFonts w:hint="eastAsia" w:ascii="仿宋" w:hAnsi="仿宋" w:eastAsia="仿宋"/>
                <w:bCs/>
              </w:rPr>
              <w:t>意识，发展体育精神。</w:t>
            </w:r>
          </w:p>
        </w:tc>
        <w:tc>
          <w:tcPr>
            <w:tcW w:w="541" w:type="pct"/>
            <w:vAlign w:val="center"/>
          </w:tcPr>
          <w:p w14:paraId="1528A54C">
            <w:pPr>
              <w:widowControl/>
              <w:ind w:left="-44" w:leftChars="-21" w:right="-109" w:rightChars="-52" w:firstLine="44" w:firstLineChars="21"/>
              <w:jc w:val="left"/>
              <w:rPr>
                <w:rFonts w:hint="eastAsia"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意志品德培育；规则</w:t>
            </w:r>
            <w:r>
              <w:rPr>
                <w:rFonts w:ascii="仿宋" w:hAnsi="仿宋" w:eastAsia="仿宋"/>
                <w:kern w:val="0"/>
                <w:szCs w:val="21"/>
              </w:rPr>
              <w:t>意识和</w:t>
            </w:r>
            <w:r>
              <w:rPr>
                <w:rFonts w:hint="eastAsia" w:ascii="仿宋" w:hAnsi="仿宋" w:eastAsia="仿宋"/>
                <w:kern w:val="0"/>
                <w:szCs w:val="21"/>
              </w:rPr>
              <w:t>诚信意识教育。</w:t>
            </w:r>
          </w:p>
        </w:tc>
        <w:tc>
          <w:tcPr>
            <w:tcW w:w="1160" w:type="pct"/>
            <w:vAlign w:val="center"/>
          </w:tcPr>
          <w:p w14:paraId="535A248F">
            <w:pPr>
              <w:rPr>
                <w:rFonts w:hint="eastAsia" w:ascii="仿宋" w:hAnsi="仿宋" w:eastAsia="仿宋"/>
                <w:szCs w:val="21"/>
              </w:rPr>
            </w:pPr>
            <w:r>
              <w:rPr>
                <w:rFonts w:hint="eastAsia" w:ascii="仿宋" w:hAnsi="仿宋" w:eastAsia="仿宋"/>
                <w:szCs w:val="21"/>
              </w:rPr>
              <w:t>通过</w:t>
            </w:r>
            <w:r>
              <w:rPr>
                <w:rFonts w:ascii="仿宋" w:hAnsi="仿宋" w:eastAsia="仿宋"/>
                <w:szCs w:val="21"/>
              </w:rPr>
              <w:t>学习，</w:t>
            </w:r>
            <w:r>
              <w:rPr>
                <w:rFonts w:hint="eastAsia" w:ascii="仿宋" w:hAnsi="仿宋" w:eastAsia="仿宋"/>
                <w:kern w:val="0"/>
                <w:szCs w:val="21"/>
              </w:rPr>
              <w:t>使学生了解和掌握所选运动项目的基本知识、基本技术和锻炼方法；爱好并积极参与各种体育运动，发展学生速度、灵敏、耐力等身体素质，增强体质</w:t>
            </w:r>
            <w:r>
              <w:rPr>
                <w:rFonts w:hint="eastAsia" w:ascii="仿宋" w:hAnsi="仿宋" w:eastAsia="仿宋"/>
                <w:szCs w:val="21"/>
              </w:rPr>
              <w:t>；培养团结协作的集体主义精神和顽强拼搏的竞争意识；达到“国家体质健康标准”</w:t>
            </w:r>
            <w:r>
              <w:rPr>
                <w:rFonts w:hint="eastAsia" w:ascii="仿宋" w:hAnsi="仿宋" w:eastAsia="仿宋"/>
                <w:kern w:val="0"/>
                <w:szCs w:val="21"/>
              </w:rPr>
              <w:t>。</w:t>
            </w:r>
          </w:p>
        </w:tc>
        <w:tc>
          <w:tcPr>
            <w:tcW w:w="386" w:type="pct"/>
            <w:vAlign w:val="center"/>
          </w:tcPr>
          <w:p w14:paraId="44395485">
            <w:pPr>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6</w:t>
            </w:r>
          </w:p>
        </w:tc>
        <w:tc>
          <w:tcPr>
            <w:tcW w:w="464" w:type="pct"/>
            <w:vAlign w:val="center"/>
          </w:tcPr>
          <w:p w14:paraId="666C5299">
            <w:pPr>
              <w:rPr>
                <w:rFonts w:hint="eastAsia"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vAlign w:val="center"/>
          </w:tcPr>
          <w:p w14:paraId="64A9A114">
            <w:pPr>
              <w:jc w:val="left"/>
              <w:rPr>
                <w:rFonts w:hint="eastAsia" w:ascii="仿宋" w:hAnsi="仿宋" w:eastAsia="仿宋"/>
                <w:szCs w:val="21"/>
              </w:rPr>
            </w:pPr>
            <w:r>
              <w:rPr>
                <w:rFonts w:hint="eastAsia" w:ascii="仿宋" w:hAnsi="仿宋" w:eastAsia="仿宋"/>
                <w:szCs w:val="21"/>
              </w:rPr>
              <w:t>目标1</w:t>
            </w:r>
          </w:p>
          <w:p w14:paraId="5A9572E0">
            <w:pPr>
              <w:jc w:val="left"/>
              <w:rPr>
                <w:rFonts w:hint="eastAsia" w:ascii="仿宋" w:hAnsi="仿宋" w:eastAsia="仿宋"/>
                <w:szCs w:val="21"/>
              </w:rPr>
            </w:pPr>
            <w:r>
              <w:rPr>
                <w:rFonts w:hint="eastAsia" w:ascii="仿宋" w:hAnsi="仿宋" w:eastAsia="仿宋"/>
                <w:szCs w:val="21"/>
              </w:rPr>
              <w:t>目标2</w:t>
            </w:r>
          </w:p>
        </w:tc>
      </w:tr>
    </w:tbl>
    <w:p w14:paraId="646AED16">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四、课程实施</w:t>
      </w:r>
    </w:p>
    <w:p w14:paraId="75164FFD">
      <w:pPr>
        <w:spacing w:before="156" w:beforeLines="50" w:after="156" w:afterLines="50" w:line="360" w:lineRule="exact"/>
        <w:ind w:firstLine="482" w:firstLineChars="200"/>
        <w:jc w:val="left"/>
        <w:rPr>
          <w:rFonts w:hint="eastAsia" w:ascii="仿宋" w:hAnsi="仿宋" w:eastAsia="仿宋"/>
          <w:b/>
          <w:sz w:val="24"/>
        </w:rPr>
      </w:pPr>
      <w:r>
        <w:rPr>
          <w:rFonts w:hint="eastAsia" w:ascii="仿宋" w:hAnsi="仿宋" w:eastAsia="仿宋"/>
          <w:b/>
          <w:sz w:val="24"/>
        </w:rPr>
        <w:t>（一）教学方法与手段</w:t>
      </w:r>
    </w:p>
    <w:p w14:paraId="7407856F">
      <w:pPr>
        <w:spacing w:before="156" w:beforeLines="50" w:after="156" w:afterLines="50" w:line="360" w:lineRule="exact"/>
        <w:ind w:firstLine="480" w:firstLineChars="200"/>
        <w:jc w:val="left"/>
        <w:rPr>
          <w:rFonts w:hint="eastAsia" w:ascii="仿宋" w:hAnsi="仿宋" w:eastAsia="仿宋"/>
          <w:sz w:val="24"/>
        </w:rPr>
      </w:pPr>
      <w:r>
        <w:rPr>
          <w:rFonts w:ascii="仿宋" w:hAnsi="仿宋" w:eastAsia="仿宋"/>
          <w:sz w:val="24"/>
        </w:rPr>
        <w:t>1</w:t>
      </w:r>
      <w:r>
        <w:rPr>
          <w:rFonts w:hint="eastAsia" w:ascii="仿宋" w:hAnsi="仿宋" w:eastAsia="仿宋"/>
          <w:sz w:val="24"/>
        </w:rPr>
        <w:t>．本课程以实践教学为主，教学方法与手段的运用要考虑到学生的实际情况，从实际出发，因材施教，注意区别对待，激发学生学习兴趣，并在教学中重视学生实践能力的培养。</w:t>
      </w:r>
      <w:r>
        <w:rPr>
          <w:rFonts w:ascii="仿宋" w:hAnsi="仿宋" w:eastAsia="仿宋"/>
          <w:sz w:val="24"/>
        </w:rPr>
        <w:t xml:space="preserve">  </w:t>
      </w:r>
    </w:p>
    <w:p w14:paraId="5F96DC26">
      <w:pPr>
        <w:spacing w:before="156" w:beforeLines="50" w:after="156" w:afterLines="50" w:line="360" w:lineRule="exact"/>
        <w:ind w:firstLine="480" w:firstLineChars="200"/>
        <w:jc w:val="left"/>
        <w:rPr>
          <w:rFonts w:hint="eastAsia" w:ascii="仿宋" w:hAnsi="仿宋" w:eastAsia="仿宋"/>
          <w:sz w:val="24"/>
        </w:rPr>
      </w:pPr>
      <w:r>
        <w:rPr>
          <w:rFonts w:ascii="仿宋" w:hAnsi="仿宋" w:eastAsia="仿宋"/>
          <w:sz w:val="24"/>
        </w:rPr>
        <w:t>2</w:t>
      </w:r>
      <w:r>
        <w:rPr>
          <w:rFonts w:hint="eastAsia" w:ascii="仿宋" w:hAnsi="仿宋" w:eastAsia="仿宋"/>
          <w:sz w:val="24"/>
        </w:rPr>
        <w:t>．教学方法与手段的运用合理，注意防止伤害事故发生，重视学生自我保护能力培养。</w:t>
      </w:r>
      <w:r>
        <w:rPr>
          <w:rFonts w:ascii="仿宋" w:hAnsi="仿宋" w:eastAsia="仿宋"/>
          <w:sz w:val="24"/>
        </w:rPr>
        <w:t> </w:t>
      </w:r>
    </w:p>
    <w:p w14:paraId="39887C24">
      <w:pPr>
        <w:spacing w:before="156" w:beforeLines="50" w:after="156" w:afterLines="50" w:line="360" w:lineRule="exact"/>
        <w:ind w:firstLine="480" w:firstLineChars="200"/>
        <w:jc w:val="left"/>
        <w:rPr>
          <w:rFonts w:hint="eastAsia" w:ascii="仿宋" w:hAnsi="仿宋" w:eastAsia="仿宋"/>
          <w:sz w:val="24"/>
        </w:rPr>
      </w:pPr>
      <w:r>
        <w:rPr>
          <w:rFonts w:hint="eastAsia" w:ascii="仿宋" w:hAnsi="仿宋" w:eastAsia="仿宋"/>
          <w:sz w:val="24"/>
        </w:rPr>
        <w:t>3．针对体育教学技术教学的特点，本课程将采用：讲解法、示范法、完整法、分解法、集体练习、小组练习等教学方法，并利用多媒体教学方式，提高学生的欣赏能力、让学生更加深刻的了解所学项目。</w:t>
      </w:r>
    </w:p>
    <w:p w14:paraId="440F3EDB">
      <w:pPr>
        <w:spacing w:line="360" w:lineRule="auto"/>
        <w:ind w:firstLine="482" w:firstLineChars="200"/>
        <w:rPr>
          <w:rFonts w:hint="eastAsia" w:ascii="仿宋" w:hAnsi="仿宋" w:eastAsia="仿宋"/>
          <w:b/>
          <w:sz w:val="24"/>
        </w:rPr>
      </w:pPr>
      <w:r>
        <w:rPr>
          <w:rFonts w:hint="eastAsia" w:ascii="仿宋" w:hAnsi="仿宋" w:eastAsia="仿宋"/>
          <w:b/>
          <w:sz w:val="24"/>
        </w:rPr>
        <w:t>（二）课程实施与保障</w:t>
      </w:r>
    </w:p>
    <w:tbl>
      <w:tblPr>
        <w:tblStyle w:val="13"/>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4DB3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91" w:type="dxa"/>
            <w:gridSpan w:val="2"/>
            <w:tcBorders>
              <w:top w:val="single" w:color="auto" w:sz="8" w:space="0"/>
              <w:left w:val="single" w:color="auto" w:sz="8" w:space="0"/>
              <w:right w:val="single" w:color="auto" w:sz="8" w:space="0"/>
            </w:tcBorders>
            <w:tcMar>
              <w:left w:w="28" w:type="dxa"/>
              <w:right w:w="28" w:type="dxa"/>
            </w:tcMar>
            <w:vAlign w:val="center"/>
          </w:tcPr>
          <w:p w14:paraId="17EB1FDE">
            <w:pPr>
              <w:spacing w:line="276" w:lineRule="auto"/>
              <w:jc w:val="center"/>
              <w:rPr>
                <w:rFonts w:hint="eastAsia" w:ascii="仿宋" w:hAnsi="仿宋" w:eastAsia="仿宋"/>
                <w:sz w:val="24"/>
              </w:rPr>
            </w:pPr>
            <w:r>
              <w:rPr>
                <w:rFonts w:ascii="仿宋" w:hAnsi="仿宋" w:eastAsia="仿宋" w:cs="宋体"/>
                <w:b/>
                <w:bCs/>
                <w:sz w:val="24"/>
              </w:rPr>
              <w:t>主要教学环节</w:t>
            </w:r>
          </w:p>
        </w:tc>
        <w:tc>
          <w:tcPr>
            <w:tcW w:w="6640" w:type="dxa"/>
            <w:tcBorders>
              <w:top w:val="single" w:color="auto" w:sz="8" w:space="0"/>
              <w:left w:val="single" w:color="auto" w:sz="8" w:space="0"/>
              <w:right w:val="single" w:color="auto" w:sz="8" w:space="0"/>
            </w:tcBorders>
            <w:vAlign w:val="center"/>
          </w:tcPr>
          <w:p w14:paraId="323245FD">
            <w:pPr>
              <w:spacing w:line="276" w:lineRule="auto"/>
              <w:jc w:val="center"/>
              <w:rPr>
                <w:rFonts w:hint="eastAsia" w:ascii="仿宋" w:hAnsi="仿宋" w:eastAsia="仿宋"/>
                <w:sz w:val="24"/>
              </w:rPr>
            </w:pPr>
            <w:r>
              <w:rPr>
                <w:rFonts w:hint="eastAsia" w:ascii="仿宋" w:hAnsi="仿宋" w:eastAsia="仿宋" w:cs="宋体"/>
                <w:b/>
                <w:bCs/>
                <w:sz w:val="24"/>
              </w:rPr>
              <w:t>质量要求</w:t>
            </w:r>
          </w:p>
        </w:tc>
      </w:tr>
      <w:tr w14:paraId="1C43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07AD9326">
            <w:pPr>
              <w:spacing w:line="276" w:lineRule="auto"/>
              <w:jc w:val="center"/>
              <w:rPr>
                <w:rFonts w:hint="eastAsia" w:ascii="仿宋" w:hAnsi="仿宋" w:eastAsia="仿宋"/>
                <w:sz w:val="24"/>
              </w:rPr>
            </w:pPr>
            <w:r>
              <w:rPr>
                <w:rFonts w:hint="eastAsia" w:ascii="仿宋" w:hAnsi="仿宋" w:eastAsia="仿宋"/>
                <w:sz w:val="24"/>
              </w:rPr>
              <w:t>1</w:t>
            </w:r>
          </w:p>
        </w:tc>
        <w:tc>
          <w:tcPr>
            <w:tcW w:w="1252" w:type="dxa"/>
            <w:tcMar>
              <w:left w:w="28" w:type="dxa"/>
              <w:right w:w="28" w:type="dxa"/>
            </w:tcMar>
            <w:vAlign w:val="center"/>
          </w:tcPr>
          <w:p w14:paraId="28F2D0A1">
            <w:pPr>
              <w:spacing w:line="276" w:lineRule="auto"/>
              <w:jc w:val="center"/>
              <w:rPr>
                <w:rFonts w:hint="eastAsia" w:ascii="仿宋" w:hAnsi="仿宋" w:eastAsia="仿宋"/>
                <w:sz w:val="24"/>
              </w:rPr>
            </w:pPr>
            <w:r>
              <w:rPr>
                <w:rFonts w:hint="eastAsia" w:ascii="仿宋" w:hAnsi="仿宋" w:eastAsia="仿宋"/>
                <w:sz w:val="24"/>
              </w:rPr>
              <w:t>备课</w:t>
            </w:r>
          </w:p>
        </w:tc>
        <w:tc>
          <w:tcPr>
            <w:tcW w:w="6640" w:type="dxa"/>
            <w:tcBorders>
              <w:right w:val="single" w:color="auto" w:sz="8" w:space="0"/>
            </w:tcBorders>
            <w:vAlign w:val="center"/>
          </w:tcPr>
          <w:p w14:paraId="063A7055">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掌握本课程教学大纲内容，严格按照教学大纲要求进行本课程教学内容的组织；</w:t>
            </w:r>
          </w:p>
          <w:p w14:paraId="0AF41711">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熟悉教材各章节，借助相关专业书籍资料，并依据教学大纲编写授课计划；</w:t>
            </w:r>
          </w:p>
          <w:p w14:paraId="5125A4C4">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3.</w:t>
            </w:r>
            <w:r>
              <w:rPr>
                <w:rFonts w:hint="eastAsia" w:ascii="仿宋" w:hAnsi="仿宋" w:eastAsia="仿宋" w:cs="宋体"/>
                <w:kern w:val="0"/>
                <w:sz w:val="22"/>
              </w:rPr>
              <w:t>结合课程特点，制作课件，运用多媒体教学手段讲授部分教学内容；</w:t>
            </w:r>
            <w:r>
              <w:rPr>
                <w:rFonts w:ascii="仿宋" w:hAnsi="仿宋" w:eastAsia="仿宋" w:cs="宋体"/>
                <w:kern w:val="0"/>
                <w:sz w:val="22"/>
              </w:rPr>
              <w:t xml:space="preserve"> </w:t>
            </w:r>
          </w:p>
          <w:p w14:paraId="2C2ED8E2">
            <w:pPr>
              <w:autoSpaceDE w:val="0"/>
              <w:autoSpaceDN w:val="0"/>
              <w:adjustRightInd w:val="0"/>
              <w:snapToGrid w:val="0"/>
              <w:spacing w:line="320" w:lineRule="exact"/>
              <w:jc w:val="left"/>
              <w:rPr>
                <w:rFonts w:hint="eastAsia" w:ascii="仿宋" w:hAnsi="仿宋" w:eastAsia="仿宋"/>
                <w:sz w:val="24"/>
              </w:rPr>
            </w:pPr>
            <w:r>
              <w:rPr>
                <w:rFonts w:ascii="仿宋" w:hAnsi="仿宋" w:eastAsia="仿宋" w:cs="宋体"/>
                <w:kern w:val="0"/>
                <w:sz w:val="22"/>
              </w:rPr>
              <w:t>4.</w:t>
            </w:r>
            <w:r>
              <w:rPr>
                <w:rFonts w:hint="eastAsia" w:ascii="仿宋" w:hAnsi="仿宋" w:eastAsia="仿宋" w:cs="宋体"/>
                <w:kern w:val="0"/>
                <w:sz w:val="22"/>
              </w:rPr>
              <w:t>确定各章节课程内容的教学方法，构思授课思路、技巧和方法。</w:t>
            </w:r>
          </w:p>
        </w:tc>
      </w:tr>
      <w:tr w14:paraId="255E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559F043C">
            <w:pPr>
              <w:spacing w:line="276" w:lineRule="auto"/>
              <w:jc w:val="center"/>
              <w:rPr>
                <w:rFonts w:hint="eastAsia" w:ascii="仿宋" w:hAnsi="仿宋" w:eastAsia="仿宋"/>
                <w:sz w:val="24"/>
              </w:rPr>
            </w:pPr>
            <w:r>
              <w:rPr>
                <w:rFonts w:hint="eastAsia" w:ascii="仿宋" w:hAnsi="仿宋" w:eastAsia="仿宋"/>
                <w:sz w:val="24"/>
              </w:rPr>
              <w:t>2</w:t>
            </w:r>
          </w:p>
        </w:tc>
        <w:tc>
          <w:tcPr>
            <w:tcW w:w="1252" w:type="dxa"/>
            <w:tcMar>
              <w:left w:w="28" w:type="dxa"/>
              <w:right w:w="28" w:type="dxa"/>
            </w:tcMar>
            <w:vAlign w:val="center"/>
          </w:tcPr>
          <w:p w14:paraId="507254DA">
            <w:pPr>
              <w:spacing w:line="276" w:lineRule="auto"/>
              <w:jc w:val="center"/>
              <w:rPr>
                <w:rFonts w:hint="eastAsia" w:ascii="仿宋" w:hAnsi="仿宋" w:eastAsia="仿宋"/>
                <w:sz w:val="24"/>
              </w:rPr>
            </w:pPr>
            <w:r>
              <w:rPr>
                <w:rFonts w:hint="eastAsia" w:ascii="仿宋" w:hAnsi="仿宋" w:eastAsia="仿宋"/>
                <w:sz w:val="24"/>
              </w:rPr>
              <w:t>讲授</w:t>
            </w:r>
          </w:p>
        </w:tc>
        <w:tc>
          <w:tcPr>
            <w:tcW w:w="6640" w:type="dxa"/>
            <w:tcBorders>
              <w:right w:val="single" w:color="auto" w:sz="8" w:space="0"/>
            </w:tcBorders>
            <w:vAlign w:val="center"/>
          </w:tcPr>
          <w:p w14:paraId="4D2E0DFB">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rPr>
              <w:t>满足需要，发展个性；</w:t>
            </w:r>
            <w:r>
              <w:rPr>
                <w:rFonts w:hint="eastAsia" w:ascii="仿宋" w:hAnsi="仿宋" w:eastAsia="仿宋" w:cs="宋体"/>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7ADB2767">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采用多种教学方式（如启发式教学、导学式、发现式等），精讲多练，培养学生自学、自练、自评、互评等能力。</w:t>
            </w:r>
          </w:p>
          <w:p w14:paraId="448396B9">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073A1E3D">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4.区别对待，因材施教。重视安全和关心基础较差的学生成长。</w:t>
            </w:r>
          </w:p>
          <w:p w14:paraId="5BA6B445">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5.教学中教师要以身作则，言传身教，做到既教学又育人。培养学生的优良品质，达到身心全面发展。</w:t>
            </w:r>
          </w:p>
        </w:tc>
      </w:tr>
      <w:tr w14:paraId="17D8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38FC1486">
            <w:pPr>
              <w:spacing w:line="276" w:lineRule="auto"/>
              <w:jc w:val="center"/>
              <w:rPr>
                <w:rFonts w:hint="eastAsia" w:ascii="仿宋" w:hAnsi="仿宋" w:eastAsia="仿宋"/>
                <w:sz w:val="24"/>
              </w:rPr>
            </w:pPr>
            <w:r>
              <w:rPr>
                <w:rFonts w:ascii="仿宋" w:hAnsi="仿宋" w:eastAsia="仿宋"/>
                <w:sz w:val="24"/>
              </w:rPr>
              <w:t>3</w:t>
            </w:r>
          </w:p>
        </w:tc>
        <w:tc>
          <w:tcPr>
            <w:tcW w:w="1252" w:type="dxa"/>
            <w:tcMar>
              <w:left w:w="28" w:type="dxa"/>
              <w:right w:w="28" w:type="dxa"/>
            </w:tcMar>
            <w:vAlign w:val="center"/>
          </w:tcPr>
          <w:p w14:paraId="39AC1E70">
            <w:pPr>
              <w:spacing w:line="276" w:lineRule="auto"/>
              <w:jc w:val="center"/>
              <w:rPr>
                <w:rFonts w:hint="eastAsia" w:ascii="仿宋" w:hAnsi="仿宋" w:eastAsia="仿宋"/>
                <w:sz w:val="24"/>
              </w:rPr>
            </w:pPr>
            <w:r>
              <w:rPr>
                <w:rFonts w:hint="eastAsia" w:ascii="仿宋" w:hAnsi="仿宋" w:eastAsia="仿宋"/>
                <w:sz w:val="24"/>
              </w:rPr>
              <w:t>课外练习</w:t>
            </w:r>
          </w:p>
        </w:tc>
        <w:tc>
          <w:tcPr>
            <w:tcW w:w="6640" w:type="dxa"/>
            <w:tcBorders>
              <w:right w:val="single" w:color="auto" w:sz="8" w:space="0"/>
            </w:tcBorders>
            <w:vAlign w:val="center"/>
          </w:tcPr>
          <w:p w14:paraId="1B188CA6">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课外练习是教师布置课外练习内容，重点要求学生利用课余时间巩固课堂上所学的技术动作，形成正确的动力定型，同时要求学生加强身体素质练习。</w:t>
            </w:r>
          </w:p>
        </w:tc>
      </w:tr>
      <w:tr w14:paraId="27F3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69BD29DB">
            <w:pPr>
              <w:spacing w:line="276" w:lineRule="auto"/>
              <w:jc w:val="center"/>
              <w:rPr>
                <w:rFonts w:hint="eastAsia" w:ascii="仿宋" w:hAnsi="仿宋" w:eastAsia="仿宋"/>
                <w:sz w:val="24"/>
              </w:rPr>
            </w:pPr>
            <w:r>
              <w:rPr>
                <w:rFonts w:ascii="仿宋" w:hAnsi="仿宋" w:eastAsia="仿宋"/>
                <w:sz w:val="24"/>
              </w:rPr>
              <w:t>4</w:t>
            </w:r>
          </w:p>
        </w:tc>
        <w:tc>
          <w:tcPr>
            <w:tcW w:w="1252" w:type="dxa"/>
            <w:tcMar>
              <w:left w:w="28" w:type="dxa"/>
              <w:right w:w="28" w:type="dxa"/>
            </w:tcMar>
            <w:vAlign w:val="center"/>
          </w:tcPr>
          <w:p w14:paraId="18FB9964">
            <w:pPr>
              <w:spacing w:line="276" w:lineRule="auto"/>
              <w:jc w:val="center"/>
              <w:rPr>
                <w:rFonts w:hint="eastAsia" w:ascii="仿宋" w:hAnsi="仿宋" w:eastAsia="仿宋"/>
                <w:sz w:val="24"/>
              </w:rPr>
            </w:pPr>
            <w:r>
              <w:rPr>
                <w:rFonts w:hint="eastAsia" w:ascii="仿宋" w:hAnsi="仿宋" w:eastAsia="仿宋"/>
                <w:sz w:val="24"/>
              </w:rPr>
              <w:t>成绩考核</w:t>
            </w:r>
          </w:p>
        </w:tc>
        <w:tc>
          <w:tcPr>
            <w:tcW w:w="6640" w:type="dxa"/>
            <w:tcBorders>
              <w:right w:val="single" w:color="auto" w:sz="8" w:space="0"/>
            </w:tcBorders>
            <w:vAlign w:val="center"/>
          </w:tcPr>
          <w:p w14:paraId="07385B36">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本课程考核的方式：考试。总评成绩的评定见课程评分方案。有下列情况之一者，总评成绩为不及格：</w:t>
            </w:r>
          </w:p>
          <w:p w14:paraId="180FDDD8">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.课外</w:t>
            </w:r>
            <w:r>
              <w:rPr>
                <w:rFonts w:ascii="仿宋" w:hAnsi="仿宋" w:eastAsia="仿宋" w:cs="宋体"/>
                <w:kern w:val="0"/>
                <w:sz w:val="22"/>
              </w:rPr>
              <w:t>体育</w:t>
            </w:r>
            <w:r>
              <w:rPr>
                <w:rFonts w:hint="eastAsia" w:ascii="仿宋" w:hAnsi="仿宋" w:eastAsia="仿宋" w:cs="宋体"/>
                <w:kern w:val="0"/>
                <w:sz w:val="22"/>
              </w:rPr>
              <w:t>锻炼</w:t>
            </w:r>
            <w:r>
              <w:rPr>
                <w:rFonts w:ascii="仿宋" w:hAnsi="仿宋" w:eastAsia="仿宋" w:cs="宋体"/>
                <w:kern w:val="0"/>
                <w:sz w:val="22"/>
              </w:rPr>
              <w:t>不合格</w:t>
            </w:r>
            <w:r>
              <w:rPr>
                <w:rFonts w:hint="eastAsia" w:ascii="仿宋" w:hAnsi="仿宋" w:eastAsia="仿宋" w:cs="宋体"/>
                <w:kern w:val="0"/>
                <w:sz w:val="22"/>
              </w:rPr>
              <w:t>者；</w:t>
            </w:r>
          </w:p>
          <w:p w14:paraId="33BE55ED">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2.缺课次数达本学期总授课学时的</w:t>
            </w:r>
            <w:r>
              <w:rPr>
                <w:rFonts w:ascii="仿宋" w:hAnsi="仿宋" w:eastAsia="仿宋" w:cs="宋体"/>
                <w:kern w:val="0"/>
                <w:sz w:val="22"/>
              </w:rPr>
              <w:t>1/3</w:t>
            </w:r>
            <w:r>
              <w:rPr>
                <w:rFonts w:hint="eastAsia" w:ascii="仿宋" w:hAnsi="仿宋" w:eastAsia="仿宋" w:cs="宋体"/>
                <w:kern w:val="0"/>
                <w:sz w:val="22"/>
              </w:rPr>
              <w:t>以上者；</w:t>
            </w:r>
          </w:p>
        </w:tc>
      </w:tr>
    </w:tbl>
    <w:p w14:paraId="378EE835">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五</w:t>
      </w:r>
      <w:r>
        <w:rPr>
          <w:rFonts w:ascii="仿宋" w:hAnsi="仿宋" w:eastAsia="仿宋" w:cs="宋体"/>
          <w:b/>
          <w:sz w:val="28"/>
          <w:szCs w:val="28"/>
        </w:rPr>
        <w:t>、</w:t>
      </w:r>
      <w:r>
        <w:rPr>
          <w:rFonts w:hint="eastAsia" w:ascii="仿宋" w:hAnsi="仿宋" w:eastAsia="仿宋" w:cs="宋体"/>
          <w:b/>
          <w:sz w:val="28"/>
          <w:szCs w:val="28"/>
        </w:rPr>
        <w:t>课程考核</w:t>
      </w:r>
    </w:p>
    <w:p w14:paraId="006F14BF">
      <w:pPr>
        <w:spacing w:line="360" w:lineRule="auto"/>
        <w:ind w:firstLine="480" w:firstLineChars="200"/>
        <w:rPr>
          <w:rFonts w:hint="eastAsia" w:ascii="仿宋" w:hAnsi="仿宋" w:eastAsia="仿宋"/>
          <w:sz w:val="24"/>
        </w:rPr>
      </w:pPr>
      <w:r>
        <w:rPr>
          <w:rFonts w:hint="eastAsia" w:ascii="仿宋" w:hAnsi="仿宋" w:eastAsia="仿宋"/>
          <w:sz w:val="24"/>
        </w:rPr>
        <w:t>（一）课程考核由期末考试和平时考核构成，期末考试采用随堂方式。</w:t>
      </w:r>
    </w:p>
    <w:p w14:paraId="407B8E8C">
      <w:pPr>
        <w:spacing w:line="360" w:lineRule="auto"/>
        <w:ind w:firstLine="480" w:firstLineChars="200"/>
        <w:rPr>
          <w:rFonts w:hint="eastAsia" w:ascii="仿宋" w:hAnsi="仿宋" w:eastAsia="仿宋"/>
          <w:sz w:val="24"/>
        </w:rPr>
      </w:pPr>
      <w:r>
        <w:rPr>
          <w:rFonts w:hint="eastAsia" w:ascii="仿宋" w:hAnsi="仿宋" w:eastAsia="仿宋"/>
          <w:sz w:val="24"/>
        </w:rPr>
        <w:t>（二）</w:t>
      </w:r>
      <w:r>
        <w:rPr>
          <w:rFonts w:ascii="仿宋" w:hAnsi="仿宋" w:eastAsia="仿宋"/>
          <w:sz w:val="24"/>
        </w:rPr>
        <w:t>课程</w:t>
      </w:r>
      <w:r>
        <w:rPr>
          <w:rFonts w:hint="eastAsia" w:ascii="仿宋" w:hAnsi="仿宋" w:eastAsia="仿宋"/>
          <w:sz w:val="24"/>
        </w:rPr>
        <w:t>总评成绩=平时成绩×</w:t>
      </w:r>
      <w:r>
        <w:rPr>
          <w:rFonts w:ascii="仿宋" w:hAnsi="仿宋" w:eastAsia="仿宋"/>
          <w:sz w:val="24"/>
        </w:rPr>
        <w:t>5</w:t>
      </w:r>
      <w:r>
        <w:rPr>
          <w:rFonts w:hint="eastAsia" w:ascii="仿宋" w:hAnsi="仿宋" w:eastAsia="仿宋"/>
          <w:sz w:val="24"/>
        </w:rPr>
        <w:t>0%+</w:t>
      </w:r>
      <w:r>
        <w:rPr>
          <w:rFonts w:ascii="仿宋" w:hAnsi="仿宋" w:eastAsia="仿宋"/>
          <w:sz w:val="24"/>
        </w:rPr>
        <w:t>期末考试</w:t>
      </w:r>
      <w:r>
        <w:rPr>
          <w:rFonts w:hint="eastAsia" w:ascii="仿宋" w:hAnsi="仿宋" w:eastAsia="仿宋"/>
          <w:sz w:val="24"/>
        </w:rPr>
        <w:t>×</w:t>
      </w:r>
      <w:r>
        <w:rPr>
          <w:rFonts w:ascii="仿宋" w:hAnsi="仿宋" w:eastAsia="仿宋"/>
          <w:sz w:val="24"/>
        </w:rPr>
        <w:t>5</w:t>
      </w:r>
      <w:r>
        <w:rPr>
          <w:rFonts w:hint="eastAsia" w:ascii="仿宋" w:hAnsi="仿宋" w:eastAsia="仿宋"/>
          <w:sz w:val="24"/>
        </w:rPr>
        <w:t>0%，平时成绩=课堂表现×2</w:t>
      </w:r>
      <w:r>
        <w:rPr>
          <w:rFonts w:ascii="仿宋" w:hAnsi="仿宋" w:eastAsia="仿宋"/>
          <w:sz w:val="24"/>
        </w:rPr>
        <w:t>0</w:t>
      </w:r>
      <w:r>
        <w:rPr>
          <w:rFonts w:hint="eastAsia" w:ascii="仿宋" w:hAnsi="仿宋" w:eastAsia="仿宋"/>
          <w:sz w:val="24"/>
        </w:rPr>
        <w:t>%+课外锻炼×</w:t>
      </w:r>
      <w:r>
        <w:rPr>
          <w:rFonts w:ascii="仿宋" w:hAnsi="仿宋" w:eastAsia="仿宋"/>
          <w:sz w:val="24"/>
        </w:rPr>
        <w:t>40</w:t>
      </w:r>
      <w:r>
        <w:rPr>
          <w:rFonts w:hint="eastAsia" w:ascii="仿宋" w:hAnsi="仿宋" w:eastAsia="仿宋"/>
          <w:sz w:val="24"/>
        </w:rPr>
        <w:t>%+身体</w:t>
      </w:r>
      <w:r>
        <w:rPr>
          <w:rFonts w:ascii="仿宋" w:hAnsi="仿宋" w:eastAsia="仿宋"/>
          <w:sz w:val="24"/>
        </w:rPr>
        <w:t>素质</w:t>
      </w:r>
      <w:r>
        <w:rPr>
          <w:rFonts w:hint="eastAsia" w:ascii="仿宋" w:hAnsi="仿宋" w:eastAsia="仿宋"/>
          <w:sz w:val="24"/>
        </w:rPr>
        <w:t>×</w:t>
      </w:r>
      <w:r>
        <w:rPr>
          <w:rFonts w:ascii="仿宋" w:hAnsi="仿宋" w:eastAsia="仿宋"/>
          <w:sz w:val="24"/>
        </w:rPr>
        <w:t>40</w:t>
      </w:r>
      <w:r>
        <w:rPr>
          <w:rFonts w:hint="eastAsia" w:ascii="仿宋" w:hAnsi="仿宋" w:eastAsia="仿宋"/>
          <w:sz w:val="24"/>
        </w:rPr>
        <w:t>%。</w:t>
      </w:r>
    </w:p>
    <w:p w14:paraId="5F185C50">
      <w:pPr>
        <w:spacing w:line="360" w:lineRule="auto"/>
        <w:ind w:firstLine="480" w:firstLineChars="200"/>
        <w:rPr>
          <w:rFonts w:hint="eastAsia" w:ascii="仿宋" w:hAnsi="仿宋" w:eastAsia="仿宋"/>
          <w:sz w:val="24"/>
        </w:rPr>
      </w:pPr>
      <w:r>
        <w:rPr>
          <w:rFonts w:ascii="仿宋" w:hAnsi="仿宋" w:eastAsia="仿宋"/>
          <w:sz w:val="24"/>
        </w:rPr>
        <w:t>具体内容和比例</w:t>
      </w:r>
      <w:r>
        <w:rPr>
          <w:rFonts w:hint="eastAsia" w:ascii="仿宋" w:hAnsi="仿宋" w:eastAsia="仿宋"/>
          <w:sz w:val="24"/>
        </w:rPr>
        <w:t>如表所示：</w:t>
      </w:r>
    </w:p>
    <w:tbl>
      <w:tblPr>
        <w:tblStyle w:val="13"/>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42BA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tcMar>
              <w:left w:w="57" w:type="dxa"/>
              <w:right w:w="57" w:type="dxa"/>
            </w:tcMar>
            <w:vAlign w:val="center"/>
          </w:tcPr>
          <w:p w14:paraId="449A4AFE">
            <w:pPr>
              <w:jc w:val="center"/>
              <w:rPr>
                <w:rFonts w:hint="eastAsia" w:ascii="仿宋" w:hAnsi="仿宋" w:eastAsia="仿宋"/>
                <w:szCs w:val="21"/>
              </w:rPr>
            </w:pPr>
            <w:r>
              <w:rPr>
                <w:rFonts w:ascii="仿宋" w:hAnsi="仿宋" w:eastAsia="仿宋"/>
                <w:szCs w:val="21"/>
              </w:rPr>
              <w:t>成绩组成</w:t>
            </w:r>
          </w:p>
        </w:tc>
        <w:tc>
          <w:tcPr>
            <w:tcW w:w="1301" w:type="dxa"/>
            <w:shd w:val="clear" w:color="auto" w:fill="FFFFFF"/>
            <w:vAlign w:val="center"/>
          </w:tcPr>
          <w:p w14:paraId="6E3BDB9F">
            <w:pPr>
              <w:jc w:val="center"/>
              <w:rPr>
                <w:rFonts w:hint="eastAsia" w:ascii="仿宋" w:hAnsi="仿宋" w:eastAsia="仿宋"/>
                <w:szCs w:val="21"/>
              </w:rPr>
            </w:pPr>
            <w:r>
              <w:rPr>
                <w:rFonts w:ascii="仿宋" w:hAnsi="仿宋" w:eastAsia="仿宋"/>
                <w:szCs w:val="21"/>
              </w:rPr>
              <w:t>考核/评价环节</w:t>
            </w:r>
          </w:p>
        </w:tc>
        <w:tc>
          <w:tcPr>
            <w:tcW w:w="741" w:type="dxa"/>
            <w:shd w:val="clear" w:color="auto" w:fill="FFFFFF"/>
            <w:vAlign w:val="center"/>
          </w:tcPr>
          <w:p w14:paraId="09654B71">
            <w:pPr>
              <w:jc w:val="center"/>
              <w:rPr>
                <w:rFonts w:hint="eastAsia" w:ascii="仿宋" w:hAnsi="仿宋" w:eastAsia="仿宋"/>
                <w:szCs w:val="21"/>
              </w:rPr>
            </w:pPr>
            <w:r>
              <w:rPr>
                <w:rFonts w:hint="eastAsia" w:ascii="仿宋" w:hAnsi="仿宋" w:eastAsia="仿宋"/>
                <w:szCs w:val="21"/>
              </w:rPr>
              <w:t>权重</w:t>
            </w:r>
          </w:p>
        </w:tc>
        <w:tc>
          <w:tcPr>
            <w:tcW w:w="4047" w:type="dxa"/>
            <w:shd w:val="clear" w:color="auto" w:fill="FFFFFF"/>
            <w:vAlign w:val="center"/>
          </w:tcPr>
          <w:p w14:paraId="0E0BD817">
            <w:pPr>
              <w:jc w:val="center"/>
              <w:rPr>
                <w:rFonts w:hint="eastAsia" w:ascii="仿宋" w:hAnsi="仿宋" w:eastAsia="仿宋"/>
                <w:szCs w:val="21"/>
              </w:rPr>
            </w:pPr>
            <w:r>
              <w:rPr>
                <w:rFonts w:ascii="仿宋" w:hAnsi="仿宋" w:eastAsia="仿宋"/>
                <w:szCs w:val="21"/>
              </w:rPr>
              <w:t>考核/评价细则</w:t>
            </w:r>
          </w:p>
        </w:tc>
        <w:tc>
          <w:tcPr>
            <w:tcW w:w="1349" w:type="dxa"/>
            <w:shd w:val="clear" w:color="auto" w:fill="FFFFFF"/>
            <w:vAlign w:val="center"/>
          </w:tcPr>
          <w:p w14:paraId="776D9A02">
            <w:pPr>
              <w:jc w:val="center"/>
              <w:rPr>
                <w:rFonts w:hint="eastAsia" w:ascii="仿宋" w:hAnsi="仿宋" w:eastAsia="仿宋"/>
                <w:szCs w:val="21"/>
              </w:rPr>
            </w:pPr>
            <w:r>
              <w:rPr>
                <w:rFonts w:ascii="仿宋" w:hAnsi="仿宋" w:eastAsia="仿宋"/>
                <w:szCs w:val="21"/>
              </w:rPr>
              <w:t>对应的毕业要求指标点</w:t>
            </w:r>
          </w:p>
        </w:tc>
      </w:tr>
      <w:tr w14:paraId="3B95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tcMar>
              <w:left w:w="57" w:type="dxa"/>
              <w:right w:w="57" w:type="dxa"/>
            </w:tcMar>
            <w:vAlign w:val="center"/>
          </w:tcPr>
          <w:p w14:paraId="7B4FA1C3">
            <w:pPr>
              <w:jc w:val="center"/>
              <w:rPr>
                <w:rFonts w:hint="eastAsia" w:ascii="仿宋" w:hAnsi="仿宋" w:eastAsia="仿宋"/>
                <w:szCs w:val="21"/>
              </w:rPr>
            </w:pPr>
            <w:r>
              <w:rPr>
                <w:rFonts w:ascii="仿宋" w:hAnsi="仿宋" w:eastAsia="仿宋"/>
                <w:szCs w:val="21"/>
              </w:rPr>
              <w:t>平时成绩</w:t>
            </w:r>
          </w:p>
          <w:p w14:paraId="38FD9E4A">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vAlign w:val="center"/>
          </w:tcPr>
          <w:p w14:paraId="74AE5ED0">
            <w:pPr>
              <w:spacing w:line="276" w:lineRule="auto"/>
              <w:jc w:val="center"/>
              <w:rPr>
                <w:rFonts w:hint="eastAsia" w:ascii="仿宋" w:hAnsi="仿宋" w:eastAsia="仿宋"/>
                <w:szCs w:val="21"/>
              </w:rPr>
            </w:pPr>
            <w:r>
              <w:rPr>
                <w:rFonts w:hint="eastAsia" w:ascii="仿宋" w:hAnsi="仿宋" w:eastAsia="仿宋"/>
                <w:szCs w:val="21"/>
              </w:rPr>
              <w:t>课堂表现</w:t>
            </w:r>
          </w:p>
        </w:tc>
        <w:tc>
          <w:tcPr>
            <w:tcW w:w="741" w:type="dxa"/>
            <w:vAlign w:val="center"/>
          </w:tcPr>
          <w:p w14:paraId="60783AE9">
            <w:pPr>
              <w:rPr>
                <w:rFonts w:hint="eastAsia" w:ascii="仿宋" w:hAnsi="仿宋" w:eastAsia="仿宋"/>
                <w:szCs w:val="21"/>
              </w:rPr>
            </w:pPr>
            <w:r>
              <w:rPr>
                <w:rFonts w:hint="eastAsia" w:ascii="仿宋" w:hAnsi="仿宋" w:eastAsia="仿宋"/>
                <w:szCs w:val="21"/>
              </w:rPr>
              <w:t xml:space="preserve"> </w:t>
            </w:r>
            <w:r>
              <w:rPr>
                <w:rFonts w:ascii="仿宋" w:hAnsi="仿宋" w:eastAsia="仿宋"/>
                <w:szCs w:val="21"/>
              </w:rPr>
              <w:t>10%</w:t>
            </w:r>
          </w:p>
        </w:tc>
        <w:tc>
          <w:tcPr>
            <w:tcW w:w="4047" w:type="dxa"/>
            <w:vAlign w:val="center"/>
          </w:tcPr>
          <w:p w14:paraId="7F78E577">
            <w:pPr>
              <w:spacing w:line="276" w:lineRule="auto"/>
              <w:rPr>
                <w:rFonts w:hint="eastAsia" w:ascii="仿宋" w:hAnsi="仿宋" w:eastAsia="仿宋"/>
                <w:sz w:val="24"/>
              </w:rPr>
            </w:pPr>
            <w:r>
              <w:rPr>
                <w:rFonts w:ascii="仿宋" w:hAnsi="仿宋" w:eastAsia="仿宋"/>
                <w:bCs/>
                <w:kern w:val="24"/>
                <w:szCs w:val="21"/>
              </w:rPr>
              <w:t>课堂</w:t>
            </w:r>
            <w:r>
              <w:rPr>
                <w:rFonts w:hint="eastAsia" w:ascii="仿宋" w:hAnsi="仿宋" w:eastAsia="仿宋"/>
                <w:bCs/>
                <w:kern w:val="24"/>
                <w:szCs w:val="21"/>
              </w:rPr>
              <w:t>整队</w:t>
            </w:r>
            <w:r>
              <w:rPr>
                <w:rFonts w:ascii="仿宋" w:hAnsi="仿宋" w:eastAsia="仿宋"/>
                <w:bCs/>
                <w:kern w:val="24"/>
                <w:szCs w:val="21"/>
              </w:rPr>
              <w:t>点名</w:t>
            </w:r>
            <w:r>
              <w:rPr>
                <w:rFonts w:hint="eastAsia" w:ascii="仿宋" w:hAnsi="仿宋" w:eastAsia="仿宋"/>
                <w:bCs/>
                <w:kern w:val="24"/>
                <w:szCs w:val="21"/>
              </w:rPr>
              <w:t>，考核</w:t>
            </w:r>
            <w:r>
              <w:rPr>
                <w:rFonts w:hint="eastAsia" w:ascii="仿宋" w:hAnsi="仿宋" w:eastAsia="仿宋"/>
                <w:szCs w:val="21"/>
              </w:rPr>
              <w:t>能否按时到勤，旷课一次扣</w:t>
            </w:r>
            <w:r>
              <w:rPr>
                <w:rFonts w:ascii="仿宋" w:hAnsi="仿宋" w:eastAsia="仿宋"/>
                <w:szCs w:val="21"/>
              </w:rPr>
              <w:t>20</w:t>
            </w:r>
            <w:r>
              <w:rPr>
                <w:rFonts w:hint="eastAsia" w:ascii="仿宋" w:hAnsi="仿宋" w:eastAsia="仿宋"/>
                <w:szCs w:val="21"/>
              </w:rPr>
              <w:t>分，迟到与早退一次扣</w:t>
            </w:r>
            <w:r>
              <w:rPr>
                <w:rFonts w:ascii="仿宋" w:hAnsi="仿宋" w:eastAsia="仿宋"/>
                <w:szCs w:val="21"/>
              </w:rPr>
              <w:t>10</w:t>
            </w:r>
            <w:r>
              <w:rPr>
                <w:rFonts w:hint="eastAsia" w:ascii="仿宋" w:hAnsi="仿宋" w:eastAsia="仿宋"/>
                <w:szCs w:val="21"/>
              </w:rPr>
              <w:t>分。</w:t>
            </w:r>
          </w:p>
        </w:tc>
        <w:tc>
          <w:tcPr>
            <w:tcW w:w="1349" w:type="dxa"/>
            <w:vAlign w:val="center"/>
          </w:tcPr>
          <w:p w14:paraId="5C080ADA">
            <w:pPr>
              <w:jc w:val="center"/>
              <w:rPr>
                <w:rFonts w:hint="eastAsia" w:ascii="仿宋" w:hAnsi="仿宋" w:eastAsia="仿宋"/>
                <w:szCs w:val="21"/>
              </w:rPr>
            </w:pPr>
            <w:r>
              <w:rPr>
                <w:rFonts w:hint="eastAsia" w:ascii="仿宋" w:hAnsi="仿宋" w:eastAsia="仿宋"/>
                <w:bCs/>
                <w:szCs w:val="21"/>
              </w:rPr>
              <w:t>8、</w:t>
            </w:r>
            <w:r>
              <w:rPr>
                <w:rFonts w:ascii="仿宋" w:hAnsi="仿宋" w:eastAsia="仿宋"/>
                <w:bCs/>
                <w:szCs w:val="21"/>
              </w:rPr>
              <w:t>9</w:t>
            </w:r>
          </w:p>
        </w:tc>
      </w:tr>
      <w:tr w14:paraId="21DE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tcMar>
              <w:left w:w="57" w:type="dxa"/>
              <w:right w:w="57" w:type="dxa"/>
            </w:tcMar>
            <w:vAlign w:val="center"/>
          </w:tcPr>
          <w:p w14:paraId="66F2B451">
            <w:pPr>
              <w:jc w:val="center"/>
              <w:rPr>
                <w:rFonts w:hint="eastAsia" w:ascii="仿宋" w:hAnsi="仿宋" w:eastAsia="仿宋"/>
                <w:szCs w:val="21"/>
              </w:rPr>
            </w:pPr>
          </w:p>
        </w:tc>
        <w:tc>
          <w:tcPr>
            <w:tcW w:w="1301" w:type="dxa"/>
            <w:vAlign w:val="center"/>
          </w:tcPr>
          <w:p w14:paraId="07FC6384">
            <w:pPr>
              <w:spacing w:line="276" w:lineRule="auto"/>
              <w:jc w:val="center"/>
              <w:rPr>
                <w:rFonts w:hint="eastAsia" w:ascii="仿宋" w:hAnsi="仿宋" w:eastAsia="仿宋"/>
                <w:szCs w:val="21"/>
              </w:rPr>
            </w:pPr>
            <w:r>
              <w:rPr>
                <w:rFonts w:hint="eastAsia" w:ascii="仿宋" w:hAnsi="仿宋" w:eastAsia="仿宋"/>
                <w:szCs w:val="21"/>
              </w:rPr>
              <w:t>课外锻炼</w:t>
            </w:r>
          </w:p>
        </w:tc>
        <w:tc>
          <w:tcPr>
            <w:tcW w:w="741" w:type="dxa"/>
            <w:vAlign w:val="center"/>
          </w:tcPr>
          <w:p w14:paraId="78827B7E">
            <w:pPr>
              <w:rPr>
                <w:rFonts w:hint="eastAsia" w:ascii="仿宋" w:hAnsi="仿宋" w:eastAsia="仿宋"/>
                <w:szCs w:val="21"/>
              </w:rPr>
            </w:pPr>
            <w:r>
              <w:rPr>
                <w:rFonts w:hint="eastAsia" w:ascii="仿宋" w:hAnsi="仿宋" w:eastAsia="仿宋"/>
                <w:szCs w:val="21"/>
              </w:rPr>
              <w:t xml:space="preserve"> </w:t>
            </w:r>
            <w:r>
              <w:rPr>
                <w:rFonts w:ascii="仿宋" w:hAnsi="仿宋" w:eastAsia="仿宋"/>
                <w:szCs w:val="21"/>
              </w:rPr>
              <w:t>20%</w:t>
            </w:r>
          </w:p>
        </w:tc>
        <w:tc>
          <w:tcPr>
            <w:tcW w:w="4047" w:type="dxa"/>
            <w:vAlign w:val="center"/>
          </w:tcPr>
          <w:p w14:paraId="40C887FC">
            <w:pPr>
              <w:spacing w:line="276" w:lineRule="auto"/>
              <w:rPr>
                <w:rFonts w:hint="eastAsia" w:ascii="仿宋" w:hAnsi="仿宋" w:eastAsia="仿宋"/>
                <w:sz w:val="24"/>
              </w:rPr>
            </w:pPr>
            <w:r>
              <w:rPr>
                <w:rFonts w:hint="eastAsia" w:ascii="仿宋" w:hAnsi="仿宋" w:eastAsia="仿宋"/>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49" w:type="dxa"/>
            <w:vAlign w:val="center"/>
          </w:tcPr>
          <w:p w14:paraId="6815A816">
            <w:pPr>
              <w:jc w:val="center"/>
              <w:rPr>
                <w:rFonts w:hint="eastAsia" w:ascii="仿宋" w:hAnsi="仿宋" w:eastAsia="仿宋"/>
              </w:rPr>
            </w:pPr>
            <w:r>
              <w:rPr>
                <w:rFonts w:hint="eastAsia" w:ascii="仿宋" w:hAnsi="仿宋" w:eastAsia="仿宋"/>
              </w:rPr>
              <w:t>8、9</w:t>
            </w:r>
          </w:p>
        </w:tc>
      </w:tr>
      <w:tr w14:paraId="5EBE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040" w:type="dxa"/>
            <w:vMerge w:val="continue"/>
            <w:tcMar>
              <w:left w:w="57" w:type="dxa"/>
              <w:right w:w="57" w:type="dxa"/>
            </w:tcMar>
            <w:vAlign w:val="center"/>
          </w:tcPr>
          <w:p w14:paraId="63EA320A">
            <w:pPr>
              <w:jc w:val="center"/>
              <w:rPr>
                <w:rFonts w:hint="eastAsia" w:ascii="仿宋" w:hAnsi="仿宋" w:eastAsia="仿宋"/>
                <w:szCs w:val="21"/>
              </w:rPr>
            </w:pPr>
          </w:p>
        </w:tc>
        <w:tc>
          <w:tcPr>
            <w:tcW w:w="1301" w:type="dxa"/>
            <w:vAlign w:val="center"/>
          </w:tcPr>
          <w:p w14:paraId="2A8E9CB9">
            <w:pPr>
              <w:spacing w:line="276" w:lineRule="auto"/>
              <w:jc w:val="center"/>
              <w:rPr>
                <w:rFonts w:hint="eastAsia" w:ascii="仿宋" w:hAnsi="仿宋" w:eastAsia="仿宋"/>
                <w:szCs w:val="21"/>
              </w:rPr>
            </w:pPr>
            <w:r>
              <w:rPr>
                <w:rFonts w:hint="eastAsia" w:ascii="仿宋" w:hAnsi="仿宋" w:eastAsia="仿宋"/>
                <w:szCs w:val="21"/>
              </w:rPr>
              <w:t>身体素质</w:t>
            </w:r>
          </w:p>
        </w:tc>
        <w:tc>
          <w:tcPr>
            <w:tcW w:w="741" w:type="dxa"/>
            <w:vAlign w:val="center"/>
          </w:tcPr>
          <w:p w14:paraId="3C1F3F0C">
            <w:pPr>
              <w:jc w:val="center"/>
              <w:rPr>
                <w:rFonts w:hint="eastAsia" w:ascii="仿宋" w:hAnsi="仿宋" w:eastAsia="仿宋"/>
                <w:szCs w:val="21"/>
              </w:rPr>
            </w:pPr>
            <w:r>
              <w:rPr>
                <w:rFonts w:ascii="仿宋" w:hAnsi="仿宋" w:eastAsia="仿宋"/>
                <w:szCs w:val="21"/>
              </w:rPr>
              <w:t>2</w:t>
            </w:r>
            <w:r>
              <w:rPr>
                <w:rFonts w:hint="eastAsia" w:ascii="仿宋" w:hAnsi="仿宋" w:eastAsia="仿宋"/>
                <w:szCs w:val="21"/>
              </w:rPr>
              <w:t>0</w:t>
            </w:r>
            <w:r>
              <w:rPr>
                <w:rFonts w:ascii="仿宋" w:hAnsi="仿宋" w:eastAsia="仿宋"/>
                <w:szCs w:val="21"/>
              </w:rPr>
              <w:t>%</w:t>
            </w:r>
          </w:p>
        </w:tc>
        <w:tc>
          <w:tcPr>
            <w:tcW w:w="4047" w:type="dxa"/>
            <w:vAlign w:val="center"/>
          </w:tcPr>
          <w:p w14:paraId="15C28109">
            <w:pPr>
              <w:spacing w:line="276" w:lineRule="auto"/>
              <w:jc w:val="left"/>
              <w:rPr>
                <w:rFonts w:hint="eastAsia" w:ascii="仿宋" w:hAnsi="仿宋" w:eastAsia="仿宋"/>
                <w:bCs/>
                <w:kern w:val="24"/>
                <w:szCs w:val="21"/>
              </w:rPr>
            </w:pPr>
            <w:r>
              <w:rPr>
                <w:rFonts w:hint="eastAsia" w:ascii="仿宋" w:hAnsi="仿宋" w:eastAsia="仿宋"/>
                <w:bCs/>
                <w:kern w:val="24"/>
                <w:szCs w:val="21"/>
              </w:rPr>
              <w:t>1.2400米（男</w:t>
            </w:r>
            <w:r>
              <w:rPr>
                <w:rFonts w:ascii="仿宋" w:hAnsi="仿宋" w:eastAsia="仿宋"/>
                <w:bCs/>
                <w:kern w:val="24"/>
                <w:szCs w:val="21"/>
              </w:rPr>
              <w:t>）</w:t>
            </w:r>
            <w:r>
              <w:rPr>
                <w:rFonts w:hint="eastAsia" w:ascii="仿宋" w:hAnsi="仿宋" w:eastAsia="仿宋"/>
                <w:bCs/>
                <w:kern w:val="24"/>
                <w:szCs w:val="21"/>
              </w:rPr>
              <w:t>、2000米</w:t>
            </w:r>
            <w:r>
              <w:rPr>
                <w:rFonts w:ascii="仿宋" w:hAnsi="仿宋" w:eastAsia="仿宋"/>
                <w:bCs/>
                <w:kern w:val="24"/>
                <w:szCs w:val="21"/>
              </w:rPr>
              <w:t>（</w:t>
            </w:r>
            <w:r>
              <w:rPr>
                <w:rFonts w:hint="eastAsia" w:ascii="仿宋" w:hAnsi="仿宋" w:eastAsia="仿宋"/>
                <w:bCs/>
                <w:kern w:val="24"/>
                <w:szCs w:val="21"/>
              </w:rPr>
              <w:t>女</w:t>
            </w:r>
            <w:r>
              <w:rPr>
                <w:rFonts w:ascii="仿宋" w:hAnsi="仿宋" w:eastAsia="仿宋"/>
                <w:bCs/>
                <w:kern w:val="24"/>
                <w:szCs w:val="21"/>
              </w:rPr>
              <w:t>）</w:t>
            </w:r>
          </w:p>
          <w:p w14:paraId="61DCE94B">
            <w:pPr>
              <w:spacing w:line="276" w:lineRule="auto"/>
              <w:jc w:val="left"/>
              <w:rPr>
                <w:rFonts w:hint="eastAsia" w:ascii="仿宋" w:hAnsi="仿宋" w:eastAsia="仿宋"/>
                <w:bCs/>
                <w:kern w:val="24"/>
                <w:szCs w:val="21"/>
              </w:rPr>
            </w:pPr>
            <w:r>
              <w:rPr>
                <w:rFonts w:hint="eastAsia" w:ascii="仿宋" w:hAnsi="仿宋" w:eastAsia="仿宋"/>
                <w:bCs/>
                <w:kern w:val="24"/>
                <w:szCs w:val="21"/>
              </w:rPr>
              <w:t>2.引</w:t>
            </w:r>
            <w:r>
              <w:rPr>
                <w:rFonts w:ascii="仿宋" w:hAnsi="仿宋" w:eastAsia="仿宋"/>
                <w:bCs/>
                <w:kern w:val="24"/>
                <w:szCs w:val="21"/>
              </w:rPr>
              <w:t>体向上</w:t>
            </w:r>
            <w:r>
              <w:rPr>
                <w:rFonts w:hint="eastAsia" w:ascii="仿宋" w:hAnsi="仿宋" w:eastAsia="仿宋"/>
                <w:bCs/>
                <w:kern w:val="24"/>
                <w:szCs w:val="21"/>
              </w:rPr>
              <w:t>（男</w:t>
            </w:r>
            <w:r>
              <w:rPr>
                <w:rFonts w:ascii="仿宋" w:hAnsi="仿宋" w:eastAsia="仿宋"/>
                <w:bCs/>
                <w:kern w:val="24"/>
                <w:szCs w:val="21"/>
              </w:rPr>
              <w:t>）</w:t>
            </w:r>
            <w:r>
              <w:rPr>
                <w:rFonts w:hint="eastAsia" w:ascii="仿宋" w:hAnsi="仿宋" w:eastAsia="仿宋"/>
                <w:bCs/>
                <w:kern w:val="24"/>
                <w:szCs w:val="21"/>
              </w:rPr>
              <w:t>、立定</w:t>
            </w:r>
            <w:r>
              <w:rPr>
                <w:rFonts w:ascii="仿宋" w:hAnsi="仿宋" w:eastAsia="仿宋"/>
                <w:bCs/>
                <w:kern w:val="24"/>
                <w:szCs w:val="21"/>
              </w:rPr>
              <w:t>跳远（</w:t>
            </w:r>
            <w:r>
              <w:rPr>
                <w:rFonts w:hint="eastAsia" w:ascii="仿宋" w:hAnsi="仿宋" w:eastAsia="仿宋"/>
                <w:bCs/>
                <w:kern w:val="24"/>
                <w:szCs w:val="21"/>
              </w:rPr>
              <w:t>女</w:t>
            </w:r>
            <w:r>
              <w:rPr>
                <w:rFonts w:ascii="仿宋" w:hAnsi="仿宋" w:eastAsia="仿宋"/>
                <w:bCs/>
                <w:kern w:val="24"/>
                <w:szCs w:val="21"/>
              </w:rPr>
              <w:t>）</w:t>
            </w:r>
          </w:p>
          <w:p w14:paraId="72EED6D5">
            <w:pPr>
              <w:spacing w:line="276" w:lineRule="auto"/>
              <w:jc w:val="left"/>
              <w:rPr>
                <w:rFonts w:hint="eastAsia" w:ascii="仿宋" w:hAnsi="仿宋" w:eastAsia="仿宋"/>
                <w:sz w:val="24"/>
              </w:rPr>
            </w:pPr>
            <w:r>
              <w:rPr>
                <w:rFonts w:hint="eastAsia" w:ascii="仿宋" w:hAnsi="仿宋" w:eastAsia="仿宋"/>
                <w:bCs/>
                <w:kern w:val="24"/>
                <w:szCs w:val="21"/>
              </w:rPr>
              <w:t>课堂测试，评分参照《国家学生体质健康标准》</w:t>
            </w:r>
            <w:r>
              <w:rPr>
                <w:rFonts w:ascii="仿宋" w:hAnsi="仿宋" w:eastAsia="仿宋"/>
                <w:bCs/>
                <w:kern w:val="24"/>
                <w:szCs w:val="21"/>
              </w:rPr>
              <w:t>。</w:t>
            </w:r>
          </w:p>
        </w:tc>
        <w:tc>
          <w:tcPr>
            <w:tcW w:w="1349" w:type="dxa"/>
            <w:vAlign w:val="center"/>
          </w:tcPr>
          <w:p w14:paraId="4FB49B7E">
            <w:pPr>
              <w:jc w:val="center"/>
              <w:rPr>
                <w:rFonts w:hint="eastAsia" w:ascii="仿宋" w:hAnsi="仿宋" w:eastAsia="仿宋"/>
              </w:rPr>
            </w:pPr>
            <w:r>
              <w:rPr>
                <w:rFonts w:hint="eastAsia" w:ascii="仿宋" w:hAnsi="仿宋" w:eastAsia="仿宋"/>
              </w:rPr>
              <w:t>8、9</w:t>
            </w:r>
          </w:p>
        </w:tc>
      </w:tr>
      <w:tr w14:paraId="52A9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40" w:type="dxa"/>
            <w:tcMar>
              <w:left w:w="57" w:type="dxa"/>
              <w:right w:w="57" w:type="dxa"/>
            </w:tcMar>
            <w:vAlign w:val="center"/>
          </w:tcPr>
          <w:p w14:paraId="3F58D04A">
            <w:pPr>
              <w:jc w:val="center"/>
              <w:rPr>
                <w:rFonts w:hint="eastAsia" w:ascii="仿宋" w:hAnsi="仿宋" w:eastAsia="仿宋"/>
                <w:szCs w:val="21"/>
              </w:rPr>
            </w:pPr>
            <w:r>
              <w:rPr>
                <w:rFonts w:ascii="仿宋" w:hAnsi="仿宋" w:eastAsia="仿宋"/>
                <w:szCs w:val="21"/>
              </w:rPr>
              <w:t>期末考试</w:t>
            </w:r>
          </w:p>
          <w:p w14:paraId="4D3B7748">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vAlign w:val="center"/>
          </w:tcPr>
          <w:p w14:paraId="7D5BDB2C">
            <w:pPr>
              <w:jc w:val="center"/>
              <w:rPr>
                <w:rFonts w:hint="eastAsia" w:ascii="仿宋" w:hAnsi="仿宋" w:eastAsia="仿宋"/>
                <w:szCs w:val="21"/>
              </w:rPr>
            </w:pPr>
            <w:r>
              <w:rPr>
                <w:rFonts w:ascii="仿宋" w:hAnsi="仿宋" w:eastAsia="仿宋"/>
                <w:szCs w:val="21"/>
              </w:rPr>
              <w:t>期末</w:t>
            </w:r>
            <w:r>
              <w:rPr>
                <w:rFonts w:hint="eastAsia" w:ascii="仿宋" w:hAnsi="仿宋" w:eastAsia="仿宋"/>
                <w:szCs w:val="21"/>
              </w:rPr>
              <w:t>运动技能</w:t>
            </w:r>
            <w:r>
              <w:rPr>
                <w:rFonts w:ascii="仿宋" w:hAnsi="仿宋" w:eastAsia="仿宋"/>
                <w:szCs w:val="21"/>
              </w:rPr>
              <w:t>考试</w:t>
            </w:r>
          </w:p>
        </w:tc>
        <w:tc>
          <w:tcPr>
            <w:tcW w:w="741" w:type="dxa"/>
            <w:vAlign w:val="center"/>
          </w:tcPr>
          <w:p w14:paraId="47F414E7">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r>
              <w:rPr>
                <w:rFonts w:ascii="仿宋" w:hAnsi="仿宋" w:eastAsia="仿宋"/>
                <w:szCs w:val="21"/>
              </w:rPr>
              <w:t>%</w:t>
            </w:r>
          </w:p>
        </w:tc>
        <w:tc>
          <w:tcPr>
            <w:tcW w:w="4047" w:type="dxa"/>
            <w:vAlign w:val="center"/>
          </w:tcPr>
          <w:p w14:paraId="79D2CDBD">
            <w:pPr>
              <w:spacing w:line="340" w:lineRule="exact"/>
              <w:jc w:val="center"/>
              <w:rPr>
                <w:rFonts w:hint="eastAsia" w:ascii="仿宋" w:hAnsi="仿宋" w:eastAsia="仿宋"/>
                <w:szCs w:val="21"/>
              </w:rPr>
            </w:pPr>
            <w:r>
              <w:rPr>
                <w:rFonts w:hint="eastAsia" w:ascii="仿宋" w:hAnsi="仿宋" w:eastAsia="仿宋"/>
                <w:szCs w:val="21"/>
              </w:rPr>
              <w:t>各专项技能</w:t>
            </w:r>
          </w:p>
        </w:tc>
        <w:tc>
          <w:tcPr>
            <w:tcW w:w="1349" w:type="dxa"/>
            <w:vAlign w:val="center"/>
          </w:tcPr>
          <w:p w14:paraId="272BB41D">
            <w:pPr>
              <w:jc w:val="center"/>
              <w:rPr>
                <w:rFonts w:hint="eastAsia" w:ascii="仿宋" w:hAnsi="仿宋" w:eastAsia="仿宋"/>
                <w:szCs w:val="21"/>
              </w:rPr>
            </w:pPr>
            <w:r>
              <w:rPr>
                <w:rFonts w:hint="eastAsia" w:ascii="仿宋" w:hAnsi="仿宋" w:eastAsia="仿宋"/>
                <w:bCs/>
                <w:szCs w:val="21"/>
              </w:rPr>
              <w:t>8、9</w:t>
            </w:r>
          </w:p>
        </w:tc>
      </w:tr>
    </w:tbl>
    <w:p w14:paraId="4A7166CB">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六</w:t>
      </w:r>
      <w:r>
        <w:rPr>
          <w:rFonts w:ascii="仿宋" w:hAnsi="仿宋" w:eastAsia="仿宋"/>
          <w:b/>
          <w:sz w:val="28"/>
          <w:szCs w:val="28"/>
        </w:rPr>
        <w:t>、</w:t>
      </w:r>
      <w:r>
        <w:rPr>
          <w:rFonts w:hint="eastAsia" w:ascii="仿宋" w:hAnsi="仿宋" w:eastAsia="仿宋"/>
          <w:b/>
          <w:sz w:val="28"/>
          <w:szCs w:val="28"/>
        </w:rPr>
        <w:t>有关说明</w:t>
      </w:r>
    </w:p>
    <w:p w14:paraId="7B81626B">
      <w:pPr>
        <w:spacing w:line="360" w:lineRule="auto"/>
        <w:ind w:firstLine="482" w:firstLineChars="200"/>
        <w:rPr>
          <w:rFonts w:hint="eastAsia" w:ascii="仿宋" w:hAnsi="仿宋" w:eastAsia="仿宋"/>
          <w:b/>
          <w:color w:val="000000"/>
          <w:sz w:val="24"/>
        </w:rPr>
      </w:pPr>
      <w:r>
        <w:rPr>
          <w:rFonts w:hint="eastAsia" w:ascii="仿宋" w:hAnsi="仿宋" w:eastAsia="仿宋"/>
          <w:b/>
          <w:color w:val="000000"/>
          <w:sz w:val="24"/>
        </w:rPr>
        <w:t>（一）持续改进</w:t>
      </w:r>
    </w:p>
    <w:p w14:paraId="2DA9998F">
      <w:pPr>
        <w:spacing w:line="360" w:lineRule="auto"/>
        <w:ind w:firstLine="480" w:firstLineChars="200"/>
        <w:rPr>
          <w:rFonts w:hint="eastAsia" w:ascii="仿宋" w:hAnsi="仿宋" w:eastAsia="仿宋"/>
          <w:sz w:val="24"/>
        </w:rPr>
      </w:pPr>
      <w:r>
        <w:rPr>
          <w:rFonts w:hint="eastAsia" w:ascii="仿宋" w:hAnsi="仿宋" w:eastAsia="仿宋"/>
          <w:sz w:val="24"/>
        </w:rPr>
        <w:t>本课程根据学生课外</w:t>
      </w:r>
      <w:r>
        <w:rPr>
          <w:rFonts w:ascii="仿宋" w:hAnsi="仿宋" w:eastAsia="仿宋"/>
          <w:sz w:val="24"/>
        </w:rPr>
        <w:t>体育</w:t>
      </w:r>
      <w:r>
        <w:rPr>
          <w:rFonts w:hint="eastAsia" w:ascii="仿宋" w:hAnsi="仿宋" w:eastAsia="仿宋"/>
          <w:sz w:val="24"/>
        </w:rPr>
        <w:t>锻炼、课堂表现、体质测试、平时考核情况，以及学生、教学督导等反馈，及时对教学中不足之处进行改进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5E74D1FF">
      <w:pPr>
        <w:spacing w:line="360" w:lineRule="auto"/>
        <w:ind w:firstLine="482" w:firstLineChars="200"/>
        <w:jc w:val="left"/>
        <w:rPr>
          <w:rFonts w:hint="eastAsia" w:ascii="仿宋" w:hAnsi="仿宋" w:eastAsia="仿宋"/>
          <w:sz w:val="24"/>
        </w:rPr>
      </w:pPr>
      <w:r>
        <w:rPr>
          <w:rFonts w:hint="eastAsia" w:ascii="仿宋" w:hAnsi="仿宋" w:eastAsia="仿宋"/>
          <w:b/>
          <w:color w:val="000000"/>
          <w:sz w:val="24"/>
        </w:rPr>
        <w:t>（二）教学参考书</w:t>
      </w:r>
    </w:p>
    <w:p w14:paraId="42A915AE">
      <w:pPr>
        <w:spacing w:line="360" w:lineRule="auto"/>
        <w:ind w:firstLine="480" w:firstLineChars="200"/>
        <w:jc w:val="left"/>
        <w:rPr>
          <w:rFonts w:hint="eastAsia"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6BB17938">
      <w:pPr>
        <w:spacing w:line="360" w:lineRule="auto"/>
        <w:ind w:firstLine="480" w:firstLineChars="200"/>
        <w:jc w:val="left"/>
        <w:rPr>
          <w:rFonts w:hint="eastAsia" w:ascii="仿宋" w:hAnsi="仿宋" w:eastAsia="仿宋"/>
          <w:sz w:val="24"/>
        </w:rPr>
      </w:pPr>
    </w:p>
    <w:p w14:paraId="12843E5A">
      <w:pPr>
        <w:spacing w:line="360" w:lineRule="auto"/>
        <w:ind w:firstLine="480" w:firstLineChars="200"/>
        <w:jc w:val="left"/>
        <w:rPr>
          <w:rFonts w:hint="eastAsia" w:ascii="仿宋" w:hAnsi="仿宋" w:eastAsia="仿宋"/>
          <w:sz w:val="24"/>
        </w:rPr>
      </w:pPr>
    </w:p>
    <w:p w14:paraId="7658B079">
      <w:pPr>
        <w:spacing w:line="360" w:lineRule="auto"/>
        <w:ind w:firstLine="480" w:firstLineChars="200"/>
        <w:jc w:val="left"/>
        <w:rPr>
          <w:rFonts w:hint="eastAsia" w:ascii="仿宋" w:hAnsi="仿宋" w:eastAsia="仿宋"/>
          <w:sz w:val="24"/>
        </w:rPr>
      </w:pPr>
    </w:p>
    <w:p w14:paraId="4377117C">
      <w:pPr>
        <w:spacing w:line="312" w:lineRule="auto"/>
        <w:rPr>
          <w:rFonts w:hint="eastAsia" w:ascii="仿宋" w:hAnsi="仿宋" w:eastAsia="仿宋"/>
          <w:sz w:val="24"/>
        </w:rPr>
      </w:pPr>
    </w:p>
    <w:p w14:paraId="49E6A1E1">
      <w:pPr>
        <w:spacing w:line="312" w:lineRule="auto"/>
        <w:rPr>
          <w:rFonts w:hint="eastAsia" w:ascii="仿宋" w:hAnsi="仿宋" w:eastAsia="仿宋"/>
          <w:sz w:val="24"/>
        </w:rPr>
      </w:pPr>
    </w:p>
    <w:p w14:paraId="2FDD1ACB">
      <w:pPr>
        <w:spacing w:line="312" w:lineRule="auto"/>
        <w:rPr>
          <w:rFonts w:hint="eastAsia" w:ascii="仿宋" w:hAnsi="仿宋" w:eastAsia="仿宋"/>
          <w:sz w:val="24"/>
        </w:rPr>
      </w:pPr>
    </w:p>
    <w:p w14:paraId="5059A05B">
      <w:pPr>
        <w:spacing w:line="312" w:lineRule="auto"/>
        <w:rPr>
          <w:rFonts w:hint="eastAsia" w:ascii="仿宋" w:hAnsi="仿宋" w:eastAsia="仿宋"/>
          <w:sz w:val="24"/>
        </w:rPr>
      </w:pPr>
    </w:p>
    <w:p w14:paraId="1969AF42">
      <w:pPr>
        <w:spacing w:line="312" w:lineRule="auto"/>
        <w:rPr>
          <w:rFonts w:hint="eastAsia" w:ascii="仿宋" w:hAnsi="仿宋" w:eastAsia="仿宋"/>
          <w:sz w:val="24"/>
        </w:rPr>
      </w:pPr>
    </w:p>
    <w:p w14:paraId="0675358C">
      <w:pPr>
        <w:wordWrap w:val="0"/>
        <w:spacing w:line="360" w:lineRule="exact"/>
        <w:jc w:val="right"/>
        <w:rPr>
          <w:rFonts w:hint="eastAsia" w:ascii="仿宋" w:hAnsi="仿宋" w:eastAsia="仿宋"/>
          <w:sz w:val="24"/>
        </w:rPr>
      </w:pPr>
      <w:r>
        <w:rPr>
          <w:rFonts w:hint="eastAsia" w:ascii="仿宋" w:hAnsi="仿宋" w:eastAsia="仿宋"/>
          <w:sz w:val="24"/>
        </w:rPr>
        <w:t xml:space="preserve">                                                       执笔人：顾 </w:t>
      </w:r>
      <w:r>
        <w:rPr>
          <w:rFonts w:ascii="仿宋" w:hAnsi="仿宋" w:eastAsia="仿宋"/>
          <w:sz w:val="24"/>
        </w:rPr>
        <w:t xml:space="preserve"> </w:t>
      </w:r>
      <w:r>
        <w:rPr>
          <w:rFonts w:hint="eastAsia" w:ascii="仿宋" w:hAnsi="仿宋" w:eastAsia="仿宋"/>
          <w:sz w:val="24"/>
        </w:rPr>
        <w:t>宏</w:t>
      </w:r>
    </w:p>
    <w:p w14:paraId="5993E2AC">
      <w:pPr>
        <w:spacing w:line="360" w:lineRule="exact"/>
        <w:ind w:firstLine="480" w:firstLineChars="200"/>
        <w:jc w:val="right"/>
        <w:rPr>
          <w:rFonts w:hint="eastAsia" w:ascii="仿宋" w:hAnsi="仿宋" w:eastAsia="仿宋"/>
          <w:sz w:val="24"/>
        </w:rPr>
      </w:pPr>
      <w:r>
        <w:rPr>
          <w:rFonts w:hint="eastAsia" w:ascii="仿宋" w:hAnsi="仿宋" w:eastAsia="仿宋"/>
          <w:sz w:val="24"/>
        </w:rPr>
        <w:t>审定人：方曙</w:t>
      </w:r>
      <w:r>
        <w:rPr>
          <w:rFonts w:ascii="仿宋" w:hAnsi="仿宋" w:eastAsia="仿宋"/>
          <w:sz w:val="24"/>
        </w:rPr>
        <w:t>光</w:t>
      </w:r>
    </w:p>
    <w:p w14:paraId="196BBDC6">
      <w:pPr>
        <w:spacing w:line="360" w:lineRule="exact"/>
        <w:jc w:val="right"/>
        <w:rPr>
          <w:rFonts w:hint="eastAsia" w:ascii="仿宋" w:hAnsi="仿宋" w:eastAsia="仿宋"/>
          <w:sz w:val="24"/>
        </w:rPr>
      </w:pPr>
      <w:r>
        <w:rPr>
          <w:rFonts w:hint="eastAsia" w:ascii="仿宋" w:hAnsi="仿宋" w:eastAsia="仿宋"/>
          <w:sz w:val="24"/>
        </w:rPr>
        <w:t>批准人：王红</w:t>
      </w:r>
      <w:r>
        <w:rPr>
          <w:rFonts w:ascii="仿宋" w:hAnsi="仿宋" w:eastAsia="仿宋"/>
          <w:sz w:val="24"/>
        </w:rPr>
        <w:t>福</w:t>
      </w:r>
    </w:p>
    <w:p w14:paraId="555C0DE0">
      <w:pPr>
        <w:rPr>
          <w:rFonts w:hint="eastAsia" w:ascii="仿宋" w:hAnsi="仿宋" w:eastAsia="仿宋"/>
        </w:rPr>
      </w:pPr>
      <w:r>
        <w:rPr>
          <w:rFonts w:ascii="仿宋" w:hAnsi="仿宋" w:eastAsia="仿宋"/>
          <w:sz w:val="24"/>
        </w:rPr>
        <w:br w:type="page"/>
      </w:r>
    </w:p>
    <w:p w14:paraId="478D2603">
      <w:pPr>
        <w:pStyle w:val="2"/>
        <w:tabs>
          <w:tab w:val="left" w:pos="720"/>
          <w:tab w:val="left" w:pos="2700"/>
        </w:tabs>
      </w:pPr>
      <w:bookmarkStart w:id="32" w:name="_Toc20194"/>
      <w:bookmarkStart w:id="33" w:name="_Toc14170"/>
      <w:r>
        <w:rPr>
          <w:rFonts w:hint="eastAsia"/>
        </w:rPr>
        <w:t>《体育IV》</w:t>
      </w:r>
      <w:r>
        <w:t>课程教学大纲</w:t>
      </w:r>
      <w:bookmarkEnd w:id="32"/>
      <w:bookmarkEnd w:id="33"/>
    </w:p>
    <w:p w14:paraId="0CF8208D">
      <w:pPr>
        <w:spacing w:line="312" w:lineRule="auto"/>
        <w:jc w:val="center"/>
        <w:rPr>
          <w:rFonts w:hint="eastAsia" w:ascii="仿宋" w:hAnsi="仿宋" w:eastAsia="仿宋"/>
          <w:b/>
          <w:bCs/>
          <w:sz w:val="30"/>
        </w:rPr>
      </w:pPr>
      <w:r>
        <w:rPr>
          <w:rFonts w:ascii="仿宋" w:hAnsi="仿宋" w:eastAsia="仿宋"/>
          <w:b/>
          <w:bCs/>
          <w:sz w:val="30"/>
        </w:rPr>
        <w:t>（Physical  Education I</w:t>
      </w:r>
      <w:r>
        <w:rPr>
          <w:rFonts w:hint="eastAsia" w:ascii="仿宋" w:hAnsi="仿宋" w:eastAsia="仿宋"/>
          <w:b/>
          <w:bCs/>
          <w:sz w:val="30"/>
        </w:rPr>
        <w:t>V</w:t>
      </w:r>
      <w:r>
        <w:rPr>
          <w:rFonts w:ascii="仿宋" w:hAnsi="仿宋" w:eastAsia="仿宋"/>
          <w:b/>
          <w:bCs/>
          <w:sz w:val="30"/>
        </w:rPr>
        <w:t>）</w:t>
      </w:r>
    </w:p>
    <w:p w14:paraId="2605846F">
      <w:pPr>
        <w:spacing w:line="360" w:lineRule="auto"/>
        <w:ind w:firstLine="551" w:firstLineChars="196"/>
        <w:rPr>
          <w:rFonts w:hint="eastAsia" w:ascii="仿宋" w:hAnsi="仿宋" w:eastAsia="仿宋"/>
          <w:b/>
          <w:sz w:val="28"/>
          <w:szCs w:val="28"/>
        </w:rPr>
      </w:pPr>
      <w:r>
        <w:rPr>
          <w:rFonts w:ascii="仿宋" w:hAnsi="仿宋" w:eastAsia="仿宋"/>
          <w:b/>
          <w:sz w:val="28"/>
          <w:szCs w:val="28"/>
        </w:rPr>
        <w:t>一、课程概况</w:t>
      </w:r>
    </w:p>
    <w:p w14:paraId="3CB66D8B">
      <w:pPr>
        <w:spacing w:line="360" w:lineRule="auto"/>
        <w:ind w:firstLine="482" w:firstLineChars="200"/>
        <w:rPr>
          <w:rFonts w:hint="eastAsia" w:ascii="仿宋" w:hAnsi="仿宋" w:eastAsia="仿宋"/>
          <w:bCs/>
          <w:sz w:val="28"/>
          <w:szCs w:val="28"/>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1102020</w:t>
      </w:r>
    </w:p>
    <w:p w14:paraId="3D953175">
      <w:pPr>
        <w:spacing w:line="360" w:lineRule="auto"/>
        <w:ind w:firstLine="482" w:firstLineChars="200"/>
        <w:rPr>
          <w:rFonts w:hint="eastAsia" w:ascii="仿宋" w:hAnsi="仿宋" w:eastAsia="仿宋"/>
          <w:bCs/>
          <w:kern w:val="0"/>
          <w:sz w:val="24"/>
        </w:rPr>
      </w:pPr>
      <w:r>
        <w:rPr>
          <w:rFonts w:ascii="仿宋" w:hAnsi="仿宋" w:eastAsia="仿宋"/>
          <w:b/>
          <w:bCs/>
          <w:kern w:val="0"/>
          <w:sz w:val="24"/>
        </w:rPr>
        <w:t>学    分</w:t>
      </w:r>
      <w:r>
        <w:rPr>
          <w:rFonts w:ascii="仿宋" w:hAnsi="仿宋" w:eastAsia="仿宋"/>
          <w:b/>
          <w:kern w:val="0"/>
          <w:sz w:val="24"/>
        </w:rPr>
        <w:t>：</w:t>
      </w:r>
      <w:r>
        <w:rPr>
          <w:rFonts w:ascii="仿宋" w:hAnsi="仿宋" w:eastAsia="仿宋"/>
          <w:bCs/>
          <w:kern w:val="0"/>
          <w:sz w:val="24"/>
        </w:rPr>
        <w:t>0.75</w:t>
      </w:r>
    </w:p>
    <w:p w14:paraId="1F9725AE">
      <w:pPr>
        <w:spacing w:line="360" w:lineRule="auto"/>
        <w:ind w:firstLine="482" w:firstLineChars="200"/>
        <w:rPr>
          <w:rFonts w:hint="eastAsia"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hint="eastAsia" w:ascii="仿宋" w:hAnsi="仿宋" w:eastAsia="仿宋"/>
          <w:kern w:val="0"/>
          <w:sz w:val="24"/>
        </w:rPr>
        <w:t>3</w:t>
      </w:r>
      <w:r>
        <w:rPr>
          <w:rFonts w:ascii="仿宋" w:hAnsi="仿宋" w:eastAsia="仿宋"/>
          <w:kern w:val="0"/>
          <w:sz w:val="24"/>
        </w:rPr>
        <w:t>0</w:t>
      </w:r>
    </w:p>
    <w:p w14:paraId="048D4554">
      <w:pPr>
        <w:spacing w:line="360" w:lineRule="auto"/>
        <w:ind w:firstLine="482" w:firstLineChars="200"/>
        <w:rPr>
          <w:rFonts w:hint="eastAsia"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ascii="仿宋" w:hAnsi="仿宋" w:eastAsia="仿宋"/>
          <w:kern w:val="0"/>
          <w:sz w:val="24"/>
        </w:rPr>
        <w:t xml:space="preserve"> </w:t>
      </w:r>
      <w:r>
        <w:rPr>
          <w:rFonts w:hint="eastAsia" w:ascii="仿宋" w:hAnsi="仿宋" w:eastAsia="仿宋"/>
          <w:kern w:val="0"/>
          <w:sz w:val="24"/>
        </w:rPr>
        <w:t>全校各专业</w:t>
      </w:r>
      <w:r>
        <w:rPr>
          <w:rFonts w:ascii="仿宋" w:hAnsi="仿宋" w:eastAsia="仿宋"/>
          <w:kern w:val="0"/>
          <w:sz w:val="24"/>
        </w:rPr>
        <w:t xml:space="preserve">                        </w:t>
      </w:r>
    </w:p>
    <w:p w14:paraId="3AA95513">
      <w:pPr>
        <w:spacing w:line="360" w:lineRule="auto"/>
        <w:ind w:firstLine="482" w:firstLineChars="200"/>
        <w:rPr>
          <w:rFonts w:hint="eastAsia" w:ascii="仿宋" w:hAnsi="仿宋" w:eastAsia="仿宋"/>
          <w:kern w:val="0"/>
          <w:sz w:val="24"/>
        </w:rPr>
      </w:pPr>
      <w:r>
        <w:rPr>
          <w:rFonts w:hint="eastAsia" w:ascii="仿宋" w:hAnsi="仿宋" w:eastAsia="仿宋"/>
          <w:b/>
          <w:bCs/>
          <w:kern w:val="0"/>
          <w:sz w:val="24"/>
        </w:rPr>
        <w:t>建议</w:t>
      </w:r>
      <w:r>
        <w:rPr>
          <w:rFonts w:ascii="仿宋" w:hAnsi="仿宋" w:eastAsia="仿宋"/>
          <w:b/>
          <w:bCs/>
          <w:kern w:val="0"/>
          <w:sz w:val="24"/>
        </w:rPr>
        <w:t>教材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0D317E2A">
      <w:pPr>
        <w:spacing w:line="360" w:lineRule="auto"/>
        <w:ind w:firstLine="482" w:firstLineChars="200"/>
        <w:rPr>
          <w:rFonts w:hint="eastAsia"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3EC1D6F1">
      <w:pPr>
        <w:autoSpaceDE w:val="0"/>
        <w:autoSpaceDN w:val="0"/>
        <w:adjustRightInd w:val="0"/>
        <w:spacing w:line="420" w:lineRule="exact"/>
        <w:ind w:firstLine="482" w:firstLineChars="200"/>
        <w:jc w:val="left"/>
        <w:rPr>
          <w:rFonts w:hint="eastAsia" w:ascii="仿宋" w:hAnsi="仿宋" w:eastAsia="仿宋"/>
          <w:sz w:val="24"/>
        </w:rPr>
      </w:pPr>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其教学安排在第二学年第二、四学期进行。课程主要内容包括篮球、足球、排球、羽毛球、乒乓球、网球、武术、手球、健美（男）、健美操（女）、艺术体操、跆拳道、散</w:t>
      </w:r>
      <w:r>
        <w:rPr>
          <w:rFonts w:ascii="仿宋" w:hAnsi="仿宋" w:eastAsia="仿宋"/>
          <w:sz w:val="24"/>
        </w:rPr>
        <w:t>打</w:t>
      </w:r>
      <w:r>
        <w:rPr>
          <w:rFonts w:hint="eastAsia" w:ascii="仿宋" w:hAnsi="仿宋" w:eastAsia="仿宋"/>
          <w:sz w:val="24"/>
        </w:rPr>
        <w:t>、瑜伽、体育舞蹈和体育保健等项目。</w:t>
      </w:r>
    </w:p>
    <w:p w14:paraId="2D5FB28B">
      <w:pPr>
        <w:spacing w:line="420" w:lineRule="exact"/>
        <w:ind w:firstLine="480" w:firstLineChars="200"/>
        <w:jc w:val="left"/>
        <w:rPr>
          <w:rFonts w:hint="eastAsia" w:ascii="仿宋" w:hAnsi="仿宋" w:eastAsia="仿宋"/>
          <w:sz w:val="24"/>
        </w:rPr>
      </w:pPr>
      <w:r>
        <w:rPr>
          <w:rFonts w:hint="eastAsia" w:ascii="仿宋" w:hAnsi="仿宋" w:eastAsia="仿宋"/>
          <w:sz w:val="24"/>
        </w:rPr>
        <w:t>通过本课程的学习，使学生较全面、系统地掌握所学项目的基本理论知识，正确、熟练地掌握所学</w:t>
      </w:r>
      <w:r>
        <w:rPr>
          <w:rFonts w:ascii="仿宋" w:hAnsi="仿宋" w:eastAsia="仿宋"/>
          <w:sz w:val="24"/>
        </w:rPr>
        <w:t>项目</w:t>
      </w:r>
      <w:r>
        <w:rPr>
          <w:rFonts w:hint="eastAsia" w:ascii="仿宋" w:hAnsi="仿宋" w:eastAsia="仿宋"/>
          <w:sz w:val="24"/>
        </w:rPr>
        <w:t>基本技术和战术，发展专项身体素质，并能在比赛或练习中灵活运用，从而提高学生的身体素质和促进学生身心健康发展。通过融入社会主义核心价值观、做人做事的道理和体育精神等课程思政元素，培养学生的爱国情怀、良好的体育道德风尚、团队精神、体育文化素养和顽强的意志品质。基本形成终身体育意识和自觉锻炼习惯。</w:t>
      </w:r>
    </w:p>
    <w:p w14:paraId="4B5153EA">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二</w:t>
      </w:r>
      <w:r>
        <w:rPr>
          <w:rFonts w:ascii="仿宋" w:hAnsi="仿宋" w:eastAsia="仿宋"/>
          <w:b/>
          <w:sz w:val="28"/>
          <w:szCs w:val="28"/>
        </w:rPr>
        <w:t>、课程目标</w:t>
      </w:r>
      <w:r>
        <w:rPr>
          <w:rFonts w:hint="eastAsia" w:ascii="仿宋" w:hAnsi="仿宋" w:eastAsia="仿宋"/>
          <w:b/>
          <w:sz w:val="28"/>
          <w:szCs w:val="28"/>
        </w:rPr>
        <w:t>与毕业要求指标点对应关系</w:t>
      </w:r>
    </w:p>
    <w:p w14:paraId="0A0D148C">
      <w:pPr>
        <w:spacing w:line="360" w:lineRule="auto"/>
        <w:ind w:firstLine="480" w:firstLineChars="200"/>
        <w:rPr>
          <w:rFonts w:hint="eastAsia" w:ascii="仿宋" w:hAnsi="仿宋" w:eastAsia="仿宋"/>
          <w:sz w:val="24"/>
        </w:rPr>
      </w:pPr>
      <w:r>
        <w:rPr>
          <w:rFonts w:hint="eastAsia" w:ascii="仿宋" w:hAnsi="仿宋" w:eastAsia="仿宋"/>
          <w:sz w:val="24"/>
        </w:rPr>
        <w:t xml:space="preserve">目标1：全面发展体能，提高运动能力，掌握体育基本理论知识和基本技术，具有一定的体育文化素养和体育欣赏能力。树立“健康第一”思想和正确的体育道德观，培养勇于拼搏、团结进取、战胜自我的优良品质。 </w:t>
      </w:r>
    </w:p>
    <w:p w14:paraId="32D9FED9">
      <w:pPr>
        <w:spacing w:line="360" w:lineRule="auto"/>
        <w:ind w:firstLine="480" w:firstLineChars="200"/>
        <w:rPr>
          <w:rFonts w:hint="eastAsia" w:ascii="仿宋" w:hAnsi="仿宋" w:eastAsia="仿宋"/>
          <w:sz w:val="24"/>
        </w:rPr>
      </w:pPr>
      <w:r>
        <w:rPr>
          <w:rFonts w:hint="eastAsia" w:ascii="仿宋" w:hAnsi="仿宋" w:eastAsia="仿宋"/>
          <w:sz w:val="24"/>
        </w:rPr>
        <w:t>目标</w:t>
      </w:r>
      <w:r>
        <w:rPr>
          <w:rFonts w:ascii="仿宋" w:hAnsi="仿宋" w:eastAsia="仿宋"/>
          <w:sz w:val="24"/>
        </w:rPr>
        <w:t>2</w:t>
      </w:r>
      <w:r>
        <w:rPr>
          <w:rFonts w:hint="eastAsia" w:ascii="仿宋" w:hAnsi="仿宋" w:eastAsia="仿宋"/>
          <w:sz w:val="24"/>
        </w:rPr>
        <w:t>：积极参与各种体育运动，掌握1-2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7012A950">
      <w:pPr>
        <w:spacing w:line="360" w:lineRule="auto"/>
        <w:ind w:firstLine="480" w:firstLineChars="200"/>
        <w:rPr>
          <w:rFonts w:hint="eastAsia"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13"/>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46421BFF">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16F66424">
            <w:pPr>
              <w:widowControl/>
              <w:jc w:val="center"/>
              <w:rPr>
                <w:rFonts w:hint="eastAsia" w:ascii="仿宋" w:hAnsi="仿宋" w:eastAsia="仿宋"/>
                <w:kern w:val="0"/>
                <w:szCs w:val="21"/>
              </w:rPr>
            </w:pPr>
            <w:r>
              <w:rPr>
                <w:rFonts w:ascii="仿宋" w:hAnsi="仿宋" w:eastAsia="仿宋"/>
                <w:kern w:val="0"/>
                <w:szCs w:val="21"/>
              </w:rPr>
              <w:t>毕业要求</w:t>
            </w:r>
          </w:p>
          <w:p w14:paraId="056C7925">
            <w:pPr>
              <w:widowControl/>
              <w:jc w:val="center"/>
              <w:rPr>
                <w:rFonts w:hint="eastAsia" w:ascii="仿宋" w:hAnsi="仿宋" w:eastAsia="仿宋"/>
                <w:kern w:val="0"/>
                <w:szCs w:val="21"/>
              </w:rPr>
            </w:pPr>
            <w:r>
              <w:rPr>
                <w:rFonts w:ascii="仿宋" w:hAnsi="仿宋" w:eastAsia="仿宋"/>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2D703F88">
            <w:pPr>
              <w:widowControl/>
              <w:jc w:val="center"/>
              <w:rPr>
                <w:rFonts w:hint="eastAsia" w:ascii="仿宋" w:hAnsi="仿宋" w:eastAsia="仿宋"/>
                <w:kern w:val="0"/>
                <w:szCs w:val="21"/>
              </w:rPr>
            </w:pPr>
            <w:r>
              <w:rPr>
                <w:rFonts w:ascii="仿宋" w:hAnsi="仿宋" w:eastAsia="仿宋"/>
                <w:kern w:val="0"/>
                <w:szCs w:val="21"/>
              </w:rPr>
              <w:t>课程目标</w:t>
            </w:r>
          </w:p>
        </w:tc>
      </w:tr>
      <w:tr w14:paraId="21F07E3C">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138EC70">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2FD3669F">
            <w:pPr>
              <w:widowControl/>
              <w:jc w:val="center"/>
              <w:rPr>
                <w:rFonts w:hint="eastAsia" w:ascii="仿宋" w:hAnsi="仿宋" w:eastAsia="仿宋"/>
                <w:kern w:val="0"/>
                <w:szCs w:val="21"/>
              </w:rPr>
            </w:pPr>
            <w:r>
              <w:rPr>
                <w:rFonts w:ascii="仿宋" w:hAnsi="仿宋" w:eastAsia="仿宋"/>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5C14A4D2">
            <w:pPr>
              <w:widowControl/>
              <w:jc w:val="center"/>
              <w:rPr>
                <w:rFonts w:hint="eastAsia" w:ascii="仿宋" w:hAnsi="仿宋" w:eastAsia="仿宋"/>
                <w:kern w:val="0"/>
                <w:szCs w:val="21"/>
              </w:rPr>
            </w:pPr>
            <w:r>
              <w:rPr>
                <w:rFonts w:ascii="仿宋" w:hAnsi="仿宋" w:eastAsia="仿宋"/>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1F03FBEF">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6E4CC06">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4273F7F8">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5FCAD3F">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98F4704">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08A44B7C">
            <w:pPr>
              <w:widowControl/>
              <w:jc w:val="center"/>
              <w:rPr>
                <w:rFonts w:hint="eastAsia" w:ascii="仿宋" w:hAnsi="仿宋" w:eastAsia="仿宋"/>
                <w:kern w:val="0"/>
                <w:szCs w:val="21"/>
              </w:rPr>
            </w:pPr>
          </w:p>
        </w:tc>
      </w:tr>
      <w:tr w14:paraId="4F32B021">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22278164">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510" w:type="pct"/>
            <w:tcBorders>
              <w:top w:val="nil"/>
              <w:left w:val="nil"/>
              <w:bottom w:val="single" w:color="auto" w:sz="4" w:space="0"/>
              <w:right w:val="single" w:color="auto" w:sz="4" w:space="0"/>
            </w:tcBorders>
            <w:noWrap/>
            <w:vAlign w:val="center"/>
          </w:tcPr>
          <w:p w14:paraId="609B98A4">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4C3BB813">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2A118B58">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E1B6BA8">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CFE112D">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39E5E302">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4342A0B6">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6E1C4FEA">
            <w:pPr>
              <w:widowControl/>
              <w:jc w:val="center"/>
              <w:rPr>
                <w:rFonts w:hint="eastAsia" w:ascii="仿宋" w:hAnsi="仿宋" w:eastAsia="仿宋"/>
                <w:kern w:val="0"/>
                <w:szCs w:val="21"/>
              </w:rPr>
            </w:pPr>
          </w:p>
        </w:tc>
      </w:tr>
      <w:tr w14:paraId="1032AB39">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669BC005">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510" w:type="pct"/>
            <w:tcBorders>
              <w:top w:val="nil"/>
              <w:left w:val="nil"/>
              <w:bottom w:val="single" w:color="auto" w:sz="4" w:space="0"/>
              <w:right w:val="single" w:color="auto" w:sz="4" w:space="0"/>
            </w:tcBorders>
            <w:noWrap/>
            <w:vAlign w:val="center"/>
          </w:tcPr>
          <w:p w14:paraId="00227E73">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4659B434">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7A631218">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45BA1DD3">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10171247">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6024F37A">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49D6651">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256AE07C">
            <w:pPr>
              <w:widowControl/>
              <w:jc w:val="center"/>
              <w:rPr>
                <w:rFonts w:hint="eastAsia" w:ascii="仿宋" w:hAnsi="仿宋" w:eastAsia="仿宋"/>
                <w:kern w:val="0"/>
                <w:szCs w:val="21"/>
              </w:rPr>
            </w:pPr>
          </w:p>
        </w:tc>
      </w:tr>
    </w:tbl>
    <w:p w14:paraId="02DF69B3">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三</w:t>
      </w:r>
      <w:r>
        <w:rPr>
          <w:rFonts w:ascii="仿宋" w:hAnsi="仿宋" w:eastAsia="仿宋"/>
          <w:b/>
          <w:sz w:val="28"/>
          <w:szCs w:val="28"/>
        </w:rPr>
        <w:t>、课程内容及要求</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12E7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4FE6B026">
            <w:pPr>
              <w:jc w:val="center"/>
              <w:rPr>
                <w:rFonts w:hint="eastAsia" w:ascii="仿宋" w:hAnsi="仿宋" w:eastAsia="仿宋"/>
                <w:b/>
                <w:bCs/>
                <w:szCs w:val="21"/>
              </w:rPr>
            </w:pPr>
            <w:r>
              <w:rPr>
                <w:rFonts w:ascii="仿宋" w:hAnsi="仿宋" w:eastAsia="仿宋"/>
                <w:b/>
                <w:bCs/>
                <w:szCs w:val="21"/>
              </w:rPr>
              <w:t>序号</w:t>
            </w:r>
          </w:p>
        </w:tc>
        <w:tc>
          <w:tcPr>
            <w:tcW w:w="1623" w:type="pct"/>
            <w:vAlign w:val="center"/>
          </w:tcPr>
          <w:p w14:paraId="60007D85">
            <w:pPr>
              <w:jc w:val="center"/>
              <w:rPr>
                <w:rFonts w:hint="eastAsia" w:ascii="仿宋" w:hAnsi="仿宋" w:eastAsia="仿宋"/>
                <w:b/>
                <w:bCs/>
                <w:szCs w:val="21"/>
              </w:rPr>
            </w:pPr>
            <w:r>
              <w:rPr>
                <w:rFonts w:ascii="仿宋" w:hAnsi="仿宋" w:eastAsia="仿宋"/>
                <w:b/>
                <w:bCs/>
                <w:szCs w:val="21"/>
              </w:rPr>
              <w:t>教学内容</w:t>
            </w:r>
          </w:p>
        </w:tc>
        <w:tc>
          <w:tcPr>
            <w:tcW w:w="541" w:type="pct"/>
            <w:vAlign w:val="center"/>
          </w:tcPr>
          <w:p w14:paraId="0DDC2E63">
            <w:pPr>
              <w:jc w:val="center"/>
              <w:rPr>
                <w:rFonts w:hint="eastAsia" w:ascii="仿宋" w:hAnsi="仿宋" w:eastAsia="仿宋"/>
                <w:b/>
                <w:bCs/>
                <w:szCs w:val="21"/>
              </w:rPr>
            </w:pPr>
            <w:r>
              <w:rPr>
                <w:rFonts w:ascii="仿宋" w:hAnsi="仿宋" w:eastAsia="仿宋"/>
                <w:b/>
                <w:bCs/>
                <w:szCs w:val="21"/>
              </w:rPr>
              <w:t>思政</w:t>
            </w:r>
          </w:p>
          <w:p w14:paraId="52EC41FD">
            <w:pPr>
              <w:jc w:val="center"/>
              <w:rPr>
                <w:rFonts w:hint="eastAsia" w:ascii="仿宋" w:hAnsi="仿宋" w:eastAsia="仿宋"/>
                <w:b/>
                <w:bCs/>
                <w:szCs w:val="21"/>
              </w:rPr>
            </w:pPr>
            <w:r>
              <w:rPr>
                <w:rFonts w:ascii="仿宋" w:hAnsi="仿宋" w:eastAsia="仿宋"/>
                <w:b/>
                <w:bCs/>
                <w:szCs w:val="21"/>
              </w:rPr>
              <w:t>元素</w:t>
            </w:r>
          </w:p>
        </w:tc>
        <w:tc>
          <w:tcPr>
            <w:tcW w:w="1160" w:type="pct"/>
            <w:vAlign w:val="center"/>
          </w:tcPr>
          <w:p w14:paraId="4CAC5F53">
            <w:pPr>
              <w:jc w:val="center"/>
              <w:rPr>
                <w:rFonts w:hint="eastAsia" w:ascii="仿宋" w:hAnsi="仿宋" w:eastAsia="仿宋"/>
                <w:b/>
                <w:bCs/>
                <w:szCs w:val="21"/>
              </w:rPr>
            </w:pPr>
            <w:r>
              <w:rPr>
                <w:rFonts w:ascii="仿宋" w:hAnsi="仿宋" w:eastAsia="仿宋"/>
                <w:b/>
                <w:bCs/>
                <w:szCs w:val="21"/>
              </w:rPr>
              <w:t>预期学习成果</w:t>
            </w:r>
          </w:p>
        </w:tc>
        <w:tc>
          <w:tcPr>
            <w:tcW w:w="386" w:type="pct"/>
            <w:vAlign w:val="center"/>
          </w:tcPr>
          <w:p w14:paraId="0BD1D9E2">
            <w:pPr>
              <w:jc w:val="center"/>
              <w:rPr>
                <w:rFonts w:hint="eastAsia" w:ascii="仿宋" w:hAnsi="仿宋" w:eastAsia="仿宋"/>
                <w:b/>
                <w:bCs/>
                <w:szCs w:val="21"/>
              </w:rPr>
            </w:pPr>
            <w:r>
              <w:rPr>
                <w:rFonts w:ascii="仿宋" w:hAnsi="仿宋" w:eastAsia="仿宋"/>
                <w:b/>
                <w:bCs/>
                <w:szCs w:val="21"/>
              </w:rPr>
              <w:t>教学学时</w:t>
            </w:r>
          </w:p>
        </w:tc>
        <w:tc>
          <w:tcPr>
            <w:tcW w:w="464" w:type="pct"/>
            <w:vAlign w:val="center"/>
          </w:tcPr>
          <w:p w14:paraId="0CA067B4">
            <w:pPr>
              <w:jc w:val="center"/>
              <w:rPr>
                <w:rFonts w:hint="eastAsia" w:ascii="仿宋" w:hAnsi="仿宋" w:eastAsia="仿宋"/>
                <w:b/>
                <w:bCs/>
                <w:szCs w:val="21"/>
              </w:rPr>
            </w:pPr>
            <w:r>
              <w:rPr>
                <w:rFonts w:ascii="仿宋" w:hAnsi="仿宋" w:eastAsia="仿宋"/>
                <w:b/>
                <w:bCs/>
                <w:szCs w:val="21"/>
              </w:rPr>
              <w:t>教学</w:t>
            </w:r>
          </w:p>
          <w:p w14:paraId="00B72B80">
            <w:pPr>
              <w:jc w:val="center"/>
              <w:rPr>
                <w:rFonts w:hint="eastAsia" w:ascii="仿宋" w:hAnsi="仿宋" w:eastAsia="仿宋"/>
                <w:b/>
                <w:bCs/>
                <w:szCs w:val="21"/>
              </w:rPr>
            </w:pPr>
            <w:r>
              <w:rPr>
                <w:rFonts w:ascii="仿宋" w:hAnsi="仿宋" w:eastAsia="仿宋"/>
                <w:b/>
                <w:bCs/>
                <w:szCs w:val="21"/>
              </w:rPr>
              <w:t>方式</w:t>
            </w:r>
          </w:p>
        </w:tc>
        <w:tc>
          <w:tcPr>
            <w:tcW w:w="520" w:type="pct"/>
            <w:vAlign w:val="center"/>
          </w:tcPr>
          <w:p w14:paraId="0E0C8F71">
            <w:pPr>
              <w:jc w:val="center"/>
              <w:rPr>
                <w:rFonts w:hint="eastAsia" w:ascii="仿宋" w:hAnsi="仿宋" w:eastAsia="仿宋"/>
                <w:b/>
                <w:bCs/>
                <w:szCs w:val="21"/>
              </w:rPr>
            </w:pPr>
            <w:r>
              <w:rPr>
                <w:rFonts w:ascii="仿宋" w:hAnsi="仿宋" w:eastAsia="仿宋"/>
                <w:b/>
                <w:bCs/>
                <w:szCs w:val="21"/>
              </w:rPr>
              <w:t>支撑课程目标</w:t>
            </w:r>
          </w:p>
        </w:tc>
      </w:tr>
      <w:tr w14:paraId="7338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587A4390">
            <w:pPr>
              <w:jc w:val="center"/>
              <w:rPr>
                <w:rFonts w:hint="eastAsia" w:ascii="仿宋" w:hAnsi="仿宋" w:eastAsia="仿宋"/>
                <w:szCs w:val="21"/>
              </w:rPr>
            </w:pPr>
            <w:r>
              <w:rPr>
                <w:rFonts w:ascii="仿宋" w:hAnsi="仿宋" w:eastAsia="仿宋"/>
                <w:szCs w:val="21"/>
              </w:rPr>
              <w:t>1</w:t>
            </w:r>
          </w:p>
        </w:tc>
        <w:tc>
          <w:tcPr>
            <w:tcW w:w="1623" w:type="pct"/>
            <w:vAlign w:val="center"/>
          </w:tcPr>
          <w:p w14:paraId="657EC3C3">
            <w:pPr>
              <w:jc w:val="left"/>
              <w:rPr>
                <w:rFonts w:hint="eastAsia" w:ascii="仿宋" w:hAnsi="仿宋" w:eastAsia="仿宋"/>
                <w:b/>
                <w:szCs w:val="21"/>
              </w:rPr>
            </w:pPr>
            <w:r>
              <w:rPr>
                <w:rFonts w:hint="eastAsia" w:ascii="仿宋" w:hAnsi="仿宋" w:eastAsia="仿宋"/>
                <w:b/>
                <w:szCs w:val="21"/>
              </w:rPr>
              <w:t>㈠体育理论部分:</w:t>
            </w:r>
          </w:p>
          <w:p w14:paraId="4B290D45">
            <w:pPr>
              <w:jc w:val="left"/>
              <w:rPr>
                <w:rFonts w:hint="eastAsia" w:ascii="仿宋" w:hAnsi="仿宋" w:eastAsia="仿宋"/>
                <w:bCs/>
              </w:rPr>
            </w:pPr>
            <w:r>
              <w:rPr>
                <w:rFonts w:hint="eastAsia" w:ascii="仿宋" w:hAnsi="仿宋" w:eastAsia="仿宋"/>
                <w:bCs/>
              </w:rPr>
              <w:t>1.学生思想政治教育：我校体育运动发展概况、国家领导人与体育、奥运明星的励志故事、社会主义核心价值观与体育等；</w:t>
            </w:r>
          </w:p>
          <w:p w14:paraId="00EEEC75">
            <w:pPr>
              <w:jc w:val="left"/>
              <w:rPr>
                <w:rFonts w:hint="eastAsia" w:ascii="仿宋" w:hAnsi="仿宋" w:eastAsia="仿宋"/>
              </w:rPr>
            </w:pPr>
            <w:r>
              <w:rPr>
                <w:rFonts w:hint="eastAsia" w:ascii="仿宋" w:hAnsi="仿宋" w:eastAsia="仿宋"/>
                <w:bCs/>
              </w:rPr>
              <w:t>2</w:t>
            </w:r>
            <w:r>
              <w:rPr>
                <w:rFonts w:ascii="仿宋" w:hAnsi="仿宋" w:eastAsia="仿宋"/>
                <w:bCs/>
              </w:rPr>
              <w:t>.</w:t>
            </w:r>
            <w:r>
              <w:rPr>
                <w:rFonts w:hint="eastAsia" w:ascii="仿宋" w:hAnsi="仿宋" w:eastAsia="仿宋"/>
              </w:rPr>
              <w:t>体育安全教育：体育运动伤害事故的安全教育及预防与处理措施、常见运动损伤的预防与处理等；</w:t>
            </w:r>
          </w:p>
          <w:p w14:paraId="68F1F68E">
            <w:pPr>
              <w:jc w:val="left"/>
              <w:rPr>
                <w:rFonts w:hint="eastAsia" w:ascii="仿宋" w:hAnsi="仿宋" w:eastAsia="仿宋"/>
                <w:szCs w:val="21"/>
              </w:rPr>
            </w:pPr>
            <w:r>
              <w:rPr>
                <w:rFonts w:hint="eastAsia" w:ascii="仿宋" w:hAnsi="仿宋" w:eastAsia="仿宋"/>
              </w:rPr>
              <w:t>3.体育基本理论：各运动项目的基本技战术知识、组织与竞赛、基本规则和裁判法，运动健身的基本原理与锻炼方法，体育锻炼的自我监督与评价，体育养生与保健知识等；</w:t>
            </w:r>
          </w:p>
          <w:p w14:paraId="258C8C51">
            <w:pPr>
              <w:ind w:right="-170" w:rightChars="-81"/>
              <w:jc w:val="left"/>
              <w:rPr>
                <w:rFonts w:hint="eastAsia" w:ascii="仿宋" w:hAnsi="仿宋" w:eastAsia="仿宋"/>
                <w:szCs w:val="21"/>
              </w:rPr>
            </w:pPr>
            <w:r>
              <w:rPr>
                <w:rFonts w:hint="eastAsia" w:ascii="仿宋" w:hAnsi="仿宋" w:eastAsia="仿宋"/>
                <w:b/>
                <w:szCs w:val="21"/>
              </w:rPr>
              <w:t>重点：</w:t>
            </w:r>
            <w:r>
              <w:rPr>
                <w:rFonts w:hint="eastAsia" w:ascii="仿宋" w:hAnsi="仿宋" w:eastAsia="仿宋"/>
                <w:szCs w:val="21"/>
              </w:rPr>
              <w:t>体育安全教育、掌握所学项目的基本知识；</w:t>
            </w:r>
          </w:p>
          <w:p w14:paraId="1BEFBF7E">
            <w:pPr>
              <w:jc w:val="left"/>
              <w:rPr>
                <w:rFonts w:hint="eastAsia" w:ascii="仿宋" w:hAnsi="仿宋" w:eastAsia="仿宋"/>
                <w:szCs w:val="21"/>
              </w:rPr>
            </w:pPr>
            <w:r>
              <w:rPr>
                <w:rFonts w:hint="eastAsia" w:ascii="仿宋" w:hAnsi="仿宋" w:eastAsia="仿宋"/>
                <w:b/>
                <w:szCs w:val="21"/>
              </w:rPr>
              <w:t>难点：</w:t>
            </w:r>
            <w:r>
              <w:rPr>
                <w:rFonts w:hint="eastAsia" w:ascii="仿宋" w:hAnsi="仿宋" w:eastAsia="仿宋"/>
                <w:szCs w:val="21"/>
              </w:rPr>
              <w:t>培养学生自</w:t>
            </w:r>
            <w:r>
              <w:rPr>
                <w:rFonts w:ascii="仿宋" w:hAnsi="仿宋" w:eastAsia="仿宋"/>
                <w:szCs w:val="21"/>
              </w:rPr>
              <w:t>主锻炼能力和</w:t>
            </w:r>
            <w:r>
              <w:rPr>
                <w:rFonts w:hint="eastAsia" w:ascii="仿宋" w:hAnsi="仿宋" w:eastAsia="仿宋"/>
                <w:szCs w:val="21"/>
              </w:rPr>
              <w:t>自觉锻炼意识。</w:t>
            </w:r>
          </w:p>
        </w:tc>
        <w:tc>
          <w:tcPr>
            <w:tcW w:w="541" w:type="pct"/>
            <w:vAlign w:val="center"/>
          </w:tcPr>
          <w:p w14:paraId="579203DD">
            <w:pPr>
              <w:jc w:val="center"/>
              <w:rPr>
                <w:rFonts w:hint="eastAsia" w:ascii="仿宋" w:hAnsi="仿宋" w:eastAsia="仿宋"/>
                <w:kern w:val="0"/>
                <w:szCs w:val="21"/>
              </w:rPr>
            </w:pPr>
            <w:r>
              <w:rPr>
                <w:rFonts w:hint="eastAsia" w:ascii="仿宋" w:hAnsi="仿宋" w:eastAsia="仿宋"/>
                <w:kern w:val="0"/>
                <w:szCs w:val="21"/>
              </w:rPr>
              <w:t>理想信念、国家认同和社会主义核心价值观等教育；安全</w:t>
            </w:r>
            <w:r>
              <w:rPr>
                <w:rFonts w:ascii="仿宋" w:hAnsi="仿宋" w:eastAsia="仿宋"/>
                <w:kern w:val="0"/>
                <w:szCs w:val="21"/>
              </w:rPr>
              <w:t>意识、</w:t>
            </w:r>
            <w:r>
              <w:rPr>
                <w:rFonts w:hint="eastAsia" w:ascii="仿宋" w:hAnsi="仿宋" w:eastAsia="仿宋"/>
                <w:kern w:val="0"/>
                <w:szCs w:val="21"/>
              </w:rPr>
              <w:t>健康意识教育</w:t>
            </w:r>
            <w:r>
              <w:rPr>
                <w:rFonts w:ascii="仿宋" w:hAnsi="仿宋" w:eastAsia="仿宋"/>
                <w:kern w:val="0"/>
                <w:szCs w:val="21"/>
              </w:rPr>
              <w:t>；</w:t>
            </w:r>
            <w:r>
              <w:rPr>
                <w:rFonts w:hint="eastAsia" w:ascii="仿宋" w:hAnsi="仿宋" w:eastAsia="仿宋"/>
                <w:kern w:val="0"/>
                <w:szCs w:val="21"/>
              </w:rPr>
              <w:t xml:space="preserve"> </w:t>
            </w:r>
          </w:p>
        </w:tc>
        <w:tc>
          <w:tcPr>
            <w:tcW w:w="1160" w:type="pct"/>
            <w:vAlign w:val="center"/>
          </w:tcPr>
          <w:p w14:paraId="17AB0CE1">
            <w:pPr>
              <w:autoSpaceDE w:val="0"/>
              <w:autoSpaceDN w:val="0"/>
              <w:adjustRightInd w:val="0"/>
              <w:jc w:val="left"/>
              <w:rPr>
                <w:rFonts w:hint="eastAsia" w:ascii="仿宋" w:hAnsi="仿宋" w:eastAsia="仿宋"/>
                <w:kern w:val="0"/>
                <w:szCs w:val="21"/>
              </w:rPr>
            </w:pPr>
            <w:r>
              <w:rPr>
                <w:rFonts w:hint="eastAsia" w:ascii="仿宋" w:hAnsi="仿宋" w:eastAsia="仿宋"/>
                <w:kern w:val="0"/>
                <w:szCs w:val="21"/>
              </w:rPr>
              <w:t>通过教学，提高对体育的正确认识，形成正确积极的体育态度，学会运用科学理论指导健身锻炼实际，从而自觉遵循体育运动的规律，实现体育锻炼的目的。</w:t>
            </w:r>
          </w:p>
        </w:tc>
        <w:tc>
          <w:tcPr>
            <w:tcW w:w="386" w:type="pct"/>
            <w:vAlign w:val="center"/>
          </w:tcPr>
          <w:p w14:paraId="1819D42E">
            <w:pPr>
              <w:jc w:val="center"/>
              <w:rPr>
                <w:rFonts w:hint="eastAsia" w:ascii="仿宋" w:hAnsi="仿宋" w:eastAsia="仿宋"/>
                <w:szCs w:val="21"/>
              </w:rPr>
            </w:pPr>
            <w:r>
              <w:rPr>
                <w:rFonts w:ascii="仿宋" w:hAnsi="仿宋" w:eastAsia="仿宋"/>
                <w:szCs w:val="21"/>
              </w:rPr>
              <w:t>4</w:t>
            </w:r>
          </w:p>
        </w:tc>
        <w:tc>
          <w:tcPr>
            <w:tcW w:w="464" w:type="pct"/>
            <w:vAlign w:val="center"/>
          </w:tcPr>
          <w:p w14:paraId="31EDA448">
            <w:pPr>
              <w:jc w:val="left"/>
              <w:rPr>
                <w:rFonts w:hint="eastAsia" w:ascii="仿宋" w:hAnsi="仿宋" w:eastAsia="仿宋"/>
                <w:szCs w:val="21"/>
              </w:rPr>
            </w:pPr>
            <w:r>
              <w:rPr>
                <w:rFonts w:hint="eastAsia" w:ascii="仿宋" w:hAnsi="仿宋" w:eastAsia="仿宋"/>
                <w:szCs w:val="21"/>
              </w:rPr>
              <w:t>讲授法</w:t>
            </w:r>
          </w:p>
        </w:tc>
        <w:tc>
          <w:tcPr>
            <w:tcW w:w="520" w:type="pct"/>
            <w:vAlign w:val="center"/>
          </w:tcPr>
          <w:p w14:paraId="04C42125">
            <w:pPr>
              <w:jc w:val="left"/>
              <w:rPr>
                <w:rFonts w:hint="eastAsia" w:ascii="仿宋" w:hAnsi="仿宋" w:eastAsia="仿宋"/>
                <w:szCs w:val="21"/>
              </w:rPr>
            </w:pPr>
            <w:r>
              <w:rPr>
                <w:rFonts w:hint="eastAsia" w:ascii="仿宋" w:hAnsi="仿宋" w:eastAsia="仿宋"/>
                <w:szCs w:val="21"/>
              </w:rPr>
              <w:t>目标1目标2</w:t>
            </w:r>
          </w:p>
        </w:tc>
      </w:tr>
      <w:tr w14:paraId="4867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51989E70">
            <w:pPr>
              <w:jc w:val="center"/>
              <w:rPr>
                <w:rFonts w:hint="eastAsia" w:ascii="仿宋" w:hAnsi="仿宋" w:eastAsia="仿宋"/>
                <w:szCs w:val="21"/>
              </w:rPr>
            </w:pPr>
            <w:r>
              <w:rPr>
                <w:rFonts w:ascii="仿宋" w:hAnsi="仿宋" w:eastAsia="仿宋"/>
                <w:szCs w:val="21"/>
              </w:rPr>
              <w:t>2</w:t>
            </w:r>
          </w:p>
        </w:tc>
        <w:tc>
          <w:tcPr>
            <w:tcW w:w="1623" w:type="pct"/>
            <w:vAlign w:val="center"/>
          </w:tcPr>
          <w:p w14:paraId="6702FDBC">
            <w:pPr>
              <w:jc w:val="left"/>
              <w:rPr>
                <w:rFonts w:hint="eastAsia" w:ascii="仿宋" w:hAnsi="仿宋" w:eastAsia="仿宋"/>
                <w:b/>
                <w:szCs w:val="21"/>
              </w:rPr>
            </w:pPr>
            <w:r>
              <w:rPr>
                <w:rFonts w:hint="eastAsia" w:ascii="仿宋" w:hAnsi="仿宋" w:eastAsia="仿宋"/>
                <w:b/>
                <w:szCs w:val="21"/>
              </w:rPr>
              <w:t>㈡实践部分：</w:t>
            </w:r>
          </w:p>
          <w:p w14:paraId="78CD0756">
            <w:pPr>
              <w:rPr>
                <w:rFonts w:hint="eastAsia" w:ascii="仿宋" w:hAnsi="仿宋" w:eastAsia="仿宋"/>
                <w:bCs/>
              </w:rPr>
            </w:pPr>
            <w:r>
              <w:rPr>
                <w:rFonts w:hint="eastAsia" w:ascii="仿宋" w:hAnsi="仿宋" w:eastAsia="仿宋"/>
                <w:bCs/>
              </w:rPr>
              <w:t>以各运动项目和国家学生体质健康标准中的身体素质项目为主，主要包括篮球、足球、排球、手球、乒乓球、网球、羽毛球、台球、健美（男）、体育舞蹈、武术、散打、跆拳道、艺术体操、健美操（女）、排舞（女）、瑜伽、体育舞蹈和体育保健等项目。</w:t>
            </w:r>
          </w:p>
          <w:p w14:paraId="6C9F599D">
            <w:pPr>
              <w:rPr>
                <w:rFonts w:hint="eastAsia" w:ascii="仿宋" w:hAnsi="仿宋" w:eastAsia="仿宋"/>
                <w:bCs/>
              </w:rPr>
            </w:pPr>
            <w:r>
              <w:rPr>
                <w:rFonts w:hint="eastAsia" w:ascii="仿宋" w:hAnsi="仿宋" w:eastAsia="仿宋"/>
                <w:b/>
                <w:bCs/>
              </w:rPr>
              <w:t>重点：</w:t>
            </w:r>
            <w:r>
              <w:rPr>
                <w:rFonts w:hint="eastAsia" w:ascii="仿宋" w:hAnsi="仿宋" w:eastAsia="仿宋"/>
                <w:bCs/>
              </w:rPr>
              <w:t>掌握所学项目基本技能、规则及锻炼方法。</w:t>
            </w:r>
          </w:p>
          <w:p w14:paraId="383DC11D">
            <w:pPr>
              <w:rPr>
                <w:rFonts w:hint="eastAsia" w:ascii="仿宋" w:hAnsi="仿宋" w:eastAsia="仿宋"/>
                <w:bCs/>
              </w:rPr>
            </w:pPr>
            <w:r>
              <w:rPr>
                <w:rFonts w:hint="eastAsia" w:ascii="仿宋" w:hAnsi="仿宋" w:eastAsia="仿宋"/>
                <w:b/>
                <w:bCs/>
              </w:rPr>
              <w:t>难点：</w:t>
            </w:r>
            <w:r>
              <w:rPr>
                <w:rFonts w:hint="eastAsia" w:ascii="仿宋" w:hAnsi="仿宋" w:eastAsia="仿宋"/>
                <w:bCs/>
              </w:rPr>
              <w:t>合理运用所学</w:t>
            </w:r>
            <w:r>
              <w:rPr>
                <w:rFonts w:ascii="仿宋" w:hAnsi="仿宋" w:eastAsia="仿宋"/>
                <w:bCs/>
              </w:rPr>
              <w:t>项目</w:t>
            </w:r>
            <w:r>
              <w:rPr>
                <w:rFonts w:hint="eastAsia" w:ascii="仿宋" w:hAnsi="仿宋" w:eastAsia="仿宋"/>
                <w:bCs/>
              </w:rPr>
              <w:t>技能，自</w:t>
            </w:r>
            <w:r>
              <w:rPr>
                <w:rFonts w:ascii="仿宋" w:hAnsi="仿宋" w:eastAsia="仿宋"/>
                <w:bCs/>
              </w:rPr>
              <w:t>主</w:t>
            </w:r>
            <w:r>
              <w:rPr>
                <w:rFonts w:hint="eastAsia" w:ascii="仿宋" w:hAnsi="仿宋" w:eastAsia="仿宋"/>
                <w:bCs/>
              </w:rPr>
              <w:t>和</w:t>
            </w:r>
            <w:r>
              <w:rPr>
                <w:rFonts w:ascii="仿宋" w:hAnsi="仿宋" w:eastAsia="仿宋"/>
                <w:bCs/>
              </w:rPr>
              <w:t>自觉锻炼</w:t>
            </w:r>
            <w:r>
              <w:rPr>
                <w:rFonts w:hint="eastAsia" w:ascii="仿宋" w:hAnsi="仿宋" w:eastAsia="仿宋"/>
                <w:bCs/>
              </w:rPr>
              <w:t>意识，发展体育精神。</w:t>
            </w:r>
          </w:p>
        </w:tc>
        <w:tc>
          <w:tcPr>
            <w:tcW w:w="541" w:type="pct"/>
            <w:vAlign w:val="center"/>
          </w:tcPr>
          <w:p w14:paraId="342650B9">
            <w:pPr>
              <w:widowControl/>
              <w:ind w:left="-44" w:leftChars="-21" w:right="-109" w:rightChars="-52" w:firstLine="44" w:firstLineChars="21"/>
              <w:jc w:val="left"/>
              <w:rPr>
                <w:rFonts w:hint="eastAsia"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意志品德培育；规则</w:t>
            </w:r>
            <w:r>
              <w:rPr>
                <w:rFonts w:ascii="仿宋" w:hAnsi="仿宋" w:eastAsia="仿宋"/>
                <w:kern w:val="0"/>
                <w:szCs w:val="21"/>
              </w:rPr>
              <w:t>意识和</w:t>
            </w:r>
            <w:r>
              <w:rPr>
                <w:rFonts w:hint="eastAsia" w:ascii="仿宋" w:hAnsi="仿宋" w:eastAsia="仿宋"/>
                <w:kern w:val="0"/>
                <w:szCs w:val="21"/>
              </w:rPr>
              <w:t>诚信意识教育。</w:t>
            </w:r>
          </w:p>
        </w:tc>
        <w:tc>
          <w:tcPr>
            <w:tcW w:w="1160" w:type="pct"/>
            <w:vAlign w:val="center"/>
          </w:tcPr>
          <w:p w14:paraId="3CF3A538">
            <w:pPr>
              <w:rPr>
                <w:rFonts w:hint="eastAsia" w:ascii="仿宋" w:hAnsi="仿宋" w:eastAsia="仿宋"/>
                <w:szCs w:val="21"/>
              </w:rPr>
            </w:pPr>
            <w:r>
              <w:rPr>
                <w:rFonts w:hint="eastAsia" w:ascii="仿宋" w:hAnsi="仿宋" w:eastAsia="仿宋"/>
                <w:szCs w:val="21"/>
              </w:rPr>
              <w:t>通过</w:t>
            </w:r>
            <w:r>
              <w:rPr>
                <w:rFonts w:ascii="仿宋" w:hAnsi="仿宋" w:eastAsia="仿宋"/>
                <w:szCs w:val="21"/>
              </w:rPr>
              <w:t>学习，</w:t>
            </w:r>
            <w:r>
              <w:rPr>
                <w:rFonts w:hint="eastAsia" w:ascii="仿宋" w:hAnsi="仿宋" w:eastAsia="仿宋"/>
                <w:kern w:val="0"/>
                <w:szCs w:val="21"/>
              </w:rPr>
              <w:t>使学生了解和掌握所选运动项目的基本知识、基本技术和锻炼方法；爱好并积极参与各种体育运动，发展学生速度、灵敏、耐力等身体素质，增强体质</w:t>
            </w:r>
            <w:r>
              <w:rPr>
                <w:rFonts w:hint="eastAsia" w:ascii="仿宋" w:hAnsi="仿宋" w:eastAsia="仿宋"/>
                <w:szCs w:val="21"/>
              </w:rPr>
              <w:t>；培养团结协作的集体主义精神和顽强拼搏的竞争意识；达到“国家体质健康标准”</w:t>
            </w:r>
            <w:r>
              <w:rPr>
                <w:rFonts w:hint="eastAsia" w:ascii="仿宋" w:hAnsi="仿宋" w:eastAsia="仿宋"/>
                <w:kern w:val="0"/>
                <w:szCs w:val="21"/>
              </w:rPr>
              <w:t>。</w:t>
            </w:r>
          </w:p>
        </w:tc>
        <w:tc>
          <w:tcPr>
            <w:tcW w:w="386" w:type="pct"/>
            <w:vAlign w:val="center"/>
          </w:tcPr>
          <w:p w14:paraId="6A163147">
            <w:pPr>
              <w:jc w:val="center"/>
              <w:rPr>
                <w:rFonts w:hint="eastAsia" w:ascii="仿宋" w:hAnsi="仿宋" w:eastAsia="仿宋"/>
                <w:szCs w:val="21"/>
              </w:rPr>
            </w:pPr>
            <w:r>
              <w:rPr>
                <w:rFonts w:hint="eastAsia" w:ascii="仿宋" w:hAnsi="仿宋" w:eastAsia="仿宋"/>
                <w:szCs w:val="21"/>
              </w:rPr>
              <w:t>2</w:t>
            </w:r>
            <w:r>
              <w:rPr>
                <w:rFonts w:ascii="仿宋" w:hAnsi="仿宋" w:eastAsia="仿宋"/>
                <w:szCs w:val="21"/>
              </w:rPr>
              <w:t>6</w:t>
            </w:r>
          </w:p>
        </w:tc>
        <w:tc>
          <w:tcPr>
            <w:tcW w:w="464" w:type="pct"/>
            <w:vAlign w:val="center"/>
          </w:tcPr>
          <w:p w14:paraId="706D6C1F">
            <w:pPr>
              <w:rPr>
                <w:rFonts w:hint="eastAsia"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vAlign w:val="center"/>
          </w:tcPr>
          <w:p w14:paraId="30D9E0B7">
            <w:pPr>
              <w:jc w:val="left"/>
              <w:rPr>
                <w:rFonts w:hint="eastAsia" w:ascii="仿宋" w:hAnsi="仿宋" w:eastAsia="仿宋"/>
                <w:szCs w:val="21"/>
              </w:rPr>
            </w:pPr>
            <w:r>
              <w:rPr>
                <w:rFonts w:hint="eastAsia" w:ascii="仿宋" w:hAnsi="仿宋" w:eastAsia="仿宋"/>
                <w:szCs w:val="21"/>
              </w:rPr>
              <w:t>目标1</w:t>
            </w:r>
          </w:p>
          <w:p w14:paraId="318EA546">
            <w:pPr>
              <w:jc w:val="left"/>
              <w:rPr>
                <w:rFonts w:hint="eastAsia" w:ascii="仿宋" w:hAnsi="仿宋" w:eastAsia="仿宋"/>
                <w:szCs w:val="21"/>
              </w:rPr>
            </w:pPr>
            <w:r>
              <w:rPr>
                <w:rFonts w:hint="eastAsia" w:ascii="仿宋" w:hAnsi="仿宋" w:eastAsia="仿宋"/>
                <w:szCs w:val="21"/>
              </w:rPr>
              <w:t>目标2</w:t>
            </w:r>
          </w:p>
        </w:tc>
      </w:tr>
    </w:tbl>
    <w:p w14:paraId="38F3E2CA">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四、课程实施</w:t>
      </w:r>
    </w:p>
    <w:p w14:paraId="7F50285C">
      <w:pPr>
        <w:spacing w:before="156" w:beforeLines="50" w:after="156" w:afterLines="50" w:line="360" w:lineRule="auto"/>
        <w:ind w:firstLine="482" w:firstLineChars="200"/>
        <w:jc w:val="left"/>
        <w:rPr>
          <w:rFonts w:hint="eastAsia" w:ascii="仿宋" w:hAnsi="仿宋" w:eastAsia="仿宋"/>
          <w:b/>
          <w:sz w:val="24"/>
        </w:rPr>
      </w:pPr>
      <w:r>
        <w:rPr>
          <w:rFonts w:hint="eastAsia" w:ascii="仿宋" w:hAnsi="仿宋" w:eastAsia="仿宋"/>
          <w:b/>
          <w:sz w:val="24"/>
        </w:rPr>
        <w:t>（一）教学方法与手段</w:t>
      </w:r>
    </w:p>
    <w:p w14:paraId="41294E7A">
      <w:pPr>
        <w:spacing w:before="156" w:beforeLines="50" w:after="156" w:afterLines="50" w:line="360" w:lineRule="auto"/>
        <w:ind w:firstLine="480" w:firstLineChars="200"/>
        <w:jc w:val="left"/>
        <w:rPr>
          <w:rFonts w:hint="eastAsia" w:ascii="仿宋" w:hAnsi="仿宋" w:eastAsia="仿宋"/>
          <w:sz w:val="24"/>
        </w:rPr>
      </w:pPr>
      <w:r>
        <w:rPr>
          <w:rFonts w:ascii="仿宋" w:hAnsi="仿宋" w:eastAsia="仿宋"/>
          <w:sz w:val="24"/>
        </w:rPr>
        <w:t>1</w:t>
      </w:r>
      <w:r>
        <w:rPr>
          <w:rFonts w:hint="eastAsia" w:ascii="仿宋" w:hAnsi="仿宋" w:eastAsia="仿宋"/>
          <w:sz w:val="24"/>
        </w:rPr>
        <w:t>．本课程以实践教学为主，教学方法与手段的运用要考虑到学生的实际情况，从实际出发，因材施教，注意区别对待，激发学生学习兴趣，并在教学中重视学生实践能力的培养。</w:t>
      </w:r>
      <w:r>
        <w:rPr>
          <w:rFonts w:ascii="仿宋" w:hAnsi="仿宋" w:eastAsia="仿宋"/>
          <w:sz w:val="24"/>
        </w:rPr>
        <w:t xml:space="preserve">  </w:t>
      </w:r>
    </w:p>
    <w:p w14:paraId="68B47E4D">
      <w:pPr>
        <w:spacing w:before="156" w:beforeLines="50" w:after="156" w:afterLines="50" w:line="360" w:lineRule="auto"/>
        <w:ind w:firstLine="480" w:firstLineChars="200"/>
        <w:jc w:val="left"/>
        <w:rPr>
          <w:rFonts w:hint="eastAsia" w:ascii="仿宋" w:hAnsi="仿宋" w:eastAsia="仿宋"/>
          <w:sz w:val="24"/>
        </w:rPr>
      </w:pPr>
      <w:r>
        <w:rPr>
          <w:rFonts w:ascii="仿宋" w:hAnsi="仿宋" w:eastAsia="仿宋"/>
          <w:sz w:val="24"/>
        </w:rPr>
        <w:t>2</w:t>
      </w:r>
      <w:r>
        <w:rPr>
          <w:rFonts w:hint="eastAsia" w:ascii="仿宋" w:hAnsi="仿宋" w:eastAsia="仿宋"/>
          <w:sz w:val="24"/>
        </w:rPr>
        <w:t>．教学方法与手段的运用合理，注意防止伤害事故发生，重视学生自我保护能力培养。</w:t>
      </w:r>
      <w:r>
        <w:rPr>
          <w:rFonts w:ascii="仿宋" w:hAnsi="仿宋" w:eastAsia="仿宋"/>
          <w:sz w:val="24"/>
        </w:rPr>
        <w:t> </w:t>
      </w:r>
    </w:p>
    <w:p w14:paraId="6F5E43F6">
      <w:pPr>
        <w:spacing w:before="156" w:beforeLines="50" w:after="156" w:afterLines="50" w:line="360" w:lineRule="auto"/>
        <w:ind w:firstLine="480" w:firstLineChars="200"/>
        <w:jc w:val="left"/>
        <w:rPr>
          <w:rFonts w:hint="eastAsia" w:ascii="仿宋" w:hAnsi="仿宋" w:eastAsia="仿宋"/>
          <w:sz w:val="24"/>
        </w:rPr>
      </w:pPr>
      <w:r>
        <w:rPr>
          <w:rFonts w:hint="eastAsia" w:ascii="仿宋" w:hAnsi="仿宋" w:eastAsia="仿宋"/>
          <w:sz w:val="24"/>
        </w:rPr>
        <w:t>3．针对体育教学技术教学的特点，本课程将采用：讲解法、示范法、完整法、分解法、集体练习、小组练习等教学方法，并利用多媒体教学方式，提高学生的欣赏能力、让学生更加深刻的了解所学项目。</w:t>
      </w:r>
    </w:p>
    <w:p w14:paraId="0E62151A">
      <w:pPr>
        <w:spacing w:line="360" w:lineRule="auto"/>
        <w:ind w:firstLine="482" w:firstLineChars="200"/>
        <w:rPr>
          <w:rFonts w:hint="eastAsia" w:ascii="仿宋" w:hAnsi="仿宋" w:eastAsia="仿宋"/>
          <w:b/>
          <w:sz w:val="24"/>
        </w:rPr>
      </w:pPr>
      <w:r>
        <w:rPr>
          <w:rFonts w:hint="eastAsia" w:ascii="仿宋" w:hAnsi="仿宋" w:eastAsia="仿宋"/>
          <w:b/>
          <w:sz w:val="24"/>
        </w:rPr>
        <w:t>（二）课程实施与保障</w:t>
      </w:r>
    </w:p>
    <w:tbl>
      <w:tblPr>
        <w:tblStyle w:val="13"/>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0893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8" w:space="0"/>
              <w:left w:val="single" w:color="auto" w:sz="8" w:space="0"/>
              <w:right w:val="single" w:color="auto" w:sz="8" w:space="0"/>
            </w:tcBorders>
            <w:tcMar>
              <w:left w:w="28" w:type="dxa"/>
              <w:right w:w="28" w:type="dxa"/>
            </w:tcMar>
            <w:vAlign w:val="center"/>
          </w:tcPr>
          <w:p w14:paraId="63D04D1A">
            <w:pPr>
              <w:spacing w:line="276" w:lineRule="auto"/>
              <w:jc w:val="center"/>
              <w:rPr>
                <w:rFonts w:hint="eastAsia" w:ascii="仿宋" w:hAnsi="仿宋" w:eastAsia="仿宋"/>
                <w:sz w:val="24"/>
              </w:rPr>
            </w:pPr>
            <w:r>
              <w:rPr>
                <w:rFonts w:ascii="仿宋" w:hAnsi="仿宋" w:eastAsia="仿宋" w:cs="宋体"/>
                <w:b/>
                <w:bCs/>
                <w:sz w:val="24"/>
              </w:rPr>
              <w:t>主要教学环节</w:t>
            </w:r>
          </w:p>
        </w:tc>
        <w:tc>
          <w:tcPr>
            <w:tcW w:w="6640" w:type="dxa"/>
            <w:tcBorders>
              <w:top w:val="single" w:color="auto" w:sz="8" w:space="0"/>
              <w:left w:val="single" w:color="auto" w:sz="8" w:space="0"/>
              <w:right w:val="single" w:color="auto" w:sz="8" w:space="0"/>
            </w:tcBorders>
            <w:vAlign w:val="center"/>
          </w:tcPr>
          <w:p w14:paraId="492AC34C">
            <w:pPr>
              <w:spacing w:line="276" w:lineRule="auto"/>
              <w:jc w:val="center"/>
              <w:rPr>
                <w:rFonts w:hint="eastAsia" w:ascii="仿宋" w:hAnsi="仿宋" w:eastAsia="仿宋"/>
                <w:sz w:val="24"/>
              </w:rPr>
            </w:pPr>
            <w:r>
              <w:rPr>
                <w:rFonts w:hint="eastAsia" w:ascii="仿宋" w:hAnsi="仿宋" w:eastAsia="仿宋" w:cs="宋体"/>
                <w:b/>
                <w:bCs/>
                <w:sz w:val="24"/>
              </w:rPr>
              <w:t>质量要求</w:t>
            </w:r>
          </w:p>
        </w:tc>
      </w:tr>
      <w:tr w14:paraId="631F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1052F11F">
            <w:pPr>
              <w:spacing w:line="276" w:lineRule="auto"/>
              <w:jc w:val="center"/>
              <w:rPr>
                <w:rFonts w:hint="eastAsia" w:ascii="仿宋" w:hAnsi="仿宋" w:eastAsia="仿宋"/>
                <w:sz w:val="24"/>
              </w:rPr>
            </w:pPr>
            <w:r>
              <w:rPr>
                <w:rFonts w:hint="eastAsia" w:ascii="仿宋" w:hAnsi="仿宋" w:eastAsia="仿宋"/>
                <w:sz w:val="24"/>
              </w:rPr>
              <w:t>1</w:t>
            </w:r>
          </w:p>
        </w:tc>
        <w:tc>
          <w:tcPr>
            <w:tcW w:w="1252" w:type="dxa"/>
            <w:tcMar>
              <w:left w:w="28" w:type="dxa"/>
              <w:right w:w="28" w:type="dxa"/>
            </w:tcMar>
            <w:vAlign w:val="center"/>
          </w:tcPr>
          <w:p w14:paraId="58F8EAD5">
            <w:pPr>
              <w:spacing w:line="276" w:lineRule="auto"/>
              <w:jc w:val="center"/>
              <w:rPr>
                <w:rFonts w:hint="eastAsia" w:ascii="仿宋" w:hAnsi="仿宋" w:eastAsia="仿宋"/>
                <w:sz w:val="24"/>
              </w:rPr>
            </w:pPr>
            <w:r>
              <w:rPr>
                <w:rFonts w:hint="eastAsia" w:ascii="仿宋" w:hAnsi="仿宋" w:eastAsia="仿宋"/>
                <w:sz w:val="24"/>
              </w:rPr>
              <w:t>备课</w:t>
            </w:r>
          </w:p>
        </w:tc>
        <w:tc>
          <w:tcPr>
            <w:tcW w:w="6640" w:type="dxa"/>
            <w:tcBorders>
              <w:right w:val="single" w:color="auto" w:sz="8" w:space="0"/>
            </w:tcBorders>
            <w:vAlign w:val="center"/>
          </w:tcPr>
          <w:p w14:paraId="6055CC89">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掌握本课程教学大纲内容，严格按照教学大纲要求进行本课程教学内容的组织；</w:t>
            </w:r>
          </w:p>
          <w:p w14:paraId="569497D5">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熟悉教材各章节，借助相关专业书籍资料，并依据教学大纲编写授课计划；</w:t>
            </w:r>
          </w:p>
          <w:p w14:paraId="1D91AE15">
            <w:pPr>
              <w:autoSpaceDE w:val="0"/>
              <w:autoSpaceDN w:val="0"/>
              <w:adjustRightInd w:val="0"/>
              <w:snapToGrid w:val="0"/>
              <w:spacing w:line="320" w:lineRule="exact"/>
              <w:jc w:val="left"/>
              <w:rPr>
                <w:rFonts w:hint="eastAsia" w:ascii="仿宋" w:hAnsi="仿宋" w:eastAsia="仿宋" w:cs="宋体"/>
                <w:spacing w:val="-14"/>
                <w:kern w:val="0"/>
                <w:sz w:val="22"/>
              </w:rPr>
            </w:pPr>
            <w:r>
              <w:rPr>
                <w:rFonts w:ascii="仿宋" w:hAnsi="仿宋" w:eastAsia="仿宋" w:cs="宋体"/>
                <w:spacing w:val="-14"/>
                <w:kern w:val="0"/>
                <w:sz w:val="22"/>
              </w:rPr>
              <w:t>3.</w:t>
            </w:r>
            <w:r>
              <w:rPr>
                <w:rFonts w:hint="eastAsia" w:ascii="仿宋" w:hAnsi="仿宋" w:eastAsia="仿宋" w:cs="宋体"/>
                <w:spacing w:val="-14"/>
                <w:kern w:val="0"/>
                <w:sz w:val="22"/>
              </w:rPr>
              <w:t>结合课程特点，制作课件，运用多媒体教学手段讲授部分教学内容；</w:t>
            </w:r>
            <w:r>
              <w:rPr>
                <w:rFonts w:ascii="仿宋" w:hAnsi="仿宋" w:eastAsia="仿宋" w:cs="宋体"/>
                <w:spacing w:val="-14"/>
                <w:kern w:val="0"/>
                <w:sz w:val="22"/>
              </w:rPr>
              <w:t xml:space="preserve"> </w:t>
            </w:r>
          </w:p>
          <w:p w14:paraId="78D01E16">
            <w:pPr>
              <w:autoSpaceDE w:val="0"/>
              <w:autoSpaceDN w:val="0"/>
              <w:adjustRightInd w:val="0"/>
              <w:snapToGrid w:val="0"/>
              <w:spacing w:line="320" w:lineRule="exact"/>
              <w:jc w:val="left"/>
              <w:rPr>
                <w:rFonts w:hint="eastAsia" w:ascii="仿宋" w:hAnsi="仿宋" w:eastAsia="仿宋"/>
                <w:sz w:val="24"/>
              </w:rPr>
            </w:pPr>
            <w:r>
              <w:rPr>
                <w:rFonts w:ascii="仿宋" w:hAnsi="仿宋" w:eastAsia="仿宋" w:cs="宋体"/>
                <w:kern w:val="0"/>
                <w:sz w:val="22"/>
              </w:rPr>
              <w:t>4.</w:t>
            </w:r>
            <w:r>
              <w:rPr>
                <w:rFonts w:hint="eastAsia" w:ascii="仿宋" w:hAnsi="仿宋" w:eastAsia="仿宋" w:cs="宋体"/>
                <w:kern w:val="0"/>
                <w:sz w:val="22"/>
              </w:rPr>
              <w:t>确定各章节课程内容的教学方法，构思授课思路、技巧和方法。</w:t>
            </w:r>
          </w:p>
        </w:tc>
      </w:tr>
      <w:tr w14:paraId="4BED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3F7F125B">
            <w:pPr>
              <w:spacing w:line="276" w:lineRule="auto"/>
              <w:jc w:val="center"/>
              <w:rPr>
                <w:rFonts w:hint="eastAsia" w:ascii="仿宋" w:hAnsi="仿宋" w:eastAsia="仿宋"/>
                <w:sz w:val="24"/>
              </w:rPr>
            </w:pPr>
            <w:r>
              <w:rPr>
                <w:rFonts w:hint="eastAsia" w:ascii="仿宋" w:hAnsi="仿宋" w:eastAsia="仿宋"/>
                <w:sz w:val="24"/>
              </w:rPr>
              <w:t>2</w:t>
            </w:r>
          </w:p>
        </w:tc>
        <w:tc>
          <w:tcPr>
            <w:tcW w:w="1252" w:type="dxa"/>
            <w:tcMar>
              <w:left w:w="28" w:type="dxa"/>
              <w:right w:w="28" w:type="dxa"/>
            </w:tcMar>
            <w:vAlign w:val="center"/>
          </w:tcPr>
          <w:p w14:paraId="08F0076D">
            <w:pPr>
              <w:spacing w:line="276" w:lineRule="auto"/>
              <w:jc w:val="center"/>
              <w:rPr>
                <w:rFonts w:hint="eastAsia" w:ascii="仿宋" w:hAnsi="仿宋" w:eastAsia="仿宋"/>
                <w:sz w:val="24"/>
              </w:rPr>
            </w:pPr>
            <w:r>
              <w:rPr>
                <w:rFonts w:hint="eastAsia" w:ascii="仿宋" w:hAnsi="仿宋" w:eastAsia="仿宋"/>
                <w:sz w:val="24"/>
              </w:rPr>
              <w:t>讲授</w:t>
            </w:r>
          </w:p>
        </w:tc>
        <w:tc>
          <w:tcPr>
            <w:tcW w:w="6640" w:type="dxa"/>
            <w:tcBorders>
              <w:right w:val="single" w:color="auto" w:sz="8" w:space="0"/>
            </w:tcBorders>
            <w:vAlign w:val="center"/>
          </w:tcPr>
          <w:p w14:paraId="7B599651">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rPr>
              <w:t>满足需要，发展个性；</w:t>
            </w:r>
            <w:r>
              <w:rPr>
                <w:rFonts w:hint="eastAsia" w:ascii="仿宋" w:hAnsi="仿宋" w:eastAsia="仿宋" w:cs="宋体"/>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36E8AAB2">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采用多种教学方式（如启发式教学、导学式、发现式等），精讲多练，培养学生自学、自练、自评、互评等能力。</w:t>
            </w:r>
          </w:p>
          <w:p w14:paraId="16E93F84">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0D365E0F">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4.区别对待，因材施教。重视安全和关心基础较差的学生成长。</w:t>
            </w:r>
          </w:p>
          <w:p w14:paraId="79C31447">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5.教学中教师要以身作则，言传身教，做到既教学又育人。培养学生的优良品质，达到身心全面发展。</w:t>
            </w:r>
          </w:p>
        </w:tc>
      </w:tr>
      <w:tr w14:paraId="729F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7E2F72BB">
            <w:pPr>
              <w:spacing w:line="276" w:lineRule="auto"/>
              <w:jc w:val="center"/>
              <w:rPr>
                <w:rFonts w:hint="eastAsia" w:ascii="仿宋" w:hAnsi="仿宋" w:eastAsia="仿宋"/>
                <w:sz w:val="24"/>
              </w:rPr>
            </w:pPr>
            <w:r>
              <w:rPr>
                <w:rFonts w:ascii="仿宋" w:hAnsi="仿宋" w:eastAsia="仿宋"/>
                <w:sz w:val="24"/>
              </w:rPr>
              <w:t>3</w:t>
            </w:r>
          </w:p>
        </w:tc>
        <w:tc>
          <w:tcPr>
            <w:tcW w:w="1252" w:type="dxa"/>
            <w:tcMar>
              <w:left w:w="28" w:type="dxa"/>
              <w:right w:w="28" w:type="dxa"/>
            </w:tcMar>
            <w:vAlign w:val="center"/>
          </w:tcPr>
          <w:p w14:paraId="7D5173A7">
            <w:pPr>
              <w:spacing w:line="276" w:lineRule="auto"/>
              <w:jc w:val="center"/>
              <w:rPr>
                <w:rFonts w:hint="eastAsia" w:ascii="仿宋" w:hAnsi="仿宋" w:eastAsia="仿宋"/>
                <w:sz w:val="24"/>
              </w:rPr>
            </w:pPr>
            <w:r>
              <w:rPr>
                <w:rFonts w:hint="eastAsia" w:ascii="仿宋" w:hAnsi="仿宋" w:eastAsia="仿宋"/>
                <w:sz w:val="24"/>
              </w:rPr>
              <w:t>课外练习</w:t>
            </w:r>
          </w:p>
        </w:tc>
        <w:tc>
          <w:tcPr>
            <w:tcW w:w="6640" w:type="dxa"/>
            <w:tcBorders>
              <w:right w:val="single" w:color="auto" w:sz="8" w:space="0"/>
            </w:tcBorders>
            <w:vAlign w:val="center"/>
          </w:tcPr>
          <w:p w14:paraId="38CEDA76">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课外练习是教师布置课外练习内容，重点要求学生利用课余时间巩固课堂上所学的技术动作，形成正确的动力定型，同时要求学生加强身体素质练习。</w:t>
            </w:r>
          </w:p>
        </w:tc>
      </w:tr>
      <w:tr w14:paraId="48DB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70CB3177">
            <w:pPr>
              <w:spacing w:line="276" w:lineRule="auto"/>
              <w:jc w:val="center"/>
              <w:rPr>
                <w:rFonts w:hint="eastAsia" w:ascii="仿宋" w:hAnsi="仿宋" w:eastAsia="仿宋"/>
                <w:sz w:val="24"/>
              </w:rPr>
            </w:pPr>
            <w:r>
              <w:rPr>
                <w:rFonts w:ascii="仿宋" w:hAnsi="仿宋" w:eastAsia="仿宋"/>
                <w:sz w:val="24"/>
              </w:rPr>
              <w:t>4</w:t>
            </w:r>
          </w:p>
        </w:tc>
        <w:tc>
          <w:tcPr>
            <w:tcW w:w="1252" w:type="dxa"/>
            <w:tcMar>
              <w:left w:w="28" w:type="dxa"/>
              <w:right w:w="28" w:type="dxa"/>
            </w:tcMar>
            <w:vAlign w:val="center"/>
          </w:tcPr>
          <w:p w14:paraId="3E358510">
            <w:pPr>
              <w:spacing w:line="276" w:lineRule="auto"/>
              <w:jc w:val="center"/>
              <w:rPr>
                <w:rFonts w:hint="eastAsia" w:ascii="仿宋" w:hAnsi="仿宋" w:eastAsia="仿宋"/>
                <w:sz w:val="24"/>
              </w:rPr>
            </w:pPr>
            <w:r>
              <w:rPr>
                <w:rFonts w:hint="eastAsia" w:ascii="仿宋" w:hAnsi="仿宋" w:eastAsia="仿宋"/>
                <w:sz w:val="24"/>
              </w:rPr>
              <w:t>成绩考核</w:t>
            </w:r>
          </w:p>
        </w:tc>
        <w:tc>
          <w:tcPr>
            <w:tcW w:w="6640" w:type="dxa"/>
            <w:tcBorders>
              <w:right w:val="single" w:color="auto" w:sz="8" w:space="0"/>
            </w:tcBorders>
            <w:vAlign w:val="center"/>
          </w:tcPr>
          <w:p w14:paraId="263E80C5">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本课程考核的方式：考试。总评成绩的评定见课程评分方案。有下列情况之一者，总评成绩为不及格：</w:t>
            </w:r>
          </w:p>
          <w:p w14:paraId="46DEC3C2">
            <w:pPr>
              <w:autoSpaceDE w:val="0"/>
              <w:autoSpaceDN w:val="0"/>
              <w:adjustRightInd w:val="0"/>
              <w:snapToGrid w:val="0"/>
              <w:spacing w:line="320" w:lineRule="exact"/>
              <w:jc w:val="left"/>
              <w:rPr>
                <w:rFonts w:hint="eastAsia"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.课外</w:t>
            </w:r>
            <w:r>
              <w:rPr>
                <w:rFonts w:ascii="仿宋" w:hAnsi="仿宋" w:eastAsia="仿宋" w:cs="宋体"/>
                <w:kern w:val="0"/>
                <w:sz w:val="22"/>
              </w:rPr>
              <w:t>体育</w:t>
            </w:r>
            <w:r>
              <w:rPr>
                <w:rFonts w:hint="eastAsia" w:ascii="仿宋" w:hAnsi="仿宋" w:eastAsia="仿宋" w:cs="宋体"/>
                <w:kern w:val="0"/>
                <w:sz w:val="22"/>
              </w:rPr>
              <w:t>锻炼</w:t>
            </w:r>
            <w:r>
              <w:rPr>
                <w:rFonts w:ascii="仿宋" w:hAnsi="仿宋" w:eastAsia="仿宋" w:cs="宋体"/>
                <w:kern w:val="0"/>
                <w:sz w:val="22"/>
              </w:rPr>
              <w:t>不合格</w:t>
            </w:r>
            <w:r>
              <w:rPr>
                <w:rFonts w:hint="eastAsia" w:ascii="仿宋" w:hAnsi="仿宋" w:eastAsia="仿宋" w:cs="宋体"/>
                <w:kern w:val="0"/>
                <w:sz w:val="22"/>
              </w:rPr>
              <w:t>者；</w:t>
            </w:r>
          </w:p>
          <w:p w14:paraId="6B08BA2C">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2.缺课次数达本学期总授课学时的</w:t>
            </w:r>
            <w:r>
              <w:rPr>
                <w:rFonts w:ascii="仿宋" w:hAnsi="仿宋" w:eastAsia="仿宋" w:cs="宋体"/>
                <w:kern w:val="0"/>
                <w:sz w:val="22"/>
              </w:rPr>
              <w:t>1/3</w:t>
            </w:r>
            <w:r>
              <w:rPr>
                <w:rFonts w:hint="eastAsia" w:ascii="仿宋" w:hAnsi="仿宋" w:eastAsia="仿宋" w:cs="宋体"/>
                <w:kern w:val="0"/>
                <w:sz w:val="22"/>
              </w:rPr>
              <w:t>以上者；</w:t>
            </w:r>
          </w:p>
        </w:tc>
      </w:tr>
    </w:tbl>
    <w:p w14:paraId="18C93DD0">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五</w:t>
      </w:r>
      <w:r>
        <w:rPr>
          <w:rFonts w:ascii="仿宋" w:hAnsi="仿宋" w:eastAsia="仿宋" w:cs="宋体"/>
          <w:b/>
          <w:sz w:val="28"/>
          <w:szCs w:val="28"/>
        </w:rPr>
        <w:t>、</w:t>
      </w:r>
      <w:r>
        <w:rPr>
          <w:rFonts w:hint="eastAsia" w:ascii="仿宋" w:hAnsi="仿宋" w:eastAsia="仿宋" w:cs="宋体"/>
          <w:b/>
          <w:sz w:val="28"/>
          <w:szCs w:val="28"/>
        </w:rPr>
        <w:t>课程考核</w:t>
      </w:r>
    </w:p>
    <w:p w14:paraId="7B551B71">
      <w:pPr>
        <w:spacing w:line="360" w:lineRule="auto"/>
        <w:ind w:firstLine="480" w:firstLineChars="200"/>
        <w:rPr>
          <w:rFonts w:hint="eastAsia" w:ascii="仿宋" w:hAnsi="仿宋" w:eastAsia="仿宋"/>
          <w:sz w:val="24"/>
        </w:rPr>
      </w:pPr>
      <w:r>
        <w:rPr>
          <w:rFonts w:hint="eastAsia" w:ascii="仿宋" w:hAnsi="仿宋" w:eastAsia="仿宋"/>
          <w:sz w:val="24"/>
        </w:rPr>
        <w:t>（一）课程考核由期末考试和平时考核构成，期末考试采用随堂方式。</w:t>
      </w:r>
    </w:p>
    <w:p w14:paraId="0B0AB7D0">
      <w:pPr>
        <w:spacing w:line="360" w:lineRule="auto"/>
        <w:ind w:firstLine="480" w:firstLineChars="200"/>
        <w:rPr>
          <w:rFonts w:hint="eastAsia" w:ascii="仿宋" w:hAnsi="仿宋" w:eastAsia="仿宋"/>
          <w:sz w:val="24"/>
        </w:rPr>
      </w:pPr>
      <w:r>
        <w:rPr>
          <w:rFonts w:hint="eastAsia" w:ascii="仿宋" w:hAnsi="仿宋" w:eastAsia="仿宋"/>
          <w:sz w:val="24"/>
        </w:rPr>
        <w:t>（二）课程总评成绩=平时成绩50%+期末考试50%，平时成绩=课堂表现10%+课外锻炼20%+体育理论20%。</w:t>
      </w:r>
    </w:p>
    <w:p w14:paraId="353A607C">
      <w:pPr>
        <w:spacing w:line="360" w:lineRule="auto"/>
        <w:ind w:firstLine="480" w:firstLineChars="200"/>
        <w:rPr>
          <w:rFonts w:hint="eastAsia" w:ascii="仿宋" w:hAnsi="仿宋" w:eastAsia="仿宋"/>
          <w:sz w:val="24"/>
        </w:rPr>
      </w:pPr>
      <w:r>
        <w:rPr>
          <w:rFonts w:ascii="仿宋" w:hAnsi="仿宋" w:eastAsia="仿宋"/>
          <w:sz w:val="24"/>
        </w:rPr>
        <w:t>具体内容和比例</w:t>
      </w:r>
      <w:r>
        <w:rPr>
          <w:rFonts w:hint="eastAsia" w:ascii="仿宋" w:hAnsi="仿宋" w:eastAsia="仿宋"/>
          <w:sz w:val="24"/>
        </w:rPr>
        <w:t>如表所示：</w:t>
      </w:r>
    </w:p>
    <w:tbl>
      <w:tblPr>
        <w:tblStyle w:val="13"/>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5FD8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tcMar>
              <w:left w:w="57" w:type="dxa"/>
              <w:right w:w="57" w:type="dxa"/>
            </w:tcMar>
            <w:vAlign w:val="center"/>
          </w:tcPr>
          <w:p w14:paraId="1B94382F">
            <w:pPr>
              <w:jc w:val="center"/>
              <w:rPr>
                <w:rFonts w:hint="eastAsia" w:ascii="仿宋" w:hAnsi="仿宋" w:eastAsia="仿宋"/>
                <w:szCs w:val="21"/>
              </w:rPr>
            </w:pPr>
            <w:r>
              <w:rPr>
                <w:rFonts w:ascii="仿宋" w:hAnsi="仿宋" w:eastAsia="仿宋"/>
                <w:szCs w:val="21"/>
              </w:rPr>
              <w:t>成绩组成</w:t>
            </w:r>
          </w:p>
        </w:tc>
        <w:tc>
          <w:tcPr>
            <w:tcW w:w="1301" w:type="dxa"/>
            <w:shd w:val="clear" w:color="auto" w:fill="FFFFFF"/>
            <w:vAlign w:val="center"/>
          </w:tcPr>
          <w:p w14:paraId="203C3353">
            <w:pPr>
              <w:jc w:val="center"/>
              <w:rPr>
                <w:rFonts w:hint="eastAsia" w:ascii="仿宋" w:hAnsi="仿宋" w:eastAsia="仿宋"/>
                <w:szCs w:val="21"/>
              </w:rPr>
            </w:pPr>
            <w:r>
              <w:rPr>
                <w:rFonts w:ascii="仿宋" w:hAnsi="仿宋" w:eastAsia="仿宋"/>
                <w:szCs w:val="21"/>
              </w:rPr>
              <w:t>考核/评价环节</w:t>
            </w:r>
          </w:p>
        </w:tc>
        <w:tc>
          <w:tcPr>
            <w:tcW w:w="741" w:type="dxa"/>
            <w:shd w:val="clear" w:color="auto" w:fill="FFFFFF"/>
            <w:vAlign w:val="center"/>
          </w:tcPr>
          <w:p w14:paraId="4089BF3C">
            <w:pPr>
              <w:jc w:val="center"/>
              <w:rPr>
                <w:rFonts w:hint="eastAsia" w:ascii="仿宋" w:hAnsi="仿宋" w:eastAsia="仿宋"/>
                <w:szCs w:val="21"/>
              </w:rPr>
            </w:pPr>
            <w:r>
              <w:rPr>
                <w:rFonts w:hint="eastAsia" w:ascii="仿宋" w:hAnsi="仿宋" w:eastAsia="仿宋"/>
                <w:szCs w:val="21"/>
              </w:rPr>
              <w:t>权重</w:t>
            </w:r>
          </w:p>
        </w:tc>
        <w:tc>
          <w:tcPr>
            <w:tcW w:w="4047" w:type="dxa"/>
            <w:shd w:val="clear" w:color="auto" w:fill="FFFFFF"/>
            <w:vAlign w:val="center"/>
          </w:tcPr>
          <w:p w14:paraId="7F7A3098">
            <w:pPr>
              <w:jc w:val="center"/>
              <w:rPr>
                <w:rFonts w:hint="eastAsia" w:ascii="仿宋" w:hAnsi="仿宋" w:eastAsia="仿宋"/>
                <w:szCs w:val="21"/>
              </w:rPr>
            </w:pPr>
            <w:r>
              <w:rPr>
                <w:rFonts w:ascii="仿宋" w:hAnsi="仿宋" w:eastAsia="仿宋"/>
                <w:szCs w:val="21"/>
              </w:rPr>
              <w:t>考核/评价细则</w:t>
            </w:r>
          </w:p>
        </w:tc>
        <w:tc>
          <w:tcPr>
            <w:tcW w:w="1349" w:type="dxa"/>
            <w:shd w:val="clear" w:color="auto" w:fill="FFFFFF"/>
            <w:vAlign w:val="center"/>
          </w:tcPr>
          <w:p w14:paraId="0DA72238">
            <w:pPr>
              <w:jc w:val="center"/>
              <w:rPr>
                <w:rFonts w:hint="eastAsia" w:ascii="仿宋" w:hAnsi="仿宋" w:eastAsia="仿宋"/>
                <w:szCs w:val="21"/>
              </w:rPr>
            </w:pPr>
            <w:r>
              <w:rPr>
                <w:rFonts w:ascii="仿宋" w:hAnsi="仿宋" w:eastAsia="仿宋"/>
                <w:szCs w:val="21"/>
              </w:rPr>
              <w:t>对应的毕业要求指标点</w:t>
            </w:r>
          </w:p>
        </w:tc>
      </w:tr>
      <w:tr w14:paraId="7318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tcMar>
              <w:left w:w="57" w:type="dxa"/>
              <w:right w:w="57" w:type="dxa"/>
            </w:tcMar>
            <w:vAlign w:val="center"/>
          </w:tcPr>
          <w:p w14:paraId="0FC6BD9E">
            <w:pPr>
              <w:jc w:val="center"/>
              <w:rPr>
                <w:rFonts w:hint="eastAsia" w:ascii="仿宋" w:hAnsi="仿宋" w:eastAsia="仿宋"/>
                <w:szCs w:val="21"/>
              </w:rPr>
            </w:pPr>
            <w:r>
              <w:rPr>
                <w:rFonts w:ascii="仿宋" w:hAnsi="仿宋" w:eastAsia="仿宋"/>
                <w:szCs w:val="21"/>
              </w:rPr>
              <w:t>平时成绩</w:t>
            </w:r>
          </w:p>
          <w:p w14:paraId="56650753">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vAlign w:val="center"/>
          </w:tcPr>
          <w:p w14:paraId="7CD6EC71">
            <w:pPr>
              <w:spacing w:line="276" w:lineRule="auto"/>
              <w:jc w:val="center"/>
              <w:rPr>
                <w:rFonts w:hint="eastAsia" w:ascii="仿宋" w:hAnsi="仿宋" w:eastAsia="仿宋"/>
                <w:szCs w:val="21"/>
              </w:rPr>
            </w:pPr>
            <w:r>
              <w:rPr>
                <w:rFonts w:hint="eastAsia" w:ascii="仿宋" w:hAnsi="仿宋" w:eastAsia="仿宋"/>
                <w:szCs w:val="21"/>
              </w:rPr>
              <w:t>课堂表现</w:t>
            </w:r>
          </w:p>
        </w:tc>
        <w:tc>
          <w:tcPr>
            <w:tcW w:w="741" w:type="dxa"/>
            <w:vAlign w:val="center"/>
          </w:tcPr>
          <w:p w14:paraId="5C399D77">
            <w:pPr>
              <w:rPr>
                <w:rFonts w:hint="eastAsia" w:ascii="仿宋" w:hAnsi="仿宋" w:eastAsia="仿宋"/>
                <w:szCs w:val="21"/>
              </w:rPr>
            </w:pPr>
            <w:r>
              <w:rPr>
                <w:rFonts w:hint="eastAsia" w:ascii="仿宋" w:hAnsi="仿宋" w:eastAsia="仿宋"/>
                <w:szCs w:val="21"/>
              </w:rPr>
              <w:t xml:space="preserve"> </w:t>
            </w:r>
            <w:r>
              <w:rPr>
                <w:rFonts w:ascii="仿宋" w:hAnsi="仿宋" w:eastAsia="仿宋"/>
                <w:szCs w:val="21"/>
              </w:rPr>
              <w:t>10%</w:t>
            </w:r>
          </w:p>
        </w:tc>
        <w:tc>
          <w:tcPr>
            <w:tcW w:w="4047" w:type="dxa"/>
            <w:vAlign w:val="center"/>
          </w:tcPr>
          <w:p w14:paraId="295AC628">
            <w:pPr>
              <w:spacing w:line="360" w:lineRule="exact"/>
              <w:rPr>
                <w:rFonts w:hint="eastAsia" w:ascii="仿宋" w:hAnsi="仿宋" w:eastAsia="仿宋"/>
                <w:sz w:val="24"/>
              </w:rPr>
            </w:pPr>
            <w:r>
              <w:rPr>
                <w:rFonts w:ascii="仿宋" w:hAnsi="仿宋" w:eastAsia="仿宋"/>
                <w:bCs/>
                <w:kern w:val="24"/>
                <w:szCs w:val="21"/>
              </w:rPr>
              <w:t>课堂</w:t>
            </w:r>
            <w:r>
              <w:rPr>
                <w:rFonts w:hint="eastAsia" w:ascii="仿宋" w:hAnsi="仿宋" w:eastAsia="仿宋"/>
                <w:bCs/>
                <w:kern w:val="24"/>
                <w:szCs w:val="21"/>
              </w:rPr>
              <w:t>整队</w:t>
            </w:r>
            <w:r>
              <w:rPr>
                <w:rFonts w:ascii="仿宋" w:hAnsi="仿宋" w:eastAsia="仿宋"/>
                <w:bCs/>
                <w:kern w:val="24"/>
                <w:szCs w:val="21"/>
              </w:rPr>
              <w:t>点名</w:t>
            </w:r>
            <w:r>
              <w:rPr>
                <w:rFonts w:hint="eastAsia" w:ascii="仿宋" w:hAnsi="仿宋" w:eastAsia="仿宋"/>
                <w:bCs/>
                <w:kern w:val="24"/>
                <w:szCs w:val="21"/>
              </w:rPr>
              <w:t>，考核</w:t>
            </w:r>
            <w:r>
              <w:rPr>
                <w:rFonts w:hint="eastAsia" w:ascii="仿宋" w:hAnsi="仿宋" w:eastAsia="仿宋"/>
                <w:szCs w:val="21"/>
              </w:rPr>
              <w:t>能否按时到勤，旷课一次扣</w:t>
            </w:r>
            <w:r>
              <w:rPr>
                <w:rFonts w:ascii="仿宋" w:hAnsi="仿宋" w:eastAsia="仿宋"/>
                <w:szCs w:val="21"/>
              </w:rPr>
              <w:t>20</w:t>
            </w:r>
            <w:r>
              <w:rPr>
                <w:rFonts w:hint="eastAsia" w:ascii="仿宋" w:hAnsi="仿宋" w:eastAsia="仿宋"/>
                <w:szCs w:val="21"/>
              </w:rPr>
              <w:t>分，迟到与早退一次扣</w:t>
            </w:r>
            <w:r>
              <w:rPr>
                <w:rFonts w:ascii="仿宋" w:hAnsi="仿宋" w:eastAsia="仿宋"/>
                <w:szCs w:val="21"/>
              </w:rPr>
              <w:t>10</w:t>
            </w:r>
            <w:r>
              <w:rPr>
                <w:rFonts w:hint="eastAsia" w:ascii="仿宋" w:hAnsi="仿宋" w:eastAsia="仿宋"/>
                <w:szCs w:val="21"/>
              </w:rPr>
              <w:t>分。</w:t>
            </w:r>
          </w:p>
        </w:tc>
        <w:tc>
          <w:tcPr>
            <w:tcW w:w="1349" w:type="dxa"/>
            <w:vAlign w:val="center"/>
          </w:tcPr>
          <w:p w14:paraId="1A70C3E6">
            <w:pPr>
              <w:jc w:val="center"/>
              <w:rPr>
                <w:rFonts w:hint="eastAsia" w:ascii="仿宋" w:hAnsi="仿宋" w:eastAsia="仿宋"/>
                <w:szCs w:val="21"/>
              </w:rPr>
            </w:pPr>
            <w:r>
              <w:rPr>
                <w:rFonts w:hint="eastAsia" w:ascii="仿宋" w:hAnsi="仿宋" w:eastAsia="仿宋"/>
                <w:bCs/>
                <w:szCs w:val="21"/>
              </w:rPr>
              <w:t>8、</w:t>
            </w:r>
            <w:r>
              <w:rPr>
                <w:rFonts w:ascii="仿宋" w:hAnsi="仿宋" w:eastAsia="仿宋"/>
                <w:bCs/>
                <w:szCs w:val="21"/>
              </w:rPr>
              <w:t>9</w:t>
            </w:r>
          </w:p>
        </w:tc>
      </w:tr>
      <w:tr w14:paraId="7D75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tcMar>
              <w:left w:w="57" w:type="dxa"/>
              <w:right w:w="57" w:type="dxa"/>
            </w:tcMar>
            <w:vAlign w:val="center"/>
          </w:tcPr>
          <w:p w14:paraId="7FA1CA11">
            <w:pPr>
              <w:jc w:val="center"/>
              <w:rPr>
                <w:rFonts w:hint="eastAsia" w:ascii="仿宋" w:hAnsi="仿宋" w:eastAsia="仿宋"/>
                <w:szCs w:val="21"/>
              </w:rPr>
            </w:pPr>
          </w:p>
        </w:tc>
        <w:tc>
          <w:tcPr>
            <w:tcW w:w="1301" w:type="dxa"/>
            <w:vAlign w:val="center"/>
          </w:tcPr>
          <w:p w14:paraId="7CD1FCC3">
            <w:pPr>
              <w:spacing w:line="276" w:lineRule="auto"/>
              <w:jc w:val="center"/>
              <w:rPr>
                <w:rFonts w:hint="eastAsia" w:ascii="仿宋" w:hAnsi="仿宋" w:eastAsia="仿宋"/>
                <w:szCs w:val="21"/>
              </w:rPr>
            </w:pPr>
            <w:r>
              <w:rPr>
                <w:rFonts w:hint="eastAsia" w:ascii="仿宋" w:hAnsi="仿宋" w:eastAsia="仿宋"/>
                <w:szCs w:val="21"/>
              </w:rPr>
              <w:t>课外锻炼</w:t>
            </w:r>
          </w:p>
        </w:tc>
        <w:tc>
          <w:tcPr>
            <w:tcW w:w="741" w:type="dxa"/>
            <w:vAlign w:val="center"/>
          </w:tcPr>
          <w:p w14:paraId="1EDAB828">
            <w:pPr>
              <w:rPr>
                <w:rFonts w:hint="eastAsia" w:ascii="仿宋" w:hAnsi="仿宋" w:eastAsia="仿宋"/>
                <w:szCs w:val="21"/>
              </w:rPr>
            </w:pPr>
            <w:r>
              <w:rPr>
                <w:rFonts w:hint="eastAsia" w:ascii="仿宋" w:hAnsi="仿宋" w:eastAsia="仿宋"/>
                <w:szCs w:val="21"/>
              </w:rPr>
              <w:t xml:space="preserve"> </w:t>
            </w:r>
            <w:r>
              <w:rPr>
                <w:rFonts w:ascii="仿宋" w:hAnsi="仿宋" w:eastAsia="仿宋"/>
                <w:szCs w:val="21"/>
              </w:rPr>
              <w:t>20%</w:t>
            </w:r>
          </w:p>
        </w:tc>
        <w:tc>
          <w:tcPr>
            <w:tcW w:w="4047" w:type="dxa"/>
            <w:vAlign w:val="center"/>
          </w:tcPr>
          <w:p w14:paraId="47D79EFD">
            <w:pPr>
              <w:spacing w:line="360" w:lineRule="exact"/>
              <w:jc w:val="left"/>
              <w:rPr>
                <w:rFonts w:hint="eastAsia" w:ascii="仿宋" w:hAnsi="仿宋" w:eastAsia="仿宋"/>
                <w:sz w:val="24"/>
              </w:rPr>
            </w:pPr>
            <w:r>
              <w:rPr>
                <w:rFonts w:hint="eastAsia" w:ascii="仿宋" w:hAnsi="仿宋" w:eastAsia="仿宋"/>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49" w:type="dxa"/>
            <w:vAlign w:val="center"/>
          </w:tcPr>
          <w:p w14:paraId="35FB1C30">
            <w:pPr>
              <w:jc w:val="center"/>
              <w:rPr>
                <w:rFonts w:hint="eastAsia" w:ascii="仿宋" w:hAnsi="仿宋" w:eastAsia="仿宋"/>
              </w:rPr>
            </w:pPr>
            <w:r>
              <w:rPr>
                <w:rFonts w:hint="eastAsia" w:ascii="仿宋" w:hAnsi="仿宋" w:eastAsia="仿宋"/>
              </w:rPr>
              <w:t>8、9</w:t>
            </w:r>
          </w:p>
        </w:tc>
      </w:tr>
      <w:tr w14:paraId="5757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40" w:type="dxa"/>
            <w:vMerge w:val="continue"/>
            <w:tcMar>
              <w:left w:w="57" w:type="dxa"/>
              <w:right w:w="57" w:type="dxa"/>
            </w:tcMar>
            <w:vAlign w:val="center"/>
          </w:tcPr>
          <w:p w14:paraId="1452366B">
            <w:pPr>
              <w:jc w:val="center"/>
              <w:rPr>
                <w:rFonts w:hint="eastAsia" w:ascii="仿宋" w:hAnsi="仿宋" w:eastAsia="仿宋"/>
                <w:szCs w:val="21"/>
              </w:rPr>
            </w:pPr>
          </w:p>
        </w:tc>
        <w:tc>
          <w:tcPr>
            <w:tcW w:w="1301" w:type="dxa"/>
            <w:vAlign w:val="center"/>
          </w:tcPr>
          <w:p w14:paraId="30FE57A7">
            <w:pPr>
              <w:spacing w:line="276" w:lineRule="auto"/>
              <w:jc w:val="center"/>
              <w:rPr>
                <w:rFonts w:hint="eastAsia" w:ascii="仿宋" w:hAnsi="仿宋" w:eastAsia="仿宋"/>
                <w:szCs w:val="21"/>
              </w:rPr>
            </w:pPr>
            <w:r>
              <w:rPr>
                <w:rFonts w:hint="eastAsia" w:ascii="仿宋" w:hAnsi="仿宋" w:eastAsia="仿宋"/>
                <w:szCs w:val="21"/>
              </w:rPr>
              <w:t>体育理论</w:t>
            </w:r>
          </w:p>
        </w:tc>
        <w:tc>
          <w:tcPr>
            <w:tcW w:w="741" w:type="dxa"/>
            <w:vAlign w:val="center"/>
          </w:tcPr>
          <w:p w14:paraId="28755EA9">
            <w:pPr>
              <w:jc w:val="center"/>
              <w:rPr>
                <w:rFonts w:hint="eastAsia" w:ascii="仿宋" w:hAnsi="仿宋" w:eastAsia="仿宋"/>
                <w:szCs w:val="21"/>
              </w:rPr>
            </w:pPr>
            <w:r>
              <w:rPr>
                <w:rFonts w:ascii="仿宋" w:hAnsi="仿宋" w:eastAsia="仿宋"/>
                <w:szCs w:val="21"/>
              </w:rPr>
              <w:t>2</w:t>
            </w:r>
            <w:r>
              <w:rPr>
                <w:rFonts w:hint="eastAsia" w:ascii="仿宋" w:hAnsi="仿宋" w:eastAsia="仿宋"/>
                <w:szCs w:val="21"/>
              </w:rPr>
              <w:t>0</w:t>
            </w:r>
            <w:r>
              <w:rPr>
                <w:rFonts w:ascii="仿宋" w:hAnsi="仿宋" w:eastAsia="仿宋"/>
                <w:szCs w:val="21"/>
              </w:rPr>
              <w:t>%</w:t>
            </w:r>
          </w:p>
        </w:tc>
        <w:tc>
          <w:tcPr>
            <w:tcW w:w="4047" w:type="dxa"/>
            <w:vAlign w:val="center"/>
          </w:tcPr>
          <w:p w14:paraId="39BD4DB1">
            <w:pPr>
              <w:spacing w:line="440" w:lineRule="exact"/>
              <w:jc w:val="left"/>
              <w:rPr>
                <w:rFonts w:hint="eastAsia" w:ascii="仿宋" w:hAnsi="仿宋" w:eastAsia="仿宋"/>
                <w:sz w:val="24"/>
              </w:rPr>
            </w:pPr>
            <w:r>
              <w:rPr>
                <w:rFonts w:hint="eastAsia" w:ascii="仿宋" w:hAnsi="仿宋" w:eastAsia="仿宋"/>
                <w:bCs/>
                <w:kern w:val="24"/>
                <w:szCs w:val="21"/>
              </w:rPr>
              <w:t>课外网上测试，校毕博系统。</w:t>
            </w:r>
          </w:p>
        </w:tc>
        <w:tc>
          <w:tcPr>
            <w:tcW w:w="1349" w:type="dxa"/>
            <w:vAlign w:val="center"/>
          </w:tcPr>
          <w:p w14:paraId="2E5A400A">
            <w:pPr>
              <w:jc w:val="center"/>
              <w:rPr>
                <w:rFonts w:hint="eastAsia" w:ascii="仿宋" w:hAnsi="仿宋" w:eastAsia="仿宋"/>
              </w:rPr>
            </w:pPr>
            <w:r>
              <w:rPr>
                <w:rFonts w:hint="eastAsia" w:ascii="仿宋" w:hAnsi="仿宋" w:eastAsia="仿宋"/>
              </w:rPr>
              <w:t>8、9</w:t>
            </w:r>
          </w:p>
        </w:tc>
      </w:tr>
      <w:tr w14:paraId="4806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40" w:type="dxa"/>
            <w:tcMar>
              <w:left w:w="57" w:type="dxa"/>
              <w:right w:w="57" w:type="dxa"/>
            </w:tcMar>
            <w:vAlign w:val="center"/>
          </w:tcPr>
          <w:p w14:paraId="564B8CC4">
            <w:pPr>
              <w:jc w:val="center"/>
              <w:rPr>
                <w:rFonts w:hint="eastAsia" w:ascii="仿宋" w:hAnsi="仿宋" w:eastAsia="仿宋"/>
                <w:szCs w:val="21"/>
              </w:rPr>
            </w:pPr>
            <w:r>
              <w:rPr>
                <w:rFonts w:ascii="仿宋" w:hAnsi="仿宋" w:eastAsia="仿宋"/>
                <w:szCs w:val="21"/>
              </w:rPr>
              <w:t>期末考试</w:t>
            </w:r>
          </w:p>
          <w:p w14:paraId="2B642561">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vAlign w:val="center"/>
          </w:tcPr>
          <w:p w14:paraId="3BFABC7A">
            <w:pPr>
              <w:jc w:val="center"/>
              <w:rPr>
                <w:rFonts w:hint="eastAsia" w:ascii="仿宋" w:hAnsi="仿宋" w:eastAsia="仿宋"/>
                <w:szCs w:val="21"/>
              </w:rPr>
            </w:pPr>
            <w:r>
              <w:rPr>
                <w:rFonts w:ascii="仿宋" w:hAnsi="仿宋" w:eastAsia="仿宋"/>
                <w:szCs w:val="21"/>
              </w:rPr>
              <w:t>期末</w:t>
            </w:r>
            <w:r>
              <w:rPr>
                <w:rFonts w:hint="eastAsia" w:ascii="仿宋" w:hAnsi="仿宋" w:eastAsia="仿宋"/>
                <w:szCs w:val="21"/>
              </w:rPr>
              <w:t>运动技能</w:t>
            </w:r>
            <w:r>
              <w:rPr>
                <w:rFonts w:ascii="仿宋" w:hAnsi="仿宋" w:eastAsia="仿宋"/>
                <w:szCs w:val="21"/>
              </w:rPr>
              <w:t>考试</w:t>
            </w:r>
          </w:p>
        </w:tc>
        <w:tc>
          <w:tcPr>
            <w:tcW w:w="741" w:type="dxa"/>
            <w:vAlign w:val="center"/>
          </w:tcPr>
          <w:p w14:paraId="1D1D5DAD">
            <w:pPr>
              <w:jc w:val="center"/>
              <w:rPr>
                <w:rFonts w:hint="eastAsia" w:ascii="仿宋" w:hAnsi="仿宋" w:eastAsia="仿宋"/>
                <w:szCs w:val="21"/>
              </w:rPr>
            </w:pPr>
            <w:r>
              <w:rPr>
                <w:rFonts w:ascii="仿宋" w:hAnsi="仿宋" w:eastAsia="仿宋"/>
                <w:szCs w:val="21"/>
              </w:rPr>
              <w:t>10</w:t>
            </w:r>
            <w:r>
              <w:rPr>
                <w:rFonts w:hint="eastAsia" w:ascii="仿宋" w:hAnsi="仿宋" w:eastAsia="仿宋"/>
                <w:szCs w:val="21"/>
              </w:rPr>
              <w:t>0</w:t>
            </w:r>
            <w:r>
              <w:rPr>
                <w:rFonts w:ascii="仿宋" w:hAnsi="仿宋" w:eastAsia="仿宋"/>
                <w:szCs w:val="21"/>
              </w:rPr>
              <w:t>%</w:t>
            </w:r>
          </w:p>
        </w:tc>
        <w:tc>
          <w:tcPr>
            <w:tcW w:w="4047" w:type="dxa"/>
            <w:vAlign w:val="center"/>
          </w:tcPr>
          <w:p w14:paraId="0A9F8906">
            <w:pPr>
              <w:spacing w:line="440" w:lineRule="exact"/>
              <w:rPr>
                <w:rFonts w:hint="eastAsia" w:ascii="仿宋" w:hAnsi="仿宋" w:eastAsia="仿宋"/>
                <w:color w:val="000000"/>
                <w:szCs w:val="21"/>
              </w:rPr>
            </w:pPr>
            <w:r>
              <w:rPr>
                <w:rFonts w:hint="eastAsia" w:ascii="仿宋" w:hAnsi="仿宋" w:eastAsia="仿宋"/>
                <w:color w:val="000000"/>
                <w:szCs w:val="21"/>
              </w:rPr>
              <w:t>各专项技能</w:t>
            </w:r>
          </w:p>
        </w:tc>
        <w:tc>
          <w:tcPr>
            <w:tcW w:w="1349" w:type="dxa"/>
            <w:vAlign w:val="center"/>
          </w:tcPr>
          <w:p w14:paraId="2558501F">
            <w:pPr>
              <w:jc w:val="center"/>
              <w:rPr>
                <w:rFonts w:hint="eastAsia" w:ascii="仿宋" w:hAnsi="仿宋" w:eastAsia="仿宋"/>
                <w:szCs w:val="21"/>
              </w:rPr>
            </w:pPr>
            <w:r>
              <w:rPr>
                <w:rFonts w:hint="eastAsia" w:ascii="仿宋" w:hAnsi="仿宋" w:eastAsia="仿宋"/>
                <w:bCs/>
                <w:szCs w:val="21"/>
              </w:rPr>
              <w:t>8、9</w:t>
            </w:r>
          </w:p>
        </w:tc>
      </w:tr>
    </w:tbl>
    <w:p w14:paraId="3C14A7FE">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六</w:t>
      </w:r>
      <w:r>
        <w:rPr>
          <w:rFonts w:ascii="仿宋" w:hAnsi="仿宋" w:eastAsia="仿宋"/>
          <w:b/>
          <w:sz w:val="28"/>
          <w:szCs w:val="28"/>
        </w:rPr>
        <w:t>、</w:t>
      </w:r>
      <w:r>
        <w:rPr>
          <w:rFonts w:hint="eastAsia" w:ascii="仿宋" w:hAnsi="仿宋" w:eastAsia="仿宋"/>
          <w:b/>
          <w:sz w:val="28"/>
          <w:szCs w:val="28"/>
        </w:rPr>
        <w:t>有关说明</w:t>
      </w:r>
    </w:p>
    <w:p w14:paraId="7F7D8D8B">
      <w:pPr>
        <w:spacing w:line="360" w:lineRule="auto"/>
        <w:ind w:firstLine="482" w:firstLineChars="200"/>
        <w:rPr>
          <w:rFonts w:hint="eastAsia" w:ascii="仿宋" w:hAnsi="仿宋" w:eastAsia="仿宋"/>
          <w:b/>
          <w:color w:val="000000"/>
          <w:sz w:val="24"/>
        </w:rPr>
      </w:pPr>
      <w:r>
        <w:rPr>
          <w:rFonts w:hint="eastAsia" w:ascii="仿宋" w:hAnsi="仿宋" w:eastAsia="仿宋"/>
          <w:b/>
          <w:color w:val="000000"/>
          <w:sz w:val="24"/>
        </w:rPr>
        <w:t>（一）持续改进</w:t>
      </w:r>
    </w:p>
    <w:p w14:paraId="0EABF846">
      <w:pPr>
        <w:spacing w:line="360" w:lineRule="auto"/>
        <w:ind w:firstLine="480" w:firstLineChars="200"/>
        <w:rPr>
          <w:rFonts w:hint="eastAsia" w:ascii="仿宋" w:hAnsi="仿宋" w:eastAsia="仿宋"/>
          <w:sz w:val="24"/>
        </w:rPr>
      </w:pPr>
      <w:r>
        <w:rPr>
          <w:rFonts w:hint="eastAsia" w:ascii="仿宋" w:hAnsi="仿宋" w:eastAsia="仿宋"/>
          <w:sz w:val="24"/>
        </w:rPr>
        <w:t>本课程根据学生课外</w:t>
      </w:r>
      <w:r>
        <w:rPr>
          <w:rFonts w:ascii="仿宋" w:hAnsi="仿宋" w:eastAsia="仿宋"/>
          <w:sz w:val="24"/>
        </w:rPr>
        <w:t>体育</w:t>
      </w:r>
      <w:r>
        <w:rPr>
          <w:rFonts w:hint="eastAsia" w:ascii="仿宋" w:hAnsi="仿宋" w:eastAsia="仿宋"/>
          <w:sz w:val="24"/>
        </w:rPr>
        <w:t>锻炼、课堂表现、体质测试、平时考核情况，以及学生、教学督导等反馈，及时对教学中不足之处进行改进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766042C2">
      <w:pPr>
        <w:spacing w:line="360" w:lineRule="auto"/>
        <w:ind w:firstLine="482" w:firstLineChars="200"/>
        <w:jc w:val="left"/>
        <w:rPr>
          <w:rFonts w:hint="eastAsia" w:ascii="仿宋" w:hAnsi="仿宋" w:eastAsia="仿宋"/>
          <w:sz w:val="24"/>
        </w:rPr>
      </w:pPr>
      <w:r>
        <w:rPr>
          <w:rFonts w:hint="eastAsia" w:ascii="仿宋" w:hAnsi="仿宋" w:eastAsia="仿宋"/>
          <w:b/>
          <w:color w:val="000000"/>
          <w:sz w:val="24"/>
        </w:rPr>
        <w:t>（二）教学参考书</w:t>
      </w:r>
    </w:p>
    <w:p w14:paraId="65EE088E">
      <w:pPr>
        <w:spacing w:line="360" w:lineRule="auto"/>
        <w:ind w:firstLine="480" w:firstLineChars="200"/>
        <w:jc w:val="left"/>
        <w:rPr>
          <w:rFonts w:hint="eastAsia"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77CB27FE">
      <w:pPr>
        <w:wordWrap w:val="0"/>
        <w:spacing w:line="360" w:lineRule="exact"/>
        <w:jc w:val="right"/>
        <w:rPr>
          <w:rFonts w:hint="eastAsia" w:ascii="仿宋" w:hAnsi="仿宋" w:eastAsia="仿宋"/>
          <w:sz w:val="24"/>
        </w:rPr>
      </w:pPr>
    </w:p>
    <w:p w14:paraId="47CA3781">
      <w:pPr>
        <w:spacing w:line="360" w:lineRule="exact"/>
        <w:jc w:val="right"/>
        <w:rPr>
          <w:rFonts w:hint="eastAsia" w:ascii="仿宋" w:hAnsi="仿宋" w:eastAsia="仿宋"/>
          <w:sz w:val="24"/>
        </w:rPr>
      </w:pPr>
      <w:r>
        <w:rPr>
          <w:rFonts w:hint="eastAsia" w:ascii="仿宋" w:hAnsi="仿宋" w:eastAsia="仿宋"/>
          <w:sz w:val="24"/>
        </w:rPr>
        <w:t>执笔人：顾  宏</w:t>
      </w:r>
    </w:p>
    <w:p w14:paraId="33C02FFF">
      <w:pPr>
        <w:spacing w:line="360" w:lineRule="exact"/>
        <w:ind w:firstLine="480" w:firstLineChars="200"/>
        <w:jc w:val="right"/>
        <w:rPr>
          <w:rFonts w:hint="eastAsia" w:ascii="仿宋" w:hAnsi="仿宋" w:eastAsia="仿宋"/>
          <w:sz w:val="24"/>
        </w:rPr>
      </w:pPr>
      <w:r>
        <w:rPr>
          <w:rFonts w:hint="eastAsia" w:ascii="仿宋" w:hAnsi="仿宋" w:eastAsia="仿宋"/>
          <w:sz w:val="24"/>
        </w:rPr>
        <w:t>审定人：方曙</w:t>
      </w:r>
      <w:r>
        <w:rPr>
          <w:rFonts w:ascii="仿宋" w:hAnsi="仿宋" w:eastAsia="仿宋"/>
          <w:sz w:val="24"/>
        </w:rPr>
        <w:t>光</w:t>
      </w:r>
    </w:p>
    <w:p w14:paraId="6EFE2532">
      <w:pPr>
        <w:autoSpaceDE w:val="0"/>
        <w:autoSpaceDN w:val="0"/>
        <w:adjustRightInd w:val="0"/>
        <w:spacing w:line="360" w:lineRule="auto"/>
        <w:ind w:firstLine="480" w:firstLineChars="200"/>
        <w:jc w:val="right"/>
        <w:rPr>
          <w:rFonts w:hint="eastAsia" w:ascii="仿宋" w:hAnsi="仿宋" w:eastAsia="仿宋"/>
        </w:rPr>
      </w:pPr>
      <w:r>
        <w:rPr>
          <w:rFonts w:hint="eastAsia" w:ascii="仿宋" w:hAnsi="仿宋" w:eastAsia="仿宋"/>
          <w:sz w:val="24"/>
        </w:rPr>
        <w:t>批准人：王红福</w:t>
      </w:r>
    </w:p>
    <w:p w14:paraId="26E5EE05">
      <w:pPr>
        <w:spacing w:line="312" w:lineRule="auto"/>
        <w:jc w:val="center"/>
        <w:rPr>
          <w:rFonts w:hint="eastAsia" w:ascii="仿宋" w:hAnsi="仿宋" w:eastAsia="仿宋"/>
          <w:b/>
          <w:bCs/>
          <w:sz w:val="30"/>
        </w:rPr>
      </w:pPr>
    </w:p>
    <w:p w14:paraId="5DE8FD39">
      <w:pPr>
        <w:spacing w:line="312" w:lineRule="auto"/>
        <w:jc w:val="center"/>
        <w:rPr>
          <w:rFonts w:hint="eastAsia" w:ascii="仿宋" w:hAnsi="仿宋" w:eastAsia="仿宋"/>
          <w:b/>
          <w:bCs/>
          <w:sz w:val="30"/>
        </w:rPr>
      </w:pPr>
    </w:p>
    <w:p w14:paraId="4E475184">
      <w:pPr>
        <w:spacing w:line="312" w:lineRule="auto"/>
        <w:jc w:val="center"/>
        <w:rPr>
          <w:rFonts w:hint="eastAsia" w:ascii="仿宋" w:hAnsi="仿宋" w:eastAsia="仿宋"/>
          <w:b/>
          <w:bCs/>
          <w:sz w:val="30"/>
        </w:rPr>
      </w:pPr>
    </w:p>
    <w:p w14:paraId="210F1EAE">
      <w:pPr>
        <w:spacing w:line="312" w:lineRule="auto"/>
        <w:jc w:val="center"/>
        <w:rPr>
          <w:rFonts w:hint="eastAsia" w:ascii="仿宋" w:hAnsi="仿宋" w:eastAsia="仿宋"/>
          <w:b/>
          <w:bCs/>
          <w:sz w:val="30"/>
        </w:rPr>
      </w:pPr>
    </w:p>
    <w:p w14:paraId="5C18B800">
      <w:pPr>
        <w:spacing w:line="312" w:lineRule="auto"/>
        <w:jc w:val="center"/>
        <w:rPr>
          <w:rFonts w:hint="eastAsia" w:ascii="仿宋" w:hAnsi="仿宋" w:eastAsia="仿宋"/>
          <w:b/>
          <w:bCs/>
          <w:sz w:val="30"/>
        </w:rPr>
      </w:pPr>
    </w:p>
    <w:p w14:paraId="3B57BA15">
      <w:pPr>
        <w:spacing w:line="312" w:lineRule="auto"/>
        <w:jc w:val="center"/>
        <w:rPr>
          <w:rFonts w:hint="eastAsia" w:ascii="仿宋" w:hAnsi="仿宋" w:eastAsia="仿宋"/>
          <w:b/>
          <w:bCs/>
          <w:sz w:val="30"/>
        </w:rPr>
      </w:pPr>
    </w:p>
    <w:p w14:paraId="2F8A888E">
      <w:pPr>
        <w:spacing w:line="312" w:lineRule="auto"/>
        <w:jc w:val="center"/>
        <w:rPr>
          <w:rFonts w:hint="eastAsia" w:ascii="仿宋" w:hAnsi="仿宋" w:eastAsia="仿宋"/>
          <w:b/>
          <w:bCs/>
          <w:sz w:val="30"/>
        </w:rPr>
      </w:pPr>
    </w:p>
    <w:p w14:paraId="70A569A7">
      <w:pPr>
        <w:spacing w:line="312" w:lineRule="auto"/>
        <w:jc w:val="center"/>
        <w:rPr>
          <w:rFonts w:hint="eastAsia" w:ascii="仿宋" w:hAnsi="仿宋" w:eastAsia="仿宋"/>
          <w:b/>
          <w:bCs/>
          <w:sz w:val="30"/>
        </w:rPr>
      </w:pPr>
    </w:p>
    <w:p w14:paraId="14D3231B">
      <w:pPr>
        <w:spacing w:line="312" w:lineRule="auto"/>
        <w:jc w:val="center"/>
        <w:rPr>
          <w:rFonts w:hint="eastAsia" w:ascii="仿宋" w:hAnsi="仿宋" w:eastAsia="仿宋"/>
          <w:b/>
          <w:bCs/>
          <w:sz w:val="30"/>
        </w:rPr>
      </w:pPr>
    </w:p>
    <w:p w14:paraId="02F68AF8">
      <w:pPr>
        <w:spacing w:line="312" w:lineRule="auto"/>
        <w:jc w:val="center"/>
        <w:rPr>
          <w:rFonts w:hint="eastAsia" w:ascii="仿宋" w:hAnsi="仿宋" w:eastAsia="仿宋"/>
          <w:b/>
          <w:bCs/>
          <w:sz w:val="30"/>
        </w:rPr>
      </w:pPr>
    </w:p>
    <w:p w14:paraId="473DFC7F">
      <w:pPr>
        <w:spacing w:line="312" w:lineRule="auto"/>
        <w:jc w:val="center"/>
        <w:rPr>
          <w:rFonts w:hint="eastAsia" w:ascii="仿宋" w:hAnsi="仿宋" w:eastAsia="仿宋"/>
          <w:b/>
          <w:bCs/>
          <w:sz w:val="30"/>
        </w:rPr>
      </w:pPr>
    </w:p>
    <w:p w14:paraId="300C7B04">
      <w:pPr>
        <w:spacing w:line="312" w:lineRule="auto"/>
        <w:jc w:val="center"/>
        <w:rPr>
          <w:rFonts w:hint="eastAsia" w:ascii="仿宋" w:hAnsi="仿宋" w:eastAsia="仿宋"/>
          <w:b/>
          <w:bCs/>
          <w:sz w:val="30"/>
        </w:rPr>
      </w:pPr>
    </w:p>
    <w:p w14:paraId="69D821FD">
      <w:pPr>
        <w:spacing w:line="312" w:lineRule="auto"/>
        <w:jc w:val="center"/>
        <w:rPr>
          <w:rFonts w:hint="eastAsia" w:ascii="仿宋" w:hAnsi="仿宋" w:eastAsia="仿宋"/>
          <w:b/>
          <w:bCs/>
          <w:sz w:val="30"/>
        </w:rPr>
      </w:pPr>
    </w:p>
    <w:p w14:paraId="239CE970">
      <w:pPr>
        <w:spacing w:line="312" w:lineRule="auto"/>
        <w:jc w:val="center"/>
        <w:rPr>
          <w:rFonts w:hint="eastAsia" w:ascii="仿宋" w:hAnsi="仿宋" w:eastAsia="仿宋"/>
          <w:b/>
          <w:bCs/>
          <w:sz w:val="30"/>
        </w:rPr>
      </w:pPr>
    </w:p>
    <w:p w14:paraId="55B43132">
      <w:bookmarkStart w:id="34" w:name="_Toc10841"/>
      <w:r>
        <w:rPr>
          <w:rFonts w:hint="eastAsia"/>
        </w:rPr>
        <w:br w:type="page"/>
      </w:r>
    </w:p>
    <w:p w14:paraId="7CD03E40">
      <w:pPr>
        <w:pStyle w:val="2"/>
        <w:tabs>
          <w:tab w:val="left" w:pos="720"/>
          <w:tab w:val="left" w:pos="2700"/>
        </w:tabs>
      </w:pPr>
      <w:bookmarkStart w:id="35" w:name="_Toc367"/>
      <w:r>
        <w:rPr>
          <w:rFonts w:hint="eastAsia"/>
        </w:rPr>
        <w:t>《体育Ⅴ》</w:t>
      </w:r>
      <w:r>
        <w:t>课程教学大纲</w:t>
      </w:r>
      <w:bookmarkEnd w:id="34"/>
      <w:bookmarkEnd w:id="35"/>
    </w:p>
    <w:p w14:paraId="5BF11D73">
      <w:pPr>
        <w:spacing w:line="312" w:lineRule="auto"/>
        <w:jc w:val="center"/>
        <w:rPr>
          <w:rFonts w:hint="eastAsia" w:ascii="仿宋" w:hAnsi="仿宋" w:eastAsia="仿宋"/>
          <w:b/>
          <w:bCs/>
          <w:sz w:val="30"/>
        </w:rPr>
      </w:pPr>
      <w:r>
        <w:rPr>
          <w:rFonts w:ascii="仿宋" w:hAnsi="仿宋" w:eastAsia="仿宋"/>
          <w:b/>
          <w:bCs/>
          <w:sz w:val="30"/>
        </w:rPr>
        <w:t>（Physical  Education</w:t>
      </w:r>
      <w:r>
        <w:rPr>
          <w:rFonts w:hint="eastAsia" w:ascii="仿宋" w:hAnsi="仿宋" w:eastAsia="仿宋" w:cs="宋体"/>
          <w:b/>
          <w:bCs/>
          <w:sz w:val="30"/>
          <w:lang w:eastAsia="ja-JP"/>
        </w:rPr>
        <w:t>Ⅴ</w:t>
      </w:r>
      <w:r>
        <w:rPr>
          <w:rFonts w:ascii="仿宋" w:hAnsi="仿宋" w:eastAsia="仿宋"/>
          <w:b/>
          <w:bCs/>
          <w:sz w:val="30"/>
        </w:rPr>
        <w:t>）</w:t>
      </w:r>
    </w:p>
    <w:p w14:paraId="4C03BCE3">
      <w:pPr>
        <w:spacing w:line="360" w:lineRule="auto"/>
        <w:ind w:firstLine="551" w:firstLineChars="196"/>
        <w:rPr>
          <w:rFonts w:hint="eastAsia" w:ascii="仿宋" w:hAnsi="仿宋" w:eastAsia="仿宋"/>
          <w:b/>
          <w:sz w:val="28"/>
          <w:szCs w:val="28"/>
        </w:rPr>
      </w:pPr>
      <w:r>
        <w:rPr>
          <w:rFonts w:ascii="仿宋" w:hAnsi="仿宋" w:eastAsia="仿宋"/>
          <w:b/>
          <w:sz w:val="28"/>
          <w:szCs w:val="28"/>
        </w:rPr>
        <w:t>一、课程概况</w:t>
      </w:r>
    </w:p>
    <w:p w14:paraId="467230D3">
      <w:pPr>
        <w:spacing w:line="360" w:lineRule="auto"/>
        <w:ind w:firstLine="482" w:firstLineChars="200"/>
        <w:rPr>
          <w:rFonts w:hint="eastAsia" w:ascii="仿宋" w:hAnsi="仿宋" w:eastAsia="仿宋"/>
          <w:bCs/>
          <w:sz w:val="28"/>
          <w:szCs w:val="28"/>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w:t>
      </w:r>
      <w:r>
        <w:rPr>
          <w:rFonts w:ascii="仿宋" w:hAnsi="仿宋" w:eastAsia="仿宋"/>
          <w:bCs/>
          <w:kern w:val="0"/>
          <w:sz w:val="24"/>
        </w:rPr>
        <w:t>3</w:t>
      </w:r>
      <w:r>
        <w:rPr>
          <w:rFonts w:hint="eastAsia" w:ascii="仿宋" w:hAnsi="仿宋" w:eastAsia="仿宋"/>
          <w:bCs/>
          <w:kern w:val="0"/>
          <w:sz w:val="24"/>
        </w:rPr>
        <w:t>0</w:t>
      </w:r>
      <w:r>
        <w:rPr>
          <w:rFonts w:ascii="仿宋" w:hAnsi="仿宋" w:eastAsia="仿宋"/>
          <w:bCs/>
          <w:kern w:val="0"/>
          <w:sz w:val="24"/>
        </w:rPr>
        <w:t>10</w:t>
      </w:r>
    </w:p>
    <w:p w14:paraId="25C7D8C2">
      <w:pPr>
        <w:spacing w:line="360" w:lineRule="auto"/>
        <w:ind w:firstLine="482" w:firstLineChars="200"/>
        <w:rPr>
          <w:rFonts w:hint="eastAsia" w:ascii="仿宋" w:hAnsi="仿宋" w:eastAsia="仿宋"/>
          <w:bCs/>
          <w:kern w:val="0"/>
          <w:sz w:val="24"/>
        </w:rPr>
      </w:pPr>
      <w:r>
        <w:rPr>
          <w:rFonts w:ascii="仿宋" w:hAnsi="仿宋" w:eastAsia="仿宋"/>
          <w:b/>
          <w:bCs/>
          <w:kern w:val="0"/>
          <w:sz w:val="24"/>
        </w:rPr>
        <w:t>学    分</w:t>
      </w:r>
      <w:r>
        <w:rPr>
          <w:rFonts w:ascii="仿宋" w:hAnsi="仿宋" w:eastAsia="仿宋"/>
          <w:b/>
          <w:kern w:val="0"/>
          <w:sz w:val="24"/>
        </w:rPr>
        <w:t>：</w:t>
      </w:r>
      <w:r>
        <w:rPr>
          <w:rFonts w:ascii="仿宋" w:hAnsi="仿宋" w:eastAsia="仿宋"/>
          <w:bCs/>
          <w:kern w:val="0"/>
          <w:sz w:val="24"/>
        </w:rPr>
        <w:t>0.5</w:t>
      </w:r>
    </w:p>
    <w:p w14:paraId="7ED3569A">
      <w:pPr>
        <w:spacing w:line="360" w:lineRule="auto"/>
        <w:ind w:firstLine="482" w:firstLineChars="200"/>
        <w:rPr>
          <w:rFonts w:hint="eastAsia"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ascii="仿宋" w:hAnsi="仿宋" w:eastAsia="仿宋"/>
          <w:kern w:val="0"/>
          <w:sz w:val="24"/>
        </w:rPr>
        <w:t>18</w:t>
      </w:r>
    </w:p>
    <w:p w14:paraId="0CAE40C5">
      <w:pPr>
        <w:spacing w:line="360" w:lineRule="auto"/>
        <w:ind w:firstLine="482" w:firstLineChars="200"/>
        <w:rPr>
          <w:rFonts w:hint="eastAsia"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hint="eastAsia" w:ascii="仿宋" w:hAnsi="仿宋" w:eastAsia="仿宋"/>
          <w:kern w:val="0"/>
          <w:sz w:val="24"/>
        </w:rPr>
        <w:t>全校各专业</w:t>
      </w:r>
      <w:r>
        <w:rPr>
          <w:rFonts w:ascii="仿宋" w:hAnsi="仿宋" w:eastAsia="仿宋"/>
          <w:kern w:val="0"/>
          <w:sz w:val="24"/>
        </w:rPr>
        <w:t xml:space="preserve">                        </w:t>
      </w:r>
    </w:p>
    <w:p w14:paraId="13F76B8F">
      <w:pPr>
        <w:spacing w:line="360" w:lineRule="auto"/>
        <w:ind w:firstLine="482" w:firstLineChars="200"/>
        <w:rPr>
          <w:rFonts w:hint="eastAsia" w:ascii="仿宋" w:hAnsi="仿宋" w:eastAsia="仿宋"/>
          <w:kern w:val="0"/>
          <w:sz w:val="24"/>
        </w:rPr>
      </w:pPr>
      <w:r>
        <w:rPr>
          <w:rFonts w:ascii="仿宋" w:hAnsi="仿宋" w:eastAsia="仿宋"/>
          <w:b/>
          <w:bCs/>
          <w:kern w:val="0"/>
          <w:sz w:val="24"/>
        </w:rPr>
        <w:t>教</w:t>
      </w:r>
      <w:r>
        <w:rPr>
          <w:rFonts w:hint="eastAsia" w:ascii="仿宋" w:hAnsi="仿宋" w:eastAsia="仿宋"/>
          <w:b/>
          <w:bCs/>
          <w:kern w:val="0"/>
          <w:sz w:val="24"/>
        </w:rPr>
        <w:t xml:space="preserve">    </w:t>
      </w:r>
      <w:r>
        <w:rPr>
          <w:rFonts w:ascii="仿宋" w:hAnsi="仿宋" w:eastAsia="仿宋"/>
          <w:b/>
          <w:bCs/>
          <w:kern w:val="0"/>
          <w:sz w:val="24"/>
        </w:rPr>
        <w:t>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15E603F3">
      <w:pPr>
        <w:spacing w:line="360" w:lineRule="auto"/>
        <w:ind w:firstLine="482" w:firstLineChars="200"/>
        <w:rPr>
          <w:rFonts w:hint="eastAsia"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34324131">
      <w:pPr>
        <w:autoSpaceDE w:val="0"/>
        <w:autoSpaceDN w:val="0"/>
        <w:adjustRightInd w:val="0"/>
        <w:spacing w:line="360" w:lineRule="auto"/>
        <w:ind w:firstLine="482" w:firstLineChars="200"/>
        <w:jc w:val="left"/>
        <w:rPr>
          <w:rFonts w:hint="eastAsia" w:ascii="仿宋" w:hAnsi="仿宋" w:eastAsia="仿宋"/>
          <w:sz w:val="24"/>
        </w:rPr>
      </w:pPr>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线下、自主锻炼、</w:t>
      </w:r>
      <w:r>
        <w:rPr>
          <w:rFonts w:ascii="仿宋" w:hAnsi="仿宋" w:eastAsia="仿宋"/>
          <w:sz w:val="24"/>
        </w:rPr>
        <w:t>体质测试</w:t>
      </w:r>
      <w:r>
        <w:rPr>
          <w:rFonts w:hint="eastAsia" w:ascii="仿宋" w:hAnsi="仿宋" w:eastAsia="仿宋"/>
          <w:sz w:val="24"/>
        </w:rPr>
        <w:t>和课外体育俱乐部等组织形式作为本课程重要组成部分，从而巩固课内学习效果，培养学生自我锻炼意识和习惯。</w:t>
      </w:r>
    </w:p>
    <w:p w14:paraId="06FBCC52">
      <w:pPr>
        <w:spacing w:line="360" w:lineRule="auto"/>
        <w:ind w:firstLine="480" w:firstLineChars="200"/>
        <w:rPr>
          <w:rFonts w:hint="eastAsia" w:ascii="仿宋" w:hAnsi="仿宋" w:eastAsia="仿宋"/>
          <w:sz w:val="24"/>
        </w:rPr>
      </w:pPr>
      <w:r>
        <w:rPr>
          <w:rFonts w:hint="eastAsia" w:ascii="仿宋" w:hAnsi="仿宋" w:eastAsia="仿宋"/>
          <w:sz w:val="24"/>
        </w:rPr>
        <w:t>通过本课程的学习，实现大学3年体育课程教育，大学4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04DA1F43">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二</w:t>
      </w:r>
      <w:r>
        <w:rPr>
          <w:rFonts w:ascii="仿宋" w:hAnsi="仿宋" w:eastAsia="仿宋"/>
          <w:b/>
          <w:sz w:val="28"/>
          <w:szCs w:val="28"/>
        </w:rPr>
        <w:t>、课程目标</w:t>
      </w:r>
      <w:r>
        <w:rPr>
          <w:rFonts w:hint="eastAsia" w:ascii="仿宋" w:hAnsi="仿宋" w:eastAsia="仿宋"/>
          <w:b/>
          <w:sz w:val="28"/>
          <w:szCs w:val="28"/>
        </w:rPr>
        <w:t>与毕业要求指标点对应关系</w:t>
      </w:r>
    </w:p>
    <w:p w14:paraId="3EEE0D07">
      <w:pPr>
        <w:spacing w:line="360" w:lineRule="auto"/>
        <w:ind w:firstLine="480" w:firstLineChars="200"/>
        <w:rPr>
          <w:rFonts w:hint="eastAsia" w:ascii="仿宋" w:hAnsi="仿宋" w:eastAsia="仿宋"/>
          <w:sz w:val="24"/>
        </w:rPr>
      </w:pPr>
      <w:r>
        <w:rPr>
          <w:rFonts w:hint="eastAsia" w:ascii="仿宋" w:hAnsi="仿宋" w:eastAsia="仿宋"/>
          <w:sz w:val="24"/>
        </w:rPr>
        <w:t>目标1：爱好并积极参与各种体育活动，全面发展体能，能正确评价和测试自己的身体体质与健康状况，能够编制可行的个人锻炼计划。树立“健康第一”思想和正确的体育道德观，养成健康的生活方式，具有健康的体魄。学会运用适宜的方法调节自己的情绪，积极调整和改善自己的心理现状，在体育锻炼中体验运动的乐趣和成功的感觉，增强与他人交流沟通、团结合作的能力，正确处理好竞争与合作的关系，提高社会适应能力。</w:t>
      </w:r>
    </w:p>
    <w:p w14:paraId="4D76AE84">
      <w:pPr>
        <w:spacing w:line="360" w:lineRule="auto"/>
        <w:ind w:firstLine="480" w:firstLineChars="200"/>
        <w:rPr>
          <w:rFonts w:hint="eastAsia"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13"/>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2076CC3F">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5D11EA26">
            <w:pPr>
              <w:widowControl/>
              <w:jc w:val="center"/>
              <w:rPr>
                <w:rFonts w:hint="eastAsia" w:ascii="仿宋" w:hAnsi="仿宋" w:eastAsia="仿宋"/>
                <w:kern w:val="0"/>
                <w:szCs w:val="21"/>
              </w:rPr>
            </w:pPr>
            <w:r>
              <w:rPr>
                <w:rFonts w:ascii="仿宋" w:hAnsi="仿宋" w:eastAsia="仿宋"/>
                <w:kern w:val="0"/>
                <w:szCs w:val="21"/>
              </w:rPr>
              <w:t>毕业要求</w:t>
            </w:r>
          </w:p>
          <w:p w14:paraId="135098BC">
            <w:pPr>
              <w:widowControl/>
              <w:jc w:val="center"/>
              <w:rPr>
                <w:rFonts w:hint="eastAsia" w:ascii="仿宋" w:hAnsi="仿宋" w:eastAsia="仿宋"/>
                <w:kern w:val="0"/>
                <w:szCs w:val="21"/>
              </w:rPr>
            </w:pPr>
            <w:r>
              <w:rPr>
                <w:rFonts w:ascii="仿宋" w:hAnsi="仿宋" w:eastAsia="仿宋"/>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1600317A">
            <w:pPr>
              <w:widowControl/>
              <w:jc w:val="center"/>
              <w:rPr>
                <w:rFonts w:hint="eastAsia" w:ascii="仿宋" w:hAnsi="仿宋" w:eastAsia="仿宋"/>
                <w:kern w:val="0"/>
                <w:szCs w:val="21"/>
              </w:rPr>
            </w:pPr>
            <w:r>
              <w:rPr>
                <w:rFonts w:ascii="仿宋" w:hAnsi="仿宋" w:eastAsia="仿宋"/>
                <w:kern w:val="0"/>
                <w:szCs w:val="21"/>
              </w:rPr>
              <w:t>课程目标</w:t>
            </w:r>
          </w:p>
        </w:tc>
      </w:tr>
      <w:tr w14:paraId="4EB58BC6">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88645D6">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2231D805">
            <w:pPr>
              <w:widowControl/>
              <w:jc w:val="center"/>
              <w:rPr>
                <w:rFonts w:hint="eastAsia" w:ascii="仿宋" w:hAnsi="仿宋" w:eastAsia="仿宋"/>
                <w:kern w:val="0"/>
                <w:szCs w:val="21"/>
              </w:rPr>
            </w:pPr>
            <w:r>
              <w:rPr>
                <w:rFonts w:ascii="仿宋" w:hAnsi="仿宋" w:eastAsia="仿宋"/>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6D38F0E9">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3C7F0438">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6FD1AFA2">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5A4BCB24">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28BD167F">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914C79F">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2D3B1586">
            <w:pPr>
              <w:widowControl/>
              <w:jc w:val="center"/>
              <w:rPr>
                <w:rFonts w:hint="eastAsia" w:ascii="仿宋" w:hAnsi="仿宋" w:eastAsia="仿宋"/>
                <w:kern w:val="0"/>
                <w:szCs w:val="21"/>
              </w:rPr>
            </w:pPr>
          </w:p>
        </w:tc>
      </w:tr>
      <w:tr w14:paraId="1E470515">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25BFF975">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510" w:type="pct"/>
            <w:tcBorders>
              <w:top w:val="nil"/>
              <w:left w:val="nil"/>
              <w:bottom w:val="single" w:color="auto" w:sz="4" w:space="0"/>
              <w:right w:val="single" w:color="auto" w:sz="4" w:space="0"/>
            </w:tcBorders>
            <w:noWrap/>
            <w:vAlign w:val="center"/>
          </w:tcPr>
          <w:p w14:paraId="50D1BEC4">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19904710">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4F02ECD4">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3E446DD0">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62359482">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3C8F3829">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5D6A5D2D">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548570D9">
            <w:pPr>
              <w:widowControl/>
              <w:jc w:val="center"/>
              <w:rPr>
                <w:rFonts w:hint="eastAsia" w:ascii="仿宋" w:hAnsi="仿宋" w:eastAsia="仿宋"/>
                <w:kern w:val="0"/>
                <w:szCs w:val="21"/>
              </w:rPr>
            </w:pPr>
          </w:p>
        </w:tc>
      </w:tr>
      <w:tr w14:paraId="170171D4">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259ABEB6">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510" w:type="pct"/>
            <w:tcBorders>
              <w:top w:val="nil"/>
              <w:left w:val="nil"/>
              <w:bottom w:val="single" w:color="auto" w:sz="4" w:space="0"/>
              <w:right w:val="single" w:color="auto" w:sz="4" w:space="0"/>
            </w:tcBorders>
            <w:noWrap/>
            <w:vAlign w:val="center"/>
          </w:tcPr>
          <w:p w14:paraId="3C931BEB">
            <w:pPr>
              <w:widowControl/>
              <w:jc w:val="center"/>
              <w:rPr>
                <w:rFonts w:hint="eastAsia"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72A2CB01">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6A52CDE3">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5B1664B">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1AE0326">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BBB6941">
            <w:pPr>
              <w:widowControl/>
              <w:jc w:val="center"/>
              <w:rPr>
                <w:rFonts w:hint="eastAsia"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FC188AE">
            <w:pPr>
              <w:widowControl/>
              <w:jc w:val="center"/>
              <w:rPr>
                <w:rFonts w:hint="eastAsia"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2EA5502C">
            <w:pPr>
              <w:widowControl/>
              <w:jc w:val="center"/>
              <w:rPr>
                <w:rFonts w:hint="eastAsia" w:ascii="仿宋" w:hAnsi="仿宋" w:eastAsia="仿宋"/>
                <w:kern w:val="0"/>
                <w:szCs w:val="21"/>
              </w:rPr>
            </w:pPr>
          </w:p>
        </w:tc>
      </w:tr>
    </w:tbl>
    <w:p w14:paraId="2D7898F0">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三</w:t>
      </w:r>
      <w:r>
        <w:rPr>
          <w:rFonts w:ascii="仿宋" w:hAnsi="仿宋" w:eastAsia="仿宋"/>
          <w:b/>
          <w:sz w:val="28"/>
          <w:szCs w:val="28"/>
        </w:rPr>
        <w:t>、课程内容及要求</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3D9A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068FF2E4">
            <w:pPr>
              <w:jc w:val="center"/>
              <w:rPr>
                <w:rFonts w:hint="eastAsia" w:ascii="仿宋" w:hAnsi="仿宋" w:eastAsia="仿宋"/>
                <w:b/>
                <w:bCs/>
                <w:szCs w:val="21"/>
              </w:rPr>
            </w:pPr>
            <w:r>
              <w:rPr>
                <w:rFonts w:ascii="仿宋" w:hAnsi="仿宋" w:eastAsia="仿宋"/>
                <w:b/>
                <w:bCs/>
                <w:szCs w:val="21"/>
              </w:rPr>
              <w:t>序号</w:t>
            </w:r>
          </w:p>
        </w:tc>
        <w:tc>
          <w:tcPr>
            <w:tcW w:w="1623" w:type="pct"/>
            <w:vAlign w:val="center"/>
          </w:tcPr>
          <w:p w14:paraId="5B65B96E">
            <w:pPr>
              <w:jc w:val="center"/>
              <w:rPr>
                <w:rFonts w:hint="eastAsia" w:ascii="仿宋" w:hAnsi="仿宋" w:eastAsia="仿宋"/>
                <w:b/>
                <w:bCs/>
                <w:szCs w:val="21"/>
              </w:rPr>
            </w:pPr>
            <w:r>
              <w:rPr>
                <w:rFonts w:ascii="仿宋" w:hAnsi="仿宋" w:eastAsia="仿宋"/>
                <w:b/>
                <w:bCs/>
                <w:szCs w:val="21"/>
              </w:rPr>
              <w:t>教学内容</w:t>
            </w:r>
          </w:p>
        </w:tc>
        <w:tc>
          <w:tcPr>
            <w:tcW w:w="541" w:type="pct"/>
            <w:vAlign w:val="center"/>
          </w:tcPr>
          <w:p w14:paraId="688793AD">
            <w:pPr>
              <w:jc w:val="center"/>
              <w:rPr>
                <w:rFonts w:hint="eastAsia" w:ascii="仿宋" w:hAnsi="仿宋" w:eastAsia="仿宋"/>
                <w:b/>
                <w:bCs/>
                <w:szCs w:val="21"/>
              </w:rPr>
            </w:pPr>
            <w:r>
              <w:rPr>
                <w:rFonts w:ascii="仿宋" w:hAnsi="仿宋" w:eastAsia="仿宋"/>
                <w:b/>
                <w:bCs/>
                <w:szCs w:val="21"/>
              </w:rPr>
              <w:t>思政</w:t>
            </w:r>
          </w:p>
          <w:p w14:paraId="34394CC8">
            <w:pPr>
              <w:jc w:val="center"/>
              <w:rPr>
                <w:rFonts w:hint="eastAsia" w:ascii="仿宋" w:hAnsi="仿宋" w:eastAsia="仿宋"/>
                <w:b/>
                <w:bCs/>
                <w:szCs w:val="21"/>
              </w:rPr>
            </w:pPr>
            <w:r>
              <w:rPr>
                <w:rFonts w:ascii="仿宋" w:hAnsi="仿宋" w:eastAsia="仿宋"/>
                <w:b/>
                <w:bCs/>
                <w:szCs w:val="21"/>
              </w:rPr>
              <w:t>元素</w:t>
            </w:r>
          </w:p>
        </w:tc>
        <w:tc>
          <w:tcPr>
            <w:tcW w:w="1160" w:type="pct"/>
            <w:vAlign w:val="center"/>
          </w:tcPr>
          <w:p w14:paraId="154374F1">
            <w:pPr>
              <w:jc w:val="center"/>
              <w:rPr>
                <w:rFonts w:hint="eastAsia" w:ascii="仿宋" w:hAnsi="仿宋" w:eastAsia="仿宋"/>
                <w:b/>
                <w:bCs/>
                <w:szCs w:val="21"/>
              </w:rPr>
            </w:pPr>
            <w:r>
              <w:rPr>
                <w:rFonts w:ascii="仿宋" w:hAnsi="仿宋" w:eastAsia="仿宋"/>
                <w:b/>
                <w:bCs/>
                <w:szCs w:val="21"/>
              </w:rPr>
              <w:t>预期学习成果</w:t>
            </w:r>
          </w:p>
        </w:tc>
        <w:tc>
          <w:tcPr>
            <w:tcW w:w="386" w:type="pct"/>
            <w:vAlign w:val="center"/>
          </w:tcPr>
          <w:p w14:paraId="57EA04AF">
            <w:pPr>
              <w:jc w:val="center"/>
              <w:rPr>
                <w:rFonts w:hint="eastAsia" w:ascii="仿宋" w:hAnsi="仿宋" w:eastAsia="仿宋"/>
                <w:b/>
                <w:bCs/>
                <w:szCs w:val="21"/>
              </w:rPr>
            </w:pPr>
            <w:r>
              <w:rPr>
                <w:rFonts w:ascii="仿宋" w:hAnsi="仿宋" w:eastAsia="仿宋"/>
                <w:b/>
                <w:bCs/>
                <w:szCs w:val="21"/>
              </w:rPr>
              <w:t>教学学时</w:t>
            </w:r>
          </w:p>
        </w:tc>
        <w:tc>
          <w:tcPr>
            <w:tcW w:w="464" w:type="pct"/>
            <w:vAlign w:val="center"/>
          </w:tcPr>
          <w:p w14:paraId="47C2A430">
            <w:pPr>
              <w:jc w:val="center"/>
              <w:rPr>
                <w:rFonts w:hint="eastAsia" w:ascii="仿宋" w:hAnsi="仿宋" w:eastAsia="仿宋"/>
                <w:b/>
                <w:bCs/>
                <w:szCs w:val="21"/>
              </w:rPr>
            </w:pPr>
            <w:r>
              <w:rPr>
                <w:rFonts w:ascii="仿宋" w:hAnsi="仿宋" w:eastAsia="仿宋"/>
                <w:b/>
                <w:bCs/>
                <w:szCs w:val="21"/>
              </w:rPr>
              <w:t>教学</w:t>
            </w:r>
          </w:p>
          <w:p w14:paraId="11218D86">
            <w:pPr>
              <w:jc w:val="center"/>
              <w:rPr>
                <w:rFonts w:hint="eastAsia" w:ascii="仿宋" w:hAnsi="仿宋" w:eastAsia="仿宋"/>
                <w:b/>
                <w:bCs/>
                <w:szCs w:val="21"/>
              </w:rPr>
            </w:pPr>
            <w:r>
              <w:rPr>
                <w:rFonts w:ascii="仿宋" w:hAnsi="仿宋" w:eastAsia="仿宋"/>
                <w:b/>
                <w:bCs/>
                <w:szCs w:val="21"/>
              </w:rPr>
              <w:t>方式</w:t>
            </w:r>
          </w:p>
        </w:tc>
        <w:tc>
          <w:tcPr>
            <w:tcW w:w="520" w:type="pct"/>
            <w:vAlign w:val="center"/>
          </w:tcPr>
          <w:p w14:paraId="4F3EF71D">
            <w:pPr>
              <w:jc w:val="center"/>
              <w:rPr>
                <w:rFonts w:hint="eastAsia" w:ascii="仿宋" w:hAnsi="仿宋" w:eastAsia="仿宋"/>
                <w:b/>
                <w:bCs/>
                <w:szCs w:val="21"/>
              </w:rPr>
            </w:pPr>
            <w:r>
              <w:rPr>
                <w:rFonts w:ascii="仿宋" w:hAnsi="仿宋" w:eastAsia="仿宋"/>
                <w:b/>
                <w:bCs/>
                <w:szCs w:val="21"/>
              </w:rPr>
              <w:t>支撑课程目标</w:t>
            </w:r>
          </w:p>
        </w:tc>
      </w:tr>
      <w:tr w14:paraId="62A9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7E238FEE">
            <w:pPr>
              <w:jc w:val="center"/>
              <w:rPr>
                <w:rFonts w:hint="eastAsia" w:ascii="仿宋" w:hAnsi="仿宋" w:eastAsia="仿宋"/>
                <w:szCs w:val="21"/>
              </w:rPr>
            </w:pPr>
            <w:r>
              <w:rPr>
                <w:rFonts w:ascii="仿宋" w:hAnsi="仿宋" w:eastAsia="仿宋"/>
                <w:szCs w:val="21"/>
              </w:rPr>
              <w:t>1</w:t>
            </w:r>
          </w:p>
        </w:tc>
        <w:tc>
          <w:tcPr>
            <w:tcW w:w="1623" w:type="pct"/>
            <w:vAlign w:val="center"/>
          </w:tcPr>
          <w:p w14:paraId="35558636">
            <w:pPr>
              <w:jc w:val="left"/>
              <w:rPr>
                <w:rFonts w:hint="eastAsia" w:ascii="仿宋" w:hAnsi="仿宋" w:eastAsia="仿宋"/>
                <w:b/>
                <w:szCs w:val="21"/>
              </w:rPr>
            </w:pPr>
            <w:r>
              <w:rPr>
                <w:rFonts w:hint="eastAsia" w:ascii="仿宋" w:hAnsi="仿宋" w:eastAsia="仿宋"/>
                <w:b/>
                <w:szCs w:val="21"/>
              </w:rPr>
              <w:t>㈠体育理论部分:</w:t>
            </w:r>
          </w:p>
          <w:p w14:paraId="2D0A9D0F">
            <w:pPr>
              <w:jc w:val="left"/>
              <w:rPr>
                <w:rFonts w:hint="eastAsia" w:ascii="仿宋" w:hAnsi="仿宋" w:eastAsia="仿宋"/>
                <w:bCs/>
              </w:rPr>
            </w:pPr>
            <w:r>
              <w:rPr>
                <w:rFonts w:hint="eastAsia" w:ascii="仿宋" w:hAnsi="仿宋" w:eastAsia="仿宋"/>
                <w:bCs/>
              </w:rPr>
              <w:t>1.学生思想政治教育：我校体育运动发展概况、国家领导人与体育、奥运明星的励志故事、社会主义核心价值观与体育等；</w:t>
            </w:r>
          </w:p>
          <w:p w14:paraId="0B382151">
            <w:pPr>
              <w:jc w:val="left"/>
              <w:rPr>
                <w:rFonts w:hint="eastAsia" w:ascii="仿宋" w:hAnsi="仿宋" w:eastAsia="仿宋"/>
              </w:rPr>
            </w:pPr>
            <w:r>
              <w:rPr>
                <w:rFonts w:hint="eastAsia" w:ascii="仿宋" w:hAnsi="仿宋" w:eastAsia="仿宋"/>
                <w:bCs/>
              </w:rPr>
              <w:t>2</w:t>
            </w:r>
            <w:r>
              <w:rPr>
                <w:rFonts w:ascii="仿宋" w:hAnsi="仿宋" w:eastAsia="仿宋"/>
                <w:bCs/>
              </w:rPr>
              <w:t>.</w:t>
            </w:r>
            <w:r>
              <w:rPr>
                <w:rFonts w:hint="eastAsia" w:ascii="仿宋" w:hAnsi="仿宋" w:eastAsia="仿宋"/>
              </w:rPr>
              <w:t>体育安全教育：体育运动伤害事故的安全教育及预防与处理措施、常见运动损伤的预防与处理等；</w:t>
            </w:r>
          </w:p>
          <w:p w14:paraId="0362E43D">
            <w:pPr>
              <w:jc w:val="left"/>
              <w:rPr>
                <w:rFonts w:hint="eastAsia" w:ascii="仿宋" w:hAnsi="仿宋" w:eastAsia="仿宋"/>
                <w:szCs w:val="21"/>
              </w:rPr>
            </w:pPr>
            <w:r>
              <w:rPr>
                <w:rFonts w:hint="eastAsia" w:ascii="仿宋" w:hAnsi="仿宋" w:eastAsia="仿宋"/>
              </w:rPr>
              <w:t>3.体育基本理论：各运动项目的基本技战术知识、组织与竞赛、基本规则和裁判法，运动健身的基本原理与锻炼方法，体育锻炼的自我监督与评价，体育养生与保健知识等；</w:t>
            </w:r>
          </w:p>
          <w:p w14:paraId="03DABA67">
            <w:pPr>
              <w:ind w:right="-170" w:rightChars="-81"/>
              <w:jc w:val="left"/>
              <w:rPr>
                <w:rFonts w:hint="eastAsia" w:ascii="仿宋" w:hAnsi="仿宋" w:eastAsia="仿宋"/>
                <w:szCs w:val="21"/>
              </w:rPr>
            </w:pPr>
            <w:r>
              <w:rPr>
                <w:rFonts w:hint="eastAsia" w:ascii="仿宋" w:hAnsi="仿宋" w:eastAsia="仿宋"/>
                <w:b/>
                <w:szCs w:val="21"/>
              </w:rPr>
              <w:t>重点：</w:t>
            </w:r>
            <w:r>
              <w:rPr>
                <w:rFonts w:hint="eastAsia" w:ascii="仿宋" w:hAnsi="仿宋" w:eastAsia="仿宋"/>
                <w:szCs w:val="21"/>
              </w:rPr>
              <w:t>体育安全教育、掌握所学项目的基本知识；</w:t>
            </w:r>
          </w:p>
          <w:p w14:paraId="792DA468">
            <w:pPr>
              <w:jc w:val="left"/>
              <w:rPr>
                <w:rFonts w:hint="eastAsia" w:ascii="仿宋" w:hAnsi="仿宋" w:eastAsia="仿宋"/>
                <w:szCs w:val="21"/>
              </w:rPr>
            </w:pPr>
            <w:r>
              <w:rPr>
                <w:rFonts w:hint="eastAsia" w:ascii="仿宋" w:hAnsi="仿宋" w:eastAsia="仿宋"/>
                <w:b/>
                <w:szCs w:val="21"/>
              </w:rPr>
              <w:t>难点：</w:t>
            </w:r>
            <w:r>
              <w:rPr>
                <w:rFonts w:hint="eastAsia" w:ascii="仿宋" w:hAnsi="仿宋" w:eastAsia="仿宋"/>
                <w:szCs w:val="21"/>
              </w:rPr>
              <w:t>培养学生自</w:t>
            </w:r>
            <w:r>
              <w:rPr>
                <w:rFonts w:ascii="仿宋" w:hAnsi="仿宋" w:eastAsia="仿宋"/>
                <w:szCs w:val="21"/>
              </w:rPr>
              <w:t>主锻炼能力和</w:t>
            </w:r>
            <w:r>
              <w:rPr>
                <w:rFonts w:hint="eastAsia" w:ascii="仿宋" w:hAnsi="仿宋" w:eastAsia="仿宋"/>
                <w:szCs w:val="21"/>
              </w:rPr>
              <w:t>自觉锻炼意识。</w:t>
            </w:r>
          </w:p>
        </w:tc>
        <w:tc>
          <w:tcPr>
            <w:tcW w:w="541" w:type="pct"/>
            <w:vAlign w:val="center"/>
          </w:tcPr>
          <w:p w14:paraId="67092350">
            <w:pPr>
              <w:jc w:val="center"/>
              <w:rPr>
                <w:rFonts w:hint="eastAsia" w:ascii="仿宋" w:hAnsi="仿宋" w:eastAsia="仿宋"/>
                <w:kern w:val="0"/>
                <w:szCs w:val="21"/>
              </w:rPr>
            </w:pPr>
            <w:r>
              <w:rPr>
                <w:rFonts w:hint="eastAsia" w:ascii="仿宋" w:hAnsi="仿宋" w:eastAsia="仿宋"/>
                <w:kern w:val="0"/>
                <w:szCs w:val="21"/>
              </w:rPr>
              <w:t>理想信念、国家认同和社会主义核心价值观等教育；安全</w:t>
            </w:r>
            <w:r>
              <w:rPr>
                <w:rFonts w:ascii="仿宋" w:hAnsi="仿宋" w:eastAsia="仿宋"/>
                <w:kern w:val="0"/>
                <w:szCs w:val="21"/>
              </w:rPr>
              <w:t>意识、</w:t>
            </w:r>
            <w:r>
              <w:rPr>
                <w:rFonts w:hint="eastAsia" w:ascii="仿宋" w:hAnsi="仿宋" w:eastAsia="仿宋"/>
                <w:kern w:val="0"/>
                <w:szCs w:val="21"/>
              </w:rPr>
              <w:t>健康意识教育</w:t>
            </w:r>
            <w:r>
              <w:rPr>
                <w:rFonts w:ascii="仿宋" w:hAnsi="仿宋" w:eastAsia="仿宋"/>
                <w:kern w:val="0"/>
                <w:szCs w:val="21"/>
              </w:rPr>
              <w:t>；</w:t>
            </w:r>
            <w:r>
              <w:rPr>
                <w:rFonts w:hint="eastAsia" w:ascii="仿宋" w:hAnsi="仿宋" w:eastAsia="仿宋"/>
                <w:kern w:val="0"/>
                <w:szCs w:val="21"/>
              </w:rPr>
              <w:t xml:space="preserve"> </w:t>
            </w:r>
          </w:p>
        </w:tc>
        <w:tc>
          <w:tcPr>
            <w:tcW w:w="1160" w:type="pct"/>
            <w:vAlign w:val="center"/>
          </w:tcPr>
          <w:p w14:paraId="649CA5E0">
            <w:pPr>
              <w:autoSpaceDE w:val="0"/>
              <w:autoSpaceDN w:val="0"/>
              <w:adjustRightInd w:val="0"/>
              <w:jc w:val="left"/>
              <w:rPr>
                <w:rFonts w:hint="eastAsia" w:ascii="仿宋" w:hAnsi="仿宋" w:eastAsia="仿宋"/>
                <w:kern w:val="0"/>
                <w:szCs w:val="21"/>
              </w:rPr>
            </w:pPr>
            <w:r>
              <w:rPr>
                <w:rFonts w:hint="eastAsia" w:ascii="仿宋" w:hAnsi="仿宋" w:eastAsia="仿宋"/>
                <w:kern w:val="0"/>
                <w:szCs w:val="21"/>
              </w:rPr>
              <w:t>通过学习，进一</w:t>
            </w:r>
            <w:r>
              <w:rPr>
                <w:rFonts w:ascii="仿宋" w:hAnsi="仿宋" w:eastAsia="仿宋"/>
                <w:kern w:val="0"/>
                <w:szCs w:val="21"/>
              </w:rPr>
              <w:t>步巩固和</w:t>
            </w:r>
            <w:r>
              <w:rPr>
                <w:rFonts w:hint="eastAsia" w:ascii="仿宋" w:hAnsi="仿宋" w:eastAsia="仿宋"/>
                <w:kern w:val="0"/>
                <w:szCs w:val="21"/>
              </w:rPr>
              <w:t>提高学生对体育的正确认识，形成正确积极的体育态度，学会运用科学理论指导健身锻炼实际，从而自觉遵循体育运动的规律，实现体育锻炼的目的。</w:t>
            </w:r>
          </w:p>
        </w:tc>
        <w:tc>
          <w:tcPr>
            <w:tcW w:w="386" w:type="pct"/>
            <w:vAlign w:val="center"/>
          </w:tcPr>
          <w:p w14:paraId="68947F34">
            <w:pPr>
              <w:jc w:val="center"/>
              <w:rPr>
                <w:rFonts w:hint="eastAsia" w:ascii="仿宋" w:hAnsi="仿宋" w:eastAsia="仿宋"/>
                <w:szCs w:val="21"/>
              </w:rPr>
            </w:pPr>
            <w:r>
              <w:rPr>
                <w:rFonts w:ascii="仿宋" w:hAnsi="仿宋" w:eastAsia="仿宋"/>
                <w:szCs w:val="21"/>
              </w:rPr>
              <w:t>2</w:t>
            </w:r>
          </w:p>
        </w:tc>
        <w:tc>
          <w:tcPr>
            <w:tcW w:w="464" w:type="pct"/>
            <w:vAlign w:val="center"/>
          </w:tcPr>
          <w:p w14:paraId="23E0DF42">
            <w:pPr>
              <w:jc w:val="left"/>
              <w:rPr>
                <w:rFonts w:hint="eastAsia" w:ascii="仿宋" w:hAnsi="仿宋" w:eastAsia="仿宋"/>
                <w:szCs w:val="21"/>
              </w:rPr>
            </w:pPr>
            <w:r>
              <w:rPr>
                <w:rFonts w:hint="eastAsia" w:ascii="仿宋" w:hAnsi="仿宋" w:eastAsia="仿宋"/>
                <w:szCs w:val="21"/>
              </w:rPr>
              <w:t>讲授法</w:t>
            </w:r>
          </w:p>
        </w:tc>
        <w:tc>
          <w:tcPr>
            <w:tcW w:w="520" w:type="pct"/>
            <w:vAlign w:val="center"/>
          </w:tcPr>
          <w:p w14:paraId="04E1BA00">
            <w:pPr>
              <w:jc w:val="left"/>
              <w:rPr>
                <w:rFonts w:hint="eastAsia" w:ascii="仿宋" w:hAnsi="仿宋" w:eastAsia="仿宋"/>
                <w:szCs w:val="21"/>
              </w:rPr>
            </w:pPr>
            <w:r>
              <w:rPr>
                <w:rFonts w:hint="eastAsia" w:ascii="仿宋" w:hAnsi="仿宋" w:eastAsia="仿宋"/>
                <w:szCs w:val="21"/>
              </w:rPr>
              <w:t>目标1目标2</w:t>
            </w:r>
          </w:p>
        </w:tc>
      </w:tr>
      <w:tr w14:paraId="3119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8" w:hRule="atLeast"/>
          <w:jc w:val="center"/>
        </w:trPr>
        <w:tc>
          <w:tcPr>
            <w:tcW w:w="306" w:type="pct"/>
            <w:vAlign w:val="center"/>
          </w:tcPr>
          <w:p w14:paraId="145699ED">
            <w:pPr>
              <w:jc w:val="center"/>
              <w:rPr>
                <w:rFonts w:hint="eastAsia" w:ascii="仿宋" w:hAnsi="仿宋" w:eastAsia="仿宋"/>
                <w:szCs w:val="21"/>
              </w:rPr>
            </w:pPr>
            <w:r>
              <w:rPr>
                <w:rFonts w:ascii="仿宋" w:hAnsi="仿宋" w:eastAsia="仿宋"/>
                <w:szCs w:val="21"/>
              </w:rPr>
              <w:t>2</w:t>
            </w:r>
          </w:p>
        </w:tc>
        <w:tc>
          <w:tcPr>
            <w:tcW w:w="1623" w:type="pct"/>
            <w:vAlign w:val="center"/>
          </w:tcPr>
          <w:p w14:paraId="595BC53B">
            <w:pPr>
              <w:jc w:val="left"/>
              <w:rPr>
                <w:rFonts w:hint="eastAsia" w:ascii="仿宋" w:hAnsi="仿宋" w:eastAsia="仿宋"/>
                <w:b/>
                <w:szCs w:val="21"/>
              </w:rPr>
            </w:pPr>
            <w:r>
              <w:rPr>
                <w:rFonts w:hint="eastAsia" w:ascii="仿宋" w:hAnsi="仿宋" w:eastAsia="仿宋"/>
                <w:b/>
                <w:szCs w:val="21"/>
              </w:rPr>
              <w:t>㈡实践部分：</w:t>
            </w:r>
          </w:p>
          <w:p w14:paraId="30AA41C0">
            <w:pPr>
              <w:rPr>
                <w:rFonts w:hint="eastAsia" w:ascii="仿宋" w:hAnsi="仿宋" w:eastAsia="仿宋"/>
                <w:bCs/>
              </w:rPr>
            </w:pPr>
            <w:r>
              <w:rPr>
                <w:rFonts w:hint="eastAsia" w:ascii="仿宋" w:hAnsi="仿宋" w:eastAsia="仿宋"/>
                <w:bCs/>
              </w:rPr>
              <w:t>各类体育活动和国家学生体质健康标准测试项目为主，主要包括体质测试、早锻炼、学生课外健身活动以及校级、院级和体育社团组织的各种体育比赛活动等。</w:t>
            </w:r>
          </w:p>
          <w:p w14:paraId="0EA92A03">
            <w:pPr>
              <w:rPr>
                <w:rFonts w:hint="eastAsia" w:ascii="仿宋" w:hAnsi="仿宋" w:eastAsia="仿宋"/>
                <w:bCs/>
              </w:rPr>
            </w:pPr>
            <w:r>
              <w:rPr>
                <w:rFonts w:hint="eastAsia" w:ascii="仿宋" w:hAnsi="仿宋" w:eastAsia="仿宋"/>
                <w:b/>
                <w:bCs/>
              </w:rPr>
              <w:t>重点：</w:t>
            </w:r>
            <w:r>
              <w:rPr>
                <w:rFonts w:hint="eastAsia" w:ascii="仿宋" w:hAnsi="仿宋" w:eastAsia="仿宋"/>
                <w:bCs/>
              </w:rPr>
              <w:t>编制可行的个人体育锻炼计划并</w:t>
            </w:r>
            <w:r>
              <w:rPr>
                <w:rFonts w:ascii="仿宋" w:hAnsi="仿宋" w:eastAsia="仿宋"/>
                <w:bCs/>
              </w:rPr>
              <w:t>积极</w:t>
            </w:r>
            <w:r>
              <w:rPr>
                <w:rFonts w:hint="eastAsia" w:ascii="仿宋" w:hAnsi="仿宋" w:eastAsia="仿宋"/>
                <w:bCs/>
              </w:rPr>
              <w:t>实践。</w:t>
            </w:r>
          </w:p>
          <w:p w14:paraId="0ABD5E9B">
            <w:pPr>
              <w:rPr>
                <w:rFonts w:hint="eastAsia" w:ascii="仿宋" w:hAnsi="仿宋" w:eastAsia="仿宋"/>
                <w:bCs/>
              </w:rPr>
            </w:pPr>
            <w:r>
              <w:rPr>
                <w:rFonts w:hint="eastAsia" w:ascii="仿宋" w:hAnsi="仿宋" w:eastAsia="仿宋"/>
                <w:b/>
                <w:bCs/>
              </w:rPr>
              <w:t>难点：</w:t>
            </w:r>
            <w:r>
              <w:rPr>
                <w:rFonts w:hint="eastAsia" w:ascii="仿宋" w:hAnsi="仿宋" w:eastAsia="仿宋"/>
                <w:bCs/>
              </w:rPr>
              <w:t>全面发</w:t>
            </w:r>
            <w:r>
              <w:rPr>
                <w:rFonts w:ascii="仿宋" w:hAnsi="仿宋" w:eastAsia="仿宋"/>
                <w:bCs/>
              </w:rPr>
              <w:t>展体能，</w:t>
            </w:r>
            <w:r>
              <w:rPr>
                <w:rFonts w:hint="eastAsia" w:ascii="仿宋" w:hAnsi="仿宋" w:eastAsia="仿宋"/>
                <w:bCs/>
              </w:rPr>
              <w:t>完成体质</w:t>
            </w:r>
            <w:r>
              <w:rPr>
                <w:rFonts w:ascii="仿宋" w:hAnsi="仿宋" w:eastAsia="仿宋"/>
                <w:bCs/>
              </w:rPr>
              <w:t>健康标准测试</w:t>
            </w:r>
            <w:r>
              <w:rPr>
                <w:rFonts w:hint="eastAsia" w:ascii="仿宋" w:hAnsi="仿宋" w:eastAsia="仿宋"/>
                <w:bCs/>
              </w:rPr>
              <w:t>。</w:t>
            </w:r>
          </w:p>
        </w:tc>
        <w:tc>
          <w:tcPr>
            <w:tcW w:w="541" w:type="pct"/>
            <w:vAlign w:val="center"/>
          </w:tcPr>
          <w:p w14:paraId="1DE3058D">
            <w:pPr>
              <w:widowControl/>
              <w:ind w:left="-44" w:leftChars="-21" w:right="-109" w:rightChars="-52" w:firstLine="44" w:firstLineChars="21"/>
              <w:jc w:val="left"/>
              <w:rPr>
                <w:rFonts w:hint="eastAsia"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意志品德培育；规则</w:t>
            </w:r>
            <w:r>
              <w:rPr>
                <w:rFonts w:ascii="仿宋" w:hAnsi="仿宋" w:eastAsia="仿宋"/>
                <w:kern w:val="0"/>
                <w:szCs w:val="21"/>
              </w:rPr>
              <w:t>意识和</w:t>
            </w:r>
            <w:r>
              <w:rPr>
                <w:rFonts w:hint="eastAsia" w:ascii="仿宋" w:hAnsi="仿宋" w:eastAsia="仿宋"/>
                <w:kern w:val="0"/>
                <w:szCs w:val="21"/>
              </w:rPr>
              <w:t>诚信意识教育。</w:t>
            </w:r>
          </w:p>
        </w:tc>
        <w:tc>
          <w:tcPr>
            <w:tcW w:w="1160" w:type="pct"/>
            <w:vAlign w:val="center"/>
          </w:tcPr>
          <w:p w14:paraId="2958B044">
            <w:pPr>
              <w:spacing w:before="156" w:beforeLines="50" w:after="156" w:afterLines="50" w:line="360" w:lineRule="exact"/>
              <w:ind w:firstLine="420" w:firstLineChars="200"/>
              <w:jc w:val="left"/>
              <w:rPr>
                <w:rFonts w:hint="eastAsia" w:ascii="仿宋" w:hAnsi="仿宋" w:eastAsia="仿宋"/>
                <w:szCs w:val="21"/>
              </w:rPr>
            </w:pPr>
            <w:r>
              <w:rPr>
                <w:rFonts w:hint="eastAsia" w:ascii="仿宋" w:hAnsi="仿宋" w:eastAsia="仿宋"/>
                <w:szCs w:val="21"/>
              </w:rPr>
              <w:t>通过课外实践，使学生巩固课内学习效果，掌握科学锻炼的基础知识、基本技能和有效方法，</w:t>
            </w:r>
            <w:r>
              <w:rPr>
                <w:rFonts w:hint="eastAsia" w:ascii="仿宋" w:hAnsi="仿宋" w:eastAsia="仿宋"/>
                <w:kern w:val="0"/>
                <w:szCs w:val="21"/>
              </w:rPr>
              <w:t>发展身体素质</w:t>
            </w:r>
            <w:r>
              <w:rPr>
                <w:rFonts w:hint="eastAsia" w:ascii="仿宋" w:hAnsi="仿宋" w:eastAsia="仿宋"/>
                <w:szCs w:val="21"/>
              </w:rPr>
              <w:t>；在运动中体验运动的乐趣和成功的感觉；选择适宜的体育活动调节自己的情绪，减轻学习压力，提高学习效率；表现出良好的体育道德和合作精神；正确处理竞争与合作的关系；通过体育活动，建立良好的人际关系；达到“国家体质健康标准”</w:t>
            </w:r>
            <w:r>
              <w:rPr>
                <w:rFonts w:hint="eastAsia" w:ascii="仿宋" w:hAnsi="仿宋" w:eastAsia="仿宋"/>
                <w:kern w:val="0"/>
                <w:szCs w:val="21"/>
              </w:rPr>
              <w:t>。</w:t>
            </w:r>
          </w:p>
        </w:tc>
        <w:tc>
          <w:tcPr>
            <w:tcW w:w="386" w:type="pct"/>
            <w:vAlign w:val="center"/>
          </w:tcPr>
          <w:p w14:paraId="4A6EE377">
            <w:pPr>
              <w:jc w:val="center"/>
              <w:rPr>
                <w:rFonts w:hint="eastAsia" w:ascii="仿宋" w:hAnsi="仿宋" w:eastAsia="仿宋"/>
                <w:szCs w:val="21"/>
              </w:rPr>
            </w:pPr>
            <w:r>
              <w:rPr>
                <w:rFonts w:ascii="仿宋" w:hAnsi="仿宋" w:eastAsia="仿宋"/>
                <w:szCs w:val="21"/>
              </w:rPr>
              <w:t>16</w:t>
            </w:r>
          </w:p>
        </w:tc>
        <w:tc>
          <w:tcPr>
            <w:tcW w:w="464" w:type="pct"/>
            <w:vAlign w:val="center"/>
          </w:tcPr>
          <w:p w14:paraId="1B192001">
            <w:pPr>
              <w:rPr>
                <w:rFonts w:hint="eastAsia"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vAlign w:val="center"/>
          </w:tcPr>
          <w:p w14:paraId="2DED7CB0">
            <w:pPr>
              <w:jc w:val="left"/>
              <w:rPr>
                <w:rFonts w:hint="eastAsia" w:ascii="仿宋" w:hAnsi="仿宋" w:eastAsia="仿宋"/>
                <w:szCs w:val="21"/>
              </w:rPr>
            </w:pPr>
            <w:r>
              <w:rPr>
                <w:rFonts w:hint="eastAsia" w:ascii="仿宋" w:hAnsi="仿宋" w:eastAsia="仿宋"/>
                <w:szCs w:val="21"/>
              </w:rPr>
              <w:t>目标1</w:t>
            </w:r>
          </w:p>
          <w:p w14:paraId="0AD539DE">
            <w:pPr>
              <w:jc w:val="left"/>
              <w:rPr>
                <w:rFonts w:hint="eastAsia" w:ascii="仿宋" w:hAnsi="仿宋" w:eastAsia="仿宋"/>
                <w:szCs w:val="21"/>
              </w:rPr>
            </w:pPr>
            <w:r>
              <w:rPr>
                <w:rFonts w:hint="eastAsia" w:ascii="仿宋" w:hAnsi="仿宋" w:eastAsia="仿宋"/>
                <w:szCs w:val="21"/>
              </w:rPr>
              <w:t>目标2</w:t>
            </w:r>
          </w:p>
        </w:tc>
      </w:tr>
    </w:tbl>
    <w:p w14:paraId="40897C81">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四、课程实施</w:t>
      </w:r>
    </w:p>
    <w:p w14:paraId="757A403E">
      <w:pPr>
        <w:spacing w:before="156" w:beforeLines="50" w:after="156" w:afterLines="50" w:line="360" w:lineRule="exact"/>
        <w:ind w:firstLine="482" w:firstLineChars="200"/>
        <w:jc w:val="left"/>
        <w:rPr>
          <w:rFonts w:hint="eastAsia" w:ascii="仿宋" w:hAnsi="仿宋" w:eastAsia="仿宋"/>
          <w:b/>
          <w:sz w:val="24"/>
        </w:rPr>
      </w:pPr>
      <w:r>
        <w:rPr>
          <w:rFonts w:hint="eastAsia" w:ascii="仿宋" w:hAnsi="仿宋" w:eastAsia="仿宋"/>
          <w:b/>
          <w:sz w:val="24"/>
        </w:rPr>
        <w:t>（一）方法与手段</w:t>
      </w:r>
    </w:p>
    <w:p w14:paraId="6DFF937D">
      <w:pPr>
        <w:spacing w:before="156" w:beforeLines="50" w:after="156" w:afterLines="50" w:line="360" w:lineRule="exact"/>
        <w:ind w:firstLine="480" w:firstLineChars="200"/>
        <w:jc w:val="left"/>
        <w:rPr>
          <w:rFonts w:hint="eastAsia" w:ascii="仿宋" w:hAnsi="仿宋" w:eastAsia="仿宋"/>
          <w:sz w:val="24"/>
        </w:rPr>
      </w:pPr>
      <w:r>
        <w:rPr>
          <w:rFonts w:hint="eastAsia" w:ascii="仿宋" w:hAnsi="仿宋" w:eastAsia="仿宋"/>
          <w:sz w:val="24"/>
        </w:rPr>
        <w:t>采用线上+线下、自主锻炼、体质测试和课外体育俱乐部等组织形式。</w:t>
      </w:r>
    </w:p>
    <w:p w14:paraId="00CA241D">
      <w:pPr>
        <w:spacing w:line="360" w:lineRule="auto"/>
        <w:ind w:firstLine="482" w:firstLineChars="200"/>
        <w:rPr>
          <w:rFonts w:hint="eastAsia" w:ascii="仿宋" w:hAnsi="仿宋" w:eastAsia="仿宋"/>
          <w:b/>
          <w:sz w:val="24"/>
        </w:rPr>
      </w:pPr>
      <w:r>
        <w:rPr>
          <w:rFonts w:hint="eastAsia" w:ascii="仿宋" w:hAnsi="仿宋" w:eastAsia="仿宋"/>
          <w:b/>
          <w:sz w:val="24"/>
        </w:rPr>
        <w:t>（二）课程实施与保障</w:t>
      </w:r>
    </w:p>
    <w:tbl>
      <w:tblPr>
        <w:tblStyle w:val="13"/>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58CE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8" w:space="0"/>
              <w:left w:val="single" w:color="auto" w:sz="8" w:space="0"/>
              <w:right w:val="single" w:color="auto" w:sz="8" w:space="0"/>
            </w:tcBorders>
            <w:tcMar>
              <w:left w:w="28" w:type="dxa"/>
              <w:right w:w="28" w:type="dxa"/>
            </w:tcMar>
            <w:vAlign w:val="center"/>
          </w:tcPr>
          <w:p w14:paraId="65D83032">
            <w:pPr>
              <w:spacing w:line="276" w:lineRule="auto"/>
              <w:jc w:val="center"/>
              <w:rPr>
                <w:rFonts w:hint="eastAsia" w:ascii="仿宋" w:hAnsi="仿宋" w:eastAsia="仿宋"/>
                <w:sz w:val="24"/>
              </w:rPr>
            </w:pPr>
            <w:r>
              <w:rPr>
                <w:rFonts w:ascii="仿宋" w:hAnsi="仿宋" w:eastAsia="仿宋" w:cs="宋体"/>
                <w:b/>
                <w:bCs/>
                <w:sz w:val="24"/>
              </w:rPr>
              <w:t>主要环节</w:t>
            </w:r>
          </w:p>
        </w:tc>
        <w:tc>
          <w:tcPr>
            <w:tcW w:w="6640" w:type="dxa"/>
            <w:tcBorders>
              <w:top w:val="single" w:color="auto" w:sz="8" w:space="0"/>
              <w:left w:val="single" w:color="auto" w:sz="8" w:space="0"/>
              <w:right w:val="single" w:color="auto" w:sz="8" w:space="0"/>
            </w:tcBorders>
            <w:vAlign w:val="center"/>
          </w:tcPr>
          <w:p w14:paraId="31BDC8D4">
            <w:pPr>
              <w:spacing w:line="276" w:lineRule="auto"/>
              <w:jc w:val="center"/>
              <w:rPr>
                <w:rFonts w:hint="eastAsia" w:ascii="仿宋" w:hAnsi="仿宋" w:eastAsia="仿宋"/>
                <w:sz w:val="24"/>
              </w:rPr>
            </w:pPr>
            <w:r>
              <w:rPr>
                <w:rFonts w:hint="eastAsia" w:ascii="仿宋" w:hAnsi="仿宋" w:eastAsia="仿宋" w:cs="宋体"/>
                <w:b/>
                <w:bCs/>
                <w:sz w:val="24"/>
              </w:rPr>
              <w:t>质量要求</w:t>
            </w:r>
          </w:p>
        </w:tc>
      </w:tr>
      <w:tr w14:paraId="0D22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7CFCABAB">
            <w:pPr>
              <w:spacing w:line="276" w:lineRule="auto"/>
              <w:jc w:val="center"/>
              <w:rPr>
                <w:rFonts w:hint="eastAsia" w:ascii="仿宋" w:hAnsi="仿宋" w:eastAsia="仿宋"/>
                <w:sz w:val="24"/>
              </w:rPr>
            </w:pPr>
            <w:r>
              <w:rPr>
                <w:rFonts w:ascii="仿宋" w:hAnsi="仿宋" w:eastAsia="仿宋"/>
                <w:sz w:val="24"/>
              </w:rPr>
              <w:t>1</w:t>
            </w:r>
          </w:p>
        </w:tc>
        <w:tc>
          <w:tcPr>
            <w:tcW w:w="1252" w:type="dxa"/>
            <w:tcMar>
              <w:left w:w="28" w:type="dxa"/>
              <w:right w:w="28" w:type="dxa"/>
            </w:tcMar>
            <w:vAlign w:val="center"/>
          </w:tcPr>
          <w:p w14:paraId="0452A720">
            <w:pPr>
              <w:spacing w:line="276" w:lineRule="auto"/>
              <w:jc w:val="center"/>
              <w:rPr>
                <w:rFonts w:hint="eastAsia" w:ascii="仿宋" w:hAnsi="仿宋" w:eastAsia="仿宋"/>
                <w:sz w:val="24"/>
              </w:rPr>
            </w:pPr>
            <w:r>
              <w:rPr>
                <w:rFonts w:hint="eastAsia" w:ascii="仿宋" w:hAnsi="仿宋" w:eastAsia="仿宋"/>
                <w:sz w:val="24"/>
              </w:rPr>
              <w:t>课外锻炼</w:t>
            </w:r>
          </w:p>
        </w:tc>
        <w:tc>
          <w:tcPr>
            <w:tcW w:w="6640" w:type="dxa"/>
            <w:tcBorders>
              <w:right w:val="single" w:color="auto" w:sz="8" w:space="0"/>
            </w:tcBorders>
            <w:vAlign w:val="center"/>
          </w:tcPr>
          <w:p w14:paraId="71E22E98">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学生利用课余时间通过参加体质测试、早锻炼、课外健身活动以及校级、院级和体育社团组织的各种体育比赛等活动，巩固课内学习效果，提高身体素质，培养学生自我锻炼意识和习惯。</w:t>
            </w:r>
          </w:p>
        </w:tc>
      </w:tr>
      <w:tr w14:paraId="18EA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7D639EE0">
            <w:pPr>
              <w:spacing w:line="276" w:lineRule="auto"/>
              <w:jc w:val="center"/>
              <w:rPr>
                <w:rFonts w:hint="eastAsia" w:ascii="仿宋" w:hAnsi="仿宋" w:eastAsia="仿宋"/>
                <w:sz w:val="24"/>
              </w:rPr>
            </w:pPr>
            <w:r>
              <w:rPr>
                <w:rFonts w:ascii="仿宋" w:hAnsi="仿宋" w:eastAsia="仿宋"/>
                <w:sz w:val="24"/>
              </w:rPr>
              <w:t>2</w:t>
            </w:r>
          </w:p>
        </w:tc>
        <w:tc>
          <w:tcPr>
            <w:tcW w:w="1252" w:type="dxa"/>
            <w:tcMar>
              <w:left w:w="28" w:type="dxa"/>
              <w:right w:w="28" w:type="dxa"/>
            </w:tcMar>
            <w:vAlign w:val="center"/>
          </w:tcPr>
          <w:p w14:paraId="71D2EA03">
            <w:pPr>
              <w:spacing w:line="276" w:lineRule="auto"/>
              <w:jc w:val="center"/>
              <w:rPr>
                <w:rFonts w:hint="eastAsia" w:ascii="仿宋" w:hAnsi="仿宋" w:eastAsia="仿宋"/>
                <w:sz w:val="24"/>
              </w:rPr>
            </w:pPr>
            <w:r>
              <w:rPr>
                <w:rFonts w:hint="eastAsia" w:ascii="仿宋" w:hAnsi="仿宋" w:eastAsia="仿宋"/>
                <w:sz w:val="24"/>
              </w:rPr>
              <w:t>成绩考核</w:t>
            </w:r>
          </w:p>
        </w:tc>
        <w:tc>
          <w:tcPr>
            <w:tcW w:w="6640" w:type="dxa"/>
            <w:tcBorders>
              <w:right w:val="single" w:color="auto" w:sz="8" w:space="0"/>
            </w:tcBorders>
            <w:vAlign w:val="center"/>
          </w:tcPr>
          <w:p w14:paraId="436871FF">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本课程考核的方式：以学生参加课外体育活动的考勤次数为依据。总评成绩的评定见《学生参加课外体育活动成绩评定标准》。</w:t>
            </w:r>
          </w:p>
        </w:tc>
      </w:tr>
    </w:tbl>
    <w:p w14:paraId="674EB071">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五</w:t>
      </w:r>
      <w:r>
        <w:rPr>
          <w:rFonts w:ascii="仿宋" w:hAnsi="仿宋" w:eastAsia="仿宋" w:cs="宋体"/>
          <w:b/>
          <w:sz w:val="28"/>
          <w:szCs w:val="28"/>
        </w:rPr>
        <w:t>、</w:t>
      </w:r>
      <w:r>
        <w:rPr>
          <w:rFonts w:hint="eastAsia" w:ascii="仿宋" w:hAnsi="仿宋" w:eastAsia="仿宋" w:cs="宋体"/>
          <w:b/>
          <w:sz w:val="28"/>
          <w:szCs w:val="28"/>
        </w:rPr>
        <w:t>课程考核</w:t>
      </w:r>
    </w:p>
    <w:p w14:paraId="50D3BF09">
      <w:pPr>
        <w:spacing w:line="360" w:lineRule="auto"/>
        <w:ind w:firstLine="480" w:firstLineChars="200"/>
        <w:rPr>
          <w:rFonts w:hint="eastAsia" w:ascii="仿宋" w:hAnsi="仿宋" w:eastAsia="仿宋"/>
          <w:sz w:val="24"/>
        </w:rPr>
      </w:pPr>
      <w:r>
        <w:rPr>
          <w:rFonts w:hint="eastAsia" w:ascii="仿宋" w:hAnsi="仿宋" w:eastAsia="仿宋"/>
          <w:sz w:val="24"/>
        </w:rPr>
        <w:t>（一）课程考核以学生参加课外体育活动的考勤次数为依据，制定学生参加课外体育活动成绩评定标准。主要包括晨跑、课外自主健身跑、健身辅导站、体育社团或单项协会健身活动和校级、院级、体育社团组织的体育竞赛活动等</w:t>
      </w:r>
      <w:r>
        <w:rPr>
          <w:rFonts w:ascii="仿宋" w:hAnsi="仿宋" w:eastAsia="仿宋"/>
          <w:sz w:val="24"/>
        </w:rPr>
        <w:t>。</w:t>
      </w:r>
    </w:p>
    <w:p w14:paraId="665489E5">
      <w:pPr>
        <w:spacing w:line="360" w:lineRule="auto"/>
        <w:ind w:firstLine="480" w:firstLineChars="200"/>
        <w:rPr>
          <w:rFonts w:hint="eastAsia" w:ascii="仿宋" w:hAnsi="仿宋" w:eastAsia="仿宋"/>
          <w:sz w:val="24"/>
        </w:rPr>
      </w:pPr>
      <w:r>
        <w:rPr>
          <w:rFonts w:hint="eastAsia" w:ascii="仿宋" w:hAnsi="仿宋" w:eastAsia="仿宋"/>
          <w:sz w:val="24"/>
        </w:rPr>
        <w:t>（二）学生课外体育活动成绩评定标准。</w:t>
      </w:r>
    </w:p>
    <w:p w14:paraId="543AF6EC">
      <w:pPr>
        <w:spacing w:line="360" w:lineRule="auto"/>
        <w:ind w:firstLine="480" w:firstLineChars="200"/>
        <w:jc w:val="left"/>
        <w:rPr>
          <w:rFonts w:hint="eastAsia" w:ascii="仿宋" w:hAnsi="仿宋" w:eastAsia="仿宋"/>
          <w:sz w:val="24"/>
        </w:rPr>
      </w:pPr>
      <w:r>
        <w:rPr>
          <w:rFonts w:hint="eastAsia" w:ascii="仿宋" w:hAnsi="仿宋" w:eastAsia="仿宋"/>
          <w:sz w:val="24"/>
        </w:rPr>
        <w:t>学生</w:t>
      </w:r>
      <w:r>
        <w:rPr>
          <w:rFonts w:ascii="仿宋" w:hAnsi="仿宋" w:eastAsia="仿宋"/>
          <w:sz w:val="24"/>
        </w:rPr>
        <w:t>参加课外体育活动成绩评定标准（</w:t>
      </w:r>
      <w:r>
        <w:rPr>
          <w:rFonts w:hint="eastAsia" w:ascii="仿宋" w:hAnsi="仿宋" w:eastAsia="仿宋"/>
          <w:sz w:val="24"/>
        </w:rPr>
        <w:t>百分</w:t>
      </w:r>
      <w:r>
        <w:rPr>
          <w:rFonts w:ascii="仿宋" w:hAnsi="仿宋" w:eastAsia="仿宋"/>
          <w:sz w:val="24"/>
        </w:rPr>
        <w:t>制）</w:t>
      </w:r>
    </w:p>
    <w:tbl>
      <w:tblPr>
        <w:tblStyle w:val="13"/>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760"/>
        <w:gridCol w:w="762"/>
        <w:gridCol w:w="760"/>
        <w:gridCol w:w="762"/>
        <w:gridCol w:w="760"/>
        <w:gridCol w:w="762"/>
        <w:gridCol w:w="761"/>
        <w:gridCol w:w="763"/>
        <w:gridCol w:w="763"/>
      </w:tblGrid>
      <w:tr w14:paraId="6A5C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751FA8AD">
            <w:pPr>
              <w:spacing w:line="280" w:lineRule="exact"/>
              <w:jc w:val="center"/>
              <w:rPr>
                <w:rFonts w:hint="eastAsia" w:ascii="仿宋" w:hAnsi="仿宋" w:eastAsia="仿宋"/>
                <w:sz w:val="24"/>
              </w:rPr>
            </w:pPr>
            <w:r>
              <w:rPr>
                <w:rFonts w:hint="eastAsia" w:ascii="仿宋" w:hAnsi="仿宋" w:eastAsia="仿宋"/>
                <w:sz w:val="24"/>
              </w:rPr>
              <w:t>考勤</w:t>
            </w:r>
            <w:r>
              <w:rPr>
                <w:rFonts w:ascii="仿宋" w:hAnsi="仿宋" w:eastAsia="仿宋"/>
                <w:sz w:val="24"/>
              </w:rPr>
              <w:t>次数</w:t>
            </w:r>
          </w:p>
        </w:tc>
        <w:tc>
          <w:tcPr>
            <w:tcW w:w="446" w:type="pct"/>
            <w:vAlign w:val="center"/>
          </w:tcPr>
          <w:p w14:paraId="5A96F918">
            <w:pPr>
              <w:spacing w:line="280" w:lineRule="exact"/>
              <w:jc w:val="center"/>
              <w:rPr>
                <w:rFonts w:hint="eastAsia" w:ascii="仿宋" w:hAnsi="仿宋" w:eastAsia="仿宋"/>
                <w:sz w:val="24"/>
              </w:rPr>
            </w:pPr>
            <w:r>
              <w:rPr>
                <w:rFonts w:ascii="仿宋" w:hAnsi="仿宋" w:eastAsia="仿宋"/>
                <w:sz w:val="24"/>
              </w:rPr>
              <w:t>0</w:t>
            </w:r>
          </w:p>
        </w:tc>
        <w:tc>
          <w:tcPr>
            <w:tcW w:w="447" w:type="pct"/>
            <w:vAlign w:val="center"/>
          </w:tcPr>
          <w:p w14:paraId="6CDEFE7C">
            <w:pPr>
              <w:spacing w:line="280" w:lineRule="exact"/>
              <w:jc w:val="center"/>
              <w:rPr>
                <w:rFonts w:hint="eastAsia" w:ascii="仿宋" w:hAnsi="仿宋" w:eastAsia="仿宋"/>
                <w:sz w:val="24"/>
              </w:rPr>
            </w:pPr>
            <w:r>
              <w:rPr>
                <w:rFonts w:ascii="仿宋" w:hAnsi="仿宋" w:eastAsia="仿宋"/>
                <w:sz w:val="24"/>
              </w:rPr>
              <w:t>5</w:t>
            </w:r>
          </w:p>
        </w:tc>
        <w:tc>
          <w:tcPr>
            <w:tcW w:w="446" w:type="pct"/>
            <w:vAlign w:val="center"/>
          </w:tcPr>
          <w:p w14:paraId="41D5C30C">
            <w:pPr>
              <w:spacing w:line="280" w:lineRule="exact"/>
              <w:jc w:val="center"/>
              <w:rPr>
                <w:rFonts w:hint="eastAsia" w:ascii="仿宋" w:hAnsi="仿宋" w:eastAsia="仿宋"/>
                <w:sz w:val="24"/>
              </w:rPr>
            </w:pPr>
            <w:r>
              <w:rPr>
                <w:rFonts w:ascii="仿宋" w:hAnsi="仿宋" w:eastAsia="仿宋"/>
                <w:sz w:val="24"/>
              </w:rPr>
              <w:t>1</w:t>
            </w:r>
            <w:r>
              <w:rPr>
                <w:rFonts w:hint="eastAsia" w:ascii="仿宋" w:hAnsi="仿宋" w:eastAsia="仿宋"/>
                <w:sz w:val="24"/>
              </w:rPr>
              <w:t>0</w:t>
            </w:r>
          </w:p>
        </w:tc>
        <w:tc>
          <w:tcPr>
            <w:tcW w:w="447" w:type="pct"/>
            <w:vAlign w:val="center"/>
          </w:tcPr>
          <w:p w14:paraId="40A881B2">
            <w:pPr>
              <w:spacing w:line="280" w:lineRule="exact"/>
              <w:jc w:val="center"/>
              <w:rPr>
                <w:rFonts w:hint="eastAsia" w:ascii="仿宋" w:hAnsi="仿宋" w:eastAsia="仿宋"/>
                <w:sz w:val="24"/>
              </w:rPr>
            </w:pPr>
            <w:r>
              <w:rPr>
                <w:rFonts w:ascii="仿宋" w:hAnsi="仿宋" w:eastAsia="仿宋"/>
                <w:sz w:val="24"/>
              </w:rPr>
              <w:t>1</w:t>
            </w:r>
            <w:r>
              <w:rPr>
                <w:rFonts w:hint="eastAsia" w:ascii="仿宋" w:hAnsi="仿宋" w:eastAsia="仿宋"/>
                <w:sz w:val="24"/>
              </w:rPr>
              <w:t>5</w:t>
            </w:r>
          </w:p>
        </w:tc>
        <w:tc>
          <w:tcPr>
            <w:tcW w:w="446" w:type="pct"/>
            <w:vAlign w:val="center"/>
          </w:tcPr>
          <w:p w14:paraId="1B845771">
            <w:pPr>
              <w:spacing w:line="280" w:lineRule="exact"/>
              <w:jc w:val="center"/>
              <w:rPr>
                <w:rFonts w:hint="eastAsia" w:ascii="仿宋" w:hAnsi="仿宋" w:eastAsia="仿宋"/>
                <w:sz w:val="24"/>
              </w:rPr>
            </w:pPr>
            <w:r>
              <w:rPr>
                <w:rFonts w:ascii="仿宋" w:hAnsi="仿宋" w:eastAsia="仿宋"/>
                <w:sz w:val="24"/>
              </w:rPr>
              <w:t>2</w:t>
            </w:r>
            <w:r>
              <w:rPr>
                <w:rFonts w:hint="eastAsia" w:ascii="仿宋" w:hAnsi="仿宋" w:eastAsia="仿宋"/>
                <w:sz w:val="24"/>
              </w:rPr>
              <w:t>0</w:t>
            </w:r>
          </w:p>
        </w:tc>
        <w:tc>
          <w:tcPr>
            <w:tcW w:w="447" w:type="pct"/>
            <w:vAlign w:val="center"/>
          </w:tcPr>
          <w:p w14:paraId="3F1B525B">
            <w:pPr>
              <w:spacing w:line="280" w:lineRule="exact"/>
              <w:jc w:val="center"/>
              <w:rPr>
                <w:rFonts w:hint="eastAsia" w:ascii="仿宋" w:hAnsi="仿宋" w:eastAsia="仿宋"/>
                <w:sz w:val="24"/>
              </w:rPr>
            </w:pPr>
            <w:r>
              <w:rPr>
                <w:rFonts w:ascii="仿宋" w:hAnsi="仿宋" w:eastAsia="仿宋"/>
                <w:sz w:val="24"/>
              </w:rPr>
              <w:t>25</w:t>
            </w:r>
          </w:p>
        </w:tc>
        <w:tc>
          <w:tcPr>
            <w:tcW w:w="446" w:type="pct"/>
            <w:vAlign w:val="center"/>
          </w:tcPr>
          <w:p w14:paraId="163351C4">
            <w:pPr>
              <w:spacing w:line="280" w:lineRule="exact"/>
              <w:jc w:val="center"/>
              <w:rPr>
                <w:rFonts w:hint="eastAsia" w:ascii="仿宋" w:hAnsi="仿宋" w:eastAsia="仿宋"/>
                <w:sz w:val="24"/>
              </w:rPr>
            </w:pPr>
            <w:r>
              <w:rPr>
                <w:rFonts w:ascii="仿宋" w:hAnsi="仿宋" w:eastAsia="仿宋"/>
                <w:sz w:val="24"/>
              </w:rPr>
              <w:t>3</w:t>
            </w:r>
            <w:r>
              <w:rPr>
                <w:rFonts w:hint="eastAsia" w:ascii="仿宋" w:hAnsi="仿宋" w:eastAsia="仿宋"/>
                <w:sz w:val="24"/>
              </w:rPr>
              <w:t>0</w:t>
            </w:r>
          </w:p>
        </w:tc>
        <w:tc>
          <w:tcPr>
            <w:tcW w:w="447" w:type="pct"/>
            <w:vAlign w:val="center"/>
          </w:tcPr>
          <w:p w14:paraId="49D48479">
            <w:pPr>
              <w:spacing w:line="280" w:lineRule="exact"/>
              <w:jc w:val="center"/>
              <w:rPr>
                <w:rFonts w:hint="eastAsia" w:ascii="仿宋" w:hAnsi="仿宋" w:eastAsia="仿宋"/>
                <w:sz w:val="24"/>
              </w:rPr>
            </w:pPr>
            <w:r>
              <w:rPr>
                <w:rFonts w:ascii="仿宋" w:hAnsi="仿宋" w:eastAsia="仿宋"/>
                <w:sz w:val="24"/>
              </w:rPr>
              <w:t>35</w:t>
            </w:r>
          </w:p>
        </w:tc>
        <w:tc>
          <w:tcPr>
            <w:tcW w:w="447" w:type="pct"/>
            <w:vAlign w:val="center"/>
          </w:tcPr>
          <w:p w14:paraId="78EAFF9A">
            <w:pPr>
              <w:spacing w:line="280" w:lineRule="exact"/>
              <w:jc w:val="center"/>
              <w:rPr>
                <w:rFonts w:hint="eastAsia" w:ascii="仿宋" w:hAnsi="仿宋" w:eastAsia="仿宋"/>
                <w:sz w:val="24"/>
              </w:rPr>
            </w:pPr>
            <w:r>
              <w:rPr>
                <w:rFonts w:ascii="仿宋" w:hAnsi="仿宋" w:eastAsia="仿宋"/>
                <w:sz w:val="24"/>
              </w:rPr>
              <w:t>4</w:t>
            </w:r>
            <w:r>
              <w:rPr>
                <w:rFonts w:hint="eastAsia" w:ascii="仿宋" w:hAnsi="仿宋" w:eastAsia="仿宋"/>
                <w:sz w:val="24"/>
              </w:rPr>
              <w:t>0</w:t>
            </w:r>
          </w:p>
        </w:tc>
      </w:tr>
      <w:tr w14:paraId="2D46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0291B70E">
            <w:pPr>
              <w:spacing w:line="280" w:lineRule="exact"/>
              <w:jc w:val="center"/>
              <w:rPr>
                <w:rFonts w:hint="eastAsia" w:ascii="仿宋" w:hAnsi="仿宋" w:eastAsia="仿宋"/>
                <w:sz w:val="24"/>
              </w:rPr>
            </w:pPr>
            <w:r>
              <w:rPr>
                <w:rFonts w:hint="eastAsia" w:ascii="仿宋" w:hAnsi="仿宋" w:eastAsia="仿宋"/>
                <w:sz w:val="24"/>
              </w:rPr>
              <w:t>成绩</w:t>
            </w:r>
          </w:p>
        </w:tc>
        <w:tc>
          <w:tcPr>
            <w:tcW w:w="446" w:type="pct"/>
            <w:vAlign w:val="center"/>
          </w:tcPr>
          <w:p w14:paraId="2B28453E">
            <w:pPr>
              <w:spacing w:line="280" w:lineRule="exact"/>
              <w:jc w:val="center"/>
              <w:rPr>
                <w:rFonts w:hint="eastAsia" w:ascii="仿宋" w:hAnsi="仿宋" w:eastAsia="仿宋"/>
                <w:sz w:val="24"/>
              </w:rPr>
            </w:pPr>
            <w:r>
              <w:rPr>
                <w:rFonts w:hint="eastAsia" w:ascii="仿宋" w:hAnsi="仿宋" w:eastAsia="仿宋"/>
                <w:sz w:val="24"/>
              </w:rPr>
              <w:t>0</w:t>
            </w:r>
          </w:p>
        </w:tc>
        <w:tc>
          <w:tcPr>
            <w:tcW w:w="447" w:type="pct"/>
            <w:vAlign w:val="center"/>
          </w:tcPr>
          <w:p w14:paraId="42F514FF">
            <w:pPr>
              <w:spacing w:line="280" w:lineRule="exact"/>
              <w:jc w:val="center"/>
              <w:rPr>
                <w:rFonts w:hint="eastAsia" w:ascii="仿宋" w:hAnsi="仿宋" w:eastAsia="仿宋"/>
                <w:sz w:val="24"/>
              </w:rPr>
            </w:pPr>
            <w:r>
              <w:rPr>
                <w:rFonts w:ascii="仿宋" w:hAnsi="仿宋" w:eastAsia="仿宋"/>
                <w:sz w:val="24"/>
              </w:rPr>
              <w:t>12.5</w:t>
            </w:r>
          </w:p>
        </w:tc>
        <w:tc>
          <w:tcPr>
            <w:tcW w:w="446" w:type="pct"/>
            <w:vAlign w:val="center"/>
          </w:tcPr>
          <w:p w14:paraId="4F335154">
            <w:pPr>
              <w:spacing w:line="280" w:lineRule="exact"/>
              <w:jc w:val="center"/>
              <w:rPr>
                <w:rFonts w:hint="eastAsia" w:ascii="仿宋" w:hAnsi="仿宋" w:eastAsia="仿宋"/>
                <w:sz w:val="24"/>
              </w:rPr>
            </w:pPr>
            <w:r>
              <w:rPr>
                <w:rFonts w:ascii="仿宋" w:hAnsi="仿宋" w:eastAsia="仿宋"/>
                <w:sz w:val="24"/>
              </w:rPr>
              <w:t>25</w:t>
            </w:r>
          </w:p>
        </w:tc>
        <w:tc>
          <w:tcPr>
            <w:tcW w:w="447" w:type="pct"/>
            <w:vAlign w:val="center"/>
          </w:tcPr>
          <w:p w14:paraId="7EC3E36C">
            <w:pPr>
              <w:spacing w:line="280" w:lineRule="exact"/>
              <w:jc w:val="center"/>
              <w:rPr>
                <w:rFonts w:hint="eastAsia" w:ascii="仿宋" w:hAnsi="仿宋" w:eastAsia="仿宋"/>
                <w:sz w:val="24"/>
              </w:rPr>
            </w:pPr>
            <w:r>
              <w:rPr>
                <w:rFonts w:ascii="仿宋" w:hAnsi="仿宋" w:eastAsia="仿宋"/>
                <w:sz w:val="24"/>
              </w:rPr>
              <w:t>37.5</w:t>
            </w:r>
          </w:p>
        </w:tc>
        <w:tc>
          <w:tcPr>
            <w:tcW w:w="446" w:type="pct"/>
            <w:vAlign w:val="center"/>
          </w:tcPr>
          <w:p w14:paraId="3BF89341">
            <w:pPr>
              <w:spacing w:line="280" w:lineRule="exact"/>
              <w:jc w:val="center"/>
              <w:rPr>
                <w:rFonts w:hint="eastAsia" w:ascii="仿宋" w:hAnsi="仿宋" w:eastAsia="仿宋"/>
                <w:sz w:val="24"/>
              </w:rPr>
            </w:pPr>
            <w:r>
              <w:rPr>
                <w:rFonts w:ascii="仿宋" w:hAnsi="仿宋" w:eastAsia="仿宋"/>
                <w:sz w:val="24"/>
              </w:rPr>
              <w:t>50</w:t>
            </w:r>
          </w:p>
        </w:tc>
        <w:tc>
          <w:tcPr>
            <w:tcW w:w="447" w:type="pct"/>
            <w:vAlign w:val="center"/>
          </w:tcPr>
          <w:p w14:paraId="4A36098B">
            <w:pPr>
              <w:spacing w:line="280" w:lineRule="exact"/>
              <w:jc w:val="center"/>
              <w:rPr>
                <w:rFonts w:hint="eastAsia" w:ascii="仿宋" w:hAnsi="仿宋" w:eastAsia="仿宋"/>
                <w:sz w:val="24"/>
              </w:rPr>
            </w:pPr>
            <w:r>
              <w:rPr>
                <w:rFonts w:ascii="仿宋" w:hAnsi="仿宋" w:eastAsia="仿宋"/>
                <w:sz w:val="24"/>
              </w:rPr>
              <w:t>62.5</w:t>
            </w:r>
          </w:p>
        </w:tc>
        <w:tc>
          <w:tcPr>
            <w:tcW w:w="446" w:type="pct"/>
            <w:vAlign w:val="center"/>
          </w:tcPr>
          <w:p w14:paraId="1618E6AD">
            <w:pPr>
              <w:spacing w:line="280" w:lineRule="exact"/>
              <w:jc w:val="center"/>
              <w:rPr>
                <w:rFonts w:hint="eastAsia" w:ascii="仿宋" w:hAnsi="仿宋" w:eastAsia="仿宋"/>
                <w:sz w:val="24"/>
              </w:rPr>
            </w:pPr>
            <w:r>
              <w:rPr>
                <w:rFonts w:ascii="仿宋" w:hAnsi="仿宋" w:eastAsia="仿宋"/>
                <w:sz w:val="24"/>
              </w:rPr>
              <w:t>75</w:t>
            </w:r>
          </w:p>
        </w:tc>
        <w:tc>
          <w:tcPr>
            <w:tcW w:w="447" w:type="pct"/>
            <w:vAlign w:val="center"/>
          </w:tcPr>
          <w:p w14:paraId="545631C5">
            <w:pPr>
              <w:spacing w:line="280" w:lineRule="exact"/>
              <w:jc w:val="center"/>
              <w:rPr>
                <w:rFonts w:hint="eastAsia" w:ascii="仿宋" w:hAnsi="仿宋" w:eastAsia="仿宋"/>
                <w:sz w:val="24"/>
              </w:rPr>
            </w:pPr>
            <w:r>
              <w:rPr>
                <w:rFonts w:ascii="仿宋" w:hAnsi="仿宋" w:eastAsia="仿宋"/>
                <w:sz w:val="24"/>
              </w:rPr>
              <w:t>87.5</w:t>
            </w:r>
          </w:p>
        </w:tc>
        <w:tc>
          <w:tcPr>
            <w:tcW w:w="447" w:type="pct"/>
            <w:vAlign w:val="center"/>
          </w:tcPr>
          <w:p w14:paraId="09C031E1">
            <w:pPr>
              <w:spacing w:line="280" w:lineRule="exact"/>
              <w:jc w:val="center"/>
              <w:rPr>
                <w:rFonts w:hint="eastAsia" w:ascii="仿宋" w:hAnsi="仿宋" w:eastAsia="仿宋"/>
                <w:sz w:val="24"/>
              </w:rPr>
            </w:pPr>
            <w:r>
              <w:rPr>
                <w:rFonts w:hint="eastAsia" w:ascii="仿宋" w:hAnsi="仿宋" w:eastAsia="仿宋"/>
                <w:sz w:val="24"/>
              </w:rPr>
              <w:t>100</w:t>
            </w:r>
          </w:p>
        </w:tc>
      </w:tr>
    </w:tbl>
    <w:p w14:paraId="7A2C648C">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六</w:t>
      </w:r>
      <w:r>
        <w:rPr>
          <w:rFonts w:ascii="仿宋" w:hAnsi="仿宋" w:eastAsia="仿宋"/>
          <w:b/>
          <w:sz w:val="28"/>
          <w:szCs w:val="28"/>
        </w:rPr>
        <w:t>、</w:t>
      </w:r>
      <w:r>
        <w:rPr>
          <w:rFonts w:hint="eastAsia" w:ascii="仿宋" w:hAnsi="仿宋" w:eastAsia="仿宋"/>
          <w:b/>
          <w:sz w:val="28"/>
          <w:szCs w:val="28"/>
        </w:rPr>
        <w:t>有关说明</w:t>
      </w:r>
    </w:p>
    <w:p w14:paraId="141A3870">
      <w:pPr>
        <w:spacing w:line="360" w:lineRule="auto"/>
        <w:ind w:firstLine="482" w:firstLineChars="200"/>
        <w:rPr>
          <w:rFonts w:hint="eastAsia" w:ascii="仿宋" w:hAnsi="仿宋" w:eastAsia="仿宋"/>
          <w:b/>
          <w:color w:val="000000"/>
          <w:sz w:val="24"/>
        </w:rPr>
      </w:pPr>
      <w:r>
        <w:rPr>
          <w:rFonts w:hint="eastAsia" w:ascii="仿宋" w:hAnsi="仿宋" w:eastAsia="仿宋"/>
          <w:b/>
          <w:color w:val="000000"/>
          <w:sz w:val="24"/>
        </w:rPr>
        <w:t>（一）持续改进</w:t>
      </w:r>
    </w:p>
    <w:p w14:paraId="4CF3D19D">
      <w:pPr>
        <w:spacing w:line="360" w:lineRule="auto"/>
        <w:ind w:firstLine="480" w:firstLineChars="200"/>
        <w:rPr>
          <w:rFonts w:hint="eastAsia" w:ascii="仿宋" w:hAnsi="仿宋" w:eastAsia="仿宋"/>
          <w:sz w:val="24"/>
        </w:rPr>
      </w:pPr>
      <w:r>
        <w:rPr>
          <w:rFonts w:hint="eastAsia" w:ascii="仿宋" w:hAnsi="仿宋" w:eastAsia="仿宋"/>
          <w:sz w:val="24"/>
        </w:rPr>
        <w:t>本课程根据学生课外锻炼、体质测试等情况，以及学生、教学督导等反馈，及时对教学中不足之处进行改进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40BD6554">
      <w:pPr>
        <w:spacing w:line="360" w:lineRule="auto"/>
        <w:ind w:firstLine="482" w:firstLineChars="200"/>
        <w:jc w:val="left"/>
        <w:rPr>
          <w:rFonts w:hint="eastAsia" w:ascii="仿宋" w:hAnsi="仿宋" w:eastAsia="仿宋"/>
          <w:sz w:val="24"/>
        </w:rPr>
      </w:pPr>
      <w:r>
        <w:rPr>
          <w:rFonts w:hint="eastAsia" w:ascii="仿宋" w:hAnsi="仿宋" w:eastAsia="仿宋"/>
          <w:b/>
          <w:color w:val="000000"/>
          <w:sz w:val="24"/>
        </w:rPr>
        <w:t>（二）教学参考书</w:t>
      </w:r>
    </w:p>
    <w:p w14:paraId="3CE51391">
      <w:pPr>
        <w:spacing w:line="360" w:lineRule="auto"/>
        <w:ind w:firstLine="480" w:firstLineChars="200"/>
        <w:jc w:val="left"/>
        <w:rPr>
          <w:rFonts w:hint="eastAsia"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3B2C8987">
      <w:pPr>
        <w:spacing w:line="312" w:lineRule="auto"/>
        <w:rPr>
          <w:rFonts w:hint="eastAsia" w:ascii="仿宋" w:hAnsi="仿宋" w:eastAsia="仿宋"/>
          <w:sz w:val="24"/>
        </w:rPr>
      </w:pPr>
    </w:p>
    <w:p w14:paraId="36A4D071">
      <w:pPr>
        <w:spacing w:line="312" w:lineRule="auto"/>
        <w:rPr>
          <w:rFonts w:hint="eastAsia" w:ascii="仿宋" w:hAnsi="仿宋" w:eastAsia="仿宋"/>
          <w:sz w:val="24"/>
        </w:rPr>
      </w:pPr>
    </w:p>
    <w:p w14:paraId="6BDD5511">
      <w:pPr>
        <w:wordWrap w:val="0"/>
        <w:spacing w:line="360" w:lineRule="exact"/>
        <w:jc w:val="right"/>
        <w:rPr>
          <w:rFonts w:hint="eastAsia" w:ascii="仿宋" w:hAnsi="仿宋" w:eastAsia="仿宋"/>
          <w:sz w:val="24"/>
        </w:rPr>
      </w:pPr>
      <w:r>
        <w:rPr>
          <w:rFonts w:hint="eastAsia" w:ascii="仿宋" w:hAnsi="仿宋" w:eastAsia="仿宋"/>
          <w:sz w:val="24"/>
        </w:rPr>
        <w:t xml:space="preserve">                                                       执笔人：顾 </w:t>
      </w:r>
      <w:r>
        <w:rPr>
          <w:rFonts w:ascii="仿宋" w:hAnsi="仿宋" w:eastAsia="仿宋"/>
          <w:sz w:val="24"/>
        </w:rPr>
        <w:t xml:space="preserve"> </w:t>
      </w:r>
      <w:r>
        <w:rPr>
          <w:rFonts w:hint="eastAsia" w:ascii="仿宋" w:hAnsi="仿宋" w:eastAsia="仿宋"/>
          <w:sz w:val="24"/>
        </w:rPr>
        <w:t>宏</w:t>
      </w:r>
    </w:p>
    <w:p w14:paraId="25155B19">
      <w:pPr>
        <w:spacing w:line="360" w:lineRule="exact"/>
        <w:ind w:firstLine="480" w:firstLineChars="200"/>
        <w:jc w:val="right"/>
        <w:rPr>
          <w:rFonts w:hint="eastAsia" w:ascii="仿宋" w:hAnsi="仿宋" w:eastAsia="仿宋"/>
          <w:sz w:val="24"/>
        </w:rPr>
      </w:pPr>
      <w:r>
        <w:rPr>
          <w:rFonts w:hint="eastAsia" w:ascii="仿宋" w:hAnsi="仿宋" w:eastAsia="仿宋"/>
          <w:sz w:val="24"/>
        </w:rPr>
        <w:t>审定人：方曙</w:t>
      </w:r>
      <w:r>
        <w:rPr>
          <w:rFonts w:ascii="仿宋" w:hAnsi="仿宋" w:eastAsia="仿宋"/>
          <w:sz w:val="24"/>
        </w:rPr>
        <w:t>光</w:t>
      </w:r>
    </w:p>
    <w:p w14:paraId="3F54938A">
      <w:pPr>
        <w:spacing w:line="360" w:lineRule="exact"/>
        <w:jc w:val="right"/>
        <w:rPr>
          <w:rFonts w:hint="eastAsia" w:ascii="仿宋" w:hAnsi="仿宋" w:eastAsia="仿宋"/>
          <w:sz w:val="24"/>
        </w:rPr>
      </w:pPr>
      <w:r>
        <w:rPr>
          <w:rFonts w:hint="eastAsia" w:ascii="仿宋" w:hAnsi="仿宋" w:eastAsia="仿宋"/>
          <w:sz w:val="24"/>
        </w:rPr>
        <w:t>批准人：王红</w:t>
      </w:r>
      <w:r>
        <w:rPr>
          <w:rFonts w:ascii="仿宋" w:hAnsi="仿宋" w:eastAsia="仿宋"/>
          <w:sz w:val="24"/>
        </w:rPr>
        <w:t>福</w:t>
      </w:r>
    </w:p>
    <w:p w14:paraId="2AACFD96">
      <w:pPr>
        <w:rPr>
          <w:rFonts w:hint="eastAsia" w:ascii="仿宋" w:hAnsi="仿宋" w:eastAsia="仿宋"/>
          <w:b/>
          <w:bCs/>
          <w:sz w:val="30"/>
        </w:rPr>
      </w:pPr>
      <w:r>
        <w:rPr>
          <w:rFonts w:ascii="仿宋" w:hAnsi="仿宋" w:eastAsia="仿宋"/>
          <w:sz w:val="24"/>
        </w:rPr>
        <w:br w:type="page"/>
      </w:r>
    </w:p>
    <w:p w14:paraId="49891EE9">
      <w:pPr>
        <w:pStyle w:val="2"/>
        <w:tabs>
          <w:tab w:val="left" w:pos="720"/>
          <w:tab w:val="left" w:pos="2700"/>
        </w:tabs>
      </w:pPr>
      <w:bookmarkStart w:id="36" w:name="_Toc25831"/>
      <w:bookmarkStart w:id="37" w:name="_Toc23197"/>
      <w:r>
        <w:rPr>
          <w:rFonts w:hint="eastAsia"/>
        </w:rPr>
        <w:t>《体育Ⅵ》</w:t>
      </w:r>
      <w:r>
        <w:t>课程教学大纲</w:t>
      </w:r>
      <w:bookmarkEnd w:id="36"/>
      <w:bookmarkEnd w:id="37"/>
    </w:p>
    <w:p w14:paraId="2C73AC0F">
      <w:pPr>
        <w:spacing w:line="312" w:lineRule="auto"/>
        <w:jc w:val="center"/>
        <w:rPr>
          <w:rFonts w:hint="eastAsia" w:ascii="仿宋" w:hAnsi="仿宋" w:eastAsia="仿宋"/>
          <w:b/>
          <w:bCs/>
          <w:sz w:val="30"/>
        </w:rPr>
      </w:pPr>
      <w:r>
        <w:rPr>
          <w:rFonts w:ascii="仿宋" w:hAnsi="仿宋" w:eastAsia="仿宋"/>
          <w:b/>
          <w:bCs/>
          <w:sz w:val="30"/>
        </w:rPr>
        <w:t xml:space="preserve">（Physical  Education </w:t>
      </w:r>
      <w:r>
        <w:rPr>
          <w:rFonts w:hint="eastAsia" w:ascii="仿宋" w:hAnsi="仿宋" w:eastAsia="仿宋"/>
          <w:b/>
          <w:bCs/>
          <w:sz w:val="30"/>
        </w:rPr>
        <w:t>Ⅵ</w:t>
      </w:r>
      <w:r>
        <w:rPr>
          <w:rFonts w:ascii="仿宋" w:hAnsi="仿宋" w:eastAsia="仿宋"/>
          <w:b/>
          <w:bCs/>
          <w:sz w:val="30"/>
        </w:rPr>
        <w:t>）</w:t>
      </w:r>
    </w:p>
    <w:p w14:paraId="6C9C8600">
      <w:pPr>
        <w:spacing w:line="360" w:lineRule="auto"/>
        <w:ind w:firstLine="551" w:firstLineChars="196"/>
        <w:rPr>
          <w:rFonts w:hint="eastAsia" w:ascii="仿宋" w:hAnsi="仿宋" w:eastAsia="仿宋"/>
          <w:b/>
          <w:sz w:val="28"/>
          <w:szCs w:val="28"/>
        </w:rPr>
      </w:pPr>
      <w:r>
        <w:rPr>
          <w:rFonts w:ascii="仿宋" w:hAnsi="仿宋" w:eastAsia="仿宋"/>
          <w:b/>
          <w:sz w:val="28"/>
          <w:szCs w:val="28"/>
        </w:rPr>
        <w:t>一、课程概况</w:t>
      </w:r>
    </w:p>
    <w:p w14:paraId="4BCDA3F0">
      <w:pPr>
        <w:spacing w:line="360" w:lineRule="auto"/>
        <w:ind w:firstLine="482" w:firstLineChars="200"/>
        <w:rPr>
          <w:rFonts w:hint="eastAsia" w:ascii="仿宋" w:hAnsi="仿宋" w:eastAsia="仿宋"/>
          <w:b/>
          <w:sz w:val="28"/>
          <w:szCs w:val="28"/>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w:t>
      </w:r>
      <w:r>
        <w:rPr>
          <w:rFonts w:ascii="仿宋" w:hAnsi="仿宋" w:eastAsia="仿宋"/>
          <w:bCs/>
          <w:kern w:val="0"/>
          <w:sz w:val="24"/>
        </w:rPr>
        <w:t>3</w:t>
      </w:r>
      <w:r>
        <w:rPr>
          <w:rFonts w:hint="eastAsia" w:ascii="仿宋" w:hAnsi="仿宋" w:eastAsia="仿宋"/>
          <w:bCs/>
          <w:kern w:val="0"/>
          <w:sz w:val="24"/>
        </w:rPr>
        <w:t>0</w:t>
      </w:r>
      <w:r>
        <w:rPr>
          <w:rFonts w:ascii="仿宋" w:hAnsi="仿宋" w:eastAsia="仿宋"/>
          <w:bCs/>
          <w:kern w:val="0"/>
          <w:sz w:val="24"/>
        </w:rPr>
        <w:t>10</w:t>
      </w:r>
    </w:p>
    <w:p w14:paraId="2B17046E">
      <w:pPr>
        <w:spacing w:line="360" w:lineRule="auto"/>
        <w:ind w:firstLine="482" w:firstLineChars="200"/>
        <w:rPr>
          <w:rFonts w:hint="eastAsia" w:ascii="仿宋" w:hAnsi="仿宋" w:eastAsia="仿宋"/>
          <w:bCs/>
          <w:kern w:val="0"/>
          <w:sz w:val="24"/>
        </w:rPr>
      </w:pPr>
      <w:r>
        <w:rPr>
          <w:rFonts w:ascii="仿宋" w:hAnsi="仿宋" w:eastAsia="仿宋"/>
          <w:b/>
          <w:bCs/>
          <w:kern w:val="0"/>
          <w:sz w:val="24"/>
        </w:rPr>
        <w:t>学    分</w:t>
      </w:r>
      <w:r>
        <w:rPr>
          <w:rFonts w:ascii="仿宋" w:hAnsi="仿宋" w:eastAsia="仿宋"/>
          <w:b/>
          <w:kern w:val="0"/>
          <w:sz w:val="24"/>
        </w:rPr>
        <w:t>：</w:t>
      </w:r>
      <w:r>
        <w:rPr>
          <w:rFonts w:ascii="仿宋" w:hAnsi="仿宋" w:eastAsia="仿宋"/>
          <w:bCs/>
          <w:kern w:val="0"/>
          <w:sz w:val="24"/>
        </w:rPr>
        <w:t>0.5</w:t>
      </w:r>
    </w:p>
    <w:p w14:paraId="2D11CC6D">
      <w:pPr>
        <w:spacing w:line="360" w:lineRule="auto"/>
        <w:ind w:firstLine="482" w:firstLineChars="200"/>
        <w:rPr>
          <w:rFonts w:hint="eastAsia"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ascii="仿宋" w:hAnsi="仿宋" w:eastAsia="仿宋"/>
          <w:kern w:val="0"/>
          <w:sz w:val="24"/>
        </w:rPr>
        <w:t>18</w:t>
      </w:r>
    </w:p>
    <w:p w14:paraId="1EDC2A9F">
      <w:pPr>
        <w:spacing w:line="360" w:lineRule="auto"/>
        <w:ind w:firstLine="482" w:firstLineChars="200"/>
        <w:rPr>
          <w:rFonts w:hint="eastAsia" w:ascii="仿宋" w:hAnsi="仿宋" w:eastAsia="仿宋"/>
          <w:kern w:val="0"/>
          <w:sz w:val="24"/>
        </w:rPr>
      </w:pPr>
      <w:r>
        <w:rPr>
          <w:rFonts w:hint="eastAsia" w:ascii="仿宋" w:hAnsi="仿宋" w:eastAsia="仿宋"/>
          <w:b/>
          <w:bCs/>
          <w:kern w:val="0"/>
          <w:sz w:val="24"/>
        </w:rPr>
        <w:t>先修课程：</w:t>
      </w:r>
      <w:r>
        <w:rPr>
          <w:rFonts w:hint="eastAsia" w:ascii="仿宋" w:hAnsi="仿宋" w:eastAsia="仿宋"/>
          <w:kern w:val="0"/>
          <w:sz w:val="24"/>
        </w:rPr>
        <w:t>体育选项课</w:t>
      </w:r>
    </w:p>
    <w:p w14:paraId="7F5BD200">
      <w:pPr>
        <w:spacing w:line="360" w:lineRule="auto"/>
        <w:ind w:firstLine="482" w:firstLineChars="200"/>
        <w:rPr>
          <w:rFonts w:hint="eastAsia"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hint="eastAsia" w:ascii="仿宋" w:hAnsi="仿宋" w:eastAsia="仿宋"/>
          <w:kern w:val="0"/>
          <w:sz w:val="24"/>
        </w:rPr>
        <w:t>全校各专业</w:t>
      </w:r>
      <w:r>
        <w:rPr>
          <w:rFonts w:ascii="仿宋" w:hAnsi="仿宋" w:eastAsia="仿宋"/>
          <w:kern w:val="0"/>
          <w:sz w:val="24"/>
        </w:rPr>
        <w:t xml:space="preserve">                        </w:t>
      </w:r>
    </w:p>
    <w:p w14:paraId="00944BB4">
      <w:pPr>
        <w:spacing w:line="360" w:lineRule="auto"/>
        <w:ind w:firstLine="482" w:firstLineChars="200"/>
        <w:rPr>
          <w:rFonts w:hint="eastAsia" w:ascii="仿宋" w:hAnsi="仿宋" w:eastAsia="仿宋"/>
          <w:kern w:val="0"/>
          <w:sz w:val="24"/>
        </w:rPr>
      </w:pPr>
      <w:r>
        <w:rPr>
          <w:rFonts w:ascii="仿宋" w:hAnsi="仿宋" w:eastAsia="仿宋"/>
          <w:b/>
          <w:bCs/>
          <w:kern w:val="0"/>
          <w:sz w:val="24"/>
        </w:rPr>
        <w:t>教</w:t>
      </w:r>
      <w:r>
        <w:rPr>
          <w:rFonts w:hint="eastAsia" w:ascii="仿宋" w:hAnsi="仿宋" w:eastAsia="仿宋"/>
          <w:b/>
          <w:bCs/>
          <w:kern w:val="0"/>
          <w:sz w:val="24"/>
        </w:rPr>
        <w:t xml:space="preserve">    </w:t>
      </w:r>
      <w:r>
        <w:rPr>
          <w:rFonts w:ascii="仿宋" w:hAnsi="仿宋" w:eastAsia="仿宋"/>
          <w:b/>
          <w:bCs/>
          <w:kern w:val="0"/>
          <w:sz w:val="24"/>
        </w:rPr>
        <w:t>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5428FC0D">
      <w:pPr>
        <w:spacing w:line="360" w:lineRule="auto"/>
        <w:ind w:firstLine="482" w:firstLineChars="200"/>
        <w:rPr>
          <w:rFonts w:hint="eastAsia"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435A5963">
      <w:pPr>
        <w:autoSpaceDE w:val="0"/>
        <w:autoSpaceDN w:val="0"/>
        <w:adjustRightInd w:val="0"/>
        <w:spacing w:line="360" w:lineRule="auto"/>
        <w:ind w:firstLine="482" w:firstLineChars="200"/>
        <w:jc w:val="left"/>
        <w:rPr>
          <w:rFonts w:hint="eastAsia" w:ascii="仿宋" w:hAnsi="仿宋" w:eastAsia="仿宋"/>
          <w:sz w:val="24"/>
        </w:rPr>
      </w:pPr>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线下、自主锻炼、</w:t>
      </w:r>
      <w:r>
        <w:rPr>
          <w:rFonts w:ascii="仿宋" w:hAnsi="仿宋" w:eastAsia="仿宋"/>
          <w:sz w:val="24"/>
        </w:rPr>
        <w:t>体质测试</w:t>
      </w:r>
      <w:r>
        <w:rPr>
          <w:rFonts w:hint="eastAsia" w:ascii="仿宋" w:hAnsi="仿宋" w:eastAsia="仿宋"/>
          <w:sz w:val="24"/>
        </w:rPr>
        <w:t>和课外体育俱乐部等组织形式作为本课程重要组成部分，从而巩固课内学习效果，培养学生自我锻炼意识和习惯。</w:t>
      </w:r>
    </w:p>
    <w:p w14:paraId="7C240806">
      <w:pPr>
        <w:spacing w:line="360" w:lineRule="auto"/>
        <w:ind w:firstLine="480" w:firstLineChars="200"/>
        <w:rPr>
          <w:rFonts w:hint="eastAsia" w:ascii="仿宋" w:hAnsi="仿宋" w:eastAsia="仿宋"/>
          <w:sz w:val="24"/>
        </w:rPr>
      </w:pPr>
      <w:r>
        <w:rPr>
          <w:rFonts w:hint="eastAsia" w:ascii="仿宋" w:hAnsi="仿宋" w:eastAsia="仿宋"/>
          <w:sz w:val="24"/>
        </w:rPr>
        <w:t>通过本课程的学习，实现大学3年体育课程教育，大学4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0D54BEF3">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二</w:t>
      </w:r>
      <w:r>
        <w:rPr>
          <w:rFonts w:ascii="仿宋" w:hAnsi="仿宋" w:eastAsia="仿宋"/>
          <w:b/>
          <w:sz w:val="28"/>
          <w:szCs w:val="28"/>
        </w:rPr>
        <w:t>、课程目标</w:t>
      </w:r>
      <w:r>
        <w:rPr>
          <w:rFonts w:hint="eastAsia" w:ascii="仿宋" w:hAnsi="仿宋" w:eastAsia="仿宋"/>
          <w:b/>
          <w:sz w:val="28"/>
          <w:szCs w:val="28"/>
        </w:rPr>
        <w:t>与毕业要求指标点对应关系</w:t>
      </w:r>
    </w:p>
    <w:p w14:paraId="072E31FE">
      <w:pPr>
        <w:spacing w:line="360" w:lineRule="auto"/>
        <w:ind w:firstLine="480" w:firstLineChars="200"/>
        <w:rPr>
          <w:rFonts w:hint="eastAsia" w:ascii="仿宋" w:hAnsi="仿宋" w:eastAsia="仿宋"/>
          <w:sz w:val="24"/>
        </w:rPr>
      </w:pPr>
      <w:r>
        <w:rPr>
          <w:rFonts w:hint="eastAsia" w:ascii="仿宋" w:hAnsi="仿宋" w:eastAsia="仿宋"/>
          <w:sz w:val="24"/>
        </w:rPr>
        <w:t>爱好并积极参与各种体育活动，全面发展体能，能正确评价和测试自己的身体体质与健康状况，能够编制可行的个人锻炼计划。树立“健康第一”思想和正确的体育道德观，养成健康的生活方式，具有健康的体魄。学会运用适宜的方法调节自己的情绪，积极调整和改善自己的心理现状，在体育锻炼中体验运动的乐趣和成功的感觉，增强与他人交流沟通、团结合作的能力，正确处理好竞争与合作的关系，提高社会适应能力。</w:t>
      </w:r>
    </w:p>
    <w:p w14:paraId="12409C37">
      <w:pPr>
        <w:spacing w:line="360" w:lineRule="auto"/>
        <w:ind w:firstLine="480" w:firstLineChars="200"/>
        <w:rPr>
          <w:rFonts w:hint="eastAsia"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13"/>
        <w:tblW w:w="8454" w:type="dxa"/>
        <w:tblInd w:w="93" w:type="dxa"/>
        <w:tblLayout w:type="autofit"/>
        <w:tblCellMar>
          <w:top w:w="0" w:type="dxa"/>
          <w:left w:w="108" w:type="dxa"/>
          <w:bottom w:w="0" w:type="dxa"/>
          <w:right w:w="108" w:type="dxa"/>
        </w:tblCellMar>
      </w:tblPr>
      <w:tblGrid>
        <w:gridCol w:w="1548"/>
        <w:gridCol w:w="863"/>
        <w:gridCol w:w="863"/>
        <w:gridCol w:w="863"/>
        <w:gridCol w:w="863"/>
        <w:gridCol w:w="863"/>
        <w:gridCol w:w="863"/>
        <w:gridCol w:w="863"/>
        <w:gridCol w:w="865"/>
      </w:tblGrid>
      <w:tr w14:paraId="6F6872FA">
        <w:trPr>
          <w:trHeight w:val="490" w:hRule="atLeast"/>
        </w:trPr>
        <w:tc>
          <w:tcPr>
            <w:tcW w:w="1548"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53B5B3A2">
            <w:pPr>
              <w:widowControl/>
              <w:jc w:val="center"/>
              <w:rPr>
                <w:rFonts w:hint="eastAsia" w:ascii="仿宋" w:hAnsi="仿宋" w:eastAsia="仿宋"/>
                <w:kern w:val="0"/>
                <w:szCs w:val="21"/>
              </w:rPr>
            </w:pPr>
            <w:r>
              <w:rPr>
                <w:rFonts w:ascii="仿宋" w:hAnsi="仿宋" w:eastAsia="仿宋"/>
                <w:kern w:val="0"/>
                <w:szCs w:val="21"/>
              </w:rPr>
              <w:t>毕业要求</w:t>
            </w:r>
          </w:p>
          <w:p w14:paraId="7CB93CE4">
            <w:pPr>
              <w:widowControl/>
              <w:jc w:val="center"/>
              <w:rPr>
                <w:rFonts w:hint="eastAsia" w:ascii="仿宋" w:hAnsi="仿宋" w:eastAsia="仿宋"/>
                <w:kern w:val="0"/>
                <w:szCs w:val="21"/>
              </w:rPr>
            </w:pPr>
            <w:r>
              <w:rPr>
                <w:rFonts w:ascii="仿宋" w:hAnsi="仿宋" w:eastAsia="仿宋"/>
                <w:kern w:val="0"/>
                <w:szCs w:val="21"/>
              </w:rPr>
              <w:t>指标点</w:t>
            </w:r>
          </w:p>
        </w:tc>
        <w:tc>
          <w:tcPr>
            <w:tcW w:w="6906" w:type="dxa"/>
            <w:gridSpan w:val="8"/>
            <w:tcBorders>
              <w:top w:val="single" w:color="auto" w:sz="4" w:space="0"/>
              <w:left w:val="nil"/>
              <w:bottom w:val="single" w:color="auto" w:sz="4" w:space="0"/>
              <w:right w:val="single" w:color="auto" w:sz="4" w:space="0"/>
            </w:tcBorders>
            <w:shd w:val="clear" w:color="auto" w:fill="FFFFFF"/>
            <w:noWrap/>
            <w:vAlign w:val="center"/>
          </w:tcPr>
          <w:p w14:paraId="6961FE5F">
            <w:pPr>
              <w:widowControl/>
              <w:jc w:val="center"/>
              <w:rPr>
                <w:rFonts w:hint="eastAsia" w:ascii="仿宋" w:hAnsi="仿宋" w:eastAsia="仿宋"/>
                <w:kern w:val="0"/>
                <w:szCs w:val="21"/>
              </w:rPr>
            </w:pPr>
            <w:r>
              <w:rPr>
                <w:rFonts w:ascii="仿宋" w:hAnsi="仿宋" w:eastAsia="仿宋"/>
                <w:kern w:val="0"/>
                <w:szCs w:val="21"/>
              </w:rPr>
              <w:t>课程目标</w:t>
            </w:r>
          </w:p>
        </w:tc>
      </w:tr>
      <w:tr w14:paraId="081D999C">
        <w:tblPrEx>
          <w:tblCellMar>
            <w:top w:w="0" w:type="dxa"/>
            <w:left w:w="108" w:type="dxa"/>
            <w:bottom w:w="0" w:type="dxa"/>
            <w:right w:w="108" w:type="dxa"/>
          </w:tblCellMar>
        </w:tblPrEx>
        <w:trPr>
          <w:trHeight w:val="468" w:hRule="atLeast"/>
        </w:trPr>
        <w:tc>
          <w:tcPr>
            <w:tcW w:w="154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50FD350">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1B2A6C85">
            <w:pPr>
              <w:widowControl/>
              <w:jc w:val="center"/>
              <w:rPr>
                <w:rFonts w:hint="eastAsia" w:ascii="仿宋" w:hAnsi="仿宋" w:eastAsia="仿宋"/>
                <w:kern w:val="0"/>
                <w:szCs w:val="21"/>
              </w:rPr>
            </w:pPr>
            <w:r>
              <w:rPr>
                <w:rFonts w:ascii="仿宋" w:hAnsi="仿宋" w:eastAsia="仿宋"/>
                <w:kern w:val="0"/>
                <w:szCs w:val="21"/>
              </w:rPr>
              <w:t>目标1</w:t>
            </w:r>
          </w:p>
        </w:tc>
        <w:tc>
          <w:tcPr>
            <w:tcW w:w="863" w:type="dxa"/>
            <w:tcBorders>
              <w:top w:val="nil"/>
              <w:left w:val="nil"/>
              <w:bottom w:val="single" w:color="auto" w:sz="4" w:space="0"/>
              <w:right w:val="single" w:color="auto" w:sz="4" w:space="0"/>
            </w:tcBorders>
            <w:shd w:val="clear" w:color="auto" w:fill="FFFFFF"/>
            <w:noWrap/>
            <w:vAlign w:val="center"/>
          </w:tcPr>
          <w:p w14:paraId="4591F698">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0BADFB9D">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2C9A7A12">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3D49DBAE">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557D8591">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4B79DFF8">
            <w:pPr>
              <w:widowControl/>
              <w:jc w:val="center"/>
              <w:rPr>
                <w:rFonts w:hint="eastAsia" w:ascii="仿宋" w:hAnsi="仿宋" w:eastAsia="仿宋"/>
                <w:kern w:val="0"/>
                <w:szCs w:val="21"/>
              </w:rPr>
            </w:pPr>
          </w:p>
        </w:tc>
        <w:tc>
          <w:tcPr>
            <w:tcW w:w="865" w:type="dxa"/>
            <w:tcBorders>
              <w:top w:val="nil"/>
              <w:left w:val="nil"/>
              <w:bottom w:val="single" w:color="auto" w:sz="4" w:space="0"/>
              <w:right w:val="single" w:color="auto" w:sz="4" w:space="0"/>
            </w:tcBorders>
            <w:shd w:val="clear" w:color="auto" w:fill="FFFFFF"/>
            <w:noWrap/>
            <w:vAlign w:val="center"/>
          </w:tcPr>
          <w:p w14:paraId="1D921433">
            <w:pPr>
              <w:widowControl/>
              <w:jc w:val="center"/>
              <w:rPr>
                <w:rFonts w:hint="eastAsia" w:ascii="仿宋" w:hAnsi="仿宋" w:eastAsia="仿宋"/>
                <w:kern w:val="0"/>
                <w:szCs w:val="21"/>
              </w:rPr>
            </w:pPr>
          </w:p>
        </w:tc>
      </w:tr>
      <w:tr w14:paraId="6B4A51FE">
        <w:tblPrEx>
          <w:tblCellMar>
            <w:top w:w="0" w:type="dxa"/>
            <w:left w:w="108" w:type="dxa"/>
            <w:bottom w:w="0" w:type="dxa"/>
            <w:right w:w="108" w:type="dxa"/>
          </w:tblCellMar>
        </w:tblPrEx>
        <w:trPr>
          <w:trHeight w:val="459" w:hRule="atLeast"/>
        </w:trPr>
        <w:tc>
          <w:tcPr>
            <w:tcW w:w="1548" w:type="dxa"/>
            <w:tcBorders>
              <w:top w:val="nil"/>
              <w:left w:val="single" w:color="auto" w:sz="4" w:space="0"/>
              <w:bottom w:val="single" w:color="auto" w:sz="4" w:space="0"/>
              <w:right w:val="single" w:color="auto" w:sz="4" w:space="0"/>
            </w:tcBorders>
            <w:noWrap/>
            <w:vAlign w:val="center"/>
          </w:tcPr>
          <w:p w14:paraId="729AA82C">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863" w:type="dxa"/>
            <w:tcBorders>
              <w:top w:val="nil"/>
              <w:left w:val="nil"/>
              <w:bottom w:val="single" w:color="auto" w:sz="4" w:space="0"/>
              <w:right w:val="single" w:color="auto" w:sz="4" w:space="0"/>
            </w:tcBorders>
            <w:noWrap/>
            <w:vAlign w:val="center"/>
          </w:tcPr>
          <w:p w14:paraId="32328A29">
            <w:pPr>
              <w:widowControl/>
              <w:jc w:val="center"/>
              <w:rPr>
                <w:rFonts w:hint="eastAsia" w:ascii="仿宋" w:hAnsi="仿宋" w:eastAsia="仿宋"/>
                <w:kern w:val="0"/>
                <w:szCs w:val="21"/>
              </w:rPr>
            </w:pPr>
            <w:r>
              <w:rPr>
                <w:rFonts w:ascii="仿宋" w:hAnsi="仿宋" w:eastAsia="仿宋"/>
                <w:kern w:val="0"/>
                <w:szCs w:val="21"/>
              </w:rPr>
              <w:t>√</w:t>
            </w:r>
          </w:p>
        </w:tc>
        <w:tc>
          <w:tcPr>
            <w:tcW w:w="863" w:type="dxa"/>
            <w:tcBorders>
              <w:top w:val="nil"/>
              <w:left w:val="nil"/>
              <w:bottom w:val="single" w:color="auto" w:sz="4" w:space="0"/>
              <w:right w:val="single" w:color="auto" w:sz="4" w:space="0"/>
            </w:tcBorders>
            <w:noWrap/>
            <w:vAlign w:val="center"/>
          </w:tcPr>
          <w:p w14:paraId="57EB0934">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6ECD0693">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4A822AD1">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7EB15FAD">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75B0622F">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0AB3AC79">
            <w:pPr>
              <w:widowControl/>
              <w:jc w:val="center"/>
              <w:rPr>
                <w:rFonts w:hint="eastAsia" w:ascii="仿宋" w:hAnsi="仿宋" w:eastAsia="仿宋"/>
                <w:kern w:val="0"/>
                <w:szCs w:val="21"/>
              </w:rPr>
            </w:pPr>
          </w:p>
        </w:tc>
        <w:tc>
          <w:tcPr>
            <w:tcW w:w="865" w:type="dxa"/>
            <w:tcBorders>
              <w:top w:val="nil"/>
              <w:left w:val="nil"/>
              <w:bottom w:val="single" w:color="auto" w:sz="4" w:space="0"/>
              <w:right w:val="single" w:color="auto" w:sz="4" w:space="0"/>
            </w:tcBorders>
            <w:noWrap/>
            <w:vAlign w:val="center"/>
          </w:tcPr>
          <w:p w14:paraId="29EC5A20">
            <w:pPr>
              <w:widowControl/>
              <w:jc w:val="center"/>
              <w:rPr>
                <w:rFonts w:hint="eastAsia" w:ascii="仿宋" w:hAnsi="仿宋" w:eastAsia="仿宋"/>
                <w:kern w:val="0"/>
                <w:szCs w:val="21"/>
              </w:rPr>
            </w:pPr>
          </w:p>
        </w:tc>
      </w:tr>
      <w:tr w14:paraId="66C952BB">
        <w:tblPrEx>
          <w:tblCellMar>
            <w:top w:w="0" w:type="dxa"/>
            <w:left w:w="108" w:type="dxa"/>
            <w:bottom w:w="0" w:type="dxa"/>
            <w:right w:w="108" w:type="dxa"/>
          </w:tblCellMar>
        </w:tblPrEx>
        <w:trPr>
          <w:trHeight w:val="448" w:hRule="atLeast"/>
        </w:trPr>
        <w:tc>
          <w:tcPr>
            <w:tcW w:w="1548" w:type="dxa"/>
            <w:tcBorders>
              <w:top w:val="nil"/>
              <w:left w:val="single" w:color="auto" w:sz="4" w:space="0"/>
              <w:bottom w:val="single" w:color="auto" w:sz="4" w:space="0"/>
              <w:right w:val="single" w:color="auto" w:sz="4" w:space="0"/>
            </w:tcBorders>
            <w:noWrap/>
            <w:vAlign w:val="center"/>
          </w:tcPr>
          <w:p w14:paraId="1D386B58">
            <w:pPr>
              <w:widowControl/>
              <w:jc w:val="center"/>
              <w:rPr>
                <w:rFonts w:hint="eastAsia"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863" w:type="dxa"/>
            <w:tcBorders>
              <w:top w:val="nil"/>
              <w:left w:val="nil"/>
              <w:bottom w:val="single" w:color="auto" w:sz="4" w:space="0"/>
              <w:right w:val="single" w:color="auto" w:sz="4" w:space="0"/>
            </w:tcBorders>
            <w:noWrap/>
            <w:vAlign w:val="center"/>
          </w:tcPr>
          <w:p w14:paraId="187AE25E">
            <w:pPr>
              <w:widowControl/>
              <w:jc w:val="center"/>
              <w:rPr>
                <w:rFonts w:hint="eastAsia" w:ascii="仿宋" w:hAnsi="仿宋" w:eastAsia="仿宋"/>
                <w:kern w:val="0"/>
                <w:szCs w:val="21"/>
              </w:rPr>
            </w:pPr>
            <w:r>
              <w:rPr>
                <w:rFonts w:ascii="仿宋" w:hAnsi="仿宋" w:eastAsia="仿宋"/>
                <w:kern w:val="0"/>
                <w:szCs w:val="21"/>
              </w:rPr>
              <w:t>√</w:t>
            </w:r>
          </w:p>
        </w:tc>
        <w:tc>
          <w:tcPr>
            <w:tcW w:w="863" w:type="dxa"/>
            <w:tcBorders>
              <w:top w:val="nil"/>
              <w:left w:val="nil"/>
              <w:bottom w:val="single" w:color="auto" w:sz="4" w:space="0"/>
              <w:right w:val="single" w:color="auto" w:sz="4" w:space="0"/>
            </w:tcBorders>
            <w:noWrap/>
            <w:vAlign w:val="center"/>
          </w:tcPr>
          <w:p w14:paraId="3D4AE9FE">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7DFF97CD">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516F8E34">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3FAF4F1C">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437AC66E">
            <w:pPr>
              <w:widowControl/>
              <w:jc w:val="center"/>
              <w:rPr>
                <w:rFonts w:hint="eastAsia"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581B3AF5">
            <w:pPr>
              <w:widowControl/>
              <w:jc w:val="center"/>
              <w:rPr>
                <w:rFonts w:hint="eastAsia" w:ascii="仿宋" w:hAnsi="仿宋" w:eastAsia="仿宋"/>
                <w:kern w:val="0"/>
                <w:szCs w:val="21"/>
              </w:rPr>
            </w:pPr>
          </w:p>
        </w:tc>
        <w:tc>
          <w:tcPr>
            <w:tcW w:w="865" w:type="dxa"/>
            <w:tcBorders>
              <w:top w:val="nil"/>
              <w:left w:val="nil"/>
              <w:bottom w:val="single" w:color="auto" w:sz="4" w:space="0"/>
              <w:right w:val="single" w:color="auto" w:sz="4" w:space="0"/>
            </w:tcBorders>
            <w:noWrap/>
            <w:vAlign w:val="center"/>
          </w:tcPr>
          <w:p w14:paraId="27B1B068">
            <w:pPr>
              <w:widowControl/>
              <w:jc w:val="center"/>
              <w:rPr>
                <w:rFonts w:hint="eastAsia" w:ascii="仿宋" w:hAnsi="仿宋" w:eastAsia="仿宋"/>
                <w:kern w:val="0"/>
                <w:szCs w:val="21"/>
              </w:rPr>
            </w:pPr>
          </w:p>
        </w:tc>
      </w:tr>
    </w:tbl>
    <w:p w14:paraId="5477BEAD">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三</w:t>
      </w:r>
      <w:r>
        <w:rPr>
          <w:rFonts w:ascii="仿宋" w:hAnsi="仿宋" w:eastAsia="仿宋"/>
          <w:b/>
          <w:sz w:val="28"/>
          <w:szCs w:val="28"/>
        </w:rPr>
        <w:t>、课程内容及要求</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66D5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10DADE86">
            <w:pPr>
              <w:jc w:val="center"/>
              <w:rPr>
                <w:rFonts w:hint="eastAsia" w:ascii="仿宋" w:hAnsi="仿宋" w:eastAsia="仿宋"/>
                <w:b/>
                <w:bCs/>
                <w:szCs w:val="21"/>
              </w:rPr>
            </w:pPr>
            <w:r>
              <w:rPr>
                <w:rFonts w:ascii="仿宋" w:hAnsi="仿宋" w:eastAsia="仿宋"/>
                <w:b/>
                <w:bCs/>
                <w:szCs w:val="21"/>
              </w:rPr>
              <w:t>序号</w:t>
            </w:r>
          </w:p>
        </w:tc>
        <w:tc>
          <w:tcPr>
            <w:tcW w:w="1623" w:type="pct"/>
            <w:vAlign w:val="center"/>
          </w:tcPr>
          <w:p w14:paraId="37976ED5">
            <w:pPr>
              <w:jc w:val="center"/>
              <w:rPr>
                <w:rFonts w:hint="eastAsia" w:ascii="仿宋" w:hAnsi="仿宋" w:eastAsia="仿宋"/>
                <w:b/>
                <w:bCs/>
                <w:szCs w:val="21"/>
              </w:rPr>
            </w:pPr>
            <w:r>
              <w:rPr>
                <w:rFonts w:ascii="仿宋" w:hAnsi="仿宋" w:eastAsia="仿宋"/>
                <w:b/>
                <w:bCs/>
                <w:szCs w:val="21"/>
              </w:rPr>
              <w:t>教学内容</w:t>
            </w:r>
          </w:p>
        </w:tc>
        <w:tc>
          <w:tcPr>
            <w:tcW w:w="541" w:type="pct"/>
            <w:vAlign w:val="center"/>
          </w:tcPr>
          <w:p w14:paraId="4783A50A">
            <w:pPr>
              <w:jc w:val="center"/>
              <w:rPr>
                <w:rFonts w:hint="eastAsia" w:ascii="仿宋" w:hAnsi="仿宋" w:eastAsia="仿宋"/>
                <w:b/>
                <w:bCs/>
                <w:szCs w:val="21"/>
              </w:rPr>
            </w:pPr>
            <w:r>
              <w:rPr>
                <w:rFonts w:ascii="仿宋" w:hAnsi="仿宋" w:eastAsia="仿宋"/>
                <w:b/>
                <w:bCs/>
                <w:szCs w:val="21"/>
              </w:rPr>
              <w:t>思政</w:t>
            </w:r>
          </w:p>
          <w:p w14:paraId="205F4B4C">
            <w:pPr>
              <w:jc w:val="center"/>
              <w:rPr>
                <w:rFonts w:hint="eastAsia" w:ascii="仿宋" w:hAnsi="仿宋" w:eastAsia="仿宋"/>
                <w:b/>
                <w:bCs/>
                <w:szCs w:val="21"/>
              </w:rPr>
            </w:pPr>
            <w:r>
              <w:rPr>
                <w:rFonts w:ascii="仿宋" w:hAnsi="仿宋" w:eastAsia="仿宋"/>
                <w:b/>
                <w:bCs/>
                <w:szCs w:val="21"/>
              </w:rPr>
              <w:t>元素</w:t>
            </w:r>
          </w:p>
        </w:tc>
        <w:tc>
          <w:tcPr>
            <w:tcW w:w="1160" w:type="pct"/>
            <w:vAlign w:val="center"/>
          </w:tcPr>
          <w:p w14:paraId="02D87436">
            <w:pPr>
              <w:jc w:val="center"/>
              <w:rPr>
                <w:rFonts w:hint="eastAsia" w:ascii="仿宋" w:hAnsi="仿宋" w:eastAsia="仿宋"/>
                <w:b/>
                <w:bCs/>
                <w:szCs w:val="21"/>
              </w:rPr>
            </w:pPr>
            <w:r>
              <w:rPr>
                <w:rFonts w:ascii="仿宋" w:hAnsi="仿宋" w:eastAsia="仿宋"/>
                <w:b/>
                <w:bCs/>
                <w:szCs w:val="21"/>
              </w:rPr>
              <w:t>预期学习成果</w:t>
            </w:r>
          </w:p>
        </w:tc>
        <w:tc>
          <w:tcPr>
            <w:tcW w:w="386" w:type="pct"/>
            <w:vAlign w:val="center"/>
          </w:tcPr>
          <w:p w14:paraId="44EEE7AD">
            <w:pPr>
              <w:jc w:val="center"/>
              <w:rPr>
                <w:rFonts w:hint="eastAsia" w:ascii="仿宋" w:hAnsi="仿宋" w:eastAsia="仿宋"/>
                <w:b/>
                <w:bCs/>
                <w:szCs w:val="21"/>
              </w:rPr>
            </w:pPr>
            <w:r>
              <w:rPr>
                <w:rFonts w:ascii="仿宋" w:hAnsi="仿宋" w:eastAsia="仿宋"/>
                <w:b/>
                <w:bCs/>
                <w:szCs w:val="21"/>
              </w:rPr>
              <w:t>教学学时</w:t>
            </w:r>
          </w:p>
        </w:tc>
        <w:tc>
          <w:tcPr>
            <w:tcW w:w="464" w:type="pct"/>
            <w:vAlign w:val="center"/>
          </w:tcPr>
          <w:p w14:paraId="1C3AAA33">
            <w:pPr>
              <w:jc w:val="center"/>
              <w:rPr>
                <w:rFonts w:hint="eastAsia" w:ascii="仿宋" w:hAnsi="仿宋" w:eastAsia="仿宋"/>
                <w:b/>
                <w:bCs/>
                <w:szCs w:val="21"/>
              </w:rPr>
            </w:pPr>
            <w:r>
              <w:rPr>
                <w:rFonts w:ascii="仿宋" w:hAnsi="仿宋" w:eastAsia="仿宋"/>
                <w:b/>
                <w:bCs/>
                <w:szCs w:val="21"/>
              </w:rPr>
              <w:t>教学</w:t>
            </w:r>
          </w:p>
          <w:p w14:paraId="11A0228C">
            <w:pPr>
              <w:jc w:val="center"/>
              <w:rPr>
                <w:rFonts w:hint="eastAsia" w:ascii="仿宋" w:hAnsi="仿宋" w:eastAsia="仿宋"/>
                <w:b/>
                <w:bCs/>
                <w:szCs w:val="21"/>
              </w:rPr>
            </w:pPr>
            <w:r>
              <w:rPr>
                <w:rFonts w:ascii="仿宋" w:hAnsi="仿宋" w:eastAsia="仿宋"/>
                <w:b/>
                <w:bCs/>
                <w:szCs w:val="21"/>
              </w:rPr>
              <w:t>方式</w:t>
            </w:r>
          </w:p>
        </w:tc>
        <w:tc>
          <w:tcPr>
            <w:tcW w:w="520" w:type="pct"/>
            <w:vAlign w:val="center"/>
          </w:tcPr>
          <w:p w14:paraId="475A1B4B">
            <w:pPr>
              <w:jc w:val="center"/>
              <w:rPr>
                <w:rFonts w:hint="eastAsia" w:ascii="仿宋" w:hAnsi="仿宋" w:eastAsia="仿宋"/>
                <w:b/>
                <w:bCs/>
                <w:szCs w:val="21"/>
              </w:rPr>
            </w:pPr>
            <w:r>
              <w:rPr>
                <w:rFonts w:ascii="仿宋" w:hAnsi="仿宋" w:eastAsia="仿宋"/>
                <w:b/>
                <w:bCs/>
                <w:szCs w:val="21"/>
              </w:rPr>
              <w:t>支撑课程目标</w:t>
            </w:r>
          </w:p>
        </w:tc>
      </w:tr>
      <w:tr w14:paraId="15CF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356D3CBC">
            <w:pPr>
              <w:jc w:val="center"/>
              <w:rPr>
                <w:rFonts w:hint="eastAsia" w:ascii="仿宋" w:hAnsi="仿宋" w:eastAsia="仿宋"/>
                <w:szCs w:val="21"/>
              </w:rPr>
            </w:pPr>
            <w:r>
              <w:rPr>
                <w:rFonts w:ascii="仿宋" w:hAnsi="仿宋" w:eastAsia="仿宋"/>
                <w:szCs w:val="21"/>
              </w:rPr>
              <w:t>1</w:t>
            </w:r>
          </w:p>
        </w:tc>
        <w:tc>
          <w:tcPr>
            <w:tcW w:w="1623" w:type="pct"/>
            <w:vAlign w:val="center"/>
          </w:tcPr>
          <w:p w14:paraId="3ABFD895">
            <w:pPr>
              <w:jc w:val="left"/>
              <w:rPr>
                <w:rFonts w:hint="eastAsia" w:ascii="仿宋" w:hAnsi="仿宋" w:eastAsia="仿宋"/>
                <w:b/>
                <w:szCs w:val="21"/>
              </w:rPr>
            </w:pPr>
            <w:r>
              <w:rPr>
                <w:rFonts w:hint="eastAsia" w:ascii="仿宋" w:hAnsi="仿宋" w:eastAsia="仿宋"/>
                <w:b/>
                <w:szCs w:val="21"/>
              </w:rPr>
              <w:t>㈠体育理论部分:</w:t>
            </w:r>
          </w:p>
          <w:p w14:paraId="6CE48F43">
            <w:pPr>
              <w:jc w:val="left"/>
              <w:rPr>
                <w:rFonts w:hint="eastAsia" w:ascii="仿宋" w:hAnsi="仿宋" w:eastAsia="仿宋"/>
                <w:bCs/>
              </w:rPr>
            </w:pPr>
            <w:r>
              <w:rPr>
                <w:rFonts w:hint="eastAsia" w:ascii="仿宋" w:hAnsi="仿宋" w:eastAsia="仿宋"/>
                <w:bCs/>
              </w:rPr>
              <w:t>1.学生思想政治教育：我校体育运动发展概况、国家领导人与体育、奥运明星的励志故事、社会主义核心价值观与体育等；</w:t>
            </w:r>
          </w:p>
          <w:p w14:paraId="1758F3F4">
            <w:pPr>
              <w:jc w:val="left"/>
              <w:rPr>
                <w:rFonts w:hint="eastAsia" w:ascii="仿宋" w:hAnsi="仿宋" w:eastAsia="仿宋"/>
              </w:rPr>
            </w:pPr>
            <w:r>
              <w:rPr>
                <w:rFonts w:hint="eastAsia" w:ascii="仿宋" w:hAnsi="仿宋" w:eastAsia="仿宋"/>
                <w:bCs/>
              </w:rPr>
              <w:t>2</w:t>
            </w:r>
            <w:r>
              <w:rPr>
                <w:rFonts w:ascii="仿宋" w:hAnsi="仿宋" w:eastAsia="仿宋"/>
                <w:bCs/>
              </w:rPr>
              <w:t>.</w:t>
            </w:r>
            <w:r>
              <w:rPr>
                <w:rFonts w:hint="eastAsia" w:ascii="仿宋" w:hAnsi="仿宋" w:eastAsia="仿宋"/>
              </w:rPr>
              <w:t>体育安全教育：体育运动伤害事故的安全教育及预防与处理措施、常见运动损伤的预防与处理等；</w:t>
            </w:r>
          </w:p>
          <w:p w14:paraId="4A939FCC">
            <w:pPr>
              <w:jc w:val="left"/>
              <w:rPr>
                <w:rFonts w:hint="eastAsia" w:ascii="仿宋" w:hAnsi="仿宋" w:eastAsia="仿宋"/>
                <w:szCs w:val="21"/>
              </w:rPr>
            </w:pPr>
            <w:r>
              <w:rPr>
                <w:rFonts w:hint="eastAsia" w:ascii="仿宋" w:hAnsi="仿宋" w:eastAsia="仿宋"/>
              </w:rPr>
              <w:t>3.体育基本理论：各运动项目的基本技战术知识、组织与竞赛、基本规则和裁判法，运动健身的基本原理与锻炼方法，体育锻炼的自我监督与评价，体育养生与保健知识等；</w:t>
            </w:r>
          </w:p>
          <w:p w14:paraId="1C662BE1">
            <w:pPr>
              <w:ind w:right="-170" w:rightChars="-81"/>
              <w:jc w:val="left"/>
              <w:rPr>
                <w:rFonts w:hint="eastAsia" w:ascii="仿宋" w:hAnsi="仿宋" w:eastAsia="仿宋"/>
                <w:szCs w:val="21"/>
              </w:rPr>
            </w:pPr>
            <w:r>
              <w:rPr>
                <w:rFonts w:hint="eastAsia" w:ascii="仿宋" w:hAnsi="仿宋" w:eastAsia="仿宋"/>
                <w:b/>
                <w:szCs w:val="21"/>
              </w:rPr>
              <w:t>重点：</w:t>
            </w:r>
            <w:r>
              <w:rPr>
                <w:rFonts w:hint="eastAsia" w:ascii="仿宋" w:hAnsi="仿宋" w:eastAsia="仿宋"/>
                <w:szCs w:val="21"/>
              </w:rPr>
              <w:t>体育安全教育、掌握所学项目的基本知识；</w:t>
            </w:r>
          </w:p>
          <w:p w14:paraId="16AE1741">
            <w:pPr>
              <w:jc w:val="left"/>
              <w:rPr>
                <w:rFonts w:hint="eastAsia" w:ascii="仿宋" w:hAnsi="仿宋" w:eastAsia="仿宋"/>
                <w:szCs w:val="21"/>
              </w:rPr>
            </w:pPr>
            <w:r>
              <w:rPr>
                <w:rFonts w:hint="eastAsia" w:ascii="仿宋" w:hAnsi="仿宋" w:eastAsia="仿宋"/>
                <w:b/>
                <w:szCs w:val="21"/>
              </w:rPr>
              <w:t>难点：</w:t>
            </w:r>
            <w:r>
              <w:rPr>
                <w:rFonts w:hint="eastAsia" w:ascii="仿宋" w:hAnsi="仿宋" w:eastAsia="仿宋"/>
                <w:szCs w:val="21"/>
              </w:rPr>
              <w:t>培养学生自</w:t>
            </w:r>
            <w:r>
              <w:rPr>
                <w:rFonts w:ascii="仿宋" w:hAnsi="仿宋" w:eastAsia="仿宋"/>
                <w:szCs w:val="21"/>
              </w:rPr>
              <w:t>主锻炼能力和</w:t>
            </w:r>
            <w:r>
              <w:rPr>
                <w:rFonts w:hint="eastAsia" w:ascii="仿宋" w:hAnsi="仿宋" w:eastAsia="仿宋"/>
                <w:szCs w:val="21"/>
              </w:rPr>
              <w:t>自觉锻炼意识。</w:t>
            </w:r>
          </w:p>
        </w:tc>
        <w:tc>
          <w:tcPr>
            <w:tcW w:w="541" w:type="pct"/>
            <w:vAlign w:val="center"/>
          </w:tcPr>
          <w:p w14:paraId="2FBEDB27">
            <w:pPr>
              <w:jc w:val="center"/>
              <w:rPr>
                <w:rFonts w:hint="eastAsia" w:ascii="仿宋" w:hAnsi="仿宋" w:eastAsia="仿宋"/>
                <w:kern w:val="0"/>
                <w:szCs w:val="21"/>
              </w:rPr>
            </w:pPr>
            <w:r>
              <w:rPr>
                <w:rFonts w:hint="eastAsia" w:ascii="仿宋" w:hAnsi="仿宋" w:eastAsia="仿宋"/>
                <w:kern w:val="0"/>
                <w:szCs w:val="21"/>
              </w:rPr>
              <w:t>理想信念、国家认同和社会主义核心价值观等教育；安全</w:t>
            </w:r>
            <w:r>
              <w:rPr>
                <w:rFonts w:ascii="仿宋" w:hAnsi="仿宋" w:eastAsia="仿宋"/>
                <w:kern w:val="0"/>
                <w:szCs w:val="21"/>
              </w:rPr>
              <w:t>意识、</w:t>
            </w:r>
            <w:r>
              <w:rPr>
                <w:rFonts w:hint="eastAsia" w:ascii="仿宋" w:hAnsi="仿宋" w:eastAsia="仿宋"/>
                <w:kern w:val="0"/>
                <w:szCs w:val="21"/>
              </w:rPr>
              <w:t>健康意识教育</w:t>
            </w:r>
            <w:r>
              <w:rPr>
                <w:rFonts w:ascii="仿宋" w:hAnsi="仿宋" w:eastAsia="仿宋"/>
                <w:kern w:val="0"/>
                <w:szCs w:val="21"/>
              </w:rPr>
              <w:t>；</w:t>
            </w:r>
            <w:r>
              <w:rPr>
                <w:rFonts w:hint="eastAsia" w:ascii="仿宋" w:hAnsi="仿宋" w:eastAsia="仿宋"/>
                <w:kern w:val="0"/>
                <w:szCs w:val="21"/>
              </w:rPr>
              <w:t xml:space="preserve"> </w:t>
            </w:r>
          </w:p>
        </w:tc>
        <w:tc>
          <w:tcPr>
            <w:tcW w:w="1160" w:type="pct"/>
            <w:vAlign w:val="center"/>
          </w:tcPr>
          <w:p w14:paraId="47EA2608">
            <w:pPr>
              <w:autoSpaceDE w:val="0"/>
              <w:autoSpaceDN w:val="0"/>
              <w:adjustRightInd w:val="0"/>
              <w:jc w:val="left"/>
              <w:rPr>
                <w:rFonts w:hint="eastAsia" w:ascii="仿宋" w:hAnsi="仿宋" w:eastAsia="仿宋"/>
                <w:kern w:val="0"/>
                <w:szCs w:val="21"/>
              </w:rPr>
            </w:pPr>
            <w:r>
              <w:rPr>
                <w:rFonts w:hint="eastAsia" w:ascii="仿宋" w:hAnsi="仿宋" w:eastAsia="仿宋"/>
                <w:kern w:val="0"/>
                <w:szCs w:val="21"/>
              </w:rPr>
              <w:t>通过教学，提高对体育的正确认识，形成正确积极的体育态度，学会运用科学理论指导健身锻炼实际，从而自觉遵循体育运动的规律，实现体育锻炼的目的。</w:t>
            </w:r>
          </w:p>
        </w:tc>
        <w:tc>
          <w:tcPr>
            <w:tcW w:w="386" w:type="pct"/>
            <w:vAlign w:val="center"/>
          </w:tcPr>
          <w:p w14:paraId="7CC1E9F4">
            <w:pPr>
              <w:jc w:val="center"/>
              <w:rPr>
                <w:rFonts w:hint="eastAsia" w:ascii="仿宋" w:hAnsi="仿宋" w:eastAsia="仿宋"/>
                <w:szCs w:val="21"/>
              </w:rPr>
            </w:pPr>
            <w:r>
              <w:rPr>
                <w:rFonts w:ascii="仿宋" w:hAnsi="仿宋" w:eastAsia="仿宋"/>
                <w:szCs w:val="21"/>
              </w:rPr>
              <w:t>2</w:t>
            </w:r>
          </w:p>
        </w:tc>
        <w:tc>
          <w:tcPr>
            <w:tcW w:w="464" w:type="pct"/>
            <w:vAlign w:val="center"/>
          </w:tcPr>
          <w:p w14:paraId="363928CE">
            <w:pPr>
              <w:jc w:val="left"/>
              <w:rPr>
                <w:rFonts w:hint="eastAsia" w:ascii="仿宋" w:hAnsi="仿宋" w:eastAsia="仿宋"/>
                <w:szCs w:val="21"/>
              </w:rPr>
            </w:pPr>
            <w:r>
              <w:rPr>
                <w:rFonts w:hint="eastAsia" w:ascii="仿宋" w:hAnsi="仿宋" w:eastAsia="仿宋"/>
                <w:szCs w:val="21"/>
              </w:rPr>
              <w:t>讲授法</w:t>
            </w:r>
          </w:p>
        </w:tc>
        <w:tc>
          <w:tcPr>
            <w:tcW w:w="520" w:type="pct"/>
            <w:vAlign w:val="center"/>
          </w:tcPr>
          <w:p w14:paraId="49DF47B8">
            <w:pPr>
              <w:jc w:val="left"/>
              <w:rPr>
                <w:rFonts w:hint="eastAsia" w:ascii="仿宋" w:hAnsi="仿宋" w:eastAsia="仿宋"/>
                <w:szCs w:val="21"/>
              </w:rPr>
            </w:pPr>
            <w:r>
              <w:rPr>
                <w:rFonts w:hint="eastAsia" w:ascii="仿宋" w:hAnsi="仿宋" w:eastAsia="仿宋"/>
                <w:szCs w:val="21"/>
              </w:rPr>
              <w:t>目标1目标2</w:t>
            </w:r>
          </w:p>
        </w:tc>
      </w:tr>
      <w:tr w14:paraId="4E64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vAlign w:val="center"/>
          </w:tcPr>
          <w:p w14:paraId="48CBEF6E">
            <w:pPr>
              <w:jc w:val="center"/>
              <w:rPr>
                <w:rFonts w:hint="eastAsia" w:ascii="仿宋" w:hAnsi="仿宋" w:eastAsia="仿宋"/>
                <w:szCs w:val="21"/>
              </w:rPr>
            </w:pPr>
            <w:r>
              <w:rPr>
                <w:rFonts w:ascii="仿宋" w:hAnsi="仿宋" w:eastAsia="仿宋"/>
                <w:szCs w:val="21"/>
              </w:rPr>
              <w:t>2</w:t>
            </w:r>
          </w:p>
        </w:tc>
        <w:tc>
          <w:tcPr>
            <w:tcW w:w="1623" w:type="pct"/>
            <w:vAlign w:val="center"/>
          </w:tcPr>
          <w:p w14:paraId="52AD1A0A">
            <w:pPr>
              <w:jc w:val="left"/>
              <w:rPr>
                <w:rFonts w:hint="eastAsia" w:ascii="仿宋" w:hAnsi="仿宋" w:eastAsia="仿宋"/>
                <w:b/>
                <w:szCs w:val="21"/>
              </w:rPr>
            </w:pPr>
            <w:r>
              <w:rPr>
                <w:rFonts w:hint="eastAsia" w:ascii="仿宋" w:hAnsi="仿宋" w:eastAsia="仿宋"/>
                <w:b/>
                <w:szCs w:val="21"/>
              </w:rPr>
              <w:t>㈡实践部分：</w:t>
            </w:r>
          </w:p>
          <w:p w14:paraId="55CCCB9F">
            <w:pPr>
              <w:rPr>
                <w:rFonts w:hint="eastAsia" w:ascii="仿宋" w:hAnsi="仿宋" w:eastAsia="仿宋"/>
                <w:bCs/>
              </w:rPr>
            </w:pPr>
            <w:r>
              <w:rPr>
                <w:rFonts w:hint="eastAsia" w:ascii="仿宋" w:hAnsi="仿宋" w:eastAsia="仿宋"/>
                <w:bCs/>
              </w:rPr>
              <w:t>各运动项目和国家学生体质健康标准测试的身体素质项目为主，主要包括体质测试、早锻炼、学生课外健身活动以及校级、院级和体育社团组织的各种体育比赛活动等。</w:t>
            </w:r>
          </w:p>
          <w:p w14:paraId="2CAC725F">
            <w:pPr>
              <w:rPr>
                <w:rFonts w:hint="eastAsia" w:ascii="仿宋" w:hAnsi="仿宋" w:eastAsia="仿宋"/>
                <w:bCs/>
              </w:rPr>
            </w:pPr>
            <w:r>
              <w:rPr>
                <w:rFonts w:hint="eastAsia" w:ascii="仿宋" w:hAnsi="仿宋" w:eastAsia="仿宋"/>
                <w:b/>
                <w:bCs/>
              </w:rPr>
              <w:t>重点：</w:t>
            </w:r>
            <w:r>
              <w:rPr>
                <w:rFonts w:hint="eastAsia" w:ascii="仿宋" w:hAnsi="仿宋" w:eastAsia="仿宋"/>
                <w:bCs/>
              </w:rPr>
              <w:t>编制可行的个人体育锻炼计划并积极实践。</w:t>
            </w:r>
          </w:p>
          <w:p w14:paraId="6EAC77A8">
            <w:pPr>
              <w:rPr>
                <w:rFonts w:hint="eastAsia" w:ascii="仿宋" w:hAnsi="仿宋" w:eastAsia="仿宋"/>
                <w:bCs/>
              </w:rPr>
            </w:pPr>
            <w:r>
              <w:rPr>
                <w:rFonts w:hint="eastAsia" w:ascii="仿宋" w:hAnsi="仿宋" w:eastAsia="仿宋"/>
                <w:b/>
                <w:bCs/>
              </w:rPr>
              <w:t>难点：</w:t>
            </w:r>
            <w:r>
              <w:rPr>
                <w:rFonts w:hint="eastAsia" w:ascii="仿宋" w:hAnsi="仿宋" w:eastAsia="仿宋"/>
                <w:bCs/>
              </w:rPr>
              <w:t>全面发</w:t>
            </w:r>
            <w:r>
              <w:rPr>
                <w:rFonts w:ascii="仿宋" w:hAnsi="仿宋" w:eastAsia="仿宋"/>
                <w:bCs/>
              </w:rPr>
              <w:t>展体能，</w:t>
            </w:r>
            <w:r>
              <w:rPr>
                <w:rFonts w:hint="eastAsia" w:ascii="仿宋" w:hAnsi="仿宋" w:eastAsia="仿宋"/>
                <w:bCs/>
              </w:rPr>
              <w:t>培养学生自觉锻炼意识</w:t>
            </w:r>
            <w:r>
              <w:rPr>
                <w:rFonts w:hint="eastAsia" w:ascii="仿宋" w:hAnsi="仿宋" w:eastAsia="仿宋"/>
                <w:sz w:val="24"/>
              </w:rPr>
              <w:t>，</w:t>
            </w:r>
            <w:r>
              <w:rPr>
                <w:rFonts w:ascii="仿宋" w:hAnsi="仿宋" w:eastAsia="仿宋"/>
                <w:bCs/>
              </w:rPr>
              <w:t>达到</w:t>
            </w:r>
            <w:r>
              <w:rPr>
                <w:rFonts w:hint="eastAsia" w:ascii="仿宋" w:hAnsi="仿宋" w:eastAsia="仿宋"/>
                <w:bCs/>
              </w:rPr>
              <w:t>体质</w:t>
            </w:r>
            <w:r>
              <w:rPr>
                <w:rFonts w:ascii="仿宋" w:hAnsi="仿宋" w:eastAsia="仿宋"/>
                <w:bCs/>
              </w:rPr>
              <w:t>健康标准测试</w:t>
            </w:r>
            <w:r>
              <w:rPr>
                <w:rFonts w:hint="eastAsia" w:ascii="仿宋" w:hAnsi="仿宋" w:eastAsia="仿宋"/>
                <w:bCs/>
              </w:rPr>
              <w:t>合格要求。</w:t>
            </w:r>
          </w:p>
        </w:tc>
        <w:tc>
          <w:tcPr>
            <w:tcW w:w="541" w:type="pct"/>
            <w:vAlign w:val="center"/>
          </w:tcPr>
          <w:p w14:paraId="69775D5E">
            <w:pPr>
              <w:widowControl/>
              <w:ind w:left="-44" w:leftChars="-21" w:right="-109" w:rightChars="-52" w:firstLine="44" w:firstLineChars="21"/>
              <w:jc w:val="left"/>
              <w:rPr>
                <w:rFonts w:hint="eastAsia"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意志品德培育；规则</w:t>
            </w:r>
            <w:r>
              <w:rPr>
                <w:rFonts w:ascii="仿宋" w:hAnsi="仿宋" w:eastAsia="仿宋"/>
                <w:kern w:val="0"/>
                <w:szCs w:val="21"/>
              </w:rPr>
              <w:t>意识和</w:t>
            </w:r>
            <w:r>
              <w:rPr>
                <w:rFonts w:hint="eastAsia" w:ascii="仿宋" w:hAnsi="仿宋" w:eastAsia="仿宋"/>
                <w:kern w:val="0"/>
                <w:szCs w:val="21"/>
              </w:rPr>
              <w:t>诚信意识教育。</w:t>
            </w:r>
          </w:p>
        </w:tc>
        <w:tc>
          <w:tcPr>
            <w:tcW w:w="1160" w:type="pct"/>
            <w:vAlign w:val="center"/>
          </w:tcPr>
          <w:p w14:paraId="2345CA5F">
            <w:pPr>
              <w:rPr>
                <w:rFonts w:hint="eastAsia" w:ascii="仿宋" w:hAnsi="仿宋" w:eastAsia="仿宋"/>
                <w:szCs w:val="21"/>
              </w:rPr>
            </w:pPr>
            <w:r>
              <w:rPr>
                <w:rFonts w:hint="eastAsia" w:ascii="仿宋" w:hAnsi="仿宋" w:eastAsia="仿宋"/>
                <w:szCs w:val="21"/>
              </w:rPr>
              <w:t>通过课外实践，使学生巩固课内学习效果，掌握科学锻炼的基础知识、基本技能和有效方法，发展身体素质；在运动中体验运动的乐趣和成功的感觉；选择适宜的体育活动调节自己的情绪，减轻学习压力，提高学习效率；表现出良好的体育道德和合作精神；正确处理竞争与合作的关系。通过体育活动，建立良好的人际关系；达到“国家体质健康标准”</w:t>
            </w:r>
            <w:r>
              <w:rPr>
                <w:rFonts w:hint="eastAsia" w:ascii="仿宋" w:hAnsi="仿宋" w:eastAsia="仿宋"/>
                <w:kern w:val="0"/>
                <w:szCs w:val="21"/>
              </w:rPr>
              <w:t>。</w:t>
            </w:r>
          </w:p>
        </w:tc>
        <w:tc>
          <w:tcPr>
            <w:tcW w:w="386" w:type="pct"/>
            <w:vAlign w:val="center"/>
          </w:tcPr>
          <w:p w14:paraId="47717594">
            <w:pPr>
              <w:jc w:val="center"/>
              <w:rPr>
                <w:rFonts w:hint="eastAsia" w:ascii="仿宋" w:hAnsi="仿宋" w:eastAsia="仿宋"/>
                <w:szCs w:val="21"/>
              </w:rPr>
            </w:pPr>
            <w:r>
              <w:rPr>
                <w:rFonts w:ascii="仿宋" w:hAnsi="仿宋" w:eastAsia="仿宋"/>
                <w:szCs w:val="21"/>
              </w:rPr>
              <w:t>16</w:t>
            </w:r>
          </w:p>
        </w:tc>
        <w:tc>
          <w:tcPr>
            <w:tcW w:w="464" w:type="pct"/>
            <w:vAlign w:val="center"/>
          </w:tcPr>
          <w:p w14:paraId="66B88B26">
            <w:pPr>
              <w:rPr>
                <w:rFonts w:hint="eastAsia"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vAlign w:val="center"/>
          </w:tcPr>
          <w:p w14:paraId="50BF2F95">
            <w:pPr>
              <w:jc w:val="left"/>
              <w:rPr>
                <w:rFonts w:hint="eastAsia" w:ascii="仿宋" w:hAnsi="仿宋" w:eastAsia="仿宋"/>
                <w:szCs w:val="21"/>
              </w:rPr>
            </w:pPr>
            <w:r>
              <w:rPr>
                <w:rFonts w:hint="eastAsia" w:ascii="仿宋" w:hAnsi="仿宋" w:eastAsia="仿宋"/>
                <w:szCs w:val="21"/>
              </w:rPr>
              <w:t>目标1</w:t>
            </w:r>
          </w:p>
          <w:p w14:paraId="51914DDB">
            <w:pPr>
              <w:jc w:val="left"/>
              <w:rPr>
                <w:rFonts w:hint="eastAsia" w:ascii="仿宋" w:hAnsi="仿宋" w:eastAsia="仿宋"/>
                <w:szCs w:val="21"/>
              </w:rPr>
            </w:pPr>
            <w:r>
              <w:rPr>
                <w:rFonts w:hint="eastAsia" w:ascii="仿宋" w:hAnsi="仿宋" w:eastAsia="仿宋"/>
                <w:szCs w:val="21"/>
              </w:rPr>
              <w:t>目标2</w:t>
            </w:r>
          </w:p>
        </w:tc>
      </w:tr>
    </w:tbl>
    <w:p w14:paraId="062ECCCA">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四、课程实施</w:t>
      </w:r>
    </w:p>
    <w:p w14:paraId="4C732352">
      <w:pPr>
        <w:spacing w:before="156" w:beforeLines="50" w:after="156" w:afterLines="50" w:line="360" w:lineRule="exact"/>
        <w:ind w:firstLine="482" w:firstLineChars="200"/>
        <w:jc w:val="left"/>
        <w:rPr>
          <w:rFonts w:hint="eastAsia" w:ascii="仿宋" w:hAnsi="仿宋" w:eastAsia="仿宋"/>
          <w:b/>
          <w:sz w:val="24"/>
        </w:rPr>
      </w:pPr>
      <w:r>
        <w:rPr>
          <w:rFonts w:hint="eastAsia" w:ascii="仿宋" w:hAnsi="仿宋" w:eastAsia="仿宋"/>
          <w:b/>
          <w:sz w:val="24"/>
        </w:rPr>
        <w:t>（一）方法与手段</w:t>
      </w:r>
    </w:p>
    <w:p w14:paraId="781ED4A1">
      <w:pPr>
        <w:spacing w:before="156" w:beforeLines="50" w:after="156" w:afterLines="50" w:line="360" w:lineRule="exact"/>
        <w:ind w:firstLine="480" w:firstLineChars="200"/>
        <w:jc w:val="left"/>
        <w:rPr>
          <w:rFonts w:hint="eastAsia" w:ascii="仿宋" w:hAnsi="仿宋" w:eastAsia="仿宋"/>
          <w:sz w:val="24"/>
        </w:rPr>
      </w:pPr>
      <w:r>
        <w:rPr>
          <w:rFonts w:hint="eastAsia" w:ascii="仿宋" w:hAnsi="仿宋" w:eastAsia="仿宋"/>
          <w:sz w:val="24"/>
        </w:rPr>
        <w:t>采用线上+线下、自主锻炼、体质测试和课外体育俱乐部等组织形式。</w:t>
      </w:r>
    </w:p>
    <w:p w14:paraId="51D02E81">
      <w:pPr>
        <w:spacing w:line="360" w:lineRule="auto"/>
        <w:ind w:firstLine="482" w:firstLineChars="200"/>
        <w:rPr>
          <w:rFonts w:hint="eastAsia" w:ascii="仿宋" w:hAnsi="仿宋" w:eastAsia="仿宋"/>
          <w:b/>
          <w:sz w:val="24"/>
        </w:rPr>
      </w:pPr>
      <w:r>
        <w:rPr>
          <w:rFonts w:hint="eastAsia" w:ascii="仿宋" w:hAnsi="仿宋" w:eastAsia="仿宋"/>
          <w:b/>
          <w:sz w:val="24"/>
        </w:rPr>
        <w:t>（二）课程实施与保障</w:t>
      </w:r>
    </w:p>
    <w:tbl>
      <w:tblPr>
        <w:tblStyle w:val="13"/>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2265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8" w:space="0"/>
              <w:left w:val="single" w:color="auto" w:sz="8" w:space="0"/>
              <w:right w:val="single" w:color="auto" w:sz="8" w:space="0"/>
            </w:tcBorders>
            <w:tcMar>
              <w:left w:w="28" w:type="dxa"/>
              <w:right w:w="28" w:type="dxa"/>
            </w:tcMar>
            <w:vAlign w:val="center"/>
          </w:tcPr>
          <w:p w14:paraId="3A94FB2E">
            <w:pPr>
              <w:spacing w:line="276" w:lineRule="auto"/>
              <w:jc w:val="center"/>
              <w:rPr>
                <w:rFonts w:hint="eastAsia" w:ascii="仿宋" w:hAnsi="仿宋" w:eastAsia="仿宋"/>
                <w:sz w:val="24"/>
              </w:rPr>
            </w:pPr>
            <w:r>
              <w:rPr>
                <w:rFonts w:ascii="仿宋" w:hAnsi="仿宋" w:eastAsia="仿宋" w:cs="宋体"/>
                <w:b/>
                <w:bCs/>
                <w:sz w:val="24"/>
              </w:rPr>
              <w:t>主要环节</w:t>
            </w:r>
          </w:p>
        </w:tc>
        <w:tc>
          <w:tcPr>
            <w:tcW w:w="6640" w:type="dxa"/>
            <w:tcBorders>
              <w:top w:val="single" w:color="auto" w:sz="8" w:space="0"/>
              <w:left w:val="single" w:color="auto" w:sz="8" w:space="0"/>
              <w:right w:val="single" w:color="auto" w:sz="8" w:space="0"/>
            </w:tcBorders>
            <w:vAlign w:val="center"/>
          </w:tcPr>
          <w:p w14:paraId="0074F845">
            <w:pPr>
              <w:spacing w:line="276" w:lineRule="auto"/>
              <w:jc w:val="center"/>
              <w:rPr>
                <w:rFonts w:hint="eastAsia" w:ascii="仿宋" w:hAnsi="仿宋" w:eastAsia="仿宋"/>
                <w:sz w:val="24"/>
              </w:rPr>
            </w:pPr>
            <w:r>
              <w:rPr>
                <w:rFonts w:hint="eastAsia" w:ascii="仿宋" w:hAnsi="仿宋" w:eastAsia="仿宋" w:cs="宋体"/>
                <w:b/>
                <w:bCs/>
                <w:sz w:val="24"/>
              </w:rPr>
              <w:t>质量要求</w:t>
            </w:r>
          </w:p>
        </w:tc>
      </w:tr>
      <w:tr w14:paraId="7B3D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1B8C4FF3">
            <w:pPr>
              <w:spacing w:line="276" w:lineRule="auto"/>
              <w:jc w:val="center"/>
              <w:rPr>
                <w:rFonts w:hint="eastAsia" w:ascii="仿宋" w:hAnsi="仿宋" w:eastAsia="仿宋"/>
                <w:sz w:val="24"/>
              </w:rPr>
            </w:pPr>
            <w:r>
              <w:rPr>
                <w:rFonts w:ascii="仿宋" w:hAnsi="仿宋" w:eastAsia="仿宋"/>
                <w:sz w:val="24"/>
              </w:rPr>
              <w:t>1</w:t>
            </w:r>
          </w:p>
        </w:tc>
        <w:tc>
          <w:tcPr>
            <w:tcW w:w="1252" w:type="dxa"/>
            <w:tcMar>
              <w:left w:w="28" w:type="dxa"/>
              <w:right w:w="28" w:type="dxa"/>
            </w:tcMar>
            <w:vAlign w:val="center"/>
          </w:tcPr>
          <w:p w14:paraId="70E3DFD9">
            <w:pPr>
              <w:spacing w:line="276" w:lineRule="auto"/>
              <w:jc w:val="center"/>
              <w:rPr>
                <w:rFonts w:hint="eastAsia" w:ascii="仿宋" w:hAnsi="仿宋" w:eastAsia="仿宋"/>
                <w:sz w:val="24"/>
              </w:rPr>
            </w:pPr>
            <w:r>
              <w:rPr>
                <w:rFonts w:hint="eastAsia" w:ascii="仿宋" w:hAnsi="仿宋" w:eastAsia="仿宋"/>
                <w:sz w:val="24"/>
              </w:rPr>
              <w:t>课外锻炼</w:t>
            </w:r>
          </w:p>
        </w:tc>
        <w:tc>
          <w:tcPr>
            <w:tcW w:w="6640" w:type="dxa"/>
            <w:tcBorders>
              <w:right w:val="single" w:color="auto" w:sz="8" w:space="0"/>
            </w:tcBorders>
            <w:vAlign w:val="center"/>
          </w:tcPr>
          <w:p w14:paraId="710F83B9">
            <w:pPr>
              <w:autoSpaceDE w:val="0"/>
              <w:autoSpaceDN w:val="0"/>
              <w:adjustRightInd w:val="0"/>
              <w:snapToGrid w:val="0"/>
              <w:spacing w:line="360" w:lineRule="exact"/>
              <w:jc w:val="left"/>
              <w:rPr>
                <w:rFonts w:hint="eastAsia" w:ascii="仿宋" w:hAnsi="仿宋" w:eastAsia="仿宋" w:cs="宋体"/>
                <w:kern w:val="0"/>
                <w:sz w:val="22"/>
              </w:rPr>
            </w:pPr>
            <w:r>
              <w:rPr>
                <w:rFonts w:hint="eastAsia" w:ascii="仿宋" w:hAnsi="仿宋" w:eastAsia="仿宋" w:cs="宋体"/>
                <w:kern w:val="0"/>
                <w:sz w:val="22"/>
              </w:rPr>
              <w:t>学生利用课余时间通过参加体质测试、早锻炼、课外健身活动以及校级、院级和体育社团组织的各种体育比赛等活动，巩固课内学习效果，提高身体素质，培养学生自我锻炼意识和习惯。</w:t>
            </w:r>
          </w:p>
        </w:tc>
      </w:tr>
      <w:tr w14:paraId="61AF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39" w:type="dxa"/>
            <w:tcBorders>
              <w:left w:val="single" w:color="auto" w:sz="8" w:space="0"/>
            </w:tcBorders>
            <w:vAlign w:val="center"/>
          </w:tcPr>
          <w:p w14:paraId="795CA83C">
            <w:pPr>
              <w:spacing w:line="276" w:lineRule="auto"/>
              <w:jc w:val="center"/>
              <w:rPr>
                <w:rFonts w:hint="eastAsia" w:ascii="仿宋" w:hAnsi="仿宋" w:eastAsia="仿宋"/>
                <w:sz w:val="24"/>
              </w:rPr>
            </w:pPr>
            <w:r>
              <w:rPr>
                <w:rFonts w:hint="eastAsia" w:ascii="仿宋" w:hAnsi="仿宋" w:eastAsia="仿宋"/>
                <w:sz w:val="24"/>
              </w:rPr>
              <w:t>2</w:t>
            </w:r>
          </w:p>
        </w:tc>
        <w:tc>
          <w:tcPr>
            <w:tcW w:w="1252" w:type="dxa"/>
            <w:tcMar>
              <w:left w:w="28" w:type="dxa"/>
              <w:right w:w="28" w:type="dxa"/>
            </w:tcMar>
            <w:vAlign w:val="center"/>
          </w:tcPr>
          <w:p w14:paraId="72AEFD01">
            <w:pPr>
              <w:spacing w:line="276" w:lineRule="auto"/>
              <w:jc w:val="center"/>
              <w:rPr>
                <w:rFonts w:hint="eastAsia" w:ascii="仿宋" w:hAnsi="仿宋" w:eastAsia="仿宋"/>
                <w:sz w:val="24"/>
              </w:rPr>
            </w:pPr>
            <w:r>
              <w:rPr>
                <w:rFonts w:hint="eastAsia" w:ascii="仿宋" w:hAnsi="仿宋" w:eastAsia="仿宋"/>
                <w:sz w:val="24"/>
              </w:rPr>
              <w:t>体质</w:t>
            </w:r>
            <w:r>
              <w:rPr>
                <w:rFonts w:ascii="仿宋" w:hAnsi="仿宋" w:eastAsia="仿宋"/>
                <w:sz w:val="24"/>
              </w:rPr>
              <w:t>测试</w:t>
            </w:r>
          </w:p>
        </w:tc>
        <w:tc>
          <w:tcPr>
            <w:tcW w:w="6640" w:type="dxa"/>
            <w:tcBorders>
              <w:right w:val="single" w:color="auto" w:sz="8" w:space="0"/>
            </w:tcBorders>
            <w:vAlign w:val="center"/>
          </w:tcPr>
          <w:p w14:paraId="3E2D0F44">
            <w:pPr>
              <w:autoSpaceDE w:val="0"/>
              <w:autoSpaceDN w:val="0"/>
              <w:adjustRightInd w:val="0"/>
              <w:snapToGrid w:val="0"/>
              <w:spacing w:line="360" w:lineRule="exact"/>
              <w:jc w:val="left"/>
              <w:rPr>
                <w:rFonts w:hint="eastAsia" w:ascii="仿宋" w:hAnsi="仿宋" w:eastAsia="仿宋" w:cs="宋体"/>
                <w:kern w:val="0"/>
                <w:sz w:val="22"/>
              </w:rPr>
            </w:pPr>
            <w:r>
              <w:rPr>
                <w:rFonts w:hint="eastAsia" w:ascii="仿宋" w:hAnsi="仿宋" w:eastAsia="仿宋" w:cs="宋体"/>
                <w:kern w:val="0"/>
                <w:sz w:val="22"/>
              </w:rPr>
              <w:t>完成《国家学生体质健康标准》项目测试</w:t>
            </w:r>
            <w:r>
              <w:rPr>
                <w:rFonts w:ascii="仿宋" w:hAnsi="仿宋" w:eastAsia="仿宋" w:cs="宋体"/>
                <w:kern w:val="0"/>
                <w:sz w:val="22"/>
              </w:rPr>
              <w:t>。</w:t>
            </w:r>
          </w:p>
        </w:tc>
      </w:tr>
      <w:tr w14:paraId="4F17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24CC0B08">
            <w:pPr>
              <w:spacing w:line="276" w:lineRule="auto"/>
              <w:jc w:val="center"/>
              <w:rPr>
                <w:rFonts w:hint="eastAsia" w:ascii="仿宋" w:hAnsi="仿宋" w:eastAsia="仿宋"/>
                <w:sz w:val="24"/>
              </w:rPr>
            </w:pPr>
            <w:r>
              <w:rPr>
                <w:rFonts w:ascii="仿宋" w:hAnsi="仿宋" w:eastAsia="仿宋"/>
                <w:sz w:val="24"/>
              </w:rPr>
              <w:t>3</w:t>
            </w:r>
          </w:p>
        </w:tc>
        <w:tc>
          <w:tcPr>
            <w:tcW w:w="1252" w:type="dxa"/>
            <w:tcMar>
              <w:left w:w="28" w:type="dxa"/>
              <w:right w:w="28" w:type="dxa"/>
            </w:tcMar>
            <w:vAlign w:val="center"/>
          </w:tcPr>
          <w:p w14:paraId="42CFFA83">
            <w:pPr>
              <w:spacing w:line="276" w:lineRule="auto"/>
              <w:jc w:val="center"/>
              <w:rPr>
                <w:rFonts w:hint="eastAsia" w:ascii="仿宋" w:hAnsi="仿宋" w:eastAsia="仿宋"/>
                <w:sz w:val="24"/>
              </w:rPr>
            </w:pPr>
            <w:r>
              <w:rPr>
                <w:rFonts w:hint="eastAsia" w:ascii="仿宋" w:hAnsi="仿宋" w:eastAsia="仿宋"/>
                <w:sz w:val="24"/>
              </w:rPr>
              <w:t>成绩考核</w:t>
            </w:r>
          </w:p>
        </w:tc>
        <w:tc>
          <w:tcPr>
            <w:tcW w:w="6640" w:type="dxa"/>
            <w:tcBorders>
              <w:right w:val="single" w:color="auto" w:sz="8" w:space="0"/>
            </w:tcBorders>
            <w:vAlign w:val="center"/>
          </w:tcPr>
          <w:p w14:paraId="3FCA4DCE">
            <w:pPr>
              <w:autoSpaceDE w:val="0"/>
              <w:autoSpaceDN w:val="0"/>
              <w:adjustRightInd w:val="0"/>
              <w:snapToGrid w:val="0"/>
              <w:spacing w:line="360" w:lineRule="exact"/>
              <w:jc w:val="left"/>
              <w:rPr>
                <w:rFonts w:hint="eastAsia" w:ascii="仿宋" w:hAnsi="仿宋" w:eastAsia="仿宋" w:cs="宋体"/>
                <w:kern w:val="0"/>
                <w:sz w:val="22"/>
              </w:rPr>
            </w:pPr>
            <w:r>
              <w:rPr>
                <w:rFonts w:hint="eastAsia" w:ascii="仿宋" w:hAnsi="仿宋" w:eastAsia="仿宋" w:cs="宋体"/>
                <w:kern w:val="0"/>
                <w:sz w:val="22"/>
              </w:rPr>
              <w:t>本课程考核的方式：以学生参加课外体育活动的考勤次数为依据。总评成绩的评定见《学生参加课外体育活动成绩评定标准》。</w:t>
            </w:r>
          </w:p>
        </w:tc>
      </w:tr>
    </w:tbl>
    <w:p w14:paraId="59479FB1">
      <w:pPr>
        <w:spacing w:before="156" w:beforeLines="50" w:after="156" w:afterLines="50" w:line="360" w:lineRule="exact"/>
        <w:ind w:firstLine="562" w:firstLineChars="200"/>
        <w:jc w:val="left"/>
        <w:rPr>
          <w:rFonts w:hint="eastAsia" w:ascii="仿宋" w:hAnsi="仿宋" w:eastAsia="仿宋" w:cs="宋体"/>
          <w:b/>
          <w:sz w:val="28"/>
          <w:szCs w:val="28"/>
        </w:rPr>
      </w:pPr>
      <w:r>
        <w:rPr>
          <w:rFonts w:hint="eastAsia" w:ascii="仿宋" w:hAnsi="仿宋" w:eastAsia="仿宋" w:cs="宋体"/>
          <w:b/>
          <w:sz w:val="28"/>
          <w:szCs w:val="28"/>
        </w:rPr>
        <w:t>五</w:t>
      </w:r>
      <w:r>
        <w:rPr>
          <w:rFonts w:ascii="仿宋" w:hAnsi="仿宋" w:eastAsia="仿宋" w:cs="宋体"/>
          <w:b/>
          <w:sz w:val="28"/>
          <w:szCs w:val="28"/>
        </w:rPr>
        <w:t>、</w:t>
      </w:r>
      <w:r>
        <w:rPr>
          <w:rFonts w:hint="eastAsia" w:ascii="仿宋" w:hAnsi="仿宋" w:eastAsia="仿宋" w:cs="宋体"/>
          <w:b/>
          <w:sz w:val="28"/>
          <w:szCs w:val="28"/>
        </w:rPr>
        <w:t>课程考核</w:t>
      </w:r>
    </w:p>
    <w:p w14:paraId="2BC63FC4">
      <w:pPr>
        <w:spacing w:line="360" w:lineRule="auto"/>
        <w:ind w:firstLine="480" w:firstLineChars="200"/>
        <w:rPr>
          <w:rFonts w:hint="eastAsia" w:ascii="仿宋" w:hAnsi="仿宋" w:eastAsia="仿宋"/>
          <w:sz w:val="24"/>
        </w:rPr>
      </w:pPr>
      <w:r>
        <w:rPr>
          <w:rFonts w:hint="eastAsia" w:ascii="仿宋" w:hAnsi="仿宋" w:eastAsia="仿宋"/>
          <w:sz w:val="24"/>
        </w:rPr>
        <w:t>（一）课程考核由课外</w:t>
      </w:r>
      <w:r>
        <w:rPr>
          <w:rFonts w:ascii="仿宋" w:hAnsi="仿宋" w:eastAsia="仿宋"/>
          <w:sz w:val="24"/>
        </w:rPr>
        <w:t>体育活动</w:t>
      </w:r>
      <w:r>
        <w:rPr>
          <w:rFonts w:hint="eastAsia" w:ascii="仿宋" w:hAnsi="仿宋" w:eastAsia="仿宋"/>
          <w:sz w:val="24"/>
        </w:rPr>
        <w:t>和体质测试构成。</w:t>
      </w:r>
    </w:p>
    <w:p w14:paraId="6F88FC58">
      <w:pPr>
        <w:spacing w:line="360" w:lineRule="auto"/>
        <w:ind w:firstLine="480" w:firstLineChars="200"/>
        <w:rPr>
          <w:rFonts w:hint="eastAsia" w:ascii="仿宋" w:hAnsi="仿宋" w:eastAsia="仿宋"/>
          <w:sz w:val="24"/>
        </w:rPr>
      </w:pPr>
      <w:r>
        <w:rPr>
          <w:rFonts w:hint="eastAsia" w:ascii="仿宋" w:hAnsi="仿宋" w:eastAsia="仿宋"/>
          <w:sz w:val="24"/>
        </w:rPr>
        <w:t>（二）</w:t>
      </w:r>
      <w:r>
        <w:rPr>
          <w:rFonts w:ascii="仿宋" w:hAnsi="仿宋" w:eastAsia="仿宋"/>
          <w:sz w:val="24"/>
        </w:rPr>
        <w:t>课程</w:t>
      </w:r>
      <w:r>
        <w:rPr>
          <w:rFonts w:hint="eastAsia" w:ascii="仿宋" w:hAnsi="仿宋" w:eastAsia="仿宋"/>
          <w:sz w:val="24"/>
        </w:rPr>
        <w:t>总评成绩=课外体育活动×</w:t>
      </w:r>
      <w:r>
        <w:rPr>
          <w:rFonts w:ascii="仿宋" w:hAnsi="仿宋" w:eastAsia="仿宋"/>
          <w:sz w:val="24"/>
        </w:rPr>
        <w:t>5</w:t>
      </w:r>
      <w:r>
        <w:rPr>
          <w:rFonts w:hint="eastAsia" w:ascii="仿宋" w:hAnsi="仿宋" w:eastAsia="仿宋"/>
          <w:sz w:val="24"/>
        </w:rPr>
        <w:t>0%+体质测试×</w:t>
      </w:r>
      <w:r>
        <w:rPr>
          <w:rFonts w:ascii="仿宋" w:hAnsi="仿宋" w:eastAsia="仿宋"/>
          <w:sz w:val="24"/>
        </w:rPr>
        <w:t>5</w:t>
      </w:r>
      <w:r>
        <w:rPr>
          <w:rFonts w:hint="eastAsia" w:ascii="仿宋" w:hAnsi="仿宋" w:eastAsia="仿宋"/>
          <w:sz w:val="24"/>
        </w:rPr>
        <w:t>0%。</w:t>
      </w:r>
    </w:p>
    <w:p w14:paraId="7545BA5F">
      <w:pPr>
        <w:spacing w:line="360" w:lineRule="auto"/>
        <w:ind w:firstLine="480" w:firstLineChars="200"/>
        <w:rPr>
          <w:rFonts w:hint="eastAsia" w:ascii="仿宋" w:hAnsi="仿宋" w:eastAsia="仿宋"/>
          <w:sz w:val="24"/>
        </w:rPr>
      </w:pPr>
      <w:r>
        <w:rPr>
          <w:rFonts w:ascii="仿宋" w:hAnsi="仿宋" w:eastAsia="仿宋"/>
          <w:sz w:val="24"/>
        </w:rPr>
        <w:t>具体内容和比例</w:t>
      </w:r>
      <w:r>
        <w:rPr>
          <w:rFonts w:hint="eastAsia" w:ascii="仿宋" w:hAnsi="仿宋" w:eastAsia="仿宋"/>
          <w:sz w:val="24"/>
        </w:rPr>
        <w:t>如表所示：</w:t>
      </w:r>
    </w:p>
    <w:tbl>
      <w:tblPr>
        <w:tblStyle w:val="13"/>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6077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tcMar>
              <w:left w:w="57" w:type="dxa"/>
              <w:right w:w="57" w:type="dxa"/>
            </w:tcMar>
            <w:vAlign w:val="center"/>
          </w:tcPr>
          <w:p w14:paraId="0F0BB8D7">
            <w:pPr>
              <w:jc w:val="center"/>
              <w:rPr>
                <w:rFonts w:hint="eastAsia" w:ascii="仿宋" w:hAnsi="仿宋" w:eastAsia="仿宋"/>
                <w:szCs w:val="21"/>
              </w:rPr>
            </w:pPr>
            <w:r>
              <w:rPr>
                <w:rFonts w:ascii="仿宋" w:hAnsi="仿宋" w:eastAsia="仿宋"/>
                <w:szCs w:val="21"/>
              </w:rPr>
              <w:t>成绩组成</w:t>
            </w:r>
          </w:p>
        </w:tc>
        <w:tc>
          <w:tcPr>
            <w:tcW w:w="1301" w:type="dxa"/>
            <w:shd w:val="clear" w:color="auto" w:fill="FFFFFF"/>
            <w:vAlign w:val="center"/>
          </w:tcPr>
          <w:p w14:paraId="4FBEB9FD">
            <w:pPr>
              <w:jc w:val="center"/>
              <w:rPr>
                <w:rFonts w:hint="eastAsia" w:ascii="仿宋" w:hAnsi="仿宋" w:eastAsia="仿宋"/>
                <w:szCs w:val="21"/>
              </w:rPr>
            </w:pPr>
            <w:r>
              <w:rPr>
                <w:rFonts w:ascii="仿宋" w:hAnsi="仿宋" w:eastAsia="仿宋"/>
                <w:szCs w:val="21"/>
              </w:rPr>
              <w:t>考核/评价环节</w:t>
            </w:r>
          </w:p>
        </w:tc>
        <w:tc>
          <w:tcPr>
            <w:tcW w:w="741" w:type="dxa"/>
            <w:shd w:val="clear" w:color="auto" w:fill="FFFFFF"/>
            <w:vAlign w:val="center"/>
          </w:tcPr>
          <w:p w14:paraId="62F20D5A">
            <w:pPr>
              <w:jc w:val="center"/>
              <w:rPr>
                <w:rFonts w:hint="eastAsia" w:ascii="仿宋" w:hAnsi="仿宋" w:eastAsia="仿宋"/>
                <w:szCs w:val="21"/>
              </w:rPr>
            </w:pPr>
            <w:r>
              <w:rPr>
                <w:rFonts w:hint="eastAsia" w:ascii="仿宋" w:hAnsi="仿宋" w:eastAsia="仿宋"/>
                <w:szCs w:val="21"/>
              </w:rPr>
              <w:t>权重</w:t>
            </w:r>
          </w:p>
        </w:tc>
        <w:tc>
          <w:tcPr>
            <w:tcW w:w="4047" w:type="dxa"/>
            <w:shd w:val="clear" w:color="auto" w:fill="FFFFFF"/>
            <w:vAlign w:val="center"/>
          </w:tcPr>
          <w:p w14:paraId="7AF72BDB">
            <w:pPr>
              <w:jc w:val="center"/>
              <w:rPr>
                <w:rFonts w:hint="eastAsia" w:ascii="仿宋" w:hAnsi="仿宋" w:eastAsia="仿宋"/>
                <w:szCs w:val="21"/>
              </w:rPr>
            </w:pPr>
            <w:r>
              <w:rPr>
                <w:rFonts w:ascii="仿宋" w:hAnsi="仿宋" w:eastAsia="仿宋"/>
                <w:szCs w:val="21"/>
              </w:rPr>
              <w:t>考核/评价细则</w:t>
            </w:r>
          </w:p>
        </w:tc>
        <w:tc>
          <w:tcPr>
            <w:tcW w:w="1349" w:type="dxa"/>
            <w:shd w:val="clear" w:color="auto" w:fill="FFFFFF"/>
            <w:vAlign w:val="center"/>
          </w:tcPr>
          <w:p w14:paraId="775A5B8E">
            <w:pPr>
              <w:jc w:val="center"/>
              <w:rPr>
                <w:rFonts w:hint="eastAsia" w:ascii="仿宋" w:hAnsi="仿宋" w:eastAsia="仿宋"/>
                <w:szCs w:val="21"/>
              </w:rPr>
            </w:pPr>
            <w:r>
              <w:rPr>
                <w:rFonts w:ascii="仿宋" w:hAnsi="仿宋" w:eastAsia="仿宋"/>
                <w:szCs w:val="21"/>
              </w:rPr>
              <w:t>对应的毕业要求指标点</w:t>
            </w:r>
          </w:p>
        </w:tc>
      </w:tr>
      <w:tr w14:paraId="2A3D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040" w:type="dxa"/>
            <w:tcMar>
              <w:left w:w="57" w:type="dxa"/>
              <w:right w:w="57" w:type="dxa"/>
            </w:tcMar>
            <w:vAlign w:val="center"/>
          </w:tcPr>
          <w:p w14:paraId="59BCFDFF">
            <w:pPr>
              <w:jc w:val="center"/>
              <w:rPr>
                <w:rFonts w:hint="eastAsia" w:ascii="仿宋" w:hAnsi="仿宋" w:eastAsia="仿宋"/>
                <w:szCs w:val="21"/>
              </w:rPr>
            </w:pPr>
            <w:r>
              <w:rPr>
                <w:rFonts w:hint="eastAsia" w:ascii="仿宋" w:hAnsi="仿宋" w:eastAsia="仿宋"/>
                <w:szCs w:val="21"/>
              </w:rPr>
              <w:t>课外</w:t>
            </w:r>
            <w:r>
              <w:rPr>
                <w:rFonts w:ascii="仿宋" w:hAnsi="仿宋" w:eastAsia="仿宋"/>
                <w:szCs w:val="21"/>
              </w:rPr>
              <w:t>体育活动</w:t>
            </w:r>
          </w:p>
          <w:p w14:paraId="4268FDE6">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vAlign w:val="center"/>
          </w:tcPr>
          <w:p w14:paraId="50E1275C">
            <w:pPr>
              <w:spacing w:line="276" w:lineRule="auto"/>
              <w:jc w:val="center"/>
              <w:rPr>
                <w:rFonts w:hint="eastAsia" w:ascii="仿宋" w:hAnsi="仿宋" w:eastAsia="仿宋"/>
                <w:szCs w:val="21"/>
              </w:rPr>
            </w:pPr>
            <w:r>
              <w:rPr>
                <w:rFonts w:hint="eastAsia" w:ascii="仿宋" w:hAnsi="仿宋" w:eastAsia="仿宋"/>
                <w:szCs w:val="21"/>
              </w:rPr>
              <w:t>课</w:t>
            </w:r>
            <w:r>
              <w:rPr>
                <w:rFonts w:ascii="仿宋" w:hAnsi="仿宋" w:eastAsia="仿宋"/>
                <w:szCs w:val="21"/>
              </w:rPr>
              <w:t>外体育活动</w:t>
            </w:r>
          </w:p>
        </w:tc>
        <w:tc>
          <w:tcPr>
            <w:tcW w:w="741" w:type="dxa"/>
            <w:vAlign w:val="center"/>
          </w:tcPr>
          <w:p w14:paraId="68AFE736">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r>
              <w:rPr>
                <w:rFonts w:ascii="仿宋" w:hAnsi="仿宋" w:eastAsia="仿宋"/>
                <w:szCs w:val="21"/>
              </w:rPr>
              <w:t>%</w:t>
            </w:r>
          </w:p>
        </w:tc>
        <w:tc>
          <w:tcPr>
            <w:tcW w:w="4047" w:type="dxa"/>
            <w:vAlign w:val="center"/>
          </w:tcPr>
          <w:p w14:paraId="3F45E6F2">
            <w:pPr>
              <w:spacing w:line="360" w:lineRule="auto"/>
              <w:ind w:firstLine="480" w:firstLineChars="200"/>
              <w:jc w:val="left"/>
              <w:rPr>
                <w:rFonts w:hint="eastAsia" w:ascii="仿宋" w:hAnsi="仿宋" w:eastAsia="仿宋"/>
                <w:sz w:val="24"/>
              </w:rPr>
            </w:pPr>
            <w:r>
              <w:rPr>
                <w:rFonts w:hint="eastAsia" w:ascii="仿宋" w:hAnsi="仿宋" w:eastAsia="仿宋"/>
                <w:sz w:val="24"/>
              </w:rPr>
              <w:t>具体见《学生</w:t>
            </w:r>
            <w:r>
              <w:rPr>
                <w:rFonts w:ascii="仿宋" w:hAnsi="仿宋" w:eastAsia="仿宋"/>
                <w:sz w:val="24"/>
              </w:rPr>
              <w:t>参加课外体育活动成绩评定标准（</w:t>
            </w:r>
            <w:r>
              <w:rPr>
                <w:rFonts w:hint="eastAsia" w:ascii="仿宋" w:hAnsi="仿宋" w:eastAsia="仿宋"/>
                <w:sz w:val="24"/>
              </w:rPr>
              <w:t>百分</w:t>
            </w:r>
            <w:r>
              <w:rPr>
                <w:rFonts w:ascii="仿宋" w:hAnsi="仿宋" w:eastAsia="仿宋"/>
                <w:sz w:val="24"/>
              </w:rPr>
              <w:t>制）</w:t>
            </w:r>
            <w:r>
              <w:rPr>
                <w:rFonts w:hint="eastAsia" w:ascii="仿宋" w:hAnsi="仿宋" w:eastAsia="仿宋"/>
                <w:sz w:val="24"/>
              </w:rPr>
              <w:t>》</w:t>
            </w:r>
          </w:p>
        </w:tc>
        <w:tc>
          <w:tcPr>
            <w:tcW w:w="1349" w:type="dxa"/>
            <w:vAlign w:val="center"/>
          </w:tcPr>
          <w:p w14:paraId="77B9B411">
            <w:pPr>
              <w:jc w:val="center"/>
              <w:rPr>
                <w:rFonts w:hint="eastAsia" w:ascii="仿宋" w:hAnsi="仿宋" w:eastAsia="仿宋"/>
              </w:rPr>
            </w:pPr>
            <w:r>
              <w:rPr>
                <w:rFonts w:hint="eastAsia" w:ascii="仿宋" w:hAnsi="仿宋" w:eastAsia="仿宋"/>
              </w:rPr>
              <w:t>8、9</w:t>
            </w:r>
          </w:p>
        </w:tc>
      </w:tr>
      <w:tr w14:paraId="0330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040" w:type="dxa"/>
            <w:tcMar>
              <w:left w:w="57" w:type="dxa"/>
              <w:right w:w="57" w:type="dxa"/>
            </w:tcMar>
            <w:vAlign w:val="center"/>
          </w:tcPr>
          <w:p w14:paraId="24F0CE59">
            <w:pPr>
              <w:jc w:val="center"/>
              <w:rPr>
                <w:rFonts w:hint="eastAsia" w:ascii="仿宋" w:hAnsi="仿宋" w:eastAsia="仿宋"/>
                <w:szCs w:val="21"/>
              </w:rPr>
            </w:pPr>
            <w:r>
              <w:rPr>
                <w:rFonts w:hint="eastAsia" w:ascii="仿宋" w:hAnsi="仿宋" w:eastAsia="仿宋"/>
                <w:szCs w:val="21"/>
              </w:rPr>
              <w:t>体质测试</w:t>
            </w:r>
          </w:p>
          <w:p w14:paraId="452904BF">
            <w:pPr>
              <w:jc w:val="center"/>
              <w:rPr>
                <w:rFonts w:hint="eastAsia"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vAlign w:val="center"/>
          </w:tcPr>
          <w:p w14:paraId="51A7FA1D">
            <w:pPr>
              <w:jc w:val="center"/>
              <w:rPr>
                <w:rFonts w:hint="eastAsia" w:ascii="仿宋" w:hAnsi="仿宋" w:eastAsia="仿宋"/>
                <w:szCs w:val="21"/>
              </w:rPr>
            </w:pPr>
            <w:r>
              <w:rPr>
                <w:rFonts w:hint="eastAsia" w:ascii="仿宋" w:hAnsi="仿宋" w:eastAsia="仿宋"/>
                <w:szCs w:val="21"/>
              </w:rPr>
              <w:t>体质测试</w:t>
            </w:r>
          </w:p>
        </w:tc>
        <w:tc>
          <w:tcPr>
            <w:tcW w:w="741" w:type="dxa"/>
            <w:vAlign w:val="center"/>
          </w:tcPr>
          <w:p w14:paraId="34330580">
            <w:pPr>
              <w:jc w:val="center"/>
              <w:rPr>
                <w:rFonts w:hint="eastAsia" w:ascii="仿宋" w:hAnsi="仿宋" w:eastAsia="仿宋"/>
                <w:szCs w:val="21"/>
              </w:rPr>
            </w:pPr>
            <w:r>
              <w:rPr>
                <w:rFonts w:hint="eastAsia" w:ascii="仿宋" w:hAnsi="仿宋" w:eastAsia="仿宋"/>
                <w:szCs w:val="21"/>
              </w:rPr>
              <w:t xml:space="preserve">   </w:t>
            </w:r>
            <w:r>
              <w:rPr>
                <w:rFonts w:ascii="仿宋" w:hAnsi="仿宋" w:eastAsia="仿宋"/>
                <w:szCs w:val="21"/>
              </w:rPr>
              <w:t>10</w:t>
            </w:r>
            <w:r>
              <w:rPr>
                <w:rFonts w:hint="eastAsia" w:ascii="仿宋" w:hAnsi="仿宋" w:eastAsia="仿宋"/>
                <w:szCs w:val="21"/>
              </w:rPr>
              <w:t>0</w:t>
            </w:r>
            <w:r>
              <w:rPr>
                <w:rFonts w:ascii="仿宋" w:hAnsi="仿宋" w:eastAsia="仿宋"/>
                <w:szCs w:val="21"/>
              </w:rPr>
              <w:t>%</w:t>
            </w:r>
          </w:p>
        </w:tc>
        <w:tc>
          <w:tcPr>
            <w:tcW w:w="4047" w:type="dxa"/>
            <w:vAlign w:val="center"/>
          </w:tcPr>
          <w:p w14:paraId="2466C69C">
            <w:pPr>
              <w:rPr>
                <w:rFonts w:hint="eastAsia" w:ascii="仿宋" w:hAnsi="仿宋" w:eastAsia="仿宋"/>
                <w:color w:val="000000"/>
                <w:szCs w:val="21"/>
              </w:rPr>
            </w:pPr>
            <w:r>
              <w:rPr>
                <w:rFonts w:hint="eastAsia" w:ascii="仿宋" w:hAnsi="仿宋" w:eastAsia="仿宋"/>
                <w:bCs/>
                <w:kern w:val="24"/>
                <w:szCs w:val="21"/>
              </w:rPr>
              <w:t>课外测试，评分参照《国家学生体质健康标准》。</w:t>
            </w:r>
          </w:p>
        </w:tc>
        <w:tc>
          <w:tcPr>
            <w:tcW w:w="1349" w:type="dxa"/>
            <w:vAlign w:val="center"/>
          </w:tcPr>
          <w:p w14:paraId="15DE109D">
            <w:pPr>
              <w:jc w:val="center"/>
              <w:rPr>
                <w:rFonts w:hint="eastAsia" w:ascii="仿宋" w:hAnsi="仿宋" w:eastAsia="仿宋"/>
                <w:szCs w:val="21"/>
              </w:rPr>
            </w:pPr>
            <w:r>
              <w:rPr>
                <w:rFonts w:hint="eastAsia" w:ascii="仿宋" w:hAnsi="仿宋" w:eastAsia="仿宋"/>
                <w:bCs/>
                <w:szCs w:val="21"/>
              </w:rPr>
              <w:t>8、9</w:t>
            </w:r>
          </w:p>
        </w:tc>
      </w:tr>
    </w:tbl>
    <w:p w14:paraId="642A1F9B">
      <w:pPr>
        <w:spacing w:line="360" w:lineRule="auto"/>
        <w:ind w:firstLine="480" w:firstLineChars="200"/>
        <w:jc w:val="left"/>
        <w:rPr>
          <w:rFonts w:hint="eastAsia" w:ascii="仿宋" w:hAnsi="仿宋" w:eastAsia="仿宋"/>
          <w:sz w:val="24"/>
        </w:rPr>
      </w:pPr>
      <w:r>
        <w:rPr>
          <w:rFonts w:hint="eastAsia" w:ascii="仿宋" w:hAnsi="仿宋" w:eastAsia="仿宋"/>
          <w:sz w:val="24"/>
        </w:rPr>
        <w:t>学生</w:t>
      </w:r>
      <w:r>
        <w:rPr>
          <w:rFonts w:ascii="仿宋" w:hAnsi="仿宋" w:eastAsia="仿宋"/>
          <w:sz w:val="24"/>
        </w:rPr>
        <w:t>参加课外体育活动成绩评定标准（</w:t>
      </w:r>
      <w:r>
        <w:rPr>
          <w:rFonts w:hint="eastAsia" w:ascii="仿宋" w:hAnsi="仿宋" w:eastAsia="仿宋"/>
          <w:sz w:val="24"/>
        </w:rPr>
        <w:t>百分</w:t>
      </w:r>
      <w:r>
        <w:rPr>
          <w:rFonts w:ascii="仿宋" w:hAnsi="仿宋" w:eastAsia="仿宋"/>
          <w:sz w:val="24"/>
        </w:rPr>
        <w:t>制）</w:t>
      </w:r>
    </w:p>
    <w:tbl>
      <w:tblPr>
        <w:tblStyle w:val="13"/>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760"/>
        <w:gridCol w:w="762"/>
        <w:gridCol w:w="760"/>
        <w:gridCol w:w="762"/>
        <w:gridCol w:w="760"/>
        <w:gridCol w:w="762"/>
        <w:gridCol w:w="761"/>
        <w:gridCol w:w="763"/>
        <w:gridCol w:w="763"/>
      </w:tblGrid>
      <w:tr w14:paraId="06EE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3F0B6D7B">
            <w:pPr>
              <w:spacing w:line="280" w:lineRule="exact"/>
              <w:jc w:val="center"/>
              <w:rPr>
                <w:rFonts w:hint="eastAsia" w:ascii="仿宋" w:hAnsi="仿宋" w:eastAsia="仿宋"/>
                <w:sz w:val="24"/>
              </w:rPr>
            </w:pPr>
            <w:r>
              <w:rPr>
                <w:rFonts w:hint="eastAsia" w:ascii="仿宋" w:hAnsi="仿宋" w:eastAsia="仿宋"/>
                <w:sz w:val="24"/>
              </w:rPr>
              <w:t>考勤</w:t>
            </w:r>
            <w:r>
              <w:rPr>
                <w:rFonts w:ascii="仿宋" w:hAnsi="仿宋" w:eastAsia="仿宋"/>
                <w:sz w:val="24"/>
              </w:rPr>
              <w:t>次数</w:t>
            </w:r>
          </w:p>
        </w:tc>
        <w:tc>
          <w:tcPr>
            <w:tcW w:w="446" w:type="pct"/>
            <w:vAlign w:val="center"/>
          </w:tcPr>
          <w:p w14:paraId="3473CEF1">
            <w:pPr>
              <w:spacing w:line="280" w:lineRule="exact"/>
              <w:jc w:val="center"/>
              <w:rPr>
                <w:rFonts w:hint="eastAsia" w:ascii="仿宋" w:hAnsi="仿宋" w:eastAsia="仿宋"/>
                <w:sz w:val="24"/>
              </w:rPr>
            </w:pPr>
            <w:r>
              <w:rPr>
                <w:rFonts w:ascii="仿宋" w:hAnsi="仿宋" w:eastAsia="仿宋"/>
                <w:sz w:val="24"/>
              </w:rPr>
              <w:t>0</w:t>
            </w:r>
          </w:p>
        </w:tc>
        <w:tc>
          <w:tcPr>
            <w:tcW w:w="447" w:type="pct"/>
            <w:vAlign w:val="center"/>
          </w:tcPr>
          <w:p w14:paraId="59D6C36C">
            <w:pPr>
              <w:spacing w:line="280" w:lineRule="exact"/>
              <w:jc w:val="center"/>
              <w:rPr>
                <w:rFonts w:hint="eastAsia" w:ascii="仿宋" w:hAnsi="仿宋" w:eastAsia="仿宋"/>
                <w:sz w:val="24"/>
              </w:rPr>
            </w:pPr>
            <w:r>
              <w:rPr>
                <w:rFonts w:ascii="仿宋" w:hAnsi="仿宋" w:eastAsia="仿宋"/>
                <w:sz w:val="24"/>
              </w:rPr>
              <w:t>5</w:t>
            </w:r>
          </w:p>
        </w:tc>
        <w:tc>
          <w:tcPr>
            <w:tcW w:w="446" w:type="pct"/>
            <w:vAlign w:val="center"/>
          </w:tcPr>
          <w:p w14:paraId="1F13F834">
            <w:pPr>
              <w:spacing w:line="280" w:lineRule="exact"/>
              <w:jc w:val="center"/>
              <w:rPr>
                <w:rFonts w:hint="eastAsia" w:ascii="仿宋" w:hAnsi="仿宋" w:eastAsia="仿宋"/>
                <w:sz w:val="24"/>
              </w:rPr>
            </w:pPr>
            <w:r>
              <w:rPr>
                <w:rFonts w:ascii="仿宋" w:hAnsi="仿宋" w:eastAsia="仿宋"/>
                <w:sz w:val="24"/>
              </w:rPr>
              <w:t>1</w:t>
            </w:r>
            <w:r>
              <w:rPr>
                <w:rFonts w:hint="eastAsia" w:ascii="仿宋" w:hAnsi="仿宋" w:eastAsia="仿宋"/>
                <w:sz w:val="24"/>
              </w:rPr>
              <w:t>0</w:t>
            </w:r>
          </w:p>
        </w:tc>
        <w:tc>
          <w:tcPr>
            <w:tcW w:w="447" w:type="pct"/>
            <w:vAlign w:val="center"/>
          </w:tcPr>
          <w:p w14:paraId="5C25A0EE">
            <w:pPr>
              <w:spacing w:line="280" w:lineRule="exact"/>
              <w:jc w:val="center"/>
              <w:rPr>
                <w:rFonts w:hint="eastAsia" w:ascii="仿宋" w:hAnsi="仿宋" w:eastAsia="仿宋"/>
                <w:sz w:val="24"/>
              </w:rPr>
            </w:pPr>
            <w:r>
              <w:rPr>
                <w:rFonts w:ascii="仿宋" w:hAnsi="仿宋" w:eastAsia="仿宋"/>
                <w:sz w:val="24"/>
              </w:rPr>
              <w:t>1</w:t>
            </w:r>
            <w:r>
              <w:rPr>
                <w:rFonts w:hint="eastAsia" w:ascii="仿宋" w:hAnsi="仿宋" w:eastAsia="仿宋"/>
                <w:sz w:val="24"/>
              </w:rPr>
              <w:t>5</w:t>
            </w:r>
          </w:p>
        </w:tc>
        <w:tc>
          <w:tcPr>
            <w:tcW w:w="446" w:type="pct"/>
            <w:vAlign w:val="center"/>
          </w:tcPr>
          <w:p w14:paraId="2A9BB396">
            <w:pPr>
              <w:spacing w:line="280" w:lineRule="exact"/>
              <w:jc w:val="center"/>
              <w:rPr>
                <w:rFonts w:hint="eastAsia" w:ascii="仿宋" w:hAnsi="仿宋" w:eastAsia="仿宋"/>
                <w:sz w:val="24"/>
              </w:rPr>
            </w:pPr>
            <w:r>
              <w:rPr>
                <w:rFonts w:ascii="仿宋" w:hAnsi="仿宋" w:eastAsia="仿宋"/>
                <w:sz w:val="24"/>
              </w:rPr>
              <w:t>2</w:t>
            </w:r>
            <w:r>
              <w:rPr>
                <w:rFonts w:hint="eastAsia" w:ascii="仿宋" w:hAnsi="仿宋" w:eastAsia="仿宋"/>
                <w:sz w:val="24"/>
              </w:rPr>
              <w:t>0</w:t>
            </w:r>
          </w:p>
        </w:tc>
        <w:tc>
          <w:tcPr>
            <w:tcW w:w="447" w:type="pct"/>
            <w:vAlign w:val="center"/>
          </w:tcPr>
          <w:p w14:paraId="32455543">
            <w:pPr>
              <w:spacing w:line="280" w:lineRule="exact"/>
              <w:jc w:val="center"/>
              <w:rPr>
                <w:rFonts w:hint="eastAsia" w:ascii="仿宋" w:hAnsi="仿宋" w:eastAsia="仿宋"/>
                <w:sz w:val="24"/>
              </w:rPr>
            </w:pPr>
            <w:r>
              <w:rPr>
                <w:rFonts w:ascii="仿宋" w:hAnsi="仿宋" w:eastAsia="仿宋"/>
                <w:sz w:val="24"/>
              </w:rPr>
              <w:t>25</w:t>
            </w:r>
          </w:p>
        </w:tc>
        <w:tc>
          <w:tcPr>
            <w:tcW w:w="446" w:type="pct"/>
            <w:vAlign w:val="center"/>
          </w:tcPr>
          <w:p w14:paraId="28E4C807">
            <w:pPr>
              <w:spacing w:line="280" w:lineRule="exact"/>
              <w:jc w:val="center"/>
              <w:rPr>
                <w:rFonts w:hint="eastAsia" w:ascii="仿宋" w:hAnsi="仿宋" w:eastAsia="仿宋"/>
                <w:sz w:val="24"/>
              </w:rPr>
            </w:pPr>
            <w:r>
              <w:rPr>
                <w:rFonts w:ascii="仿宋" w:hAnsi="仿宋" w:eastAsia="仿宋"/>
                <w:sz w:val="24"/>
              </w:rPr>
              <w:t>3</w:t>
            </w:r>
            <w:r>
              <w:rPr>
                <w:rFonts w:hint="eastAsia" w:ascii="仿宋" w:hAnsi="仿宋" w:eastAsia="仿宋"/>
                <w:sz w:val="24"/>
              </w:rPr>
              <w:t>0</w:t>
            </w:r>
          </w:p>
        </w:tc>
        <w:tc>
          <w:tcPr>
            <w:tcW w:w="447" w:type="pct"/>
            <w:vAlign w:val="center"/>
          </w:tcPr>
          <w:p w14:paraId="6BDA8277">
            <w:pPr>
              <w:spacing w:line="280" w:lineRule="exact"/>
              <w:jc w:val="center"/>
              <w:rPr>
                <w:rFonts w:hint="eastAsia" w:ascii="仿宋" w:hAnsi="仿宋" w:eastAsia="仿宋"/>
                <w:sz w:val="24"/>
              </w:rPr>
            </w:pPr>
            <w:r>
              <w:rPr>
                <w:rFonts w:ascii="仿宋" w:hAnsi="仿宋" w:eastAsia="仿宋"/>
                <w:sz w:val="24"/>
              </w:rPr>
              <w:t>35</w:t>
            </w:r>
          </w:p>
        </w:tc>
        <w:tc>
          <w:tcPr>
            <w:tcW w:w="447" w:type="pct"/>
            <w:vAlign w:val="center"/>
          </w:tcPr>
          <w:p w14:paraId="38CC0BD6">
            <w:pPr>
              <w:spacing w:line="280" w:lineRule="exact"/>
              <w:jc w:val="center"/>
              <w:rPr>
                <w:rFonts w:hint="eastAsia" w:ascii="仿宋" w:hAnsi="仿宋" w:eastAsia="仿宋"/>
                <w:sz w:val="24"/>
              </w:rPr>
            </w:pPr>
            <w:r>
              <w:rPr>
                <w:rFonts w:ascii="仿宋" w:hAnsi="仿宋" w:eastAsia="仿宋"/>
                <w:sz w:val="24"/>
              </w:rPr>
              <w:t>4</w:t>
            </w:r>
            <w:r>
              <w:rPr>
                <w:rFonts w:hint="eastAsia" w:ascii="仿宋" w:hAnsi="仿宋" w:eastAsia="仿宋"/>
                <w:sz w:val="24"/>
              </w:rPr>
              <w:t>0</w:t>
            </w:r>
          </w:p>
        </w:tc>
      </w:tr>
      <w:tr w14:paraId="18FF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1711A326">
            <w:pPr>
              <w:spacing w:line="280" w:lineRule="exact"/>
              <w:jc w:val="center"/>
              <w:rPr>
                <w:rFonts w:hint="eastAsia" w:ascii="仿宋" w:hAnsi="仿宋" w:eastAsia="仿宋"/>
                <w:sz w:val="24"/>
              </w:rPr>
            </w:pPr>
            <w:r>
              <w:rPr>
                <w:rFonts w:hint="eastAsia" w:ascii="仿宋" w:hAnsi="仿宋" w:eastAsia="仿宋"/>
                <w:sz w:val="24"/>
              </w:rPr>
              <w:t>成绩</w:t>
            </w:r>
          </w:p>
        </w:tc>
        <w:tc>
          <w:tcPr>
            <w:tcW w:w="446" w:type="pct"/>
            <w:vAlign w:val="center"/>
          </w:tcPr>
          <w:p w14:paraId="1AACA0EE">
            <w:pPr>
              <w:spacing w:line="280" w:lineRule="exact"/>
              <w:jc w:val="center"/>
              <w:rPr>
                <w:rFonts w:hint="eastAsia" w:ascii="仿宋" w:hAnsi="仿宋" w:eastAsia="仿宋"/>
                <w:sz w:val="24"/>
              </w:rPr>
            </w:pPr>
            <w:r>
              <w:rPr>
                <w:rFonts w:hint="eastAsia" w:ascii="仿宋" w:hAnsi="仿宋" w:eastAsia="仿宋"/>
                <w:sz w:val="24"/>
              </w:rPr>
              <w:t>0</w:t>
            </w:r>
          </w:p>
        </w:tc>
        <w:tc>
          <w:tcPr>
            <w:tcW w:w="447" w:type="pct"/>
            <w:vAlign w:val="center"/>
          </w:tcPr>
          <w:p w14:paraId="6BA67FCF">
            <w:pPr>
              <w:spacing w:line="280" w:lineRule="exact"/>
              <w:jc w:val="center"/>
              <w:rPr>
                <w:rFonts w:hint="eastAsia" w:ascii="仿宋" w:hAnsi="仿宋" w:eastAsia="仿宋"/>
                <w:sz w:val="24"/>
              </w:rPr>
            </w:pPr>
            <w:r>
              <w:rPr>
                <w:rFonts w:ascii="仿宋" w:hAnsi="仿宋" w:eastAsia="仿宋"/>
                <w:sz w:val="24"/>
              </w:rPr>
              <w:t>12.5</w:t>
            </w:r>
          </w:p>
        </w:tc>
        <w:tc>
          <w:tcPr>
            <w:tcW w:w="446" w:type="pct"/>
            <w:vAlign w:val="center"/>
          </w:tcPr>
          <w:p w14:paraId="6D820EA0">
            <w:pPr>
              <w:spacing w:line="280" w:lineRule="exact"/>
              <w:jc w:val="center"/>
              <w:rPr>
                <w:rFonts w:hint="eastAsia" w:ascii="仿宋" w:hAnsi="仿宋" w:eastAsia="仿宋"/>
                <w:sz w:val="24"/>
              </w:rPr>
            </w:pPr>
            <w:r>
              <w:rPr>
                <w:rFonts w:ascii="仿宋" w:hAnsi="仿宋" w:eastAsia="仿宋"/>
                <w:sz w:val="24"/>
              </w:rPr>
              <w:t>25</w:t>
            </w:r>
          </w:p>
        </w:tc>
        <w:tc>
          <w:tcPr>
            <w:tcW w:w="447" w:type="pct"/>
            <w:vAlign w:val="center"/>
          </w:tcPr>
          <w:p w14:paraId="3177F5A7">
            <w:pPr>
              <w:spacing w:line="280" w:lineRule="exact"/>
              <w:jc w:val="center"/>
              <w:rPr>
                <w:rFonts w:hint="eastAsia" w:ascii="仿宋" w:hAnsi="仿宋" w:eastAsia="仿宋"/>
                <w:sz w:val="24"/>
              </w:rPr>
            </w:pPr>
            <w:r>
              <w:rPr>
                <w:rFonts w:ascii="仿宋" w:hAnsi="仿宋" w:eastAsia="仿宋"/>
                <w:sz w:val="24"/>
              </w:rPr>
              <w:t>37.5</w:t>
            </w:r>
          </w:p>
        </w:tc>
        <w:tc>
          <w:tcPr>
            <w:tcW w:w="446" w:type="pct"/>
            <w:vAlign w:val="center"/>
          </w:tcPr>
          <w:p w14:paraId="6217E64D">
            <w:pPr>
              <w:spacing w:line="280" w:lineRule="exact"/>
              <w:jc w:val="center"/>
              <w:rPr>
                <w:rFonts w:hint="eastAsia" w:ascii="仿宋" w:hAnsi="仿宋" w:eastAsia="仿宋"/>
                <w:sz w:val="24"/>
              </w:rPr>
            </w:pPr>
            <w:r>
              <w:rPr>
                <w:rFonts w:ascii="仿宋" w:hAnsi="仿宋" w:eastAsia="仿宋"/>
                <w:sz w:val="24"/>
              </w:rPr>
              <w:t>50</w:t>
            </w:r>
          </w:p>
        </w:tc>
        <w:tc>
          <w:tcPr>
            <w:tcW w:w="447" w:type="pct"/>
            <w:vAlign w:val="center"/>
          </w:tcPr>
          <w:p w14:paraId="49EB019F">
            <w:pPr>
              <w:spacing w:line="280" w:lineRule="exact"/>
              <w:jc w:val="center"/>
              <w:rPr>
                <w:rFonts w:hint="eastAsia" w:ascii="仿宋" w:hAnsi="仿宋" w:eastAsia="仿宋"/>
                <w:sz w:val="24"/>
              </w:rPr>
            </w:pPr>
            <w:r>
              <w:rPr>
                <w:rFonts w:ascii="仿宋" w:hAnsi="仿宋" w:eastAsia="仿宋"/>
                <w:sz w:val="24"/>
              </w:rPr>
              <w:t>62.5</w:t>
            </w:r>
          </w:p>
        </w:tc>
        <w:tc>
          <w:tcPr>
            <w:tcW w:w="446" w:type="pct"/>
            <w:vAlign w:val="center"/>
          </w:tcPr>
          <w:p w14:paraId="57AA0EF2">
            <w:pPr>
              <w:spacing w:line="280" w:lineRule="exact"/>
              <w:jc w:val="center"/>
              <w:rPr>
                <w:rFonts w:hint="eastAsia" w:ascii="仿宋" w:hAnsi="仿宋" w:eastAsia="仿宋"/>
                <w:sz w:val="24"/>
              </w:rPr>
            </w:pPr>
            <w:r>
              <w:rPr>
                <w:rFonts w:ascii="仿宋" w:hAnsi="仿宋" w:eastAsia="仿宋"/>
                <w:sz w:val="24"/>
              </w:rPr>
              <w:t>75</w:t>
            </w:r>
          </w:p>
        </w:tc>
        <w:tc>
          <w:tcPr>
            <w:tcW w:w="447" w:type="pct"/>
            <w:vAlign w:val="center"/>
          </w:tcPr>
          <w:p w14:paraId="320C401E">
            <w:pPr>
              <w:spacing w:line="280" w:lineRule="exact"/>
              <w:jc w:val="center"/>
              <w:rPr>
                <w:rFonts w:hint="eastAsia" w:ascii="仿宋" w:hAnsi="仿宋" w:eastAsia="仿宋"/>
                <w:sz w:val="24"/>
              </w:rPr>
            </w:pPr>
            <w:r>
              <w:rPr>
                <w:rFonts w:ascii="仿宋" w:hAnsi="仿宋" w:eastAsia="仿宋"/>
                <w:sz w:val="24"/>
              </w:rPr>
              <w:t>87.5</w:t>
            </w:r>
          </w:p>
        </w:tc>
        <w:tc>
          <w:tcPr>
            <w:tcW w:w="447" w:type="pct"/>
            <w:vAlign w:val="center"/>
          </w:tcPr>
          <w:p w14:paraId="1B048F73">
            <w:pPr>
              <w:spacing w:line="280" w:lineRule="exact"/>
              <w:jc w:val="center"/>
              <w:rPr>
                <w:rFonts w:hint="eastAsia" w:ascii="仿宋" w:hAnsi="仿宋" w:eastAsia="仿宋"/>
                <w:sz w:val="24"/>
              </w:rPr>
            </w:pPr>
            <w:r>
              <w:rPr>
                <w:rFonts w:hint="eastAsia" w:ascii="仿宋" w:hAnsi="仿宋" w:eastAsia="仿宋"/>
                <w:sz w:val="24"/>
              </w:rPr>
              <w:t>100</w:t>
            </w:r>
          </w:p>
        </w:tc>
      </w:tr>
    </w:tbl>
    <w:p w14:paraId="2D1BB7D4">
      <w:pPr>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六</w:t>
      </w:r>
      <w:r>
        <w:rPr>
          <w:rFonts w:ascii="仿宋" w:hAnsi="仿宋" w:eastAsia="仿宋"/>
          <w:b/>
          <w:sz w:val="28"/>
          <w:szCs w:val="28"/>
        </w:rPr>
        <w:t>、</w:t>
      </w:r>
      <w:r>
        <w:rPr>
          <w:rFonts w:hint="eastAsia" w:ascii="仿宋" w:hAnsi="仿宋" w:eastAsia="仿宋"/>
          <w:b/>
          <w:sz w:val="28"/>
          <w:szCs w:val="28"/>
        </w:rPr>
        <w:t>有关说明</w:t>
      </w:r>
    </w:p>
    <w:p w14:paraId="1B680627">
      <w:pPr>
        <w:spacing w:line="360" w:lineRule="auto"/>
        <w:ind w:firstLine="482" w:firstLineChars="200"/>
        <w:rPr>
          <w:rFonts w:hint="eastAsia" w:ascii="仿宋" w:hAnsi="仿宋" w:eastAsia="仿宋"/>
          <w:b/>
          <w:color w:val="000000"/>
          <w:sz w:val="24"/>
        </w:rPr>
      </w:pPr>
      <w:r>
        <w:rPr>
          <w:rFonts w:hint="eastAsia" w:ascii="仿宋" w:hAnsi="仿宋" w:eastAsia="仿宋"/>
          <w:b/>
          <w:color w:val="000000"/>
          <w:sz w:val="24"/>
        </w:rPr>
        <w:t>（一）持续改进</w:t>
      </w:r>
    </w:p>
    <w:p w14:paraId="00C0BA3F">
      <w:pPr>
        <w:spacing w:line="360" w:lineRule="auto"/>
        <w:ind w:firstLine="480" w:firstLineChars="200"/>
        <w:rPr>
          <w:rFonts w:hint="eastAsia" w:ascii="仿宋" w:hAnsi="仿宋" w:eastAsia="仿宋"/>
          <w:sz w:val="24"/>
        </w:rPr>
      </w:pPr>
      <w:r>
        <w:rPr>
          <w:rFonts w:hint="eastAsia" w:ascii="仿宋" w:hAnsi="仿宋" w:eastAsia="仿宋"/>
          <w:sz w:val="24"/>
        </w:rPr>
        <w:t>本课程根据学生课外锻炼、体质测试等情况，以及学生、教学督导等反馈，及时对教学中不足之处进行改进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7CB5BF93">
      <w:pPr>
        <w:spacing w:line="360" w:lineRule="auto"/>
        <w:ind w:firstLine="482" w:firstLineChars="200"/>
        <w:jc w:val="left"/>
        <w:rPr>
          <w:rFonts w:hint="eastAsia" w:ascii="仿宋" w:hAnsi="仿宋" w:eastAsia="仿宋"/>
          <w:sz w:val="24"/>
        </w:rPr>
      </w:pPr>
      <w:r>
        <w:rPr>
          <w:rFonts w:hint="eastAsia" w:ascii="仿宋" w:hAnsi="仿宋" w:eastAsia="仿宋"/>
          <w:b/>
          <w:color w:val="000000"/>
          <w:sz w:val="24"/>
        </w:rPr>
        <w:t>（二）教学参考书</w:t>
      </w:r>
    </w:p>
    <w:p w14:paraId="63836F8D">
      <w:pPr>
        <w:spacing w:line="360" w:lineRule="auto"/>
        <w:ind w:firstLine="480" w:firstLineChars="200"/>
        <w:jc w:val="left"/>
        <w:rPr>
          <w:rFonts w:hint="eastAsia"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445B510F">
      <w:pPr>
        <w:autoSpaceDE w:val="0"/>
        <w:autoSpaceDN w:val="0"/>
        <w:adjustRightInd w:val="0"/>
        <w:spacing w:line="360" w:lineRule="auto"/>
        <w:ind w:firstLine="420" w:firstLineChars="200"/>
        <w:jc w:val="left"/>
        <w:rPr>
          <w:rFonts w:hint="eastAsia" w:ascii="仿宋" w:hAnsi="仿宋" w:eastAsia="仿宋"/>
        </w:rPr>
      </w:pPr>
    </w:p>
    <w:p w14:paraId="7E41884F">
      <w:pPr>
        <w:autoSpaceDE w:val="0"/>
        <w:autoSpaceDN w:val="0"/>
        <w:adjustRightInd w:val="0"/>
        <w:spacing w:line="360" w:lineRule="auto"/>
        <w:ind w:firstLine="420" w:firstLineChars="200"/>
        <w:jc w:val="left"/>
        <w:rPr>
          <w:rFonts w:hint="eastAsia" w:ascii="仿宋" w:hAnsi="仿宋" w:eastAsia="仿宋"/>
        </w:rPr>
      </w:pPr>
    </w:p>
    <w:p w14:paraId="33173310">
      <w:pPr>
        <w:wordWrap w:val="0"/>
        <w:spacing w:line="360" w:lineRule="exact"/>
        <w:jc w:val="right"/>
        <w:rPr>
          <w:rFonts w:hint="eastAsia" w:ascii="仿宋" w:hAnsi="仿宋" w:eastAsia="仿宋"/>
          <w:sz w:val="24"/>
        </w:rPr>
      </w:pPr>
      <w:r>
        <w:rPr>
          <w:rFonts w:hint="eastAsia" w:ascii="仿宋" w:hAnsi="仿宋" w:eastAsia="仿宋"/>
          <w:sz w:val="24"/>
        </w:rPr>
        <w:t xml:space="preserve">执笔人：顾 </w:t>
      </w:r>
      <w:r>
        <w:rPr>
          <w:rFonts w:ascii="仿宋" w:hAnsi="仿宋" w:eastAsia="仿宋"/>
          <w:sz w:val="24"/>
        </w:rPr>
        <w:t xml:space="preserve"> </w:t>
      </w:r>
      <w:r>
        <w:rPr>
          <w:rFonts w:hint="eastAsia" w:ascii="仿宋" w:hAnsi="仿宋" w:eastAsia="仿宋"/>
          <w:sz w:val="24"/>
        </w:rPr>
        <w:t>宏</w:t>
      </w:r>
    </w:p>
    <w:p w14:paraId="1C0ECA1A">
      <w:pPr>
        <w:spacing w:line="360" w:lineRule="exact"/>
        <w:ind w:firstLine="480" w:firstLineChars="200"/>
        <w:jc w:val="right"/>
        <w:rPr>
          <w:rFonts w:hint="eastAsia" w:ascii="仿宋" w:hAnsi="仿宋" w:eastAsia="仿宋"/>
          <w:sz w:val="24"/>
        </w:rPr>
      </w:pPr>
      <w:r>
        <w:rPr>
          <w:rFonts w:hint="eastAsia" w:ascii="仿宋" w:hAnsi="仿宋" w:eastAsia="仿宋"/>
          <w:sz w:val="24"/>
        </w:rPr>
        <w:t xml:space="preserve"> 审定人：方曙</w:t>
      </w:r>
      <w:r>
        <w:rPr>
          <w:rFonts w:ascii="仿宋" w:hAnsi="仿宋" w:eastAsia="仿宋"/>
          <w:sz w:val="24"/>
        </w:rPr>
        <w:t>光</w:t>
      </w:r>
    </w:p>
    <w:p w14:paraId="7E6C0063">
      <w:pPr>
        <w:autoSpaceDE w:val="0"/>
        <w:autoSpaceDN w:val="0"/>
        <w:adjustRightInd w:val="0"/>
        <w:spacing w:line="360" w:lineRule="auto"/>
        <w:ind w:firstLine="480" w:firstLineChars="200"/>
        <w:jc w:val="right"/>
        <w:rPr>
          <w:rFonts w:hint="eastAsia" w:ascii="仿宋" w:hAnsi="仿宋" w:eastAsia="仿宋"/>
        </w:rPr>
      </w:pPr>
      <w:r>
        <w:rPr>
          <w:rFonts w:hint="eastAsia" w:ascii="仿宋" w:hAnsi="仿宋" w:eastAsia="仿宋"/>
          <w:sz w:val="24"/>
        </w:rPr>
        <w:t>批准人：王红福</w:t>
      </w:r>
    </w:p>
    <w:p w14:paraId="66819B13">
      <w:pPr>
        <w:rPr>
          <w:rFonts w:hint="eastAsia"/>
        </w:rPr>
      </w:pPr>
      <w:r>
        <w:rPr>
          <w:rFonts w:hint="eastAsia"/>
        </w:rPr>
        <w:br w:type="page"/>
      </w:r>
    </w:p>
    <w:p w14:paraId="1504FE44">
      <w:pPr>
        <w:pStyle w:val="2"/>
        <w:jc w:val="center"/>
      </w:pPr>
      <w:bookmarkStart w:id="38" w:name="_Toc19629"/>
      <w:bookmarkStart w:id="39" w:name="_Toc23820"/>
      <w:r>
        <w:rPr>
          <w:rFonts w:hint="eastAsia"/>
        </w:rPr>
        <w:t>《大学英语》</w:t>
      </w:r>
      <w:r>
        <w:t>B</w:t>
      </w:r>
      <w:r>
        <w:rPr>
          <w:rFonts w:hint="eastAsia"/>
        </w:rPr>
        <w:t>（I）课程教学大纲</w:t>
      </w:r>
      <w:bookmarkEnd w:id="38"/>
      <w:bookmarkEnd w:id="39"/>
    </w:p>
    <w:p w14:paraId="7B9B40E1">
      <w:pPr>
        <w:bidi w:val="0"/>
        <w:jc w:val="center"/>
        <w:rPr>
          <w:rFonts w:hint="eastAsia"/>
          <w:bCs/>
          <w:color w:val="000000"/>
          <w:sz w:val="28"/>
          <w:szCs w:val="28"/>
        </w:rPr>
      </w:pPr>
      <w:r>
        <w:rPr>
          <w:rFonts w:hint="eastAsia"/>
        </w:rPr>
        <w:t>（</w:t>
      </w:r>
      <w:r>
        <w:rPr>
          <w:rFonts w:hint="eastAsia"/>
          <w:bCs/>
          <w:color w:val="000000"/>
          <w:sz w:val="28"/>
          <w:szCs w:val="28"/>
        </w:rPr>
        <w:t>College English B (I)）</w:t>
      </w:r>
    </w:p>
    <w:p w14:paraId="4C68CBCF">
      <w:r>
        <w:t>课程</w:t>
      </w:r>
      <w:r>
        <w:rPr>
          <w:rFonts w:hint="eastAsia"/>
        </w:rPr>
        <w:t>名称：大学英语</w:t>
      </w:r>
      <w:r>
        <w:t>B</w:t>
      </w:r>
      <w:r>
        <w:rPr>
          <w:rFonts w:hint="eastAsia"/>
        </w:rPr>
        <w:t>（I）</w:t>
      </w:r>
    </w:p>
    <w:p w14:paraId="6B5F92F2">
      <w:r>
        <w:t>课程代码：0605001</w:t>
      </w:r>
    </w:p>
    <w:p w14:paraId="4C954A72">
      <w:r>
        <w:t>学    分：</w:t>
      </w:r>
      <w:r>
        <w:rPr>
          <w:rFonts w:hint="eastAsia"/>
        </w:rPr>
        <w:t>3</w:t>
      </w:r>
    </w:p>
    <w:p w14:paraId="1655CD0F">
      <w:r>
        <w:t>学    时：48</w:t>
      </w:r>
    </w:p>
    <w:p w14:paraId="74A88386">
      <w:r>
        <w:t>先修课程：</w:t>
      </w:r>
      <w:r>
        <w:rPr>
          <w:rFonts w:hint="eastAsia"/>
        </w:rPr>
        <w:t>高中英语</w:t>
      </w:r>
    </w:p>
    <w:p w14:paraId="7FCAAC07">
      <w:r>
        <w:t>适用专业：</w:t>
      </w:r>
      <w:r>
        <w:rPr>
          <w:rFonts w:hint="eastAsia"/>
        </w:rPr>
        <w:t>小学教育</w:t>
      </w:r>
    </w:p>
    <w:p w14:paraId="1D368E98"/>
    <w:p w14:paraId="51090F0C">
      <w:r>
        <w:rPr>
          <w:rFonts w:hint="eastAsia"/>
        </w:rPr>
        <w:t>课程简介</w:t>
      </w:r>
    </w:p>
    <w:p w14:paraId="6393112E">
      <w:r>
        <w:rPr>
          <w:rFonts w:hint="eastAsia"/>
        </w:rPr>
        <w:t>大学英语教学是高等教育的一个重要组成部分。大学英语作为全校非英语专业学生必修的公共基础课程，大学英语教学以英语语言知识与应用技能、学习策略和跨文化交际为主要内容，以外语教学理论为指导，有机融入课程思政，集多种教学模式和教学手段为一体的教学体系。大学英语教学旨在夯实学生英语语言基础，培养学生英语语言应用能力；满足学生专业学习、国际交流、继续深造、工作就业等方面的需求；增强学生自主学习能力和终生学习意识；帮助学生树立全球视野，培养国际意识，提升人文素养，为学生知识创新、潜能发挥和全面发展提供一个基本工具。</w:t>
      </w:r>
    </w:p>
    <w:p w14:paraId="1C06F90A"/>
    <w:p w14:paraId="528CBA9D">
      <w:r>
        <w:rPr>
          <w:rFonts w:hint="eastAsia"/>
        </w:rPr>
        <w:t>课程目标</w:t>
      </w:r>
    </w:p>
    <w:p w14:paraId="7BE00BE6">
      <w:r>
        <w:rPr>
          <w:rFonts w:hint="eastAsia"/>
        </w:rPr>
        <w:t>(一) 课程具体目标</w:t>
      </w:r>
    </w:p>
    <w:p w14:paraId="5D3561DA">
      <w:r>
        <w:rPr>
          <w:rFonts w:hint="eastAsia"/>
        </w:rPr>
        <w:t>1.</w:t>
      </w:r>
      <w:r>
        <w:t>知识目标：</w:t>
      </w:r>
      <w:r>
        <w:rPr>
          <w:rFonts w:hint="eastAsia"/>
        </w:rPr>
        <w:t>夯实学生英语语言基础，提升学生英语听、说、读、写、译基本语言技能和英语语言综合应用能力</w:t>
      </w:r>
      <w:r>
        <w:t>。</w:t>
      </w:r>
    </w:p>
    <w:p w14:paraId="63F7C63A">
      <w:r>
        <w:rPr>
          <w:rFonts w:hint="eastAsia"/>
        </w:rPr>
        <w:t>2．</w:t>
      </w:r>
      <w:r>
        <w:t>能力目标：提升学生</w:t>
      </w:r>
      <w:r>
        <w:rPr>
          <w:rFonts w:hint="eastAsia"/>
        </w:rPr>
        <w:t>使用英语工具紧跟专业前沿，拓展专业视野，查阅专业</w:t>
      </w:r>
      <w:r>
        <w:t>文献的意识和能力</w:t>
      </w:r>
      <w:r>
        <w:rPr>
          <w:rFonts w:hint="eastAsia"/>
        </w:rPr>
        <w:t>，培养学生在职业领域进行相关沟通、交流能力</w:t>
      </w:r>
      <w:r>
        <w:t>。</w:t>
      </w:r>
    </w:p>
    <w:p w14:paraId="337C9DB3">
      <w:r>
        <w:rPr>
          <w:rFonts w:hint="eastAsia"/>
        </w:rPr>
        <w:t>3.</w:t>
      </w:r>
      <w:r>
        <w:t>素质目标：</w:t>
      </w:r>
      <w:r>
        <w:rPr>
          <w:rFonts w:hint="eastAsia"/>
        </w:rPr>
        <w:t>将社会主义核心价值观和中国优秀传统文化有机融入大学英语课程教学，培养学生批判吸收西方文化，增进中西文化异同理解；培养学生跨文化意识和交际能力；培养学生树立国际视野和提升综合人文素养；</w:t>
      </w:r>
      <w:r>
        <w:t>培养学生自主学习能力和终身学习意识</w:t>
      </w:r>
      <w:r>
        <w:rPr>
          <w:rFonts w:hint="eastAsia"/>
        </w:rPr>
        <w:t>。</w:t>
      </w:r>
    </w:p>
    <w:p w14:paraId="4EBAB4D1">
      <w:r>
        <w:rPr>
          <w:rFonts w:hint="eastAsia"/>
        </w:rPr>
        <w:t>（二）课程目标及其对毕业要求指标点的支撑</w:t>
      </w:r>
    </w:p>
    <w:tbl>
      <w:tblPr>
        <w:tblStyle w:val="14"/>
        <w:tblpPr w:leftFromText="180" w:rightFromText="180" w:vertAnchor="text" w:horzAnchor="margin" w:tblpY="2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3827"/>
        <w:gridCol w:w="2064"/>
      </w:tblGrid>
      <w:tr w14:paraId="23E6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6BB79921">
            <w:r>
              <w:rPr>
                <w:rFonts w:hint="eastAsia"/>
              </w:rPr>
              <w:t>毕业要求</w:t>
            </w:r>
          </w:p>
        </w:tc>
        <w:tc>
          <w:tcPr>
            <w:tcW w:w="3827" w:type="dxa"/>
          </w:tcPr>
          <w:p w14:paraId="7D7A73B5">
            <w:r>
              <w:rPr>
                <w:rFonts w:hint="eastAsia"/>
              </w:rPr>
              <w:t>毕业要求指标点</w:t>
            </w:r>
          </w:p>
        </w:tc>
        <w:tc>
          <w:tcPr>
            <w:tcW w:w="2064" w:type="dxa"/>
          </w:tcPr>
          <w:p w14:paraId="5DB5D62C">
            <w:r>
              <w:rPr>
                <w:rFonts w:hint="eastAsia"/>
              </w:rPr>
              <w:t>课程目标</w:t>
            </w:r>
          </w:p>
        </w:tc>
      </w:tr>
      <w:tr w14:paraId="30FF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515AFC99">
            <w:r>
              <w:rPr>
                <w:rFonts w:hint="eastAsia"/>
              </w:rPr>
              <w:t xml:space="preserve">毕业要求7 </w:t>
            </w:r>
            <w:r>
              <w:t>学会反思</w:t>
            </w:r>
          </w:p>
        </w:tc>
        <w:tc>
          <w:tcPr>
            <w:tcW w:w="3827" w:type="dxa"/>
            <w:vAlign w:val="center"/>
          </w:tcPr>
          <w:p w14:paraId="2A9962DC">
            <w:r>
              <w:rPr>
                <w:rFonts w:hint="eastAsia"/>
              </w:rPr>
              <w:t>指标点7-1：【教育视野开阔】积极关注基础教育领域的国内外交流进展，了解国内外基础教育改革发展的动态，具有宽广的教育视野，能够主动适应新时代和教育发展需求。</w:t>
            </w:r>
          </w:p>
        </w:tc>
        <w:tc>
          <w:tcPr>
            <w:tcW w:w="2064" w:type="dxa"/>
          </w:tcPr>
          <w:p w14:paraId="59724D44">
            <w:r>
              <w:rPr>
                <w:rFonts w:hint="eastAsia"/>
              </w:rPr>
              <w:t>课程目标1</w:t>
            </w:r>
          </w:p>
          <w:p w14:paraId="110AFE27">
            <w:r>
              <w:rPr>
                <w:rFonts w:hint="eastAsia"/>
              </w:rPr>
              <w:t>课程目标2</w:t>
            </w:r>
          </w:p>
          <w:p w14:paraId="6DC4C67A">
            <w:r>
              <w:rPr>
                <w:rFonts w:hint="eastAsia"/>
              </w:rPr>
              <w:t>课程目标3</w:t>
            </w:r>
          </w:p>
        </w:tc>
      </w:tr>
      <w:tr w14:paraId="18A7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484356CA">
            <w:r>
              <w:rPr>
                <w:rFonts w:hint="eastAsia"/>
              </w:rPr>
              <w:t>毕业要求8：沟通合作</w:t>
            </w:r>
          </w:p>
          <w:p w14:paraId="5A656D7B"/>
        </w:tc>
        <w:tc>
          <w:tcPr>
            <w:tcW w:w="3827" w:type="dxa"/>
          </w:tcPr>
          <w:p w14:paraId="0025E952">
            <w:r>
              <w:rPr>
                <w:rFonts w:hint="eastAsia"/>
              </w:rPr>
              <w:t>指标点8-2：【学会沟通交流】掌握人际沟通合作技能与方法，在教育教学实践中，能与学生和家长以及同行、同事、专家进行有效沟通与合作，实现共同发展。</w:t>
            </w:r>
          </w:p>
        </w:tc>
        <w:tc>
          <w:tcPr>
            <w:tcW w:w="2064" w:type="dxa"/>
          </w:tcPr>
          <w:p w14:paraId="497495E7">
            <w:r>
              <w:rPr>
                <w:rFonts w:hint="eastAsia"/>
              </w:rPr>
              <w:t>课程目标2</w:t>
            </w:r>
          </w:p>
        </w:tc>
      </w:tr>
    </w:tbl>
    <w:p w14:paraId="6F8DF6B0"/>
    <w:p w14:paraId="343DBCA4"/>
    <w:p w14:paraId="3F7ABF69">
      <w:r>
        <w:rPr>
          <w:rFonts w:hint="eastAsia"/>
        </w:rPr>
        <w:t>（三）课程思政目标</w:t>
      </w:r>
    </w:p>
    <w:p w14:paraId="630E0532">
      <w:r>
        <w:rPr>
          <w:rFonts w:hint="eastAsia"/>
        </w:rPr>
        <w:t>在促使学生全面提高听、说、读、写、译英语综合运用能力的基础上，培植学生的家国情怀与文化自信，通过语言载体深化社会主义核心价值观教育。引导学生用英语客观阐释中华优秀传统文化、革命精神与当代发展成就，增强跨文化传播中的话语能力；在分析西方文化素材时培养批判性思维。通过创设真实语境，将语言训练与国情认知、社会责任相结合，使学生在提升语言能力的同时，树立人类命运共同体意识，强化科技报国、文化传承的使命感。</w:t>
      </w:r>
    </w:p>
    <w:p w14:paraId="2BEA3824"/>
    <w:p w14:paraId="537882E9">
      <w:r>
        <w:rPr>
          <w:rFonts w:hint="eastAsia"/>
        </w:rPr>
        <w:t>三、教学内容与预期学习成效</w:t>
      </w:r>
    </w:p>
    <w:p w14:paraId="51430992"/>
    <w:tbl>
      <w:tblPr>
        <w:tblStyle w:val="13"/>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701"/>
        <w:gridCol w:w="4111"/>
        <w:gridCol w:w="1388"/>
      </w:tblGrid>
      <w:tr w14:paraId="1AAB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13D31995">
            <w:r>
              <w:t>教学内容</w:t>
            </w:r>
          </w:p>
        </w:tc>
        <w:tc>
          <w:tcPr>
            <w:tcW w:w="1701" w:type="dxa"/>
            <w:vAlign w:val="center"/>
          </w:tcPr>
          <w:p w14:paraId="2489200E">
            <w:r>
              <w:rPr>
                <w:rFonts w:hint="eastAsia"/>
              </w:rPr>
              <w:t>课程思政目标</w:t>
            </w:r>
          </w:p>
        </w:tc>
        <w:tc>
          <w:tcPr>
            <w:tcW w:w="4111" w:type="dxa"/>
            <w:vAlign w:val="center"/>
          </w:tcPr>
          <w:p w14:paraId="3B9F7208">
            <w:r>
              <w:rPr>
                <w:rFonts w:hint="eastAsia"/>
              </w:rPr>
              <w:t>预期学习成效</w:t>
            </w:r>
          </w:p>
        </w:tc>
        <w:tc>
          <w:tcPr>
            <w:tcW w:w="1388" w:type="dxa"/>
            <w:vAlign w:val="center"/>
          </w:tcPr>
          <w:p w14:paraId="6EE6788A">
            <w:r>
              <w:rPr>
                <w:rFonts w:hint="eastAsia"/>
              </w:rPr>
              <w:t>重点、难点</w:t>
            </w:r>
          </w:p>
        </w:tc>
      </w:tr>
      <w:tr w14:paraId="6179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388DB95D">
            <w:r>
              <w:rPr>
                <w:rFonts w:hint="eastAsia"/>
              </w:rPr>
              <w:t>听力理解</w:t>
            </w:r>
          </w:p>
        </w:tc>
        <w:tc>
          <w:tcPr>
            <w:tcW w:w="1701" w:type="dxa"/>
            <w:vAlign w:val="center"/>
          </w:tcPr>
          <w:p w14:paraId="300D09F1">
            <w:r>
              <w:rPr>
                <w:rFonts w:hint="eastAsia"/>
              </w:rPr>
              <w:t>1.了解西方文化</w:t>
            </w:r>
          </w:p>
          <w:p w14:paraId="7F431E44">
            <w:r>
              <w:rPr>
                <w:rFonts w:hint="eastAsia"/>
              </w:rPr>
              <w:t>2.理性思考中西文化差异</w:t>
            </w:r>
          </w:p>
          <w:p w14:paraId="4CED0DFD">
            <w:r>
              <w:rPr>
                <w:rFonts w:hint="eastAsia"/>
              </w:rPr>
              <w:t>3.树立文化自信</w:t>
            </w:r>
          </w:p>
        </w:tc>
        <w:tc>
          <w:tcPr>
            <w:tcW w:w="4111" w:type="dxa"/>
            <w:vAlign w:val="center"/>
          </w:tcPr>
          <w:p w14:paraId="3D3E8358">
            <w:pPr>
              <w:rPr>
                <w:lang w:val="zh-CN"/>
              </w:rPr>
            </w:pPr>
            <w:r>
              <w:rPr>
                <w:lang w:val="zh-CN"/>
              </w:rPr>
              <w:t>能听懂就日常话题展开的简单英语交谈；能基本听懂语速较慢的音、视频材料和题材熟悉的讲座，掌握中心大意，抓住要点；能听懂用英语讲授的相应级别的英语课程；能听懂与工作岗位相关的常用指令、产品或操作说明等。能运用基本的听力技巧。</w:t>
            </w:r>
          </w:p>
        </w:tc>
        <w:tc>
          <w:tcPr>
            <w:tcW w:w="1388" w:type="dxa"/>
            <w:vAlign w:val="center"/>
          </w:tcPr>
          <w:p w14:paraId="2241980B">
            <w:r>
              <w:rPr>
                <w:rFonts w:hint="eastAsia"/>
              </w:rPr>
              <w:t>1.辨音</w:t>
            </w:r>
          </w:p>
          <w:p w14:paraId="4972A600">
            <w:r>
              <w:rPr>
                <w:rFonts w:hint="eastAsia"/>
              </w:rPr>
              <w:t>2.情景词汇</w:t>
            </w:r>
          </w:p>
          <w:p w14:paraId="4E573D31">
            <w:r>
              <w:rPr>
                <w:rFonts w:hint="eastAsia"/>
              </w:rPr>
              <w:t>3.大意理解</w:t>
            </w:r>
          </w:p>
          <w:p w14:paraId="03D36FEC">
            <w:r>
              <w:rPr>
                <w:rFonts w:hint="eastAsia"/>
              </w:rPr>
              <w:t>4.听力技巧</w:t>
            </w:r>
          </w:p>
        </w:tc>
      </w:tr>
      <w:tr w14:paraId="17B3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0B2B4497">
            <w:r>
              <w:rPr>
                <w:rFonts w:hint="eastAsia"/>
              </w:rPr>
              <w:t>口语表达</w:t>
            </w:r>
          </w:p>
        </w:tc>
        <w:tc>
          <w:tcPr>
            <w:tcW w:w="1701" w:type="dxa"/>
            <w:vAlign w:val="center"/>
          </w:tcPr>
          <w:p w14:paraId="15F31A64">
            <w:r>
              <w:rPr>
                <w:rFonts w:hint="eastAsia"/>
              </w:rPr>
              <w:t>1.克服焦虑，树立信心</w:t>
            </w:r>
          </w:p>
          <w:p w14:paraId="2A483763">
            <w:r>
              <w:rPr>
                <w:rFonts w:hint="eastAsia"/>
              </w:rPr>
              <w:t>2.传播社会主义核心价值观、中国优秀传统文化</w:t>
            </w:r>
          </w:p>
          <w:p w14:paraId="2F818843">
            <w:r>
              <w:rPr>
                <w:rFonts w:hint="eastAsia"/>
              </w:rPr>
              <w:t>3.讲好中国故事</w:t>
            </w:r>
          </w:p>
        </w:tc>
        <w:tc>
          <w:tcPr>
            <w:tcW w:w="4111" w:type="dxa"/>
            <w:vAlign w:val="center"/>
          </w:tcPr>
          <w:p w14:paraId="17554E21">
            <w:pPr>
              <w:rPr>
                <w:lang w:val="zh-CN"/>
              </w:rPr>
            </w:pPr>
            <w:r>
              <w:rPr>
                <w:lang w:val="zh-CN"/>
              </w:rPr>
              <w:t>能就日常话题用英语进行简短但多话轮的交谈；能对一般性事件和物体进行简单的叙述或描述；经准备后能就所熟悉的话题作简短发言；能就学习或与未来工作相关的主题进行简单的讨论。语言表达结构比较清楚，语音、语调、语法等基本符合交际规范。能运用基本的会话技巧。</w:t>
            </w:r>
          </w:p>
        </w:tc>
        <w:tc>
          <w:tcPr>
            <w:tcW w:w="1388" w:type="dxa"/>
            <w:vAlign w:val="center"/>
          </w:tcPr>
          <w:p w14:paraId="3EA30F05">
            <w:r>
              <w:rPr>
                <w:rFonts w:hint="eastAsia"/>
              </w:rPr>
              <w:t>1.语音、语调</w:t>
            </w:r>
          </w:p>
          <w:p w14:paraId="10841427">
            <w:r>
              <w:rPr>
                <w:rFonts w:hint="eastAsia"/>
              </w:rPr>
              <w:t>2.日常词汇</w:t>
            </w:r>
          </w:p>
          <w:p w14:paraId="3605CDC5">
            <w:r>
              <w:rPr>
                <w:rFonts w:hint="eastAsia"/>
              </w:rPr>
              <w:t>3.会话技巧</w:t>
            </w:r>
          </w:p>
        </w:tc>
      </w:tr>
      <w:tr w14:paraId="248E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6AEC0F28">
            <w:r>
              <w:rPr>
                <w:rFonts w:hint="eastAsia"/>
              </w:rPr>
              <w:t>阅读理解</w:t>
            </w:r>
          </w:p>
        </w:tc>
        <w:tc>
          <w:tcPr>
            <w:tcW w:w="1701" w:type="dxa"/>
            <w:vAlign w:val="center"/>
          </w:tcPr>
          <w:p w14:paraId="7D0E5CC0">
            <w:r>
              <w:rPr>
                <w:rFonts w:hint="eastAsia"/>
              </w:rPr>
              <w:t>1.理性思考中西文化差异</w:t>
            </w:r>
          </w:p>
          <w:p w14:paraId="2B092F42">
            <w:r>
              <w:rPr>
                <w:rFonts w:hint="eastAsia"/>
              </w:rPr>
              <w:t>2.传播社会主义核心价值观、中国优秀传统文化</w:t>
            </w:r>
          </w:p>
          <w:p w14:paraId="1A66B40C">
            <w:r>
              <w:rPr>
                <w:rFonts w:hint="eastAsia"/>
              </w:rPr>
              <w:t>3.树立文化自信</w:t>
            </w:r>
          </w:p>
          <w:p w14:paraId="7115E542">
            <w:r>
              <w:rPr>
                <w:rFonts w:hint="eastAsia"/>
              </w:rPr>
              <w:t>4.提升职业素养</w:t>
            </w:r>
          </w:p>
        </w:tc>
        <w:tc>
          <w:tcPr>
            <w:tcW w:w="4111" w:type="dxa"/>
            <w:vAlign w:val="center"/>
          </w:tcPr>
          <w:p w14:paraId="7008F7F4">
            <w:pPr>
              <w:rPr>
                <w:lang w:val="zh-CN"/>
              </w:rPr>
            </w:pPr>
            <w:r>
              <w:rPr>
                <w:lang w:val="zh-CN"/>
              </w:rPr>
              <w:t>能基本读懂题材熟悉、语言难度中等的英语报刊文章和其他英语材料；能借助词典阅读英语教材和未来工作、生活中常见的应用文和简单的专业资料，掌握中心大意，理解主要事实和有关细节；能根据阅读目的的不同和阅读材料的难易，适当调整阅读速度和方法。能运用基本的阅读技巧。</w:t>
            </w:r>
          </w:p>
        </w:tc>
        <w:tc>
          <w:tcPr>
            <w:tcW w:w="1388" w:type="dxa"/>
            <w:vAlign w:val="center"/>
          </w:tcPr>
          <w:p w14:paraId="231D49E6">
            <w:r>
              <w:rPr>
                <w:rFonts w:hint="eastAsia"/>
              </w:rPr>
              <w:t>1.基础语言点</w:t>
            </w:r>
          </w:p>
          <w:p w14:paraId="35A8B294">
            <w:r>
              <w:rPr>
                <w:rFonts w:hint="eastAsia"/>
              </w:rPr>
              <w:t>2.长难句分析</w:t>
            </w:r>
          </w:p>
          <w:p w14:paraId="23D7B02F">
            <w:r>
              <w:rPr>
                <w:rFonts w:hint="eastAsia"/>
              </w:rPr>
              <w:t>3.宏观阅读技巧</w:t>
            </w:r>
          </w:p>
        </w:tc>
      </w:tr>
      <w:tr w14:paraId="25E9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12B992A7">
            <w:bookmarkStart w:id="40" w:name="_Toc89367100"/>
            <w:r>
              <w:rPr>
                <w:rFonts w:hint="eastAsia"/>
              </w:rPr>
              <w:t>书面表达</w:t>
            </w:r>
            <w:bookmarkEnd w:id="40"/>
          </w:p>
        </w:tc>
        <w:tc>
          <w:tcPr>
            <w:tcW w:w="1701" w:type="dxa"/>
            <w:vAlign w:val="center"/>
          </w:tcPr>
          <w:p w14:paraId="743BD7C6">
            <w:r>
              <w:rPr>
                <w:rFonts w:hint="eastAsia"/>
              </w:rPr>
              <w:t>1.理性思考中西文化差异</w:t>
            </w:r>
          </w:p>
          <w:p w14:paraId="36D1AF3B">
            <w:r>
              <w:rPr>
                <w:rFonts w:hint="eastAsia"/>
              </w:rPr>
              <w:t>2.传播社会主义核心价值观、中国优秀传统文化</w:t>
            </w:r>
          </w:p>
          <w:p w14:paraId="253C3E48">
            <w:r>
              <w:rPr>
                <w:rFonts w:hint="eastAsia"/>
              </w:rPr>
              <w:t>3.讲好中国故事</w:t>
            </w:r>
          </w:p>
          <w:p w14:paraId="132E0D73">
            <w:bookmarkStart w:id="41" w:name="_Toc89367101"/>
            <w:r>
              <w:rPr>
                <w:rFonts w:hint="eastAsia"/>
              </w:rPr>
              <w:t>4.提升职业素养</w:t>
            </w:r>
            <w:bookmarkEnd w:id="41"/>
          </w:p>
        </w:tc>
        <w:tc>
          <w:tcPr>
            <w:tcW w:w="4111" w:type="dxa"/>
            <w:vAlign w:val="center"/>
          </w:tcPr>
          <w:p w14:paraId="68C6BE94">
            <w:pPr>
              <w:rPr>
                <w:lang w:val="zh-CN"/>
              </w:rPr>
            </w:pPr>
            <w:r>
              <w:rPr>
                <w:lang w:val="zh-CN"/>
              </w:rPr>
              <w:t>能用英语描述个人经历、观感、情感和发生的事件等；能写常见的应用文；能就一般性话题或提纲以短文的形式展开简短的讨论、解释、说明等，语言结构基本完整，中心思想明确，用词较为恰当，语意连贯。能运用基本的写作技巧。</w:t>
            </w:r>
          </w:p>
        </w:tc>
        <w:tc>
          <w:tcPr>
            <w:tcW w:w="1388" w:type="dxa"/>
            <w:vAlign w:val="center"/>
          </w:tcPr>
          <w:p w14:paraId="2B8A30BF">
            <w:r>
              <w:rPr>
                <w:rFonts w:hint="eastAsia"/>
              </w:rPr>
              <w:t>1.英语基本句型</w:t>
            </w:r>
          </w:p>
          <w:p w14:paraId="6F7CE853">
            <w:r>
              <w:rPr>
                <w:rFonts w:hint="eastAsia"/>
              </w:rPr>
              <w:t>2.词汇表达</w:t>
            </w:r>
          </w:p>
        </w:tc>
      </w:tr>
      <w:tr w14:paraId="7305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101086E1">
            <w:bookmarkStart w:id="42" w:name="_Toc89367102"/>
            <w:r>
              <w:rPr>
                <w:rFonts w:hint="eastAsia"/>
              </w:rPr>
              <w:t>翻译</w:t>
            </w:r>
            <w:bookmarkEnd w:id="42"/>
          </w:p>
        </w:tc>
        <w:tc>
          <w:tcPr>
            <w:tcW w:w="1701" w:type="dxa"/>
            <w:vAlign w:val="center"/>
          </w:tcPr>
          <w:p w14:paraId="6513170A">
            <w:r>
              <w:rPr>
                <w:rFonts w:hint="eastAsia"/>
              </w:rPr>
              <w:t>1.理性思考中西文化差异</w:t>
            </w:r>
          </w:p>
          <w:p w14:paraId="2867C868">
            <w:r>
              <w:rPr>
                <w:rFonts w:hint="eastAsia"/>
              </w:rPr>
              <w:t>2.传播社会主义核心价值观、中国优秀传统文化</w:t>
            </w:r>
          </w:p>
          <w:p w14:paraId="307FF53B">
            <w:r>
              <w:rPr>
                <w:rFonts w:hint="eastAsia"/>
              </w:rPr>
              <w:t>3.讲好中国故事</w:t>
            </w:r>
          </w:p>
          <w:p w14:paraId="37EF9BCC">
            <w:r>
              <w:rPr>
                <w:rFonts w:hint="eastAsia"/>
              </w:rPr>
              <w:t>4.提升职业素养</w:t>
            </w:r>
          </w:p>
        </w:tc>
        <w:tc>
          <w:tcPr>
            <w:tcW w:w="4111" w:type="dxa"/>
            <w:vAlign w:val="center"/>
          </w:tcPr>
          <w:p w14:paraId="7E389FE5">
            <w:pPr>
              <w:rPr>
                <w:lang w:val="zh-CN"/>
              </w:rPr>
            </w:pPr>
            <w:r>
              <w:rPr>
                <w:lang w:val="zh-CN"/>
              </w:rPr>
              <w:t>能借助词典对题材熟悉、结构清晰、语言难度较低的文章进行英汉互译，译文基本准确，无重大的理解和语言表达错误。能有限地运用翻译技巧。</w:t>
            </w:r>
          </w:p>
        </w:tc>
        <w:tc>
          <w:tcPr>
            <w:tcW w:w="1388" w:type="dxa"/>
            <w:vAlign w:val="center"/>
          </w:tcPr>
          <w:p w14:paraId="5D5B1CA2">
            <w:r>
              <w:rPr>
                <w:rFonts w:hint="eastAsia"/>
              </w:rPr>
              <w:t>1.中西语言差异</w:t>
            </w:r>
          </w:p>
          <w:p w14:paraId="0B666A37">
            <w:r>
              <w:rPr>
                <w:rFonts w:hint="eastAsia"/>
              </w:rPr>
              <w:t>2.翻译策略</w:t>
            </w:r>
          </w:p>
        </w:tc>
      </w:tr>
      <w:tr w14:paraId="1940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353369C5">
            <w:r>
              <w:rPr>
                <w:rFonts w:hint="eastAsia"/>
              </w:rPr>
              <w:t>网络平台自主学习</w:t>
            </w:r>
          </w:p>
        </w:tc>
        <w:tc>
          <w:tcPr>
            <w:tcW w:w="1701" w:type="dxa"/>
            <w:vAlign w:val="center"/>
          </w:tcPr>
          <w:p w14:paraId="106D7306"/>
        </w:tc>
        <w:tc>
          <w:tcPr>
            <w:tcW w:w="4111" w:type="dxa"/>
            <w:vAlign w:val="center"/>
          </w:tcPr>
          <w:p w14:paraId="51E27975">
            <w:r>
              <w:rPr>
                <w:rFonts w:hint="eastAsia"/>
              </w:rPr>
              <w:t>掌握有效的学习方法和学习策略。具有终身学习意识。</w:t>
            </w:r>
          </w:p>
        </w:tc>
        <w:tc>
          <w:tcPr>
            <w:tcW w:w="1388" w:type="dxa"/>
            <w:vAlign w:val="center"/>
          </w:tcPr>
          <w:p w14:paraId="785A53E5">
            <w:r>
              <w:rPr>
                <w:rFonts w:hint="eastAsia"/>
              </w:rPr>
              <w:t>发现问题</w:t>
            </w:r>
          </w:p>
          <w:p w14:paraId="3C516297">
            <w:r>
              <w:rPr>
                <w:rFonts w:hint="eastAsia"/>
              </w:rPr>
              <w:t>分析问题</w:t>
            </w:r>
          </w:p>
        </w:tc>
      </w:tr>
    </w:tbl>
    <w:p w14:paraId="49FF46FE"/>
    <w:p w14:paraId="61535291"/>
    <w:p w14:paraId="54936BC7"/>
    <w:p w14:paraId="369A88BC"/>
    <w:p w14:paraId="617C6D29"/>
    <w:p w14:paraId="7D74A811"/>
    <w:p w14:paraId="7F607CC6"/>
    <w:p w14:paraId="339FA7A6">
      <w:r>
        <w:rPr>
          <w:rFonts w:hint="eastAsia"/>
        </w:rPr>
        <w:t>四、教学内容与课程目标对应关系</w:t>
      </w:r>
    </w:p>
    <w:p w14:paraId="0EEF5E8E"/>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962"/>
        <w:gridCol w:w="2126"/>
        <w:gridCol w:w="1985"/>
        <w:gridCol w:w="992"/>
        <w:gridCol w:w="759"/>
      </w:tblGrid>
      <w:tr w14:paraId="4127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top w:val="single" w:color="auto" w:sz="8" w:space="0"/>
              <w:left w:val="single" w:color="auto" w:sz="8" w:space="0"/>
            </w:tcBorders>
            <w:vAlign w:val="center"/>
          </w:tcPr>
          <w:p w14:paraId="100B197F">
            <w:r>
              <w:rPr>
                <w:rFonts w:hint="eastAsia"/>
              </w:rPr>
              <w:t>序号</w:t>
            </w:r>
          </w:p>
        </w:tc>
        <w:tc>
          <w:tcPr>
            <w:tcW w:w="1962" w:type="dxa"/>
            <w:tcBorders>
              <w:top w:val="single" w:color="auto" w:sz="8" w:space="0"/>
            </w:tcBorders>
            <w:vAlign w:val="center"/>
          </w:tcPr>
          <w:p w14:paraId="14DDE18D">
            <w:r>
              <w:rPr>
                <w:rFonts w:hint="eastAsia"/>
              </w:rPr>
              <w:t>教学内容</w:t>
            </w:r>
          </w:p>
        </w:tc>
        <w:tc>
          <w:tcPr>
            <w:tcW w:w="2126" w:type="dxa"/>
            <w:tcBorders>
              <w:top w:val="single" w:color="auto" w:sz="8" w:space="0"/>
            </w:tcBorders>
            <w:vAlign w:val="center"/>
          </w:tcPr>
          <w:p w14:paraId="1F228B7B">
            <w:r>
              <w:rPr>
                <w:rFonts w:hint="eastAsia"/>
              </w:rPr>
              <w:t>支撑的课程目标</w:t>
            </w:r>
          </w:p>
        </w:tc>
        <w:tc>
          <w:tcPr>
            <w:tcW w:w="1985" w:type="dxa"/>
            <w:tcBorders>
              <w:top w:val="single" w:color="auto" w:sz="8" w:space="0"/>
            </w:tcBorders>
            <w:vAlign w:val="center"/>
          </w:tcPr>
          <w:p w14:paraId="0B4DBC70">
            <w:r>
              <w:t>支撑</w:t>
            </w:r>
            <w:r>
              <w:rPr>
                <w:rFonts w:hint="eastAsia"/>
              </w:rPr>
              <w:t>的</w:t>
            </w:r>
            <w:r>
              <w:t>毕业要求</w:t>
            </w:r>
          </w:p>
          <w:p w14:paraId="4042C47E">
            <w:r>
              <w:t>指标点</w:t>
            </w:r>
          </w:p>
        </w:tc>
        <w:tc>
          <w:tcPr>
            <w:tcW w:w="992" w:type="dxa"/>
            <w:tcBorders>
              <w:top w:val="single" w:color="auto" w:sz="8" w:space="0"/>
              <w:right w:val="single" w:color="auto" w:sz="8" w:space="0"/>
            </w:tcBorders>
            <w:vAlign w:val="center"/>
          </w:tcPr>
          <w:p w14:paraId="5C78EB44">
            <w:r>
              <w:rPr>
                <w:rFonts w:hint="eastAsia"/>
              </w:rPr>
              <w:t>讲授</w:t>
            </w:r>
          </w:p>
          <w:p w14:paraId="25E67336">
            <w:r>
              <w:t>学时</w:t>
            </w:r>
          </w:p>
        </w:tc>
        <w:tc>
          <w:tcPr>
            <w:tcW w:w="759" w:type="dxa"/>
            <w:tcBorders>
              <w:top w:val="single" w:color="auto" w:sz="8" w:space="0"/>
              <w:right w:val="single" w:color="auto" w:sz="8" w:space="0"/>
            </w:tcBorders>
            <w:vAlign w:val="center"/>
          </w:tcPr>
          <w:p w14:paraId="14DE9A7D">
            <w:r>
              <w:rPr>
                <w:rFonts w:hint="eastAsia"/>
              </w:rPr>
              <w:t>实验</w:t>
            </w:r>
          </w:p>
          <w:p w14:paraId="3AD965E8">
            <w:r>
              <w:rPr>
                <w:rFonts w:hint="eastAsia"/>
              </w:rPr>
              <w:t>学时</w:t>
            </w:r>
          </w:p>
        </w:tc>
      </w:tr>
      <w:tr w14:paraId="66BB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1BD3ECC8">
            <w:r>
              <w:rPr>
                <w:rFonts w:hint="eastAsia"/>
              </w:rPr>
              <w:t>1</w:t>
            </w:r>
          </w:p>
        </w:tc>
        <w:tc>
          <w:tcPr>
            <w:tcW w:w="1962" w:type="dxa"/>
          </w:tcPr>
          <w:p w14:paraId="2C2F759F">
            <w:r>
              <w:rPr>
                <w:rFonts w:hint="eastAsia"/>
              </w:rPr>
              <w:t>听力理解</w:t>
            </w:r>
          </w:p>
        </w:tc>
        <w:tc>
          <w:tcPr>
            <w:tcW w:w="2126" w:type="dxa"/>
          </w:tcPr>
          <w:p w14:paraId="33C01ABF">
            <w:r>
              <w:rPr>
                <w:rFonts w:hint="eastAsia"/>
              </w:rPr>
              <w:t>课程目标1、2</w:t>
            </w:r>
          </w:p>
        </w:tc>
        <w:tc>
          <w:tcPr>
            <w:tcW w:w="1985" w:type="dxa"/>
            <w:vAlign w:val="center"/>
          </w:tcPr>
          <w:p w14:paraId="6BCEDDE3">
            <w:r>
              <w:rPr>
                <w:rFonts w:hint="eastAsia"/>
              </w:rPr>
              <w:t>7-1、8-2</w:t>
            </w:r>
          </w:p>
        </w:tc>
        <w:tc>
          <w:tcPr>
            <w:tcW w:w="992" w:type="dxa"/>
            <w:tcBorders>
              <w:right w:val="single" w:color="auto" w:sz="8" w:space="0"/>
            </w:tcBorders>
          </w:tcPr>
          <w:p w14:paraId="7A2338C2">
            <w:r>
              <w:rPr>
                <w:rFonts w:hint="eastAsia"/>
              </w:rPr>
              <w:t>7</w:t>
            </w:r>
          </w:p>
        </w:tc>
        <w:tc>
          <w:tcPr>
            <w:tcW w:w="759" w:type="dxa"/>
            <w:tcBorders>
              <w:right w:val="single" w:color="auto" w:sz="8" w:space="0"/>
            </w:tcBorders>
          </w:tcPr>
          <w:p w14:paraId="34456EE0"/>
        </w:tc>
      </w:tr>
      <w:tr w14:paraId="2795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3D53CF3D">
            <w:r>
              <w:rPr>
                <w:rFonts w:hint="eastAsia"/>
              </w:rPr>
              <w:t>2</w:t>
            </w:r>
          </w:p>
        </w:tc>
        <w:tc>
          <w:tcPr>
            <w:tcW w:w="1962" w:type="dxa"/>
          </w:tcPr>
          <w:p w14:paraId="5342363E">
            <w:r>
              <w:rPr>
                <w:rFonts w:hint="eastAsia"/>
              </w:rPr>
              <w:t>口语表达</w:t>
            </w:r>
          </w:p>
        </w:tc>
        <w:tc>
          <w:tcPr>
            <w:tcW w:w="2126" w:type="dxa"/>
          </w:tcPr>
          <w:p w14:paraId="2E27D59F">
            <w:r>
              <w:rPr>
                <w:rFonts w:hint="eastAsia"/>
              </w:rPr>
              <w:t>课程目标1、2、3</w:t>
            </w:r>
          </w:p>
        </w:tc>
        <w:tc>
          <w:tcPr>
            <w:tcW w:w="1985" w:type="dxa"/>
          </w:tcPr>
          <w:p w14:paraId="493AFA38">
            <w:r>
              <w:rPr>
                <w:rFonts w:hint="eastAsia"/>
              </w:rPr>
              <w:t>7-1、8-2</w:t>
            </w:r>
          </w:p>
        </w:tc>
        <w:tc>
          <w:tcPr>
            <w:tcW w:w="992" w:type="dxa"/>
            <w:tcBorders>
              <w:right w:val="single" w:color="auto" w:sz="8" w:space="0"/>
            </w:tcBorders>
          </w:tcPr>
          <w:p w14:paraId="769E1ECA">
            <w:r>
              <w:rPr>
                <w:rFonts w:hint="eastAsia"/>
              </w:rPr>
              <w:t>8</w:t>
            </w:r>
          </w:p>
        </w:tc>
        <w:tc>
          <w:tcPr>
            <w:tcW w:w="759" w:type="dxa"/>
            <w:tcBorders>
              <w:right w:val="single" w:color="auto" w:sz="8" w:space="0"/>
            </w:tcBorders>
          </w:tcPr>
          <w:p w14:paraId="2B103387"/>
        </w:tc>
      </w:tr>
      <w:tr w14:paraId="5AA9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31C93BEE">
            <w:r>
              <w:rPr>
                <w:rFonts w:hint="eastAsia"/>
              </w:rPr>
              <w:t>3</w:t>
            </w:r>
          </w:p>
        </w:tc>
        <w:tc>
          <w:tcPr>
            <w:tcW w:w="1962" w:type="dxa"/>
          </w:tcPr>
          <w:p w14:paraId="100CE4EB">
            <w:r>
              <w:rPr>
                <w:rFonts w:hint="eastAsia"/>
              </w:rPr>
              <w:t>阅读理解</w:t>
            </w:r>
          </w:p>
        </w:tc>
        <w:tc>
          <w:tcPr>
            <w:tcW w:w="2126" w:type="dxa"/>
          </w:tcPr>
          <w:p w14:paraId="59B6BB79">
            <w:r>
              <w:rPr>
                <w:rFonts w:hint="eastAsia"/>
              </w:rPr>
              <w:t>课程目标1、2、3</w:t>
            </w:r>
          </w:p>
        </w:tc>
        <w:tc>
          <w:tcPr>
            <w:tcW w:w="1985" w:type="dxa"/>
          </w:tcPr>
          <w:p w14:paraId="52430253">
            <w:r>
              <w:rPr>
                <w:rFonts w:hint="eastAsia"/>
              </w:rPr>
              <w:t>7-1、8-2</w:t>
            </w:r>
          </w:p>
        </w:tc>
        <w:tc>
          <w:tcPr>
            <w:tcW w:w="992" w:type="dxa"/>
            <w:tcBorders>
              <w:right w:val="single" w:color="auto" w:sz="8" w:space="0"/>
            </w:tcBorders>
          </w:tcPr>
          <w:p w14:paraId="6FBCFD2C">
            <w:r>
              <w:t>1</w:t>
            </w:r>
            <w:r>
              <w:rPr>
                <w:rFonts w:hint="eastAsia"/>
              </w:rPr>
              <w:t>5</w:t>
            </w:r>
          </w:p>
        </w:tc>
        <w:tc>
          <w:tcPr>
            <w:tcW w:w="759" w:type="dxa"/>
            <w:tcBorders>
              <w:right w:val="single" w:color="auto" w:sz="8" w:space="0"/>
            </w:tcBorders>
          </w:tcPr>
          <w:p w14:paraId="404964B7"/>
        </w:tc>
      </w:tr>
      <w:tr w14:paraId="3C20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36391CFB">
            <w:r>
              <w:rPr>
                <w:rFonts w:hint="eastAsia"/>
              </w:rPr>
              <w:t>4</w:t>
            </w:r>
          </w:p>
        </w:tc>
        <w:tc>
          <w:tcPr>
            <w:tcW w:w="1962" w:type="dxa"/>
          </w:tcPr>
          <w:p w14:paraId="48199E60">
            <w:r>
              <w:rPr>
                <w:rFonts w:hint="eastAsia"/>
              </w:rPr>
              <w:t>书面表达</w:t>
            </w:r>
          </w:p>
        </w:tc>
        <w:tc>
          <w:tcPr>
            <w:tcW w:w="2126" w:type="dxa"/>
          </w:tcPr>
          <w:p w14:paraId="19DDB6DF">
            <w:r>
              <w:rPr>
                <w:rFonts w:hint="eastAsia"/>
              </w:rPr>
              <w:t>课程目标1、2、3</w:t>
            </w:r>
          </w:p>
        </w:tc>
        <w:tc>
          <w:tcPr>
            <w:tcW w:w="1985" w:type="dxa"/>
          </w:tcPr>
          <w:p w14:paraId="69BD555D">
            <w:r>
              <w:rPr>
                <w:rFonts w:hint="eastAsia"/>
              </w:rPr>
              <w:t>7-1、8-2</w:t>
            </w:r>
          </w:p>
        </w:tc>
        <w:tc>
          <w:tcPr>
            <w:tcW w:w="992" w:type="dxa"/>
            <w:tcBorders>
              <w:right w:val="single" w:color="auto" w:sz="8" w:space="0"/>
            </w:tcBorders>
          </w:tcPr>
          <w:p w14:paraId="1F80AE26">
            <w:r>
              <w:rPr>
                <w:rFonts w:hint="eastAsia"/>
              </w:rPr>
              <w:t>7</w:t>
            </w:r>
          </w:p>
        </w:tc>
        <w:tc>
          <w:tcPr>
            <w:tcW w:w="759" w:type="dxa"/>
            <w:tcBorders>
              <w:right w:val="single" w:color="auto" w:sz="8" w:space="0"/>
            </w:tcBorders>
          </w:tcPr>
          <w:p w14:paraId="26A5A7B8"/>
        </w:tc>
      </w:tr>
      <w:tr w14:paraId="7AC7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35E04A42">
            <w:r>
              <w:rPr>
                <w:rFonts w:hint="eastAsia"/>
              </w:rPr>
              <w:t>5</w:t>
            </w:r>
          </w:p>
        </w:tc>
        <w:tc>
          <w:tcPr>
            <w:tcW w:w="1962" w:type="dxa"/>
          </w:tcPr>
          <w:p w14:paraId="788D85AA">
            <w:r>
              <w:rPr>
                <w:rFonts w:hint="eastAsia"/>
              </w:rPr>
              <w:t>翻译</w:t>
            </w:r>
          </w:p>
        </w:tc>
        <w:tc>
          <w:tcPr>
            <w:tcW w:w="2126" w:type="dxa"/>
          </w:tcPr>
          <w:p w14:paraId="684DB3BB">
            <w:r>
              <w:rPr>
                <w:rFonts w:hint="eastAsia"/>
              </w:rPr>
              <w:t>课程目标1、2、3</w:t>
            </w:r>
          </w:p>
        </w:tc>
        <w:tc>
          <w:tcPr>
            <w:tcW w:w="1985" w:type="dxa"/>
          </w:tcPr>
          <w:p w14:paraId="07F4F935">
            <w:r>
              <w:rPr>
                <w:rFonts w:hint="eastAsia"/>
              </w:rPr>
              <w:t>7-1、8-2</w:t>
            </w:r>
          </w:p>
        </w:tc>
        <w:tc>
          <w:tcPr>
            <w:tcW w:w="992" w:type="dxa"/>
            <w:tcBorders>
              <w:right w:val="single" w:color="auto" w:sz="8" w:space="0"/>
            </w:tcBorders>
          </w:tcPr>
          <w:p w14:paraId="5C092BC9">
            <w:r>
              <w:rPr>
                <w:rFonts w:hint="eastAsia"/>
              </w:rPr>
              <w:t>6</w:t>
            </w:r>
          </w:p>
        </w:tc>
        <w:tc>
          <w:tcPr>
            <w:tcW w:w="759" w:type="dxa"/>
            <w:tcBorders>
              <w:right w:val="single" w:color="auto" w:sz="8" w:space="0"/>
            </w:tcBorders>
          </w:tcPr>
          <w:p w14:paraId="66E1AD70"/>
        </w:tc>
      </w:tr>
      <w:tr w14:paraId="1A71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526D551E">
            <w:r>
              <w:rPr>
                <w:rFonts w:hint="eastAsia"/>
              </w:rPr>
              <w:t>6</w:t>
            </w:r>
          </w:p>
        </w:tc>
        <w:tc>
          <w:tcPr>
            <w:tcW w:w="1962" w:type="dxa"/>
          </w:tcPr>
          <w:p w14:paraId="47674D5E">
            <w:r>
              <w:rPr>
                <w:rFonts w:hint="eastAsia"/>
              </w:rPr>
              <w:t>网络平台自主学习</w:t>
            </w:r>
          </w:p>
        </w:tc>
        <w:tc>
          <w:tcPr>
            <w:tcW w:w="2126" w:type="dxa"/>
          </w:tcPr>
          <w:p w14:paraId="610FF772">
            <w:r>
              <w:rPr>
                <w:rFonts w:hint="eastAsia"/>
              </w:rPr>
              <w:t>课程目标2、3</w:t>
            </w:r>
          </w:p>
        </w:tc>
        <w:tc>
          <w:tcPr>
            <w:tcW w:w="1985" w:type="dxa"/>
          </w:tcPr>
          <w:p w14:paraId="3C94CA9F">
            <w:r>
              <w:rPr>
                <w:rFonts w:hint="eastAsia"/>
              </w:rPr>
              <w:t>7-1、8-2</w:t>
            </w:r>
          </w:p>
        </w:tc>
        <w:tc>
          <w:tcPr>
            <w:tcW w:w="992" w:type="dxa"/>
            <w:tcBorders>
              <w:right w:val="single" w:color="auto" w:sz="8" w:space="0"/>
            </w:tcBorders>
          </w:tcPr>
          <w:p w14:paraId="332E196B">
            <w:r>
              <w:rPr>
                <w:rFonts w:hint="eastAsia"/>
              </w:rPr>
              <w:t>5</w:t>
            </w:r>
          </w:p>
        </w:tc>
        <w:tc>
          <w:tcPr>
            <w:tcW w:w="759" w:type="dxa"/>
            <w:tcBorders>
              <w:right w:val="single" w:color="auto" w:sz="8" w:space="0"/>
            </w:tcBorders>
          </w:tcPr>
          <w:p w14:paraId="0A91E7AE"/>
        </w:tc>
      </w:tr>
      <w:tr w14:paraId="0540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0" w:type="dxa"/>
            <w:gridSpan w:val="2"/>
            <w:tcBorders>
              <w:left w:val="single" w:color="auto" w:sz="8" w:space="0"/>
              <w:bottom w:val="single" w:color="auto" w:sz="8" w:space="0"/>
            </w:tcBorders>
            <w:vAlign w:val="center"/>
          </w:tcPr>
          <w:p w14:paraId="163EE42C">
            <w:r>
              <w:rPr>
                <w:rFonts w:hint="eastAsia"/>
              </w:rPr>
              <w:t>合    计</w:t>
            </w:r>
          </w:p>
        </w:tc>
        <w:tc>
          <w:tcPr>
            <w:tcW w:w="2126" w:type="dxa"/>
            <w:tcBorders>
              <w:bottom w:val="single" w:color="auto" w:sz="8" w:space="0"/>
            </w:tcBorders>
            <w:vAlign w:val="center"/>
          </w:tcPr>
          <w:p w14:paraId="05C436C4"/>
        </w:tc>
        <w:tc>
          <w:tcPr>
            <w:tcW w:w="1985" w:type="dxa"/>
            <w:tcBorders>
              <w:bottom w:val="single" w:color="auto" w:sz="8" w:space="0"/>
            </w:tcBorders>
            <w:vAlign w:val="center"/>
          </w:tcPr>
          <w:p w14:paraId="5375BB51"/>
        </w:tc>
        <w:tc>
          <w:tcPr>
            <w:tcW w:w="992" w:type="dxa"/>
            <w:tcBorders>
              <w:bottom w:val="single" w:color="auto" w:sz="8" w:space="0"/>
              <w:right w:val="single" w:color="auto" w:sz="8" w:space="0"/>
            </w:tcBorders>
            <w:vAlign w:val="center"/>
          </w:tcPr>
          <w:p w14:paraId="66A00284">
            <w:r>
              <w:t>4</w:t>
            </w:r>
            <w:r>
              <w:rPr>
                <w:rFonts w:hint="eastAsia"/>
              </w:rPr>
              <w:t>8</w:t>
            </w:r>
          </w:p>
        </w:tc>
        <w:tc>
          <w:tcPr>
            <w:tcW w:w="759" w:type="dxa"/>
            <w:tcBorders>
              <w:bottom w:val="single" w:color="auto" w:sz="8" w:space="0"/>
              <w:right w:val="single" w:color="auto" w:sz="8" w:space="0"/>
            </w:tcBorders>
          </w:tcPr>
          <w:p w14:paraId="238D77F8"/>
        </w:tc>
      </w:tr>
    </w:tbl>
    <w:p w14:paraId="07770527">
      <w:r>
        <w:rPr>
          <w:rFonts w:hint="eastAsia"/>
        </w:rPr>
        <w:t>五、课程实施</w:t>
      </w:r>
    </w:p>
    <w:p w14:paraId="7C0D6ACD">
      <w:r>
        <w:rPr>
          <w:rFonts w:hint="eastAsia"/>
        </w:rPr>
        <w:t>（一）教学方法与教学手段</w:t>
      </w:r>
    </w:p>
    <w:p w14:paraId="29C73F2C">
      <w:r>
        <w:rPr>
          <w:rFonts w:hint="eastAsia"/>
        </w:rPr>
        <w:t>1．依托网络学习平台，引导学生线上自主学习，培养学生自主学习能力，并进一步培养学生发现问题、分析问题、解决问题的能力。</w:t>
      </w:r>
    </w:p>
    <w:p w14:paraId="5BCF48D5">
      <w:r>
        <w:rPr>
          <w:rFonts w:hint="eastAsia"/>
        </w:rPr>
        <w:t>2．线下课堂采用研究式、启发式、讨论式、案例式教学，通过学生自主探究，理性思考，充分讨论，形成结论，相互评价使基本英语技能得以内化并实现灵活应用。</w:t>
      </w:r>
    </w:p>
    <w:p w14:paraId="3A2A0904"/>
    <w:p w14:paraId="79A8BF08">
      <w:r>
        <w:rPr>
          <w:rFonts w:hint="eastAsia"/>
        </w:rPr>
        <w:t>（二）课程实施与保障</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842"/>
        <w:gridCol w:w="5711"/>
      </w:tblGrid>
      <w:tr w14:paraId="2712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6" w:type="dxa"/>
            <w:gridSpan w:val="3"/>
            <w:tcBorders>
              <w:top w:val="single" w:color="auto" w:sz="8" w:space="0"/>
              <w:left w:val="single" w:color="auto" w:sz="8" w:space="0"/>
              <w:right w:val="single" w:color="auto" w:sz="8" w:space="0"/>
            </w:tcBorders>
            <w:tcMar>
              <w:left w:w="28" w:type="dxa"/>
              <w:right w:w="28" w:type="dxa"/>
            </w:tcMar>
            <w:vAlign w:val="center"/>
          </w:tcPr>
          <w:p w14:paraId="59B59B47">
            <w:r>
              <w:rPr>
                <w:rFonts w:hint="eastAsia"/>
              </w:rPr>
              <w:t>主要教学环节的质量标准</w:t>
            </w:r>
          </w:p>
        </w:tc>
      </w:tr>
      <w:tr w14:paraId="34B1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19189F51">
            <w:r>
              <w:rPr>
                <w:rFonts w:hint="eastAsia"/>
              </w:rPr>
              <w:t>1</w:t>
            </w:r>
          </w:p>
        </w:tc>
        <w:tc>
          <w:tcPr>
            <w:tcW w:w="1842" w:type="dxa"/>
            <w:tcMar>
              <w:left w:w="28" w:type="dxa"/>
              <w:right w:w="28" w:type="dxa"/>
            </w:tcMar>
            <w:vAlign w:val="center"/>
          </w:tcPr>
          <w:p w14:paraId="60A4A823">
            <w:r>
              <w:rPr>
                <w:rFonts w:hint="eastAsia"/>
              </w:rPr>
              <w:t>备课</w:t>
            </w:r>
          </w:p>
        </w:tc>
        <w:tc>
          <w:tcPr>
            <w:tcW w:w="5711" w:type="dxa"/>
            <w:tcBorders>
              <w:right w:val="single" w:color="auto" w:sz="8" w:space="0"/>
            </w:tcBorders>
            <w:vAlign w:val="center"/>
          </w:tcPr>
          <w:p w14:paraId="27D32C05">
            <w:r>
              <w:rPr>
                <w:rFonts w:hint="eastAsia"/>
              </w:rPr>
              <w:t>1.掌握本课程教学大纲内容，严格按照教学大纲要求进行本课程教学内容的组织；</w:t>
            </w:r>
          </w:p>
          <w:p w14:paraId="6B4C8578">
            <w:r>
              <w:rPr>
                <w:rFonts w:hint="eastAsia"/>
              </w:rPr>
              <w:t>2.熟悉教材各章节，借助相关专业书籍资料，并依据教学大纲编写授课计划，编写每次授课的教案。教案内容包括章节标题、教学目的、教法设计、课堂类型、时间分配、授课内容、课后作业、教学效果分析等方面；</w:t>
            </w:r>
          </w:p>
          <w:p w14:paraId="71A93BA3">
            <w:r>
              <w:t>3</w:t>
            </w:r>
            <w:r>
              <w:rPr>
                <w:rFonts w:hint="eastAsia"/>
              </w:rPr>
              <w:t>.确定各章节课程内容的教学方法，构思授课思路、技巧和方法；</w:t>
            </w:r>
          </w:p>
          <w:p w14:paraId="0461BD8D">
            <w:r>
              <w:t>4</w:t>
            </w:r>
            <w:r>
              <w:rPr>
                <w:rFonts w:hint="eastAsia"/>
              </w:rPr>
              <w:t>.结合课程特点，制作课件，运用多媒体教学手段讲授部分教学内容。</w:t>
            </w:r>
          </w:p>
        </w:tc>
      </w:tr>
      <w:tr w14:paraId="6D51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17EB10CE">
            <w:r>
              <w:rPr>
                <w:rFonts w:hint="eastAsia"/>
              </w:rPr>
              <w:t>2</w:t>
            </w:r>
          </w:p>
        </w:tc>
        <w:tc>
          <w:tcPr>
            <w:tcW w:w="1842" w:type="dxa"/>
            <w:tcMar>
              <w:left w:w="28" w:type="dxa"/>
              <w:right w:w="28" w:type="dxa"/>
            </w:tcMar>
            <w:vAlign w:val="center"/>
          </w:tcPr>
          <w:p w14:paraId="2FF0780B">
            <w:r>
              <w:rPr>
                <w:rFonts w:hint="eastAsia"/>
              </w:rPr>
              <w:t>讲授</w:t>
            </w:r>
          </w:p>
        </w:tc>
        <w:tc>
          <w:tcPr>
            <w:tcW w:w="5711" w:type="dxa"/>
            <w:tcBorders>
              <w:right w:val="single" w:color="auto" w:sz="8" w:space="0"/>
            </w:tcBorders>
            <w:vAlign w:val="center"/>
          </w:tcPr>
          <w:p w14:paraId="373A033B">
            <w:r>
              <w:rPr>
                <w:rFonts w:hint="eastAsia"/>
              </w:rPr>
              <w:t>1.要点准确，推理正确，条理清晰，重点突出，理论联系实际，熟练地解答和讲解例题；</w:t>
            </w:r>
          </w:p>
          <w:p w14:paraId="479AC1FA">
            <w:r>
              <w:rPr>
                <w:rFonts w:hint="eastAsia"/>
              </w:rPr>
              <w:t>2.采用多种教学方式（如启发式教学、案例分析教学、讨论式教学、多媒体示范教学等），注重培养学生的基本语言技能；</w:t>
            </w:r>
          </w:p>
          <w:p w14:paraId="171081F8">
            <w:r>
              <w:rPr>
                <w:rFonts w:hint="eastAsia"/>
              </w:rPr>
              <w:t>3.多媒体教学，注重培养学生英语语言综合应用能力；</w:t>
            </w:r>
          </w:p>
          <w:p w14:paraId="6F56BB04">
            <w:r>
              <w:rPr>
                <w:rFonts w:hint="eastAsia"/>
              </w:rPr>
              <w:t>4.表达方式尽量便于学生理解、接受，力求形象生动，使学生在掌握知识的过程中，保持较为浓厚的学习兴趣。</w:t>
            </w:r>
          </w:p>
        </w:tc>
      </w:tr>
      <w:tr w14:paraId="5D5B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6B3F4ED9">
            <w:r>
              <w:rPr>
                <w:rFonts w:hint="eastAsia"/>
              </w:rPr>
              <w:t>3</w:t>
            </w:r>
          </w:p>
        </w:tc>
        <w:tc>
          <w:tcPr>
            <w:tcW w:w="1842" w:type="dxa"/>
            <w:tcMar>
              <w:left w:w="28" w:type="dxa"/>
              <w:right w:w="28" w:type="dxa"/>
            </w:tcMar>
            <w:vAlign w:val="center"/>
          </w:tcPr>
          <w:p w14:paraId="76C0D1BD">
            <w:r>
              <w:rPr>
                <w:rFonts w:hint="eastAsia"/>
              </w:rPr>
              <w:t>作业布置与批改</w:t>
            </w:r>
          </w:p>
        </w:tc>
        <w:tc>
          <w:tcPr>
            <w:tcW w:w="5711" w:type="dxa"/>
            <w:tcBorders>
              <w:right w:val="single" w:color="auto" w:sz="8" w:space="0"/>
            </w:tcBorders>
            <w:vAlign w:val="center"/>
          </w:tcPr>
          <w:p w14:paraId="5E3B4A0D">
            <w:r>
              <w:rPr>
                <w:rFonts w:hint="eastAsia"/>
              </w:rPr>
              <w:t>学生完成一定数量的作业是本课程教学的基本要求，是实现人才培养目标的必要手段。</w:t>
            </w:r>
          </w:p>
          <w:p w14:paraId="2394C172">
            <w:r>
              <w:rPr>
                <w:rFonts w:hint="eastAsia"/>
              </w:rPr>
              <w:t>学生完成的作业必须达到以下基本要求：</w:t>
            </w:r>
          </w:p>
          <w:p w14:paraId="1CCDFB66">
            <w:r>
              <w:rPr>
                <w:rFonts w:hint="eastAsia"/>
              </w:rPr>
              <w:t>1.按时按量完成作业，不缺交，不抄袭；</w:t>
            </w:r>
          </w:p>
          <w:p w14:paraId="25322863">
            <w:r>
              <w:rPr>
                <w:rFonts w:hint="eastAsia"/>
              </w:rPr>
              <w:t>2.网络教学平台具有查重功能并能及时反馈；</w:t>
            </w:r>
          </w:p>
          <w:p w14:paraId="10441783">
            <w:r>
              <w:rPr>
                <w:rFonts w:hint="eastAsia"/>
              </w:rPr>
              <w:t>3.客观题保证答题时间，主观题要求原创性。</w:t>
            </w:r>
          </w:p>
          <w:p w14:paraId="1F46C340">
            <w:r>
              <w:rPr>
                <w:rFonts w:hint="eastAsia"/>
              </w:rPr>
              <w:t>教师批改或讲评作业要求如下：</w:t>
            </w:r>
          </w:p>
          <w:p w14:paraId="78BD2CBD">
            <w:r>
              <w:rPr>
                <w:rFonts w:hint="eastAsia"/>
              </w:rPr>
              <w:t>1.学生的作业要全批全改，按时批改、反馈和讲评；</w:t>
            </w:r>
          </w:p>
          <w:p w14:paraId="0C6A3B3C">
            <w:r>
              <w:rPr>
                <w:rFonts w:hint="eastAsia"/>
              </w:rPr>
              <w:t>2.教师批改或讲评作业要认真、细致，每次批改或讲评作业后，按百分制评定成绩，并写明日期；</w:t>
            </w:r>
          </w:p>
          <w:p w14:paraId="626F27EA">
            <w:r>
              <w:rPr>
                <w:rFonts w:hint="eastAsia"/>
              </w:rPr>
              <w:t>3.期末统计每次作业平均成绩，记入平时成绩。</w:t>
            </w:r>
          </w:p>
        </w:tc>
      </w:tr>
      <w:tr w14:paraId="2842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0C30C2B0">
            <w:r>
              <w:rPr>
                <w:rFonts w:hint="eastAsia"/>
              </w:rPr>
              <w:t>4</w:t>
            </w:r>
          </w:p>
        </w:tc>
        <w:tc>
          <w:tcPr>
            <w:tcW w:w="1842" w:type="dxa"/>
            <w:tcMar>
              <w:left w:w="28" w:type="dxa"/>
              <w:right w:w="28" w:type="dxa"/>
            </w:tcMar>
            <w:vAlign w:val="center"/>
          </w:tcPr>
          <w:p w14:paraId="45A981A6">
            <w:r>
              <w:rPr>
                <w:rFonts w:hint="eastAsia"/>
              </w:rPr>
              <w:t>课外答疑</w:t>
            </w:r>
          </w:p>
        </w:tc>
        <w:tc>
          <w:tcPr>
            <w:tcW w:w="5711" w:type="dxa"/>
            <w:tcBorders>
              <w:right w:val="single" w:color="auto" w:sz="8" w:space="0"/>
            </w:tcBorders>
            <w:vAlign w:val="center"/>
          </w:tcPr>
          <w:p w14:paraId="12DFA17D">
            <w:r>
              <w:rPr>
                <w:rFonts w:hint="eastAsia"/>
              </w:rPr>
              <w:t>为全面了解学生的学习情况，帮助学生进一步理解和消化课堂上所学知识、改进学习方法和思维方式，培养其独立思考问题的能力，建议任课教师合理安排时间进行课外答疑与辅导工作。</w:t>
            </w:r>
          </w:p>
        </w:tc>
      </w:tr>
      <w:tr w14:paraId="2226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29889ED6">
            <w:r>
              <w:rPr>
                <w:rFonts w:hint="eastAsia"/>
              </w:rPr>
              <w:t>5</w:t>
            </w:r>
          </w:p>
        </w:tc>
        <w:tc>
          <w:tcPr>
            <w:tcW w:w="1842" w:type="dxa"/>
            <w:tcMar>
              <w:left w:w="28" w:type="dxa"/>
              <w:right w:w="28" w:type="dxa"/>
            </w:tcMar>
            <w:vAlign w:val="center"/>
          </w:tcPr>
          <w:p w14:paraId="7942534D">
            <w:r>
              <w:rPr>
                <w:rFonts w:hint="eastAsia"/>
              </w:rPr>
              <w:t>成绩考核</w:t>
            </w:r>
          </w:p>
        </w:tc>
        <w:tc>
          <w:tcPr>
            <w:tcW w:w="5711" w:type="dxa"/>
            <w:tcBorders>
              <w:right w:val="single" w:color="auto" w:sz="8" w:space="0"/>
            </w:tcBorders>
            <w:vAlign w:val="center"/>
          </w:tcPr>
          <w:p w14:paraId="0082AFD5">
            <w:r>
              <w:rPr>
                <w:rFonts w:hint="eastAsia"/>
              </w:rPr>
              <w:t>本课程考核的方式：“N</w:t>
            </w:r>
            <w:r>
              <w:t>+1</w:t>
            </w:r>
            <w:r>
              <w:rPr>
                <w:rFonts w:hint="eastAsia"/>
              </w:rPr>
              <w:t>”课程考核。网络平台考试，教考分离，题库抽题，统一监考，集中阅卷。总评成绩的评定见课程评分方案。有下列情况之一者，总评成绩原则上评定为不及格：</w:t>
            </w:r>
          </w:p>
          <w:p w14:paraId="30A01F6C">
            <w:r>
              <w:t xml:space="preserve">1. </w:t>
            </w:r>
            <w:r>
              <w:rPr>
                <w:rFonts w:hint="eastAsia"/>
              </w:rPr>
              <w:t>缺课次数达本学期总授课学时的1/3以上者；</w:t>
            </w:r>
          </w:p>
          <w:p w14:paraId="09E2500D">
            <w:r>
              <w:rPr>
                <w:rFonts w:hint="eastAsia"/>
              </w:rPr>
              <w:t>2</w:t>
            </w:r>
            <w:r>
              <w:t xml:space="preserve">. </w:t>
            </w:r>
            <w:r>
              <w:rPr>
                <w:rFonts w:hint="eastAsia"/>
              </w:rPr>
              <w:t>缺交作业次数达1/3以上者；</w:t>
            </w:r>
          </w:p>
          <w:p w14:paraId="4A25AB39">
            <w:r>
              <w:rPr>
                <w:rFonts w:hint="eastAsia"/>
              </w:rPr>
              <w:t>3</w:t>
            </w:r>
            <w:r>
              <w:t>.</w:t>
            </w:r>
            <w:r>
              <w:rPr>
                <w:rFonts w:hint="eastAsia"/>
              </w:rPr>
              <w:t>机考成绩小于45分；专转本、对口单招、3</w:t>
            </w:r>
            <w:r>
              <w:t>+4</w:t>
            </w:r>
            <w:r>
              <w:rPr>
                <w:rFonts w:hint="eastAsia"/>
              </w:rPr>
              <w:t>、3</w:t>
            </w:r>
            <w:r>
              <w:t>+2</w:t>
            </w:r>
            <w:r>
              <w:rPr>
                <w:rFonts w:hint="eastAsia"/>
              </w:rPr>
              <w:t>、4</w:t>
            </w:r>
            <w:r>
              <w:t>+0</w:t>
            </w:r>
            <w:r>
              <w:rPr>
                <w:rFonts w:hint="eastAsia"/>
              </w:rPr>
              <w:t>、5</w:t>
            </w:r>
            <w:r>
              <w:t>+2</w:t>
            </w:r>
            <w:r>
              <w:rPr>
                <w:rFonts w:hint="eastAsia"/>
              </w:rPr>
              <w:t>类班级、艺术类班级小于4</w:t>
            </w:r>
            <w:r>
              <w:t>0</w:t>
            </w:r>
            <w:r>
              <w:rPr>
                <w:rFonts w:hint="eastAsia"/>
              </w:rPr>
              <w:t>分。</w:t>
            </w:r>
          </w:p>
        </w:tc>
      </w:tr>
      <w:tr w14:paraId="4D91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38B5A8E6">
            <w:r>
              <w:rPr>
                <w:rFonts w:hint="eastAsia"/>
              </w:rPr>
              <w:t>6</w:t>
            </w:r>
          </w:p>
        </w:tc>
        <w:tc>
          <w:tcPr>
            <w:tcW w:w="1842" w:type="dxa"/>
            <w:tcMar>
              <w:left w:w="28" w:type="dxa"/>
              <w:right w:w="28" w:type="dxa"/>
            </w:tcMar>
            <w:vAlign w:val="center"/>
          </w:tcPr>
          <w:p w14:paraId="2C1D4CF5">
            <w:r>
              <w:rPr>
                <w:rFonts w:hint="eastAsia"/>
              </w:rPr>
              <w:t>第二课堂活动</w:t>
            </w:r>
          </w:p>
        </w:tc>
        <w:tc>
          <w:tcPr>
            <w:tcW w:w="5711" w:type="dxa"/>
            <w:tcBorders>
              <w:right w:val="single" w:color="auto" w:sz="8" w:space="0"/>
            </w:tcBorders>
            <w:vAlign w:val="center"/>
          </w:tcPr>
          <w:p w14:paraId="7B1E1ED4">
            <w:r>
              <w:rPr>
                <w:rFonts w:hint="eastAsia"/>
              </w:rPr>
              <w:t>为了培养学生综合运用所学知识的能力和创新精神，学校每年举办英语演讲、写作和阅读竞赛；组织学生参加市、省及国家级比赛。</w:t>
            </w:r>
          </w:p>
        </w:tc>
      </w:tr>
    </w:tbl>
    <w:p w14:paraId="6759E0FD"/>
    <w:p w14:paraId="7E1925C5">
      <w:r>
        <w:rPr>
          <w:rFonts w:hint="eastAsia"/>
        </w:rPr>
        <w:t>六、目标评价与成绩评定</w:t>
      </w:r>
    </w:p>
    <w:p w14:paraId="25CAEAEF">
      <w:r>
        <w:rPr>
          <w:rFonts w:hint="eastAsia"/>
        </w:rPr>
        <w:t>（一）课程目标评价方式</w:t>
      </w:r>
    </w:p>
    <w:p w14:paraId="74A389BE">
      <w:r>
        <w:t>课程考核方式包括结课考核、平时情况考核等。</w:t>
      </w:r>
      <w:r>
        <w:rPr>
          <w:rFonts w:hint="eastAsia"/>
        </w:rPr>
        <w:t>结课</w:t>
      </w:r>
      <w:r>
        <w:t>考核采用</w:t>
      </w:r>
      <w:r>
        <w:rPr>
          <w:rFonts w:hint="eastAsia"/>
        </w:rPr>
        <w:t>机考</w:t>
      </w:r>
      <w:r>
        <w:t>（闭卷）形式</w:t>
      </w:r>
    </w:p>
    <w:p w14:paraId="40E843B2"/>
    <w:p w14:paraId="2979DF4E">
      <w:r>
        <w:rPr>
          <w:rFonts w:hint="eastAsia"/>
        </w:rPr>
        <w:t>（二）成绩评定细则</w:t>
      </w:r>
    </w:p>
    <w:p w14:paraId="43786C6E">
      <w:r>
        <w:t>课程总评成绩=平时成绩×</w:t>
      </w:r>
      <w:r>
        <w:rPr>
          <w:rFonts w:hint="eastAsia"/>
        </w:rPr>
        <w:t>5</w:t>
      </w:r>
      <w:r>
        <w:t>0%</w:t>
      </w:r>
      <w:r>
        <w:rPr>
          <w:rFonts w:hint="eastAsia"/>
        </w:rPr>
        <w:t>+</w:t>
      </w:r>
      <w:r>
        <w:t>结课成绩×</w:t>
      </w:r>
      <w:r>
        <w:rPr>
          <w:rFonts w:hint="eastAsia"/>
        </w:rPr>
        <w:t>5</w:t>
      </w:r>
      <w:r>
        <w:t>0%。</w:t>
      </w:r>
    </w:p>
    <w:p w14:paraId="7DE4A188">
      <w:r>
        <w:t>具体考核评价细则如下</w:t>
      </w:r>
      <w:r>
        <w:rPr>
          <w:rFonts w:hint="eastAsia"/>
        </w:rPr>
        <w:t>（平时成绩考核/评价环节及其权重可结合班级的实际情况和具体教学实践适度调整）：</w:t>
      </w:r>
    </w:p>
    <w:p w14:paraId="4715DBFC"/>
    <w:tbl>
      <w:tblPr>
        <w:tblStyle w:val="13"/>
        <w:tblW w:w="8585"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701"/>
        <w:gridCol w:w="734"/>
        <w:gridCol w:w="3802"/>
        <w:gridCol w:w="1701"/>
      </w:tblGrid>
      <w:tr w14:paraId="050A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47" w:type="dxa"/>
            <w:shd w:val="clear" w:color="auto" w:fill="FFFFFF"/>
            <w:tcMar>
              <w:left w:w="57" w:type="dxa"/>
              <w:right w:w="57" w:type="dxa"/>
            </w:tcMar>
            <w:vAlign w:val="center"/>
          </w:tcPr>
          <w:p w14:paraId="2CA53CDF">
            <w:bookmarkStart w:id="43" w:name="_Hlk89357586"/>
            <w:r>
              <w:t>成绩组成</w:t>
            </w:r>
          </w:p>
        </w:tc>
        <w:tc>
          <w:tcPr>
            <w:tcW w:w="1701" w:type="dxa"/>
            <w:shd w:val="clear" w:color="auto" w:fill="FFFFFF"/>
            <w:vAlign w:val="center"/>
          </w:tcPr>
          <w:p w14:paraId="5A1D072F">
            <w:r>
              <w:t>考核/评价环节</w:t>
            </w:r>
          </w:p>
        </w:tc>
        <w:tc>
          <w:tcPr>
            <w:tcW w:w="734" w:type="dxa"/>
            <w:shd w:val="clear" w:color="auto" w:fill="FFFFFF"/>
            <w:vAlign w:val="center"/>
          </w:tcPr>
          <w:p w14:paraId="26A97D8D">
            <w:r>
              <w:rPr>
                <w:rFonts w:hint="eastAsia"/>
              </w:rPr>
              <w:t>权重</w:t>
            </w:r>
          </w:p>
        </w:tc>
        <w:tc>
          <w:tcPr>
            <w:tcW w:w="3802" w:type="dxa"/>
            <w:shd w:val="clear" w:color="auto" w:fill="FFFFFF"/>
            <w:vAlign w:val="center"/>
          </w:tcPr>
          <w:p w14:paraId="4F425E24">
            <w:r>
              <w:t>考核/评价细则</w:t>
            </w:r>
          </w:p>
        </w:tc>
        <w:tc>
          <w:tcPr>
            <w:tcW w:w="1701" w:type="dxa"/>
            <w:shd w:val="clear" w:color="auto" w:fill="FFFFFF"/>
            <w:vAlign w:val="center"/>
          </w:tcPr>
          <w:p w14:paraId="402275B4">
            <w:r>
              <w:t>对应的毕业要求指标点</w:t>
            </w:r>
          </w:p>
        </w:tc>
      </w:tr>
      <w:tr w14:paraId="24CE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47" w:type="dxa"/>
            <w:vMerge w:val="restart"/>
            <w:tcMar>
              <w:left w:w="57" w:type="dxa"/>
              <w:right w:w="57" w:type="dxa"/>
            </w:tcMar>
            <w:vAlign w:val="center"/>
          </w:tcPr>
          <w:p w14:paraId="7548EFE4">
            <w:r>
              <w:t>平时成绩</w:t>
            </w:r>
          </w:p>
          <w:p w14:paraId="0A27F99D">
            <w:r>
              <w:t>5</w:t>
            </w:r>
            <w:r>
              <w:rPr>
                <w:rFonts w:hint="eastAsia"/>
              </w:rPr>
              <w:t>0%</w:t>
            </w:r>
          </w:p>
        </w:tc>
        <w:tc>
          <w:tcPr>
            <w:tcW w:w="1701" w:type="dxa"/>
            <w:vAlign w:val="center"/>
          </w:tcPr>
          <w:p w14:paraId="3A9FB235">
            <w:r>
              <w:rPr>
                <w:rFonts w:hint="eastAsia"/>
              </w:rPr>
              <w:t>考勤</w:t>
            </w:r>
          </w:p>
        </w:tc>
        <w:tc>
          <w:tcPr>
            <w:tcW w:w="734" w:type="dxa"/>
            <w:vAlign w:val="center"/>
          </w:tcPr>
          <w:p w14:paraId="1B84819C">
            <w:r>
              <w:rPr>
                <w:rFonts w:hint="eastAsia"/>
              </w:rPr>
              <w:t xml:space="preserve"> 10</w:t>
            </w:r>
            <w:r>
              <w:t>%</w:t>
            </w:r>
          </w:p>
        </w:tc>
        <w:tc>
          <w:tcPr>
            <w:tcW w:w="3802" w:type="dxa"/>
            <w:vAlign w:val="center"/>
          </w:tcPr>
          <w:p w14:paraId="456CF5CB">
            <w:r>
              <w:rPr>
                <w:rFonts w:hint="eastAsia"/>
              </w:rPr>
              <w:t>随堂</w:t>
            </w:r>
            <w:r>
              <w:t>不定期</w:t>
            </w:r>
            <w:r>
              <w:rPr>
                <w:rFonts w:hint="eastAsia"/>
              </w:rPr>
              <w:t>考勤，考核能否按时到勤，旷课一次扣</w:t>
            </w:r>
            <w:r>
              <w:t>20</w:t>
            </w:r>
            <w:r>
              <w:rPr>
                <w:rFonts w:hint="eastAsia"/>
              </w:rPr>
              <w:t>分，迟到与早退一次扣10分，请假一次扣5分；满分100分。</w:t>
            </w:r>
          </w:p>
        </w:tc>
        <w:tc>
          <w:tcPr>
            <w:tcW w:w="1701" w:type="dxa"/>
            <w:vAlign w:val="center"/>
          </w:tcPr>
          <w:p w14:paraId="001E4876">
            <w:r>
              <w:rPr>
                <w:rFonts w:hint="eastAsia"/>
              </w:rPr>
              <w:t>7-1、8-2</w:t>
            </w:r>
          </w:p>
        </w:tc>
      </w:tr>
      <w:tr w14:paraId="525D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647" w:type="dxa"/>
            <w:vMerge w:val="continue"/>
            <w:tcMar>
              <w:left w:w="57" w:type="dxa"/>
              <w:right w:w="57" w:type="dxa"/>
            </w:tcMar>
            <w:vAlign w:val="center"/>
          </w:tcPr>
          <w:p w14:paraId="24810DEB"/>
        </w:tc>
        <w:tc>
          <w:tcPr>
            <w:tcW w:w="1701" w:type="dxa"/>
            <w:vAlign w:val="center"/>
          </w:tcPr>
          <w:p w14:paraId="05FFAFFD">
            <w:r>
              <w:rPr>
                <w:rFonts w:hint="eastAsia"/>
              </w:rPr>
              <w:t>课堂表现</w:t>
            </w:r>
          </w:p>
        </w:tc>
        <w:tc>
          <w:tcPr>
            <w:tcW w:w="734" w:type="dxa"/>
            <w:vAlign w:val="center"/>
          </w:tcPr>
          <w:p w14:paraId="3D0F388E">
            <w:r>
              <w:rPr>
                <w:rFonts w:hint="eastAsia"/>
              </w:rPr>
              <w:t>25</w:t>
            </w:r>
            <w:r>
              <w:t>%</w:t>
            </w:r>
          </w:p>
        </w:tc>
        <w:tc>
          <w:tcPr>
            <w:tcW w:w="3802" w:type="dxa"/>
            <w:vAlign w:val="center"/>
          </w:tcPr>
          <w:p w14:paraId="0BF9698B">
            <w:r>
              <w:rPr>
                <w:rFonts w:hint="eastAsia"/>
              </w:rPr>
              <w:t>随堂记录学生学习态度，</w:t>
            </w:r>
            <w:r>
              <w:t>听课的精神状态，</w:t>
            </w:r>
            <w:r>
              <w:rPr>
                <w:rFonts w:hint="eastAsia"/>
              </w:rPr>
              <w:t>参与教学情况；课堂</w:t>
            </w:r>
            <w:r>
              <w:t>随机提问，考察学生</w:t>
            </w:r>
            <w:r>
              <w:rPr>
                <w:rFonts w:hint="eastAsia"/>
              </w:rPr>
              <w:t>对</w:t>
            </w:r>
            <w:r>
              <w:t>当堂课程的掌握情况</w:t>
            </w:r>
            <w:r>
              <w:rPr>
                <w:rFonts w:hint="eastAsia"/>
              </w:rPr>
              <w:t>；</w:t>
            </w:r>
            <w:r>
              <w:t>课堂</w:t>
            </w:r>
            <w:r>
              <w:rPr>
                <w:rFonts w:hint="eastAsia"/>
              </w:rPr>
              <w:t>陈述、讨论、</w:t>
            </w:r>
            <w:r>
              <w:t>测试</w:t>
            </w:r>
            <w:r>
              <w:rPr>
                <w:rFonts w:hint="eastAsia"/>
              </w:rPr>
              <w:t>；满分100分</w:t>
            </w:r>
            <w:r>
              <w:t>。</w:t>
            </w:r>
          </w:p>
        </w:tc>
        <w:tc>
          <w:tcPr>
            <w:tcW w:w="1701" w:type="dxa"/>
            <w:vAlign w:val="center"/>
          </w:tcPr>
          <w:p w14:paraId="7A52B7AF">
            <w:r>
              <w:rPr>
                <w:rFonts w:hint="eastAsia"/>
              </w:rPr>
              <w:t>7-1、8-2</w:t>
            </w:r>
          </w:p>
        </w:tc>
      </w:tr>
      <w:tr w14:paraId="79C1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tcMar>
              <w:left w:w="57" w:type="dxa"/>
              <w:right w:w="57" w:type="dxa"/>
            </w:tcMar>
            <w:vAlign w:val="center"/>
          </w:tcPr>
          <w:p w14:paraId="6E8E57D1"/>
        </w:tc>
        <w:tc>
          <w:tcPr>
            <w:tcW w:w="1701" w:type="dxa"/>
            <w:vAlign w:val="center"/>
          </w:tcPr>
          <w:p w14:paraId="65CBD154">
            <w:r>
              <w:rPr>
                <w:rFonts w:hint="eastAsia"/>
              </w:rPr>
              <w:t>作业、测试</w:t>
            </w:r>
          </w:p>
        </w:tc>
        <w:tc>
          <w:tcPr>
            <w:tcW w:w="734" w:type="dxa"/>
            <w:vAlign w:val="center"/>
          </w:tcPr>
          <w:p w14:paraId="572A6CA4">
            <w:r>
              <w:t>2</w:t>
            </w:r>
            <w:r>
              <w:rPr>
                <w:rFonts w:hint="eastAsia"/>
              </w:rPr>
              <w:t>5</w:t>
            </w:r>
            <w:r>
              <w:t>%</w:t>
            </w:r>
          </w:p>
        </w:tc>
        <w:tc>
          <w:tcPr>
            <w:tcW w:w="3802" w:type="dxa"/>
            <w:vAlign w:val="center"/>
          </w:tcPr>
          <w:p w14:paraId="1196A35A">
            <w:r>
              <w:rPr>
                <w:rFonts w:hint="eastAsia"/>
              </w:rPr>
              <w:t>词汇单元练习、网络平台测试</w:t>
            </w:r>
            <w:r>
              <w:t>，考核学生对</w:t>
            </w:r>
            <w:r>
              <w:rPr>
                <w:rFonts w:hint="eastAsia"/>
              </w:rPr>
              <w:t>单元</w:t>
            </w:r>
            <w:r>
              <w:t>知识点的</w:t>
            </w:r>
            <w:r>
              <w:rPr>
                <w:rFonts w:hint="eastAsia"/>
              </w:rPr>
              <w:t>学习</w:t>
            </w:r>
            <w:r>
              <w:t>、理解和掌握</w:t>
            </w:r>
            <w:r>
              <w:rPr>
                <w:rFonts w:hint="eastAsia"/>
              </w:rPr>
              <w:t>程度</w:t>
            </w:r>
            <w:r>
              <w:t>。对每次作业</w:t>
            </w:r>
            <w:r>
              <w:rPr>
                <w:rFonts w:hint="eastAsia"/>
              </w:rPr>
              <w:t>、练习和测试</w:t>
            </w:r>
            <w:r>
              <w:t>完成情况做记录并百分制打分</w:t>
            </w:r>
            <w:r>
              <w:rPr>
                <w:rFonts w:hint="eastAsia"/>
              </w:rPr>
              <w:t>，</w:t>
            </w:r>
            <w:r>
              <w:t>计算全部作业的平均成绩</w:t>
            </w:r>
            <w:r>
              <w:rPr>
                <w:rFonts w:hint="eastAsia"/>
              </w:rPr>
              <w:t>；满分100分</w:t>
            </w:r>
            <w:r>
              <w:t>。</w:t>
            </w:r>
          </w:p>
        </w:tc>
        <w:tc>
          <w:tcPr>
            <w:tcW w:w="1701" w:type="dxa"/>
            <w:vAlign w:val="center"/>
          </w:tcPr>
          <w:p w14:paraId="5B056A04">
            <w:r>
              <w:rPr>
                <w:rFonts w:hint="eastAsia"/>
              </w:rPr>
              <w:t>7-1、8-2</w:t>
            </w:r>
          </w:p>
        </w:tc>
      </w:tr>
      <w:tr w14:paraId="3ABF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tcMar>
              <w:left w:w="57" w:type="dxa"/>
              <w:right w:w="57" w:type="dxa"/>
            </w:tcMar>
            <w:vAlign w:val="center"/>
          </w:tcPr>
          <w:p w14:paraId="7E85C243"/>
        </w:tc>
        <w:tc>
          <w:tcPr>
            <w:tcW w:w="1701" w:type="dxa"/>
            <w:vAlign w:val="center"/>
          </w:tcPr>
          <w:p w14:paraId="6C7A873D">
            <w:r>
              <w:rPr>
                <w:rFonts w:hint="eastAsia"/>
              </w:rPr>
              <w:t>口语</w:t>
            </w:r>
          </w:p>
        </w:tc>
        <w:tc>
          <w:tcPr>
            <w:tcW w:w="734" w:type="dxa"/>
            <w:vAlign w:val="center"/>
          </w:tcPr>
          <w:p w14:paraId="33A31597">
            <w:r>
              <w:t>1</w:t>
            </w:r>
            <w:r>
              <w:rPr>
                <w:rFonts w:hint="eastAsia"/>
              </w:rPr>
              <w:t>0</w:t>
            </w:r>
            <w:r>
              <w:t>%</w:t>
            </w:r>
          </w:p>
        </w:tc>
        <w:tc>
          <w:tcPr>
            <w:tcW w:w="3802" w:type="dxa"/>
            <w:vAlign w:val="center"/>
          </w:tcPr>
          <w:p w14:paraId="12800106">
            <w:r>
              <w:rPr>
                <w:rFonts w:hint="eastAsia"/>
              </w:rPr>
              <w:t>随堂测试，口语测试需包括短文朗读、简短问答和情景对话，记录成绩；满分100分</w:t>
            </w:r>
            <w:r>
              <w:t>。</w:t>
            </w:r>
          </w:p>
        </w:tc>
        <w:tc>
          <w:tcPr>
            <w:tcW w:w="1701" w:type="dxa"/>
            <w:vAlign w:val="center"/>
          </w:tcPr>
          <w:p w14:paraId="53B3FB60">
            <w:r>
              <w:rPr>
                <w:rFonts w:hint="eastAsia"/>
              </w:rPr>
              <w:t>7-1、8-2</w:t>
            </w:r>
          </w:p>
        </w:tc>
      </w:tr>
      <w:tr w14:paraId="75AC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tcMar>
              <w:left w:w="57" w:type="dxa"/>
              <w:right w:w="57" w:type="dxa"/>
            </w:tcMar>
            <w:vAlign w:val="center"/>
          </w:tcPr>
          <w:p w14:paraId="5DE74DE4"/>
        </w:tc>
        <w:tc>
          <w:tcPr>
            <w:tcW w:w="1701" w:type="dxa"/>
            <w:vAlign w:val="center"/>
          </w:tcPr>
          <w:p w14:paraId="0DA409A9">
            <w:r>
              <w:rPr>
                <w:rFonts w:hint="eastAsia"/>
              </w:rPr>
              <w:t>书面表达</w:t>
            </w:r>
          </w:p>
        </w:tc>
        <w:tc>
          <w:tcPr>
            <w:tcW w:w="734" w:type="dxa"/>
            <w:vAlign w:val="center"/>
          </w:tcPr>
          <w:p w14:paraId="69134619">
            <w:r>
              <w:rPr>
                <w:rFonts w:hint="eastAsia"/>
              </w:rPr>
              <w:t>1</w:t>
            </w:r>
            <w:r>
              <w:t>0%</w:t>
            </w:r>
          </w:p>
        </w:tc>
        <w:tc>
          <w:tcPr>
            <w:tcW w:w="3802" w:type="dxa"/>
            <w:vAlign w:val="center"/>
          </w:tcPr>
          <w:p w14:paraId="237525A5">
            <w:r>
              <w:rPr>
                <w:rFonts w:hint="eastAsia"/>
              </w:rPr>
              <w:t>不少于两次书面表达练习（书面表达练习由大学英语教学部统一命题并建立书面表达练习题库），记录成绩并百分制打分，计</w:t>
            </w:r>
            <w:r>
              <w:t>算平均成绩</w:t>
            </w:r>
            <w:r>
              <w:rPr>
                <w:rFonts w:hint="eastAsia"/>
              </w:rPr>
              <w:t>；满分</w:t>
            </w:r>
            <w:r>
              <w:t>100</w:t>
            </w:r>
            <w:r>
              <w:rPr>
                <w:rFonts w:hint="eastAsia"/>
              </w:rPr>
              <w:t>分</w:t>
            </w:r>
            <w:r>
              <w:t>。</w:t>
            </w:r>
          </w:p>
        </w:tc>
        <w:tc>
          <w:tcPr>
            <w:tcW w:w="1701" w:type="dxa"/>
            <w:vAlign w:val="center"/>
          </w:tcPr>
          <w:p w14:paraId="6031E862">
            <w:r>
              <w:rPr>
                <w:rFonts w:hint="eastAsia"/>
              </w:rPr>
              <w:t>7-1、8-2</w:t>
            </w:r>
          </w:p>
        </w:tc>
      </w:tr>
      <w:tr w14:paraId="6EA6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tcMar>
              <w:left w:w="57" w:type="dxa"/>
              <w:right w:w="57" w:type="dxa"/>
            </w:tcMar>
            <w:vAlign w:val="center"/>
          </w:tcPr>
          <w:p w14:paraId="019B3159"/>
        </w:tc>
        <w:tc>
          <w:tcPr>
            <w:tcW w:w="1701" w:type="dxa"/>
            <w:vAlign w:val="center"/>
          </w:tcPr>
          <w:p w14:paraId="39C0D6CF">
            <w:r>
              <w:rPr>
                <w:rFonts w:hint="eastAsia"/>
              </w:rPr>
              <w:t>翻译</w:t>
            </w:r>
          </w:p>
        </w:tc>
        <w:tc>
          <w:tcPr>
            <w:tcW w:w="734" w:type="dxa"/>
            <w:vAlign w:val="center"/>
          </w:tcPr>
          <w:p w14:paraId="35FD94E0">
            <w:r>
              <w:rPr>
                <w:rFonts w:hint="eastAsia"/>
              </w:rPr>
              <w:t>10</w:t>
            </w:r>
            <w:r>
              <w:t>%</w:t>
            </w:r>
          </w:p>
        </w:tc>
        <w:tc>
          <w:tcPr>
            <w:tcW w:w="3802" w:type="dxa"/>
            <w:vAlign w:val="center"/>
          </w:tcPr>
          <w:p w14:paraId="5C4513DD">
            <w:r>
              <w:rPr>
                <w:rFonts w:hint="eastAsia"/>
              </w:rPr>
              <w:t>不少于两次翻译练习和一次班级随堂测试（翻译练习、测试题由大学英语教学部统一命题并建立翻译题库），记录成绩并百分制打分，计</w:t>
            </w:r>
            <w:r>
              <w:t>算平均成绩</w:t>
            </w:r>
            <w:r>
              <w:rPr>
                <w:rFonts w:hint="eastAsia"/>
              </w:rPr>
              <w:t>；满分100分</w:t>
            </w:r>
            <w:r>
              <w:t>。</w:t>
            </w:r>
          </w:p>
        </w:tc>
        <w:tc>
          <w:tcPr>
            <w:tcW w:w="1701" w:type="dxa"/>
            <w:vAlign w:val="center"/>
          </w:tcPr>
          <w:p w14:paraId="6117F1DB">
            <w:r>
              <w:rPr>
                <w:rFonts w:hint="eastAsia"/>
              </w:rPr>
              <w:t>7-1、8-2</w:t>
            </w:r>
          </w:p>
        </w:tc>
      </w:tr>
      <w:tr w14:paraId="3971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tcMar>
              <w:left w:w="57" w:type="dxa"/>
              <w:right w:w="57" w:type="dxa"/>
            </w:tcMar>
            <w:vAlign w:val="center"/>
          </w:tcPr>
          <w:p w14:paraId="7AF0C5A9"/>
        </w:tc>
        <w:tc>
          <w:tcPr>
            <w:tcW w:w="1701" w:type="dxa"/>
            <w:vAlign w:val="center"/>
          </w:tcPr>
          <w:p w14:paraId="01DBE9FF">
            <w:r>
              <w:rPr>
                <w:rFonts w:hint="eastAsia"/>
              </w:rPr>
              <w:t>第二课堂活动</w:t>
            </w:r>
          </w:p>
        </w:tc>
        <w:tc>
          <w:tcPr>
            <w:tcW w:w="734" w:type="dxa"/>
            <w:vAlign w:val="center"/>
          </w:tcPr>
          <w:p w14:paraId="6CAC8A04">
            <w:r>
              <w:t>1</w:t>
            </w:r>
            <w:r>
              <w:rPr>
                <w:rFonts w:hint="eastAsia"/>
              </w:rPr>
              <w:t>0%</w:t>
            </w:r>
          </w:p>
        </w:tc>
        <w:tc>
          <w:tcPr>
            <w:tcW w:w="3802" w:type="dxa"/>
            <w:vAlign w:val="center"/>
          </w:tcPr>
          <w:p w14:paraId="3237A601">
            <w:r>
              <w:rPr>
                <w:rFonts w:hint="eastAsia"/>
              </w:rPr>
              <w:t>基础分60分，参与英语类竞赛或大创项目每项加10分；竞赛获校级三等奖或参与大创项目获校级立项每项加</w:t>
            </w:r>
            <w:r>
              <w:t>20</w:t>
            </w:r>
            <w:r>
              <w:rPr>
                <w:rFonts w:hint="eastAsia"/>
              </w:rPr>
              <w:t>分；竞赛获校级二等奖或大创项目获省级立项每项加30分；竞赛获校级一等奖及以上奖励或大创项目获国家级立项加40分（参与多项竞赛或大创项目分数可累加）；满分100分。</w:t>
            </w:r>
          </w:p>
        </w:tc>
        <w:tc>
          <w:tcPr>
            <w:tcW w:w="1701" w:type="dxa"/>
            <w:vAlign w:val="center"/>
          </w:tcPr>
          <w:p w14:paraId="1BE84A29">
            <w:r>
              <w:rPr>
                <w:rFonts w:hint="eastAsia"/>
              </w:rPr>
              <w:t>7-1、8-2</w:t>
            </w:r>
          </w:p>
        </w:tc>
      </w:tr>
      <w:tr w14:paraId="559B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647" w:type="dxa"/>
            <w:tcMar>
              <w:left w:w="57" w:type="dxa"/>
              <w:right w:w="57" w:type="dxa"/>
            </w:tcMar>
            <w:vAlign w:val="center"/>
          </w:tcPr>
          <w:p w14:paraId="5AE8019B">
            <w:r>
              <w:rPr>
                <w:rFonts w:hint="eastAsia"/>
              </w:rPr>
              <w:t>期末考试</w:t>
            </w:r>
          </w:p>
          <w:p w14:paraId="119277AB">
            <w:r>
              <w:rPr>
                <w:rFonts w:hint="eastAsia"/>
              </w:rPr>
              <w:t>50%</w:t>
            </w:r>
          </w:p>
        </w:tc>
        <w:tc>
          <w:tcPr>
            <w:tcW w:w="1701" w:type="dxa"/>
            <w:vAlign w:val="center"/>
          </w:tcPr>
          <w:p w14:paraId="3B05A53A">
            <w:r>
              <w:t>期末考试</w:t>
            </w:r>
          </w:p>
        </w:tc>
        <w:tc>
          <w:tcPr>
            <w:tcW w:w="734" w:type="dxa"/>
            <w:vAlign w:val="center"/>
          </w:tcPr>
          <w:p w14:paraId="62A06E32">
            <w:r>
              <w:rPr>
                <w:rFonts w:hint="eastAsia"/>
              </w:rPr>
              <w:t>100</w:t>
            </w:r>
            <w:r>
              <w:t>%</w:t>
            </w:r>
          </w:p>
        </w:tc>
        <w:tc>
          <w:tcPr>
            <w:tcW w:w="3802" w:type="dxa"/>
            <w:vAlign w:val="center"/>
          </w:tcPr>
          <w:p w14:paraId="3FB062FC">
            <w:r>
              <w:rPr>
                <w:rFonts w:hint="eastAsia"/>
              </w:rPr>
              <w:t>期末考试试题由大学英语教学部统一命题并建立试题库，题型包括听力理解、词汇与结构、快速阅读、选词填空、阅读理解、翻译和写作等（每次考核可能题型不同，以当次考核题型为准），计入期考成绩；卷面满分100分。</w:t>
            </w:r>
          </w:p>
        </w:tc>
        <w:tc>
          <w:tcPr>
            <w:tcW w:w="1701" w:type="dxa"/>
            <w:vAlign w:val="center"/>
          </w:tcPr>
          <w:p w14:paraId="6CD229D2">
            <w:r>
              <w:rPr>
                <w:rFonts w:hint="eastAsia"/>
              </w:rPr>
              <w:t>7-1、8-2</w:t>
            </w:r>
          </w:p>
        </w:tc>
      </w:tr>
      <w:bookmarkEnd w:id="43"/>
    </w:tbl>
    <w:p w14:paraId="43DA4278"/>
    <w:p w14:paraId="2734D3B5">
      <w:r>
        <w:rPr>
          <w:rFonts w:hint="eastAsia"/>
        </w:rPr>
        <w:t>(三) 课程目标达成度计算方法</w:t>
      </w:r>
    </w:p>
    <w:p w14:paraId="30AA7FA0">
      <w:r>
        <w:t>所有课程目标均需大于等于 0.6，否则总评成绩不及格，需要补考或重修。每门课程目 标总体达成度计算方法如下</w:t>
      </w:r>
      <w:r>
        <w:rPr>
          <w:rFonts w:hint="eastAsia"/>
        </w:rPr>
        <w:t>：</w:t>
      </w:r>
    </w:p>
    <w:p w14:paraId="17EEF1CC">
      <w:r>
        <w:t>课程目标达成度</w:t>
      </w:r>
      <m:oMath>
        <m:r>
          <m:rPr>
            <m:sty m:val="p"/>
          </m:rPr>
          <w:rPr>
            <w:rFonts w:ascii="Cambria Math" w:hAnsi="Cambria Math"/>
          </w:rPr>
          <m:t>=</m:t>
        </m:r>
        <m:nary>
          <m:naryPr>
            <m:chr m:val="∑"/>
            <m:limLoc m:val="undOvr"/>
            <m:subHide m:val="1"/>
            <m:supHide m:val="1"/>
            <m:ctrlPr>
              <w:rPr>
                <w:rFonts w:ascii="Cambria Math" w:hAnsi="Cambria Math"/>
              </w:rPr>
            </m:ctrlPr>
          </m:naryPr>
          <m:sub>
            <m:ctrlPr>
              <w:rPr>
                <w:rFonts w:ascii="Cambria Math" w:hAnsi="Cambria Math"/>
              </w:rPr>
            </m:ctrlPr>
          </m:sub>
          <m:sup>
            <m:ctrlPr>
              <w:rPr>
                <w:rFonts w:ascii="Cambria Math" w:hAnsi="Cambria Math"/>
              </w:rPr>
            </m:ctrlPr>
          </m:sup>
          <m:e>
            <m:r>
              <m:rPr>
                <m:sty m:val="p"/>
              </m:rPr>
              <w:rPr>
                <w:rFonts w:hint="eastAsia" w:ascii="Cambria Math" w:hAnsi="Cambria Math"/>
              </w:rPr>
              <m:t>课程子目标的权重值（a）</m:t>
            </m:r>
            <m:r>
              <m:rPr>
                <m:sty m:val="p"/>
              </m:rPr>
              <w:rPr>
                <w:rFonts w:ascii="Cambria Math" w:hAnsi="Cambria Math"/>
              </w:rPr>
              <m:t>×</m:t>
            </m:r>
            <m:nary>
              <m:naryPr>
                <m:chr m:val="∑"/>
                <m:limLoc m:val="undOvr"/>
                <m:subHide m:val="1"/>
                <m:supHide m:val="1"/>
                <m:ctrlPr>
                  <w:rPr>
                    <w:rFonts w:ascii="Cambria Math" w:hAnsi="Cambria Math"/>
                  </w:rPr>
                </m:ctrlPr>
              </m:naryPr>
              <m:sub>
                <m:ctrlPr>
                  <w:rPr>
                    <w:rFonts w:ascii="Cambria Math" w:hAnsi="Cambria Math"/>
                  </w:rPr>
                </m:ctrlPr>
              </m:sub>
              <m:sup>
                <m:ctrlPr>
                  <w:rPr>
                    <w:rFonts w:ascii="Cambria Math" w:hAnsi="Cambria Math"/>
                  </w:rPr>
                </m:ctrlPr>
              </m:sup>
              <m:e>
                <m:r>
                  <m:rPr>
                    <m:sty m:val="p"/>
                  </m:rPr>
                  <w:rPr>
                    <w:rFonts w:hint="eastAsia" w:ascii="Cambria Math" w:hAnsi="Cambria Math"/>
                  </w:rPr>
                  <m:t>课程考核目标的权重值（b）</m:t>
                </m:r>
                <m:ctrlPr>
                  <w:rPr>
                    <w:rFonts w:ascii="Cambria Math" w:hAnsi="Cambria Math"/>
                  </w:rPr>
                </m:ctrlPr>
              </m:e>
            </m:nary>
            <m:ctrlPr>
              <w:rPr>
                <w:rFonts w:ascii="Cambria Math" w:hAnsi="Cambria Math"/>
              </w:rPr>
            </m:ctrlPr>
          </m:e>
        </m:nary>
        <m:f>
          <m:fPr>
            <m:ctrlPr>
              <w:rPr>
                <w:rFonts w:ascii="Cambria Math" w:hAnsi="Cambria Math"/>
              </w:rPr>
            </m:ctrlPr>
          </m:fPr>
          <m:num>
            <m:r>
              <m:rPr>
                <m:sty m:val="p"/>
              </m:rPr>
              <w:rPr>
                <w:rFonts w:hint="eastAsia" w:ascii="Cambria Math" w:hAnsi="Cambria Math"/>
              </w:rPr>
              <m:t>考核项目平均分</m:t>
            </m:r>
            <m:ctrlPr>
              <w:rPr>
                <w:rFonts w:ascii="Cambria Math" w:hAnsi="Cambria Math"/>
              </w:rPr>
            </m:ctrlPr>
          </m:num>
          <m:den>
            <m:r>
              <m:rPr>
                <m:sty m:val="p"/>
              </m:rPr>
              <w:rPr>
                <w:rFonts w:hint="eastAsia" w:ascii="Cambria Math" w:hAnsi="Cambria Math"/>
              </w:rPr>
              <m:t>考核项目总分</m:t>
            </m:r>
            <m:ctrlPr>
              <w:rPr>
                <w:rFonts w:ascii="Cambria Math" w:hAnsi="Cambria Math"/>
              </w:rPr>
            </m:ctrlPr>
          </m:den>
        </m:f>
      </m:oMath>
    </w:p>
    <w:p w14:paraId="44BEDC53"/>
    <w:p w14:paraId="69174559">
      <w:r>
        <w:rPr>
          <w:rFonts w:hint="eastAsia"/>
        </w:rPr>
        <w:t>七、有关说明</w:t>
      </w:r>
    </w:p>
    <w:p w14:paraId="3CCC686F">
      <w:r>
        <w:rPr>
          <w:rFonts w:hint="eastAsia"/>
        </w:rPr>
        <w:t>（一）持续改进</w:t>
      </w:r>
    </w:p>
    <w:p w14:paraId="08CF42E5">
      <w:r>
        <w:rPr>
          <w:rFonts w:hint="eastAsia"/>
        </w:rPr>
        <w:t>本课程根据学生作业、课堂讨论、平时考核情况和学生、教学督导等的反馈，及时对教学中的不足之处进行改进，并在下一轮课程教学中整改完善。</w:t>
      </w:r>
    </w:p>
    <w:p w14:paraId="1245F322">
      <w:r>
        <w:rPr>
          <w:rFonts w:hint="eastAsia"/>
        </w:rPr>
        <w:t>（二）参考书目与学习资料</w:t>
      </w:r>
    </w:p>
    <w:p w14:paraId="208D0BB6">
      <w:r>
        <w:rPr>
          <w:rFonts w:hint="eastAsia"/>
        </w:rPr>
        <w:t>1、《全新版大学进阶英语综合教程》（第二版），李荫华总主编，上海外语教育出版社，2023</w:t>
      </w:r>
    </w:p>
    <w:p w14:paraId="5E070CF9">
      <w:r>
        <w:rPr>
          <w:rFonts w:hint="eastAsia"/>
        </w:rPr>
        <w:t>2、《大学英语听说教程》（智慧版），陈向京总主编，外语教学与研究出版社，2023</w:t>
      </w:r>
    </w:p>
    <w:p w14:paraId="4F898DB7">
      <w:r>
        <w:rPr>
          <w:rFonts w:hint="eastAsia"/>
        </w:rPr>
        <w:t>4、《新编大学英语综合技能进阶教程》（第1版），汤月明等主编，东南大学出版社，2024</w:t>
      </w:r>
    </w:p>
    <w:p w14:paraId="6B0E767A">
      <w:r>
        <w:rPr>
          <w:rFonts w:hint="eastAsia"/>
        </w:rPr>
        <w:t>6、《朗文当代高级英语辞典》（第5版），英国培生教育出版集团编，外语教学与研究出版社，2014</w:t>
      </w:r>
    </w:p>
    <w:p w14:paraId="24E40DB9">
      <w:r>
        <w:t>6</w:t>
      </w:r>
      <w:r>
        <w:rPr>
          <w:rFonts w:hint="eastAsia"/>
        </w:rPr>
        <w:t>、《牛津高阶英汉双解词典》（第8版），霍恩比著，赵翠莲等译，商务印书馆，2014</w:t>
      </w:r>
    </w:p>
    <w:p w14:paraId="5BEF3F28">
      <w:r>
        <w:t>在线开放课程网址</w:t>
      </w:r>
      <w:r>
        <w:rPr>
          <w:rFonts w:hint="eastAsia"/>
        </w:rPr>
        <w:t>：</w:t>
      </w:r>
    </w:p>
    <w:p w14:paraId="0456D047">
      <w:r>
        <w:rPr>
          <w:rFonts w:hint="eastAsia"/>
        </w:rPr>
        <w:t>1、常工院尔雅通识网络课程</w:t>
      </w:r>
    </w:p>
    <w:p w14:paraId="1180F91B">
      <w:r>
        <w:rPr>
          <w:rFonts w:hint="eastAsia"/>
        </w:rPr>
        <w:t>h</w:t>
      </w:r>
      <w:r>
        <w:t>ttps://czgxy.fanya.chaoxing.com</w:t>
      </w:r>
    </w:p>
    <w:p w14:paraId="1BE134F6">
      <w:r>
        <w:rPr>
          <w:rFonts w:hint="eastAsia"/>
        </w:rPr>
        <w:t>2、</w:t>
      </w:r>
      <w:r>
        <w:t>江苏省在线课程中心/爱课程</w:t>
      </w:r>
    </w:p>
    <w:p w14:paraId="29B98507">
      <w:r>
        <w:t>https://www.icourse163.org/</w:t>
      </w:r>
    </w:p>
    <w:p w14:paraId="4D313835">
      <w:r>
        <w:rPr>
          <w:rFonts w:hint="eastAsia"/>
        </w:rPr>
        <w:t>3、</w:t>
      </w:r>
      <w:r>
        <w:t>常州工学院毕博网络教学平台</w:t>
      </w:r>
    </w:p>
    <w:p w14:paraId="74461AD9">
      <w:r>
        <w:fldChar w:fldCharType="begin"/>
      </w:r>
      <w:r>
        <w:instrText xml:space="preserve"> HYPERLINK "https://bbclass.czu.cn/" </w:instrText>
      </w:r>
      <w:r>
        <w:fldChar w:fldCharType="separate"/>
      </w:r>
      <w:r>
        <w:t>https://bbclass.czu.cn/</w:t>
      </w:r>
      <w:r>
        <w:fldChar w:fldCharType="end"/>
      </w:r>
    </w:p>
    <w:p w14:paraId="4080EF9E">
      <w:r>
        <w:t>4</w:t>
      </w:r>
      <w:r>
        <w:rPr>
          <w:rFonts w:hint="eastAsia"/>
        </w:rPr>
        <w:t>、</w:t>
      </w:r>
      <w:r>
        <w:t>国家精品课程资源网</w:t>
      </w:r>
    </w:p>
    <w:p w14:paraId="2D7552BF">
      <w:r>
        <w:t>http://www.jingpinke.com/</w:t>
      </w:r>
    </w:p>
    <w:p w14:paraId="08F434C5">
      <w:r>
        <w:t>5</w:t>
      </w:r>
      <w:r>
        <w:rPr>
          <w:rFonts w:hint="eastAsia"/>
        </w:rPr>
        <w:t>、</w:t>
      </w:r>
      <w:r>
        <w:t>好大学在线CNMOOC_中国顶尖的慕课平台</w:t>
      </w:r>
    </w:p>
    <w:p w14:paraId="1B9912B4">
      <w:r>
        <w:t>https://www.cnmooc.org/home/index.mooc</w:t>
      </w:r>
    </w:p>
    <w:p w14:paraId="5A6F5283"/>
    <w:p w14:paraId="7BBD6499">
      <w:pPr>
        <w:jc w:val="center"/>
      </w:pPr>
      <w:r>
        <w:rPr>
          <w:rFonts w:hint="eastAsia"/>
          <w:lang w:val="en-US" w:eastAsia="zh-CN"/>
        </w:rPr>
        <w:t xml:space="preserve">                                                    </w:t>
      </w:r>
      <w:r>
        <w:rPr>
          <w:rFonts w:hint="eastAsia"/>
        </w:rPr>
        <w:t>执笔人：汤月明</w:t>
      </w:r>
    </w:p>
    <w:p w14:paraId="2BC928D6">
      <w:pPr>
        <w:jc w:val="center"/>
      </w:pPr>
      <w:r>
        <w:rPr>
          <w:rFonts w:hint="eastAsia"/>
          <w:lang w:val="en-US" w:eastAsia="zh-CN"/>
        </w:rPr>
        <w:t xml:space="preserve">                                                    </w:t>
      </w:r>
      <w:r>
        <w:rPr>
          <w:rFonts w:hint="eastAsia"/>
        </w:rPr>
        <w:t>审定人：施云波</w:t>
      </w:r>
    </w:p>
    <w:p w14:paraId="5F3058E8">
      <w:pPr>
        <w:jc w:val="center"/>
      </w:pPr>
      <w:r>
        <w:rPr>
          <w:rFonts w:hint="eastAsia"/>
          <w:lang w:val="en-US" w:eastAsia="zh-CN"/>
        </w:rPr>
        <w:t xml:space="preserve">                                                    </w:t>
      </w:r>
      <w:r>
        <w:rPr>
          <w:rFonts w:hint="eastAsia"/>
        </w:rPr>
        <w:t xml:space="preserve">批准人：李 </w:t>
      </w:r>
      <w:r>
        <w:t xml:space="preserve"> </w:t>
      </w:r>
      <w:r>
        <w:rPr>
          <w:rFonts w:hint="eastAsia"/>
        </w:rPr>
        <w:t>静</w:t>
      </w:r>
    </w:p>
    <w:p w14:paraId="5CCF9AD7">
      <w:pPr>
        <w:jc w:val="right"/>
      </w:pPr>
      <w:r>
        <w:rPr>
          <w:rFonts w:hint="eastAsia"/>
          <w:lang w:val="en-US" w:eastAsia="zh-CN"/>
        </w:rPr>
        <w:t>批准时间：</w:t>
      </w:r>
      <w:r>
        <w:rPr>
          <w:rFonts w:hint="eastAsia"/>
        </w:rPr>
        <w:t>2024年9月</w:t>
      </w:r>
    </w:p>
    <w:p w14:paraId="23740CCA">
      <w:pPr>
        <w:jc w:val="right"/>
      </w:pPr>
    </w:p>
    <w:p w14:paraId="361B5D54">
      <w:pPr>
        <w:rPr>
          <w:rFonts w:hint="eastAsia" w:ascii="等线" w:hAnsi="等线" w:eastAsia="等线" w:cs="等线"/>
          <w:b/>
          <w:bCs/>
          <w:sz w:val="44"/>
          <w:szCs w:val="44"/>
        </w:rPr>
      </w:pPr>
      <w:r>
        <w:rPr>
          <w:rFonts w:hint="eastAsia" w:ascii="等线" w:hAnsi="等线" w:eastAsia="等线" w:cs="等线"/>
          <w:b/>
          <w:bCs/>
          <w:sz w:val="44"/>
          <w:szCs w:val="44"/>
        </w:rPr>
        <w:br w:type="page"/>
      </w:r>
    </w:p>
    <w:p w14:paraId="6EEF3BE1">
      <w:pPr>
        <w:pStyle w:val="2"/>
        <w:bidi w:val="0"/>
        <w:rPr>
          <w:rFonts w:hint="eastAsia"/>
        </w:rPr>
      </w:pPr>
      <w:r>
        <w:rPr>
          <w:rFonts w:hint="eastAsia"/>
        </w:rPr>
        <w:t>《大学英语B》(II)课程教学大纲</w:t>
      </w:r>
    </w:p>
    <w:p w14:paraId="1D2B7F9A">
      <w:pPr>
        <w:spacing w:line="360" w:lineRule="exact"/>
        <w:jc w:val="center"/>
        <w:rPr>
          <w:rFonts w:hint="eastAsia"/>
          <w:bCs/>
          <w:color w:val="000000"/>
          <w:sz w:val="24"/>
        </w:rPr>
      </w:pPr>
      <w:r>
        <w:rPr>
          <w:rFonts w:hint="eastAsia"/>
          <w:bCs/>
          <w:color w:val="000000"/>
          <w:sz w:val="28"/>
          <w:szCs w:val="28"/>
        </w:rPr>
        <w:t>Co</w:t>
      </w:r>
      <w:r>
        <w:rPr>
          <w:bCs/>
          <w:color w:val="000000"/>
          <w:sz w:val="28"/>
          <w:szCs w:val="28"/>
        </w:rPr>
        <w:t xml:space="preserve">llege English B </w:t>
      </w:r>
      <w:r>
        <w:rPr>
          <w:rFonts w:hint="eastAsia"/>
          <w:bCs/>
          <w:color w:val="000000"/>
          <w:sz w:val="28"/>
          <w:szCs w:val="28"/>
        </w:rPr>
        <w:t xml:space="preserve"> </w:t>
      </w:r>
      <w:r>
        <w:rPr>
          <w:bCs/>
          <w:color w:val="000000"/>
          <w:sz w:val="28"/>
          <w:szCs w:val="28"/>
        </w:rPr>
        <w:t>(I</w:t>
      </w:r>
      <w:r>
        <w:rPr>
          <w:rFonts w:hint="eastAsia"/>
          <w:bCs/>
          <w:color w:val="000000"/>
          <w:sz w:val="28"/>
          <w:szCs w:val="28"/>
        </w:rPr>
        <w:t>I</w:t>
      </w:r>
      <w:r>
        <w:rPr>
          <w:bCs/>
          <w:color w:val="000000"/>
          <w:sz w:val="28"/>
          <w:szCs w:val="28"/>
        </w:rPr>
        <w:t>)</w:t>
      </w:r>
    </w:p>
    <w:p w14:paraId="091C4CFD">
      <w:pPr>
        <w:spacing w:line="360" w:lineRule="auto"/>
        <w:jc w:val="center"/>
        <w:rPr>
          <w:rFonts w:hint="eastAsia"/>
          <w:color w:val="000000"/>
          <w:sz w:val="24"/>
        </w:rPr>
      </w:pPr>
    </w:p>
    <w:p w14:paraId="7604A13D">
      <w:pPr>
        <w:spacing w:line="360" w:lineRule="auto"/>
        <w:ind w:firstLine="482" w:firstLineChars="200"/>
        <w:rPr>
          <w:b/>
          <w:bCs/>
          <w:color w:val="000000"/>
          <w:kern w:val="0"/>
          <w:sz w:val="24"/>
        </w:rPr>
      </w:pPr>
    </w:p>
    <w:p w14:paraId="1778016E">
      <w:pPr>
        <w:spacing w:line="360" w:lineRule="auto"/>
        <w:ind w:firstLine="482" w:firstLineChars="200"/>
        <w:rPr>
          <w:b/>
          <w:bCs/>
          <w:color w:val="000000"/>
          <w:kern w:val="0"/>
          <w:sz w:val="24"/>
        </w:rPr>
      </w:pPr>
    </w:p>
    <w:p w14:paraId="6CB94EEE">
      <w:pPr>
        <w:spacing w:line="360" w:lineRule="auto"/>
        <w:ind w:firstLine="482" w:firstLineChars="200"/>
        <w:rPr>
          <w:b/>
          <w:bCs/>
          <w:color w:val="000000"/>
          <w:kern w:val="0"/>
          <w:sz w:val="24"/>
        </w:rPr>
      </w:pPr>
      <w:r>
        <w:rPr>
          <w:rFonts w:hint="eastAsia"/>
          <w:b/>
          <w:bCs/>
          <w:color w:val="000000"/>
          <w:kern w:val="0"/>
          <w:sz w:val="24"/>
        </w:rPr>
        <w:t>课程名称：大学英语B（II）</w:t>
      </w:r>
    </w:p>
    <w:p w14:paraId="17200B7E">
      <w:pPr>
        <w:spacing w:line="360" w:lineRule="auto"/>
        <w:ind w:firstLine="482" w:firstLineChars="200"/>
        <w:rPr>
          <w:rFonts w:ascii="宋体" w:hAnsi="宋体"/>
          <w:bCs/>
          <w:color w:val="000000"/>
          <w:kern w:val="0"/>
          <w:sz w:val="24"/>
        </w:rPr>
      </w:pPr>
      <w:r>
        <w:rPr>
          <w:b/>
          <w:bCs/>
          <w:color w:val="000000"/>
          <w:kern w:val="0"/>
          <w:sz w:val="24"/>
        </w:rPr>
        <w:t>课程代码</w:t>
      </w:r>
      <w:r>
        <w:rPr>
          <w:b/>
          <w:color w:val="000000"/>
          <w:kern w:val="0"/>
          <w:sz w:val="24"/>
        </w:rPr>
        <w:t>：</w:t>
      </w:r>
      <w:r>
        <w:rPr>
          <w:rFonts w:hint="eastAsia"/>
          <w:b/>
          <w:color w:val="000000"/>
          <w:kern w:val="0"/>
          <w:sz w:val="24"/>
        </w:rPr>
        <w:t>0605002</w:t>
      </w:r>
    </w:p>
    <w:p w14:paraId="3E18C7E9">
      <w:pPr>
        <w:spacing w:line="360" w:lineRule="auto"/>
        <w:ind w:firstLine="482" w:firstLineChars="200"/>
        <w:rPr>
          <w:rFonts w:hint="eastAsia"/>
          <w:color w:val="000000"/>
          <w:kern w:val="0"/>
          <w:sz w:val="24"/>
        </w:rPr>
      </w:pPr>
      <w:r>
        <w:rPr>
          <w:b/>
          <w:bCs/>
          <w:color w:val="000000"/>
          <w:kern w:val="0"/>
          <w:sz w:val="24"/>
        </w:rPr>
        <w:t>学    分</w:t>
      </w:r>
      <w:r>
        <w:rPr>
          <w:b/>
          <w:color w:val="000000"/>
          <w:kern w:val="0"/>
          <w:sz w:val="24"/>
        </w:rPr>
        <w:t>：</w:t>
      </w:r>
      <w:r>
        <w:rPr>
          <w:rFonts w:hint="eastAsia"/>
          <w:b/>
          <w:color w:val="000000"/>
          <w:kern w:val="0"/>
          <w:sz w:val="24"/>
        </w:rPr>
        <w:t>3</w:t>
      </w:r>
    </w:p>
    <w:p w14:paraId="6B0AFFEF">
      <w:pPr>
        <w:spacing w:line="360" w:lineRule="auto"/>
        <w:ind w:firstLine="482" w:firstLineChars="200"/>
        <w:rPr>
          <w:color w:val="000000"/>
          <w:kern w:val="0"/>
          <w:sz w:val="24"/>
        </w:rPr>
      </w:pPr>
      <w:r>
        <w:rPr>
          <w:b/>
          <w:bCs/>
          <w:color w:val="000000"/>
          <w:kern w:val="0"/>
          <w:sz w:val="24"/>
        </w:rPr>
        <w:t>学    时</w:t>
      </w:r>
      <w:r>
        <w:rPr>
          <w:b/>
          <w:color w:val="000000"/>
          <w:kern w:val="0"/>
          <w:sz w:val="24"/>
        </w:rPr>
        <w:t>：</w:t>
      </w:r>
      <w:r>
        <w:rPr>
          <w:rFonts w:hint="eastAsia"/>
          <w:b/>
          <w:color w:val="000000"/>
          <w:kern w:val="0"/>
          <w:sz w:val="24"/>
        </w:rPr>
        <w:t>48</w:t>
      </w:r>
    </w:p>
    <w:p w14:paraId="009F9C93">
      <w:pPr>
        <w:spacing w:line="360" w:lineRule="auto"/>
        <w:ind w:firstLine="482" w:firstLineChars="200"/>
        <w:rPr>
          <w:bCs/>
          <w:color w:val="000000"/>
          <w:kern w:val="0"/>
          <w:sz w:val="24"/>
        </w:rPr>
      </w:pPr>
      <w:r>
        <w:rPr>
          <w:b/>
          <w:bCs/>
          <w:color w:val="000000"/>
          <w:kern w:val="0"/>
          <w:sz w:val="24"/>
        </w:rPr>
        <w:t>先修课程</w:t>
      </w:r>
      <w:r>
        <w:rPr>
          <w:b/>
          <w:color w:val="000000"/>
          <w:kern w:val="0"/>
          <w:sz w:val="24"/>
        </w:rPr>
        <w:t>：</w:t>
      </w:r>
      <w:r>
        <w:rPr>
          <w:rFonts w:hint="eastAsia"/>
          <w:b/>
          <w:color w:val="000000"/>
          <w:kern w:val="0"/>
          <w:sz w:val="24"/>
        </w:rPr>
        <w:t>大学英语B（I）</w:t>
      </w:r>
    </w:p>
    <w:p w14:paraId="59F57279">
      <w:pPr>
        <w:spacing w:line="360" w:lineRule="auto"/>
        <w:ind w:firstLine="482" w:firstLineChars="200"/>
        <w:rPr>
          <w:rFonts w:hint="eastAsia"/>
          <w:b/>
          <w:bCs/>
          <w:color w:val="000000"/>
          <w:kern w:val="0"/>
          <w:sz w:val="24"/>
        </w:rPr>
      </w:pPr>
      <w:r>
        <w:rPr>
          <w:b/>
          <w:bCs/>
          <w:color w:val="000000"/>
          <w:kern w:val="0"/>
          <w:sz w:val="24"/>
        </w:rPr>
        <w:t>适用专业</w:t>
      </w:r>
      <w:r>
        <w:rPr>
          <w:b/>
          <w:color w:val="000000"/>
          <w:kern w:val="0"/>
          <w:sz w:val="24"/>
        </w:rPr>
        <w:t>：</w:t>
      </w:r>
      <w:r>
        <w:rPr>
          <w:rFonts w:hint="eastAsia"/>
          <w:b/>
          <w:bCs/>
          <w:color w:val="000000"/>
          <w:kern w:val="0"/>
          <w:sz w:val="24"/>
        </w:rPr>
        <w:t>非英语专业</w:t>
      </w:r>
    </w:p>
    <w:p w14:paraId="32E2A698">
      <w:pPr>
        <w:spacing w:line="360" w:lineRule="auto"/>
        <w:ind w:firstLine="482" w:firstLineChars="200"/>
        <w:rPr>
          <w:rFonts w:hint="eastAsia"/>
          <w:b/>
          <w:bCs/>
          <w:color w:val="000000"/>
          <w:kern w:val="0"/>
          <w:sz w:val="24"/>
        </w:rPr>
      </w:pPr>
    </w:p>
    <w:p w14:paraId="73E88671">
      <w:pPr>
        <w:spacing w:line="360" w:lineRule="auto"/>
        <w:ind w:firstLine="482" w:firstLineChars="200"/>
        <w:rPr>
          <w:rFonts w:hint="eastAsia"/>
          <w:b/>
          <w:bCs/>
          <w:color w:val="000000"/>
          <w:kern w:val="0"/>
          <w:sz w:val="24"/>
        </w:rPr>
      </w:pPr>
    </w:p>
    <w:p w14:paraId="22FABB07">
      <w:pPr>
        <w:numPr>
          <w:ilvl w:val="0"/>
          <w:numId w:val="8"/>
        </w:numPr>
        <w:spacing w:line="360" w:lineRule="auto"/>
        <w:rPr>
          <w:rFonts w:hint="eastAsia"/>
          <w:b/>
          <w:bCs/>
          <w:color w:val="000000"/>
          <w:kern w:val="0"/>
          <w:sz w:val="24"/>
        </w:rPr>
      </w:pPr>
      <w:r>
        <w:rPr>
          <w:rFonts w:hint="eastAsia"/>
          <w:b/>
          <w:bCs/>
          <w:color w:val="000000"/>
          <w:kern w:val="0"/>
          <w:sz w:val="24"/>
        </w:rPr>
        <w:t>课程简介：</w:t>
      </w:r>
    </w:p>
    <w:p w14:paraId="2371A8F9">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大学英语教学是高等教育的一个重要组成部分。大学英语作为全校非英语专业学生必修的公共基础课程，大学英语教学以英语语言知识与应用技能、学习策略和跨文化交际为主要内容，以外语教学理论为指导，有机融入课程思政，集多种教学模式和教学手段为一体的教学体系。大学英语教学旨在夯实学生英语语言基础，培养学生英语语言应用能力；满足学生专业学习、国际交流、继续深造、工作就业等方面的需求；增强学生自主学习能力和终生学习意识；帮助学生树立全球视野，培养国际意识，提升人文素养，为学生知识创新、潜能发挥和全面发展提供一个基本工具。</w:t>
      </w:r>
    </w:p>
    <w:p w14:paraId="295BE41D">
      <w:pPr>
        <w:spacing w:line="360" w:lineRule="auto"/>
        <w:ind w:firstLine="480" w:firstLineChars="200"/>
        <w:rPr>
          <w:rFonts w:hint="eastAsia" w:ascii="宋体" w:hAnsi="宋体" w:cs="宋体"/>
          <w:color w:val="000000"/>
          <w:kern w:val="0"/>
          <w:sz w:val="24"/>
        </w:rPr>
      </w:pPr>
    </w:p>
    <w:p w14:paraId="1D917A65">
      <w:pPr>
        <w:numPr>
          <w:ilvl w:val="0"/>
          <w:numId w:val="8"/>
        </w:numPr>
        <w:spacing w:line="360" w:lineRule="auto"/>
        <w:rPr>
          <w:rFonts w:hint="eastAsia"/>
          <w:b/>
          <w:color w:val="000000"/>
          <w:sz w:val="24"/>
        </w:rPr>
      </w:pPr>
      <w:r>
        <w:rPr>
          <w:rFonts w:hint="eastAsia"/>
          <w:b/>
          <w:color w:val="000000"/>
          <w:sz w:val="24"/>
        </w:rPr>
        <w:t>课程目标</w:t>
      </w:r>
    </w:p>
    <w:p w14:paraId="692BF45A">
      <w:pPr>
        <w:widowControl/>
        <w:jc w:val="left"/>
        <w:rPr>
          <w:rFonts w:ascii="宋体" w:hAnsi="宋体" w:cs="宋体"/>
          <w:b/>
          <w:bCs/>
          <w:color w:val="000000"/>
          <w:kern w:val="0"/>
          <w:sz w:val="24"/>
        </w:rPr>
      </w:pPr>
      <w:r>
        <w:rPr>
          <w:rFonts w:hint="eastAsia"/>
          <w:b/>
          <w:color w:val="000000"/>
          <w:sz w:val="28"/>
          <w:szCs w:val="28"/>
        </w:rPr>
        <w:t xml:space="preserve">   </w:t>
      </w:r>
      <w:r>
        <w:rPr>
          <w:rFonts w:hint="eastAsia" w:ascii="宋体" w:hAnsi="宋体" w:cs="宋体"/>
          <w:b/>
          <w:bCs/>
          <w:color w:val="000000"/>
          <w:kern w:val="0"/>
          <w:sz w:val="24"/>
        </w:rPr>
        <w:t>（一）课程具体目标</w:t>
      </w:r>
    </w:p>
    <w:p w14:paraId="7FE986D9">
      <w:pPr>
        <w:autoSpaceDE w:val="0"/>
        <w:autoSpaceDN w:val="0"/>
        <w:adjustRightInd w:val="0"/>
        <w:spacing w:line="400" w:lineRule="exact"/>
        <w:ind w:firstLine="482" w:firstLineChars="200"/>
        <w:rPr>
          <w:rFonts w:hint="eastAsia" w:ascii="宋体" w:hAnsi="宋体" w:cs="宋体"/>
          <w:color w:val="000000"/>
          <w:kern w:val="0"/>
          <w:sz w:val="24"/>
        </w:rPr>
      </w:pPr>
      <w:r>
        <w:rPr>
          <w:rFonts w:ascii="宋体" w:hAnsi="宋体" w:cs="宋体"/>
          <w:b/>
          <w:bCs/>
          <w:color w:val="000000"/>
          <w:kern w:val="0"/>
          <w:sz w:val="24"/>
        </w:rPr>
        <w:t>目标</w:t>
      </w:r>
      <w:r>
        <w:rPr>
          <w:rFonts w:hint="eastAsia" w:ascii="宋体" w:hAnsi="宋体" w:cs="宋体"/>
          <w:b/>
          <w:bCs/>
          <w:color w:val="000000"/>
          <w:kern w:val="0"/>
          <w:sz w:val="24"/>
        </w:rPr>
        <w:t xml:space="preserve">1. </w:t>
      </w:r>
      <w:r>
        <w:rPr>
          <w:rFonts w:hint="eastAsia" w:ascii="宋体" w:hAnsi="宋体" w:cs="宋体"/>
          <w:color w:val="000000"/>
          <w:kern w:val="0"/>
          <w:sz w:val="24"/>
        </w:rPr>
        <w:t>进一步提升学生英语听、说、读、写、译基本语言技能和英语语言综合应用能力。</w:t>
      </w:r>
    </w:p>
    <w:p w14:paraId="5F3664C5">
      <w:pPr>
        <w:autoSpaceDE w:val="0"/>
        <w:autoSpaceDN w:val="0"/>
        <w:adjustRightInd w:val="0"/>
        <w:spacing w:line="400" w:lineRule="exact"/>
        <w:ind w:firstLine="482" w:firstLineChars="200"/>
        <w:rPr>
          <w:rFonts w:ascii="宋体" w:hAnsi="宋体" w:cs="宋体"/>
          <w:color w:val="000000"/>
          <w:kern w:val="0"/>
          <w:sz w:val="24"/>
        </w:rPr>
      </w:pPr>
      <w:r>
        <w:rPr>
          <w:rFonts w:ascii="宋体" w:hAnsi="宋体" w:cs="宋体"/>
          <w:b/>
          <w:bCs/>
          <w:color w:val="000000"/>
          <w:kern w:val="0"/>
          <w:sz w:val="24"/>
        </w:rPr>
        <w:t>目标</w:t>
      </w:r>
      <w:r>
        <w:rPr>
          <w:rFonts w:hint="eastAsia" w:ascii="宋体" w:hAnsi="宋体" w:cs="宋体"/>
          <w:b/>
          <w:bCs/>
          <w:color w:val="000000"/>
          <w:kern w:val="0"/>
          <w:sz w:val="24"/>
        </w:rPr>
        <w:t xml:space="preserve">2. </w:t>
      </w:r>
      <w:r>
        <w:rPr>
          <w:rFonts w:hint="eastAsia" w:ascii="宋体" w:hAnsi="宋体" w:cs="宋体"/>
          <w:color w:val="000000"/>
          <w:kern w:val="0"/>
          <w:sz w:val="24"/>
        </w:rPr>
        <w:t>进一步提升学生使用英语工具紧跟专业前沿，拓展专业视野，查阅专业文献的意识和能力，培养学生在职业领域进行相关沟通、交流能力。</w:t>
      </w:r>
    </w:p>
    <w:p w14:paraId="09510686">
      <w:pPr>
        <w:autoSpaceDE w:val="0"/>
        <w:autoSpaceDN w:val="0"/>
        <w:adjustRightInd w:val="0"/>
        <w:spacing w:line="400" w:lineRule="exact"/>
        <w:ind w:firstLine="482" w:firstLineChars="200"/>
        <w:rPr>
          <w:rFonts w:hint="eastAsia" w:ascii="宋体" w:hAnsi="宋体" w:cs="宋体"/>
          <w:color w:val="000000"/>
          <w:kern w:val="0"/>
          <w:sz w:val="24"/>
        </w:rPr>
      </w:pPr>
      <w:r>
        <w:rPr>
          <w:rFonts w:ascii="宋体" w:hAnsi="宋体" w:cs="宋体"/>
          <w:b/>
          <w:bCs/>
          <w:color w:val="000000"/>
          <w:kern w:val="0"/>
          <w:sz w:val="24"/>
        </w:rPr>
        <w:t>目标</w:t>
      </w:r>
      <w:r>
        <w:rPr>
          <w:rFonts w:hint="eastAsia" w:ascii="宋体" w:hAnsi="宋体" w:cs="宋体"/>
          <w:b/>
          <w:bCs/>
          <w:color w:val="000000"/>
          <w:kern w:val="0"/>
          <w:sz w:val="24"/>
        </w:rPr>
        <w:t xml:space="preserve">3. </w:t>
      </w:r>
      <w:r>
        <w:rPr>
          <w:rFonts w:hint="eastAsia" w:ascii="宋体" w:hAnsi="宋体" w:cs="宋体"/>
          <w:color w:val="000000"/>
          <w:kern w:val="0"/>
          <w:sz w:val="24"/>
        </w:rPr>
        <w:t>将社会主义核心价值观和中国优秀传统文化有机融入大学英语课程教学，培养学生批判吸收西方文化，增进中西文化异同理解；培养学生跨文化意识和交际能力；培养学生树立国际视野和提升综合人文素养；培养学生自主学习能力和终身学习意识。</w:t>
      </w:r>
    </w:p>
    <w:p w14:paraId="047B8D7F">
      <w:pPr>
        <w:widowControl/>
        <w:ind w:firstLine="241" w:firstLineChars="100"/>
        <w:jc w:val="left"/>
        <w:rPr>
          <w:rFonts w:hint="eastAsia" w:ascii="宋体" w:hAnsi="宋体" w:cs="宋体"/>
          <w:b/>
          <w:bCs/>
          <w:color w:val="000000"/>
          <w:kern w:val="0"/>
          <w:sz w:val="24"/>
        </w:rPr>
      </w:pPr>
      <w:r>
        <w:rPr>
          <w:rFonts w:hint="eastAsia" w:ascii="宋体" w:hAnsi="宋体" w:cs="宋体"/>
          <w:b/>
          <w:bCs/>
          <w:color w:val="000000"/>
          <w:kern w:val="0"/>
          <w:sz w:val="24"/>
        </w:rPr>
        <w:t>（二）课程目标及其对毕业要求指标点的支撑</w:t>
      </w:r>
    </w:p>
    <w:tbl>
      <w:tblPr>
        <w:tblStyle w:val="13"/>
        <w:tblW w:w="8310" w:type="dxa"/>
        <w:jc w:val="center"/>
        <w:tblLayout w:type="fixed"/>
        <w:tblCellMar>
          <w:top w:w="0" w:type="dxa"/>
          <w:left w:w="108" w:type="dxa"/>
          <w:bottom w:w="0" w:type="dxa"/>
          <w:right w:w="108" w:type="dxa"/>
        </w:tblCellMar>
      </w:tblPr>
      <w:tblGrid>
        <w:gridCol w:w="2205"/>
        <w:gridCol w:w="4578"/>
        <w:gridCol w:w="1527"/>
      </w:tblGrid>
      <w:tr w14:paraId="006BEBD3">
        <w:tblPrEx>
          <w:tblCellMar>
            <w:top w:w="0" w:type="dxa"/>
            <w:left w:w="108" w:type="dxa"/>
            <w:bottom w:w="0" w:type="dxa"/>
            <w:right w:w="108" w:type="dxa"/>
          </w:tblCellMar>
        </w:tblPrEx>
        <w:trPr>
          <w:trHeight w:val="815" w:hRule="atLeast"/>
          <w:jc w:val="center"/>
        </w:trPr>
        <w:tc>
          <w:tcPr>
            <w:tcW w:w="22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55044A">
            <w:pPr>
              <w:widowControl/>
              <w:jc w:val="center"/>
              <w:rPr>
                <w:rFonts w:ascii="宋体" w:hAnsi="宋体"/>
                <w:b/>
                <w:bCs/>
                <w:color w:val="000000"/>
                <w:kern w:val="0"/>
                <w:sz w:val="24"/>
              </w:rPr>
            </w:pPr>
            <w:r>
              <w:rPr>
                <w:rFonts w:ascii="宋体" w:hAnsi="宋体"/>
                <w:b/>
                <w:bCs/>
                <w:color w:val="000000"/>
                <w:kern w:val="0"/>
                <w:sz w:val="24"/>
              </w:rPr>
              <w:t>毕业要求</w:t>
            </w:r>
          </w:p>
        </w:tc>
        <w:tc>
          <w:tcPr>
            <w:tcW w:w="4578" w:type="dxa"/>
            <w:tcBorders>
              <w:top w:val="single" w:color="auto" w:sz="4" w:space="0"/>
              <w:left w:val="nil"/>
              <w:bottom w:val="single" w:color="auto" w:sz="4" w:space="0"/>
              <w:right w:val="single" w:color="auto" w:sz="4" w:space="0"/>
            </w:tcBorders>
            <w:shd w:val="clear" w:color="auto" w:fill="FFFFFF"/>
            <w:noWrap w:val="0"/>
            <w:vAlign w:val="center"/>
          </w:tcPr>
          <w:p w14:paraId="4B58ACE5">
            <w:pPr>
              <w:widowControl/>
              <w:jc w:val="center"/>
              <w:rPr>
                <w:rFonts w:ascii="宋体" w:hAnsi="宋体"/>
                <w:b/>
                <w:bCs/>
                <w:color w:val="000000"/>
                <w:kern w:val="0"/>
                <w:sz w:val="24"/>
              </w:rPr>
            </w:pPr>
            <w:r>
              <w:rPr>
                <w:rFonts w:hint="eastAsia" w:ascii="宋体" w:hAnsi="宋体"/>
                <w:b/>
                <w:bCs/>
                <w:color w:val="000000"/>
                <w:kern w:val="0"/>
                <w:sz w:val="24"/>
              </w:rPr>
              <w:t>毕业要求指标点</w:t>
            </w:r>
          </w:p>
        </w:tc>
        <w:tc>
          <w:tcPr>
            <w:tcW w:w="1527" w:type="dxa"/>
            <w:tcBorders>
              <w:top w:val="single" w:color="auto" w:sz="4" w:space="0"/>
              <w:left w:val="nil"/>
              <w:bottom w:val="single" w:color="auto" w:sz="4" w:space="0"/>
              <w:right w:val="single" w:color="auto" w:sz="4" w:space="0"/>
            </w:tcBorders>
            <w:shd w:val="clear" w:color="auto" w:fill="FFFFFF"/>
            <w:noWrap w:val="0"/>
            <w:vAlign w:val="center"/>
          </w:tcPr>
          <w:p w14:paraId="040DF9E1">
            <w:pPr>
              <w:widowControl/>
              <w:jc w:val="center"/>
              <w:rPr>
                <w:rFonts w:ascii="宋体" w:hAnsi="宋体"/>
                <w:b/>
                <w:bCs/>
                <w:color w:val="000000"/>
                <w:kern w:val="0"/>
                <w:sz w:val="24"/>
              </w:rPr>
            </w:pPr>
            <w:r>
              <w:rPr>
                <w:rFonts w:hint="eastAsia" w:ascii="宋体" w:hAnsi="宋体"/>
                <w:b/>
                <w:bCs/>
                <w:color w:val="000000"/>
                <w:kern w:val="0"/>
                <w:sz w:val="24"/>
              </w:rPr>
              <w:t>课程目标</w:t>
            </w:r>
          </w:p>
        </w:tc>
      </w:tr>
      <w:tr w14:paraId="2B12F24D">
        <w:tblPrEx>
          <w:tblCellMar>
            <w:top w:w="0" w:type="dxa"/>
            <w:left w:w="108" w:type="dxa"/>
            <w:bottom w:w="0" w:type="dxa"/>
            <w:right w:w="108" w:type="dxa"/>
          </w:tblCellMar>
        </w:tblPrEx>
        <w:trPr>
          <w:trHeight w:val="481" w:hRule="atLeast"/>
          <w:jc w:val="center"/>
        </w:trPr>
        <w:tc>
          <w:tcPr>
            <w:tcW w:w="2205" w:type="dxa"/>
            <w:tcBorders>
              <w:top w:val="nil"/>
              <w:left w:val="single" w:color="auto" w:sz="4" w:space="0"/>
              <w:bottom w:val="single" w:color="auto" w:sz="4" w:space="0"/>
              <w:right w:val="single" w:color="auto" w:sz="4" w:space="0"/>
            </w:tcBorders>
            <w:noWrap w:val="0"/>
            <w:vAlign w:val="center"/>
          </w:tcPr>
          <w:p w14:paraId="4A68C077">
            <w:pPr>
              <w:widowControl/>
              <w:jc w:val="center"/>
              <w:rPr>
                <w:rFonts w:ascii="宋体" w:hAnsi="宋体"/>
                <w:color w:val="000000"/>
                <w:kern w:val="0"/>
                <w:szCs w:val="21"/>
              </w:rPr>
            </w:pPr>
            <w:r>
              <w:rPr>
                <w:rFonts w:ascii="宋体" w:hAnsi="宋体"/>
                <w:color w:val="000000"/>
                <w:kern w:val="0"/>
                <w:szCs w:val="21"/>
              </w:rPr>
              <w:t>毕业要求</w:t>
            </w:r>
            <w:r>
              <w:rPr>
                <w:rFonts w:hint="eastAsia" w:ascii="宋体" w:hAnsi="宋体"/>
                <w:color w:val="000000"/>
                <w:kern w:val="0"/>
                <w:szCs w:val="21"/>
              </w:rPr>
              <w:t>3.学科素养</w:t>
            </w:r>
          </w:p>
        </w:tc>
        <w:tc>
          <w:tcPr>
            <w:tcW w:w="4578" w:type="dxa"/>
            <w:tcBorders>
              <w:top w:val="single" w:color="auto" w:sz="4" w:space="0"/>
              <w:left w:val="single" w:color="auto" w:sz="4" w:space="0"/>
              <w:bottom w:val="single" w:color="auto" w:sz="4" w:space="0"/>
              <w:right w:val="single" w:color="auto" w:sz="4" w:space="0"/>
            </w:tcBorders>
            <w:noWrap w:val="0"/>
            <w:vAlign w:val="center"/>
          </w:tcPr>
          <w:p w14:paraId="6F379D3B">
            <w:pPr>
              <w:widowControl/>
              <w:jc w:val="left"/>
              <w:rPr>
                <w:rFonts w:ascii="宋体" w:hAnsi="宋体"/>
                <w:color w:val="000000"/>
                <w:kern w:val="0"/>
                <w:szCs w:val="21"/>
              </w:rPr>
            </w:pPr>
            <w:r>
              <w:rPr>
                <w:rFonts w:hint="eastAsia" w:ascii="宋体" w:hAnsi="宋体" w:cs="宋体"/>
                <w:color w:val="000000"/>
                <w:kern w:val="0"/>
                <w:szCs w:val="21"/>
              </w:rPr>
              <w:t>指标点3-1：具有一定的人文、社会和科学素养。夯实学生英语语言基础，提升学生英语听、说、读、写、译基本语言技能和英语语言综合应用能力</w:t>
            </w:r>
            <w:r>
              <w:rPr>
                <w:rFonts w:ascii="宋体" w:hAnsi="宋体" w:cs="宋体"/>
                <w:color w:val="000000"/>
                <w:kern w:val="0"/>
                <w:szCs w:val="21"/>
              </w:rPr>
              <w:t>。</w:t>
            </w:r>
          </w:p>
        </w:tc>
        <w:tc>
          <w:tcPr>
            <w:tcW w:w="1527" w:type="dxa"/>
            <w:tcBorders>
              <w:top w:val="single" w:color="auto" w:sz="4" w:space="0"/>
              <w:left w:val="nil"/>
              <w:bottom w:val="single" w:color="auto" w:sz="4" w:space="0"/>
              <w:right w:val="single" w:color="auto" w:sz="4" w:space="0"/>
            </w:tcBorders>
            <w:noWrap w:val="0"/>
            <w:vAlign w:val="center"/>
          </w:tcPr>
          <w:p w14:paraId="7E60E4CE">
            <w:pPr>
              <w:widowControl/>
              <w:jc w:val="center"/>
              <w:rPr>
                <w:rFonts w:ascii="宋体" w:hAnsi="宋体"/>
                <w:color w:val="000000"/>
                <w:kern w:val="0"/>
                <w:szCs w:val="21"/>
              </w:rPr>
            </w:pPr>
            <w:r>
              <w:rPr>
                <w:rFonts w:hint="eastAsia" w:ascii="宋体" w:hAnsi="宋体"/>
                <w:color w:val="000000"/>
                <w:kern w:val="0"/>
                <w:szCs w:val="21"/>
              </w:rPr>
              <w:t>课程目标1</w:t>
            </w:r>
          </w:p>
        </w:tc>
      </w:tr>
      <w:tr w14:paraId="1CE3A626">
        <w:tblPrEx>
          <w:tblCellMar>
            <w:top w:w="0" w:type="dxa"/>
            <w:left w:w="108" w:type="dxa"/>
            <w:bottom w:w="0" w:type="dxa"/>
            <w:right w:w="108" w:type="dxa"/>
          </w:tblCellMar>
        </w:tblPrEx>
        <w:trPr>
          <w:trHeight w:val="470" w:hRule="atLeast"/>
          <w:jc w:val="center"/>
        </w:trPr>
        <w:tc>
          <w:tcPr>
            <w:tcW w:w="2205" w:type="dxa"/>
            <w:tcBorders>
              <w:top w:val="single" w:color="auto" w:sz="4" w:space="0"/>
              <w:left w:val="single" w:color="auto" w:sz="4" w:space="0"/>
              <w:bottom w:val="single" w:color="auto" w:sz="4" w:space="0"/>
              <w:right w:val="single" w:color="auto" w:sz="4" w:space="0"/>
            </w:tcBorders>
            <w:noWrap w:val="0"/>
            <w:vAlign w:val="center"/>
          </w:tcPr>
          <w:p w14:paraId="51456605">
            <w:pPr>
              <w:widowControl/>
              <w:jc w:val="center"/>
              <w:rPr>
                <w:rFonts w:ascii="宋体" w:hAnsi="宋体"/>
                <w:color w:val="000000"/>
                <w:kern w:val="0"/>
                <w:szCs w:val="21"/>
              </w:rPr>
            </w:pPr>
            <w:r>
              <w:rPr>
                <w:rFonts w:ascii="宋体" w:hAnsi="宋体"/>
                <w:color w:val="000000"/>
                <w:kern w:val="0"/>
                <w:szCs w:val="21"/>
              </w:rPr>
              <w:t>毕业要求</w:t>
            </w:r>
            <w:r>
              <w:rPr>
                <w:rFonts w:hint="eastAsia" w:ascii="宋体" w:hAnsi="宋体"/>
                <w:color w:val="000000"/>
                <w:kern w:val="0"/>
                <w:szCs w:val="21"/>
              </w:rPr>
              <w:t>7.学会反思</w:t>
            </w:r>
          </w:p>
        </w:tc>
        <w:tc>
          <w:tcPr>
            <w:tcW w:w="4578" w:type="dxa"/>
            <w:tcBorders>
              <w:top w:val="single" w:color="auto" w:sz="4" w:space="0"/>
              <w:left w:val="single" w:color="auto" w:sz="4" w:space="0"/>
              <w:bottom w:val="single" w:color="auto" w:sz="4" w:space="0"/>
              <w:right w:val="single" w:color="auto" w:sz="4" w:space="0"/>
            </w:tcBorders>
            <w:noWrap w:val="0"/>
            <w:vAlign w:val="center"/>
          </w:tcPr>
          <w:p w14:paraId="1C59E8AF">
            <w:pPr>
              <w:widowControl/>
              <w:jc w:val="left"/>
              <w:rPr>
                <w:rFonts w:hint="eastAsia" w:ascii="宋体" w:hAnsi="宋体"/>
                <w:color w:val="000000"/>
                <w:kern w:val="0"/>
                <w:szCs w:val="21"/>
              </w:rPr>
            </w:pPr>
            <w:r>
              <w:rPr>
                <w:rFonts w:hint="eastAsia" w:ascii="宋体" w:hAnsi="宋体"/>
                <w:color w:val="000000"/>
                <w:kern w:val="0"/>
                <w:szCs w:val="21"/>
              </w:rPr>
              <w:t>指标点7-1：具备终身学习能力和专业发展的意识，</w:t>
            </w:r>
            <w:r>
              <w:rPr>
                <w:rFonts w:hint="eastAsia" w:ascii="宋体" w:hAnsi="宋体" w:cs="宋体"/>
                <w:color w:val="000000"/>
                <w:kern w:val="0"/>
                <w:szCs w:val="21"/>
              </w:rPr>
              <w:t>将社会主义核心价值观和中国优秀传统文化有机融入大学英语课程教学，培养学生批判吸收西方文化。</w:t>
            </w:r>
          </w:p>
        </w:tc>
        <w:tc>
          <w:tcPr>
            <w:tcW w:w="1527" w:type="dxa"/>
            <w:tcBorders>
              <w:top w:val="single" w:color="auto" w:sz="4" w:space="0"/>
              <w:left w:val="nil"/>
              <w:bottom w:val="single" w:color="auto" w:sz="4" w:space="0"/>
              <w:right w:val="single" w:color="auto" w:sz="4" w:space="0"/>
            </w:tcBorders>
            <w:noWrap w:val="0"/>
            <w:vAlign w:val="center"/>
          </w:tcPr>
          <w:p w14:paraId="737B60E4">
            <w:pPr>
              <w:widowControl/>
              <w:jc w:val="center"/>
              <w:rPr>
                <w:rFonts w:ascii="宋体" w:hAnsi="宋体"/>
                <w:color w:val="000000"/>
                <w:kern w:val="0"/>
                <w:szCs w:val="21"/>
              </w:rPr>
            </w:pPr>
            <w:r>
              <w:rPr>
                <w:rFonts w:hint="eastAsia" w:ascii="宋体" w:hAnsi="宋体"/>
                <w:color w:val="000000"/>
                <w:kern w:val="0"/>
                <w:szCs w:val="21"/>
              </w:rPr>
              <w:t>课程目标3</w:t>
            </w:r>
          </w:p>
        </w:tc>
      </w:tr>
      <w:tr w14:paraId="57E49F43">
        <w:tblPrEx>
          <w:tblCellMar>
            <w:top w:w="0" w:type="dxa"/>
            <w:left w:w="108" w:type="dxa"/>
            <w:bottom w:w="0" w:type="dxa"/>
            <w:right w:w="108" w:type="dxa"/>
          </w:tblCellMar>
        </w:tblPrEx>
        <w:trPr>
          <w:trHeight w:val="470" w:hRule="atLeast"/>
          <w:jc w:val="center"/>
        </w:trPr>
        <w:tc>
          <w:tcPr>
            <w:tcW w:w="2205" w:type="dxa"/>
            <w:tcBorders>
              <w:top w:val="single" w:color="auto" w:sz="4" w:space="0"/>
              <w:left w:val="single" w:color="auto" w:sz="4" w:space="0"/>
              <w:bottom w:val="single" w:color="auto" w:sz="4" w:space="0"/>
              <w:right w:val="single" w:color="auto" w:sz="4" w:space="0"/>
            </w:tcBorders>
            <w:noWrap w:val="0"/>
            <w:vAlign w:val="center"/>
          </w:tcPr>
          <w:p w14:paraId="253BFAA2">
            <w:pPr>
              <w:widowControl/>
              <w:jc w:val="center"/>
              <w:rPr>
                <w:rFonts w:ascii="宋体" w:hAnsi="宋体"/>
                <w:color w:val="000000"/>
                <w:kern w:val="0"/>
                <w:szCs w:val="21"/>
              </w:rPr>
            </w:pPr>
            <w:r>
              <w:rPr>
                <w:rFonts w:ascii="宋体" w:hAnsi="宋体"/>
                <w:color w:val="000000"/>
                <w:kern w:val="0"/>
                <w:szCs w:val="21"/>
              </w:rPr>
              <w:t>毕业要求</w:t>
            </w:r>
            <w:r>
              <w:rPr>
                <w:rFonts w:hint="eastAsia" w:ascii="宋体" w:hAnsi="宋体"/>
                <w:color w:val="000000"/>
                <w:kern w:val="0"/>
                <w:szCs w:val="21"/>
              </w:rPr>
              <w:t>8.沟通合作</w:t>
            </w:r>
          </w:p>
        </w:tc>
        <w:tc>
          <w:tcPr>
            <w:tcW w:w="4578" w:type="dxa"/>
            <w:tcBorders>
              <w:top w:val="single" w:color="auto" w:sz="4" w:space="0"/>
              <w:left w:val="single" w:color="auto" w:sz="4" w:space="0"/>
              <w:bottom w:val="single" w:color="auto" w:sz="4" w:space="0"/>
              <w:right w:val="single" w:color="auto" w:sz="4" w:space="0"/>
            </w:tcBorders>
            <w:noWrap w:val="0"/>
            <w:vAlign w:val="center"/>
          </w:tcPr>
          <w:p w14:paraId="16214249">
            <w:pPr>
              <w:widowControl/>
              <w:jc w:val="left"/>
              <w:rPr>
                <w:rFonts w:ascii="宋体" w:hAnsi="宋体"/>
                <w:color w:val="000000"/>
                <w:kern w:val="0"/>
                <w:szCs w:val="21"/>
              </w:rPr>
            </w:pPr>
            <w:r>
              <w:rPr>
                <w:rFonts w:hint="eastAsia" w:ascii="宋体" w:hAnsi="宋体"/>
                <w:color w:val="000000"/>
                <w:kern w:val="0"/>
                <w:szCs w:val="21"/>
              </w:rPr>
              <w:t>指标点8-2：理解学习共同体的内涵和作用，积极参与各种学习共同体，具备团队协作精神，</w:t>
            </w:r>
            <w:r>
              <w:rPr>
                <w:rFonts w:hint="eastAsia" w:ascii="宋体" w:hAnsi="宋体" w:cs="宋体"/>
                <w:color w:val="000000"/>
                <w:kern w:val="0"/>
                <w:szCs w:val="21"/>
              </w:rPr>
              <w:t>培养学生在职业领域进行相关沟通、交流能力</w:t>
            </w:r>
            <w:r>
              <w:rPr>
                <w:rFonts w:ascii="宋体" w:hAnsi="宋体" w:cs="宋体"/>
                <w:color w:val="000000"/>
                <w:kern w:val="0"/>
                <w:szCs w:val="21"/>
              </w:rPr>
              <w:t>。</w:t>
            </w:r>
          </w:p>
        </w:tc>
        <w:tc>
          <w:tcPr>
            <w:tcW w:w="1527" w:type="dxa"/>
            <w:tcBorders>
              <w:top w:val="single" w:color="auto" w:sz="4" w:space="0"/>
              <w:left w:val="nil"/>
              <w:bottom w:val="single" w:color="auto" w:sz="4" w:space="0"/>
              <w:right w:val="single" w:color="auto" w:sz="4" w:space="0"/>
            </w:tcBorders>
            <w:noWrap w:val="0"/>
            <w:vAlign w:val="center"/>
          </w:tcPr>
          <w:p w14:paraId="53E3C175">
            <w:pPr>
              <w:widowControl/>
              <w:jc w:val="center"/>
              <w:rPr>
                <w:rFonts w:ascii="宋体" w:hAnsi="宋体"/>
                <w:color w:val="000000"/>
                <w:kern w:val="0"/>
                <w:szCs w:val="21"/>
              </w:rPr>
            </w:pPr>
            <w:r>
              <w:rPr>
                <w:rFonts w:hint="eastAsia" w:ascii="宋体" w:hAnsi="宋体"/>
                <w:color w:val="000000"/>
                <w:kern w:val="0"/>
                <w:szCs w:val="21"/>
              </w:rPr>
              <w:t>课程目标2</w:t>
            </w:r>
          </w:p>
        </w:tc>
      </w:tr>
    </w:tbl>
    <w:p w14:paraId="4BAE417D">
      <w:pPr>
        <w:widowControl/>
        <w:ind w:firstLine="241" w:firstLineChars="100"/>
        <w:jc w:val="left"/>
        <w:rPr>
          <w:rFonts w:hint="eastAsia" w:ascii="宋体" w:hAnsi="宋体" w:cs="宋体"/>
          <w:sz w:val="24"/>
        </w:rPr>
      </w:pPr>
      <w:r>
        <w:rPr>
          <w:rFonts w:hint="eastAsia" w:ascii="宋体" w:hAnsi="宋体" w:cs="宋体"/>
          <w:b/>
          <w:bCs/>
          <w:color w:val="000000"/>
          <w:kern w:val="0"/>
          <w:sz w:val="24"/>
          <w:lang w:bidi="ar"/>
        </w:rPr>
        <w:t>（三）课程思政目标</w:t>
      </w:r>
    </w:p>
    <w:p w14:paraId="06B90543">
      <w:pPr>
        <w:spacing w:line="360" w:lineRule="auto"/>
        <w:ind w:firstLine="480" w:firstLineChars="200"/>
        <w:rPr>
          <w:rFonts w:hint="eastAsia"/>
          <w:bCs/>
          <w:color w:val="000000"/>
          <w:sz w:val="24"/>
        </w:rPr>
      </w:pPr>
      <w:r>
        <w:rPr>
          <w:rFonts w:hint="eastAsia"/>
          <w:bCs/>
          <w:color w:val="000000"/>
          <w:sz w:val="24"/>
        </w:rPr>
        <w:t>以语言知识和语言技能为桥梁，在培养学生跨文化交际能力的同时，引导学生树立正确的“家国情怀”，引领学生“讲好中国故事”，培养具有民族情怀、家国意识、时代责任和历史使命的人才。</w:t>
      </w:r>
    </w:p>
    <w:p w14:paraId="3637F3E5">
      <w:pPr>
        <w:spacing w:line="360" w:lineRule="auto"/>
        <w:rPr>
          <w:rFonts w:hint="eastAsia"/>
          <w:bCs/>
          <w:color w:val="000000"/>
          <w:sz w:val="24"/>
        </w:rPr>
      </w:pPr>
    </w:p>
    <w:p w14:paraId="670A1EBF">
      <w:pPr>
        <w:numPr>
          <w:ilvl w:val="0"/>
          <w:numId w:val="8"/>
        </w:numPr>
        <w:spacing w:line="360" w:lineRule="auto"/>
        <w:rPr>
          <w:b/>
          <w:color w:val="000000"/>
          <w:sz w:val="24"/>
        </w:rPr>
      </w:pPr>
      <w:r>
        <w:rPr>
          <w:rFonts w:hint="eastAsia"/>
          <w:b/>
          <w:color w:val="000000"/>
          <w:sz w:val="24"/>
        </w:rPr>
        <w:t>教学内容与预期学习成效</w:t>
      </w:r>
    </w:p>
    <w:tbl>
      <w:tblPr>
        <w:tblStyle w:val="1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302"/>
        <w:gridCol w:w="1166"/>
        <w:gridCol w:w="2706"/>
        <w:gridCol w:w="1505"/>
        <w:gridCol w:w="713"/>
      </w:tblGrid>
      <w:tr w14:paraId="536B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dxa"/>
            <w:noWrap w:val="0"/>
            <w:vAlign w:val="center"/>
          </w:tcPr>
          <w:p w14:paraId="01B00788">
            <w:pPr>
              <w:jc w:val="center"/>
              <w:rPr>
                <w:b/>
                <w:bCs/>
                <w:color w:val="000000"/>
                <w:szCs w:val="21"/>
              </w:rPr>
            </w:pPr>
            <w:r>
              <w:rPr>
                <w:rFonts w:hint="eastAsia"/>
                <w:b/>
                <w:bCs/>
                <w:color w:val="000000"/>
                <w:szCs w:val="21"/>
              </w:rPr>
              <w:t>知识单元</w:t>
            </w:r>
          </w:p>
        </w:tc>
        <w:tc>
          <w:tcPr>
            <w:tcW w:w="1302" w:type="dxa"/>
            <w:noWrap w:val="0"/>
            <w:vAlign w:val="center"/>
          </w:tcPr>
          <w:p w14:paraId="7A8A91E4">
            <w:pPr>
              <w:jc w:val="center"/>
              <w:rPr>
                <w:rFonts w:hint="eastAsia"/>
                <w:b/>
                <w:bCs/>
                <w:color w:val="000000"/>
                <w:szCs w:val="21"/>
              </w:rPr>
            </w:pPr>
            <w:r>
              <w:rPr>
                <w:rFonts w:hint="eastAsia"/>
                <w:b/>
                <w:bCs/>
                <w:color w:val="000000"/>
                <w:szCs w:val="21"/>
              </w:rPr>
              <w:t>知识点</w:t>
            </w:r>
          </w:p>
        </w:tc>
        <w:tc>
          <w:tcPr>
            <w:tcW w:w="1166" w:type="dxa"/>
            <w:noWrap w:val="0"/>
            <w:vAlign w:val="center"/>
          </w:tcPr>
          <w:p w14:paraId="39E34015">
            <w:pPr>
              <w:jc w:val="center"/>
              <w:rPr>
                <w:b/>
                <w:bCs/>
                <w:color w:val="000000"/>
                <w:szCs w:val="21"/>
              </w:rPr>
            </w:pPr>
            <w:r>
              <w:rPr>
                <w:rFonts w:hint="eastAsia"/>
                <w:b/>
                <w:bCs/>
                <w:color w:val="000000"/>
                <w:szCs w:val="21"/>
              </w:rPr>
              <w:t xml:space="preserve">对应课程目标 </w:t>
            </w:r>
          </w:p>
        </w:tc>
        <w:tc>
          <w:tcPr>
            <w:tcW w:w="2706" w:type="dxa"/>
            <w:noWrap w:val="0"/>
            <w:vAlign w:val="center"/>
          </w:tcPr>
          <w:p w14:paraId="318D5C93">
            <w:pPr>
              <w:jc w:val="center"/>
              <w:rPr>
                <w:rFonts w:hint="eastAsia"/>
                <w:b/>
                <w:bCs/>
                <w:color w:val="000000"/>
                <w:szCs w:val="21"/>
              </w:rPr>
            </w:pPr>
            <w:r>
              <w:rPr>
                <w:rFonts w:hint="eastAsia"/>
                <w:b/>
                <w:bCs/>
                <w:color w:val="000000"/>
                <w:szCs w:val="21"/>
              </w:rPr>
              <w:t>预期学习成效</w:t>
            </w:r>
          </w:p>
        </w:tc>
        <w:tc>
          <w:tcPr>
            <w:tcW w:w="1505" w:type="dxa"/>
            <w:noWrap w:val="0"/>
            <w:vAlign w:val="center"/>
          </w:tcPr>
          <w:p w14:paraId="3C5273AE">
            <w:pPr>
              <w:jc w:val="center"/>
              <w:rPr>
                <w:b/>
                <w:bCs/>
                <w:color w:val="000000"/>
                <w:szCs w:val="21"/>
              </w:rPr>
            </w:pPr>
            <w:r>
              <w:rPr>
                <w:rFonts w:hint="eastAsia"/>
                <w:b/>
                <w:bCs/>
                <w:color w:val="000000"/>
                <w:szCs w:val="21"/>
              </w:rPr>
              <w:t>实现环节</w:t>
            </w:r>
          </w:p>
        </w:tc>
        <w:tc>
          <w:tcPr>
            <w:tcW w:w="713" w:type="dxa"/>
            <w:noWrap w:val="0"/>
            <w:vAlign w:val="center"/>
          </w:tcPr>
          <w:p w14:paraId="0AACCF3A">
            <w:pPr>
              <w:jc w:val="center"/>
              <w:rPr>
                <w:rFonts w:hint="eastAsia"/>
                <w:b/>
                <w:bCs/>
                <w:color w:val="000000"/>
                <w:szCs w:val="21"/>
              </w:rPr>
            </w:pPr>
            <w:r>
              <w:rPr>
                <w:rFonts w:hint="eastAsia"/>
                <w:b/>
                <w:bCs/>
                <w:color w:val="000000"/>
                <w:szCs w:val="21"/>
              </w:rPr>
              <w:t>学时</w:t>
            </w:r>
          </w:p>
        </w:tc>
      </w:tr>
      <w:tr w14:paraId="7642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9" w:hRule="atLeast"/>
          <w:jc w:val="center"/>
        </w:trPr>
        <w:tc>
          <w:tcPr>
            <w:tcW w:w="1128" w:type="dxa"/>
            <w:vMerge w:val="restart"/>
            <w:noWrap w:val="0"/>
            <w:vAlign w:val="center"/>
          </w:tcPr>
          <w:p w14:paraId="51081301">
            <w:pPr>
              <w:jc w:val="left"/>
              <w:rPr>
                <w:rFonts w:hint="eastAsia" w:ascii="宋体" w:hAnsi="宋体"/>
                <w:color w:val="000000"/>
                <w:szCs w:val="21"/>
              </w:rPr>
            </w:pPr>
            <w:r>
              <w:rPr>
                <w:rFonts w:hint="eastAsia" w:ascii="宋体" w:hAnsi="宋体"/>
                <w:color w:val="000000"/>
                <w:szCs w:val="21"/>
              </w:rPr>
              <w:t>听力理解</w:t>
            </w:r>
          </w:p>
        </w:tc>
        <w:tc>
          <w:tcPr>
            <w:tcW w:w="1302" w:type="dxa"/>
            <w:noWrap w:val="0"/>
            <w:vAlign w:val="center"/>
          </w:tcPr>
          <w:p w14:paraId="7055C23A">
            <w:pPr>
              <w:jc w:val="left"/>
              <w:rPr>
                <w:rFonts w:hint="eastAsia" w:ascii="宋体" w:hAnsi="宋体"/>
                <w:bCs/>
                <w:color w:val="000000"/>
                <w:szCs w:val="21"/>
              </w:rPr>
            </w:pPr>
            <w:r>
              <w:rPr>
                <w:rFonts w:hint="eastAsia" w:ascii="宋体" w:hAnsi="宋体"/>
                <w:bCs/>
                <w:color w:val="000000"/>
                <w:szCs w:val="21"/>
              </w:rPr>
              <w:t>1.专业词汇</w:t>
            </w:r>
          </w:p>
          <w:p w14:paraId="01A8A55E">
            <w:pPr>
              <w:jc w:val="left"/>
              <w:rPr>
                <w:rFonts w:hint="eastAsia" w:ascii="宋体" w:hAnsi="宋体"/>
                <w:bCs/>
                <w:color w:val="000000"/>
                <w:szCs w:val="21"/>
              </w:rPr>
            </w:pPr>
            <w:r>
              <w:rPr>
                <w:rFonts w:hint="eastAsia" w:ascii="宋体" w:hAnsi="宋体"/>
                <w:bCs/>
                <w:color w:val="000000"/>
                <w:szCs w:val="21"/>
              </w:rPr>
              <w:t>2.重要细节捕捉</w:t>
            </w:r>
          </w:p>
          <w:p w14:paraId="4C1D06E9">
            <w:pPr>
              <w:widowControl/>
              <w:jc w:val="left"/>
              <w:rPr>
                <w:rFonts w:hint="eastAsia" w:ascii="宋体" w:hAnsi="宋体"/>
                <w:color w:val="000000"/>
                <w:kern w:val="0"/>
                <w:szCs w:val="21"/>
              </w:rPr>
            </w:pPr>
            <w:r>
              <w:rPr>
                <w:rFonts w:hint="eastAsia" w:ascii="宋体" w:hAnsi="宋体"/>
                <w:bCs/>
                <w:color w:val="000000"/>
                <w:szCs w:val="21"/>
              </w:rPr>
              <w:t>3.听力技巧</w:t>
            </w:r>
          </w:p>
          <w:p w14:paraId="76D11565">
            <w:pPr>
              <w:widowControl/>
              <w:jc w:val="left"/>
              <w:rPr>
                <w:rFonts w:hint="eastAsia" w:ascii="宋体" w:hAnsi="宋体"/>
                <w:color w:val="000000"/>
                <w:kern w:val="0"/>
                <w:szCs w:val="21"/>
              </w:rPr>
            </w:pPr>
          </w:p>
        </w:tc>
        <w:tc>
          <w:tcPr>
            <w:tcW w:w="1166" w:type="dxa"/>
            <w:noWrap w:val="0"/>
            <w:vAlign w:val="center"/>
          </w:tcPr>
          <w:p w14:paraId="6122CA55">
            <w:pPr>
              <w:autoSpaceDE w:val="0"/>
              <w:autoSpaceDN w:val="0"/>
              <w:adjustRightInd w:val="0"/>
              <w:spacing w:line="400" w:lineRule="exact"/>
              <w:jc w:val="left"/>
              <w:rPr>
                <w:rFonts w:hint="eastAsia" w:ascii="宋体" w:hAnsi="宋体"/>
                <w:color w:val="000000"/>
                <w:kern w:val="0"/>
                <w:szCs w:val="21"/>
                <w:lang w:val="zh-CN"/>
              </w:rPr>
            </w:pPr>
            <w:r>
              <w:rPr>
                <w:rFonts w:hint="eastAsia" w:ascii="宋体" w:hAnsi="宋体" w:cs="宋体"/>
                <w:color w:val="000000"/>
                <w:szCs w:val="21"/>
              </w:rPr>
              <w:t>课程目标1、2、3</w:t>
            </w:r>
          </w:p>
        </w:tc>
        <w:tc>
          <w:tcPr>
            <w:tcW w:w="2706" w:type="dxa"/>
            <w:noWrap w:val="0"/>
            <w:vAlign w:val="center"/>
          </w:tcPr>
          <w:p w14:paraId="03E9F2ED">
            <w:pPr>
              <w:jc w:val="left"/>
              <w:rPr>
                <w:rFonts w:hint="eastAsia" w:ascii="宋体" w:hAnsi="宋体"/>
                <w:bCs/>
                <w:color w:val="000000"/>
                <w:szCs w:val="21"/>
              </w:rPr>
            </w:pPr>
            <w:r>
              <w:rPr>
                <w:color w:val="000000"/>
                <w:kern w:val="0"/>
                <w:szCs w:val="21"/>
                <w:lang w:val="zh-CN"/>
              </w:rPr>
              <w:t>能听懂一般日常英语谈话和公告；能基本听懂题材熟悉、篇幅较长、语速中等的英语广播、电视节目和其他音视频材料，掌握中心大意，抓住要点和相关细节；能基本听懂用英语讲授的专业课程或与未来工作岗位、工作任务、产品等相关的口头介绍。能较好地运用听力技巧。</w:t>
            </w:r>
          </w:p>
        </w:tc>
        <w:tc>
          <w:tcPr>
            <w:tcW w:w="1505" w:type="dxa"/>
            <w:noWrap w:val="0"/>
            <w:vAlign w:val="center"/>
          </w:tcPr>
          <w:p w14:paraId="74323138">
            <w:pPr>
              <w:jc w:val="left"/>
              <w:rPr>
                <w:rFonts w:hint="eastAsia" w:ascii="宋体" w:hAnsi="宋体"/>
                <w:bCs/>
                <w:color w:val="000000"/>
                <w:szCs w:val="21"/>
              </w:rPr>
            </w:pPr>
            <w:r>
              <w:rPr>
                <w:rFonts w:hint="eastAsia" w:ascii="宋体" w:hAnsi="宋体"/>
                <w:bCs/>
                <w:color w:val="000000"/>
                <w:szCs w:val="21"/>
              </w:rPr>
              <w:t>1.线上学习</w:t>
            </w:r>
          </w:p>
          <w:p w14:paraId="07D6BDE0">
            <w:pPr>
              <w:jc w:val="left"/>
              <w:rPr>
                <w:rFonts w:hint="eastAsia" w:ascii="宋体" w:hAnsi="宋体"/>
                <w:bCs/>
                <w:color w:val="000000"/>
                <w:szCs w:val="21"/>
              </w:rPr>
            </w:pPr>
            <w:r>
              <w:rPr>
                <w:rFonts w:hint="eastAsia" w:ascii="宋体" w:hAnsi="宋体"/>
                <w:bCs/>
                <w:color w:val="000000"/>
                <w:szCs w:val="21"/>
              </w:rPr>
              <w:t>2.多媒体教学3.课堂讨论</w:t>
            </w:r>
          </w:p>
          <w:p w14:paraId="15F53753">
            <w:pPr>
              <w:jc w:val="left"/>
              <w:rPr>
                <w:rFonts w:ascii="宋体" w:hAnsi="宋体"/>
                <w:bCs/>
                <w:color w:val="000000"/>
                <w:szCs w:val="21"/>
              </w:rPr>
            </w:pPr>
            <w:r>
              <w:rPr>
                <w:rFonts w:hint="eastAsia" w:ascii="宋体" w:hAnsi="宋体"/>
                <w:bCs/>
                <w:color w:val="000000"/>
                <w:szCs w:val="21"/>
              </w:rPr>
              <w:t>4.作业、测试</w:t>
            </w:r>
          </w:p>
          <w:p w14:paraId="0C84366F">
            <w:pPr>
              <w:jc w:val="left"/>
              <w:rPr>
                <w:rFonts w:hint="eastAsia" w:ascii="宋体" w:hAnsi="宋体"/>
                <w:bCs/>
                <w:color w:val="000000"/>
                <w:szCs w:val="21"/>
              </w:rPr>
            </w:pPr>
          </w:p>
        </w:tc>
        <w:tc>
          <w:tcPr>
            <w:tcW w:w="713" w:type="dxa"/>
            <w:noWrap w:val="0"/>
            <w:vAlign w:val="center"/>
          </w:tcPr>
          <w:p w14:paraId="0B8759F0">
            <w:pPr>
              <w:jc w:val="left"/>
              <w:rPr>
                <w:rFonts w:hint="eastAsia" w:ascii="宋体" w:hAnsi="宋体"/>
                <w:bCs/>
                <w:color w:val="000000"/>
                <w:szCs w:val="21"/>
              </w:rPr>
            </w:pPr>
            <w:r>
              <w:rPr>
                <w:rFonts w:hint="eastAsia" w:ascii="宋体" w:hAnsi="宋体"/>
                <w:bCs/>
                <w:color w:val="000000"/>
                <w:szCs w:val="21"/>
              </w:rPr>
              <w:t>8</w:t>
            </w:r>
          </w:p>
        </w:tc>
      </w:tr>
      <w:tr w14:paraId="58DB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28" w:type="dxa"/>
            <w:vMerge w:val="continue"/>
            <w:noWrap w:val="0"/>
            <w:vAlign w:val="center"/>
          </w:tcPr>
          <w:p w14:paraId="37A588F7">
            <w:pPr>
              <w:jc w:val="left"/>
              <w:rPr>
                <w:rFonts w:hint="eastAsia" w:ascii="宋体" w:hAnsi="宋体"/>
                <w:color w:val="000000"/>
                <w:szCs w:val="21"/>
              </w:rPr>
            </w:pPr>
          </w:p>
        </w:tc>
        <w:tc>
          <w:tcPr>
            <w:tcW w:w="7392" w:type="dxa"/>
            <w:gridSpan w:val="5"/>
            <w:noWrap w:val="0"/>
            <w:vAlign w:val="center"/>
          </w:tcPr>
          <w:p w14:paraId="24672D02">
            <w:pPr>
              <w:widowControl/>
              <w:jc w:val="left"/>
              <w:rPr>
                <w:rFonts w:hint="eastAsia" w:ascii="宋体" w:hAnsi="宋体"/>
                <w:bCs/>
                <w:color w:val="000000"/>
                <w:szCs w:val="21"/>
              </w:rPr>
            </w:pPr>
            <w:r>
              <w:rPr>
                <w:rFonts w:hint="eastAsia" w:ascii="宋体" w:hAnsi="宋体"/>
                <w:bCs/>
                <w:color w:val="000000"/>
                <w:szCs w:val="21"/>
              </w:rPr>
              <w:t>课程思政目标：</w:t>
            </w:r>
            <w:r>
              <w:rPr>
                <w:rFonts w:hint="eastAsia" w:ascii="宋体" w:hAnsi="宋体"/>
                <w:color w:val="000000"/>
                <w:kern w:val="0"/>
                <w:szCs w:val="21"/>
              </w:rPr>
              <w:t>1.了解西方文化。 2.理性思考中西文化差异。3.树立文化自信。</w:t>
            </w:r>
          </w:p>
        </w:tc>
      </w:tr>
      <w:tr w14:paraId="3AD0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8" w:hRule="atLeast"/>
          <w:jc w:val="center"/>
        </w:trPr>
        <w:tc>
          <w:tcPr>
            <w:tcW w:w="1128" w:type="dxa"/>
            <w:vMerge w:val="restart"/>
            <w:noWrap w:val="0"/>
            <w:vAlign w:val="center"/>
          </w:tcPr>
          <w:p w14:paraId="19ADE8C2">
            <w:pPr>
              <w:rPr>
                <w:rFonts w:hint="eastAsia" w:ascii="宋体" w:hAnsi="宋体"/>
                <w:color w:val="000000"/>
                <w:szCs w:val="21"/>
              </w:rPr>
            </w:pPr>
            <w:r>
              <w:rPr>
                <w:rFonts w:hint="eastAsia" w:ascii="宋体" w:hAnsi="宋体"/>
                <w:color w:val="000000"/>
                <w:szCs w:val="21"/>
              </w:rPr>
              <w:t>口语表达</w:t>
            </w:r>
          </w:p>
        </w:tc>
        <w:tc>
          <w:tcPr>
            <w:tcW w:w="1302" w:type="dxa"/>
            <w:noWrap w:val="0"/>
            <w:vAlign w:val="center"/>
          </w:tcPr>
          <w:p w14:paraId="4A292A48">
            <w:pPr>
              <w:jc w:val="left"/>
              <w:rPr>
                <w:rFonts w:ascii="宋体" w:hAnsi="宋体"/>
                <w:bCs/>
                <w:color w:val="000000"/>
                <w:szCs w:val="21"/>
              </w:rPr>
            </w:pPr>
            <w:r>
              <w:rPr>
                <w:rFonts w:hint="eastAsia" w:ascii="宋体" w:hAnsi="宋体"/>
                <w:bCs/>
                <w:color w:val="000000"/>
                <w:szCs w:val="21"/>
              </w:rPr>
              <w:t>1.连读</w:t>
            </w:r>
          </w:p>
          <w:p w14:paraId="7317EB5A">
            <w:pPr>
              <w:jc w:val="left"/>
              <w:rPr>
                <w:rFonts w:ascii="宋体" w:hAnsi="宋体"/>
                <w:bCs/>
                <w:color w:val="000000"/>
                <w:szCs w:val="21"/>
              </w:rPr>
            </w:pPr>
            <w:r>
              <w:rPr>
                <w:rFonts w:hint="eastAsia" w:ascii="宋体" w:hAnsi="宋体"/>
                <w:bCs/>
                <w:color w:val="000000"/>
                <w:szCs w:val="21"/>
              </w:rPr>
              <w:t>2.观点陈述</w:t>
            </w:r>
          </w:p>
          <w:p w14:paraId="30F39910">
            <w:pPr>
              <w:widowControl/>
              <w:jc w:val="left"/>
              <w:rPr>
                <w:rFonts w:hint="eastAsia" w:ascii="宋体" w:hAnsi="宋体"/>
                <w:color w:val="000000"/>
                <w:kern w:val="0"/>
                <w:szCs w:val="21"/>
              </w:rPr>
            </w:pPr>
            <w:r>
              <w:rPr>
                <w:rFonts w:hint="eastAsia" w:ascii="宋体" w:hAnsi="宋体"/>
                <w:bCs/>
                <w:color w:val="000000"/>
                <w:szCs w:val="21"/>
              </w:rPr>
              <w:t>3.沟通技巧</w:t>
            </w:r>
          </w:p>
        </w:tc>
        <w:tc>
          <w:tcPr>
            <w:tcW w:w="1166" w:type="dxa"/>
            <w:noWrap w:val="0"/>
            <w:vAlign w:val="center"/>
          </w:tcPr>
          <w:p w14:paraId="2FBAE4EC">
            <w:pPr>
              <w:autoSpaceDE w:val="0"/>
              <w:autoSpaceDN w:val="0"/>
              <w:adjustRightInd w:val="0"/>
              <w:spacing w:line="400" w:lineRule="exact"/>
              <w:rPr>
                <w:rFonts w:hint="eastAsia" w:ascii="宋体" w:hAnsi="宋体"/>
                <w:color w:val="000000"/>
                <w:kern w:val="0"/>
                <w:szCs w:val="21"/>
                <w:lang w:val="zh-CN"/>
              </w:rPr>
            </w:pPr>
            <w:r>
              <w:rPr>
                <w:rFonts w:hint="eastAsia" w:ascii="宋体" w:hAnsi="宋体" w:cs="宋体"/>
                <w:color w:val="000000"/>
                <w:szCs w:val="21"/>
              </w:rPr>
              <w:t>课程目标1、2、3</w:t>
            </w:r>
          </w:p>
        </w:tc>
        <w:tc>
          <w:tcPr>
            <w:tcW w:w="2706" w:type="dxa"/>
            <w:noWrap w:val="0"/>
            <w:vAlign w:val="center"/>
          </w:tcPr>
          <w:p w14:paraId="31189CF4">
            <w:pPr>
              <w:jc w:val="left"/>
              <w:rPr>
                <w:rFonts w:hint="eastAsia" w:ascii="宋体" w:hAnsi="宋体"/>
                <w:bCs/>
                <w:color w:val="000000"/>
                <w:szCs w:val="21"/>
              </w:rPr>
            </w:pPr>
            <w:r>
              <w:rPr>
                <w:color w:val="000000"/>
                <w:kern w:val="0"/>
                <w:szCs w:val="21"/>
                <w:lang w:val="zh-CN"/>
              </w:rPr>
              <w:t>能用英语就一般性话题进行比较流利的会话；能较好地表达个人意见、情感、观点等；能陈述事实、理由和描述事件或物品等；能就熟悉的观点、概念、理论等进行阐述、解释、比较、总结等。语言组织结构清晰，语音、语调基本正确。能较好地运用口头表达与交流技巧。</w:t>
            </w:r>
          </w:p>
        </w:tc>
        <w:tc>
          <w:tcPr>
            <w:tcW w:w="1505" w:type="dxa"/>
            <w:noWrap w:val="0"/>
            <w:vAlign w:val="center"/>
          </w:tcPr>
          <w:p w14:paraId="7A846628">
            <w:pPr>
              <w:jc w:val="left"/>
              <w:rPr>
                <w:rFonts w:hint="eastAsia" w:ascii="宋体" w:hAnsi="宋体"/>
                <w:bCs/>
                <w:color w:val="000000"/>
                <w:szCs w:val="21"/>
              </w:rPr>
            </w:pPr>
            <w:r>
              <w:rPr>
                <w:rFonts w:hint="eastAsia" w:ascii="宋体" w:hAnsi="宋体"/>
                <w:bCs/>
                <w:color w:val="000000"/>
                <w:szCs w:val="21"/>
              </w:rPr>
              <w:t>1.线上学习</w:t>
            </w:r>
          </w:p>
          <w:p w14:paraId="2709F055">
            <w:pPr>
              <w:jc w:val="left"/>
              <w:rPr>
                <w:rFonts w:hint="eastAsia" w:ascii="宋体" w:hAnsi="宋体"/>
                <w:bCs/>
                <w:color w:val="000000"/>
                <w:szCs w:val="21"/>
              </w:rPr>
            </w:pPr>
            <w:r>
              <w:rPr>
                <w:rFonts w:hint="eastAsia" w:ascii="宋体" w:hAnsi="宋体"/>
                <w:bCs/>
                <w:color w:val="000000"/>
                <w:szCs w:val="21"/>
              </w:rPr>
              <w:t>2.多媒体教学3.课堂讨论</w:t>
            </w:r>
          </w:p>
          <w:p w14:paraId="1A60F919">
            <w:pPr>
              <w:jc w:val="left"/>
              <w:rPr>
                <w:rFonts w:hint="eastAsia" w:ascii="宋体" w:hAnsi="宋体"/>
                <w:bCs/>
                <w:color w:val="000000"/>
                <w:szCs w:val="21"/>
              </w:rPr>
            </w:pPr>
            <w:r>
              <w:rPr>
                <w:rFonts w:hint="eastAsia" w:ascii="宋体" w:hAnsi="宋体"/>
                <w:bCs/>
                <w:color w:val="000000"/>
                <w:szCs w:val="21"/>
              </w:rPr>
              <w:t>4.作业、测试</w:t>
            </w:r>
          </w:p>
          <w:p w14:paraId="69FDDFB7">
            <w:pPr>
              <w:jc w:val="left"/>
              <w:rPr>
                <w:rFonts w:hint="eastAsia" w:ascii="宋体" w:hAnsi="宋体"/>
                <w:bCs/>
                <w:color w:val="000000"/>
                <w:szCs w:val="21"/>
              </w:rPr>
            </w:pPr>
          </w:p>
        </w:tc>
        <w:tc>
          <w:tcPr>
            <w:tcW w:w="713" w:type="dxa"/>
            <w:noWrap w:val="0"/>
            <w:vAlign w:val="center"/>
          </w:tcPr>
          <w:p w14:paraId="44FBE0DB">
            <w:pPr>
              <w:jc w:val="left"/>
              <w:rPr>
                <w:rFonts w:hint="eastAsia" w:ascii="宋体" w:hAnsi="宋体"/>
                <w:bCs/>
                <w:color w:val="000000"/>
                <w:szCs w:val="21"/>
              </w:rPr>
            </w:pPr>
            <w:r>
              <w:rPr>
                <w:rFonts w:hint="eastAsia" w:ascii="宋体" w:hAnsi="宋体"/>
                <w:bCs/>
                <w:color w:val="000000"/>
                <w:szCs w:val="21"/>
              </w:rPr>
              <w:t>7</w:t>
            </w:r>
          </w:p>
        </w:tc>
      </w:tr>
      <w:tr w14:paraId="2181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128" w:type="dxa"/>
            <w:vMerge w:val="continue"/>
            <w:noWrap w:val="0"/>
            <w:vAlign w:val="center"/>
          </w:tcPr>
          <w:p w14:paraId="7D5B8422">
            <w:pPr>
              <w:rPr>
                <w:rFonts w:hint="eastAsia" w:ascii="宋体" w:hAnsi="宋体"/>
                <w:color w:val="000000"/>
                <w:szCs w:val="21"/>
              </w:rPr>
            </w:pPr>
          </w:p>
        </w:tc>
        <w:tc>
          <w:tcPr>
            <w:tcW w:w="7392" w:type="dxa"/>
            <w:gridSpan w:val="5"/>
            <w:noWrap w:val="0"/>
            <w:vAlign w:val="center"/>
          </w:tcPr>
          <w:p w14:paraId="59B63B30">
            <w:pPr>
              <w:widowControl/>
              <w:jc w:val="left"/>
              <w:rPr>
                <w:rFonts w:hint="eastAsia" w:ascii="宋体" w:hAnsi="宋体"/>
                <w:bCs/>
                <w:color w:val="000000"/>
                <w:szCs w:val="21"/>
              </w:rPr>
            </w:pPr>
            <w:r>
              <w:rPr>
                <w:rFonts w:hint="eastAsia" w:ascii="宋体" w:hAnsi="宋体"/>
                <w:color w:val="000000"/>
                <w:kern w:val="0"/>
                <w:szCs w:val="21"/>
              </w:rPr>
              <w:t>课程思政目标：1.克服焦虑，树立信心。 2.传播社会主义核心价值观、中国优秀传统文化。 3.讲好中国故事。</w:t>
            </w:r>
          </w:p>
        </w:tc>
      </w:tr>
      <w:tr w14:paraId="7FD0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4" w:hRule="atLeast"/>
          <w:jc w:val="center"/>
        </w:trPr>
        <w:tc>
          <w:tcPr>
            <w:tcW w:w="1128" w:type="dxa"/>
            <w:vMerge w:val="restart"/>
            <w:noWrap w:val="0"/>
            <w:vAlign w:val="center"/>
          </w:tcPr>
          <w:p w14:paraId="71AE2F26">
            <w:pPr>
              <w:rPr>
                <w:rFonts w:hint="eastAsia" w:ascii="宋体" w:hAnsi="宋体"/>
                <w:color w:val="000000"/>
                <w:szCs w:val="21"/>
              </w:rPr>
            </w:pPr>
            <w:r>
              <w:rPr>
                <w:rFonts w:hint="eastAsia" w:ascii="宋体" w:hAnsi="宋体"/>
                <w:color w:val="000000"/>
                <w:szCs w:val="21"/>
              </w:rPr>
              <w:t>阅读理解</w:t>
            </w:r>
          </w:p>
        </w:tc>
        <w:tc>
          <w:tcPr>
            <w:tcW w:w="1302" w:type="dxa"/>
            <w:noWrap w:val="0"/>
            <w:vAlign w:val="center"/>
          </w:tcPr>
          <w:p w14:paraId="25D5DD63">
            <w:pPr>
              <w:jc w:val="left"/>
              <w:rPr>
                <w:rFonts w:ascii="宋体" w:hAnsi="宋体"/>
                <w:bCs/>
                <w:color w:val="000000"/>
                <w:szCs w:val="21"/>
              </w:rPr>
            </w:pPr>
            <w:r>
              <w:rPr>
                <w:rFonts w:hint="eastAsia" w:ascii="宋体" w:hAnsi="宋体"/>
                <w:bCs/>
                <w:color w:val="000000"/>
                <w:szCs w:val="21"/>
              </w:rPr>
              <w:t>1.篇章结构理解</w:t>
            </w:r>
          </w:p>
          <w:p w14:paraId="457F75A0">
            <w:pPr>
              <w:jc w:val="left"/>
              <w:rPr>
                <w:rFonts w:ascii="宋体" w:hAnsi="宋体"/>
                <w:bCs/>
                <w:color w:val="000000"/>
                <w:szCs w:val="21"/>
              </w:rPr>
            </w:pPr>
            <w:r>
              <w:rPr>
                <w:rFonts w:hint="eastAsia" w:ascii="宋体" w:hAnsi="宋体"/>
                <w:bCs/>
                <w:color w:val="000000"/>
                <w:szCs w:val="21"/>
              </w:rPr>
              <w:t>2.文体分析</w:t>
            </w:r>
          </w:p>
          <w:p w14:paraId="2F0C3DCC">
            <w:pPr>
              <w:jc w:val="left"/>
              <w:rPr>
                <w:rFonts w:hint="eastAsia" w:ascii="宋体" w:hAnsi="宋体"/>
                <w:bCs/>
                <w:color w:val="000000"/>
                <w:szCs w:val="21"/>
              </w:rPr>
            </w:pPr>
            <w:r>
              <w:rPr>
                <w:rFonts w:hint="eastAsia" w:ascii="宋体" w:hAnsi="宋体"/>
                <w:bCs/>
                <w:color w:val="000000"/>
                <w:szCs w:val="21"/>
              </w:rPr>
              <w:t>3.文献阅读</w:t>
            </w:r>
          </w:p>
          <w:p w14:paraId="1F6A17D5">
            <w:pPr>
              <w:widowControl/>
              <w:jc w:val="left"/>
              <w:rPr>
                <w:rFonts w:hint="eastAsia" w:ascii="宋体" w:hAnsi="宋体"/>
                <w:color w:val="000000"/>
                <w:kern w:val="0"/>
                <w:szCs w:val="21"/>
              </w:rPr>
            </w:pPr>
            <w:r>
              <w:rPr>
                <w:rFonts w:hint="eastAsia" w:ascii="宋体" w:hAnsi="宋体"/>
                <w:bCs/>
                <w:color w:val="000000"/>
                <w:szCs w:val="21"/>
              </w:rPr>
              <w:t>4.微观阅读技巧</w:t>
            </w:r>
          </w:p>
        </w:tc>
        <w:tc>
          <w:tcPr>
            <w:tcW w:w="1166" w:type="dxa"/>
            <w:noWrap w:val="0"/>
            <w:vAlign w:val="center"/>
          </w:tcPr>
          <w:p w14:paraId="26A26A23">
            <w:pPr>
              <w:autoSpaceDE w:val="0"/>
              <w:autoSpaceDN w:val="0"/>
              <w:adjustRightInd w:val="0"/>
              <w:spacing w:line="400" w:lineRule="exact"/>
              <w:rPr>
                <w:rFonts w:hint="eastAsia" w:ascii="宋体" w:hAnsi="宋体"/>
                <w:color w:val="000000"/>
                <w:kern w:val="0"/>
                <w:szCs w:val="21"/>
                <w:lang w:val="zh-CN"/>
              </w:rPr>
            </w:pPr>
            <w:r>
              <w:rPr>
                <w:rFonts w:hint="eastAsia" w:ascii="宋体" w:hAnsi="宋体" w:cs="宋体"/>
                <w:color w:val="000000"/>
                <w:szCs w:val="21"/>
              </w:rPr>
              <w:t>课程目标1、2、3</w:t>
            </w:r>
          </w:p>
        </w:tc>
        <w:tc>
          <w:tcPr>
            <w:tcW w:w="2706" w:type="dxa"/>
            <w:noWrap w:val="0"/>
            <w:vAlign w:val="center"/>
          </w:tcPr>
          <w:p w14:paraId="1686C163">
            <w:pPr>
              <w:rPr>
                <w:rFonts w:hint="eastAsia" w:ascii="宋体" w:hAnsi="宋体"/>
                <w:bCs/>
                <w:color w:val="000000"/>
                <w:szCs w:val="21"/>
              </w:rPr>
            </w:pPr>
            <w:r>
              <w:rPr>
                <w:color w:val="000000"/>
                <w:kern w:val="0"/>
                <w:szCs w:val="21"/>
                <w:lang w:val="zh-CN"/>
              </w:rPr>
              <w:t>能基本读懂公开发表的英语报刊上一般性题材的文章；能阅读与所学专业相关的综述性文献，或与未来工作相关的说明书、操作手册等材料，理解中心大意、关键信息、文章的篇章结构和隐含意义等。能较好地运用快速阅读技巧阅读篇幅较长、难度中等的材料。能较好地运用常用的阅读策略。</w:t>
            </w:r>
          </w:p>
        </w:tc>
        <w:tc>
          <w:tcPr>
            <w:tcW w:w="1505" w:type="dxa"/>
            <w:noWrap w:val="0"/>
            <w:vAlign w:val="center"/>
          </w:tcPr>
          <w:p w14:paraId="0752231E">
            <w:pPr>
              <w:jc w:val="left"/>
              <w:rPr>
                <w:rFonts w:hint="eastAsia" w:ascii="宋体" w:hAnsi="宋体"/>
                <w:bCs/>
                <w:color w:val="000000"/>
                <w:szCs w:val="21"/>
              </w:rPr>
            </w:pPr>
            <w:r>
              <w:rPr>
                <w:rFonts w:hint="eastAsia" w:ascii="宋体" w:hAnsi="宋体"/>
                <w:bCs/>
                <w:color w:val="000000"/>
                <w:szCs w:val="21"/>
              </w:rPr>
              <w:t>1.线上学习</w:t>
            </w:r>
          </w:p>
          <w:p w14:paraId="63D0591D">
            <w:pPr>
              <w:jc w:val="left"/>
              <w:rPr>
                <w:rFonts w:hint="eastAsia" w:ascii="宋体" w:hAnsi="宋体"/>
                <w:bCs/>
                <w:color w:val="000000"/>
                <w:szCs w:val="21"/>
              </w:rPr>
            </w:pPr>
            <w:r>
              <w:rPr>
                <w:rFonts w:hint="eastAsia" w:ascii="宋体" w:hAnsi="宋体"/>
                <w:bCs/>
                <w:color w:val="000000"/>
                <w:szCs w:val="21"/>
              </w:rPr>
              <w:t>2.多媒体教学3.课堂讨论</w:t>
            </w:r>
          </w:p>
          <w:p w14:paraId="599EBE72">
            <w:pPr>
              <w:jc w:val="left"/>
              <w:rPr>
                <w:rFonts w:hint="eastAsia" w:ascii="宋体" w:hAnsi="宋体"/>
                <w:bCs/>
                <w:color w:val="000000"/>
                <w:szCs w:val="21"/>
              </w:rPr>
            </w:pPr>
            <w:r>
              <w:rPr>
                <w:rFonts w:hint="eastAsia" w:ascii="宋体" w:hAnsi="宋体"/>
                <w:bCs/>
                <w:color w:val="000000"/>
                <w:szCs w:val="21"/>
              </w:rPr>
              <w:t>4.作业、测试</w:t>
            </w:r>
          </w:p>
          <w:p w14:paraId="04FEAE47">
            <w:pPr>
              <w:rPr>
                <w:rFonts w:hint="eastAsia" w:ascii="宋体" w:hAnsi="宋体"/>
                <w:bCs/>
                <w:color w:val="000000"/>
                <w:szCs w:val="21"/>
              </w:rPr>
            </w:pPr>
          </w:p>
        </w:tc>
        <w:tc>
          <w:tcPr>
            <w:tcW w:w="713" w:type="dxa"/>
            <w:noWrap w:val="0"/>
            <w:vAlign w:val="center"/>
          </w:tcPr>
          <w:p w14:paraId="6B69AF7B">
            <w:pPr>
              <w:rPr>
                <w:rFonts w:ascii="宋体" w:hAnsi="宋体"/>
                <w:bCs/>
                <w:color w:val="000000"/>
                <w:szCs w:val="21"/>
              </w:rPr>
            </w:pPr>
            <w:r>
              <w:rPr>
                <w:rFonts w:hint="eastAsia" w:ascii="宋体" w:hAnsi="宋体"/>
                <w:bCs/>
                <w:color w:val="000000"/>
                <w:szCs w:val="21"/>
              </w:rPr>
              <w:t>15</w:t>
            </w:r>
          </w:p>
        </w:tc>
      </w:tr>
      <w:tr w14:paraId="2A6B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1128" w:type="dxa"/>
            <w:vMerge w:val="continue"/>
            <w:noWrap w:val="0"/>
            <w:vAlign w:val="center"/>
          </w:tcPr>
          <w:p w14:paraId="67EF4699">
            <w:pPr>
              <w:rPr>
                <w:rFonts w:hint="eastAsia" w:ascii="宋体" w:hAnsi="宋体"/>
                <w:color w:val="000000"/>
                <w:szCs w:val="21"/>
              </w:rPr>
            </w:pPr>
          </w:p>
        </w:tc>
        <w:tc>
          <w:tcPr>
            <w:tcW w:w="7392" w:type="dxa"/>
            <w:gridSpan w:val="5"/>
            <w:noWrap w:val="0"/>
            <w:vAlign w:val="center"/>
          </w:tcPr>
          <w:p w14:paraId="2F808380">
            <w:pPr>
              <w:widowControl/>
              <w:jc w:val="left"/>
              <w:rPr>
                <w:rFonts w:hint="eastAsia" w:ascii="宋体" w:hAnsi="宋体"/>
                <w:bCs/>
                <w:color w:val="000000"/>
                <w:szCs w:val="21"/>
              </w:rPr>
            </w:pPr>
            <w:r>
              <w:rPr>
                <w:rFonts w:hint="eastAsia" w:ascii="宋体" w:hAnsi="宋体"/>
                <w:color w:val="000000"/>
                <w:kern w:val="0"/>
                <w:szCs w:val="21"/>
              </w:rPr>
              <w:t>课程思政目标：1.理性思考中西文化差异。2.传播社会主义核心价值观、中国优秀传统文化。 3.树立文化自信。 4.提升职业素养</w:t>
            </w:r>
          </w:p>
        </w:tc>
      </w:tr>
      <w:tr w14:paraId="0418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0" w:hRule="atLeast"/>
          <w:jc w:val="center"/>
        </w:trPr>
        <w:tc>
          <w:tcPr>
            <w:tcW w:w="1128" w:type="dxa"/>
            <w:vMerge w:val="restart"/>
            <w:noWrap w:val="0"/>
            <w:vAlign w:val="center"/>
          </w:tcPr>
          <w:p w14:paraId="688FEB44">
            <w:pPr>
              <w:outlineLvl w:val="0"/>
              <w:rPr>
                <w:rFonts w:hint="eastAsia" w:ascii="宋体" w:hAnsi="宋体"/>
                <w:color w:val="000000"/>
                <w:szCs w:val="21"/>
              </w:rPr>
            </w:pPr>
            <w:r>
              <w:rPr>
                <w:rFonts w:hint="eastAsia" w:ascii="宋体" w:hAnsi="宋体"/>
                <w:color w:val="000000"/>
                <w:szCs w:val="21"/>
              </w:rPr>
              <w:t>书面表达</w:t>
            </w:r>
          </w:p>
        </w:tc>
        <w:tc>
          <w:tcPr>
            <w:tcW w:w="1302" w:type="dxa"/>
            <w:noWrap w:val="0"/>
            <w:vAlign w:val="center"/>
          </w:tcPr>
          <w:p w14:paraId="499995D0">
            <w:pPr>
              <w:jc w:val="left"/>
              <w:rPr>
                <w:rFonts w:ascii="宋体" w:hAnsi="宋体"/>
                <w:bCs/>
                <w:color w:val="000000"/>
                <w:szCs w:val="21"/>
              </w:rPr>
            </w:pPr>
            <w:r>
              <w:rPr>
                <w:rFonts w:hint="eastAsia" w:ascii="宋体" w:hAnsi="宋体"/>
                <w:bCs/>
                <w:color w:val="000000"/>
                <w:szCs w:val="21"/>
              </w:rPr>
              <w:t>1.段落开展</w:t>
            </w:r>
          </w:p>
          <w:p w14:paraId="2AF42C7F">
            <w:pPr>
              <w:jc w:val="left"/>
              <w:rPr>
                <w:rFonts w:ascii="宋体" w:hAnsi="宋体"/>
                <w:bCs/>
                <w:color w:val="000000"/>
                <w:szCs w:val="21"/>
              </w:rPr>
            </w:pPr>
            <w:r>
              <w:rPr>
                <w:rFonts w:hint="eastAsia" w:ascii="宋体" w:hAnsi="宋体"/>
                <w:bCs/>
                <w:color w:val="000000"/>
                <w:szCs w:val="21"/>
              </w:rPr>
              <w:t>2.语篇衔接</w:t>
            </w:r>
          </w:p>
          <w:p w14:paraId="1B4219ED">
            <w:pPr>
              <w:outlineLvl w:val="0"/>
              <w:rPr>
                <w:rFonts w:hint="eastAsia" w:ascii="宋体" w:hAnsi="宋体"/>
                <w:color w:val="000000"/>
                <w:kern w:val="0"/>
                <w:szCs w:val="21"/>
              </w:rPr>
            </w:pPr>
            <w:r>
              <w:rPr>
                <w:rFonts w:hint="eastAsia" w:ascii="宋体" w:hAnsi="宋体"/>
                <w:bCs/>
                <w:color w:val="000000"/>
                <w:szCs w:val="21"/>
              </w:rPr>
              <w:t>3.英文摘要写作</w:t>
            </w:r>
          </w:p>
        </w:tc>
        <w:tc>
          <w:tcPr>
            <w:tcW w:w="1166" w:type="dxa"/>
            <w:noWrap w:val="0"/>
            <w:vAlign w:val="center"/>
          </w:tcPr>
          <w:p w14:paraId="3694967E">
            <w:pPr>
              <w:autoSpaceDE w:val="0"/>
              <w:autoSpaceDN w:val="0"/>
              <w:adjustRightInd w:val="0"/>
              <w:spacing w:line="400" w:lineRule="exact"/>
              <w:rPr>
                <w:rFonts w:hint="eastAsia" w:ascii="宋体" w:hAnsi="宋体"/>
                <w:color w:val="000000"/>
                <w:kern w:val="0"/>
                <w:szCs w:val="21"/>
                <w:lang w:val="zh-CN"/>
              </w:rPr>
            </w:pPr>
            <w:r>
              <w:rPr>
                <w:rFonts w:hint="eastAsia" w:ascii="宋体" w:hAnsi="宋体" w:cs="宋体"/>
                <w:color w:val="000000"/>
                <w:szCs w:val="21"/>
              </w:rPr>
              <w:t>课程目标1、2、3</w:t>
            </w:r>
          </w:p>
        </w:tc>
        <w:tc>
          <w:tcPr>
            <w:tcW w:w="2706" w:type="dxa"/>
            <w:noWrap w:val="0"/>
            <w:vAlign w:val="center"/>
          </w:tcPr>
          <w:p w14:paraId="21B7FB0E">
            <w:pPr>
              <w:jc w:val="left"/>
              <w:rPr>
                <w:rFonts w:hint="eastAsia" w:ascii="宋体" w:hAnsi="宋体"/>
                <w:bCs/>
                <w:color w:val="000000"/>
                <w:szCs w:val="21"/>
              </w:rPr>
            </w:pPr>
            <w:r>
              <w:rPr>
                <w:color w:val="000000"/>
                <w:kern w:val="0"/>
                <w:szCs w:val="21"/>
                <w:lang w:val="zh-CN"/>
              </w:rPr>
              <w:t>能用英语就一般性的主题表达个人观点；能撰写所学专业论文的英文摘要和英语小论文；能描述各种图表；能用英语对未来所从事工作或岗位职能、业务、产品等进行简要的书面介绍，语言表达内容完整，观点明确，条理清楚，语句通顺。能较好地运用常用的书面表达与交流技巧。</w:t>
            </w:r>
          </w:p>
        </w:tc>
        <w:tc>
          <w:tcPr>
            <w:tcW w:w="1505" w:type="dxa"/>
            <w:noWrap w:val="0"/>
            <w:vAlign w:val="center"/>
          </w:tcPr>
          <w:p w14:paraId="372C0EB7">
            <w:pPr>
              <w:jc w:val="left"/>
              <w:rPr>
                <w:rFonts w:hint="eastAsia" w:ascii="宋体" w:hAnsi="宋体"/>
                <w:bCs/>
                <w:color w:val="000000"/>
                <w:szCs w:val="21"/>
              </w:rPr>
            </w:pPr>
            <w:r>
              <w:rPr>
                <w:rFonts w:hint="eastAsia" w:ascii="宋体" w:hAnsi="宋体"/>
                <w:bCs/>
                <w:color w:val="000000"/>
                <w:szCs w:val="21"/>
              </w:rPr>
              <w:t>1.线上学习</w:t>
            </w:r>
          </w:p>
          <w:p w14:paraId="6402B52C">
            <w:pPr>
              <w:jc w:val="left"/>
              <w:rPr>
                <w:rFonts w:hint="eastAsia" w:ascii="宋体" w:hAnsi="宋体"/>
                <w:bCs/>
                <w:color w:val="000000"/>
                <w:szCs w:val="21"/>
              </w:rPr>
            </w:pPr>
            <w:r>
              <w:rPr>
                <w:rFonts w:hint="eastAsia" w:ascii="宋体" w:hAnsi="宋体"/>
                <w:bCs/>
                <w:color w:val="000000"/>
                <w:szCs w:val="21"/>
              </w:rPr>
              <w:t>2.多媒体教学3.课堂讨论</w:t>
            </w:r>
          </w:p>
          <w:p w14:paraId="1AE837A6">
            <w:pPr>
              <w:jc w:val="left"/>
              <w:rPr>
                <w:rFonts w:hint="eastAsia" w:ascii="宋体" w:hAnsi="宋体"/>
                <w:bCs/>
                <w:color w:val="000000"/>
                <w:szCs w:val="21"/>
              </w:rPr>
            </w:pPr>
            <w:r>
              <w:rPr>
                <w:rFonts w:hint="eastAsia" w:ascii="宋体" w:hAnsi="宋体"/>
                <w:bCs/>
                <w:color w:val="000000"/>
                <w:szCs w:val="21"/>
              </w:rPr>
              <w:t>4.作业、测试</w:t>
            </w:r>
          </w:p>
          <w:p w14:paraId="239BFD50">
            <w:pPr>
              <w:jc w:val="left"/>
              <w:rPr>
                <w:rFonts w:hint="eastAsia" w:ascii="宋体" w:hAnsi="宋体"/>
                <w:bCs/>
                <w:color w:val="000000"/>
                <w:szCs w:val="21"/>
              </w:rPr>
            </w:pPr>
          </w:p>
        </w:tc>
        <w:tc>
          <w:tcPr>
            <w:tcW w:w="713" w:type="dxa"/>
            <w:noWrap w:val="0"/>
            <w:vAlign w:val="center"/>
          </w:tcPr>
          <w:p w14:paraId="67F6668E">
            <w:pPr>
              <w:jc w:val="left"/>
              <w:rPr>
                <w:rFonts w:ascii="宋体" w:hAnsi="宋体"/>
                <w:bCs/>
                <w:color w:val="000000"/>
                <w:szCs w:val="21"/>
              </w:rPr>
            </w:pPr>
            <w:r>
              <w:rPr>
                <w:rFonts w:hint="eastAsia" w:ascii="宋体" w:hAnsi="宋体"/>
                <w:bCs/>
                <w:color w:val="000000"/>
                <w:szCs w:val="21"/>
              </w:rPr>
              <w:t>7</w:t>
            </w:r>
          </w:p>
        </w:tc>
      </w:tr>
      <w:tr w14:paraId="1F56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128" w:type="dxa"/>
            <w:vMerge w:val="continue"/>
            <w:noWrap w:val="0"/>
            <w:vAlign w:val="center"/>
          </w:tcPr>
          <w:p w14:paraId="03B9C5A0">
            <w:pPr>
              <w:outlineLvl w:val="0"/>
              <w:rPr>
                <w:rFonts w:hint="eastAsia" w:ascii="宋体" w:hAnsi="宋体"/>
                <w:color w:val="000000"/>
                <w:szCs w:val="21"/>
              </w:rPr>
            </w:pPr>
          </w:p>
        </w:tc>
        <w:tc>
          <w:tcPr>
            <w:tcW w:w="7392" w:type="dxa"/>
            <w:gridSpan w:val="5"/>
            <w:noWrap w:val="0"/>
            <w:vAlign w:val="center"/>
          </w:tcPr>
          <w:p w14:paraId="292B4830">
            <w:pPr>
              <w:widowControl/>
              <w:jc w:val="left"/>
              <w:rPr>
                <w:rFonts w:ascii="宋体" w:hAnsi="宋体"/>
                <w:bCs/>
                <w:color w:val="000000"/>
                <w:szCs w:val="21"/>
              </w:rPr>
            </w:pPr>
            <w:r>
              <w:rPr>
                <w:rFonts w:hint="eastAsia" w:ascii="宋体" w:hAnsi="宋体"/>
                <w:bCs/>
                <w:color w:val="000000"/>
                <w:szCs w:val="21"/>
              </w:rPr>
              <w:t>课程思政目标：</w:t>
            </w:r>
            <w:r>
              <w:rPr>
                <w:rFonts w:hint="eastAsia" w:ascii="宋体" w:hAnsi="宋体"/>
                <w:color w:val="000000"/>
                <w:kern w:val="0"/>
                <w:szCs w:val="21"/>
              </w:rPr>
              <w:t>1.理性思考中西文化差异。 2.传播社会主义核心价值观、中国优秀传统文化。 3.讲好中国故事。 4.提升职业素养</w:t>
            </w:r>
          </w:p>
        </w:tc>
      </w:tr>
      <w:tr w14:paraId="2B6A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jc w:val="center"/>
        </w:trPr>
        <w:tc>
          <w:tcPr>
            <w:tcW w:w="1128" w:type="dxa"/>
            <w:vMerge w:val="restart"/>
            <w:noWrap w:val="0"/>
            <w:vAlign w:val="center"/>
          </w:tcPr>
          <w:p w14:paraId="42DF8737">
            <w:pPr>
              <w:outlineLvl w:val="0"/>
              <w:rPr>
                <w:rFonts w:hint="eastAsia" w:ascii="宋体" w:hAnsi="宋体"/>
                <w:color w:val="000000"/>
                <w:szCs w:val="21"/>
              </w:rPr>
            </w:pPr>
            <w:r>
              <w:rPr>
                <w:rFonts w:hint="eastAsia" w:ascii="宋体" w:hAnsi="宋体"/>
                <w:color w:val="000000"/>
                <w:szCs w:val="21"/>
              </w:rPr>
              <w:t>翻译</w:t>
            </w:r>
          </w:p>
        </w:tc>
        <w:tc>
          <w:tcPr>
            <w:tcW w:w="1302" w:type="dxa"/>
            <w:noWrap w:val="0"/>
            <w:vAlign w:val="center"/>
          </w:tcPr>
          <w:p w14:paraId="3D154F9F">
            <w:pPr>
              <w:jc w:val="left"/>
              <w:rPr>
                <w:rFonts w:ascii="宋体" w:hAnsi="宋体"/>
                <w:bCs/>
                <w:color w:val="000000"/>
                <w:szCs w:val="21"/>
              </w:rPr>
            </w:pPr>
            <w:r>
              <w:rPr>
                <w:rFonts w:hint="eastAsia" w:ascii="宋体" w:hAnsi="宋体"/>
                <w:bCs/>
                <w:color w:val="000000"/>
                <w:szCs w:val="21"/>
              </w:rPr>
              <w:t>1.专业词汇</w:t>
            </w:r>
          </w:p>
          <w:p w14:paraId="55628D9E">
            <w:pPr>
              <w:jc w:val="left"/>
              <w:rPr>
                <w:rFonts w:ascii="宋体" w:hAnsi="宋体"/>
                <w:bCs/>
                <w:color w:val="000000"/>
                <w:szCs w:val="21"/>
              </w:rPr>
            </w:pPr>
            <w:r>
              <w:rPr>
                <w:rFonts w:hint="eastAsia" w:ascii="宋体" w:hAnsi="宋体"/>
                <w:bCs/>
                <w:color w:val="000000"/>
                <w:szCs w:val="21"/>
              </w:rPr>
              <w:t>2.中西文化差异</w:t>
            </w:r>
          </w:p>
          <w:p w14:paraId="389823E3">
            <w:pPr>
              <w:widowControl/>
              <w:rPr>
                <w:rFonts w:hint="eastAsia" w:ascii="宋体" w:hAnsi="宋体"/>
                <w:color w:val="000000"/>
                <w:kern w:val="0"/>
                <w:szCs w:val="21"/>
              </w:rPr>
            </w:pPr>
            <w:r>
              <w:rPr>
                <w:rFonts w:hint="eastAsia" w:ascii="宋体" w:hAnsi="宋体"/>
                <w:bCs/>
                <w:color w:val="000000"/>
                <w:szCs w:val="21"/>
              </w:rPr>
              <w:t>3.翻译理论</w:t>
            </w:r>
          </w:p>
        </w:tc>
        <w:tc>
          <w:tcPr>
            <w:tcW w:w="1166" w:type="dxa"/>
            <w:noWrap w:val="0"/>
            <w:vAlign w:val="center"/>
          </w:tcPr>
          <w:p w14:paraId="4FEE9880">
            <w:pPr>
              <w:autoSpaceDE w:val="0"/>
              <w:autoSpaceDN w:val="0"/>
              <w:adjustRightInd w:val="0"/>
              <w:spacing w:line="400" w:lineRule="exact"/>
              <w:rPr>
                <w:rFonts w:hint="eastAsia" w:ascii="宋体" w:hAnsi="宋体"/>
                <w:color w:val="000000"/>
                <w:kern w:val="0"/>
                <w:szCs w:val="21"/>
                <w:lang w:val="zh-CN"/>
              </w:rPr>
            </w:pPr>
            <w:r>
              <w:rPr>
                <w:rFonts w:hint="eastAsia" w:ascii="宋体" w:hAnsi="宋体" w:cs="宋体"/>
                <w:color w:val="000000"/>
                <w:szCs w:val="21"/>
              </w:rPr>
              <w:t>课程目标1、2、3</w:t>
            </w:r>
          </w:p>
        </w:tc>
        <w:tc>
          <w:tcPr>
            <w:tcW w:w="2706" w:type="dxa"/>
            <w:noWrap w:val="0"/>
            <w:vAlign w:val="center"/>
          </w:tcPr>
          <w:p w14:paraId="5094E6FF">
            <w:pPr>
              <w:jc w:val="left"/>
              <w:rPr>
                <w:rFonts w:hint="eastAsia" w:ascii="宋体" w:hAnsi="宋体"/>
                <w:bCs/>
                <w:color w:val="000000"/>
                <w:szCs w:val="21"/>
              </w:rPr>
            </w:pPr>
            <w:r>
              <w:rPr>
                <w:color w:val="000000"/>
                <w:kern w:val="0"/>
                <w:szCs w:val="21"/>
                <w:lang w:val="zh-CN"/>
              </w:rPr>
              <w:t>能摘译题材熟悉，以及与所学专业或未来所从事工作岗位相关，语言难度一般的文献资料；能借助词典翻译体裁较为正式，题材熟悉的文章。理解正确，译文基本达意，语言表达清晰。能运用较常用的翻译技巧。</w:t>
            </w:r>
          </w:p>
        </w:tc>
        <w:tc>
          <w:tcPr>
            <w:tcW w:w="1505" w:type="dxa"/>
            <w:noWrap w:val="0"/>
            <w:vAlign w:val="center"/>
          </w:tcPr>
          <w:p w14:paraId="531C5EAD">
            <w:pPr>
              <w:jc w:val="left"/>
              <w:rPr>
                <w:rFonts w:hint="eastAsia" w:ascii="宋体" w:hAnsi="宋体"/>
                <w:bCs/>
                <w:color w:val="000000"/>
                <w:szCs w:val="21"/>
              </w:rPr>
            </w:pPr>
            <w:r>
              <w:rPr>
                <w:rFonts w:hint="eastAsia" w:ascii="宋体" w:hAnsi="宋体"/>
                <w:bCs/>
                <w:color w:val="000000"/>
                <w:szCs w:val="21"/>
              </w:rPr>
              <w:t>1.线上学习</w:t>
            </w:r>
          </w:p>
          <w:p w14:paraId="29BD1A7F">
            <w:pPr>
              <w:jc w:val="left"/>
              <w:rPr>
                <w:rFonts w:hint="eastAsia" w:ascii="宋体" w:hAnsi="宋体"/>
                <w:bCs/>
                <w:color w:val="000000"/>
                <w:szCs w:val="21"/>
              </w:rPr>
            </w:pPr>
            <w:r>
              <w:rPr>
                <w:rFonts w:hint="eastAsia" w:ascii="宋体" w:hAnsi="宋体"/>
                <w:bCs/>
                <w:color w:val="000000"/>
                <w:szCs w:val="21"/>
              </w:rPr>
              <w:t>2.多媒体教学3.课堂讨论</w:t>
            </w:r>
          </w:p>
          <w:p w14:paraId="66AA3A1A">
            <w:pPr>
              <w:jc w:val="left"/>
              <w:rPr>
                <w:rFonts w:hint="eastAsia" w:ascii="宋体" w:hAnsi="宋体"/>
                <w:bCs/>
                <w:color w:val="000000"/>
                <w:szCs w:val="21"/>
              </w:rPr>
            </w:pPr>
            <w:r>
              <w:rPr>
                <w:rFonts w:hint="eastAsia" w:ascii="宋体" w:hAnsi="宋体"/>
                <w:bCs/>
                <w:color w:val="000000"/>
                <w:szCs w:val="21"/>
              </w:rPr>
              <w:t>4.作业、测试</w:t>
            </w:r>
          </w:p>
          <w:p w14:paraId="2A92367F">
            <w:pPr>
              <w:jc w:val="left"/>
              <w:rPr>
                <w:rFonts w:hint="eastAsia" w:ascii="宋体" w:hAnsi="宋体"/>
                <w:bCs/>
                <w:color w:val="000000"/>
                <w:szCs w:val="21"/>
              </w:rPr>
            </w:pPr>
          </w:p>
        </w:tc>
        <w:tc>
          <w:tcPr>
            <w:tcW w:w="713" w:type="dxa"/>
            <w:noWrap w:val="0"/>
            <w:vAlign w:val="center"/>
          </w:tcPr>
          <w:p w14:paraId="4217B8C9">
            <w:pPr>
              <w:jc w:val="left"/>
              <w:rPr>
                <w:rFonts w:ascii="宋体" w:hAnsi="宋体"/>
                <w:bCs/>
                <w:color w:val="000000"/>
                <w:szCs w:val="21"/>
              </w:rPr>
            </w:pPr>
            <w:r>
              <w:rPr>
                <w:rFonts w:hint="eastAsia" w:ascii="宋体" w:hAnsi="宋体"/>
                <w:bCs/>
                <w:color w:val="000000"/>
                <w:szCs w:val="21"/>
              </w:rPr>
              <w:t>6</w:t>
            </w:r>
          </w:p>
        </w:tc>
      </w:tr>
      <w:tr w14:paraId="330C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128" w:type="dxa"/>
            <w:vMerge w:val="continue"/>
            <w:noWrap w:val="0"/>
            <w:vAlign w:val="center"/>
          </w:tcPr>
          <w:p w14:paraId="7032645A">
            <w:pPr>
              <w:outlineLvl w:val="0"/>
              <w:rPr>
                <w:rFonts w:hint="eastAsia" w:ascii="宋体" w:hAnsi="宋体"/>
                <w:color w:val="000000"/>
                <w:szCs w:val="21"/>
              </w:rPr>
            </w:pPr>
          </w:p>
        </w:tc>
        <w:tc>
          <w:tcPr>
            <w:tcW w:w="7392" w:type="dxa"/>
            <w:gridSpan w:val="5"/>
            <w:noWrap w:val="0"/>
            <w:vAlign w:val="center"/>
          </w:tcPr>
          <w:p w14:paraId="5A5BD76C">
            <w:pPr>
              <w:widowControl/>
              <w:jc w:val="left"/>
              <w:rPr>
                <w:rFonts w:ascii="宋体" w:hAnsi="宋体"/>
                <w:bCs/>
                <w:color w:val="000000"/>
                <w:szCs w:val="21"/>
              </w:rPr>
            </w:pPr>
            <w:r>
              <w:rPr>
                <w:rFonts w:hint="eastAsia" w:ascii="宋体" w:hAnsi="宋体"/>
                <w:bCs/>
                <w:color w:val="000000"/>
                <w:szCs w:val="21"/>
              </w:rPr>
              <w:t>课程思政目标：</w:t>
            </w:r>
            <w:r>
              <w:rPr>
                <w:rFonts w:hint="eastAsia" w:ascii="宋体" w:hAnsi="宋体"/>
                <w:color w:val="000000"/>
                <w:kern w:val="0"/>
                <w:szCs w:val="21"/>
              </w:rPr>
              <w:t>1.理性思考中西文化差异。 2.传播社会主义核心价值观、中国优秀传统文化。 3.讲好中国故事。 4.提升职业素养</w:t>
            </w:r>
          </w:p>
        </w:tc>
      </w:tr>
      <w:tr w14:paraId="1E85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dxa"/>
            <w:noWrap w:val="0"/>
            <w:vAlign w:val="center"/>
          </w:tcPr>
          <w:p w14:paraId="2B4D1B46">
            <w:pPr>
              <w:rPr>
                <w:rFonts w:hint="eastAsia" w:ascii="宋体" w:hAnsi="宋体"/>
                <w:color w:val="000000"/>
                <w:kern w:val="0"/>
                <w:szCs w:val="21"/>
              </w:rPr>
            </w:pPr>
            <w:r>
              <w:rPr>
                <w:rFonts w:hint="eastAsia" w:ascii="宋体" w:hAnsi="宋体"/>
                <w:color w:val="000000"/>
                <w:kern w:val="0"/>
                <w:szCs w:val="21"/>
              </w:rPr>
              <w:t>网络平台自主学习</w:t>
            </w:r>
          </w:p>
        </w:tc>
        <w:tc>
          <w:tcPr>
            <w:tcW w:w="1302" w:type="dxa"/>
            <w:noWrap w:val="0"/>
            <w:vAlign w:val="center"/>
          </w:tcPr>
          <w:p w14:paraId="0E902221">
            <w:pPr>
              <w:jc w:val="left"/>
              <w:rPr>
                <w:rFonts w:ascii="宋体" w:hAnsi="宋体"/>
                <w:color w:val="000000"/>
                <w:szCs w:val="21"/>
              </w:rPr>
            </w:pPr>
            <w:r>
              <w:rPr>
                <w:rFonts w:hint="eastAsia" w:ascii="宋体" w:hAnsi="宋体"/>
                <w:color w:val="000000"/>
                <w:szCs w:val="21"/>
              </w:rPr>
              <w:t>发现问题</w:t>
            </w:r>
          </w:p>
          <w:p w14:paraId="6D25F225">
            <w:pPr>
              <w:rPr>
                <w:rFonts w:ascii="宋体" w:hAnsi="宋体"/>
                <w:color w:val="000000"/>
                <w:kern w:val="0"/>
                <w:szCs w:val="21"/>
              </w:rPr>
            </w:pPr>
            <w:r>
              <w:rPr>
                <w:rFonts w:hint="eastAsia" w:ascii="宋体" w:hAnsi="宋体"/>
                <w:color w:val="000000"/>
                <w:szCs w:val="21"/>
              </w:rPr>
              <w:t>分析问题</w:t>
            </w:r>
          </w:p>
        </w:tc>
        <w:tc>
          <w:tcPr>
            <w:tcW w:w="1166" w:type="dxa"/>
            <w:noWrap w:val="0"/>
            <w:vAlign w:val="center"/>
          </w:tcPr>
          <w:p w14:paraId="460107AC">
            <w:pPr>
              <w:rPr>
                <w:rFonts w:ascii="宋体" w:hAnsi="宋体"/>
                <w:color w:val="000000"/>
                <w:szCs w:val="21"/>
              </w:rPr>
            </w:pPr>
            <w:r>
              <w:rPr>
                <w:rFonts w:hint="eastAsia" w:ascii="宋体" w:hAnsi="宋体" w:cs="宋体"/>
                <w:color w:val="000000"/>
                <w:szCs w:val="21"/>
              </w:rPr>
              <w:t>课程目标1、2、3</w:t>
            </w:r>
          </w:p>
        </w:tc>
        <w:tc>
          <w:tcPr>
            <w:tcW w:w="2706" w:type="dxa"/>
            <w:noWrap w:val="0"/>
            <w:vAlign w:val="center"/>
          </w:tcPr>
          <w:p w14:paraId="68D8D040">
            <w:pPr>
              <w:jc w:val="left"/>
              <w:rPr>
                <w:rFonts w:hint="eastAsia" w:ascii="宋体" w:hAnsi="宋体"/>
                <w:color w:val="000000"/>
                <w:szCs w:val="21"/>
              </w:rPr>
            </w:pPr>
            <w:r>
              <w:rPr>
                <w:rFonts w:hint="eastAsia" w:ascii="宋体" w:hAnsi="宋体"/>
                <w:color w:val="000000"/>
                <w:szCs w:val="21"/>
              </w:rPr>
              <w:t>掌握有效的学习方法和学习策略。具有终身学习意识。</w:t>
            </w:r>
          </w:p>
        </w:tc>
        <w:tc>
          <w:tcPr>
            <w:tcW w:w="1505" w:type="dxa"/>
            <w:noWrap w:val="0"/>
            <w:vAlign w:val="center"/>
          </w:tcPr>
          <w:p w14:paraId="3BDC848E">
            <w:pPr>
              <w:numPr>
                <w:ilvl w:val="0"/>
                <w:numId w:val="9"/>
              </w:numPr>
              <w:jc w:val="left"/>
              <w:rPr>
                <w:rFonts w:hint="eastAsia" w:ascii="宋体" w:hAnsi="宋体"/>
                <w:bCs/>
                <w:color w:val="000000"/>
                <w:szCs w:val="21"/>
              </w:rPr>
            </w:pPr>
            <w:r>
              <w:rPr>
                <w:rFonts w:hint="eastAsia" w:ascii="宋体" w:hAnsi="宋体"/>
                <w:bCs/>
                <w:color w:val="000000"/>
                <w:szCs w:val="21"/>
              </w:rPr>
              <w:t>线上学习</w:t>
            </w:r>
          </w:p>
          <w:p w14:paraId="29707EBE">
            <w:pPr>
              <w:numPr>
                <w:ilvl w:val="0"/>
                <w:numId w:val="9"/>
              </w:numPr>
              <w:jc w:val="left"/>
              <w:rPr>
                <w:rFonts w:hint="eastAsia" w:ascii="宋体" w:hAnsi="宋体"/>
                <w:bCs/>
                <w:color w:val="000000"/>
                <w:szCs w:val="21"/>
              </w:rPr>
            </w:pPr>
            <w:r>
              <w:rPr>
                <w:rFonts w:hint="eastAsia" w:ascii="宋体" w:hAnsi="宋体"/>
                <w:bCs/>
                <w:color w:val="000000"/>
                <w:szCs w:val="21"/>
              </w:rPr>
              <w:t>作业、测试</w:t>
            </w:r>
          </w:p>
          <w:p w14:paraId="7BA5C4A7">
            <w:pPr>
              <w:jc w:val="left"/>
              <w:rPr>
                <w:rFonts w:hint="eastAsia" w:ascii="宋体" w:hAnsi="宋体"/>
                <w:color w:val="000000"/>
                <w:szCs w:val="21"/>
              </w:rPr>
            </w:pPr>
          </w:p>
        </w:tc>
        <w:tc>
          <w:tcPr>
            <w:tcW w:w="713" w:type="dxa"/>
            <w:noWrap w:val="0"/>
            <w:vAlign w:val="center"/>
          </w:tcPr>
          <w:p w14:paraId="61C965D1">
            <w:pPr>
              <w:jc w:val="left"/>
              <w:rPr>
                <w:rFonts w:hint="eastAsia" w:ascii="宋体" w:hAnsi="宋体"/>
                <w:color w:val="000000"/>
                <w:szCs w:val="21"/>
              </w:rPr>
            </w:pPr>
            <w:r>
              <w:rPr>
                <w:rFonts w:hint="eastAsia" w:ascii="宋体" w:hAnsi="宋体"/>
                <w:color w:val="000000"/>
                <w:szCs w:val="21"/>
              </w:rPr>
              <w:t>5</w:t>
            </w:r>
          </w:p>
        </w:tc>
      </w:tr>
    </w:tbl>
    <w:p w14:paraId="5C07536D">
      <w:pPr>
        <w:spacing w:line="360" w:lineRule="auto"/>
        <w:rPr>
          <w:rFonts w:hint="eastAsia"/>
          <w:b/>
          <w:color w:val="000000"/>
          <w:sz w:val="28"/>
          <w:szCs w:val="28"/>
        </w:rPr>
      </w:pPr>
    </w:p>
    <w:p w14:paraId="1A738E74">
      <w:pPr>
        <w:numPr>
          <w:ilvl w:val="0"/>
          <w:numId w:val="8"/>
        </w:numPr>
        <w:spacing w:line="360" w:lineRule="auto"/>
        <w:rPr>
          <w:b/>
          <w:color w:val="000000"/>
          <w:sz w:val="24"/>
        </w:rPr>
      </w:pPr>
      <w:r>
        <w:rPr>
          <w:rFonts w:hint="eastAsia"/>
          <w:b/>
          <w:color w:val="000000"/>
          <w:sz w:val="24"/>
        </w:rPr>
        <w:t>目标评价与成绩评定</w:t>
      </w:r>
    </w:p>
    <w:p w14:paraId="63626C94">
      <w:pPr>
        <w:numPr>
          <w:ilvl w:val="0"/>
          <w:numId w:val="10"/>
        </w:numPr>
        <w:spacing w:line="360" w:lineRule="auto"/>
        <w:rPr>
          <w:rFonts w:hint="eastAsia"/>
          <w:b/>
          <w:color w:val="000000"/>
          <w:sz w:val="24"/>
        </w:rPr>
      </w:pPr>
      <w:r>
        <w:rPr>
          <w:rFonts w:hint="eastAsia"/>
          <w:b/>
          <w:color w:val="000000"/>
          <w:sz w:val="24"/>
        </w:rPr>
        <w:t>课程目标评价方式</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847"/>
        <w:gridCol w:w="849"/>
        <w:gridCol w:w="849"/>
        <w:gridCol w:w="849"/>
        <w:gridCol w:w="849"/>
        <w:gridCol w:w="760"/>
        <w:gridCol w:w="90"/>
        <w:gridCol w:w="857"/>
        <w:gridCol w:w="945"/>
      </w:tblGrid>
      <w:tr w14:paraId="71D8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Merge w:val="restart"/>
            <w:shd w:val="clear" w:color="auto" w:fill="auto"/>
            <w:noWrap w:val="0"/>
            <w:vAlign w:val="center"/>
          </w:tcPr>
          <w:p w14:paraId="477BBE92">
            <w:pPr>
              <w:spacing w:line="360" w:lineRule="auto"/>
              <w:jc w:val="center"/>
              <w:rPr>
                <w:bCs/>
                <w:color w:val="000000"/>
                <w:sz w:val="24"/>
              </w:rPr>
            </w:pPr>
            <w:r>
              <w:rPr>
                <w:rFonts w:hint="eastAsia"/>
                <w:bCs/>
                <w:color w:val="000000"/>
                <w:sz w:val="24"/>
              </w:rPr>
              <w:t>课程目标</w:t>
            </w:r>
          </w:p>
        </w:tc>
        <w:tc>
          <w:tcPr>
            <w:tcW w:w="2935" w:type="pct"/>
            <w:gridSpan w:val="6"/>
            <w:shd w:val="clear" w:color="auto" w:fill="auto"/>
            <w:noWrap w:val="0"/>
            <w:vAlign w:val="top"/>
          </w:tcPr>
          <w:p w14:paraId="11F43284">
            <w:pPr>
              <w:spacing w:line="360" w:lineRule="auto"/>
              <w:jc w:val="center"/>
              <w:rPr>
                <w:bCs/>
                <w:color w:val="000000"/>
                <w:sz w:val="24"/>
              </w:rPr>
            </w:pPr>
            <w:r>
              <w:rPr>
                <w:rFonts w:hint="eastAsia"/>
                <w:bCs/>
                <w:color w:val="000000"/>
                <w:sz w:val="24"/>
              </w:rPr>
              <w:t>评价与成绩评定方法</w:t>
            </w:r>
          </w:p>
        </w:tc>
        <w:tc>
          <w:tcPr>
            <w:tcW w:w="556" w:type="pct"/>
            <w:gridSpan w:val="2"/>
            <w:shd w:val="clear" w:color="auto" w:fill="auto"/>
            <w:noWrap w:val="0"/>
            <w:vAlign w:val="center"/>
          </w:tcPr>
          <w:p w14:paraId="69625FAA">
            <w:pPr>
              <w:spacing w:line="360" w:lineRule="auto"/>
              <w:rPr>
                <w:rFonts w:hint="eastAsia"/>
                <w:bCs/>
                <w:color w:val="000000"/>
                <w:sz w:val="24"/>
              </w:rPr>
            </w:pPr>
          </w:p>
        </w:tc>
        <w:tc>
          <w:tcPr>
            <w:tcW w:w="554" w:type="pct"/>
            <w:vMerge w:val="restart"/>
            <w:shd w:val="clear" w:color="auto" w:fill="auto"/>
            <w:noWrap w:val="0"/>
            <w:vAlign w:val="center"/>
          </w:tcPr>
          <w:p w14:paraId="29BE41FE">
            <w:pPr>
              <w:spacing w:line="360" w:lineRule="auto"/>
              <w:rPr>
                <w:bCs/>
                <w:color w:val="000000"/>
                <w:sz w:val="24"/>
              </w:rPr>
            </w:pPr>
            <w:r>
              <w:rPr>
                <w:rFonts w:hint="eastAsia"/>
                <w:bCs/>
                <w:color w:val="000000"/>
                <w:sz w:val="24"/>
              </w:rPr>
              <w:t>分值</w:t>
            </w:r>
          </w:p>
        </w:tc>
      </w:tr>
      <w:tr w14:paraId="15BD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953" w:type="pct"/>
            <w:vMerge w:val="continue"/>
            <w:shd w:val="clear" w:color="auto" w:fill="auto"/>
            <w:noWrap w:val="0"/>
            <w:vAlign w:val="top"/>
          </w:tcPr>
          <w:p w14:paraId="7C370CCF">
            <w:pPr>
              <w:spacing w:line="360" w:lineRule="auto"/>
              <w:rPr>
                <w:rFonts w:hint="eastAsia"/>
                <w:bCs/>
                <w:color w:val="000000"/>
                <w:sz w:val="24"/>
              </w:rPr>
            </w:pPr>
          </w:p>
        </w:tc>
        <w:tc>
          <w:tcPr>
            <w:tcW w:w="497" w:type="pct"/>
            <w:shd w:val="clear" w:color="auto" w:fill="auto"/>
            <w:noWrap w:val="0"/>
            <w:vAlign w:val="center"/>
          </w:tcPr>
          <w:p w14:paraId="3D03E319">
            <w:pPr>
              <w:adjustRightInd w:val="0"/>
              <w:snapToGrid w:val="0"/>
              <w:spacing w:line="300" w:lineRule="auto"/>
              <w:jc w:val="center"/>
              <w:rPr>
                <w:bCs/>
                <w:color w:val="000000"/>
                <w:sz w:val="24"/>
              </w:rPr>
            </w:pPr>
            <w:r>
              <w:rPr>
                <w:rFonts w:hint="eastAsia"/>
                <w:bCs/>
                <w:color w:val="000000"/>
                <w:sz w:val="24"/>
              </w:rPr>
              <w:t>考勤</w:t>
            </w:r>
          </w:p>
        </w:tc>
        <w:tc>
          <w:tcPr>
            <w:tcW w:w="497" w:type="pct"/>
            <w:shd w:val="clear" w:color="auto" w:fill="auto"/>
            <w:noWrap w:val="0"/>
            <w:vAlign w:val="center"/>
          </w:tcPr>
          <w:p w14:paraId="1B5B2D86">
            <w:pPr>
              <w:adjustRightInd w:val="0"/>
              <w:snapToGrid w:val="0"/>
              <w:spacing w:line="300" w:lineRule="auto"/>
              <w:jc w:val="center"/>
              <w:rPr>
                <w:bCs/>
                <w:color w:val="000000"/>
                <w:sz w:val="24"/>
              </w:rPr>
            </w:pPr>
            <w:r>
              <w:rPr>
                <w:rFonts w:hint="eastAsia"/>
                <w:bCs/>
                <w:color w:val="000000"/>
                <w:sz w:val="24"/>
              </w:rPr>
              <w:t>课堂表现</w:t>
            </w:r>
          </w:p>
        </w:tc>
        <w:tc>
          <w:tcPr>
            <w:tcW w:w="498" w:type="pct"/>
            <w:shd w:val="clear" w:color="auto" w:fill="auto"/>
            <w:noWrap w:val="0"/>
            <w:vAlign w:val="center"/>
          </w:tcPr>
          <w:p w14:paraId="2A10BD2F">
            <w:pPr>
              <w:adjustRightInd w:val="0"/>
              <w:snapToGrid w:val="0"/>
              <w:spacing w:line="300" w:lineRule="auto"/>
              <w:jc w:val="center"/>
              <w:rPr>
                <w:bCs/>
                <w:color w:val="000000"/>
                <w:sz w:val="24"/>
              </w:rPr>
            </w:pPr>
            <w:r>
              <w:rPr>
                <w:rFonts w:hint="eastAsia"/>
                <w:bCs/>
                <w:color w:val="000000"/>
                <w:sz w:val="24"/>
              </w:rPr>
              <w:t>作业测试</w:t>
            </w:r>
          </w:p>
        </w:tc>
        <w:tc>
          <w:tcPr>
            <w:tcW w:w="498" w:type="pct"/>
            <w:shd w:val="clear" w:color="auto" w:fill="auto"/>
            <w:noWrap w:val="0"/>
            <w:vAlign w:val="center"/>
          </w:tcPr>
          <w:p w14:paraId="692AE1BF">
            <w:pPr>
              <w:adjustRightInd w:val="0"/>
              <w:snapToGrid w:val="0"/>
              <w:spacing w:line="300" w:lineRule="auto"/>
              <w:jc w:val="center"/>
              <w:rPr>
                <w:bCs/>
                <w:color w:val="000000"/>
                <w:sz w:val="24"/>
              </w:rPr>
            </w:pPr>
            <w:r>
              <w:rPr>
                <w:rFonts w:hint="eastAsia"/>
                <w:bCs/>
                <w:color w:val="000000"/>
                <w:sz w:val="24"/>
              </w:rPr>
              <w:t>口语</w:t>
            </w:r>
          </w:p>
        </w:tc>
        <w:tc>
          <w:tcPr>
            <w:tcW w:w="498" w:type="pct"/>
            <w:shd w:val="clear" w:color="auto" w:fill="auto"/>
            <w:noWrap w:val="0"/>
            <w:vAlign w:val="center"/>
          </w:tcPr>
          <w:p w14:paraId="2CDDBF93">
            <w:pPr>
              <w:adjustRightInd w:val="0"/>
              <w:snapToGrid w:val="0"/>
              <w:spacing w:line="300" w:lineRule="auto"/>
              <w:jc w:val="center"/>
              <w:rPr>
                <w:bCs/>
                <w:color w:val="000000"/>
                <w:sz w:val="24"/>
              </w:rPr>
            </w:pPr>
            <w:r>
              <w:rPr>
                <w:rFonts w:hint="eastAsia"/>
                <w:bCs/>
                <w:color w:val="000000"/>
                <w:sz w:val="24"/>
              </w:rPr>
              <w:t>书面表达</w:t>
            </w:r>
          </w:p>
        </w:tc>
        <w:tc>
          <w:tcPr>
            <w:tcW w:w="499" w:type="pct"/>
            <w:gridSpan w:val="2"/>
            <w:shd w:val="clear" w:color="auto" w:fill="auto"/>
            <w:noWrap w:val="0"/>
            <w:vAlign w:val="center"/>
          </w:tcPr>
          <w:p w14:paraId="1DEFD6B2">
            <w:pPr>
              <w:adjustRightInd w:val="0"/>
              <w:snapToGrid w:val="0"/>
              <w:spacing w:line="300" w:lineRule="auto"/>
              <w:jc w:val="center"/>
              <w:rPr>
                <w:bCs/>
                <w:color w:val="000000"/>
                <w:sz w:val="24"/>
              </w:rPr>
            </w:pPr>
            <w:r>
              <w:rPr>
                <w:rFonts w:hint="eastAsia"/>
                <w:bCs/>
                <w:color w:val="000000"/>
                <w:sz w:val="24"/>
              </w:rPr>
              <w:t>翻译</w:t>
            </w:r>
          </w:p>
        </w:tc>
        <w:tc>
          <w:tcPr>
            <w:tcW w:w="503" w:type="pct"/>
            <w:shd w:val="clear" w:color="auto" w:fill="auto"/>
            <w:noWrap w:val="0"/>
            <w:vAlign w:val="center"/>
          </w:tcPr>
          <w:p w14:paraId="7AFEF361">
            <w:pPr>
              <w:adjustRightInd w:val="0"/>
              <w:snapToGrid w:val="0"/>
              <w:spacing w:line="300" w:lineRule="auto"/>
              <w:jc w:val="center"/>
              <w:rPr>
                <w:bCs/>
                <w:color w:val="000000"/>
                <w:sz w:val="24"/>
              </w:rPr>
            </w:pPr>
            <w:r>
              <w:rPr>
                <w:rFonts w:hint="eastAsia"/>
                <w:bCs/>
                <w:color w:val="000000"/>
                <w:sz w:val="24"/>
              </w:rPr>
              <w:t>第二课堂活动</w:t>
            </w:r>
          </w:p>
        </w:tc>
        <w:tc>
          <w:tcPr>
            <w:tcW w:w="554" w:type="pct"/>
            <w:vMerge w:val="continue"/>
            <w:shd w:val="clear" w:color="auto" w:fill="auto"/>
            <w:noWrap w:val="0"/>
            <w:vAlign w:val="top"/>
          </w:tcPr>
          <w:p w14:paraId="423DB7FD">
            <w:pPr>
              <w:spacing w:line="360" w:lineRule="auto"/>
              <w:rPr>
                <w:rFonts w:hint="eastAsia"/>
                <w:bCs/>
                <w:color w:val="000000"/>
                <w:sz w:val="24"/>
              </w:rPr>
            </w:pPr>
          </w:p>
        </w:tc>
      </w:tr>
      <w:tr w14:paraId="0C98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shd w:val="clear" w:color="auto" w:fill="auto"/>
            <w:noWrap w:val="0"/>
            <w:vAlign w:val="center"/>
          </w:tcPr>
          <w:p w14:paraId="79FF5835">
            <w:pPr>
              <w:spacing w:line="360" w:lineRule="auto"/>
              <w:jc w:val="center"/>
              <w:rPr>
                <w:bCs/>
                <w:color w:val="000000"/>
                <w:sz w:val="24"/>
              </w:rPr>
            </w:pPr>
            <w:r>
              <w:rPr>
                <w:rFonts w:hint="eastAsia"/>
                <w:bCs/>
                <w:color w:val="000000"/>
                <w:sz w:val="24"/>
              </w:rPr>
              <w:t>课程目标1</w:t>
            </w:r>
          </w:p>
        </w:tc>
        <w:tc>
          <w:tcPr>
            <w:tcW w:w="497" w:type="pct"/>
            <w:shd w:val="clear" w:color="auto" w:fill="auto"/>
            <w:noWrap w:val="0"/>
            <w:vAlign w:val="center"/>
          </w:tcPr>
          <w:p w14:paraId="249A3F0A">
            <w:pPr>
              <w:widowControl/>
              <w:jc w:val="center"/>
              <w:rPr>
                <w:rFonts w:hint="eastAsia"/>
                <w:bCs/>
                <w:color w:val="000000"/>
                <w:sz w:val="24"/>
              </w:rPr>
            </w:pPr>
          </w:p>
        </w:tc>
        <w:tc>
          <w:tcPr>
            <w:tcW w:w="498" w:type="pct"/>
            <w:shd w:val="clear" w:color="auto" w:fill="auto"/>
            <w:noWrap w:val="0"/>
            <w:vAlign w:val="center"/>
          </w:tcPr>
          <w:p w14:paraId="7BC10B30">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4F58E486">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74789E37">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16EBDC8E">
            <w:pPr>
              <w:spacing w:line="360" w:lineRule="auto"/>
              <w:jc w:val="center"/>
              <w:rPr>
                <w:rFonts w:hint="eastAsia"/>
                <w:bCs/>
                <w:color w:val="000000"/>
                <w:sz w:val="24"/>
              </w:rPr>
            </w:pPr>
            <w:r>
              <w:rPr>
                <w:rFonts w:ascii="Arial" w:hAnsi="Arial" w:cs="Arial"/>
                <w:bCs/>
                <w:color w:val="000000"/>
                <w:sz w:val="24"/>
              </w:rPr>
              <w:t>√</w:t>
            </w:r>
          </w:p>
        </w:tc>
        <w:tc>
          <w:tcPr>
            <w:tcW w:w="498" w:type="pct"/>
            <w:gridSpan w:val="2"/>
            <w:shd w:val="clear" w:color="auto" w:fill="auto"/>
            <w:noWrap w:val="0"/>
            <w:vAlign w:val="center"/>
          </w:tcPr>
          <w:p w14:paraId="108F0929">
            <w:pPr>
              <w:spacing w:line="360" w:lineRule="auto"/>
              <w:jc w:val="center"/>
              <w:rPr>
                <w:rFonts w:hint="eastAsia"/>
                <w:bCs/>
                <w:color w:val="000000"/>
                <w:sz w:val="24"/>
              </w:rPr>
            </w:pPr>
            <w:r>
              <w:rPr>
                <w:rFonts w:ascii="Arial" w:hAnsi="Arial" w:cs="Arial"/>
                <w:bCs/>
                <w:color w:val="000000"/>
                <w:sz w:val="24"/>
              </w:rPr>
              <w:t>√</w:t>
            </w:r>
          </w:p>
        </w:tc>
        <w:tc>
          <w:tcPr>
            <w:tcW w:w="503" w:type="pct"/>
            <w:shd w:val="clear" w:color="auto" w:fill="auto"/>
            <w:noWrap w:val="0"/>
            <w:vAlign w:val="center"/>
          </w:tcPr>
          <w:p w14:paraId="1AEC8F19">
            <w:pPr>
              <w:spacing w:line="360" w:lineRule="auto"/>
              <w:jc w:val="center"/>
              <w:rPr>
                <w:rFonts w:hint="eastAsia"/>
                <w:bCs/>
                <w:color w:val="000000"/>
                <w:sz w:val="24"/>
              </w:rPr>
            </w:pPr>
          </w:p>
        </w:tc>
        <w:tc>
          <w:tcPr>
            <w:tcW w:w="554" w:type="pct"/>
            <w:shd w:val="clear" w:color="auto" w:fill="auto"/>
            <w:noWrap w:val="0"/>
            <w:vAlign w:val="center"/>
          </w:tcPr>
          <w:p w14:paraId="398218AF">
            <w:pPr>
              <w:spacing w:line="360" w:lineRule="auto"/>
              <w:jc w:val="center"/>
              <w:rPr>
                <w:bCs/>
                <w:color w:val="000000"/>
                <w:sz w:val="24"/>
              </w:rPr>
            </w:pPr>
            <w:r>
              <w:rPr>
                <w:rFonts w:hint="eastAsia"/>
                <w:bCs/>
                <w:color w:val="000000"/>
                <w:sz w:val="24"/>
              </w:rPr>
              <w:t>30</w:t>
            </w:r>
          </w:p>
        </w:tc>
      </w:tr>
      <w:tr w14:paraId="5AB7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shd w:val="clear" w:color="auto" w:fill="auto"/>
            <w:noWrap w:val="0"/>
            <w:vAlign w:val="center"/>
          </w:tcPr>
          <w:p w14:paraId="1012C055">
            <w:pPr>
              <w:spacing w:line="360" w:lineRule="auto"/>
              <w:jc w:val="center"/>
              <w:rPr>
                <w:bCs/>
                <w:color w:val="000000"/>
                <w:sz w:val="24"/>
              </w:rPr>
            </w:pPr>
            <w:r>
              <w:rPr>
                <w:rFonts w:hint="eastAsia"/>
                <w:bCs/>
                <w:color w:val="000000"/>
                <w:sz w:val="24"/>
              </w:rPr>
              <w:t>课程目标2</w:t>
            </w:r>
          </w:p>
        </w:tc>
        <w:tc>
          <w:tcPr>
            <w:tcW w:w="497" w:type="pct"/>
            <w:shd w:val="clear" w:color="auto" w:fill="auto"/>
            <w:noWrap w:val="0"/>
            <w:vAlign w:val="center"/>
          </w:tcPr>
          <w:p w14:paraId="0FE82633">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5A043317">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26164795">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3892990B">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295E1BD5">
            <w:pPr>
              <w:spacing w:line="360" w:lineRule="auto"/>
              <w:jc w:val="center"/>
              <w:rPr>
                <w:rFonts w:hint="eastAsia"/>
                <w:bCs/>
                <w:color w:val="000000"/>
                <w:sz w:val="24"/>
              </w:rPr>
            </w:pPr>
            <w:r>
              <w:rPr>
                <w:rFonts w:ascii="Arial" w:hAnsi="Arial" w:cs="Arial"/>
                <w:bCs/>
                <w:color w:val="000000"/>
                <w:sz w:val="24"/>
              </w:rPr>
              <w:t>√</w:t>
            </w:r>
          </w:p>
        </w:tc>
        <w:tc>
          <w:tcPr>
            <w:tcW w:w="498" w:type="pct"/>
            <w:gridSpan w:val="2"/>
            <w:shd w:val="clear" w:color="auto" w:fill="auto"/>
            <w:noWrap w:val="0"/>
            <w:vAlign w:val="center"/>
          </w:tcPr>
          <w:p w14:paraId="7A7D77D3">
            <w:pPr>
              <w:spacing w:line="360" w:lineRule="auto"/>
              <w:jc w:val="center"/>
              <w:rPr>
                <w:rFonts w:hint="eastAsia"/>
                <w:bCs/>
                <w:color w:val="000000"/>
                <w:sz w:val="24"/>
              </w:rPr>
            </w:pPr>
            <w:r>
              <w:rPr>
                <w:rFonts w:ascii="Arial" w:hAnsi="Arial" w:cs="Arial"/>
                <w:bCs/>
                <w:color w:val="000000"/>
                <w:sz w:val="24"/>
              </w:rPr>
              <w:t>√</w:t>
            </w:r>
          </w:p>
        </w:tc>
        <w:tc>
          <w:tcPr>
            <w:tcW w:w="503" w:type="pct"/>
            <w:shd w:val="clear" w:color="auto" w:fill="auto"/>
            <w:noWrap w:val="0"/>
            <w:vAlign w:val="center"/>
          </w:tcPr>
          <w:p w14:paraId="15B532EE">
            <w:pPr>
              <w:spacing w:line="360" w:lineRule="auto"/>
              <w:jc w:val="center"/>
              <w:rPr>
                <w:rFonts w:hint="eastAsia"/>
                <w:bCs/>
                <w:color w:val="000000"/>
                <w:sz w:val="24"/>
              </w:rPr>
            </w:pPr>
          </w:p>
        </w:tc>
        <w:tc>
          <w:tcPr>
            <w:tcW w:w="554" w:type="pct"/>
            <w:shd w:val="clear" w:color="auto" w:fill="auto"/>
            <w:noWrap w:val="0"/>
            <w:vAlign w:val="center"/>
          </w:tcPr>
          <w:p w14:paraId="474B895B">
            <w:pPr>
              <w:spacing w:line="360" w:lineRule="auto"/>
              <w:jc w:val="center"/>
              <w:rPr>
                <w:bCs/>
                <w:color w:val="000000"/>
                <w:sz w:val="24"/>
              </w:rPr>
            </w:pPr>
            <w:r>
              <w:rPr>
                <w:rFonts w:hint="eastAsia"/>
                <w:bCs/>
                <w:color w:val="000000"/>
                <w:sz w:val="24"/>
              </w:rPr>
              <w:t>35</w:t>
            </w:r>
          </w:p>
        </w:tc>
      </w:tr>
      <w:tr w14:paraId="5F7A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shd w:val="clear" w:color="auto" w:fill="auto"/>
            <w:noWrap w:val="0"/>
            <w:vAlign w:val="center"/>
          </w:tcPr>
          <w:p w14:paraId="117D14F0">
            <w:pPr>
              <w:spacing w:line="360" w:lineRule="auto"/>
              <w:jc w:val="center"/>
              <w:rPr>
                <w:bCs/>
                <w:color w:val="000000"/>
                <w:sz w:val="24"/>
              </w:rPr>
            </w:pPr>
            <w:r>
              <w:rPr>
                <w:rFonts w:hint="eastAsia"/>
                <w:bCs/>
                <w:color w:val="000000"/>
                <w:sz w:val="24"/>
              </w:rPr>
              <w:t>课程目标3</w:t>
            </w:r>
          </w:p>
        </w:tc>
        <w:tc>
          <w:tcPr>
            <w:tcW w:w="497" w:type="pct"/>
            <w:shd w:val="clear" w:color="auto" w:fill="auto"/>
            <w:noWrap w:val="0"/>
            <w:vAlign w:val="center"/>
          </w:tcPr>
          <w:p w14:paraId="39DE1CAD">
            <w:pPr>
              <w:spacing w:line="360" w:lineRule="auto"/>
              <w:jc w:val="center"/>
              <w:rPr>
                <w:rFonts w:hint="eastAsia"/>
                <w:bCs/>
                <w:color w:val="000000"/>
                <w:sz w:val="24"/>
              </w:rPr>
            </w:pPr>
          </w:p>
        </w:tc>
        <w:tc>
          <w:tcPr>
            <w:tcW w:w="498" w:type="pct"/>
            <w:shd w:val="clear" w:color="auto" w:fill="auto"/>
            <w:noWrap w:val="0"/>
            <w:vAlign w:val="center"/>
          </w:tcPr>
          <w:p w14:paraId="060D5BDB">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0D7ADEAA">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00125AC9">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6218F370">
            <w:pPr>
              <w:spacing w:line="360" w:lineRule="auto"/>
              <w:jc w:val="center"/>
              <w:rPr>
                <w:rFonts w:hint="eastAsia"/>
                <w:bCs/>
                <w:color w:val="000000"/>
                <w:sz w:val="24"/>
              </w:rPr>
            </w:pPr>
            <w:r>
              <w:rPr>
                <w:rFonts w:ascii="Arial" w:hAnsi="Arial" w:cs="Arial"/>
                <w:bCs/>
                <w:color w:val="000000"/>
                <w:sz w:val="24"/>
              </w:rPr>
              <w:t>√</w:t>
            </w:r>
          </w:p>
        </w:tc>
        <w:tc>
          <w:tcPr>
            <w:tcW w:w="498" w:type="pct"/>
            <w:gridSpan w:val="2"/>
            <w:shd w:val="clear" w:color="auto" w:fill="auto"/>
            <w:noWrap w:val="0"/>
            <w:vAlign w:val="center"/>
          </w:tcPr>
          <w:p w14:paraId="60DCDCF2">
            <w:pPr>
              <w:spacing w:line="360" w:lineRule="auto"/>
              <w:jc w:val="center"/>
              <w:rPr>
                <w:rFonts w:hint="eastAsia"/>
                <w:bCs/>
                <w:color w:val="000000"/>
                <w:sz w:val="24"/>
              </w:rPr>
            </w:pPr>
            <w:r>
              <w:rPr>
                <w:rFonts w:ascii="Arial" w:hAnsi="Arial" w:cs="Arial"/>
                <w:bCs/>
                <w:color w:val="000000"/>
                <w:sz w:val="24"/>
              </w:rPr>
              <w:t>√</w:t>
            </w:r>
          </w:p>
        </w:tc>
        <w:tc>
          <w:tcPr>
            <w:tcW w:w="503" w:type="pct"/>
            <w:shd w:val="clear" w:color="auto" w:fill="auto"/>
            <w:noWrap w:val="0"/>
            <w:vAlign w:val="center"/>
          </w:tcPr>
          <w:p w14:paraId="3007677D">
            <w:pPr>
              <w:spacing w:line="360" w:lineRule="auto"/>
              <w:jc w:val="center"/>
              <w:rPr>
                <w:rFonts w:hint="eastAsia"/>
                <w:bCs/>
                <w:color w:val="000000"/>
                <w:sz w:val="24"/>
              </w:rPr>
            </w:pPr>
            <w:r>
              <w:rPr>
                <w:rFonts w:ascii="Arial" w:hAnsi="Arial" w:cs="Arial"/>
                <w:bCs/>
                <w:color w:val="000000"/>
                <w:sz w:val="24"/>
              </w:rPr>
              <w:t>√</w:t>
            </w:r>
          </w:p>
        </w:tc>
        <w:tc>
          <w:tcPr>
            <w:tcW w:w="554" w:type="pct"/>
            <w:shd w:val="clear" w:color="auto" w:fill="auto"/>
            <w:noWrap w:val="0"/>
            <w:vAlign w:val="center"/>
          </w:tcPr>
          <w:p w14:paraId="1ACFB313">
            <w:pPr>
              <w:spacing w:line="360" w:lineRule="auto"/>
              <w:jc w:val="center"/>
              <w:rPr>
                <w:bCs/>
                <w:color w:val="000000"/>
                <w:sz w:val="24"/>
              </w:rPr>
            </w:pPr>
            <w:r>
              <w:rPr>
                <w:rFonts w:hint="eastAsia"/>
                <w:bCs/>
                <w:color w:val="000000"/>
                <w:sz w:val="24"/>
              </w:rPr>
              <w:t>35</w:t>
            </w:r>
          </w:p>
        </w:tc>
      </w:tr>
      <w:tr w14:paraId="65F2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shd w:val="clear" w:color="auto" w:fill="auto"/>
            <w:noWrap w:val="0"/>
            <w:vAlign w:val="center"/>
          </w:tcPr>
          <w:p w14:paraId="632488EA">
            <w:pPr>
              <w:spacing w:line="360" w:lineRule="auto"/>
              <w:jc w:val="center"/>
              <w:rPr>
                <w:bCs/>
                <w:color w:val="000000"/>
                <w:sz w:val="24"/>
              </w:rPr>
            </w:pPr>
            <w:r>
              <w:rPr>
                <w:rFonts w:hint="eastAsia"/>
                <w:bCs/>
                <w:color w:val="000000"/>
                <w:sz w:val="24"/>
              </w:rPr>
              <w:t>合计</w:t>
            </w:r>
          </w:p>
        </w:tc>
        <w:tc>
          <w:tcPr>
            <w:tcW w:w="497" w:type="pct"/>
            <w:shd w:val="clear" w:color="auto" w:fill="auto"/>
            <w:noWrap w:val="0"/>
            <w:vAlign w:val="center"/>
          </w:tcPr>
          <w:p w14:paraId="60CE8109">
            <w:pPr>
              <w:spacing w:line="360" w:lineRule="auto"/>
              <w:jc w:val="center"/>
              <w:rPr>
                <w:rFonts w:hint="eastAsia"/>
                <w:bCs/>
                <w:color w:val="000000"/>
                <w:sz w:val="24"/>
              </w:rPr>
            </w:pPr>
          </w:p>
        </w:tc>
        <w:tc>
          <w:tcPr>
            <w:tcW w:w="498" w:type="pct"/>
            <w:shd w:val="clear" w:color="auto" w:fill="auto"/>
            <w:noWrap w:val="0"/>
            <w:vAlign w:val="center"/>
          </w:tcPr>
          <w:p w14:paraId="449BB768">
            <w:pPr>
              <w:spacing w:line="360" w:lineRule="auto"/>
              <w:jc w:val="center"/>
              <w:rPr>
                <w:rFonts w:hint="eastAsia"/>
                <w:bCs/>
                <w:color w:val="000000"/>
                <w:sz w:val="24"/>
              </w:rPr>
            </w:pPr>
          </w:p>
        </w:tc>
        <w:tc>
          <w:tcPr>
            <w:tcW w:w="498" w:type="pct"/>
            <w:shd w:val="clear" w:color="auto" w:fill="auto"/>
            <w:noWrap w:val="0"/>
            <w:vAlign w:val="center"/>
          </w:tcPr>
          <w:p w14:paraId="384FDF7A">
            <w:pPr>
              <w:spacing w:line="360" w:lineRule="auto"/>
              <w:jc w:val="center"/>
              <w:rPr>
                <w:rFonts w:hint="eastAsia"/>
                <w:bCs/>
                <w:color w:val="000000"/>
                <w:sz w:val="24"/>
              </w:rPr>
            </w:pPr>
          </w:p>
        </w:tc>
        <w:tc>
          <w:tcPr>
            <w:tcW w:w="498" w:type="pct"/>
            <w:shd w:val="clear" w:color="auto" w:fill="auto"/>
            <w:noWrap w:val="0"/>
            <w:vAlign w:val="center"/>
          </w:tcPr>
          <w:p w14:paraId="76282D13">
            <w:pPr>
              <w:spacing w:line="360" w:lineRule="auto"/>
              <w:jc w:val="center"/>
              <w:rPr>
                <w:rFonts w:hint="eastAsia"/>
                <w:bCs/>
                <w:color w:val="000000"/>
                <w:sz w:val="24"/>
              </w:rPr>
            </w:pPr>
          </w:p>
        </w:tc>
        <w:tc>
          <w:tcPr>
            <w:tcW w:w="498" w:type="pct"/>
            <w:shd w:val="clear" w:color="auto" w:fill="auto"/>
            <w:noWrap w:val="0"/>
            <w:vAlign w:val="center"/>
          </w:tcPr>
          <w:p w14:paraId="0E321503">
            <w:pPr>
              <w:spacing w:line="360" w:lineRule="auto"/>
              <w:jc w:val="center"/>
              <w:rPr>
                <w:rFonts w:hint="eastAsia"/>
                <w:bCs/>
                <w:color w:val="000000"/>
                <w:sz w:val="24"/>
              </w:rPr>
            </w:pPr>
          </w:p>
        </w:tc>
        <w:tc>
          <w:tcPr>
            <w:tcW w:w="498" w:type="pct"/>
            <w:gridSpan w:val="2"/>
            <w:shd w:val="clear" w:color="auto" w:fill="auto"/>
            <w:noWrap w:val="0"/>
            <w:vAlign w:val="center"/>
          </w:tcPr>
          <w:p w14:paraId="70075847">
            <w:pPr>
              <w:spacing w:line="360" w:lineRule="auto"/>
              <w:jc w:val="center"/>
              <w:rPr>
                <w:rFonts w:hint="eastAsia"/>
                <w:bCs/>
                <w:color w:val="000000"/>
                <w:sz w:val="24"/>
              </w:rPr>
            </w:pPr>
          </w:p>
        </w:tc>
        <w:tc>
          <w:tcPr>
            <w:tcW w:w="503" w:type="pct"/>
            <w:shd w:val="clear" w:color="auto" w:fill="auto"/>
            <w:noWrap w:val="0"/>
            <w:vAlign w:val="center"/>
          </w:tcPr>
          <w:p w14:paraId="58373CB4">
            <w:pPr>
              <w:spacing w:line="360" w:lineRule="auto"/>
              <w:jc w:val="center"/>
              <w:rPr>
                <w:rFonts w:hint="eastAsia"/>
                <w:bCs/>
                <w:color w:val="000000"/>
                <w:sz w:val="24"/>
              </w:rPr>
            </w:pPr>
          </w:p>
        </w:tc>
        <w:tc>
          <w:tcPr>
            <w:tcW w:w="554" w:type="pct"/>
            <w:shd w:val="clear" w:color="auto" w:fill="auto"/>
            <w:noWrap w:val="0"/>
            <w:vAlign w:val="center"/>
          </w:tcPr>
          <w:p w14:paraId="6ED4EF2C">
            <w:pPr>
              <w:spacing w:line="360" w:lineRule="auto"/>
              <w:jc w:val="center"/>
              <w:rPr>
                <w:bCs/>
                <w:color w:val="000000"/>
                <w:sz w:val="24"/>
              </w:rPr>
            </w:pPr>
            <w:r>
              <w:rPr>
                <w:rFonts w:hint="eastAsia"/>
                <w:bCs/>
                <w:color w:val="000000"/>
                <w:sz w:val="24"/>
              </w:rPr>
              <w:t>100</w:t>
            </w:r>
          </w:p>
        </w:tc>
      </w:tr>
    </w:tbl>
    <w:p w14:paraId="4E1036F4">
      <w:pPr>
        <w:numPr>
          <w:ilvl w:val="0"/>
          <w:numId w:val="10"/>
        </w:numPr>
        <w:spacing w:line="360" w:lineRule="auto"/>
        <w:rPr>
          <w:rFonts w:hint="eastAsia"/>
          <w:b/>
          <w:color w:val="000000"/>
          <w:sz w:val="24"/>
        </w:rPr>
      </w:pPr>
      <w:r>
        <w:rPr>
          <w:rFonts w:hint="eastAsia"/>
          <w:b/>
          <w:color w:val="000000"/>
          <w:sz w:val="24"/>
        </w:rPr>
        <w:t>成绩评定细则</w:t>
      </w:r>
    </w:p>
    <w:tbl>
      <w:tblPr>
        <w:tblStyle w:val="13"/>
        <w:tblW w:w="8564"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6000"/>
        <w:gridCol w:w="982"/>
      </w:tblGrid>
      <w:tr w14:paraId="0DE2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582" w:type="dxa"/>
            <w:shd w:val="clear" w:color="auto" w:fill="FFFFFF"/>
            <w:noWrap w:val="0"/>
            <w:vAlign w:val="center"/>
          </w:tcPr>
          <w:p w14:paraId="021180A2">
            <w:pPr>
              <w:pStyle w:val="34"/>
              <w:jc w:val="center"/>
              <w:rPr>
                <w:rFonts w:hint="eastAsia" w:ascii="宋体" w:hAnsi="宋体" w:eastAsia="宋体"/>
                <w:color w:val="000000"/>
              </w:rPr>
            </w:pPr>
            <w:r>
              <w:rPr>
                <w:rFonts w:ascii="宋体" w:hAnsi="宋体" w:eastAsia="宋体"/>
                <w:color w:val="000000"/>
              </w:rPr>
              <w:t>评价</w:t>
            </w:r>
            <w:r>
              <w:rPr>
                <w:rFonts w:hint="eastAsia" w:ascii="宋体" w:hAnsi="宋体" w:eastAsia="宋体"/>
                <w:color w:val="000000"/>
              </w:rPr>
              <w:t>方式</w:t>
            </w:r>
          </w:p>
        </w:tc>
        <w:tc>
          <w:tcPr>
            <w:tcW w:w="6000" w:type="dxa"/>
            <w:shd w:val="clear" w:color="auto" w:fill="FFFFFF"/>
            <w:noWrap w:val="0"/>
            <w:vAlign w:val="center"/>
          </w:tcPr>
          <w:p w14:paraId="3F6967F6">
            <w:pPr>
              <w:pStyle w:val="34"/>
              <w:jc w:val="center"/>
              <w:rPr>
                <w:rFonts w:ascii="宋体" w:hAnsi="宋体" w:eastAsia="宋体"/>
                <w:color w:val="000000"/>
              </w:rPr>
            </w:pPr>
            <w:r>
              <w:rPr>
                <w:rFonts w:ascii="宋体" w:hAnsi="宋体" w:eastAsia="宋体"/>
                <w:color w:val="000000"/>
              </w:rPr>
              <w:t>评</w:t>
            </w:r>
            <w:r>
              <w:rPr>
                <w:rFonts w:hint="eastAsia" w:ascii="宋体" w:hAnsi="宋体" w:eastAsia="宋体"/>
                <w:color w:val="000000"/>
              </w:rPr>
              <w:t>定</w:t>
            </w:r>
            <w:r>
              <w:rPr>
                <w:rFonts w:ascii="宋体" w:hAnsi="宋体" w:eastAsia="宋体"/>
                <w:color w:val="000000"/>
              </w:rPr>
              <w:t>细则</w:t>
            </w:r>
          </w:p>
        </w:tc>
        <w:tc>
          <w:tcPr>
            <w:tcW w:w="982" w:type="dxa"/>
            <w:shd w:val="clear" w:color="auto" w:fill="FFFFFF"/>
            <w:noWrap w:val="0"/>
            <w:vAlign w:val="center"/>
          </w:tcPr>
          <w:p w14:paraId="417BB650">
            <w:pPr>
              <w:pStyle w:val="34"/>
              <w:jc w:val="center"/>
              <w:rPr>
                <w:rFonts w:ascii="宋体" w:hAnsi="宋体" w:eastAsia="宋体"/>
                <w:color w:val="000000"/>
              </w:rPr>
            </w:pPr>
            <w:r>
              <w:rPr>
                <w:rFonts w:hint="eastAsia" w:ascii="宋体" w:hAnsi="宋体" w:eastAsia="宋体"/>
                <w:color w:val="000000"/>
              </w:rPr>
              <w:t>占比</w:t>
            </w:r>
          </w:p>
        </w:tc>
      </w:tr>
      <w:tr w14:paraId="6913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582" w:type="dxa"/>
            <w:noWrap w:val="0"/>
            <w:vAlign w:val="center"/>
          </w:tcPr>
          <w:p w14:paraId="3D9B7E65">
            <w:pPr>
              <w:spacing w:line="276" w:lineRule="auto"/>
              <w:jc w:val="center"/>
              <w:rPr>
                <w:rFonts w:ascii="宋体" w:hAnsi="宋体"/>
                <w:color w:val="000000"/>
                <w:szCs w:val="21"/>
              </w:rPr>
            </w:pPr>
            <w:r>
              <w:rPr>
                <w:rFonts w:hint="eastAsia" w:ascii="宋体" w:hAnsi="宋体"/>
                <w:color w:val="000000"/>
                <w:szCs w:val="21"/>
              </w:rPr>
              <w:t>考勤</w:t>
            </w:r>
          </w:p>
        </w:tc>
        <w:tc>
          <w:tcPr>
            <w:tcW w:w="6000" w:type="dxa"/>
            <w:noWrap w:val="0"/>
            <w:vAlign w:val="center"/>
          </w:tcPr>
          <w:p w14:paraId="432995C4">
            <w:pPr>
              <w:spacing w:line="276" w:lineRule="auto"/>
              <w:rPr>
                <w:rFonts w:ascii="宋体" w:hAnsi="宋体"/>
                <w:color w:val="000000"/>
                <w:szCs w:val="21"/>
              </w:rPr>
            </w:pPr>
            <w:r>
              <w:rPr>
                <w:rFonts w:hint="eastAsia" w:ascii="宋体" w:hAnsi="宋体"/>
                <w:bCs/>
                <w:color w:val="000000"/>
                <w:kern w:val="24"/>
                <w:szCs w:val="21"/>
              </w:rPr>
              <w:t>随堂</w:t>
            </w:r>
            <w:r>
              <w:rPr>
                <w:rFonts w:ascii="宋体" w:hAnsi="宋体"/>
                <w:bCs/>
                <w:color w:val="000000"/>
                <w:kern w:val="24"/>
                <w:szCs w:val="21"/>
              </w:rPr>
              <w:t>不定期</w:t>
            </w:r>
            <w:r>
              <w:rPr>
                <w:rFonts w:hint="eastAsia" w:ascii="宋体" w:hAnsi="宋体"/>
                <w:bCs/>
                <w:color w:val="000000"/>
                <w:kern w:val="24"/>
                <w:szCs w:val="21"/>
              </w:rPr>
              <w:t>考勤，考核</w:t>
            </w:r>
            <w:r>
              <w:rPr>
                <w:rFonts w:hint="eastAsia" w:ascii="宋体" w:hAnsi="宋体"/>
                <w:color w:val="000000"/>
                <w:szCs w:val="21"/>
              </w:rPr>
              <w:t>能否按时到勤，旷课一次扣</w:t>
            </w:r>
            <w:r>
              <w:rPr>
                <w:rFonts w:ascii="宋体" w:hAnsi="宋体"/>
                <w:color w:val="000000"/>
                <w:szCs w:val="21"/>
              </w:rPr>
              <w:t>20</w:t>
            </w:r>
            <w:r>
              <w:rPr>
                <w:rFonts w:hint="eastAsia" w:ascii="宋体" w:hAnsi="宋体"/>
                <w:color w:val="000000"/>
                <w:szCs w:val="21"/>
              </w:rPr>
              <w:t>分，迟到与早退一次扣10分，请假一次扣5分；满分100分。</w:t>
            </w:r>
          </w:p>
        </w:tc>
        <w:tc>
          <w:tcPr>
            <w:tcW w:w="982" w:type="dxa"/>
            <w:noWrap w:val="0"/>
            <w:vAlign w:val="center"/>
          </w:tcPr>
          <w:p w14:paraId="2B91E68D">
            <w:pPr>
              <w:pStyle w:val="34"/>
              <w:rPr>
                <w:rFonts w:hint="eastAsia" w:ascii="宋体" w:hAnsi="宋体" w:eastAsia="宋体"/>
                <w:color w:val="000000"/>
              </w:rPr>
            </w:pPr>
            <w:r>
              <w:rPr>
                <w:rFonts w:hint="eastAsia" w:ascii="宋体" w:hAnsi="宋体" w:eastAsia="宋体"/>
                <w:color w:val="000000"/>
              </w:rPr>
              <w:t xml:space="preserve">  5</w:t>
            </w:r>
            <w:r>
              <w:rPr>
                <w:rFonts w:ascii="宋体" w:hAnsi="宋体" w:eastAsia="宋体"/>
                <w:color w:val="000000"/>
              </w:rPr>
              <w:t>%</w:t>
            </w:r>
          </w:p>
        </w:tc>
      </w:tr>
      <w:tr w14:paraId="7D70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582" w:type="dxa"/>
            <w:noWrap w:val="0"/>
            <w:vAlign w:val="center"/>
          </w:tcPr>
          <w:p w14:paraId="72E56BE2">
            <w:pPr>
              <w:spacing w:line="276" w:lineRule="auto"/>
              <w:jc w:val="center"/>
              <w:rPr>
                <w:rFonts w:ascii="宋体" w:hAnsi="宋体"/>
                <w:color w:val="000000"/>
                <w:szCs w:val="21"/>
              </w:rPr>
            </w:pPr>
            <w:r>
              <w:rPr>
                <w:rFonts w:hint="eastAsia" w:ascii="宋体" w:hAnsi="宋体"/>
                <w:color w:val="000000"/>
                <w:szCs w:val="21"/>
              </w:rPr>
              <w:t>课堂表现</w:t>
            </w:r>
          </w:p>
        </w:tc>
        <w:tc>
          <w:tcPr>
            <w:tcW w:w="6000" w:type="dxa"/>
            <w:noWrap w:val="0"/>
            <w:vAlign w:val="center"/>
          </w:tcPr>
          <w:p w14:paraId="017DAB77">
            <w:pPr>
              <w:spacing w:line="276" w:lineRule="auto"/>
              <w:jc w:val="left"/>
              <w:rPr>
                <w:rFonts w:ascii="宋体" w:hAnsi="宋体"/>
                <w:color w:val="000000"/>
                <w:szCs w:val="21"/>
              </w:rPr>
            </w:pPr>
            <w:r>
              <w:rPr>
                <w:rFonts w:hint="eastAsia" w:ascii="宋体" w:hAnsi="宋体"/>
                <w:bCs/>
                <w:color w:val="000000"/>
                <w:kern w:val="24"/>
                <w:szCs w:val="21"/>
              </w:rPr>
              <w:t>随堂记录学生学习态度，</w:t>
            </w:r>
            <w:r>
              <w:rPr>
                <w:rFonts w:ascii="宋体" w:hAnsi="宋体"/>
                <w:bCs/>
                <w:color w:val="000000"/>
                <w:kern w:val="24"/>
                <w:szCs w:val="21"/>
              </w:rPr>
              <w:t>听课的精神状态，</w:t>
            </w:r>
            <w:r>
              <w:rPr>
                <w:rFonts w:hint="eastAsia" w:ascii="宋体" w:hAnsi="宋体"/>
                <w:bCs/>
                <w:color w:val="000000"/>
                <w:kern w:val="24"/>
                <w:szCs w:val="21"/>
              </w:rPr>
              <w:t>参与教学情况；课堂</w:t>
            </w:r>
            <w:r>
              <w:rPr>
                <w:rFonts w:ascii="宋体" w:hAnsi="宋体"/>
                <w:bCs/>
                <w:color w:val="000000"/>
                <w:kern w:val="24"/>
                <w:szCs w:val="21"/>
              </w:rPr>
              <w:t>随机提问，考察学生</w:t>
            </w:r>
            <w:r>
              <w:rPr>
                <w:rFonts w:hint="eastAsia" w:ascii="宋体" w:hAnsi="宋体"/>
                <w:bCs/>
                <w:color w:val="000000"/>
                <w:kern w:val="24"/>
                <w:szCs w:val="21"/>
              </w:rPr>
              <w:t>对</w:t>
            </w:r>
            <w:r>
              <w:rPr>
                <w:rFonts w:ascii="宋体" w:hAnsi="宋体"/>
                <w:bCs/>
                <w:color w:val="000000"/>
                <w:kern w:val="24"/>
                <w:szCs w:val="21"/>
              </w:rPr>
              <w:t>当堂课程的掌握情况</w:t>
            </w:r>
            <w:r>
              <w:rPr>
                <w:rFonts w:hint="eastAsia" w:ascii="宋体" w:hAnsi="宋体"/>
                <w:bCs/>
                <w:color w:val="000000"/>
                <w:kern w:val="24"/>
                <w:szCs w:val="21"/>
              </w:rPr>
              <w:t>；</w:t>
            </w:r>
            <w:r>
              <w:rPr>
                <w:rFonts w:ascii="宋体" w:hAnsi="宋体"/>
                <w:bCs/>
                <w:color w:val="000000"/>
                <w:kern w:val="24"/>
                <w:szCs w:val="21"/>
              </w:rPr>
              <w:t>课堂</w:t>
            </w:r>
            <w:r>
              <w:rPr>
                <w:rFonts w:hint="eastAsia" w:ascii="宋体" w:hAnsi="宋体"/>
                <w:bCs/>
                <w:color w:val="000000"/>
                <w:kern w:val="24"/>
                <w:szCs w:val="21"/>
              </w:rPr>
              <w:t>陈述、讨论、</w:t>
            </w:r>
            <w:r>
              <w:rPr>
                <w:rFonts w:ascii="宋体" w:hAnsi="宋体"/>
                <w:bCs/>
                <w:color w:val="000000"/>
                <w:kern w:val="24"/>
                <w:szCs w:val="21"/>
              </w:rPr>
              <w:t>测试</w:t>
            </w:r>
            <w:r>
              <w:rPr>
                <w:rFonts w:hint="eastAsia" w:ascii="宋体" w:hAnsi="宋体"/>
                <w:bCs/>
                <w:color w:val="000000"/>
                <w:kern w:val="24"/>
                <w:szCs w:val="21"/>
              </w:rPr>
              <w:t>；满分100分</w:t>
            </w:r>
            <w:r>
              <w:rPr>
                <w:rFonts w:ascii="宋体" w:hAnsi="宋体"/>
                <w:bCs/>
                <w:color w:val="000000"/>
                <w:kern w:val="24"/>
                <w:szCs w:val="21"/>
              </w:rPr>
              <w:t>。</w:t>
            </w:r>
          </w:p>
        </w:tc>
        <w:tc>
          <w:tcPr>
            <w:tcW w:w="982" w:type="dxa"/>
            <w:noWrap w:val="0"/>
            <w:vAlign w:val="center"/>
          </w:tcPr>
          <w:p w14:paraId="354E2386">
            <w:pPr>
              <w:pStyle w:val="34"/>
              <w:jc w:val="center"/>
              <w:rPr>
                <w:rFonts w:hint="eastAsia" w:ascii="宋体" w:hAnsi="宋体" w:eastAsia="宋体"/>
                <w:color w:val="000000"/>
              </w:rPr>
            </w:pPr>
            <w:r>
              <w:rPr>
                <w:rFonts w:hint="eastAsia" w:ascii="宋体" w:hAnsi="宋体" w:eastAsia="宋体"/>
                <w:color w:val="000000"/>
              </w:rPr>
              <w:t>10</w:t>
            </w:r>
            <w:r>
              <w:rPr>
                <w:rFonts w:ascii="宋体" w:hAnsi="宋体" w:eastAsia="宋体"/>
                <w:color w:val="000000"/>
              </w:rPr>
              <w:t>%</w:t>
            </w:r>
          </w:p>
        </w:tc>
      </w:tr>
      <w:tr w14:paraId="402C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82" w:type="dxa"/>
            <w:noWrap w:val="0"/>
            <w:vAlign w:val="center"/>
          </w:tcPr>
          <w:p w14:paraId="0C8031BC">
            <w:pPr>
              <w:spacing w:line="276" w:lineRule="auto"/>
              <w:jc w:val="center"/>
              <w:rPr>
                <w:rFonts w:ascii="宋体" w:hAnsi="宋体"/>
                <w:color w:val="000000"/>
                <w:szCs w:val="21"/>
              </w:rPr>
            </w:pPr>
            <w:r>
              <w:rPr>
                <w:rFonts w:hint="eastAsia" w:ascii="宋体" w:hAnsi="宋体"/>
                <w:color w:val="000000"/>
                <w:szCs w:val="21"/>
              </w:rPr>
              <w:t>作业、测试</w:t>
            </w:r>
          </w:p>
        </w:tc>
        <w:tc>
          <w:tcPr>
            <w:tcW w:w="6000" w:type="dxa"/>
            <w:noWrap w:val="0"/>
            <w:vAlign w:val="center"/>
          </w:tcPr>
          <w:p w14:paraId="16273EA0">
            <w:pPr>
              <w:spacing w:line="276" w:lineRule="auto"/>
              <w:rPr>
                <w:rFonts w:ascii="宋体" w:hAnsi="宋体"/>
                <w:color w:val="000000"/>
                <w:szCs w:val="21"/>
              </w:rPr>
            </w:pPr>
            <w:r>
              <w:rPr>
                <w:rFonts w:hint="eastAsia" w:ascii="宋体" w:hAnsi="宋体"/>
                <w:bCs/>
                <w:color w:val="000000"/>
                <w:kern w:val="24"/>
                <w:szCs w:val="21"/>
              </w:rPr>
              <w:t>词汇单元练习、网络平台测试</w:t>
            </w:r>
            <w:r>
              <w:rPr>
                <w:rFonts w:ascii="宋体" w:hAnsi="宋体"/>
                <w:bCs/>
                <w:color w:val="000000"/>
                <w:kern w:val="24"/>
                <w:szCs w:val="21"/>
              </w:rPr>
              <w:t>，考核学生对</w:t>
            </w:r>
            <w:r>
              <w:rPr>
                <w:rFonts w:hint="eastAsia" w:ascii="宋体" w:hAnsi="宋体"/>
                <w:bCs/>
                <w:color w:val="000000"/>
                <w:kern w:val="24"/>
                <w:szCs w:val="21"/>
              </w:rPr>
              <w:t>单元</w:t>
            </w:r>
            <w:r>
              <w:rPr>
                <w:rFonts w:ascii="宋体" w:hAnsi="宋体"/>
                <w:bCs/>
                <w:color w:val="000000"/>
                <w:kern w:val="24"/>
                <w:szCs w:val="21"/>
              </w:rPr>
              <w:t>知识点的</w:t>
            </w:r>
            <w:r>
              <w:rPr>
                <w:rFonts w:hint="eastAsia" w:ascii="宋体" w:hAnsi="宋体"/>
                <w:bCs/>
                <w:color w:val="000000"/>
                <w:kern w:val="24"/>
                <w:szCs w:val="21"/>
              </w:rPr>
              <w:t>学习</w:t>
            </w:r>
            <w:r>
              <w:rPr>
                <w:rFonts w:ascii="宋体" w:hAnsi="宋体"/>
                <w:bCs/>
                <w:color w:val="000000"/>
                <w:kern w:val="24"/>
                <w:szCs w:val="21"/>
              </w:rPr>
              <w:t>、理解和掌握</w:t>
            </w:r>
            <w:r>
              <w:rPr>
                <w:rFonts w:hint="eastAsia" w:ascii="宋体" w:hAnsi="宋体"/>
                <w:bCs/>
                <w:color w:val="000000"/>
                <w:kern w:val="24"/>
                <w:szCs w:val="21"/>
              </w:rPr>
              <w:t>程度</w:t>
            </w:r>
            <w:r>
              <w:rPr>
                <w:rFonts w:ascii="宋体" w:hAnsi="宋体"/>
                <w:bCs/>
                <w:color w:val="000000"/>
                <w:kern w:val="24"/>
                <w:szCs w:val="21"/>
              </w:rPr>
              <w:t>。对每次作业</w:t>
            </w:r>
            <w:r>
              <w:rPr>
                <w:rFonts w:hint="eastAsia" w:ascii="宋体" w:hAnsi="宋体"/>
                <w:bCs/>
                <w:color w:val="000000"/>
                <w:kern w:val="24"/>
                <w:szCs w:val="21"/>
              </w:rPr>
              <w:t>、练习和测试</w:t>
            </w:r>
            <w:r>
              <w:rPr>
                <w:rFonts w:ascii="宋体" w:hAnsi="宋体"/>
                <w:bCs/>
                <w:color w:val="000000"/>
                <w:kern w:val="24"/>
                <w:szCs w:val="21"/>
              </w:rPr>
              <w:t>完成情况做记录并百分制打分</w:t>
            </w:r>
            <w:r>
              <w:rPr>
                <w:rFonts w:hint="eastAsia" w:ascii="宋体" w:hAnsi="宋体"/>
                <w:bCs/>
                <w:color w:val="000000"/>
                <w:kern w:val="24"/>
                <w:szCs w:val="21"/>
              </w:rPr>
              <w:t>，</w:t>
            </w:r>
            <w:r>
              <w:rPr>
                <w:rFonts w:ascii="宋体" w:hAnsi="宋体"/>
                <w:bCs/>
                <w:color w:val="000000"/>
                <w:kern w:val="24"/>
                <w:szCs w:val="21"/>
              </w:rPr>
              <w:t>计算全部作业的平均成绩</w:t>
            </w:r>
            <w:r>
              <w:rPr>
                <w:rFonts w:hint="eastAsia" w:ascii="宋体" w:hAnsi="宋体"/>
                <w:bCs/>
                <w:color w:val="000000"/>
                <w:kern w:val="24"/>
                <w:szCs w:val="21"/>
              </w:rPr>
              <w:t>；满分100分</w:t>
            </w:r>
            <w:r>
              <w:rPr>
                <w:rFonts w:ascii="宋体" w:hAnsi="宋体"/>
                <w:bCs/>
                <w:color w:val="000000"/>
                <w:kern w:val="24"/>
                <w:szCs w:val="21"/>
              </w:rPr>
              <w:t>。</w:t>
            </w:r>
          </w:p>
        </w:tc>
        <w:tc>
          <w:tcPr>
            <w:tcW w:w="982" w:type="dxa"/>
            <w:noWrap w:val="0"/>
            <w:vAlign w:val="center"/>
          </w:tcPr>
          <w:p w14:paraId="3238B534">
            <w:pPr>
              <w:pStyle w:val="34"/>
              <w:jc w:val="center"/>
              <w:rPr>
                <w:rFonts w:hint="eastAsia" w:ascii="宋体" w:hAnsi="宋体" w:eastAsia="宋体"/>
                <w:color w:val="000000"/>
              </w:rPr>
            </w:pPr>
            <w:r>
              <w:rPr>
                <w:rFonts w:hint="eastAsia" w:ascii="宋体" w:hAnsi="宋体" w:eastAsia="宋体"/>
                <w:color w:val="000000"/>
              </w:rPr>
              <w:t>12.5</w:t>
            </w:r>
            <w:r>
              <w:rPr>
                <w:rFonts w:ascii="宋体" w:hAnsi="宋体" w:eastAsia="宋体"/>
                <w:color w:val="000000"/>
              </w:rPr>
              <w:t>%</w:t>
            </w:r>
          </w:p>
        </w:tc>
      </w:tr>
      <w:tr w14:paraId="1858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82" w:type="dxa"/>
            <w:noWrap w:val="0"/>
            <w:vAlign w:val="center"/>
          </w:tcPr>
          <w:p w14:paraId="71CBF71F">
            <w:pPr>
              <w:spacing w:line="276" w:lineRule="auto"/>
              <w:jc w:val="center"/>
              <w:rPr>
                <w:rFonts w:hint="eastAsia" w:ascii="宋体" w:hAnsi="宋体"/>
                <w:color w:val="000000"/>
                <w:szCs w:val="21"/>
              </w:rPr>
            </w:pPr>
            <w:r>
              <w:rPr>
                <w:rFonts w:hint="eastAsia" w:ascii="宋体" w:hAnsi="宋体"/>
                <w:color w:val="000000"/>
                <w:szCs w:val="21"/>
              </w:rPr>
              <w:t>口语</w:t>
            </w:r>
          </w:p>
        </w:tc>
        <w:tc>
          <w:tcPr>
            <w:tcW w:w="6000" w:type="dxa"/>
            <w:noWrap w:val="0"/>
            <w:vAlign w:val="center"/>
          </w:tcPr>
          <w:p w14:paraId="5C582369">
            <w:pPr>
              <w:spacing w:line="276" w:lineRule="auto"/>
              <w:rPr>
                <w:rFonts w:hint="eastAsia" w:ascii="宋体" w:hAnsi="宋体"/>
                <w:bCs/>
                <w:color w:val="000000"/>
                <w:kern w:val="24"/>
                <w:szCs w:val="21"/>
              </w:rPr>
            </w:pPr>
            <w:r>
              <w:rPr>
                <w:rFonts w:hint="eastAsia" w:ascii="宋体" w:hAnsi="宋体"/>
                <w:bCs/>
                <w:color w:val="000000"/>
                <w:kern w:val="24"/>
                <w:szCs w:val="21"/>
              </w:rPr>
              <w:t>随堂测试，口语测试需包括短文朗读、简短问答和情景对话，记录成绩；满分100分</w:t>
            </w:r>
            <w:r>
              <w:rPr>
                <w:rFonts w:ascii="宋体" w:hAnsi="宋体"/>
                <w:bCs/>
                <w:color w:val="000000"/>
                <w:kern w:val="24"/>
                <w:szCs w:val="21"/>
              </w:rPr>
              <w:t>。</w:t>
            </w:r>
          </w:p>
        </w:tc>
        <w:tc>
          <w:tcPr>
            <w:tcW w:w="982" w:type="dxa"/>
            <w:noWrap w:val="0"/>
            <w:vAlign w:val="center"/>
          </w:tcPr>
          <w:p w14:paraId="6DEDA811">
            <w:pPr>
              <w:pStyle w:val="34"/>
              <w:jc w:val="center"/>
              <w:rPr>
                <w:rFonts w:hint="eastAsia" w:ascii="宋体" w:hAnsi="宋体" w:eastAsia="宋体"/>
                <w:color w:val="000000"/>
              </w:rPr>
            </w:pPr>
            <w:r>
              <w:rPr>
                <w:rFonts w:hint="eastAsia" w:ascii="宋体" w:hAnsi="宋体" w:eastAsia="宋体"/>
                <w:color w:val="000000"/>
              </w:rPr>
              <w:t>5</w:t>
            </w:r>
            <w:r>
              <w:rPr>
                <w:rFonts w:ascii="宋体" w:hAnsi="宋体" w:eastAsia="宋体"/>
                <w:color w:val="000000"/>
              </w:rPr>
              <w:t>%</w:t>
            </w:r>
          </w:p>
        </w:tc>
      </w:tr>
      <w:tr w14:paraId="7B95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82" w:type="dxa"/>
            <w:noWrap w:val="0"/>
            <w:vAlign w:val="center"/>
          </w:tcPr>
          <w:p w14:paraId="3E3D8FE0">
            <w:pPr>
              <w:spacing w:line="276" w:lineRule="auto"/>
              <w:jc w:val="center"/>
              <w:rPr>
                <w:rFonts w:hint="eastAsia" w:ascii="宋体" w:hAnsi="宋体"/>
                <w:color w:val="000000"/>
                <w:szCs w:val="21"/>
              </w:rPr>
            </w:pPr>
            <w:r>
              <w:rPr>
                <w:rFonts w:hint="eastAsia" w:ascii="宋体" w:hAnsi="宋体"/>
                <w:bCs/>
                <w:color w:val="000000"/>
                <w:kern w:val="24"/>
                <w:szCs w:val="21"/>
              </w:rPr>
              <w:t>书面表达</w:t>
            </w:r>
          </w:p>
        </w:tc>
        <w:tc>
          <w:tcPr>
            <w:tcW w:w="6000" w:type="dxa"/>
            <w:noWrap w:val="0"/>
            <w:vAlign w:val="center"/>
          </w:tcPr>
          <w:p w14:paraId="1ADB8CE0">
            <w:pPr>
              <w:spacing w:line="276" w:lineRule="auto"/>
              <w:rPr>
                <w:rFonts w:hint="eastAsia" w:ascii="宋体" w:hAnsi="宋体"/>
                <w:bCs/>
                <w:color w:val="000000"/>
                <w:kern w:val="24"/>
                <w:szCs w:val="21"/>
              </w:rPr>
            </w:pPr>
            <w:r>
              <w:rPr>
                <w:rFonts w:hint="eastAsia" w:ascii="宋体" w:hAnsi="宋体"/>
                <w:bCs/>
                <w:color w:val="000000"/>
                <w:kern w:val="24"/>
                <w:szCs w:val="21"/>
              </w:rPr>
              <w:t>不少于两次书面表达练习（书面表达练习由大学英语教学部统一命题并建立书面表达练习题库），记录成绩并百分制打分，计</w:t>
            </w:r>
            <w:r>
              <w:rPr>
                <w:rFonts w:ascii="宋体" w:hAnsi="宋体"/>
                <w:bCs/>
                <w:color w:val="000000"/>
                <w:kern w:val="24"/>
                <w:szCs w:val="21"/>
              </w:rPr>
              <w:t>算平均成绩</w:t>
            </w:r>
            <w:r>
              <w:rPr>
                <w:rFonts w:hint="eastAsia" w:ascii="宋体" w:hAnsi="宋体"/>
                <w:bCs/>
                <w:color w:val="000000"/>
                <w:kern w:val="24"/>
                <w:szCs w:val="21"/>
              </w:rPr>
              <w:t>；满分</w:t>
            </w:r>
            <w:r>
              <w:rPr>
                <w:rFonts w:ascii="宋体" w:hAnsi="宋体"/>
                <w:bCs/>
                <w:color w:val="000000"/>
                <w:kern w:val="24"/>
              </w:rPr>
              <w:t>100</w:t>
            </w:r>
            <w:r>
              <w:rPr>
                <w:rFonts w:hint="eastAsia" w:ascii="宋体" w:hAnsi="宋体"/>
                <w:bCs/>
                <w:color w:val="000000"/>
                <w:kern w:val="24"/>
                <w:szCs w:val="21"/>
              </w:rPr>
              <w:t>分</w:t>
            </w:r>
            <w:r>
              <w:rPr>
                <w:rFonts w:ascii="宋体" w:hAnsi="宋体"/>
                <w:bCs/>
                <w:color w:val="000000"/>
                <w:kern w:val="24"/>
                <w:szCs w:val="21"/>
              </w:rPr>
              <w:t>。</w:t>
            </w:r>
          </w:p>
        </w:tc>
        <w:tc>
          <w:tcPr>
            <w:tcW w:w="982" w:type="dxa"/>
            <w:noWrap w:val="0"/>
            <w:vAlign w:val="center"/>
          </w:tcPr>
          <w:p w14:paraId="7BA1E053">
            <w:pPr>
              <w:pStyle w:val="34"/>
              <w:jc w:val="center"/>
              <w:rPr>
                <w:rFonts w:hint="eastAsia" w:ascii="宋体" w:hAnsi="宋体" w:eastAsia="宋体"/>
                <w:color w:val="000000"/>
              </w:rPr>
            </w:pPr>
            <w:r>
              <w:rPr>
                <w:rFonts w:hint="eastAsia" w:ascii="宋体" w:hAnsi="宋体" w:eastAsia="宋体"/>
                <w:color w:val="000000"/>
              </w:rPr>
              <w:t>5</w:t>
            </w:r>
            <w:r>
              <w:rPr>
                <w:rFonts w:ascii="宋体" w:hAnsi="宋体" w:eastAsia="宋体"/>
                <w:color w:val="000000"/>
              </w:rPr>
              <w:t>%</w:t>
            </w:r>
          </w:p>
        </w:tc>
      </w:tr>
      <w:tr w14:paraId="471C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82" w:type="dxa"/>
            <w:noWrap w:val="0"/>
            <w:vAlign w:val="center"/>
          </w:tcPr>
          <w:p w14:paraId="2FE06389">
            <w:pPr>
              <w:spacing w:line="276" w:lineRule="auto"/>
              <w:jc w:val="center"/>
              <w:rPr>
                <w:rFonts w:hint="eastAsia" w:ascii="宋体" w:hAnsi="宋体"/>
                <w:color w:val="000000"/>
                <w:szCs w:val="21"/>
              </w:rPr>
            </w:pPr>
            <w:r>
              <w:rPr>
                <w:rFonts w:hint="eastAsia" w:ascii="宋体" w:hAnsi="宋体"/>
                <w:color w:val="000000"/>
                <w:szCs w:val="21"/>
              </w:rPr>
              <w:t>翻译</w:t>
            </w:r>
          </w:p>
        </w:tc>
        <w:tc>
          <w:tcPr>
            <w:tcW w:w="6000" w:type="dxa"/>
            <w:noWrap w:val="0"/>
            <w:vAlign w:val="center"/>
          </w:tcPr>
          <w:p w14:paraId="0BBE90A1">
            <w:pPr>
              <w:spacing w:line="276" w:lineRule="auto"/>
              <w:rPr>
                <w:rFonts w:hint="eastAsia" w:ascii="宋体" w:hAnsi="宋体"/>
                <w:bCs/>
                <w:color w:val="000000"/>
                <w:kern w:val="24"/>
                <w:szCs w:val="21"/>
              </w:rPr>
            </w:pPr>
            <w:r>
              <w:rPr>
                <w:rFonts w:hint="eastAsia" w:ascii="宋体" w:hAnsi="宋体"/>
                <w:bCs/>
                <w:color w:val="000000"/>
                <w:kern w:val="24"/>
                <w:szCs w:val="21"/>
              </w:rPr>
              <w:t>不少于两次翻译练习和一次班级随堂测试（翻译练习、测试题由大学英语教学部统一命题并建立翻译题库），记录成绩并百分制打分，计</w:t>
            </w:r>
            <w:r>
              <w:rPr>
                <w:rFonts w:ascii="宋体" w:hAnsi="宋体"/>
                <w:bCs/>
                <w:color w:val="000000"/>
                <w:kern w:val="24"/>
                <w:szCs w:val="21"/>
              </w:rPr>
              <w:t>算平均成绩</w:t>
            </w:r>
            <w:r>
              <w:rPr>
                <w:rFonts w:hint="eastAsia" w:ascii="宋体" w:hAnsi="宋体"/>
                <w:bCs/>
                <w:color w:val="000000"/>
                <w:kern w:val="24"/>
                <w:szCs w:val="21"/>
              </w:rPr>
              <w:t>；满分100分</w:t>
            </w:r>
            <w:r>
              <w:rPr>
                <w:rFonts w:ascii="宋体" w:hAnsi="宋体"/>
                <w:bCs/>
                <w:color w:val="000000"/>
                <w:kern w:val="24"/>
                <w:szCs w:val="21"/>
              </w:rPr>
              <w:t>。</w:t>
            </w:r>
          </w:p>
        </w:tc>
        <w:tc>
          <w:tcPr>
            <w:tcW w:w="982" w:type="dxa"/>
            <w:noWrap w:val="0"/>
            <w:vAlign w:val="center"/>
          </w:tcPr>
          <w:p w14:paraId="02D16E33">
            <w:pPr>
              <w:pStyle w:val="34"/>
              <w:jc w:val="center"/>
              <w:rPr>
                <w:rFonts w:hint="eastAsia" w:ascii="宋体" w:hAnsi="宋体" w:eastAsia="宋体"/>
                <w:color w:val="000000"/>
              </w:rPr>
            </w:pPr>
            <w:r>
              <w:rPr>
                <w:rFonts w:hint="eastAsia" w:ascii="宋体" w:hAnsi="宋体" w:eastAsia="宋体"/>
                <w:color w:val="000000"/>
              </w:rPr>
              <w:t>5</w:t>
            </w:r>
            <w:r>
              <w:rPr>
                <w:rFonts w:ascii="宋体" w:hAnsi="宋体" w:eastAsia="宋体"/>
                <w:color w:val="000000"/>
              </w:rPr>
              <w:t>%</w:t>
            </w:r>
          </w:p>
        </w:tc>
      </w:tr>
      <w:tr w14:paraId="230B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82" w:type="dxa"/>
            <w:noWrap w:val="0"/>
            <w:vAlign w:val="center"/>
          </w:tcPr>
          <w:p w14:paraId="4BC40831">
            <w:pPr>
              <w:spacing w:line="276" w:lineRule="auto"/>
              <w:jc w:val="center"/>
              <w:rPr>
                <w:rFonts w:hint="eastAsia" w:ascii="宋体" w:hAnsi="宋体"/>
                <w:color w:val="000000"/>
                <w:szCs w:val="21"/>
              </w:rPr>
            </w:pPr>
            <w:r>
              <w:rPr>
                <w:rFonts w:hint="eastAsia" w:ascii="宋体" w:hAnsi="宋体"/>
                <w:color w:val="000000"/>
                <w:szCs w:val="21"/>
              </w:rPr>
              <w:t>第二课堂活动</w:t>
            </w:r>
          </w:p>
        </w:tc>
        <w:tc>
          <w:tcPr>
            <w:tcW w:w="6000" w:type="dxa"/>
            <w:noWrap w:val="0"/>
            <w:vAlign w:val="center"/>
          </w:tcPr>
          <w:p w14:paraId="75CCBF3B">
            <w:pPr>
              <w:spacing w:line="276" w:lineRule="auto"/>
              <w:rPr>
                <w:rFonts w:hint="eastAsia" w:ascii="宋体" w:hAnsi="宋体"/>
                <w:bCs/>
                <w:color w:val="000000"/>
                <w:kern w:val="24"/>
                <w:szCs w:val="21"/>
              </w:rPr>
            </w:pPr>
            <w:r>
              <w:rPr>
                <w:rFonts w:hint="eastAsia" w:ascii="宋体" w:hAnsi="宋体"/>
                <w:bCs/>
                <w:color w:val="000000"/>
                <w:kern w:val="24"/>
                <w:szCs w:val="21"/>
              </w:rPr>
              <w:t>基础分60分，参与英语类竞赛或大创项目每项加10分；竞赛获校级三等奖或参与大创项目获校级立项每项加</w:t>
            </w:r>
            <w:r>
              <w:rPr>
                <w:rFonts w:ascii="宋体" w:hAnsi="宋体"/>
                <w:bCs/>
                <w:color w:val="000000"/>
                <w:kern w:val="24"/>
                <w:szCs w:val="21"/>
              </w:rPr>
              <w:t>20</w:t>
            </w:r>
            <w:r>
              <w:rPr>
                <w:rFonts w:hint="eastAsia" w:ascii="宋体" w:hAnsi="宋体"/>
                <w:bCs/>
                <w:color w:val="000000"/>
                <w:kern w:val="24"/>
                <w:szCs w:val="21"/>
              </w:rPr>
              <w:t>分；竞赛获校级二等奖或大创项目获省级立项每项加30分；竞赛获校级一等奖及以上奖励或大创项目获国家级立项加40分（参与多项竞赛或大创项目分数可累加）；满分100分。</w:t>
            </w:r>
          </w:p>
        </w:tc>
        <w:tc>
          <w:tcPr>
            <w:tcW w:w="982" w:type="dxa"/>
            <w:noWrap w:val="0"/>
            <w:vAlign w:val="center"/>
          </w:tcPr>
          <w:p w14:paraId="56788663">
            <w:pPr>
              <w:pStyle w:val="34"/>
              <w:jc w:val="center"/>
              <w:rPr>
                <w:rFonts w:hint="eastAsia" w:ascii="宋体" w:hAnsi="宋体" w:eastAsia="宋体"/>
                <w:color w:val="000000"/>
              </w:rPr>
            </w:pPr>
            <w:r>
              <w:rPr>
                <w:rFonts w:hint="eastAsia" w:ascii="宋体" w:hAnsi="宋体" w:eastAsia="宋体"/>
                <w:color w:val="000000"/>
              </w:rPr>
              <w:t>7.5%</w:t>
            </w:r>
          </w:p>
        </w:tc>
      </w:tr>
      <w:tr w14:paraId="16D3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582" w:type="dxa"/>
            <w:noWrap w:val="0"/>
            <w:vAlign w:val="center"/>
          </w:tcPr>
          <w:p w14:paraId="0AD8F9C1">
            <w:pPr>
              <w:pStyle w:val="34"/>
              <w:jc w:val="center"/>
              <w:rPr>
                <w:rFonts w:ascii="宋体" w:hAnsi="宋体" w:eastAsia="宋体"/>
                <w:color w:val="000000"/>
              </w:rPr>
            </w:pPr>
            <w:r>
              <w:rPr>
                <w:rFonts w:ascii="宋体" w:hAnsi="宋体" w:eastAsia="宋体"/>
                <w:color w:val="000000"/>
              </w:rPr>
              <w:t>期末考试</w:t>
            </w:r>
          </w:p>
        </w:tc>
        <w:tc>
          <w:tcPr>
            <w:tcW w:w="6000" w:type="dxa"/>
            <w:noWrap w:val="0"/>
            <w:vAlign w:val="center"/>
          </w:tcPr>
          <w:p w14:paraId="3C9D3B84">
            <w:pPr>
              <w:pStyle w:val="34"/>
              <w:rPr>
                <w:rFonts w:hint="eastAsia" w:ascii="宋体" w:hAnsi="宋体" w:eastAsia="宋体" w:cs="宋体"/>
                <w:bCs/>
                <w:color w:val="000000"/>
                <w:kern w:val="24"/>
              </w:rPr>
            </w:pPr>
            <w:r>
              <w:rPr>
                <w:rFonts w:hint="eastAsia" w:ascii="宋体" w:hAnsi="宋体" w:eastAsia="宋体"/>
                <w:bCs/>
                <w:color w:val="000000"/>
                <w:kern w:val="24"/>
              </w:rPr>
              <w:t>期末考试试题由大学英语教学部统一命题并建立试题库，</w:t>
            </w:r>
            <w:r>
              <w:rPr>
                <w:rFonts w:hint="eastAsia" w:ascii="宋体" w:hAnsi="宋体" w:eastAsia="宋体" w:cs="宋体"/>
                <w:bCs/>
                <w:color w:val="000000"/>
                <w:kern w:val="24"/>
              </w:rPr>
              <w:t>题型包括听力理解、词汇与结构、快速阅读、选词填空、</w:t>
            </w:r>
            <w:r>
              <w:rPr>
                <w:rFonts w:hint="eastAsia" w:ascii="宋体" w:hAnsi="宋体" w:eastAsia="宋体" w:cs="宋体"/>
                <w:color w:val="000000"/>
                <w:kern w:val="0"/>
              </w:rPr>
              <w:t>阅读理解、写作</w:t>
            </w:r>
            <w:r>
              <w:rPr>
                <w:rFonts w:hint="eastAsia" w:ascii="宋体" w:hAnsi="宋体" w:eastAsia="宋体" w:cs="宋体"/>
                <w:bCs/>
                <w:color w:val="000000"/>
                <w:kern w:val="24"/>
              </w:rPr>
              <w:t>等（每次考核可能题型不同，以当次考核题型为准），计入期考成绩；卷面满分100分。</w:t>
            </w:r>
          </w:p>
        </w:tc>
        <w:tc>
          <w:tcPr>
            <w:tcW w:w="982" w:type="dxa"/>
            <w:noWrap w:val="0"/>
            <w:vAlign w:val="center"/>
          </w:tcPr>
          <w:p w14:paraId="30A82699">
            <w:pPr>
              <w:pStyle w:val="34"/>
              <w:jc w:val="center"/>
              <w:rPr>
                <w:rFonts w:hint="eastAsia" w:ascii="宋体" w:hAnsi="宋体" w:eastAsia="宋体"/>
                <w:color w:val="000000"/>
              </w:rPr>
            </w:pPr>
            <w:r>
              <w:rPr>
                <w:rFonts w:hint="eastAsia" w:ascii="宋体" w:hAnsi="宋体" w:eastAsia="宋体"/>
                <w:color w:val="000000"/>
              </w:rPr>
              <w:t>50</w:t>
            </w:r>
            <w:r>
              <w:rPr>
                <w:rFonts w:ascii="宋体" w:hAnsi="宋体" w:eastAsia="宋体"/>
                <w:color w:val="000000"/>
              </w:rPr>
              <w:t>%</w:t>
            </w:r>
          </w:p>
        </w:tc>
      </w:tr>
      <w:tr w14:paraId="17C6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582" w:type="dxa"/>
            <w:noWrap w:val="0"/>
            <w:vAlign w:val="center"/>
          </w:tcPr>
          <w:p w14:paraId="475BEC82">
            <w:pPr>
              <w:pStyle w:val="34"/>
              <w:jc w:val="center"/>
              <w:rPr>
                <w:rFonts w:hint="eastAsia" w:ascii="宋体" w:hAnsi="宋体" w:eastAsia="宋体"/>
                <w:color w:val="000000"/>
              </w:rPr>
            </w:pPr>
            <w:r>
              <w:rPr>
                <w:rFonts w:hint="eastAsia" w:ascii="宋体" w:hAnsi="宋体" w:eastAsia="宋体"/>
                <w:color w:val="000000"/>
              </w:rPr>
              <w:t>合计</w:t>
            </w:r>
          </w:p>
        </w:tc>
        <w:tc>
          <w:tcPr>
            <w:tcW w:w="6000" w:type="dxa"/>
            <w:noWrap w:val="0"/>
            <w:vAlign w:val="center"/>
          </w:tcPr>
          <w:p w14:paraId="4811246D">
            <w:pPr>
              <w:pStyle w:val="34"/>
              <w:rPr>
                <w:rFonts w:hint="eastAsia" w:ascii="宋体" w:hAnsi="宋体" w:eastAsia="宋体"/>
                <w:bCs/>
                <w:color w:val="000000"/>
                <w:kern w:val="24"/>
              </w:rPr>
            </w:pPr>
          </w:p>
        </w:tc>
        <w:tc>
          <w:tcPr>
            <w:tcW w:w="982" w:type="dxa"/>
            <w:noWrap w:val="0"/>
            <w:vAlign w:val="center"/>
          </w:tcPr>
          <w:p w14:paraId="3CC27DC0">
            <w:pPr>
              <w:pStyle w:val="34"/>
              <w:jc w:val="center"/>
              <w:rPr>
                <w:rFonts w:ascii="宋体" w:hAnsi="宋体" w:eastAsia="宋体"/>
                <w:color w:val="000000"/>
              </w:rPr>
            </w:pPr>
            <w:r>
              <w:rPr>
                <w:rFonts w:hint="eastAsia" w:ascii="宋体" w:hAnsi="宋体" w:eastAsia="宋体"/>
                <w:color w:val="000000"/>
              </w:rPr>
              <w:t>100%</w:t>
            </w:r>
          </w:p>
        </w:tc>
      </w:tr>
    </w:tbl>
    <w:p w14:paraId="32541AE9">
      <w:pPr>
        <w:spacing w:line="360" w:lineRule="auto"/>
        <w:rPr>
          <w:rFonts w:hint="eastAsia"/>
          <w:bCs/>
          <w:color w:val="000000"/>
          <w:sz w:val="22"/>
          <w:szCs w:val="22"/>
        </w:rPr>
      </w:pPr>
      <w:r>
        <w:rPr>
          <w:rFonts w:hint="eastAsia"/>
          <w:bCs/>
          <w:color w:val="000000"/>
          <w:sz w:val="22"/>
          <w:szCs w:val="22"/>
        </w:rPr>
        <w:t>（平时成绩考核可结合班级的实际情况和具体教学实践适度调整）</w:t>
      </w:r>
    </w:p>
    <w:p w14:paraId="09AC915B">
      <w:pPr>
        <w:numPr>
          <w:ilvl w:val="0"/>
          <w:numId w:val="10"/>
        </w:numPr>
        <w:spacing w:line="360" w:lineRule="auto"/>
        <w:rPr>
          <w:rFonts w:hint="eastAsia"/>
          <w:b/>
          <w:color w:val="000000"/>
          <w:sz w:val="24"/>
        </w:rPr>
      </w:pPr>
      <w:r>
        <w:rPr>
          <w:rFonts w:hint="eastAsia"/>
          <w:b/>
          <w:color w:val="000000"/>
          <w:sz w:val="24"/>
        </w:rPr>
        <w:t>成绩评定细则</w:t>
      </w:r>
    </w:p>
    <w:p w14:paraId="110933E5">
      <w:pPr>
        <w:spacing w:line="360" w:lineRule="auto"/>
        <w:ind w:firstLine="480" w:firstLineChars="200"/>
        <w:rPr>
          <w:rFonts w:hint="eastAsia"/>
          <w:color w:val="000000"/>
          <w:sz w:val="24"/>
        </w:rPr>
      </w:pPr>
      <w:r>
        <w:rPr>
          <w:rFonts w:hint="eastAsia"/>
          <w:color w:val="000000"/>
          <w:sz w:val="24"/>
        </w:rPr>
        <w:t>所有课程目标均需大于等于0.6，否则总评成绩不及格，需要补考或重修。每门课程目标总体达成度计算方法如下：</w:t>
      </w:r>
    </w:p>
    <w:p w14:paraId="0102A5BB">
      <w:pPr>
        <w:spacing w:line="360" w:lineRule="auto"/>
        <w:ind w:firstLine="480" w:firstLineChars="200"/>
        <w:rPr>
          <w:color w:val="000000"/>
          <w:sz w:val="24"/>
          <w:u w:val="single"/>
        </w:rPr>
      </w:pPr>
      <w:r>
        <w:rPr>
          <w:rFonts w:hint="eastAsia"/>
          <w:color w:val="000000"/>
          <w:sz w:val="24"/>
        </w:rPr>
        <w:t>课程目标达成度 = ∑课程子目标的权重值 （</w:t>
      </w:r>
      <w:r>
        <w:rPr>
          <w:rFonts w:hint="eastAsia"/>
          <w:i/>
          <w:iCs/>
          <w:color w:val="000000"/>
          <w:sz w:val="24"/>
        </w:rPr>
        <w:t>a</w:t>
      </w:r>
      <w:r>
        <w:rPr>
          <w:rFonts w:hint="eastAsia"/>
          <w:color w:val="000000"/>
          <w:sz w:val="24"/>
        </w:rPr>
        <w:t>）×∑课程考核目标的权重值（</w:t>
      </w:r>
      <w:r>
        <w:rPr>
          <w:rFonts w:hint="eastAsia"/>
          <w:i/>
          <w:iCs/>
          <w:color w:val="000000"/>
          <w:sz w:val="24"/>
        </w:rPr>
        <w:t>b</w:t>
      </w:r>
      <w:r>
        <w:rPr>
          <w:rFonts w:hint="eastAsia"/>
          <w:color w:val="000000"/>
          <w:sz w:val="24"/>
        </w:rPr>
        <w:t>）</w:t>
      </w:r>
      <w:r>
        <w:rPr>
          <w:rFonts w:hint="eastAsia"/>
          <w:color w:val="000000"/>
          <w:sz w:val="24"/>
          <w:u w:val="single"/>
        </w:rPr>
        <w:t xml:space="preserve"> 考核项目平均分 </w:t>
      </w:r>
    </w:p>
    <w:p w14:paraId="4914F27F">
      <w:pPr>
        <w:spacing w:line="100" w:lineRule="atLeast"/>
        <w:ind w:firstLine="480" w:firstLineChars="200"/>
        <w:rPr>
          <w:color w:val="000000"/>
          <w:sz w:val="24"/>
        </w:rPr>
      </w:pPr>
      <w:r>
        <w:rPr>
          <w:rFonts w:hint="eastAsia"/>
          <w:color w:val="000000"/>
          <w:sz w:val="24"/>
        </w:rPr>
        <w:t xml:space="preserve">  考核项目总分</w:t>
      </w:r>
    </w:p>
    <w:p w14:paraId="03944AD8">
      <w:pPr>
        <w:spacing w:line="360" w:lineRule="auto"/>
        <w:rPr>
          <w:rFonts w:hint="eastAsia"/>
          <w:b/>
          <w:color w:val="000000"/>
          <w:sz w:val="28"/>
          <w:szCs w:val="28"/>
        </w:rPr>
      </w:pPr>
    </w:p>
    <w:p w14:paraId="388B45E8">
      <w:pPr>
        <w:spacing w:line="360" w:lineRule="auto"/>
        <w:rPr>
          <w:rFonts w:hint="eastAsia"/>
          <w:b/>
          <w:color w:val="000000"/>
          <w:sz w:val="24"/>
        </w:rPr>
      </w:pPr>
      <w:r>
        <w:rPr>
          <w:rFonts w:hint="eastAsia"/>
          <w:b/>
          <w:color w:val="000000"/>
          <w:sz w:val="24"/>
        </w:rPr>
        <w:t>五、有关说明</w:t>
      </w:r>
    </w:p>
    <w:p w14:paraId="380C49D0">
      <w:pPr>
        <w:spacing w:line="360" w:lineRule="auto"/>
        <w:rPr>
          <w:rFonts w:hint="eastAsia" w:ascii="宋体" w:hAnsi="宋体" w:cs="宋体"/>
          <w:b/>
          <w:color w:val="000000"/>
          <w:kern w:val="0"/>
          <w:sz w:val="24"/>
        </w:rPr>
      </w:pPr>
      <w:r>
        <w:rPr>
          <w:rFonts w:hint="eastAsia" w:ascii="宋体" w:hAnsi="宋体" w:cs="宋体"/>
          <w:b/>
          <w:color w:val="000000"/>
          <w:sz w:val="24"/>
        </w:rPr>
        <w:t>（一）持续改进</w:t>
      </w:r>
    </w:p>
    <w:p w14:paraId="30322121">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本课程根据学生作业、课堂讨论、平时考核情况和学生、教学督导等的反馈，及时对教学中的不足之处进行改进，并在下一轮课程教学中整改完善。</w:t>
      </w:r>
    </w:p>
    <w:p w14:paraId="731FD340">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（二）参考书目与学习资料</w:t>
      </w:r>
    </w:p>
    <w:p w14:paraId="0FB581B1">
      <w:pPr>
        <w:spacing w:line="440" w:lineRule="exact"/>
        <w:ind w:firstLine="480" w:firstLineChars="200"/>
        <w:jc w:val="left"/>
        <w:rPr>
          <w:color w:val="000000"/>
          <w:sz w:val="24"/>
        </w:rPr>
      </w:pPr>
      <w:r>
        <w:rPr>
          <w:rFonts w:hint="eastAsia"/>
          <w:color w:val="000000"/>
          <w:sz w:val="24"/>
        </w:rPr>
        <w:t>1．《全新版大学进阶英语综合教程》（第二版），季佩英、冯豫等主编，上海外语教育出版社，2023</w:t>
      </w:r>
    </w:p>
    <w:p w14:paraId="1B9EE33A">
      <w:pPr>
        <w:spacing w:line="440" w:lineRule="exact"/>
        <w:ind w:firstLine="480" w:firstLineChars="200"/>
        <w:jc w:val="left"/>
        <w:rPr>
          <w:color w:val="000000"/>
          <w:sz w:val="24"/>
        </w:rPr>
      </w:pPr>
      <w:r>
        <w:rPr>
          <w:rFonts w:hint="eastAsia"/>
          <w:color w:val="000000"/>
          <w:sz w:val="24"/>
        </w:rPr>
        <w:t>2．《大学英语听说教程》（智慧版），李莹等主编，外语教学与研究出版社，2023</w:t>
      </w:r>
    </w:p>
    <w:p w14:paraId="685267EF">
      <w:pPr>
        <w:spacing w:line="440" w:lineRule="exact"/>
        <w:ind w:firstLine="480" w:firstLineChars="200"/>
        <w:jc w:val="left"/>
        <w:rPr>
          <w:color w:val="000000"/>
          <w:sz w:val="24"/>
        </w:rPr>
      </w:pPr>
      <w:r>
        <w:rPr>
          <w:rFonts w:hint="eastAsia"/>
          <w:color w:val="000000"/>
          <w:sz w:val="24"/>
        </w:rPr>
        <w:t>3．《新编大学英语技能进阶教程》（第1版），汤月明、陈婧等主编，东南大学出版社，2023</w:t>
      </w:r>
    </w:p>
    <w:p w14:paraId="692FA936">
      <w:pPr>
        <w:widowControl/>
        <w:spacing w:before="100" w:beforeAutospacing="1" w:after="100" w:afterAutospacing="1" w:line="270" w:lineRule="atLeast"/>
        <w:ind w:firstLine="480" w:firstLineChars="200"/>
        <w:jc w:val="left"/>
        <w:rPr>
          <w:rFonts w:ascii="宋体" w:hAnsi="宋体" w:cs="宋体"/>
          <w:color w:val="000000"/>
          <w:kern w:val="0"/>
          <w:sz w:val="18"/>
          <w:szCs w:val="18"/>
        </w:rPr>
      </w:pPr>
      <w:r>
        <w:rPr>
          <w:rFonts w:hint="eastAsia" w:ascii="宋体" w:hAnsi="宋体" w:cs="宋体"/>
          <w:color w:val="000000"/>
          <w:kern w:val="0"/>
          <w:sz w:val="24"/>
        </w:rPr>
        <w:t>4．《朗文当代高级英语辞典》（第</w:t>
      </w:r>
      <w:r>
        <w:rPr>
          <w:rFonts w:ascii="宋体" w:hAnsi="宋体" w:cs="宋体"/>
          <w:color w:val="000000"/>
          <w:kern w:val="0"/>
          <w:sz w:val="24"/>
        </w:rPr>
        <w:t>6</w:t>
      </w:r>
      <w:r>
        <w:rPr>
          <w:rFonts w:hint="eastAsia" w:ascii="宋体" w:hAnsi="宋体" w:cs="宋体"/>
          <w:color w:val="000000"/>
          <w:kern w:val="0"/>
          <w:sz w:val="24"/>
        </w:rPr>
        <w:t>版），英国培生教育出版集团编，外语教学与研究出版社，201</w:t>
      </w:r>
      <w:r>
        <w:rPr>
          <w:rFonts w:ascii="宋体" w:hAnsi="宋体" w:cs="宋体"/>
          <w:color w:val="000000"/>
          <w:kern w:val="0"/>
          <w:sz w:val="24"/>
        </w:rPr>
        <w:t>9</w:t>
      </w:r>
    </w:p>
    <w:p w14:paraId="357CFA99">
      <w:pPr>
        <w:widowControl/>
        <w:spacing w:before="100" w:beforeAutospacing="1" w:after="100" w:afterAutospacing="1" w:line="270" w:lineRule="atLeast"/>
        <w:ind w:firstLine="480" w:firstLineChars="200"/>
        <w:jc w:val="left"/>
        <w:rPr>
          <w:rFonts w:ascii="宋体" w:hAnsi="宋体" w:cs="宋体"/>
          <w:color w:val="000000"/>
          <w:kern w:val="0"/>
          <w:sz w:val="18"/>
          <w:szCs w:val="18"/>
        </w:rPr>
      </w:pPr>
      <w:r>
        <w:rPr>
          <w:rFonts w:hint="eastAsia" w:ascii="宋体" w:hAnsi="宋体" w:cs="宋体"/>
          <w:color w:val="000000"/>
          <w:kern w:val="0"/>
          <w:sz w:val="24"/>
        </w:rPr>
        <w:t>5．《牛津高阶英汉双解词典》（第</w:t>
      </w:r>
      <w:r>
        <w:rPr>
          <w:rFonts w:ascii="宋体" w:hAnsi="宋体" w:cs="宋体"/>
          <w:color w:val="000000"/>
          <w:kern w:val="0"/>
          <w:sz w:val="24"/>
        </w:rPr>
        <w:t>10</w:t>
      </w:r>
      <w:r>
        <w:rPr>
          <w:rFonts w:hint="eastAsia" w:ascii="宋体" w:hAnsi="宋体" w:cs="宋体"/>
          <w:color w:val="000000"/>
          <w:kern w:val="0"/>
          <w:sz w:val="24"/>
        </w:rPr>
        <w:t>版），霍恩比著，赵翠莲等译，商务印书馆，20</w:t>
      </w:r>
      <w:r>
        <w:rPr>
          <w:rFonts w:ascii="宋体" w:hAnsi="宋体" w:cs="宋体"/>
          <w:color w:val="000000"/>
          <w:kern w:val="0"/>
          <w:sz w:val="24"/>
        </w:rPr>
        <w:t>23</w:t>
      </w:r>
    </w:p>
    <w:p w14:paraId="4075CD19">
      <w:pPr>
        <w:widowControl/>
        <w:spacing w:before="100" w:beforeAutospacing="1" w:after="100" w:afterAutospacing="1" w:line="270" w:lineRule="atLeast"/>
        <w:jc w:val="left"/>
        <w:rPr>
          <w:rFonts w:ascii="宋体" w:hAnsi="宋体" w:cs="宋体"/>
          <w:b/>
          <w:bCs/>
          <w:color w:val="000000"/>
          <w:kern w:val="0"/>
          <w:sz w:val="18"/>
          <w:szCs w:val="18"/>
        </w:rPr>
      </w:pPr>
      <w:r>
        <w:rPr>
          <w:rFonts w:cs="宋体"/>
          <w:b/>
          <w:bCs/>
          <w:color w:val="000000"/>
          <w:kern w:val="0"/>
          <w:sz w:val="24"/>
        </w:rPr>
        <w:t>在线开放课程网址</w:t>
      </w:r>
      <w:r>
        <w:rPr>
          <w:rFonts w:hint="eastAsia" w:cs="宋体"/>
          <w:b/>
          <w:bCs/>
          <w:color w:val="000000"/>
          <w:kern w:val="0"/>
          <w:sz w:val="24"/>
        </w:rPr>
        <w:t>：</w:t>
      </w:r>
    </w:p>
    <w:p w14:paraId="4FF3A078">
      <w:pPr>
        <w:spacing w:line="440" w:lineRule="exact"/>
        <w:ind w:left="850" w:leftChars="229" w:hanging="369" w:hangingChars="154"/>
        <w:jc w:val="left"/>
        <w:rPr>
          <w:color w:val="000000"/>
        </w:rPr>
      </w:pPr>
      <w:r>
        <w:rPr>
          <w:rFonts w:hint="eastAsia"/>
          <w:color w:val="000000"/>
          <w:sz w:val="24"/>
        </w:rPr>
        <w:t>1、常工院尔雅通识网络课程</w:t>
      </w:r>
    </w:p>
    <w:p w14:paraId="3C93EE0F">
      <w:pPr>
        <w:spacing w:line="440" w:lineRule="exact"/>
        <w:ind w:left="481" w:leftChars="229" w:firstLine="359"/>
        <w:jc w:val="left"/>
        <w:rPr>
          <w:color w:val="000000"/>
          <w:sz w:val="24"/>
        </w:rPr>
      </w:pPr>
      <w:r>
        <w:rPr>
          <w:rFonts w:hint="eastAsia"/>
          <w:color w:val="000000"/>
          <w:sz w:val="24"/>
        </w:rPr>
        <w:t>h</w:t>
      </w:r>
      <w:r>
        <w:rPr>
          <w:color w:val="000000"/>
          <w:sz w:val="24"/>
        </w:rPr>
        <w:t>ttps://czgxy.fanya.chaoxing.com</w:t>
      </w:r>
    </w:p>
    <w:p w14:paraId="6DE52C21">
      <w:pPr>
        <w:spacing w:line="440" w:lineRule="exact"/>
        <w:ind w:left="849" w:leftChars="227" w:hanging="372" w:hangingChars="155"/>
        <w:jc w:val="left"/>
        <w:rPr>
          <w:color w:val="000000"/>
          <w:sz w:val="24"/>
        </w:rPr>
      </w:pPr>
      <w:r>
        <w:rPr>
          <w:rFonts w:hint="eastAsia"/>
          <w:color w:val="000000"/>
          <w:sz w:val="24"/>
        </w:rPr>
        <w:t>2、</w:t>
      </w:r>
      <w:r>
        <w:rPr>
          <w:color w:val="000000"/>
          <w:sz w:val="24"/>
        </w:rPr>
        <w:t>江苏省在线课程中心/爱课程</w:t>
      </w:r>
    </w:p>
    <w:p w14:paraId="5005732F">
      <w:pPr>
        <w:spacing w:line="440" w:lineRule="exact"/>
        <w:ind w:left="687" w:leftChars="327" w:firstLine="153"/>
        <w:jc w:val="left"/>
        <w:rPr>
          <w:color w:val="000000"/>
          <w:sz w:val="24"/>
        </w:rPr>
      </w:pPr>
      <w:r>
        <w:rPr>
          <w:color w:val="000000"/>
          <w:sz w:val="24"/>
        </w:rPr>
        <w:t>https://www.icourse163.org/</w:t>
      </w:r>
    </w:p>
    <w:p w14:paraId="5E8E9455">
      <w:pPr>
        <w:spacing w:line="440" w:lineRule="exact"/>
        <w:ind w:firstLine="480" w:firstLineChars="200"/>
        <w:jc w:val="left"/>
        <w:rPr>
          <w:color w:val="000000"/>
          <w:sz w:val="24"/>
        </w:rPr>
      </w:pPr>
      <w:r>
        <w:rPr>
          <w:rFonts w:hint="eastAsia"/>
          <w:color w:val="000000"/>
          <w:sz w:val="24"/>
        </w:rPr>
        <w:t>3、</w:t>
      </w:r>
      <w:r>
        <w:rPr>
          <w:color w:val="000000"/>
          <w:sz w:val="24"/>
        </w:rPr>
        <w:t>常州工学院毕博网络教学平台</w:t>
      </w:r>
    </w:p>
    <w:p w14:paraId="7469787E">
      <w:pPr>
        <w:spacing w:line="440" w:lineRule="exact"/>
        <w:ind w:left="481" w:leftChars="229" w:firstLine="359"/>
        <w:jc w:val="left"/>
        <w:rPr>
          <w:color w:val="000000"/>
          <w:sz w:val="24"/>
        </w:rPr>
      </w:pPr>
      <w:r>
        <w:rPr>
          <w:color w:val="000000"/>
          <w:sz w:val="24"/>
        </w:rPr>
        <w:fldChar w:fldCharType="begin"/>
      </w:r>
      <w:r>
        <w:rPr>
          <w:color w:val="000000"/>
          <w:sz w:val="24"/>
        </w:rPr>
        <w:instrText xml:space="preserve"> HYPERLINK "https://bbclass.czu.cn/" </w:instrText>
      </w:r>
      <w:r>
        <w:rPr>
          <w:color w:val="000000"/>
          <w:sz w:val="24"/>
        </w:rPr>
        <w:fldChar w:fldCharType="separate"/>
      </w:r>
      <w:r>
        <w:rPr>
          <w:rStyle w:val="17"/>
          <w:color w:val="000000"/>
          <w:sz w:val="24"/>
          <w:szCs w:val="24"/>
        </w:rPr>
        <w:t>https://bbclass.czu.cn/</w:t>
      </w:r>
      <w:r>
        <w:rPr>
          <w:color w:val="000000"/>
          <w:sz w:val="24"/>
        </w:rPr>
        <w:fldChar w:fldCharType="end"/>
      </w:r>
    </w:p>
    <w:p w14:paraId="71299DD7">
      <w:pPr>
        <w:spacing w:line="440" w:lineRule="exact"/>
        <w:ind w:left="850" w:leftChars="229" w:hanging="369" w:hangingChars="154"/>
        <w:jc w:val="left"/>
        <w:rPr>
          <w:color w:val="000000"/>
        </w:rPr>
      </w:pPr>
      <w:r>
        <w:rPr>
          <w:color w:val="000000"/>
          <w:sz w:val="24"/>
        </w:rPr>
        <w:t>4</w:t>
      </w:r>
      <w:r>
        <w:rPr>
          <w:rFonts w:hint="eastAsia"/>
          <w:color w:val="000000"/>
          <w:sz w:val="24"/>
        </w:rPr>
        <w:t>、</w:t>
      </w:r>
      <w:r>
        <w:rPr>
          <w:color w:val="000000"/>
          <w:sz w:val="24"/>
        </w:rPr>
        <w:t>国家精品课程资源网</w:t>
      </w:r>
    </w:p>
    <w:p w14:paraId="3FAB42F3">
      <w:pPr>
        <w:spacing w:line="440" w:lineRule="exact"/>
        <w:ind w:left="481" w:leftChars="229" w:firstLine="359"/>
        <w:jc w:val="left"/>
        <w:rPr>
          <w:rFonts w:hint="eastAsia"/>
          <w:color w:val="000000"/>
          <w:sz w:val="24"/>
          <w:u w:val="single"/>
        </w:rPr>
      </w:pPr>
      <w:r>
        <w:rPr>
          <w:color w:val="000000"/>
          <w:sz w:val="24"/>
          <w:u w:val="single"/>
        </w:rPr>
        <w:t>http://www.jingpinke.com/</w:t>
      </w:r>
    </w:p>
    <w:p w14:paraId="3B156552">
      <w:pPr>
        <w:spacing w:line="440" w:lineRule="exact"/>
        <w:ind w:left="850" w:leftChars="229" w:hanging="369" w:hangingChars="154"/>
        <w:jc w:val="left"/>
        <w:rPr>
          <w:color w:val="000000"/>
          <w:sz w:val="24"/>
        </w:rPr>
      </w:pPr>
      <w:r>
        <w:rPr>
          <w:color w:val="000000"/>
          <w:sz w:val="24"/>
        </w:rPr>
        <w:t>5</w:t>
      </w:r>
      <w:r>
        <w:rPr>
          <w:rFonts w:hint="eastAsia"/>
          <w:color w:val="000000"/>
          <w:sz w:val="24"/>
        </w:rPr>
        <w:t>、</w:t>
      </w:r>
      <w:r>
        <w:rPr>
          <w:color w:val="000000"/>
          <w:sz w:val="24"/>
        </w:rPr>
        <w:t>好大学在线CNMOOC_中国顶尖的慕课平台</w:t>
      </w:r>
    </w:p>
    <w:p w14:paraId="5AD688BF">
      <w:pPr>
        <w:spacing w:line="440" w:lineRule="exact"/>
        <w:ind w:firstLine="849" w:firstLineChars="354"/>
        <w:jc w:val="left"/>
        <w:rPr>
          <w:color w:val="000000"/>
          <w:sz w:val="24"/>
        </w:rPr>
      </w:pPr>
      <w:r>
        <w:rPr>
          <w:color w:val="000000"/>
          <w:sz w:val="24"/>
        </w:rPr>
        <w:t>https://www.cnmooc.org/home/index.mooc</w:t>
      </w:r>
    </w:p>
    <w:p w14:paraId="09462224">
      <w:pPr>
        <w:widowControl/>
        <w:spacing w:line="360" w:lineRule="auto"/>
        <w:ind w:firstLine="482" w:firstLineChars="200"/>
        <w:jc w:val="left"/>
        <w:rPr>
          <w:rFonts w:hint="eastAsia" w:ascii="宋体" w:hAnsi="宋体" w:cs="宋体"/>
          <w:b/>
          <w:color w:val="000000"/>
          <w:kern w:val="0"/>
          <w:sz w:val="24"/>
        </w:rPr>
      </w:pPr>
    </w:p>
    <w:p w14:paraId="4B471236">
      <w:pPr>
        <w:spacing w:line="360" w:lineRule="auto"/>
        <w:ind w:firstLine="5760" w:firstLineChars="2400"/>
        <w:rPr>
          <w:rFonts w:ascii="宋体" w:hAnsi="宋体" w:cs="宋体"/>
          <w:color w:val="000000"/>
          <w:sz w:val="24"/>
        </w:rPr>
      </w:pPr>
      <w:r>
        <w:rPr>
          <w:rFonts w:hint="eastAsia" w:ascii="宋体" w:hAnsi="宋体" w:cs="宋体"/>
          <w:color w:val="000000"/>
          <w:sz w:val="24"/>
        </w:rPr>
        <w:t>执笔人：汤月明</w:t>
      </w:r>
    </w:p>
    <w:p w14:paraId="25F7EDBF">
      <w:pPr>
        <w:spacing w:line="360" w:lineRule="auto"/>
        <w:ind w:firstLine="5760" w:firstLineChars="2400"/>
        <w:rPr>
          <w:rFonts w:hint="eastAsia" w:ascii="宋体" w:hAnsi="宋体" w:cs="宋体"/>
          <w:color w:val="000000"/>
          <w:sz w:val="24"/>
        </w:rPr>
      </w:pPr>
      <w:r>
        <w:rPr>
          <w:rFonts w:hint="eastAsia" w:ascii="宋体" w:hAnsi="宋体" w:cs="宋体"/>
          <w:color w:val="000000"/>
          <w:sz w:val="24"/>
        </w:rPr>
        <w:t>审定人：施云波</w:t>
      </w:r>
    </w:p>
    <w:p w14:paraId="5D0E6405">
      <w:pPr>
        <w:spacing w:line="360" w:lineRule="auto"/>
        <w:ind w:firstLine="5760" w:firstLineChars="2400"/>
        <w:rPr>
          <w:rFonts w:hint="eastAsia" w:ascii="宋体" w:hAnsi="宋体" w:cs="宋体"/>
          <w:color w:val="000000"/>
          <w:sz w:val="24"/>
        </w:rPr>
      </w:pPr>
      <w:r>
        <w:rPr>
          <w:rFonts w:hint="eastAsia" w:ascii="宋体" w:hAnsi="宋体" w:cs="宋体"/>
          <w:color w:val="000000"/>
          <w:sz w:val="24"/>
        </w:rPr>
        <w:t xml:space="preserve">批准人：李 </w:t>
      </w:r>
      <w:r>
        <w:rPr>
          <w:rFonts w:ascii="宋体" w:hAnsi="宋体" w:cs="宋体"/>
          <w:color w:val="000000"/>
          <w:sz w:val="24"/>
        </w:rPr>
        <w:t xml:space="preserve"> </w:t>
      </w:r>
      <w:r>
        <w:rPr>
          <w:rFonts w:hint="eastAsia" w:ascii="宋体" w:hAnsi="宋体" w:cs="宋体"/>
          <w:color w:val="000000"/>
          <w:sz w:val="24"/>
        </w:rPr>
        <w:t>静</w:t>
      </w:r>
    </w:p>
    <w:p w14:paraId="3D0587B2">
      <w:pPr>
        <w:spacing w:line="360" w:lineRule="auto"/>
        <w:ind w:firstLine="5760" w:firstLineChars="2400"/>
        <w:rPr>
          <w:rFonts w:hint="eastAsia" w:ascii="宋体" w:hAnsi="宋体" w:cs="宋体"/>
          <w:color w:val="000000"/>
          <w:sz w:val="24"/>
        </w:rPr>
      </w:pPr>
      <w:r>
        <w:rPr>
          <w:rFonts w:hint="eastAsia" w:ascii="宋体" w:hAnsi="宋体" w:cs="宋体"/>
          <w:color w:val="000000"/>
          <w:sz w:val="24"/>
          <w:lang w:val="en-US" w:eastAsia="zh-CN"/>
        </w:rPr>
        <w:t>批准时间：</w:t>
      </w:r>
      <w:r>
        <w:rPr>
          <w:rFonts w:hint="eastAsia" w:ascii="宋体" w:hAnsi="宋体" w:cs="宋体"/>
          <w:color w:val="000000"/>
          <w:sz w:val="24"/>
        </w:rPr>
        <w:t>2024年9月</w:t>
      </w:r>
    </w:p>
    <w:p w14:paraId="19C3CE44">
      <w:pPr>
        <w:rPr>
          <w:rFonts w:hint="eastAsia" w:ascii="等线" w:hAnsi="等线" w:eastAsia="等线" w:cs="等线"/>
          <w:b/>
          <w:bCs/>
          <w:sz w:val="44"/>
          <w:szCs w:val="44"/>
        </w:rPr>
      </w:pPr>
      <w:r>
        <w:rPr>
          <w:rFonts w:hint="eastAsia" w:ascii="宋体" w:hAnsi="宋体" w:cs="宋体"/>
          <w:color w:val="000000"/>
          <w:sz w:val="24"/>
        </w:rPr>
        <w:br w:type="page"/>
      </w:r>
    </w:p>
    <w:p w14:paraId="52D81EFB">
      <w:pPr>
        <w:pStyle w:val="2"/>
        <w:tabs>
          <w:tab w:val="left" w:pos="720"/>
          <w:tab w:val="left" w:pos="2700"/>
        </w:tabs>
        <w:jc w:val="center"/>
        <w:rPr>
          <w:rFonts w:ascii="Times New Roman" w:hAnsi="Times New Roman" w:eastAsia="宋体" w:cs="Times New Roman"/>
          <w:szCs w:val="36"/>
        </w:rPr>
      </w:pPr>
      <w:bookmarkStart w:id="44" w:name="_Toc5603"/>
      <w:bookmarkStart w:id="45" w:name="_Toc28043"/>
      <w:r>
        <w:rPr>
          <w:rFonts w:hint="eastAsia"/>
        </w:rPr>
        <w:t>《专业导学》课程教学大纲</w:t>
      </w:r>
      <w:bookmarkEnd w:id="44"/>
      <w:bookmarkEnd w:id="45"/>
    </w:p>
    <w:p w14:paraId="48295741">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（An Introduction to Professions）</w:t>
      </w:r>
    </w:p>
    <w:p w14:paraId="75052ACF">
      <w:pPr>
        <w:spacing w:line="360" w:lineRule="auto"/>
        <w:jc w:val="center"/>
        <w:rPr>
          <w:rFonts w:ascii="Times New Roman" w:hAnsi="Times New Roman" w:eastAsia="宋体" w:cs="Times New Roman"/>
          <w:bCs/>
          <w:sz w:val="30"/>
          <w:szCs w:val="30"/>
        </w:rPr>
      </w:pPr>
    </w:p>
    <w:p w14:paraId="62482B0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课程名称：专业导学</w:t>
      </w:r>
    </w:p>
    <w:p w14:paraId="05A69D1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2401057</w:t>
      </w:r>
    </w:p>
    <w:p w14:paraId="63E5E32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分：0.5</w:t>
      </w:r>
    </w:p>
    <w:p w14:paraId="05495BC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时：8 （其中：讲授学时8）</w:t>
      </w:r>
    </w:p>
    <w:p w14:paraId="6A5231F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先修课程：无</w:t>
      </w:r>
    </w:p>
    <w:p w14:paraId="6E52A5D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适用专业：小学教育（文）、小学教育（理）</w:t>
      </w:r>
    </w:p>
    <w:p w14:paraId="73B036C3">
      <w:pPr>
        <w:spacing w:line="360" w:lineRule="auto"/>
        <w:jc w:val="left"/>
        <w:rPr>
          <w:rFonts w:ascii="Times New Roman" w:hAnsi="Times New Roman" w:eastAsia="宋体" w:cs="Times New Roman"/>
          <w:b/>
          <w:sz w:val="24"/>
        </w:rPr>
      </w:pPr>
    </w:p>
    <w:p w14:paraId="4A31D026">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8"/>
          <w:szCs w:val="28"/>
        </w:rPr>
        <w:t>一、课程简介</w:t>
      </w:r>
    </w:p>
    <w:p w14:paraId="740B1EA3">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本课程是小学教育专业的一门专业基础必修课。通过本课程的学习，全面认识小学教育专业，明确本专业的培养目标，了解本专业的课程设置；为专业课程学习和专业发展奠定基础。</w:t>
      </w:r>
    </w:p>
    <w:p w14:paraId="69A35570">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p>
    <w:p w14:paraId="3A119E34">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（一）课程具体目标</w:t>
      </w:r>
    </w:p>
    <w:p w14:paraId="50EEF5AD">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1.了解小学教育专业的</w:t>
      </w:r>
      <w:r>
        <w:rPr>
          <w:rFonts w:hint="eastAsia" w:ascii="Times New Roman" w:hAnsi="Times New Roman" w:eastAsia="宋体" w:cs="Times New Roman"/>
          <w:sz w:val="24"/>
        </w:rPr>
        <w:t>发展历史和现状</w:t>
      </w:r>
      <w:r>
        <w:rPr>
          <w:rFonts w:ascii="Times New Roman" w:hAnsi="Times New Roman" w:eastAsia="宋体" w:cs="Times New Roman"/>
          <w:sz w:val="24"/>
        </w:rPr>
        <w:t>，</w:t>
      </w:r>
      <w:r>
        <w:rPr>
          <w:rFonts w:hint="eastAsia" w:ascii="Times New Roman" w:hAnsi="Times New Roman" w:eastAsia="宋体" w:cs="Times New Roman"/>
          <w:sz w:val="24"/>
        </w:rPr>
        <w:t>理解</w:t>
      </w:r>
      <w:r>
        <w:rPr>
          <w:rFonts w:ascii="Times New Roman" w:hAnsi="Times New Roman" w:eastAsia="宋体" w:cs="Times New Roman"/>
          <w:sz w:val="24"/>
        </w:rPr>
        <w:t>小学教育专业的培养目标</w:t>
      </w:r>
      <w:r>
        <w:rPr>
          <w:rFonts w:hint="eastAsia" w:ascii="Times New Roman" w:hAnsi="Times New Roman" w:eastAsia="宋体" w:cs="Times New Roman"/>
          <w:sz w:val="24"/>
        </w:rPr>
        <w:t>和毕业要求</w:t>
      </w:r>
      <w:r>
        <w:rPr>
          <w:rFonts w:ascii="Times New Roman" w:hAnsi="Times New Roman" w:eastAsia="宋体" w:cs="Times New Roman"/>
          <w:sz w:val="24"/>
        </w:rPr>
        <w:t>，</w:t>
      </w:r>
      <w:r>
        <w:rPr>
          <w:rFonts w:hint="eastAsia" w:ascii="Times New Roman" w:hAnsi="Times New Roman" w:eastAsia="宋体" w:cs="Times New Roman"/>
          <w:sz w:val="24"/>
        </w:rPr>
        <w:t>了解小学教育专业的课程设置，了解小学教育专业学习的基本方法，明确小学教师的专业知识、能力和职业道德要求。</w:t>
      </w:r>
    </w:p>
    <w:p w14:paraId="7A53BDF1">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2.</w:t>
      </w:r>
      <w:r>
        <w:rPr>
          <w:rFonts w:hint="eastAsia" w:ascii="Times New Roman" w:hAnsi="Times New Roman" w:eastAsia="宋体" w:cs="Times New Roman"/>
          <w:sz w:val="24"/>
        </w:rPr>
        <w:t>理解教师职业的意义，明确小学教育的重要性，具有较强的教师职业认同感，愿意从事小学教育工作，有较强的学习动机，树立正确的教师观和职业观。</w:t>
      </w:r>
    </w:p>
    <w:p w14:paraId="79AACD6B">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3. 了解小学教师的专业发展</w:t>
      </w:r>
      <w:r>
        <w:rPr>
          <w:rFonts w:hint="eastAsia" w:ascii="Times New Roman" w:hAnsi="Times New Roman" w:eastAsia="宋体" w:cs="Times New Roman"/>
          <w:sz w:val="24"/>
        </w:rPr>
        <w:t>的要求</w:t>
      </w:r>
      <w:r>
        <w:rPr>
          <w:rFonts w:ascii="Times New Roman" w:hAnsi="Times New Roman" w:eastAsia="宋体" w:cs="Times New Roman"/>
          <w:sz w:val="24"/>
        </w:rPr>
        <w:t>，</w:t>
      </w:r>
      <w:r>
        <w:rPr>
          <w:rFonts w:hint="eastAsia" w:ascii="Times New Roman" w:hAnsi="Times New Roman" w:eastAsia="宋体" w:cs="Times New Roman"/>
          <w:sz w:val="24"/>
        </w:rPr>
        <w:t>初步</w:t>
      </w:r>
      <w:r>
        <w:rPr>
          <w:rFonts w:ascii="Times New Roman" w:hAnsi="Times New Roman" w:eastAsia="宋体" w:cs="Times New Roman"/>
          <w:sz w:val="24"/>
        </w:rPr>
        <w:t>了解教师资格考试</w:t>
      </w:r>
      <w:r>
        <w:rPr>
          <w:rFonts w:hint="eastAsia" w:ascii="Times New Roman" w:hAnsi="Times New Roman" w:eastAsia="宋体" w:cs="Times New Roman"/>
          <w:sz w:val="24"/>
        </w:rPr>
        <w:t>和小学教师招考的基本情况</w:t>
      </w:r>
      <w:r>
        <w:rPr>
          <w:rFonts w:ascii="Times New Roman" w:hAnsi="Times New Roman" w:eastAsia="宋体" w:cs="Times New Roman"/>
          <w:sz w:val="24"/>
        </w:rPr>
        <w:t>，</w:t>
      </w:r>
      <w:r>
        <w:rPr>
          <w:rFonts w:hint="eastAsia" w:ascii="Times New Roman" w:hAnsi="Times New Roman" w:eastAsia="宋体" w:cs="Times New Roman"/>
          <w:sz w:val="24"/>
        </w:rPr>
        <w:t>能结合自身实际进行职业生涯规划，具有</w:t>
      </w:r>
      <w:r>
        <w:rPr>
          <w:rFonts w:ascii="Times New Roman" w:hAnsi="Times New Roman" w:eastAsia="宋体" w:cs="Times New Roman"/>
          <w:sz w:val="24"/>
        </w:rPr>
        <w:t>明确的努力方向。</w:t>
      </w:r>
    </w:p>
    <w:p w14:paraId="28978047">
      <w:pPr>
        <w:spacing w:before="156" w:beforeLines="50" w:after="156" w:afterLines="50"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42"/>
        <w:gridCol w:w="6095"/>
        <w:gridCol w:w="1327"/>
      </w:tblGrid>
      <w:tr w14:paraId="3173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5720E7C0">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w:t>
            </w:r>
          </w:p>
        </w:tc>
        <w:tc>
          <w:tcPr>
            <w:tcW w:w="6237" w:type="dxa"/>
            <w:gridSpan w:val="2"/>
            <w:vAlign w:val="center"/>
          </w:tcPr>
          <w:p w14:paraId="2467A74A">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毕业要求指标点</w:t>
            </w:r>
          </w:p>
        </w:tc>
        <w:tc>
          <w:tcPr>
            <w:tcW w:w="1327" w:type="dxa"/>
            <w:vAlign w:val="center"/>
          </w:tcPr>
          <w:p w14:paraId="378982FF">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r>
      <w:tr w14:paraId="5308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2E19E636">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1：师德规范</w:t>
            </w:r>
          </w:p>
        </w:tc>
        <w:tc>
          <w:tcPr>
            <w:tcW w:w="6095" w:type="dxa"/>
            <w:vAlign w:val="center"/>
          </w:tcPr>
          <w:p w14:paraId="32A16B4D">
            <w:pPr>
              <w:widowControl/>
              <w:autoSpaceDE w:val="0"/>
              <w:autoSpaceDN w:val="0"/>
              <w:rPr>
                <w:kern w:val="0"/>
                <w:sz w:val="24"/>
              </w:rPr>
            </w:pPr>
            <w:r>
              <w:rPr>
                <w:rFonts w:hint="eastAsia" w:ascii="宋体" w:hAnsi="宋体" w:cs="宋体"/>
                <w:kern w:val="0"/>
                <w:sz w:val="24"/>
              </w:rPr>
              <w:t>指标点</w:t>
            </w:r>
            <w:r>
              <w:rPr>
                <w:rFonts w:hint="eastAsia" w:ascii="宋体" w:hAnsi="宋体" w:cs="宋体"/>
                <w:sz w:val="24"/>
              </w:rPr>
              <w:t>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327" w:type="dxa"/>
            <w:vAlign w:val="center"/>
          </w:tcPr>
          <w:p w14:paraId="759E3FF6">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1</w:t>
            </w:r>
          </w:p>
        </w:tc>
      </w:tr>
      <w:tr w14:paraId="7422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1126DA58">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2：教育情怀</w:t>
            </w:r>
          </w:p>
        </w:tc>
        <w:tc>
          <w:tcPr>
            <w:tcW w:w="6095" w:type="dxa"/>
            <w:vAlign w:val="center"/>
          </w:tcPr>
          <w:p w14:paraId="1A9321F6">
            <w:pPr>
              <w:spacing w:line="276" w:lineRule="auto"/>
              <w:jc w:val="left"/>
              <w:rPr>
                <w:rFonts w:ascii="Times New Roman" w:hAnsi="Times New Roman" w:eastAsia="宋体" w:cs="Times New Roman"/>
                <w:sz w:val="24"/>
              </w:rPr>
            </w:pPr>
            <w:r>
              <w:rPr>
                <w:rFonts w:hint="eastAsia" w:ascii="宋体" w:hAnsi="宋体" w:cs="宋体"/>
                <w:kern w:val="0"/>
                <w:sz w:val="24"/>
              </w:rPr>
              <w:t>指标点</w:t>
            </w:r>
            <w:r>
              <w:rPr>
                <w:rFonts w:hint="eastAsia" w:ascii="宋体" w:hAnsi="宋体" w:cs="宋体"/>
                <w:sz w:val="24"/>
              </w:rPr>
              <w:t>2-1：【职业认同感强】具有家国情怀，热爱教育事业，秉持“坚忍诚勇，立己达人”的师范精神，践行教育家精神，乐于从教，热爱教育事业，具有较高的教师职业认同感，认同教师职业的意义、价值与专业性。</w:t>
            </w:r>
          </w:p>
        </w:tc>
        <w:tc>
          <w:tcPr>
            <w:tcW w:w="1327" w:type="dxa"/>
            <w:vAlign w:val="center"/>
          </w:tcPr>
          <w:p w14:paraId="198A927E">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2</w:t>
            </w:r>
          </w:p>
        </w:tc>
      </w:tr>
      <w:tr w14:paraId="7AA9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6F8C08B0">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7</w:t>
            </w:r>
            <w:r>
              <w:rPr>
                <w:rFonts w:hint="eastAsia" w:ascii="Times New Roman" w:hAnsi="Times New Roman" w:eastAsia="宋体" w:cs="Times New Roman"/>
                <w:sz w:val="24"/>
              </w:rPr>
              <w:t>：</w:t>
            </w:r>
            <w:r>
              <w:rPr>
                <w:rFonts w:ascii="Times New Roman" w:hAnsi="Times New Roman" w:eastAsia="宋体" w:cs="Times New Roman"/>
                <w:sz w:val="24"/>
              </w:rPr>
              <w:t>学会反思</w:t>
            </w:r>
          </w:p>
        </w:tc>
        <w:tc>
          <w:tcPr>
            <w:tcW w:w="6095" w:type="dxa"/>
            <w:vAlign w:val="center"/>
          </w:tcPr>
          <w:p w14:paraId="6A362D77">
            <w:pPr>
              <w:spacing w:line="276" w:lineRule="auto"/>
              <w:jc w:val="left"/>
              <w:rPr>
                <w:rFonts w:ascii="Times New Roman" w:hAnsi="Times New Roman" w:eastAsia="宋体" w:cs="Times New Roman"/>
                <w:sz w:val="24"/>
              </w:rPr>
            </w:pPr>
            <w:r>
              <w:rPr>
                <w:rFonts w:hint="eastAsia" w:ascii="宋体" w:hAnsi="宋体" w:eastAsia="宋体" w:cs="Times New Roman"/>
                <w:color w:val="000000"/>
                <w:spacing w:val="2"/>
                <w:kern w:val="0"/>
                <w:sz w:val="24"/>
              </w:rPr>
              <w:t>指标点</w:t>
            </w:r>
            <w:r>
              <w:rPr>
                <w:rFonts w:ascii="宋体" w:hAnsi="宋体" w:eastAsia="宋体" w:cs="Times New Roman"/>
                <w:color w:val="000000"/>
                <w:spacing w:val="2"/>
                <w:kern w:val="0"/>
                <w:sz w:val="24"/>
              </w:rPr>
              <w:t>7-2：【职业规划合理】了解教师专业发展的要求，形成终身学习的意识和习惯，注重自身的专业发展，根据基础教育课程改革的动态和发展情况，进行职业生涯规划和自主学习。</w:t>
            </w:r>
          </w:p>
        </w:tc>
        <w:tc>
          <w:tcPr>
            <w:tcW w:w="1327" w:type="dxa"/>
            <w:vAlign w:val="center"/>
          </w:tcPr>
          <w:p w14:paraId="3B7B0CDE">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3</w:t>
            </w:r>
          </w:p>
        </w:tc>
      </w:tr>
    </w:tbl>
    <w:p w14:paraId="4F6BA602">
      <w:pPr>
        <w:spacing w:before="156" w:beforeLines="50"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（三）课程思政目标</w:t>
      </w:r>
    </w:p>
    <w:p w14:paraId="6FCC8100">
      <w:pPr>
        <w:spacing w:line="360" w:lineRule="auto"/>
        <w:ind w:firstLine="470" w:firstLineChars="196"/>
        <w:jc w:val="left"/>
        <w:rPr>
          <w:rFonts w:hint="eastAsia" w:ascii="宋体" w:hAnsi="宋体" w:eastAsia="宋体" w:cs="Times New Roman"/>
          <w:color w:val="000000"/>
          <w:sz w:val="24"/>
        </w:rPr>
      </w:pPr>
      <w:r>
        <w:rPr>
          <w:rFonts w:ascii="宋体" w:hAnsi="宋体" w:eastAsia="宋体" w:cs="Times New Roman"/>
          <w:color w:val="000000"/>
          <w:sz w:val="24"/>
        </w:rPr>
        <w:t>了解小学教育专业发展的悠久历史，增强文化自信和专业自信</w:t>
      </w:r>
      <w:r>
        <w:rPr>
          <w:rFonts w:hint="eastAsia" w:ascii="宋体" w:hAnsi="宋体" w:eastAsia="宋体" w:cs="Times New Roman"/>
          <w:color w:val="000000"/>
          <w:sz w:val="24"/>
        </w:rPr>
        <w:t>；理解教师职业的意义，具有较强的教师职业认同感，愿意从事小学教育工作，有较强的学习动机；树立正确的教师观和职业观，</w:t>
      </w:r>
      <w:r>
        <w:rPr>
          <w:rFonts w:ascii="宋体" w:hAnsi="宋体" w:eastAsia="宋体" w:cs="Times New Roman"/>
          <w:color w:val="000000"/>
          <w:sz w:val="24"/>
        </w:rPr>
        <w:t>具有明确的努力方向。</w:t>
      </w:r>
    </w:p>
    <w:p w14:paraId="137DDAE2">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702"/>
        <w:gridCol w:w="1134"/>
        <w:gridCol w:w="3260"/>
        <w:gridCol w:w="1560"/>
        <w:gridCol w:w="457"/>
      </w:tblGrid>
      <w:tr w14:paraId="31C2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5E42C992">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w:t>
            </w:r>
          </w:p>
          <w:p w14:paraId="433BCC17">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单元</w:t>
            </w:r>
          </w:p>
        </w:tc>
        <w:tc>
          <w:tcPr>
            <w:tcW w:w="1704" w:type="dxa"/>
            <w:vAlign w:val="center"/>
          </w:tcPr>
          <w:p w14:paraId="68117754">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知识点</w:t>
            </w:r>
          </w:p>
        </w:tc>
        <w:tc>
          <w:tcPr>
            <w:tcW w:w="1135" w:type="dxa"/>
            <w:vAlign w:val="center"/>
          </w:tcPr>
          <w:p w14:paraId="011BBDB7">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对应</w:t>
            </w:r>
          </w:p>
          <w:p w14:paraId="2049D40C">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课程目标</w:t>
            </w:r>
          </w:p>
        </w:tc>
        <w:tc>
          <w:tcPr>
            <w:tcW w:w="3266" w:type="dxa"/>
            <w:vAlign w:val="center"/>
          </w:tcPr>
          <w:p w14:paraId="4B589D89">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预期学习成效</w:t>
            </w:r>
          </w:p>
        </w:tc>
        <w:tc>
          <w:tcPr>
            <w:tcW w:w="1563" w:type="dxa"/>
            <w:vAlign w:val="center"/>
          </w:tcPr>
          <w:p w14:paraId="21A0798F">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实现环节</w:t>
            </w:r>
          </w:p>
        </w:tc>
        <w:tc>
          <w:tcPr>
            <w:tcW w:w="442" w:type="dxa"/>
            <w:vAlign w:val="center"/>
          </w:tcPr>
          <w:p w14:paraId="24642A95">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学时</w:t>
            </w:r>
          </w:p>
        </w:tc>
      </w:tr>
      <w:tr w14:paraId="2384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0948E60C">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小学教育专业简介</w:t>
            </w:r>
          </w:p>
        </w:tc>
        <w:tc>
          <w:tcPr>
            <w:tcW w:w="1704" w:type="dxa"/>
            <w:vAlign w:val="center"/>
          </w:tcPr>
          <w:p w14:paraId="4CAE1A4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1）小学教育专业的历史、现状与未来</w:t>
            </w:r>
          </w:p>
          <w:p w14:paraId="4E32C6F2">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2）小学教育专业培养方案解读</w:t>
            </w:r>
          </w:p>
        </w:tc>
        <w:tc>
          <w:tcPr>
            <w:tcW w:w="1135" w:type="dxa"/>
            <w:vAlign w:val="center"/>
          </w:tcPr>
          <w:p w14:paraId="0D0711C0">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6" w:type="dxa"/>
            <w:vAlign w:val="center"/>
          </w:tcPr>
          <w:p w14:paraId="6340B270">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1）了解小学教育专业的历史、现状与未来.</w:t>
            </w:r>
          </w:p>
          <w:p w14:paraId="440A5BA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2）了解小学教育专业的培养目标，知道小学教育专业学生应具备的知识和能力.</w:t>
            </w:r>
          </w:p>
          <w:p w14:paraId="5C6B4E97">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3）了解小学教育专业的课程设置。</w:t>
            </w:r>
          </w:p>
        </w:tc>
        <w:tc>
          <w:tcPr>
            <w:tcW w:w="1563" w:type="dxa"/>
            <w:vAlign w:val="center"/>
          </w:tcPr>
          <w:p w14:paraId="1BB2DBC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37A67B32">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08D10A74">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.自主学习</w:t>
            </w:r>
          </w:p>
        </w:tc>
        <w:tc>
          <w:tcPr>
            <w:tcW w:w="442" w:type="dxa"/>
            <w:vAlign w:val="center"/>
          </w:tcPr>
          <w:p w14:paraId="568ABD16">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2</w:t>
            </w:r>
          </w:p>
        </w:tc>
      </w:tr>
      <w:tr w14:paraId="0E12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39448FF3">
            <w:pPr>
              <w:spacing w:line="264" w:lineRule="auto"/>
              <w:jc w:val="center"/>
              <w:rPr>
                <w:rFonts w:hint="eastAsia" w:ascii="宋体" w:hAnsi="宋体" w:eastAsia="宋体" w:cs="Times New Roman"/>
                <w:color w:val="000000"/>
                <w:sz w:val="24"/>
              </w:rPr>
            </w:pPr>
          </w:p>
        </w:tc>
        <w:tc>
          <w:tcPr>
            <w:tcW w:w="8110" w:type="dxa"/>
            <w:gridSpan w:val="5"/>
            <w:vAlign w:val="center"/>
          </w:tcPr>
          <w:p w14:paraId="1653207E">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1）了解小学教育专业发展的悠久历史，增强文化自信和专业自信。</w:t>
            </w:r>
            <w:r>
              <w:rPr>
                <w:rFonts w:hint="eastAsia" w:ascii="宋体" w:hAnsi="宋体" w:eastAsia="宋体" w:cs="Times New Roman"/>
                <w:color w:val="000000"/>
                <w:sz w:val="24"/>
              </w:rPr>
              <w:t>（</w:t>
            </w:r>
            <w:r>
              <w:rPr>
                <w:rFonts w:ascii="宋体" w:hAnsi="宋体" w:eastAsia="宋体" w:cs="Times New Roman"/>
                <w:color w:val="000000"/>
                <w:sz w:val="24"/>
              </w:rPr>
              <w:t>2）通过对专业概况的了解，进一步巩固专业思想，强化专业情怀。</w:t>
            </w:r>
          </w:p>
        </w:tc>
      </w:tr>
      <w:tr w14:paraId="7170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6B2D0E72">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小学教育专业教师教育课程的学习</w:t>
            </w:r>
          </w:p>
        </w:tc>
        <w:tc>
          <w:tcPr>
            <w:tcW w:w="1704" w:type="dxa"/>
            <w:vAlign w:val="center"/>
          </w:tcPr>
          <w:p w14:paraId="3A9021F4">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1）教育理论课程的学习与考研方向的选择</w:t>
            </w:r>
          </w:p>
          <w:p w14:paraId="46734EE7">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2）教育实践类课程的学习与实践能力的提升</w:t>
            </w:r>
          </w:p>
        </w:tc>
        <w:tc>
          <w:tcPr>
            <w:tcW w:w="1135" w:type="dxa"/>
            <w:vAlign w:val="center"/>
          </w:tcPr>
          <w:p w14:paraId="50A6D5C6">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6" w:type="dxa"/>
            <w:vAlign w:val="center"/>
          </w:tcPr>
          <w:p w14:paraId="2B63EF50">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1）了解教育学、心理学学科的发展情况。</w:t>
            </w:r>
          </w:p>
          <w:p w14:paraId="33E0967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2）知道教育学、心理学学科方面的考研方向。</w:t>
            </w:r>
          </w:p>
          <w:p w14:paraId="49FA561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3）理解小学教育专业实践能力的内涵及提升路径。</w:t>
            </w:r>
          </w:p>
          <w:p w14:paraId="23C55C9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4）初步了解并掌握教师教育课程的学习方法。</w:t>
            </w:r>
          </w:p>
        </w:tc>
        <w:tc>
          <w:tcPr>
            <w:tcW w:w="1563" w:type="dxa"/>
            <w:vAlign w:val="center"/>
          </w:tcPr>
          <w:p w14:paraId="657CE098">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02C110B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43AB3318">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.自主学习</w:t>
            </w:r>
          </w:p>
        </w:tc>
        <w:tc>
          <w:tcPr>
            <w:tcW w:w="442" w:type="dxa"/>
            <w:vAlign w:val="center"/>
          </w:tcPr>
          <w:p w14:paraId="19D3E7CE">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2</w:t>
            </w:r>
          </w:p>
        </w:tc>
      </w:tr>
      <w:tr w14:paraId="32CB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continue"/>
            <w:vAlign w:val="center"/>
          </w:tcPr>
          <w:p w14:paraId="0575815D">
            <w:pPr>
              <w:spacing w:line="264" w:lineRule="auto"/>
              <w:jc w:val="center"/>
              <w:rPr>
                <w:rFonts w:hint="eastAsia" w:ascii="宋体" w:hAnsi="宋体" w:eastAsia="宋体" w:cs="Times New Roman"/>
                <w:color w:val="000000"/>
                <w:sz w:val="24"/>
              </w:rPr>
            </w:pPr>
          </w:p>
        </w:tc>
        <w:tc>
          <w:tcPr>
            <w:tcW w:w="8110" w:type="dxa"/>
            <w:gridSpan w:val="5"/>
            <w:vAlign w:val="center"/>
          </w:tcPr>
          <w:p w14:paraId="07F08FDA">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1）注重我国先进教育理念的学习，增强文化自信。</w:t>
            </w:r>
            <w:r>
              <w:rPr>
                <w:rFonts w:hint="eastAsia" w:ascii="宋体" w:hAnsi="宋体" w:eastAsia="宋体" w:cs="Times New Roman"/>
                <w:color w:val="000000"/>
                <w:sz w:val="24"/>
              </w:rPr>
              <w:t>（</w:t>
            </w:r>
            <w:r>
              <w:rPr>
                <w:rFonts w:ascii="宋体" w:hAnsi="宋体" w:eastAsia="宋体" w:cs="Times New Roman"/>
                <w:color w:val="000000"/>
                <w:sz w:val="24"/>
              </w:rPr>
              <w:t>2）养成科学、严谨的学习习惯和实事求是的精神。</w:t>
            </w:r>
            <w:r>
              <w:rPr>
                <w:rFonts w:hint="eastAsia" w:ascii="宋体" w:hAnsi="宋体" w:eastAsia="宋体" w:cs="Times New Roman"/>
                <w:color w:val="000000"/>
                <w:sz w:val="24"/>
              </w:rPr>
              <w:t>（</w:t>
            </w:r>
            <w:r>
              <w:rPr>
                <w:rFonts w:ascii="宋体" w:hAnsi="宋体" w:eastAsia="宋体" w:cs="Times New Roman"/>
                <w:color w:val="000000"/>
                <w:sz w:val="24"/>
              </w:rPr>
              <w:t>3）注重自身实践能力和创新精神的提高。</w:t>
            </w:r>
          </w:p>
        </w:tc>
      </w:tr>
      <w:tr w14:paraId="3F35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3A8DC1BD">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w:t>
            </w:r>
            <w:r>
              <w:rPr>
                <w:rFonts w:hint="eastAsia"/>
                <w:sz w:val="24"/>
              </w:rPr>
              <w:t xml:space="preserve"> 小学教育专业学科方向课程的学习</w:t>
            </w:r>
          </w:p>
        </w:tc>
        <w:tc>
          <w:tcPr>
            <w:tcW w:w="1704" w:type="dxa"/>
            <w:vAlign w:val="center"/>
          </w:tcPr>
          <w:p w14:paraId="6B4E3F15">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1）小学教育专业学科方向课程的发展与考研方向的选择</w:t>
            </w:r>
          </w:p>
          <w:p w14:paraId="33D6F72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2）小学教育专业学科方向课程的学习方法</w:t>
            </w:r>
          </w:p>
        </w:tc>
        <w:tc>
          <w:tcPr>
            <w:tcW w:w="1135" w:type="dxa"/>
            <w:vAlign w:val="center"/>
          </w:tcPr>
          <w:p w14:paraId="58D443A5">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w:t>
            </w:r>
            <w:r>
              <w:rPr>
                <w:rFonts w:ascii="宋体" w:hAnsi="宋体" w:eastAsia="宋体" w:cs="Times New Roman"/>
                <w:color w:val="000000"/>
                <w:sz w:val="24"/>
              </w:rPr>
              <w:t>1</w:t>
            </w:r>
            <w:r>
              <w:rPr>
                <w:rFonts w:hint="eastAsia" w:ascii="宋体" w:hAnsi="宋体" w:eastAsia="宋体" w:cs="Times New Roman"/>
                <w:color w:val="000000"/>
                <w:sz w:val="24"/>
              </w:rPr>
              <w:t>、2、3</w:t>
            </w:r>
          </w:p>
        </w:tc>
        <w:tc>
          <w:tcPr>
            <w:tcW w:w="3266" w:type="dxa"/>
            <w:vAlign w:val="center"/>
          </w:tcPr>
          <w:p w14:paraId="6233FEC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1）了解小学教育专业学科方向课程的发展情况。</w:t>
            </w:r>
          </w:p>
          <w:p w14:paraId="7FC249CB">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2）知道小学教育专业学科方向的考研选择。</w:t>
            </w:r>
          </w:p>
          <w:p w14:paraId="5B95FCB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3）初步了解小学教育专业学科方向课程学习的一般方法，制订小学教育专业必读学科类书籍的阅读计划并付诸实施。</w:t>
            </w:r>
          </w:p>
        </w:tc>
        <w:tc>
          <w:tcPr>
            <w:tcW w:w="1563" w:type="dxa"/>
            <w:vAlign w:val="center"/>
          </w:tcPr>
          <w:p w14:paraId="240CB7A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16EE138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466EF82E">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.观察实践</w:t>
            </w:r>
          </w:p>
          <w:p w14:paraId="2A33DF05">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42" w:type="dxa"/>
            <w:vAlign w:val="center"/>
          </w:tcPr>
          <w:p w14:paraId="22FF8248">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12</w:t>
            </w:r>
          </w:p>
        </w:tc>
      </w:tr>
      <w:tr w14:paraId="16E2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0FB4FB45">
            <w:pPr>
              <w:spacing w:line="264" w:lineRule="auto"/>
              <w:jc w:val="center"/>
              <w:rPr>
                <w:rFonts w:hint="eastAsia" w:ascii="宋体" w:hAnsi="宋体" w:eastAsia="宋体" w:cs="Times New Roman"/>
                <w:color w:val="000000"/>
                <w:sz w:val="24"/>
              </w:rPr>
            </w:pPr>
          </w:p>
        </w:tc>
        <w:tc>
          <w:tcPr>
            <w:tcW w:w="8110" w:type="dxa"/>
            <w:gridSpan w:val="5"/>
            <w:vAlign w:val="center"/>
          </w:tcPr>
          <w:p w14:paraId="2D184382">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1）注重对中国传统文化的学习，增强文化自信和民族自豪感。</w:t>
            </w:r>
            <w:r>
              <w:rPr>
                <w:rFonts w:hint="eastAsia" w:ascii="宋体" w:hAnsi="宋体" w:eastAsia="宋体" w:cs="Times New Roman"/>
                <w:color w:val="000000"/>
                <w:sz w:val="24"/>
              </w:rPr>
              <w:t>（</w:t>
            </w:r>
            <w:r>
              <w:rPr>
                <w:rFonts w:ascii="宋体" w:hAnsi="宋体" w:eastAsia="宋体" w:cs="Times New Roman"/>
                <w:color w:val="000000"/>
                <w:sz w:val="24"/>
              </w:rPr>
              <w:t>2）养成严谨治学的习惯。</w:t>
            </w:r>
          </w:p>
        </w:tc>
      </w:tr>
      <w:tr w14:paraId="21B9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06" w:type="dxa"/>
            <w:vMerge w:val="restart"/>
            <w:vAlign w:val="center"/>
          </w:tcPr>
          <w:p w14:paraId="109F5D79">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小学教师的专业发展</w:t>
            </w:r>
          </w:p>
        </w:tc>
        <w:tc>
          <w:tcPr>
            <w:tcW w:w="1704" w:type="dxa"/>
            <w:vAlign w:val="center"/>
          </w:tcPr>
          <w:p w14:paraId="4CD19E48">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1）小学教师专业发展的维度</w:t>
            </w:r>
          </w:p>
          <w:p w14:paraId="20B21A42">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2）小学教师专业发展的路径</w:t>
            </w:r>
          </w:p>
          <w:p w14:paraId="6BA6113E">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3）小学教师资格证的获得</w:t>
            </w:r>
          </w:p>
        </w:tc>
        <w:tc>
          <w:tcPr>
            <w:tcW w:w="1135" w:type="dxa"/>
            <w:vAlign w:val="center"/>
          </w:tcPr>
          <w:p w14:paraId="5CF06B5C">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6" w:type="dxa"/>
            <w:vAlign w:val="center"/>
          </w:tcPr>
          <w:p w14:paraId="0E53A1BC">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1）明确小学教师专业发展的意义；</w:t>
            </w:r>
          </w:p>
          <w:p w14:paraId="39705FB2">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 xml:space="preserve">2）了解小学教师专业发展的维度与路径； </w:t>
            </w:r>
          </w:p>
          <w:p w14:paraId="2714048F">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3）了解小学教师资格的获得条件和流程</w:t>
            </w:r>
          </w:p>
        </w:tc>
        <w:tc>
          <w:tcPr>
            <w:tcW w:w="1563" w:type="dxa"/>
            <w:vAlign w:val="center"/>
          </w:tcPr>
          <w:p w14:paraId="45FFB412">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7DABF35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48A485BD">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6AAB71C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42" w:type="dxa"/>
            <w:vAlign w:val="center"/>
          </w:tcPr>
          <w:p w14:paraId="4E39FD59">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2</w:t>
            </w:r>
          </w:p>
        </w:tc>
      </w:tr>
      <w:tr w14:paraId="3CF8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5391CF78">
            <w:pPr>
              <w:spacing w:line="276" w:lineRule="auto"/>
              <w:jc w:val="center"/>
              <w:rPr>
                <w:rFonts w:hint="eastAsia" w:ascii="宋体" w:hAnsi="宋体" w:eastAsia="宋体" w:cs="Times New Roman"/>
                <w:color w:val="000000"/>
                <w:sz w:val="24"/>
              </w:rPr>
            </w:pPr>
          </w:p>
        </w:tc>
        <w:tc>
          <w:tcPr>
            <w:tcW w:w="8110" w:type="dxa"/>
            <w:gridSpan w:val="5"/>
            <w:vAlign w:val="center"/>
          </w:tcPr>
          <w:p w14:paraId="1BD106A3">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1）能够以“四有”好老师的标准要求自己，树立为社会主义教育事业奋斗的远大志向。</w:t>
            </w:r>
            <w:r>
              <w:rPr>
                <w:rFonts w:hint="eastAsia" w:ascii="宋体" w:hAnsi="宋体" w:eastAsia="宋体" w:cs="Times New Roman"/>
                <w:color w:val="000000"/>
                <w:sz w:val="24"/>
              </w:rPr>
              <w:t>（</w:t>
            </w:r>
            <w:r>
              <w:rPr>
                <w:rFonts w:ascii="宋体" w:hAnsi="宋体" w:eastAsia="宋体" w:cs="Times New Roman"/>
                <w:color w:val="000000"/>
                <w:sz w:val="24"/>
              </w:rPr>
              <w:t>2）愿意为成为一名小学教师不懈努力。</w:t>
            </w:r>
          </w:p>
        </w:tc>
      </w:tr>
    </w:tbl>
    <w:p w14:paraId="1F6531A7">
      <w:pPr>
        <w:spacing w:line="360" w:lineRule="auto"/>
        <w:jc w:val="left"/>
        <w:rPr>
          <w:rFonts w:ascii="Times New Roman" w:hAnsi="Times New Roman" w:eastAsia="宋体" w:cs="Times New Roman"/>
          <w:sz w:val="24"/>
        </w:rPr>
      </w:pPr>
    </w:p>
    <w:p w14:paraId="082E98E8">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四、目标评价与成绩评定</w:t>
      </w:r>
    </w:p>
    <w:p w14:paraId="7EACA976">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40EE0203">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05D00788">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14"/>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3"/>
        <w:gridCol w:w="1914"/>
        <w:gridCol w:w="1737"/>
        <w:gridCol w:w="1737"/>
        <w:gridCol w:w="1028"/>
      </w:tblGrid>
      <w:tr w14:paraId="6BBA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restart"/>
            <w:vAlign w:val="center"/>
          </w:tcPr>
          <w:p w14:paraId="18BDA91A">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w:t>
            </w:r>
          </w:p>
        </w:tc>
        <w:tc>
          <w:tcPr>
            <w:tcW w:w="0" w:type="auto"/>
            <w:gridSpan w:val="3"/>
            <w:vAlign w:val="center"/>
          </w:tcPr>
          <w:p w14:paraId="3F0D02DE">
            <w:pPr>
              <w:spacing w:line="360" w:lineRule="auto"/>
              <w:jc w:val="center"/>
              <w:rPr>
                <w:rFonts w:hint="eastAsia" w:ascii="宋体" w:hAnsi="宋体" w:eastAsia="宋体" w:cs="Times New Roman"/>
                <w:sz w:val="24"/>
              </w:rPr>
            </w:pPr>
            <w:r>
              <w:rPr>
                <w:rFonts w:hint="eastAsia" w:ascii="宋体" w:hAnsi="宋体" w:eastAsia="宋体" w:cs="Times New Roman"/>
                <w:sz w:val="24"/>
              </w:rPr>
              <w:t>评价与成绩评定方法</w:t>
            </w:r>
          </w:p>
        </w:tc>
        <w:tc>
          <w:tcPr>
            <w:tcW w:w="0" w:type="auto"/>
            <w:vMerge w:val="restart"/>
            <w:vAlign w:val="center"/>
          </w:tcPr>
          <w:p w14:paraId="7133CFDE">
            <w:pPr>
              <w:spacing w:line="360" w:lineRule="auto"/>
              <w:jc w:val="center"/>
              <w:rPr>
                <w:rFonts w:hint="eastAsia" w:ascii="宋体" w:hAnsi="宋体" w:eastAsia="宋体" w:cs="Times New Roman"/>
                <w:sz w:val="24"/>
              </w:rPr>
            </w:pPr>
            <w:r>
              <w:rPr>
                <w:rFonts w:hint="eastAsia" w:ascii="宋体" w:hAnsi="宋体" w:eastAsia="宋体" w:cs="Times New Roman"/>
                <w:sz w:val="24"/>
              </w:rPr>
              <w:t>分值</w:t>
            </w:r>
          </w:p>
        </w:tc>
      </w:tr>
      <w:tr w14:paraId="00C8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0" w:type="auto"/>
            <w:vMerge w:val="continue"/>
            <w:vAlign w:val="center"/>
          </w:tcPr>
          <w:p w14:paraId="6AFF3EAA">
            <w:pPr>
              <w:spacing w:line="360" w:lineRule="auto"/>
              <w:jc w:val="center"/>
              <w:rPr>
                <w:rFonts w:hint="eastAsia" w:ascii="宋体" w:hAnsi="宋体" w:eastAsia="宋体" w:cs="Times New Roman"/>
                <w:sz w:val="24"/>
              </w:rPr>
            </w:pPr>
          </w:p>
        </w:tc>
        <w:tc>
          <w:tcPr>
            <w:tcW w:w="0" w:type="auto"/>
            <w:vAlign w:val="center"/>
          </w:tcPr>
          <w:p w14:paraId="5D13F6AB">
            <w:pPr>
              <w:spacing w:line="360" w:lineRule="auto"/>
              <w:jc w:val="center"/>
              <w:rPr>
                <w:rFonts w:hint="eastAsia" w:ascii="宋体" w:hAnsi="宋体" w:eastAsia="宋体" w:cs="Times New Roman"/>
                <w:sz w:val="24"/>
              </w:rPr>
            </w:pPr>
            <w:r>
              <w:rPr>
                <w:rFonts w:hint="eastAsia" w:ascii="宋体" w:hAnsi="宋体" w:eastAsia="宋体" w:cs="Times New Roman"/>
                <w:sz w:val="24"/>
              </w:rPr>
              <w:t>作业</w:t>
            </w:r>
            <w:r>
              <w:rPr>
                <w:rFonts w:ascii="宋体" w:hAnsi="宋体" w:eastAsia="宋体" w:cs="Times New Roman"/>
                <w:sz w:val="24"/>
              </w:rPr>
              <w:t>+考勤</w:t>
            </w:r>
          </w:p>
        </w:tc>
        <w:tc>
          <w:tcPr>
            <w:tcW w:w="0" w:type="auto"/>
            <w:vAlign w:val="center"/>
          </w:tcPr>
          <w:p w14:paraId="61EAE226">
            <w:pPr>
              <w:spacing w:line="360" w:lineRule="auto"/>
              <w:jc w:val="center"/>
              <w:rPr>
                <w:rFonts w:hint="eastAsia" w:ascii="宋体" w:hAnsi="宋体" w:eastAsia="宋体" w:cs="Times New Roman"/>
                <w:sz w:val="24"/>
              </w:rPr>
            </w:pPr>
            <w:r>
              <w:rPr>
                <w:rFonts w:hint="eastAsia" w:ascii="宋体" w:hAnsi="宋体" w:eastAsia="宋体" w:cs="Times New Roman"/>
                <w:sz w:val="24"/>
              </w:rPr>
              <w:t>课堂表现</w:t>
            </w:r>
          </w:p>
        </w:tc>
        <w:tc>
          <w:tcPr>
            <w:tcW w:w="0" w:type="auto"/>
            <w:vAlign w:val="center"/>
          </w:tcPr>
          <w:p w14:paraId="0AF2B874">
            <w:pPr>
              <w:spacing w:line="360" w:lineRule="auto"/>
              <w:jc w:val="center"/>
              <w:rPr>
                <w:rFonts w:hint="eastAsia" w:ascii="宋体" w:hAnsi="宋体" w:eastAsia="宋体" w:cs="Times New Roman"/>
                <w:sz w:val="24"/>
              </w:rPr>
            </w:pPr>
            <w:r>
              <w:rPr>
                <w:rFonts w:hint="eastAsia" w:ascii="宋体" w:hAnsi="宋体" w:eastAsia="宋体" w:cs="Times New Roman"/>
                <w:sz w:val="24"/>
              </w:rPr>
              <w:t>期末考试</w:t>
            </w:r>
          </w:p>
        </w:tc>
        <w:tc>
          <w:tcPr>
            <w:tcW w:w="0" w:type="auto"/>
            <w:vMerge w:val="continue"/>
            <w:vAlign w:val="center"/>
          </w:tcPr>
          <w:p w14:paraId="1C9AFC28">
            <w:pPr>
              <w:spacing w:line="360" w:lineRule="auto"/>
              <w:jc w:val="center"/>
              <w:rPr>
                <w:rFonts w:hint="eastAsia" w:ascii="宋体" w:hAnsi="宋体" w:eastAsia="宋体" w:cs="Times New Roman"/>
                <w:sz w:val="24"/>
              </w:rPr>
            </w:pPr>
          </w:p>
        </w:tc>
      </w:tr>
      <w:tr w14:paraId="3B1C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1D2502B8">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0" w:type="auto"/>
            <w:vAlign w:val="center"/>
          </w:tcPr>
          <w:p w14:paraId="2FE61706">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290E1FC7">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DE5E847">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80CB8DC">
            <w:pPr>
              <w:spacing w:line="360" w:lineRule="auto"/>
              <w:jc w:val="center"/>
              <w:rPr>
                <w:rFonts w:hint="eastAsia" w:ascii="宋体" w:hAnsi="宋体" w:eastAsia="宋体" w:cs="Times New Roman"/>
                <w:sz w:val="24"/>
              </w:rPr>
            </w:pPr>
            <w:r>
              <w:rPr>
                <w:rFonts w:ascii="宋体" w:hAnsi="宋体" w:eastAsia="宋体" w:cs="Times New Roman"/>
                <w:sz w:val="24"/>
              </w:rPr>
              <w:t>30</w:t>
            </w:r>
          </w:p>
        </w:tc>
      </w:tr>
      <w:tr w14:paraId="4C59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51BCCCB6">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0" w:type="auto"/>
            <w:vAlign w:val="center"/>
          </w:tcPr>
          <w:p w14:paraId="53063D3B">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3167D57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77758960">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732422D4">
            <w:pPr>
              <w:spacing w:line="360" w:lineRule="auto"/>
              <w:jc w:val="center"/>
              <w:rPr>
                <w:rFonts w:hint="eastAsia" w:ascii="宋体" w:hAnsi="宋体" w:eastAsia="宋体" w:cs="Times New Roman"/>
                <w:sz w:val="24"/>
              </w:rPr>
            </w:pPr>
            <w:r>
              <w:rPr>
                <w:rFonts w:ascii="宋体" w:hAnsi="宋体" w:eastAsia="宋体" w:cs="Times New Roman"/>
                <w:sz w:val="24"/>
              </w:rPr>
              <w:t>40</w:t>
            </w:r>
          </w:p>
        </w:tc>
      </w:tr>
      <w:tr w14:paraId="6F77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127CB42E">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0" w:type="auto"/>
            <w:vAlign w:val="center"/>
          </w:tcPr>
          <w:p w14:paraId="5518FF8F">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3B10E94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2D29BA5">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34A9C1AA">
            <w:pPr>
              <w:spacing w:line="360" w:lineRule="auto"/>
              <w:jc w:val="center"/>
              <w:rPr>
                <w:rFonts w:hint="eastAsia" w:ascii="宋体" w:hAnsi="宋体" w:eastAsia="宋体" w:cs="Times New Roman"/>
                <w:sz w:val="24"/>
              </w:rPr>
            </w:pPr>
            <w:r>
              <w:rPr>
                <w:rFonts w:ascii="宋体" w:hAnsi="宋体" w:eastAsia="宋体" w:cs="Times New Roman"/>
                <w:sz w:val="24"/>
              </w:rPr>
              <w:t>30</w:t>
            </w:r>
          </w:p>
        </w:tc>
      </w:tr>
      <w:tr w14:paraId="726B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514A703B">
            <w:pPr>
              <w:spacing w:line="360"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0" w:type="auto"/>
            <w:vAlign w:val="center"/>
          </w:tcPr>
          <w:p w14:paraId="2FC06FF6">
            <w:pPr>
              <w:spacing w:line="360" w:lineRule="auto"/>
              <w:jc w:val="center"/>
              <w:rPr>
                <w:rFonts w:hint="eastAsia" w:ascii="宋体" w:hAnsi="宋体" w:eastAsia="宋体" w:cs="Times New Roman"/>
                <w:sz w:val="24"/>
              </w:rPr>
            </w:pPr>
            <w:r>
              <w:rPr>
                <w:rFonts w:ascii="宋体" w:hAnsi="宋体" w:eastAsia="宋体" w:cs="Times New Roman"/>
                <w:sz w:val="24"/>
              </w:rPr>
              <w:t>40</w:t>
            </w:r>
          </w:p>
        </w:tc>
        <w:tc>
          <w:tcPr>
            <w:tcW w:w="0" w:type="auto"/>
            <w:vAlign w:val="center"/>
          </w:tcPr>
          <w:p w14:paraId="0493F2C2">
            <w:pPr>
              <w:spacing w:line="360" w:lineRule="auto"/>
              <w:jc w:val="center"/>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0</w:t>
            </w:r>
          </w:p>
        </w:tc>
        <w:tc>
          <w:tcPr>
            <w:tcW w:w="0" w:type="auto"/>
            <w:vAlign w:val="center"/>
          </w:tcPr>
          <w:p w14:paraId="3AD4AD68">
            <w:pPr>
              <w:spacing w:line="360" w:lineRule="auto"/>
              <w:jc w:val="center"/>
              <w:rPr>
                <w:rFonts w:hint="eastAsia" w:ascii="宋体" w:hAnsi="宋体" w:eastAsia="宋体" w:cs="Times New Roman"/>
                <w:sz w:val="24"/>
              </w:rPr>
            </w:pPr>
            <w:r>
              <w:rPr>
                <w:rFonts w:hint="eastAsia" w:ascii="宋体" w:hAnsi="宋体" w:eastAsia="宋体" w:cs="Times New Roman"/>
                <w:sz w:val="24"/>
              </w:rPr>
              <w:t>5</w:t>
            </w:r>
            <w:r>
              <w:rPr>
                <w:rFonts w:ascii="宋体" w:hAnsi="宋体" w:eastAsia="宋体" w:cs="Times New Roman"/>
                <w:sz w:val="24"/>
              </w:rPr>
              <w:t>0</w:t>
            </w:r>
          </w:p>
        </w:tc>
        <w:tc>
          <w:tcPr>
            <w:tcW w:w="0" w:type="auto"/>
            <w:vAlign w:val="center"/>
          </w:tcPr>
          <w:p w14:paraId="0C0D39B7">
            <w:pPr>
              <w:spacing w:line="360"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2BC4A479">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31E68682">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73C2E6D1">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6924"/>
        <w:gridCol w:w="776"/>
      </w:tblGrid>
      <w:tr w14:paraId="46CE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71DC59B">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6924" w:type="dxa"/>
            <w:vAlign w:val="center"/>
          </w:tcPr>
          <w:p w14:paraId="6C329184">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6B05565C">
            <w:pPr>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03C1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A68104C">
            <w:pPr>
              <w:rPr>
                <w:rFonts w:ascii="Times New Roman" w:hAnsi="Times New Roman" w:eastAsia="宋体" w:cs="Times New Roman"/>
                <w:sz w:val="24"/>
              </w:rPr>
            </w:pPr>
            <w:r>
              <w:rPr>
                <w:rFonts w:hint="eastAsia" w:ascii="Times New Roman" w:hAnsi="Times New Roman" w:eastAsia="宋体" w:cs="Times New Roman"/>
                <w:sz w:val="24"/>
              </w:rPr>
              <w:t>作业</w:t>
            </w:r>
            <w:r>
              <w:rPr>
                <w:rFonts w:ascii="Times New Roman" w:hAnsi="Times New Roman" w:eastAsia="宋体" w:cs="Times New Roman"/>
                <w:sz w:val="24"/>
              </w:rPr>
              <w:t>+考勤</w:t>
            </w:r>
          </w:p>
        </w:tc>
        <w:tc>
          <w:tcPr>
            <w:tcW w:w="6924" w:type="dxa"/>
            <w:vAlign w:val="center"/>
          </w:tcPr>
          <w:p w14:paraId="5545E1EA">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平时作业共3次，平时总评</w:t>
            </w:r>
            <w:r>
              <w:rPr>
                <w:rFonts w:ascii="Times New Roman" w:hAnsi="Times New Roman" w:eastAsia="宋体" w:cs="Times New Roman"/>
                <w:sz w:val="24"/>
              </w:rPr>
              <w:t>=作业平均—考勤扣分，旷课1次扣5分，事假一次扣2分，迟到1次扣1分，病假不扣分（但病假次数达本学期总授课学时的1/3以上者不得参加考核）。</w:t>
            </w:r>
          </w:p>
        </w:tc>
        <w:tc>
          <w:tcPr>
            <w:tcW w:w="0" w:type="auto"/>
            <w:vAlign w:val="center"/>
          </w:tcPr>
          <w:p w14:paraId="74F8B196">
            <w:pPr>
              <w:jc w:val="center"/>
              <w:rPr>
                <w:rFonts w:ascii="Times New Roman" w:hAnsi="Times New Roman" w:eastAsia="宋体" w:cs="Times New Roman"/>
                <w:sz w:val="24"/>
              </w:rPr>
            </w:pPr>
            <w:r>
              <w:rPr>
                <w:rFonts w:ascii="Times New Roman" w:hAnsi="Times New Roman" w:eastAsia="宋体" w:cs="Times New Roman"/>
                <w:sz w:val="24"/>
              </w:rPr>
              <w:t>4</w:t>
            </w:r>
            <w:r>
              <w:rPr>
                <w:rFonts w:hint="eastAsia" w:ascii="Times New Roman" w:hAnsi="Times New Roman" w:eastAsia="宋体" w:cs="Times New Roman"/>
                <w:sz w:val="24"/>
              </w:rPr>
              <w:t>0%</w:t>
            </w:r>
          </w:p>
        </w:tc>
      </w:tr>
      <w:tr w14:paraId="353E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8A4510A">
            <w:pPr>
              <w:rPr>
                <w:rFonts w:ascii="Times New Roman" w:hAnsi="Times New Roman" w:eastAsia="宋体" w:cs="Times New Roman"/>
                <w:sz w:val="24"/>
              </w:rPr>
            </w:pPr>
            <w:r>
              <w:rPr>
                <w:rFonts w:hint="eastAsia" w:ascii="Times New Roman" w:hAnsi="Times New Roman" w:eastAsia="宋体" w:cs="Times New Roman"/>
                <w:sz w:val="24"/>
              </w:rPr>
              <w:t>课堂表现</w:t>
            </w:r>
          </w:p>
        </w:tc>
        <w:tc>
          <w:tcPr>
            <w:tcW w:w="6924" w:type="dxa"/>
            <w:vAlign w:val="center"/>
          </w:tcPr>
          <w:p w14:paraId="12C5C533">
            <w:pPr>
              <w:widowControl/>
              <w:spacing w:line="264" w:lineRule="auto"/>
              <w:jc w:val="left"/>
              <w:rPr>
                <w:rFonts w:ascii="Times New Roman" w:hAnsi="Times New Roman" w:eastAsia="宋体" w:cs="Times New Roman"/>
                <w:sz w:val="24"/>
              </w:rPr>
            </w:pPr>
            <w:r>
              <w:rPr>
                <w:rFonts w:hint="eastAsia" w:ascii="宋体" w:hAnsi="宋体" w:eastAsia="宋体" w:cs="宋体"/>
                <w:color w:val="000000"/>
                <w:kern w:val="0"/>
                <w:sz w:val="24"/>
                <w:lang w:bidi="ar"/>
              </w:rPr>
              <w:t>课堂表现。</w:t>
            </w:r>
            <w:r>
              <w:rPr>
                <w:rFonts w:ascii="宋体" w:hAnsi="宋体" w:eastAsia="宋体" w:cs="宋体"/>
                <w:color w:val="000000"/>
                <w:kern w:val="0"/>
                <w:sz w:val="24"/>
                <w:lang w:bidi="ar"/>
              </w:rPr>
              <w:t>主要指课上教师随机提问、组织课堂讨论等，观察学生参与程度</w:t>
            </w:r>
            <w:r>
              <w:rPr>
                <w:rFonts w:hint="eastAsia" w:ascii="宋体" w:hAnsi="宋体" w:eastAsia="宋体" w:cs="宋体"/>
                <w:color w:val="000000"/>
                <w:kern w:val="0"/>
                <w:sz w:val="24"/>
                <w:lang w:bidi="ar"/>
              </w:rPr>
              <w:t>，</w:t>
            </w:r>
            <w:r>
              <w:rPr>
                <w:rFonts w:ascii="宋体" w:hAnsi="宋体" w:eastAsia="宋体" w:cs="宋体"/>
                <w:color w:val="000000"/>
                <w:kern w:val="0"/>
                <w:sz w:val="24"/>
                <w:lang w:bidi="ar"/>
              </w:rPr>
              <w:t>按照对应的课程目标及权重给予评定</w:t>
            </w:r>
            <w:r>
              <w:rPr>
                <w:rFonts w:hint="eastAsia" w:ascii="宋体" w:hAnsi="宋体" w:eastAsia="宋体" w:cs="宋体"/>
                <w:color w:val="000000"/>
                <w:kern w:val="0"/>
                <w:sz w:val="24"/>
                <w:lang w:bidi="ar"/>
              </w:rPr>
              <w:t>。</w:t>
            </w:r>
          </w:p>
        </w:tc>
        <w:tc>
          <w:tcPr>
            <w:tcW w:w="0" w:type="auto"/>
            <w:vAlign w:val="center"/>
          </w:tcPr>
          <w:p w14:paraId="482B03D4">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0EE1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0C25084">
            <w:pPr>
              <w:rPr>
                <w:rFonts w:ascii="Times New Roman" w:hAnsi="Times New Roman" w:eastAsia="宋体" w:cs="Times New Roman"/>
                <w:sz w:val="24"/>
              </w:rPr>
            </w:pPr>
            <w:r>
              <w:rPr>
                <w:rFonts w:hint="eastAsia" w:ascii="Times New Roman" w:hAnsi="Times New Roman" w:eastAsia="宋体" w:cs="Times New Roman"/>
                <w:sz w:val="24"/>
              </w:rPr>
              <w:t>期末考试</w:t>
            </w:r>
          </w:p>
        </w:tc>
        <w:tc>
          <w:tcPr>
            <w:tcW w:w="6924" w:type="dxa"/>
            <w:vAlign w:val="center"/>
          </w:tcPr>
          <w:p w14:paraId="7997B935">
            <w:pPr>
              <w:spacing w:line="264" w:lineRule="auto"/>
              <w:jc w:val="left"/>
              <w:rPr>
                <w:rFonts w:ascii="Times New Roman" w:hAnsi="Times New Roman" w:eastAsia="宋体" w:cs="Times New Roman"/>
                <w:sz w:val="24"/>
              </w:rPr>
            </w:pPr>
            <w:r>
              <w:rPr>
                <w:rFonts w:hint="eastAsia" w:ascii="Times New Roman" w:hAnsi="Times New Roman" w:eastAsia="宋体" w:cs="Times New Roman"/>
                <w:color w:val="000000"/>
                <w:sz w:val="24"/>
              </w:rPr>
              <w:t>结合专业和自身实际，撰写一份小学教育专业发展规划，规划要有明确的目标和计划，不少于1</w:t>
            </w:r>
            <w:r>
              <w:rPr>
                <w:rFonts w:ascii="Times New Roman" w:hAnsi="Times New Roman" w:eastAsia="宋体" w:cs="Times New Roman"/>
                <w:color w:val="000000"/>
                <w:sz w:val="24"/>
              </w:rPr>
              <w:t>500</w:t>
            </w:r>
            <w:r>
              <w:rPr>
                <w:rFonts w:hint="eastAsia" w:ascii="Times New Roman" w:hAnsi="Times New Roman" w:eastAsia="宋体" w:cs="Times New Roman"/>
                <w:color w:val="000000"/>
                <w:sz w:val="24"/>
              </w:rPr>
              <w:t>字</w:t>
            </w:r>
            <w:r>
              <w:rPr>
                <w:rFonts w:ascii="Times New Roman" w:hAnsi="Times New Roman" w:eastAsia="宋体" w:cs="Times New Roman"/>
                <w:color w:val="000000"/>
                <w:sz w:val="24"/>
              </w:rPr>
              <w:t>。</w:t>
            </w:r>
          </w:p>
        </w:tc>
        <w:tc>
          <w:tcPr>
            <w:tcW w:w="0" w:type="auto"/>
            <w:vAlign w:val="center"/>
          </w:tcPr>
          <w:p w14:paraId="4CA91D9D">
            <w:pPr>
              <w:jc w:val="center"/>
              <w:rPr>
                <w:rFonts w:ascii="Times New Roman" w:hAnsi="Times New Roman" w:eastAsia="宋体" w:cs="Times New Roman"/>
                <w:sz w:val="24"/>
              </w:rPr>
            </w:pPr>
            <w:r>
              <w:rPr>
                <w:rFonts w:hint="eastAsia" w:ascii="Times New Roman" w:hAnsi="Times New Roman" w:eastAsia="宋体" w:cs="Times New Roman"/>
                <w:sz w:val="24"/>
              </w:rPr>
              <w:t>50%</w:t>
            </w:r>
          </w:p>
        </w:tc>
      </w:tr>
      <w:tr w14:paraId="0E36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DE13083">
            <w:pPr>
              <w:jc w:val="center"/>
              <w:rPr>
                <w:rFonts w:ascii="Times New Roman" w:hAnsi="Times New Roman" w:eastAsia="宋体" w:cs="Times New Roman"/>
                <w:b/>
                <w:bCs/>
                <w:sz w:val="24"/>
              </w:rPr>
            </w:pPr>
            <w:r>
              <w:rPr>
                <w:rFonts w:hint="eastAsia" w:ascii="Times New Roman" w:hAnsi="Times New Roman" w:eastAsia="宋体" w:cs="Times New Roman"/>
                <w:b/>
                <w:bCs/>
                <w:sz w:val="24"/>
              </w:rPr>
              <w:t>合计</w:t>
            </w:r>
          </w:p>
        </w:tc>
        <w:tc>
          <w:tcPr>
            <w:tcW w:w="0" w:type="auto"/>
            <w:vAlign w:val="center"/>
          </w:tcPr>
          <w:p w14:paraId="130ED5DA">
            <w:pPr>
              <w:jc w:val="left"/>
              <w:rPr>
                <w:rFonts w:ascii="Times New Roman" w:hAnsi="Times New Roman" w:eastAsia="宋体" w:cs="Times New Roman"/>
                <w:sz w:val="24"/>
              </w:rPr>
            </w:pPr>
          </w:p>
        </w:tc>
        <w:tc>
          <w:tcPr>
            <w:tcW w:w="0" w:type="auto"/>
            <w:vAlign w:val="center"/>
          </w:tcPr>
          <w:p w14:paraId="3B2ED1E1">
            <w:pPr>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5B358A5A">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（三）课程目标达成度计算方法</w:t>
      </w:r>
    </w:p>
    <w:p w14:paraId="30097B3C">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76C96CC8">
      <w:pPr>
        <w:spacing w:before="156" w:beforeLines="50"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object>
          <v:shape id="_x0000_i1032"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32" DrawAspect="Content" ObjectID="_1468075732" r:id="rId13">
            <o:LockedField>false</o:LockedField>
          </o:OLEObject>
        </w:object>
      </w:r>
    </w:p>
    <w:p w14:paraId="285F3982">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课内实践</w:t>
      </w:r>
    </w:p>
    <w:p w14:paraId="682DE5A6">
      <w:pPr>
        <w:spacing w:line="360" w:lineRule="auto"/>
        <w:ind w:firstLine="470" w:firstLineChars="196"/>
        <w:jc w:val="left"/>
        <w:rPr>
          <w:rFonts w:ascii="Times New Roman" w:hAnsi="Times New Roman" w:eastAsia="宋体" w:cs="Times New Roman"/>
          <w:sz w:val="24"/>
        </w:rPr>
      </w:pPr>
      <w:r>
        <w:rPr>
          <w:rFonts w:hint="eastAsia" w:ascii="Times New Roman" w:hAnsi="Times New Roman" w:eastAsia="宋体" w:cs="Times New Roman"/>
          <w:sz w:val="24"/>
        </w:rPr>
        <w:t>无</w:t>
      </w:r>
    </w:p>
    <w:p w14:paraId="43CFFEB3">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1D6AFA5D">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2C137364">
      <w:pPr>
        <w:spacing w:line="360" w:lineRule="auto"/>
        <w:ind w:firstLine="600" w:firstLineChars="250"/>
        <w:jc w:val="left"/>
        <w:rPr>
          <w:rFonts w:ascii="Times New Roman" w:hAnsi="Times New Roman" w:eastAsia="宋体" w:cs="Times New Roman"/>
          <w:sz w:val="24"/>
        </w:rPr>
      </w:pPr>
      <w:r>
        <w:rPr>
          <w:rFonts w:hint="eastAsia" w:ascii="Times New Roman" w:hAnsi="Times New Roman" w:eastAsia="宋体" w:cs="Times New Roman"/>
          <w:sz w:val="24"/>
        </w:rPr>
        <w:t>本课程根据学生作业、课堂讨论和学生、教学督导等的反馈，及时对教学中的不足之处进行改进，并在下一轮课程教学中整改完善，确保相应毕业要求指标点达成。</w:t>
      </w:r>
    </w:p>
    <w:p w14:paraId="013E8040">
      <w:pPr>
        <w:spacing w:line="360" w:lineRule="auto"/>
        <w:ind w:firstLine="602" w:firstLineChars="250"/>
        <w:jc w:val="left"/>
        <w:rPr>
          <w:rFonts w:ascii="Times New Roman" w:hAnsi="Times New Roman" w:eastAsia="宋体" w:cs="Times New Roman"/>
          <w:b/>
          <w:sz w:val="24"/>
        </w:rPr>
      </w:pPr>
      <w:r>
        <w:rPr>
          <w:rFonts w:hint="eastAsia" w:ascii="Times New Roman" w:hAnsi="Times New Roman" w:eastAsia="宋体" w:cs="Times New Roman"/>
          <w:b/>
          <w:sz w:val="24"/>
        </w:rPr>
        <w:t>（二）建议教材</w:t>
      </w:r>
    </w:p>
    <w:p w14:paraId="55CABE36">
      <w:pPr>
        <w:spacing w:line="360" w:lineRule="auto"/>
        <w:ind w:firstLine="600" w:firstLineChars="250"/>
        <w:jc w:val="left"/>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无</w:t>
      </w:r>
    </w:p>
    <w:p w14:paraId="5DF008D7">
      <w:pPr>
        <w:spacing w:line="360" w:lineRule="auto"/>
        <w:ind w:firstLine="602" w:firstLineChars="250"/>
        <w:jc w:val="left"/>
        <w:rPr>
          <w:rFonts w:ascii="Times New Roman" w:hAnsi="Times New Roman" w:eastAsia="宋体" w:cs="Times New Roman"/>
          <w:b/>
          <w:sz w:val="24"/>
        </w:rPr>
      </w:pPr>
      <w:r>
        <w:rPr>
          <w:rFonts w:hint="eastAsia" w:ascii="Times New Roman" w:hAnsi="Times New Roman" w:eastAsia="宋体" w:cs="Times New Roman"/>
          <w:b/>
          <w:sz w:val="24"/>
        </w:rPr>
        <w:t>（三）参考书目</w:t>
      </w:r>
    </w:p>
    <w:p w14:paraId="5C9002A2">
      <w:pPr>
        <w:spacing w:line="360" w:lineRule="auto"/>
        <w:ind w:firstLine="600" w:firstLineChars="250"/>
        <w:jc w:val="left"/>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w:t>
      </w:r>
      <w:r>
        <w:rPr>
          <w:rFonts w:hint="eastAsia" w:ascii="宋体" w:hAnsi="宋体" w:eastAsia="宋体" w:cs="Times New Roman"/>
          <w:sz w:val="24"/>
        </w:rPr>
        <w:t>惠中</w:t>
      </w:r>
      <w:r>
        <w:rPr>
          <w:rFonts w:ascii="宋体" w:hAnsi="宋体" w:eastAsia="宋体" w:cs="Times New Roman"/>
          <w:sz w:val="24"/>
        </w:rPr>
        <w:t>.教师教育新视野: 本科学历小学教师培养模式初探.上海：上海科技教育出版社,最新版.</w:t>
      </w:r>
    </w:p>
    <w:p w14:paraId="1BC1FB96">
      <w:pPr>
        <w:spacing w:line="360" w:lineRule="auto"/>
        <w:ind w:firstLine="600" w:firstLineChars="250"/>
        <w:jc w:val="left"/>
        <w:rPr>
          <w:rFonts w:hint="eastAsia" w:ascii="宋体" w:hAnsi="宋体" w:eastAsia="宋体" w:cs="Times New Roman"/>
          <w:sz w:val="24"/>
        </w:rPr>
      </w:pPr>
      <w:r>
        <w:rPr>
          <w:rFonts w:ascii="宋体" w:hAnsi="宋体" w:eastAsia="宋体" w:cs="Times New Roman"/>
          <w:sz w:val="24"/>
        </w:rPr>
        <w:t>2.[美]帕梅拉·格罗斯曼.专业化的教师是看样炼油成的.李广平，等译.北京：人民教育出版社，2012.</w:t>
      </w:r>
    </w:p>
    <w:p w14:paraId="7BDD7132">
      <w:pPr>
        <w:spacing w:line="360" w:lineRule="auto"/>
        <w:ind w:firstLine="600" w:firstLineChars="250"/>
        <w:jc w:val="left"/>
        <w:rPr>
          <w:rFonts w:hint="eastAsia" w:ascii="宋体" w:hAnsi="宋体" w:eastAsia="宋体" w:cs="Times New Roman"/>
          <w:sz w:val="24"/>
        </w:rPr>
      </w:pP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中华人民共和国教育部文件</w:t>
      </w:r>
      <w:r>
        <w:rPr>
          <w:rFonts w:ascii="宋体" w:hAnsi="宋体" w:eastAsia="宋体" w:cs="Times New Roman"/>
          <w:sz w:val="24"/>
        </w:rPr>
        <w:t>.小学教师专业标准（试行）.</w:t>
      </w:r>
    </w:p>
    <w:p w14:paraId="794C84D8">
      <w:pPr>
        <w:spacing w:line="360" w:lineRule="auto"/>
        <w:ind w:firstLine="600" w:firstLineChars="250"/>
        <w:jc w:val="left"/>
        <w:rPr>
          <w:rFonts w:hint="eastAsia" w:ascii="宋体" w:hAnsi="宋体" w:eastAsia="宋体" w:cs="Times New Roman"/>
          <w:sz w:val="24"/>
        </w:rPr>
      </w:pPr>
      <w:r>
        <w:rPr>
          <w:rFonts w:hint="eastAsia" w:ascii="宋体" w:hAnsi="宋体" w:eastAsia="宋体" w:cs="Times New Roman"/>
          <w:sz w:val="24"/>
        </w:rPr>
        <w:t>4</w:t>
      </w:r>
      <w:r>
        <w:rPr>
          <w:rFonts w:ascii="宋体" w:hAnsi="宋体" w:eastAsia="宋体" w:cs="Times New Roman"/>
          <w:sz w:val="24"/>
        </w:rPr>
        <w:t>.</w:t>
      </w:r>
      <w:r>
        <w:rPr>
          <w:rFonts w:hint="eastAsia" w:ascii="宋体" w:hAnsi="宋体" w:eastAsia="宋体" w:cs="Times New Roman"/>
          <w:sz w:val="24"/>
        </w:rPr>
        <w:t>中华人民共和国教育部文件</w:t>
      </w:r>
      <w:r>
        <w:rPr>
          <w:rFonts w:ascii="宋体" w:hAnsi="宋体" w:eastAsia="宋体" w:cs="Times New Roman"/>
          <w:sz w:val="24"/>
        </w:rPr>
        <w:t>.教师资格条例.</w:t>
      </w:r>
    </w:p>
    <w:p w14:paraId="07915213">
      <w:pPr>
        <w:spacing w:line="360" w:lineRule="auto"/>
        <w:ind w:firstLine="600" w:firstLineChars="250"/>
        <w:jc w:val="left"/>
        <w:rPr>
          <w:rFonts w:hint="eastAsia" w:ascii="宋体" w:hAnsi="宋体" w:eastAsia="宋体" w:cs="Times New Roman"/>
          <w:sz w:val="24"/>
        </w:rPr>
      </w:pPr>
    </w:p>
    <w:p w14:paraId="6D066343">
      <w:pPr>
        <w:rPr>
          <w:sz w:val="24"/>
        </w:rPr>
      </w:pPr>
    </w:p>
    <w:p w14:paraId="291B02AB">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执 笔 人：谢国忠</w:t>
      </w:r>
    </w:p>
    <w:p w14:paraId="0C422162">
      <w:pPr>
        <w:wordWrap w:val="0"/>
        <w:spacing w:line="360" w:lineRule="auto"/>
        <w:ind w:right="144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定 人：王 健</w:t>
      </w:r>
    </w:p>
    <w:p w14:paraId="6007561C">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147F6224">
      <w:pPr>
        <w:spacing w:line="360" w:lineRule="auto"/>
        <w:ind w:firstLine="4800" w:firstLineChars="2000"/>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r>
        <w:rPr>
          <w:rFonts w:ascii="Times New Roman" w:hAnsi="Times New Roman" w:eastAsia="宋体" w:cs="Times New Roman"/>
          <w:sz w:val="24"/>
        </w:rPr>
        <w:br w:type="page"/>
      </w:r>
    </w:p>
    <w:p w14:paraId="60FF9253">
      <w:pPr>
        <w:pStyle w:val="3"/>
        <w:rPr>
          <w:rFonts w:ascii="Times New Roman" w:hAnsi="Times New Roman"/>
        </w:rPr>
      </w:pPr>
      <w:bookmarkStart w:id="46" w:name="_Toc11449"/>
      <w:r>
        <w:rPr>
          <w:rFonts w:hint="eastAsia"/>
        </w:rPr>
        <w:t>《大学生职业生涯规划》课程教学大纲</w:t>
      </w:r>
      <w:bookmarkEnd w:id="46"/>
    </w:p>
    <w:p w14:paraId="479D7004">
      <w:pPr>
        <w:spacing w:line="360" w:lineRule="auto"/>
        <w:jc w:val="center"/>
        <w:rPr>
          <w:rFonts w:ascii="Times New Roman" w:hAnsi="Times New Roman" w:eastAsia="宋体" w:cs="Times New Roman"/>
          <w:b/>
          <w:bCs/>
          <w:sz w:val="28"/>
          <w:szCs w:val="28"/>
        </w:rPr>
      </w:pPr>
      <w:r>
        <w:rPr>
          <w:rFonts w:ascii="宋体" w:hAnsi="宋体" w:eastAsia="宋体" w:cs="Times New Roman"/>
          <w:b/>
          <w:bCs/>
          <w:sz w:val="28"/>
          <w:szCs w:val="28"/>
        </w:rPr>
        <w:t>（</w:t>
      </w:r>
      <w:r>
        <w:rPr>
          <w:rFonts w:hint="eastAsia" w:ascii="Times New Roman" w:hAnsi="Times New Roman" w:eastAsia="宋体" w:cs="Times New Roman"/>
          <w:b/>
          <w:bCs/>
          <w:sz w:val="28"/>
          <w:szCs w:val="28"/>
        </w:rPr>
        <w:t>Career Planning for College  Students</w:t>
      </w:r>
      <w:r>
        <w:rPr>
          <w:rFonts w:ascii="宋体" w:hAnsi="宋体" w:eastAsia="宋体" w:cs="Times New Roman"/>
          <w:b/>
          <w:bCs/>
          <w:sz w:val="28"/>
          <w:szCs w:val="28"/>
        </w:rPr>
        <w:t>）</w:t>
      </w:r>
    </w:p>
    <w:p w14:paraId="7DDF1893">
      <w:pPr>
        <w:spacing w:line="360" w:lineRule="auto"/>
        <w:jc w:val="center"/>
        <w:rPr>
          <w:rFonts w:ascii="Times New Roman" w:hAnsi="Times New Roman" w:eastAsia="宋体" w:cs="Times New Roman"/>
          <w:bCs/>
          <w:sz w:val="30"/>
          <w:szCs w:val="30"/>
        </w:rPr>
      </w:pPr>
      <w:r>
        <w:rPr>
          <w:rFonts w:ascii="Times New Roman" w:hAnsi="Times New Roman" w:eastAsia="宋体" w:cs="Times New Roman"/>
          <w:bCs/>
          <w:sz w:val="30"/>
          <w:szCs w:val="30"/>
        </w:rPr>
        <w:t xml:space="preserve"> </w:t>
      </w:r>
    </w:p>
    <w:p w14:paraId="72BEB869">
      <w:pPr>
        <w:spacing w:line="360" w:lineRule="auto"/>
        <w:ind w:firstLine="482" w:firstLineChars="200"/>
        <w:jc w:val="left"/>
        <w:rPr>
          <w:rFonts w:ascii="Times New Roman" w:hAnsi="Times New Roman" w:eastAsia="宋体" w:cs="Times New Roman"/>
          <w:b/>
          <w:sz w:val="24"/>
        </w:rPr>
      </w:pPr>
      <w:r>
        <w:rPr>
          <w:rFonts w:hint="eastAsia" w:ascii="宋体" w:hAnsi="宋体" w:eastAsia="宋体" w:cs="Times New Roman"/>
          <w:b/>
          <w:sz w:val="24"/>
        </w:rPr>
        <w:t>课程名称：大学生职业生涯规划</w:t>
      </w:r>
    </w:p>
    <w:p w14:paraId="19B57B79">
      <w:pPr>
        <w:spacing w:line="360" w:lineRule="auto"/>
        <w:ind w:firstLine="482" w:firstLineChars="200"/>
        <w:jc w:val="left"/>
        <w:rPr>
          <w:rFonts w:ascii="Times New Roman" w:hAnsi="Times New Roman" w:eastAsia="宋体" w:cs="Times New Roman"/>
          <w:b/>
          <w:sz w:val="24"/>
        </w:rPr>
      </w:pPr>
      <w:r>
        <w:rPr>
          <w:rFonts w:hint="eastAsia" w:ascii="宋体" w:hAnsi="宋体" w:eastAsia="宋体" w:cs="Times New Roman"/>
          <w:b/>
          <w:sz w:val="24"/>
        </w:rPr>
        <w:t>课程代码：</w:t>
      </w:r>
      <w:r>
        <w:rPr>
          <w:rFonts w:hint="eastAsia" w:ascii="Times New Roman" w:hAnsi="Times New Roman" w:eastAsia="宋体" w:cs="Times New Roman"/>
          <w:b/>
          <w:sz w:val="24"/>
        </w:rPr>
        <w:t>0000006</w:t>
      </w:r>
    </w:p>
    <w:p w14:paraId="624E9703">
      <w:pPr>
        <w:spacing w:line="360" w:lineRule="auto"/>
        <w:ind w:firstLine="482" w:firstLineChars="200"/>
        <w:jc w:val="left"/>
        <w:rPr>
          <w:rFonts w:ascii="Times New Roman" w:hAnsi="Times New Roman" w:eastAsia="宋体" w:cs="Times New Roman"/>
          <w:b/>
          <w:sz w:val="24"/>
        </w:rPr>
      </w:pPr>
      <w:r>
        <w:rPr>
          <w:rFonts w:hint="eastAsia" w:ascii="宋体" w:hAnsi="宋体" w:eastAsia="宋体" w:cs="Times New Roman"/>
          <w:b/>
          <w:sz w:val="24"/>
        </w:rPr>
        <w:t>学</w:t>
      </w:r>
      <w:r>
        <w:rPr>
          <w:rFonts w:ascii="Times New Roman" w:hAnsi="Times New Roman" w:eastAsia="宋体" w:cs="Times New Roman"/>
          <w:b/>
          <w:sz w:val="24"/>
        </w:rPr>
        <w:t xml:space="preserve">    </w:t>
      </w:r>
      <w:r>
        <w:rPr>
          <w:rFonts w:ascii="宋体" w:hAnsi="宋体" w:eastAsia="宋体" w:cs="Times New Roman"/>
          <w:b/>
          <w:sz w:val="24"/>
        </w:rPr>
        <w:t>分：</w:t>
      </w:r>
      <w:r>
        <w:rPr>
          <w:rFonts w:hint="eastAsia" w:ascii="Times New Roman" w:hAnsi="Times New Roman" w:eastAsia="宋体" w:cs="Times New Roman"/>
          <w:b/>
          <w:sz w:val="24"/>
        </w:rPr>
        <w:t>1</w:t>
      </w:r>
    </w:p>
    <w:p w14:paraId="7C0447EB">
      <w:pPr>
        <w:spacing w:line="360" w:lineRule="auto"/>
        <w:ind w:firstLine="482" w:firstLineChars="200"/>
        <w:jc w:val="left"/>
        <w:rPr>
          <w:rFonts w:hint="eastAsia" w:ascii="Times New Roman" w:hAnsi="Times New Roman" w:eastAsia="宋体" w:cs="Times New Roman"/>
          <w:b/>
          <w:sz w:val="24"/>
        </w:rPr>
      </w:pPr>
      <w:r>
        <w:rPr>
          <w:rFonts w:hint="eastAsia" w:ascii="宋体" w:hAnsi="宋体" w:eastAsia="宋体" w:cs="Times New Roman"/>
          <w:b/>
          <w:sz w:val="24"/>
        </w:rPr>
        <w:t>学</w:t>
      </w:r>
      <w:r>
        <w:rPr>
          <w:rFonts w:ascii="Times New Roman" w:hAnsi="Times New Roman" w:eastAsia="宋体" w:cs="Times New Roman"/>
          <w:b/>
          <w:sz w:val="24"/>
        </w:rPr>
        <w:t xml:space="preserve">    </w:t>
      </w:r>
      <w:r>
        <w:rPr>
          <w:rFonts w:ascii="宋体" w:hAnsi="宋体" w:eastAsia="宋体" w:cs="Times New Roman"/>
          <w:b/>
          <w:sz w:val="24"/>
        </w:rPr>
        <w:t>时：</w:t>
      </w:r>
      <w:r>
        <w:rPr>
          <w:rFonts w:hint="eastAsia" w:ascii="Times New Roman" w:hAnsi="Times New Roman" w:eastAsia="宋体" w:cs="Times New Roman"/>
          <w:b/>
          <w:sz w:val="24"/>
        </w:rPr>
        <w:t>16</w:t>
      </w:r>
      <w:r>
        <w:rPr>
          <w:rFonts w:ascii="Times New Roman" w:hAnsi="Times New Roman" w:eastAsia="宋体" w:cs="Times New Roman"/>
          <w:b/>
          <w:sz w:val="24"/>
        </w:rPr>
        <w:t xml:space="preserve"> </w:t>
      </w:r>
      <w:r>
        <w:rPr>
          <w:rFonts w:ascii="宋体" w:hAnsi="宋体" w:eastAsia="宋体" w:cs="Times New Roman"/>
          <w:b/>
          <w:sz w:val="24"/>
        </w:rPr>
        <w:t>（其中：讲授学时</w:t>
      </w:r>
      <w:r>
        <w:rPr>
          <w:rFonts w:hint="eastAsia" w:ascii="Times New Roman" w:hAnsi="Times New Roman" w:eastAsia="宋体" w:cs="Times New Roman"/>
          <w:b/>
          <w:sz w:val="24"/>
        </w:rPr>
        <w:t>16</w:t>
      </w:r>
      <w:r>
        <w:rPr>
          <w:rFonts w:ascii="宋体" w:hAnsi="宋体" w:eastAsia="宋体" w:cs="Times New Roman"/>
          <w:b/>
          <w:sz w:val="24"/>
        </w:rPr>
        <w:t>）</w:t>
      </w:r>
    </w:p>
    <w:p w14:paraId="4B480FE9">
      <w:pPr>
        <w:spacing w:line="360" w:lineRule="auto"/>
        <w:ind w:firstLine="482" w:firstLineChars="200"/>
        <w:jc w:val="left"/>
        <w:rPr>
          <w:rFonts w:ascii="Times New Roman" w:hAnsi="Times New Roman" w:eastAsia="宋体" w:cs="Times New Roman"/>
          <w:b/>
          <w:sz w:val="24"/>
        </w:rPr>
      </w:pPr>
      <w:r>
        <w:rPr>
          <w:rFonts w:hint="eastAsia" w:ascii="宋体" w:hAnsi="宋体" w:eastAsia="宋体" w:cs="Times New Roman"/>
          <w:b/>
          <w:sz w:val="24"/>
        </w:rPr>
        <w:t>先修课程：无</w:t>
      </w:r>
    </w:p>
    <w:p w14:paraId="26973C22">
      <w:pPr>
        <w:spacing w:line="360" w:lineRule="auto"/>
        <w:ind w:firstLine="482" w:firstLineChars="200"/>
        <w:jc w:val="left"/>
        <w:rPr>
          <w:rFonts w:ascii="Times New Roman" w:hAnsi="Times New Roman" w:eastAsia="宋体" w:cs="Times New Roman"/>
          <w:sz w:val="24"/>
        </w:rPr>
      </w:pPr>
      <w:r>
        <w:rPr>
          <w:rFonts w:hint="eastAsia" w:ascii="宋体" w:hAnsi="宋体" w:eastAsia="宋体" w:cs="Times New Roman"/>
          <w:b/>
          <w:sz w:val="24"/>
        </w:rPr>
        <w:t>适用专业：小学教育（文）、小学教育（理）</w:t>
      </w:r>
    </w:p>
    <w:p w14:paraId="12EA99B4">
      <w:pPr>
        <w:spacing w:line="360" w:lineRule="auto"/>
        <w:jc w:val="left"/>
        <w:rPr>
          <w:rFonts w:ascii="Times New Roman" w:hAnsi="Times New Roman" w:eastAsia="宋体" w:cs="Times New Roman"/>
          <w:b/>
          <w:sz w:val="24"/>
        </w:rPr>
      </w:pPr>
      <w:r>
        <w:rPr>
          <w:rFonts w:ascii="Times New Roman" w:hAnsi="Times New Roman" w:eastAsia="宋体" w:cs="Times New Roman"/>
          <w:b/>
          <w:sz w:val="24"/>
        </w:rPr>
        <w:t xml:space="preserve"> </w:t>
      </w:r>
    </w:p>
    <w:p w14:paraId="4D174E74">
      <w:pPr>
        <w:spacing w:line="360" w:lineRule="auto"/>
        <w:jc w:val="left"/>
        <w:rPr>
          <w:rFonts w:ascii="Times New Roman" w:hAnsi="Times New Roman" w:eastAsia="宋体" w:cs="Times New Roman"/>
          <w:sz w:val="24"/>
        </w:rPr>
      </w:pPr>
      <w:r>
        <w:rPr>
          <w:rFonts w:hint="eastAsia" w:ascii="宋体" w:hAnsi="宋体" w:eastAsia="宋体" w:cs="Times New Roman"/>
          <w:b/>
          <w:sz w:val="24"/>
        </w:rPr>
        <w:t>一、课程简介</w:t>
      </w:r>
    </w:p>
    <w:p w14:paraId="12299D99">
      <w:pPr>
        <w:spacing w:line="360" w:lineRule="auto"/>
        <w:ind w:firstLine="420" w:firstLineChars="200"/>
        <w:jc w:val="left"/>
        <w:rPr>
          <w:rFonts w:ascii="Times New Roman" w:hAnsi="Times New Roman" w:eastAsia="宋体" w:cs="Times New Roman"/>
          <w:szCs w:val="21"/>
        </w:rPr>
      </w:pPr>
      <w:r>
        <w:rPr>
          <w:rFonts w:hint="eastAsia" w:ascii="宋体" w:hAnsi="宋体" w:eastAsia="宋体" w:cs="Times New Roman"/>
          <w:szCs w:val="21"/>
        </w:rPr>
        <w:t>本课程是面向全体本科专业开设的通识必修课。通过本课程的学习，唤醒学生的生涯规划意识，并通过理论知识的讲解、生涯工具的使用，帮助学生明确性格类型，并进行初步的职业探索，对本专业今后的就业做出合理的职业发展规划，为后续专业课程及专业实践环节奠定基础。</w:t>
      </w:r>
    </w:p>
    <w:p w14:paraId="618FA7CF">
      <w:pPr>
        <w:spacing w:line="360" w:lineRule="auto"/>
        <w:ind w:firstLine="482" w:firstLineChars="200"/>
        <w:jc w:val="left"/>
        <w:rPr>
          <w:rFonts w:ascii="Times New Roman" w:hAnsi="Times New Roman" w:eastAsia="宋体" w:cs="Times New Roman"/>
          <w:sz w:val="24"/>
        </w:rPr>
      </w:pPr>
      <w:r>
        <w:rPr>
          <w:rFonts w:hint="eastAsia" w:ascii="宋体" w:hAnsi="宋体" w:eastAsia="宋体" w:cs="Times New Roman"/>
          <w:b/>
          <w:color w:val="000000"/>
          <w:sz w:val="24"/>
        </w:rPr>
        <w:t>二、课程目标</w:t>
      </w:r>
    </w:p>
    <w:p w14:paraId="5F259700">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01EBCEE">
      <w:pPr>
        <w:spacing w:line="360" w:lineRule="auto"/>
        <w:ind w:firstLine="420" w:firstLineChars="200"/>
        <w:jc w:val="left"/>
        <w:rPr>
          <w:rFonts w:hint="eastAsia" w:ascii="Times New Roman" w:hAnsi="Times New Roman" w:eastAsia="宋体" w:cs="Times New Roman"/>
          <w:szCs w:val="21"/>
        </w:rPr>
      </w:pPr>
      <w:r>
        <w:rPr>
          <w:rFonts w:hint="eastAsia" w:ascii="宋体" w:hAnsi="宋体" w:eastAsia="宋体" w:cs="Times New Roman"/>
          <w:szCs w:val="21"/>
        </w:rPr>
        <w:t>目标</w:t>
      </w:r>
      <w:r>
        <w:rPr>
          <w:rFonts w:ascii="Times New Roman" w:hAnsi="Times New Roman" w:eastAsia="宋体" w:cs="Times New Roman"/>
          <w:szCs w:val="21"/>
        </w:rPr>
        <w:t>1.</w:t>
      </w:r>
      <w:r>
        <w:rPr>
          <w:rFonts w:hint="eastAsia" w:ascii="宋体" w:hAnsi="宋体" w:eastAsia="宋体" w:cs="Times New Roman"/>
          <w:szCs w:val="21"/>
        </w:rPr>
        <w:t>能够从职业的角度了解所学专业、了解个人特点、了解社会需要，树立正确的职业理想和职业观、择业观、创业观以及成才观。</w:t>
      </w:r>
    </w:p>
    <w:p w14:paraId="7642DFCF">
      <w:pPr>
        <w:spacing w:line="360" w:lineRule="auto"/>
        <w:ind w:firstLine="420" w:firstLineChars="200"/>
        <w:jc w:val="left"/>
        <w:rPr>
          <w:rFonts w:ascii="Times New Roman" w:hAnsi="Times New Roman" w:eastAsia="宋体" w:cs="Times New Roman"/>
          <w:szCs w:val="21"/>
        </w:rPr>
      </w:pPr>
      <w:r>
        <w:rPr>
          <w:rFonts w:hint="eastAsia" w:ascii="宋体" w:hAnsi="宋体" w:eastAsia="宋体" w:cs="Times New Roman"/>
          <w:szCs w:val="21"/>
        </w:rPr>
        <w:t>目标</w:t>
      </w:r>
      <w:r>
        <w:rPr>
          <w:rFonts w:ascii="Times New Roman" w:hAnsi="Times New Roman" w:eastAsia="宋体" w:cs="Times New Roman"/>
          <w:szCs w:val="21"/>
        </w:rPr>
        <w:t>2.</w:t>
      </w:r>
      <w:r>
        <w:rPr>
          <w:rFonts w:hint="eastAsia" w:ascii="宋体" w:hAnsi="宋体" w:eastAsia="宋体" w:cs="Times New Roman"/>
          <w:szCs w:val="21"/>
        </w:rPr>
        <w:t>理解职业生涯规划管理和调整对实现职业理想的重要性，明确在校学习与终身学习、职业生涯发展的关系，增强提高职业素质和职业能力的自觉性。</w:t>
      </w:r>
    </w:p>
    <w:p w14:paraId="7E90F0DF">
      <w:pPr>
        <w:spacing w:line="360" w:lineRule="auto"/>
        <w:ind w:firstLine="420" w:firstLineChars="200"/>
        <w:jc w:val="left"/>
        <w:rPr>
          <w:rFonts w:ascii="Times New Roman" w:hAnsi="Times New Roman" w:eastAsia="宋体" w:cs="Times New Roman"/>
          <w:szCs w:val="21"/>
        </w:rPr>
      </w:pPr>
      <w:r>
        <w:rPr>
          <w:rFonts w:hint="eastAsia" w:ascii="宋体" w:hAnsi="宋体" w:eastAsia="宋体" w:cs="Times New Roman"/>
          <w:szCs w:val="21"/>
        </w:rPr>
        <w:t>目标</w:t>
      </w:r>
      <w:r>
        <w:rPr>
          <w:rFonts w:hint="eastAsia" w:ascii="Times New Roman" w:hAnsi="Times New Roman" w:eastAsia="宋体" w:cs="Times New Roman"/>
          <w:szCs w:val="21"/>
        </w:rPr>
        <w:t xml:space="preserve">3. </w:t>
      </w:r>
      <w:r>
        <w:rPr>
          <w:rFonts w:hint="eastAsia" w:ascii="宋体" w:hAnsi="宋体" w:eastAsia="宋体" w:cs="Times New Roman"/>
          <w:szCs w:val="21"/>
        </w:rPr>
        <w:t>理解大学生职业生涯发展的基础理论体系，掌握职业生涯规划的基础知识和常用方法，能科学合理进行职业生涯规划，能够根据经济社会发展和自身条件变化，对职业生涯规划进行科学管理与适时调整。</w:t>
      </w:r>
    </w:p>
    <w:p w14:paraId="197591C7">
      <w:pPr>
        <w:spacing w:before="156" w:beforeLines="50" w:after="156" w:afterLines="50" w:line="360" w:lineRule="auto"/>
        <w:jc w:val="left"/>
        <w:rPr>
          <w:rFonts w:hint="eastAsia" w:ascii="Times New Roman" w:hAnsi="Times New Roman" w:eastAsia="宋体" w:cs="Times New Roman"/>
          <w:b/>
          <w:bCs/>
          <w:szCs w:val="21"/>
        </w:rPr>
      </w:pPr>
      <w:r>
        <w:rPr>
          <w:rFonts w:hint="eastAsia" w:ascii="宋体" w:hAnsi="宋体" w:eastAsia="宋体" w:cs="Times New Roman"/>
          <w:b/>
          <w:bCs/>
          <w:szCs w:val="21"/>
        </w:rPr>
        <w:t>（二）课程目标及其对毕业要求指标点的支撑</w:t>
      </w:r>
    </w:p>
    <w:tbl>
      <w:tblPr>
        <w:tblStyle w:val="4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42"/>
        <w:gridCol w:w="6095"/>
        <w:gridCol w:w="1327"/>
      </w:tblGrid>
      <w:tr w14:paraId="254D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14:paraId="4E662F06">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毕业要求</w:t>
            </w:r>
          </w:p>
        </w:tc>
        <w:tc>
          <w:tcPr>
            <w:tcW w:w="6237" w:type="dxa"/>
            <w:gridSpan w:val="2"/>
            <w:tcBorders>
              <w:top w:val="single" w:color="auto" w:sz="4" w:space="0"/>
              <w:left w:val="single" w:color="auto" w:sz="4" w:space="0"/>
              <w:bottom w:val="single" w:color="auto" w:sz="4" w:space="0"/>
              <w:right w:val="single" w:color="auto" w:sz="4" w:space="0"/>
            </w:tcBorders>
            <w:vAlign w:val="center"/>
          </w:tcPr>
          <w:p w14:paraId="4126C7B4">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毕业要求指标点</w:t>
            </w:r>
          </w:p>
        </w:tc>
        <w:tc>
          <w:tcPr>
            <w:tcW w:w="1327" w:type="dxa"/>
            <w:tcBorders>
              <w:top w:val="single" w:color="auto" w:sz="4" w:space="0"/>
              <w:left w:val="single" w:color="auto" w:sz="4" w:space="0"/>
              <w:bottom w:val="single" w:color="auto" w:sz="4" w:space="0"/>
              <w:right w:val="single" w:color="auto" w:sz="4" w:space="0"/>
            </w:tcBorders>
            <w:vAlign w:val="center"/>
          </w:tcPr>
          <w:p w14:paraId="07C82C05">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课程目标</w:t>
            </w:r>
          </w:p>
        </w:tc>
      </w:tr>
      <w:tr w14:paraId="186D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14:paraId="27E6F415">
            <w:pPr>
              <w:spacing w:line="273" w:lineRule="auto"/>
              <w:jc w:val="center"/>
              <w:rPr>
                <w:rFonts w:ascii="宋体" w:hAnsi="宋体" w:eastAsia="宋体" w:cs="Times New Roman"/>
                <w:szCs w:val="21"/>
              </w:rPr>
            </w:pPr>
            <w:r>
              <w:rPr>
                <w:rFonts w:hint="eastAsia" w:ascii="宋体" w:hAnsi="宋体" w:eastAsia="宋体" w:cs="Times New Roman"/>
                <w:szCs w:val="21"/>
              </w:rPr>
              <w:t>毕业要求1：师德规范</w:t>
            </w:r>
          </w:p>
        </w:tc>
        <w:tc>
          <w:tcPr>
            <w:tcW w:w="6095" w:type="dxa"/>
            <w:tcBorders>
              <w:top w:val="single" w:color="auto" w:sz="4" w:space="0"/>
              <w:left w:val="single" w:color="auto" w:sz="4" w:space="0"/>
              <w:bottom w:val="single" w:color="auto" w:sz="4" w:space="0"/>
              <w:right w:val="single" w:color="auto" w:sz="4" w:space="0"/>
            </w:tcBorders>
            <w:vAlign w:val="center"/>
          </w:tcPr>
          <w:p w14:paraId="622E900F">
            <w:pPr>
              <w:widowControl/>
              <w:autoSpaceDE w:val="0"/>
              <w:autoSpaceDN w:val="0"/>
              <w:rPr>
                <w:rFonts w:hint="eastAsia" w:ascii="宋体" w:hAnsi="宋体" w:eastAsia="宋体" w:cs="Times New Roman"/>
                <w:kern w:val="0"/>
                <w:szCs w:val="21"/>
              </w:rPr>
            </w:pPr>
            <w:r>
              <w:rPr>
                <w:rFonts w:hint="eastAsia" w:ascii="宋体" w:hAnsi="宋体" w:eastAsia="宋体" w:cs="Times New Roman"/>
                <w:kern w:val="0"/>
                <w:szCs w:val="21"/>
              </w:rPr>
              <w:t>指标点</w:t>
            </w:r>
            <w:r>
              <w:rPr>
                <w:rFonts w:hint="eastAsia" w:ascii="宋体" w:hAnsi="宋体" w:eastAsia="宋体" w:cs="Times New Roman"/>
                <w:szCs w:val="21"/>
              </w:rPr>
              <w:t>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327" w:type="dxa"/>
            <w:tcBorders>
              <w:top w:val="single" w:color="auto" w:sz="4" w:space="0"/>
              <w:left w:val="single" w:color="auto" w:sz="4" w:space="0"/>
              <w:bottom w:val="single" w:color="auto" w:sz="4" w:space="0"/>
              <w:right w:val="single" w:color="auto" w:sz="4" w:space="0"/>
            </w:tcBorders>
            <w:vAlign w:val="center"/>
          </w:tcPr>
          <w:p w14:paraId="2F5985C3">
            <w:pPr>
              <w:spacing w:line="273" w:lineRule="auto"/>
              <w:jc w:val="left"/>
              <w:rPr>
                <w:rFonts w:hint="eastAsia" w:ascii="Times New Roman" w:hAnsi="Times New Roman" w:eastAsia="宋体" w:cs="Times New Roman"/>
                <w:szCs w:val="21"/>
              </w:rPr>
            </w:pPr>
            <w:r>
              <w:rPr>
                <w:rFonts w:hint="eastAsia" w:ascii="宋体" w:hAnsi="宋体" w:eastAsia="宋体" w:cs="Times New Roman"/>
                <w:szCs w:val="21"/>
              </w:rPr>
              <w:t>课程目标</w:t>
            </w:r>
            <w:r>
              <w:rPr>
                <w:rFonts w:ascii="Times New Roman" w:hAnsi="Times New Roman" w:eastAsia="宋体" w:cs="Times New Roman"/>
                <w:szCs w:val="21"/>
              </w:rPr>
              <w:t>1</w:t>
            </w:r>
          </w:p>
        </w:tc>
      </w:tr>
      <w:tr w14:paraId="2E8C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14:paraId="367F086E">
            <w:pPr>
              <w:spacing w:line="273" w:lineRule="auto"/>
              <w:jc w:val="center"/>
              <w:rPr>
                <w:rFonts w:ascii="宋体" w:hAnsi="宋体" w:eastAsia="宋体" w:cs="Times New Roman"/>
                <w:szCs w:val="21"/>
              </w:rPr>
            </w:pPr>
            <w:r>
              <w:rPr>
                <w:rFonts w:hint="eastAsia" w:ascii="宋体" w:hAnsi="宋体" w:eastAsia="宋体" w:cs="Times New Roman"/>
                <w:szCs w:val="21"/>
              </w:rPr>
              <w:t>毕业要求2：教育情怀</w:t>
            </w:r>
          </w:p>
        </w:tc>
        <w:tc>
          <w:tcPr>
            <w:tcW w:w="6095" w:type="dxa"/>
            <w:tcBorders>
              <w:top w:val="single" w:color="auto" w:sz="4" w:space="0"/>
              <w:left w:val="single" w:color="auto" w:sz="4" w:space="0"/>
              <w:bottom w:val="single" w:color="auto" w:sz="4" w:space="0"/>
              <w:right w:val="single" w:color="auto" w:sz="4" w:space="0"/>
            </w:tcBorders>
            <w:vAlign w:val="center"/>
          </w:tcPr>
          <w:p w14:paraId="42732719">
            <w:pPr>
              <w:spacing w:line="273" w:lineRule="auto"/>
              <w:jc w:val="left"/>
              <w:rPr>
                <w:rFonts w:hint="eastAsia" w:ascii="宋体" w:hAnsi="宋体" w:eastAsia="宋体" w:cs="Times New Roman"/>
                <w:szCs w:val="21"/>
              </w:rPr>
            </w:pPr>
            <w:r>
              <w:rPr>
                <w:rFonts w:hint="eastAsia" w:ascii="宋体" w:hAnsi="宋体" w:eastAsia="宋体" w:cs="Times New Roman"/>
                <w:kern w:val="0"/>
                <w:szCs w:val="21"/>
              </w:rPr>
              <w:t>指标点</w:t>
            </w:r>
            <w:r>
              <w:rPr>
                <w:rFonts w:hint="eastAsia" w:ascii="宋体" w:hAnsi="宋体" w:eastAsia="宋体" w:cs="Times New Roman"/>
                <w:szCs w:val="21"/>
              </w:rPr>
              <w:t>2-1：【职业认同感强】</w:t>
            </w:r>
            <w:r>
              <w:rPr>
                <w:rFonts w:hint="eastAsia" w:ascii="宋体" w:hAnsi="宋体" w:eastAsia="宋体" w:cs="Times New Roman"/>
                <w:sz w:val="20"/>
                <w:szCs w:val="20"/>
              </w:rPr>
              <w:t>具有家国情怀，热爱教育事业，秉持“坚忍诚勇，立己达人”的师范精神，践行教育家精神，乐于从教，热爱教育事业，具有较高的教师职业认同感，认同教师职业的意义、价值与专业性。</w:t>
            </w:r>
          </w:p>
        </w:tc>
        <w:tc>
          <w:tcPr>
            <w:tcW w:w="1327" w:type="dxa"/>
            <w:tcBorders>
              <w:top w:val="single" w:color="auto" w:sz="4" w:space="0"/>
              <w:left w:val="single" w:color="auto" w:sz="4" w:space="0"/>
              <w:bottom w:val="single" w:color="auto" w:sz="4" w:space="0"/>
              <w:right w:val="single" w:color="auto" w:sz="4" w:space="0"/>
            </w:tcBorders>
            <w:vAlign w:val="center"/>
          </w:tcPr>
          <w:p w14:paraId="56AFBA54">
            <w:pPr>
              <w:spacing w:line="273" w:lineRule="auto"/>
              <w:jc w:val="left"/>
              <w:rPr>
                <w:rFonts w:hint="eastAsia" w:ascii="Times New Roman" w:hAnsi="Times New Roman" w:eastAsia="宋体" w:cs="Times New Roman"/>
                <w:szCs w:val="21"/>
              </w:rPr>
            </w:pPr>
            <w:r>
              <w:rPr>
                <w:rFonts w:hint="eastAsia" w:ascii="宋体" w:hAnsi="宋体" w:eastAsia="宋体" w:cs="Times New Roman"/>
                <w:szCs w:val="21"/>
              </w:rPr>
              <w:t>课程目标</w:t>
            </w:r>
            <w:r>
              <w:rPr>
                <w:rFonts w:ascii="Times New Roman" w:hAnsi="Times New Roman" w:eastAsia="宋体" w:cs="Times New Roman"/>
                <w:szCs w:val="21"/>
              </w:rPr>
              <w:t>2</w:t>
            </w:r>
          </w:p>
        </w:tc>
      </w:tr>
      <w:tr w14:paraId="153C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14:paraId="4F59AB2A">
            <w:pPr>
              <w:spacing w:line="273" w:lineRule="auto"/>
              <w:jc w:val="center"/>
              <w:rPr>
                <w:rFonts w:ascii="宋体" w:hAnsi="宋体" w:eastAsia="宋体" w:cs="Times New Roman"/>
                <w:szCs w:val="21"/>
              </w:rPr>
            </w:pPr>
            <w:r>
              <w:rPr>
                <w:rFonts w:hint="eastAsia" w:ascii="宋体" w:hAnsi="宋体" w:eastAsia="宋体" w:cs="Times New Roman"/>
                <w:szCs w:val="21"/>
              </w:rPr>
              <w:t>毕业要求7：学会反思</w:t>
            </w:r>
          </w:p>
        </w:tc>
        <w:tc>
          <w:tcPr>
            <w:tcW w:w="6095" w:type="dxa"/>
            <w:tcBorders>
              <w:top w:val="single" w:color="auto" w:sz="4" w:space="0"/>
              <w:left w:val="single" w:color="auto" w:sz="4" w:space="0"/>
              <w:bottom w:val="single" w:color="auto" w:sz="4" w:space="0"/>
              <w:right w:val="single" w:color="auto" w:sz="4" w:space="0"/>
            </w:tcBorders>
            <w:vAlign w:val="center"/>
          </w:tcPr>
          <w:p w14:paraId="3E085541">
            <w:pPr>
              <w:spacing w:line="273" w:lineRule="auto"/>
              <w:jc w:val="left"/>
              <w:rPr>
                <w:rFonts w:hint="eastAsia" w:ascii="宋体" w:hAnsi="宋体" w:eastAsia="宋体" w:cs="Times New Roman"/>
                <w:szCs w:val="21"/>
              </w:rPr>
            </w:pPr>
            <w:r>
              <w:rPr>
                <w:rFonts w:hint="eastAsia" w:ascii="宋体" w:hAnsi="宋体" w:eastAsia="宋体" w:cs="Times New Roman"/>
                <w:color w:val="000000"/>
                <w:spacing w:val="2"/>
                <w:kern w:val="0"/>
                <w:szCs w:val="21"/>
              </w:rPr>
              <w:t>指标点7-2：【职业规划合理】了解教师专业发展的要求，形成终身学习的意识和习惯，注重自身的专业发展，根据基础教育课程改革的动态和发展情况，进行职业生涯规划和自主学习。</w:t>
            </w:r>
          </w:p>
        </w:tc>
        <w:tc>
          <w:tcPr>
            <w:tcW w:w="1327" w:type="dxa"/>
            <w:tcBorders>
              <w:top w:val="single" w:color="auto" w:sz="4" w:space="0"/>
              <w:left w:val="single" w:color="auto" w:sz="4" w:space="0"/>
              <w:bottom w:val="single" w:color="auto" w:sz="4" w:space="0"/>
              <w:right w:val="single" w:color="auto" w:sz="4" w:space="0"/>
            </w:tcBorders>
            <w:vAlign w:val="center"/>
          </w:tcPr>
          <w:p w14:paraId="60BB8723">
            <w:pPr>
              <w:spacing w:line="273" w:lineRule="auto"/>
              <w:jc w:val="left"/>
              <w:rPr>
                <w:rFonts w:hint="eastAsia" w:ascii="Times New Roman" w:hAnsi="Times New Roman" w:eastAsia="宋体" w:cs="Times New Roman"/>
                <w:szCs w:val="21"/>
              </w:rPr>
            </w:pPr>
            <w:r>
              <w:rPr>
                <w:rFonts w:hint="eastAsia" w:ascii="宋体" w:hAnsi="宋体" w:eastAsia="宋体" w:cs="Times New Roman"/>
                <w:szCs w:val="21"/>
              </w:rPr>
              <w:t>课程目标</w:t>
            </w:r>
            <w:r>
              <w:rPr>
                <w:rFonts w:ascii="Times New Roman" w:hAnsi="Times New Roman" w:eastAsia="宋体" w:cs="Times New Roman"/>
                <w:szCs w:val="21"/>
              </w:rPr>
              <w:t>3</w:t>
            </w:r>
          </w:p>
        </w:tc>
      </w:tr>
    </w:tbl>
    <w:p w14:paraId="4168D686">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6DFA9D9B">
      <w:pPr>
        <w:spacing w:before="156" w:beforeLines="50" w:line="360" w:lineRule="auto"/>
        <w:ind w:firstLine="420" w:firstLineChars="200"/>
        <w:jc w:val="left"/>
        <w:rPr>
          <w:rFonts w:hint="eastAsia" w:ascii="宋体" w:hAnsi="宋体" w:eastAsia="宋体" w:cs="Times New Roman"/>
          <w:b/>
          <w:color w:val="000000"/>
          <w:szCs w:val="21"/>
        </w:rPr>
      </w:pPr>
      <w:r>
        <w:rPr>
          <w:rFonts w:hint="eastAsia" w:ascii="宋体" w:hAnsi="宋体" w:eastAsia="宋体" w:cs="Times New Roman"/>
          <w:szCs w:val="21"/>
        </w:rPr>
        <w:t>立足本人实际，把个人发展和经济社会发展结合起来，热爱专业，树立正确的职业观和成才观，增强职业生涯成功的自信心。</w:t>
      </w:r>
    </w:p>
    <w:p w14:paraId="427D35B9">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44"/>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704"/>
        <w:gridCol w:w="1135"/>
        <w:gridCol w:w="3266"/>
        <w:gridCol w:w="1563"/>
        <w:gridCol w:w="442"/>
      </w:tblGrid>
      <w:tr w14:paraId="0BA1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82" w:type="dxa"/>
            <w:tcBorders>
              <w:top w:val="single" w:color="auto" w:sz="4" w:space="0"/>
              <w:left w:val="single" w:color="auto" w:sz="4" w:space="0"/>
              <w:bottom w:val="single" w:color="auto" w:sz="4" w:space="0"/>
              <w:right w:val="single" w:color="auto" w:sz="4" w:space="0"/>
            </w:tcBorders>
            <w:vAlign w:val="center"/>
          </w:tcPr>
          <w:p w14:paraId="5882E22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302A09B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4" w:type="dxa"/>
            <w:tcBorders>
              <w:top w:val="single" w:color="auto" w:sz="4" w:space="0"/>
              <w:left w:val="single" w:color="auto" w:sz="4" w:space="0"/>
              <w:bottom w:val="single" w:color="auto" w:sz="4" w:space="0"/>
              <w:right w:val="single" w:color="auto" w:sz="4" w:space="0"/>
            </w:tcBorders>
            <w:vAlign w:val="center"/>
          </w:tcPr>
          <w:p w14:paraId="57C3A9B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5" w:type="dxa"/>
            <w:tcBorders>
              <w:top w:val="single" w:color="auto" w:sz="4" w:space="0"/>
              <w:left w:val="single" w:color="auto" w:sz="4" w:space="0"/>
              <w:bottom w:val="single" w:color="auto" w:sz="4" w:space="0"/>
              <w:right w:val="single" w:color="auto" w:sz="4" w:space="0"/>
            </w:tcBorders>
            <w:vAlign w:val="center"/>
          </w:tcPr>
          <w:p w14:paraId="0853A5F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C1269D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6" w:type="dxa"/>
            <w:tcBorders>
              <w:top w:val="single" w:color="auto" w:sz="4" w:space="0"/>
              <w:left w:val="single" w:color="auto" w:sz="4" w:space="0"/>
              <w:bottom w:val="single" w:color="auto" w:sz="4" w:space="0"/>
              <w:right w:val="single" w:color="auto" w:sz="4" w:space="0"/>
            </w:tcBorders>
            <w:vAlign w:val="center"/>
          </w:tcPr>
          <w:p w14:paraId="3974368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3" w:type="dxa"/>
            <w:tcBorders>
              <w:top w:val="single" w:color="auto" w:sz="4" w:space="0"/>
              <w:left w:val="single" w:color="auto" w:sz="4" w:space="0"/>
              <w:bottom w:val="single" w:color="auto" w:sz="4" w:space="0"/>
              <w:right w:val="single" w:color="auto" w:sz="4" w:space="0"/>
            </w:tcBorders>
            <w:vAlign w:val="center"/>
          </w:tcPr>
          <w:p w14:paraId="3A5C9A7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42" w:type="dxa"/>
            <w:tcBorders>
              <w:top w:val="single" w:color="auto" w:sz="4" w:space="0"/>
              <w:left w:val="single" w:color="auto" w:sz="4" w:space="0"/>
              <w:bottom w:val="single" w:color="auto" w:sz="4" w:space="0"/>
              <w:right w:val="single" w:color="auto" w:sz="4" w:space="0"/>
            </w:tcBorders>
            <w:vAlign w:val="center"/>
          </w:tcPr>
          <w:p w14:paraId="0D9E43F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6153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182" w:type="dxa"/>
            <w:vMerge w:val="restart"/>
            <w:tcBorders>
              <w:top w:val="nil"/>
              <w:left w:val="single" w:color="auto" w:sz="4" w:space="0"/>
              <w:bottom w:val="single" w:color="auto" w:sz="4" w:space="0"/>
              <w:right w:val="single" w:color="auto" w:sz="4" w:space="0"/>
            </w:tcBorders>
            <w:vAlign w:val="center"/>
          </w:tcPr>
          <w:p w14:paraId="3AD527E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等线" w:hAnsi="等线" w:eastAsia="等线" w:cs="Times New Roman"/>
                <w:szCs w:val="21"/>
              </w:rPr>
              <w:t xml:space="preserve"> </w:t>
            </w:r>
            <w:r>
              <w:rPr>
                <w:rFonts w:hint="eastAsia" w:ascii="宋体" w:hAnsi="宋体" w:eastAsia="宋体" w:cs="Times New Roman"/>
                <w:color w:val="000000"/>
                <w:szCs w:val="21"/>
              </w:rPr>
              <w:t>觉知与承诺</w:t>
            </w:r>
          </w:p>
        </w:tc>
        <w:tc>
          <w:tcPr>
            <w:tcW w:w="1704" w:type="dxa"/>
            <w:tcBorders>
              <w:top w:val="single" w:color="auto" w:sz="4" w:space="0"/>
              <w:left w:val="single" w:color="auto" w:sz="4" w:space="0"/>
              <w:bottom w:val="single" w:color="auto" w:sz="4" w:space="0"/>
              <w:right w:val="single" w:color="auto" w:sz="4" w:space="0"/>
            </w:tcBorders>
            <w:vAlign w:val="center"/>
          </w:tcPr>
          <w:p w14:paraId="1E6904EA">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（1）什么是职业生涯规划（What）。</w:t>
            </w:r>
          </w:p>
          <w:p w14:paraId="3DEE54BB">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（2）职业生涯规划的方法（How）。</w:t>
            </w:r>
          </w:p>
          <w:p w14:paraId="7B356DF6">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（3）职业生涯规划对人生的意义（Why）。</w:t>
            </w:r>
          </w:p>
        </w:tc>
        <w:tc>
          <w:tcPr>
            <w:tcW w:w="1135" w:type="dxa"/>
            <w:tcBorders>
              <w:top w:val="single" w:color="auto" w:sz="4" w:space="0"/>
              <w:left w:val="single" w:color="auto" w:sz="4" w:space="0"/>
              <w:bottom w:val="single" w:color="auto" w:sz="4" w:space="0"/>
              <w:right w:val="single" w:color="auto" w:sz="4" w:space="0"/>
            </w:tcBorders>
            <w:vAlign w:val="center"/>
          </w:tcPr>
          <w:p w14:paraId="4BC86303">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tcBorders>
              <w:top w:val="single" w:color="auto" w:sz="4" w:space="0"/>
              <w:left w:val="single" w:color="auto" w:sz="4" w:space="0"/>
              <w:bottom w:val="single" w:color="auto" w:sz="4" w:space="0"/>
              <w:right w:val="single" w:color="auto" w:sz="4" w:space="0"/>
            </w:tcBorders>
            <w:vAlign w:val="center"/>
          </w:tcPr>
          <w:p w14:paraId="618B529D">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（1）理解生涯规划的基本理念。</w:t>
            </w:r>
          </w:p>
          <w:p w14:paraId="38ED39C9">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（2）了解学生生涯规划的方法。</w:t>
            </w:r>
          </w:p>
          <w:p w14:paraId="7FCEAB4F">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（3）理解职业生涯规划的意义。</w:t>
            </w:r>
          </w:p>
        </w:tc>
        <w:tc>
          <w:tcPr>
            <w:tcW w:w="1563" w:type="dxa"/>
            <w:tcBorders>
              <w:top w:val="single" w:color="auto" w:sz="4" w:space="0"/>
              <w:left w:val="single" w:color="auto" w:sz="4" w:space="0"/>
              <w:bottom w:val="single" w:color="auto" w:sz="4" w:space="0"/>
              <w:right w:val="single" w:color="auto" w:sz="4" w:space="0"/>
            </w:tcBorders>
            <w:vAlign w:val="center"/>
          </w:tcPr>
          <w:p w14:paraId="368EE6FE">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23406A54">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793BDA00">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3.自主学习</w:t>
            </w:r>
          </w:p>
        </w:tc>
        <w:tc>
          <w:tcPr>
            <w:tcW w:w="442" w:type="dxa"/>
            <w:tcBorders>
              <w:top w:val="single" w:color="auto" w:sz="4" w:space="0"/>
              <w:left w:val="single" w:color="auto" w:sz="4" w:space="0"/>
              <w:bottom w:val="single" w:color="auto" w:sz="4" w:space="0"/>
              <w:right w:val="single" w:color="auto" w:sz="4" w:space="0"/>
            </w:tcBorders>
            <w:vAlign w:val="center"/>
          </w:tcPr>
          <w:p w14:paraId="082728C4">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0E29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5ED21D59">
            <w:pPr>
              <w:widowControl/>
              <w:jc w:val="left"/>
              <w:rPr>
                <w:rFonts w:ascii="宋体" w:hAnsi="宋体" w:eastAsia="宋体" w:cs="Times New Roman"/>
                <w:color w:val="000000"/>
                <w:szCs w:val="21"/>
              </w:rPr>
            </w:pPr>
          </w:p>
        </w:tc>
        <w:tc>
          <w:tcPr>
            <w:tcW w:w="8110" w:type="dxa"/>
            <w:gridSpan w:val="5"/>
            <w:tcBorders>
              <w:top w:val="single" w:color="auto" w:sz="4" w:space="0"/>
              <w:left w:val="single" w:color="auto" w:sz="4" w:space="0"/>
              <w:bottom w:val="single" w:color="auto" w:sz="4" w:space="0"/>
              <w:right w:val="single" w:color="auto" w:sz="4" w:space="0"/>
            </w:tcBorders>
            <w:vAlign w:val="center"/>
          </w:tcPr>
          <w:p w14:paraId="3DBCC6F5">
            <w:pPr>
              <w:spacing w:line="268"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课程思政目标：（1）</w:t>
            </w:r>
            <w:r>
              <w:rPr>
                <w:rFonts w:hint="eastAsia" w:ascii="宋体" w:hAnsi="宋体" w:eastAsia="宋体" w:cs="Times New Roman"/>
                <w:color w:val="000000"/>
                <w:szCs w:val="21"/>
              </w:rPr>
              <w:t>理解职业规划的积极意义；（2）进一步巩固专业思想，强化专业情怀。</w:t>
            </w:r>
          </w:p>
        </w:tc>
      </w:tr>
      <w:tr w14:paraId="3048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182" w:type="dxa"/>
            <w:vMerge w:val="restart"/>
            <w:tcBorders>
              <w:top w:val="nil"/>
              <w:left w:val="single" w:color="auto" w:sz="4" w:space="0"/>
              <w:bottom w:val="single" w:color="auto" w:sz="4" w:space="0"/>
              <w:right w:val="single" w:color="auto" w:sz="4" w:space="0"/>
            </w:tcBorders>
            <w:vAlign w:val="center"/>
          </w:tcPr>
          <w:p w14:paraId="6A27884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等线" w:hAnsi="等线" w:eastAsia="等线" w:cs="Times New Roman"/>
                <w:szCs w:val="21"/>
              </w:rPr>
              <w:t xml:space="preserve"> </w:t>
            </w:r>
            <w:r>
              <w:rPr>
                <w:rFonts w:hint="eastAsia" w:ascii="宋体" w:hAnsi="宋体" w:eastAsia="宋体" w:cs="Times New Roman"/>
                <w:color w:val="000000"/>
                <w:szCs w:val="21"/>
              </w:rPr>
              <w:t>兴趣探索与性格探索</w:t>
            </w:r>
          </w:p>
        </w:tc>
        <w:tc>
          <w:tcPr>
            <w:tcW w:w="1704" w:type="dxa"/>
            <w:tcBorders>
              <w:top w:val="single" w:color="auto" w:sz="4" w:space="0"/>
              <w:left w:val="single" w:color="auto" w:sz="4" w:space="0"/>
              <w:bottom w:val="single" w:color="auto" w:sz="4" w:space="0"/>
              <w:right w:val="single" w:color="auto" w:sz="4" w:space="0"/>
            </w:tcBorders>
            <w:vAlign w:val="center"/>
          </w:tcPr>
          <w:p w14:paraId="09A4DEC6">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（1）兴趣与技能、职业兴趣的分类、职业兴趣与职业匹配、职业兴趣的评估方式。</w:t>
            </w:r>
          </w:p>
          <w:p w14:paraId="1502FB85">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（2）性格的定义、性格的分类、性格与职业的匹配、性格的评估方式。</w:t>
            </w:r>
          </w:p>
        </w:tc>
        <w:tc>
          <w:tcPr>
            <w:tcW w:w="1135" w:type="dxa"/>
            <w:tcBorders>
              <w:top w:val="single" w:color="auto" w:sz="4" w:space="0"/>
              <w:left w:val="single" w:color="auto" w:sz="4" w:space="0"/>
              <w:bottom w:val="single" w:color="auto" w:sz="4" w:space="0"/>
              <w:right w:val="single" w:color="auto" w:sz="4" w:space="0"/>
            </w:tcBorders>
            <w:vAlign w:val="center"/>
          </w:tcPr>
          <w:p w14:paraId="2E77C987">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tcBorders>
              <w:top w:val="single" w:color="auto" w:sz="4" w:space="0"/>
              <w:left w:val="single" w:color="auto" w:sz="4" w:space="0"/>
              <w:bottom w:val="single" w:color="auto" w:sz="4" w:space="0"/>
              <w:right w:val="single" w:color="auto" w:sz="4" w:space="0"/>
            </w:tcBorders>
            <w:vAlign w:val="center"/>
          </w:tcPr>
          <w:p w14:paraId="447AF9F6">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（1）掌握探索兴趣的方式和方法。</w:t>
            </w:r>
          </w:p>
          <w:p w14:paraId="3CD43BDE">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（2）厘清兴趣与技能之间的关系。</w:t>
            </w:r>
          </w:p>
          <w:p w14:paraId="350983E6">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（3）明确性格探索和未来职业选择之间的关系</w:t>
            </w:r>
          </w:p>
          <w:p w14:paraId="4915D6A3">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（4）正确认识性格及进行性格评估。</w:t>
            </w:r>
          </w:p>
        </w:tc>
        <w:tc>
          <w:tcPr>
            <w:tcW w:w="1563" w:type="dxa"/>
            <w:tcBorders>
              <w:top w:val="single" w:color="auto" w:sz="4" w:space="0"/>
              <w:left w:val="single" w:color="auto" w:sz="4" w:space="0"/>
              <w:bottom w:val="single" w:color="auto" w:sz="4" w:space="0"/>
              <w:right w:val="single" w:color="auto" w:sz="4" w:space="0"/>
            </w:tcBorders>
            <w:vAlign w:val="center"/>
          </w:tcPr>
          <w:p w14:paraId="65D7FB03">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29C58D17">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1AC26D85">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3.自主学习</w:t>
            </w:r>
          </w:p>
        </w:tc>
        <w:tc>
          <w:tcPr>
            <w:tcW w:w="442" w:type="dxa"/>
            <w:tcBorders>
              <w:top w:val="single" w:color="auto" w:sz="4" w:space="0"/>
              <w:left w:val="single" w:color="auto" w:sz="4" w:space="0"/>
              <w:bottom w:val="single" w:color="auto" w:sz="4" w:space="0"/>
              <w:right w:val="single" w:color="auto" w:sz="4" w:space="0"/>
            </w:tcBorders>
            <w:vAlign w:val="center"/>
          </w:tcPr>
          <w:p w14:paraId="2FF049B4">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5903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20BE580">
            <w:pPr>
              <w:widowControl/>
              <w:jc w:val="left"/>
              <w:rPr>
                <w:rFonts w:ascii="宋体" w:hAnsi="宋体" w:eastAsia="宋体" w:cs="Times New Roman"/>
                <w:color w:val="000000"/>
                <w:szCs w:val="21"/>
              </w:rPr>
            </w:pPr>
          </w:p>
        </w:tc>
        <w:tc>
          <w:tcPr>
            <w:tcW w:w="8110" w:type="dxa"/>
            <w:gridSpan w:val="5"/>
            <w:tcBorders>
              <w:top w:val="single" w:color="auto" w:sz="4" w:space="0"/>
              <w:left w:val="single" w:color="auto" w:sz="4" w:space="0"/>
              <w:bottom w:val="single" w:color="auto" w:sz="4" w:space="0"/>
              <w:right w:val="single" w:color="auto" w:sz="4" w:space="0"/>
            </w:tcBorders>
            <w:vAlign w:val="center"/>
          </w:tcPr>
          <w:p w14:paraId="7D7051E9">
            <w:pPr>
              <w:spacing w:line="268"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（1）养成实事求是的精神；（2）增强生涯发展的自信心。</w:t>
            </w:r>
          </w:p>
        </w:tc>
      </w:tr>
      <w:tr w14:paraId="2DAD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182" w:type="dxa"/>
            <w:vMerge w:val="restart"/>
            <w:tcBorders>
              <w:top w:val="nil"/>
              <w:left w:val="single" w:color="auto" w:sz="4" w:space="0"/>
              <w:bottom w:val="single" w:color="auto" w:sz="4" w:space="0"/>
              <w:right w:val="single" w:color="auto" w:sz="4" w:space="0"/>
            </w:tcBorders>
            <w:vAlign w:val="center"/>
          </w:tcPr>
          <w:p w14:paraId="7267797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szCs w:val="21"/>
              </w:rPr>
              <w:t xml:space="preserve"> 技能探索、价值观探索与工作世界探索</w:t>
            </w:r>
          </w:p>
        </w:tc>
        <w:tc>
          <w:tcPr>
            <w:tcW w:w="1704" w:type="dxa"/>
            <w:tcBorders>
              <w:top w:val="single" w:color="auto" w:sz="4" w:space="0"/>
              <w:left w:val="single" w:color="auto" w:sz="4" w:space="0"/>
              <w:bottom w:val="single" w:color="auto" w:sz="4" w:space="0"/>
              <w:right w:val="single" w:color="auto" w:sz="4" w:space="0"/>
            </w:tcBorders>
            <w:vAlign w:val="center"/>
          </w:tcPr>
          <w:p w14:paraId="06ABD48D">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（1）技能的概念、技能与职业匹配。</w:t>
            </w:r>
          </w:p>
          <w:p w14:paraId="0905E4B1">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（2）什么是价值观、价值观与需要、价值观与职业匹配。</w:t>
            </w:r>
          </w:p>
        </w:tc>
        <w:tc>
          <w:tcPr>
            <w:tcW w:w="1135" w:type="dxa"/>
            <w:tcBorders>
              <w:top w:val="single" w:color="auto" w:sz="4" w:space="0"/>
              <w:left w:val="single" w:color="auto" w:sz="4" w:space="0"/>
              <w:bottom w:val="single" w:color="auto" w:sz="4" w:space="0"/>
              <w:right w:val="single" w:color="auto" w:sz="4" w:space="0"/>
            </w:tcBorders>
            <w:vAlign w:val="center"/>
          </w:tcPr>
          <w:p w14:paraId="42230802">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tcBorders>
              <w:top w:val="single" w:color="auto" w:sz="4" w:space="0"/>
              <w:left w:val="single" w:color="auto" w:sz="4" w:space="0"/>
              <w:bottom w:val="single" w:color="auto" w:sz="4" w:space="0"/>
              <w:right w:val="single" w:color="auto" w:sz="4" w:space="0"/>
            </w:tcBorders>
            <w:vAlign w:val="center"/>
          </w:tcPr>
          <w:p w14:paraId="54F706EC">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（1）掌握技能的评估方式、价值观的评估方式。</w:t>
            </w:r>
          </w:p>
          <w:p w14:paraId="23D16F8A">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（2）理解价值观对个人职业选择和发展的影响。</w:t>
            </w:r>
          </w:p>
          <w:p w14:paraId="34B0D8E0">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（3）增强探索职业世界的积极性、主动性。</w:t>
            </w:r>
          </w:p>
        </w:tc>
        <w:tc>
          <w:tcPr>
            <w:tcW w:w="1563" w:type="dxa"/>
            <w:tcBorders>
              <w:top w:val="single" w:color="auto" w:sz="4" w:space="0"/>
              <w:left w:val="single" w:color="auto" w:sz="4" w:space="0"/>
              <w:bottom w:val="single" w:color="auto" w:sz="4" w:space="0"/>
              <w:right w:val="single" w:color="auto" w:sz="4" w:space="0"/>
            </w:tcBorders>
            <w:vAlign w:val="center"/>
          </w:tcPr>
          <w:p w14:paraId="7F7CD7BF">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736DBA70">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539644DC">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3.观察实践</w:t>
            </w:r>
          </w:p>
          <w:p w14:paraId="46DC9499">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4.自主学习</w:t>
            </w:r>
          </w:p>
        </w:tc>
        <w:tc>
          <w:tcPr>
            <w:tcW w:w="442" w:type="dxa"/>
            <w:tcBorders>
              <w:top w:val="single" w:color="auto" w:sz="4" w:space="0"/>
              <w:left w:val="single" w:color="auto" w:sz="4" w:space="0"/>
              <w:bottom w:val="single" w:color="auto" w:sz="4" w:space="0"/>
              <w:right w:val="single" w:color="auto" w:sz="4" w:space="0"/>
            </w:tcBorders>
            <w:vAlign w:val="center"/>
          </w:tcPr>
          <w:p w14:paraId="173D81E8">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5660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71BB388E">
            <w:pPr>
              <w:widowControl/>
              <w:jc w:val="left"/>
              <w:rPr>
                <w:rFonts w:ascii="宋体" w:hAnsi="宋体" w:eastAsia="宋体" w:cs="Times New Roman"/>
                <w:color w:val="000000"/>
                <w:szCs w:val="21"/>
              </w:rPr>
            </w:pPr>
          </w:p>
        </w:tc>
        <w:tc>
          <w:tcPr>
            <w:tcW w:w="8110" w:type="dxa"/>
            <w:gridSpan w:val="5"/>
            <w:tcBorders>
              <w:top w:val="single" w:color="auto" w:sz="4" w:space="0"/>
              <w:left w:val="single" w:color="auto" w:sz="4" w:space="0"/>
              <w:bottom w:val="single" w:color="auto" w:sz="4" w:space="0"/>
              <w:right w:val="single" w:color="auto" w:sz="4" w:space="0"/>
            </w:tcBorders>
            <w:vAlign w:val="center"/>
          </w:tcPr>
          <w:p w14:paraId="36758AF6">
            <w:pPr>
              <w:spacing w:line="268"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（1）立足本人实际，把个人发展和经济社会发展结合起来，热爱专业；（2）树立正确的职业观和成才观， </w:t>
            </w:r>
          </w:p>
        </w:tc>
      </w:tr>
      <w:tr w14:paraId="49DF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182" w:type="dxa"/>
            <w:vMerge w:val="restart"/>
            <w:tcBorders>
              <w:top w:val="nil"/>
              <w:left w:val="single" w:color="auto" w:sz="4" w:space="0"/>
              <w:bottom w:val="single" w:color="auto" w:sz="4" w:space="0"/>
              <w:right w:val="single" w:color="auto" w:sz="4" w:space="0"/>
            </w:tcBorders>
            <w:vAlign w:val="center"/>
          </w:tcPr>
          <w:p w14:paraId="586906BE">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等线" w:hAnsi="等线" w:eastAsia="等线" w:cs="Times New Roman"/>
                <w:szCs w:val="21"/>
              </w:rPr>
              <w:t xml:space="preserve"> </w:t>
            </w:r>
            <w:r>
              <w:rPr>
                <w:rFonts w:hint="eastAsia" w:ascii="宋体" w:hAnsi="宋体" w:eastAsia="宋体" w:cs="Times New Roman"/>
                <w:color w:val="000000"/>
                <w:szCs w:val="21"/>
              </w:rPr>
              <w:t>决策、行动与学业规划</w:t>
            </w:r>
          </w:p>
        </w:tc>
        <w:tc>
          <w:tcPr>
            <w:tcW w:w="1704" w:type="dxa"/>
            <w:tcBorders>
              <w:top w:val="single" w:color="auto" w:sz="4" w:space="0"/>
              <w:left w:val="single" w:color="auto" w:sz="4" w:space="0"/>
              <w:bottom w:val="single" w:color="auto" w:sz="4" w:space="0"/>
              <w:right w:val="single" w:color="auto" w:sz="4" w:space="0"/>
            </w:tcBorders>
            <w:vAlign w:val="center"/>
          </w:tcPr>
          <w:p w14:paraId="50347C11">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（1）决策内涵及影响决策的因素。</w:t>
            </w:r>
          </w:p>
          <w:p w14:paraId="0888783D">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（2）生涯规划书的撰写。</w:t>
            </w:r>
          </w:p>
        </w:tc>
        <w:tc>
          <w:tcPr>
            <w:tcW w:w="1135" w:type="dxa"/>
            <w:tcBorders>
              <w:top w:val="single" w:color="auto" w:sz="4" w:space="0"/>
              <w:left w:val="single" w:color="auto" w:sz="4" w:space="0"/>
              <w:bottom w:val="single" w:color="auto" w:sz="4" w:space="0"/>
              <w:right w:val="single" w:color="auto" w:sz="4" w:space="0"/>
            </w:tcBorders>
            <w:vAlign w:val="center"/>
          </w:tcPr>
          <w:p w14:paraId="76796A63">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tcBorders>
              <w:top w:val="single" w:color="auto" w:sz="4" w:space="0"/>
              <w:left w:val="single" w:color="auto" w:sz="4" w:space="0"/>
              <w:bottom w:val="single" w:color="auto" w:sz="4" w:space="0"/>
              <w:right w:val="single" w:color="auto" w:sz="4" w:space="0"/>
            </w:tcBorders>
            <w:vAlign w:val="center"/>
          </w:tcPr>
          <w:p w14:paraId="2AF35AF1">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（1）在前期探索的基础上，确立大学期间的学业目标。</w:t>
            </w:r>
          </w:p>
          <w:p w14:paraId="54F49682">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（2）能够正确决策，做好全面系统的学业规划安排。</w:t>
            </w:r>
          </w:p>
        </w:tc>
        <w:tc>
          <w:tcPr>
            <w:tcW w:w="1563" w:type="dxa"/>
            <w:tcBorders>
              <w:top w:val="single" w:color="auto" w:sz="4" w:space="0"/>
              <w:left w:val="single" w:color="auto" w:sz="4" w:space="0"/>
              <w:bottom w:val="single" w:color="auto" w:sz="4" w:space="0"/>
              <w:right w:val="single" w:color="auto" w:sz="4" w:space="0"/>
            </w:tcBorders>
            <w:vAlign w:val="center"/>
          </w:tcPr>
          <w:p w14:paraId="463ED397">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734823F1">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3197B775">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3.模拟教学</w:t>
            </w:r>
          </w:p>
          <w:p w14:paraId="2465D45B">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4.自主学习</w:t>
            </w:r>
          </w:p>
        </w:tc>
        <w:tc>
          <w:tcPr>
            <w:tcW w:w="442" w:type="dxa"/>
            <w:tcBorders>
              <w:top w:val="single" w:color="auto" w:sz="4" w:space="0"/>
              <w:left w:val="single" w:color="auto" w:sz="4" w:space="0"/>
              <w:bottom w:val="single" w:color="auto" w:sz="4" w:space="0"/>
              <w:right w:val="single" w:color="auto" w:sz="4" w:space="0"/>
            </w:tcBorders>
            <w:vAlign w:val="center"/>
          </w:tcPr>
          <w:p w14:paraId="71905A28">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265D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24D9B610">
            <w:pPr>
              <w:widowControl/>
              <w:jc w:val="left"/>
              <w:rPr>
                <w:rFonts w:ascii="宋体" w:hAnsi="宋体" w:eastAsia="宋体" w:cs="Times New Roman"/>
                <w:color w:val="000000"/>
                <w:szCs w:val="21"/>
              </w:rPr>
            </w:pPr>
          </w:p>
        </w:tc>
        <w:tc>
          <w:tcPr>
            <w:tcW w:w="8110" w:type="dxa"/>
            <w:gridSpan w:val="5"/>
            <w:tcBorders>
              <w:top w:val="single" w:color="auto" w:sz="4" w:space="0"/>
              <w:left w:val="single" w:color="auto" w:sz="4" w:space="0"/>
              <w:bottom w:val="single" w:color="auto" w:sz="4" w:space="0"/>
              <w:right w:val="single" w:color="auto" w:sz="4" w:space="0"/>
            </w:tcBorders>
            <w:vAlign w:val="center"/>
          </w:tcPr>
          <w:p w14:paraId="4F2A5722">
            <w:pPr>
              <w:spacing w:line="273"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（1）树立明确的发展目标；（2）正确处理个人发展与社会发展的关系。</w:t>
            </w:r>
          </w:p>
        </w:tc>
      </w:tr>
      <w:tr w14:paraId="7879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182" w:type="dxa"/>
            <w:vMerge w:val="restart"/>
            <w:tcBorders>
              <w:top w:val="nil"/>
              <w:left w:val="single" w:color="auto" w:sz="4" w:space="0"/>
              <w:bottom w:val="single" w:color="auto" w:sz="4" w:space="0"/>
              <w:right w:val="single" w:color="auto" w:sz="4" w:space="0"/>
            </w:tcBorders>
            <w:vAlign w:val="center"/>
          </w:tcPr>
          <w:p w14:paraId="6DE76381">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hint="eastAsia" w:ascii="等线" w:hAnsi="等线" w:eastAsia="等线" w:cs="Times New Roman"/>
                <w:szCs w:val="21"/>
              </w:rPr>
              <w:t xml:space="preserve"> </w:t>
            </w:r>
            <w:r>
              <w:rPr>
                <w:rFonts w:hint="eastAsia" w:ascii="宋体" w:hAnsi="宋体" w:eastAsia="宋体" w:cs="Times New Roman"/>
                <w:szCs w:val="21"/>
              </w:rPr>
              <w:t>生涯规划专家讲座</w:t>
            </w:r>
          </w:p>
        </w:tc>
        <w:tc>
          <w:tcPr>
            <w:tcW w:w="1704" w:type="dxa"/>
            <w:tcBorders>
              <w:top w:val="single" w:color="auto" w:sz="4" w:space="0"/>
              <w:left w:val="single" w:color="auto" w:sz="4" w:space="0"/>
              <w:bottom w:val="single" w:color="auto" w:sz="4" w:space="0"/>
              <w:right w:val="single" w:color="auto" w:sz="4" w:space="0"/>
            </w:tcBorders>
            <w:vAlign w:val="center"/>
          </w:tcPr>
          <w:p w14:paraId="60E14638">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（1）职业生涯校外导师讲座。</w:t>
            </w:r>
          </w:p>
          <w:p w14:paraId="3D4FC403">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（2）成功校友企业家、资深企业HR讲座</w:t>
            </w:r>
          </w:p>
        </w:tc>
        <w:tc>
          <w:tcPr>
            <w:tcW w:w="1135" w:type="dxa"/>
            <w:tcBorders>
              <w:top w:val="single" w:color="auto" w:sz="4" w:space="0"/>
              <w:left w:val="single" w:color="auto" w:sz="4" w:space="0"/>
              <w:bottom w:val="single" w:color="auto" w:sz="4" w:space="0"/>
              <w:right w:val="single" w:color="auto" w:sz="4" w:space="0"/>
            </w:tcBorders>
            <w:vAlign w:val="center"/>
          </w:tcPr>
          <w:p w14:paraId="381F6F9F">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tcBorders>
              <w:top w:val="single" w:color="auto" w:sz="4" w:space="0"/>
              <w:left w:val="single" w:color="auto" w:sz="4" w:space="0"/>
              <w:bottom w:val="single" w:color="auto" w:sz="4" w:space="0"/>
              <w:right w:val="single" w:color="auto" w:sz="4" w:space="0"/>
            </w:tcBorders>
            <w:vAlign w:val="center"/>
          </w:tcPr>
          <w:p w14:paraId="2909FA02">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（1）了解职业成功人士的事迹。</w:t>
            </w:r>
          </w:p>
          <w:p w14:paraId="7EC8F0FF">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（2）借鉴职业成功人士的经验。</w:t>
            </w:r>
          </w:p>
          <w:p w14:paraId="7DD25168">
            <w:pPr>
              <w:spacing w:line="268" w:lineRule="auto"/>
              <w:jc w:val="left"/>
              <w:rPr>
                <w:rFonts w:hint="eastAsia" w:ascii="宋体" w:hAnsi="宋体" w:eastAsia="宋体" w:cs="Times New Roman"/>
                <w:color w:val="000000"/>
                <w:szCs w:val="21"/>
              </w:rPr>
            </w:pPr>
          </w:p>
        </w:tc>
        <w:tc>
          <w:tcPr>
            <w:tcW w:w="1563" w:type="dxa"/>
            <w:tcBorders>
              <w:top w:val="single" w:color="auto" w:sz="4" w:space="0"/>
              <w:left w:val="single" w:color="auto" w:sz="4" w:space="0"/>
              <w:bottom w:val="single" w:color="auto" w:sz="4" w:space="0"/>
              <w:right w:val="single" w:color="auto" w:sz="4" w:space="0"/>
            </w:tcBorders>
            <w:vAlign w:val="center"/>
          </w:tcPr>
          <w:p w14:paraId="0889FCD8">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30B599E6">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41DDE592">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3.观察实践</w:t>
            </w:r>
          </w:p>
          <w:p w14:paraId="78BCE3C8">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4.自主学习</w:t>
            </w:r>
          </w:p>
        </w:tc>
        <w:tc>
          <w:tcPr>
            <w:tcW w:w="442" w:type="dxa"/>
            <w:tcBorders>
              <w:top w:val="single" w:color="auto" w:sz="4" w:space="0"/>
              <w:left w:val="single" w:color="auto" w:sz="4" w:space="0"/>
              <w:bottom w:val="single" w:color="auto" w:sz="4" w:space="0"/>
              <w:right w:val="single" w:color="auto" w:sz="4" w:space="0"/>
            </w:tcBorders>
            <w:vAlign w:val="center"/>
          </w:tcPr>
          <w:p w14:paraId="017B7662">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5298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5C6C88D6">
            <w:pPr>
              <w:widowControl/>
              <w:jc w:val="left"/>
              <w:rPr>
                <w:rFonts w:ascii="宋体" w:hAnsi="宋体" w:eastAsia="宋体" w:cs="Times New Roman"/>
                <w:color w:val="000000"/>
                <w:szCs w:val="21"/>
              </w:rPr>
            </w:pPr>
          </w:p>
        </w:tc>
        <w:tc>
          <w:tcPr>
            <w:tcW w:w="8110" w:type="dxa"/>
            <w:gridSpan w:val="5"/>
            <w:tcBorders>
              <w:top w:val="single" w:color="auto" w:sz="4" w:space="0"/>
              <w:left w:val="single" w:color="auto" w:sz="4" w:space="0"/>
              <w:bottom w:val="single" w:color="auto" w:sz="4" w:space="0"/>
              <w:right w:val="single" w:color="auto" w:sz="4" w:space="0"/>
            </w:tcBorders>
            <w:vAlign w:val="center"/>
          </w:tcPr>
          <w:p w14:paraId="4ACA6BDC">
            <w:pPr>
              <w:spacing w:line="268"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（1）强化学习意识。（2）明确努力方向。</w:t>
            </w:r>
          </w:p>
        </w:tc>
      </w:tr>
      <w:tr w14:paraId="75D3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182" w:type="dxa"/>
            <w:vMerge w:val="restart"/>
            <w:tcBorders>
              <w:top w:val="nil"/>
              <w:left w:val="single" w:color="auto" w:sz="4" w:space="0"/>
              <w:bottom w:val="single" w:color="auto" w:sz="4" w:space="0"/>
              <w:right w:val="single" w:color="auto" w:sz="4" w:space="0"/>
            </w:tcBorders>
            <w:vAlign w:val="center"/>
          </w:tcPr>
          <w:p w14:paraId="44AE3270">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hint="eastAsia" w:ascii="等线" w:hAnsi="等线" w:eastAsia="等线" w:cs="Times New Roman"/>
                <w:szCs w:val="21"/>
              </w:rPr>
              <w:t xml:space="preserve"> </w:t>
            </w:r>
            <w:r>
              <w:rPr>
                <w:rFonts w:hint="eastAsia" w:ascii="宋体" w:hAnsi="宋体" w:eastAsia="宋体" w:cs="Times New Roman"/>
                <w:color w:val="000000"/>
                <w:szCs w:val="21"/>
              </w:rPr>
              <w:t>职业生涯实践</w:t>
            </w:r>
          </w:p>
        </w:tc>
        <w:tc>
          <w:tcPr>
            <w:tcW w:w="1704" w:type="dxa"/>
            <w:tcBorders>
              <w:top w:val="single" w:color="auto" w:sz="4" w:space="0"/>
              <w:left w:val="single" w:color="auto" w:sz="4" w:space="0"/>
              <w:bottom w:val="single" w:color="auto" w:sz="4" w:space="0"/>
              <w:right w:val="single" w:color="auto" w:sz="4" w:space="0"/>
            </w:tcBorders>
            <w:vAlign w:val="center"/>
          </w:tcPr>
          <w:p w14:paraId="69D1C734">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（1）参观职业生涯实践基地。</w:t>
            </w:r>
          </w:p>
          <w:p w14:paraId="2FD411E6">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（2）观看生涯规划视频、影片</w:t>
            </w:r>
          </w:p>
        </w:tc>
        <w:tc>
          <w:tcPr>
            <w:tcW w:w="1135" w:type="dxa"/>
            <w:tcBorders>
              <w:top w:val="single" w:color="auto" w:sz="4" w:space="0"/>
              <w:left w:val="single" w:color="auto" w:sz="4" w:space="0"/>
              <w:bottom w:val="single" w:color="auto" w:sz="4" w:space="0"/>
              <w:right w:val="single" w:color="auto" w:sz="4" w:space="0"/>
            </w:tcBorders>
            <w:vAlign w:val="center"/>
          </w:tcPr>
          <w:p w14:paraId="75BF6FA1">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tcBorders>
              <w:top w:val="single" w:color="auto" w:sz="4" w:space="0"/>
              <w:left w:val="single" w:color="auto" w:sz="4" w:space="0"/>
              <w:bottom w:val="single" w:color="auto" w:sz="4" w:space="0"/>
              <w:right w:val="single" w:color="auto" w:sz="4" w:space="0"/>
            </w:tcBorders>
            <w:vAlign w:val="center"/>
          </w:tcPr>
          <w:p w14:paraId="4C2A73D7">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（1）经历职业生涯实践，强化对职业生涯规划意义的理解。</w:t>
            </w:r>
          </w:p>
          <w:p w14:paraId="13AADECB">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（2）具有根据实际情况调整生涯规划的能力。 </w:t>
            </w:r>
          </w:p>
        </w:tc>
        <w:tc>
          <w:tcPr>
            <w:tcW w:w="1563" w:type="dxa"/>
            <w:tcBorders>
              <w:top w:val="single" w:color="auto" w:sz="4" w:space="0"/>
              <w:left w:val="single" w:color="auto" w:sz="4" w:space="0"/>
              <w:bottom w:val="single" w:color="auto" w:sz="4" w:space="0"/>
              <w:right w:val="single" w:color="auto" w:sz="4" w:space="0"/>
            </w:tcBorders>
            <w:vAlign w:val="center"/>
          </w:tcPr>
          <w:p w14:paraId="1D31C380">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1925D05B">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5AB6F824">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3.模拟教学</w:t>
            </w:r>
          </w:p>
          <w:p w14:paraId="385A690D">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4.自主学习</w:t>
            </w:r>
          </w:p>
        </w:tc>
        <w:tc>
          <w:tcPr>
            <w:tcW w:w="442" w:type="dxa"/>
            <w:tcBorders>
              <w:top w:val="single" w:color="auto" w:sz="4" w:space="0"/>
              <w:left w:val="single" w:color="auto" w:sz="4" w:space="0"/>
              <w:bottom w:val="single" w:color="auto" w:sz="4" w:space="0"/>
              <w:right w:val="single" w:color="auto" w:sz="4" w:space="0"/>
            </w:tcBorders>
            <w:vAlign w:val="center"/>
          </w:tcPr>
          <w:p w14:paraId="7F7CE7BE">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7E81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49AD5756">
            <w:pPr>
              <w:widowControl/>
              <w:jc w:val="left"/>
              <w:rPr>
                <w:rFonts w:ascii="宋体" w:hAnsi="宋体" w:eastAsia="宋体" w:cs="Times New Roman"/>
                <w:color w:val="000000"/>
                <w:szCs w:val="21"/>
              </w:rPr>
            </w:pPr>
          </w:p>
        </w:tc>
        <w:tc>
          <w:tcPr>
            <w:tcW w:w="8110" w:type="dxa"/>
            <w:gridSpan w:val="5"/>
            <w:tcBorders>
              <w:top w:val="single" w:color="auto" w:sz="4" w:space="0"/>
              <w:left w:val="single" w:color="auto" w:sz="4" w:space="0"/>
              <w:bottom w:val="single" w:color="auto" w:sz="4" w:space="0"/>
              <w:right w:val="single" w:color="auto" w:sz="4" w:space="0"/>
            </w:tcBorders>
            <w:vAlign w:val="center"/>
          </w:tcPr>
          <w:p w14:paraId="19FC48CC">
            <w:pPr>
              <w:spacing w:line="273"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（1）形成正确的职业观和择业观；（2）具有较强的反思能力。</w:t>
            </w:r>
          </w:p>
        </w:tc>
      </w:tr>
    </w:tbl>
    <w:p w14:paraId="4A8BD4AB">
      <w:pPr>
        <w:spacing w:line="360" w:lineRule="auto"/>
        <w:jc w:val="left"/>
        <w:rPr>
          <w:rFonts w:hint="eastAsia" w:ascii="Times New Roman" w:hAnsi="Times New Roman" w:eastAsia="宋体" w:cs="Times New Roman"/>
          <w:sz w:val="24"/>
        </w:rPr>
      </w:pPr>
      <w:r>
        <w:rPr>
          <w:rFonts w:ascii="Times New Roman" w:hAnsi="Times New Roman" w:eastAsia="宋体" w:cs="Times New Roman"/>
          <w:sz w:val="24"/>
        </w:rPr>
        <w:t xml:space="preserve"> </w:t>
      </w:r>
    </w:p>
    <w:p w14:paraId="716A72B8">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1BBFEB71">
      <w:pPr>
        <w:spacing w:line="360" w:lineRule="auto"/>
        <w:jc w:val="left"/>
        <w:rPr>
          <w:rFonts w:ascii="Times New Roman" w:hAnsi="Times New Roman" w:eastAsia="宋体" w:cs="Times New Roman"/>
          <w:b/>
          <w:szCs w:val="21"/>
        </w:rPr>
      </w:pPr>
      <w:r>
        <w:rPr>
          <w:rFonts w:hint="eastAsia" w:ascii="宋体" w:hAnsi="宋体" w:eastAsia="宋体" w:cs="Times New Roman"/>
          <w:b/>
          <w:szCs w:val="21"/>
        </w:rPr>
        <w:t>（一）课程目标评价方式</w:t>
      </w:r>
    </w:p>
    <w:p w14:paraId="2CB8056D">
      <w:pPr>
        <w:spacing w:line="360" w:lineRule="auto"/>
        <w:ind w:firstLine="420" w:firstLineChars="200"/>
        <w:jc w:val="left"/>
        <w:rPr>
          <w:rFonts w:ascii="Times New Roman" w:hAnsi="Times New Roman" w:eastAsia="宋体" w:cs="Times New Roman"/>
          <w:szCs w:val="21"/>
        </w:rPr>
      </w:pPr>
      <w:r>
        <w:rPr>
          <w:rFonts w:hint="eastAsia" w:ascii="宋体" w:hAnsi="宋体" w:eastAsia="宋体" w:cs="Times New Roman"/>
          <w:szCs w:val="21"/>
        </w:rPr>
        <w:t>根据总体设计，用于评价各课程目标的评价方式如表</w:t>
      </w:r>
      <w:r>
        <w:rPr>
          <w:rFonts w:hint="eastAsia" w:ascii="Times New Roman" w:hAnsi="Times New Roman" w:eastAsia="宋体" w:cs="Times New Roman"/>
          <w:szCs w:val="21"/>
        </w:rPr>
        <w:t>3</w:t>
      </w:r>
      <w:r>
        <w:rPr>
          <w:rFonts w:ascii="宋体" w:hAnsi="宋体" w:eastAsia="宋体" w:cs="Times New Roman"/>
          <w:szCs w:val="21"/>
        </w:rPr>
        <w:t>所示。</w:t>
      </w:r>
    </w:p>
    <w:p w14:paraId="2AB4E2FE">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表</w:t>
      </w:r>
      <w:r>
        <w:rPr>
          <w:rFonts w:hint="eastAsia" w:ascii="Times New Roman" w:hAnsi="Times New Roman" w:eastAsia="宋体" w:cs="Times New Roman"/>
          <w:b/>
          <w:bCs/>
          <w:szCs w:val="21"/>
        </w:rPr>
        <w:t>3</w:t>
      </w:r>
      <w:r>
        <w:rPr>
          <w:rFonts w:ascii="宋体" w:hAnsi="宋体" w:eastAsia="宋体" w:cs="Times New Roman"/>
          <w:b/>
          <w:bCs/>
          <w:szCs w:val="21"/>
        </w:rPr>
        <w:t>课程教学评价设计总表</w:t>
      </w:r>
    </w:p>
    <w:tbl>
      <w:tblPr>
        <w:tblStyle w:val="44"/>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1908"/>
        <w:gridCol w:w="1735"/>
        <w:gridCol w:w="1735"/>
        <w:gridCol w:w="1046"/>
      </w:tblGrid>
      <w:tr w14:paraId="6A5C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7874ED2E">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38BC05C8">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0369E1A">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33D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62E675">
            <w:pPr>
              <w:widowControl/>
              <w:jc w:val="left"/>
              <w:rPr>
                <w:rFonts w:ascii="宋体" w:hAnsi="宋体" w:eastAsia="宋体" w:cs="Times New Roman"/>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6F30167B">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作业+考勤</w:t>
            </w:r>
          </w:p>
        </w:tc>
        <w:tc>
          <w:tcPr>
            <w:tcW w:w="0" w:type="auto"/>
            <w:tcBorders>
              <w:top w:val="single" w:color="auto" w:sz="4" w:space="0"/>
              <w:left w:val="single" w:color="auto" w:sz="4" w:space="0"/>
              <w:bottom w:val="single" w:color="auto" w:sz="4" w:space="0"/>
              <w:right w:val="single" w:color="auto" w:sz="4" w:space="0"/>
            </w:tcBorders>
            <w:vAlign w:val="center"/>
          </w:tcPr>
          <w:p w14:paraId="22DB4FD1">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tcBorders>
              <w:top w:val="single" w:color="auto" w:sz="4" w:space="0"/>
              <w:left w:val="single" w:color="auto" w:sz="4" w:space="0"/>
              <w:bottom w:val="single" w:color="auto" w:sz="4" w:space="0"/>
              <w:right w:val="single" w:color="auto" w:sz="4" w:space="0"/>
            </w:tcBorders>
            <w:vAlign w:val="center"/>
          </w:tcPr>
          <w:p w14:paraId="5291C464">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D280466">
            <w:pPr>
              <w:widowControl/>
              <w:jc w:val="left"/>
              <w:rPr>
                <w:rFonts w:ascii="宋体" w:hAnsi="宋体" w:eastAsia="宋体" w:cs="Times New Roman"/>
                <w:szCs w:val="21"/>
              </w:rPr>
            </w:pPr>
          </w:p>
        </w:tc>
      </w:tr>
      <w:tr w14:paraId="1E25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tcBorders>
              <w:top w:val="single" w:color="auto" w:sz="4" w:space="0"/>
              <w:left w:val="single" w:color="auto" w:sz="4" w:space="0"/>
              <w:bottom w:val="single" w:color="auto" w:sz="4" w:space="0"/>
              <w:right w:val="single" w:color="auto" w:sz="4" w:space="0"/>
            </w:tcBorders>
            <w:vAlign w:val="center"/>
          </w:tcPr>
          <w:p w14:paraId="2BAD6E0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tcBorders>
              <w:top w:val="single" w:color="auto" w:sz="4" w:space="0"/>
              <w:left w:val="single" w:color="auto" w:sz="4" w:space="0"/>
              <w:bottom w:val="single" w:color="auto" w:sz="4" w:space="0"/>
              <w:right w:val="single" w:color="auto" w:sz="4" w:space="0"/>
            </w:tcBorders>
            <w:vAlign w:val="center"/>
          </w:tcPr>
          <w:p w14:paraId="3763E6D4">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0E9B2165">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705CD304">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34182A8D">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58D3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tcBorders>
              <w:top w:val="single" w:color="auto" w:sz="4" w:space="0"/>
              <w:left w:val="single" w:color="auto" w:sz="4" w:space="0"/>
              <w:bottom w:val="single" w:color="auto" w:sz="4" w:space="0"/>
              <w:right w:val="single" w:color="auto" w:sz="4" w:space="0"/>
            </w:tcBorders>
            <w:vAlign w:val="center"/>
          </w:tcPr>
          <w:p w14:paraId="16CF530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tcBorders>
              <w:top w:val="single" w:color="auto" w:sz="4" w:space="0"/>
              <w:left w:val="single" w:color="auto" w:sz="4" w:space="0"/>
              <w:bottom w:val="single" w:color="auto" w:sz="4" w:space="0"/>
              <w:right w:val="single" w:color="auto" w:sz="4" w:space="0"/>
            </w:tcBorders>
            <w:vAlign w:val="center"/>
          </w:tcPr>
          <w:p w14:paraId="2AB15311">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6FCC81FF">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13A41724">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19186B2A">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22BE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tcBorders>
              <w:top w:val="single" w:color="auto" w:sz="4" w:space="0"/>
              <w:left w:val="single" w:color="auto" w:sz="4" w:space="0"/>
              <w:bottom w:val="single" w:color="auto" w:sz="4" w:space="0"/>
              <w:right w:val="single" w:color="auto" w:sz="4" w:space="0"/>
            </w:tcBorders>
            <w:vAlign w:val="center"/>
          </w:tcPr>
          <w:p w14:paraId="557AC99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tcBorders>
              <w:top w:val="single" w:color="auto" w:sz="4" w:space="0"/>
              <w:left w:val="single" w:color="auto" w:sz="4" w:space="0"/>
              <w:bottom w:val="single" w:color="auto" w:sz="4" w:space="0"/>
              <w:right w:val="single" w:color="auto" w:sz="4" w:space="0"/>
            </w:tcBorders>
            <w:vAlign w:val="center"/>
          </w:tcPr>
          <w:p w14:paraId="629556A9">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162A8E4E">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79A1F1F1">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54CB9FD0">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7A87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tcBorders>
              <w:top w:val="single" w:color="auto" w:sz="4" w:space="0"/>
              <w:left w:val="single" w:color="auto" w:sz="4" w:space="0"/>
              <w:bottom w:val="single" w:color="auto" w:sz="4" w:space="0"/>
              <w:right w:val="single" w:color="auto" w:sz="4" w:space="0"/>
            </w:tcBorders>
            <w:vAlign w:val="center"/>
          </w:tcPr>
          <w:p w14:paraId="0DA7973F">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716205A7">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c>
          <w:tcPr>
            <w:tcW w:w="0" w:type="auto"/>
            <w:tcBorders>
              <w:top w:val="single" w:color="auto" w:sz="4" w:space="0"/>
              <w:left w:val="single" w:color="auto" w:sz="4" w:space="0"/>
              <w:bottom w:val="single" w:color="auto" w:sz="4" w:space="0"/>
              <w:right w:val="single" w:color="auto" w:sz="4" w:space="0"/>
            </w:tcBorders>
            <w:vAlign w:val="center"/>
          </w:tcPr>
          <w:p w14:paraId="587FD998">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0" w:type="auto"/>
            <w:tcBorders>
              <w:top w:val="single" w:color="auto" w:sz="4" w:space="0"/>
              <w:left w:val="single" w:color="auto" w:sz="4" w:space="0"/>
              <w:bottom w:val="single" w:color="auto" w:sz="4" w:space="0"/>
              <w:right w:val="single" w:color="auto" w:sz="4" w:space="0"/>
            </w:tcBorders>
            <w:vAlign w:val="center"/>
          </w:tcPr>
          <w:p w14:paraId="3BCB74DC">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0" w:type="auto"/>
            <w:tcBorders>
              <w:top w:val="single" w:color="auto" w:sz="4" w:space="0"/>
              <w:left w:val="single" w:color="auto" w:sz="4" w:space="0"/>
              <w:bottom w:val="single" w:color="auto" w:sz="4" w:space="0"/>
              <w:right w:val="single" w:color="auto" w:sz="4" w:space="0"/>
            </w:tcBorders>
            <w:vAlign w:val="center"/>
          </w:tcPr>
          <w:p w14:paraId="074EF132">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2FA3EA6">
      <w:pPr>
        <w:spacing w:before="156" w:beforeLines="50" w:line="360" w:lineRule="auto"/>
        <w:jc w:val="left"/>
        <w:rPr>
          <w:rFonts w:hint="eastAsia" w:ascii="Times New Roman" w:hAnsi="Times New Roman" w:eastAsia="宋体" w:cs="Times New Roman"/>
          <w:b/>
          <w:szCs w:val="21"/>
        </w:rPr>
      </w:pPr>
      <w:r>
        <w:rPr>
          <w:rFonts w:hint="eastAsia" w:ascii="宋体" w:hAnsi="宋体" w:eastAsia="宋体" w:cs="Times New Roman"/>
          <w:b/>
          <w:szCs w:val="21"/>
        </w:rPr>
        <w:t>（二）成绩评定细则</w:t>
      </w:r>
    </w:p>
    <w:p w14:paraId="1542440B">
      <w:pPr>
        <w:spacing w:line="360" w:lineRule="auto"/>
        <w:ind w:firstLine="420" w:firstLineChars="200"/>
        <w:jc w:val="left"/>
        <w:rPr>
          <w:rFonts w:ascii="Times New Roman" w:hAnsi="Times New Roman" w:eastAsia="宋体" w:cs="Times New Roman"/>
          <w:szCs w:val="21"/>
        </w:rPr>
      </w:pPr>
      <w:r>
        <w:rPr>
          <w:rFonts w:hint="eastAsia" w:ascii="宋体" w:hAnsi="宋体" w:eastAsia="宋体" w:cs="Times New Roman"/>
          <w:szCs w:val="21"/>
        </w:rPr>
        <w:t>各部分的评价方式和成绩评定的细则如表</w:t>
      </w:r>
      <w:r>
        <w:rPr>
          <w:rFonts w:hint="eastAsia" w:ascii="Times New Roman" w:hAnsi="Times New Roman" w:eastAsia="宋体" w:cs="Times New Roman"/>
          <w:szCs w:val="21"/>
        </w:rPr>
        <w:t>4</w:t>
      </w:r>
      <w:r>
        <w:rPr>
          <w:rFonts w:hint="eastAsia" w:ascii="宋体" w:hAnsi="宋体" w:eastAsia="宋体" w:cs="Times New Roman"/>
          <w:szCs w:val="21"/>
        </w:rPr>
        <w:t>所示：</w:t>
      </w:r>
    </w:p>
    <w:p w14:paraId="2A391664">
      <w:pPr>
        <w:jc w:val="center"/>
        <w:rPr>
          <w:rFonts w:ascii="Times New Roman" w:hAnsi="Times New Roman" w:eastAsia="宋体" w:cs="Times New Roman"/>
          <w:b/>
          <w:bCs/>
          <w:szCs w:val="21"/>
        </w:rPr>
      </w:pPr>
      <w:r>
        <w:rPr>
          <w:rFonts w:hint="eastAsia" w:ascii="宋体" w:hAnsi="宋体" w:eastAsia="宋体" w:cs="Times New Roman"/>
          <w:b/>
          <w:bCs/>
          <w:szCs w:val="21"/>
        </w:rPr>
        <w:t>表</w:t>
      </w:r>
      <w:r>
        <w:rPr>
          <w:rFonts w:hint="eastAsia" w:ascii="Times New Roman" w:hAnsi="Times New Roman" w:eastAsia="宋体" w:cs="Times New Roman"/>
          <w:b/>
          <w:bCs/>
          <w:szCs w:val="21"/>
        </w:rPr>
        <w:t xml:space="preserve">4 </w:t>
      </w:r>
      <w:r>
        <w:rPr>
          <w:rFonts w:hint="eastAsia" w:ascii="宋体" w:hAnsi="宋体" w:eastAsia="宋体" w:cs="Times New Roman"/>
          <w:b/>
          <w:bCs/>
          <w:szCs w:val="21"/>
        </w:rPr>
        <w:t>各部分的评价方式和成绩评定的细则</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65B8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6B1CBD3D">
            <w:pPr>
              <w:jc w:val="center"/>
              <w:rPr>
                <w:rFonts w:ascii="Times New Roman" w:hAnsi="Times New Roman" w:eastAsia="宋体" w:cs="Times New Roman"/>
                <w:b/>
                <w:bCs/>
                <w:szCs w:val="21"/>
              </w:rPr>
            </w:pPr>
            <w:r>
              <w:rPr>
                <w:rFonts w:hint="eastAsia" w:ascii="宋体" w:hAnsi="宋体" w:eastAsia="宋体" w:cs="Times New Roman"/>
                <w:b/>
                <w:bCs/>
                <w:szCs w:val="21"/>
              </w:rPr>
              <w:t>评价方式</w:t>
            </w:r>
          </w:p>
        </w:tc>
        <w:tc>
          <w:tcPr>
            <w:tcW w:w="6924" w:type="dxa"/>
            <w:tcBorders>
              <w:top w:val="single" w:color="auto" w:sz="4" w:space="0"/>
              <w:left w:val="single" w:color="auto" w:sz="4" w:space="0"/>
              <w:bottom w:val="single" w:color="auto" w:sz="4" w:space="0"/>
              <w:right w:val="single" w:color="auto" w:sz="4" w:space="0"/>
            </w:tcBorders>
            <w:vAlign w:val="center"/>
          </w:tcPr>
          <w:p w14:paraId="4894AEDE">
            <w:pPr>
              <w:jc w:val="center"/>
              <w:rPr>
                <w:rFonts w:ascii="Times New Roman" w:hAnsi="Times New Roman" w:eastAsia="宋体" w:cs="Times New Roman"/>
                <w:b/>
                <w:bCs/>
                <w:szCs w:val="21"/>
              </w:rPr>
            </w:pPr>
            <w:r>
              <w:rPr>
                <w:rFonts w:hint="eastAsia" w:ascii="宋体" w:hAnsi="宋体" w:eastAsia="宋体" w:cs="Times New Roman"/>
                <w:b/>
                <w:bCs/>
                <w:szCs w:val="21"/>
              </w:rPr>
              <w:t>评定细则</w:t>
            </w:r>
          </w:p>
        </w:tc>
        <w:tc>
          <w:tcPr>
            <w:tcW w:w="0" w:type="auto"/>
            <w:tcBorders>
              <w:top w:val="single" w:color="auto" w:sz="4" w:space="0"/>
              <w:left w:val="single" w:color="auto" w:sz="4" w:space="0"/>
              <w:bottom w:val="single" w:color="auto" w:sz="4" w:space="0"/>
              <w:right w:val="single" w:color="auto" w:sz="4" w:space="0"/>
            </w:tcBorders>
            <w:vAlign w:val="center"/>
          </w:tcPr>
          <w:p w14:paraId="0B054F19">
            <w:pPr>
              <w:jc w:val="center"/>
              <w:rPr>
                <w:rFonts w:ascii="Times New Roman" w:hAnsi="Times New Roman" w:eastAsia="宋体" w:cs="Times New Roman"/>
                <w:b/>
                <w:bCs/>
                <w:szCs w:val="21"/>
              </w:rPr>
            </w:pPr>
            <w:r>
              <w:rPr>
                <w:rFonts w:hint="eastAsia" w:ascii="宋体" w:hAnsi="宋体" w:eastAsia="宋体" w:cs="Times New Roman"/>
                <w:b/>
                <w:bCs/>
                <w:szCs w:val="21"/>
              </w:rPr>
              <w:t>占比</w:t>
            </w:r>
          </w:p>
        </w:tc>
      </w:tr>
      <w:tr w14:paraId="488A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62D963E4">
            <w:pPr>
              <w:rPr>
                <w:rFonts w:ascii="Times New Roman" w:hAnsi="Times New Roman" w:eastAsia="宋体" w:cs="Times New Roman"/>
                <w:szCs w:val="21"/>
              </w:rPr>
            </w:pPr>
            <w:r>
              <w:rPr>
                <w:rFonts w:hint="eastAsia" w:ascii="宋体" w:hAnsi="宋体" w:eastAsia="宋体" w:cs="Times New Roman"/>
                <w:szCs w:val="21"/>
              </w:rPr>
              <w:t>作业</w:t>
            </w:r>
            <w:r>
              <w:rPr>
                <w:rFonts w:ascii="Times New Roman" w:hAnsi="Times New Roman" w:eastAsia="宋体" w:cs="Times New Roman"/>
                <w:szCs w:val="21"/>
              </w:rPr>
              <w:t>+</w:t>
            </w:r>
            <w:r>
              <w:rPr>
                <w:rFonts w:ascii="宋体" w:hAnsi="宋体" w:eastAsia="宋体" w:cs="Times New Roman"/>
                <w:szCs w:val="21"/>
              </w:rPr>
              <w:t>考勤</w:t>
            </w:r>
          </w:p>
        </w:tc>
        <w:tc>
          <w:tcPr>
            <w:tcW w:w="6924" w:type="dxa"/>
            <w:tcBorders>
              <w:top w:val="single" w:color="auto" w:sz="4" w:space="0"/>
              <w:left w:val="single" w:color="auto" w:sz="4" w:space="0"/>
              <w:bottom w:val="single" w:color="auto" w:sz="4" w:space="0"/>
              <w:right w:val="single" w:color="auto" w:sz="4" w:space="0"/>
            </w:tcBorders>
            <w:vAlign w:val="center"/>
          </w:tcPr>
          <w:p w14:paraId="48D9FB71">
            <w:pPr>
              <w:spacing w:line="264" w:lineRule="auto"/>
              <w:jc w:val="left"/>
              <w:rPr>
                <w:rFonts w:ascii="Times New Roman" w:hAnsi="Times New Roman" w:eastAsia="宋体" w:cs="Times New Roman"/>
                <w:szCs w:val="21"/>
              </w:rPr>
            </w:pPr>
            <w:r>
              <w:rPr>
                <w:rFonts w:hint="eastAsia" w:ascii="宋体" w:hAnsi="宋体" w:eastAsia="宋体" w:cs="Times New Roman"/>
                <w:szCs w:val="21"/>
              </w:rPr>
              <w:t>平时作业共</w:t>
            </w:r>
            <w:r>
              <w:rPr>
                <w:rFonts w:hint="eastAsia" w:ascii="Times New Roman" w:hAnsi="Times New Roman" w:eastAsia="宋体" w:cs="Times New Roman"/>
                <w:szCs w:val="21"/>
              </w:rPr>
              <w:t>3</w:t>
            </w:r>
            <w:r>
              <w:rPr>
                <w:rFonts w:hint="eastAsia" w:ascii="宋体" w:hAnsi="宋体" w:eastAsia="宋体" w:cs="Times New Roman"/>
                <w:szCs w:val="21"/>
              </w:rPr>
              <w:t>次，平时总评</w:t>
            </w:r>
            <w:r>
              <w:rPr>
                <w:rFonts w:ascii="Times New Roman" w:hAnsi="Times New Roman" w:eastAsia="宋体" w:cs="Times New Roman"/>
                <w:szCs w:val="21"/>
              </w:rPr>
              <w:t>=</w:t>
            </w:r>
            <w:r>
              <w:rPr>
                <w:rFonts w:ascii="宋体" w:hAnsi="宋体" w:eastAsia="宋体" w:cs="Times New Roman"/>
                <w:szCs w:val="21"/>
              </w:rPr>
              <w:t>作业平均</w:t>
            </w:r>
            <w:r>
              <w:rPr>
                <w:rFonts w:ascii="Times New Roman" w:hAnsi="Times New Roman" w:eastAsia="宋体" w:cs="Times New Roman"/>
                <w:szCs w:val="21"/>
              </w:rPr>
              <w:t>—</w:t>
            </w:r>
            <w:r>
              <w:rPr>
                <w:rFonts w:ascii="宋体" w:hAnsi="宋体" w:eastAsia="宋体" w:cs="Times New Roman"/>
                <w:szCs w:val="21"/>
              </w:rPr>
              <w:t>考勤扣分，旷课</w:t>
            </w:r>
            <w:r>
              <w:rPr>
                <w:rFonts w:ascii="Times New Roman" w:hAnsi="Times New Roman" w:eastAsia="宋体" w:cs="Times New Roman"/>
                <w:szCs w:val="21"/>
              </w:rPr>
              <w:t>1</w:t>
            </w:r>
            <w:r>
              <w:rPr>
                <w:rFonts w:ascii="宋体" w:hAnsi="宋体" w:eastAsia="宋体" w:cs="Times New Roman"/>
                <w:szCs w:val="21"/>
              </w:rPr>
              <w:t>次扣</w:t>
            </w:r>
            <w:r>
              <w:rPr>
                <w:rFonts w:ascii="Times New Roman" w:hAnsi="Times New Roman" w:eastAsia="宋体" w:cs="Times New Roman"/>
                <w:szCs w:val="21"/>
              </w:rPr>
              <w:t>5</w:t>
            </w:r>
            <w:r>
              <w:rPr>
                <w:rFonts w:ascii="宋体" w:hAnsi="宋体" w:eastAsia="宋体" w:cs="Times New Roman"/>
                <w:szCs w:val="21"/>
              </w:rPr>
              <w:t>分，事假一次扣</w:t>
            </w:r>
            <w:r>
              <w:rPr>
                <w:rFonts w:ascii="Times New Roman" w:hAnsi="Times New Roman" w:eastAsia="宋体" w:cs="Times New Roman"/>
                <w:szCs w:val="21"/>
              </w:rPr>
              <w:t>2</w:t>
            </w:r>
            <w:r>
              <w:rPr>
                <w:rFonts w:ascii="宋体" w:hAnsi="宋体" w:eastAsia="宋体" w:cs="Times New Roman"/>
                <w:szCs w:val="21"/>
              </w:rPr>
              <w:t>分，迟到</w:t>
            </w:r>
            <w:r>
              <w:rPr>
                <w:rFonts w:ascii="Times New Roman" w:hAnsi="Times New Roman" w:eastAsia="宋体" w:cs="Times New Roman"/>
                <w:szCs w:val="21"/>
              </w:rPr>
              <w:t>1</w:t>
            </w:r>
            <w:r>
              <w:rPr>
                <w:rFonts w:ascii="宋体" w:hAnsi="宋体" w:eastAsia="宋体" w:cs="Times New Roman"/>
                <w:szCs w:val="21"/>
              </w:rPr>
              <w:t>次扣</w:t>
            </w:r>
            <w:r>
              <w:rPr>
                <w:rFonts w:ascii="Times New Roman" w:hAnsi="Times New Roman" w:eastAsia="宋体" w:cs="Times New Roman"/>
                <w:szCs w:val="21"/>
              </w:rPr>
              <w:t>1</w:t>
            </w:r>
            <w:r>
              <w:rPr>
                <w:rFonts w:ascii="宋体" w:hAnsi="宋体" w:eastAsia="宋体" w:cs="Times New Roman"/>
                <w:szCs w:val="21"/>
              </w:rPr>
              <w:t>分，病假不扣分（但病假次数达本学期总授课学时的</w:t>
            </w:r>
            <w:r>
              <w:rPr>
                <w:rFonts w:ascii="Times New Roman" w:hAnsi="Times New Roman" w:eastAsia="宋体" w:cs="Times New Roman"/>
                <w:szCs w:val="21"/>
              </w:rPr>
              <w:t>1/3</w:t>
            </w:r>
            <w:r>
              <w:rPr>
                <w:rFonts w:ascii="宋体" w:hAnsi="宋体" w:eastAsia="宋体" w:cs="Times New Roman"/>
                <w:szCs w:val="21"/>
              </w:rPr>
              <w:t>以上者不得参加考核）。</w:t>
            </w:r>
          </w:p>
        </w:tc>
        <w:tc>
          <w:tcPr>
            <w:tcW w:w="0" w:type="auto"/>
            <w:tcBorders>
              <w:top w:val="single" w:color="auto" w:sz="4" w:space="0"/>
              <w:left w:val="single" w:color="auto" w:sz="4" w:space="0"/>
              <w:bottom w:val="single" w:color="auto" w:sz="4" w:space="0"/>
              <w:right w:val="single" w:color="auto" w:sz="4" w:space="0"/>
            </w:tcBorders>
            <w:vAlign w:val="center"/>
          </w:tcPr>
          <w:p w14:paraId="6D90012E">
            <w:pPr>
              <w:jc w:val="center"/>
              <w:rPr>
                <w:rFonts w:ascii="Times New Roman" w:hAnsi="Times New Roman" w:eastAsia="宋体" w:cs="Times New Roman"/>
                <w:szCs w:val="21"/>
              </w:rPr>
            </w:pPr>
            <w:r>
              <w:rPr>
                <w:rFonts w:ascii="Times New Roman" w:hAnsi="Times New Roman" w:eastAsia="宋体" w:cs="Times New Roman"/>
                <w:szCs w:val="21"/>
              </w:rPr>
              <w:t>4</w:t>
            </w:r>
            <w:r>
              <w:rPr>
                <w:rFonts w:hint="eastAsia" w:ascii="Times New Roman" w:hAnsi="Times New Roman" w:eastAsia="宋体" w:cs="Times New Roman"/>
                <w:szCs w:val="21"/>
              </w:rPr>
              <w:t>0%</w:t>
            </w:r>
          </w:p>
        </w:tc>
      </w:tr>
      <w:tr w14:paraId="7ECE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7718CD7A">
            <w:pPr>
              <w:rPr>
                <w:rFonts w:ascii="Times New Roman" w:hAnsi="Times New Roman" w:eastAsia="宋体" w:cs="Times New Roman"/>
                <w:szCs w:val="21"/>
              </w:rPr>
            </w:pPr>
            <w:r>
              <w:rPr>
                <w:rFonts w:hint="eastAsia" w:ascii="宋体" w:hAnsi="宋体" w:eastAsia="宋体" w:cs="Times New Roman"/>
                <w:szCs w:val="21"/>
              </w:rPr>
              <w:t>课堂表现</w:t>
            </w:r>
          </w:p>
        </w:tc>
        <w:tc>
          <w:tcPr>
            <w:tcW w:w="6924" w:type="dxa"/>
            <w:tcBorders>
              <w:top w:val="single" w:color="auto" w:sz="4" w:space="0"/>
              <w:left w:val="single" w:color="auto" w:sz="4" w:space="0"/>
              <w:bottom w:val="single" w:color="auto" w:sz="4" w:space="0"/>
              <w:right w:val="single" w:color="auto" w:sz="4" w:space="0"/>
            </w:tcBorders>
            <w:vAlign w:val="center"/>
          </w:tcPr>
          <w:p w14:paraId="0D8FCBF1">
            <w:pPr>
              <w:widowControl/>
              <w:spacing w:line="264"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课堂表现。主要指课上教师随机提问、组织课堂讨论等，观察学生参与程度，按照对应的课程目标及权重给予评定。</w:t>
            </w:r>
          </w:p>
        </w:tc>
        <w:tc>
          <w:tcPr>
            <w:tcW w:w="0" w:type="auto"/>
            <w:tcBorders>
              <w:top w:val="single" w:color="auto" w:sz="4" w:space="0"/>
              <w:left w:val="single" w:color="auto" w:sz="4" w:space="0"/>
              <w:bottom w:val="single" w:color="auto" w:sz="4" w:space="0"/>
              <w:right w:val="single" w:color="auto" w:sz="4" w:space="0"/>
            </w:tcBorders>
            <w:vAlign w:val="center"/>
          </w:tcPr>
          <w:p w14:paraId="608F9186">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20F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599B132F">
            <w:pPr>
              <w:rPr>
                <w:rFonts w:ascii="Times New Roman" w:hAnsi="Times New Roman" w:eastAsia="宋体" w:cs="Times New Roman"/>
                <w:szCs w:val="21"/>
              </w:rPr>
            </w:pPr>
            <w:r>
              <w:rPr>
                <w:rFonts w:hint="eastAsia" w:ascii="宋体" w:hAnsi="宋体" w:eastAsia="宋体" w:cs="Times New Roman"/>
                <w:szCs w:val="21"/>
              </w:rPr>
              <w:t>期末考试</w:t>
            </w:r>
          </w:p>
        </w:tc>
        <w:tc>
          <w:tcPr>
            <w:tcW w:w="6924" w:type="dxa"/>
            <w:tcBorders>
              <w:top w:val="single" w:color="auto" w:sz="4" w:space="0"/>
              <w:left w:val="single" w:color="auto" w:sz="4" w:space="0"/>
              <w:bottom w:val="single" w:color="auto" w:sz="4" w:space="0"/>
              <w:right w:val="single" w:color="auto" w:sz="4" w:space="0"/>
            </w:tcBorders>
            <w:vAlign w:val="center"/>
          </w:tcPr>
          <w:p w14:paraId="2D3BC7DE">
            <w:pPr>
              <w:spacing w:line="264" w:lineRule="auto"/>
              <w:jc w:val="left"/>
              <w:rPr>
                <w:rFonts w:ascii="Times New Roman" w:hAnsi="Times New Roman" w:eastAsia="宋体" w:cs="Times New Roman"/>
                <w:szCs w:val="21"/>
              </w:rPr>
            </w:pPr>
            <w:r>
              <w:rPr>
                <w:rFonts w:hint="eastAsia" w:ascii="宋体" w:hAnsi="宋体" w:eastAsia="宋体" w:cs="Times New Roman"/>
                <w:color w:val="000000"/>
                <w:szCs w:val="21"/>
              </w:rPr>
              <w:t>结合专业和自身实际，撰写一份大学生职业发展规划书，规划要有明确的目标和计划，不少于</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500</w:t>
            </w:r>
            <w:r>
              <w:rPr>
                <w:rFonts w:hint="eastAsia" w:ascii="宋体" w:hAnsi="宋体" w:eastAsia="宋体" w:cs="Times New Roman"/>
                <w:color w:val="000000"/>
                <w:szCs w:val="21"/>
              </w:rPr>
              <w:t>字</w:t>
            </w:r>
            <w:r>
              <w:rPr>
                <w:rFonts w:ascii="宋体" w:hAnsi="宋体" w:eastAsia="宋体" w:cs="Times New Roman"/>
                <w:color w:val="000000"/>
                <w:szCs w:val="21"/>
              </w:rPr>
              <w:t>。</w:t>
            </w:r>
          </w:p>
        </w:tc>
        <w:tc>
          <w:tcPr>
            <w:tcW w:w="0" w:type="auto"/>
            <w:tcBorders>
              <w:top w:val="single" w:color="auto" w:sz="4" w:space="0"/>
              <w:left w:val="single" w:color="auto" w:sz="4" w:space="0"/>
              <w:bottom w:val="single" w:color="auto" w:sz="4" w:space="0"/>
              <w:right w:val="single" w:color="auto" w:sz="4" w:space="0"/>
            </w:tcBorders>
            <w:vAlign w:val="center"/>
          </w:tcPr>
          <w:p w14:paraId="696F68A9">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7B16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tcBorders>
              <w:top w:val="single" w:color="auto" w:sz="4" w:space="0"/>
              <w:left w:val="single" w:color="auto" w:sz="4" w:space="0"/>
              <w:bottom w:val="single" w:color="auto" w:sz="4" w:space="0"/>
              <w:right w:val="single" w:color="auto" w:sz="4" w:space="0"/>
            </w:tcBorders>
            <w:vAlign w:val="center"/>
          </w:tcPr>
          <w:p w14:paraId="476C1C39">
            <w:pPr>
              <w:jc w:val="center"/>
              <w:rPr>
                <w:rFonts w:ascii="Times New Roman" w:hAnsi="Times New Roman" w:eastAsia="宋体" w:cs="Times New Roman"/>
                <w:b/>
                <w:bCs/>
                <w:szCs w:val="21"/>
              </w:rPr>
            </w:pPr>
            <w:r>
              <w:rPr>
                <w:rFonts w:hint="eastAsia" w:ascii="宋体" w:hAnsi="宋体" w:eastAsia="宋体" w:cs="Times New Roman"/>
                <w:b/>
                <w:bCs/>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198380F7">
            <w:pPr>
              <w:jc w:val="left"/>
              <w:rPr>
                <w:rFonts w:ascii="Times New Roman" w:hAnsi="Times New Roman" w:eastAsia="宋体" w:cs="Times New Roman"/>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64F7376E">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40F4429">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8B6A83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所有课程目标均需大于等于0.6，否则总评成绩不及格，需要补考或重修。每门课程目标总体达成度计算方法如下：</w:t>
      </w:r>
    </w:p>
    <w:p w14:paraId="12613A14">
      <w:pPr>
        <w:spacing w:before="156" w:beforeLines="50" w:line="360" w:lineRule="auto"/>
        <w:ind w:firstLine="420" w:firstLineChars="200"/>
        <w:jc w:val="left"/>
        <w:rPr>
          <w:rFonts w:hint="eastAsia" w:ascii="宋体" w:hAnsi="宋体" w:eastAsia="宋体" w:cs="Times New Roman"/>
          <w:color w:val="000000"/>
          <w:szCs w:val="21"/>
        </w:rPr>
      </w:pPr>
      <w:r>
        <w:rPr>
          <w:rFonts w:hint="eastAsia" w:ascii="等线" w:hAnsi="等线" w:eastAsia="等线" w:cs="Times New Roman"/>
          <w:szCs w:val="21"/>
        </w:rPr>
        <w:drawing>
          <wp:inline distT="0" distB="0" distL="0" distR="0">
            <wp:extent cx="5133975" cy="314325"/>
            <wp:effectExtent l="0" t="0" r="952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3975" cy="314325"/>
                    </a:xfrm>
                    <a:prstGeom prst="rect">
                      <a:avLst/>
                    </a:prstGeom>
                    <a:noFill/>
                    <a:ln>
                      <a:noFill/>
                    </a:ln>
                  </pic:spPr>
                </pic:pic>
              </a:graphicData>
            </a:graphic>
          </wp:inline>
        </w:drawing>
      </w:r>
    </w:p>
    <w:p w14:paraId="36FDC5F1">
      <w:pPr>
        <w:spacing w:before="156" w:beforeLines="50" w:line="360" w:lineRule="auto"/>
        <w:jc w:val="left"/>
        <w:rPr>
          <w:rFonts w:hint="eastAsia" w:ascii="Times New Roman" w:hAnsi="Times New Roman" w:eastAsia="宋体" w:cs="Times New Roman"/>
          <w:b/>
          <w:sz w:val="24"/>
        </w:rPr>
      </w:pPr>
      <w:r>
        <w:rPr>
          <w:rFonts w:hint="eastAsia" w:ascii="宋体" w:hAnsi="宋体" w:eastAsia="宋体" w:cs="Times New Roman"/>
          <w:b/>
          <w:color w:val="000000"/>
          <w:sz w:val="24"/>
        </w:rPr>
        <w:t>五、</w:t>
      </w:r>
      <w:r>
        <w:rPr>
          <w:rFonts w:hint="eastAsia" w:ascii="宋体" w:hAnsi="宋体" w:eastAsia="宋体" w:cs="Times New Roman"/>
          <w:b/>
          <w:sz w:val="24"/>
        </w:rPr>
        <w:t>课内实践</w:t>
      </w:r>
    </w:p>
    <w:p w14:paraId="409F7CA0">
      <w:pPr>
        <w:spacing w:line="360" w:lineRule="auto"/>
        <w:ind w:firstLine="411" w:firstLineChars="196"/>
        <w:jc w:val="left"/>
        <w:rPr>
          <w:rFonts w:ascii="Times New Roman" w:hAnsi="Times New Roman" w:eastAsia="宋体" w:cs="Times New Roman"/>
          <w:szCs w:val="21"/>
        </w:rPr>
      </w:pPr>
      <w:r>
        <w:rPr>
          <w:rFonts w:hint="eastAsia" w:ascii="宋体" w:hAnsi="宋体" w:eastAsia="宋体" w:cs="Times New Roman"/>
          <w:szCs w:val="21"/>
        </w:rPr>
        <w:t>无</w:t>
      </w:r>
    </w:p>
    <w:p w14:paraId="417CEA4E">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7035868D">
      <w:pPr>
        <w:spacing w:line="360" w:lineRule="auto"/>
        <w:jc w:val="left"/>
        <w:rPr>
          <w:rFonts w:ascii="Times New Roman" w:hAnsi="Times New Roman" w:eastAsia="宋体" w:cs="Times New Roman"/>
          <w:b/>
          <w:szCs w:val="21"/>
        </w:rPr>
      </w:pPr>
      <w:r>
        <w:rPr>
          <w:rFonts w:hint="eastAsia" w:ascii="宋体" w:hAnsi="宋体" w:eastAsia="宋体" w:cs="Times New Roman"/>
          <w:b/>
          <w:szCs w:val="21"/>
        </w:rPr>
        <w:t>（一）持续改进</w:t>
      </w:r>
    </w:p>
    <w:p w14:paraId="5077D5B8">
      <w:pPr>
        <w:spacing w:line="360" w:lineRule="auto"/>
        <w:ind w:firstLine="525" w:firstLineChars="250"/>
        <w:jc w:val="left"/>
        <w:rPr>
          <w:rFonts w:ascii="Times New Roman" w:hAnsi="Times New Roman" w:eastAsia="宋体" w:cs="Times New Roman"/>
          <w:szCs w:val="21"/>
        </w:rPr>
      </w:pPr>
      <w:r>
        <w:rPr>
          <w:rFonts w:hint="eastAsia" w:ascii="宋体" w:hAnsi="宋体" w:eastAsia="宋体" w:cs="Times New Roman"/>
          <w:szCs w:val="21"/>
        </w:rPr>
        <w:t>本课程根据学生作业、课堂讨论和学生、教学督导等的反馈，及时对教学中的不足之处进行改进，并在下一轮课程教学中整改完善，确保相应毕业要求指标点达成。</w:t>
      </w:r>
    </w:p>
    <w:p w14:paraId="204ECF7C">
      <w:pPr>
        <w:spacing w:line="360" w:lineRule="auto"/>
        <w:ind w:firstLine="527" w:firstLineChars="250"/>
        <w:jc w:val="left"/>
        <w:rPr>
          <w:rFonts w:ascii="Times New Roman" w:hAnsi="Times New Roman" w:eastAsia="宋体" w:cs="Times New Roman"/>
          <w:b/>
          <w:szCs w:val="21"/>
        </w:rPr>
      </w:pPr>
      <w:r>
        <w:rPr>
          <w:rFonts w:hint="eastAsia" w:ascii="宋体" w:hAnsi="宋体" w:eastAsia="宋体" w:cs="Times New Roman"/>
          <w:b/>
          <w:szCs w:val="21"/>
        </w:rPr>
        <w:t>（二）建议教材</w:t>
      </w:r>
    </w:p>
    <w:p w14:paraId="0A7A8125">
      <w:pPr>
        <w:spacing w:line="360" w:lineRule="auto"/>
        <w:ind w:firstLine="525" w:firstLineChars="250"/>
        <w:jc w:val="left"/>
        <w:rPr>
          <w:rFonts w:ascii="Times New Roman" w:hAnsi="Times New Roman" w:eastAsia="宋体" w:cs="Times New Roman"/>
          <w:bCs/>
          <w:color w:val="000000"/>
          <w:szCs w:val="21"/>
        </w:rPr>
      </w:pPr>
      <w:r>
        <w:rPr>
          <w:rFonts w:hint="eastAsia" w:ascii="宋体" w:hAnsi="宋体" w:eastAsia="宋体" w:cs="Times New Roman"/>
          <w:bCs/>
          <w:color w:val="000000"/>
          <w:szCs w:val="21"/>
        </w:rPr>
        <w:t>无</w:t>
      </w:r>
    </w:p>
    <w:p w14:paraId="18B92BA8">
      <w:pPr>
        <w:spacing w:line="360" w:lineRule="auto"/>
        <w:ind w:firstLine="527" w:firstLineChars="250"/>
        <w:jc w:val="left"/>
        <w:rPr>
          <w:rFonts w:ascii="Times New Roman" w:hAnsi="Times New Roman" w:eastAsia="宋体" w:cs="Times New Roman"/>
          <w:b/>
          <w:szCs w:val="21"/>
        </w:rPr>
      </w:pPr>
      <w:r>
        <w:rPr>
          <w:rFonts w:hint="eastAsia" w:ascii="宋体" w:hAnsi="宋体" w:eastAsia="宋体" w:cs="Times New Roman"/>
          <w:b/>
          <w:szCs w:val="21"/>
        </w:rPr>
        <w:t>（三）参考书目</w:t>
      </w:r>
    </w:p>
    <w:p w14:paraId="12CC7CE3">
      <w:pPr>
        <w:spacing w:line="360" w:lineRule="auto"/>
        <w:ind w:firstLine="525" w:firstLineChars="250"/>
        <w:jc w:val="left"/>
        <w:rPr>
          <w:rFonts w:ascii="宋体" w:hAnsi="宋体" w:eastAsia="宋体" w:cs="Times New Roman"/>
          <w:szCs w:val="21"/>
        </w:rPr>
      </w:pPr>
      <w:r>
        <w:rPr>
          <w:rFonts w:hint="eastAsia" w:ascii="宋体" w:hAnsi="宋体" w:eastAsia="宋体" w:cs="Times New Roman"/>
          <w:szCs w:val="21"/>
        </w:rPr>
        <w:t>1.</w:t>
      </w:r>
      <w:r>
        <w:rPr>
          <w:rFonts w:hint="eastAsia" w:ascii="等线" w:hAnsi="等线" w:eastAsia="等线" w:cs="Times New Roman"/>
          <w:szCs w:val="21"/>
        </w:rPr>
        <w:t xml:space="preserve"> </w:t>
      </w:r>
      <w:r>
        <w:rPr>
          <w:rFonts w:hint="eastAsia" w:ascii="宋体" w:hAnsi="宋体" w:eastAsia="宋体" w:cs="Times New Roman"/>
          <w:szCs w:val="21"/>
        </w:rPr>
        <w:t>吕莹璐，张侃.大学生职业生涯规划与就业指导.上海：上海交通大学出版社，2019.</w:t>
      </w:r>
    </w:p>
    <w:p w14:paraId="49DFD46D">
      <w:pPr>
        <w:spacing w:line="360" w:lineRule="auto"/>
        <w:ind w:firstLine="525" w:firstLineChars="250"/>
        <w:jc w:val="left"/>
        <w:rPr>
          <w:rFonts w:hint="eastAsia" w:ascii="宋体" w:hAnsi="宋体" w:eastAsia="宋体" w:cs="Times New Roman"/>
          <w:szCs w:val="21"/>
        </w:rPr>
      </w:pPr>
      <w:r>
        <w:rPr>
          <w:rFonts w:hint="eastAsia" w:ascii="宋体" w:hAnsi="宋体" w:eastAsia="宋体" w:cs="Times New Roman"/>
          <w:szCs w:val="21"/>
        </w:rPr>
        <w:t>2.苏文平. 职业生涯规划与就业创业指导.北京：中国人民大学出版社，2023.</w:t>
      </w:r>
    </w:p>
    <w:p w14:paraId="2AE529C6">
      <w:pPr>
        <w:spacing w:line="360" w:lineRule="auto"/>
        <w:ind w:firstLine="525" w:firstLineChars="250"/>
        <w:jc w:val="left"/>
        <w:rPr>
          <w:rFonts w:hint="eastAsia" w:ascii="宋体" w:hAnsi="宋体" w:eastAsia="宋体" w:cs="Times New Roman"/>
          <w:szCs w:val="21"/>
        </w:rPr>
      </w:pPr>
      <w:r>
        <w:rPr>
          <w:rFonts w:hint="eastAsia" w:ascii="宋体" w:hAnsi="宋体" w:eastAsia="宋体" w:cs="Times New Roman"/>
          <w:szCs w:val="21"/>
        </w:rPr>
        <w:t xml:space="preserve"> </w:t>
      </w:r>
    </w:p>
    <w:p w14:paraId="3480520B">
      <w:pPr>
        <w:rPr>
          <w:rFonts w:hint="eastAsia" w:ascii="等线" w:hAnsi="等线" w:eastAsia="等线" w:cs="Times New Roman"/>
          <w:szCs w:val="21"/>
        </w:rPr>
      </w:pPr>
      <w:r>
        <w:rPr>
          <w:rFonts w:hint="eastAsia" w:ascii="等线" w:hAnsi="等线" w:eastAsia="等线" w:cs="Times New Roman"/>
          <w:szCs w:val="21"/>
        </w:rPr>
        <w:t xml:space="preserve"> </w:t>
      </w:r>
    </w:p>
    <w:p w14:paraId="39D843EB">
      <w:pPr>
        <w:spacing w:line="360" w:lineRule="auto"/>
        <w:ind w:right="1200" w:firstLine="4800" w:firstLineChars="2000"/>
        <w:rPr>
          <w:rFonts w:hint="eastAsia" w:ascii="Times New Roman" w:hAnsi="Times New Roman" w:eastAsia="宋体" w:cs="Times New Roman"/>
          <w:sz w:val="24"/>
        </w:rPr>
      </w:pPr>
      <w:r>
        <w:rPr>
          <w:rFonts w:hint="eastAsia" w:ascii="宋体" w:hAnsi="宋体" w:eastAsia="宋体" w:cs="Times New Roman"/>
          <w:sz w:val="24"/>
        </w:rPr>
        <w:t>执</w:t>
      </w:r>
      <w:r>
        <w:rPr>
          <w:rFonts w:hint="eastAsia" w:ascii="Times New Roman" w:hAnsi="Times New Roman" w:eastAsia="宋体" w:cs="Times New Roman"/>
          <w:sz w:val="24"/>
        </w:rPr>
        <w:t xml:space="preserve"> </w:t>
      </w:r>
      <w:r>
        <w:rPr>
          <w:rFonts w:hint="eastAsia" w:ascii="宋体" w:hAnsi="宋体" w:eastAsia="宋体" w:cs="Times New Roman"/>
          <w:sz w:val="24"/>
        </w:rPr>
        <w:t>笔</w:t>
      </w:r>
      <w:r>
        <w:rPr>
          <w:rFonts w:hint="eastAsia" w:ascii="Times New Roman" w:hAnsi="Times New Roman" w:eastAsia="宋体" w:cs="Times New Roman"/>
          <w:sz w:val="24"/>
        </w:rPr>
        <w:t xml:space="preserve"> </w:t>
      </w:r>
      <w:r>
        <w:rPr>
          <w:rFonts w:hint="eastAsia" w:ascii="宋体" w:hAnsi="宋体" w:eastAsia="宋体" w:cs="Times New Roman"/>
          <w:sz w:val="24"/>
        </w:rPr>
        <w:t>人：周晓飞</w:t>
      </w:r>
    </w:p>
    <w:p w14:paraId="38B252A2">
      <w:pPr>
        <w:wordWrap w:val="0"/>
        <w:spacing w:line="360" w:lineRule="auto"/>
        <w:ind w:right="1440" w:firstLine="4800" w:firstLineChars="2000"/>
        <w:rPr>
          <w:rFonts w:ascii="Times New Roman" w:hAnsi="Times New Roman" w:eastAsia="宋体" w:cs="Times New Roman"/>
          <w:sz w:val="24"/>
        </w:rPr>
      </w:pPr>
      <w:r>
        <w:rPr>
          <w:rFonts w:hint="eastAsia" w:ascii="宋体" w:hAnsi="宋体" w:eastAsia="宋体" w:cs="Times New Roman"/>
          <w:sz w:val="24"/>
        </w:rPr>
        <w:t>审</w:t>
      </w:r>
      <w:r>
        <w:rPr>
          <w:rFonts w:hint="eastAsia" w:ascii="Times New Roman" w:hAnsi="Times New Roman" w:eastAsia="宋体" w:cs="Times New Roman"/>
          <w:sz w:val="24"/>
        </w:rPr>
        <w:t xml:space="preserve"> </w:t>
      </w:r>
      <w:r>
        <w:rPr>
          <w:rFonts w:hint="eastAsia" w:ascii="宋体" w:hAnsi="宋体" w:eastAsia="宋体" w:cs="Times New Roman"/>
          <w:sz w:val="24"/>
        </w:rPr>
        <w:t>定</w:t>
      </w:r>
      <w:r>
        <w:rPr>
          <w:rFonts w:hint="eastAsia" w:ascii="Times New Roman" w:hAnsi="Times New Roman" w:eastAsia="宋体" w:cs="Times New Roman"/>
          <w:sz w:val="24"/>
        </w:rPr>
        <w:t xml:space="preserve"> </w:t>
      </w:r>
      <w:r>
        <w:rPr>
          <w:rFonts w:hint="eastAsia" w:ascii="宋体" w:hAnsi="宋体" w:eastAsia="宋体" w:cs="Times New Roman"/>
          <w:sz w:val="24"/>
        </w:rPr>
        <w:t>人：杨晓岚</w:t>
      </w:r>
    </w:p>
    <w:p w14:paraId="2C18D689">
      <w:pPr>
        <w:spacing w:line="360" w:lineRule="auto"/>
        <w:ind w:right="1200" w:firstLine="4800" w:firstLineChars="2000"/>
        <w:rPr>
          <w:rFonts w:ascii="Times New Roman" w:hAnsi="Times New Roman" w:eastAsia="宋体" w:cs="Times New Roman"/>
          <w:sz w:val="24"/>
        </w:rPr>
      </w:pPr>
      <w:r>
        <w:rPr>
          <w:rFonts w:hint="eastAsia" w:ascii="宋体" w:hAnsi="宋体" w:eastAsia="宋体" w:cs="Times New Roman"/>
          <w:sz w:val="24"/>
        </w:rPr>
        <w:t>审</w:t>
      </w:r>
      <w:r>
        <w:rPr>
          <w:rFonts w:hint="eastAsia" w:ascii="Times New Roman" w:hAnsi="Times New Roman" w:eastAsia="宋体" w:cs="Times New Roman"/>
          <w:sz w:val="24"/>
        </w:rPr>
        <w:t xml:space="preserve"> </w:t>
      </w:r>
      <w:r>
        <w:rPr>
          <w:rFonts w:hint="eastAsia" w:ascii="宋体" w:hAnsi="宋体" w:eastAsia="宋体" w:cs="Times New Roman"/>
          <w:sz w:val="24"/>
        </w:rPr>
        <w:t>批</w:t>
      </w:r>
      <w:r>
        <w:rPr>
          <w:rFonts w:hint="eastAsia" w:ascii="Times New Roman" w:hAnsi="Times New Roman" w:eastAsia="宋体" w:cs="Times New Roman"/>
          <w:sz w:val="24"/>
        </w:rPr>
        <w:t xml:space="preserve"> </w:t>
      </w:r>
      <w:r>
        <w:rPr>
          <w:rFonts w:hint="eastAsia" w:ascii="宋体" w:hAnsi="宋体" w:eastAsia="宋体" w:cs="Times New Roman"/>
          <w:sz w:val="24"/>
        </w:rPr>
        <w:t>人：张建波</w:t>
      </w:r>
    </w:p>
    <w:p w14:paraId="4FEB1CC3">
      <w:pPr>
        <w:spacing w:line="360" w:lineRule="auto"/>
        <w:ind w:firstLine="4800" w:firstLineChars="2000"/>
        <w:rPr>
          <w:rFonts w:ascii="Times New Roman" w:hAnsi="Times New Roman" w:eastAsia="宋体" w:cs="Times New Roman"/>
          <w:sz w:val="24"/>
        </w:rPr>
      </w:pPr>
      <w:r>
        <w:rPr>
          <w:rFonts w:hint="eastAsia" w:ascii="宋体" w:hAnsi="宋体" w:eastAsia="宋体" w:cs="Times New Roman"/>
          <w:sz w:val="24"/>
        </w:rPr>
        <w:t>批准时间：</w:t>
      </w:r>
      <w:r>
        <w:rPr>
          <w:rFonts w:hint="eastAsia" w:ascii="Times New Roman" w:hAnsi="Times New Roman" w:eastAsia="宋体" w:cs="Times New Roman"/>
          <w:sz w:val="24"/>
        </w:rPr>
        <w:t xml:space="preserve"> 2024</w:t>
      </w:r>
      <w:r>
        <w:rPr>
          <w:rFonts w:ascii="宋体" w:hAnsi="宋体" w:eastAsia="宋体" w:cs="Times New Roman"/>
          <w:sz w:val="24"/>
        </w:rPr>
        <w:t>年</w:t>
      </w:r>
      <w:r>
        <w:rPr>
          <w:rFonts w:hint="eastAsia" w:ascii="Times New Roman" w:hAnsi="Times New Roman" w:eastAsia="宋体" w:cs="Times New Roman"/>
          <w:sz w:val="24"/>
        </w:rPr>
        <w:t xml:space="preserve"> 9</w:t>
      </w:r>
      <w:r>
        <w:rPr>
          <w:rFonts w:ascii="宋体" w:hAnsi="宋体" w:eastAsia="宋体" w:cs="Times New Roman"/>
          <w:sz w:val="24"/>
        </w:rPr>
        <w:t>月</w:t>
      </w:r>
      <w:r>
        <w:rPr>
          <w:rFonts w:hint="eastAsia" w:ascii="Times New Roman" w:hAnsi="Times New Roman" w:eastAsia="宋体" w:cs="Times New Roman"/>
          <w:sz w:val="24"/>
        </w:rPr>
        <w:t xml:space="preserve">1 </w:t>
      </w:r>
      <w:r>
        <w:rPr>
          <w:rFonts w:ascii="宋体" w:hAnsi="宋体" w:eastAsia="宋体" w:cs="Times New Roman"/>
          <w:sz w:val="24"/>
        </w:rPr>
        <w:t>日</w:t>
      </w:r>
    </w:p>
    <w:p w14:paraId="09BB3A43">
      <w:pPr>
        <w:rPr>
          <w:rFonts w:ascii="等线" w:hAnsi="等线" w:eastAsia="等线" w:cs="Times New Roman"/>
          <w:szCs w:val="21"/>
        </w:rPr>
      </w:pPr>
      <w:r>
        <w:rPr>
          <w:rFonts w:hint="eastAsia" w:ascii="等线" w:hAnsi="等线" w:eastAsia="等线" w:cs="Times New Roman"/>
          <w:szCs w:val="21"/>
        </w:rPr>
        <w:t xml:space="preserve"> </w:t>
      </w:r>
    </w:p>
    <w:p w14:paraId="6EB6D283">
      <w:pPr>
        <w:rPr>
          <w:rFonts w:hint="eastAsia" w:ascii="等线" w:hAnsi="等线" w:eastAsia="等线" w:cs="Times New Roman"/>
          <w:szCs w:val="21"/>
        </w:rPr>
      </w:pPr>
      <w:r>
        <w:rPr>
          <w:rFonts w:hint="eastAsia" w:ascii="等线" w:hAnsi="等线" w:eastAsia="等线" w:cs="Times New Roman"/>
          <w:szCs w:val="21"/>
        </w:rPr>
        <w:t xml:space="preserve"> </w:t>
      </w:r>
    </w:p>
    <w:p w14:paraId="6348CD89">
      <w:pPr>
        <w:pStyle w:val="12"/>
        <w:bidi w:val="0"/>
      </w:pPr>
      <w:r>
        <w:br w:type="page"/>
      </w:r>
    </w:p>
    <w:p w14:paraId="711E5230">
      <w:pPr>
        <w:pStyle w:val="3"/>
      </w:pPr>
      <w:bookmarkStart w:id="47" w:name="_Toc29850"/>
      <w:r>
        <w:rPr>
          <w:rFonts w:hint="eastAsia"/>
        </w:rPr>
        <w:t>《大学生就业指导》课程教学大纲</w:t>
      </w:r>
      <w:bookmarkEnd w:id="47"/>
    </w:p>
    <w:p w14:paraId="3343F9D8">
      <w:pPr>
        <w:spacing w:line="360" w:lineRule="auto"/>
        <w:jc w:val="center"/>
        <w:rPr>
          <w:rFonts w:ascii="Times New Roman" w:hAnsi="Times New Roman" w:eastAsia="宋体" w:cs="Times New Roman"/>
          <w:b/>
          <w:bCs/>
          <w:sz w:val="28"/>
          <w:szCs w:val="28"/>
        </w:rPr>
      </w:pPr>
      <w:r>
        <w:rPr>
          <w:rFonts w:ascii="宋体" w:hAnsi="宋体" w:eastAsia="宋体" w:cs="Times New Roman"/>
          <w:b/>
          <w:bCs/>
          <w:sz w:val="28"/>
          <w:szCs w:val="28"/>
        </w:rPr>
        <w:t>（</w:t>
      </w:r>
      <w:r>
        <w:rPr>
          <w:rFonts w:hint="eastAsia" w:ascii="Times New Roman" w:hAnsi="Times New Roman" w:eastAsia="宋体" w:cs="Times New Roman"/>
          <w:b/>
          <w:bCs/>
          <w:sz w:val="28"/>
          <w:szCs w:val="28"/>
        </w:rPr>
        <w:t>College Students Career Guidance</w:t>
      </w:r>
      <w:r>
        <w:rPr>
          <w:rFonts w:ascii="宋体" w:hAnsi="宋体" w:eastAsia="宋体" w:cs="Times New Roman"/>
          <w:b/>
          <w:bCs/>
          <w:sz w:val="28"/>
          <w:szCs w:val="28"/>
        </w:rPr>
        <w:t>）</w:t>
      </w:r>
    </w:p>
    <w:p w14:paraId="51D4976E">
      <w:pPr>
        <w:spacing w:line="360" w:lineRule="auto"/>
        <w:jc w:val="center"/>
        <w:rPr>
          <w:rFonts w:ascii="Times New Roman" w:hAnsi="Times New Roman" w:eastAsia="宋体" w:cs="Times New Roman"/>
          <w:bCs/>
          <w:sz w:val="30"/>
          <w:szCs w:val="30"/>
        </w:rPr>
      </w:pPr>
      <w:r>
        <w:rPr>
          <w:rFonts w:ascii="Times New Roman" w:hAnsi="Times New Roman" w:eastAsia="宋体" w:cs="Times New Roman"/>
          <w:bCs/>
          <w:sz w:val="30"/>
          <w:szCs w:val="30"/>
        </w:rPr>
        <w:t xml:space="preserve"> </w:t>
      </w:r>
    </w:p>
    <w:p w14:paraId="63C22722">
      <w:pPr>
        <w:spacing w:line="360" w:lineRule="auto"/>
        <w:ind w:firstLine="482" w:firstLineChars="200"/>
        <w:jc w:val="left"/>
        <w:rPr>
          <w:rFonts w:ascii="Times New Roman" w:hAnsi="Times New Roman" w:eastAsia="宋体" w:cs="Times New Roman"/>
          <w:b/>
          <w:sz w:val="24"/>
        </w:rPr>
      </w:pPr>
      <w:r>
        <w:rPr>
          <w:rFonts w:hint="eastAsia" w:ascii="宋体" w:hAnsi="宋体" w:eastAsia="宋体" w:cs="Times New Roman"/>
          <w:b/>
          <w:sz w:val="24"/>
        </w:rPr>
        <w:t>课程名称：大学生就业指导</w:t>
      </w:r>
    </w:p>
    <w:p w14:paraId="2A642AD4">
      <w:pPr>
        <w:spacing w:line="360" w:lineRule="auto"/>
        <w:ind w:firstLine="482" w:firstLineChars="200"/>
        <w:jc w:val="left"/>
        <w:rPr>
          <w:rFonts w:ascii="Times New Roman" w:hAnsi="Times New Roman" w:eastAsia="宋体" w:cs="Times New Roman"/>
          <w:b/>
          <w:sz w:val="24"/>
        </w:rPr>
      </w:pPr>
      <w:r>
        <w:rPr>
          <w:rFonts w:hint="eastAsia" w:ascii="宋体" w:hAnsi="宋体" w:eastAsia="宋体" w:cs="Times New Roman"/>
          <w:b/>
          <w:sz w:val="24"/>
        </w:rPr>
        <w:t>课程代码：</w:t>
      </w:r>
      <w:r>
        <w:rPr>
          <w:rFonts w:hint="eastAsia" w:ascii="Times New Roman" w:hAnsi="Times New Roman" w:eastAsia="宋体" w:cs="Times New Roman"/>
          <w:b/>
          <w:sz w:val="24"/>
        </w:rPr>
        <w:t>0000007</w:t>
      </w:r>
    </w:p>
    <w:p w14:paraId="5FCBDAEF">
      <w:pPr>
        <w:spacing w:line="360" w:lineRule="auto"/>
        <w:ind w:firstLine="482" w:firstLineChars="200"/>
        <w:jc w:val="left"/>
        <w:rPr>
          <w:rFonts w:ascii="Times New Roman" w:hAnsi="Times New Roman" w:eastAsia="宋体" w:cs="Times New Roman"/>
          <w:sz w:val="24"/>
        </w:rPr>
      </w:pPr>
      <w:r>
        <w:rPr>
          <w:rFonts w:hint="eastAsia" w:ascii="宋体" w:hAnsi="宋体" w:eastAsia="宋体" w:cs="Times New Roman"/>
          <w:b/>
          <w:sz w:val="24"/>
        </w:rPr>
        <w:t>学</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w:t>
      </w:r>
      <w:r>
        <w:rPr>
          <w:rFonts w:hint="eastAsia" w:ascii="宋体" w:hAnsi="宋体" w:eastAsia="宋体" w:cs="Times New Roman"/>
          <w:b/>
          <w:sz w:val="24"/>
        </w:rPr>
        <w:t>分：</w:t>
      </w:r>
      <w:r>
        <w:rPr>
          <w:rFonts w:hint="eastAsia" w:ascii="Times New Roman" w:hAnsi="Times New Roman" w:eastAsia="宋体" w:cs="Times New Roman"/>
          <w:b/>
          <w:sz w:val="24"/>
        </w:rPr>
        <w:t>0.5</w:t>
      </w:r>
    </w:p>
    <w:p w14:paraId="2A9AED73">
      <w:pPr>
        <w:spacing w:line="360" w:lineRule="auto"/>
        <w:ind w:firstLine="482" w:firstLineChars="200"/>
        <w:jc w:val="left"/>
        <w:rPr>
          <w:rFonts w:hint="eastAsia" w:ascii="Times New Roman" w:hAnsi="Times New Roman" w:eastAsia="宋体" w:cs="Times New Roman"/>
          <w:sz w:val="24"/>
        </w:rPr>
      </w:pPr>
      <w:r>
        <w:rPr>
          <w:rFonts w:hint="eastAsia" w:ascii="宋体" w:hAnsi="宋体" w:eastAsia="宋体" w:cs="Times New Roman"/>
          <w:b/>
          <w:sz w:val="24"/>
        </w:rPr>
        <w:t>学</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w:t>
      </w:r>
      <w:r>
        <w:rPr>
          <w:rFonts w:hint="eastAsia" w:ascii="宋体" w:hAnsi="宋体" w:eastAsia="宋体" w:cs="Times New Roman"/>
          <w:b/>
          <w:sz w:val="24"/>
        </w:rPr>
        <w:t>时：</w:t>
      </w:r>
      <w:r>
        <w:rPr>
          <w:rFonts w:hint="eastAsia" w:ascii="Times New Roman" w:hAnsi="Times New Roman" w:eastAsia="宋体" w:cs="Times New Roman"/>
          <w:b/>
          <w:sz w:val="24"/>
        </w:rPr>
        <w:t>8</w:t>
      </w:r>
    </w:p>
    <w:p w14:paraId="14941A77">
      <w:pPr>
        <w:spacing w:line="360" w:lineRule="auto"/>
        <w:ind w:firstLine="482" w:firstLineChars="200"/>
        <w:jc w:val="left"/>
        <w:rPr>
          <w:rFonts w:ascii="Times New Roman" w:hAnsi="Times New Roman" w:eastAsia="宋体" w:cs="Times New Roman"/>
          <w:sz w:val="24"/>
        </w:rPr>
      </w:pPr>
      <w:r>
        <w:rPr>
          <w:rFonts w:hint="eastAsia" w:ascii="宋体" w:hAnsi="宋体" w:eastAsia="宋体" w:cs="Times New Roman"/>
          <w:b/>
          <w:sz w:val="24"/>
        </w:rPr>
        <w:t>先修课程：大学生职业生涯规划</w:t>
      </w:r>
    </w:p>
    <w:p w14:paraId="10C7F7DD">
      <w:pPr>
        <w:spacing w:line="360" w:lineRule="auto"/>
        <w:ind w:firstLine="482" w:firstLineChars="200"/>
        <w:jc w:val="left"/>
        <w:rPr>
          <w:rFonts w:ascii="Times New Roman" w:hAnsi="Times New Roman" w:eastAsia="宋体" w:cs="Times New Roman"/>
          <w:sz w:val="24"/>
        </w:rPr>
      </w:pPr>
      <w:r>
        <w:rPr>
          <w:rFonts w:hint="eastAsia" w:ascii="宋体" w:hAnsi="宋体" w:eastAsia="宋体" w:cs="Times New Roman"/>
          <w:b/>
          <w:sz w:val="24"/>
        </w:rPr>
        <w:t>适用专业：所有专业</w:t>
      </w:r>
    </w:p>
    <w:p w14:paraId="627C8857">
      <w:pPr>
        <w:spacing w:line="360" w:lineRule="auto"/>
        <w:jc w:val="left"/>
        <w:rPr>
          <w:rFonts w:ascii="Times New Roman" w:hAnsi="Times New Roman" w:eastAsia="宋体" w:cs="Times New Roman"/>
          <w:b/>
          <w:sz w:val="24"/>
        </w:rPr>
      </w:pPr>
      <w:r>
        <w:rPr>
          <w:rFonts w:ascii="Times New Roman" w:hAnsi="Times New Roman" w:eastAsia="宋体" w:cs="Times New Roman"/>
          <w:b/>
          <w:sz w:val="24"/>
        </w:rPr>
        <w:t xml:space="preserve"> </w:t>
      </w:r>
    </w:p>
    <w:p w14:paraId="5E874E24">
      <w:pPr>
        <w:spacing w:line="360" w:lineRule="auto"/>
        <w:jc w:val="left"/>
        <w:rPr>
          <w:rFonts w:ascii="Times New Roman" w:hAnsi="Times New Roman" w:eastAsia="宋体" w:cs="Times New Roman"/>
          <w:sz w:val="24"/>
        </w:rPr>
      </w:pPr>
      <w:r>
        <w:rPr>
          <w:rFonts w:hint="eastAsia" w:ascii="宋体" w:hAnsi="宋体" w:eastAsia="宋体" w:cs="Times New Roman"/>
          <w:b/>
          <w:sz w:val="24"/>
        </w:rPr>
        <w:t>一、课程简介</w:t>
      </w:r>
    </w:p>
    <w:p w14:paraId="07CDA16F">
      <w:pPr>
        <w:spacing w:line="360" w:lineRule="auto"/>
        <w:ind w:firstLine="420" w:firstLineChars="200"/>
        <w:jc w:val="left"/>
        <w:rPr>
          <w:rFonts w:ascii="宋体" w:hAnsi="宋体" w:eastAsia="宋体" w:cs="Times New Roman"/>
          <w:b/>
          <w:color w:val="000000"/>
          <w:szCs w:val="21"/>
        </w:rPr>
      </w:pPr>
      <w:r>
        <w:rPr>
          <w:rFonts w:hint="eastAsia" w:ascii="宋体" w:hAnsi="宋体" w:eastAsia="宋体" w:cs="Times New Roman"/>
          <w:szCs w:val="21"/>
        </w:rPr>
        <w:t>本课程是针对所有在校全日制本科学生开设的公共必修课程。该课程是帮助大学生了解国家就业形势和政策，引导大学生充分认知自我，合理调整职业预期，树立正确的择业观，增强就业竞争意识，掌握求职择业的基本常识和技巧，把握大学生就业市场的特点和功能，提高大学生的择业、就业能力。通过该课程的学习，让学生对社会、职业和自己有更好的认知，积极适应职业角色和社会环境，培养学生尽快适应社会的能力，做好从“学校人”到“社会人”转变的准备。</w:t>
      </w:r>
    </w:p>
    <w:p w14:paraId="76B6D771">
      <w:pPr>
        <w:spacing w:line="360" w:lineRule="auto"/>
        <w:jc w:val="left"/>
        <w:rPr>
          <w:rFonts w:hint="eastAsia" w:ascii="Times New Roman" w:hAnsi="Times New Roman" w:eastAsia="宋体" w:cs="Times New Roman"/>
          <w:sz w:val="24"/>
        </w:rPr>
      </w:pPr>
      <w:r>
        <w:rPr>
          <w:rFonts w:hint="eastAsia" w:ascii="宋体" w:hAnsi="宋体" w:eastAsia="宋体" w:cs="Times New Roman"/>
          <w:b/>
          <w:color w:val="000000"/>
          <w:sz w:val="24"/>
        </w:rPr>
        <w:t>二、课程目标</w:t>
      </w:r>
    </w:p>
    <w:p w14:paraId="5F740C20">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02020E0E">
      <w:pPr>
        <w:spacing w:line="360" w:lineRule="auto"/>
        <w:ind w:firstLine="482"/>
        <w:jc w:val="left"/>
        <w:rPr>
          <w:rFonts w:hint="eastAsia" w:ascii="Times New Roman" w:hAnsi="Times New Roman" w:eastAsia="宋体" w:cs="Times New Roman"/>
          <w:szCs w:val="21"/>
        </w:rPr>
      </w:pPr>
      <w:r>
        <w:rPr>
          <w:rFonts w:hint="eastAsia" w:ascii="宋体" w:hAnsi="宋体"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szCs w:val="21"/>
        </w:rPr>
        <w:t>了解就业形势和创业的意义，树立正确的就业观、择业观、创业观，做好适应社会、融入社会和就业、创业的准备。</w:t>
      </w:r>
    </w:p>
    <w:p w14:paraId="23E1EE2D">
      <w:pPr>
        <w:spacing w:line="360" w:lineRule="auto"/>
        <w:ind w:firstLine="482"/>
        <w:jc w:val="left"/>
        <w:rPr>
          <w:rFonts w:hint="eastAsia" w:ascii="Times New Roman" w:hAnsi="Times New Roman" w:eastAsia="宋体" w:cs="Times New Roman"/>
          <w:szCs w:val="21"/>
        </w:rPr>
      </w:pPr>
      <w:r>
        <w:rPr>
          <w:rFonts w:hint="eastAsia" w:ascii="宋体" w:hAnsi="宋体" w:eastAsia="宋体" w:cs="Times New Roman"/>
          <w:b/>
          <w:bCs/>
          <w:szCs w:val="21"/>
        </w:rPr>
        <w:t>目标</w:t>
      </w:r>
      <w:r>
        <w:rPr>
          <w:rFonts w:hint="eastAsia" w:ascii="Times New Roman" w:hAnsi="Times New Roman" w:eastAsia="宋体" w:cs="Times New Roman"/>
          <w:b/>
          <w:bCs/>
          <w:szCs w:val="21"/>
        </w:rPr>
        <w:t>2.</w:t>
      </w:r>
      <w:r>
        <w:rPr>
          <w:rFonts w:hint="eastAsia" w:ascii="Times New Roman" w:hAnsi="Times New Roman" w:eastAsia="宋体" w:cs="Times New Roman"/>
          <w:b/>
          <w:bCs/>
          <w:szCs w:val="21"/>
        </w:rPr>
        <w:tab/>
      </w:r>
      <w:r>
        <w:rPr>
          <w:rFonts w:hint="eastAsia" w:ascii="宋体" w:hAnsi="宋体" w:eastAsia="宋体" w:cs="Times New Roman"/>
          <w:szCs w:val="21"/>
        </w:rPr>
        <w:t>了解就业政策法规，掌握求职技巧：让学生掌握求职的基本技巧和方法，如简历制作、面试技巧等，提高他们的求职成功率。</w:t>
      </w:r>
    </w:p>
    <w:p w14:paraId="2D7B0BF1">
      <w:pPr>
        <w:spacing w:line="360" w:lineRule="auto"/>
        <w:ind w:firstLine="482"/>
        <w:jc w:val="left"/>
        <w:rPr>
          <w:rFonts w:hint="eastAsia" w:ascii="Times New Roman" w:hAnsi="Times New Roman" w:eastAsia="宋体" w:cs="Times New Roman"/>
          <w:szCs w:val="21"/>
        </w:rPr>
      </w:pPr>
      <w:r>
        <w:rPr>
          <w:rFonts w:hint="eastAsia" w:ascii="宋体" w:hAnsi="宋体" w:eastAsia="宋体" w:cs="Times New Roman"/>
          <w:b/>
          <w:bCs/>
          <w:szCs w:val="21"/>
        </w:rPr>
        <w:t>目标</w:t>
      </w:r>
      <w:r>
        <w:rPr>
          <w:rFonts w:hint="eastAsia" w:ascii="Times New Roman" w:hAnsi="Times New Roman" w:eastAsia="宋体" w:cs="Times New Roman"/>
          <w:b/>
          <w:bCs/>
          <w:szCs w:val="21"/>
        </w:rPr>
        <w:t>3.</w:t>
      </w:r>
      <w:r>
        <w:rPr>
          <w:rFonts w:hint="eastAsia" w:ascii="Times New Roman" w:hAnsi="Times New Roman" w:eastAsia="宋体" w:cs="Times New Roman"/>
          <w:b/>
          <w:bCs/>
          <w:szCs w:val="21"/>
        </w:rPr>
        <w:tab/>
      </w:r>
      <w:r>
        <w:rPr>
          <w:rFonts w:hint="eastAsia" w:ascii="宋体" w:hAnsi="宋体" w:eastAsia="宋体" w:cs="Times New Roman"/>
          <w:szCs w:val="21"/>
        </w:rPr>
        <w:t>提高综合素质：通过实践活动和团队合作，培养学生的沟通、协作、创新和解决问题的能力，提高综合素质和适应社会的能力。</w:t>
      </w:r>
    </w:p>
    <w:p w14:paraId="6485F3FD">
      <w:pPr>
        <w:spacing w:line="360" w:lineRule="auto"/>
        <w:ind w:firstLine="482"/>
        <w:jc w:val="left"/>
        <w:rPr>
          <w:rFonts w:ascii="Times New Roman" w:hAnsi="Times New Roman" w:eastAsia="宋体" w:cs="Times New Roman"/>
          <w:b/>
          <w:bCs/>
          <w:szCs w:val="21"/>
        </w:rPr>
      </w:pPr>
      <w:r>
        <w:rPr>
          <w:rFonts w:hint="eastAsia" w:ascii="宋体" w:hAnsi="宋体" w:eastAsia="宋体" w:cs="Times New Roman"/>
          <w:b/>
          <w:bCs/>
          <w:szCs w:val="21"/>
        </w:rPr>
        <w:t>（二）课程目标及其对毕业要求指标点的支撑</w:t>
      </w:r>
    </w:p>
    <w:tbl>
      <w:tblPr>
        <w:tblStyle w:val="43"/>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239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Borders>
              <w:top w:val="single" w:color="auto" w:sz="4" w:space="0"/>
              <w:left w:val="single" w:color="auto" w:sz="4" w:space="0"/>
              <w:bottom w:val="single" w:color="auto" w:sz="4" w:space="0"/>
              <w:right w:val="single" w:color="auto" w:sz="4" w:space="0"/>
            </w:tcBorders>
            <w:vAlign w:val="center"/>
          </w:tcPr>
          <w:p w14:paraId="01EE3024">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毕业要求</w:t>
            </w:r>
          </w:p>
        </w:tc>
        <w:tc>
          <w:tcPr>
            <w:tcW w:w="5688" w:type="dxa"/>
            <w:tcBorders>
              <w:top w:val="single" w:color="auto" w:sz="4" w:space="0"/>
              <w:left w:val="single" w:color="auto" w:sz="4" w:space="0"/>
              <w:bottom w:val="single" w:color="auto" w:sz="4" w:space="0"/>
              <w:right w:val="single" w:color="auto" w:sz="4" w:space="0"/>
            </w:tcBorders>
            <w:vAlign w:val="center"/>
          </w:tcPr>
          <w:p w14:paraId="29B998E4">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毕业要求指标点</w:t>
            </w:r>
          </w:p>
        </w:tc>
        <w:tc>
          <w:tcPr>
            <w:tcW w:w="1191" w:type="dxa"/>
            <w:tcBorders>
              <w:top w:val="single" w:color="auto" w:sz="4" w:space="0"/>
              <w:left w:val="single" w:color="auto" w:sz="4" w:space="0"/>
              <w:bottom w:val="single" w:color="auto" w:sz="4" w:space="0"/>
              <w:right w:val="single" w:color="auto" w:sz="4" w:space="0"/>
            </w:tcBorders>
            <w:vAlign w:val="center"/>
          </w:tcPr>
          <w:p w14:paraId="502B2511">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课程目标</w:t>
            </w:r>
          </w:p>
        </w:tc>
      </w:tr>
      <w:tr w14:paraId="5A38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Borders>
              <w:top w:val="single" w:color="auto" w:sz="4" w:space="0"/>
              <w:left w:val="single" w:color="auto" w:sz="4" w:space="0"/>
              <w:bottom w:val="single" w:color="auto" w:sz="4" w:space="0"/>
              <w:right w:val="single" w:color="auto" w:sz="4" w:space="0"/>
            </w:tcBorders>
            <w:vAlign w:val="center"/>
          </w:tcPr>
          <w:p w14:paraId="20F49AE0">
            <w:pPr>
              <w:spacing w:line="273" w:lineRule="auto"/>
              <w:jc w:val="left"/>
              <w:rPr>
                <w:rFonts w:ascii="Times New Roman" w:hAnsi="Times New Roman" w:eastAsia="宋体" w:cs="Times New Roman"/>
                <w:szCs w:val="21"/>
              </w:rPr>
            </w:pPr>
            <w:r>
              <w:rPr>
                <w:rFonts w:hint="eastAsia" w:ascii="宋体" w:hAnsi="宋体" w:eastAsia="宋体" w:cs="Times New Roman"/>
                <w:szCs w:val="21"/>
              </w:rPr>
              <w:t>毕业要求</w:t>
            </w:r>
            <w:r>
              <w:rPr>
                <w:rFonts w:hint="eastAsia" w:ascii="Times New Roman" w:hAnsi="Times New Roman" w:eastAsia="宋体" w:cs="Times New Roman"/>
                <w:szCs w:val="21"/>
              </w:rPr>
              <w:t>1</w:t>
            </w:r>
            <w:r>
              <w:rPr>
                <w:rFonts w:hint="eastAsia" w:ascii="宋体" w:hAnsi="宋体" w:eastAsia="宋体" w:cs="Times New Roman"/>
                <w:szCs w:val="21"/>
              </w:rPr>
              <w:t>师德规范</w:t>
            </w:r>
          </w:p>
        </w:tc>
        <w:tc>
          <w:tcPr>
            <w:tcW w:w="5688" w:type="dxa"/>
            <w:tcBorders>
              <w:top w:val="single" w:color="auto" w:sz="4" w:space="0"/>
              <w:left w:val="single" w:color="auto" w:sz="4" w:space="0"/>
              <w:bottom w:val="single" w:color="auto" w:sz="4" w:space="0"/>
              <w:right w:val="single" w:color="auto" w:sz="4" w:space="0"/>
            </w:tcBorders>
            <w:vAlign w:val="center"/>
          </w:tcPr>
          <w:p w14:paraId="62E64F80">
            <w:pPr>
              <w:spacing w:line="273" w:lineRule="auto"/>
              <w:jc w:val="left"/>
              <w:rPr>
                <w:rFonts w:ascii="Times New Roman" w:hAnsi="Times New Roman" w:eastAsia="宋体" w:cs="Times New Roman"/>
                <w:szCs w:val="21"/>
              </w:rPr>
            </w:pPr>
            <w:r>
              <w:rPr>
                <w:rFonts w:hint="eastAsia" w:ascii="宋体" w:hAnsi="宋体" w:eastAsia="宋体" w:cs="Times New Roman"/>
                <w:szCs w:val="21"/>
              </w:rPr>
              <w:t>指标点</w:t>
            </w:r>
            <w:r>
              <w:rPr>
                <w:rFonts w:hint="eastAsia" w:ascii="Times New Roman" w:hAnsi="Times New Roman" w:eastAsia="宋体" w:cs="Times New Roman"/>
                <w:szCs w:val="21"/>
              </w:rPr>
              <w:t>1-2</w:t>
            </w:r>
            <w:r>
              <w:rPr>
                <w:rFonts w:hint="eastAsia" w:ascii="宋体" w:hAnsi="宋体" w:eastAsia="宋体" w:cs="Times New Roman"/>
                <w:szCs w:val="21"/>
              </w:rPr>
              <w:t>：【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191" w:type="dxa"/>
            <w:tcBorders>
              <w:top w:val="single" w:color="auto" w:sz="4" w:space="0"/>
              <w:left w:val="single" w:color="auto" w:sz="4" w:space="0"/>
              <w:bottom w:val="single" w:color="auto" w:sz="4" w:space="0"/>
              <w:right w:val="single" w:color="auto" w:sz="4" w:space="0"/>
            </w:tcBorders>
            <w:vAlign w:val="center"/>
          </w:tcPr>
          <w:p w14:paraId="3884D052">
            <w:pPr>
              <w:spacing w:line="273" w:lineRule="auto"/>
              <w:jc w:val="left"/>
              <w:rPr>
                <w:rFonts w:ascii="Times New Roman" w:hAnsi="Times New Roman" w:eastAsia="宋体" w:cs="Times New Roman"/>
                <w:szCs w:val="21"/>
              </w:rPr>
            </w:pPr>
            <w:r>
              <w:rPr>
                <w:rFonts w:hint="eastAsia" w:ascii="宋体" w:hAnsi="宋体" w:eastAsia="宋体" w:cs="Times New Roman"/>
                <w:szCs w:val="21"/>
              </w:rPr>
              <w:t>课程目标</w:t>
            </w:r>
            <w:r>
              <w:rPr>
                <w:rFonts w:hint="eastAsia" w:ascii="Times New Roman" w:hAnsi="Times New Roman" w:eastAsia="宋体" w:cs="Times New Roman"/>
                <w:szCs w:val="21"/>
              </w:rPr>
              <w:t>1</w:t>
            </w:r>
          </w:p>
        </w:tc>
      </w:tr>
      <w:tr w14:paraId="45CC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Borders>
              <w:top w:val="single" w:color="auto" w:sz="4" w:space="0"/>
              <w:left w:val="single" w:color="auto" w:sz="4" w:space="0"/>
              <w:bottom w:val="single" w:color="auto" w:sz="4" w:space="0"/>
              <w:right w:val="single" w:color="auto" w:sz="4" w:space="0"/>
            </w:tcBorders>
            <w:vAlign w:val="center"/>
          </w:tcPr>
          <w:p w14:paraId="4A47B091">
            <w:pPr>
              <w:spacing w:line="273" w:lineRule="auto"/>
              <w:jc w:val="left"/>
              <w:rPr>
                <w:rFonts w:ascii="Times New Roman" w:hAnsi="Times New Roman" w:eastAsia="宋体" w:cs="Times New Roman"/>
                <w:szCs w:val="21"/>
              </w:rPr>
            </w:pPr>
            <w:r>
              <w:rPr>
                <w:rFonts w:hint="eastAsia" w:ascii="宋体" w:hAnsi="宋体" w:eastAsia="宋体" w:cs="Times New Roman"/>
                <w:szCs w:val="21"/>
              </w:rPr>
              <w:t>毕业要求</w:t>
            </w:r>
            <w:r>
              <w:rPr>
                <w:rFonts w:hint="eastAsia" w:ascii="Times New Roman" w:hAnsi="Times New Roman" w:eastAsia="宋体" w:cs="Times New Roman"/>
                <w:szCs w:val="21"/>
              </w:rPr>
              <w:t>2</w:t>
            </w:r>
            <w:r>
              <w:rPr>
                <w:rFonts w:hint="eastAsia" w:ascii="宋体" w:hAnsi="宋体" w:eastAsia="宋体" w:cs="Times New Roman"/>
                <w:szCs w:val="21"/>
              </w:rPr>
              <w:t>教育情怀</w:t>
            </w:r>
          </w:p>
        </w:tc>
        <w:tc>
          <w:tcPr>
            <w:tcW w:w="5688" w:type="dxa"/>
            <w:tcBorders>
              <w:top w:val="single" w:color="auto" w:sz="4" w:space="0"/>
              <w:left w:val="single" w:color="auto" w:sz="4" w:space="0"/>
              <w:bottom w:val="single" w:color="auto" w:sz="4" w:space="0"/>
              <w:right w:val="single" w:color="auto" w:sz="4" w:space="0"/>
            </w:tcBorders>
            <w:vAlign w:val="center"/>
          </w:tcPr>
          <w:p w14:paraId="3B4D9513">
            <w:pPr>
              <w:spacing w:line="273"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191" w:type="dxa"/>
            <w:tcBorders>
              <w:top w:val="single" w:color="auto" w:sz="4" w:space="0"/>
              <w:left w:val="single" w:color="auto" w:sz="4" w:space="0"/>
              <w:bottom w:val="single" w:color="auto" w:sz="4" w:space="0"/>
              <w:right w:val="single" w:color="auto" w:sz="4" w:space="0"/>
            </w:tcBorders>
            <w:vAlign w:val="center"/>
          </w:tcPr>
          <w:p w14:paraId="2A5CD10C">
            <w:pPr>
              <w:spacing w:line="273" w:lineRule="auto"/>
              <w:jc w:val="left"/>
              <w:rPr>
                <w:rFonts w:ascii="Times New Roman" w:hAnsi="Times New Roman" w:eastAsia="宋体" w:cs="Times New Roman"/>
                <w:szCs w:val="21"/>
              </w:rPr>
            </w:pPr>
            <w:r>
              <w:rPr>
                <w:rFonts w:hint="eastAsia" w:ascii="宋体" w:hAnsi="宋体" w:eastAsia="宋体" w:cs="Times New Roman"/>
                <w:szCs w:val="21"/>
              </w:rPr>
              <w:t>课程目标</w:t>
            </w:r>
            <w:r>
              <w:rPr>
                <w:rFonts w:hint="eastAsia" w:ascii="Times New Roman" w:hAnsi="Times New Roman" w:eastAsia="宋体" w:cs="Times New Roman"/>
                <w:szCs w:val="21"/>
              </w:rPr>
              <w:t>3</w:t>
            </w:r>
          </w:p>
        </w:tc>
      </w:tr>
      <w:tr w14:paraId="3B8E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Borders>
              <w:top w:val="single" w:color="auto" w:sz="4" w:space="0"/>
              <w:left w:val="single" w:color="auto" w:sz="4" w:space="0"/>
              <w:bottom w:val="single" w:color="auto" w:sz="4" w:space="0"/>
              <w:right w:val="single" w:color="auto" w:sz="4" w:space="0"/>
            </w:tcBorders>
            <w:vAlign w:val="center"/>
          </w:tcPr>
          <w:p w14:paraId="4FE52EFD">
            <w:pPr>
              <w:spacing w:line="273" w:lineRule="auto"/>
              <w:jc w:val="left"/>
              <w:rPr>
                <w:rFonts w:ascii="Times New Roman" w:hAnsi="Times New Roman" w:eastAsia="宋体" w:cs="Times New Roman"/>
                <w:szCs w:val="21"/>
              </w:rPr>
            </w:pPr>
            <w:r>
              <w:rPr>
                <w:rFonts w:hint="eastAsia" w:ascii="宋体" w:hAnsi="宋体" w:eastAsia="宋体" w:cs="Times New Roman"/>
                <w:szCs w:val="21"/>
              </w:rPr>
              <w:t>毕业要求</w:t>
            </w:r>
            <w:r>
              <w:rPr>
                <w:rFonts w:hint="eastAsia" w:ascii="Times New Roman" w:hAnsi="Times New Roman" w:eastAsia="宋体" w:cs="Times New Roman"/>
                <w:szCs w:val="21"/>
              </w:rPr>
              <w:t>7</w:t>
            </w:r>
            <w:r>
              <w:rPr>
                <w:rFonts w:hint="eastAsia" w:ascii="宋体" w:hAnsi="宋体" w:eastAsia="宋体" w:cs="Times New Roman"/>
                <w:szCs w:val="21"/>
              </w:rPr>
              <w:t>学会反思</w:t>
            </w:r>
          </w:p>
        </w:tc>
        <w:tc>
          <w:tcPr>
            <w:tcW w:w="5688" w:type="dxa"/>
            <w:tcBorders>
              <w:top w:val="single" w:color="auto" w:sz="4" w:space="0"/>
              <w:left w:val="single" w:color="auto" w:sz="4" w:space="0"/>
              <w:bottom w:val="single" w:color="auto" w:sz="4" w:space="0"/>
              <w:right w:val="single" w:color="auto" w:sz="4" w:space="0"/>
            </w:tcBorders>
            <w:vAlign w:val="center"/>
          </w:tcPr>
          <w:p w14:paraId="26488703">
            <w:pPr>
              <w:spacing w:line="273"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指标点7-2：【职业规划合理】了解教师专业发展的要求，形成终身学习的意识和习惯，注重自身的专业发展，根据基础教育课程改革的动态和发展情况，进行职业生涯规划和自主学习。</w:t>
            </w:r>
          </w:p>
        </w:tc>
        <w:tc>
          <w:tcPr>
            <w:tcW w:w="1191" w:type="dxa"/>
            <w:tcBorders>
              <w:top w:val="single" w:color="auto" w:sz="4" w:space="0"/>
              <w:left w:val="single" w:color="auto" w:sz="4" w:space="0"/>
              <w:bottom w:val="single" w:color="auto" w:sz="4" w:space="0"/>
              <w:right w:val="single" w:color="auto" w:sz="4" w:space="0"/>
            </w:tcBorders>
            <w:vAlign w:val="center"/>
          </w:tcPr>
          <w:p w14:paraId="47705588">
            <w:pPr>
              <w:spacing w:line="273" w:lineRule="auto"/>
              <w:jc w:val="left"/>
              <w:rPr>
                <w:rFonts w:ascii="Times New Roman" w:hAnsi="Times New Roman" w:eastAsia="宋体" w:cs="Times New Roman"/>
                <w:szCs w:val="21"/>
              </w:rPr>
            </w:pPr>
            <w:r>
              <w:rPr>
                <w:rFonts w:hint="eastAsia" w:ascii="宋体" w:hAnsi="宋体" w:eastAsia="宋体" w:cs="Times New Roman"/>
                <w:szCs w:val="21"/>
              </w:rPr>
              <w:t>课程目标</w:t>
            </w:r>
            <w:r>
              <w:rPr>
                <w:rFonts w:hint="eastAsia" w:ascii="Times New Roman" w:hAnsi="Times New Roman" w:eastAsia="宋体" w:cs="Times New Roman"/>
                <w:szCs w:val="21"/>
              </w:rPr>
              <w:t>2</w:t>
            </w:r>
          </w:p>
        </w:tc>
      </w:tr>
    </w:tbl>
    <w:p w14:paraId="55B9103D">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7B0DCC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了解就业形势的基础上，践行社会主义核心价值观，认同中国特色社会主义，认同教师工作的意义和专业性，具有积极的情感、端正的态度、正确的价值观，就业观，立志成为有理想信念、有道德情操、有扎实学习、有仁爱之心的新时代大国良师。</w:t>
      </w:r>
    </w:p>
    <w:p w14:paraId="1711EE33">
      <w:pPr>
        <w:spacing w:line="360" w:lineRule="auto"/>
        <w:jc w:val="left"/>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rPr>
        <w:t xml:space="preserve"> </w:t>
      </w:r>
    </w:p>
    <w:p w14:paraId="25EBC756">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4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650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5" w:type="dxa"/>
            <w:tcBorders>
              <w:top w:val="single" w:color="auto" w:sz="4" w:space="0"/>
              <w:left w:val="single" w:color="auto" w:sz="4" w:space="0"/>
              <w:bottom w:val="single" w:color="auto" w:sz="4" w:space="0"/>
              <w:right w:val="single" w:color="auto" w:sz="4" w:space="0"/>
            </w:tcBorders>
            <w:vAlign w:val="center"/>
          </w:tcPr>
          <w:p w14:paraId="614AF98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1454386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tcBorders>
              <w:top w:val="single" w:color="auto" w:sz="4" w:space="0"/>
              <w:left w:val="single" w:color="auto" w:sz="4" w:space="0"/>
              <w:bottom w:val="single" w:color="auto" w:sz="4" w:space="0"/>
              <w:right w:val="single" w:color="auto" w:sz="4" w:space="0"/>
            </w:tcBorders>
            <w:vAlign w:val="center"/>
          </w:tcPr>
          <w:p w14:paraId="7E04279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tcBorders>
              <w:top w:val="single" w:color="auto" w:sz="4" w:space="0"/>
              <w:left w:val="single" w:color="auto" w:sz="4" w:space="0"/>
              <w:bottom w:val="single" w:color="auto" w:sz="4" w:space="0"/>
              <w:right w:val="single" w:color="auto" w:sz="4" w:space="0"/>
            </w:tcBorders>
            <w:vAlign w:val="center"/>
          </w:tcPr>
          <w:p w14:paraId="006F04A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3E13256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tcBorders>
              <w:top w:val="single" w:color="auto" w:sz="4" w:space="0"/>
              <w:left w:val="single" w:color="auto" w:sz="4" w:space="0"/>
              <w:bottom w:val="single" w:color="auto" w:sz="4" w:space="0"/>
              <w:right w:val="single" w:color="auto" w:sz="4" w:space="0"/>
            </w:tcBorders>
            <w:vAlign w:val="center"/>
          </w:tcPr>
          <w:p w14:paraId="7F8EE85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tcBorders>
              <w:top w:val="single" w:color="auto" w:sz="4" w:space="0"/>
              <w:left w:val="single" w:color="auto" w:sz="4" w:space="0"/>
              <w:bottom w:val="single" w:color="auto" w:sz="4" w:space="0"/>
              <w:right w:val="single" w:color="auto" w:sz="4" w:space="0"/>
            </w:tcBorders>
            <w:vAlign w:val="center"/>
          </w:tcPr>
          <w:p w14:paraId="2874239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tcBorders>
              <w:top w:val="single" w:color="auto" w:sz="4" w:space="0"/>
              <w:left w:val="single" w:color="auto" w:sz="4" w:space="0"/>
              <w:bottom w:val="single" w:color="auto" w:sz="4" w:space="0"/>
              <w:right w:val="single" w:color="auto" w:sz="4" w:space="0"/>
            </w:tcBorders>
            <w:vAlign w:val="center"/>
          </w:tcPr>
          <w:p w14:paraId="0A85B3D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4080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0B99135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等线" w:hAnsi="等线" w:eastAsia="等线" w:cs="Times New Roman"/>
                <w:szCs w:val="21"/>
              </w:rPr>
              <w:t xml:space="preserve"> </w:t>
            </w:r>
            <w:r>
              <w:rPr>
                <w:rFonts w:hint="eastAsia" w:ascii="宋体" w:hAnsi="宋体" w:eastAsia="宋体" w:cs="Times New Roman"/>
                <w:color w:val="000000"/>
                <w:szCs w:val="21"/>
              </w:rPr>
              <w:t>发现美丽就业机会</w:t>
            </w:r>
          </w:p>
        </w:tc>
        <w:tc>
          <w:tcPr>
            <w:tcW w:w="1701" w:type="dxa"/>
            <w:tcBorders>
              <w:top w:val="single" w:color="auto" w:sz="4" w:space="0"/>
              <w:left w:val="single" w:color="auto" w:sz="4" w:space="0"/>
              <w:bottom w:val="single" w:color="auto" w:sz="4" w:space="0"/>
              <w:right w:val="single" w:color="auto" w:sz="4" w:space="0"/>
            </w:tcBorders>
            <w:vAlign w:val="center"/>
          </w:tcPr>
          <w:p w14:paraId="0A86EF6F">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（1）就业形势分析</w:t>
            </w:r>
          </w:p>
          <w:p w14:paraId="759C231A">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（2）高校毕业生就业政策</w:t>
            </w:r>
          </w:p>
          <w:p w14:paraId="01FB9BFA">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（3）就业选择</w:t>
            </w:r>
          </w:p>
        </w:tc>
        <w:tc>
          <w:tcPr>
            <w:tcW w:w="1134" w:type="dxa"/>
            <w:tcBorders>
              <w:top w:val="single" w:color="auto" w:sz="4" w:space="0"/>
              <w:left w:val="single" w:color="auto" w:sz="4" w:space="0"/>
              <w:bottom w:val="single" w:color="auto" w:sz="4" w:space="0"/>
              <w:right w:val="single" w:color="auto" w:sz="4" w:space="0"/>
            </w:tcBorders>
            <w:vAlign w:val="center"/>
          </w:tcPr>
          <w:p w14:paraId="2C9B7F4B">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tcBorders>
              <w:top w:val="single" w:color="auto" w:sz="4" w:space="0"/>
              <w:left w:val="single" w:color="auto" w:sz="4" w:space="0"/>
              <w:bottom w:val="single" w:color="auto" w:sz="4" w:space="0"/>
              <w:right w:val="single" w:color="auto" w:sz="4" w:space="0"/>
            </w:tcBorders>
            <w:vAlign w:val="center"/>
          </w:tcPr>
          <w:p w14:paraId="646F1FF0">
            <w:pPr>
              <w:numPr>
                <w:ilvl w:val="0"/>
                <w:numId w:val="11"/>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了解当前大学生就业的环境</w:t>
            </w:r>
          </w:p>
          <w:p w14:paraId="162913CE">
            <w:pPr>
              <w:numPr>
                <w:ilvl w:val="0"/>
                <w:numId w:val="11"/>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熟悉大学生就业的有利条件和不利因素</w:t>
            </w:r>
          </w:p>
          <w:p w14:paraId="40E9829A">
            <w:pPr>
              <w:numPr>
                <w:ilvl w:val="0"/>
                <w:numId w:val="11"/>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掌握自我探索和职业探索的方法。</w:t>
            </w:r>
          </w:p>
        </w:tc>
        <w:tc>
          <w:tcPr>
            <w:tcW w:w="1560" w:type="dxa"/>
            <w:tcBorders>
              <w:top w:val="single" w:color="auto" w:sz="4" w:space="0"/>
              <w:left w:val="single" w:color="auto" w:sz="4" w:space="0"/>
              <w:bottom w:val="single" w:color="auto" w:sz="4" w:space="0"/>
              <w:right w:val="single" w:color="auto" w:sz="4" w:space="0"/>
            </w:tcBorders>
            <w:vAlign w:val="center"/>
          </w:tcPr>
          <w:p w14:paraId="594433B2">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28802721">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769F34E">
            <w:pPr>
              <w:spacing w:line="268" w:lineRule="auto"/>
              <w:jc w:val="left"/>
              <w:rPr>
                <w:rFonts w:hint="eastAsia" w:ascii="宋体" w:hAnsi="宋体" w:eastAsia="宋体" w:cs="Times New Roman"/>
                <w:color w:val="000000"/>
                <w:szCs w:val="21"/>
              </w:rPr>
            </w:pPr>
          </w:p>
        </w:tc>
        <w:tc>
          <w:tcPr>
            <w:tcW w:w="438" w:type="dxa"/>
            <w:tcBorders>
              <w:top w:val="single" w:color="auto" w:sz="4" w:space="0"/>
              <w:left w:val="single" w:color="auto" w:sz="4" w:space="0"/>
              <w:bottom w:val="single" w:color="auto" w:sz="4" w:space="0"/>
              <w:right w:val="single" w:color="auto" w:sz="4" w:space="0"/>
            </w:tcBorders>
            <w:vAlign w:val="center"/>
          </w:tcPr>
          <w:p w14:paraId="16A7DAC5">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690A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19CDF437">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0D1E9370">
            <w:pPr>
              <w:spacing w:line="268"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学生</w:t>
            </w:r>
            <w:r>
              <w:rPr>
                <w:rFonts w:hint="eastAsia" w:ascii="宋体" w:hAnsi="宋体" w:eastAsia="宋体" w:cs="Times New Roman"/>
                <w:color w:val="000000"/>
                <w:szCs w:val="21"/>
              </w:rPr>
              <w:t>了解今年的就业形势，清楚就业政策的前提下，相信党和国家为大学毕业生创造的就业环境，使学生树牢“四个意识”，坚定“四个自信”，坚决做到“两个维护”，立志肩负起民族复兴的时代重任。</w:t>
            </w:r>
          </w:p>
        </w:tc>
      </w:tr>
      <w:tr w14:paraId="3D76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610D1BB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等线" w:hAnsi="等线" w:eastAsia="等线" w:cs="Times New Roman"/>
                <w:szCs w:val="21"/>
              </w:rPr>
              <w:t xml:space="preserve"> </w:t>
            </w:r>
            <w:r>
              <w:rPr>
                <w:rFonts w:hint="eastAsia" w:ascii="宋体" w:hAnsi="宋体" w:eastAsia="宋体" w:cs="Times New Roman"/>
                <w:color w:val="000000"/>
                <w:szCs w:val="21"/>
              </w:rPr>
              <w:t>求职能力的提升</w:t>
            </w:r>
          </w:p>
        </w:tc>
        <w:tc>
          <w:tcPr>
            <w:tcW w:w="1701" w:type="dxa"/>
            <w:tcBorders>
              <w:top w:val="single" w:color="auto" w:sz="4" w:space="0"/>
              <w:left w:val="single" w:color="auto" w:sz="4" w:space="0"/>
              <w:bottom w:val="single" w:color="auto" w:sz="4" w:space="0"/>
              <w:right w:val="single" w:color="auto" w:sz="4" w:space="0"/>
            </w:tcBorders>
            <w:vAlign w:val="center"/>
          </w:tcPr>
          <w:p w14:paraId="4EEC1969">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（1）就业思维能力</w:t>
            </w:r>
          </w:p>
          <w:p w14:paraId="5297AF41">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（2）沟通与表达能力</w:t>
            </w:r>
          </w:p>
          <w:p w14:paraId="202B2FD9">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（3）自我管理能力</w:t>
            </w:r>
          </w:p>
        </w:tc>
        <w:tc>
          <w:tcPr>
            <w:tcW w:w="1134" w:type="dxa"/>
            <w:tcBorders>
              <w:top w:val="single" w:color="auto" w:sz="4" w:space="0"/>
              <w:left w:val="single" w:color="auto" w:sz="4" w:space="0"/>
              <w:bottom w:val="single" w:color="auto" w:sz="4" w:space="0"/>
              <w:right w:val="single" w:color="auto" w:sz="4" w:space="0"/>
            </w:tcBorders>
            <w:vAlign w:val="center"/>
          </w:tcPr>
          <w:p w14:paraId="33D76C81">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tcBorders>
              <w:top w:val="single" w:color="auto" w:sz="4" w:space="0"/>
              <w:left w:val="single" w:color="auto" w:sz="4" w:space="0"/>
              <w:bottom w:val="single" w:color="auto" w:sz="4" w:space="0"/>
              <w:right w:val="single" w:color="auto" w:sz="4" w:space="0"/>
            </w:tcBorders>
            <w:vAlign w:val="center"/>
          </w:tcPr>
          <w:p w14:paraId="6A6A4E14">
            <w:pPr>
              <w:numPr>
                <w:ilvl w:val="0"/>
                <w:numId w:val="12"/>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了解基本的逻辑思维和沟通表达的方法</w:t>
            </w:r>
          </w:p>
          <w:p w14:paraId="0B423E78">
            <w:pPr>
              <w:numPr>
                <w:ilvl w:val="0"/>
                <w:numId w:val="12"/>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通过学习时间管理，有效规划求职进程以及日常安排。</w:t>
            </w:r>
          </w:p>
        </w:tc>
        <w:tc>
          <w:tcPr>
            <w:tcW w:w="1560" w:type="dxa"/>
            <w:tcBorders>
              <w:top w:val="single" w:color="auto" w:sz="4" w:space="0"/>
              <w:left w:val="single" w:color="auto" w:sz="4" w:space="0"/>
              <w:bottom w:val="single" w:color="auto" w:sz="4" w:space="0"/>
              <w:right w:val="single" w:color="auto" w:sz="4" w:space="0"/>
            </w:tcBorders>
            <w:vAlign w:val="center"/>
          </w:tcPr>
          <w:p w14:paraId="076335F9">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041A43AA">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EA278B1">
            <w:pPr>
              <w:spacing w:line="268" w:lineRule="auto"/>
              <w:jc w:val="left"/>
              <w:rPr>
                <w:rFonts w:hint="eastAsia" w:ascii="宋体" w:hAnsi="宋体" w:eastAsia="宋体" w:cs="Times New Roman"/>
                <w:color w:val="000000"/>
                <w:szCs w:val="21"/>
              </w:rPr>
            </w:pPr>
          </w:p>
        </w:tc>
        <w:tc>
          <w:tcPr>
            <w:tcW w:w="438" w:type="dxa"/>
            <w:tcBorders>
              <w:top w:val="single" w:color="auto" w:sz="4" w:space="0"/>
              <w:left w:val="single" w:color="auto" w:sz="4" w:space="0"/>
              <w:bottom w:val="single" w:color="auto" w:sz="4" w:space="0"/>
              <w:right w:val="single" w:color="auto" w:sz="4" w:space="0"/>
            </w:tcBorders>
            <w:vAlign w:val="center"/>
          </w:tcPr>
          <w:p w14:paraId="39FD1763">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0230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1834718C">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2EF4D8DC">
            <w:pPr>
              <w:spacing w:line="268"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把</w:t>
            </w:r>
            <w:r>
              <w:rPr>
                <w:rFonts w:hint="eastAsia" w:ascii="宋体" w:hAnsi="宋体" w:eastAsia="宋体" w:cs="Times New Roman"/>
                <w:color w:val="000000"/>
                <w:szCs w:val="21"/>
              </w:rPr>
              <w:t>践行社会主义核心价值观贯穿课程始终，从国家意识、法治意识、社会责任意识和个人诚信意识等层面，加强社会公德、职业道德教育，培养学生正确的世界观和人生观。</w:t>
            </w:r>
          </w:p>
        </w:tc>
      </w:tr>
      <w:tr w14:paraId="701B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0DD31A5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等线" w:hAnsi="等线" w:eastAsia="等线" w:cs="Times New Roman"/>
                <w:szCs w:val="21"/>
              </w:rPr>
              <w:t xml:space="preserve"> </w:t>
            </w:r>
            <w:r>
              <w:rPr>
                <w:rFonts w:hint="eastAsia" w:ascii="宋体" w:hAnsi="宋体" w:eastAsia="宋体" w:cs="Times New Roman"/>
                <w:color w:val="000000"/>
                <w:szCs w:val="21"/>
              </w:rPr>
              <w:t>求职信息的获取与利用</w:t>
            </w:r>
          </w:p>
        </w:tc>
        <w:tc>
          <w:tcPr>
            <w:tcW w:w="1701" w:type="dxa"/>
            <w:tcBorders>
              <w:top w:val="single" w:color="auto" w:sz="4" w:space="0"/>
              <w:left w:val="single" w:color="auto" w:sz="4" w:space="0"/>
              <w:bottom w:val="single" w:color="auto" w:sz="4" w:space="0"/>
              <w:right w:val="single" w:color="auto" w:sz="4" w:space="0"/>
            </w:tcBorders>
            <w:vAlign w:val="center"/>
          </w:tcPr>
          <w:p w14:paraId="76A5842B">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（1）求职信息的获取途径</w:t>
            </w:r>
          </w:p>
          <w:p w14:paraId="46CC684C">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（2）求职信息的分析与利用（3）求职计划的制订与进程管理</w:t>
            </w:r>
          </w:p>
        </w:tc>
        <w:tc>
          <w:tcPr>
            <w:tcW w:w="1134" w:type="dxa"/>
            <w:tcBorders>
              <w:top w:val="single" w:color="auto" w:sz="4" w:space="0"/>
              <w:left w:val="single" w:color="auto" w:sz="4" w:space="0"/>
              <w:bottom w:val="single" w:color="auto" w:sz="4" w:space="0"/>
              <w:right w:val="single" w:color="auto" w:sz="4" w:space="0"/>
            </w:tcBorders>
            <w:vAlign w:val="center"/>
          </w:tcPr>
          <w:p w14:paraId="2AC9FD0F">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tcBorders>
              <w:top w:val="single" w:color="auto" w:sz="4" w:space="0"/>
              <w:left w:val="single" w:color="auto" w:sz="4" w:space="0"/>
              <w:bottom w:val="single" w:color="auto" w:sz="4" w:space="0"/>
              <w:right w:val="single" w:color="auto" w:sz="4" w:space="0"/>
            </w:tcBorders>
            <w:vAlign w:val="center"/>
          </w:tcPr>
          <w:p w14:paraId="21FDECF0">
            <w:pPr>
              <w:numPr>
                <w:ilvl w:val="0"/>
                <w:numId w:val="13"/>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熟悉就业信息的获取途径和筛选处理方法</w:t>
            </w:r>
          </w:p>
          <w:p w14:paraId="2577676A">
            <w:pPr>
              <w:numPr>
                <w:ilvl w:val="0"/>
                <w:numId w:val="13"/>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学会求职计划的制订与进程管理，为就业做好准备。</w:t>
            </w:r>
          </w:p>
        </w:tc>
        <w:tc>
          <w:tcPr>
            <w:tcW w:w="1560" w:type="dxa"/>
            <w:tcBorders>
              <w:top w:val="single" w:color="auto" w:sz="4" w:space="0"/>
              <w:left w:val="single" w:color="auto" w:sz="4" w:space="0"/>
              <w:bottom w:val="single" w:color="auto" w:sz="4" w:space="0"/>
              <w:right w:val="single" w:color="auto" w:sz="4" w:space="0"/>
            </w:tcBorders>
            <w:vAlign w:val="center"/>
          </w:tcPr>
          <w:p w14:paraId="70C71822">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20F5CD42">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0D02F07">
            <w:pPr>
              <w:spacing w:line="268" w:lineRule="auto"/>
              <w:jc w:val="left"/>
              <w:rPr>
                <w:rFonts w:hint="eastAsia" w:ascii="宋体" w:hAnsi="宋体" w:eastAsia="宋体" w:cs="Times New Roman"/>
                <w:color w:val="000000"/>
                <w:szCs w:val="21"/>
              </w:rPr>
            </w:pPr>
          </w:p>
        </w:tc>
        <w:tc>
          <w:tcPr>
            <w:tcW w:w="438" w:type="dxa"/>
            <w:tcBorders>
              <w:top w:val="single" w:color="auto" w:sz="4" w:space="0"/>
              <w:left w:val="single" w:color="auto" w:sz="4" w:space="0"/>
              <w:bottom w:val="single" w:color="auto" w:sz="4" w:space="0"/>
              <w:right w:val="single" w:color="auto" w:sz="4" w:space="0"/>
            </w:tcBorders>
            <w:vAlign w:val="center"/>
          </w:tcPr>
          <w:p w14:paraId="1DA8CF0D">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3FE3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78540097">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49A7A7F3">
            <w:pPr>
              <w:spacing w:line="268"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在求职信息获取与利用过程中践行社会主义核心价值观，强调社会责任感和个人诚信意识，加强社会公德、职业道德教育，培养学生正确的世界观和人生观。</w:t>
            </w:r>
          </w:p>
        </w:tc>
      </w:tr>
      <w:tr w14:paraId="2562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02DC0278">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等线" w:hAnsi="等线" w:eastAsia="等线" w:cs="Times New Roman"/>
                <w:szCs w:val="21"/>
              </w:rPr>
              <w:t xml:space="preserve"> </w:t>
            </w:r>
            <w:r>
              <w:rPr>
                <w:rFonts w:hint="eastAsia" w:ascii="宋体" w:hAnsi="宋体" w:eastAsia="宋体" w:cs="Times New Roman"/>
                <w:color w:val="000000"/>
                <w:szCs w:val="21"/>
              </w:rPr>
              <w:t>求职材料的准备</w:t>
            </w:r>
          </w:p>
        </w:tc>
        <w:tc>
          <w:tcPr>
            <w:tcW w:w="1701" w:type="dxa"/>
            <w:tcBorders>
              <w:top w:val="single" w:color="auto" w:sz="4" w:space="0"/>
              <w:left w:val="single" w:color="auto" w:sz="4" w:space="0"/>
              <w:bottom w:val="single" w:color="auto" w:sz="4" w:space="0"/>
              <w:right w:val="single" w:color="auto" w:sz="4" w:space="0"/>
            </w:tcBorders>
            <w:vAlign w:val="center"/>
          </w:tcPr>
          <w:p w14:paraId="4D575570">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（1）简历的提炼与整合</w:t>
            </w:r>
          </w:p>
          <w:p w14:paraId="2A758B19">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（2）如何打造优秀简历</w:t>
            </w:r>
          </w:p>
          <w:p w14:paraId="7A660DA7">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（3）其他求职材料的准备</w:t>
            </w:r>
          </w:p>
          <w:p w14:paraId="3826BC20">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（4）简历投递</w:t>
            </w:r>
          </w:p>
        </w:tc>
        <w:tc>
          <w:tcPr>
            <w:tcW w:w="1134" w:type="dxa"/>
            <w:tcBorders>
              <w:top w:val="single" w:color="auto" w:sz="4" w:space="0"/>
              <w:left w:val="single" w:color="auto" w:sz="4" w:space="0"/>
              <w:bottom w:val="single" w:color="auto" w:sz="4" w:space="0"/>
              <w:right w:val="single" w:color="auto" w:sz="4" w:space="0"/>
            </w:tcBorders>
            <w:vAlign w:val="center"/>
          </w:tcPr>
          <w:p w14:paraId="410BE63A">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tcBorders>
              <w:top w:val="single" w:color="auto" w:sz="4" w:space="0"/>
              <w:left w:val="single" w:color="auto" w:sz="4" w:space="0"/>
              <w:bottom w:val="single" w:color="auto" w:sz="4" w:space="0"/>
              <w:right w:val="single" w:color="auto" w:sz="4" w:space="0"/>
            </w:tcBorders>
            <w:vAlign w:val="center"/>
          </w:tcPr>
          <w:p w14:paraId="008C074E">
            <w:pPr>
              <w:numPr>
                <w:ilvl w:val="0"/>
                <w:numId w:val="14"/>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明确求职材料准备的内容</w:t>
            </w:r>
          </w:p>
          <w:p w14:paraId="1700F2B6">
            <w:pPr>
              <w:numPr>
                <w:ilvl w:val="0"/>
                <w:numId w:val="14"/>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理解书写自荐信的原则</w:t>
            </w:r>
          </w:p>
          <w:p w14:paraId="1A6BEC83">
            <w:pPr>
              <w:numPr>
                <w:ilvl w:val="0"/>
                <w:numId w:val="14"/>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掌握个人简历的写法</w:t>
            </w:r>
          </w:p>
          <w:p w14:paraId="395D2C01">
            <w:pPr>
              <w:numPr>
                <w:ilvl w:val="0"/>
                <w:numId w:val="14"/>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掌握自荐书的内容和写法</w:t>
            </w:r>
          </w:p>
          <w:p w14:paraId="466DEC5B">
            <w:pPr>
              <w:numPr>
                <w:ilvl w:val="0"/>
                <w:numId w:val="14"/>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掌握电子简历投递的方法。</w:t>
            </w:r>
          </w:p>
        </w:tc>
        <w:tc>
          <w:tcPr>
            <w:tcW w:w="1560" w:type="dxa"/>
            <w:tcBorders>
              <w:top w:val="single" w:color="auto" w:sz="4" w:space="0"/>
              <w:left w:val="single" w:color="auto" w:sz="4" w:space="0"/>
              <w:bottom w:val="single" w:color="auto" w:sz="4" w:space="0"/>
              <w:right w:val="single" w:color="auto" w:sz="4" w:space="0"/>
            </w:tcBorders>
            <w:vAlign w:val="center"/>
          </w:tcPr>
          <w:p w14:paraId="021133E2">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690009E4">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18850CA">
            <w:pPr>
              <w:spacing w:line="273" w:lineRule="auto"/>
              <w:jc w:val="left"/>
              <w:rPr>
                <w:rFonts w:hint="eastAsia" w:ascii="宋体" w:hAnsi="宋体" w:eastAsia="宋体" w:cs="Times New Roman"/>
                <w:color w:val="000000"/>
                <w:szCs w:val="21"/>
              </w:rPr>
            </w:pPr>
          </w:p>
        </w:tc>
        <w:tc>
          <w:tcPr>
            <w:tcW w:w="438" w:type="dxa"/>
            <w:tcBorders>
              <w:top w:val="single" w:color="auto" w:sz="4" w:space="0"/>
              <w:left w:val="single" w:color="auto" w:sz="4" w:space="0"/>
              <w:bottom w:val="single" w:color="auto" w:sz="4" w:space="0"/>
              <w:right w:val="single" w:color="auto" w:sz="4" w:space="0"/>
            </w:tcBorders>
            <w:vAlign w:val="center"/>
          </w:tcPr>
          <w:p w14:paraId="25902183">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6CB0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4B1803A3">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73505A9B">
            <w:pPr>
              <w:spacing w:line="273"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在</w:t>
            </w:r>
            <w:r>
              <w:rPr>
                <w:rFonts w:hint="eastAsia" w:ascii="宋体" w:hAnsi="宋体" w:eastAsia="宋体" w:cs="Times New Roman"/>
                <w:color w:val="000000"/>
                <w:szCs w:val="21"/>
              </w:rPr>
              <w:t>求职材料准备过程中践行社会主义核心价值观，强调社会责任感和个人诚信意识，加强社会公德、职业道德教育，培养学生正确的世界观和人生观。</w:t>
            </w:r>
          </w:p>
        </w:tc>
      </w:tr>
      <w:tr w14:paraId="0B1A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5729B4E5">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hint="eastAsia" w:ascii="等线" w:hAnsi="等线" w:eastAsia="等线" w:cs="Times New Roman"/>
                <w:szCs w:val="21"/>
              </w:rPr>
              <w:t xml:space="preserve"> </w:t>
            </w:r>
            <w:r>
              <w:rPr>
                <w:rFonts w:hint="eastAsia" w:ascii="宋体" w:hAnsi="宋体" w:eastAsia="宋体" w:cs="Times New Roman"/>
                <w:color w:val="000000"/>
                <w:szCs w:val="21"/>
              </w:rPr>
              <w:t>成功应聘的秘诀</w:t>
            </w:r>
          </w:p>
        </w:tc>
        <w:tc>
          <w:tcPr>
            <w:tcW w:w="1701" w:type="dxa"/>
            <w:tcBorders>
              <w:top w:val="single" w:color="auto" w:sz="4" w:space="0"/>
              <w:left w:val="single" w:color="auto" w:sz="4" w:space="0"/>
              <w:bottom w:val="single" w:color="auto" w:sz="4" w:space="0"/>
              <w:right w:val="single" w:color="auto" w:sz="4" w:space="0"/>
            </w:tcBorders>
            <w:vAlign w:val="center"/>
          </w:tcPr>
          <w:p w14:paraId="760D989E">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（1）笔试</w:t>
            </w:r>
          </w:p>
          <w:p w14:paraId="02A4E707">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（2）面试准备</w:t>
            </w:r>
          </w:p>
          <w:p w14:paraId="0B3FB450">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（3）个体面试</w:t>
            </w:r>
          </w:p>
          <w:p w14:paraId="25F52075">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（4）群体面试</w:t>
            </w:r>
          </w:p>
          <w:p w14:paraId="47EAE63C">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（5）面试总结与行动促进</w:t>
            </w:r>
          </w:p>
        </w:tc>
        <w:tc>
          <w:tcPr>
            <w:tcW w:w="1134" w:type="dxa"/>
            <w:tcBorders>
              <w:top w:val="single" w:color="auto" w:sz="4" w:space="0"/>
              <w:left w:val="single" w:color="auto" w:sz="4" w:space="0"/>
              <w:bottom w:val="single" w:color="auto" w:sz="4" w:space="0"/>
              <w:right w:val="single" w:color="auto" w:sz="4" w:space="0"/>
            </w:tcBorders>
            <w:vAlign w:val="center"/>
          </w:tcPr>
          <w:p w14:paraId="198F702A">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tcBorders>
              <w:top w:val="single" w:color="auto" w:sz="4" w:space="0"/>
              <w:left w:val="single" w:color="auto" w:sz="4" w:space="0"/>
              <w:bottom w:val="single" w:color="auto" w:sz="4" w:space="0"/>
              <w:right w:val="single" w:color="auto" w:sz="4" w:space="0"/>
            </w:tcBorders>
            <w:vAlign w:val="center"/>
          </w:tcPr>
          <w:p w14:paraId="2ECECDAE">
            <w:pPr>
              <w:numPr>
                <w:ilvl w:val="0"/>
                <w:numId w:val="15"/>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熟练掌握参加招聘会的注意事项、</w:t>
            </w:r>
          </w:p>
          <w:p w14:paraId="4EB55E8E">
            <w:pPr>
              <w:numPr>
                <w:ilvl w:val="0"/>
                <w:numId w:val="15"/>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笔试及面试的方法与技巧</w:t>
            </w:r>
          </w:p>
          <w:p w14:paraId="1EF95F54">
            <w:pPr>
              <w:spacing w:line="273" w:lineRule="auto"/>
              <w:ind w:left="360"/>
              <w:jc w:val="left"/>
              <w:rPr>
                <w:rFonts w:hint="eastAsia" w:ascii="宋体" w:hAnsi="宋体" w:eastAsia="宋体" w:cs="Times New Roman"/>
                <w:color w:val="00000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5FCAE903">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065A0D95">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7C7B969">
            <w:pPr>
              <w:spacing w:line="273" w:lineRule="auto"/>
              <w:jc w:val="left"/>
              <w:rPr>
                <w:rFonts w:hint="eastAsia" w:ascii="宋体" w:hAnsi="宋体" w:eastAsia="宋体" w:cs="Times New Roman"/>
                <w:color w:val="000000"/>
                <w:szCs w:val="21"/>
              </w:rPr>
            </w:pPr>
          </w:p>
        </w:tc>
        <w:tc>
          <w:tcPr>
            <w:tcW w:w="438" w:type="dxa"/>
            <w:tcBorders>
              <w:top w:val="single" w:color="auto" w:sz="4" w:space="0"/>
              <w:left w:val="single" w:color="auto" w:sz="4" w:space="0"/>
              <w:bottom w:val="single" w:color="auto" w:sz="4" w:space="0"/>
              <w:right w:val="single" w:color="auto" w:sz="4" w:space="0"/>
            </w:tcBorders>
            <w:vAlign w:val="center"/>
          </w:tcPr>
          <w:p w14:paraId="5420D865">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20BC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12B0032A">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057626D2">
            <w:pPr>
              <w:spacing w:line="273"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在求职材料准备过程中践行社会主义核心价值观，强调社会责任感和个人诚信意识，加强社会公德、职业道德教育，培养学生正确的世界观和人生观。</w:t>
            </w:r>
          </w:p>
        </w:tc>
      </w:tr>
      <w:tr w14:paraId="0E03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6791B88D">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hint="eastAsia" w:ascii="等线" w:hAnsi="等线" w:eastAsia="等线" w:cs="Times New Roman"/>
                <w:szCs w:val="21"/>
              </w:rPr>
              <w:t xml:space="preserve"> </w:t>
            </w:r>
            <w:r>
              <w:rPr>
                <w:rFonts w:hint="eastAsia" w:ascii="宋体" w:hAnsi="宋体" w:eastAsia="宋体" w:cs="Times New Roman"/>
                <w:color w:val="000000"/>
                <w:szCs w:val="21"/>
              </w:rPr>
              <w:t>择己所长，理性做好选择</w:t>
            </w:r>
          </w:p>
        </w:tc>
        <w:tc>
          <w:tcPr>
            <w:tcW w:w="1701" w:type="dxa"/>
            <w:tcBorders>
              <w:top w:val="single" w:color="auto" w:sz="4" w:space="0"/>
              <w:left w:val="single" w:color="auto" w:sz="4" w:space="0"/>
              <w:bottom w:val="single" w:color="auto" w:sz="4" w:space="0"/>
              <w:right w:val="single" w:color="auto" w:sz="4" w:space="0"/>
            </w:tcBorders>
            <w:vAlign w:val="center"/>
          </w:tcPr>
          <w:p w14:paraId="5C61F680">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（1）职业选择类型</w:t>
            </w:r>
          </w:p>
          <w:p w14:paraId="353A8150">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（2）毕业生就业方向分析</w:t>
            </w:r>
          </w:p>
          <w:p w14:paraId="207FBAB9">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（3）职业决策</w:t>
            </w:r>
          </w:p>
        </w:tc>
        <w:tc>
          <w:tcPr>
            <w:tcW w:w="1134" w:type="dxa"/>
            <w:tcBorders>
              <w:top w:val="single" w:color="auto" w:sz="4" w:space="0"/>
              <w:left w:val="single" w:color="auto" w:sz="4" w:space="0"/>
              <w:bottom w:val="single" w:color="auto" w:sz="4" w:space="0"/>
              <w:right w:val="single" w:color="auto" w:sz="4" w:space="0"/>
            </w:tcBorders>
            <w:vAlign w:val="center"/>
          </w:tcPr>
          <w:p w14:paraId="5F2B0AD2">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tcBorders>
              <w:top w:val="single" w:color="auto" w:sz="4" w:space="0"/>
              <w:left w:val="single" w:color="auto" w:sz="4" w:space="0"/>
              <w:bottom w:val="single" w:color="auto" w:sz="4" w:space="0"/>
              <w:right w:val="single" w:color="auto" w:sz="4" w:space="0"/>
            </w:tcBorders>
            <w:vAlign w:val="center"/>
          </w:tcPr>
          <w:p w14:paraId="114AFC4C">
            <w:pPr>
              <w:numPr>
                <w:ilvl w:val="0"/>
                <w:numId w:val="16"/>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了解当前大学生就业观的特点和“误区”</w:t>
            </w:r>
          </w:p>
          <w:p w14:paraId="04BDB991">
            <w:pPr>
              <w:numPr>
                <w:ilvl w:val="0"/>
                <w:numId w:val="16"/>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了解各就业选择的利弊，做出符合自身的就业选择</w:t>
            </w:r>
          </w:p>
        </w:tc>
        <w:tc>
          <w:tcPr>
            <w:tcW w:w="1560" w:type="dxa"/>
            <w:tcBorders>
              <w:top w:val="single" w:color="auto" w:sz="4" w:space="0"/>
              <w:left w:val="single" w:color="auto" w:sz="4" w:space="0"/>
              <w:bottom w:val="single" w:color="auto" w:sz="4" w:space="0"/>
              <w:right w:val="single" w:color="auto" w:sz="4" w:space="0"/>
            </w:tcBorders>
            <w:vAlign w:val="center"/>
          </w:tcPr>
          <w:p w14:paraId="7D84ADDD">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660EEE58">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tcBorders>
              <w:top w:val="single" w:color="auto" w:sz="4" w:space="0"/>
              <w:left w:val="single" w:color="auto" w:sz="4" w:space="0"/>
              <w:bottom w:val="single" w:color="auto" w:sz="4" w:space="0"/>
              <w:right w:val="single" w:color="auto" w:sz="4" w:space="0"/>
            </w:tcBorders>
            <w:vAlign w:val="center"/>
          </w:tcPr>
          <w:p w14:paraId="65DA97EF">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50D1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39C0EA32">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38E553EF">
            <w:pPr>
              <w:spacing w:line="273"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在求职材料准备过程中践行社会主义核心价值观，强调社会责任感和个人诚信意识，加强社会公德、职业道德教育，培养学生正确的世界观和人生观。</w:t>
            </w:r>
          </w:p>
        </w:tc>
      </w:tr>
      <w:tr w14:paraId="76FD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1CD27385">
            <w:pPr>
              <w:spacing w:line="273" w:lineRule="auto"/>
              <w:jc w:val="center"/>
              <w:rPr>
                <w:rFonts w:hint="eastAsia" w:ascii="宋体" w:hAnsi="宋体" w:eastAsia="宋体" w:cs="Times New Roman"/>
                <w:szCs w:val="21"/>
              </w:rPr>
            </w:pPr>
            <w:r>
              <w:rPr>
                <w:rFonts w:hint="eastAsia" w:ascii="宋体" w:hAnsi="宋体" w:eastAsia="宋体" w:cs="Times New Roman"/>
                <w:szCs w:val="21"/>
              </w:rPr>
              <w:t>7.</w:t>
            </w:r>
            <w:r>
              <w:rPr>
                <w:rFonts w:hint="eastAsia" w:ascii="等线" w:hAnsi="等线" w:eastAsia="等线" w:cs="Times New Roman"/>
                <w:szCs w:val="21"/>
              </w:rPr>
              <w:t xml:space="preserve"> </w:t>
            </w:r>
            <w:r>
              <w:rPr>
                <w:rFonts w:hint="eastAsia" w:ascii="宋体" w:hAnsi="宋体" w:eastAsia="宋体" w:cs="Times New Roman"/>
                <w:szCs w:val="21"/>
              </w:rPr>
              <w:t>毕业生就业管理与权益保护</w:t>
            </w:r>
          </w:p>
        </w:tc>
        <w:tc>
          <w:tcPr>
            <w:tcW w:w="1701" w:type="dxa"/>
            <w:tcBorders>
              <w:top w:val="single" w:color="auto" w:sz="4" w:space="0"/>
              <w:left w:val="single" w:color="auto" w:sz="4" w:space="0"/>
              <w:bottom w:val="single" w:color="auto" w:sz="4" w:space="0"/>
              <w:right w:val="single" w:color="auto" w:sz="4" w:space="0"/>
            </w:tcBorders>
            <w:vAlign w:val="center"/>
          </w:tcPr>
          <w:p w14:paraId="50A66532">
            <w:pPr>
              <w:spacing w:line="273" w:lineRule="auto"/>
              <w:jc w:val="left"/>
              <w:rPr>
                <w:rFonts w:hint="eastAsia" w:ascii="宋体" w:hAnsi="宋体" w:eastAsia="宋体" w:cs="Times New Roman"/>
                <w:szCs w:val="21"/>
              </w:rPr>
            </w:pPr>
            <w:r>
              <w:rPr>
                <w:rFonts w:hint="eastAsia" w:ascii="宋体" w:hAnsi="宋体" w:eastAsia="宋体" w:cs="Times New Roman"/>
                <w:szCs w:val="21"/>
              </w:rPr>
              <w:t>（1）关于就业管理</w:t>
            </w:r>
          </w:p>
          <w:p w14:paraId="1A850BA1">
            <w:pPr>
              <w:spacing w:line="273" w:lineRule="auto"/>
              <w:jc w:val="left"/>
              <w:rPr>
                <w:rFonts w:hint="eastAsia" w:ascii="宋体" w:hAnsi="宋体" w:eastAsia="宋体" w:cs="Times New Roman"/>
                <w:szCs w:val="21"/>
              </w:rPr>
            </w:pPr>
            <w:r>
              <w:rPr>
                <w:rFonts w:hint="eastAsia" w:ascii="宋体" w:hAnsi="宋体" w:eastAsia="宋体" w:cs="Times New Roman"/>
                <w:szCs w:val="21"/>
              </w:rPr>
              <w:t>（2）就业协议书与推荐表（3）劳动合同</w:t>
            </w:r>
          </w:p>
          <w:p w14:paraId="7D1BD881">
            <w:pPr>
              <w:spacing w:line="273" w:lineRule="auto"/>
              <w:jc w:val="left"/>
              <w:rPr>
                <w:rFonts w:hint="eastAsia" w:ascii="宋体" w:hAnsi="宋体" w:eastAsia="宋体" w:cs="Times New Roman"/>
                <w:szCs w:val="21"/>
              </w:rPr>
            </w:pPr>
            <w:r>
              <w:rPr>
                <w:rFonts w:hint="eastAsia" w:ascii="宋体" w:hAnsi="宋体" w:eastAsia="宋体" w:cs="Times New Roman"/>
                <w:szCs w:val="21"/>
              </w:rPr>
              <w:t>（4）违约与劳动争议</w:t>
            </w:r>
          </w:p>
        </w:tc>
        <w:tc>
          <w:tcPr>
            <w:tcW w:w="1134" w:type="dxa"/>
            <w:tcBorders>
              <w:top w:val="single" w:color="auto" w:sz="4" w:space="0"/>
              <w:left w:val="single" w:color="auto" w:sz="4" w:space="0"/>
              <w:bottom w:val="single" w:color="auto" w:sz="4" w:space="0"/>
              <w:right w:val="single" w:color="auto" w:sz="4" w:space="0"/>
            </w:tcBorders>
            <w:vAlign w:val="center"/>
          </w:tcPr>
          <w:p w14:paraId="304DD5D5">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tcBorders>
              <w:top w:val="single" w:color="auto" w:sz="4" w:space="0"/>
              <w:left w:val="single" w:color="auto" w:sz="4" w:space="0"/>
              <w:bottom w:val="single" w:color="auto" w:sz="4" w:space="0"/>
              <w:right w:val="single" w:color="auto" w:sz="4" w:space="0"/>
            </w:tcBorders>
            <w:vAlign w:val="center"/>
          </w:tcPr>
          <w:p w14:paraId="351127B8">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1.了解毕业生就业的一般流程及就业陷阱的类型及防范措施；</w:t>
            </w:r>
          </w:p>
          <w:p w14:paraId="6E2D816D">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 熟悉《劳动法》、《劳动合同法》的主要内容及就业权益保护内容和方法；</w:t>
            </w:r>
          </w:p>
          <w:p w14:paraId="62CB2CA7">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 掌握就业协议和劳动合同的内容及签订</w:t>
            </w:r>
          </w:p>
        </w:tc>
        <w:tc>
          <w:tcPr>
            <w:tcW w:w="1560" w:type="dxa"/>
            <w:tcBorders>
              <w:top w:val="single" w:color="auto" w:sz="4" w:space="0"/>
              <w:left w:val="single" w:color="auto" w:sz="4" w:space="0"/>
              <w:bottom w:val="single" w:color="auto" w:sz="4" w:space="0"/>
              <w:right w:val="single" w:color="auto" w:sz="4" w:space="0"/>
            </w:tcBorders>
            <w:vAlign w:val="center"/>
          </w:tcPr>
          <w:p w14:paraId="277CFED3">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0148BDAC">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EA11ADE">
            <w:pPr>
              <w:spacing w:line="273" w:lineRule="auto"/>
              <w:jc w:val="left"/>
              <w:rPr>
                <w:rFonts w:hint="eastAsia" w:ascii="宋体" w:hAnsi="宋体" w:eastAsia="宋体" w:cs="Times New Roman"/>
                <w:color w:val="000000"/>
                <w:szCs w:val="21"/>
              </w:rPr>
            </w:pPr>
          </w:p>
        </w:tc>
        <w:tc>
          <w:tcPr>
            <w:tcW w:w="438" w:type="dxa"/>
            <w:tcBorders>
              <w:top w:val="single" w:color="auto" w:sz="4" w:space="0"/>
              <w:left w:val="single" w:color="auto" w:sz="4" w:space="0"/>
              <w:bottom w:val="single" w:color="auto" w:sz="4" w:space="0"/>
              <w:right w:val="single" w:color="auto" w:sz="4" w:space="0"/>
            </w:tcBorders>
            <w:vAlign w:val="center"/>
          </w:tcPr>
          <w:p w14:paraId="65909701">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74E4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08EB10B9">
            <w:pPr>
              <w:widowControl/>
              <w:jc w:val="left"/>
              <w:rPr>
                <w:rFonts w:ascii="宋体" w:hAnsi="宋体" w:eastAsia="宋体" w:cs="Times New Roman"/>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3CED4107">
            <w:pPr>
              <w:spacing w:line="273"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在求职材料准备过程中践行社会主义核心价值观，强调社会责任感和个人诚信意识，加强社会公德、职业道德教育，培养学生正确的世界观和人生观。</w:t>
            </w:r>
          </w:p>
        </w:tc>
      </w:tr>
      <w:tr w14:paraId="40DB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7F6B62E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hint="eastAsia" w:ascii="等线" w:hAnsi="等线" w:eastAsia="等线" w:cs="Times New Roman"/>
                <w:szCs w:val="21"/>
              </w:rPr>
              <w:t xml:space="preserve"> </w:t>
            </w:r>
            <w:r>
              <w:rPr>
                <w:rFonts w:hint="eastAsia" w:ascii="宋体" w:hAnsi="宋体" w:eastAsia="宋体" w:cs="Times New Roman"/>
                <w:color w:val="000000"/>
                <w:szCs w:val="21"/>
              </w:rPr>
              <w:t>胜任职场，创造精彩人生</w:t>
            </w:r>
          </w:p>
        </w:tc>
        <w:tc>
          <w:tcPr>
            <w:tcW w:w="1701" w:type="dxa"/>
            <w:tcBorders>
              <w:top w:val="single" w:color="auto" w:sz="4" w:space="0"/>
              <w:left w:val="single" w:color="auto" w:sz="4" w:space="0"/>
              <w:bottom w:val="single" w:color="auto" w:sz="4" w:space="0"/>
              <w:right w:val="single" w:color="auto" w:sz="4" w:space="0"/>
            </w:tcBorders>
            <w:vAlign w:val="center"/>
          </w:tcPr>
          <w:p w14:paraId="55BF4ED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（1）见变知微，潜字为先——从学生到职场人</w:t>
            </w:r>
          </w:p>
          <w:p w14:paraId="2740EDE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（2）含蓄勤勉，大人之风——职业发展要点</w:t>
            </w:r>
          </w:p>
          <w:p w14:paraId="00F4195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（3）找准定位，重视过程——职业发展智慧</w:t>
            </w:r>
          </w:p>
        </w:tc>
        <w:tc>
          <w:tcPr>
            <w:tcW w:w="1134" w:type="dxa"/>
            <w:tcBorders>
              <w:top w:val="single" w:color="auto" w:sz="4" w:space="0"/>
              <w:left w:val="single" w:color="auto" w:sz="4" w:space="0"/>
              <w:bottom w:val="single" w:color="auto" w:sz="4" w:space="0"/>
              <w:right w:val="single" w:color="auto" w:sz="4" w:space="0"/>
            </w:tcBorders>
            <w:vAlign w:val="center"/>
          </w:tcPr>
          <w:p w14:paraId="2F7D6864">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tcBorders>
              <w:top w:val="single" w:color="auto" w:sz="4" w:space="0"/>
              <w:left w:val="single" w:color="auto" w:sz="4" w:space="0"/>
              <w:bottom w:val="single" w:color="auto" w:sz="4" w:space="0"/>
              <w:right w:val="single" w:color="auto" w:sz="4" w:space="0"/>
            </w:tcBorders>
            <w:vAlign w:val="center"/>
          </w:tcPr>
          <w:p w14:paraId="791A7DDF">
            <w:pPr>
              <w:numPr>
                <w:ilvl w:val="0"/>
                <w:numId w:val="17"/>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要求学生了解职场文化和规则，培养自己的职业技能和素养</w:t>
            </w:r>
          </w:p>
          <w:p w14:paraId="085BCC8A">
            <w:pPr>
              <w:numPr>
                <w:ilvl w:val="0"/>
                <w:numId w:val="17"/>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树立正确的职业观念和态度，学会处理人际关系</w:t>
            </w:r>
          </w:p>
          <w:p w14:paraId="44C27105">
            <w:pPr>
              <w:numPr>
                <w:ilvl w:val="0"/>
                <w:numId w:val="17"/>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自我管理和自我发展，从而更好地适应职场环境和工作要求，实现个人职业发展和成长。</w:t>
            </w:r>
          </w:p>
        </w:tc>
        <w:tc>
          <w:tcPr>
            <w:tcW w:w="1560" w:type="dxa"/>
            <w:tcBorders>
              <w:top w:val="single" w:color="auto" w:sz="4" w:space="0"/>
              <w:left w:val="single" w:color="auto" w:sz="4" w:space="0"/>
              <w:bottom w:val="single" w:color="auto" w:sz="4" w:space="0"/>
              <w:right w:val="single" w:color="auto" w:sz="4" w:space="0"/>
            </w:tcBorders>
            <w:vAlign w:val="center"/>
          </w:tcPr>
          <w:p w14:paraId="7276B111">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4E73DAB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D9AEDA8">
            <w:pPr>
              <w:spacing w:line="264" w:lineRule="auto"/>
              <w:jc w:val="left"/>
              <w:rPr>
                <w:rFonts w:hint="eastAsia" w:ascii="宋体" w:hAnsi="宋体" w:eastAsia="宋体" w:cs="Times New Roman"/>
                <w:color w:val="000000"/>
                <w:szCs w:val="21"/>
              </w:rPr>
            </w:pPr>
          </w:p>
        </w:tc>
        <w:tc>
          <w:tcPr>
            <w:tcW w:w="438" w:type="dxa"/>
            <w:tcBorders>
              <w:top w:val="single" w:color="auto" w:sz="4" w:space="0"/>
              <w:left w:val="single" w:color="auto" w:sz="4" w:space="0"/>
              <w:bottom w:val="single" w:color="auto" w:sz="4" w:space="0"/>
              <w:right w:val="single" w:color="auto" w:sz="4" w:space="0"/>
            </w:tcBorders>
            <w:vAlign w:val="center"/>
          </w:tcPr>
          <w:p w14:paraId="4B9C28F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2102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389A42BC">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10FEFB7E">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在求职材料准备过程中践行社会主义核心价值观，强调社会责任感和个人诚信意识，加强社会公德、职业道德教育，培养学生正确的世界观和人生观。</w:t>
            </w:r>
          </w:p>
        </w:tc>
      </w:tr>
    </w:tbl>
    <w:p w14:paraId="0534DA23">
      <w:pPr>
        <w:spacing w:line="360" w:lineRule="auto"/>
        <w:jc w:val="left"/>
        <w:rPr>
          <w:rFonts w:hint="eastAsia" w:ascii="Times New Roman" w:hAnsi="Times New Roman" w:eastAsia="宋体" w:cs="Times New Roman"/>
          <w:sz w:val="24"/>
        </w:rPr>
      </w:pPr>
      <w:r>
        <w:rPr>
          <w:rFonts w:ascii="Times New Roman" w:hAnsi="Times New Roman" w:eastAsia="宋体" w:cs="Times New Roman"/>
          <w:sz w:val="24"/>
        </w:rPr>
        <w:t xml:space="preserve"> </w:t>
      </w:r>
    </w:p>
    <w:p w14:paraId="57A127B6">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5C7D5765">
      <w:pPr>
        <w:spacing w:line="360" w:lineRule="auto"/>
        <w:jc w:val="left"/>
        <w:rPr>
          <w:rFonts w:ascii="Times New Roman" w:hAnsi="Times New Roman" w:eastAsia="宋体" w:cs="Times New Roman"/>
          <w:b/>
          <w:szCs w:val="21"/>
        </w:rPr>
      </w:pPr>
      <w:r>
        <w:rPr>
          <w:rFonts w:hint="eastAsia" w:ascii="宋体" w:hAnsi="宋体" w:eastAsia="宋体" w:cs="Times New Roman"/>
          <w:b/>
          <w:szCs w:val="21"/>
        </w:rPr>
        <w:t>（一）课程目标评价方式</w:t>
      </w:r>
    </w:p>
    <w:p w14:paraId="4F8E9535">
      <w:pPr>
        <w:spacing w:line="360" w:lineRule="auto"/>
        <w:ind w:firstLine="420" w:firstLineChars="200"/>
        <w:jc w:val="left"/>
        <w:rPr>
          <w:rFonts w:ascii="Times New Roman" w:hAnsi="Times New Roman" w:eastAsia="宋体" w:cs="Times New Roman"/>
          <w:szCs w:val="21"/>
        </w:rPr>
      </w:pPr>
      <w:r>
        <w:rPr>
          <w:rFonts w:hint="eastAsia" w:ascii="宋体" w:hAnsi="宋体" w:eastAsia="宋体" w:cs="Times New Roman"/>
          <w:szCs w:val="21"/>
        </w:rPr>
        <w:t>根据总体设计，用于评价各课程目标的评价方式如表</w:t>
      </w:r>
      <w:r>
        <w:rPr>
          <w:rFonts w:hint="eastAsia" w:ascii="Times New Roman" w:hAnsi="Times New Roman" w:eastAsia="宋体" w:cs="Times New Roman"/>
          <w:szCs w:val="21"/>
        </w:rPr>
        <w:t>3</w:t>
      </w:r>
      <w:r>
        <w:rPr>
          <w:rFonts w:ascii="宋体" w:hAnsi="宋体" w:eastAsia="宋体" w:cs="Times New Roman"/>
          <w:szCs w:val="21"/>
        </w:rPr>
        <w:t>所示。</w:t>
      </w:r>
    </w:p>
    <w:p w14:paraId="2BFEF217">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表</w:t>
      </w:r>
      <w:r>
        <w:rPr>
          <w:rFonts w:hint="eastAsia" w:ascii="Times New Roman" w:hAnsi="Times New Roman" w:eastAsia="宋体" w:cs="Times New Roman"/>
          <w:b/>
          <w:bCs/>
          <w:szCs w:val="21"/>
        </w:rPr>
        <w:t>3</w:t>
      </w:r>
      <w:r>
        <w:rPr>
          <w:rFonts w:ascii="宋体" w:hAnsi="宋体" w:eastAsia="宋体" w:cs="Times New Roman"/>
          <w:b/>
          <w:bCs/>
          <w:szCs w:val="21"/>
        </w:rPr>
        <w:t>课程教学评价设计总表</w:t>
      </w:r>
    </w:p>
    <w:tbl>
      <w:tblPr>
        <w:tblStyle w:val="43"/>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1760"/>
        <w:gridCol w:w="1760"/>
        <w:gridCol w:w="1760"/>
        <w:gridCol w:w="1060"/>
      </w:tblGrid>
      <w:tr w14:paraId="1A3B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6E9A1C0B">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4"/>
            <w:tcBorders>
              <w:top w:val="single" w:color="auto" w:sz="4" w:space="0"/>
              <w:left w:val="single" w:color="auto" w:sz="4" w:space="0"/>
              <w:bottom w:val="single" w:color="auto" w:sz="4" w:space="0"/>
              <w:right w:val="single" w:color="auto" w:sz="4" w:space="0"/>
            </w:tcBorders>
            <w:vAlign w:val="center"/>
          </w:tcPr>
          <w:p w14:paraId="2932BAF9">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r>
      <w:tr w14:paraId="3625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DB6E3AE">
            <w:pPr>
              <w:widowControl/>
              <w:jc w:val="left"/>
              <w:rPr>
                <w:rFonts w:ascii="宋体" w:hAnsi="宋体" w:eastAsia="宋体" w:cs="Times New Roman"/>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6C4979A0">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tcBorders>
              <w:top w:val="single" w:color="auto" w:sz="4" w:space="0"/>
              <w:left w:val="single" w:color="auto" w:sz="4" w:space="0"/>
              <w:bottom w:val="single" w:color="auto" w:sz="4" w:space="0"/>
              <w:right w:val="single" w:color="auto" w:sz="4" w:space="0"/>
            </w:tcBorders>
            <w:vAlign w:val="center"/>
          </w:tcPr>
          <w:p w14:paraId="59CBF339">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tcBorders>
              <w:top w:val="single" w:color="auto" w:sz="4" w:space="0"/>
              <w:left w:val="single" w:color="auto" w:sz="4" w:space="0"/>
              <w:bottom w:val="single" w:color="auto" w:sz="4" w:space="0"/>
              <w:right w:val="single" w:color="auto" w:sz="4" w:space="0"/>
            </w:tcBorders>
            <w:vAlign w:val="center"/>
          </w:tcPr>
          <w:p w14:paraId="003EB48B">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Borders>
              <w:top w:val="single" w:color="auto" w:sz="4" w:space="0"/>
              <w:left w:val="single" w:color="auto" w:sz="4" w:space="0"/>
              <w:bottom w:val="single" w:color="auto" w:sz="4" w:space="0"/>
              <w:right w:val="single" w:color="auto" w:sz="4" w:space="0"/>
            </w:tcBorders>
            <w:vAlign w:val="center"/>
          </w:tcPr>
          <w:p w14:paraId="00A0DC04">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E1D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tcBorders>
              <w:top w:val="single" w:color="auto" w:sz="4" w:space="0"/>
              <w:left w:val="single" w:color="auto" w:sz="4" w:space="0"/>
              <w:bottom w:val="single" w:color="auto" w:sz="4" w:space="0"/>
              <w:right w:val="single" w:color="auto" w:sz="4" w:space="0"/>
            </w:tcBorders>
            <w:vAlign w:val="center"/>
          </w:tcPr>
          <w:p w14:paraId="4D959C0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tcBorders>
              <w:top w:val="single" w:color="auto" w:sz="4" w:space="0"/>
              <w:left w:val="single" w:color="auto" w:sz="4" w:space="0"/>
              <w:bottom w:val="single" w:color="auto" w:sz="4" w:space="0"/>
              <w:right w:val="single" w:color="auto" w:sz="4" w:space="0"/>
            </w:tcBorders>
            <w:vAlign w:val="center"/>
          </w:tcPr>
          <w:p w14:paraId="7F900CF6">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544E37B2">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57BB8B18">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50D3F2FB">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6D4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vAlign w:val="center"/>
          </w:tcPr>
          <w:p w14:paraId="797EA51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tcBorders>
              <w:top w:val="single" w:color="auto" w:sz="4" w:space="0"/>
              <w:left w:val="single" w:color="auto" w:sz="4" w:space="0"/>
              <w:bottom w:val="single" w:color="auto" w:sz="4" w:space="0"/>
              <w:right w:val="single" w:color="auto" w:sz="4" w:space="0"/>
            </w:tcBorders>
            <w:vAlign w:val="center"/>
          </w:tcPr>
          <w:p w14:paraId="0A8F9F40">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42DD0988">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34C3717C">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48E57C09">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089D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vAlign w:val="center"/>
          </w:tcPr>
          <w:p w14:paraId="38633CE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tcBorders>
              <w:top w:val="single" w:color="auto" w:sz="4" w:space="0"/>
              <w:left w:val="single" w:color="auto" w:sz="4" w:space="0"/>
              <w:bottom w:val="single" w:color="auto" w:sz="4" w:space="0"/>
              <w:right w:val="single" w:color="auto" w:sz="4" w:space="0"/>
            </w:tcBorders>
            <w:vAlign w:val="center"/>
          </w:tcPr>
          <w:p w14:paraId="52239F70">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3BA876C3">
            <w:pPr>
              <w:spacing w:line="360" w:lineRule="auto"/>
              <w:jc w:val="center"/>
              <w:rPr>
                <w:rFonts w:hint="eastAsia" w:ascii="宋体" w:hAnsi="宋体" w:eastAsia="宋体" w:cs="Times New Roman"/>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48E0DFF8">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75FD11B8">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4F3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vAlign w:val="center"/>
          </w:tcPr>
          <w:p w14:paraId="268A01EF">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1778F336">
            <w:pPr>
              <w:spacing w:line="360" w:lineRule="auto"/>
              <w:jc w:val="center"/>
              <w:rPr>
                <w:rFonts w:hint="eastAsia" w:ascii="宋体" w:hAnsi="宋体" w:eastAsia="宋体" w:cs="Times New Roman"/>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161719BD">
            <w:pPr>
              <w:spacing w:line="360" w:lineRule="auto"/>
              <w:jc w:val="center"/>
              <w:rPr>
                <w:rFonts w:hint="eastAsia" w:ascii="宋体" w:hAnsi="宋体" w:eastAsia="宋体" w:cs="Times New Roman"/>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0F432734">
            <w:pPr>
              <w:spacing w:line="360" w:lineRule="auto"/>
              <w:jc w:val="center"/>
              <w:rPr>
                <w:rFonts w:hint="eastAsia" w:ascii="宋体" w:hAnsi="宋体" w:eastAsia="宋体" w:cs="Times New Roman"/>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1E43AA91">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4878BEE">
      <w:pPr>
        <w:spacing w:before="156" w:beforeLines="50" w:line="360" w:lineRule="auto"/>
        <w:jc w:val="left"/>
        <w:rPr>
          <w:rFonts w:hint="eastAsia" w:ascii="Times New Roman" w:hAnsi="Times New Roman" w:eastAsia="宋体" w:cs="Times New Roman"/>
          <w:b/>
          <w:szCs w:val="21"/>
        </w:rPr>
      </w:pPr>
      <w:r>
        <w:rPr>
          <w:rFonts w:hint="eastAsia" w:ascii="宋体" w:hAnsi="宋体" w:eastAsia="宋体" w:cs="Times New Roman"/>
          <w:b/>
          <w:szCs w:val="21"/>
        </w:rPr>
        <w:t>（二）成绩评定细则</w:t>
      </w:r>
    </w:p>
    <w:p w14:paraId="7F0FFDAD">
      <w:pPr>
        <w:spacing w:line="360" w:lineRule="auto"/>
        <w:ind w:firstLine="420" w:firstLineChars="200"/>
        <w:jc w:val="left"/>
        <w:rPr>
          <w:rFonts w:ascii="Times New Roman" w:hAnsi="Times New Roman" w:eastAsia="宋体" w:cs="Times New Roman"/>
          <w:szCs w:val="21"/>
        </w:rPr>
      </w:pPr>
      <w:r>
        <w:rPr>
          <w:rFonts w:hint="eastAsia" w:ascii="宋体" w:hAnsi="宋体" w:eastAsia="宋体" w:cs="Times New Roman"/>
          <w:szCs w:val="21"/>
        </w:rPr>
        <w:t>各部分的评价方式和成绩评定的细则如表</w:t>
      </w:r>
      <w:r>
        <w:rPr>
          <w:rFonts w:hint="eastAsia" w:ascii="Times New Roman" w:hAnsi="Times New Roman" w:eastAsia="宋体" w:cs="Times New Roman"/>
          <w:szCs w:val="21"/>
        </w:rPr>
        <w:t>4</w:t>
      </w:r>
      <w:r>
        <w:rPr>
          <w:rFonts w:hint="eastAsia" w:ascii="宋体" w:hAnsi="宋体" w:eastAsia="宋体" w:cs="Times New Roman"/>
          <w:szCs w:val="21"/>
        </w:rPr>
        <w:t>所示：</w:t>
      </w:r>
    </w:p>
    <w:p w14:paraId="2383DC59">
      <w:pPr>
        <w:jc w:val="center"/>
        <w:rPr>
          <w:rFonts w:ascii="Times New Roman" w:hAnsi="Times New Roman" w:eastAsia="宋体" w:cs="Times New Roman"/>
          <w:b/>
          <w:bCs/>
          <w:szCs w:val="21"/>
        </w:rPr>
      </w:pPr>
      <w:r>
        <w:rPr>
          <w:rFonts w:hint="eastAsia" w:ascii="宋体" w:hAnsi="宋体" w:eastAsia="宋体" w:cs="Times New Roman"/>
          <w:b/>
          <w:bCs/>
          <w:szCs w:val="21"/>
        </w:rPr>
        <w:t>表</w:t>
      </w:r>
      <w:r>
        <w:rPr>
          <w:rFonts w:hint="eastAsia" w:ascii="Times New Roman" w:hAnsi="Times New Roman" w:eastAsia="宋体" w:cs="Times New Roman"/>
          <w:b/>
          <w:bCs/>
          <w:szCs w:val="21"/>
        </w:rPr>
        <w:t xml:space="preserve">4 </w:t>
      </w:r>
      <w:r>
        <w:rPr>
          <w:rFonts w:hint="eastAsia" w:ascii="宋体" w:hAnsi="宋体" w:eastAsia="宋体" w:cs="Times New Roman"/>
          <w:b/>
          <w:bCs/>
          <w:szCs w:val="21"/>
        </w:rPr>
        <w:t>各部分的评价方式和成绩评定的细则</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5A48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14A8F79C">
            <w:pPr>
              <w:jc w:val="center"/>
              <w:rPr>
                <w:rFonts w:ascii="Times New Roman" w:hAnsi="Times New Roman" w:eastAsia="宋体" w:cs="Times New Roman"/>
                <w:b/>
                <w:bCs/>
                <w:szCs w:val="21"/>
              </w:rPr>
            </w:pPr>
            <w:r>
              <w:rPr>
                <w:rFonts w:hint="eastAsia" w:ascii="宋体" w:hAnsi="宋体" w:eastAsia="宋体" w:cs="Times New Roman"/>
                <w:b/>
                <w:bCs/>
                <w:szCs w:val="21"/>
              </w:rPr>
              <w:t>评价方式</w:t>
            </w:r>
          </w:p>
        </w:tc>
        <w:tc>
          <w:tcPr>
            <w:tcW w:w="6924" w:type="dxa"/>
            <w:tcBorders>
              <w:top w:val="single" w:color="auto" w:sz="4" w:space="0"/>
              <w:left w:val="single" w:color="auto" w:sz="4" w:space="0"/>
              <w:bottom w:val="single" w:color="auto" w:sz="4" w:space="0"/>
              <w:right w:val="single" w:color="auto" w:sz="4" w:space="0"/>
            </w:tcBorders>
            <w:vAlign w:val="center"/>
          </w:tcPr>
          <w:p w14:paraId="312FD4C5">
            <w:pPr>
              <w:jc w:val="center"/>
              <w:rPr>
                <w:rFonts w:ascii="Times New Roman" w:hAnsi="Times New Roman" w:eastAsia="宋体" w:cs="Times New Roman"/>
                <w:b/>
                <w:bCs/>
                <w:szCs w:val="21"/>
              </w:rPr>
            </w:pPr>
            <w:r>
              <w:rPr>
                <w:rFonts w:hint="eastAsia" w:ascii="宋体" w:hAnsi="宋体" w:eastAsia="宋体" w:cs="Times New Roman"/>
                <w:b/>
                <w:bCs/>
                <w:szCs w:val="21"/>
              </w:rPr>
              <w:t>评定细则</w:t>
            </w:r>
          </w:p>
        </w:tc>
        <w:tc>
          <w:tcPr>
            <w:tcW w:w="0" w:type="auto"/>
            <w:tcBorders>
              <w:top w:val="single" w:color="auto" w:sz="4" w:space="0"/>
              <w:left w:val="single" w:color="auto" w:sz="4" w:space="0"/>
              <w:bottom w:val="single" w:color="auto" w:sz="4" w:space="0"/>
              <w:right w:val="single" w:color="auto" w:sz="4" w:space="0"/>
            </w:tcBorders>
            <w:vAlign w:val="center"/>
          </w:tcPr>
          <w:p w14:paraId="13024CC8">
            <w:pPr>
              <w:jc w:val="center"/>
              <w:rPr>
                <w:rFonts w:ascii="Times New Roman" w:hAnsi="Times New Roman" w:eastAsia="宋体" w:cs="Times New Roman"/>
                <w:b/>
                <w:bCs/>
                <w:szCs w:val="21"/>
              </w:rPr>
            </w:pPr>
            <w:r>
              <w:rPr>
                <w:rFonts w:hint="eastAsia" w:ascii="宋体" w:hAnsi="宋体" w:eastAsia="宋体" w:cs="Times New Roman"/>
                <w:b/>
                <w:bCs/>
                <w:szCs w:val="21"/>
              </w:rPr>
              <w:t>占比</w:t>
            </w:r>
          </w:p>
        </w:tc>
      </w:tr>
      <w:tr w14:paraId="479F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219F768D">
            <w:pPr>
              <w:rPr>
                <w:rFonts w:ascii="Times New Roman" w:hAnsi="Times New Roman" w:eastAsia="宋体" w:cs="Times New Roman"/>
                <w:szCs w:val="21"/>
              </w:rPr>
            </w:pPr>
            <w:r>
              <w:rPr>
                <w:rFonts w:hint="eastAsia" w:ascii="宋体" w:hAnsi="宋体" w:eastAsia="宋体" w:cs="Times New Roman"/>
                <w:szCs w:val="21"/>
              </w:rPr>
              <w:t>平时作业</w:t>
            </w:r>
          </w:p>
        </w:tc>
        <w:tc>
          <w:tcPr>
            <w:tcW w:w="6924" w:type="dxa"/>
            <w:tcBorders>
              <w:top w:val="single" w:color="auto" w:sz="4" w:space="0"/>
              <w:left w:val="single" w:color="auto" w:sz="4" w:space="0"/>
              <w:bottom w:val="single" w:color="auto" w:sz="4" w:space="0"/>
              <w:right w:val="single" w:color="auto" w:sz="4" w:space="0"/>
            </w:tcBorders>
            <w:vAlign w:val="center"/>
          </w:tcPr>
          <w:p w14:paraId="7D93CF64">
            <w:pPr>
              <w:spacing w:line="264" w:lineRule="auto"/>
              <w:jc w:val="left"/>
              <w:rPr>
                <w:rFonts w:ascii="Times New Roman" w:hAnsi="Times New Roman" w:eastAsia="宋体" w:cs="Times New Roman"/>
                <w:szCs w:val="21"/>
              </w:rPr>
            </w:pPr>
            <w:r>
              <w:rPr>
                <w:rFonts w:hint="eastAsia" w:ascii="宋体" w:hAnsi="宋体" w:eastAsia="宋体" w:cs="Times New Roman"/>
                <w:szCs w:val="21"/>
              </w:rPr>
              <w:t>平时作业共</w:t>
            </w:r>
            <w:r>
              <w:rPr>
                <w:rFonts w:hint="eastAsia" w:ascii="Times New Roman" w:hAnsi="Times New Roman" w:eastAsia="宋体" w:cs="Times New Roman"/>
                <w:szCs w:val="21"/>
              </w:rPr>
              <w:t>2</w:t>
            </w:r>
            <w:r>
              <w:rPr>
                <w:rFonts w:hint="eastAsia" w:ascii="宋体" w:hAnsi="宋体" w:eastAsia="宋体" w:cs="Times New Roman"/>
                <w:szCs w:val="21"/>
              </w:rPr>
              <w:t>次，第一次是搜索资料，完成新兴职业的介绍；第二次为完成一个个人简历的设计，以美观、内容完整、符合个人特色为主要评分标准。</w:t>
            </w:r>
          </w:p>
        </w:tc>
        <w:tc>
          <w:tcPr>
            <w:tcW w:w="0" w:type="auto"/>
            <w:tcBorders>
              <w:top w:val="single" w:color="auto" w:sz="4" w:space="0"/>
              <w:left w:val="single" w:color="auto" w:sz="4" w:space="0"/>
              <w:bottom w:val="single" w:color="auto" w:sz="4" w:space="0"/>
              <w:right w:val="single" w:color="auto" w:sz="4" w:space="0"/>
            </w:tcBorders>
            <w:vAlign w:val="center"/>
          </w:tcPr>
          <w:p w14:paraId="2A883D2B">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548D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4A636EA0">
            <w:pPr>
              <w:rPr>
                <w:rFonts w:ascii="Times New Roman" w:hAnsi="Times New Roman" w:eastAsia="宋体" w:cs="Times New Roman"/>
                <w:szCs w:val="21"/>
              </w:rPr>
            </w:pPr>
            <w:r>
              <w:rPr>
                <w:rFonts w:hint="eastAsia" w:ascii="宋体" w:hAnsi="宋体" w:eastAsia="宋体" w:cs="Times New Roman"/>
                <w:szCs w:val="21"/>
              </w:rPr>
              <w:t>课堂表现</w:t>
            </w:r>
          </w:p>
        </w:tc>
        <w:tc>
          <w:tcPr>
            <w:tcW w:w="6924" w:type="dxa"/>
            <w:tcBorders>
              <w:top w:val="single" w:color="auto" w:sz="4" w:space="0"/>
              <w:left w:val="single" w:color="auto" w:sz="4" w:space="0"/>
              <w:bottom w:val="single" w:color="auto" w:sz="4" w:space="0"/>
              <w:right w:val="single" w:color="auto" w:sz="4" w:space="0"/>
            </w:tcBorders>
            <w:vAlign w:val="center"/>
          </w:tcPr>
          <w:p w14:paraId="6397D80C">
            <w:pPr>
              <w:widowControl/>
              <w:spacing w:line="264"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一是课题考勤情况。</w:t>
            </w:r>
            <w:r>
              <w:rPr>
                <w:rFonts w:hint="eastAsia" w:ascii="宋体" w:hAnsi="宋体" w:eastAsia="宋体" w:cs="Times New Roman"/>
                <w:szCs w:val="21"/>
              </w:rPr>
              <w:t>迟到一次扣</w:t>
            </w:r>
            <w:r>
              <w:rPr>
                <w:rFonts w:hint="eastAsia" w:ascii="Times New Roman" w:hAnsi="Times New Roman" w:eastAsia="宋体" w:cs="Times New Roman"/>
                <w:szCs w:val="21"/>
              </w:rPr>
              <w:t>2</w:t>
            </w:r>
            <w:r>
              <w:rPr>
                <w:rFonts w:hint="eastAsia" w:ascii="宋体" w:hAnsi="宋体" w:eastAsia="宋体" w:cs="Times New Roman"/>
                <w:szCs w:val="21"/>
              </w:rPr>
              <w:t>分，无故缺席一次扣</w:t>
            </w:r>
            <w:r>
              <w:rPr>
                <w:rFonts w:hint="eastAsia" w:ascii="Times New Roman" w:hAnsi="Times New Roman" w:eastAsia="宋体" w:cs="Times New Roman"/>
                <w:szCs w:val="21"/>
              </w:rPr>
              <w:t>5</w:t>
            </w:r>
            <w:r>
              <w:rPr>
                <w:rFonts w:hint="eastAsia" w:ascii="宋体" w:hAnsi="宋体" w:eastAsia="宋体" w:cs="Times New Roman"/>
                <w:szCs w:val="21"/>
              </w:rPr>
              <w:t>分，累计达</w:t>
            </w:r>
            <w:r>
              <w:rPr>
                <w:rFonts w:ascii="Times New Roman" w:hAnsi="Times New Roman" w:eastAsia="宋体" w:cs="Times New Roman"/>
                <w:szCs w:val="21"/>
              </w:rPr>
              <w:t>3</w:t>
            </w:r>
            <w:r>
              <w:rPr>
                <w:rFonts w:hint="eastAsia" w:ascii="宋体" w:hAnsi="宋体" w:eastAsia="宋体" w:cs="Times New Roman"/>
                <w:szCs w:val="21"/>
              </w:rPr>
              <w:t>次以上（不含</w:t>
            </w:r>
            <w:r>
              <w:rPr>
                <w:rFonts w:ascii="Times New Roman" w:hAnsi="Times New Roman" w:eastAsia="宋体" w:cs="Times New Roman"/>
                <w:szCs w:val="21"/>
              </w:rPr>
              <w:t>3</w:t>
            </w:r>
            <w:r>
              <w:rPr>
                <w:rFonts w:hint="eastAsia" w:ascii="宋体" w:hAnsi="宋体" w:eastAsia="宋体" w:cs="Times New Roman"/>
                <w:szCs w:val="21"/>
              </w:rPr>
              <w:t>次）取消课程成绩。</w:t>
            </w:r>
          </w:p>
          <w:p w14:paraId="53484217">
            <w:pPr>
              <w:widowControl/>
              <w:spacing w:line="264" w:lineRule="auto"/>
              <w:jc w:val="left"/>
              <w:rPr>
                <w:rFonts w:ascii="Times New Roman" w:hAnsi="Times New Roman" w:eastAsia="宋体" w:cs="Times New Roman"/>
                <w:szCs w:val="21"/>
              </w:rPr>
            </w:pPr>
            <w:r>
              <w:rPr>
                <w:rFonts w:hint="eastAsia" w:ascii="宋体" w:hAnsi="宋体" w:eastAsia="宋体" w:cs="Times New Roman"/>
                <w:szCs w:val="21"/>
              </w:rPr>
              <w:t>二是</w:t>
            </w:r>
            <w:r>
              <w:rPr>
                <w:rFonts w:hint="eastAsia" w:ascii="宋体" w:hAnsi="宋体" w:eastAsia="宋体" w:cs="Times New Roman"/>
                <w:color w:val="000000"/>
                <w:kern w:val="0"/>
                <w:szCs w:val="21"/>
              </w:rPr>
              <w:t>课堂参与情况。主要指课上教师随机提问、组织课堂讨论等，观察学生参与程度，表现良好，按照对应的课程目标及权重给予评定。</w:t>
            </w:r>
          </w:p>
        </w:tc>
        <w:tc>
          <w:tcPr>
            <w:tcW w:w="0" w:type="auto"/>
            <w:tcBorders>
              <w:top w:val="single" w:color="auto" w:sz="4" w:space="0"/>
              <w:left w:val="single" w:color="auto" w:sz="4" w:space="0"/>
              <w:bottom w:val="single" w:color="auto" w:sz="4" w:space="0"/>
              <w:right w:val="single" w:color="auto" w:sz="4" w:space="0"/>
            </w:tcBorders>
            <w:vAlign w:val="center"/>
          </w:tcPr>
          <w:p w14:paraId="161C3E41">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06B9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4200BBB9">
            <w:pPr>
              <w:rPr>
                <w:rFonts w:ascii="Times New Roman" w:hAnsi="Times New Roman" w:eastAsia="宋体" w:cs="Times New Roman"/>
                <w:szCs w:val="21"/>
              </w:rPr>
            </w:pPr>
            <w:r>
              <w:rPr>
                <w:rFonts w:hint="eastAsia" w:ascii="宋体" w:hAnsi="宋体" w:eastAsia="宋体" w:cs="Times New Roman"/>
                <w:szCs w:val="21"/>
              </w:rPr>
              <w:t>期末考核</w:t>
            </w:r>
          </w:p>
        </w:tc>
        <w:tc>
          <w:tcPr>
            <w:tcW w:w="6924" w:type="dxa"/>
            <w:tcBorders>
              <w:top w:val="single" w:color="auto" w:sz="4" w:space="0"/>
              <w:left w:val="single" w:color="auto" w:sz="4" w:space="0"/>
              <w:bottom w:val="single" w:color="auto" w:sz="4" w:space="0"/>
              <w:right w:val="single" w:color="auto" w:sz="4" w:space="0"/>
            </w:tcBorders>
            <w:vAlign w:val="center"/>
          </w:tcPr>
          <w:p w14:paraId="312E7516">
            <w:pPr>
              <w:spacing w:line="264" w:lineRule="auto"/>
              <w:jc w:val="left"/>
              <w:rPr>
                <w:rFonts w:ascii="Times New Roman" w:hAnsi="Times New Roman" w:eastAsia="宋体" w:cs="Times New Roman"/>
                <w:szCs w:val="21"/>
              </w:rPr>
            </w:pPr>
            <w:r>
              <w:rPr>
                <w:rFonts w:hint="eastAsia" w:ascii="宋体" w:hAnsi="宋体" w:eastAsia="宋体" w:cs="Times New Roman"/>
                <w:color w:val="000000"/>
                <w:szCs w:val="21"/>
              </w:rPr>
              <w:t>完成一个职业生涯规划，要求内容完整，</w:t>
            </w:r>
            <w:r>
              <w:rPr>
                <w:rFonts w:hint="eastAsia" w:ascii="Times New Roman" w:hAnsi="Times New Roman" w:eastAsia="宋体" w:cs="Times New Roman"/>
                <w:color w:val="000000"/>
                <w:szCs w:val="21"/>
              </w:rPr>
              <w:t>SWOT</w:t>
            </w:r>
            <w:r>
              <w:rPr>
                <w:rFonts w:hint="eastAsia" w:ascii="宋体" w:hAnsi="宋体" w:eastAsia="宋体" w:cs="Times New Roman"/>
                <w:color w:val="000000"/>
                <w:szCs w:val="21"/>
              </w:rPr>
              <w:t>分析合理，符合个人特点，具有可行性，格式规范，行文优美为评分参考标准。</w:t>
            </w:r>
          </w:p>
        </w:tc>
        <w:tc>
          <w:tcPr>
            <w:tcW w:w="0" w:type="auto"/>
            <w:tcBorders>
              <w:top w:val="single" w:color="auto" w:sz="4" w:space="0"/>
              <w:left w:val="single" w:color="auto" w:sz="4" w:space="0"/>
              <w:bottom w:val="single" w:color="auto" w:sz="4" w:space="0"/>
              <w:right w:val="single" w:color="auto" w:sz="4" w:space="0"/>
            </w:tcBorders>
            <w:vAlign w:val="center"/>
          </w:tcPr>
          <w:p w14:paraId="5E4E8E67">
            <w:pPr>
              <w:jc w:val="center"/>
              <w:rPr>
                <w:rFonts w:hint="eastAsia" w:ascii="Times New Roman" w:hAnsi="Times New Roman" w:eastAsia="宋体" w:cs="Times New Roman"/>
                <w:szCs w:val="21"/>
              </w:rPr>
            </w:pPr>
            <w:r>
              <w:rPr>
                <w:rFonts w:hint="eastAsia" w:ascii="Times New Roman" w:hAnsi="Times New Roman" w:eastAsia="宋体" w:cs="Times New Roman"/>
                <w:szCs w:val="21"/>
              </w:rPr>
              <w:t>60%</w:t>
            </w:r>
          </w:p>
        </w:tc>
      </w:tr>
      <w:tr w14:paraId="363D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tcBorders>
              <w:top w:val="single" w:color="auto" w:sz="4" w:space="0"/>
              <w:left w:val="single" w:color="auto" w:sz="4" w:space="0"/>
              <w:bottom w:val="single" w:color="auto" w:sz="4" w:space="0"/>
              <w:right w:val="single" w:color="auto" w:sz="4" w:space="0"/>
            </w:tcBorders>
            <w:vAlign w:val="center"/>
          </w:tcPr>
          <w:p w14:paraId="2700F2C2">
            <w:pPr>
              <w:jc w:val="center"/>
              <w:rPr>
                <w:rFonts w:ascii="Times New Roman" w:hAnsi="Times New Roman" w:eastAsia="宋体" w:cs="Times New Roman"/>
                <w:b/>
                <w:bCs/>
                <w:szCs w:val="21"/>
              </w:rPr>
            </w:pPr>
            <w:r>
              <w:rPr>
                <w:rFonts w:hint="eastAsia" w:ascii="宋体" w:hAnsi="宋体" w:eastAsia="宋体" w:cs="Times New Roman"/>
                <w:b/>
                <w:bCs/>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6A6DC3A8">
            <w:pPr>
              <w:jc w:val="left"/>
              <w:rPr>
                <w:rFonts w:ascii="Times New Roman" w:hAnsi="Times New Roman" w:eastAsia="宋体" w:cs="Times New Roman"/>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0FF7F34E">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54AB0B1">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4D6962F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所有课程目标均需大于等于0.6，否则总评成绩不及格，需要补考或重修。每门课程目标总体达成度计算方法如下：</w:t>
      </w:r>
    </w:p>
    <w:p w14:paraId="5F05C670">
      <w:pPr>
        <w:spacing w:before="156" w:beforeLines="50" w:line="360" w:lineRule="auto"/>
        <w:ind w:firstLine="420" w:firstLineChars="200"/>
        <w:jc w:val="left"/>
        <w:rPr>
          <w:rFonts w:hint="eastAsia" w:ascii="宋体" w:hAnsi="宋体" w:eastAsia="宋体" w:cs="Times New Roman"/>
          <w:color w:val="000000"/>
          <w:szCs w:val="21"/>
        </w:rPr>
      </w:pPr>
      <w:r>
        <w:rPr>
          <w:rFonts w:hint="eastAsia" w:ascii="等线" w:hAnsi="等线" w:eastAsia="等线" w:cs="Times New Roman"/>
          <w:szCs w:val="21"/>
        </w:rPr>
        <w:drawing>
          <wp:inline distT="0" distB="0" distL="0" distR="0">
            <wp:extent cx="5133975" cy="314325"/>
            <wp:effectExtent l="0" t="0" r="95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3975" cy="314325"/>
                    </a:xfrm>
                    <a:prstGeom prst="rect">
                      <a:avLst/>
                    </a:prstGeom>
                    <a:noFill/>
                    <a:ln>
                      <a:noFill/>
                    </a:ln>
                  </pic:spPr>
                </pic:pic>
              </a:graphicData>
            </a:graphic>
          </wp:inline>
        </w:drawing>
      </w:r>
    </w:p>
    <w:p w14:paraId="7B9A9F6F">
      <w:pPr>
        <w:spacing w:line="360" w:lineRule="auto"/>
        <w:ind w:firstLine="551" w:firstLineChars="196"/>
        <w:jc w:val="left"/>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rPr>
        <w:t xml:space="preserve"> </w:t>
      </w:r>
    </w:p>
    <w:p w14:paraId="75E362FA">
      <w:pPr>
        <w:spacing w:line="360" w:lineRule="auto"/>
        <w:jc w:val="left"/>
        <w:rPr>
          <w:rFonts w:hint="eastAsia" w:ascii="Times New Roman" w:hAnsi="Times New Roman" w:eastAsia="宋体" w:cs="Times New Roman"/>
          <w:b/>
          <w:bCs/>
          <w:sz w:val="24"/>
        </w:rPr>
      </w:pPr>
      <w:r>
        <w:rPr>
          <w:rFonts w:hint="eastAsia" w:ascii="宋体" w:hAnsi="宋体" w:eastAsia="宋体" w:cs="Times New Roman"/>
          <w:b/>
          <w:color w:val="000000"/>
          <w:sz w:val="24"/>
        </w:rPr>
        <w:t>五、有关说明</w:t>
      </w:r>
    </w:p>
    <w:p w14:paraId="2F590230">
      <w:pPr>
        <w:spacing w:line="360" w:lineRule="auto"/>
        <w:jc w:val="left"/>
        <w:rPr>
          <w:rFonts w:ascii="Times New Roman" w:hAnsi="Times New Roman" w:eastAsia="宋体" w:cs="Times New Roman"/>
          <w:b/>
          <w:szCs w:val="21"/>
        </w:rPr>
      </w:pPr>
      <w:r>
        <w:rPr>
          <w:rFonts w:hint="eastAsia" w:ascii="宋体" w:hAnsi="宋体" w:eastAsia="宋体" w:cs="Times New Roman"/>
          <w:b/>
          <w:szCs w:val="21"/>
        </w:rPr>
        <w:t>（一）持续改进</w:t>
      </w:r>
    </w:p>
    <w:p w14:paraId="04B5BE89">
      <w:pPr>
        <w:spacing w:line="360" w:lineRule="auto"/>
        <w:ind w:firstLine="420" w:firstLineChars="200"/>
        <w:jc w:val="left"/>
        <w:rPr>
          <w:rFonts w:ascii="Times New Roman" w:hAnsi="Times New Roman" w:eastAsia="宋体" w:cs="Times New Roman"/>
          <w:b/>
          <w:szCs w:val="21"/>
        </w:rPr>
      </w:pPr>
      <w:r>
        <w:rPr>
          <w:rFonts w:hint="eastAsia" w:ascii="宋体" w:hAnsi="宋体"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4B5B521B">
      <w:pPr>
        <w:spacing w:line="360" w:lineRule="auto"/>
        <w:jc w:val="left"/>
        <w:rPr>
          <w:rFonts w:ascii="Times New Roman" w:hAnsi="Times New Roman" w:eastAsia="宋体" w:cs="Times New Roman"/>
          <w:b/>
          <w:szCs w:val="21"/>
        </w:rPr>
      </w:pPr>
      <w:r>
        <w:rPr>
          <w:rFonts w:hint="eastAsia" w:ascii="宋体" w:hAnsi="宋体" w:eastAsia="宋体" w:cs="Times New Roman"/>
          <w:b/>
          <w:szCs w:val="21"/>
        </w:rPr>
        <w:t>（二）建议教材</w:t>
      </w:r>
    </w:p>
    <w:p w14:paraId="0969A277">
      <w:pPr>
        <w:spacing w:line="360" w:lineRule="auto"/>
        <w:ind w:firstLine="420" w:firstLineChars="200"/>
        <w:jc w:val="left"/>
        <w:rPr>
          <w:rFonts w:ascii="Times New Roman" w:hAnsi="Times New Roman" w:eastAsia="宋体" w:cs="Times New Roman"/>
          <w:b/>
          <w:szCs w:val="21"/>
        </w:rPr>
      </w:pPr>
      <w:r>
        <w:rPr>
          <w:rFonts w:hint="eastAsia" w:ascii="宋体" w:hAnsi="宋体" w:eastAsia="宋体" w:cs="Times New Roman"/>
          <w:bCs/>
          <w:color w:val="000000"/>
          <w:szCs w:val="21"/>
        </w:rPr>
        <w:t>《大学生就业指导（云课堂版）》易高峰、徐新华主编，上海交通大学出版社，</w:t>
      </w:r>
      <w:r>
        <w:rPr>
          <w:rFonts w:hint="eastAsia" w:ascii="Times New Roman" w:hAnsi="Times New Roman" w:eastAsia="宋体" w:cs="Times New Roman"/>
          <w:bCs/>
          <w:color w:val="000000"/>
          <w:szCs w:val="21"/>
        </w:rPr>
        <w:t>2023</w:t>
      </w:r>
      <w:r>
        <w:rPr>
          <w:rFonts w:hint="eastAsia" w:ascii="宋体" w:hAnsi="宋体" w:eastAsia="宋体" w:cs="Times New Roman"/>
          <w:b/>
          <w:szCs w:val="21"/>
        </w:rPr>
        <w:t>（三）参考书目</w:t>
      </w:r>
    </w:p>
    <w:p w14:paraId="348A5BBD">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w:t>
      </w:r>
      <w:r>
        <w:rPr>
          <w:rFonts w:hint="eastAsia" w:ascii="宋体" w:hAnsi="宋体" w:eastAsia="宋体" w:cs="Times New Roman"/>
          <w:bCs/>
          <w:color w:val="000000"/>
          <w:szCs w:val="21"/>
        </w:rPr>
        <w:t>常栩雨．大学生职业生涯规划与就业指导</w:t>
      </w:r>
      <w:r>
        <w:rPr>
          <w:rFonts w:hint="eastAsia" w:ascii="Times New Roman" w:hAnsi="Times New Roman" w:eastAsia="宋体" w:cs="Times New Roman"/>
          <w:bCs/>
          <w:color w:val="000000"/>
          <w:szCs w:val="21"/>
        </w:rPr>
        <w:t>[M]</w:t>
      </w:r>
      <w:r>
        <w:rPr>
          <w:rFonts w:hint="eastAsia" w:ascii="宋体" w:hAnsi="宋体" w:eastAsia="宋体" w:cs="Times New Roman"/>
          <w:bCs/>
          <w:color w:val="000000"/>
          <w:szCs w:val="21"/>
        </w:rPr>
        <w:t>．北京：北京师范大学出版社，</w:t>
      </w:r>
      <w:r>
        <w:rPr>
          <w:rFonts w:hint="eastAsia" w:ascii="Times New Roman" w:hAnsi="Times New Roman" w:eastAsia="宋体" w:cs="Times New Roman"/>
          <w:bCs/>
          <w:color w:val="000000"/>
          <w:szCs w:val="21"/>
        </w:rPr>
        <w:t>2021</w:t>
      </w:r>
      <w:r>
        <w:rPr>
          <w:rFonts w:hint="eastAsia" w:ascii="宋体" w:hAnsi="宋体" w:eastAsia="宋体" w:cs="Times New Roman"/>
          <w:bCs/>
          <w:color w:val="000000"/>
          <w:szCs w:val="21"/>
        </w:rPr>
        <w:t>．</w:t>
      </w:r>
    </w:p>
    <w:p w14:paraId="3AEE3774">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2.</w:t>
      </w:r>
      <w:r>
        <w:rPr>
          <w:rFonts w:hint="eastAsia" w:ascii="宋体" w:hAnsi="宋体" w:eastAsia="宋体" w:cs="Times New Roman"/>
          <w:bCs/>
          <w:color w:val="000000"/>
          <w:szCs w:val="21"/>
        </w:rPr>
        <w:t>陈姗姗．大学生职业生涯规划与就业创业指导</w:t>
      </w:r>
      <w:r>
        <w:rPr>
          <w:rFonts w:hint="eastAsia" w:ascii="Times New Roman" w:hAnsi="Times New Roman" w:eastAsia="宋体" w:cs="Times New Roman"/>
          <w:bCs/>
          <w:color w:val="000000"/>
          <w:szCs w:val="21"/>
        </w:rPr>
        <w:t>[M]</w:t>
      </w:r>
      <w:r>
        <w:rPr>
          <w:rFonts w:hint="eastAsia" w:ascii="宋体" w:hAnsi="宋体" w:eastAsia="宋体" w:cs="Times New Roman"/>
          <w:bCs/>
          <w:color w:val="000000"/>
          <w:szCs w:val="21"/>
        </w:rPr>
        <w:t>．重庆：重庆大学出版社，</w:t>
      </w:r>
      <w:r>
        <w:rPr>
          <w:rFonts w:hint="eastAsia" w:ascii="Times New Roman" w:hAnsi="Times New Roman" w:eastAsia="宋体" w:cs="Times New Roman"/>
          <w:bCs/>
          <w:color w:val="000000"/>
          <w:szCs w:val="21"/>
        </w:rPr>
        <w:t>2017</w:t>
      </w:r>
      <w:r>
        <w:rPr>
          <w:rFonts w:hint="eastAsia" w:ascii="宋体" w:hAnsi="宋体" w:eastAsia="宋体" w:cs="Times New Roman"/>
          <w:bCs/>
          <w:color w:val="000000"/>
          <w:szCs w:val="21"/>
        </w:rPr>
        <w:t>．</w:t>
      </w:r>
    </w:p>
    <w:p w14:paraId="5FD23627">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3.</w:t>
      </w:r>
      <w:r>
        <w:rPr>
          <w:rFonts w:hint="eastAsia" w:ascii="宋体" w:hAnsi="宋体" w:eastAsia="宋体" w:cs="Times New Roman"/>
          <w:bCs/>
          <w:color w:val="000000"/>
          <w:szCs w:val="21"/>
        </w:rPr>
        <w:t>桂舟，张淑谦，罗元浩，等．大学生职业发展与就业指导</w:t>
      </w:r>
      <w:r>
        <w:rPr>
          <w:rFonts w:hint="eastAsia" w:ascii="Times New Roman" w:hAnsi="Times New Roman" w:eastAsia="宋体" w:cs="Times New Roman"/>
          <w:bCs/>
          <w:color w:val="000000"/>
          <w:szCs w:val="21"/>
        </w:rPr>
        <w:t>[M]</w:t>
      </w:r>
      <w:r>
        <w:rPr>
          <w:rFonts w:hint="eastAsia" w:ascii="宋体" w:hAnsi="宋体" w:eastAsia="宋体" w:cs="Times New Roman"/>
          <w:bCs/>
          <w:color w:val="000000"/>
          <w:szCs w:val="21"/>
        </w:rPr>
        <w:t>．</w:t>
      </w:r>
      <w:r>
        <w:rPr>
          <w:rFonts w:hint="eastAsia" w:ascii="Times New Roman" w:hAnsi="Times New Roman" w:eastAsia="宋体" w:cs="Times New Roman"/>
          <w:bCs/>
          <w:color w:val="000000"/>
          <w:szCs w:val="21"/>
        </w:rPr>
        <w:t>2</w:t>
      </w:r>
      <w:r>
        <w:rPr>
          <w:rFonts w:hint="eastAsia" w:ascii="宋体" w:hAnsi="宋体" w:eastAsia="宋体" w:cs="Times New Roman"/>
          <w:bCs/>
          <w:color w:val="000000"/>
          <w:szCs w:val="21"/>
        </w:rPr>
        <w:t>版．北京：清华大学出版社，</w:t>
      </w:r>
      <w:r>
        <w:rPr>
          <w:rFonts w:hint="eastAsia" w:ascii="Times New Roman" w:hAnsi="Times New Roman" w:eastAsia="宋体" w:cs="Times New Roman"/>
          <w:bCs/>
          <w:color w:val="000000"/>
          <w:szCs w:val="21"/>
        </w:rPr>
        <w:t>2018</w:t>
      </w:r>
      <w:r>
        <w:rPr>
          <w:rFonts w:hint="eastAsia" w:ascii="宋体" w:hAnsi="宋体" w:eastAsia="宋体" w:cs="Times New Roman"/>
          <w:bCs/>
          <w:color w:val="000000"/>
          <w:szCs w:val="21"/>
        </w:rPr>
        <w:t>．</w:t>
      </w:r>
    </w:p>
    <w:p w14:paraId="1E746E48">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4.</w:t>
      </w:r>
      <w:r>
        <w:rPr>
          <w:rFonts w:hint="eastAsia" w:ascii="宋体" w:hAnsi="宋体" w:eastAsia="宋体" w:cs="Times New Roman"/>
          <w:bCs/>
          <w:color w:val="000000"/>
          <w:szCs w:val="21"/>
        </w:rPr>
        <w:t>郭帆，崔正华．大学生职业生涯规划与就业指导</w:t>
      </w:r>
      <w:r>
        <w:rPr>
          <w:rFonts w:hint="eastAsia" w:ascii="Times New Roman" w:hAnsi="Times New Roman" w:eastAsia="宋体" w:cs="Times New Roman"/>
          <w:bCs/>
          <w:color w:val="000000"/>
          <w:szCs w:val="21"/>
        </w:rPr>
        <w:t>[M]</w:t>
      </w:r>
      <w:r>
        <w:rPr>
          <w:rFonts w:hint="eastAsia" w:ascii="宋体" w:hAnsi="宋体" w:eastAsia="宋体" w:cs="Times New Roman"/>
          <w:bCs/>
          <w:color w:val="000000"/>
          <w:szCs w:val="21"/>
        </w:rPr>
        <w:t>．南京：东南大学出版社，</w:t>
      </w:r>
      <w:r>
        <w:rPr>
          <w:rFonts w:hint="eastAsia" w:ascii="Times New Roman" w:hAnsi="Times New Roman" w:eastAsia="宋体" w:cs="Times New Roman"/>
          <w:bCs/>
          <w:color w:val="000000"/>
          <w:szCs w:val="21"/>
        </w:rPr>
        <w:t>2018</w:t>
      </w:r>
      <w:r>
        <w:rPr>
          <w:rFonts w:hint="eastAsia" w:ascii="宋体" w:hAnsi="宋体" w:eastAsia="宋体" w:cs="Times New Roman"/>
          <w:bCs/>
          <w:color w:val="000000"/>
          <w:szCs w:val="21"/>
        </w:rPr>
        <w:t>．</w:t>
      </w:r>
    </w:p>
    <w:p w14:paraId="73B77A26">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5.</w:t>
      </w:r>
      <w:r>
        <w:rPr>
          <w:rFonts w:hint="eastAsia" w:ascii="宋体" w:hAnsi="宋体" w:eastAsia="宋体" w:cs="Times New Roman"/>
          <w:bCs/>
          <w:color w:val="000000"/>
          <w:szCs w:val="21"/>
        </w:rPr>
        <w:t>侯士兵，杨薛雯．职业生涯发展与规划</w:t>
      </w:r>
      <w:r>
        <w:rPr>
          <w:rFonts w:hint="eastAsia" w:ascii="Times New Roman" w:hAnsi="Times New Roman" w:eastAsia="宋体" w:cs="Times New Roman"/>
          <w:bCs/>
          <w:color w:val="000000"/>
          <w:szCs w:val="21"/>
        </w:rPr>
        <w:t>[M]</w:t>
      </w:r>
      <w:r>
        <w:rPr>
          <w:rFonts w:hint="eastAsia" w:ascii="宋体" w:hAnsi="宋体" w:eastAsia="宋体" w:cs="Times New Roman"/>
          <w:bCs/>
          <w:color w:val="000000"/>
          <w:szCs w:val="21"/>
        </w:rPr>
        <w:t>．上海：上海交通大学出版社，</w:t>
      </w:r>
      <w:r>
        <w:rPr>
          <w:rFonts w:hint="eastAsia" w:ascii="Times New Roman" w:hAnsi="Times New Roman" w:eastAsia="宋体" w:cs="Times New Roman"/>
          <w:bCs/>
          <w:color w:val="000000"/>
          <w:szCs w:val="21"/>
        </w:rPr>
        <w:t>2017</w:t>
      </w:r>
      <w:r>
        <w:rPr>
          <w:rFonts w:hint="eastAsia" w:ascii="宋体" w:hAnsi="宋体" w:eastAsia="宋体" w:cs="Times New Roman"/>
          <w:bCs/>
          <w:color w:val="000000"/>
          <w:szCs w:val="21"/>
        </w:rPr>
        <w:t>．</w:t>
      </w:r>
    </w:p>
    <w:p w14:paraId="60D5F445">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6.</w:t>
      </w:r>
      <w:r>
        <w:rPr>
          <w:rFonts w:hint="eastAsia" w:ascii="宋体" w:hAnsi="宋体" w:eastAsia="宋体" w:cs="Times New Roman"/>
          <w:bCs/>
          <w:color w:val="000000"/>
          <w:szCs w:val="21"/>
        </w:rPr>
        <w:t>金新．大学生就业与创业指导</w:t>
      </w:r>
      <w:r>
        <w:rPr>
          <w:rFonts w:hint="eastAsia" w:ascii="Times New Roman" w:hAnsi="Times New Roman" w:eastAsia="宋体" w:cs="Times New Roman"/>
          <w:bCs/>
          <w:color w:val="000000"/>
          <w:szCs w:val="21"/>
        </w:rPr>
        <w:t>[M]</w:t>
      </w:r>
      <w:r>
        <w:rPr>
          <w:rFonts w:hint="eastAsia" w:ascii="宋体" w:hAnsi="宋体" w:eastAsia="宋体" w:cs="Times New Roman"/>
          <w:bCs/>
          <w:color w:val="000000"/>
          <w:szCs w:val="21"/>
        </w:rPr>
        <w:t>．北京：中国轻工业出版社，</w:t>
      </w:r>
      <w:r>
        <w:rPr>
          <w:rFonts w:hint="eastAsia" w:ascii="Times New Roman" w:hAnsi="Times New Roman" w:eastAsia="宋体" w:cs="Times New Roman"/>
          <w:bCs/>
          <w:color w:val="000000"/>
          <w:szCs w:val="21"/>
        </w:rPr>
        <w:t>2019</w:t>
      </w:r>
      <w:r>
        <w:rPr>
          <w:rFonts w:hint="eastAsia" w:ascii="宋体" w:hAnsi="宋体" w:eastAsia="宋体" w:cs="Times New Roman"/>
          <w:bCs/>
          <w:color w:val="000000"/>
          <w:szCs w:val="21"/>
        </w:rPr>
        <w:t>．</w:t>
      </w:r>
    </w:p>
    <w:p w14:paraId="0B08EDA3">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7.</w:t>
      </w:r>
      <w:r>
        <w:rPr>
          <w:rFonts w:hint="eastAsia" w:ascii="宋体" w:hAnsi="宋体" w:eastAsia="宋体" w:cs="Times New Roman"/>
          <w:bCs/>
          <w:color w:val="000000"/>
          <w:szCs w:val="21"/>
        </w:rPr>
        <w:t>李为，代莉．大学生职业生涯规划与就业创业指导</w:t>
      </w:r>
      <w:r>
        <w:rPr>
          <w:rFonts w:hint="eastAsia" w:ascii="Times New Roman" w:hAnsi="Times New Roman" w:eastAsia="宋体" w:cs="Times New Roman"/>
          <w:bCs/>
          <w:color w:val="000000"/>
          <w:szCs w:val="21"/>
        </w:rPr>
        <w:t>[M]</w:t>
      </w:r>
      <w:r>
        <w:rPr>
          <w:rFonts w:hint="eastAsia" w:ascii="宋体" w:hAnsi="宋体" w:eastAsia="宋体" w:cs="Times New Roman"/>
          <w:bCs/>
          <w:color w:val="000000"/>
          <w:szCs w:val="21"/>
        </w:rPr>
        <w:t>．北京：中国农业出版社，</w:t>
      </w:r>
      <w:r>
        <w:rPr>
          <w:rFonts w:hint="eastAsia" w:ascii="Times New Roman" w:hAnsi="Times New Roman" w:eastAsia="宋体" w:cs="Times New Roman"/>
          <w:bCs/>
          <w:color w:val="000000"/>
          <w:szCs w:val="21"/>
        </w:rPr>
        <w:t>2021</w:t>
      </w:r>
      <w:r>
        <w:rPr>
          <w:rFonts w:hint="eastAsia" w:ascii="宋体" w:hAnsi="宋体" w:eastAsia="宋体" w:cs="Times New Roman"/>
          <w:bCs/>
          <w:color w:val="000000"/>
          <w:szCs w:val="21"/>
        </w:rPr>
        <w:t>．</w:t>
      </w:r>
    </w:p>
    <w:p w14:paraId="70912F46">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8.</w:t>
      </w:r>
      <w:r>
        <w:rPr>
          <w:rFonts w:hint="eastAsia" w:ascii="宋体" w:hAnsi="宋体" w:eastAsia="宋体" w:cs="Times New Roman"/>
          <w:bCs/>
          <w:color w:val="000000"/>
          <w:szCs w:val="21"/>
        </w:rPr>
        <w:t>梁杰，杨一笔，雷承春．大学生职业生涯规划与就业指导</w:t>
      </w:r>
      <w:r>
        <w:rPr>
          <w:rFonts w:hint="eastAsia" w:ascii="Times New Roman" w:hAnsi="Times New Roman" w:eastAsia="宋体" w:cs="Times New Roman"/>
          <w:bCs/>
          <w:color w:val="000000"/>
          <w:szCs w:val="21"/>
        </w:rPr>
        <w:t>[M]</w:t>
      </w:r>
      <w:r>
        <w:rPr>
          <w:rFonts w:hint="eastAsia" w:ascii="宋体" w:hAnsi="宋体" w:eastAsia="宋体" w:cs="Times New Roman"/>
          <w:bCs/>
          <w:color w:val="000000"/>
          <w:szCs w:val="21"/>
        </w:rPr>
        <w:t>．武汉：华中科技大学出版社，</w:t>
      </w:r>
      <w:r>
        <w:rPr>
          <w:rFonts w:hint="eastAsia" w:ascii="Times New Roman" w:hAnsi="Times New Roman" w:eastAsia="宋体" w:cs="Times New Roman"/>
          <w:bCs/>
          <w:color w:val="000000"/>
          <w:szCs w:val="21"/>
        </w:rPr>
        <w:t>2022</w:t>
      </w:r>
      <w:r>
        <w:rPr>
          <w:rFonts w:hint="eastAsia" w:ascii="宋体" w:hAnsi="宋体" w:eastAsia="宋体" w:cs="Times New Roman"/>
          <w:bCs/>
          <w:color w:val="000000"/>
          <w:szCs w:val="21"/>
        </w:rPr>
        <w:t>．</w:t>
      </w:r>
      <w:r>
        <w:rPr>
          <w:rFonts w:hint="eastAsia" w:ascii="Times New Roman" w:hAnsi="Times New Roman" w:eastAsia="宋体" w:cs="Times New Roman"/>
          <w:bCs/>
          <w:color w:val="000000"/>
          <w:szCs w:val="21"/>
        </w:rPr>
        <w:t>8.</w:t>
      </w:r>
      <w:r>
        <w:rPr>
          <w:rFonts w:hint="eastAsia" w:ascii="宋体" w:hAnsi="宋体" w:eastAsia="宋体" w:cs="Times New Roman"/>
          <w:bCs/>
          <w:color w:val="000000"/>
          <w:szCs w:val="21"/>
        </w:rPr>
        <w:t>约翰•杜威</w:t>
      </w:r>
      <w:r>
        <w:rPr>
          <w:rFonts w:ascii="Times New Roman" w:hAnsi="Times New Roman" w:eastAsia="宋体" w:cs="Times New Roman"/>
          <w:bCs/>
          <w:color w:val="000000"/>
          <w:szCs w:val="21"/>
        </w:rPr>
        <w:t xml:space="preserve">. </w:t>
      </w:r>
      <w:r>
        <w:rPr>
          <w:rFonts w:ascii="宋体" w:hAnsi="宋体" w:eastAsia="宋体" w:cs="Times New Roman"/>
          <w:bCs/>
          <w:color w:val="000000"/>
          <w:szCs w:val="21"/>
        </w:rPr>
        <w:t>民主主义与教育</w:t>
      </w:r>
      <w:r>
        <w:rPr>
          <w:rFonts w:ascii="Times New Roman" w:hAnsi="Times New Roman" w:eastAsia="宋体" w:cs="Times New Roman"/>
          <w:bCs/>
          <w:color w:val="000000"/>
          <w:szCs w:val="21"/>
        </w:rPr>
        <w:t xml:space="preserve">. </w:t>
      </w:r>
      <w:r>
        <w:rPr>
          <w:rFonts w:ascii="宋体" w:hAnsi="宋体" w:eastAsia="宋体" w:cs="Times New Roman"/>
          <w:bCs/>
          <w:color w:val="000000"/>
          <w:szCs w:val="21"/>
        </w:rPr>
        <w:t>北京：人民教育出版社，</w:t>
      </w:r>
      <w:r>
        <w:rPr>
          <w:rFonts w:ascii="Times New Roman" w:hAnsi="Times New Roman" w:eastAsia="宋体" w:cs="Times New Roman"/>
          <w:bCs/>
          <w:color w:val="000000"/>
          <w:szCs w:val="21"/>
        </w:rPr>
        <w:t>2003.</w:t>
      </w:r>
    </w:p>
    <w:p w14:paraId="0CCF7EF4">
      <w:pPr>
        <w:rPr>
          <w:rFonts w:ascii="等线" w:hAnsi="等线" w:eastAsia="等线" w:cs="Times New Roman"/>
          <w:szCs w:val="21"/>
        </w:rPr>
      </w:pPr>
      <w:r>
        <w:rPr>
          <w:rFonts w:hint="eastAsia" w:ascii="等线" w:hAnsi="等线" w:eastAsia="等线" w:cs="Times New Roman"/>
          <w:szCs w:val="21"/>
        </w:rPr>
        <w:t xml:space="preserve"> </w:t>
      </w:r>
    </w:p>
    <w:p w14:paraId="0F46071F">
      <w:pPr>
        <w:rPr>
          <w:rFonts w:hint="eastAsia" w:ascii="等线" w:hAnsi="等线" w:eastAsia="等线" w:cs="Times New Roman"/>
          <w:szCs w:val="21"/>
        </w:rPr>
      </w:pPr>
      <w:r>
        <w:rPr>
          <w:rFonts w:hint="eastAsia" w:ascii="等线" w:hAnsi="等线" w:eastAsia="等线" w:cs="Times New Roman"/>
          <w:szCs w:val="21"/>
        </w:rPr>
        <w:t xml:space="preserve"> </w:t>
      </w:r>
    </w:p>
    <w:p w14:paraId="0C8BF7BF">
      <w:pPr>
        <w:rPr>
          <w:rFonts w:hint="eastAsia" w:ascii="等线" w:hAnsi="等线" w:eastAsia="等线" w:cs="Times New Roman"/>
          <w:szCs w:val="21"/>
        </w:rPr>
      </w:pPr>
      <w:r>
        <w:rPr>
          <w:rFonts w:hint="eastAsia" w:ascii="等线" w:hAnsi="等线" w:eastAsia="等线" w:cs="Times New Roman"/>
          <w:szCs w:val="21"/>
        </w:rPr>
        <w:t xml:space="preserve"> </w:t>
      </w:r>
    </w:p>
    <w:p w14:paraId="70AC18CD">
      <w:pPr>
        <w:rPr>
          <w:rFonts w:hint="eastAsia" w:ascii="等线" w:hAnsi="等线" w:eastAsia="等线" w:cs="Times New Roman"/>
          <w:szCs w:val="21"/>
        </w:rPr>
      </w:pPr>
      <w:r>
        <w:rPr>
          <w:rFonts w:hint="eastAsia" w:ascii="等线" w:hAnsi="等线" w:eastAsia="等线" w:cs="Times New Roman"/>
          <w:szCs w:val="21"/>
        </w:rPr>
        <w:t xml:space="preserve"> </w:t>
      </w:r>
    </w:p>
    <w:p w14:paraId="15405614">
      <w:pPr>
        <w:rPr>
          <w:rFonts w:hint="eastAsia" w:ascii="等线" w:hAnsi="等线" w:eastAsia="等线" w:cs="Times New Roman"/>
          <w:szCs w:val="21"/>
        </w:rPr>
      </w:pPr>
      <w:r>
        <w:rPr>
          <w:rFonts w:hint="eastAsia" w:ascii="等线" w:hAnsi="等线" w:eastAsia="等线" w:cs="Times New Roman"/>
          <w:szCs w:val="21"/>
        </w:rPr>
        <w:t xml:space="preserve"> </w:t>
      </w:r>
    </w:p>
    <w:p w14:paraId="6032FC6E">
      <w:pPr>
        <w:spacing w:line="360" w:lineRule="auto"/>
        <w:ind w:right="1200"/>
        <w:jc w:val="right"/>
        <w:rPr>
          <w:rFonts w:hint="eastAsia" w:ascii="Times New Roman" w:hAnsi="Times New Roman" w:eastAsia="宋体" w:cs="Times New Roman"/>
          <w:sz w:val="24"/>
        </w:rPr>
      </w:pPr>
      <w:r>
        <w:rPr>
          <w:rFonts w:hint="eastAsia" w:ascii="宋体" w:hAnsi="宋体" w:eastAsia="宋体" w:cs="Times New Roman"/>
          <w:sz w:val="24"/>
        </w:rPr>
        <w:t>执</w:t>
      </w:r>
      <w:r>
        <w:rPr>
          <w:rFonts w:hint="eastAsia" w:ascii="Times New Roman" w:hAnsi="Times New Roman" w:eastAsia="宋体" w:cs="Times New Roman"/>
          <w:sz w:val="24"/>
        </w:rPr>
        <w:t xml:space="preserve"> </w:t>
      </w:r>
      <w:r>
        <w:rPr>
          <w:rFonts w:hint="eastAsia" w:ascii="宋体" w:hAnsi="宋体" w:eastAsia="宋体" w:cs="Times New Roman"/>
          <w:sz w:val="24"/>
        </w:rPr>
        <w:t>笔</w:t>
      </w:r>
      <w:r>
        <w:rPr>
          <w:rFonts w:hint="eastAsia" w:ascii="Times New Roman" w:hAnsi="Times New Roman" w:eastAsia="宋体" w:cs="Times New Roman"/>
          <w:sz w:val="24"/>
        </w:rPr>
        <w:t xml:space="preserve"> </w:t>
      </w:r>
      <w:r>
        <w:rPr>
          <w:rFonts w:hint="eastAsia" w:ascii="宋体" w:hAnsi="宋体" w:eastAsia="宋体" w:cs="Times New Roman"/>
          <w:sz w:val="24"/>
        </w:rPr>
        <w:t>人：赵</w:t>
      </w:r>
      <w:r>
        <w:rPr>
          <w:rFonts w:hint="eastAsia" w:ascii="Times New Roman" w:hAnsi="Times New Roman" w:eastAsia="宋体" w:cs="Times New Roman"/>
          <w:sz w:val="24"/>
        </w:rPr>
        <w:t xml:space="preserve"> </w:t>
      </w:r>
      <w:r>
        <w:rPr>
          <w:rFonts w:hint="eastAsia" w:ascii="宋体" w:hAnsi="宋体" w:eastAsia="宋体" w:cs="Times New Roman"/>
          <w:sz w:val="24"/>
        </w:rPr>
        <w:t>兢</w:t>
      </w:r>
    </w:p>
    <w:p w14:paraId="1F0AE686">
      <w:pPr>
        <w:wordWrap w:val="0"/>
        <w:spacing w:line="360" w:lineRule="auto"/>
        <w:ind w:right="960"/>
        <w:jc w:val="right"/>
        <w:rPr>
          <w:rFonts w:hint="eastAsia" w:ascii="Times New Roman" w:hAnsi="Times New Roman" w:eastAsia="宋体" w:cs="Times New Roman"/>
          <w:sz w:val="24"/>
        </w:rPr>
      </w:pPr>
      <w:r>
        <w:rPr>
          <w:rFonts w:hint="eastAsia" w:ascii="宋体" w:hAnsi="宋体" w:eastAsia="宋体" w:cs="Times New Roman"/>
          <w:sz w:val="24"/>
        </w:rPr>
        <w:t>审</w:t>
      </w:r>
      <w:r>
        <w:rPr>
          <w:rFonts w:hint="eastAsia" w:ascii="Times New Roman" w:hAnsi="Times New Roman" w:eastAsia="宋体" w:cs="Times New Roman"/>
          <w:sz w:val="24"/>
        </w:rPr>
        <w:t xml:space="preserve"> </w:t>
      </w:r>
      <w:r>
        <w:rPr>
          <w:rFonts w:hint="eastAsia" w:ascii="宋体" w:hAnsi="宋体" w:eastAsia="宋体" w:cs="Times New Roman"/>
          <w:sz w:val="24"/>
        </w:rPr>
        <w:t>定</w:t>
      </w:r>
      <w:r>
        <w:rPr>
          <w:rFonts w:hint="eastAsia" w:ascii="Times New Roman" w:hAnsi="Times New Roman" w:eastAsia="宋体" w:cs="Times New Roman"/>
          <w:sz w:val="24"/>
        </w:rPr>
        <w:t xml:space="preserve"> </w:t>
      </w:r>
      <w:r>
        <w:rPr>
          <w:rFonts w:hint="eastAsia" w:ascii="宋体" w:hAnsi="宋体" w:eastAsia="宋体" w:cs="Times New Roman"/>
          <w:sz w:val="24"/>
        </w:rPr>
        <w:t>人：庄燕青</w:t>
      </w:r>
      <w:r>
        <w:rPr>
          <w:rFonts w:ascii="Times New Roman" w:hAnsi="Times New Roman" w:eastAsia="宋体" w:cs="Times New Roman"/>
          <w:sz w:val="24"/>
        </w:rPr>
        <w:t xml:space="preserve"> </w:t>
      </w:r>
    </w:p>
    <w:p w14:paraId="003A5F00">
      <w:pPr>
        <w:spacing w:line="360" w:lineRule="auto"/>
        <w:ind w:right="1200"/>
        <w:jc w:val="right"/>
        <w:rPr>
          <w:rFonts w:ascii="Times New Roman" w:hAnsi="Times New Roman" w:eastAsia="宋体" w:cs="Times New Roman"/>
          <w:sz w:val="24"/>
        </w:rPr>
      </w:pPr>
      <w:r>
        <w:rPr>
          <w:rFonts w:hint="eastAsia" w:ascii="宋体" w:hAnsi="宋体" w:eastAsia="宋体" w:cs="Times New Roman"/>
          <w:sz w:val="24"/>
        </w:rPr>
        <w:t>审</w:t>
      </w:r>
      <w:r>
        <w:rPr>
          <w:rFonts w:hint="eastAsia" w:ascii="Times New Roman" w:hAnsi="Times New Roman" w:eastAsia="宋体" w:cs="Times New Roman"/>
          <w:sz w:val="24"/>
        </w:rPr>
        <w:t xml:space="preserve"> </w:t>
      </w:r>
      <w:r>
        <w:rPr>
          <w:rFonts w:hint="eastAsia" w:ascii="宋体" w:hAnsi="宋体" w:eastAsia="宋体" w:cs="Times New Roman"/>
          <w:sz w:val="24"/>
        </w:rPr>
        <w:t>批</w:t>
      </w:r>
      <w:r>
        <w:rPr>
          <w:rFonts w:hint="eastAsia" w:ascii="Times New Roman" w:hAnsi="Times New Roman" w:eastAsia="宋体" w:cs="Times New Roman"/>
          <w:sz w:val="24"/>
        </w:rPr>
        <w:t xml:space="preserve"> </w:t>
      </w:r>
      <w:r>
        <w:rPr>
          <w:rFonts w:hint="eastAsia" w:ascii="宋体" w:hAnsi="宋体" w:eastAsia="宋体" w:cs="Times New Roman"/>
          <w:sz w:val="24"/>
        </w:rPr>
        <w:t>人：</w:t>
      </w:r>
      <w:r>
        <w:rPr>
          <w:rFonts w:ascii="Times New Roman" w:hAnsi="Times New Roman" w:eastAsia="宋体" w:cs="Times New Roman"/>
          <w:sz w:val="24"/>
        </w:rPr>
        <w:t xml:space="preserve"> </w:t>
      </w:r>
      <w:r>
        <w:rPr>
          <w:rFonts w:hint="eastAsia" w:ascii="宋体" w:hAnsi="宋体" w:eastAsia="宋体" w:cs="Times New Roman"/>
          <w:sz w:val="24"/>
        </w:rPr>
        <w:t>高静</w:t>
      </w:r>
    </w:p>
    <w:p w14:paraId="5A5B3EF1">
      <w:pPr>
        <w:spacing w:line="360" w:lineRule="auto"/>
        <w:jc w:val="right"/>
        <w:rPr>
          <w:rFonts w:ascii="Times New Roman" w:hAnsi="Times New Roman" w:eastAsia="宋体" w:cs="Times New Roman"/>
          <w:sz w:val="24"/>
        </w:rPr>
      </w:pPr>
      <w:r>
        <w:rPr>
          <w:rFonts w:hint="eastAsia" w:ascii="宋体" w:hAnsi="宋体" w:eastAsia="宋体" w:cs="Times New Roman"/>
          <w:sz w:val="24"/>
        </w:rPr>
        <w:t>批准时间：</w:t>
      </w:r>
      <w:r>
        <w:rPr>
          <w:rFonts w:hint="eastAsia" w:ascii="Times New Roman" w:hAnsi="Times New Roman" w:eastAsia="宋体" w:cs="Times New Roman"/>
          <w:sz w:val="24"/>
        </w:rPr>
        <w:t xml:space="preserve"> 2024</w:t>
      </w:r>
      <w:r>
        <w:rPr>
          <w:rFonts w:ascii="宋体" w:hAnsi="宋体" w:eastAsia="宋体" w:cs="Times New Roman"/>
          <w:sz w:val="24"/>
        </w:rPr>
        <w:t>年</w:t>
      </w:r>
      <w:r>
        <w:rPr>
          <w:rFonts w:hint="eastAsia" w:ascii="Times New Roman" w:hAnsi="Times New Roman" w:eastAsia="宋体" w:cs="Times New Roman"/>
          <w:sz w:val="24"/>
        </w:rPr>
        <w:t xml:space="preserve"> 9</w:t>
      </w:r>
      <w:r>
        <w:rPr>
          <w:rFonts w:ascii="宋体" w:hAnsi="宋体" w:eastAsia="宋体" w:cs="Times New Roman"/>
          <w:sz w:val="24"/>
        </w:rPr>
        <w:t>月</w:t>
      </w:r>
      <w:r>
        <w:rPr>
          <w:rFonts w:hint="eastAsia" w:ascii="Times New Roman" w:hAnsi="Times New Roman" w:eastAsia="宋体" w:cs="Times New Roman"/>
          <w:sz w:val="24"/>
        </w:rPr>
        <w:t xml:space="preserve">1 </w:t>
      </w:r>
      <w:r>
        <w:rPr>
          <w:rFonts w:ascii="宋体" w:hAnsi="宋体" w:eastAsia="宋体" w:cs="Times New Roman"/>
          <w:sz w:val="24"/>
        </w:rPr>
        <w:t>日</w:t>
      </w:r>
    </w:p>
    <w:p w14:paraId="798A8960">
      <w:pPr>
        <w:rPr>
          <w:rFonts w:ascii="等线" w:hAnsi="等线" w:eastAsia="等线" w:cs="Times New Roman"/>
          <w:szCs w:val="21"/>
        </w:rPr>
      </w:pPr>
      <w:r>
        <w:rPr>
          <w:rFonts w:hint="eastAsia" w:ascii="等线" w:hAnsi="等线" w:eastAsia="等线" w:cs="Times New Roman"/>
          <w:szCs w:val="21"/>
        </w:rPr>
        <w:t xml:space="preserve"> </w:t>
      </w:r>
    </w:p>
    <w:p w14:paraId="75E4BD1E">
      <w:pPr>
        <w:rPr>
          <w:rFonts w:hint="eastAsia" w:ascii="等线" w:hAnsi="等线" w:eastAsia="等线" w:cs="等线"/>
          <w:b/>
          <w:bCs/>
          <w:sz w:val="44"/>
          <w:szCs w:val="44"/>
        </w:rPr>
      </w:pPr>
      <w:r>
        <w:rPr>
          <w:rFonts w:hint="eastAsia" w:ascii="等线" w:hAnsi="等线" w:eastAsia="等线" w:cs="等线"/>
          <w:b/>
          <w:bCs/>
          <w:sz w:val="44"/>
          <w:szCs w:val="44"/>
        </w:rPr>
        <w:br w:type="page"/>
      </w:r>
    </w:p>
    <w:p w14:paraId="63381105">
      <w:pPr>
        <w:pStyle w:val="2"/>
      </w:pPr>
      <w:bookmarkStart w:id="48" w:name="_Toc1405"/>
      <w:bookmarkStart w:id="49" w:name="_Toc18042"/>
      <w:r>
        <w:rPr>
          <w:rFonts w:hint="eastAsia"/>
        </w:rPr>
        <w:t>《大学生劳动教育》课程教学大纲</w:t>
      </w:r>
      <w:bookmarkEnd w:id="48"/>
      <w:bookmarkEnd w:id="49"/>
    </w:p>
    <w:p w14:paraId="78F1E705">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（Labor studies for College Students）</w:t>
      </w:r>
    </w:p>
    <w:p w14:paraId="7338B4D5">
      <w:pPr>
        <w:spacing w:line="360" w:lineRule="auto"/>
        <w:jc w:val="center"/>
        <w:rPr>
          <w:rFonts w:ascii="Times New Roman" w:hAnsi="Times New Roman" w:eastAsia="宋体" w:cs="Times New Roman"/>
          <w:bCs/>
          <w:sz w:val="30"/>
          <w:szCs w:val="30"/>
        </w:rPr>
      </w:pPr>
    </w:p>
    <w:p w14:paraId="617E3FB2">
      <w:r>
        <w:rPr>
          <w:rFonts w:hint="eastAsia"/>
        </w:rPr>
        <w:t>课程名称：大学生劳动教育</w:t>
      </w:r>
    </w:p>
    <w:p w14:paraId="435E744B">
      <w:r>
        <w:rPr>
          <w:rFonts w:hint="eastAsia"/>
        </w:rPr>
        <w:t>课程代码：</w:t>
      </w:r>
      <w:r>
        <w:t>2400001</w:t>
      </w:r>
    </w:p>
    <w:p w14:paraId="19A038EA">
      <w:r>
        <w:rPr>
          <w:rFonts w:hint="eastAsia"/>
        </w:rPr>
        <w:t xml:space="preserve">学 </w:t>
      </w:r>
      <w:r>
        <w:t xml:space="preserve">   </w:t>
      </w:r>
      <w:r>
        <w:rPr>
          <w:rFonts w:hint="eastAsia"/>
        </w:rPr>
        <w:t>分：2</w:t>
      </w:r>
    </w:p>
    <w:p w14:paraId="32B4306A">
      <w:r>
        <w:rPr>
          <w:rFonts w:hint="eastAsia"/>
        </w:rPr>
        <w:t xml:space="preserve">学 </w:t>
      </w:r>
      <w:r>
        <w:t xml:space="preserve">   </w:t>
      </w:r>
      <w:r>
        <w:rPr>
          <w:rFonts w:hint="eastAsia"/>
        </w:rPr>
        <w:t>时：32</w:t>
      </w:r>
    </w:p>
    <w:p w14:paraId="45B23051">
      <w:r>
        <w:rPr>
          <w:rFonts w:hint="eastAsia"/>
        </w:rPr>
        <w:t>先修课程：小学心理学、教育原理、大学生职业生涯规划</w:t>
      </w:r>
    </w:p>
    <w:p w14:paraId="5FF47D26">
      <w:r>
        <w:rPr>
          <w:rFonts w:hint="eastAsia"/>
        </w:rPr>
        <w:t>适用专业：小学教育</w:t>
      </w:r>
    </w:p>
    <w:p w14:paraId="4171FFF5"/>
    <w:p w14:paraId="4D753C16">
      <w:r>
        <w:rPr>
          <w:rFonts w:hint="eastAsia"/>
        </w:rPr>
        <w:t>一、课程简介</w:t>
      </w:r>
    </w:p>
    <w:p w14:paraId="258EE8EB">
      <w:r>
        <w:t>本课程是</w:t>
      </w:r>
      <w:r>
        <w:rPr>
          <w:rFonts w:hint="eastAsia"/>
        </w:rPr>
        <w:t>小学教</w:t>
      </w:r>
      <w:r>
        <w:t>育专业的一门通识必修课程。本课程旨在使学生树立正确的劳动观念，具有必备的劳动能力，培育积极的劳动精神，养成良好的劳动习惯和品质。</w:t>
      </w:r>
    </w:p>
    <w:p w14:paraId="768A3970"/>
    <w:p w14:paraId="2FCA7520">
      <w:r>
        <w:rPr>
          <w:rFonts w:hint="eastAsia"/>
        </w:rPr>
        <w:t>二</w:t>
      </w:r>
      <w:r>
        <w:t>、课程目标</w:t>
      </w:r>
    </w:p>
    <w:p w14:paraId="04FC14C9">
      <w:r>
        <w:rPr>
          <w:rFonts w:hint="eastAsia"/>
        </w:rPr>
        <w:t>（一）课程具体目标</w:t>
      </w:r>
    </w:p>
    <w:p w14:paraId="55B6136C">
      <w:r>
        <w:rPr>
          <w:rFonts w:hint="eastAsia"/>
        </w:rPr>
        <w:t>目标</w:t>
      </w:r>
      <w:r>
        <w:t>1.</w:t>
      </w:r>
      <w:r>
        <w:rPr>
          <w:rFonts w:hint="eastAsia"/>
        </w:rPr>
        <w:t xml:space="preserve"> </w:t>
      </w:r>
      <w:r>
        <w:t>深刻理解劳动内涵，树立正确的新时代大学生劳动价值观。</w:t>
      </w:r>
    </w:p>
    <w:p w14:paraId="4513FD1C">
      <w:r>
        <w:rPr>
          <w:rFonts w:hint="eastAsia"/>
        </w:rPr>
        <w:t>目标2</w:t>
      </w:r>
      <w:r>
        <w:t>. 积极参与劳动实践，在劳动过程中掌握劳动本领，培育劳动热情，形成良好的劳动习惯。</w:t>
      </w:r>
    </w:p>
    <w:p w14:paraId="2AE20413">
      <w:r>
        <w:rPr>
          <w:rFonts w:hint="eastAsia"/>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A8A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BC30BC5">
            <w:r>
              <w:rPr>
                <w:rFonts w:hint="eastAsia"/>
              </w:rPr>
              <w:t>毕业要求</w:t>
            </w:r>
          </w:p>
        </w:tc>
        <w:tc>
          <w:tcPr>
            <w:tcW w:w="5688" w:type="dxa"/>
            <w:vAlign w:val="center"/>
          </w:tcPr>
          <w:p w14:paraId="44A74741">
            <w:r>
              <w:rPr>
                <w:rFonts w:hint="eastAsia"/>
              </w:rPr>
              <w:t>毕业要求指标点</w:t>
            </w:r>
          </w:p>
        </w:tc>
        <w:tc>
          <w:tcPr>
            <w:tcW w:w="1191" w:type="dxa"/>
            <w:vAlign w:val="center"/>
          </w:tcPr>
          <w:p w14:paraId="6065556A">
            <w:r>
              <w:rPr>
                <w:rFonts w:hint="eastAsia"/>
              </w:rPr>
              <w:t>课程目标</w:t>
            </w:r>
          </w:p>
        </w:tc>
      </w:tr>
      <w:tr w14:paraId="38DB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3CE84FB">
            <w:r>
              <w:t>毕业要求1师德规范</w:t>
            </w:r>
          </w:p>
        </w:tc>
        <w:tc>
          <w:tcPr>
            <w:tcW w:w="5688" w:type="dxa"/>
            <w:vAlign w:val="center"/>
          </w:tcPr>
          <w:p w14:paraId="44D04496">
            <w:r>
              <w:t>指标点1-</w:t>
            </w:r>
            <w:r>
              <w:rPr>
                <w:rFonts w:hint="eastAsia"/>
              </w:rPr>
              <w:t>2</w:t>
            </w:r>
            <w:r>
              <w:t>：</w:t>
            </w:r>
            <w:r>
              <w:rPr>
                <w:rFonts w:hint="eastAsia"/>
              </w:rPr>
              <w:t>【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191" w:type="dxa"/>
            <w:vAlign w:val="center"/>
          </w:tcPr>
          <w:p w14:paraId="04E3F933">
            <w:r>
              <w:rPr>
                <w:rFonts w:hint="eastAsia"/>
              </w:rPr>
              <w:t>课程目标1</w:t>
            </w:r>
          </w:p>
        </w:tc>
      </w:tr>
      <w:tr w14:paraId="78AB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3E14AB2">
            <w:r>
              <w:t>毕业要求2教育情怀</w:t>
            </w:r>
          </w:p>
        </w:tc>
        <w:tc>
          <w:tcPr>
            <w:tcW w:w="5688" w:type="dxa"/>
            <w:vAlign w:val="center"/>
          </w:tcPr>
          <w:p w14:paraId="54FB844D">
            <w:r>
              <w:t>指标点2-3：</w:t>
            </w:r>
            <w:r>
              <w:rPr>
                <w:rFonts w:hint="eastAsia"/>
              </w:rPr>
              <w:t>【自身修养良好】具有较好的人文艺术底蕴与科学精神，言行举止符合教师职业标准，情感积极，人格健全，身心健康。</w:t>
            </w:r>
          </w:p>
        </w:tc>
        <w:tc>
          <w:tcPr>
            <w:tcW w:w="1191" w:type="dxa"/>
            <w:vAlign w:val="center"/>
          </w:tcPr>
          <w:p w14:paraId="500F5E8E">
            <w:r>
              <w:rPr>
                <w:rFonts w:hint="eastAsia"/>
              </w:rPr>
              <w:t>课程目标2</w:t>
            </w:r>
          </w:p>
        </w:tc>
      </w:tr>
      <w:tr w14:paraId="21A6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EA64958">
            <w:r>
              <w:t>毕业要求</w:t>
            </w:r>
            <w:r>
              <w:rPr>
                <w:rFonts w:hint="eastAsia"/>
              </w:rPr>
              <w:t>3</w:t>
            </w:r>
            <w:r>
              <w:t>综合育人</w:t>
            </w:r>
          </w:p>
        </w:tc>
        <w:tc>
          <w:tcPr>
            <w:tcW w:w="5688" w:type="dxa"/>
            <w:vAlign w:val="center"/>
          </w:tcPr>
          <w:p w14:paraId="2C58A4FD">
            <w:r>
              <w:t>指标点</w:t>
            </w:r>
            <w:r>
              <w:rPr>
                <w:rFonts w:hint="eastAsia"/>
              </w:rPr>
              <w:t>3</w:t>
            </w:r>
            <w:r>
              <w:t>-3：</w:t>
            </w:r>
            <w:r>
              <w:rPr>
                <w:rFonts w:hint="eastAsia"/>
              </w:rPr>
              <w:t>【注重知识整合】了解所教学科与小学其他学科及与社会实践、小学生生活实践之间的联系，了解学科整合在小学教育中的价值，具有跨学科解决问题的意识和能力，能指导综合性学科教学活动。</w:t>
            </w:r>
          </w:p>
        </w:tc>
        <w:tc>
          <w:tcPr>
            <w:tcW w:w="1191" w:type="dxa"/>
            <w:vAlign w:val="center"/>
          </w:tcPr>
          <w:p w14:paraId="5FBE4697">
            <w:r>
              <w:rPr>
                <w:rFonts w:hint="eastAsia"/>
              </w:rPr>
              <w:t>课程目标2</w:t>
            </w:r>
          </w:p>
        </w:tc>
      </w:tr>
      <w:tr w14:paraId="29E5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C5379AA">
            <w:r>
              <w:t>毕业要求</w:t>
            </w:r>
            <w:r>
              <w:rPr>
                <w:rFonts w:hint="eastAsia"/>
              </w:rPr>
              <w:t>6</w:t>
            </w:r>
            <w:r>
              <w:t>综合育人</w:t>
            </w:r>
          </w:p>
        </w:tc>
        <w:tc>
          <w:tcPr>
            <w:tcW w:w="5688" w:type="dxa"/>
            <w:vAlign w:val="center"/>
          </w:tcPr>
          <w:p w14:paraId="496F33EB">
            <w:r>
              <w:t>指标点</w:t>
            </w:r>
            <w:r>
              <w:rPr>
                <w:rFonts w:hint="eastAsia"/>
              </w:rPr>
              <w:t>6</w:t>
            </w:r>
            <w:r>
              <w:t>-3：</w:t>
            </w:r>
            <w:r>
              <w:rPr>
                <w:rFonts w:hint="eastAsia"/>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4A278AF3">
            <w:r>
              <w:rPr>
                <w:rFonts w:hint="eastAsia"/>
              </w:rPr>
              <w:t>课程目标1</w:t>
            </w:r>
          </w:p>
          <w:p w14:paraId="6A0A582D">
            <w:r>
              <w:rPr>
                <w:rFonts w:hint="eastAsia"/>
              </w:rPr>
              <w:t>课程目标2</w:t>
            </w:r>
          </w:p>
        </w:tc>
      </w:tr>
    </w:tbl>
    <w:p w14:paraId="6C9BF0C3">
      <w:r>
        <w:rPr>
          <w:rFonts w:hint="eastAsia"/>
        </w:rPr>
        <w:t>（三）课程思政目标</w:t>
      </w:r>
    </w:p>
    <w:p w14:paraId="35706479">
      <w:r>
        <w:t>师范专业劳动教育课程思政目标应立足培养未来教师的劳动价值观与社会责任感，通过支教、教育帮扶等实践锤炼教育情怀，以</w:t>
      </w:r>
      <w:r>
        <w:rPr>
          <w:rFonts w:hint="eastAsia"/>
        </w:rPr>
        <w:t>教具制作</w:t>
      </w:r>
      <w:r>
        <w:t>、课件设计等技能训培育工匠精神，引导师范生参与教育服务以理解教育使命，并融合劳动创新与教学方案设计提升实践育人能力，最终塑造兼具师德修养、专业技能和文化担当的新时代教育传承者。</w:t>
      </w:r>
    </w:p>
    <w:p w14:paraId="33CB44B5"/>
    <w:p w14:paraId="1817A9ED">
      <w:r>
        <w:rPr>
          <w:rFonts w:hint="eastAsia"/>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2126"/>
        <w:gridCol w:w="1276"/>
        <w:gridCol w:w="2409"/>
        <w:gridCol w:w="1560"/>
        <w:gridCol w:w="438"/>
      </w:tblGrid>
      <w:tr w14:paraId="2336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5EDE983A">
            <w:r>
              <w:rPr>
                <w:rFonts w:hint="eastAsia"/>
              </w:rPr>
              <w:t>知识</w:t>
            </w:r>
          </w:p>
          <w:p w14:paraId="1C82CC94">
            <w:r>
              <w:rPr>
                <w:rFonts w:hint="eastAsia"/>
              </w:rPr>
              <w:t>单元</w:t>
            </w:r>
          </w:p>
        </w:tc>
        <w:tc>
          <w:tcPr>
            <w:tcW w:w="2126" w:type="dxa"/>
            <w:vAlign w:val="center"/>
          </w:tcPr>
          <w:p w14:paraId="60EF05A2">
            <w:r>
              <w:rPr>
                <w:rFonts w:hint="eastAsia"/>
              </w:rPr>
              <w:t>知识点</w:t>
            </w:r>
          </w:p>
        </w:tc>
        <w:tc>
          <w:tcPr>
            <w:tcW w:w="1276" w:type="dxa"/>
            <w:vAlign w:val="center"/>
          </w:tcPr>
          <w:p w14:paraId="4CB7F6B6">
            <w:r>
              <w:rPr>
                <w:rFonts w:hint="eastAsia"/>
              </w:rPr>
              <w:t>对应</w:t>
            </w:r>
          </w:p>
          <w:p w14:paraId="48807C4F">
            <w:r>
              <w:rPr>
                <w:rFonts w:hint="eastAsia"/>
              </w:rPr>
              <w:t>课程目标</w:t>
            </w:r>
          </w:p>
        </w:tc>
        <w:tc>
          <w:tcPr>
            <w:tcW w:w="2409" w:type="dxa"/>
            <w:vAlign w:val="center"/>
          </w:tcPr>
          <w:p w14:paraId="042DB486">
            <w:r>
              <w:rPr>
                <w:rFonts w:hint="eastAsia"/>
              </w:rPr>
              <w:t>预期学习成效</w:t>
            </w:r>
          </w:p>
        </w:tc>
        <w:tc>
          <w:tcPr>
            <w:tcW w:w="1560" w:type="dxa"/>
            <w:vAlign w:val="center"/>
          </w:tcPr>
          <w:p w14:paraId="687339A4">
            <w:r>
              <w:rPr>
                <w:rFonts w:hint="eastAsia"/>
              </w:rPr>
              <w:t>实现环节</w:t>
            </w:r>
          </w:p>
        </w:tc>
        <w:tc>
          <w:tcPr>
            <w:tcW w:w="438" w:type="dxa"/>
            <w:vAlign w:val="center"/>
          </w:tcPr>
          <w:p w14:paraId="277734ED">
            <w:r>
              <w:rPr>
                <w:rFonts w:hint="eastAsia"/>
              </w:rPr>
              <w:t>学时</w:t>
            </w:r>
          </w:p>
        </w:tc>
      </w:tr>
      <w:tr w14:paraId="5C53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718CBCE0">
            <w:r>
              <w:rPr>
                <w:rFonts w:hint="eastAsia"/>
              </w:rPr>
              <w:t>劳动实践1：</w:t>
            </w:r>
          </w:p>
          <w:p w14:paraId="3F36E1C6">
            <w:r>
              <w:rPr>
                <w:rFonts w:hint="eastAsia"/>
              </w:rPr>
              <w:t>教室大扫除</w:t>
            </w:r>
          </w:p>
        </w:tc>
        <w:tc>
          <w:tcPr>
            <w:tcW w:w="2126" w:type="dxa"/>
            <w:vAlign w:val="center"/>
          </w:tcPr>
          <w:p w14:paraId="37804145">
            <w:r>
              <w:rPr>
                <w:rFonts w:hint="eastAsia"/>
              </w:rPr>
              <w:t>学生分组打扫教室卫生，视频记录打扫过程并进行剪辑，最后展示各组劳动成果。</w:t>
            </w:r>
          </w:p>
        </w:tc>
        <w:tc>
          <w:tcPr>
            <w:tcW w:w="1276" w:type="dxa"/>
            <w:vAlign w:val="center"/>
          </w:tcPr>
          <w:p w14:paraId="4E54D3D3">
            <w:r>
              <w:rPr>
                <w:rFonts w:hint="eastAsia"/>
              </w:rPr>
              <w:t>课程目标1、2</w:t>
            </w:r>
          </w:p>
        </w:tc>
        <w:tc>
          <w:tcPr>
            <w:tcW w:w="2409" w:type="dxa"/>
            <w:vAlign w:val="center"/>
          </w:tcPr>
          <w:p w14:paraId="274F24BD">
            <w:r>
              <w:rPr>
                <w:rFonts w:hint="eastAsia"/>
              </w:rPr>
              <w:t>学生了解教室清洁的重要性和基本清洁方法。通过实际操作，培养学生团队协作和动手能力。</w:t>
            </w:r>
          </w:p>
        </w:tc>
        <w:tc>
          <w:tcPr>
            <w:tcW w:w="1560" w:type="dxa"/>
            <w:vAlign w:val="center"/>
          </w:tcPr>
          <w:p w14:paraId="22412D65">
            <w:r>
              <w:rPr>
                <w:rFonts w:hint="eastAsia"/>
              </w:rPr>
              <w:t>1.课堂实践</w:t>
            </w:r>
          </w:p>
          <w:p w14:paraId="39774127">
            <w:r>
              <w:rPr>
                <w:rFonts w:hint="eastAsia"/>
              </w:rPr>
              <w:t>2.多媒体教学3.课堂讨论</w:t>
            </w:r>
          </w:p>
        </w:tc>
        <w:tc>
          <w:tcPr>
            <w:tcW w:w="438" w:type="dxa"/>
            <w:vAlign w:val="center"/>
          </w:tcPr>
          <w:p w14:paraId="2F0B3742">
            <w:r>
              <w:rPr>
                <w:rFonts w:hint="eastAsia"/>
              </w:rPr>
              <w:t>4</w:t>
            </w:r>
          </w:p>
        </w:tc>
      </w:tr>
      <w:tr w14:paraId="716E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0E56F01B"/>
        </w:tc>
        <w:tc>
          <w:tcPr>
            <w:tcW w:w="7809" w:type="dxa"/>
            <w:gridSpan w:val="5"/>
            <w:vAlign w:val="center"/>
          </w:tcPr>
          <w:p w14:paraId="3846065D">
            <w:r>
              <w:rPr>
                <w:rFonts w:hint="eastAsia"/>
              </w:rPr>
              <w:t xml:space="preserve">课程思政目标： </w:t>
            </w:r>
            <w:bookmarkStart w:id="50" w:name="_Toc17795"/>
            <w:r>
              <w:rPr>
                <w:rFonts w:hint="eastAsia"/>
              </w:rPr>
              <w:t>理解新时代大学生劳动教育的重要意义。</w:t>
            </w:r>
            <w:bookmarkEnd w:id="50"/>
            <w:r>
              <w:rPr>
                <w:rFonts w:hint="eastAsia"/>
              </w:rPr>
              <w:t>引导学生树立尊重劳动、热爱劳动的观念，培养责任感。</w:t>
            </w:r>
          </w:p>
        </w:tc>
      </w:tr>
      <w:tr w14:paraId="0AA3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4794B884">
            <w:r>
              <w:rPr>
                <w:rFonts w:hint="eastAsia"/>
              </w:rPr>
              <w:t>技能实操1：</w:t>
            </w:r>
          </w:p>
          <w:p w14:paraId="2F776E8E">
            <w:r>
              <w:rPr>
                <w:rFonts w:hint="eastAsia"/>
              </w:rPr>
              <w:t>变废为宝制作</w:t>
            </w:r>
          </w:p>
        </w:tc>
        <w:tc>
          <w:tcPr>
            <w:tcW w:w="2126" w:type="dxa"/>
            <w:vAlign w:val="center"/>
          </w:tcPr>
          <w:p w14:paraId="13D905D2">
            <w:r>
              <w:rPr>
                <w:rFonts w:hint="eastAsia"/>
              </w:rPr>
              <w:t>每组围绕两个主题进行废物利用和创意制作  （1）常工院师范学院元素为主题创作</w:t>
            </w:r>
            <w:r>
              <w:t>（2</w:t>
            </w:r>
            <w:r>
              <w:rPr>
                <w:rFonts w:hint="eastAsia"/>
              </w:rPr>
              <w:t>）以节日为主题自由创作。课堂实物展示（创意来源、制作过程、所用材料、分工安排情况等）</w:t>
            </w:r>
          </w:p>
        </w:tc>
        <w:tc>
          <w:tcPr>
            <w:tcW w:w="1276" w:type="dxa"/>
            <w:vAlign w:val="center"/>
          </w:tcPr>
          <w:p w14:paraId="07C100AA">
            <w:r>
              <w:rPr>
                <w:rFonts w:hint="eastAsia"/>
              </w:rPr>
              <w:t>课程目标1、2</w:t>
            </w:r>
          </w:p>
        </w:tc>
        <w:tc>
          <w:tcPr>
            <w:tcW w:w="2409" w:type="dxa"/>
            <w:vAlign w:val="center"/>
          </w:tcPr>
          <w:p w14:paraId="12433627">
            <w:r>
              <w:rPr>
                <w:rFonts w:hint="eastAsia"/>
              </w:rPr>
              <w:t>了解废物利用和创意制作的基本方法。通过实际操作，提高废物利用能力和创意表达能力。培养学生的创新意识和环保意识。</w:t>
            </w:r>
          </w:p>
        </w:tc>
        <w:tc>
          <w:tcPr>
            <w:tcW w:w="1560" w:type="dxa"/>
            <w:vAlign w:val="center"/>
          </w:tcPr>
          <w:p w14:paraId="37813914">
            <w:r>
              <w:rPr>
                <w:rFonts w:hint="eastAsia"/>
              </w:rPr>
              <w:t>1.课堂实践</w:t>
            </w:r>
          </w:p>
          <w:p w14:paraId="737795F8">
            <w:r>
              <w:rPr>
                <w:rFonts w:hint="eastAsia"/>
              </w:rPr>
              <w:t>2.多媒体教学3.课堂讨论</w:t>
            </w:r>
          </w:p>
        </w:tc>
        <w:tc>
          <w:tcPr>
            <w:tcW w:w="438" w:type="dxa"/>
            <w:vAlign w:val="center"/>
          </w:tcPr>
          <w:p w14:paraId="4DC145E7">
            <w:r>
              <w:rPr>
                <w:rFonts w:hint="eastAsia"/>
              </w:rPr>
              <w:t>4</w:t>
            </w:r>
          </w:p>
        </w:tc>
      </w:tr>
      <w:tr w14:paraId="35FE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3D18DF4A"/>
        </w:tc>
        <w:tc>
          <w:tcPr>
            <w:tcW w:w="7809" w:type="dxa"/>
            <w:gridSpan w:val="5"/>
            <w:vAlign w:val="center"/>
          </w:tcPr>
          <w:p w14:paraId="7E3AEF5F">
            <w:r>
              <w:rPr>
                <w:rFonts w:hint="eastAsia"/>
              </w:rPr>
              <w:t>课程思政目标：深刻领会“劳动创造美好生活”的真谛，进一步强化劳动观念、弘扬劳动精神、厚植劳动情怀、激发创新创造。</w:t>
            </w:r>
          </w:p>
        </w:tc>
      </w:tr>
      <w:tr w14:paraId="2189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70208077">
            <w:r>
              <w:rPr>
                <w:rFonts w:hint="eastAsia"/>
              </w:rPr>
              <w:t>劳动实践2：</w:t>
            </w:r>
          </w:p>
          <w:p w14:paraId="29ED5A74">
            <w:r>
              <w:rPr>
                <w:rFonts w:hint="eastAsia"/>
              </w:rPr>
              <w:t>儿童照护与急救知识汇报</w:t>
            </w:r>
          </w:p>
        </w:tc>
        <w:tc>
          <w:tcPr>
            <w:tcW w:w="2126" w:type="dxa"/>
            <w:vAlign w:val="center"/>
          </w:tcPr>
          <w:p w14:paraId="11B3EC7C">
            <w:r>
              <w:rPr>
                <w:rFonts w:hint="eastAsia"/>
              </w:rPr>
              <w:t>每组选择儿童照护和儿童急救两个主题制作PPT，儿童照护PPT展示（分工安排情况、内容讲解、现场演绎具体情境），儿童急救展示形式，小剧场式演绎（3分钟）（可以运用道具）。</w:t>
            </w:r>
          </w:p>
        </w:tc>
        <w:tc>
          <w:tcPr>
            <w:tcW w:w="1276" w:type="dxa"/>
            <w:vAlign w:val="center"/>
          </w:tcPr>
          <w:p w14:paraId="3E840A71">
            <w:r>
              <w:rPr>
                <w:rFonts w:hint="eastAsia"/>
              </w:rPr>
              <w:t>课程目标1、2</w:t>
            </w:r>
          </w:p>
        </w:tc>
        <w:tc>
          <w:tcPr>
            <w:tcW w:w="2409" w:type="dxa"/>
            <w:vAlign w:val="center"/>
          </w:tcPr>
          <w:p w14:paraId="6A917022">
            <w:r>
              <w:rPr>
                <w:rFonts w:hint="eastAsia"/>
              </w:rPr>
              <w:t>掌握儿童照护和急救的基本知识。能够运用所学知识解决实际问题。</w:t>
            </w:r>
          </w:p>
        </w:tc>
        <w:tc>
          <w:tcPr>
            <w:tcW w:w="1560" w:type="dxa"/>
            <w:vAlign w:val="center"/>
          </w:tcPr>
          <w:p w14:paraId="6887B572">
            <w:r>
              <w:rPr>
                <w:rFonts w:hint="eastAsia"/>
              </w:rPr>
              <w:t>1.课堂实践</w:t>
            </w:r>
          </w:p>
          <w:p w14:paraId="3948C23D">
            <w:r>
              <w:rPr>
                <w:rFonts w:hint="eastAsia"/>
              </w:rPr>
              <w:t>2.多媒体教学3.课堂讨论</w:t>
            </w:r>
          </w:p>
        </w:tc>
        <w:tc>
          <w:tcPr>
            <w:tcW w:w="438" w:type="dxa"/>
            <w:vAlign w:val="center"/>
          </w:tcPr>
          <w:p w14:paraId="3750603F">
            <w:r>
              <w:rPr>
                <w:rFonts w:hint="eastAsia"/>
              </w:rPr>
              <w:t>4</w:t>
            </w:r>
          </w:p>
        </w:tc>
      </w:tr>
      <w:tr w14:paraId="7423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2769A589"/>
        </w:tc>
        <w:tc>
          <w:tcPr>
            <w:tcW w:w="7809" w:type="dxa"/>
            <w:gridSpan w:val="5"/>
            <w:vAlign w:val="center"/>
          </w:tcPr>
          <w:p w14:paraId="1B004353">
            <w:r>
              <w:rPr>
                <w:rFonts w:hint="eastAsia"/>
              </w:rPr>
              <w:t>课程思政目标：</w:t>
            </w:r>
            <w:bookmarkStart w:id="51" w:name="_Toc1066"/>
            <w:r>
              <w:rPr>
                <w:rFonts w:hint="eastAsia"/>
              </w:rPr>
              <w:t>具有新时代大学生劳动知识和能力。</w:t>
            </w:r>
            <w:bookmarkEnd w:id="51"/>
            <w:r>
              <w:rPr>
                <w:rFonts w:hint="eastAsia"/>
              </w:rPr>
              <w:t>培养学生的社会责任感和爱心。</w:t>
            </w:r>
          </w:p>
        </w:tc>
      </w:tr>
      <w:tr w14:paraId="17C3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145A33AA">
            <w:r>
              <w:rPr>
                <w:rFonts w:hint="eastAsia"/>
              </w:rPr>
              <w:t>劳动实践3：</w:t>
            </w:r>
          </w:p>
          <w:p w14:paraId="637CCF5B">
            <w:r>
              <w:rPr>
                <w:rFonts w:hint="eastAsia"/>
              </w:rPr>
              <w:t>劳模故事情景剧</w:t>
            </w:r>
          </w:p>
          <w:p w14:paraId="462BC4A7">
            <w:r>
              <w:rPr>
                <w:rFonts w:hint="eastAsia"/>
              </w:rPr>
              <w:t>创作与演绎</w:t>
            </w:r>
          </w:p>
        </w:tc>
        <w:tc>
          <w:tcPr>
            <w:tcW w:w="2126" w:type="dxa"/>
            <w:vAlign w:val="center"/>
          </w:tcPr>
          <w:p w14:paraId="18241868">
            <w:r>
              <w:rPr>
                <w:rFonts w:hint="eastAsia"/>
              </w:rPr>
              <w:t>以小组单位，以“劳动精神”为主题，根据某位真实存在的劳动者事迹为原型而改编，进行情景剧视频创作。</w:t>
            </w:r>
          </w:p>
        </w:tc>
        <w:tc>
          <w:tcPr>
            <w:tcW w:w="1276" w:type="dxa"/>
            <w:vAlign w:val="center"/>
          </w:tcPr>
          <w:p w14:paraId="3BC90A2D">
            <w:r>
              <w:rPr>
                <w:rFonts w:hint="eastAsia"/>
              </w:rPr>
              <w:t>课程目标1、2</w:t>
            </w:r>
          </w:p>
        </w:tc>
        <w:tc>
          <w:tcPr>
            <w:tcW w:w="2409" w:type="dxa"/>
            <w:vAlign w:val="center"/>
          </w:tcPr>
          <w:p w14:paraId="2A982343">
            <w:r>
              <w:rPr>
                <w:rFonts w:hint="eastAsia"/>
              </w:rPr>
              <w:t>了解劳模事迹和劳动精神。掌握情景剧创作和演绎的基本技巧。弘扬劳动精神，培养学生的敬业精神。</w:t>
            </w:r>
          </w:p>
        </w:tc>
        <w:tc>
          <w:tcPr>
            <w:tcW w:w="1560" w:type="dxa"/>
            <w:vAlign w:val="center"/>
          </w:tcPr>
          <w:p w14:paraId="298D7CAF">
            <w:r>
              <w:rPr>
                <w:rFonts w:hint="eastAsia"/>
              </w:rPr>
              <w:t>1.课堂实践</w:t>
            </w:r>
          </w:p>
          <w:p w14:paraId="33F51A05">
            <w:r>
              <w:rPr>
                <w:rFonts w:hint="eastAsia"/>
              </w:rPr>
              <w:t>2.多媒体教学3.课堂讨论</w:t>
            </w:r>
          </w:p>
        </w:tc>
        <w:tc>
          <w:tcPr>
            <w:tcW w:w="438" w:type="dxa"/>
            <w:vAlign w:val="center"/>
          </w:tcPr>
          <w:p w14:paraId="5CF4007D">
            <w:r>
              <w:rPr>
                <w:rFonts w:hint="eastAsia"/>
              </w:rPr>
              <w:t>4</w:t>
            </w:r>
          </w:p>
        </w:tc>
      </w:tr>
      <w:tr w14:paraId="61A5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49691A12"/>
        </w:tc>
        <w:tc>
          <w:tcPr>
            <w:tcW w:w="7809" w:type="dxa"/>
            <w:gridSpan w:val="5"/>
            <w:vAlign w:val="center"/>
          </w:tcPr>
          <w:p w14:paraId="601A07AB">
            <w:r>
              <w:rPr>
                <w:rFonts w:hint="eastAsia"/>
              </w:rPr>
              <w:t>课程思政目标：树立科学的就业观和职业观，感受劳动创造价值，增强产品质量意识，体会平凡劳动中的伟大。</w:t>
            </w:r>
          </w:p>
        </w:tc>
      </w:tr>
      <w:tr w14:paraId="5139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89" w:type="dxa"/>
            <w:vMerge w:val="restart"/>
            <w:vAlign w:val="center"/>
          </w:tcPr>
          <w:p w14:paraId="14852E7B">
            <w:r>
              <w:rPr>
                <w:rFonts w:hint="eastAsia"/>
              </w:rPr>
              <w:t>技能实操2：</w:t>
            </w:r>
          </w:p>
          <w:p w14:paraId="5454D4A3">
            <w:r>
              <w:rPr>
                <w:rFonts w:hint="eastAsia"/>
              </w:rPr>
              <w:t>小学学科教具制作</w:t>
            </w:r>
          </w:p>
        </w:tc>
        <w:tc>
          <w:tcPr>
            <w:tcW w:w="2126" w:type="dxa"/>
            <w:vAlign w:val="center"/>
          </w:tcPr>
          <w:p w14:paraId="556E54A5">
            <w:r>
              <w:rPr>
                <w:rFonts w:hint="eastAsia"/>
              </w:rPr>
              <w:t>提前准备材料，现场制作小学教具，并进行展示实物展示（设计意图、制作过程、所用材料和玩法、具体课堂使用情境、分工安排情况）。记录制作过程，课后把制作过程形成总结报告形式。</w:t>
            </w:r>
          </w:p>
        </w:tc>
        <w:tc>
          <w:tcPr>
            <w:tcW w:w="1276" w:type="dxa"/>
            <w:vAlign w:val="center"/>
          </w:tcPr>
          <w:p w14:paraId="04B21935">
            <w:r>
              <w:rPr>
                <w:rFonts w:hint="eastAsia"/>
              </w:rPr>
              <w:t>课程目标1、2</w:t>
            </w:r>
          </w:p>
        </w:tc>
        <w:tc>
          <w:tcPr>
            <w:tcW w:w="2409" w:type="dxa"/>
            <w:vAlign w:val="center"/>
          </w:tcPr>
          <w:p w14:paraId="3F7DC2DF">
            <w:r>
              <w:rPr>
                <w:rFonts w:hint="eastAsia"/>
              </w:rPr>
              <w:t>了解小学学科教具的基本类型和制作原理。掌握教具制作的基本技巧和方法。培养学生的创新意识和实践能力。</w:t>
            </w:r>
          </w:p>
        </w:tc>
        <w:tc>
          <w:tcPr>
            <w:tcW w:w="1560" w:type="dxa"/>
            <w:vAlign w:val="center"/>
          </w:tcPr>
          <w:p w14:paraId="56A9BCD4">
            <w:r>
              <w:rPr>
                <w:rFonts w:hint="eastAsia"/>
              </w:rPr>
              <w:t>1.课堂实践</w:t>
            </w:r>
          </w:p>
          <w:p w14:paraId="48BDE65C">
            <w:r>
              <w:rPr>
                <w:rFonts w:hint="eastAsia"/>
              </w:rPr>
              <w:t>2.多媒体教学3.课堂讨论</w:t>
            </w:r>
          </w:p>
        </w:tc>
        <w:tc>
          <w:tcPr>
            <w:tcW w:w="438" w:type="dxa"/>
            <w:vAlign w:val="center"/>
          </w:tcPr>
          <w:p w14:paraId="383B2CFE">
            <w:r>
              <w:rPr>
                <w:rFonts w:hint="eastAsia"/>
              </w:rPr>
              <w:t>4</w:t>
            </w:r>
          </w:p>
        </w:tc>
      </w:tr>
      <w:tr w14:paraId="7189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31FC1DB6"/>
        </w:tc>
        <w:tc>
          <w:tcPr>
            <w:tcW w:w="7809" w:type="dxa"/>
            <w:gridSpan w:val="5"/>
            <w:vAlign w:val="center"/>
          </w:tcPr>
          <w:p w14:paraId="300CAE5A">
            <w:r>
              <w:rPr>
                <w:rFonts w:hint="eastAsia"/>
              </w:rPr>
              <w:t>课程思政目标：增强对劳动创造性价值的认同，深刻领会“劳动创造美好生活”的真谛。</w:t>
            </w:r>
          </w:p>
        </w:tc>
      </w:tr>
      <w:tr w14:paraId="7393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441ADE5D">
            <w:r>
              <w:rPr>
                <w:rFonts w:hint="eastAsia"/>
              </w:rPr>
              <w:t>劳动实践4:</w:t>
            </w:r>
          </w:p>
          <w:p w14:paraId="55D17F0F">
            <w:r>
              <w:rPr>
                <w:rFonts w:hint="eastAsia"/>
              </w:rPr>
              <w:t>劳动教育大讨论</w:t>
            </w:r>
          </w:p>
        </w:tc>
        <w:tc>
          <w:tcPr>
            <w:tcW w:w="2126" w:type="dxa"/>
            <w:vAlign w:val="center"/>
          </w:tcPr>
          <w:p w14:paraId="61044427">
            <w:r>
              <w:rPr>
                <w:rFonts w:hint="eastAsia"/>
              </w:rPr>
              <w:t>学生分组抽取劳动相关的辩论题，进行辩论与点评。</w:t>
            </w:r>
          </w:p>
        </w:tc>
        <w:tc>
          <w:tcPr>
            <w:tcW w:w="1276" w:type="dxa"/>
            <w:vAlign w:val="center"/>
          </w:tcPr>
          <w:p w14:paraId="7BB786F9">
            <w:r>
              <w:rPr>
                <w:rFonts w:hint="eastAsia"/>
              </w:rPr>
              <w:t>课程目标1、2</w:t>
            </w:r>
          </w:p>
        </w:tc>
        <w:tc>
          <w:tcPr>
            <w:tcW w:w="2409" w:type="dxa"/>
            <w:vAlign w:val="center"/>
          </w:tcPr>
          <w:p w14:paraId="4AC1F37F">
            <w:r>
              <w:rPr>
                <w:rFonts w:hint="eastAsia"/>
              </w:rPr>
              <w:t>了解劳动教育的相关理论和实践案例。培养学生的批判性思维和辩论能力。</w:t>
            </w:r>
          </w:p>
        </w:tc>
        <w:tc>
          <w:tcPr>
            <w:tcW w:w="1560" w:type="dxa"/>
            <w:vAlign w:val="center"/>
          </w:tcPr>
          <w:p w14:paraId="0DA71E7D">
            <w:r>
              <w:rPr>
                <w:rFonts w:hint="eastAsia"/>
              </w:rPr>
              <w:t>1.课堂实践</w:t>
            </w:r>
          </w:p>
          <w:p w14:paraId="5F496299">
            <w:r>
              <w:rPr>
                <w:rFonts w:hint="eastAsia"/>
              </w:rPr>
              <w:t>2.多媒体教学</w:t>
            </w:r>
          </w:p>
          <w:p w14:paraId="1D586279">
            <w:r>
              <w:rPr>
                <w:rFonts w:hint="eastAsia"/>
              </w:rPr>
              <w:t>3.课堂讨论</w:t>
            </w:r>
          </w:p>
        </w:tc>
        <w:tc>
          <w:tcPr>
            <w:tcW w:w="438" w:type="dxa"/>
            <w:vAlign w:val="center"/>
          </w:tcPr>
          <w:p w14:paraId="62C67C18">
            <w:r>
              <w:rPr>
                <w:rFonts w:hint="eastAsia"/>
              </w:rPr>
              <w:t>4</w:t>
            </w:r>
          </w:p>
        </w:tc>
      </w:tr>
      <w:tr w14:paraId="08BE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7F33E58B"/>
        </w:tc>
        <w:tc>
          <w:tcPr>
            <w:tcW w:w="7809" w:type="dxa"/>
            <w:gridSpan w:val="5"/>
            <w:vAlign w:val="center"/>
          </w:tcPr>
          <w:p w14:paraId="04FA1330">
            <w:r>
              <w:rPr>
                <w:rFonts w:hint="eastAsia"/>
              </w:rPr>
              <w:t>课程思政目标：</w:t>
            </w:r>
            <w:bookmarkStart w:id="52" w:name="_Toc32680"/>
            <w:r>
              <w:rPr>
                <w:rFonts w:hint="eastAsia"/>
              </w:rPr>
              <w:t>培育新时代大学生劳动情怀。</w:t>
            </w:r>
            <w:bookmarkEnd w:id="52"/>
            <w:r>
              <w:rPr>
                <w:rFonts w:hint="eastAsia"/>
              </w:rPr>
              <w:t>引导学生树立正确的劳动观念，增强劳动意识。</w:t>
            </w:r>
          </w:p>
        </w:tc>
      </w:tr>
      <w:tr w14:paraId="45D6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1D6A819C">
            <w:r>
              <w:rPr>
                <w:rFonts w:hint="eastAsia"/>
              </w:rPr>
              <w:t>劳动实践5:</w:t>
            </w:r>
          </w:p>
          <w:p w14:paraId="19FAFE7D">
            <w:r>
              <w:rPr>
                <w:rFonts w:hint="eastAsia"/>
              </w:rPr>
              <w:t>点心食品制作与记录</w:t>
            </w:r>
          </w:p>
        </w:tc>
        <w:tc>
          <w:tcPr>
            <w:tcW w:w="2126" w:type="dxa"/>
            <w:vAlign w:val="center"/>
          </w:tcPr>
          <w:p w14:paraId="4D01B975">
            <w:r>
              <w:rPr>
                <w:rFonts w:hint="eastAsia"/>
              </w:rPr>
              <w:t>每组进行面点创意制作，在制作品尝面点结束后，以小组为单位制作食物宣传海报。（内容包括分工安排情况、制作过程和成果讲解、劳动心得等）。</w:t>
            </w:r>
          </w:p>
        </w:tc>
        <w:tc>
          <w:tcPr>
            <w:tcW w:w="1276" w:type="dxa"/>
            <w:vAlign w:val="center"/>
          </w:tcPr>
          <w:p w14:paraId="5634923F">
            <w:r>
              <w:rPr>
                <w:rFonts w:hint="eastAsia"/>
              </w:rPr>
              <w:t>课程目标1、2</w:t>
            </w:r>
          </w:p>
        </w:tc>
        <w:tc>
          <w:tcPr>
            <w:tcW w:w="2409" w:type="dxa"/>
            <w:vAlign w:val="center"/>
          </w:tcPr>
          <w:p w14:paraId="39DB656F">
            <w:r>
              <w:rPr>
                <w:rFonts w:hint="eastAsia"/>
              </w:rPr>
              <w:t>了解点心食品的基本制作方法和营养搭配。掌握点心食品制作的基本技巧。培养学生的动手能力和团队协作精神。</w:t>
            </w:r>
          </w:p>
        </w:tc>
        <w:tc>
          <w:tcPr>
            <w:tcW w:w="1560" w:type="dxa"/>
            <w:vAlign w:val="center"/>
          </w:tcPr>
          <w:p w14:paraId="30CF3867">
            <w:r>
              <w:rPr>
                <w:rFonts w:hint="eastAsia"/>
              </w:rPr>
              <w:t>1.课堂实践</w:t>
            </w:r>
          </w:p>
          <w:p w14:paraId="18B3A289">
            <w:r>
              <w:rPr>
                <w:rFonts w:hint="eastAsia"/>
              </w:rPr>
              <w:t>2.多媒体教学3.课堂讨论</w:t>
            </w:r>
          </w:p>
        </w:tc>
        <w:tc>
          <w:tcPr>
            <w:tcW w:w="438" w:type="dxa"/>
            <w:vAlign w:val="center"/>
          </w:tcPr>
          <w:p w14:paraId="3E6F1073">
            <w:r>
              <w:rPr>
                <w:rFonts w:hint="eastAsia"/>
              </w:rPr>
              <w:t>4</w:t>
            </w:r>
          </w:p>
        </w:tc>
      </w:tr>
      <w:tr w14:paraId="51BB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61224556"/>
        </w:tc>
        <w:tc>
          <w:tcPr>
            <w:tcW w:w="7809" w:type="dxa"/>
            <w:gridSpan w:val="5"/>
            <w:vAlign w:val="center"/>
          </w:tcPr>
          <w:p w14:paraId="7ACAD0DA">
            <w:r>
              <w:rPr>
                <w:rFonts w:hint="eastAsia"/>
              </w:rPr>
              <w:t>课程思政目标：热爱劳动、尊重劳动，养成良好的劳动习惯。</w:t>
            </w:r>
          </w:p>
        </w:tc>
      </w:tr>
      <w:tr w14:paraId="261C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140E2A65">
            <w:r>
              <w:t>劳动实践6：植物种植与观察</w:t>
            </w:r>
          </w:p>
        </w:tc>
        <w:tc>
          <w:tcPr>
            <w:tcW w:w="2126" w:type="dxa"/>
            <w:vAlign w:val="center"/>
          </w:tcPr>
          <w:p w14:paraId="7E7D2161">
            <w:r>
              <w:rPr>
                <w:rFonts w:hint="eastAsia"/>
              </w:rPr>
              <w:t>教师讲解种植大蒜相关知识，各组完成一份大蒜调查报告和植物种植报告。</w:t>
            </w:r>
          </w:p>
        </w:tc>
        <w:tc>
          <w:tcPr>
            <w:tcW w:w="1276" w:type="dxa"/>
            <w:vAlign w:val="center"/>
          </w:tcPr>
          <w:p w14:paraId="21768B63">
            <w:r>
              <w:rPr>
                <w:rFonts w:hint="eastAsia"/>
              </w:rPr>
              <w:t>课程目标1、2</w:t>
            </w:r>
          </w:p>
        </w:tc>
        <w:tc>
          <w:tcPr>
            <w:tcW w:w="2409" w:type="dxa"/>
            <w:vAlign w:val="center"/>
          </w:tcPr>
          <w:p w14:paraId="5BCE2643">
            <w:r>
              <w:rPr>
                <w:rFonts w:hint="eastAsia"/>
              </w:rPr>
              <w:t>了解植物种植的基本知识和观察方法。掌握植物种植和观察的基本技巧。</w:t>
            </w:r>
          </w:p>
        </w:tc>
        <w:tc>
          <w:tcPr>
            <w:tcW w:w="1560" w:type="dxa"/>
            <w:vAlign w:val="center"/>
          </w:tcPr>
          <w:p w14:paraId="0E9EB541">
            <w:r>
              <w:rPr>
                <w:rFonts w:hint="eastAsia"/>
              </w:rPr>
              <w:t>1.课堂实践</w:t>
            </w:r>
          </w:p>
          <w:p w14:paraId="799C3B14">
            <w:r>
              <w:rPr>
                <w:rFonts w:hint="eastAsia"/>
              </w:rPr>
              <w:t>2.多媒体教学</w:t>
            </w:r>
          </w:p>
          <w:p w14:paraId="79935E81">
            <w:r>
              <w:rPr>
                <w:rFonts w:hint="eastAsia"/>
              </w:rPr>
              <w:t>3.课堂讨论</w:t>
            </w:r>
          </w:p>
        </w:tc>
        <w:tc>
          <w:tcPr>
            <w:tcW w:w="438" w:type="dxa"/>
            <w:vAlign w:val="center"/>
          </w:tcPr>
          <w:p w14:paraId="259D7EF7">
            <w:r>
              <w:rPr>
                <w:rFonts w:hint="eastAsia"/>
              </w:rPr>
              <w:t>4</w:t>
            </w:r>
          </w:p>
        </w:tc>
      </w:tr>
      <w:tr w14:paraId="1101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2F551C68"/>
        </w:tc>
        <w:tc>
          <w:tcPr>
            <w:tcW w:w="7809" w:type="dxa"/>
            <w:gridSpan w:val="5"/>
            <w:vAlign w:val="center"/>
          </w:tcPr>
          <w:p w14:paraId="6F2F9F5D">
            <w:r>
              <w:rPr>
                <w:rFonts w:hint="eastAsia"/>
              </w:rPr>
              <w:t>课程思政目标：培养学生的耐心和观察力，增强环保意识。</w:t>
            </w:r>
          </w:p>
        </w:tc>
      </w:tr>
    </w:tbl>
    <w:p w14:paraId="087BCE40"/>
    <w:p w14:paraId="10A427D9">
      <w:r>
        <w:rPr>
          <w:rFonts w:hint="eastAsia"/>
        </w:rPr>
        <w:t>四、目标评价与成绩评定</w:t>
      </w:r>
    </w:p>
    <w:p w14:paraId="049964F6">
      <w:r>
        <w:rPr>
          <w:rFonts w:hint="eastAsia"/>
        </w:rPr>
        <w:t>（一）课程目标评价方式</w:t>
      </w:r>
    </w:p>
    <w:p w14:paraId="0BC2DC88">
      <w:r>
        <w:rPr>
          <w:rFonts w:hint="eastAsia"/>
        </w:rPr>
        <w:t>根据总体设计，用于评价各课程目标的评价方式如表3</w:t>
      </w:r>
      <w:r>
        <w:t>所示。</w:t>
      </w:r>
    </w:p>
    <w:p w14:paraId="4D92F27F"/>
    <w:p w14:paraId="196DC89B">
      <w:r>
        <w:rPr>
          <w:rFonts w:hint="eastAsia"/>
        </w:rPr>
        <w:t>表3</w:t>
      </w:r>
      <w:r>
        <w:t>课程教学评价设计总表</w:t>
      </w:r>
    </w:p>
    <w:tbl>
      <w:tblPr>
        <w:tblStyle w:val="1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871"/>
        <w:gridCol w:w="2126"/>
        <w:gridCol w:w="1843"/>
        <w:gridCol w:w="1559"/>
      </w:tblGrid>
      <w:tr w14:paraId="5203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3B5AD50">
            <w:r>
              <w:rPr>
                <w:rFonts w:hint="eastAsia"/>
              </w:rPr>
              <w:t>课程目标</w:t>
            </w:r>
          </w:p>
        </w:tc>
        <w:tc>
          <w:tcPr>
            <w:tcW w:w="5840" w:type="dxa"/>
            <w:gridSpan w:val="3"/>
            <w:vAlign w:val="center"/>
          </w:tcPr>
          <w:p w14:paraId="0BC6A916">
            <w:r>
              <w:rPr>
                <w:rFonts w:hint="eastAsia"/>
              </w:rPr>
              <w:t>评价与成绩评定方法</w:t>
            </w:r>
          </w:p>
        </w:tc>
        <w:tc>
          <w:tcPr>
            <w:tcW w:w="1559" w:type="dxa"/>
            <w:vMerge w:val="restart"/>
            <w:vAlign w:val="center"/>
          </w:tcPr>
          <w:p w14:paraId="5F516E5B">
            <w:r>
              <w:rPr>
                <w:rFonts w:hint="eastAsia"/>
              </w:rPr>
              <w:t>分值</w:t>
            </w:r>
          </w:p>
        </w:tc>
      </w:tr>
      <w:tr w14:paraId="5FFA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DBFA0A8"/>
        </w:tc>
        <w:tc>
          <w:tcPr>
            <w:tcW w:w="1871" w:type="dxa"/>
            <w:vAlign w:val="center"/>
          </w:tcPr>
          <w:p w14:paraId="6B834CB5">
            <w:r>
              <w:rPr>
                <w:rFonts w:hint="eastAsia"/>
              </w:rPr>
              <w:t>平时成绩</w:t>
            </w:r>
          </w:p>
        </w:tc>
        <w:tc>
          <w:tcPr>
            <w:tcW w:w="2126" w:type="dxa"/>
            <w:vAlign w:val="center"/>
          </w:tcPr>
          <w:p w14:paraId="2722A960">
            <w:r>
              <w:rPr>
                <w:rFonts w:hint="eastAsia"/>
              </w:rPr>
              <w:t>实践活动</w:t>
            </w:r>
          </w:p>
        </w:tc>
        <w:tc>
          <w:tcPr>
            <w:tcW w:w="1843" w:type="dxa"/>
            <w:vAlign w:val="center"/>
          </w:tcPr>
          <w:p w14:paraId="77C897D2">
            <w:r>
              <w:rPr>
                <w:rFonts w:hint="eastAsia"/>
              </w:rPr>
              <w:t>技能实操</w:t>
            </w:r>
          </w:p>
        </w:tc>
        <w:tc>
          <w:tcPr>
            <w:tcW w:w="1559" w:type="dxa"/>
            <w:vMerge w:val="continue"/>
            <w:vAlign w:val="center"/>
          </w:tcPr>
          <w:p w14:paraId="65754C39"/>
        </w:tc>
      </w:tr>
      <w:tr w14:paraId="538C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5F0C127">
            <w:r>
              <w:rPr>
                <w:rFonts w:hint="eastAsia"/>
              </w:rPr>
              <w:t>课程目标1</w:t>
            </w:r>
          </w:p>
        </w:tc>
        <w:tc>
          <w:tcPr>
            <w:tcW w:w="1871" w:type="dxa"/>
            <w:vAlign w:val="center"/>
          </w:tcPr>
          <w:p w14:paraId="502EBD2C">
            <w:r>
              <w:rPr>
                <w:rFonts w:hint="eastAsia"/>
              </w:rPr>
              <w:t>5</w:t>
            </w:r>
          </w:p>
        </w:tc>
        <w:tc>
          <w:tcPr>
            <w:tcW w:w="2126" w:type="dxa"/>
            <w:vAlign w:val="center"/>
          </w:tcPr>
          <w:p w14:paraId="2C1C302E">
            <w:r>
              <w:rPr>
                <w:rFonts w:hint="eastAsia"/>
              </w:rPr>
              <w:t>20</w:t>
            </w:r>
          </w:p>
        </w:tc>
        <w:tc>
          <w:tcPr>
            <w:tcW w:w="1843" w:type="dxa"/>
            <w:vAlign w:val="center"/>
          </w:tcPr>
          <w:p w14:paraId="50711D77">
            <w:r>
              <w:rPr>
                <w:rFonts w:hint="eastAsia"/>
              </w:rPr>
              <w:t>15</w:t>
            </w:r>
          </w:p>
        </w:tc>
        <w:tc>
          <w:tcPr>
            <w:tcW w:w="1559" w:type="dxa"/>
            <w:vAlign w:val="center"/>
          </w:tcPr>
          <w:p w14:paraId="1E844662">
            <w:r>
              <w:rPr>
                <w:rFonts w:hint="eastAsia"/>
              </w:rPr>
              <w:t>40</w:t>
            </w:r>
          </w:p>
        </w:tc>
      </w:tr>
      <w:tr w14:paraId="13C8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F00DE1F">
            <w:r>
              <w:rPr>
                <w:rFonts w:hint="eastAsia"/>
              </w:rPr>
              <w:t>课程目标2</w:t>
            </w:r>
          </w:p>
        </w:tc>
        <w:tc>
          <w:tcPr>
            <w:tcW w:w="1871" w:type="dxa"/>
            <w:vAlign w:val="center"/>
          </w:tcPr>
          <w:p w14:paraId="3F563AAE">
            <w:r>
              <w:rPr>
                <w:rFonts w:hint="eastAsia"/>
              </w:rPr>
              <w:t>5</w:t>
            </w:r>
          </w:p>
        </w:tc>
        <w:tc>
          <w:tcPr>
            <w:tcW w:w="2126" w:type="dxa"/>
            <w:vAlign w:val="center"/>
          </w:tcPr>
          <w:p w14:paraId="6A1602DE">
            <w:r>
              <w:rPr>
                <w:rFonts w:hint="eastAsia"/>
              </w:rPr>
              <w:t>30</w:t>
            </w:r>
          </w:p>
        </w:tc>
        <w:tc>
          <w:tcPr>
            <w:tcW w:w="1843" w:type="dxa"/>
            <w:vAlign w:val="center"/>
          </w:tcPr>
          <w:p w14:paraId="697900CC">
            <w:r>
              <w:rPr>
                <w:rFonts w:hint="eastAsia"/>
              </w:rPr>
              <w:t>25</w:t>
            </w:r>
          </w:p>
        </w:tc>
        <w:tc>
          <w:tcPr>
            <w:tcW w:w="1559" w:type="dxa"/>
            <w:vAlign w:val="center"/>
          </w:tcPr>
          <w:p w14:paraId="62207F81">
            <w:r>
              <w:rPr>
                <w:rFonts w:hint="eastAsia"/>
              </w:rPr>
              <w:t>60</w:t>
            </w:r>
          </w:p>
        </w:tc>
      </w:tr>
      <w:tr w14:paraId="5364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812AB22">
            <w:r>
              <w:rPr>
                <w:rFonts w:hint="eastAsia"/>
              </w:rPr>
              <w:t>合计</w:t>
            </w:r>
          </w:p>
        </w:tc>
        <w:tc>
          <w:tcPr>
            <w:tcW w:w="1871" w:type="dxa"/>
            <w:vAlign w:val="center"/>
          </w:tcPr>
          <w:p w14:paraId="4F3BF445">
            <w:r>
              <w:rPr>
                <w:rFonts w:hint="eastAsia"/>
              </w:rPr>
              <w:t>10</w:t>
            </w:r>
          </w:p>
        </w:tc>
        <w:tc>
          <w:tcPr>
            <w:tcW w:w="2126" w:type="dxa"/>
            <w:vAlign w:val="center"/>
          </w:tcPr>
          <w:p w14:paraId="4A16C864">
            <w:r>
              <w:rPr>
                <w:rFonts w:hint="eastAsia"/>
              </w:rPr>
              <w:t>50</w:t>
            </w:r>
          </w:p>
        </w:tc>
        <w:tc>
          <w:tcPr>
            <w:tcW w:w="1843" w:type="dxa"/>
            <w:vAlign w:val="center"/>
          </w:tcPr>
          <w:p w14:paraId="67128F8C">
            <w:r>
              <w:rPr>
                <w:rFonts w:hint="eastAsia"/>
              </w:rPr>
              <w:t>40</w:t>
            </w:r>
          </w:p>
        </w:tc>
        <w:tc>
          <w:tcPr>
            <w:tcW w:w="1559" w:type="dxa"/>
            <w:vAlign w:val="center"/>
          </w:tcPr>
          <w:p w14:paraId="4E19EB4A">
            <w:r>
              <w:rPr>
                <w:rFonts w:hint="eastAsia"/>
              </w:rPr>
              <w:t>100</w:t>
            </w:r>
          </w:p>
        </w:tc>
      </w:tr>
    </w:tbl>
    <w:p w14:paraId="4AB4F97B">
      <w:r>
        <w:rPr>
          <w:rFonts w:hint="eastAsia"/>
        </w:rPr>
        <w:t>（二）成绩评定细则</w:t>
      </w:r>
    </w:p>
    <w:p w14:paraId="1BD3CA6A">
      <w:r>
        <w:rPr>
          <w:rFonts w:hint="eastAsia"/>
        </w:rPr>
        <w:t>各部分的评价方式和成绩评定的细则如表4所示：</w:t>
      </w:r>
    </w:p>
    <w:p w14:paraId="2708F91C">
      <w:r>
        <w:rPr>
          <w:rFonts w:hint="eastAsia"/>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715"/>
        <w:gridCol w:w="686"/>
      </w:tblGrid>
      <w:tr w14:paraId="1B59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1E496E48">
            <w:r>
              <w:rPr>
                <w:rFonts w:hint="eastAsia"/>
              </w:rPr>
              <w:t>评价方式</w:t>
            </w:r>
          </w:p>
        </w:tc>
        <w:tc>
          <w:tcPr>
            <w:tcW w:w="6715" w:type="dxa"/>
            <w:vAlign w:val="center"/>
          </w:tcPr>
          <w:p w14:paraId="02188219">
            <w:r>
              <w:rPr>
                <w:rFonts w:hint="eastAsia"/>
              </w:rPr>
              <w:t>评定细则</w:t>
            </w:r>
          </w:p>
        </w:tc>
        <w:tc>
          <w:tcPr>
            <w:tcW w:w="0" w:type="auto"/>
            <w:vAlign w:val="center"/>
          </w:tcPr>
          <w:p w14:paraId="0143A691">
            <w:r>
              <w:rPr>
                <w:rFonts w:hint="eastAsia"/>
              </w:rPr>
              <w:t>占比</w:t>
            </w:r>
          </w:p>
        </w:tc>
      </w:tr>
      <w:tr w14:paraId="03E6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5E0C9BE5">
            <w:r>
              <w:rPr>
                <w:rFonts w:hint="eastAsia"/>
              </w:rPr>
              <w:t>考勤记录</w:t>
            </w:r>
          </w:p>
        </w:tc>
        <w:tc>
          <w:tcPr>
            <w:tcW w:w="6715" w:type="dxa"/>
            <w:vAlign w:val="center"/>
          </w:tcPr>
          <w:p w14:paraId="24C580F7">
            <w:r>
              <w:t>1.考勤在平时成绩基础上扣分，旷课5分/次（旷课达2次，本课程考核不合格），病假事假提前报批任课教师或班主任不扣分，迟到、早退分别扣3分/次。</w:t>
            </w:r>
          </w:p>
          <w:p w14:paraId="47F13A94">
            <w:r>
              <w:t>2.平时成绩=课堂表现-考勤扣分。</w:t>
            </w:r>
          </w:p>
        </w:tc>
        <w:tc>
          <w:tcPr>
            <w:tcW w:w="0" w:type="auto"/>
            <w:vAlign w:val="center"/>
          </w:tcPr>
          <w:p w14:paraId="0C61181C">
            <w:r>
              <w:rPr>
                <w:rFonts w:hint="eastAsia"/>
              </w:rPr>
              <w:t>1</w:t>
            </w:r>
            <w:r>
              <w:t>0</w:t>
            </w:r>
            <w:r>
              <w:rPr>
                <w:rFonts w:hint="eastAsia"/>
              </w:rPr>
              <w:t>%</w:t>
            </w:r>
          </w:p>
        </w:tc>
      </w:tr>
      <w:tr w14:paraId="2D74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101" w:type="dxa"/>
            <w:vAlign w:val="center"/>
          </w:tcPr>
          <w:p w14:paraId="421DD0C3">
            <w:r>
              <w:rPr>
                <w:rFonts w:hint="eastAsia"/>
              </w:rPr>
              <w:t>实践活动</w:t>
            </w:r>
          </w:p>
        </w:tc>
        <w:tc>
          <w:tcPr>
            <w:tcW w:w="6715" w:type="dxa"/>
            <w:vAlign w:val="center"/>
          </w:tcPr>
          <w:p w14:paraId="0CDE8F93">
            <w:r>
              <w:rPr>
                <w:rFonts w:hint="eastAsia"/>
              </w:rPr>
              <w:t>1.主题鲜明且符合要求，能明确介绍成果的制作过程、展示使用情境（20分）</w:t>
            </w:r>
          </w:p>
          <w:p w14:paraId="5136BFDC">
            <w:r>
              <w:rPr>
                <w:rFonts w:hint="eastAsia"/>
              </w:rPr>
              <w:t>2.现场表达完整、流畅、得体、大方，能够自信且富有感染力（10分）</w:t>
            </w:r>
          </w:p>
          <w:p w14:paraId="3C6B435F">
            <w:r>
              <w:t>3.</w:t>
            </w:r>
            <w:r>
              <w:rPr>
                <w:rFonts w:hint="eastAsia"/>
              </w:rPr>
              <w:t>熟悉实践成果的制作与表达意图，具有一定现场应对能力（10分）</w:t>
            </w:r>
          </w:p>
          <w:p w14:paraId="7A04754A">
            <w:r>
              <w:rPr>
                <w:rFonts w:hint="eastAsia"/>
              </w:rPr>
              <w:t>4.能客观地评价其他组作品，提出合理性建议（10分）</w:t>
            </w:r>
          </w:p>
          <w:p w14:paraId="181499A9">
            <w:r>
              <w:rPr>
                <w:rFonts w:hint="eastAsia"/>
              </w:rPr>
              <w:t>5.能对自己组的作品有客观的评价与反思（10分）</w:t>
            </w:r>
          </w:p>
          <w:p w14:paraId="6957B2F2">
            <w:r>
              <w:rPr>
                <w:rFonts w:hint="eastAsia"/>
              </w:rPr>
              <w:t>6.按要求呈现成果制作过程与展示的各环节内容 (20分)</w:t>
            </w:r>
          </w:p>
          <w:p w14:paraId="6478E3D9">
            <w:r>
              <w:rPr>
                <w:rFonts w:hint="eastAsia"/>
              </w:rPr>
              <w:t>7.文本内容完整详略得当、形式多样、图片清晰、裁剪得当有一定逻辑性与得体性 (10分)</w:t>
            </w:r>
          </w:p>
          <w:p w14:paraId="0CC9F84B">
            <w:r>
              <w:rPr>
                <w:rFonts w:hint="eastAsia"/>
              </w:rPr>
              <w:t>8. 全员投入，分工合理，协作性高 (10 分)</w:t>
            </w:r>
          </w:p>
        </w:tc>
        <w:tc>
          <w:tcPr>
            <w:tcW w:w="0" w:type="auto"/>
            <w:vAlign w:val="center"/>
          </w:tcPr>
          <w:p w14:paraId="3B46FD69">
            <w:r>
              <w:rPr>
                <w:rFonts w:hint="eastAsia"/>
              </w:rPr>
              <w:t>5</w:t>
            </w:r>
            <w:r>
              <w:t>0</w:t>
            </w:r>
            <w:r>
              <w:rPr>
                <w:rFonts w:hint="eastAsia"/>
              </w:rPr>
              <w:t>%</w:t>
            </w:r>
          </w:p>
        </w:tc>
      </w:tr>
      <w:tr w14:paraId="28E1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101" w:type="dxa"/>
            <w:vAlign w:val="center"/>
          </w:tcPr>
          <w:p w14:paraId="658985A3">
            <w:r>
              <w:rPr>
                <w:rFonts w:hint="eastAsia"/>
              </w:rPr>
              <w:t>技能实操</w:t>
            </w:r>
          </w:p>
        </w:tc>
        <w:tc>
          <w:tcPr>
            <w:tcW w:w="6715" w:type="dxa"/>
            <w:vAlign w:val="center"/>
          </w:tcPr>
          <w:p w14:paraId="67D8A098">
            <w:r>
              <w:t>一、主题与制作过程（20分）</w:t>
            </w:r>
          </w:p>
          <w:p w14:paraId="7C95D403">
            <w:r>
              <w:rPr>
                <w:rFonts w:hint="eastAsia"/>
              </w:rPr>
              <w:t>实操项目应紧密围绕大学生劳动教育的核心目标，如生活技能、生产实践、志愿服务等，主题明确，具有教育意义。能够详细阐述从项目策划、准备材料、实施步骤到成果完成的整个过程，步骤清晰，逻辑性强。能够结合实际生活或工作场景，展示实操成果的应用价值，说明其在提升个人劳动能力、团队协作等方面的作用。</w:t>
            </w:r>
          </w:p>
          <w:p w14:paraId="1AF36D67">
            <w:r>
              <w:t>现场表达与应对能力（20分）</w:t>
            </w:r>
          </w:p>
          <w:p w14:paraId="07B8DB11">
            <w:r>
              <w:rPr>
                <w:rFonts w:hint="eastAsia"/>
              </w:rPr>
              <w:t>现场讲解时，语言清晰、条理分明，能够完整表达实操项目的核心内容和亮点。表达时自信大方，能够吸引听众注意力，通过生动的语言和实例，增强表达的感染力。对项目内容有深入了解，能够自如回答评委或观众提出的问题，展现出良好的应变能力和专业素养。</w:t>
            </w:r>
          </w:p>
          <w:p w14:paraId="59B8DC10">
            <w:r>
              <w:t>三、评价与建议（20分）</w:t>
            </w:r>
          </w:p>
          <w:p w14:paraId="23DF3731">
            <w:r>
              <w:rPr>
                <w:rFonts w:hint="eastAsia"/>
              </w:rPr>
              <w:t>能够客观、公正地评价其他组的实操项目，指出其优点和不足，提出具有建设性的意见。自我反思与评价：对本组的实操项目进行客观评价，总结成功经验，反思不足之处，提出改进措施。</w:t>
            </w:r>
          </w:p>
          <w:p w14:paraId="4555236C">
            <w:r>
              <w:t>四、成果展示与文本内容（20分）</w:t>
            </w:r>
          </w:p>
          <w:p w14:paraId="6E3CD128">
            <w:r>
              <w:rPr>
                <w:rFonts w:hint="eastAsia"/>
              </w:rPr>
              <w:t>按照课程要求，全面展示实操项目的策划、实施、成果及反思等各环节内容。文本内容应涵盖项目背景、目标、过程、成果、反思等方面，详略得当，重点突出。采用多种展示形式，如PPT、视频、实物等，图片清晰、裁剪得当，增强展示效果。</w:t>
            </w:r>
          </w:p>
          <w:p w14:paraId="2E30CD17">
            <w:r>
              <w:t>五、团队协作与分工（10分）</w:t>
            </w:r>
          </w:p>
          <w:p w14:paraId="2138B204">
            <w:r>
              <w:rPr>
                <w:rFonts w:hint="eastAsia"/>
              </w:rPr>
              <w:t>团队成员均积极参与实操项目，展现出高度的责任心和团队协作精神。根据成员特长进行合理分工，确保每个环节都有专人负责，提高工作效率和质量。团队成员之间沟通顺畅，相互支持，共同解决问题，形成强大的团队合力。</w:t>
            </w:r>
          </w:p>
        </w:tc>
        <w:tc>
          <w:tcPr>
            <w:tcW w:w="0" w:type="auto"/>
            <w:vAlign w:val="center"/>
          </w:tcPr>
          <w:p w14:paraId="171201F2">
            <w:r>
              <w:rPr>
                <w:rFonts w:hint="eastAsia"/>
              </w:rPr>
              <w:t>40%</w:t>
            </w:r>
          </w:p>
        </w:tc>
      </w:tr>
      <w:tr w14:paraId="40D0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01" w:type="dxa"/>
            <w:vAlign w:val="center"/>
          </w:tcPr>
          <w:p w14:paraId="6A3DF1AB">
            <w:r>
              <w:rPr>
                <w:rFonts w:hint="eastAsia"/>
              </w:rPr>
              <w:t>合计</w:t>
            </w:r>
          </w:p>
        </w:tc>
        <w:tc>
          <w:tcPr>
            <w:tcW w:w="6715" w:type="dxa"/>
            <w:vAlign w:val="center"/>
          </w:tcPr>
          <w:p w14:paraId="656D0C0E"/>
        </w:tc>
        <w:tc>
          <w:tcPr>
            <w:tcW w:w="0" w:type="auto"/>
            <w:vAlign w:val="center"/>
          </w:tcPr>
          <w:p w14:paraId="2374543F">
            <w:r>
              <w:rPr>
                <w:rFonts w:hint="eastAsia"/>
              </w:rPr>
              <w:t>100%</w:t>
            </w:r>
          </w:p>
        </w:tc>
      </w:tr>
    </w:tbl>
    <w:p w14:paraId="23C5DC32">
      <w:r>
        <w:rPr>
          <w:rFonts w:hint="eastAsia"/>
        </w:rPr>
        <w:t>（三）课程目标达成度计算方法</w:t>
      </w:r>
    </w:p>
    <w:p w14:paraId="789D2C9F">
      <w:r>
        <w:rPr>
          <w:rFonts w:hint="eastAsia"/>
        </w:rPr>
        <w:t>所有课程目标均需大于等于</w:t>
      </w:r>
      <w:r>
        <w:t>0.6，否则总评成绩不及格，需要补考或重修。每门课程目标总体达成度计算方法如下：</w:t>
      </w:r>
    </w:p>
    <w:p w14:paraId="40C5D463">
      <w:r>
        <w:drawing>
          <wp:inline distT="0" distB="0" distL="114300" distR="114300">
            <wp:extent cx="5274310" cy="340360"/>
            <wp:effectExtent l="0" t="0" r="2540" b="254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6"/>
                    <a:stretch>
                      <a:fillRect/>
                    </a:stretch>
                  </pic:blipFill>
                  <pic:spPr>
                    <a:xfrm>
                      <a:off x="0" y="0"/>
                      <a:ext cx="5274310" cy="340578"/>
                    </a:xfrm>
                    <a:prstGeom prst="rect">
                      <a:avLst/>
                    </a:prstGeom>
                    <a:noFill/>
                    <a:ln>
                      <a:noFill/>
                    </a:ln>
                  </pic:spPr>
                </pic:pic>
              </a:graphicData>
            </a:graphic>
          </wp:inline>
        </w:drawing>
      </w:r>
    </w:p>
    <w:p w14:paraId="0071A0ED">
      <w:r>
        <w:rPr>
          <w:rFonts w:hint="eastAsia"/>
        </w:rPr>
        <w:t>五、课程实践（利用第二课堂，不占总学时）</w:t>
      </w:r>
    </w:p>
    <w:p w14:paraId="2237581A">
      <w:r>
        <w:rPr>
          <w:rFonts w:hint="eastAsia"/>
        </w:rPr>
        <w:t>本课程在系统教学的基础上，以学生为主题，整合各类教育资源，科学设计实践活动，丰富教育教学形式，提升教育教学效果，从而实现思政育人。</w:t>
      </w:r>
    </w:p>
    <w:p w14:paraId="403B932C">
      <w:r>
        <w:rPr>
          <w:rFonts w:hint="eastAsia"/>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252"/>
        <w:gridCol w:w="1134"/>
        <w:gridCol w:w="2032"/>
      </w:tblGrid>
      <w:tr w14:paraId="331D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01" w:type="dxa"/>
            <w:vAlign w:val="center"/>
          </w:tcPr>
          <w:p w14:paraId="4889C707">
            <w:pPr>
              <w:rPr>
                <w:rFonts w:ascii="Times New Roman" w:hAnsi="Times New Roman" w:eastAsia="宋体" w:cs="Times New Roman"/>
              </w:rPr>
            </w:pPr>
            <w:r>
              <w:rPr>
                <w:rFonts w:hint="eastAsia" w:ascii="Times New Roman" w:hAnsi="Times New Roman" w:eastAsia="宋体" w:cs="Times New Roman"/>
              </w:rPr>
              <w:t>活动主题</w:t>
            </w:r>
          </w:p>
        </w:tc>
        <w:tc>
          <w:tcPr>
            <w:tcW w:w="4252" w:type="dxa"/>
            <w:vAlign w:val="center"/>
          </w:tcPr>
          <w:p w14:paraId="68A53700">
            <w:pPr>
              <w:rPr>
                <w:rFonts w:ascii="Times New Roman" w:hAnsi="Times New Roman" w:eastAsia="宋体" w:cs="Times New Roman"/>
              </w:rPr>
            </w:pPr>
            <w:r>
              <w:rPr>
                <w:rFonts w:hint="eastAsia" w:ascii="Times New Roman" w:hAnsi="Times New Roman" w:eastAsia="宋体" w:cs="Times New Roman"/>
              </w:rPr>
              <w:t>活动内容</w:t>
            </w:r>
          </w:p>
        </w:tc>
        <w:tc>
          <w:tcPr>
            <w:tcW w:w="1134" w:type="dxa"/>
            <w:vAlign w:val="center"/>
          </w:tcPr>
          <w:p w14:paraId="253BE493">
            <w:pPr>
              <w:rPr>
                <w:rFonts w:ascii="Times New Roman" w:hAnsi="Times New Roman" w:eastAsia="宋体" w:cs="Times New Roman"/>
              </w:rPr>
            </w:pPr>
            <w:r>
              <w:rPr>
                <w:rFonts w:hint="eastAsia" w:ascii="Times New Roman" w:hAnsi="Times New Roman" w:eastAsia="宋体" w:cs="Times New Roman"/>
              </w:rPr>
              <w:t>活动方式</w:t>
            </w:r>
          </w:p>
        </w:tc>
        <w:tc>
          <w:tcPr>
            <w:tcW w:w="2032" w:type="dxa"/>
            <w:vAlign w:val="center"/>
          </w:tcPr>
          <w:p w14:paraId="05BCB29F">
            <w:pPr>
              <w:rPr>
                <w:rFonts w:ascii="Times New Roman" w:hAnsi="Times New Roman" w:eastAsia="宋体" w:cs="Times New Roman"/>
              </w:rPr>
            </w:pPr>
            <w:r>
              <w:rPr>
                <w:rFonts w:hint="eastAsia" w:ascii="Times New Roman" w:hAnsi="Times New Roman" w:eastAsia="宋体" w:cs="Times New Roman"/>
              </w:rPr>
              <w:t>思政目标</w:t>
            </w:r>
          </w:p>
        </w:tc>
      </w:tr>
      <w:tr w14:paraId="707F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101" w:type="dxa"/>
            <w:vAlign w:val="center"/>
          </w:tcPr>
          <w:p w14:paraId="046F2662">
            <w:pPr>
              <w:rPr>
                <w:rFonts w:ascii="Times New Roman" w:hAnsi="Times New Roman" w:eastAsia="宋体" w:cs="Times New Roman"/>
              </w:rPr>
            </w:pPr>
            <w:r>
              <w:rPr>
                <w:rFonts w:ascii="Times New Roman" w:hAnsi="Times New Roman" w:eastAsia="宋体" w:cs="Times New Roman"/>
              </w:rPr>
              <w:t>小学学科教具制作</w:t>
            </w:r>
          </w:p>
        </w:tc>
        <w:tc>
          <w:tcPr>
            <w:tcW w:w="4252" w:type="dxa"/>
            <w:vAlign w:val="center"/>
          </w:tcPr>
          <w:p w14:paraId="37203EB7">
            <w:pPr>
              <w:rPr>
                <w:rFonts w:ascii="Times New Roman" w:hAnsi="Times New Roman" w:eastAsia="宋体" w:cs="Times New Roman"/>
              </w:rPr>
            </w:pPr>
            <w:r>
              <w:rPr>
                <w:rFonts w:hint="eastAsia" w:ascii="Times New Roman" w:hAnsi="Times New Roman" w:eastAsia="宋体" w:cs="Times New Roman"/>
              </w:rPr>
              <w:t>1.引入话题，讲解教具制作的重要性和意义。</w:t>
            </w:r>
          </w:p>
          <w:p w14:paraId="6B12C666">
            <w:pPr>
              <w:rPr>
                <w:rFonts w:ascii="Times New Roman" w:hAnsi="Times New Roman" w:eastAsia="宋体" w:cs="Times New Roman"/>
              </w:rPr>
            </w:pPr>
            <w:r>
              <w:rPr>
                <w:rFonts w:hint="eastAsia" w:ascii="Times New Roman" w:hAnsi="Times New Roman" w:eastAsia="宋体" w:cs="Times New Roman"/>
              </w:rPr>
              <w:t>2.分组分工，明确制作任务。</w:t>
            </w:r>
          </w:p>
          <w:p w14:paraId="4A5221AD">
            <w:pPr>
              <w:rPr>
                <w:rFonts w:ascii="Times New Roman" w:hAnsi="Times New Roman" w:eastAsia="宋体" w:cs="Times New Roman"/>
              </w:rPr>
            </w:pPr>
            <w:r>
              <w:rPr>
                <w:rFonts w:hint="eastAsia" w:ascii="Times New Roman" w:hAnsi="Times New Roman" w:eastAsia="宋体" w:cs="Times New Roman"/>
              </w:rPr>
              <w:t>3.学生进行实际操作，教师巡回指导。</w:t>
            </w:r>
          </w:p>
          <w:p w14:paraId="4BE2D5F8">
            <w:pPr>
              <w:rPr>
                <w:rFonts w:ascii="Times New Roman" w:hAnsi="Times New Roman" w:eastAsia="宋体" w:cs="Times New Roman"/>
              </w:rPr>
            </w:pPr>
            <w:r>
              <w:rPr>
                <w:rFonts w:hint="eastAsia" w:ascii="Times New Roman" w:hAnsi="Times New Roman" w:eastAsia="宋体" w:cs="Times New Roman"/>
              </w:rPr>
              <w:t>4.实物展示，讲解设计意图和制作过程。</w:t>
            </w:r>
          </w:p>
          <w:p w14:paraId="5837690D">
            <w:pPr>
              <w:rPr>
                <w:rFonts w:ascii="Times New Roman" w:hAnsi="Times New Roman" w:eastAsia="宋体" w:cs="Times New Roman"/>
              </w:rPr>
            </w:pPr>
            <w:r>
              <w:rPr>
                <w:rFonts w:hint="eastAsia" w:ascii="Times New Roman" w:hAnsi="Times New Roman" w:eastAsia="宋体" w:cs="Times New Roman"/>
              </w:rPr>
              <w:t>5.互评作品，分享心得，总结经验。</w:t>
            </w:r>
          </w:p>
        </w:tc>
        <w:tc>
          <w:tcPr>
            <w:tcW w:w="1134" w:type="dxa"/>
            <w:vAlign w:val="center"/>
          </w:tcPr>
          <w:p w14:paraId="60C60F62">
            <w:pPr>
              <w:rPr>
                <w:rFonts w:ascii="Times New Roman" w:hAnsi="Times New Roman" w:eastAsia="宋体" w:cs="Times New Roman"/>
              </w:rPr>
            </w:pPr>
            <w:r>
              <w:rPr>
                <w:rFonts w:hint="eastAsia" w:ascii="Times New Roman" w:hAnsi="Times New Roman" w:eastAsia="宋体" w:cs="Times New Roman"/>
              </w:rPr>
              <w:t>手工制作</w:t>
            </w:r>
          </w:p>
        </w:tc>
        <w:tc>
          <w:tcPr>
            <w:tcW w:w="2032" w:type="dxa"/>
            <w:vAlign w:val="center"/>
          </w:tcPr>
          <w:p w14:paraId="2948FF84">
            <w:pPr>
              <w:rPr>
                <w:rFonts w:ascii="Times New Roman" w:hAnsi="Times New Roman" w:eastAsia="宋体" w:cs="Times New Roman"/>
              </w:rPr>
            </w:pPr>
            <w:r>
              <w:rPr>
                <w:rFonts w:hint="eastAsia" w:ascii="Times New Roman" w:hAnsi="Times New Roman" w:eastAsia="宋体" w:cs="Times New Roman"/>
              </w:rPr>
              <w:t>通过实际操作，掌握教具制作的基本技巧和方法，提高废物利用能力和创意表达能力。培养学生的创新意识和环保意识。</w:t>
            </w:r>
          </w:p>
        </w:tc>
      </w:tr>
      <w:tr w14:paraId="08E9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101" w:type="dxa"/>
            <w:vAlign w:val="center"/>
          </w:tcPr>
          <w:p w14:paraId="5918241D">
            <w:pPr>
              <w:rPr>
                <w:rFonts w:ascii="Times New Roman" w:hAnsi="Times New Roman" w:eastAsia="宋体" w:cs="Times New Roman"/>
              </w:rPr>
            </w:pPr>
            <w:r>
              <w:rPr>
                <w:rFonts w:ascii="Times New Roman" w:hAnsi="Times New Roman" w:eastAsia="宋体" w:cs="Times New Roman"/>
              </w:rPr>
              <w:t>儿童照护与急救知识汇报</w:t>
            </w:r>
          </w:p>
        </w:tc>
        <w:tc>
          <w:tcPr>
            <w:tcW w:w="4252" w:type="dxa"/>
            <w:vAlign w:val="center"/>
          </w:tcPr>
          <w:p w14:paraId="0E2E4A46">
            <w:pPr>
              <w:rPr>
                <w:rFonts w:ascii="Times New Roman" w:hAnsi="Times New Roman" w:eastAsia="宋体" w:cs="Times New Roman"/>
              </w:rPr>
            </w:pPr>
            <w:r>
              <w:rPr>
                <w:rFonts w:hint="eastAsia" w:ascii="Times New Roman" w:hAnsi="Times New Roman" w:eastAsia="宋体" w:cs="Times New Roman"/>
              </w:rPr>
              <w:t>1.引入话题，讲解儿童照护和急救的重要性。</w:t>
            </w:r>
          </w:p>
          <w:p w14:paraId="20E41BD3">
            <w:pPr>
              <w:rPr>
                <w:rFonts w:ascii="Times New Roman" w:hAnsi="Times New Roman" w:eastAsia="宋体" w:cs="Times New Roman"/>
              </w:rPr>
            </w:pPr>
            <w:r>
              <w:rPr>
                <w:rFonts w:hint="eastAsia" w:ascii="Times New Roman" w:hAnsi="Times New Roman" w:eastAsia="宋体" w:cs="Times New Roman"/>
              </w:rPr>
              <w:t>2.分组分工，明确汇报和演练任务。</w:t>
            </w:r>
          </w:p>
          <w:p w14:paraId="6A0C3090">
            <w:pPr>
              <w:rPr>
                <w:rFonts w:ascii="Times New Roman" w:hAnsi="Times New Roman" w:eastAsia="宋体" w:cs="Times New Roman"/>
              </w:rPr>
            </w:pPr>
            <w:r>
              <w:rPr>
                <w:rFonts w:hint="eastAsia" w:ascii="Times New Roman" w:hAnsi="Times New Roman" w:eastAsia="宋体" w:cs="Times New Roman"/>
              </w:rPr>
              <w:t>3.学生制作PPT并进行汇报，教师点评。</w:t>
            </w:r>
          </w:p>
          <w:p w14:paraId="70AFE604">
            <w:pPr>
              <w:rPr>
                <w:rFonts w:ascii="Times New Roman" w:hAnsi="Times New Roman" w:eastAsia="宋体" w:cs="Times New Roman"/>
              </w:rPr>
            </w:pPr>
            <w:r>
              <w:rPr>
                <w:rFonts w:hint="eastAsia" w:ascii="Times New Roman" w:hAnsi="Times New Roman" w:eastAsia="宋体" w:cs="Times New Roman"/>
              </w:rPr>
              <w:t>4.小剧场式演绎儿童急救情境，模拟实际操作。</w:t>
            </w:r>
          </w:p>
          <w:p w14:paraId="27182243">
            <w:pPr>
              <w:rPr>
                <w:rFonts w:ascii="Times New Roman" w:hAnsi="Times New Roman" w:eastAsia="宋体" w:cs="Times New Roman"/>
              </w:rPr>
            </w:pPr>
            <w:r>
              <w:rPr>
                <w:rFonts w:hint="eastAsia" w:ascii="Times New Roman" w:hAnsi="Times New Roman" w:eastAsia="宋体" w:cs="Times New Roman"/>
              </w:rPr>
              <w:t>5.分享心得，总结经验。</w:t>
            </w:r>
          </w:p>
        </w:tc>
        <w:tc>
          <w:tcPr>
            <w:tcW w:w="1134" w:type="dxa"/>
            <w:vAlign w:val="center"/>
          </w:tcPr>
          <w:p w14:paraId="63E73316">
            <w:pPr>
              <w:rPr>
                <w:rFonts w:ascii="Times New Roman" w:hAnsi="Times New Roman" w:eastAsia="宋体" w:cs="Times New Roman"/>
              </w:rPr>
            </w:pPr>
            <w:r>
              <w:rPr>
                <w:rFonts w:hint="eastAsia" w:ascii="Times New Roman" w:hAnsi="Times New Roman" w:eastAsia="宋体" w:cs="Times New Roman"/>
              </w:rPr>
              <w:t>主题汇报及演绎</w:t>
            </w:r>
          </w:p>
        </w:tc>
        <w:tc>
          <w:tcPr>
            <w:tcW w:w="2032" w:type="dxa"/>
            <w:vAlign w:val="center"/>
          </w:tcPr>
          <w:p w14:paraId="379FCF86">
            <w:pPr>
              <w:rPr>
                <w:rFonts w:ascii="Times New Roman" w:hAnsi="Times New Roman" w:eastAsia="宋体" w:cs="Times New Roman"/>
              </w:rPr>
            </w:pPr>
            <w:r>
              <w:rPr>
                <w:rFonts w:hint="eastAsia" w:ascii="Times New Roman" w:hAnsi="Times New Roman" w:eastAsia="宋体" w:cs="Times New Roman"/>
              </w:rPr>
              <w:t>能够运用所学知识解决实际问题。培养学生的社会责任感和爱心。</w:t>
            </w:r>
          </w:p>
        </w:tc>
      </w:tr>
      <w:tr w14:paraId="009C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101" w:type="dxa"/>
            <w:vAlign w:val="center"/>
          </w:tcPr>
          <w:p w14:paraId="7211047D">
            <w:pPr>
              <w:rPr>
                <w:rFonts w:ascii="Times New Roman" w:hAnsi="Times New Roman" w:eastAsia="宋体" w:cs="Times New Roman"/>
              </w:rPr>
            </w:pPr>
            <w:r>
              <w:rPr>
                <w:rFonts w:ascii="Times New Roman" w:hAnsi="Times New Roman" w:eastAsia="宋体" w:cs="Times New Roman"/>
              </w:rPr>
              <w:t>点心食品制作与记录</w:t>
            </w:r>
          </w:p>
        </w:tc>
        <w:tc>
          <w:tcPr>
            <w:tcW w:w="4252" w:type="dxa"/>
            <w:vAlign w:val="center"/>
          </w:tcPr>
          <w:p w14:paraId="11E611A5">
            <w:pPr>
              <w:rPr>
                <w:rFonts w:ascii="Times New Roman" w:hAnsi="Times New Roman" w:eastAsia="宋体" w:cs="Times New Roman"/>
              </w:rPr>
            </w:pPr>
            <w:r>
              <w:rPr>
                <w:rFonts w:hint="eastAsia" w:ascii="Times New Roman" w:hAnsi="Times New Roman" w:eastAsia="宋体" w:cs="Times New Roman"/>
              </w:rPr>
              <w:t>1.引入话题，讲解点心食品制作的重要性和意义。</w:t>
            </w:r>
          </w:p>
          <w:p w14:paraId="423F9F83">
            <w:pPr>
              <w:rPr>
                <w:rFonts w:ascii="Times New Roman" w:hAnsi="Times New Roman" w:eastAsia="宋体" w:cs="Times New Roman"/>
              </w:rPr>
            </w:pPr>
            <w:r>
              <w:rPr>
                <w:rFonts w:hint="eastAsia" w:ascii="Times New Roman" w:hAnsi="Times New Roman" w:eastAsia="宋体" w:cs="Times New Roman"/>
              </w:rPr>
              <w:t>2.分组分工，明确制作任务。</w:t>
            </w:r>
          </w:p>
          <w:p w14:paraId="1DD743C0">
            <w:pPr>
              <w:rPr>
                <w:rFonts w:ascii="Times New Roman" w:hAnsi="Times New Roman" w:eastAsia="宋体" w:cs="Times New Roman"/>
              </w:rPr>
            </w:pPr>
            <w:r>
              <w:rPr>
                <w:rFonts w:hint="eastAsia" w:ascii="Times New Roman" w:hAnsi="Times New Roman" w:eastAsia="宋体" w:cs="Times New Roman"/>
              </w:rPr>
              <w:t>3.学生进行实际操作，教师巡回指导，确保卫生和安全。</w:t>
            </w:r>
          </w:p>
          <w:p w14:paraId="664EEA73">
            <w:pPr>
              <w:rPr>
                <w:rFonts w:ascii="Times New Roman" w:hAnsi="Times New Roman" w:eastAsia="宋体" w:cs="Times New Roman"/>
              </w:rPr>
            </w:pPr>
            <w:r>
              <w:rPr>
                <w:rFonts w:hint="eastAsia" w:ascii="Times New Roman" w:hAnsi="Times New Roman" w:eastAsia="宋体" w:cs="Times New Roman"/>
              </w:rPr>
              <w:t>4.实物展示和记录，讲解制作过程和心得。</w:t>
            </w:r>
          </w:p>
          <w:p w14:paraId="7C85257A">
            <w:pPr>
              <w:rPr>
                <w:rFonts w:ascii="Times New Roman" w:hAnsi="Times New Roman" w:eastAsia="宋体" w:cs="Times New Roman"/>
              </w:rPr>
            </w:pPr>
            <w:r>
              <w:rPr>
                <w:rFonts w:hint="eastAsia" w:ascii="Times New Roman" w:hAnsi="Times New Roman" w:eastAsia="宋体" w:cs="Times New Roman"/>
              </w:rPr>
              <w:t>5.分享作品，总结经验。</w:t>
            </w:r>
          </w:p>
        </w:tc>
        <w:tc>
          <w:tcPr>
            <w:tcW w:w="1134" w:type="dxa"/>
            <w:vAlign w:val="center"/>
          </w:tcPr>
          <w:p w14:paraId="1AFBA226">
            <w:pPr>
              <w:rPr>
                <w:rFonts w:ascii="Times New Roman" w:hAnsi="Times New Roman" w:eastAsia="宋体" w:cs="Times New Roman"/>
              </w:rPr>
            </w:pPr>
            <w:r>
              <w:rPr>
                <w:rFonts w:hint="eastAsia" w:ascii="Times New Roman" w:hAnsi="Times New Roman" w:eastAsia="宋体" w:cs="Times New Roman"/>
              </w:rPr>
              <w:t>食品制作</w:t>
            </w:r>
          </w:p>
        </w:tc>
        <w:tc>
          <w:tcPr>
            <w:tcW w:w="2032" w:type="dxa"/>
            <w:vAlign w:val="center"/>
          </w:tcPr>
          <w:p w14:paraId="428843C7">
            <w:pPr>
              <w:rPr>
                <w:rFonts w:ascii="Times New Roman" w:hAnsi="Times New Roman" w:eastAsia="宋体" w:cs="Times New Roman"/>
              </w:rPr>
            </w:pPr>
            <w:r>
              <w:rPr>
                <w:rFonts w:hint="eastAsia" w:ascii="Times New Roman" w:hAnsi="Times New Roman" w:eastAsia="宋体" w:cs="Times New Roman"/>
              </w:rPr>
              <w:t>掌握点心食品制作的基本技巧。培养学生的动手能力和团队协作精神。</w:t>
            </w:r>
          </w:p>
        </w:tc>
      </w:tr>
    </w:tbl>
    <w:p w14:paraId="20BF35D9"/>
    <w:p w14:paraId="6281842C">
      <w:r>
        <w:rPr>
          <w:rFonts w:hint="eastAsia"/>
        </w:rPr>
        <w:t>六、有关说明</w:t>
      </w:r>
    </w:p>
    <w:p w14:paraId="1DB8761F">
      <w:r>
        <w:rPr>
          <w:rFonts w:hint="eastAsia"/>
        </w:rPr>
        <w:t>（一）持续改进</w:t>
      </w:r>
    </w:p>
    <w:p w14:paraId="4898553C">
      <w:r>
        <w:t>第一，劳动教育部分活动无法开展，如社会活动类，学生实践受到一定的限制，在今后的教学中要更多的为师范生提供多维度劳动的机会，以提高师范生的感性认识。后期将尝试增加课外实践环节，提升课程教学质量。新时代加强大学生劳动教育要丰富劳动教育形式，顺应时代发展潮流，积极探索劳动教育与德育、智育、体育、美育相融合的劳动教育实践活动。</w:t>
      </w:r>
    </w:p>
    <w:p w14:paraId="170AADB3">
      <w:r>
        <w:t>第二，丰富课程考核方式，完善评价方式。思考如何在个人自评、同伴互评、小组互评、以及教师评价相结合的方式中保证课程评价结果的客观性。</w:t>
      </w:r>
    </w:p>
    <w:p w14:paraId="0FB669C6">
      <w:r>
        <w:rPr>
          <w:rFonts w:hint="eastAsia"/>
        </w:rPr>
        <w:t>（二）建议教材</w:t>
      </w:r>
    </w:p>
    <w:p w14:paraId="640477D1">
      <w:r>
        <w:rPr>
          <w:rFonts w:hint="eastAsia"/>
        </w:rPr>
        <w:t>《新时代大学生劳动教育》，丁晓昌、顾建军主编，上海交通大学出版社，2021年5月。</w:t>
      </w:r>
    </w:p>
    <w:p w14:paraId="1A75712F">
      <w:r>
        <w:rPr>
          <w:rFonts w:hint="eastAsia"/>
        </w:rPr>
        <w:t>（三）参考书目</w:t>
      </w:r>
    </w:p>
    <w:p w14:paraId="2683CCE7">
      <w:r>
        <w:rPr>
          <w:rFonts w:hint="eastAsia"/>
        </w:rPr>
        <w:t>（1）《大学生劳动教育》，陈国维主编，高等教育出版社，2020年8月。</w:t>
      </w:r>
    </w:p>
    <w:p w14:paraId="29586F91">
      <w:r>
        <w:rPr>
          <w:rFonts w:hint="eastAsia"/>
        </w:rPr>
        <w:t>（2）《新时代大学生劳动教育》，柳友荣等编著，高等教育出版社，2</w:t>
      </w:r>
      <w:r>
        <w:t>021</w:t>
      </w:r>
      <w:r>
        <w:rPr>
          <w:rFonts w:hint="eastAsia"/>
        </w:rPr>
        <w:t>年8月。</w:t>
      </w:r>
    </w:p>
    <w:p w14:paraId="40BCE99D"/>
    <w:p w14:paraId="2A5B0101"/>
    <w:p w14:paraId="00425C75"/>
    <w:p w14:paraId="0CE1A6DC"/>
    <w:p w14:paraId="47CAFBCC"/>
    <w:p w14:paraId="512A99F7">
      <w:pPr>
        <w:ind w:firstLine="5880" w:firstLineChars="2800"/>
      </w:pPr>
      <w:r>
        <w:rPr>
          <w:rFonts w:hint="eastAsia"/>
        </w:rPr>
        <w:t>执 笔 人：</w:t>
      </w:r>
      <w:r>
        <w:t xml:space="preserve"> </w:t>
      </w:r>
      <w:r>
        <w:rPr>
          <w:rFonts w:hint="eastAsia"/>
        </w:rPr>
        <w:t>周晗</w:t>
      </w:r>
    </w:p>
    <w:p w14:paraId="6A61739E">
      <w:pPr>
        <w:ind w:firstLine="5880" w:firstLineChars="2800"/>
      </w:pPr>
      <w:r>
        <w:rPr>
          <w:rFonts w:hint="eastAsia"/>
        </w:rPr>
        <w:t>审 定 人：</w:t>
      </w:r>
      <w:r>
        <w:t xml:space="preserve"> </w:t>
      </w:r>
      <w:r>
        <w:rPr>
          <w:rFonts w:hint="eastAsia"/>
        </w:rPr>
        <w:t>王健</w:t>
      </w:r>
    </w:p>
    <w:p w14:paraId="379D5AE7">
      <w:pPr>
        <w:ind w:firstLine="5880" w:firstLineChars="2800"/>
      </w:pPr>
      <w:r>
        <w:rPr>
          <w:rFonts w:hint="eastAsia"/>
        </w:rPr>
        <w:t>审 批 人：</w:t>
      </w:r>
      <w:r>
        <w:t xml:space="preserve"> </w:t>
      </w:r>
      <w:r>
        <w:rPr>
          <w:rFonts w:hint="eastAsia"/>
        </w:rPr>
        <w:t>张志欣</w:t>
      </w:r>
    </w:p>
    <w:p w14:paraId="2AB515FA">
      <w:pPr>
        <w:ind w:firstLine="5670" w:firstLineChars="2700"/>
      </w:pPr>
      <w:r>
        <w:rPr>
          <w:rFonts w:hint="eastAsia"/>
        </w:rPr>
        <w:t>批准时间： 2024</w:t>
      </w:r>
      <w:r>
        <w:t>年</w:t>
      </w:r>
      <w:r>
        <w:rPr>
          <w:rFonts w:hint="eastAsia"/>
        </w:rPr>
        <w:t xml:space="preserve"> 9</w:t>
      </w:r>
      <w:r>
        <w:t>月</w:t>
      </w:r>
      <w:r>
        <w:rPr>
          <w:rFonts w:hint="eastAsia"/>
        </w:rPr>
        <w:t xml:space="preserve">1 </w:t>
      </w:r>
      <w:r>
        <w:t>日</w:t>
      </w:r>
      <w:r>
        <w:br w:type="page"/>
      </w:r>
    </w:p>
    <w:p w14:paraId="6CCF13B2">
      <w:pPr>
        <w:pStyle w:val="2"/>
        <w:bidi w:val="0"/>
        <w:rPr>
          <w:rFonts w:ascii="Times New Roman" w:hAnsi="Times New Roman" w:eastAsia="宋体" w:cs="Times New Roman"/>
          <w:b/>
          <w:szCs w:val="44"/>
        </w:rPr>
      </w:pPr>
      <w:bookmarkStart w:id="53" w:name="_Toc10304"/>
      <w:r>
        <w:rPr>
          <w:rFonts w:hint="eastAsia"/>
        </w:rPr>
        <w:t>《</w:t>
      </w:r>
      <w:r>
        <w:t>大学生创新创业基础</w:t>
      </w:r>
      <w:r>
        <w:rPr>
          <w:rFonts w:hint="eastAsia"/>
        </w:rPr>
        <w:t>》课程教学大纲</w:t>
      </w:r>
      <w:bookmarkEnd w:id="53"/>
    </w:p>
    <w:p w14:paraId="63307D22">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（Foundations of Innovation and Entrepreneurship </w:t>
      </w:r>
    </w:p>
    <w:p w14:paraId="5F338687">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for College Students）</w:t>
      </w:r>
    </w:p>
    <w:p w14:paraId="56BCD46A">
      <w:pPr>
        <w:spacing w:line="360" w:lineRule="auto"/>
        <w:jc w:val="center"/>
        <w:rPr>
          <w:rFonts w:ascii="Times New Roman" w:hAnsi="Times New Roman" w:eastAsia="宋体" w:cs="Times New Roman"/>
          <w:bCs/>
          <w:sz w:val="30"/>
          <w:szCs w:val="30"/>
        </w:rPr>
      </w:pPr>
    </w:p>
    <w:p w14:paraId="252DCB83">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课程名称：大学生创新创业基础</w:t>
      </w:r>
    </w:p>
    <w:p w14:paraId="68E534BB">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课程代码：0000008</w:t>
      </w:r>
    </w:p>
    <w:p w14:paraId="3C24E976">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6F1D338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4E4F8056">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先修课程：大学生劳动教育、职业生涯规划</w:t>
      </w:r>
    </w:p>
    <w:p w14:paraId="5AFB547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76E3F7F3">
      <w:pPr>
        <w:spacing w:line="360" w:lineRule="auto"/>
        <w:jc w:val="left"/>
        <w:rPr>
          <w:rFonts w:ascii="Times New Roman" w:hAnsi="Times New Roman" w:eastAsia="宋体" w:cs="Times New Roman"/>
          <w:b/>
          <w:sz w:val="24"/>
          <w:szCs w:val="24"/>
        </w:rPr>
      </w:pPr>
    </w:p>
    <w:p w14:paraId="22AC1140">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07CBA6FB">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本课程是根据国家和地方政府关于深化高等学校创新创业教育改革实施意见等系列文件精神而开设的一门理论性、政策性和实践性较强的通识教育必修课程，主要针对大一学生开展创新创业的普及型启蒙教育。</w:t>
      </w:r>
    </w:p>
    <w:p w14:paraId="362DFAD7">
      <w:pPr>
        <w:spacing w:line="360" w:lineRule="auto"/>
        <w:ind w:firstLine="420" w:firstLineChars="200"/>
        <w:rPr>
          <w:rFonts w:hint="eastAsia" w:ascii="Times New Roman" w:hAnsi="Times New Roman" w:eastAsia="宋体" w:cs="Times New Roman"/>
          <w:szCs w:val="21"/>
        </w:rPr>
      </w:pPr>
      <w:r>
        <w:rPr>
          <w:rFonts w:ascii="Times New Roman" w:hAnsi="Times New Roman" w:eastAsia="宋体" w:cs="Times New Roman"/>
          <w:szCs w:val="21"/>
        </w:rPr>
        <w:t>课程以传授创新创业知识为基础，以锻炼创新创业能力为关键，以培养创新创业精神为  核心，让学生了解创新创业教育的发展历程与时代背景，理解创新、创业、专业、产业以及  与职业生涯发展的逻辑关系。课程将中国共产党百年创业史和中国国际大学生创新大赛、“挑  战杯”中国大学生创业计划竞赛、“挑战杯”全国大学生课外学术科技作品竞赛等高水平赛  事贯穿其中，通过项目挖掘、头脑风暴、角色扮演、案例分析、小组合作、路演汇报等高度  参与的项目制教学方法，帮助当代大学生在新时代背景下运用创新思维方法与工具激发、梳  理和筛选各种创新创业的灵感、想法和构思，分析创新创业的资源、财务和风险，了解商业  模式的设计与运行，加强创新创业团队建设，撰写可行的项目计划书或社会调查报告，让学  生初步体会作业-作品-产品-商品的转变过程，形成创新创业的行动路线，学会从“0到1” 做项目，一方面激发学生创新创业热情和家国情怀，树立正确的人生观、价值观、创业观及民族自豪感，另一方面，为后续的专创融合进阶课程和产教融合实战课程打下基础，不断完善基于产教融合的创新创业人才培养体系，实现应用型地方高校人才培养供给侧和产业发展  需求侧的有机衔接。</w:t>
      </w:r>
    </w:p>
    <w:p w14:paraId="1CFCE22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2C7C8FB1">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1A14282">
      <w:pPr>
        <w:spacing w:line="360" w:lineRule="auto"/>
        <w:ind w:firstLine="482"/>
        <w:rPr>
          <w:rFonts w:ascii="Times New Roman" w:hAnsi="Times New Roman" w:eastAsia="宋体" w:cs="Times New Roman"/>
          <w:b/>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ascii="Times New Roman" w:hAnsi="Times New Roman" w:eastAsia="宋体" w:cs="Times New Roman"/>
          <w:bCs/>
          <w:szCs w:val="21"/>
        </w:rPr>
        <w:t>以项目申报书、专利申请书、社会调查报告或商业计划书为标准，分析中国国际大学生创新大赛、“挑战杯”中国大学生创业计划竞赛、"挑战杯"全国大学生课外学术科技作品竞赛等高水平赛事的发展历史与赛事规则，为后续进一步提升和打磨项目，开设专创融合进阶课程和产教融合实战课程打下基础。</w:t>
      </w:r>
    </w:p>
    <w:p w14:paraId="12AC946A">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以立德树人为根本，培养爱国情操和家国情怀，能够挖掘创新创业项目并对其理解、分析和归纳总结，培养解决实际问题的能力。</w:t>
      </w:r>
    </w:p>
    <w:p w14:paraId="01C66E4B">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10146"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374"/>
        <w:gridCol w:w="1362"/>
      </w:tblGrid>
      <w:tr w14:paraId="46AE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3481E72C">
            <w:pPr>
              <w:spacing w:line="360" w:lineRule="auto"/>
              <w:jc w:val="center"/>
              <w:rPr>
                <w:rFonts w:ascii="宋体" w:hAnsi="宋体" w:eastAsia="宋体" w:cs="Times New Roman"/>
                <w:b/>
                <w:bCs/>
                <w:szCs w:val="21"/>
              </w:rPr>
            </w:pPr>
            <w:r>
              <w:rPr>
                <w:rFonts w:hint="eastAsia" w:ascii="宋体" w:hAnsi="宋体" w:eastAsia="宋体" w:cs="Times New Roman"/>
                <w:b/>
                <w:bCs/>
                <w:szCs w:val="21"/>
              </w:rPr>
              <w:t>毕业要求</w:t>
            </w:r>
          </w:p>
        </w:tc>
        <w:tc>
          <w:tcPr>
            <w:tcW w:w="6374" w:type="dxa"/>
            <w:vAlign w:val="center"/>
          </w:tcPr>
          <w:p w14:paraId="768E581A">
            <w:pPr>
              <w:spacing w:line="360" w:lineRule="auto"/>
              <w:jc w:val="center"/>
              <w:rPr>
                <w:rFonts w:ascii="宋体" w:hAnsi="宋体" w:eastAsia="宋体" w:cs="Times New Roman"/>
                <w:b/>
                <w:bCs/>
                <w:szCs w:val="21"/>
              </w:rPr>
            </w:pPr>
            <w:r>
              <w:rPr>
                <w:rFonts w:hint="eastAsia" w:ascii="宋体" w:hAnsi="宋体" w:eastAsia="宋体" w:cs="Times New Roman"/>
                <w:b/>
                <w:bCs/>
                <w:szCs w:val="21"/>
              </w:rPr>
              <w:t>毕业要求指标点</w:t>
            </w:r>
          </w:p>
        </w:tc>
        <w:tc>
          <w:tcPr>
            <w:tcW w:w="1362" w:type="dxa"/>
            <w:vAlign w:val="center"/>
          </w:tcPr>
          <w:p w14:paraId="4DD6DB79">
            <w:pPr>
              <w:spacing w:line="360" w:lineRule="auto"/>
              <w:jc w:val="center"/>
              <w:rPr>
                <w:rFonts w:ascii="宋体" w:hAnsi="宋体" w:eastAsia="宋体" w:cs="Times New Roman"/>
                <w:b/>
                <w:bCs/>
                <w:szCs w:val="21"/>
              </w:rPr>
            </w:pPr>
            <w:r>
              <w:rPr>
                <w:rFonts w:hint="eastAsia" w:ascii="宋体" w:hAnsi="宋体" w:eastAsia="宋体" w:cs="Times New Roman"/>
                <w:b/>
                <w:bCs/>
                <w:szCs w:val="21"/>
              </w:rPr>
              <w:t>课程目标</w:t>
            </w:r>
          </w:p>
        </w:tc>
      </w:tr>
      <w:tr w14:paraId="5E8D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3411E31F">
            <w:pPr>
              <w:autoSpaceDE w:val="0"/>
              <w:autoSpaceDN w:val="0"/>
              <w:rPr>
                <w:rFonts w:hint="eastAsia" w:ascii="宋体" w:hAnsi="宋体" w:eastAsia="宋体" w:cs="宋体"/>
                <w:b/>
                <w:bCs/>
                <w:kern w:val="0"/>
                <w:szCs w:val="21"/>
              </w:rPr>
            </w:pPr>
            <w:r>
              <w:rPr>
                <w:rFonts w:hint="eastAsia" w:ascii="宋体" w:hAnsi="宋体" w:eastAsia="宋体" w:cs="宋体"/>
                <w:b/>
                <w:bCs/>
                <w:kern w:val="0"/>
                <w:szCs w:val="21"/>
              </w:rPr>
              <w:t>毕业要求7：学会反思</w:t>
            </w:r>
          </w:p>
        </w:tc>
        <w:tc>
          <w:tcPr>
            <w:tcW w:w="6374" w:type="dxa"/>
            <w:vAlign w:val="center"/>
          </w:tcPr>
          <w:p w14:paraId="08255DEB">
            <w:pPr>
              <w:spacing w:line="276" w:lineRule="auto"/>
              <w:jc w:val="left"/>
              <w:rPr>
                <w:rFonts w:ascii="宋体" w:hAnsi="宋体" w:eastAsia="宋体" w:cs="宋体"/>
                <w:szCs w:val="21"/>
              </w:rPr>
            </w:pPr>
            <w:r>
              <w:rPr>
                <w:rFonts w:hint="eastAsia" w:ascii="宋体" w:hAnsi="宋体" w:eastAsia="宋体" w:cs="宋体"/>
                <w:kern w:val="0"/>
                <w:szCs w:val="21"/>
              </w:rPr>
              <w:t>指标点</w:t>
            </w:r>
            <w:r>
              <w:rPr>
                <w:rFonts w:hint="eastAsia" w:ascii="宋体" w:hAnsi="宋体" w:eastAsia="宋体" w:cs="宋体"/>
                <w:szCs w:val="21"/>
              </w:rPr>
              <w:t>7-2：【职业规划合理】了解教师专业发展的要求，形成终身学习的意识和习惯，注重自身的专业发展，根据基础教育课程改革的动态和发展情况，进行职业生涯规划和自主学习。</w:t>
            </w:r>
          </w:p>
          <w:p w14:paraId="2D42FDBF">
            <w:pPr>
              <w:spacing w:line="276" w:lineRule="auto"/>
              <w:jc w:val="left"/>
              <w:rPr>
                <w:rFonts w:ascii="宋体" w:hAnsi="宋体" w:eastAsia="宋体" w:cs="Times New Roman"/>
                <w:szCs w:val="21"/>
              </w:rPr>
            </w:pPr>
            <w:r>
              <w:rPr>
                <w:rFonts w:hint="eastAsia" w:ascii="宋体" w:hAnsi="宋体" w:eastAsia="宋体" w:cs="宋体"/>
                <w:kern w:val="0"/>
                <w:szCs w:val="21"/>
              </w:rPr>
              <w:t>指标点</w:t>
            </w:r>
            <w:r>
              <w:rPr>
                <w:rFonts w:hint="eastAsia" w:ascii="宋体" w:hAnsi="宋体" w:eastAsia="宋体" w:cs="宋体"/>
                <w:szCs w:val="21"/>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62" w:type="dxa"/>
            <w:vAlign w:val="center"/>
          </w:tcPr>
          <w:p w14:paraId="5BE8DAEE">
            <w:pPr>
              <w:spacing w:line="276" w:lineRule="auto"/>
              <w:jc w:val="left"/>
              <w:rPr>
                <w:rFonts w:ascii="宋体" w:hAnsi="宋体" w:eastAsia="宋体" w:cs="Times New Roman"/>
                <w:szCs w:val="21"/>
              </w:rPr>
            </w:pPr>
            <w:r>
              <w:rPr>
                <w:rFonts w:hint="eastAsia" w:ascii="宋体" w:hAnsi="宋体" w:eastAsia="宋体" w:cs="Times New Roman"/>
                <w:szCs w:val="21"/>
              </w:rPr>
              <w:t>课程目标1</w:t>
            </w:r>
          </w:p>
          <w:p w14:paraId="7E0D47EC">
            <w:pPr>
              <w:spacing w:line="276" w:lineRule="auto"/>
              <w:jc w:val="left"/>
              <w:rPr>
                <w:rFonts w:ascii="宋体" w:hAnsi="宋体" w:eastAsia="宋体" w:cs="Times New Roman"/>
                <w:szCs w:val="21"/>
              </w:rPr>
            </w:pPr>
            <w:r>
              <w:rPr>
                <w:rFonts w:hint="eastAsia" w:ascii="宋体" w:hAnsi="宋体" w:eastAsia="宋体" w:cs="Times New Roman"/>
                <w:szCs w:val="21"/>
              </w:rPr>
              <w:t>课程目标2</w:t>
            </w:r>
          </w:p>
        </w:tc>
      </w:tr>
      <w:tr w14:paraId="2065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68964EDD">
            <w:pPr>
              <w:autoSpaceDE w:val="0"/>
              <w:autoSpaceDN w:val="0"/>
              <w:rPr>
                <w:rFonts w:hint="eastAsia" w:ascii="宋体" w:hAnsi="宋体" w:eastAsia="宋体" w:cs="宋体"/>
                <w:b/>
                <w:bCs/>
                <w:szCs w:val="21"/>
              </w:rPr>
            </w:pPr>
            <w:r>
              <w:rPr>
                <w:rFonts w:hint="eastAsia" w:ascii="宋体" w:hAnsi="宋体" w:eastAsia="宋体" w:cs="宋体"/>
                <w:b/>
                <w:bCs/>
                <w:kern w:val="0"/>
                <w:szCs w:val="21"/>
              </w:rPr>
              <w:t>毕业要求8：</w:t>
            </w:r>
            <w:r>
              <w:rPr>
                <w:rFonts w:hint="eastAsia" w:ascii="宋体" w:hAnsi="宋体" w:eastAsia="宋体" w:cs="宋体"/>
                <w:b/>
                <w:bCs/>
                <w:szCs w:val="21"/>
              </w:rPr>
              <w:t>沟通合作</w:t>
            </w:r>
          </w:p>
        </w:tc>
        <w:tc>
          <w:tcPr>
            <w:tcW w:w="6374" w:type="dxa"/>
            <w:vAlign w:val="center"/>
          </w:tcPr>
          <w:p w14:paraId="695C5F6E">
            <w:pPr>
              <w:spacing w:line="276" w:lineRule="auto"/>
              <w:jc w:val="left"/>
              <w:rPr>
                <w:rFonts w:ascii="宋体" w:hAnsi="宋体" w:eastAsia="宋体" w:cs="Times New Roman"/>
                <w:szCs w:val="21"/>
              </w:rPr>
            </w:pPr>
            <w:r>
              <w:rPr>
                <w:rFonts w:hint="eastAsia" w:ascii="宋体" w:hAnsi="宋体" w:eastAsia="宋体" w:cs="宋体"/>
                <w:kern w:val="0"/>
                <w:szCs w:val="21"/>
              </w:rPr>
              <w:t>指标点</w:t>
            </w:r>
            <w:r>
              <w:rPr>
                <w:rFonts w:hint="eastAsia" w:ascii="宋体" w:hAnsi="宋体" w:eastAsia="宋体" w:cs="宋体"/>
                <w:szCs w:val="21"/>
              </w:rPr>
              <w:t>8-1：【善于团队合作】理解学习共同体的本质和价值，掌握团队协作的基本策略，在课堂学习与教育实践中获得合作学习体验，形成团队协作精神。</w:t>
            </w:r>
          </w:p>
        </w:tc>
        <w:tc>
          <w:tcPr>
            <w:tcW w:w="1362" w:type="dxa"/>
            <w:vAlign w:val="center"/>
          </w:tcPr>
          <w:p w14:paraId="17C5F56D">
            <w:pPr>
              <w:spacing w:line="276" w:lineRule="auto"/>
              <w:jc w:val="left"/>
              <w:rPr>
                <w:rFonts w:ascii="宋体" w:hAnsi="宋体" w:eastAsia="宋体" w:cs="Times New Roman"/>
                <w:szCs w:val="21"/>
              </w:rPr>
            </w:pPr>
            <w:r>
              <w:rPr>
                <w:rFonts w:hint="eastAsia" w:ascii="宋体" w:hAnsi="宋体" w:eastAsia="宋体" w:cs="Times New Roman"/>
                <w:szCs w:val="21"/>
              </w:rPr>
              <w:t>课程目标2</w:t>
            </w:r>
          </w:p>
        </w:tc>
      </w:tr>
    </w:tbl>
    <w:p w14:paraId="3FC6672D">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30F1337">
      <w:pPr>
        <w:spacing w:line="360" w:lineRule="auto"/>
        <w:ind w:firstLine="420" w:firstLineChars="200"/>
        <w:rPr>
          <w:rFonts w:hint="eastAsia" w:ascii="Times New Roman" w:hAnsi="Times New Roman" w:eastAsia="宋体" w:cs="Times New Roman"/>
          <w:szCs w:val="21"/>
        </w:rPr>
      </w:pPr>
      <w:r>
        <w:rPr>
          <w:rFonts w:ascii="Times New Roman" w:hAnsi="Times New Roman" w:eastAsia="宋体" w:cs="Times New Roman"/>
          <w:szCs w:val="21"/>
        </w:rPr>
        <w:t>一方面激发学生创新创业热情和家国情怀，树立正确的人生观、价值观、创业观及民族自豪感，另一方面，为后续的专创融合进阶课程和产教融合实战课程打下基础，不断完善基于产教融合的创新创业人才培养体系，实现应用型地方高校人才培养供给侧和产业发展  需求侧的有机衔接。</w:t>
      </w:r>
    </w:p>
    <w:p w14:paraId="4747DCF8">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4"/>
        <w:tblW w:w="9512"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661"/>
        <w:gridCol w:w="40"/>
        <w:gridCol w:w="1348"/>
        <w:gridCol w:w="3261"/>
        <w:gridCol w:w="1560"/>
        <w:gridCol w:w="439"/>
      </w:tblGrid>
      <w:tr w14:paraId="3393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2AF4F40E">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12438E63">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gridSpan w:val="2"/>
            <w:vAlign w:val="center"/>
          </w:tcPr>
          <w:p w14:paraId="44BA2283">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348" w:type="dxa"/>
            <w:vAlign w:val="center"/>
          </w:tcPr>
          <w:p w14:paraId="33CADE6C">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8C39F1E">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53BBF91F">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6D50EF14">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9" w:type="dxa"/>
            <w:vAlign w:val="center"/>
          </w:tcPr>
          <w:p w14:paraId="54F0C3C8">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C29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43EE3265">
            <w:pPr>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b/>
                <w:bCs/>
                <w:spacing w:val="-16"/>
                <w:szCs w:val="21"/>
              </w:rPr>
              <w:t xml:space="preserve"> 导</w:t>
            </w:r>
            <w:r>
              <w:rPr>
                <w:rFonts w:ascii="宋体" w:hAnsi="宋体" w:eastAsia="宋体"/>
                <w:spacing w:val="-16"/>
                <w:szCs w:val="21"/>
              </w:rPr>
              <w:t xml:space="preserve"> </w:t>
            </w:r>
            <w:r>
              <w:rPr>
                <w:rFonts w:ascii="宋体" w:hAnsi="宋体" w:eastAsia="宋体"/>
                <w:b/>
                <w:bCs/>
                <w:spacing w:val="-16"/>
                <w:szCs w:val="21"/>
              </w:rPr>
              <w:t>论</w:t>
            </w:r>
          </w:p>
        </w:tc>
        <w:tc>
          <w:tcPr>
            <w:tcW w:w="1701" w:type="dxa"/>
            <w:gridSpan w:val="2"/>
            <w:vAlign w:val="center"/>
          </w:tcPr>
          <w:p w14:paraId="27343A99">
            <w:pPr>
              <w:pStyle w:val="31"/>
              <w:spacing w:before="68"/>
              <w:ind w:left="15" w:leftChars="5" w:right="-38" w:rightChars="-18" w:hanging="5" w:hangingChars="2"/>
              <w:jc w:val="both"/>
              <w:rPr>
                <w:lang w:eastAsia="zh-CN"/>
              </w:rPr>
            </w:pPr>
            <w:r>
              <w:rPr>
                <w:spacing w:val="-16"/>
                <w:lang w:eastAsia="zh-CN"/>
              </w:rPr>
              <w:t>新时代背景对大学</w:t>
            </w:r>
            <w:r>
              <w:rPr>
                <w:spacing w:val="1"/>
                <w:lang w:eastAsia="zh-CN"/>
              </w:rPr>
              <w:t>生创新创业的要求；大学</w:t>
            </w:r>
            <w:r>
              <w:rPr>
                <w:spacing w:val="10"/>
                <w:lang w:eastAsia="zh-CN"/>
              </w:rPr>
              <w:t>生创新和创业的类型；</w:t>
            </w:r>
            <w:r>
              <w:rPr>
                <w:spacing w:val="9"/>
                <w:lang w:eastAsia="zh-CN"/>
              </w:rPr>
              <w:t>“四新”建设和大学生创</w:t>
            </w:r>
            <w:r>
              <w:rPr>
                <w:spacing w:val="-1"/>
                <w:lang w:eastAsia="zh-CN"/>
              </w:rPr>
              <w:t>新创业教育；中国国际大</w:t>
            </w:r>
            <w:r>
              <w:rPr>
                <w:spacing w:val="1"/>
                <w:lang w:eastAsia="zh-CN"/>
              </w:rPr>
              <w:t>学生创新大赛与高校创</w:t>
            </w:r>
            <w:r>
              <w:rPr>
                <w:spacing w:val="4"/>
                <w:lang w:eastAsia="zh-CN"/>
              </w:rPr>
              <w:t xml:space="preserve"> </w:t>
            </w:r>
            <w:r>
              <w:rPr>
                <w:spacing w:val="-1"/>
                <w:lang w:eastAsia="zh-CN"/>
              </w:rPr>
              <w:t>新创业人才培养。</w:t>
            </w:r>
          </w:p>
        </w:tc>
        <w:tc>
          <w:tcPr>
            <w:tcW w:w="1348" w:type="dxa"/>
            <w:vAlign w:val="center"/>
          </w:tcPr>
          <w:p w14:paraId="19B8D4A1">
            <w:pPr>
              <w:pStyle w:val="31"/>
              <w:spacing w:before="68"/>
              <w:ind w:left="159"/>
            </w:pPr>
            <w:r>
              <w:rPr>
                <w:rFonts w:hint="eastAsia"/>
                <w:spacing w:val="8"/>
                <w:lang w:eastAsia="zh-CN"/>
              </w:rPr>
              <w:t>课程</w:t>
            </w:r>
            <w:r>
              <w:rPr>
                <w:spacing w:val="8"/>
              </w:rPr>
              <w:t>目标</w:t>
            </w:r>
            <w:r>
              <w:rPr>
                <w:spacing w:val="-5"/>
              </w:rPr>
              <w:t>1、2</w:t>
            </w:r>
          </w:p>
        </w:tc>
        <w:tc>
          <w:tcPr>
            <w:tcW w:w="3260" w:type="dxa"/>
            <w:vAlign w:val="center"/>
          </w:tcPr>
          <w:p w14:paraId="5B026C41">
            <w:pPr>
              <w:rPr>
                <w:rFonts w:ascii="宋体" w:hAnsi="宋体" w:eastAsia="宋体" w:cs="Times New Roman"/>
                <w:color w:val="000000"/>
                <w:szCs w:val="21"/>
              </w:rPr>
            </w:pPr>
            <w:r>
              <w:rPr>
                <w:rFonts w:ascii="宋体" w:hAnsi="宋体" w:eastAsia="宋体"/>
                <w:spacing w:val="1"/>
                <w:szCs w:val="21"/>
              </w:rPr>
              <w:t>理解大学生创新和</w:t>
            </w:r>
            <w:r>
              <w:rPr>
                <w:rFonts w:ascii="宋体" w:hAnsi="宋体" w:eastAsia="宋体"/>
                <w:spacing w:val="16"/>
                <w:szCs w:val="21"/>
              </w:rPr>
              <w:t>创业的类型和创</w:t>
            </w:r>
            <w:r>
              <w:rPr>
                <w:rFonts w:ascii="宋体" w:hAnsi="宋体" w:eastAsia="宋体"/>
                <w:spacing w:val="12"/>
                <w:szCs w:val="21"/>
              </w:rPr>
              <w:t>新、创业、专业、</w:t>
            </w:r>
            <w:r>
              <w:rPr>
                <w:rFonts w:ascii="宋体" w:hAnsi="宋体" w:eastAsia="宋体"/>
                <w:spacing w:val="-2"/>
                <w:szCs w:val="21"/>
              </w:rPr>
              <w:t>产业以及与职业生</w:t>
            </w:r>
            <w:r>
              <w:rPr>
                <w:rFonts w:ascii="宋体" w:hAnsi="宋体" w:eastAsia="宋体"/>
                <w:spacing w:val="15"/>
                <w:szCs w:val="21"/>
              </w:rPr>
              <w:t>涯发展的逻辑关</w:t>
            </w:r>
            <w:r>
              <w:rPr>
                <w:rFonts w:ascii="宋体" w:hAnsi="宋体" w:eastAsia="宋体"/>
                <w:szCs w:val="21"/>
              </w:rPr>
              <w:t>系；熟悉中国国际</w:t>
            </w:r>
            <w:r>
              <w:rPr>
                <w:rFonts w:ascii="宋体" w:hAnsi="宋体" w:eastAsia="宋体"/>
                <w:spacing w:val="1"/>
                <w:szCs w:val="21"/>
              </w:rPr>
              <w:t>大学生创新大赛与</w:t>
            </w:r>
            <w:r>
              <w:rPr>
                <w:rFonts w:ascii="宋体" w:hAnsi="宋体" w:eastAsia="宋体"/>
                <w:szCs w:val="21"/>
              </w:rPr>
              <w:t>高校创新创业人才</w:t>
            </w:r>
            <w:r>
              <w:rPr>
                <w:rFonts w:ascii="宋体" w:hAnsi="宋体" w:eastAsia="宋体"/>
                <w:spacing w:val="-2"/>
                <w:szCs w:val="21"/>
              </w:rPr>
              <w:t>培养。</w:t>
            </w:r>
          </w:p>
        </w:tc>
        <w:tc>
          <w:tcPr>
            <w:tcW w:w="1560" w:type="dxa"/>
            <w:vAlign w:val="center"/>
          </w:tcPr>
          <w:p w14:paraId="61A4AE7A">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05C656E4">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3F471C30">
            <w:pPr>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tc>
        <w:tc>
          <w:tcPr>
            <w:tcW w:w="439" w:type="dxa"/>
            <w:vAlign w:val="center"/>
          </w:tcPr>
          <w:p w14:paraId="26112E49">
            <w:pPr>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A9D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5F1FBBBD">
            <w:pPr>
              <w:jc w:val="center"/>
              <w:rPr>
                <w:rFonts w:ascii="宋体" w:hAnsi="宋体" w:eastAsia="宋体" w:cs="Times New Roman"/>
                <w:color w:val="000000"/>
                <w:szCs w:val="21"/>
              </w:rPr>
            </w:pPr>
          </w:p>
        </w:tc>
        <w:tc>
          <w:tcPr>
            <w:tcW w:w="8308" w:type="dxa"/>
            <w:gridSpan w:val="6"/>
            <w:vAlign w:val="center"/>
          </w:tcPr>
          <w:p w14:paraId="5F722FBA">
            <w:pPr>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跟党学双创，深入理解党的二十大和二十届二中、三中全会</w:t>
            </w:r>
            <w:r>
              <w:rPr>
                <w:rFonts w:ascii="宋体" w:hAnsi="宋体" w:eastAsia="宋体"/>
                <w:szCs w:val="21"/>
              </w:rPr>
              <w:t>以及全国教育大会精神，从教育、科技、人才一体推进的战</w:t>
            </w:r>
            <w:r>
              <w:rPr>
                <w:rFonts w:ascii="宋体" w:hAnsi="宋体" w:eastAsia="宋体"/>
                <w:spacing w:val="8"/>
                <w:szCs w:val="21"/>
              </w:rPr>
              <w:t>略上深化创新创业教育改革；</w:t>
            </w:r>
            <w:r>
              <w:rPr>
                <w:rFonts w:ascii="宋体" w:hAnsi="宋体" w:eastAsia="宋体"/>
                <w:spacing w:val="-1"/>
                <w:szCs w:val="21"/>
              </w:rPr>
              <w:t>深刻领会中共中央总书记习近平给中国国际大学生创新大赛</w:t>
            </w:r>
            <w:r>
              <w:rPr>
                <w:rFonts w:ascii="宋体" w:hAnsi="宋体" w:eastAsia="宋体"/>
                <w:szCs w:val="21"/>
              </w:rPr>
              <w:t>参赛学生代表的回信内涵，为</w:t>
            </w:r>
            <w:r>
              <w:rPr>
                <w:rFonts w:ascii="宋体" w:hAnsi="宋体" w:eastAsia="宋体"/>
                <w:spacing w:val="-1"/>
                <w:szCs w:val="21"/>
              </w:rPr>
              <w:t>建设教育强国和新质生产力发</w:t>
            </w:r>
            <w:r>
              <w:rPr>
                <w:rFonts w:ascii="宋体" w:hAnsi="宋体" w:eastAsia="宋体"/>
                <w:szCs w:val="21"/>
              </w:rPr>
              <w:t>展提供坚实人才支撑。</w:t>
            </w:r>
          </w:p>
        </w:tc>
      </w:tr>
      <w:tr w14:paraId="7956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577D52DA">
            <w:pPr>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b/>
                <w:bCs/>
                <w:spacing w:val="-3"/>
                <w:szCs w:val="21"/>
              </w:rPr>
              <w:t xml:space="preserve"> 创新思维基础</w:t>
            </w:r>
          </w:p>
        </w:tc>
        <w:tc>
          <w:tcPr>
            <w:tcW w:w="1701" w:type="dxa"/>
            <w:gridSpan w:val="2"/>
            <w:vAlign w:val="center"/>
          </w:tcPr>
          <w:p w14:paraId="130BFB52">
            <w:pPr>
              <w:pStyle w:val="31"/>
              <w:spacing w:before="92"/>
              <w:jc w:val="both"/>
              <w:rPr>
                <w:lang w:eastAsia="zh-CN"/>
              </w:rPr>
            </w:pPr>
            <w:r>
              <w:rPr>
                <w:spacing w:val="-3"/>
                <w:lang w:eastAsia="zh-CN"/>
              </w:rPr>
              <w:t>创新思维</w:t>
            </w:r>
            <w:r>
              <w:rPr>
                <w:spacing w:val="1"/>
                <w:lang w:eastAsia="zh-CN"/>
              </w:rPr>
              <w:t>的概念、类型和过程以及</w:t>
            </w:r>
            <w:r>
              <w:rPr>
                <w:spacing w:val="-1"/>
                <w:lang w:eastAsia="zh-CN"/>
              </w:rPr>
              <w:t>培养方法；应用案例分析</w:t>
            </w:r>
            <w:r>
              <w:rPr>
                <w:spacing w:val="2"/>
                <w:lang w:eastAsia="zh-CN"/>
              </w:rPr>
              <w:t>大学生创新创业项目中</w:t>
            </w:r>
            <w:r>
              <w:rPr>
                <w:spacing w:val="-1"/>
                <w:lang w:eastAsia="zh-CN"/>
              </w:rPr>
              <w:t>包含的创新思维策略。</w:t>
            </w:r>
          </w:p>
        </w:tc>
        <w:tc>
          <w:tcPr>
            <w:tcW w:w="1348" w:type="dxa"/>
            <w:vAlign w:val="center"/>
          </w:tcPr>
          <w:p w14:paraId="4DB54152">
            <w:pPr>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301C41E8">
            <w:pPr>
              <w:jc w:val="left"/>
              <w:rPr>
                <w:rFonts w:ascii="宋体" w:hAnsi="宋体" w:eastAsia="宋体" w:cs="Times New Roman"/>
                <w:color w:val="000000"/>
                <w:szCs w:val="21"/>
              </w:rPr>
            </w:pPr>
            <w:r>
              <w:rPr>
                <w:rFonts w:ascii="宋体" w:hAnsi="宋体" w:eastAsia="宋体"/>
                <w:spacing w:val="1"/>
                <w:szCs w:val="21"/>
              </w:rPr>
              <w:t>掌握创新思维的培</w:t>
            </w:r>
            <w:r>
              <w:rPr>
                <w:rFonts w:ascii="宋体" w:hAnsi="宋体" w:eastAsia="宋体"/>
                <w:spacing w:val="-2"/>
                <w:szCs w:val="21"/>
              </w:rPr>
              <w:t>养方法以及大学生创新创业项目中包</w:t>
            </w:r>
            <w:r>
              <w:rPr>
                <w:rFonts w:ascii="宋体" w:hAnsi="宋体" w:eastAsia="宋体"/>
                <w:spacing w:val="13"/>
                <w:szCs w:val="21"/>
              </w:rPr>
              <w:t>含的创新思维策</w:t>
            </w:r>
            <w:r>
              <w:rPr>
                <w:rFonts w:ascii="宋体" w:hAnsi="宋体" w:eastAsia="宋体"/>
                <w:spacing w:val="-2"/>
                <w:szCs w:val="21"/>
              </w:rPr>
              <w:t>略。</w:t>
            </w:r>
          </w:p>
        </w:tc>
        <w:tc>
          <w:tcPr>
            <w:tcW w:w="1560" w:type="dxa"/>
            <w:vAlign w:val="center"/>
          </w:tcPr>
          <w:p w14:paraId="7A278283">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58C6C8D6">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414FC27A">
            <w:pPr>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tc>
        <w:tc>
          <w:tcPr>
            <w:tcW w:w="439" w:type="dxa"/>
            <w:vAlign w:val="center"/>
          </w:tcPr>
          <w:p w14:paraId="2BE48888">
            <w:pPr>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19D2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07240EB7">
            <w:pPr>
              <w:jc w:val="center"/>
              <w:rPr>
                <w:rFonts w:ascii="宋体" w:hAnsi="宋体" w:eastAsia="宋体" w:cs="Times New Roman"/>
                <w:color w:val="000000"/>
                <w:szCs w:val="21"/>
              </w:rPr>
            </w:pPr>
          </w:p>
        </w:tc>
        <w:tc>
          <w:tcPr>
            <w:tcW w:w="8308" w:type="dxa"/>
            <w:gridSpan w:val="6"/>
            <w:vAlign w:val="center"/>
          </w:tcPr>
          <w:p w14:paraId="0D553B5B">
            <w:pPr>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培养创新思维，引导学生树立</w:t>
            </w:r>
            <w:r>
              <w:rPr>
                <w:rFonts w:ascii="宋体" w:hAnsi="宋体" w:eastAsia="宋体"/>
                <w:spacing w:val="2"/>
                <w:szCs w:val="21"/>
              </w:rPr>
              <w:t xml:space="preserve"> </w:t>
            </w:r>
            <w:r>
              <w:rPr>
                <w:rFonts w:ascii="宋体" w:hAnsi="宋体" w:eastAsia="宋体"/>
                <w:szCs w:val="21"/>
              </w:rPr>
              <w:t>正确人生观和价值观，激发爱</w:t>
            </w:r>
            <w:r>
              <w:rPr>
                <w:rFonts w:ascii="宋体" w:hAnsi="宋体" w:eastAsia="宋体"/>
                <w:spacing w:val="9"/>
                <w:szCs w:val="21"/>
              </w:rPr>
              <w:t xml:space="preserve"> </w:t>
            </w:r>
            <w:r>
              <w:rPr>
                <w:rFonts w:ascii="宋体" w:hAnsi="宋体" w:eastAsia="宋体"/>
                <w:szCs w:val="21"/>
              </w:rPr>
              <w:t>国主义情怀，践行社会主义核</w:t>
            </w:r>
            <w:r>
              <w:rPr>
                <w:rFonts w:ascii="宋体" w:hAnsi="宋体" w:eastAsia="宋体"/>
                <w:spacing w:val="11"/>
                <w:szCs w:val="21"/>
              </w:rPr>
              <w:t xml:space="preserve"> </w:t>
            </w:r>
            <w:r>
              <w:rPr>
                <w:rFonts w:ascii="宋体" w:hAnsi="宋体" w:eastAsia="宋体"/>
                <w:szCs w:val="21"/>
              </w:rPr>
              <w:t>心价值观，成为德才兼备、全面发展的创新型人才。</w:t>
            </w:r>
          </w:p>
        </w:tc>
      </w:tr>
      <w:tr w14:paraId="1576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452A935D">
            <w:pPr>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b/>
                <w:bCs/>
                <w:spacing w:val="-3"/>
                <w:szCs w:val="21"/>
              </w:rPr>
              <w:t xml:space="preserve"> 创新思维方法与工具</w:t>
            </w:r>
          </w:p>
        </w:tc>
        <w:tc>
          <w:tcPr>
            <w:tcW w:w="1701" w:type="dxa"/>
            <w:gridSpan w:val="2"/>
            <w:vAlign w:val="center"/>
          </w:tcPr>
          <w:p w14:paraId="0727A617">
            <w:pPr>
              <w:pStyle w:val="31"/>
              <w:spacing w:before="104"/>
              <w:ind w:left="-34" w:leftChars="-16" w:right="-38" w:rightChars="-18"/>
              <w:jc w:val="both"/>
              <w:rPr>
                <w:rFonts w:hint="eastAsia"/>
                <w:lang w:eastAsia="zh-CN"/>
              </w:rPr>
            </w:pPr>
            <w:r>
              <w:rPr>
                <w:spacing w:val="-3"/>
                <w:lang w:eastAsia="zh-CN"/>
              </w:rPr>
              <w:t>常</w:t>
            </w:r>
            <w:r>
              <w:rPr>
                <w:spacing w:val="1"/>
                <w:lang w:eastAsia="zh-CN"/>
              </w:rPr>
              <w:t>见的创新思维方法和思</w:t>
            </w:r>
            <w:r>
              <w:rPr>
                <w:lang w:eastAsia="zh-CN"/>
              </w:rPr>
              <w:t>维分析工具；社会调查报</w:t>
            </w:r>
            <w:r>
              <w:rPr>
                <w:spacing w:val="1"/>
                <w:lang w:eastAsia="zh-CN"/>
              </w:rPr>
              <w:t>告和专利撰写的基本结构；“挑战杯”全国大学</w:t>
            </w:r>
            <w:r>
              <w:rPr>
                <w:spacing w:val="-1"/>
                <w:lang w:eastAsia="zh-CN"/>
              </w:rPr>
              <w:t>生课外学术作品竞赛获</w:t>
            </w:r>
            <w:r>
              <w:rPr>
                <w:spacing w:val="-2"/>
                <w:lang w:eastAsia="zh-CN"/>
              </w:rPr>
              <w:t>奖案例分析</w:t>
            </w:r>
            <w:r>
              <w:rPr>
                <w:rFonts w:hint="eastAsia"/>
                <w:spacing w:val="-2"/>
                <w:lang w:eastAsia="zh-CN"/>
              </w:rPr>
              <w:t>。</w:t>
            </w:r>
          </w:p>
        </w:tc>
        <w:tc>
          <w:tcPr>
            <w:tcW w:w="1348" w:type="dxa"/>
            <w:vAlign w:val="center"/>
          </w:tcPr>
          <w:p w14:paraId="171B684C">
            <w:pPr>
              <w:jc w:val="center"/>
              <w:rPr>
                <w:rFonts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3260" w:type="dxa"/>
            <w:vAlign w:val="center"/>
          </w:tcPr>
          <w:p w14:paraId="34DBA789">
            <w:pPr>
              <w:pStyle w:val="31"/>
              <w:spacing w:before="68"/>
              <w:ind w:right="-105" w:rightChars="-50"/>
              <w:rPr>
                <w:lang w:eastAsia="zh-CN"/>
              </w:rPr>
            </w:pPr>
            <w:r>
              <w:rPr>
                <w:spacing w:val="-2"/>
                <w:lang w:eastAsia="zh-CN"/>
              </w:rPr>
              <w:t>能够应用“挑战杯”全国大学生课外学</w:t>
            </w:r>
            <w:r>
              <w:rPr>
                <w:spacing w:val="1"/>
                <w:lang w:eastAsia="zh-CN"/>
              </w:rPr>
              <w:t>术作品竞赛获奖案</w:t>
            </w:r>
            <w:r>
              <w:rPr>
                <w:spacing w:val="-2"/>
                <w:lang w:eastAsia="zh-CN"/>
              </w:rPr>
              <w:t>例分析创新思维方</w:t>
            </w:r>
            <w:r>
              <w:rPr>
                <w:spacing w:val="6"/>
                <w:lang w:eastAsia="zh-CN"/>
              </w:rPr>
              <w:t xml:space="preserve"> </w:t>
            </w:r>
            <w:r>
              <w:rPr>
                <w:spacing w:val="2"/>
                <w:lang w:eastAsia="zh-CN"/>
              </w:rPr>
              <w:t>法的使用。</w:t>
            </w:r>
          </w:p>
        </w:tc>
        <w:tc>
          <w:tcPr>
            <w:tcW w:w="1560" w:type="dxa"/>
            <w:vAlign w:val="center"/>
          </w:tcPr>
          <w:p w14:paraId="4B950DE1">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304254B2">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1C8F7996">
            <w:pPr>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7758A40A">
            <w:pPr>
              <w:jc w:val="left"/>
              <w:rPr>
                <w:rFonts w:hint="eastAsia" w:ascii="宋体" w:hAnsi="宋体" w:eastAsia="宋体" w:cs="Times New Roman"/>
                <w:color w:val="000000"/>
                <w:szCs w:val="21"/>
              </w:rPr>
            </w:pPr>
            <w:r>
              <w:rPr>
                <w:rFonts w:hint="eastAsia" w:ascii="宋体" w:hAnsi="宋体" w:eastAsia="宋体" w:cs="Times New Roman"/>
                <w:color w:val="000000"/>
                <w:szCs w:val="21"/>
              </w:rPr>
              <w:t>4.课堂汇报</w:t>
            </w:r>
          </w:p>
        </w:tc>
        <w:tc>
          <w:tcPr>
            <w:tcW w:w="439" w:type="dxa"/>
            <w:vAlign w:val="center"/>
          </w:tcPr>
          <w:p w14:paraId="1E9A0321">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49BD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08C6E048">
            <w:pPr>
              <w:jc w:val="center"/>
              <w:rPr>
                <w:rFonts w:ascii="宋体" w:hAnsi="宋体" w:eastAsia="宋体" w:cs="Times New Roman"/>
                <w:color w:val="000000"/>
                <w:szCs w:val="21"/>
              </w:rPr>
            </w:pPr>
          </w:p>
        </w:tc>
        <w:tc>
          <w:tcPr>
            <w:tcW w:w="8308" w:type="dxa"/>
            <w:gridSpan w:val="6"/>
            <w:vAlign w:val="center"/>
          </w:tcPr>
          <w:p w14:paraId="5096F190">
            <w:pPr>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将创新思维方法与工具，灵活</w:t>
            </w:r>
            <w:r>
              <w:rPr>
                <w:rFonts w:ascii="宋体" w:hAnsi="宋体" w:eastAsia="宋体"/>
                <w:spacing w:val="5"/>
                <w:szCs w:val="21"/>
              </w:rPr>
              <w:t xml:space="preserve"> </w:t>
            </w:r>
            <w:r>
              <w:rPr>
                <w:rFonts w:ascii="宋体" w:hAnsi="宋体" w:eastAsia="宋体"/>
                <w:spacing w:val="-1"/>
                <w:szCs w:val="21"/>
              </w:rPr>
              <w:t>应用到生活实践当中，提高学</w:t>
            </w:r>
            <w:r>
              <w:rPr>
                <w:rFonts w:ascii="宋体" w:hAnsi="宋体" w:eastAsia="宋体"/>
                <w:spacing w:val="3"/>
                <w:szCs w:val="21"/>
              </w:rPr>
              <w:t xml:space="preserve"> </w:t>
            </w:r>
            <w:r>
              <w:rPr>
                <w:rFonts w:ascii="宋体" w:hAnsi="宋体" w:eastAsia="宋体"/>
                <w:spacing w:val="1"/>
                <w:szCs w:val="21"/>
              </w:rPr>
              <w:t>生对创新创业活动的积极性和</w:t>
            </w:r>
            <w:r>
              <w:rPr>
                <w:rFonts w:ascii="宋体" w:hAnsi="宋体" w:eastAsia="宋体"/>
                <w:spacing w:val="-1"/>
                <w:szCs w:val="21"/>
              </w:rPr>
              <w:t>参与度，培养良好的思维习惯</w:t>
            </w:r>
            <w:r>
              <w:rPr>
                <w:rFonts w:ascii="宋体" w:hAnsi="宋体" w:eastAsia="宋体"/>
                <w:spacing w:val="2"/>
                <w:szCs w:val="21"/>
              </w:rPr>
              <w:t xml:space="preserve"> </w:t>
            </w:r>
            <w:r>
              <w:rPr>
                <w:rFonts w:ascii="宋体" w:hAnsi="宋体" w:eastAsia="宋体"/>
                <w:spacing w:val="-1"/>
                <w:szCs w:val="21"/>
              </w:rPr>
              <w:t>与创新人格。</w:t>
            </w:r>
          </w:p>
        </w:tc>
      </w:tr>
      <w:tr w14:paraId="7FA8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18F131FD">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b/>
                <w:bCs/>
                <w:szCs w:val="21"/>
              </w:rPr>
              <w:t xml:space="preserve"> 创业基础</w:t>
            </w:r>
          </w:p>
        </w:tc>
        <w:tc>
          <w:tcPr>
            <w:tcW w:w="1701" w:type="dxa"/>
            <w:gridSpan w:val="2"/>
            <w:vAlign w:val="center"/>
          </w:tcPr>
          <w:p w14:paraId="4427A12B">
            <w:pPr>
              <w:ind w:right="-181" w:rightChars="-86"/>
              <w:jc w:val="left"/>
              <w:rPr>
                <w:rFonts w:ascii="宋体" w:hAnsi="宋体" w:eastAsia="宋体" w:cs="Times New Roman"/>
                <w:color w:val="000000"/>
                <w:szCs w:val="21"/>
              </w:rPr>
            </w:pPr>
            <w:r>
              <w:rPr>
                <w:rFonts w:ascii="宋体" w:hAnsi="宋体" w:eastAsia="宋体"/>
                <w:szCs w:val="21"/>
              </w:rPr>
              <w:t>大学生创业的市场机会与评估；挖掘大</w:t>
            </w:r>
            <w:r>
              <w:rPr>
                <w:rFonts w:ascii="宋体" w:hAnsi="宋体" w:eastAsia="宋体"/>
                <w:spacing w:val="10"/>
                <w:szCs w:val="21"/>
              </w:rPr>
              <w:t>学生创业项目的常用方</w:t>
            </w:r>
            <w:r>
              <w:rPr>
                <w:rFonts w:ascii="宋体" w:hAnsi="宋体" w:eastAsia="宋体"/>
                <w:spacing w:val="-1"/>
                <w:szCs w:val="21"/>
              </w:rPr>
              <w:t>法；大学生创业的风险类</w:t>
            </w:r>
            <w:r>
              <w:rPr>
                <w:rFonts w:ascii="宋体" w:hAnsi="宋体" w:eastAsia="宋体"/>
                <w:szCs w:val="21"/>
              </w:rPr>
              <w:t xml:space="preserve"> </w:t>
            </w:r>
            <w:r>
              <w:rPr>
                <w:rFonts w:ascii="宋体" w:hAnsi="宋体" w:eastAsia="宋体"/>
                <w:spacing w:val="2"/>
                <w:szCs w:val="21"/>
              </w:rPr>
              <w:t>型和应对策略。</w:t>
            </w:r>
          </w:p>
        </w:tc>
        <w:tc>
          <w:tcPr>
            <w:tcW w:w="1348" w:type="dxa"/>
            <w:vAlign w:val="center"/>
          </w:tcPr>
          <w:p w14:paraId="3F5ED606">
            <w:pPr>
              <w:jc w:val="center"/>
              <w:rPr>
                <w:rFonts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3260" w:type="dxa"/>
            <w:vAlign w:val="center"/>
          </w:tcPr>
          <w:p w14:paraId="6711EDBB">
            <w:pPr>
              <w:jc w:val="left"/>
              <w:rPr>
                <w:rFonts w:ascii="宋体" w:hAnsi="宋体" w:eastAsia="宋体" w:cs="Times New Roman"/>
                <w:color w:val="000000"/>
                <w:szCs w:val="21"/>
              </w:rPr>
            </w:pPr>
            <w:r>
              <w:rPr>
                <w:rFonts w:ascii="宋体" w:hAnsi="宋体" w:eastAsia="宋体"/>
                <w:spacing w:val="1"/>
                <w:szCs w:val="21"/>
              </w:rPr>
              <w:t>掌握挖掘大学生创</w:t>
            </w:r>
            <w:r>
              <w:rPr>
                <w:rFonts w:ascii="宋体" w:hAnsi="宋体" w:eastAsia="宋体"/>
                <w:spacing w:val="13"/>
                <w:szCs w:val="21"/>
              </w:rPr>
              <w:t>业项目的常用方</w:t>
            </w:r>
            <w:r>
              <w:rPr>
                <w:rFonts w:ascii="宋体" w:hAnsi="宋体" w:eastAsia="宋体"/>
                <w:spacing w:val="-2"/>
                <w:szCs w:val="21"/>
              </w:rPr>
              <w:t>法；应用案例评估与分析大学生创业</w:t>
            </w:r>
            <w:r>
              <w:rPr>
                <w:rFonts w:ascii="宋体" w:hAnsi="宋体" w:eastAsia="宋体"/>
                <w:spacing w:val="2"/>
                <w:szCs w:val="21"/>
              </w:rPr>
              <w:t xml:space="preserve"> </w:t>
            </w:r>
            <w:r>
              <w:rPr>
                <w:rFonts w:ascii="宋体" w:hAnsi="宋体" w:eastAsia="宋体"/>
                <w:spacing w:val="1"/>
                <w:szCs w:val="21"/>
              </w:rPr>
              <w:t>项目的可行性</w:t>
            </w:r>
          </w:p>
        </w:tc>
        <w:tc>
          <w:tcPr>
            <w:tcW w:w="1560" w:type="dxa"/>
            <w:vAlign w:val="center"/>
          </w:tcPr>
          <w:p w14:paraId="748F7F78">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401A1CD9">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09D38051">
            <w:pPr>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tc>
        <w:tc>
          <w:tcPr>
            <w:tcW w:w="439" w:type="dxa"/>
            <w:vAlign w:val="center"/>
          </w:tcPr>
          <w:p w14:paraId="11EE57BB">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A29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767EE00A">
            <w:pPr>
              <w:jc w:val="center"/>
              <w:rPr>
                <w:rFonts w:ascii="宋体" w:hAnsi="宋体" w:eastAsia="宋体" w:cs="Times New Roman"/>
                <w:color w:val="000000"/>
                <w:szCs w:val="21"/>
              </w:rPr>
            </w:pPr>
          </w:p>
        </w:tc>
        <w:tc>
          <w:tcPr>
            <w:tcW w:w="8308" w:type="dxa"/>
            <w:gridSpan w:val="6"/>
            <w:vAlign w:val="center"/>
          </w:tcPr>
          <w:p w14:paraId="7C65D857">
            <w:pPr>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8"/>
                <w:szCs w:val="21"/>
              </w:rPr>
              <w:t>引导学生树立正确的创业观、</w:t>
            </w:r>
            <w:r>
              <w:rPr>
                <w:rFonts w:ascii="宋体" w:hAnsi="宋体" w:eastAsia="宋体"/>
                <w:spacing w:val="-1"/>
                <w:szCs w:val="21"/>
              </w:rPr>
              <w:t>纯正的创业动机、良好的创业操守和远大的职业理想，让大</w:t>
            </w:r>
            <w:r>
              <w:rPr>
                <w:rFonts w:ascii="宋体" w:hAnsi="宋体" w:eastAsia="宋体"/>
                <w:szCs w:val="21"/>
              </w:rPr>
              <w:t>学生明白创业初期应该脚踏实</w:t>
            </w:r>
            <w:r>
              <w:rPr>
                <w:rFonts w:ascii="宋体" w:hAnsi="宋体" w:eastAsia="宋体"/>
                <w:spacing w:val="1"/>
                <w:szCs w:val="21"/>
              </w:rPr>
              <w:t>地、精打细算、量力而行，以创新来驱动创业激发潜能，同</w:t>
            </w:r>
            <w:r>
              <w:rPr>
                <w:rFonts w:ascii="宋体" w:hAnsi="宋体" w:eastAsia="宋体"/>
                <w:spacing w:val="4"/>
                <w:szCs w:val="21"/>
              </w:rPr>
              <w:t>时做好风险管控和应对措施</w:t>
            </w:r>
            <w:r>
              <w:rPr>
                <w:rFonts w:hint="eastAsia" w:ascii="宋体" w:hAnsi="宋体" w:eastAsia="宋体"/>
                <w:spacing w:val="4"/>
                <w:szCs w:val="21"/>
              </w:rPr>
              <w:t>，</w:t>
            </w:r>
            <w:r>
              <w:rPr>
                <w:rFonts w:ascii="宋体" w:hAnsi="宋体" w:eastAsia="宋体"/>
                <w:spacing w:val="1"/>
                <w:szCs w:val="21"/>
              </w:rPr>
              <w:t>切不可做一夜暴富的美梦。</w:t>
            </w:r>
          </w:p>
        </w:tc>
      </w:tr>
      <w:tr w14:paraId="02C2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533DCCC7">
            <w:pPr>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b/>
                <w:bCs/>
                <w:spacing w:val="-2"/>
                <w:szCs w:val="21"/>
              </w:rPr>
              <w:t xml:space="preserve"> 创业计划</w:t>
            </w:r>
          </w:p>
        </w:tc>
        <w:tc>
          <w:tcPr>
            <w:tcW w:w="1701" w:type="dxa"/>
            <w:gridSpan w:val="2"/>
            <w:vAlign w:val="center"/>
          </w:tcPr>
          <w:p w14:paraId="24BDCEFA">
            <w:pPr>
              <w:jc w:val="left"/>
              <w:rPr>
                <w:rFonts w:ascii="宋体" w:hAnsi="宋体" w:eastAsia="宋体" w:cs="Times New Roman"/>
                <w:color w:val="000000"/>
                <w:szCs w:val="21"/>
              </w:rPr>
            </w:pPr>
            <w:r>
              <w:rPr>
                <w:rFonts w:ascii="宋体" w:hAnsi="宋体" w:eastAsia="宋体"/>
                <w:spacing w:val="-2"/>
                <w:szCs w:val="21"/>
              </w:rPr>
              <w:t>顾客需求和市</w:t>
            </w:r>
            <w:r>
              <w:rPr>
                <w:rFonts w:ascii="宋体" w:hAnsi="宋体" w:eastAsia="宋体"/>
                <w:spacing w:val="1"/>
                <w:szCs w:val="21"/>
              </w:rPr>
              <w:t xml:space="preserve">  </w:t>
            </w:r>
            <w:r>
              <w:rPr>
                <w:rFonts w:ascii="宋体" w:hAnsi="宋体" w:eastAsia="宋体"/>
                <w:spacing w:val="-1"/>
                <w:szCs w:val="21"/>
              </w:rPr>
              <w:t>场调研；市场营销、分销</w:t>
            </w:r>
            <w:r>
              <w:rPr>
                <w:rFonts w:ascii="宋体" w:hAnsi="宋体" w:eastAsia="宋体"/>
                <w:spacing w:val="4"/>
                <w:szCs w:val="21"/>
              </w:rPr>
              <w:t xml:space="preserve">  </w:t>
            </w:r>
            <w:r>
              <w:rPr>
                <w:rFonts w:ascii="宋体" w:hAnsi="宋体" w:eastAsia="宋体"/>
                <w:spacing w:val="9"/>
                <w:szCs w:val="21"/>
              </w:rPr>
              <w:t>渠道的选择和营业推广</w:t>
            </w:r>
            <w:r>
              <w:rPr>
                <w:rFonts w:ascii="宋体" w:hAnsi="宋体" w:eastAsia="宋体"/>
                <w:spacing w:val="-1"/>
                <w:szCs w:val="21"/>
              </w:rPr>
              <w:t>的形式；大学生创业初期的启动资金；财务规划与</w:t>
            </w:r>
            <w:r>
              <w:rPr>
                <w:rFonts w:ascii="宋体" w:hAnsi="宋体" w:eastAsia="宋体"/>
                <w:spacing w:val="4"/>
                <w:szCs w:val="21"/>
              </w:rPr>
              <w:t xml:space="preserve">  </w:t>
            </w:r>
            <w:r>
              <w:rPr>
                <w:rFonts w:ascii="宋体" w:hAnsi="宋体" w:eastAsia="宋体"/>
                <w:spacing w:val="-3"/>
                <w:szCs w:val="21"/>
              </w:rPr>
              <w:t>分析；企业的注册登记流</w:t>
            </w:r>
            <w:r>
              <w:rPr>
                <w:rFonts w:ascii="宋体" w:hAnsi="宋体" w:eastAsia="宋体"/>
                <w:spacing w:val="7"/>
                <w:szCs w:val="21"/>
              </w:rPr>
              <w:t>程；常见企业法律形态；</w:t>
            </w:r>
            <w:r>
              <w:rPr>
                <w:rFonts w:ascii="宋体" w:hAnsi="宋体" w:eastAsia="宋体"/>
                <w:spacing w:val="9"/>
                <w:szCs w:val="21"/>
              </w:rPr>
              <w:t xml:space="preserve"> </w:t>
            </w:r>
            <w:r>
              <w:rPr>
                <w:rFonts w:ascii="宋体" w:hAnsi="宋体" w:eastAsia="宋体"/>
                <w:spacing w:val="12"/>
                <w:szCs w:val="21"/>
              </w:rPr>
              <w:t>商业计划书和创新项目</w:t>
            </w:r>
            <w:r>
              <w:rPr>
                <w:rFonts w:ascii="宋体" w:hAnsi="宋体" w:eastAsia="宋体"/>
                <w:spacing w:val="2"/>
                <w:szCs w:val="21"/>
              </w:rPr>
              <w:t>申报书的基本构成要素，</w:t>
            </w:r>
            <w:r>
              <w:rPr>
                <w:rFonts w:ascii="宋体" w:hAnsi="宋体" w:eastAsia="宋体"/>
                <w:spacing w:val="5"/>
                <w:szCs w:val="21"/>
              </w:rPr>
              <w:t xml:space="preserve"> </w:t>
            </w:r>
            <w:r>
              <w:rPr>
                <w:rFonts w:ascii="宋体" w:hAnsi="宋体" w:eastAsia="宋体"/>
                <w:spacing w:val="9"/>
                <w:szCs w:val="21"/>
              </w:rPr>
              <w:t>中国国际大学生创新大</w:t>
            </w:r>
            <w:r>
              <w:rPr>
                <w:rFonts w:ascii="宋体" w:hAnsi="宋体" w:eastAsia="宋体"/>
                <w:szCs w:val="21"/>
              </w:rPr>
              <w:t xml:space="preserve">   </w:t>
            </w:r>
            <w:r>
              <w:rPr>
                <w:rFonts w:ascii="宋体" w:hAnsi="宋体" w:eastAsia="宋体"/>
                <w:spacing w:val="2"/>
                <w:szCs w:val="21"/>
              </w:rPr>
              <w:t>赛的四部曲。</w:t>
            </w:r>
          </w:p>
        </w:tc>
        <w:tc>
          <w:tcPr>
            <w:tcW w:w="1348" w:type="dxa"/>
            <w:vAlign w:val="center"/>
          </w:tcPr>
          <w:p w14:paraId="20BA0AB7">
            <w:pPr>
              <w:jc w:val="center"/>
              <w:rPr>
                <w:rFonts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3260" w:type="dxa"/>
            <w:vAlign w:val="center"/>
          </w:tcPr>
          <w:p w14:paraId="631E2944">
            <w:pPr>
              <w:jc w:val="left"/>
              <w:rPr>
                <w:rFonts w:ascii="宋体" w:hAnsi="宋体" w:eastAsia="宋体" w:cs="Times New Roman"/>
                <w:color w:val="000000"/>
                <w:szCs w:val="21"/>
              </w:rPr>
            </w:pPr>
            <w:r>
              <w:rPr>
                <w:rFonts w:ascii="宋体" w:hAnsi="宋体" w:eastAsia="宋体"/>
                <w:spacing w:val="1"/>
                <w:szCs w:val="21"/>
              </w:rPr>
              <w:t>了解市场调研的基</w:t>
            </w:r>
            <w:r>
              <w:rPr>
                <w:rFonts w:ascii="宋体" w:hAnsi="宋体" w:eastAsia="宋体"/>
                <w:spacing w:val="18"/>
                <w:szCs w:val="21"/>
              </w:rPr>
              <w:t>本方法与基本内</w:t>
            </w:r>
            <w:r>
              <w:rPr>
                <w:rFonts w:ascii="宋体" w:hAnsi="宋体" w:eastAsia="宋体"/>
                <w:spacing w:val="1"/>
                <w:szCs w:val="21"/>
              </w:rPr>
              <w:t>容；学会预测大学</w:t>
            </w:r>
            <w:r>
              <w:rPr>
                <w:rFonts w:ascii="宋体" w:hAnsi="宋体" w:eastAsia="宋体"/>
                <w:spacing w:val="3"/>
                <w:szCs w:val="21"/>
              </w:rPr>
              <w:t>生创业初期所需启</w:t>
            </w:r>
            <w:r>
              <w:rPr>
                <w:rFonts w:ascii="宋体" w:hAnsi="宋体" w:eastAsia="宋体"/>
                <w:spacing w:val="1"/>
                <w:szCs w:val="21"/>
              </w:rPr>
              <w:t>动资金；商业计划</w:t>
            </w:r>
            <w:r>
              <w:rPr>
                <w:rFonts w:ascii="宋体" w:hAnsi="宋体" w:eastAsia="宋体"/>
                <w:spacing w:val="6"/>
                <w:szCs w:val="21"/>
              </w:rPr>
              <w:t xml:space="preserve"> </w:t>
            </w:r>
            <w:r>
              <w:rPr>
                <w:rFonts w:ascii="宋体" w:hAnsi="宋体" w:eastAsia="宋体"/>
                <w:spacing w:val="1"/>
                <w:szCs w:val="21"/>
              </w:rPr>
              <w:t>书和创新项目申报</w:t>
            </w:r>
            <w:r>
              <w:rPr>
                <w:rFonts w:ascii="宋体" w:hAnsi="宋体" w:eastAsia="宋体"/>
                <w:spacing w:val="15"/>
                <w:szCs w:val="21"/>
              </w:rPr>
              <w:t>书的基本构成要</w:t>
            </w:r>
            <w:r>
              <w:rPr>
                <w:rFonts w:ascii="宋体" w:hAnsi="宋体" w:eastAsia="宋体"/>
                <w:spacing w:val="-2"/>
                <w:szCs w:val="21"/>
              </w:rPr>
              <w:t>素；熟悉中国国际</w:t>
            </w:r>
            <w:r>
              <w:rPr>
                <w:rFonts w:ascii="宋体" w:hAnsi="宋体" w:eastAsia="宋体"/>
                <w:spacing w:val="2"/>
                <w:szCs w:val="21"/>
              </w:rPr>
              <w:t>大学生创新大赛的</w:t>
            </w:r>
            <w:r>
              <w:rPr>
                <w:rFonts w:ascii="宋体" w:hAnsi="宋体" w:eastAsia="宋体"/>
                <w:spacing w:val="3"/>
                <w:szCs w:val="21"/>
              </w:rPr>
              <w:t>四部曲。</w:t>
            </w:r>
          </w:p>
        </w:tc>
        <w:tc>
          <w:tcPr>
            <w:tcW w:w="1560" w:type="dxa"/>
            <w:vAlign w:val="center"/>
          </w:tcPr>
          <w:p w14:paraId="7FAC890E">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1912D84C">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2614111F">
            <w:pPr>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78418F06">
            <w:pPr>
              <w:jc w:val="left"/>
              <w:rPr>
                <w:rFonts w:hint="eastAsia" w:ascii="宋体" w:hAnsi="宋体" w:eastAsia="宋体" w:cs="Times New Roman"/>
                <w:color w:val="000000"/>
                <w:szCs w:val="21"/>
              </w:rPr>
            </w:pPr>
            <w:r>
              <w:rPr>
                <w:rFonts w:hint="eastAsia" w:ascii="宋体" w:hAnsi="宋体" w:eastAsia="宋体" w:cs="Times New Roman"/>
                <w:color w:val="000000"/>
                <w:szCs w:val="21"/>
              </w:rPr>
              <w:t>4.课堂汇报</w:t>
            </w:r>
          </w:p>
        </w:tc>
        <w:tc>
          <w:tcPr>
            <w:tcW w:w="439" w:type="dxa"/>
            <w:vAlign w:val="center"/>
          </w:tcPr>
          <w:p w14:paraId="0618DC28">
            <w:pPr>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1C93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021FE2C7">
            <w:pPr>
              <w:jc w:val="center"/>
              <w:rPr>
                <w:rFonts w:ascii="宋体" w:hAnsi="宋体" w:eastAsia="宋体" w:cs="Times New Roman"/>
                <w:color w:val="000000"/>
                <w:szCs w:val="21"/>
              </w:rPr>
            </w:pPr>
          </w:p>
        </w:tc>
        <w:tc>
          <w:tcPr>
            <w:tcW w:w="8308" w:type="dxa"/>
            <w:gridSpan w:val="6"/>
            <w:vAlign w:val="center"/>
          </w:tcPr>
          <w:p w14:paraId="1C4BA205">
            <w:pPr>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跟党学双创，领会中国共产党</w:t>
            </w:r>
            <w:r>
              <w:rPr>
                <w:rFonts w:ascii="宋体" w:hAnsi="宋体" w:eastAsia="宋体"/>
                <w:spacing w:val="5"/>
                <w:szCs w:val="21"/>
              </w:rPr>
              <w:t xml:space="preserve"> </w:t>
            </w:r>
            <w:r>
              <w:rPr>
                <w:rFonts w:ascii="宋体" w:hAnsi="宋体" w:eastAsia="宋体"/>
                <w:szCs w:val="21"/>
              </w:rPr>
              <w:t>一经诞生，就把“为中国人民</w:t>
            </w:r>
            <w:r>
              <w:rPr>
                <w:rFonts w:ascii="宋体" w:hAnsi="宋体" w:eastAsia="宋体"/>
                <w:spacing w:val="5"/>
                <w:szCs w:val="21"/>
              </w:rPr>
              <w:t>谋幸福、为中华民族谋复兴"</w:t>
            </w:r>
            <w:r>
              <w:rPr>
                <w:rFonts w:ascii="宋体" w:hAnsi="宋体" w:eastAsia="宋体"/>
                <w:spacing w:val="3"/>
                <w:szCs w:val="21"/>
              </w:rPr>
              <w:t xml:space="preserve">  </w:t>
            </w:r>
            <w:r>
              <w:rPr>
                <w:rFonts w:ascii="宋体" w:hAnsi="宋体" w:eastAsia="宋体"/>
                <w:spacing w:val="-1"/>
                <w:szCs w:val="21"/>
              </w:rPr>
              <w:t>确立为创业初心和使命，践行</w:t>
            </w:r>
            <w:r>
              <w:rPr>
                <w:rFonts w:ascii="宋体" w:hAnsi="宋体" w:eastAsia="宋体"/>
                <w:spacing w:val="3"/>
                <w:szCs w:val="21"/>
              </w:rPr>
              <w:t xml:space="preserve"> </w:t>
            </w:r>
            <w:r>
              <w:rPr>
                <w:rFonts w:ascii="宋体" w:hAnsi="宋体" w:eastAsia="宋体"/>
                <w:spacing w:val="4"/>
                <w:szCs w:val="21"/>
              </w:rPr>
              <w:t>"江山就是人民、人民就是江</w:t>
            </w:r>
            <w:r>
              <w:rPr>
                <w:rFonts w:ascii="宋体" w:hAnsi="宋体" w:eastAsia="宋体"/>
                <w:spacing w:val="5"/>
                <w:szCs w:val="21"/>
              </w:rPr>
              <w:t>山"的用户思想，分析古今中</w:t>
            </w:r>
            <w:r>
              <w:rPr>
                <w:rFonts w:ascii="宋体" w:hAnsi="宋体" w:eastAsia="宋体"/>
                <w:spacing w:val="4"/>
                <w:szCs w:val="21"/>
              </w:rPr>
              <w:t>外掣肘我国发展的竞争对手，在创新创业道路上击鼓催征，</w:t>
            </w:r>
            <w:r>
              <w:rPr>
                <w:rFonts w:ascii="宋体" w:hAnsi="宋体" w:eastAsia="宋体"/>
                <w:spacing w:val="2"/>
                <w:szCs w:val="21"/>
              </w:rPr>
              <w:t xml:space="preserve"> </w:t>
            </w:r>
            <w:r>
              <w:rPr>
                <w:rFonts w:ascii="宋体" w:hAnsi="宋体" w:eastAsia="宋体"/>
                <w:spacing w:val="-1"/>
                <w:szCs w:val="21"/>
              </w:rPr>
              <w:t>踔厉奋发，敢闯会创，实现人</w:t>
            </w:r>
            <w:r>
              <w:rPr>
                <w:rFonts w:ascii="宋体" w:hAnsi="宋体" w:eastAsia="宋体"/>
                <w:spacing w:val="2"/>
                <w:szCs w:val="21"/>
              </w:rPr>
              <w:t xml:space="preserve"> </w:t>
            </w:r>
            <w:r>
              <w:rPr>
                <w:rFonts w:ascii="宋体" w:hAnsi="宋体" w:eastAsia="宋体"/>
                <w:spacing w:val="1"/>
                <w:szCs w:val="21"/>
              </w:rPr>
              <w:t>类命运共同体的伟大构想。</w:t>
            </w:r>
            <w:r>
              <w:rPr>
                <w:rFonts w:hint="eastAsia" w:ascii="宋体" w:hAnsi="宋体" w:eastAsia="宋体" w:cs="Times New Roman"/>
                <w:color w:val="000000"/>
                <w:szCs w:val="21"/>
              </w:rPr>
              <w:t xml:space="preserve"> </w:t>
            </w:r>
          </w:p>
        </w:tc>
      </w:tr>
      <w:tr w14:paraId="343F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5ED7228F">
            <w:pPr>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b/>
                <w:bCs/>
                <w:spacing w:val="1"/>
                <w:szCs w:val="21"/>
              </w:rPr>
              <w:t xml:space="preserve"> 商业模式</w:t>
            </w:r>
          </w:p>
        </w:tc>
        <w:tc>
          <w:tcPr>
            <w:tcW w:w="1701" w:type="dxa"/>
            <w:gridSpan w:val="2"/>
            <w:vAlign w:val="center"/>
          </w:tcPr>
          <w:p w14:paraId="0EF321E8">
            <w:pPr>
              <w:jc w:val="left"/>
              <w:rPr>
                <w:rFonts w:ascii="宋体" w:hAnsi="宋体" w:eastAsia="宋体" w:cs="Times New Roman"/>
                <w:color w:val="000000"/>
                <w:szCs w:val="21"/>
              </w:rPr>
            </w:pPr>
            <w:r>
              <w:rPr>
                <w:rFonts w:ascii="宋体" w:hAnsi="宋体" w:eastAsia="宋体"/>
                <w:spacing w:val="1"/>
                <w:szCs w:val="21"/>
              </w:rPr>
              <w:t>商业模式的内</w:t>
            </w:r>
            <w:r>
              <w:rPr>
                <w:rFonts w:ascii="宋体" w:hAnsi="宋体" w:eastAsia="宋体"/>
                <w:spacing w:val="2"/>
                <w:szCs w:val="21"/>
              </w:rPr>
              <w:t xml:space="preserve"> </w:t>
            </w:r>
            <w:r>
              <w:rPr>
                <w:rFonts w:ascii="宋体" w:hAnsi="宋体" w:eastAsia="宋体"/>
                <w:spacing w:val="-1"/>
                <w:szCs w:val="21"/>
              </w:rPr>
              <w:t>涵和构成要素；商业模式</w:t>
            </w:r>
            <w:r>
              <w:rPr>
                <w:rFonts w:ascii="宋体" w:hAnsi="宋体" w:eastAsia="宋体"/>
                <w:szCs w:val="21"/>
              </w:rPr>
              <w:t xml:space="preserve"> </w:t>
            </w:r>
            <w:r>
              <w:rPr>
                <w:rFonts w:ascii="宋体" w:hAnsi="宋体" w:eastAsia="宋体"/>
                <w:spacing w:val="2"/>
                <w:szCs w:val="21"/>
              </w:rPr>
              <w:t xml:space="preserve">的设计与分析工具；应用 </w:t>
            </w:r>
            <w:r>
              <w:rPr>
                <w:rFonts w:ascii="宋体" w:hAnsi="宋体" w:eastAsia="宋体"/>
                <w:spacing w:val="10"/>
                <w:szCs w:val="21"/>
              </w:rPr>
              <w:t>中国国际大学生创新大</w:t>
            </w:r>
            <w:r>
              <w:rPr>
                <w:rFonts w:ascii="宋体" w:hAnsi="宋体" w:eastAsia="宋体"/>
                <w:spacing w:val="9"/>
                <w:szCs w:val="21"/>
              </w:rPr>
              <w:t>赛的获奖案例分析商业</w:t>
            </w:r>
            <w:r>
              <w:rPr>
                <w:rFonts w:ascii="宋体" w:hAnsi="宋体" w:eastAsia="宋体"/>
                <w:szCs w:val="21"/>
              </w:rPr>
              <w:t xml:space="preserve">  </w:t>
            </w:r>
            <w:r>
              <w:rPr>
                <w:rFonts w:ascii="宋体" w:hAnsi="宋体" w:eastAsia="宋体"/>
                <w:spacing w:val="5"/>
                <w:szCs w:val="21"/>
              </w:rPr>
              <w:t>模式的创新。</w:t>
            </w:r>
          </w:p>
        </w:tc>
        <w:tc>
          <w:tcPr>
            <w:tcW w:w="1348" w:type="dxa"/>
            <w:vAlign w:val="center"/>
          </w:tcPr>
          <w:p w14:paraId="20688638">
            <w:pPr>
              <w:jc w:val="center"/>
              <w:rPr>
                <w:rFonts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3260" w:type="dxa"/>
            <w:vAlign w:val="center"/>
          </w:tcPr>
          <w:p w14:paraId="67CA12A2">
            <w:pPr>
              <w:jc w:val="left"/>
              <w:rPr>
                <w:rFonts w:ascii="宋体" w:hAnsi="宋体" w:eastAsia="宋体" w:cs="Times New Roman"/>
                <w:color w:val="000000"/>
                <w:szCs w:val="21"/>
              </w:rPr>
            </w:pPr>
            <w:r>
              <w:rPr>
                <w:rFonts w:ascii="宋体" w:hAnsi="宋体" w:eastAsia="宋体"/>
                <w:spacing w:val="3"/>
                <w:szCs w:val="21"/>
              </w:rPr>
              <w:t>理解商业模式的内</w:t>
            </w:r>
            <w:r>
              <w:rPr>
                <w:rFonts w:ascii="宋体" w:hAnsi="宋体" w:eastAsia="宋体"/>
                <w:spacing w:val="-2"/>
                <w:szCs w:val="21"/>
              </w:rPr>
              <w:t>涵与构成要素；能应用案例分析商业</w:t>
            </w:r>
            <w:r>
              <w:rPr>
                <w:rFonts w:ascii="宋体" w:hAnsi="宋体" w:eastAsia="宋体"/>
                <w:spacing w:val="4"/>
                <w:szCs w:val="21"/>
              </w:rPr>
              <w:t>模式的创新。</w:t>
            </w:r>
          </w:p>
        </w:tc>
        <w:tc>
          <w:tcPr>
            <w:tcW w:w="1560" w:type="dxa"/>
            <w:vAlign w:val="center"/>
          </w:tcPr>
          <w:p w14:paraId="7814109A">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34CDE3C6">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7B90F32D">
            <w:pPr>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tc>
        <w:tc>
          <w:tcPr>
            <w:tcW w:w="439" w:type="dxa"/>
            <w:vAlign w:val="center"/>
          </w:tcPr>
          <w:p w14:paraId="02CE0268">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F3E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7158820B">
            <w:pPr>
              <w:jc w:val="center"/>
              <w:rPr>
                <w:rFonts w:ascii="宋体" w:hAnsi="宋体" w:eastAsia="宋体" w:cs="Times New Roman"/>
                <w:color w:val="000000"/>
                <w:szCs w:val="21"/>
              </w:rPr>
            </w:pPr>
          </w:p>
        </w:tc>
        <w:tc>
          <w:tcPr>
            <w:tcW w:w="8308" w:type="dxa"/>
            <w:gridSpan w:val="6"/>
            <w:vAlign w:val="center"/>
          </w:tcPr>
          <w:p w14:paraId="6B81D7BB">
            <w:pPr>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强化社会责任感与诚信经营意</w:t>
            </w:r>
            <w:r>
              <w:rPr>
                <w:rFonts w:ascii="宋体" w:hAnsi="宋体" w:eastAsia="宋体"/>
                <w:spacing w:val="-1"/>
                <w:szCs w:val="21"/>
              </w:rPr>
              <w:t>识，倡导可持续发展的商业理</w:t>
            </w:r>
            <w:r>
              <w:rPr>
                <w:rFonts w:ascii="宋体" w:hAnsi="宋体" w:eastAsia="宋体"/>
                <w:spacing w:val="2"/>
                <w:szCs w:val="21"/>
              </w:rPr>
              <w:t xml:space="preserve"> </w:t>
            </w:r>
            <w:r>
              <w:rPr>
                <w:rFonts w:ascii="宋体" w:hAnsi="宋体" w:eastAsia="宋体"/>
                <w:spacing w:val="-1"/>
                <w:szCs w:val="21"/>
              </w:rPr>
              <w:t>念，培养在商业模式创新中兼</w:t>
            </w:r>
            <w:r>
              <w:rPr>
                <w:rFonts w:ascii="宋体" w:hAnsi="宋体" w:eastAsia="宋体"/>
                <w:spacing w:val="4"/>
                <w:szCs w:val="21"/>
              </w:rPr>
              <w:t xml:space="preserve"> </w:t>
            </w:r>
            <w:r>
              <w:rPr>
                <w:rFonts w:ascii="宋体" w:hAnsi="宋体" w:eastAsia="宋体"/>
                <w:spacing w:val="-1"/>
                <w:szCs w:val="21"/>
              </w:rPr>
              <w:t>顾经济效益与社会效益的价值</w:t>
            </w:r>
            <w:r>
              <w:rPr>
                <w:rFonts w:ascii="宋体" w:hAnsi="宋体" w:eastAsia="宋体"/>
                <w:spacing w:val="3"/>
                <w:szCs w:val="21"/>
              </w:rPr>
              <w:t xml:space="preserve"> </w:t>
            </w:r>
            <w:r>
              <w:rPr>
                <w:rFonts w:ascii="宋体" w:hAnsi="宋体" w:eastAsia="宋体"/>
                <w:spacing w:val="1"/>
                <w:szCs w:val="21"/>
              </w:rPr>
              <w:t>观，培育良好的职业道德和团</w:t>
            </w:r>
            <w:r>
              <w:rPr>
                <w:rFonts w:ascii="宋体" w:hAnsi="宋体" w:eastAsia="宋体"/>
                <w:spacing w:val="4"/>
                <w:szCs w:val="21"/>
              </w:rPr>
              <w:t xml:space="preserve"> </w:t>
            </w:r>
            <w:r>
              <w:rPr>
                <w:rFonts w:ascii="宋体" w:hAnsi="宋体" w:eastAsia="宋体"/>
                <w:szCs w:val="21"/>
              </w:rPr>
              <w:t>队协作精神。</w:t>
            </w:r>
          </w:p>
        </w:tc>
      </w:tr>
      <w:tr w14:paraId="5E6F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39513E17">
            <w:pPr>
              <w:jc w:val="center"/>
              <w:rPr>
                <w:rFonts w:hint="eastAsia" w:ascii="宋体" w:hAnsi="宋体" w:eastAsia="宋体" w:cs="Times New Roman"/>
                <w:szCs w:val="21"/>
              </w:rPr>
            </w:pPr>
            <w:r>
              <w:rPr>
                <w:rFonts w:hint="eastAsia" w:ascii="宋体" w:hAnsi="宋体" w:eastAsia="宋体" w:cs="Times New Roman"/>
                <w:szCs w:val="21"/>
              </w:rPr>
              <w:t>7.</w:t>
            </w:r>
            <w:r>
              <w:rPr>
                <w:rFonts w:ascii="宋体" w:hAnsi="宋体" w:eastAsia="宋体"/>
                <w:b/>
                <w:bCs/>
                <w:spacing w:val="-4"/>
                <w:szCs w:val="21"/>
              </w:rPr>
              <w:t xml:space="preserve"> 创新创业资源</w:t>
            </w:r>
          </w:p>
        </w:tc>
        <w:tc>
          <w:tcPr>
            <w:tcW w:w="1701" w:type="dxa"/>
            <w:gridSpan w:val="2"/>
            <w:vAlign w:val="center"/>
          </w:tcPr>
          <w:p w14:paraId="2498D8C6">
            <w:pPr>
              <w:jc w:val="left"/>
              <w:rPr>
                <w:rFonts w:ascii="宋体" w:hAnsi="宋体" w:eastAsia="宋体" w:cs="Times New Roman"/>
                <w:szCs w:val="21"/>
              </w:rPr>
            </w:pPr>
            <w:r>
              <w:rPr>
                <w:rFonts w:ascii="宋体" w:hAnsi="宋体" w:eastAsia="宋体"/>
                <w:spacing w:val="-4"/>
                <w:szCs w:val="21"/>
              </w:rPr>
              <w:t>创新创业</w:t>
            </w:r>
            <w:r>
              <w:rPr>
                <w:rFonts w:ascii="宋体" w:hAnsi="宋体" w:eastAsia="宋体"/>
                <w:spacing w:val="7"/>
                <w:szCs w:val="21"/>
              </w:rPr>
              <w:t>的政策资源、法律资源、</w:t>
            </w:r>
            <w:r>
              <w:rPr>
                <w:rFonts w:ascii="宋体" w:hAnsi="宋体" w:eastAsia="宋体"/>
                <w:spacing w:val="9"/>
                <w:szCs w:val="21"/>
              </w:rPr>
              <w:t xml:space="preserve"> </w:t>
            </w:r>
            <w:r>
              <w:rPr>
                <w:rFonts w:ascii="宋体" w:hAnsi="宋体" w:eastAsia="宋体"/>
                <w:spacing w:val="-1"/>
                <w:szCs w:val="21"/>
              </w:rPr>
              <w:t>资金资源、赛事资源和平</w:t>
            </w:r>
            <w:r>
              <w:rPr>
                <w:rFonts w:ascii="宋体" w:hAnsi="宋体" w:eastAsia="宋体"/>
                <w:spacing w:val="1"/>
                <w:szCs w:val="21"/>
              </w:rPr>
              <w:t xml:space="preserve">  </w:t>
            </w:r>
            <w:r>
              <w:rPr>
                <w:rFonts w:ascii="宋体" w:hAnsi="宋体" w:eastAsia="宋体"/>
                <w:spacing w:val="2"/>
                <w:szCs w:val="21"/>
              </w:rPr>
              <w:t>台资源。</w:t>
            </w:r>
          </w:p>
        </w:tc>
        <w:tc>
          <w:tcPr>
            <w:tcW w:w="1348" w:type="dxa"/>
            <w:vAlign w:val="center"/>
          </w:tcPr>
          <w:p w14:paraId="16C0F8E7">
            <w:pPr>
              <w:jc w:val="center"/>
              <w:rPr>
                <w:rFonts w:hint="eastAsia"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w:t>
            </w:r>
          </w:p>
        </w:tc>
        <w:tc>
          <w:tcPr>
            <w:tcW w:w="3260" w:type="dxa"/>
            <w:vAlign w:val="center"/>
          </w:tcPr>
          <w:p w14:paraId="3E47108C">
            <w:pPr>
              <w:rPr>
                <w:rFonts w:ascii="宋体" w:hAnsi="宋体" w:eastAsia="宋体" w:cs="Times New Roman"/>
                <w:color w:val="000000"/>
                <w:szCs w:val="21"/>
              </w:rPr>
            </w:pPr>
            <w:r>
              <w:rPr>
                <w:rFonts w:ascii="宋体" w:hAnsi="宋体" w:eastAsia="宋体"/>
                <w:spacing w:val="-10"/>
                <w:szCs w:val="21"/>
              </w:rPr>
              <w:t>了解大学生创新创</w:t>
            </w:r>
            <w:r>
              <w:rPr>
                <w:rFonts w:ascii="宋体" w:hAnsi="宋体" w:eastAsia="宋体"/>
                <w:spacing w:val="-13"/>
                <w:szCs w:val="21"/>
              </w:rPr>
              <w:t>业的政策资源、法</w:t>
            </w:r>
            <w:r>
              <w:rPr>
                <w:rFonts w:ascii="宋体" w:hAnsi="宋体" w:eastAsia="宋体"/>
                <w:spacing w:val="1"/>
                <w:szCs w:val="21"/>
              </w:rPr>
              <w:t xml:space="preserve">   </w:t>
            </w:r>
            <w:r>
              <w:rPr>
                <w:rFonts w:ascii="宋体" w:hAnsi="宋体" w:eastAsia="宋体"/>
                <w:spacing w:val="-13"/>
                <w:szCs w:val="21"/>
              </w:rPr>
              <w:t>律资源、资金资源、</w:t>
            </w:r>
            <w:r>
              <w:rPr>
                <w:rFonts w:ascii="宋体" w:hAnsi="宋体" w:eastAsia="宋体"/>
                <w:spacing w:val="-10"/>
                <w:szCs w:val="21"/>
              </w:rPr>
              <w:t>赛事资源和平台资</w:t>
            </w:r>
            <w:r>
              <w:rPr>
                <w:rFonts w:ascii="宋体" w:hAnsi="宋体" w:eastAsia="宋体"/>
                <w:spacing w:val="-13"/>
                <w:szCs w:val="21"/>
              </w:rPr>
              <w:t>源；能应用“挑战</w:t>
            </w:r>
            <w:r>
              <w:rPr>
                <w:rFonts w:ascii="宋体" w:hAnsi="宋体" w:eastAsia="宋体"/>
                <w:spacing w:val="-10"/>
                <w:szCs w:val="21"/>
              </w:rPr>
              <w:t>杯”中国大学生创</w:t>
            </w:r>
            <w:r>
              <w:rPr>
                <w:rFonts w:ascii="宋体" w:hAnsi="宋体" w:eastAsia="宋体"/>
                <w:spacing w:val="-13"/>
                <w:szCs w:val="21"/>
              </w:rPr>
              <w:t>业计划竞赛金奖案</w:t>
            </w:r>
            <w:r>
              <w:rPr>
                <w:rFonts w:ascii="宋体" w:hAnsi="宋体" w:eastAsia="宋体"/>
                <w:spacing w:val="-10"/>
                <w:szCs w:val="21"/>
              </w:rPr>
              <w:t>例分析创新创业资</w:t>
            </w:r>
            <w:r>
              <w:rPr>
                <w:rFonts w:ascii="宋体" w:hAnsi="宋体" w:eastAsia="宋体"/>
                <w:spacing w:val="-9"/>
                <w:szCs w:val="21"/>
              </w:rPr>
              <w:t>源的获取渠道。</w:t>
            </w:r>
          </w:p>
        </w:tc>
        <w:tc>
          <w:tcPr>
            <w:tcW w:w="1560" w:type="dxa"/>
            <w:vAlign w:val="center"/>
          </w:tcPr>
          <w:p w14:paraId="166FF500">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6016BE37">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2699E191">
            <w:pPr>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tc>
        <w:tc>
          <w:tcPr>
            <w:tcW w:w="439" w:type="dxa"/>
            <w:vAlign w:val="center"/>
          </w:tcPr>
          <w:p w14:paraId="786F3C75">
            <w:pPr>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73B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6E9BC64F">
            <w:pPr>
              <w:jc w:val="center"/>
              <w:rPr>
                <w:rFonts w:ascii="宋体" w:hAnsi="宋体" w:eastAsia="宋体" w:cs="Times New Roman"/>
                <w:color w:val="000000"/>
                <w:szCs w:val="21"/>
              </w:rPr>
            </w:pPr>
          </w:p>
        </w:tc>
        <w:tc>
          <w:tcPr>
            <w:tcW w:w="8308" w:type="dxa"/>
            <w:gridSpan w:val="6"/>
            <w:vAlign w:val="center"/>
          </w:tcPr>
          <w:p w14:paraId="6913CA12">
            <w:pPr>
              <w:pStyle w:val="31"/>
              <w:spacing w:before="244"/>
              <w:ind w:left="123" w:right="79"/>
              <w:jc w:val="both"/>
              <w:rPr>
                <w:lang w:eastAsia="zh-CN"/>
              </w:rPr>
            </w:pPr>
            <w:r>
              <w:rPr>
                <w:rFonts w:hint="eastAsia" w:cs="Times New Roman"/>
                <w:b/>
                <w:lang w:eastAsia="zh-CN"/>
              </w:rPr>
              <w:t>课程思政目标：</w:t>
            </w:r>
            <w:r>
              <w:rPr>
                <w:spacing w:val="-1"/>
                <w:lang w:eastAsia="zh-CN"/>
              </w:rPr>
              <w:t>激发学生创新创业热情，树立敢于尝试、不屈不挠、坚持奋</w:t>
            </w:r>
            <w:r>
              <w:rPr>
                <w:spacing w:val="2"/>
                <w:lang w:eastAsia="zh-CN"/>
              </w:rPr>
              <w:t>斗、勇于创新的精神风貌，引</w:t>
            </w:r>
            <w:r>
              <w:rPr>
                <w:lang w:eastAsia="zh-CN"/>
              </w:rPr>
              <w:t>导学生在创新创业过程中关注</w:t>
            </w:r>
            <w:r>
              <w:rPr>
                <w:spacing w:val="9"/>
                <w:lang w:eastAsia="zh-CN"/>
              </w:rPr>
              <w:t xml:space="preserve"> </w:t>
            </w:r>
            <w:r>
              <w:rPr>
                <w:spacing w:val="-1"/>
                <w:lang w:eastAsia="zh-CN"/>
              </w:rPr>
              <w:t>社会需求和公共利益，将个人</w:t>
            </w:r>
            <w:r>
              <w:rPr>
                <w:spacing w:val="2"/>
                <w:lang w:eastAsia="zh-CN"/>
              </w:rPr>
              <w:t xml:space="preserve"> </w:t>
            </w:r>
            <w:r>
              <w:rPr>
                <w:spacing w:val="4"/>
                <w:lang w:eastAsia="zh-CN"/>
              </w:rPr>
              <w:t>创业梦想与社会发展相结合，</w:t>
            </w:r>
            <w:r>
              <w:rPr>
                <w:lang w:eastAsia="zh-CN"/>
              </w:rPr>
              <w:t>实现个人价值与社会价值的统</w:t>
            </w:r>
            <w:r>
              <w:rPr>
                <w:spacing w:val="8"/>
                <w:lang w:eastAsia="zh-CN"/>
              </w:rPr>
              <w:t xml:space="preserve"> </w:t>
            </w:r>
            <w:r>
              <w:rPr>
                <w:spacing w:val="12"/>
                <w:lang w:eastAsia="zh-CN"/>
              </w:rPr>
              <w:t>一。</w:t>
            </w:r>
          </w:p>
        </w:tc>
      </w:tr>
      <w:tr w14:paraId="785F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130C3BB4">
            <w:pPr>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b/>
                <w:bCs/>
                <w:spacing w:val="-3"/>
                <w:szCs w:val="21"/>
              </w:rPr>
              <w:t xml:space="preserve"> 创新创业团队</w:t>
            </w:r>
          </w:p>
        </w:tc>
        <w:tc>
          <w:tcPr>
            <w:tcW w:w="1701" w:type="dxa"/>
            <w:gridSpan w:val="2"/>
            <w:vAlign w:val="center"/>
          </w:tcPr>
          <w:p w14:paraId="28D4EB68">
            <w:pPr>
              <w:jc w:val="left"/>
              <w:rPr>
                <w:rFonts w:ascii="宋体" w:hAnsi="宋体" w:eastAsia="宋体" w:cs="Times New Roman"/>
                <w:color w:val="000000"/>
                <w:szCs w:val="21"/>
              </w:rPr>
            </w:pPr>
            <w:r>
              <w:rPr>
                <w:rFonts w:ascii="宋体" w:hAnsi="宋体" w:eastAsia="宋体"/>
                <w:spacing w:val="-3"/>
                <w:szCs w:val="21"/>
              </w:rPr>
              <w:t>创新创业</w:t>
            </w:r>
            <w:r>
              <w:rPr>
                <w:rFonts w:ascii="宋体" w:hAnsi="宋体" w:eastAsia="宋体"/>
                <w:szCs w:val="21"/>
              </w:rPr>
              <w:t>团队的概念、要素及价值</w:t>
            </w:r>
            <w:r>
              <w:rPr>
                <w:rFonts w:ascii="宋体" w:hAnsi="宋体" w:eastAsia="宋体"/>
                <w:spacing w:val="9"/>
                <w:szCs w:val="21"/>
              </w:rPr>
              <w:t>创新创业团队的人员组</w:t>
            </w:r>
            <w:r>
              <w:rPr>
                <w:rFonts w:ascii="宋体" w:hAnsi="宋体" w:eastAsia="宋体"/>
                <w:szCs w:val="21"/>
              </w:rPr>
              <w:t xml:space="preserve">  </w:t>
            </w:r>
            <w:r>
              <w:rPr>
                <w:rFonts w:ascii="宋体" w:hAnsi="宋体" w:eastAsia="宋体"/>
                <w:spacing w:val="11"/>
                <w:szCs w:val="21"/>
              </w:rPr>
              <w:t>成、角色分工和组织架</w:t>
            </w:r>
            <w:r>
              <w:rPr>
                <w:rFonts w:ascii="宋体" w:hAnsi="宋体" w:eastAsia="宋体"/>
                <w:szCs w:val="21"/>
              </w:rPr>
              <w:t xml:space="preserve">  </w:t>
            </w:r>
            <w:r>
              <w:rPr>
                <w:rFonts w:ascii="宋体" w:hAnsi="宋体" w:eastAsia="宋体"/>
                <w:spacing w:val="-2"/>
                <w:szCs w:val="21"/>
              </w:rPr>
              <w:t>构。</w:t>
            </w:r>
          </w:p>
        </w:tc>
        <w:tc>
          <w:tcPr>
            <w:tcW w:w="1348" w:type="dxa"/>
            <w:vAlign w:val="center"/>
          </w:tcPr>
          <w:p w14:paraId="0B57BD77">
            <w:pPr>
              <w:jc w:val="center"/>
              <w:rPr>
                <w:rFonts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3260" w:type="dxa"/>
            <w:vAlign w:val="center"/>
          </w:tcPr>
          <w:p w14:paraId="7619BE45">
            <w:pPr>
              <w:jc w:val="left"/>
              <w:rPr>
                <w:rFonts w:ascii="宋体" w:hAnsi="宋体" w:eastAsia="宋体" w:cs="Times New Roman"/>
                <w:color w:val="000000"/>
                <w:szCs w:val="21"/>
              </w:rPr>
            </w:pPr>
            <w:r>
              <w:rPr>
                <w:rFonts w:ascii="宋体" w:hAnsi="宋体" w:eastAsia="宋体"/>
                <w:spacing w:val="-2"/>
                <w:szCs w:val="21"/>
              </w:rPr>
              <w:t>应用案例学会设计创新创业团队的组</w:t>
            </w:r>
            <w:r>
              <w:rPr>
                <w:rFonts w:ascii="宋体" w:hAnsi="宋体" w:eastAsia="宋体"/>
                <w:spacing w:val="1"/>
                <w:szCs w:val="21"/>
              </w:rPr>
              <w:t>织架构。</w:t>
            </w:r>
          </w:p>
        </w:tc>
        <w:tc>
          <w:tcPr>
            <w:tcW w:w="1560" w:type="dxa"/>
            <w:vAlign w:val="center"/>
          </w:tcPr>
          <w:p w14:paraId="7C995C3C">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2274716B">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4516BF31">
            <w:pPr>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12584226">
            <w:pPr>
              <w:jc w:val="left"/>
              <w:rPr>
                <w:rFonts w:hint="eastAsia" w:ascii="宋体" w:hAnsi="宋体" w:eastAsia="宋体" w:cs="Times New Roman"/>
                <w:color w:val="000000"/>
                <w:szCs w:val="21"/>
              </w:rPr>
            </w:pPr>
            <w:r>
              <w:rPr>
                <w:rFonts w:hint="eastAsia" w:ascii="宋体" w:hAnsi="宋体" w:eastAsia="宋体" w:cs="Times New Roman"/>
                <w:color w:val="000000"/>
                <w:szCs w:val="21"/>
              </w:rPr>
              <w:t>4.课堂汇报</w:t>
            </w:r>
          </w:p>
        </w:tc>
        <w:tc>
          <w:tcPr>
            <w:tcW w:w="439" w:type="dxa"/>
            <w:vAlign w:val="center"/>
          </w:tcPr>
          <w:p w14:paraId="5EEE55D7">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31E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1365662F">
            <w:pPr>
              <w:jc w:val="center"/>
              <w:rPr>
                <w:rFonts w:ascii="宋体" w:hAnsi="宋体" w:eastAsia="宋体" w:cs="Times New Roman"/>
                <w:color w:val="000000"/>
                <w:szCs w:val="21"/>
              </w:rPr>
            </w:pPr>
          </w:p>
        </w:tc>
        <w:tc>
          <w:tcPr>
            <w:tcW w:w="8308" w:type="dxa"/>
            <w:gridSpan w:val="6"/>
            <w:vAlign w:val="center"/>
          </w:tcPr>
          <w:p w14:paraId="340DDE89">
            <w:pPr>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跟党学双创，能领会中国共产党是世界上最强大的创新创业</w:t>
            </w:r>
            <w:r>
              <w:rPr>
                <w:rFonts w:ascii="宋体" w:hAnsi="宋体" w:eastAsia="宋体"/>
                <w:szCs w:val="21"/>
              </w:rPr>
              <w:t>团队，始终坚持理想信念和初心使命，带领各族人民，历经</w:t>
            </w:r>
            <w:r>
              <w:rPr>
                <w:rFonts w:ascii="宋体" w:hAnsi="宋体" w:eastAsia="宋体"/>
                <w:spacing w:val="4"/>
                <w:szCs w:val="21"/>
              </w:rPr>
              <w:t>风雨，不屈不挠，改革创新，</w:t>
            </w:r>
            <w:r>
              <w:rPr>
                <w:rFonts w:ascii="宋体" w:hAnsi="宋体" w:eastAsia="宋体"/>
                <w:szCs w:val="21"/>
              </w:rPr>
              <w:t>以中国式现代化全面推进中华</w:t>
            </w:r>
            <w:r>
              <w:rPr>
                <w:rFonts w:ascii="宋体" w:hAnsi="宋体" w:eastAsia="宋体"/>
                <w:spacing w:val="4"/>
                <w:szCs w:val="21"/>
              </w:rPr>
              <w:t>民族的伟大复兴。跟党学习，</w:t>
            </w:r>
            <w:r>
              <w:rPr>
                <w:rFonts w:ascii="宋体" w:hAnsi="宋体" w:eastAsia="宋体"/>
                <w:szCs w:val="21"/>
              </w:rPr>
              <w:t>团队在创新创业的过程中，通</w:t>
            </w:r>
            <w:r>
              <w:rPr>
                <w:rFonts w:ascii="宋体" w:hAnsi="宋体" w:eastAsia="宋体"/>
                <w:spacing w:val="4"/>
                <w:szCs w:val="21"/>
              </w:rPr>
              <w:t>过沟通、分享、互补、协作，</w:t>
            </w:r>
            <w:r>
              <w:rPr>
                <w:rFonts w:ascii="宋体" w:hAnsi="宋体" w:eastAsia="宋体"/>
                <w:spacing w:val="-1"/>
                <w:szCs w:val="21"/>
              </w:rPr>
              <w:t>解决创新创业道路上的一个又一个困难，实现最终目标。</w:t>
            </w:r>
          </w:p>
        </w:tc>
      </w:tr>
      <w:tr w14:paraId="2850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4FF399B4">
            <w:pPr>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ascii="宋体" w:hAnsi="宋体" w:eastAsia="宋体"/>
                <w:b/>
                <w:bCs/>
                <w:spacing w:val="-1"/>
                <w:szCs w:val="21"/>
              </w:rPr>
              <w:t xml:space="preserve"> 互联网创业指南</w:t>
            </w:r>
          </w:p>
        </w:tc>
        <w:tc>
          <w:tcPr>
            <w:tcW w:w="1661" w:type="dxa"/>
            <w:vAlign w:val="center"/>
          </w:tcPr>
          <w:p w14:paraId="7AE37769">
            <w:pPr>
              <w:ind w:right="-82" w:rightChars="-39"/>
              <w:jc w:val="left"/>
              <w:rPr>
                <w:rFonts w:hint="eastAsia" w:ascii="宋体" w:hAnsi="宋体" w:eastAsia="宋体" w:cs="Times New Roman"/>
                <w:b/>
                <w:color w:val="000000"/>
                <w:szCs w:val="21"/>
              </w:rPr>
            </w:pPr>
            <w:r>
              <w:rPr>
                <w:rFonts w:ascii="宋体" w:hAnsi="宋体" w:eastAsia="宋体"/>
                <w:spacing w:val="-1"/>
                <w:szCs w:val="21"/>
              </w:rPr>
              <w:t>互联网</w:t>
            </w:r>
            <w:r>
              <w:rPr>
                <w:rFonts w:ascii="宋体" w:hAnsi="宋体" w:eastAsia="宋体"/>
                <w:spacing w:val="11"/>
                <w:szCs w:val="21"/>
              </w:rPr>
              <w:t>的发展历程和未来趋势及互联网创业的概念和</w:t>
            </w:r>
            <w:r>
              <w:rPr>
                <w:rFonts w:ascii="宋体" w:hAnsi="宋体" w:eastAsia="宋体"/>
                <w:spacing w:val="3"/>
                <w:szCs w:val="21"/>
              </w:rPr>
              <w:t xml:space="preserve">  </w:t>
            </w:r>
            <w:r>
              <w:rPr>
                <w:rFonts w:ascii="宋体" w:hAnsi="宋体" w:eastAsia="宋体"/>
                <w:spacing w:val="-1"/>
                <w:szCs w:val="21"/>
              </w:rPr>
              <w:t>特点；不同互联网创业平</w:t>
            </w:r>
            <w:r>
              <w:rPr>
                <w:rFonts w:ascii="宋体" w:hAnsi="宋体" w:eastAsia="宋体"/>
                <w:spacing w:val="1"/>
                <w:szCs w:val="21"/>
              </w:rPr>
              <w:t>台的特点及选择策略；网</w:t>
            </w:r>
            <w:r>
              <w:rPr>
                <w:rFonts w:ascii="宋体" w:hAnsi="宋体" w:eastAsia="宋体"/>
                <w:spacing w:val="11"/>
                <w:szCs w:val="21"/>
              </w:rPr>
              <w:t>上开店的流程与运营管</w:t>
            </w:r>
            <w:r>
              <w:rPr>
                <w:rFonts w:ascii="宋体" w:hAnsi="宋体" w:eastAsia="宋体"/>
                <w:spacing w:val="1"/>
                <w:szCs w:val="21"/>
              </w:rPr>
              <w:t>理技巧；共享经济模式的</w:t>
            </w:r>
            <w:r>
              <w:rPr>
                <w:rFonts w:ascii="宋体" w:hAnsi="宋体" w:eastAsia="宋体"/>
                <w:spacing w:val="2"/>
                <w:szCs w:val="21"/>
              </w:rPr>
              <w:t>运作机制和发展前景。</w:t>
            </w:r>
          </w:p>
        </w:tc>
        <w:tc>
          <w:tcPr>
            <w:tcW w:w="1388" w:type="dxa"/>
            <w:gridSpan w:val="2"/>
            <w:vAlign w:val="center"/>
          </w:tcPr>
          <w:p w14:paraId="036902BD">
            <w:pPr>
              <w:jc w:val="left"/>
              <w:rPr>
                <w:rFonts w:hint="eastAsia" w:ascii="宋体" w:hAnsi="宋体" w:eastAsia="宋体" w:cs="Times New Roman"/>
                <w:b/>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2</w:t>
            </w:r>
          </w:p>
        </w:tc>
        <w:tc>
          <w:tcPr>
            <w:tcW w:w="3261" w:type="dxa"/>
            <w:vAlign w:val="center"/>
          </w:tcPr>
          <w:p w14:paraId="6E9ACF6B">
            <w:pPr>
              <w:rPr>
                <w:rFonts w:hint="eastAsia" w:ascii="宋体" w:hAnsi="宋体" w:eastAsia="宋体" w:cs="Times New Roman"/>
                <w:b/>
                <w:color w:val="000000"/>
                <w:szCs w:val="21"/>
              </w:rPr>
            </w:pPr>
            <w:r>
              <w:rPr>
                <w:rFonts w:ascii="宋体" w:hAnsi="宋体" w:eastAsia="宋体"/>
                <w:spacing w:val="1"/>
                <w:szCs w:val="21"/>
              </w:rPr>
              <w:t>能应用全国大学</w:t>
            </w:r>
            <w:r>
              <w:rPr>
                <w:rFonts w:ascii="宋体" w:hAnsi="宋体" w:eastAsia="宋体"/>
                <w:spacing w:val="13"/>
                <w:szCs w:val="21"/>
              </w:rPr>
              <w:t>电子商务“创新、</w:t>
            </w:r>
            <w:r>
              <w:rPr>
                <w:rFonts w:ascii="宋体" w:hAnsi="宋体" w:eastAsia="宋体"/>
                <w:spacing w:val="5"/>
                <w:szCs w:val="21"/>
              </w:rPr>
              <w:t>创意及创业"挑战</w:t>
            </w:r>
            <w:r>
              <w:rPr>
                <w:rFonts w:ascii="宋体" w:hAnsi="宋体" w:eastAsia="宋体"/>
                <w:spacing w:val="-2"/>
                <w:szCs w:val="21"/>
              </w:rPr>
              <w:t>赛获奖案例分析互联网创业的发展现</w:t>
            </w:r>
            <w:r>
              <w:rPr>
                <w:rFonts w:ascii="宋体" w:hAnsi="宋体" w:eastAsia="宋体"/>
                <w:spacing w:val="-1"/>
                <w:szCs w:val="21"/>
              </w:rPr>
              <w:t>状与未来趋势。</w:t>
            </w:r>
          </w:p>
        </w:tc>
        <w:tc>
          <w:tcPr>
            <w:tcW w:w="1559" w:type="dxa"/>
            <w:vAlign w:val="center"/>
          </w:tcPr>
          <w:p w14:paraId="364A8FBA">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6578A3F1">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6036386E">
            <w:pPr>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44143601">
            <w:pPr>
              <w:jc w:val="left"/>
              <w:rPr>
                <w:rFonts w:hint="eastAsia" w:ascii="宋体" w:hAnsi="宋体" w:eastAsia="宋体" w:cs="Times New Roman"/>
                <w:b/>
                <w:color w:val="000000"/>
                <w:szCs w:val="21"/>
              </w:rPr>
            </w:pPr>
            <w:r>
              <w:rPr>
                <w:rFonts w:hint="eastAsia" w:ascii="宋体" w:hAnsi="宋体" w:eastAsia="宋体" w:cs="Times New Roman"/>
                <w:color w:val="000000"/>
                <w:szCs w:val="21"/>
              </w:rPr>
              <w:t>4.课堂汇报</w:t>
            </w:r>
          </w:p>
        </w:tc>
        <w:tc>
          <w:tcPr>
            <w:tcW w:w="439" w:type="dxa"/>
            <w:vAlign w:val="center"/>
          </w:tcPr>
          <w:p w14:paraId="4F5C7065">
            <w:pPr>
              <w:jc w:val="left"/>
              <w:rPr>
                <w:rFonts w:hint="eastAsia" w:ascii="宋体" w:hAnsi="宋体" w:eastAsia="宋体" w:cs="Times New Roman"/>
                <w:b/>
                <w:color w:val="000000"/>
                <w:szCs w:val="21"/>
              </w:rPr>
            </w:pPr>
            <w:r>
              <w:rPr>
                <w:rFonts w:hint="eastAsia" w:ascii="宋体" w:hAnsi="宋体" w:eastAsia="宋体" w:cs="Times New Roman"/>
                <w:color w:val="000000"/>
                <w:szCs w:val="21"/>
              </w:rPr>
              <w:t>4</w:t>
            </w:r>
          </w:p>
        </w:tc>
      </w:tr>
      <w:tr w14:paraId="615E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102AF17F">
            <w:pPr>
              <w:jc w:val="center"/>
              <w:rPr>
                <w:rFonts w:ascii="宋体" w:hAnsi="宋体" w:eastAsia="宋体" w:cs="Times New Roman"/>
                <w:color w:val="000000"/>
                <w:szCs w:val="21"/>
              </w:rPr>
            </w:pPr>
          </w:p>
        </w:tc>
        <w:tc>
          <w:tcPr>
            <w:tcW w:w="8308" w:type="dxa"/>
            <w:gridSpan w:val="6"/>
            <w:vAlign w:val="center"/>
          </w:tcPr>
          <w:p w14:paraId="5A7F514E">
            <w:pPr>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培养学生在互联网领域探索未</w:t>
            </w:r>
            <w:r>
              <w:rPr>
                <w:rFonts w:ascii="宋体" w:hAnsi="宋体" w:eastAsia="宋体"/>
                <w:szCs w:val="21"/>
              </w:rPr>
              <w:t>知、挑战自我以及面对失败不屈不挠、勇于担当的精神。强调互联网创业中涉及的知识产</w:t>
            </w:r>
            <w:r>
              <w:rPr>
                <w:rFonts w:ascii="宋体" w:hAnsi="宋体" w:eastAsia="宋体"/>
                <w:spacing w:val="-1"/>
                <w:szCs w:val="21"/>
              </w:rPr>
              <w:t>权和公平竞争的重要性，实现个人价值的同时，为社会创造</w:t>
            </w:r>
            <w:r>
              <w:rPr>
                <w:rFonts w:ascii="宋体" w:hAnsi="宋体" w:eastAsia="宋体"/>
                <w:szCs w:val="21"/>
              </w:rPr>
              <w:t>更多价值。</w:t>
            </w:r>
          </w:p>
        </w:tc>
      </w:tr>
    </w:tbl>
    <w:p w14:paraId="14A3E52B">
      <w:pPr>
        <w:spacing w:line="360" w:lineRule="auto"/>
        <w:jc w:val="left"/>
        <w:rPr>
          <w:rFonts w:ascii="Times New Roman" w:hAnsi="Times New Roman" w:eastAsia="宋体" w:cs="Times New Roman"/>
          <w:sz w:val="24"/>
          <w:szCs w:val="24"/>
        </w:rPr>
      </w:pPr>
    </w:p>
    <w:p w14:paraId="6E9B6215">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A0EBA0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204CA2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647C2FD">
      <w:pPr>
        <w:spacing w:line="360" w:lineRule="auto"/>
        <w:ind w:firstLine="420" w:firstLineChars="200"/>
        <w:jc w:val="left"/>
        <w:rPr>
          <w:rFonts w:ascii="Times New Roman" w:hAnsi="Times New Roman" w:eastAsia="宋体" w:cs="Times New Roman"/>
          <w:szCs w:val="21"/>
        </w:rPr>
      </w:pPr>
    </w:p>
    <w:p w14:paraId="0CCC524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60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193"/>
        <w:gridCol w:w="1134"/>
        <w:gridCol w:w="1701"/>
        <w:gridCol w:w="2304"/>
        <w:gridCol w:w="993"/>
      </w:tblGrid>
      <w:tr w14:paraId="1501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14:paraId="157D16EF">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6332" w:type="dxa"/>
            <w:gridSpan w:val="4"/>
            <w:vAlign w:val="center"/>
          </w:tcPr>
          <w:p w14:paraId="7AE58E93">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993" w:type="dxa"/>
            <w:vAlign w:val="center"/>
          </w:tcPr>
          <w:p w14:paraId="539BA476">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37BD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14:paraId="6632E35F">
            <w:pPr>
              <w:spacing w:line="360" w:lineRule="auto"/>
              <w:jc w:val="center"/>
              <w:rPr>
                <w:rFonts w:ascii="宋体" w:hAnsi="宋体" w:eastAsia="宋体" w:cs="Times New Roman"/>
                <w:szCs w:val="21"/>
              </w:rPr>
            </w:pPr>
          </w:p>
        </w:tc>
        <w:tc>
          <w:tcPr>
            <w:tcW w:w="1193" w:type="dxa"/>
            <w:vAlign w:val="center"/>
          </w:tcPr>
          <w:p w14:paraId="4949B104">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1134" w:type="dxa"/>
            <w:vAlign w:val="center"/>
          </w:tcPr>
          <w:p w14:paraId="2B18C9CF">
            <w:pPr>
              <w:spacing w:line="360" w:lineRule="auto"/>
              <w:jc w:val="center"/>
              <w:rPr>
                <w:rFonts w:ascii="宋体" w:hAnsi="宋体" w:eastAsia="宋体" w:cs="Times New Roman"/>
                <w:szCs w:val="21"/>
              </w:rPr>
            </w:pPr>
            <w:r>
              <w:rPr>
                <w:rFonts w:hint="eastAsia" w:ascii="宋体" w:hAnsi="宋体" w:eastAsia="宋体" w:cs="Times New Roman"/>
                <w:szCs w:val="21"/>
              </w:rPr>
              <w:t>作业</w:t>
            </w:r>
          </w:p>
        </w:tc>
        <w:tc>
          <w:tcPr>
            <w:tcW w:w="1701" w:type="dxa"/>
            <w:vAlign w:val="center"/>
          </w:tcPr>
          <w:p w14:paraId="7102DE7E">
            <w:pPr>
              <w:spacing w:line="360" w:lineRule="auto"/>
              <w:jc w:val="center"/>
              <w:rPr>
                <w:rFonts w:ascii="宋体" w:hAnsi="宋体" w:eastAsia="宋体" w:cs="Times New Roman"/>
                <w:szCs w:val="21"/>
              </w:rPr>
            </w:pPr>
            <w:r>
              <w:rPr>
                <w:rFonts w:hint="eastAsia" w:ascii="宋体" w:hAnsi="宋体" w:eastAsia="宋体" w:cs="Times New Roman"/>
                <w:szCs w:val="21"/>
              </w:rPr>
              <w:t>项目汇报</w:t>
            </w:r>
          </w:p>
        </w:tc>
        <w:tc>
          <w:tcPr>
            <w:tcW w:w="2304" w:type="dxa"/>
            <w:vAlign w:val="center"/>
          </w:tcPr>
          <w:p w14:paraId="459250CA">
            <w:pPr>
              <w:spacing w:line="360" w:lineRule="auto"/>
              <w:jc w:val="center"/>
              <w:rPr>
                <w:rFonts w:ascii="宋体" w:hAnsi="宋体" w:eastAsia="宋体" w:cs="Times New Roman"/>
                <w:szCs w:val="21"/>
              </w:rPr>
            </w:pPr>
            <w:r>
              <w:rPr>
                <w:rFonts w:hint="eastAsia" w:ascii="宋体" w:hAnsi="宋体" w:eastAsia="宋体" w:cs="Times New Roman"/>
                <w:szCs w:val="21"/>
              </w:rPr>
              <w:t>课程考核大作业</w:t>
            </w:r>
          </w:p>
        </w:tc>
        <w:tc>
          <w:tcPr>
            <w:tcW w:w="993" w:type="dxa"/>
            <w:vAlign w:val="center"/>
          </w:tcPr>
          <w:p w14:paraId="19323F8F">
            <w:pPr>
              <w:spacing w:line="360" w:lineRule="auto"/>
              <w:jc w:val="center"/>
              <w:rPr>
                <w:rFonts w:ascii="宋体" w:hAnsi="宋体" w:eastAsia="宋体" w:cs="Times New Roman"/>
                <w:szCs w:val="21"/>
              </w:rPr>
            </w:pPr>
          </w:p>
        </w:tc>
      </w:tr>
      <w:tr w14:paraId="3E2D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6B95E1CA">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193" w:type="dxa"/>
            <w:vAlign w:val="center"/>
          </w:tcPr>
          <w:p w14:paraId="7003FBEA">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1134" w:type="dxa"/>
            <w:vAlign w:val="center"/>
          </w:tcPr>
          <w:p w14:paraId="63E431D2">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701" w:type="dxa"/>
            <w:vAlign w:val="center"/>
          </w:tcPr>
          <w:p w14:paraId="44584232">
            <w:pPr>
              <w:spacing w:line="360" w:lineRule="auto"/>
              <w:jc w:val="center"/>
              <w:rPr>
                <w:rFonts w:ascii="宋体" w:hAnsi="宋体" w:eastAsia="宋体" w:cs="Times New Roman"/>
                <w:szCs w:val="21"/>
              </w:rPr>
            </w:pPr>
          </w:p>
        </w:tc>
        <w:tc>
          <w:tcPr>
            <w:tcW w:w="2304" w:type="dxa"/>
            <w:vAlign w:val="center"/>
          </w:tcPr>
          <w:p w14:paraId="3FED3E24">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993" w:type="dxa"/>
            <w:vAlign w:val="center"/>
          </w:tcPr>
          <w:p w14:paraId="0B75B855">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0BFE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6BCD2AC0">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193" w:type="dxa"/>
            <w:vAlign w:val="center"/>
          </w:tcPr>
          <w:p w14:paraId="38EE0A20">
            <w:pPr>
              <w:spacing w:line="360" w:lineRule="auto"/>
              <w:jc w:val="center"/>
              <w:rPr>
                <w:rFonts w:ascii="宋体" w:hAnsi="宋体" w:eastAsia="宋体" w:cs="Times New Roman"/>
                <w:szCs w:val="21"/>
              </w:rPr>
            </w:pPr>
          </w:p>
        </w:tc>
        <w:tc>
          <w:tcPr>
            <w:tcW w:w="1134" w:type="dxa"/>
            <w:vAlign w:val="center"/>
          </w:tcPr>
          <w:p w14:paraId="1F074990">
            <w:pPr>
              <w:spacing w:line="360" w:lineRule="auto"/>
              <w:jc w:val="center"/>
              <w:rPr>
                <w:rFonts w:ascii="宋体" w:hAnsi="宋体" w:eastAsia="宋体" w:cs="Times New Roman"/>
                <w:szCs w:val="21"/>
              </w:rPr>
            </w:pPr>
          </w:p>
        </w:tc>
        <w:tc>
          <w:tcPr>
            <w:tcW w:w="1701" w:type="dxa"/>
            <w:vAlign w:val="center"/>
          </w:tcPr>
          <w:p w14:paraId="759DEE47">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2304" w:type="dxa"/>
            <w:vAlign w:val="center"/>
          </w:tcPr>
          <w:p w14:paraId="6F00F60D">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993" w:type="dxa"/>
            <w:vAlign w:val="center"/>
          </w:tcPr>
          <w:p w14:paraId="12EC3D72">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298B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098B0F20">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193" w:type="dxa"/>
            <w:vAlign w:val="center"/>
          </w:tcPr>
          <w:p w14:paraId="36CFF0AE">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1134" w:type="dxa"/>
            <w:vAlign w:val="center"/>
          </w:tcPr>
          <w:p w14:paraId="62510393">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701" w:type="dxa"/>
            <w:vAlign w:val="center"/>
          </w:tcPr>
          <w:p w14:paraId="5902F95D">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2304" w:type="dxa"/>
            <w:vAlign w:val="center"/>
          </w:tcPr>
          <w:p w14:paraId="19BF37DB">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993" w:type="dxa"/>
            <w:vAlign w:val="center"/>
          </w:tcPr>
          <w:p w14:paraId="57CE89D9">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5D3CE89E">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4B4CE5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75CAA6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6923"/>
        <w:gridCol w:w="706"/>
      </w:tblGrid>
      <w:tr w14:paraId="749B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9015615">
            <w:pPr>
              <w:rPr>
                <w:rFonts w:ascii="宋体" w:hAnsi="宋体" w:eastAsia="宋体" w:cs="Times New Roman"/>
                <w:b/>
                <w:bCs/>
                <w:szCs w:val="21"/>
              </w:rPr>
            </w:pPr>
            <w:r>
              <w:rPr>
                <w:rFonts w:hint="eastAsia" w:ascii="宋体" w:hAnsi="宋体" w:eastAsia="宋体" w:cs="Times New Roman"/>
                <w:b/>
                <w:bCs/>
                <w:szCs w:val="21"/>
              </w:rPr>
              <w:t>评价方式</w:t>
            </w:r>
          </w:p>
        </w:tc>
        <w:tc>
          <w:tcPr>
            <w:tcW w:w="6923" w:type="dxa"/>
            <w:vAlign w:val="center"/>
          </w:tcPr>
          <w:p w14:paraId="33502D5C">
            <w:pPr>
              <w:rPr>
                <w:rFonts w:ascii="宋体" w:hAnsi="宋体" w:eastAsia="宋体" w:cs="Times New Roman"/>
                <w:b/>
                <w:bCs/>
                <w:szCs w:val="21"/>
              </w:rPr>
            </w:pPr>
            <w:r>
              <w:rPr>
                <w:rFonts w:hint="eastAsia" w:ascii="宋体" w:hAnsi="宋体" w:eastAsia="宋体" w:cs="Times New Roman"/>
                <w:b/>
                <w:bCs/>
                <w:szCs w:val="21"/>
              </w:rPr>
              <w:t>评定细则</w:t>
            </w:r>
          </w:p>
        </w:tc>
        <w:tc>
          <w:tcPr>
            <w:tcW w:w="0" w:type="auto"/>
            <w:vAlign w:val="center"/>
          </w:tcPr>
          <w:p w14:paraId="25E8F213">
            <w:pPr>
              <w:rPr>
                <w:rFonts w:ascii="宋体" w:hAnsi="宋体" w:eastAsia="宋体" w:cs="Times New Roman"/>
                <w:b/>
                <w:bCs/>
                <w:szCs w:val="21"/>
              </w:rPr>
            </w:pPr>
            <w:r>
              <w:rPr>
                <w:rFonts w:hint="eastAsia" w:ascii="宋体" w:hAnsi="宋体" w:eastAsia="宋体" w:cs="Times New Roman"/>
                <w:b/>
                <w:bCs/>
                <w:szCs w:val="21"/>
              </w:rPr>
              <w:t>占比</w:t>
            </w:r>
          </w:p>
        </w:tc>
      </w:tr>
      <w:tr w14:paraId="7FCB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B94D35A">
            <w:pPr>
              <w:rPr>
                <w:rFonts w:ascii="宋体" w:hAnsi="宋体" w:eastAsia="宋体" w:cs="Times New Roman"/>
                <w:szCs w:val="21"/>
              </w:rPr>
            </w:pPr>
            <w:r>
              <w:rPr>
                <w:rFonts w:hint="eastAsia" w:ascii="宋体" w:hAnsi="宋体" w:eastAsia="宋体" w:cs="Times New Roman"/>
                <w:szCs w:val="21"/>
              </w:rPr>
              <w:t>平时表现</w:t>
            </w:r>
          </w:p>
        </w:tc>
        <w:tc>
          <w:tcPr>
            <w:tcW w:w="6923" w:type="dxa"/>
            <w:vAlign w:val="center"/>
          </w:tcPr>
          <w:p w14:paraId="677CE568">
            <w:pPr>
              <w:spacing w:line="264" w:lineRule="auto"/>
              <w:rPr>
                <w:rFonts w:ascii="宋体" w:hAnsi="宋体" w:eastAsia="宋体" w:cs="Times New Roman"/>
                <w:szCs w:val="21"/>
              </w:rPr>
            </w:pPr>
            <w:r>
              <w:rPr>
                <w:rFonts w:ascii="宋体" w:hAnsi="宋体" w:eastAsia="宋体"/>
                <w:spacing w:val="-1"/>
              </w:rPr>
              <w:t>学生出勤、课堂提问和互动情况。</w:t>
            </w:r>
          </w:p>
        </w:tc>
        <w:tc>
          <w:tcPr>
            <w:tcW w:w="0" w:type="auto"/>
            <w:vAlign w:val="center"/>
          </w:tcPr>
          <w:p w14:paraId="3D79AC16">
            <w:pPr>
              <w:rPr>
                <w:rFonts w:ascii="宋体" w:hAnsi="宋体" w:eastAsia="宋体" w:cs="Times New Roman"/>
                <w:szCs w:val="21"/>
              </w:rPr>
            </w:pPr>
            <w:r>
              <w:rPr>
                <w:rFonts w:ascii="宋体" w:hAnsi="宋体" w:eastAsia="宋体"/>
                <w:spacing w:val="-6"/>
              </w:rPr>
              <w:t>10%</w:t>
            </w:r>
          </w:p>
        </w:tc>
      </w:tr>
      <w:tr w14:paraId="3BCF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F9F55FC">
            <w:pPr>
              <w:rPr>
                <w:rFonts w:ascii="宋体" w:hAnsi="宋体" w:eastAsia="宋体" w:cs="Times New Roman"/>
                <w:szCs w:val="21"/>
              </w:rPr>
            </w:pPr>
            <w:r>
              <w:rPr>
                <w:rFonts w:hint="eastAsia" w:ascii="宋体" w:hAnsi="宋体" w:eastAsia="宋体" w:cs="Times New Roman"/>
                <w:szCs w:val="21"/>
              </w:rPr>
              <w:t>作业</w:t>
            </w:r>
          </w:p>
        </w:tc>
        <w:tc>
          <w:tcPr>
            <w:tcW w:w="6923" w:type="dxa"/>
            <w:vAlign w:val="center"/>
          </w:tcPr>
          <w:p w14:paraId="01C6E0B5">
            <w:pPr>
              <w:widowControl/>
              <w:spacing w:line="264" w:lineRule="auto"/>
              <w:rPr>
                <w:rFonts w:ascii="宋体" w:hAnsi="宋体" w:eastAsia="宋体" w:cs="Times New Roman"/>
                <w:szCs w:val="21"/>
              </w:rPr>
            </w:pPr>
            <w:r>
              <w:rPr>
                <w:rFonts w:ascii="宋体" w:hAnsi="宋体" w:eastAsia="宋体"/>
              </w:rPr>
              <w:t>课后作业布置不少于3次，完成项目申报书、专</w:t>
            </w:r>
            <w:r>
              <w:rPr>
                <w:rFonts w:ascii="宋体" w:hAnsi="宋体" w:eastAsia="宋体"/>
                <w:spacing w:val="1"/>
              </w:rPr>
              <w:t>利申请书、社会调查报告或商业计划书的阶段性</w:t>
            </w:r>
            <w:r>
              <w:rPr>
                <w:rFonts w:ascii="宋体" w:hAnsi="宋体" w:eastAsia="宋体"/>
                <w:spacing w:val="3"/>
              </w:rPr>
              <w:t>资料或教材的章节练习，主要考核学生对项目的</w:t>
            </w:r>
            <w:r>
              <w:rPr>
                <w:rFonts w:ascii="宋体" w:hAnsi="宋体" w:eastAsia="宋体"/>
                <w:spacing w:val="-1"/>
              </w:rPr>
              <w:t>资料搜集和知识的理解程度。作业按百分制计分。</w:t>
            </w:r>
          </w:p>
        </w:tc>
        <w:tc>
          <w:tcPr>
            <w:tcW w:w="0" w:type="auto"/>
            <w:vAlign w:val="center"/>
          </w:tcPr>
          <w:p w14:paraId="45A73CAC">
            <w:pPr>
              <w:rPr>
                <w:rFonts w:ascii="宋体" w:hAnsi="宋体" w:eastAsia="宋体" w:cs="Times New Roman"/>
                <w:szCs w:val="21"/>
              </w:rPr>
            </w:pPr>
            <w:r>
              <w:rPr>
                <w:rFonts w:ascii="宋体" w:hAnsi="宋体" w:eastAsia="宋体"/>
                <w:spacing w:val="-3"/>
              </w:rPr>
              <w:t>20%</w:t>
            </w:r>
          </w:p>
        </w:tc>
      </w:tr>
      <w:tr w14:paraId="06B8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D9B8A6D">
            <w:pPr>
              <w:rPr>
                <w:rFonts w:ascii="宋体" w:hAnsi="宋体" w:eastAsia="宋体" w:cs="Times New Roman"/>
                <w:szCs w:val="21"/>
              </w:rPr>
            </w:pPr>
            <w:r>
              <w:rPr>
                <w:rFonts w:hint="eastAsia" w:ascii="宋体" w:hAnsi="宋体" w:eastAsia="宋体" w:cs="Times New Roman"/>
                <w:szCs w:val="21"/>
              </w:rPr>
              <w:t>项目汇报</w:t>
            </w:r>
          </w:p>
        </w:tc>
        <w:tc>
          <w:tcPr>
            <w:tcW w:w="6923" w:type="dxa"/>
            <w:vAlign w:val="center"/>
          </w:tcPr>
          <w:p w14:paraId="731A4598">
            <w:pPr>
              <w:widowControl/>
              <w:spacing w:line="264" w:lineRule="auto"/>
              <w:rPr>
                <w:rFonts w:ascii="宋体" w:hAnsi="宋体" w:eastAsia="宋体" w:cs="宋体"/>
                <w:color w:val="000000"/>
                <w:kern w:val="0"/>
                <w:szCs w:val="21"/>
                <w:lang w:bidi="ar"/>
              </w:rPr>
            </w:pPr>
            <w:r>
              <w:rPr>
                <w:rFonts w:ascii="宋体" w:hAnsi="宋体" w:eastAsia="宋体"/>
                <w:spacing w:val="-1"/>
              </w:rPr>
              <w:t>采用团队汇报形式，主要考核学生对于创新创业</w:t>
            </w:r>
            <w:r>
              <w:rPr>
                <w:rFonts w:ascii="宋体" w:hAnsi="宋体" w:eastAsia="宋体"/>
              </w:rPr>
              <w:t>项目的检索归纳和理解程度以及表达展示与沟通</w:t>
            </w:r>
            <w:r>
              <w:rPr>
                <w:rFonts w:ascii="宋体" w:hAnsi="宋体" w:eastAsia="宋体"/>
                <w:spacing w:val="-1"/>
              </w:rPr>
              <w:t>交流的能力。</w:t>
            </w:r>
          </w:p>
        </w:tc>
        <w:tc>
          <w:tcPr>
            <w:tcW w:w="0" w:type="auto"/>
            <w:vAlign w:val="center"/>
          </w:tcPr>
          <w:p w14:paraId="51ECDBCB">
            <w:pPr>
              <w:rPr>
                <w:rFonts w:ascii="宋体" w:hAnsi="宋体" w:eastAsia="宋体" w:cs="Times New Roman"/>
                <w:szCs w:val="21"/>
              </w:rPr>
            </w:pPr>
            <w:r>
              <w:rPr>
                <w:rFonts w:ascii="宋体" w:hAnsi="宋体" w:eastAsia="宋体"/>
                <w:spacing w:val="-3"/>
              </w:rPr>
              <w:t>20%</w:t>
            </w:r>
          </w:p>
        </w:tc>
      </w:tr>
      <w:tr w14:paraId="63F4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B86D2BF">
            <w:pPr>
              <w:rPr>
                <w:rFonts w:ascii="宋体" w:hAnsi="宋体" w:eastAsia="宋体" w:cs="Times New Roman"/>
                <w:szCs w:val="21"/>
              </w:rPr>
            </w:pPr>
            <w:r>
              <w:rPr>
                <w:rFonts w:hint="eastAsia" w:ascii="宋体" w:hAnsi="宋体" w:eastAsia="宋体" w:cs="Times New Roman"/>
                <w:szCs w:val="21"/>
              </w:rPr>
              <w:t>课程考察大作业</w:t>
            </w:r>
          </w:p>
        </w:tc>
        <w:tc>
          <w:tcPr>
            <w:tcW w:w="6923" w:type="dxa"/>
            <w:vAlign w:val="center"/>
          </w:tcPr>
          <w:p w14:paraId="7E4FEED5">
            <w:pPr>
              <w:widowControl/>
              <w:spacing w:line="264" w:lineRule="auto"/>
              <w:rPr>
                <w:rFonts w:ascii="宋体" w:hAnsi="宋体" w:eastAsia="宋体" w:cs="宋体"/>
                <w:color w:val="000000"/>
                <w:kern w:val="0"/>
                <w:szCs w:val="21"/>
                <w:lang w:bidi="ar"/>
              </w:rPr>
            </w:pPr>
            <w:r>
              <w:rPr>
                <w:rFonts w:ascii="宋体" w:hAnsi="宋体" w:eastAsia="宋体"/>
              </w:rPr>
              <w:t>强调项目申报书、专利申请书、社会调查报告或</w:t>
            </w:r>
            <w:r>
              <w:rPr>
                <w:rFonts w:ascii="宋体" w:hAnsi="宋体" w:eastAsia="宋体"/>
                <w:spacing w:val="2"/>
              </w:rPr>
              <w:t>商业计划书的内容完整性、方案创新性、项目可</w:t>
            </w:r>
            <w:r>
              <w:rPr>
                <w:rFonts w:ascii="宋体" w:hAnsi="宋体" w:eastAsia="宋体"/>
                <w:spacing w:val="6"/>
              </w:rPr>
              <w:t>行性、语言流畅性、个人参与性、团队合作性、</w:t>
            </w:r>
            <w:r>
              <w:rPr>
                <w:rFonts w:ascii="宋体" w:hAnsi="宋体" w:eastAsia="宋体"/>
                <w:spacing w:val="-1"/>
              </w:rPr>
              <w:t>格式规范性。</w:t>
            </w:r>
          </w:p>
        </w:tc>
        <w:tc>
          <w:tcPr>
            <w:tcW w:w="0" w:type="auto"/>
            <w:vAlign w:val="center"/>
          </w:tcPr>
          <w:p w14:paraId="5B8A4E8C">
            <w:pPr>
              <w:rPr>
                <w:rFonts w:ascii="宋体" w:hAnsi="宋体" w:eastAsia="宋体" w:cs="Times New Roman"/>
                <w:szCs w:val="21"/>
              </w:rPr>
            </w:pPr>
            <w:r>
              <w:rPr>
                <w:rFonts w:ascii="宋体" w:hAnsi="宋体" w:eastAsia="宋体"/>
                <w:spacing w:val="-3"/>
              </w:rPr>
              <w:t>50%</w:t>
            </w:r>
          </w:p>
        </w:tc>
      </w:tr>
      <w:tr w14:paraId="5459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9" w:type="dxa"/>
            <w:vAlign w:val="center"/>
          </w:tcPr>
          <w:p w14:paraId="7C08143B">
            <w:pPr>
              <w:rPr>
                <w:rFonts w:ascii="宋体" w:hAnsi="宋体" w:eastAsia="宋体" w:cs="Times New Roman"/>
                <w:b/>
                <w:bCs/>
                <w:szCs w:val="21"/>
              </w:rPr>
            </w:pPr>
            <w:r>
              <w:rPr>
                <w:rFonts w:hint="eastAsia" w:ascii="宋体" w:hAnsi="宋体" w:eastAsia="宋体" w:cs="Times New Roman"/>
                <w:b/>
                <w:bCs/>
                <w:szCs w:val="21"/>
              </w:rPr>
              <w:t>合计</w:t>
            </w:r>
          </w:p>
        </w:tc>
        <w:tc>
          <w:tcPr>
            <w:tcW w:w="0" w:type="auto"/>
            <w:vAlign w:val="center"/>
          </w:tcPr>
          <w:p w14:paraId="5CFD1A36">
            <w:pPr>
              <w:rPr>
                <w:rFonts w:ascii="宋体" w:hAnsi="宋体" w:eastAsia="宋体" w:cs="Times New Roman"/>
                <w:szCs w:val="21"/>
              </w:rPr>
            </w:pPr>
          </w:p>
        </w:tc>
        <w:tc>
          <w:tcPr>
            <w:tcW w:w="0" w:type="auto"/>
            <w:vAlign w:val="center"/>
          </w:tcPr>
          <w:p w14:paraId="74E37057">
            <w:pPr>
              <w:rPr>
                <w:rFonts w:ascii="宋体" w:hAnsi="宋体" w:eastAsia="宋体" w:cs="Times New Roman"/>
                <w:szCs w:val="21"/>
              </w:rPr>
            </w:pPr>
            <w:r>
              <w:rPr>
                <w:rFonts w:hint="eastAsia" w:ascii="宋体" w:hAnsi="宋体" w:eastAsia="宋体" w:cs="Times New Roman"/>
                <w:szCs w:val="21"/>
              </w:rPr>
              <w:t>100%</w:t>
            </w:r>
          </w:p>
        </w:tc>
      </w:tr>
    </w:tbl>
    <w:p w14:paraId="11652A16">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10C3780">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CBA1B76">
      <w:pPr>
        <w:spacing w:before="156" w:beforeLines="50" w:line="360" w:lineRule="auto"/>
        <w:ind w:firstLine="420" w:firstLineChars="200"/>
        <w:jc w:val="left"/>
        <w:rPr>
          <w:rFonts w:ascii="宋体" w:hAnsi="宋体" w:eastAsia="宋体" w:cs="Times New Roman"/>
          <w:color w:val="000000"/>
          <w:szCs w:val="21"/>
        </w:rPr>
      </w:pPr>
      <w:r>
        <w:drawing>
          <wp:inline distT="0" distB="0" distL="0" distR="0">
            <wp:extent cx="3934460" cy="772160"/>
            <wp:effectExtent l="0" t="0" r="8890" b="8890"/>
            <wp:docPr id="1633433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33752" name="图片 1"/>
                    <pic:cNvPicPr>
                      <a:picLocks noChangeAspect="1"/>
                    </pic:cNvPicPr>
                  </pic:nvPicPr>
                  <pic:blipFill>
                    <a:blip r:embed="rId17"/>
                    <a:stretch>
                      <a:fillRect/>
                    </a:stretch>
                  </pic:blipFill>
                  <pic:spPr>
                    <a:xfrm>
                      <a:off x="0" y="0"/>
                      <a:ext cx="3955415" cy="776524"/>
                    </a:xfrm>
                    <a:prstGeom prst="rect">
                      <a:avLst/>
                    </a:prstGeom>
                  </pic:spPr>
                </pic:pic>
              </a:graphicData>
            </a:graphic>
          </wp:inline>
        </w:drawing>
      </w:r>
    </w:p>
    <w:p w14:paraId="0ABC88B7">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7DD577EB">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01666F5B">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894"/>
        <w:gridCol w:w="2126"/>
        <w:gridCol w:w="2287"/>
      </w:tblGrid>
      <w:tr w14:paraId="572A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1CAA8A2">
            <w:pPr>
              <w:jc w:val="center"/>
              <w:rPr>
                <w:rFonts w:ascii="宋体" w:hAnsi="宋体" w:eastAsia="宋体" w:cs="宋体"/>
                <w:b/>
                <w:bCs/>
                <w:szCs w:val="21"/>
              </w:rPr>
            </w:pPr>
            <w:r>
              <w:rPr>
                <w:rFonts w:hint="eastAsia" w:ascii="宋体" w:hAnsi="宋体" w:eastAsia="宋体" w:cs="宋体"/>
                <w:b/>
                <w:bCs/>
                <w:szCs w:val="21"/>
              </w:rPr>
              <w:t>活动主题</w:t>
            </w:r>
          </w:p>
        </w:tc>
        <w:tc>
          <w:tcPr>
            <w:tcW w:w="2894" w:type="dxa"/>
            <w:vAlign w:val="center"/>
          </w:tcPr>
          <w:p w14:paraId="66B43FFE">
            <w:pPr>
              <w:jc w:val="center"/>
              <w:rPr>
                <w:rFonts w:ascii="宋体" w:hAnsi="宋体" w:eastAsia="宋体" w:cs="宋体"/>
                <w:b/>
                <w:bCs/>
                <w:szCs w:val="21"/>
              </w:rPr>
            </w:pPr>
            <w:r>
              <w:rPr>
                <w:rFonts w:hint="eastAsia" w:ascii="宋体" w:hAnsi="宋体" w:eastAsia="宋体" w:cs="宋体"/>
                <w:b/>
                <w:bCs/>
                <w:szCs w:val="21"/>
              </w:rPr>
              <w:t>活动内容</w:t>
            </w:r>
          </w:p>
        </w:tc>
        <w:tc>
          <w:tcPr>
            <w:tcW w:w="2126" w:type="dxa"/>
            <w:vAlign w:val="center"/>
          </w:tcPr>
          <w:p w14:paraId="2C07E338">
            <w:pPr>
              <w:jc w:val="center"/>
              <w:rPr>
                <w:rFonts w:ascii="宋体" w:hAnsi="宋体" w:eastAsia="宋体" w:cs="宋体"/>
                <w:b/>
                <w:bCs/>
                <w:szCs w:val="21"/>
              </w:rPr>
            </w:pPr>
            <w:r>
              <w:rPr>
                <w:rFonts w:hint="eastAsia" w:ascii="宋体" w:hAnsi="宋体" w:eastAsia="宋体" w:cs="宋体"/>
                <w:b/>
                <w:bCs/>
                <w:szCs w:val="21"/>
              </w:rPr>
              <w:t>活动方式</w:t>
            </w:r>
          </w:p>
        </w:tc>
        <w:tc>
          <w:tcPr>
            <w:tcW w:w="2287" w:type="dxa"/>
            <w:vAlign w:val="center"/>
          </w:tcPr>
          <w:p w14:paraId="45A49D0E">
            <w:pPr>
              <w:jc w:val="center"/>
              <w:rPr>
                <w:rFonts w:ascii="宋体" w:hAnsi="宋体" w:eastAsia="宋体" w:cs="宋体"/>
                <w:b/>
                <w:bCs/>
                <w:szCs w:val="21"/>
              </w:rPr>
            </w:pPr>
            <w:r>
              <w:rPr>
                <w:rFonts w:hint="eastAsia" w:ascii="宋体" w:hAnsi="宋体" w:eastAsia="宋体" w:cs="宋体"/>
                <w:b/>
                <w:bCs/>
                <w:szCs w:val="21"/>
              </w:rPr>
              <w:t>思政目标</w:t>
            </w:r>
          </w:p>
        </w:tc>
      </w:tr>
      <w:tr w14:paraId="14E2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26A50FD">
            <w:pPr>
              <w:jc w:val="left"/>
              <w:rPr>
                <w:rFonts w:ascii="宋体" w:hAnsi="宋体" w:eastAsia="宋体" w:cs="宋体"/>
                <w:szCs w:val="21"/>
              </w:rPr>
            </w:pPr>
            <w:r>
              <w:rPr>
                <w:rFonts w:hint="eastAsia" w:ascii="宋体" w:hAnsi="宋体" w:eastAsia="宋体"/>
                <w:color w:val="06071F"/>
                <w:szCs w:val="21"/>
                <w:shd w:val="clear" w:color="auto" w:fill="FDFDFE"/>
              </w:rPr>
              <w:t>用“逆向头脑风暴”挖掘社会痛点中的创业机遇</w:t>
            </w:r>
          </w:p>
        </w:tc>
        <w:tc>
          <w:tcPr>
            <w:tcW w:w="2894" w:type="dxa"/>
            <w:vAlign w:val="center"/>
          </w:tcPr>
          <w:p w14:paraId="5B66631C">
            <w:pPr>
              <w:widowControl/>
              <w:jc w:val="left"/>
              <w:rPr>
                <w:rFonts w:ascii="宋体" w:hAnsi="宋体" w:eastAsia="宋体" w:cs="宋体"/>
                <w:color w:val="06071F"/>
                <w:kern w:val="0"/>
                <w:szCs w:val="21"/>
              </w:rPr>
            </w:pPr>
            <w:r>
              <w:rPr>
                <w:rStyle w:val="16"/>
                <w:rFonts w:hint="eastAsia" w:ascii="宋体" w:hAnsi="宋体" w:eastAsia="宋体" w:cs="微软雅黑"/>
                <w:b w:val="0"/>
                <w:bCs w:val="0"/>
                <w:color w:val="06071F"/>
                <w:szCs w:val="21"/>
              </w:rPr>
              <w:t>角色扮演</w:t>
            </w:r>
            <w:r>
              <w:rPr>
                <w:rFonts w:hint="eastAsia" w:ascii="宋体" w:hAnsi="宋体" w:eastAsia="宋体"/>
                <w:color w:val="06071F"/>
                <w:szCs w:val="21"/>
              </w:rPr>
              <w:t>：分组扮演“社区工作者”“大学生”“银发族”等角色，通过情景模拟发现未被满足的需求。</w:t>
            </w:r>
          </w:p>
          <w:p w14:paraId="01F503B0">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案例分析</w:t>
            </w:r>
            <w:r>
              <w:rPr>
                <w:rFonts w:hint="eastAsia" w:ascii="宋体" w:hAnsi="宋体" w:eastAsia="宋体"/>
                <w:color w:val="06071F"/>
                <w:szCs w:val="21"/>
              </w:rPr>
              <w:t>：拆解“乡村快递最后一公里”等社会痛点型创业案例，提炼价值主张设计逻辑。</w:t>
            </w:r>
          </w:p>
          <w:p w14:paraId="43B19C3A">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思政融合</w:t>
            </w:r>
            <w:r>
              <w:rPr>
                <w:rFonts w:hint="eastAsia" w:ascii="宋体" w:hAnsi="宋体" w:eastAsia="宋体"/>
                <w:color w:val="06071F"/>
                <w:szCs w:val="21"/>
              </w:rPr>
              <w:t>：结合“共同富裕”政策，讨论创业如何助力弱势群体赋能。</w:t>
            </w:r>
          </w:p>
        </w:tc>
        <w:tc>
          <w:tcPr>
            <w:tcW w:w="2126" w:type="dxa"/>
            <w:vAlign w:val="center"/>
          </w:tcPr>
          <w:p w14:paraId="236AB01B">
            <w:pPr>
              <w:widowControl/>
              <w:jc w:val="left"/>
              <w:rPr>
                <w:rFonts w:ascii="宋体" w:hAnsi="宋体" w:eastAsia="宋体" w:cs="宋体"/>
                <w:color w:val="06071F"/>
                <w:kern w:val="0"/>
                <w:szCs w:val="21"/>
              </w:rPr>
            </w:pPr>
            <w:r>
              <w:rPr>
                <w:rStyle w:val="16"/>
                <w:rFonts w:hint="eastAsia" w:ascii="宋体" w:hAnsi="宋体" w:eastAsia="宋体" w:cs="微软雅黑"/>
                <w:b w:val="0"/>
                <w:bCs w:val="0"/>
                <w:color w:val="06071F"/>
                <w:szCs w:val="21"/>
              </w:rPr>
              <w:t>工具</w:t>
            </w:r>
            <w:r>
              <w:rPr>
                <w:rFonts w:hint="eastAsia" w:ascii="宋体" w:hAnsi="宋体" w:eastAsia="宋体"/>
                <w:color w:val="06071F"/>
                <w:szCs w:val="21"/>
              </w:rPr>
              <w:t>：使用“问题树”工具梳理社会痛点，开展逆向头脑风暴（如“如何让老年人更难买到药？”）反向推导解决方案。</w:t>
            </w:r>
          </w:p>
          <w:p w14:paraId="0FC33E42">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产出</w:t>
            </w:r>
            <w:r>
              <w:rPr>
                <w:rFonts w:hint="eastAsia" w:ascii="宋体" w:hAnsi="宋体" w:eastAsia="宋体"/>
                <w:color w:val="06071F"/>
                <w:szCs w:val="21"/>
              </w:rPr>
              <w:t>：每组提交《社会痛点创业机会分析报告》，需包含至少3个思政价值锚点（如“乡村振兴”“代际公平”）。</w:t>
            </w:r>
          </w:p>
        </w:tc>
        <w:tc>
          <w:tcPr>
            <w:tcW w:w="2287" w:type="dxa"/>
            <w:vAlign w:val="center"/>
          </w:tcPr>
          <w:p w14:paraId="2B1A83A6">
            <w:pPr>
              <w:widowControl/>
              <w:jc w:val="left"/>
              <w:rPr>
                <w:rFonts w:ascii="宋体" w:hAnsi="宋体" w:eastAsia="宋体" w:cs="宋体"/>
                <w:color w:val="06071F"/>
                <w:kern w:val="0"/>
                <w:szCs w:val="21"/>
              </w:rPr>
            </w:pPr>
            <w:r>
              <w:rPr>
                <w:rStyle w:val="16"/>
                <w:rFonts w:hint="eastAsia" w:ascii="宋体" w:hAnsi="宋体" w:eastAsia="宋体" w:cs="微软雅黑"/>
                <w:b w:val="0"/>
                <w:bCs w:val="0"/>
                <w:color w:val="06071F"/>
                <w:szCs w:val="21"/>
              </w:rPr>
              <w:t>树立</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以人民为中心</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的创业观</w:t>
            </w:r>
            <w:r>
              <w:rPr>
                <w:rFonts w:hint="eastAsia" w:ascii="宋体" w:hAnsi="宋体" w:eastAsia="宋体"/>
                <w:color w:val="06071F"/>
                <w:szCs w:val="21"/>
              </w:rPr>
              <w:t>，理解社会痛点与国家政策（如共同富裕、老龄化社会需求）的关联性。</w:t>
            </w:r>
          </w:p>
          <w:p w14:paraId="33393AE4">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培养</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问题导向</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思维</w:t>
            </w:r>
            <w:r>
              <w:rPr>
                <w:rFonts w:hint="eastAsia" w:ascii="宋体" w:hAnsi="宋体" w:eastAsia="宋体"/>
                <w:color w:val="06071F"/>
                <w:szCs w:val="21"/>
              </w:rPr>
              <w:t>，将社会痛点转化为创业机会。</w:t>
            </w:r>
          </w:p>
          <w:p w14:paraId="503824A5">
            <w:pPr>
              <w:jc w:val="left"/>
              <w:rPr>
                <w:rFonts w:ascii="宋体" w:hAnsi="宋体" w:eastAsia="宋体" w:cs="宋体"/>
                <w:szCs w:val="21"/>
              </w:rPr>
            </w:pPr>
          </w:p>
        </w:tc>
      </w:tr>
      <w:tr w14:paraId="7E48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57960674">
            <w:pPr>
              <w:pStyle w:val="5"/>
              <w:spacing w:before="0" w:beforeAutospacing="0" w:after="0" w:afterAutospacing="0"/>
              <w:rPr>
                <w:rFonts w:hint="eastAsia"/>
                <w:b w:val="0"/>
                <w:bCs w:val="0"/>
                <w:color w:val="05073B"/>
                <w:sz w:val="21"/>
                <w:szCs w:val="21"/>
              </w:rPr>
            </w:pPr>
            <w:r>
              <w:rPr>
                <w:rStyle w:val="16"/>
                <w:rFonts w:cs="Segoe UI"/>
                <w:b w:val="0"/>
                <w:bCs w:val="0"/>
                <w:color w:val="05073B"/>
                <w:sz w:val="21"/>
                <w:szCs w:val="21"/>
              </w:rPr>
              <w:t>团队熔炼——从“冲突”到“共创”</w:t>
            </w:r>
          </w:p>
        </w:tc>
        <w:tc>
          <w:tcPr>
            <w:tcW w:w="2894" w:type="dxa"/>
            <w:vAlign w:val="center"/>
          </w:tcPr>
          <w:p w14:paraId="7403E177">
            <w:pPr>
              <w:widowControl/>
              <w:jc w:val="left"/>
              <w:rPr>
                <w:rFonts w:ascii="宋体" w:hAnsi="宋体" w:eastAsia="宋体" w:cs="宋体"/>
                <w:color w:val="06071F"/>
                <w:kern w:val="0"/>
                <w:szCs w:val="21"/>
              </w:rPr>
            </w:pPr>
            <w:r>
              <w:rPr>
                <w:rStyle w:val="16"/>
                <w:rFonts w:hint="eastAsia" w:ascii="宋体" w:hAnsi="宋体" w:eastAsia="宋体" w:cs="微软雅黑"/>
                <w:b w:val="0"/>
                <w:bCs w:val="0"/>
                <w:color w:val="06071F"/>
                <w:szCs w:val="21"/>
              </w:rPr>
              <w:t>角色扮演</w:t>
            </w:r>
            <w:r>
              <w:rPr>
                <w:rFonts w:hint="eastAsia" w:ascii="宋体" w:hAnsi="宋体" w:eastAsia="宋体"/>
                <w:color w:val="06071F"/>
                <w:szCs w:val="21"/>
              </w:rPr>
              <w:t>：分组模拟“技术大牛+营销达人+资金方”团队，围绕股权分配、品牌价值观冲突展开辩论。</w:t>
            </w:r>
          </w:p>
          <w:p w14:paraId="53ED9A99">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小组合作</w:t>
            </w:r>
            <w:r>
              <w:rPr>
                <w:rFonts w:hint="eastAsia" w:ascii="宋体" w:hAnsi="宋体" w:eastAsia="宋体"/>
                <w:color w:val="06071F"/>
                <w:szCs w:val="21"/>
              </w:rPr>
              <w:t>：设计《团队冲突解决机制手册》，需包含沟通协议、伦理准则条款。</w:t>
            </w:r>
          </w:p>
          <w:p w14:paraId="31828255">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思政融合</w:t>
            </w:r>
            <w:r>
              <w:rPr>
                <w:rFonts w:hint="eastAsia" w:ascii="宋体" w:hAnsi="宋体" w:eastAsia="宋体"/>
                <w:color w:val="06071F"/>
                <w:szCs w:val="21"/>
              </w:rPr>
              <w:t>：引入“红船精神”中的团队协作案例，讨论利益与使命的平衡。</w:t>
            </w:r>
          </w:p>
        </w:tc>
        <w:tc>
          <w:tcPr>
            <w:tcW w:w="2126" w:type="dxa"/>
            <w:vAlign w:val="center"/>
          </w:tcPr>
          <w:p w14:paraId="58039C56">
            <w:pPr>
              <w:widowControl/>
              <w:jc w:val="left"/>
              <w:rPr>
                <w:rFonts w:ascii="宋体" w:hAnsi="宋体" w:eastAsia="宋体" w:cs="宋体"/>
                <w:color w:val="06071F"/>
                <w:kern w:val="0"/>
                <w:szCs w:val="21"/>
              </w:rPr>
            </w:pPr>
            <w:r>
              <w:rPr>
                <w:rStyle w:val="16"/>
                <w:rFonts w:hint="eastAsia" w:ascii="宋体" w:hAnsi="宋体" w:eastAsia="宋体" w:cs="微软雅黑"/>
                <w:b w:val="0"/>
                <w:bCs w:val="0"/>
                <w:color w:val="06071F"/>
                <w:szCs w:val="21"/>
              </w:rPr>
              <w:t>工具</w:t>
            </w:r>
            <w:r>
              <w:rPr>
                <w:rFonts w:hint="eastAsia" w:ascii="宋体" w:hAnsi="宋体" w:eastAsia="宋体"/>
                <w:color w:val="06071F"/>
                <w:szCs w:val="21"/>
              </w:rPr>
              <w:t>：使用“SWOT分析”评估团队组合，通过“世界咖啡”模式轮换角色视角。</w:t>
            </w:r>
          </w:p>
          <w:p w14:paraId="76CEC9D2">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产出</w:t>
            </w:r>
            <w:r>
              <w:rPr>
                <w:rFonts w:hint="eastAsia" w:ascii="宋体" w:hAnsi="宋体" w:eastAsia="宋体"/>
                <w:color w:val="06071F"/>
                <w:szCs w:val="21"/>
              </w:rPr>
              <w:t>：角色扮演视频记录+《团队伦理决策案例集》。</w:t>
            </w:r>
          </w:p>
        </w:tc>
        <w:tc>
          <w:tcPr>
            <w:tcW w:w="2287" w:type="dxa"/>
            <w:vAlign w:val="center"/>
          </w:tcPr>
          <w:p w14:paraId="4566926D">
            <w:pPr>
              <w:widowControl/>
              <w:jc w:val="left"/>
              <w:rPr>
                <w:rFonts w:ascii="宋体" w:hAnsi="宋体" w:eastAsia="宋体" w:cs="宋体"/>
                <w:color w:val="06071F"/>
                <w:kern w:val="0"/>
                <w:szCs w:val="21"/>
              </w:rPr>
            </w:pPr>
            <w:r>
              <w:rPr>
                <w:rStyle w:val="16"/>
                <w:rFonts w:hint="eastAsia" w:ascii="宋体" w:hAnsi="宋体" w:eastAsia="宋体" w:cs="微软雅黑"/>
                <w:b w:val="0"/>
                <w:bCs w:val="0"/>
                <w:color w:val="06071F"/>
                <w:szCs w:val="21"/>
              </w:rPr>
              <w:t>强化</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集体主义</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精神</w:t>
            </w:r>
            <w:r>
              <w:rPr>
                <w:rFonts w:hint="eastAsia" w:ascii="宋体" w:hAnsi="宋体" w:eastAsia="宋体"/>
                <w:color w:val="06071F"/>
                <w:szCs w:val="21"/>
              </w:rPr>
              <w:t>，理解创业中个人利益与团队目标的辩证关系。</w:t>
            </w:r>
          </w:p>
          <w:p w14:paraId="76218069">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建立</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诚信、共赢</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的团队伦理观</w:t>
            </w:r>
            <w:r>
              <w:rPr>
                <w:rFonts w:hint="eastAsia" w:ascii="宋体" w:hAnsi="宋体" w:eastAsia="宋体"/>
                <w:color w:val="06071F"/>
                <w:szCs w:val="21"/>
              </w:rPr>
              <w:t>，在冲突中寻求价值共识。</w:t>
            </w:r>
          </w:p>
        </w:tc>
      </w:tr>
      <w:tr w14:paraId="6067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387FC5B">
            <w:pPr>
              <w:jc w:val="left"/>
              <w:rPr>
                <w:rFonts w:ascii="宋体" w:hAnsi="宋体" w:eastAsia="宋体" w:cs="宋体"/>
                <w:szCs w:val="21"/>
              </w:rPr>
            </w:pPr>
            <w:r>
              <w:rPr>
                <w:rFonts w:hint="eastAsia" w:ascii="宋体" w:hAnsi="宋体" w:eastAsia="宋体"/>
                <w:color w:val="06071F"/>
                <w:szCs w:val="21"/>
                <w:shd w:val="clear" w:color="auto" w:fill="FDFDFE"/>
              </w:rPr>
              <w:t>路演实战：用“家国情怀”打动投资人</w:t>
            </w:r>
          </w:p>
        </w:tc>
        <w:tc>
          <w:tcPr>
            <w:tcW w:w="2894" w:type="dxa"/>
            <w:vAlign w:val="center"/>
          </w:tcPr>
          <w:p w14:paraId="2A9E3FE7">
            <w:pPr>
              <w:widowControl/>
              <w:jc w:val="left"/>
              <w:rPr>
                <w:rFonts w:ascii="宋体" w:hAnsi="宋体" w:eastAsia="宋体" w:cs="宋体"/>
                <w:color w:val="06071F"/>
                <w:kern w:val="0"/>
                <w:szCs w:val="21"/>
              </w:rPr>
            </w:pPr>
            <w:r>
              <w:rPr>
                <w:rStyle w:val="16"/>
                <w:rFonts w:hint="eastAsia" w:ascii="宋体" w:hAnsi="宋体" w:eastAsia="宋体" w:cs="微软雅黑"/>
                <w:b w:val="0"/>
                <w:bCs w:val="0"/>
                <w:color w:val="06071F"/>
                <w:szCs w:val="21"/>
              </w:rPr>
              <w:t>头脑风暴</w:t>
            </w:r>
            <w:r>
              <w:rPr>
                <w:rFonts w:hint="eastAsia" w:ascii="宋体" w:hAnsi="宋体" w:eastAsia="宋体"/>
                <w:color w:val="06071F"/>
                <w:szCs w:val="21"/>
              </w:rPr>
              <w:t>：设计“乡村振兴+科技赋能”主题项目，如AI农业监测系统。</w:t>
            </w:r>
          </w:p>
          <w:p w14:paraId="1406463B">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路演汇报</w:t>
            </w:r>
            <w:r>
              <w:rPr>
                <w:rFonts w:hint="eastAsia" w:ascii="宋体" w:hAnsi="宋体" w:eastAsia="宋体"/>
                <w:color w:val="06071F"/>
                <w:szCs w:val="21"/>
              </w:rPr>
              <w:t>：模拟投资人提问环节，重点考核社会价值表达（如“项目如何助力碳中和？”）。</w:t>
            </w:r>
          </w:p>
          <w:p w14:paraId="02E90AB3">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思政融合</w:t>
            </w:r>
            <w:r>
              <w:rPr>
                <w:rFonts w:hint="eastAsia" w:ascii="宋体" w:hAnsi="宋体" w:eastAsia="宋体"/>
                <w:color w:val="06071F"/>
                <w:szCs w:val="21"/>
              </w:rPr>
              <w:t>：分析“华为芯片突围”等案例，讨论技术创业的国产替代使命。</w:t>
            </w:r>
          </w:p>
        </w:tc>
        <w:tc>
          <w:tcPr>
            <w:tcW w:w="2126" w:type="dxa"/>
            <w:vAlign w:val="center"/>
          </w:tcPr>
          <w:p w14:paraId="122A0699">
            <w:pPr>
              <w:widowControl/>
              <w:jc w:val="left"/>
              <w:rPr>
                <w:rFonts w:ascii="宋体" w:hAnsi="宋体" w:eastAsia="宋体" w:cs="宋体"/>
                <w:color w:val="06071F"/>
                <w:kern w:val="0"/>
                <w:szCs w:val="21"/>
              </w:rPr>
            </w:pPr>
            <w:r>
              <w:rPr>
                <w:rStyle w:val="16"/>
                <w:rFonts w:hint="eastAsia" w:ascii="宋体" w:hAnsi="宋体" w:eastAsia="宋体" w:cs="微软雅黑"/>
                <w:b w:val="0"/>
                <w:bCs w:val="0"/>
                <w:color w:val="06071F"/>
                <w:szCs w:val="21"/>
              </w:rPr>
              <w:t>工具</w:t>
            </w:r>
            <w:r>
              <w:rPr>
                <w:rFonts w:hint="eastAsia" w:ascii="宋体" w:hAnsi="宋体" w:eastAsia="宋体"/>
                <w:color w:val="06071F"/>
                <w:szCs w:val="21"/>
              </w:rPr>
              <w:t>：使用“商业模式画布”搭建项目框架，融入ESG（环境、社会、治理）指标。</w:t>
            </w:r>
          </w:p>
          <w:p w14:paraId="414C2E1F">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产出</w:t>
            </w:r>
            <w:r>
              <w:rPr>
                <w:rFonts w:hint="eastAsia" w:ascii="宋体" w:hAnsi="宋体" w:eastAsia="宋体"/>
                <w:color w:val="06071F"/>
                <w:szCs w:val="21"/>
              </w:rPr>
              <w:t>：8分钟路演视频+《项目社会影响力评估报告》。</w:t>
            </w:r>
          </w:p>
        </w:tc>
        <w:tc>
          <w:tcPr>
            <w:tcW w:w="2287" w:type="dxa"/>
            <w:vAlign w:val="center"/>
          </w:tcPr>
          <w:p w14:paraId="6E103BED">
            <w:pPr>
              <w:widowControl/>
              <w:jc w:val="left"/>
              <w:rPr>
                <w:rFonts w:ascii="宋体" w:hAnsi="宋体" w:eastAsia="宋体" w:cs="宋体"/>
                <w:color w:val="06071F"/>
                <w:kern w:val="0"/>
                <w:szCs w:val="21"/>
              </w:rPr>
            </w:pPr>
            <w:r>
              <w:rPr>
                <w:rStyle w:val="16"/>
                <w:rFonts w:hint="eastAsia" w:ascii="宋体" w:hAnsi="宋体" w:eastAsia="宋体" w:cs="微软雅黑"/>
                <w:b w:val="0"/>
                <w:bCs w:val="0"/>
                <w:color w:val="06071F"/>
                <w:szCs w:val="21"/>
              </w:rPr>
              <w:t>践行</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科技报国</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使命</w:t>
            </w:r>
            <w:r>
              <w:rPr>
                <w:rFonts w:hint="eastAsia" w:ascii="宋体" w:hAnsi="宋体" w:eastAsia="宋体"/>
                <w:color w:val="06071F"/>
                <w:szCs w:val="21"/>
              </w:rPr>
              <w:t>，将技术创业与国家战略需求结合。</w:t>
            </w:r>
          </w:p>
          <w:p w14:paraId="229244D7">
            <w:pPr>
              <w:widowControl/>
              <w:jc w:val="left"/>
              <w:rPr>
                <w:rFonts w:hint="eastAsia" w:ascii="宋体" w:hAnsi="宋体" w:eastAsia="宋体"/>
                <w:color w:val="06071F"/>
                <w:szCs w:val="21"/>
              </w:rPr>
            </w:pPr>
            <w:r>
              <w:rPr>
                <w:rStyle w:val="16"/>
                <w:rFonts w:hint="eastAsia" w:ascii="宋体" w:hAnsi="宋体" w:eastAsia="宋体" w:cs="微软雅黑"/>
                <w:b w:val="0"/>
                <w:bCs w:val="0"/>
                <w:color w:val="06071F"/>
                <w:szCs w:val="21"/>
              </w:rPr>
              <w:t>理解</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创新驱动发展</w:t>
            </w:r>
            <w:r>
              <w:rPr>
                <w:rStyle w:val="16"/>
                <w:rFonts w:ascii="宋体" w:hAnsi="宋体" w:eastAsia="宋体" w:cs="Segoe UI"/>
                <w:b w:val="0"/>
                <w:bCs w:val="0"/>
                <w:color w:val="06071F"/>
                <w:szCs w:val="21"/>
              </w:rPr>
              <w:t>”</w:t>
            </w:r>
            <w:r>
              <w:rPr>
                <w:rStyle w:val="16"/>
                <w:rFonts w:hint="eastAsia" w:ascii="宋体" w:hAnsi="宋体" w:eastAsia="宋体" w:cs="微软雅黑"/>
                <w:b w:val="0"/>
                <w:bCs w:val="0"/>
                <w:color w:val="06071F"/>
                <w:szCs w:val="21"/>
              </w:rPr>
              <w:t>的创业逻辑</w:t>
            </w:r>
            <w:r>
              <w:rPr>
                <w:rFonts w:hint="eastAsia" w:ascii="宋体" w:hAnsi="宋体" w:eastAsia="宋体"/>
                <w:color w:val="06071F"/>
                <w:szCs w:val="21"/>
              </w:rPr>
              <w:t>，在硬科技中注入家国情怀。</w:t>
            </w:r>
          </w:p>
        </w:tc>
      </w:tr>
    </w:tbl>
    <w:p w14:paraId="320FD7CF">
      <w:pPr>
        <w:spacing w:line="360" w:lineRule="auto"/>
        <w:ind w:firstLine="551" w:firstLineChars="196"/>
        <w:jc w:val="left"/>
        <w:rPr>
          <w:rFonts w:ascii="宋体" w:hAnsi="宋体" w:eastAsia="宋体" w:cs="Times New Roman"/>
          <w:b/>
          <w:color w:val="000000"/>
          <w:sz w:val="28"/>
          <w:szCs w:val="28"/>
        </w:rPr>
      </w:pPr>
    </w:p>
    <w:p w14:paraId="24D6FACA">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665FE202">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0B6D787">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1.开课前组织任课教师开展师资培训，邀请校外专家分享创新创业教育领域最新的研究热 点，分学科选择教师代表分组讨论与交流教学经验，不断提高教学质量。另外，根据学生平 时的形成性考核和期末课程考核大作业以及学生、教学督导的反馈，及时改进教学中的不足 之处，并在下一轮课程教学中完善，确保达成相应毕业要求指标点。</w:t>
      </w:r>
    </w:p>
    <w:p w14:paraId="31774550">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2.引用的项目案例紧贴应用型地方高校特别是本校学生创新创业的亲身经历，使创新创业 更鲜活、更典型、更接地气，更有浓郁的地方特色。</w:t>
      </w:r>
    </w:p>
    <w:p w14:paraId="30F10FD3">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3.进一步丰富课程资源，形成以中国国际大学生创新大赛、“挑战杯”竞赛等重大赛事为 标志的“课-学-教-赛-创-产”多层次一体化的课程资源。</w:t>
      </w:r>
    </w:p>
    <w:p w14:paraId="2AF8E08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6D912A3">
      <w:pPr>
        <w:spacing w:line="360" w:lineRule="auto"/>
        <w:ind w:firstLine="420" w:firstLineChars="200"/>
        <w:jc w:val="left"/>
        <w:rPr>
          <w:rFonts w:ascii="Times New Roman" w:hAnsi="Times New Roman" w:eastAsia="宋体" w:cs="Times New Roman"/>
          <w:bCs/>
          <w:color w:val="000000"/>
          <w:szCs w:val="21"/>
        </w:rPr>
      </w:pPr>
      <w:r>
        <w:rPr>
          <w:rFonts w:ascii="Times New Roman" w:hAnsi="Times New Roman" w:eastAsia="宋体" w:cs="Times New Roman"/>
          <w:bCs/>
          <w:color w:val="000000"/>
          <w:szCs w:val="21"/>
        </w:rPr>
        <w:t>创新思维与创业实践，吕敏、张弘、赵军主编，上海交通大学出版社，2025 年 1 月</w:t>
      </w:r>
    </w:p>
    <w:p w14:paraId="1DFB14C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54E364E">
      <w:pPr>
        <w:spacing w:line="360" w:lineRule="auto"/>
        <w:ind w:firstLine="420" w:firstLineChars="200"/>
        <w:rPr>
          <w:rFonts w:ascii="宋体" w:hAnsi="宋体" w:eastAsia="宋体"/>
        </w:rPr>
      </w:pPr>
      <w:r>
        <w:rPr>
          <w:rFonts w:ascii="宋体" w:hAnsi="宋体" w:eastAsia="宋体"/>
        </w:rPr>
        <w:t>(1)倪志伟. 自下而上的变革：中国的市场化转型[M].北京：北京大学出版社，2019.</w:t>
      </w:r>
    </w:p>
    <w:p w14:paraId="04863F7B">
      <w:pPr>
        <w:spacing w:line="360" w:lineRule="auto"/>
        <w:ind w:firstLine="420" w:firstLineChars="200"/>
        <w:rPr>
          <w:rFonts w:ascii="宋体" w:hAnsi="宋体" w:eastAsia="宋体"/>
        </w:rPr>
      </w:pPr>
      <w:r>
        <w:rPr>
          <w:rFonts w:ascii="宋体" w:hAnsi="宋体" w:eastAsia="宋体"/>
        </w:rPr>
        <w:t>(2)王艳茹，金镭.新时代大学生创新与创业教程[M].北京：中国传媒大学出版社，2023.</w:t>
      </w:r>
    </w:p>
    <w:p w14:paraId="2D3E0FCD">
      <w:pPr>
        <w:spacing w:line="360" w:lineRule="auto"/>
        <w:ind w:firstLine="420" w:firstLineChars="200"/>
        <w:rPr>
          <w:rFonts w:ascii="宋体" w:hAnsi="宋体" w:eastAsia="宋体"/>
        </w:rPr>
      </w:pPr>
      <w:r>
        <w:rPr>
          <w:rFonts w:ascii="宋体" w:hAnsi="宋体" w:eastAsia="宋体"/>
        </w:rPr>
        <w:t>(3)李宝斌.大学生创新创业实务教程[M]. 上海：上海科学技术出版社，2024.</w:t>
      </w:r>
    </w:p>
    <w:p w14:paraId="40F0F534">
      <w:pPr>
        <w:spacing w:line="360" w:lineRule="auto"/>
        <w:ind w:firstLine="420" w:firstLineChars="200"/>
        <w:rPr>
          <w:rFonts w:ascii="宋体" w:hAnsi="宋体" w:eastAsia="宋体"/>
        </w:rPr>
      </w:pPr>
      <w:r>
        <w:rPr>
          <w:rFonts w:ascii="宋体" w:hAnsi="宋体" w:eastAsia="宋体"/>
        </w:rPr>
        <w:t>(4)李家华，林洪冰.大学生创新创业创造教程[M].湖南：湖南科学技术出版社，2022.</w:t>
      </w:r>
    </w:p>
    <w:p w14:paraId="76FB9B89">
      <w:pPr>
        <w:spacing w:line="360" w:lineRule="auto"/>
        <w:ind w:firstLine="420" w:firstLineChars="200"/>
        <w:rPr>
          <w:rFonts w:ascii="宋体" w:hAnsi="宋体" w:eastAsia="宋体"/>
        </w:rPr>
      </w:pPr>
      <w:r>
        <w:rPr>
          <w:rFonts w:ascii="宋体" w:hAnsi="宋体" w:eastAsia="宋体"/>
        </w:rPr>
        <w:t>(5)黄萧萧.创新创业创未来[M].四川：电子科技大学出版社，2020.</w:t>
      </w:r>
    </w:p>
    <w:p w14:paraId="2D8ADA32">
      <w:pPr>
        <w:spacing w:line="360" w:lineRule="auto"/>
        <w:ind w:firstLine="420" w:firstLineChars="200"/>
        <w:rPr>
          <w:rFonts w:ascii="宋体" w:hAnsi="宋体" w:eastAsia="宋体"/>
        </w:rPr>
      </w:pPr>
      <w:r>
        <w:rPr>
          <w:rFonts w:ascii="宋体" w:hAnsi="宋体" w:eastAsia="宋体"/>
        </w:rPr>
        <w:t>(6)吕敏，李荧，金卫东.大学生创业基础教程[M].南京：南京大学出版社，2021.</w:t>
      </w:r>
    </w:p>
    <w:p w14:paraId="42E17AB8">
      <w:pPr>
        <w:spacing w:line="360" w:lineRule="auto"/>
        <w:ind w:firstLine="420" w:firstLineChars="200"/>
        <w:rPr>
          <w:rFonts w:ascii="宋体" w:hAnsi="宋体" w:eastAsia="宋体"/>
        </w:rPr>
      </w:pPr>
      <w:r>
        <w:rPr>
          <w:rFonts w:ascii="宋体" w:hAnsi="宋体" w:eastAsia="宋体"/>
        </w:rPr>
        <w:t>(7)陈功，郭杰，刘芝怡，赵麟. 电类专业大学生创新实践培训教程[M].南京：东南大学 出版社，2021.</w:t>
      </w:r>
    </w:p>
    <w:p w14:paraId="5F2DB46B">
      <w:pPr>
        <w:spacing w:line="360" w:lineRule="auto"/>
        <w:ind w:firstLine="420" w:firstLineChars="200"/>
        <w:rPr>
          <w:rFonts w:ascii="宋体" w:hAnsi="宋体" w:eastAsia="宋体"/>
        </w:rPr>
      </w:pPr>
      <w:r>
        <w:rPr>
          <w:rFonts w:ascii="宋体" w:hAnsi="宋体" w:eastAsia="宋体"/>
        </w:rPr>
        <w:t>(8)韩炜，杨俊，叶竹馨.数字经济时代的创业前沿系列-商业模式创新实践的网络基础 与理论挑战[M].北京：科学出版社，2024.</w:t>
      </w:r>
    </w:p>
    <w:p w14:paraId="776F42F6">
      <w:pPr>
        <w:spacing w:line="360" w:lineRule="auto"/>
        <w:ind w:firstLine="420" w:firstLineChars="200"/>
        <w:rPr>
          <w:rFonts w:ascii="宋体" w:hAnsi="宋体" w:eastAsia="宋体"/>
        </w:rPr>
      </w:pPr>
      <w:r>
        <w:rPr>
          <w:rFonts w:ascii="宋体" w:hAnsi="宋体" w:eastAsia="宋体"/>
        </w:rPr>
        <w:t>(9)宫春艳.大学生创新创业能力提升实践教程[M]. 北京：清华大学出版社，2023.</w:t>
      </w:r>
    </w:p>
    <w:p w14:paraId="0268CC42">
      <w:pPr>
        <w:spacing w:line="360" w:lineRule="auto"/>
        <w:ind w:firstLine="420" w:firstLineChars="200"/>
        <w:rPr>
          <w:rFonts w:ascii="宋体" w:hAnsi="宋体" w:eastAsia="宋体"/>
        </w:rPr>
      </w:pPr>
      <w:r>
        <w:rPr>
          <w:rFonts w:ascii="宋体" w:hAnsi="宋体" w:eastAsia="宋体"/>
        </w:rPr>
        <w:t>(10)陈建校.创新创业典型案例分析[M].北京：机械工业出版社，2022.</w:t>
      </w:r>
    </w:p>
    <w:p w14:paraId="0970C13E">
      <w:pPr>
        <w:spacing w:line="360" w:lineRule="auto"/>
        <w:ind w:firstLine="420" w:firstLineChars="200"/>
        <w:rPr>
          <w:rFonts w:ascii="宋体" w:hAnsi="宋体" w:eastAsia="宋体"/>
        </w:rPr>
      </w:pPr>
      <w:r>
        <w:rPr>
          <w:rFonts w:ascii="宋体" w:hAnsi="宋体" w:eastAsia="宋体"/>
        </w:rPr>
        <w:t>(11)(美)蒂莫西·克拉克 (TIM CLARK),  (美)布鲁斯 · 黑曾 (BRUCE HAZEN), (瑞士)亚历山大 · 奥斯特瓦德 (ALEXANDER OSTERWALDER), (比利时)伊夫 · 皮尼 厄 (YVES       PIGNEUR),  (加拿大)艾伦 · 史密斯 (ALAN  SMITH)著;  贺芳芳，杜军译.商业模式新生代个人篇-一张画布重塑你的职业生涯第2版[M].北京：人民邮电出版社，2023.</w:t>
      </w:r>
    </w:p>
    <w:p w14:paraId="29AFEE0B">
      <w:pPr>
        <w:spacing w:line="360" w:lineRule="auto"/>
        <w:ind w:firstLine="420" w:firstLineChars="200"/>
        <w:rPr>
          <w:rFonts w:ascii="宋体" w:hAnsi="宋体" w:eastAsia="宋体"/>
        </w:rPr>
      </w:pPr>
      <w:r>
        <w:rPr>
          <w:rFonts w:ascii="宋体" w:hAnsi="宋体" w:eastAsia="宋体"/>
        </w:rPr>
        <w:t>(12)方奇凤，向永胜.商业模式创新的动因、路径与类型：理论回顾与整合分析框架[J]</w:t>
      </w:r>
      <w:r>
        <w:rPr>
          <w:rFonts w:hint="eastAsia"/>
        </w:rPr>
        <w:t>，</w:t>
      </w:r>
      <w:r>
        <w:rPr>
          <w:rFonts w:ascii="宋体" w:hAnsi="宋体" w:eastAsia="宋体"/>
        </w:rPr>
        <w:t>企业经济，2022,(10):76.</w:t>
      </w:r>
    </w:p>
    <w:p w14:paraId="5D4BE0C7">
      <w:pPr>
        <w:spacing w:line="360" w:lineRule="auto"/>
        <w:ind w:firstLine="420" w:firstLineChars="200"/>
      </w:pPr>
    </w:p>
    <w:p w14:paraId="2291BB13">
      <w:pPr>
        <w:rPr>
          <w:rFonts w:hint="eastAsia"/>
        </w:rPr>
      </w:pPr>
    </w:p>
    <w:p w14:paraId="42FB28C1">
      <w:pPr>
        <w:spacing w:line="360" w:lineRule="auto"/>
        <w:ind w:right="136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吕 敏</w:t>
      </w:r>
    </w:p>
    <w:p w14:paraId="3857549F">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审 定 人：王 健 </w:t>
      </w:r>
    </w:p>
    <w:p w14:paraId="09562FCE">
      <w:pPr>
        <w:spacing w:line="360" w:lineRule="auto"/>
        <w:ind w:right="108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4A74B5B8">
      <w:pPr>
        <w:spacing w:line="360" w:lineRule="auto"/>
        <w:ind w:right="-57" w:rightChars="-27"/>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2025</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1</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7A6C4369"/>
    <w:p w14:paraId="2662FEBE"/>
    <w:p w14:paraId="6E97B9ED">
      <w:pPr>
        <w:rPr>
          <w:rFonts w:hint="eastAsia"/>
        </w:rPr>
      </w:pPr>
      <w:r>
        <w:rPr>
          <w:rFonts w:hint="eastAsia"/>
        </w:rPr>
        <w:br w:type="page"/>
      </w:r>
    </w:p>
    <w:p w14:paraId="577EC666">
      <w:pPr>
        <w:pStyle w:val="2"/>
        <w:bidi w:val="0"/>
      </w:pPr>
      <w:bookmarkStart w:id="54" w:name="_Toc24366"/>
      <w:bookmarkStart w:id="55" w:name="_Toc16627"/>
      <w:bookmarkStart w:id="56" w:name="_Toc4812"/>
      <w:bookmarkStart w:id="57" w:name="_Toc23316"/>
      <w:bookmarkStart w:id="58" w:name="_Toc28679"/>
      <w:r>
        <w:rPr>
          <w:rFonts w:hint="eastAsia"/>
          <w:lang w:eastAsia="zh-CN"/>
        </w:rPr>
        <w:t>《</w:t>
      </w:r>
      <w:r>
        <w:rPr>
          <w:rFonts w:hint="eastAsia"/>
        </w:rPr>
        <w:t>军事理论</w:t>
      </w:r>
      <w:r>
        <w:rPr>
          <w:rFonts w:hint="eastAsia"/>
          <w:lang w:eastAsia="zh-CN"/>
        </w:rPr>
        <w:t>》</w:t>
      </w:r>
      <w:r>
        <w:rPr>
          <w:rFonts w:hint="eastAsia"/>
        </w:rPr>
        <w:t>课程教学大纲</w:t>
      </w:r>
      <w:bookmarkEnd w:id="54"/>
      <w:bookmarkEnd w:id="55"/>
      <w:bookmarkEnd w:id="56"/>
      <w:bookmarkEnd w:id="57"/>
      <w:bookmarkEnd w:id="58"/>
    </w:p>
    <w:p w14:paraId="358E2054">
      <w:pPr>
        <w:widowControl/>
        <w:spacing w:line="360" w:lineRule="auto"/>
        <w:jc w:val="center"/>
        <w:rPr>
          <w:rFonts w:hint="eastAsia" w:ascii="宋体" w:hAnsi="宋体" w:eastAsia="宋体" w:cs="宋体"/>
          <w:b/>
          <w:bCs/>
          <w:color w:val="000000"/>
          <w:kern w:val="0"/>
          <w:sz w:val="28"/>
          <w:szCs w:val="28"/>
          <w:lang w:bidi="ar"/>
        </w:rPr>
      </w:pPr>
      <w:r>
        <w:rPr>
          <w:rFonts w:hint="eastAsia" w:ascii="宋体" w:hAnsi="宋体" w:eastAsia="宋体" w:cs="宋体"/>
          <w:b/>
          <w:bCs/>
          <w:color w:val="000000"/>
          <w:kern w:val="0"/>
          <w:sz w:val="28"/>
          <w:szCs w:val="28"/>
          <w:lang w:bidi="ar"/>
        </w:rPr>
        <w:t>（Military theory）</w:t>
      </w:r>
    </w:p>
    <w:p w14:paraId="3F6EC64F">
      <w:pPr>
        <w:widowControl/>
        <w:spacing w:line="360" w:lineRule="auto"/>
        <w:jc w:val="center"/>
        <w:rPr>
          <w:rFonts w:hint="eastAsia" w:ascii="宋体" w:hAnsi="宋体" w:eastAsia="宋体" w:cs="宋体"/>
          <w:b/>
          <w:bCs/>
          <w:color w:val="000000"/>
          <w:kern w:val="0"/>
          <w:sz w:val="28"/>
          <w:szCs w:val="28"/>
          <w:lang w:bidi="ar"/>
        </w:rPr>
      </w:pPr>
    </w:p>
    <w:p w14:paraId="155D1727">
      <w:pPr>
        <w:spacing w:line="360" w:lineRule="auto"/>
        <w:ind w:firstLine="482" w:firstLineChars="200"/>
        <w:rPr>
          <w:rFonts w:ascii="宋体" w:hAnsi="宋体" w:eastAsia="宋体" w:cs="Times New Roman"/>
          <w:b/>
          <w:bCs/>
          <w:color w:val="000000" w:themeColor="text1"/>
          <w:kern w:val="0"/>
          <w:sz w:val="24"/>
          <w:szCs w:val="22"/>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课程代码：</w:t>
      </w:r>
      <w:r>
        <w:rPr>
          <w:rFonts w:hint="eastAsia" w:ascii="宋体" w:hAnsi="宋体" w:eastAsia="宋体" w:cs="Times New Roman"/>
          <w:b/>
          <w:bCs/>
          <w:color w:val="000000" w:themeColor="text1"/>
          <w:kern w:val="0"/>
          <w:sz w:val="24"/>
          <w:szCs w:val="22"/>
          <w14:textFill>
            <w14:solidFill>
              <w14:schemeClr w14:val="tx1"/>
            </w14:solidFill>
          </w14:textFill>
        </w:rPr>
        <w:t>0000002</w:t>
      </w:r>
    </w:p>
    <w:p w14:paraId="2F4E01D8">
      <w:pPr>
        <w:spacing w:line="360" w:lineRule="auto"/>
        <w:ind w:firstLine="482" w:firstLineChars="200"/>
        <w:rPr>
          <w:rFonts w:ascii="宋体" w:hAnsi="宋体" w:eastAsia="宋体" w:cs="Times New Roman"/>
          <w:b/>
          <w:bCs/>
          <w:color w:val="000000" w:themeColor="text1"/>
          <w:kern w:val="0"/>
          <w:sz w:val="24"/>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学    分：</w:t>
      </w:r>
      <w:r>
        <w:rPr>
          <w:rFonts w:hint="eastAsia" w:ascii="宋体" w:hAnsi="宋体" w:eastAsia="宋体" w:cs="Times New Roman"/>
          <w:b/>
          <w:bCs/>
          <w:color w:val="000000" w:themeColor="text1"/>
          <w:kern w:val="0"/>
          <w:sz w:val="24"/>
          <w:szCs w:val="22"/>
          <w14:textFill>
            <w14:solidFill>
              <w14:schemeClr w14:val="tx1"/>
            </w14:solidFill>
          </w14:textFill>
        </w:rPr>
        <w:t>2</w:t>
      </w:r>
    </w:p>
    <w:p w14:paraId="5EA98AAB">
      <w:pPr>
        <w:spacing w:line="360" w:lineRule="auto"/>
        <w:ind w:firstLine="482" w:firstLineChars="200"/>
        <w:rPr>
          <w:rFonts w:ascii="宋体" w:hAnsi="宋体" w:eastAsia="宋体" w:cs="Times New Roman"/>
          <w:b/>
          <w:bCs/>
          <w:color w:val="000000" w:themeColor="text1"/>
          <w:kern w:val="0"/>
          <w:sz w:val="24"/>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学    时：</w:t>
      </w:r>
      <w:r>
        <w:rPr>
          <w:rFonts w:hint="eastAsia" w:ascii="宋体" w:hAnsi="宋体" w:eastAsia="宋体" w:cs="Times New Roman"/>
          <w:b/>
          <w:bCs/>
          <w:color w:val="000000" w:themeColor="text1"/>
          <w:kern w:val="0"/>
          <w:sz w:val="24"/>
          <w14:textFill>
            <w14:solidFill>
              <w14:schemeClr w14:val="tx1"/>
            </w14:solidFill>
          </w14:textFill>
        </w:rPr>
        <w:t>32</w:t>
      </w:r>
      <w:r>
        <w:rPr>
          <w:rFonts w:ascii="宋体" w:hAnsi="宋体" w:eastAsia="宋体" w:cs="Times New Roman"/>
          <w:b/>
          <w:bCs/>
          <w:color w:val="000000" w:themeColor="text1"/>
          <w:kern w:val="0"/>
          <w:sz w:val="24"/>
          <w14:textFill>
            <w14:solidFill>
              <w14:schemeClr w14:val="tx1"/>
            </w14:solidFill>
          </w14:textFill>
        </w:rPr>
        <w:t xml:space="preserve"> </w:t>
      </w:r>
      <w:r>
        <w:rPr>
          <w:rFonts w:hint="eastAsia" w:ascii="宋体" w:hAnsi="宋体" w:eastAsia="宋体" w:cs="宋体"/>
          <w:b/>
          <w:bCs/>
          <w:color w:val="000000" w:themeColor="text1"/>
          <w:kern w:val="0"/>
          <w:sz w:val="24"/>
          <w14:textFill>
            <w14:solidFill>
              <w14:schemeClr w14:val="tx1"/>
            </w14:solidFill>
          </w14:textFill>
        </w:rPr>
        <w:t>（其中：讲授学时32， 实践学时0）</w:t>
      </w:r>
    </w:p>
    <w:p w14:paraId="29399BBD">
      <w:pPr>
        <w:spacing w:line="360" w:lineRule="auto"/>
        <w:ind w:firstLine="482" w:firstLineChars="200"/>
        <w:jc w:val="left"/>
        <w:rPr>
          <w:rFonts w:ascii="宋体" w:hAnsi="宋体" w:eastAsia="宋体" w:cs="Times New Roman"/>
          <w:b/>
          <w:bCs/>
          <w:color w:val="000000" w:themeColor="text1"/>
          <w:sz w:val="24"/>
          <w:szCs w:val="22"/>
          <w14:textFill>
            <w14:solidFill>
              <w14:schemeClr w14:val="tx1"/>
            </w14:solidFill>
          </w14:textFill>
        </w:rPr>
      </w:pPr>
      <w:r>
        <w:rPr>
          <w:rFonts w:ascii="宋体" w:hAnsi="宋体" w:eastAsia="宋体" w:cs="Times New Roman"/>
          <w:b/>
          <w:bCs/>
          <w:color w:val="000000" w:themeColor="text1"/>
          <w:kern w:val="0"/>
          <w:sz w:val="24"/>
          <w:lang w:val="zh-CN"/>
          <w14:textFill>
            <w14:solidFill>
              <w14:schemeClr w14:val="tx1"/>
            </w14:solidFill>
          </w14:textFill>
        </w:rPr>
        <w:t>先修课程：</w:t>
      </w:r>
      <w:r>
        <w:rPr>
          <w:rFonts w:hint="eastAsia" w:ascii="宋体" w:hAnsi="宋体" w:eastAsia="宋体" w:cs="Times New Roman"/>
          <w:b/>
          <w:bCs/>
          <w:color w:val="000000" w:themeColor="text1"/>
          <w:kern w:val="0"/>
          <w:sz w:val="24"/>
          <w14:textFill>
            <w14:solidFill>
              <w14:schemeClr w14:val="tx1"/>
            </w14:solidFill>
          </w14:textFill>
        </w:rPr>
        <w:t>无</w:t>
      </w:r>
    </w:p>
    <w:p w14:paraId="22185E6E">
      <w:pPr>
        <w:spacing w:line="360" w:lineRule="auto"/>
        <w:ind w:firstLine="482" w:firstLineChars="200"/>
        <w:rPr>
          <w:rFonts w:hint="eastAsia" w:ascii="宋体" w:hAnsi="宋体" w:eastAsia="宋体" w:cs="Times New Roman"/>
          <w:color w:val="000000" w:themeColor="text1"/>
          <w:kern w:val="0"/>
          <w:sz w:val="24"/>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适用专业：</w:t>
      </w:r>
      <w:r>
        <w:rPr>
          <w:rFonts w:hint="eastAsia" w:ascii="宋体" w:hAnsi="宋体" w:eastAsia="宋体" w:cs="Times New Roman"/>
          <w:b/>
          <w:bCs/>
          <w:color w:val="000000" w:themeColor="text1"/>
          <w:kern w:val="0"/>
          <w:sz w:val="24"/>
          <w14:textFill>
            <w14:solidFill>
              <w14:schemeClr w14:val="tx1"/>
            </w14:solidFill>
          </w14:textFill>
        </w:rPr>
        <w:t>学校全部专业</w:t>
      </w:r>
      <w:r>
        <w:rPr>
          <w:rFonts w:hint="eastAsia" w:ascii="宋体" w:hAnsi="宋体" w:eastAsia="宋体" w:cs="Times New Roman"/>
          <w:color w:val="000000" w:themeColor="text1"/>
          <w:kern w:val="0"/>
          <w:sz w:val="24"/>
          <w14:textFill>
            <w14:solidFill>
              <w14:schemeClr w14:val="tx1"/>
            </w14:solidFill>
          </w14:textFill>
        </w:rPr>
        <w:t>。</w:t>
      </w:r>
    </w:p>
    <w:p w14:paraId="17637E08">
      <w:pPr>
        <w:spacing w:line="360" w:lineRule="auto"/>
        <w:jc w:val="left"/>
        <w:rPr>
          <w:rFonts w:ascii="Times New Roman" w:hAnsi="Times New Roman" w:eastAsia="宋体" w:cs="Times New Roman"/>
          <w:b/>
          <w:sz w:val="24"/>
          <w:szCs w:val="24"/>
        </w:rPr>
      </w:pPr>
    </w:p>
    <w:p w14:paraId="06A44F39">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51D470B1">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eastAsia="宋体" w:cs="Times New Roman"/>
          <w:b/>
          <w:color w:val="000000"/>
          <w:szCs w:val="21"/>
        </w:rPr>
      </w:pPr>
      <w:r>
        <w:rPr>
          <w:rFonts w:hint="eastAsia" w:ascii="宋体" w:hAnsi="宋体" w:eastAsia="宋体" w:cs="Times New Roman"/>
          <w:b/>
          <w:bCs/>
          <w:color w:val="000000" w:themeColor="text1"/>
          <w:kern w:val="0"/>
          <w:sz w:val="21"/>
          <w:szCs w:val="21"/>
          <w14:textFill>
            <w14:solidFill>
              <w14:schemeClr w14:val="tx1"/>
            </w14:solidFill>
          </w14:textFill>
        </w:rPr>
        <w:t>课程的性质与任务：</w:t>
      </w:r>
      <w:r>
        <w:rPr>
          <w:rFonts w:hint="eastAsia" w:ascii="宋体" w:hAnsi="宋体" w:eastAsia="宋体" w:cs="宋体"/>
          <w:sz w:val="21"/>
          <w:szCs w:val="21"/>
        </w:rPr>
        <w:t>依据《中华人民共和国国防法》《中华人民共和国兵役法》《中华人民共和国教育法》以及国务院、中央军委有关文件精神，军事课是普通高等学校学生的必修课程。军事课要以习近平强军思想和习近平总书记关于教育的重要论述为遵循，全面贯彻党的教育方针、新时代军事战略方针和总体国家安全观，围绕立德树人根本任务和强军目标根本要求，着眼培育和践行社会主义核心价值观,以提升学生国防意识和军事素养为重点，为实施军民融合发展战略和建设国防后备力量服务。</w:t>
      </w:r>
    </w:p>
    <w:p w14:paraId="71614A1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37266252">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D7C5CB8">
      <w:pPr>
        <w:spacing w:line="360" w:lineRule="auto"/>
        <w:ind w:firstLine="422" w:firstLineChars="200"/>
        <w:jc w:val="left"/>
        <w:rPr>
          <w:rFonts w:ascii="Times New Roman" w:hAnsi="Times New Roman" w:eastAsia="宋体" w:cs="Times New Roman"/>
          <w:b w:val="0"/>
          <w:bCs/>
          <w:szCs w:val="21"/>
        </w:rPr>
      </w:pPr>
      <w:r>
        <w:rPr>
          <w:rFonts w:hint="eastAsia" w:ascii="Times New Roman" w:hAnsi="Times New Roman" w:eastAsia="宋体" w:cs="Times New Roman"/>
          <w:b/>
          <w:szCs w:val="21"/>
        </w:rPr>
        <w:t>目标</w:t>
      </w:r>
      <w:r>
        <w:rPr>
          <w:rFonts w:hint="eastAsia" w:ascii="Times New Roman" w:hAnsi="Times New Roman" w:eastAsia="宋体" w:cs="Times New Roman"/>
          <w:b/>
          <w:szCs w:val="21"/>
          <w:lang w:val="en-US" w:eastAsia="zh-CN"/>
        </w:rPr>
        <w:t>1</w:t>
      </w:r>
      <w:r>
        <w:rPr>
          <w:rFonts w:ascii="Times New Roman" w:hAnsi="Times New Roman" w:eastAsia="宋体" w:cs="Times New Roman"/>
          <w:b/>
          <w:szCs w:val="21"/>
        </w:rPr>
        <w:t xml:space="preserve">. </w:t>
      </w:r>
      <w:r>
        <w:rPr>
          <w:rFonts w:ascii="Times New Roman" w:hAnsi="Times New Roman" w:eastAsia="宋体" w:cs="Times New Roman"/>
          <w:b w:val="0"/>
          <w:bCs/>
          <w:szCs w:val="21"/>
        </w:rPr>
        <w:t>通过系统讲授国防历史、军事思想与国家安全战略，引导学生深刻理解总体国家安全观，强化忧患意识与使命担当，筑牢献身国防的思想根基。</w:t>
      </w:r>
    </w:p>
    <w:p w14:paraId="2EEA3CB8">
      <w:pPr>
        <w:spacing w:line="360" w:lineRule="auto"/>
        <w:ind w:firstLine="482"/>
        <w:jc w:val="left"/>
        <w:rPr>
          <w:rFonts w:ascii="Times New Roman" w:hAnsi="Times New Roman" w:eastAsia="宋体" w:cs="Times New Roman"/>
          <w:b w:val="0"/>
          <w:bCs/>
          <w:szCs w:val="21"/>
        </w:rPr>
      </w:pPr>
      <w:r>
        <w:rPr>
          <w:rFonts w:hint="eastAsia" w:ascii="Times New Roman" w:hAnsi="Times New Roman" w:eastAsia="宋体" w:cs="Times New Roman"/>
          <w:b/>
          <w:szCs w:val="21"/>
        </w:rPr>
        <w:t>目标</w:t>
      </w:r>
      <w:r>
        <w:rPr>
          <w:rFonts w:hint="eastAsia" w:ascii="Times New Roman" w:hAnsi="Times New Roman" w:eastAsia="宋体" w:cs="Times New Roman"/>
          <w:b/>
          <w:szCs w:val="21"/>
          <w:lang w:val="en-US" w:eastAsia="zh-CN"/>
        </w:rPr>
        <w:t>2</w:t>
      </w:r>
      <w:r>
        <w:rPr>
          <w:rFonts w:ascii="Times New Roman" w:hAnsi="Times New Roman" w:eastAsia="宋体" w:cs="Times New Roman"/>
          <w:b/>
          <w:szCs w:val="21"/>
        </w:rPr>
        <w:t>.</w:t>
      </w:r>
      <w:r>
        <w:rPr>
          <w:rFonts w:hint="eastAsia" w:ascii="Times New Roman" w:hAnsi="Times New Roman" w:eastAsia="宋体" w:cs="Times New Roman"/>
          <w:b/>
          <w:szCs w:val="21"/>
        </w:rPr>
        <w:t xml:space="preserve"> </w:t>
      </w:r>
      <w:r>
        <w:rPr>
          <w:rFonts w:hint="eastAsia" w:ascii="Times New Roman" w:hAnsi="Times New Roman" w:eastAsia="宋体" w:cs="Times New Roman"/>
          <w:b w:val="0"/>
          <w:bCs/>
          <w:szCs w:val="21"/>
        </w:rPr>
        <w:t>解析信息化战争本质特征，剖析经典战例与军事变革规律，培养学生运用军事理论框架分析国际安全形势、预判战略走向的能力。</w:t>
      </w:r>
    </w:p>
    <w:p w14:paraId="5B1BF625">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b w:val="0"/>
          <w:bCs/>
          <w:kern w:val="0"/>
          <w:szCs w:val="21"/>
        </w:rPr>
        <w:t>结合军事推演、危机决策模拟等实践环节，锤炼学生战略预判、临机决断和综合运筹能力，塑造适应未来智能化战争需求的军事思维品质。</w:t>
      </w:r>
    </w:p>
    <w:p w14:paraId="704DFEE0">
      <w:pPr>
        <w:spacing w:before="156" w:beforeLines="50" w:after="156" w:afterLines="50" w:line="360" w:lineRule="auto"/>
        <w:jc w:val="left"/>
        <w:rPr>
          <w:rFonts w:hint="eastAsia" w:ascii="Times New Roman" w:hAnsi="Times New Roman" w:eastAsia="宋体" w:cs="Times New Roman"/>
          <w:b/>
          <w:bCs/>
          <w:szCs w:val="21"/>
        </w:rPr>
      </w:pPr>
    </w:p>
    <w:p w14:paraId="3C261159">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486"/>
      </w:tblGrid>
      <w:tr w14:paraId="7A30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718922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1BB3B67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486" w:type="dxa"/>
            <w:vAlign w:val="center"/>
          </w:tcPr>
          <w:p w14:paraId="6A39702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C3F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F1BEA6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w:t>
            </w:r>
            <w:r>
              <w:rPr>
                <w:rFonts w:hint="eastAsia" w:ascii="Times New Roman" w:hAnsi="Times New Roman" w:eastAsia="宋体" w:cs="Times New Roman"/>
                <w:szCs w:val="21"/>
                <w:lang w:val="en-US" w:eastAsia="zh-CN"/>
              </w:rPr>
              <w:t>.</w:t>
            </w:r>
            <w:r>
              <w:rPr>
                <w:rFonts w:hint="eastAsia" w:ascii="Times New Roman" w:hAnsi="Times New Roman" w:eastAsia="宋体" w:cs="Times New Roman"/>
                <w:szCs w:val="21"/>
              </w:rPr>
              <w:t>师德规范</w:t>
            </w:r>
          </w:p>
        </w:tc>
        <w:tc>
          <w:tcPr>
            <w:tcW w:w="5688" w:type="dxa"/>
            <w:vAlign w:val="center"/>
          </w:tcPr>
          <w:p w14:paraId="44BFB2B3">
            <w:pPr>
              <w:spacing w:line="276" w:lineRule="auto"/>
              <w:jc w:val="left"/>
              <w:rPr>
                <w:rFonts w:ascii="Times New Roman" w:hAnsi="Times New Roman" w:eastAsia="宋体" w:cs="Times New Roman"/>
                <w:szCs w:val="21"/>
              </w:rPr>
            </w:pPr>
            <w:r>
              <w:rPr>
                <w:rFonts w:hint="eastAsia" w:ascii="宋体" w:hAnsi="宋体" w:eastAsia="宋体" w:cs="宋体"/>
                <w:kern w:val="0"/>
                <w:sz w:val="21"/>
                <w:szCs w:val="21"/>
              </w:rPr>
              <w:t>指标点</w:t>
            </w:r>
            <w:r>
              <w:rPr>
                <w:rFonts w:hint="eastAsia" w:ascii="宋体" w:hAnsi="宋体" w:eastAsia="宋体" w:cs="宋体"/>
                <w:sz w:val="21"/>
                <w:szCs w:val="21"/>
              </w:rPr>
              <w:t>1-1：【理想信念坚定】了解我国国情及国际局势，深刻理解新时代中国特色社会主义思想内涵，高度认识其对中国式现代化建设的指导意义</w:t>
            </w:r>
            <w:r>
              <w:rPr>
                <w:rFonts w:hint="eastAsia" w:eastAsia="宋体" w:cs="宋体"/>
                <w:sz w:val="21"/>
                <w:szCs w:val="21"/>
              </w:rPr>
              <w:t>；</w:t>
            </w:r>
            <w:r>
              <w:rPr>
                <w:rFonts w:hint="eastAsia" w:ascii="宋体" w:hAnsi="宋体" w:eastAsia="宋体" w:cs="宋体"/>
                <w:sz w:val="21"/>
                <w:szCs w:val="21"/>
              </w:rPr>
              <w:t>认同中国特色社会主义，贯彻党的教育方针，自觉践行社会主义核心价值观</w:t>
            </w:r>
            <w:r>
              <w:rPr>
                <w:rFonts w:hint="eastAsia" w:eastAsia="宋体" w:cs="宋体"/>
                <w:sz w:val="21"/>
                <w:szCs w:val="21"/>
              </w:rPr>
              <w:t>；认同教师劳动的价值，</w:t>
            </w:r>
            <w:r>
              <w:rPr>
                <w:rFonts w:hint="eastAsia" w:ascii="宋体" w:hAnsi="宋体" w:eastAsia="宋体" w:cs="宋体"/>
                <w:sz w:val="21"/>
                <w:szCs w:val="21"/>
              </w:rPr>
              <w:t>树立职业理想，立志成为有理想信念、有道德情操、有扎实学识、有仁爱之心受学生爱戴的好老师。</w:t>
            </w:r>
          </w:p>
        </w:tc>
        <w:tc>
          <w:tcPr>
            <w:tcW w:w="1486" w:type="dxa"/>
            <w:vAlign w:val="center"/>
          </w:tcPr>
          <w:p w14:paraId="1166677C">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1</w:t>
            </w:r>
          </w:p>
        </w:tc>
      </w:tr>
      <w:tr w14:paraId="4404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FAF124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7EA85A1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指标点3-1：【通识知识广博】具有小学教育本科专业相应的自然科学和人文社会科学知识素养。</w:t>
            </w:r>
          </w:p>
        </w:tc>
        <w:tc>
          <w:tcPr>
            <w:tcW w:w="1486" w:type="dxa"/>
            <w:vAlign w:val="center"/>
          </w:tcPr>
          <w:p w14:paraId="33CC934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3</w:t>
            </w:r>
          </w:p>
        </w:tc>
      </w:tr>
    </w:tbl>
    <w:p w14:paraId="1CCA724F">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0F1BCD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eastAsia="宋体" w:cs="Times New Roman"/>
          <w:b w:val="0"/>
          <w:bCs/>
          <w:color w:val="000000"/>
          <w:sz w:val="21"/>
          <w:szCs w:val="21"/>
        </w:rPr>
      </w:pPr>
      <w:r>
        <w:rPr>
          <w:rFonts w:ascii="宋体" w:hAnsi="宋体" w:eastAsia="宋体" w:cs="Times New Roman"/>
          <w:b w:val="0"/>
          <w:bCs/>
          <w:color w:val="000000"/>
          <w:sz w:val="21"/>
          <w:szCs w:val="21"/>
        </w:rPr>
        <w:t>军事理论课程思政目标在于通过系统讲授国防历史、军事思想与国家安全战略，引导学生深刻理解党对军队绝对领导的根本原则，厚植家国情怀与国防意识，培育"总体国家安全观"的思维视野，激发青年学子科技强军、投身国防的使命担当，在掌握现代战争理论的同时，强化"国之大者"的政治自觉，实现知识传授与价值引领的同频共振。</w:t>
      </w:r>
    </w:p>
    <w:p w14:paraId="16A9273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eastAsia="宋体" w:cs="Times New Roman"/>
          <w:b w:val="0"/>
          <w:bCs/>
          <w:color w:val="000000"/>
          <w:sz w:val="21"/>
          <w:szCs w:val="21"/>
        </w:rPr>
      </w:pPr>
    </w:p>
    <w:p w14:paraId="27EFA8C8">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112E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B0E2E2F">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12FA47F9">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3F0DB2F">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78EDB7CE">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27F738D6">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7B1D5222">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2927F83">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59DDEE51">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2F8E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B55AB8C">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中国国防</w:t>
            </w:r>
          </w:p>
        </w:tc>
        <w:tc>
          <w:tcPr>
            <w:tcW w:w="1701" w:type="dxa"/>
            <w:vAlign w:val="center"/>
          </w:tcPr>
          <w:p w14:paraId="291A599A">
            <w:pPr>
              <w:numPr>
                <w:ilvl w:val="0"/>
                <w:numId w:val="0"/>
              </w:numPr>
              <w:spacing w:line="269" w:lineRule="auto"/>
              <w:ind w:leftChars="0"/>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国防概述</w:t>
            </w:r>
          </w:p>
          <w:p w14:paraId="4D494B8F">
            <w:pPr>
              <w:numPr>
                <w:ilvl w:val="0"/>
                <w:numId w:val="0"/>
              </w:numPr>
              <w:spacing w:line="269" w:lineRule="auto"/>
              <w:ind w:leftChars="0"/>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国防法规</w:t>
            </w:r>
          </w:p>
          <w:p w14:paraId="2CA4A233">
            <w:pPr>
              <w:numPr>
                <w:ilvl w:val="0"/>
                <w:numId w:val="0"/>
              </w:numPr>
              <w:spacing w:line="269" w:lineRule="auto"/>
              <w:ind w:leftChars="0"/>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国防建设</w:t>
            </w:r>
          </w:p>
          <w:p w14:paraId="4C569F73">
            <w:pPr>
              <w:numPr>
                <w:ilvl w:val="0"/>
                <w:numId w:val="0"/>
              </w:numPr>
              <w:spacing w:line="269" w:lineRule="auto"/>
              <w:ind w:leftChars="0"/>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武装力量</w:t>
            </w:r>
          </w:p>
          <w:p w14:paraId="573B6E65">
            <w:pPr>
              <w:numPr>
                <w:ilvl w:val="0"/>
                <w:numId w:val="0"/>
              </w:numPr>
              <w:spacing w:line="269" w:lineRule="auto"/>
              <w:ind w:leftChars="0"/>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国防动员</w:t>
            </w:r>
          </w:p>
        </w:tc>
        <w:tc>
          <w:tcPr>
            <w:tcW w:w="1134" w:type="dxa"/>
            <w:vAlign w:val="center"/>
          </w:tcPr>
          <w:p w14:paraId="2FDDA44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1C14AD4">
            <w:r>
              <w:rPr>
                <w:rFonts w:hint="eastAsia" w:ascii="宋体" w:hAnsi="宋体" w:eastAsia="宋体" w:cs="宋体"/>
                <w:color w:val="000000"/>
                <w:szCs w:val="21"/>
                <w:lang w:val="en-US" w:eastAsia="zh-CN"/>
              </w:rPr>
              <w:t>1.</w:t>
            </w:r>
            <w:r>
              <w:rPr>
                <w:rFonts w:hint="eastAsia" w:ascii="宋体" w:hAnsi="宋体" w:eastAsia="宋体" w:cs="宋体"/>
                <w:color w:val="000000"/>
                <w:szCs w:val="21"/>
              </w:rPr>
              <w:t>国防的内涵、国防类型、国防历史与启示、现代国防观。</w:t>
            </w:r>
          </w:p>
          <w:p w14:paraId="41EE1ADD">
            <w:r>
              <w:rPr>
                <w:rFonts w:hint="eastAsia" w:ascii="宋体" w:hAnsi="宋体" w:eastAsia="宋体" w:cs="宋体"/>
                <w:color w:val="000000"/>
                <w:szCs w:val="21"/>
                <w:lang w:val="en-US" w:eastAsia="zh-CN"/>
              </w:rPr>
              <w:t>2.</w:t>
            </w:r>
            <w:r>
              <w:rPr>
                <w:rFonts w:hint="eastAsia" w:ascii="宋体" w:hAnsi="宋体" w:eastAsia="宋体" w:cs="宋体"/>
                <w:color w:val="000000"/>
                <w:szCs w:val="21"/>
              </w:rPr>
              <w:t>国防法规体系、公民的国防权利与义务。</w:t>
            </w:r>
          </w:p>
          <w:p w14:paraId="6986A591">
            <w:r>
              <w:rPr>
                <w:rFonts w:hint="eastAsia" w:ascii="宋体" w:hAnsi="宋体" w:eastAsia="宋体" w:cs="宋体"/>
                <w:color w:val="000000"/>
                <w:szCs w:val="21"/>
                <w:lang w:val="en-US" w:eastAsia="zh-CN"/>
              </w:rPr>
              <w:t>3.</w:t>
            </w:r>
            <w:r>
              <w:rPr>
                <w:rFonts w:hint="eastAsia" w:ascii="宋体" w:hAnsi="宋体" w:eastAsia="宋体" w:cs="宋体"/>
                <w:color w:val="000000"/>
                <w:szCs w:val="21"/>
              </w:rPr>
              <w:t>国防体制、国防战略、国防政策、国防成就、军民融合。</w:t>
            </w:r>
          </w:p>
          <w:p w14:paraId="3F8C6244">
            <w:r>
              <w:rPr>
                <w:rFonts w:hint="eastAsia" w:ascii="宋体" w:hAnsi="宋体" w:eastAsia="宋体" w:cs="宋体"/>
                <w:color w:val="000000"/>
                <w:szCs w:val="21"/>
                <w:lang w:val="en-US" w:eastAsia="zh-CN"/>
              </w:rPr>
              <w:t>4.</w:t>
            </w:r>
            <w:r>
              <w:rPr>
                <w:rFonts w:hint="eastAsia" w:ascii="宋体" w:hAnsi="宋体" w:eastAsia="宋体" w:cs="宋体"/>
                <w:color w:val="000000"/>
                <w:szCs w:val="21"/>
              </w:rPr>
              <w:t>中国武装力量性质、宗旨、使命及武装力量构成，人民军队的发展历程。</w:t>
            </w:r>
          </w:p>
          <w:p w14:paraId="3CC33334">
            <w:pPr>
              <w:rPr>
                <w:rFonts w:ascii="宋体" w:hAnsi="宋体" w:eastAsia="宋体" w:cs="Times New Roman"/>
                <w:color w:val="000000"/>
                <w:szCs w:val="21"/>
              </w:rPr>
            </w:pPr>
            <w:r>
              <w:rPr>
                <w:rFonts w:hint="eastAsia" w:ascii="宋体" w:hAnsi="宋体" w:eastAsia="宋体" w:cs="宋体"/>
                <w:color w:val="000000"/>
                <w:szCs w:val="21"/>
                <w:lang w:val="en-US" w:eastAsia="zh-CN"/>
              </w:rPr>
              <w:t>5.</w:t>
            </w:r>
            <w:r>
              <w:rPr>
                <w:rFonts w:hint="eastAsia" w:ascii="宋体" w:hAnsi="宋体" w:eastAsia="宋体" w:cs="宋体"/>
                <w:color w:val="000000"/>
                <w:szCs w:val="21"/>
              </w:rPr>
              <w:t>国防动员内涵、国防动员主要内容及意义。</w:t>
            </w:r>
          </w:p>
        </w:tc>
        <w:tc>
          <w:tcPr>
            <w:tcW w:w="1560" w:type="dxa"/>
            <w:vAlign w:val="center"/>
          </w:tcPr>
          <w:p w14:paraId="0FEC83C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9EF092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F06B58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210B7FC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10</w:t>
            </w:r>
          </w:p>
        </w:tc>
      </w:tr>
      <w:tr w14:paraId="5A4D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5975045">
            <w:pPr>
              <w:spacing w:line="264" w:lineRule="auto"/>
              <w:jc w:val="center"/>
              <w:rPr>
                <w:rFonts w:ascii="宋体" w:hAnsi="宋体" w:eastAsia="宋体" w:cs="Times New Roman"/>
                <w:color w:val="000000"/>
                <w:szCs w:val="21"/>
              </w:rPr>
            </w:pPr>
          </w:p>
        </w:tc>
        <w:tc>
          <w:tcPr>
            <w:tcW w:w="8093" w:type="dxa"/>
            <w:gridSpan w:val="5"/>
            <w:vAlign w:val="center"/>
          </w:tcPr>
          <w:p w14:paraId="480C974A">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Cs w:val="21"/>
              </w:rPr>
              <w:t>理解国防内涵和国防历史，树立正确的国防观；了解我国国防体制、国防战略、国防政策以及国防成就，激发学生的爱国热情；熟悉国防法规、武装力量、国防动员的主要内容，增强学生国防意识。</w:t>
            </w:r>
          </w:p>
        </w:tc>
      </w:tr>
      <w:tr w14:paraId="24BD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7A53939">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2.国家安全</w:t>
            </w:r>
          </w:p>
        </w:tc>
        <w:tc>
          <w:tcPr>
            <w:tcW w:w="1701" w:type="dxa"/>
            <w:vAlign w:val="center"/>
          </w:tcPr>
          <w:p w14:paraId="5400A6B4">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1</w:t>
            </w:r>
            <w:r>
              <w:rPr>
                <w:rFonts w:hint="eastAsia" w:ascii="宋体" w:hAnsi="宋体" w:eastAsia="宋体" w:cs="宋体"/>
                <w:color w:val="000000"/>
                <w:szCs w:val="21"/>
                <w:lang w:eastAsia="zh-CN"/>
              </w:rPr>
              <w:t>）</w:t>
            </w:r>
            <w:r>
              <w:rPr>
                <w:rFonts w:hint="eastAsia" w:ascii="宋体" w:hAnsi="宋体" w:eastAsia="宋体" w:cs="宋体"/>
                <w:color w:val="000000"/>
                <w:szCs w:val="21"/>
              </w:rPr>
              <w:t>国家安全概述</w:t>
            </w:r>
          </w:p>
          <w:p w14:paraId="6895E6C5">
            <w:r>
              <w:rPr>
                <w:rFonts w:hint="eastAsia" w:ascii="宋体" w:hAnsi="宋体" w:eastAsia="宋体" w:cs="宋体"/>
                <w:color w:val="000000"/>
                <w:szCs w:val="21"/>
                <w:lang w:val="en-US" w:eastAsia="zh-CN"/>
              </w:rPr>
              <w:t>（2）</w:t>
            </w:r>
            <w:r>
              <w:rPr>
                <w:rFonts w:hint="eastAsia" w:ascii="宋体" w:hAnsi="宋体" w:eastAsia="宋体" w:cs="宋体"/>
                <w:color w:val="000000"/>
                <w:szCs w:val="21"/>
              </w:rPr>
              <w:t>国家安全形势</w:t>
            </w:r>
          </w:p>
          <w:p w14:paraId="43E5728C">
            <w:pPr>
              <w:rPr>
                <w:rFonts w:ascii="宋体" w:hAnsi="宋体" w:eastAsia="宋体" w:cs="Times New Roman"/>
                <w:color w:val="000000"/>
                <w:szCs w:val="21"/>
              </w:rPr>
            </w:pP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3</w:t>
            </w:r>
            <w:r>
              <w:rPr>
                <w:rFonts w:hint="eastAsia" w:ascii="宋体" w:hAnsi="宋体" w:eastAsia="宋体" w:cs="宋体"/>
                <w:color w:val="000000"/>
                <w:szCs w:val="21"/>
                <w:lang w:eastAsia="zh-CN"/>
              </w:rPr>
              <w:t>）</w:t>
            </w:r>
            <w:r>
              <w:rPr>
                <w:rFonts w:hint="eastAsia" w:ascii="宋体" w:hAnsi="宋体" w:eastAsia="宋体" w:cs="宋体"/>
                <w:color w:val="000000"/>
                <w:szCs w:val="21"/>
              </w:rPr>
              <w:t>国际战略形势</w:t>
            </w:r>
          </w:p>
        </w:tc>
        <w:tc>
          <w:tcPr>
            <w:tcW w:w="1134" w:type="dxa"/>
            <w:vAlign w:val="center"/>
          </w:tcPr>
          <w:p w14:paraId="2024ADA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354DF02E">
            <w:r>
              <w:rPr>
                <w:rFonts w:hint="eastAsia" w:ascii="宋体" w:hAnsi="宋体" w:eastAsia="宋体" w:cs="Times New Roman"/>
                <w:color w:val="000000"/>
                <w:szCs w:val="21"/>
              </w:rPr>
              <w:t>1.</w:t>
            </w:r>
            <w:r>
              <w:rPr>
                <w:rFonts w:hint="eastAsia" w:ascii="宋体" w:hAnsi="宋体" w:eastAsia="宋体" w:cs="宋体"/>
                <w:color w:val="000000"/>
                <w:szCs w:val="21"/>
              </w:rPr>
              <w:t>国家安全的内涵、原则、总体安全观。</w:t>
            </w:r>
          </w:p>
          <w:p w14:paraId="52D6E24C">
            <w:r>
              <w:rPr>
                <w:rFonts w:hint="eastAsia" w:ascii="宋体" w:hAnsi="宋体" w:eastAsia="宋体" w:cs="宋体"/>
                <w:color w:val="000000"/>
                <w:szCs w:val="21"/>
                <w:lang w:val="en-US" w:eastAsia="zh-CN"/>
              </w:rPr>
              <w:t>2.</w:t>
            </w:r>
            <w:r>
              <w:rPr>
                <w:rFonts w:hint="eastAsia" w:ascii="宋体" w:hAnsi="宋体" w:eastAsia="宋体" w:cs="宋体"/>
                <w:color w:val="000000"/>
                <w:szCs w:val="21"/>
              </w:rPr>
              <w:t>我国地缘环境基本概况、地缘安全、新形势下的国家安全、新兴领域的国家安全。</w:t>
            </w:r>
          </w:p>
          <w:p w14:paraId="17139B86">
            <w:pPr>
              <w:rPr>
                <w:rFonts w:ascii="宋体" w:hAnsi="宋体" w:eastAsia="宋体" w:cs="Times New Roman"/>
                <w:color w:val="000000"/>
                <w:szCs w:val="21"/>
              </w:rPr>
            </w:pPr>
            <w:r>
              <w:rPr>
                <w:rFonts w:hint="eastAsia" w:ascii="宋体" w:hAnsi="宋体" w:eastAsia="宋体" w:cs="宋体"/>
                <w:color w:val="000000"/>
                <w:szCs w:val="21"/>
                <w:lang w:val="en-US" w:eastAsia="zh-CN"/>
              </w:rPr>
              <w:t>3.</w:t>
            </w:r>
            <w:r>
              <w:rPr>
                <w:rFonts w:hint="eastAsia" w:ascii="宋体" w:hAnsi="宋体" w:eastAsia="宋体" w:cs="宋体"/>
                <w:color w:val="000000"/>
                <w:szCs w:val="21"/>
              </w:rPr>
              <w:t>国际战略形势现状与发展趋势、世界主要国家军事力量及战略动向。</w:t>
            </w:r>
          </w:p>
        </w:tc>
        <w:tc>
          <w:tcPr>
            <w:tcW w:w="1560" w:type="dxa"/>
            <w:vAlign w:val="center"/>
          </w:tcPr>
          <w:p w14:paraId="7E5B46E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56428A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4FE798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6BA7A134">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8</w:t>
            </w:r>
          </w:p>
        </w:tc>
      </w:tr>
      <w:tr w14:paraId="159C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1DDBB97">
            <w:pPr>
              <w:spacing w:line="264" w:lineRule="auto"/>
              <w:jc w:val="center"/>
              <w:rPr>
                <w:rFonts w:ascii="宋体" w:hAnsi="宋体" w:eastAsia="宋体" w:cs="Times New Roman"/>
                <w:color w:val="000000"/>
                <w:szCs w:val="21"/>
              </w:rPr>
            </w:pPr>
          </w:p>
        </w:tc>
        <w:tc>
          <w:tcPr>
            <w:tcW w:w="8093" w:type="dxa"/>
            <w:gridSpan w:val="5"/>
            <w:vAlign w:val="center"/>
          </w:tcPr>
          <w:p w14:paraId="3D1D111E">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Cs w:val="21"/>
              </w:rPr>
              <w:t>正确把握和认识国家安全的内涵，理解我国总体国家安全观，提升学生防间保密意识；深刻认识当前我国面临的安全形势。了解世界主要国家军事力量及战略动向，增强学生忧患意识。</w:t>
            </w:r>
          </w:p>
        </w:tc>
      </w:tr>
      <w:tr w14:paraId="060D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775575A">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军事思想</w:t>
            </w:r>
          </w:p>
        </w:tc>
        <w:tc>
          <w:tcPr>
            <w:tcW w:w="1701" w:type="dxa"/>
            <w:vAlign w:val="center"/>
          </w:tcPr>
          <w:p w14:paraId="361BC5FC">
            <w:r>
              <w:rPr>
                <w:rFonts w:hint="eastAsia" w:ascii="宋体" w:hAnsi="宋体" w:eastAsia="宋体" w:cs="Times New Roman"/>
                <w:color w:val="000000"/>
                <w:szCs w:val="21"/>
              </w:rPr>
              <w:t>（1）</w:t>
            </w:r>
            <w:r>
              <w:rPr>
                <w:rFonts w:hint="eastAsia" w:ascii="宋体" w:hAnsi="宋体" w:eastAsia="宋体" w:cs="宋体"/>
                <w:color w:val="000000"/>
                <w:szCs w:val="21"/>
              </w:rPr>
              <w:t>军事思想概述</w:t>
            </w:r>
          </w:p>
          <w:p w14:paraId="490933D8">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2</w:t>
            </w:r>
            <w:r>
              <w:rPr>
                <w:rFonts w:hint="eastAsia" w:ascii="宋体" w:hAnsi="宋体" w:eastAsia="宋体" w:cs="宋体"/>
                <w:color w:val="000000"/>
                <w:szCs w:val="21"/>
                <w:lang w:eastAsia="zh-CN"/>
              </w:rPr>
              <w:t>）</w:t>
            </w:r>
            <w:r>
              <w:rPr>
                <w:rFonts w:hint="eastAsia" w:ascii="宋体" w:hAnsi="宋体" w:eastAsia="宋体" w:cs="宋体"/>
                <w:color w:val="000000"/>
                <w:szCs w:val="21"/>
              </w:rPr>
              <w:t>外国军事思想</w:t>
            </w:r>
          </w:p>
          <w:p w14:paraId="49C0DB54">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3</w:t>
            </w:r>
            <w:r>
              <w:rPr>
                <w:rFonts w:hint="eastAsia" w:ascii="宋体" w:hAnsi="宋体" w:eastAsia="宋体" w:cs="宋体"/>
                <w:color w:val="000000"/>
                <w:szCs w:val="21"/>
                <w:lang w:eastAsia="zh-CN"/>
              </w:rPr>
              <w:t>）</w:t>
            </w:r>
            <w:r>
              <w:rPr>
                <w:rFonts w:hint="eastAsia" w:ascii="宋体" w:hAnsi="宋体" w:eastAsia="宋体" w:cs="宋体"/>
                <w:color w:val="000000"/>
                <w:szCs w:val="21"/>
              </w:rPr>
              <w:t>中国古代军事思想</w:t>
            </w:r>
          </w:p>
          <w:p w14:paraId="4FC77C80">
            <w:pPr>
              <w:rPr>
                <w:rFonts w:ascii="宋体" w:hAnsi="宋体" w:eastAsia="宋体" w:cs="Times New Roman"/>
                <w:color w:val="000000"/>
                <w:szCs w:val="21"/>
              </w:rPr>
            </w:pP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4</w:t>
            </w:r>
            <w:r>
              <w:rPr>
                <w:rFonts w:hint="eastAsia" w:ascii="宋体" w:hAnsi="宋体" w:eastAsia="宋体" w:cs="宋体"/>
                <w:color w:val="000000"/>
                <w:szCs w:val="21"/>
                <w:lang w:eastAsia="zh-CN"/>
              </w:rPr>
              <w:t>）</w:t>
            </w:r>
            <w:r>
              <w:rPr>
                <w:rFonts w:hint="eastAsia" w:ascii="宋体" w:hAnsi="宋体" w:eastAsia="宋体" w:cs="宋体"/>
                <w:color w:val="000000"/>
                <w:szCs w:val="21"/>
              </w:rPr>
              <w:t>当代中国军事思想</w:t>
            </w:r>
          </w:p>
        </w:tc>
        <w:tc>
          <w:tcPr>
            <w:tcW w:w="1134" w:type="dxa"/>
            <w:vAlign w:val="center"/>
          </w:tcPr>
          <w:p w14:paraId="73E3A506">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2、3</w:t>
            </w:r>
          </w:p>
        </w:tc>
        <w:tc>
          <w:tcPr>
            <w:tcW w:w="3260" w:type="dxa"/>
            <w:vAlign w:val="center"/>
          </w:tcPr>
          <w:p w14:paraId="0CEDD701">
            <w:r>
              <w:rPr>
                <w:rFonts w:hint="eastAsia" w:ascii="宋体" w:hAnsi="宋体" w:eastAsia="宋体" w:cs="Times New Roman"/>
                <w:color w:val="000000"/>
                <w:szCs w:val="21"/>
              </w:rPr>
              <w:t>1.</w:t>
            </w:r>
            <w:r>
              <w:rPr>
                <w:rFonts w:hint="eastAsia" w:ascii="宋体" w:hAnsi="宋体" w:eastAsia="宋体" w:cs="宋体"/>
                <w:color w:val="000000"/>
                <w:szCs w:val="21"/>
              </w:rPr>
              <w:t>军事思想的内涵、发展历程以及地位作用。</w:t>
            </w:r>
          </w:p>
          <w:p w14:paraId="5FE5B348">
            <w:r>
              <w:rPr>
                <w:rFonts w:hint="eastAsia" w:ascii="宋体" w:hAnsi="宋体" w:eastAsia="宋体" w:cs="宋体"/>
                <w:color w:val="000000"/>
                <w:szCs w:val="21"/>
                <w:lang w:val="en-US" w:eastAsia="zh-CN"/>
              </w:rPr>
              <w:t>2.</w:t>
            </w:r>
            <w:r>
              <w:rPr>
                <w:rFonts w:hint="eastAsia" w:ascii="宋体" w:hAnsi="宋体" w:eastAsia="宋体" w:cs="宋体"/>
                <w:color w:val="000000"/>
                <w:szCs w:val="21"/>
              </w:rPr>
              <w:t>外国军事思想的主要内容、特点以及代表性著作。</w:t>
            </w:r>
          </w:p>
          <w:p w14:paraId="742D2D2D">
            <w:r>
              <w:rPr>
                <w:rFonts w:hint="eastAsia" w:ascii="宋体" w:hAnsi="宋体" w:eastAsia="宋体" w:cs="宋体"/>
                <w:color w:val="000000"/>
                <w:szCs w:val="21"/>
                <w:lang w:val="en-US" w:eastAsia="zh-CN"/>
              </w:rPr>
              <w:t>3.</w:t>
            </w:r>
            <w:r>
              <w:rPr>
                <w:rFonts w:hint="eastAsia" w:ascii="宋体" w:hAnsi="宋体" w:eastAsia="宋体" w:cs="宋体"/>
                <w:color w:val="000000"/>
                <w:szCs w:val="21"/>
              </w:rPr>
              <w:t>中国古代军事思想的主要内容、特点以及代表性著作。</w:t>
            </w:r>
          </w:p>
          <w:p w14:paraId="715F633A">
            <w:pPr>
              <w:rPr>
                <w:rFonts w:ascii="宋体" w:hAnsi="宋体" w:eastAsia="宋体" w:cs="Times New Roman"/>
                <w:color w:val="000000"/>
                <w:szCs w:val="21"/>
              </w:r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毛泽东军事思想、邓小平新时期军队建设思想、江泽民国防和军队建设思想、胡锦涛国防和军队建设思想、习近平强军思想。</w:t>
            </w:r>
          </w:p>
        </w:tc>
        <w:tc>
          <w:tcPr>
            <w:tcW w:w="1560" w:type="dxa"/>
            <w:vAlign w:val="center"/>
          </w:tcPr>
          <w:p w14:paraId="30CE0D0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D1512B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06B68D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4E3EF9C">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152C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6EC3002">
            <w:pPr>
              <w:spacing w:line="264" w:lineRule="auto"/>
              <w:jc w:val="center"/>
              <w:rPr>
                <w:rFonts w:ascii="宋体" w:hAnsi="宋体" w:eastAsia="宋体" w:cs="Times New Roman"/>
                <w:color w:val="000000"/>
                <w:szCs w:val="21"/>
              </w:rPr>
            </w:pPr>
          </w:p>
        </w:tc>
        <w:tc>
          <w:tcPr>
            <w:tcW w:w="8093" w:type="dxa"/>
            <w:gridSpan w:val="5"/>
            <w:vAlign w:val="center"/>
          </w:tcPr>
          <w:p w14:paraId="76884CCB">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Cs w:val="21"/>
              </w:rPr>
              <w:t>了解军事思想的内涵和形成与发展历程，了解外国代表性军事思想，熟悉我国军事思想的主要内容、地位作用和现实意义，理解习近平强军思想的科学含义和主要内容，使学生树立科学的战争观和方法论。</w:t>
            </w:r>
          </w:p>
        </w:tc>
      </w:tr>
      <w:tr w14:paraId="6C6E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372E580">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现代战争</w:t>
            </w:r>
          </w:p>
        </w:tc>
        <w:tc>
          <w:tcPr>
            <w:tcW w:w="1701" w:type="dxa"/>
            <w:vAlign w:val="center"/>
          </w:tcPr>
          <w:p w14:paraId="243A1D67">
            <w:r>
              <w:rPr>
                <w:rFonts w:hint="eastAsia" w:ascii="宋体" w:hAnsi="宋体" w:eastAsia="宋体" w:cs="Times New Roman"/>
                <w:color w:val="000000"/>
                <w:szCs w:val="21"/>
              </w:rPr>
              <w:t>（1）</w:t>
            </w:r>
            <w:r>
              <w:rPr>
                <w:rFonts w:hint="eastAsia" w:ascii="宋体" w:hAnsi="宋体" w:eastAsia="宋体" w:cs="宋体"/>
                <w:color w:val="000000"/>
                <w:szCs w:val="21"/>
              </w:rPr>
              <w:t>战争概述</w:t>
            </w:r>
          </w:p>
          <w:p w14:paraId="5A8CE07E">
            <w:r>
              <w:rPr>
                <w:rStyle w:val="45"/>
                <w:rFonts w:hint="eastAsia" w:ascii="宋体" w:hAnsi="宋体" w:eastAsia="宋体" w:cs="宋体"/>
                <w:color w:val="000000"/>
                <w:szCs w:val="21"/>
                <w:lang w:val="en-US" w:eastAsia="zh-CN"/>
              </w:rPr>
              <w:t>（2）</w:t>
            </w:r>
            <w:r>
              <w:rPr>
                <w:rFonts w:hint="eastAsia" w:ascii="宋体" w:hAnsi="宋体" w:eastAsia="宋体" w:cs="宋体"/>
                <w:color w:val="000000"/>
                <w:szCs w:val="21"/>
              </w:rPr>
              <w:t>新军事革命</w:t>
            </w:r>
          </w:p>
          <w:p w14:paraId="0BBF1A8A">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3</w:t>
            </w:r>
            <w:r>
              <w:rPr>
                <w:rFonts w:hint="eastAsia" w:ascii="宋体" w:hAnsi="宋体" w:eastAsia="宋体" w:cs="宋体"/>
                <w:color w:val="000000"/>
                <w:szCs w:val="21"/>
                <w:lang w:eastAsia="zh-CN"/>
              </w:rPr>
              <w:t>）</w:t>
            </w:r>
            <w:r>
              <w:rPr>
                <w:rFonts w:hint="eastAsia" w:ascii="宋体" w:hAnsi="宋体" w:eastAsia="宋体" w:cs="宋体"/>
                <w:color w:val="000000"/>
                <w:szCs w:val="21"/>
              </w:rPr>
              <w:t>机械化战争</w:t>
            </w:r>
          </w:p>
          <w:p w14:paraId="69C24C1E">
            <w:pPr>
              <w:rPr>
                <w:rFonts w:ascii="宋体" w:hAnsi="宋体" w:eastAsia="宋体" w:cs="Times New Roman"/>
                <w:color w:val="000000"/>
                <w:szCs w:val="21"/>
              </w:rPr>
            </w:pP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4</w:t>
            </w:r>
            <w:r>
              <w:rPr>
                <w:rFonts w:hint="eastAsia" w:ascii="宋体" w:hAnsi="宋体" w:eastAsia="宋体" w:cs="宋体"/>
                <w:color w:val="000000"/>
                <w:szCs w:val="21"/>
                <w:lang w:eastAsia="zh-CN"/>
              </w:rPr>
              <w:t>）</w:t>
            </w:r>
            <w:r>
              <w:rPr>
                <w:rFonts w:hint="eastAsia" w:ascii="宋体" w:hAnsi="宋体" w:eastAsia="宋体" w:cs="宋体"/>
                <w:color w:val="000000"/>
                <w:szCs w:val="21"/>
              </w:rPr>
              <w:t>信息化战争</w:t>
            </w:r>
          </w:p>
        </w:tc>
        <w:tc>
          <w:tcPr>
            <w:tcW w:w="1134" w:type="dxa"/>
            <w:vAlign w:val="center"/>
          </w:tcPr>
          <w:p w14:paraId="3AC65284">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74FE8D65">
            <w:r>
              <w:rPr>
                <w:rFonts w:hint="eastAsia" w:ascii="宋体" w:hAnsi="宋体" w:eastAsia="宋体" w:cs="Times New Roman"/>
                <w:color w:val="000000"/>
                <w:szCs w:val="21"/>
              </w:rPr>
              <w:t>1.</w:t>
            </w:r>
            <w:r>
              <w:rPr>
                <w:rFonts w:hint="eastAsia" w:ascii="宋体" w:hAnsi="宋体" w:eastAsia="宋体" w:cs="宋体"/>
                <w:color w:val="000000"/>
                <w:szCs w:val="21"/>
              </w:rPr>
              <w:t>战争的内涵、特点、发展的历程。</w:t>
            </w:r>
          </w:p>
          <w:p w14:paraId="365BCD7C">
            <w:r>
              <w:rPr>
                <w:rFonts w:hint="eastAsia" w:ascii="宋体" w:hAnsi="宋体" w:eastAsia="宋体" w:cs="宋体"/>
                <w:color w:val="000000"/>
                <w:szCs w:val="21"/>
                <w:lang w:val="en-US" w:eastAsia="zh-CN"/>
              </w:rPr>
              <w:t>2.</w:t>
            </w:r>
            <w:r>
              <w:rPr>
                <w:rFonts w:hint="eastAsia" w:ascii="宋体" w:hAnsi="宋体" w:eastAsia="宋体" w:cs="宋体"/>
                <w:color w:val="000000"/>
                <w:szCs w:val="21"/>
              </w:rPr>
              <w:t>新军事革命的内涵、发展演变、主要内容。</w:t>
            </w:r>
          </w:p>
          <w:p w14:paraId="2ADEDB18">
            <w:r>
              <w:rPr>
                <w:rFonts w:hint="eastAsia" w:ascii="宋体" w:hAnsi="宋体" w:eastAsia="宋体" w:cs="宋体"/>
                <w:color w:val="000000"/>
                <w:szCs w:val="21"/>
                <w:lang w:val="en-US" w:eastAsia="zh-CN"/>
              </w:rPr>
              <w:t>3.</w:t>
            </w:r>
            <w:r>
              <w:rPr>
                <w:rFonts w:hint="eastAsia" w:ascii="宋体" w:hAnsi="宋体" w:eastAsia="宋体" w:cs="宋体"/>
                <w:color w:val="000000"/>
                <w:szCs w:val="21"/>
              </w:rPr>
              <w:t>机械化战争的基本内涵、主要形态、特征和代表性战例。</w:t>
            </w:r>
          </w:p>
          <w:p w14:paraId="7C9E7360">
            <w:pPr>
              <w:rPr>
                <w:rFonts w:ascii="宋体" w:hAnsi="宋体" w:eastAsia="宋体" w:cs="Times New Roman"/>
                <w:color w:val="000000"/>
                <w:szCs w:val="21"/>
              </w:r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信息化战争的基本内涵、主要形态、特征、代表性战例，战争形态发展趋势。</w:t>
            </w:r>
          </w:p>
        </w:tc>
        <w:tc>
          <w:tcPr>
            <w:tcW w:w="1560" w:type="dxa"/>
            <w:vAlign w:val="center"/>
          </w:tcPr>
          <w:p w14:paraId="693C4F0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EFD4723">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318FF4D">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06DAAB7F">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61DF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DC12C1F">
            <w:pPr>
              <w:spacing w:line="276" w:lineRule="auto"/>
              <w:jc w:val="center"/>
              <w:rPr>
                <w:rFonts w:ascii="宋体" w:hAnsi="宋体" w:eastAsia="宋体" w:cs="Times New Roman"/>
                <w:color w:val="000000"/>
                <w:szCs w:val="21"/>
              </w:rPr>
            </w:pPr>
          </w:p>
        </w:tc>
        <w:tc>
          <w:tcPr>
            <w:tcW w:w="8093" w:type="dxa"/>
            <w:gridSpan w:val="5"/>
            <w:vAlign w:val="center"/>
          </w:tcPr>
          <w:p w14:paraId="7B6664DA">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Cs w:val="21"/>
              </w:rPr>
              <w:t>了解战争内涵、特点、发展历程，理解新军事革命的内涵和发展演变，掌握机械化战争、信息化战争的形成、主要形态、特征、代表性战例和发展趋势，使学生树立打赢信息化战争的信心。</w:t>
            </w:r>
          </w:p>
        </w:tc>
      </w:tr>
      <w:tr w14:paraId="0A76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E4F30E">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5.</w:t>
            </w:r>
            <w:r>
              <w:rPr>
                <w:rFonts w:hint="eastAsia" w:ascii="宋体" w:hAnsi="宋体" w:eastAsia="宋体" w:cs="Times New Roman"/>
                <w:color w:val="000000"/>
                <w:szCs w:val="21"/>
                <w:lang w:val="en-US" w:eastAsia="zh-CN"/>
              </w:rPr>
              <w:t>信息化装备</w:t>
            </w:r>
          </w:p>
        </w:tc>
        <w:tc>
          <w:tcPr>
            <w:tcW w:w="1701" w:type="dxa"/>
            <w:vAlign w:val="center"/>
          </w:tcPr>
          <w:p w14:paraId="3A94FD81">
            <w:r>
              <w:rPr>
                <w:rFonts w:hint="eastAsia" w:ascii="宋体" w:hAnsi="宋体" w:eastAsia="宋体" w:cs="Times New Roman"/>
                <w:color w:val="000000"/>
                <w:szCs w:val="21"/>
              </w:rPr>
              <w:t>（1）</w:t>
            </w:r>
            <w:r>
              <w:rPr>
                <w:rFonts w:hint="eastAsia" w:ascii="宋体" w:hAnsi="宋体" w:eastAsia="宋体" w:cs="宋体"/>
                <w:color w:val="000000"/>
                <w:szCs w:val="21"/>
              </w:rPr>
              <w:t>信息化装备概述</w:t>
            </w:r>
          </w:p>
          <w:p w14:paraId="55511550">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2</w:t>
            </w:r>
            <w:r>
              <w:rPr>
                <w:rFonts w:hint="eastAsia" w:ascii="宋体" w:hAnsi="宋体" w:eastAsia="宋体" w:cs="宋体"/>
                <w:color w:val="000000"/>
                <w:szCs w:val="21"/>
                <w:lang w:eastAsia="zh-CN"/>
              </w:rPr>
              <w:t>）</w:t>
            </w:r>
            <w:r>
              <w:rPr>
                <w:rFonts w:hint="eastAsia" w:ascii="宋体" w:hAnsi="宋体" w:eastAsia="宋体" w:cs="宋体"/>
                <w:color w:val="000000"/>
                <w:szCs w:val="21"/>
              </w:rPr>
              <w:t>信息化作战平台</w:t>
            </w:r>
          </w:p>
          <w:p w14:paraId="5B2AB0FB">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3</w:t>
            </w:r>
            <w:r>
              <w:rPr>
                <w:rFonts w:hint="eastAsia" w:ascii="宋体" w:hAnsi="宋体" w:eastAsia="宋体" w:cs="宋体"/>
                <w:color w:val="000000"/>
                <w:szCs w:val="21"/>
                <w:lang w:eastAsia="zh-CN"/>
              </w:rPr>
              <w:t>）</w:t>
            </w:r>
            <w:r>
              <w:rPr>
                <w:rFonts w:hint="eastAsia" w:ascii="宋体" w:hAnsi="宋体" w:eastAsia="宋体" w:cs="宋体"/>
                <w:color w:val="000000"/>
                <w:szCs w:val="21"/>
              </w:rPr>
              <w:t>综合电子信息系统</w:t>
            </w:r>
          </w:p>
          <w:p w14:paraId="4BBAEA71">
            <w:pPr>
              <w:rPr>
                <w:rFonts w:ascii="宋体" w:hAnsi="宋体" w:eastAsia="宋体" w:cs="Times New Roman"/>
                <w:color w:val="000000"/>
                <w:szCs w:val="21"/>
              </w:rPr>
            </w:pP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4</w:t>
            </w:r>
            <w:r>
              <w:rPr>
                <w:rFonts w:hint="eastAsia" w:ascii="宋体" w:hAnsi="宋体" w:eastAsia="宋体" w:cs="宋体"/>
                <w:color w:val="000000"/>
                <w:szCs w:val="21"/>
                <w:lang w:eastAsia="zh-CN"/>
              </w:rPr>
              <w:t>）</w:t>
            </w:r>
            <w:r>
              <w:rPr>
                <w:rFonts w:hint="eastAsia" w:ascii="宋体" w:hAnsi="宋体" w:eastAsia="宋体" w:cs="宋体"/>
                <w:color w:val="000000"/>
                <w:szCs w:val="21"/>
              </w:rPr>
              <w:t>信息化杀伤武器</w:t>
            </w:r>
          </w:p>
        </w:tc>
        <w:tc>
          <w:tcPr>
            <w:tcW w:w="1134" w:type="dxa"/>
            <w:vAlign w:val="center"/>
          </w:tcPr>
          <w:p w14:paraId="126B3D78">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0F80CC9C">
            <w:r>
              <w:rPr>
                <w:rFonts w:hint="eastAsia" w:ascii="宋体" w:hAnsi="宋体" w:eastAsia="宋体" w:cs="Times New Roman"/>
                <w:color w:val="000000"/>
                <w:szCs w:val="21"/>
              </w:rPr>
              <w:t>1.</w:t>
            </w:r>
            <w:r>
              <w:rPr>
                <w:rFonts w:hint="eastAsia" w:ascii="宋体" w:hAnsi="宋体" w:eastAsia="宋体" w:cs="宋体"/>
                <w:color w:val="000000"/>
                <w:szCs w:val="21"/>
              </w:rPr>
              <w:t>信息化装备的内涵、分类、对现代作战的影响以及发展趋势。</w:t>
            </w:r>
          </w:p>
          <w:p w14:paraId="5B126C88">
            <w:r>
              <w:rPr>
                <w:rFonts w:hint="eastAsia" w:ascii="宋体" w:hAnsi="宋体" w:eastAsia="宋体" w:cs="宋体"/>
                <w:color w:val="000000"/>
                <w:szCs w:val="21"/>
                <w:lang w:val="en-US" w:eastAsia="zh-CN"/>
              </w:rPr>
              <w:t>2.</w:t>
            </w:r>
            <w:r>
              <w:rPr>
                <w:rFonts w:hint="eastAsia" w:ascii="宋体" w:hAnsi="宋体" w:eastAsia="宋体" w:cs="宋体"/>
                <w:color w:val="000000"/>
                <w:szCs w:val="21"/>
              </w:rPr>
              <w:t>各国主战飞机、坦克、军舰等信息武器装备发展趋势、战例应用。</w:t>
            </w:r>
          </w:p>
          <w:p w14:paraId="2FFF176B">
            <w:r>
              <w:rPr>
                <w:rFonts w:hint="eastAsia" w:ascii="宋体" w:hAnsi="宋体" w:eastAsia="宋体" w:cs="宋体"/>
                <w:color w:val="000000"/>
                <w:szCs w:val="21"/>
                <w:lang w:val="en-US" w:eastAsia="zh-CN"/>
              </w:rPr>
              <w:t>3.</w:t>
            </w:r>
            <w:r>
              <w:rPr>
                <w:rFonts w:hint="eastAsia" w:ascii="宋体" w:hAnsi="宋体" w:eastAsia="宋体" w:cs="宋体"/>
                <w:color w:val="000000"/>
                <w:szCs w:val="21"/>
              </w:rPr>
              <w:t>指挥控制系统、预警系统、导航系统等装备电子信息系统发展趋势、战例应用。</w:t>
            </w:r>
          </w:p>
          <w:p w14:paraId="2B863C1F">
            <w:pPr>
              <w:rPr>
                <w:rFonts w:ascii="宋体" w:hAnsi="宋体" w:eastAsia="宋体" w:cs="Times New Roman"/>
                <w:color w:val="000000"/>
                <w:szCs w:val="21"/>
              </w:r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新概念、精确制导、核生化武器装备等武器装备发展趋势、战例应用。</w:t>
            </w:r>
          </w:p>
        </w:tc>
        <w:tc>
          <w:tcPr>
            <w:tcW w:w="1560" w:type="dxa"/>
            <w:vAlign w:val="center"/>
          </w:tcPr>
          <w:p w14:paraId="1AB8F150">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84E670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C0A1803">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EBD962A">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7CD9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2FA0914">
            <w:pPr>
              <w:spacing w:line="276" w:lineRule="auto"/>
              <w:jc w:val="center"/>
              <w:rPr>
                <w:rFonts w:ascii="宋体" w:hAnsi="宋体" w:eastAsia="宋体" w:cs="Times New Roman"/>
                <w:color w:val="000000"/>
                <w:szCs w:val="21"/>
              </w:rPr>
            </w:pPr>
          </w:p>
        </w:tc>
        <w:tc>
          <w:tcPr>
            <w:tcW w:w="8093" w:type="dxa"/>
            <w:gridSpan w:val="5"/>
            <w:vAlign w:val="center"/>
          </w:tcPr>
          <w:p w14:paraId="02ED07E8">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Cs w:val="21"/>
              </w:rPr>
              <w:t>了解信息化装备的内涵、分类、发展及对现代作战的影响，熟悉世界主要国家信息化装备的发展情况，激发学生学习高科技的积极性，为国防科研奠定人才基础。</w:t>
            </w:r>
          </w:p>
        </w:tc>
      </w:tr>
    </w:tbl>
    <w:p w14:paraId="5F87267E">
      <w:pPr>
        <w:spacing w:line="360" w:lineRule="auto"/>
        <w:jc w:val="left"/>
        <w:rPr>
          <w:rFonts w:ascii="Times New Roman" w:hAnsi="Times New Roman" w:eastAsia="宋体" w:cs="Times New Roman"/>
          <w:sz w:val="24"/>
          <w:szCs w:val="24"/>
        </w:rPr>
      </w:pPr>
    </w:p>
    <w:p w14:paraId="366C44F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70CE45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825744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A0AEBB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422"/>
        <w:gridCol w:w="1368"/>
        <w:gridCol w:w="1308"/>
        <w:gridCol w:w="1272"/>
        <w:gridCol w:w="1212"/>
      </w:tblGrid>
      <w:tr w14:paraId="51D3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1762C8BA">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370" w:type="dxa"/>
            <w:gridSpan w:val="4"/>
            <w:vAlign w:val="center"/>
          </w:tcPr>
          <w:p w14:paraId="3AB86DAF">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212" w:type="dxa"/>
            <w:vMerge w:val="restart"/>
            <w:vAlign w:val="center"/>
          </w:tcPr>
          <w:p w14:paraId="5BCC428B">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1B63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16F1893">
            <w:pPr>
              <w:spacing w:line="360" w:lineRule="auto"/>
              <w:jc w:val="center"/>
              <w:rPr>
                <w:rFonts w:ascii="宋体" w:hAnsi="宋体" w:eastAsia="宋体" w:cs="Times New Roman"/>
                <w:szCs w:val="21"/>
              </w:rPr>
            </w:pPr>
          </w:p>
        </w:tc>
        <w:tc>
          <w:tcPr>
            <w:tcW w:w="1422" w:type="dxa"/>
            <w:vAlign w:val="center"/>
          </w:tcPr>
          <w:p w14:paraId="4FC7405B">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1368" w:type="dxa"/>
            <w:vAlign w:val="center"/>
          </w:tcPr>
          <w:p w14:paraId="15576C7A">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1308" w:type="dxa"/>
            <w:vAlign w:val="center"/>
          </w:tcPr>
          <w:p w14:paraId="1D55CAC0">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1272" w:type="dxa"/>
            <w:vAlign w:val="center"/>
          </w:tcPr>
          <w:p w14:paraId="44EED35E">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212" w:type="dxa"/>
            <w:vMerge w:val="continue"/>
            <w:vAlign w:val="center"/>
          </w:tcPr>
          <w:p w14:paraId="7C74B4D8">
            <w:pPr>
              <w:spacing w:line="360" w:lineRule="auto"/>
              <w:jc w:val="center"/>
              <w:rPr>
                <w:rFonts w:ascii="宋体" w:hAnsi="宋体" w:eastAsia="宋体" w:cs="Times New Roman"/>
                <w:szCs w:val="21"/>
              </w:rPr>
            </w:pPr>
          </w:p>
        </w:tc>
      </w:tr>
      <w:tr w14:paraId="300E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06A7F9">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422" w:type="dxa"/>
            <w:vAlign w:val="center"/>
          </w:tcPr>
          <w:p w14:paraId="3E4FF7D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68" w:type="dxa"/>
            <w:vAlign w:val="center"/>
          </w:tcPr>
          <w:p w14:paraId="077C23D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08" w:type="dxa"/>
            <w:vAlign w:val="center"/>
          </w:tcPr>
          <w:p w14:paraId="486A978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72" w:type="dxa"/>
            <w:vAlign w:val="center"/>
          </w:tcPr>
          <w:p w14:paraId="62D1C12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12" w:type="dxa"/>
            <w:vAlign w:val="center"/>
          </w:tcPr>
          <w:p w14:paraId="4FE7D43A">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5756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63F83CF">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422" w:type="dxa"/>
            <w:vAlign w:val="center"/>
          </w:tcPr>
          <w:p w14:paraId="74181C3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68" w:type="dxa"/>
            <w:vAlign w:val="center"/>
          </w:tcPr>
          <w:p w14:paraId="74BAAEE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08" w:type="dxa"/>
            <w:vAlign w:val="center"/>
          </w:tcPr>
          <w:p w14:paraId="6679C59C">
            <w:pPr>
              <w:spacing w:line="360" w:lineRule="auto"/>
              <w:jc w:val="center"/>
              <w:rPr>
                <w:rFonts w:ascii="宋体" w:hAnsi="宋体" w:eastAsia="宋体" w:cs="Times New Roman"/>
                <w:kern w:val="2"/>
                <w:sz w:val="21"/>
                <w:szCs w:val="21"/>
                <w:lang w:val="en-US" w:eastAsia="zh-CN" w:bidi="ar-SA"/>
              </w:rPr>
            </w:pPr>
          </w:p>
        </w:tc>
        <w:tc>
          <w:tcPr>
            <w:tcW w:w="1272" w:type="dxa"/>
            <w:vAlign w:val="center"/>
          </w:tcPr>
          <w:p w14:paraId="785897E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12" w:type="dxa"/>
            <w:vAlign w:val="center"/>
          </w:tcPr>
          <w:p w14:paraId="5925DACD">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4ECA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0" w:type="auto"/>
            <w:vAlign w:val="center"/>
          </w:tcPr>
          <w:p w14:paraId="1149A6F1">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422" w:type="dxa"/>
            <w:vAlign w:val="center"/>
          </w:tcPr>
          <w:p w14:paraId="33C4430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68" w:type="dxa"/>
            <w:vAlign w:val="center"/>
          </w:tcPr>
          <w:p w14:paraId="79D3B816">
            <w:pPr>
              <w:spacing w:line="360" w:lineRule="auto"/>
              <w:jc w:val="center"/>
              <w:rPr>
                <w:rFonts w:ascii="宋体" w:hAnsi="宋体" w:eastAsia="宋体" w:cs="Times New Roman"/>
                <w:szCs w:val="21"/>
              </w:rPr>
            </w:pPr>
          </w:p>
        </w:tc>
        <w:tc>
          <w:tcPr>
            <w:tcW w:w="1308" w:type="dxa"/>
            <w:vAlign w:val="center"/>
          </w:tcPr>
          <w:p w14:paraId="2BAB7E71">
            <w:pPr>
              <w:spacing w:line="360" w:lineRule="auto"/>
              <w:jc w:val="center"/>
              <w:rPr>
                <w:rFonts w:ascii="宋体" w:hAnsi="宋体" w:eastAsia="宋体" w:cs="Times New Roman"/>
                <w:kern w:val="2"/>
                <w:sz w:val="21"/>
                <w:szCs w:val="21"/>
                <w:lang w:val="en-US" w:eastAsia="zh-CN" w:bidi="ar-SA"/>
              </w:rPr>
            </w:pPr>
          </w:p>
        </w:tc>
        <w:tc>
          <w:tcPr>
            <w:tcW w:w="1272" w:type="dxa"/>
            <w:vAlign w:val="center"/>
          </w:tcPr>
          <w:p w14:paraId="17A0035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12" w:type="dxa"/>
            <w:vAlign w:val="center"/>
          </w:tcPr>
          <w:p w14:paraId="15E24660">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6D6F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A5BB79">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422" w:type="dxa"/>
            <w:vAlign w:val="center"/>
          </w:tcPr>
          <w:p w14:paraId="6A87FB72">
            <w:pPr>
              <w:spacing w:line="360" w:lineRule="auto"/>
              <w:jc w:val="center"/>
              <w:rPr>
                <w:rFonts w:ascii="宋体" w:hAnsi="宋体" w:eastAsia="宋体" w:cs="Times New Roman"/>
                <w:szCs w:val="21"/>
              </w:rPr>
            </w:pPr>
          </w:p>
        </w:tc>
        <w:tc>
          <w:tcPr>
            <w:tcW w:w="1368" w:type="dxa"/>
            <w:vAlign w:val="center"/>
          </w:tcPr>
          <w:p w14:paraId="2320B1AF">
            <w:pPr>
              <w:spacing w:line="360" w:lineRule="auto"/>
              <w:jc w:val="center"/>
              <w:rPr>
                <w:rFonts w:ascii="宋体" w:hAnsi="宋体" w:eastAsia="宋体" w:cs="Times New Roman"/>
                <w:szCs w:val="21"/>
              </w:rPr>
            </w:pPr>
          </w:p>
        </w:tc>
        <w:tc>
          <w:tcPr>
            <w:tcW w:w="1308" w:type="dxa"/>
            <w:vAlign w:val="center"/>
          </w:tcPr>
          <w:p w14:paraId="61484EBB">
            <w:pPr>
              <w:spacing w:line="360" w:lineRule="auto"/>
              <w:jc w:val="center"/>
              <w:rPr>
                <w:rFonts w:ascii="宋体" w:hAnsi="宋体" w:eastAsia="宋体" w:cs="Times New Roman"/>
                <w:szCs w:val="21"/>
              </w:rPr>
            </w:pPr>
          </w:p>
        </w:tc>
        <w:tc>
          <w:tcPr>
            <w:tcW w:w="1272" w:type="dxa"/>
            <w:vAlign w:val="center"/>
          </w:tcPr>
          <w:p w14:paraId="79ECDD95">
            <w:pPr>
              <w:spacing w:line="360" w:lineRule="auto"/>
              <w:jc w:val="center"/>
              <w:rPr>
                <w:rFonts w:ascii="宋体" w:hAnsi="宋体" w:eastAsia="宋体" w:cs="Times New Roman"/>
                <w:szCs w:val="21"/>
              </w:rPr>
            </w:pPr>
          </w:p>
        </w:tc>
        <w:tc>
          <w:tcPr>
            <w:tcW w:w="1212" w:type="dxa"/>
            <w:vAlign w:val="center"/>
          </w:tcPr>
          <w:p w14:paraId="4819A7AE">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483ED880">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1486DA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AED06F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0B1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E626B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2751BB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0F5922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2F9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56545E">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58C246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57DF4E4F">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0%</w:t>
            </w:r>
          </w:p>
        </w:tc>
      </w:tr>
      <w:tr w14:paraId="1334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7E025B1">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D4971F2">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6A273558">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1331B1F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0AD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F308C7">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46E6DC65">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每单元在线上进行测验，主要考查基础知识和基本理论的掌握，以题目的正确率为得分依据。</w:t>
            </w:r>
          </w:p>
        </w:tc>
        <w:tc>
          <w:tcPr>
            <w:tcW w:w="0" w:type="auto"/>
            <w:vAlign w:val="center"/>
          </w:tcPr>
          <w:p w14:paraId="5ED69258">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B9F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1D287B5">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32EFE61">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5666BF8D">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w:t>
            </w:r>
            <w:r>
              <w:rPr>
                <w:rFonts w:hint="eastAsia" w:ascii="Times New Roman" w:hAnsi="Times New Roman" w:eastAsia="宋体" w:cs="Times New Roman"/>
                <w:szCs w:val="21"/>
              </w:rPr>
              <w:t>0%</w:t>
            </w:r>
          </w:p>
        </w:tc>
      </w:tr>
      <w:tr w14:paraId="68E9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33C59C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68028B4">
            <w:pPr>
              <w:jc w:val="left"/>
              <w:rPr>
                <w:rFonts w:ascii="Times New Roman" w:hAnsi="Times New Roman" w:eastAsia="宋体" w:cs="Times New Roman"/>
                <w:szCs w:val="21"/>
              </w:rPr>
            </w:pPr>
          </w:p>
        </w:tc>
        <w:tc>
          <w:tcPr>
            <w:tcW w:w="0" w:type="auto"/>
            <w:vAlign w:val="center"/>
          </w:tcPr>
          <w:p w14:paraId="6E55ADB3">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E499800">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B30BE2C">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44EB51E">
      <w:pPr>
        <w:spacing w:before="156" w:beforeLines="50" w:line="360" w:lineRule="auto"/>
        <w:ind w:firstLine="420" w:firstLineChars="200"/>
        <w:jc w:val="left"/>
        <w:rPr>
          <w:rFonts w:ascii="宋体" w:hAnsi="宋体" w:eastAsia="宋体" w:cs="Times New Roman"/>
          <w:b/>
          <w:color w:val="000000"/>
          <w:sz w:val="28"/>
          <w:szCs w:val="28"/>
        </w:rPr>
      </w:pPr>
      <w:r>
        <w:rPr>
          <w:rFonts w:ascii="宋体" w:hAnsi="宋体" w:eastAsia="宋体" w:cs="Times New Roman"/>
          <w:color w:val="000000"/>
          <w:szCs w:val="21"/>
        </w:rPr>
        <w:object>
          <v:shape id="_x0000_i1033"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33" DrawAspect="Content" ObjectID="_1468075733" r:id="rId18">
            <o:LockedField>false</o:LockedField>
          </o:OLEObject>
        </w:object>
      </w:r>
    </w:p>
    <w:p w14:paraId="221F34E2">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、有关说明</w:t>
      </w:r>
    </w:p>
    <w:p w14:paraId="7B36A24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2B14C587">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0A0B6D4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53241506">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lang w:val="en-US" w:eastAsia="zh-CN"/>
        </w:rPr>
        <w:t>张政文</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lang w:val="en-US" w:eastAsia="zh-CN"/>
        </w:rPr>
        <w:t>军事理论教程</w:t>
      </w:r>
      <w:r>
        <w:rPr>
          <w:rFonts w:hint="eastAsia" w:ascii="Times New Roman" w:hAnsi="Times New Roman" w:eastAsia="宋体" w:cs="Times New Roman"/>
          <w:bCs/>
          <w:color w:val="000000"/>
          <w:szCs w:val="21"/>
        </w:rPr>
        <w:t>，</w:t>
      </w:r>
      <w:r>
        <w:rPr>
          <w:rFonts w:hint="eastAsia" w:ascii="Times New Roman" w:hAnsi="Times New Roman" w:eastAsia="宋体" w:cs="Times New Roman"/>
          <w:bCs/>
          <w:color w:val="000000"/>
          <w:szCs w:val="21"/>
          <w:lang w:val="en-US" w:eastAsia="zh-CN"/>
        </w:rPr>
        <w:t>南京大学</w:t>
      </w:r>
      <w:r>
        <w:rPr>
          <w:rFonts w:hint="eastAsia" w:ascii="Times New Roman" w:hAnsi="Times New Roman" w:eastAsia="宋体" w:cs="Times New Roman"/>
          <w:bCs/>
          <w:color w:val="000000"/>
          <w:szCs w:val="21"/>
        </w:rPr>
        <w:t>出版社，</w:t>
      </w:r>
      <w:r>
        <w:rPr>
          <w:rFonts w:hint="eastAsia" w:ascii="Times New Roman" w:hAnsi="Times New Roman" w:eastAsia="宋体" w:cs="Times New Roman"/>
          <w:bCs/>
          <w:color w:val="000000"/>
          <w:szCs w:val="21"/>
          <w:lang w:val="en-US" w:eastAsia="zh-CN"/>
        </w:rPr>
        <w:t>2020</w:t>
      </w:r>
      <w:r>
        <w:rPr>
          <w:rFonts w:hint="eastAsia" w:ascii="Times New Roman" w:hAnsi="Times New Roman" w:eastAsia="宋体" w:cs="Times New Roman"/>
          <w:bCs/>
          <w:color w:val="000000"/>
          <w:szCs w:val="21"/>
        </w:rPr>
        <w:t>.（</w:t>
      </w:r>
      <w:r>
        <w:rPr>
          <w:rFonts w:hint="eastAsia" w:ascii="Times New Roman" w:hAnsi="Times New Roman" w:eastAsia="宋体" w:cs="Times New Roman"/>
          <w:bCs/>
          <w:color w:val="000000"/>
          <w:szCs w:val="21"/>
          <w:lang w:val="en-US" w:eastAsia="zh-CN"/>
        </w:rPr>
        <w:t>江苏省高等学校</w:t>
      </w:r>
      <w:r>
        <w:rPr>
          <w:rFonts w:hint="eastAsia" w:ascii="Times New Roman" w:hAnsi="Times New Roman" w:eastAsia="宋体" w:cs="Times New Roman"/>
          <w:bCs/>
          <w:color w:val="000000"/>
          <w:szCs w:val="21"/>
        </w:rPr>
        <w:t>重点教材）</w:t>
      </w:r>
    </w:p>
    <w:p w14:paraId="3A13E4A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8328B3C">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1.龚泗琪.《大学军事理论教材》. 北京：电子工业出版社，2016.</w:t>
      </w:r>
    </w:p>
    <w:p w14:paraId="63B11088">
      <w:pPr>
        <w:spacing w:line="336" w:lineRule="auto"/>
        <w:ind w:left="420" w:leftChars="200" w:firstLine="0" w:firstLineChars="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2.王和中、吕冀蜀.《军事理论教程》（第二版）. 北京：高等教育出版社，2022.</w:t>
      </w:r>
    </w:p>
    <w:p w14:paraId="60FB68F9">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3.《盖涛、宋学臣、丁照权.《普通高等学校军事课教程》. 北京：高等教育出版社，2019.</w:t>
      </w:r>
    </w:p>
    <w:p w14:paraId="1BDCDC37">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4.张彦斌、党小林.《高等学校军事理论课教材》. 北京：白山出版社，1998.</w:t>
      </w:r>
    </w:p>
    <w:p w14:paraId="655B8081">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5.军事科学院.《世界军事年鉴》. 北京：解放军出版社，2005</w:t>
      </w:r>
    </w:p>
    <w:p w14:paraId="17785BBB"/>
    <w:p w14:paraId="304883DD"/>
    <w:p w14:paraId="18C74E05"/>
    <w:p w14:paraId="74C45B7E"/>
    <w:p w14:paraId="3C0C5F86">
      <w:pPr>
        <w:autoSpaceDE w:val="0"/>
        <w:autoSpaceDN w:val="0"/>
        <w:adjustRightInd w:val="0"/>
        <w:spacing w:line="360" w:lineRule="auto"/>
        <w:ind w:firstLine="5280" w:firstLineChars="2200"/>
        <w:jc w:val="left"/>
        <w:rPr>
          <w:rFonts w:ascii="宋体" w:hAnsi="宋体" w:eastAsia="宋体" w:cs="Times New Roman"/>
          <w:color w:val="000000" w:themeColor="text1"/>
          <w:kern w:val="0"/>
          <w:sz w:val="24"/>
          <w:szCs w:val="21"/>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执笔人：王同灿</w:t>
      </w:r>
    </w:p>
    <w:p w14:paraId="41B96F45">
      <w:pPr>
        <w:autoSpaceDE w:val="0"/>
        <w:autoSpaceDN w:val="0"/>
        <w:adjustRightInd w:val="0"/>
        <w:spacing w:line="360" w:lineRule="auto"/>
        <w:ind w:firstLine="5280" w:firstLineChars="2200"/>
        <w:jc w:val="left"/>
        <w:rPr>
          <w:rFonts w:ascii="宋体" w:hAnsi="宋体" w:eastAsia="宋体" w:cs="Times New Roman"/>
          <w:color w:val="000000" w:themeColor="text1"/>
          <w:kern w:val="0"/>
          <w:sz w:val="24"/>
          <w:szCs w:val="21"/>
          <w14:textFill>
            <w14:solidFill>
              <w14:schemeClr w14:val="tx1"/>
            </w14:solidFill>
          </w14:textFill>
        </w:rPr>
      </w:pPr>
      <w:r>
        <w:rPr>
          <w:rFonts w:ascii="宋体" w:hAnsi="宋体" w:eastAsia="宋体" w:cs="Times New Roman"/>
          <w:color w:val="000000" w:themeColor="text1"/>
          <w:kern w:val="0"/>
          <w:sz w:val="24"/>
          <w:szCs w:val="21"/>
          <w14:textFill>
            <w14:solidFill>
              <w14:schemeClr w14:val="tx1"/>
            </w14:solidFill>
          </w14:textFill>
        </w:rPr>
        <w:t>审定人：</w:t>
      </w:r>
      <w:r>
        <w:rPr>
          <w:rFonts w:hint="eastAsia" w:ascii="宋体" w:hAnsi="宋体" w:eastAsia="宋体" w:cs="Times New Roman"/>
          <w:color w:val="000000" w:themeColor="text1"/>
          <w:kern w:val="0"/>
          <w:sz w:val="24"/>
          <w:szCs w:val="21"/>
          <w:lang w:val="en-US" w:eastAsia="zh-CN"/>
          <w14:textFill>
            <w14:solidFill>
              <w14:schemeClr w14:val="tx1"/>
            </w14:solidFill>
          </w14:textFill>
        </w:rPr>
        <w:t>王  健</w:t>
      </w:r>
      <w:r>
        <w:rPr>
          <w:rFonts w:ascii="宋体" w:hAnsi="宋体" w:eastAsia="宋体" w:cs="Times New Roman"/>
          <w:color w:val="000000" w:themeColor="text1"/>
          <w:kern w:val="0"/>
          <w:sz w:val="24"/>
          <w:szCs w:val="21"/>
          <w14:textFill>
            <w14:solidFill>
              <w14:schemeClr w14:val="tx1"/>
            </w14:solidFill>
          </w14:textFill>
        </w:rPr>
        <w:t xml:space="preserve"> </w:t>
      </w:r>
    </w:p>
    <w:p w14:paraId="01EE90DF">
      <w:pPr>
        <w:autoSpaceDE w:val="0"/>
        <w:autoSpaceDN w:val="0"/>
        <w:adjustRightInd w:val="0"/>
        <w:spacing w:line="360" w:lineRule="auto"/>
        <w:ind w:firstLine="5280" w:firstLineChars="2200"/>
        <w:jc w:val="left"/>
        <w:rPr>
          <w:rFonts w:hint="default" w:ascii="宋体" w:hAnsi="宋体" w:eastAsia="宋体" w:cs="Times New Roman"/>
          <w:color w:val="000000" w:themeColor="text1"/>
          <w:kern w:val="0"/>
          <w:sz w:val="24"/>
          <w:szCs w:val="21"/>
          <w:lang w:val="en-US" w:eastAsia="zh-CN"/>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审批</w:t>
      </w:r>
      <w:r>
        <w:rPr>
          <w:rFonts w:ascii="宋体" w:hAnsi="宋体" w:eastAsia="宋体" w:cs="Times New Roman"/>
          <w:color w:val="000000" w:themeColor="text1"/>
          <w:kern w:val="0"/>
          <w:sz w:val="24"/>
          <w:szCs w:val="21"/>
          <w14:textFill>
            <w14:solidFill>
              <w14:schemeClr w14:val="tx1"/>
            </w14:solidFill>
          </w14:textFill>
        </w:rPr>
        <w:t>人：</w:t>
      </w:r>
      <w:r>
        <w:rPr>
          <w:rFonts w:hint="eastAsia" w:ascii="宋体" w:hAnsi="宋体" w:eastAsia="宋体" w:cs="Times New Roman"/>
          <w:color w:val="000000" w:themeColor="text1"/>
          <w:kern w:val="0"/>
          <w:sz w:val="24"/>
          <w:szCs w:val="21"/>
          <w14:textFill>
            <w14:solidFill>
              <w14:schemeClr w14:val="tx1"/>
            </w14:solidFill>
          </w14:textFill>
        </w:rPr>
        <w:t>张</w:t>
      </w:r>
      <w:r>
        <w:rPr>
          <w:rFonts w:hint="eastAsia" w:ascii="宋体" w:hAnsi="宋体" w:eastAsia="宋体" w:cs="Times New Roman"/>
          <w:color w:val="000000" w:themeColor="text1"/>
          <w:kern w:val="0"/>
          <w:sz w:val="24"/>
          <w:szCs w:val="21"/>
          <w:lang w:val="en-US" w:eastAsia="zh-CN"/>
          <w14:textFill>
            <w14:solidFill>
              <w14:schemeClr w14:val="tx1"/>
            </w14:solidFill>
          </w14:textFill>
        </w:rPr>
        <w:t>志欣</w:t>
      </w:r>
    </w:p>
    <w:p w14:paraId="38387695">
      <w:pPr>
        <w:autoSpaceDE w:val="0"/>
        <w:autoSpaceDN w:val="0"/>
        <w:adjustRightInd w:val="0"/>
        <w:spacing w:line="360" w:lineRule="auto"/>
        <w:ind w:firstLine="5280" w:firstLineChars="2200"/>
        <w:jc w:val="left"/>
        <w:rPr>
          <w:rFonts w:ascii="宋体" w:hAnsi="宋体" w:eastAsia="宋体" w:cs="Times New Roman"/>
          <w:color w:val="000000" w:themeColor="text1"/>
          <w:kern w:val="0"/>
          <w:sz w:val="24"/>
          <w:szCs w:val="21"/>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批准时间：202</w:t>
      </w:r>
      <w:r>
        <w:rPr>
          <w:rFonts w:hint="eastAsia" w:ascii="宋体" w:hAnsi="宋体" w:eastAsia="宋体" w:cs="Times New Roman"/>
          <w:color w:val="000000" w:themeColor="text1"/>
          <w:kern w:val="0"/>
          <w:sz w:val="24"/>
          <w:szCs w:val="21"/>
          <w:lang w:val="en-US" w:eastAsia="zh-CN"/>
          <w14:textFill>
            <w14:solidFill>
              <w14:schemeClr w14:val="tx1"/>
            </w14:solidFill>
          </w14:textFill>
        </w:rPr>
        <w:t>4</w:t>
      </w:r>
      <w:r>
        <w:rPr>
          <w:rFonts w:hint="eastAsia" w:ascii="宋体" w:hAnsi="宋体" w:eastAsia="宋体" w:cs="Times New Roman"/>
          <w:color w:val="000000" w:themeColor="text1"/>
          <w:kern w:val="0"/>
          <w:sz w:val="24"/>
          <w:szCs w:val="21"/>
          <w14:textFill>
            <w14:solidFill>
              <w14:schemeClr w14:val="tx1"/>
            </w14:solidFill>
          </w14:textFill>
        </w:rPr>
        <w:t>年8月30日</w:t>
      </w:r>
    </w:p>
    <w:p w14:paraId="6929F51D">
      <w:pPr>
        <w:spacing w:line="360" w:lineRule="auto"/>
        <w:rPr>
          <w:rFonts w:ascii="宋体" w:hAnsi="宋体" w:eastAsia="宋体" w:cs="宋体"/>
          <w:sz w:val="24"/>
        </w:rPr>
      </w:pPr>
    </w:p>
    <w:p w14:paraId="6C4D7C88"/>
    <w:p w14:paraId="4BFBB777"/>
    <w:p w14:paraId="5B17DF1E">
      <w:pPr>
        <w:rPr>
          <w:rFonts w:hint="eastAsia"/>
        </w:rPr>
      </w:pPr>
      <w:r>
        <w:rPr>
          <w:rFonts w:hint="eastAsia"/>
        </w:rPr>
        <w:br w:type="page"/>
      </w:r>
    </w:p>
    <w:p w14:paraId="3A9867B1">
      <w:pPr>
        <w:pStyle w:val="3"/>
        <w:rPr>
          <w:rFonts w:ascii="Times New Roman" w:hAnsi="Times New Roman"/>
        </w:rPr>
      </w:pPr>
      <w:bookmarkStart w:id="59" w:name="_Toc12342"/>
      <w:r>
        <w:rPr>
          <w:rFonts w:hint="eastAsia"/>
        </w:rPr>
        <w:t>《大学生心理健康教育》课程教学大纲</w:t>
      </w:r>
      <w:bookmarkEnd w:id="59"/>
    </w:p>
    <w:p w14:paraId="03CEB8E6">
      <w:pPr>
        <w:spacing w:line="360" w:lineRule="auto"/>
        <w:jc w:val="center"/>
        <w:rPr>
          <w:rFonts w:ascii="Times New Roman" w:hAnsi="Times New Roman" w:eastAsia="宋体" w:cs="Times New Roman"/>
          <w:b/>
          <w:bCs/>
          <w:sz w:val="28"/>
          <w:szCs w:val="28"/>
        </w:rPr>
      </w:pPr>
      <w:r>
        <w:rPr>
          <w:rFonts w:ascii="宋体" w:hAnsi="宋体" w:eastAsia="宋体" w:cs="Times New Roman"/>
          <w:b/>
          <w:bCs/>
          <w:sz w:val="28"/>
          <w:szCs w:val="28"/>
        </w:rPr>
        <w:t>（</w:t>
      </w:r>
      <w:r>
        <w:rPr>
          <w:rFonts w:hint="eastAsia" w:ascii="Times New Roman" w:hAnsi="Times New Roman" w:eastAsia="宋体" w:cs="Times New Roman"/>
          <w:b/>
          <w:bCs/>
          <w:sz w:val="28"/>
          <w:szCs w:val="28"/>
        </w:rPr>
        <w:t>Campus Mental Health</w:t>
      </w:r>
      <w:r>
        <w:rPr>
          <w:rFonts w:ascii="宋体" w:hAnsi="宋体" w:eastAsia="宋体" w:cs="Times New Roman"/>
          <w:b/>
          <w:bCs/>
          <w:sz w:val="28"/>
          <w:szCs w:val="28"/>
        </w:rPr>
        <w:t>）</w:t>
      </w:r>
    </w:p>
    <w:p w14:paraId="2C980534">
      <w:pPr>
        <w:spacing w:line="360" w:lineRule="auto"/>
        <w:jc w:val="center"/>
        <w:rPr>
          <w:rFonts w:ascii="Times New Roman" w:hAnsi="Times New Roman" w:eastAsia="宋体" w:cs="Times New Roman"/>
          <w:bCs/>
          <w:sz w:val="30"/>
          <w:szCs w:val="30"/>
        </w:rPr>
      </w:pPr>
      <w:r>
        <w:rPr>
          <w:rFonts w:ascii="Times New Roman" w:hAnsi="Times New Roman" w:eastAsia="宋体" w:cs="Times New Roman"/>
          <w:bCs/>
          <w:sz w:val="30"/>
          <w:szCs w:val="30"/>
        </w:rPr>
        <w:t xml:space="preserve"> </w:t>
      </w:r>
    </w:p>
    <w:p w14:paraId="5F0C77D3">
      <w:pPr>
        <w:spacing w:line="360" w:lineRule="auto"/>
        <w:ind w:firstLine="482" w:firstLineChars="200"/>
        <w:jc w:val="left"/>
        <w:rPr>
          <w:rFonts w:ascii="Times New Roman" w:hAnsi="Times New Roman" w:eastAsia="宋体" w:cs="Times New Roman"/>
          <w:b/>
          <w:sz w:val="24"/>
        </w:rPr>
      </w:pPr>
      <w:r>
        <w:rPr>
          <w:rFonts w:hint="eastAsia" w:ascii="宋体" w:hAnsi="宋体" w:eastAsia="宋体" w:cs="Times New Roman"/>
          <w:b/>
          <w:sz w:val="24"/>
        </w:rPr>
        <w:t>课程名称：大学生心理健康教育</w:t>
      </w:r>
    </w:p>
    <w:p w14:paraId="7C5DD4FB">
      <w:pPr>
        <w:spacing w:line="360" w:lineRule="auto"/>
        <w:ind w:firstLine="482" w:firstLineChars="200"/>
        <w:jc w:val="left"/>
        <w:rPr>
          <w:rFonts w:ascii="Times New Roman" w:hAnsi="Times New Roman" w:eastAsia="宋体" w:cs="Times New Roman"/>
          <w:b/>
          <w:sz w:val="24"/>
        </w:rPr>
      </w:pPr>
      <w:r>
        <w:rPr>
          <w:rFonts w:hint="eastAsia" w:ascii="宋体" w:hAnsi="宋体" w:eastAsia="宋体" w:cs="Times New Roman"/>
          <w:b/>
          <w:sz w:val="24"/>
        </w:rPr>
        <w:t>课程代码：</w:t>
      </w:r>
      <w:r>
        <w:rPr>
          <w:rFonts w:hint="eastAsia" w:ascii="Times New Roman" w:hAnsi="Times New Roman" w:eastAsia="宋体" w:cs="Times New Roman"/>
          <w:b/>
          <w:sz w:val="24"/>
        </w:rPr>
        <w:t>0000012</w:t>
      </w:r>
    </w:p>
    <w:p w14:paraId="36C0A0A3">
      <w:pPr>
        <w:spacing w:line="360" w:lineRule="auto"/>
        <w:ind w:firstLine="482" w:firstLineChars="200"/>
        <w:jc w:val="left"/>
        <w:rPr>
          <w:rFonts w:ascii="Times New Roman" w:hAnsi="Times New Roman" w:eastAsia="宋体" w:cs="Times New Roman"/>
          <w:sz w:val="24"/>
        </w:rPr>
      </w:pPr>
      <w:r>
        <w:rPr>
          <w:rFonts w:hint="eastAsia" w:ascii="宋体" w:hAnsi="宋体" w:eastAsia="宋体" w:cs="Times New Roman"/>
          <w:b/>
          <w:sz w:val="24"/>
        </w:rPr>
        <w:t>学</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w:t>
      </w:r>
      <w:r>
        <w:rPr>
          <w:rFonts w:hint="eastAsia" w:ascii="宋体" w:hAnsi="宋体" w:eastAsia="宋体" w:cs="Times New Roman"/>
          <w:b/>
          <w:sz w:val="24"/>
        </w:rPr>
        <w:t>分：</w:t>
      </w:r>
      <w:r>
        <w:rPr>
          <w:rFonts w:hint="eastAsia" w:ascii="Times New Roman" w:hAnsi="Times New Roman" w:eastAsia="宋体" w:cs="Times New Roman"/>
          <w:b/>
          <w:sz w:val="24"/>
        </w:rPr>
        <w:t>2</w:t>
      </w:r>
    </w:p>
    <w:p w14:paraId="16DF6602">
      <w:pPr>
        <w:spacing w:line="360" w:lineRule="auto"/>
        <w:ind w:firstLine="482" w:firstLineChars="200"/>
        <w:jc w:val="left"/>
        <w:rPr>
          <w:rFonts w:ascii="Times New Roman" w:hAnsi="Times New Roman" w:eastAsia="宋体" w:cs="Times New Roman"/>
          <w:sz w:val="24"/>
        </w:rPr>
      </w:pPr>
      <w:r>
        <w:rPr>
          <w:rFonts w:hint="eastAsia" w:ascii="宋体" w:hAnsi="宋体" w:eastAsia="宋体" w:cs="Times New Roman"/>
          <w:b/>
          <w:sz w:val="24"/>
        </w:rPr>
        <w:t>学</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w:t>
      </w:r>
      <w:r>
        <w:rPr>
          <w:rFonts w:hint="eastAsia" w:ascii="宋体" w:hAnsi="宋体" w:eastAsia="宋体" w:cs="Times New Roman"/>
          <w:b/>
          <w:sz w:val="24"/>
        </w:rPr>
        <w:t>时：</w:t>
      </w:r>
      <w:r>
        <w:rPr>
          <w:rFonts w:hint="eastAsia" w:ascii="Times New Roman" w:hAnsi="Times New Roman" w:eastAsia="宋体" w:cs="Times New Roman"/>
          <w:b/>
          <w:sz w:val="24"/>
        </w:rPr>
        <w:t>32</w:t>
      </w:r>
    </w:p>
    <w:p w14:paraId="13591792">
      <w:pPr>
        <w:spacing w:line="360" w:lineRule="auto"/>
        <w:ind w:firstLine="482" w:firstLineChars="200"/>
        <w:jc w:val="left"/>
        <w:rPr>
          <w:rFonts w:ascii="Times New Roman" w:hAnsi="Times New Roman" w:eastAsia="宋体" w:cs="Times New Roman"/>
          <w:sz w:val="24"/>
        </w:rPr>
      </w:pPr>
      <w:r>
        <w:rPr>
          <w:rFonts w:hint="eastAsia" w:ascii="宋体" w:hAnsi="宋体" w:eastAsia="宋体" w:cs="Times New Roman"/>
          <w:b/>
          <w:sz w:val="24"/>
        </w:rPr>
        <w:t>先修课程：无</w:t>
      </w:r>
    </w:p>
    <w:p w14:paraId="5BEA0265">
      <w:pPr>
        <w:spacing w:line="360" w:lineRule="auto"/>
        <w:ind w:firstLine="482" w:firstLineChars="200"/>
        <w:jc w:val="left"/>
        <w:rPr>
          <w:rFonts w:ascii="Times New Roman" w:hAnsi="Times New Roman" w:eastAsia="宋体" w:cs="Times New Roman"/>
          <w:sz w:val="24"/>
        </w:rPr>
      </w:pPr>
      <w:r>
        <w:rPr>
          <w:rFonts w:hint="eastAsia" w:ascii="宋体" w:hAnsi="宋体" w:eastAsia="宋体" w:cs="Times New Roman"/>
          <w:b/>
          <w:sz w:val="24"/>
        </w:rPr>
        <w:t>适用专业：所有专业</w:t>
      </w:r>
    </w:p>
    <w:p w14:paraId="3B6ACC09">
      <w:pPr>
        <w:spacing w:line="360" w:lineRule="auto"/>
        <w:jc w:val="left"/>
        <w:rPr>
          <w:rFonts w:ascii="Times New Roman" w:hAnsi="Times New Roman" w:eastAsia="宋体" w:cs="Times New Roman"/>
          <w:b/>
          <w:sz w:val="24"/>
        </w:rPr>
      </w:pPr>
      <w:r>
        <w:rPr>
          <w:rFonts w:ascii="Times New Roman" w:hAnsi="Times New Roman" w:eastAsia="宋体" w:cs="Times New Roman"/>
          <w:b/>
          <w:sz w:val="24"/>
        </w:rPr>
        <w:t xml:space="preserve"> </w:t>
      </w:r>
    </w:p>
    <w:p w14:paraId="0B224BF7">
      <w:pPr>
        <w:spacing w:line="360" w:lineRule="auto"/>
        <w:jc w:val="left"/>
        <w:rPr>
          <w:rFonts w:ascii="Times New Roman" w:hAnsi="Times New Roman" w:eastAsia="宋体" w:cs="Times New Roman"/>
          <w:sz w:val="24"/>
        </w:rPr>
      </w:pPr>
      <w:r>
        <w:rPr>
          <w:rFonts w:hint="eastAsia" w:ascii="宋体" w:hAnsi="宋体" w:eastAsia="宋体" w:cs="Times New Roman"/>
          <w:b/>
          <w:sz w:val="24"/>
        </w:rPr>
        <w:t>一、课程简介</w:t>
      </w:r>
    </w:p>
    <w:p w14:paraId="3DC8FC47">
      <w:pPr>
        <w:spacing w:line="360" w:lineRule="auto"/>
        <w:ind w:firstLine="420" w:firstLineChars="200"/>
        <w:jc w:val="left"/>
        <w:rPr>
          <w:rFonts w:ascii="宋体" w:hAnsi="宋体" w:eastAsia="宋体" w:cs="Times New Roman"/>
          <w:b/>
          <w:color w:val="000000"/>
          <w:szCs w:val="21"/>
        </w:rPr>
      </w:pPr>
      <w:r>
        <w:rPr>
          <w:rFonts w:hint="eastAsia" w:ascii="宋体" w:hAnsi="宋体" w:eastAsia="宋体" w:cs="Times New Roman"/>
          <w:szCs w:val="21"/>
        </w:rPr>
        <w:t>《大学生心理健康教育》是面向全校各专业一年级学生开设的一门通识必修课程。课程集知识传授、心理体验与行为训练为一体；旨在使学生明确心理健康的标准及意义，增强自我心理保健意识和心理危机预防意识，掌握并应用心理健康知识，培养自我认知能力、人际沟通能力、自我调节能力，切实提高心理素质，促进学生全面发展。</w:t>
      </w:r>
    </w:p>
    <w:p w14:paraId="6282F673">
      <w:pPr>
        <w:spacing w:line="360" w:lineRule="auto"/>
        <w:jc w:val="left"/>
        <w:rPr>
          <w:rFonts w:hint="eastAsia" w:ascii="Times New Roman" w:hAnsi="Times New Roman" w:eastAsia="宋体" w:cs="Times New Roman"/>
          <w:sz w:val="24"/>
        </w:rPr>
      </w:pPr>
      <w:r>
        <w:rPr>
          <w:rFonts w:hint="eastAsia" w:ascii="宋体" w:hAnsi="宋体" w:eastAsia="宋体" w:cs="Times New Roman"/>
          <w:b/>
          <w:color w:val="000000"/>
          <w:sz w:val="24"/>
        </w:rPr>
        <w:t>二、课程目标</w:t>
      </w:r>
    </w:p>
    <w:p w14:paraId="55357EA1">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0047D310">
      <w:pPr>
        <w:spacing w:before="156" w:beforeLines="50" w:after="156" w:afterLines="50" w:line="360" w:lineRule="auto"/>
        <w:ind w:firstLine="422" w:firstLineChars="200"/>
        <w:jc w:val="left"/>
        <w:rPr>
          <w:rFonts w:hint="eastAsia" w:ascii="Times New Roman" w:hAnsi="Times New Roman" w:eastAsia="宋体" w:cs="Times New Roman"/>
          <w:bCs/>
          <w:szCs w:val="21"/>
        </w:rPr>
      </w:pPr>
      <w:r>
        <w:rPr>
          <w:rFonts w:hint="eastAsia" w:ascii="Times New Roman" w:hAnsi="Times New Roman" w:eastAsia="宋体" w:cs="Times New Roman"/>
          <w:b/>
          <w:szCs w:val="21"/>
        </w:rPr>
        <w:t>1.</w:t>
      </w:r>
      <w:r>
        <w:rPr>
          <w:rFonts w:hint="eastAsia" w:ascii="宋体" w:hAnsi="宋体" w:eastAsia="宋体" w:cs="Times New Roman"/>
          <w:b/>
          <w:szCs w:val="21"/>
        </w:rPr>
        <w:t>知识目标</w:t>
      </w:r>
      <w:r>
        <w:rPr>
          <w:rFonts w:hint="eastAsia" w:ascii="宋体" w:hAnsi="宋体" w:eastAsia="宋体" w:cs="Times New Roman"/>
          <w:bCs/>
          <w:szCs w:val="21"/>
        </w:rPr>
        <w:t>：了解心理健康的基本概念、大学生心理健康的标准、青年期心理发展的年龄特征以及大学生常见的心理障碍与防治等健康心理学的基本概念和基本理论，学习影响个体心理健康的相关知识。</w:t>
      </w:r>
    </w:p>
    <w:p w14:paraId="5E78C7DB">
      <w:pPr>
        <w:spacing w:before="156" w:beforeLines="50" w:after="156" w:afterLines="50" w:line="360" w:lineRule="auto"/>
        <w:ind w:firstLine="422" w:firstLineChars="200"/>
        <w:jc w:val="left"/>
        <w:rPr>
          <w:rFonts w:hint="eastAsia" w:ascii="Times New Roman" w:hAnsi="Times New Roman" w:eastAsia="宋体" w:cs="Times New Roman"/>
          <w:bCs/>
          <w:szCs w:val="21"/>
        </w:rPr>
      </w:pPr>
      <w:r>
        <w:rPr>
          <w:rFonts w:hint="eastAsia" w:ascii="Times New Roman" w:hAnsi="Times New Roman" w:eastAsia="宋体" w:cs="Times New Roman"/>
          <w:b/>
          <w:szCs w:val="21"/>
        </w:rPr>
        <w:t>2.</w:t>
      </w:r>
      <w:r>
        <w:rPr>
          <w:rFonts w:hint="eastAsia" w:ascii="宋体" w:hAnsi="宋体" w:eastAsia="宋体" w:cs="Times New Roman"/>
          <w:b/>
          <w:szCs w:val="21"/>
        </w:rPr>
        <w:t>能力目标：</w:t>
      </w:r>
      <w:r>
        <w:rPr>
          <w:rFonts w:hint="eastAsia" w:ascii="宋体" w:hAnsi="宋体" w:eastAsia="宋体" w:cs="Times New Roman"/>
          <w:bCs/>
          <w:szCs w:val="21"/>
        </w:rPr>
        <w:t>在学习个体心理健康知识的基础上，提升心理保健能力，培养良好自我意识、情绪与情感状态、意志品质和人格特征，锻炼学生维持心理健康的能力。</w:t>
      </w:r>
    </w:p>
    <w:p w14:paraId="5A97FB7E">
      <w:pPr>
        <w:spacing w:before="156" w:beforeLines="50" w:after="156" w:afterLines="50" w:line="360" w:lineRule="auto"/>
        <w:ind w:firstLine="422" w:firstLineChars="200"/>
        <w:jc w:val="left"/>
        <w:rPr>
          <w:rFonts w:hint="eastAsia" w:ascii="Times New Roman" w:hAnsi="Times New Roman" w:eastAsia="宋体" w:cs="Times New Roman"/>
          <w:bCs/>
          <w:szCs w:val="21"/>
        </w:rPr>
      </w:pPr>
      <w:r>
        <w:rPr>
          <w:rFonts w:hint="eastAsia" w:ascii="Times New Roman" w:hAnsi="Times New Roman" w:eastAsia="宋体" w:cs="Times New Roman"/>
          <w:b/>
          <w:szCs w:val="21"/>
        </w:rPr>
        <w:t>3.</w:t>
      </w:r>
      <w:r>
        <w:rPr>
          <w:rFonts w:hint="eastAsia" w:ascii="宋体" w:hAnsi="宋体" w:eastAsia="宋体" w:cs="Times New Roman"/>
          <w:b/>
          <w:szCs w:val="21"/>
        </w:rPr>
        <w:t>素质目标：</w:t>
      </w:r>
      <w:r>
        <w:rPr>
          <w:rFonts w:hint="eastAsia" w:ascii="宋体" w:hAnsi="宋体" w:eastAsia="宋体" w:cs="Times New Roman"/>
          <w:bCs/>
          <w:szCs w:val="21"/>
        </w:rPr>
        <w:t>通过知识学习，心理活动参与和体验，提升学习者的心理保健能力，促进学习者健康心理素质的发展，提升心理资本。具体素质内容包括：掌握大学阶段学习心理规律、人际关系调适、青春期性心理与恋爱心理的维护、绪调适、挫折应对方式等大学生活适应方面的基本方法与技能。</w:t>
      </w:r>
    </w:p>
    <w:p w14:paraId="1397FE52">
      <w:pPr>
        <w:spacing w:before="156" w:beforeLines="50" w:after="156" w:afterLines="50" w:line="360" w:lineRule="auto"/>
        <w:jc w:val="left"/>
        <w:rPr>
          <w:rFonts w:ascii="Times New Roman" w:hAnsi="Times New Roman" w:eastAsia="宋体" w:cs="Times New Roman"/>
          <w:b/>
          <w:bCs/>
          <w:szCs w:val="21"/>
        </w:rPr>
      </w:pPr>
      <w:r>
        <w:rPr>
          <w:rFonts w:hint="eastAsia" w:ascii="宋体" w:hAnsi="宋体" w:eastAsia="宋体" w:cs="Times New Roman"/>
          <w:b/>
          <w:bCs/>
          <w:szCs w:val="21"/>
        </w:rPr>
        <w:t>（二）课程目标及其对毕业要求指标点的支撑</w:t>
      </w:r>
    </w:p>
    <w:tbl>
      <w:tblPr>
        <w:tblStyle w:val="4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5387"/>
        <w:gridCol w:w="1327"/>
      </w:tblGrid>
      <w:tr w14:paraId="681D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auto" w:sz="4" w:space="0"/>
              <w:left w:val="single" w:color="auto" w:sz="4" w:space="0"/>
              <w:bottom w:val="single" w:color="auto" w:sz="4" w:space="0"/>
              <w:right w:val="single" w:color="auto" w:sz="4" w:space="0"/>
            </w:tcBorders>
            <w:vAlign w:val="center"/>
          </w:tcPr>
          <w:p w14:paraId="490458B2">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毕业要求</w:t>
            </w:r>
          </w:p>
        </w:tc>
        <w:tc>
          <w:tcPr>
            <w:tcW w:w="5387" w:type="dxa"/>
            <w:tcBorders>
              <w:top w:val="single" w:color="auto" w:sz="4" w:space="0"/>
              <w:left w:val="single" w:color="auto" w:sz="4" w:space="0"/>
              <w:bottom w:val="single" w:color="auto" w:sz="4" w:space="0"/>
              <w:right w:val="single" w:color="auto" w:sz="4" w:space="0"/>
            </w:tcBorders>
            <w:vAlign w:val="center"/>
          </w:tcPr>
          <w:p w14:paraId="46CB7463">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毕业要求指标点</w:t>
            </w:r>
          </w:p>
        </w:tc>
        <w:tc>
          <w:tcPr>
            <w:tcW w:w="1327" w:type="dxa"/>
            <w:tcBorders>
              <w:top w:val="single" w:color="auto" w:sz="4" w:space="0"/>
              <w:left w:val="single" w:color="auto" w:sz="4" w:space="0"/>
              <w:bottom w:val="single" w:color="auto" w:sz="4" w:space="0"/>
              <w:right w:val="single" w:color="auto" w:sz="4" w:space="0"/>
            </w:tcBorders>
            <w:vAlign w:val="center"/>
          </w:tcPr>
          <w:p w14:paraId="063CDDFF">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课程目标</w:t>
            </w:r>
          </w:p>
        </w:tc>
      </w:tr>
      <w:tr w14:paraId="098E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auto" w:sz="4" w:space="0"/>
              <w:left w:val="single" w:color="auto" w:sz="4" w:space="0"/>
              <w:bottom w:val="single" w:color="auto" w:sz="4" w:space="0"/>
              <w:right w:val="single" w:color="auto" w:sz="4" w:space="0"/>
            </w:tcBorders>
            <w:vAlign w:val="center"/>
          </w:tcPr>
          <w:p w14:paraId="461030BF">
            <w:pPr>
              <w:spacing w:line="273" w:lineRule="auto"/>
              <w:jc w:val="left"/>
              <w:rPr>
                <w:rFonts w:ascii="Times New Roman" w:hAnsi="Times New Roman" w:eastAsia="宋体" w:cs="Times New Roman"/>
                <w:szCs w:val="21"/>
              </w:rPr>
            </w:pPr>
            <w:r>
              <w:rPr>
                <w:rFonts w:hint="eastAsia" w:ascii="宋体" w:hAnsi="宋体" w:eastAsia="宋体" w:cs="Times New Roman"/>
                <w:szCs w:val="21"/>
              </w:rPr>
              <w:t>毕业要求</w:t>
            </w:r>
            <w:r>
              <w:rPr>
                <w:rFonts w:hint="eastAsia" w:ascii="Times New Roman" w:hAnsi="Times New Roman" w:eastAsia="宋体" w:cs="Times New Roman"/>
                <w:szCs w:val="21"/>
              </w:rPr>
              <w:t>2</w:t>
            </w:r>
            <w:r>
              <w:rPr>
                <w:rFonts w:hint="eastAsia" w:ascii="宋体" w:hAnsi="宋体" w:eastAsia="宋体" w:cs="Times New Roman"/>
                <w:szCs w:val="21"/>
              </w:rPr>
              <w:t>教育情怀</w:t>
            </w:r>
          </w:p>
        </w:tc>
        <w:tc>
          <w:tcPr>
            <w:tcW w:w="5387" w:type="dxa"/>
            <w:tcBorders>
              <w:top w:val="single" w:color="auto" w:sz="4" w:space="0"/>
              <w:left w:val="single" w:color="auto" w:sz="4" w:space="0"/>
              <w:bottom w:val="single" w:color="auto" w:sz="4" w:space="0"/>
              <w:right w:val="single" w:color="auto" w:sz="4" w:space="0"/>
            </w:tcBorders>
            <w:vAlign w:val="center"/>
          </w:tcPr>
          <w:p w14:paraId="762AEA32">
            <w:pPr>
              <w:spacing w:line="273" w:lineRule="auto"/>
              <w:jc w:val="left"/>
              <w:rPr>
                <w:rFonts w:ascii="Times New Roman" w:hAnsi="Times New Roman" w:eastAsia="宋体" w:cs="Times New Roman"/>
                <w:szCs w:val="21"/>
              </w:rPr>
            </w:pPr>
            <w:r>
              <w:rPr>
                <w:rFonts w:hint="eastAsia" w:ascii="宋体" w:hAnsi="宋体" w:eastAsia="宋体" w:cs="Times New Roman"/>
                <w:szCs w:val="21"/>
              </w:rPr>
              <w:t>指标点</w:t>
            </w:r>
            <w:r>
              <w:rPr>
                <w:rFonts w:hint="eastAsia" w:ascii="Times New Roman" w:hAnsi="Times New Roman" w:eastAsia="宋体" w:cs="Times New Roman"/>
                <w:szCs w:val="21"/>
              </w:rPr>
              <w:t>2-3</w:t>
            </w:r>
            <w:r>
              <w:rPr>
                <w:rFonts w:hint="eastAsia" w:ascii="宋体" w:hAnsi="宋体" w:eastAsia="宋体" w:cs="Times New Roman"/>
                <w:szCs w:val="21"/>
              </w:rPr>
              <w:t>：【自身修养良好】具有较好的人文艺术底蕴与科学精神，言行举止符合教师职业标准，情感积极，人格健全，身心健康。</w:t>
            </w:r>
          </w:p>
        </w:tc>
        <w:tc>
          <w:tcPr>
            <w:tcW w:w="1327" w:type="dxa"/>
            <w:tcBorders>
              <w:top w:val="single" w:color="auto" w:sz="4" w:space="0"/>
              <w:left w:val="single" w:color="auto" w:sz="4" w:space="0"/>
              <w:bottom w:val="single" w:color="auto" w:sz="4" w:space="0"/>
              <w:right w:val="single" w:color="auto" w:sz="4" w:space="0"/>
            </w:tcBorders>
            <w:vAlign w:val="center"/>
          </w:tcPr>
          <w:p w14:paraId="6767860F">
            <w:pPr>
              <w:spacing w:line="273" w:lineRule="auto"/>
              <w:jc w:val="left"/>
              <w:rPr>
                <w:rFonts w:ascii="Times New Roman" w:hAnsi="Times New Roman" w:eastAsia="宋体" w:cs="Times New Roman"/>
                <w:szCs w:val="21"/>
              </w:rPr>
            </w:pPr>
            <w:r>
              <w:rPr>
                <w:rFonts w:hint="eastAsia" w:ascii="宋体" w:hAnsi="宋体" w:eastAsia="宋体" w:cs="Times New Roman"/>
                <w:szCs w:val="21"/>
              </w:rPr>
              <w:t>课程目标</w:t>
            </w:r>
            <w:r>
              <w:rPr>
                <w:rFonts w:hint="eastAsia" w:ascii="Times New Roman" w:hAnsi="Times New Roman" w:eastAsia="宋体" w:cs="Times New Roman"/>
                <w:szCs w:val="21"/>
              </w:rPr>
              <w:t>3</w:t>
            </w:r>
          </w:p>
        </w:tc>
      </w:tr>
      <w:tr w14:paraId="3D53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auto" w:sz="4" w:space="0"/>
              <w:left w:val="single" w:color="auto" w:sz="4" w:space="0"/>
              <w:bottom w:val="single" w:color="auto" w:sz="4" w:space="0"/>
              <w:right w:val="single" w:color="auto" w:sz="4" w:space="0"/>
            </w:tcBorders>
            <w:vAlign w:val="center"/>
          </w:tcPr>
          <w:p w14:paraId="48EA0C3D">
            <w:pPr>
              <w:spacing w:line="273" w:lineRule="auto"/>
              <w:jc w:val="left"/>
              <w:rPr>
                <w:rFonts w:ascii="Times New Roman" w:hAnsi="Times New Roman" w:eastAsia="宋体" w:cs="Times New Roman"/>
                <w:szCs w:val="21"/>
              </w:rPr>
            </w:pPr>
            <w:r>
              <w:rPr>
                <w:rFonts w:hint="eastAsia" w:ascii="宋体" w:hAnsi="宋体" w:eastAsia="宋体" w:cs="Times New Roman"/>
                <w:szCs w:val="21"/>
              </w:rPr>
              <w:t>毕业要求</w:t>
            </w:r>
            <w:r>
              <w:rPr>
                <w:rFonts w:hint="eastAsia" w:ascii="Times New Roman" w:hAnsi="Times New Roman" w:eastAsia="宋体" w:cs="Times New Roman"/>
                <w:szCs w:val="21"/>
              </w:rPr>
              <w:t>5</w:t>
            </w:r>
            <w:r>
              <w:rPr>
                <w:rFonts w:hint="eastAsia" w:ascii="宋体" w:hAnsi="宋体" w:eastAsia="宋体" w:cs="Times New Roman"/>
                <w:szCs w:val="21"/>
              </w:rPr>
              <w:t>班级管理</w:t>
            </w:r>
          </w:p>
        </w:tc>
        <w:tc>
          <w:tcPr>
            <w:tcW w:w="5387" w:type="dxa"/>
            <w:tcBorders>
              <w:top w:val="single" w:color="auto" w:sz="4" w:space="0"/>
              <w:left w:val="single" w:color="auto" w:sz="4" w:space="0"/>
              <w:bottom w:val="single" w:color="auto" w:sz="4" w:space="0"/>
              <w:right w:val="single" w:color="auto" w:sz="4" w:space="0"/>
            </w:tcBorders>
            <w:vAlign w:val="center"/>
          </w:tcPr>
          <w:p w14:paraId="55E466BC">
            <w:pPr>
              <w:spacing w:line="273" w:lineRule="auto"/>
              <w:jc w:val="left"/>
              <w:rPr>
                <w:rFonts w:ascii="Times New Roman" w:hAnsi="Times New Roman" w:eastAsia="宋体" w:cs="Times New Roman"/>
                <w:szCs w:val="21"/>
              </w:rPr>
            </w:pPr>
            <w:r>
              <w:rPr>
                <w:rFonts w:hint="eastAsia" w:ascii="宋体" w:hAnsi="宋体" w:eastAsia="宋体" w:cs="Times New Roman"/>
                <w:szCs w:val="21"/>
              </w:rPr>
              <w:t>指标点</w:t>
            </w:r>
            <w:r>
              <w:rPr>
                <w:rFonts w:hint="eastAsia" w:ascii="Times New Roman" w:hAnsi="Times New Roman" w:eastAsia="宋体" w:cs="Times New Roman"/>
                <w:szCs w:val="21"/>
              </w:rPr>
              <w:t>5-2</w:t>
            </w:r>
            <w:r>
              <w:rPr>
                <w:rFonts w:hint="eastAsia" w:ascii="宋体" w:hAnsi="宋体" w:eastAsia="宋体" w:cs="Times New Roman"/>
                <w:szCs w:val="21"/>
              </w:rPr>
              <w:t>：【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327" w:type="dxa"/>
            <w:tcBorders>
              <w:top w:val="single" w:color="auto" w:sz="4" w:space="0"/>
              <w:left w:val="single" w:color="auto" w:sz="4" w:space="0"/>
              <w:bottom w:val="single" w:color="auto" w:sz="4" w:space="0"/>
              <w:right w:val="single" w:color="auto" w:sz="4" w:space="0"/>
            </w:tcBorders>
            <w:vAlign w:val="center"/>
          </w:tcPr>
          <w:p w14:paraId="36462DB0">
            <w:pPr>
              <w:spacing w:line="273" w:lineRule="auto"/>
              <w:jc w:val="left"/>
              <w:rPr>
                <w:rFonts w:ascii="Times New Roman" w:hAnsi="Times New Roman" w:eastAsia="宋体" w:cs="Times New Roman"/>
                <w:szCs w:val="21"/>
              </w:rPr>
            </w:pPr>
            <w:r>
              <w:rPr>
                <w:rFonts w:hint="eastAsia" w:ascii="宋体" w:hAnsi="宋体" w:eastAsia="宋体" w:cs="Times New Roman"/>
                <w:szCs w:val="21"/>
              </w:rPr>
              <w:t>课程目标</w:t>
            </w:r>
            <w:r>
              <w:rPr>
                <w:rFonts w:hint="eastAsia" w:ascii="Times New Roman" w:hAnsi="Times New Roman" w:eastAsia="宋体" w:cs="Times New Roman"/>
                <w:szCs w:val="21"/>
              </w:rPr>
              <w:t>1</w:t>
            </w:r>
          </w:p>
        </w:tc>
      </w:tr>
      <w:tr w14:paraId="1607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auto" w:sz="4" w:space="0"/>
              <w:left w:val="single" w:color="auto" w:sz="4" w:space="0"/>
              <w:bottom w:val="single" w:color="auto" w:sz="4" w:space="0"/>
              <w:right w:val="single" w:color="auto" w:sz="4" w:space="0"/>
            </w:tcBorders>
            <w:vAlign w:val="center"/>
          </w:tcPr>
          <w:p w14:paraId="48A04012">
            <w:pPr>
              <w:spacing w:line="273" w:lineRule="auto"/>
              <w:jc w:val="left"/>
              <w:rPr>
                <w:rFonts w:ascii="Times New Roman" w:hAnsi="Times New Roman" w:eastAsia="宋体" w:cs="Times New Roman"/>
                <w:szCs w:val="21"/>
              </w:rPr>
            </w:pPr>
            <w:r>
              <w:rPr>
                <w:rFonts w:hint="eastAsia" w:ascii="宋体" w:hAnsi="宋体" w:eastAsia="宋体" w:cs="Times New Roman"/>
                <w:szCs w:val="21"/>
              </w:rPr>
              <w:t>毕业要求</w:t>
            </w:r>
            <w:r>
              <w:rPr>
                <w:rFonts w:hint="eastAsia" w:ascii="Times New Roman" w:hAnsi="Times New Roman" w:eastAsia="宋体" w:cs="Times New Roman"/>
                <w:szCs w:val="21"/>
              </w:rPr>
              <w:t>8</w:t>
            </w:r>
            <w:r>
              <w:rPr>
                <w:rFonts w:hint="eastAsia" w:ascii="宋体" w:hAnsi="宋体" w:eastAsia="宋体" w:cs="Times New Roman"/>
                <w:szCs w:val="21"/>
              </w:rPr>
              <w:t>沟通合作</w:t>
            </w:r>
          </w:p>
        </w:tc>
        <w:tc>
          <w:tcPr>
            <w:tcW w:w="5387" w:type="dxa"/>
            <w:tcBorders>
              <w:top w:val="single" w:color="auto" w:sz="4" w:space="0"/>
              <w:left w:val="single" w:color="auto" w:sz="4" w:space="0"/>
              <w:bottom w:val="single" w:color="auto" w:sz="4" w:space="0"/>
              <w:right w:val="single" w:color="auto" w:sz="4" w:space="0"/>
            </w:tcBorders>
            <w:vAlign w:val="center"/>
          </w:tcPr>
          <w:p w14:paraId="46C6CD6D">
            <w:pPr>
              <w:spacing w:line="273" w:lineRule="auto"/>
              <w:jc w:val="left"/>
              <w:rPr>
                <w:rFonts w:ascii="Times New Roman" w:hAnsi="Times New Roman" w:eastAsia="宋体" w:cs="Times New Roman"/>
                <w:szCs w:val="21"/>
              </w:rPr>
            </w:pPr>
            <w:r>
              <w:rPr>
                <w:rFonts w:hint="eastAsia" w:ascii="宋体" w:hAnsi="宋体" w:eastAsia="宋体" w:cs="Times New Roman"/>
                <w:szCs w:val="21"/>
              </w:rPr>
              <w:t>指标点</w:t>
            </w:r>
            <w:r>
              <w:rPr>
                <w:rFonts w:hint="eastAsia" w:ascii="Times New Roman" w:hAnsi="Times New Roman" w:eastAsia="宋体" w:cs="Times New Roman"/>
                <w:szCs w:val="21"/>
              </w:rPr>
              <w:t>8-2</w:t>
            </w:r>
            <w:r>
              <w:rPr>
                <w:rFonts w:hint="eastAsia" w:ascii="宋体" w:hAnsi="宋体" w:eastAsia="宋体" w:cs="Times New Roman"/>
                <w:szCs w:val="21"/>
              </w:rPr>
              <w:t>：【学会沟通交流】掌握人际沟通合作技能与方法，在教育教学实践中，能与学生和家长以及同行、同事、专家进行有效沟通与合作，实现共同发展。</w:t>
            </w:r>
          </w:p>
        </w:tc>
        <w:tc>
          <w:tcPr>
            <w:tcW w:w="1327" w:type="dxa"/>
            <w:tcBorders>
              <w:top w:val="single" w:color="auto" w:sz="4" w:space="0"/>
              <w:left w:val="single" w:color="auto" w:sz="4" w:space="0"/>
              <w:bottom w:val="single" w:color="auto" w:sz="4" w:space="0"/>
              <w:right w:val="single" w:color="auto" w:sz="4" w:space="0"/>
            </w:tcBorders>
            <w:vAlign w:val="center"/>
          </w:tcPr>
          <w:p w14:paraId="53C3B519">
            <w:pPr>
              <w:spacing w:line="273" w:lineRule="auto"/>
              <w:jc w:val="left"/>
              <w:rPr>
                <w:rFonts w:ascii="Times New Roman" w:hAnsi="Times New Roman" w:eastAsia="宋体" w:cs="Times New Roman"/>
                <w:szCs w:val="21"/>
              </w:rPr>
            </w:pPr>
            <w:r>
              <w:rPr>
                <w:rFonts w:hint="eastAsia" w:ascii="宋体" w:hAnsi="宋体" w:eastAsia="宋体" w:cs="Times New Roman"/>
                <w:szCs w:val="21"/>
              </w:rPr>
              <w:t>课程目标</w:t>
            </w:r>
            <w:r>
              <w:rPr>
                <w:rFonts w:hint="eastAsia" w:ascii="Times New Roman" w:hAnsi="Times New Roman" w:eastAsia="宋体" w:cs="Times New Roman"/>
                <w:szCs w:val="21"/>
              </w:rPr>
              <w:t>2</w:t>
            </w:r>
          </w:p>
        </w:tc>
      </w:tr>
    </w:tbl>
    <w:p w14:paraId="35DA6456">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1647F80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学生在扎实掌握心理健康教育知识的基础上，践行社会主义核心价值观，认同中国特色社会主义，贯彻党的教育方针，以立德树人为己任，遵守师范生的道德规范，具有积极的情感、端正的态度、正确的价值观，具有人文底蕴和科学精神，富有爱心、责任心、事业心，心理健康，能适应社会发展，立志成为有理想信念、有道德情操、有扎实学习、有仁爱之心的新时代大国良师。</w:t>
      </w:r>
    </w:p>
    <w:p w14:paraId="62040F7E">
      <w:pPr>
        <w:spacing w:line="360" w:lineRule="auto"/>
        <w:jc w:val="left"/>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rPr>
        <w:t xml:space="preserve"> </w:t>
      </w:r>
    </w:p>
    <w:p w14:paraId="50D34FE1">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4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C3D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tcBorders>
              <w:top w:val="single" w:color="auto" w:sz="4" w:space="0"/>
              <w:left w:val="single" w:color="auto" w:sz="4" w:space="0"/>
              <w:bottom w:val="single" w:color="auto" w:sz="4" w:space="0"/>
              <w:right w:val="single" w:color="auto" w:sz="4" w:space="0"/>
            </w:tcBorders>
            <w:vAlign w:val="center"/>
          </w:tcPr>
          <w:p w14:paraId="55AC554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4F50B69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tcBorders>
              <w:top w:val="single" w:color="auto" w:sz="4" w:space="0"/>
              <w:left w:val="single" w:color="auto" w:sz="4" w:space="0"/>
              <w:bottom w:val="single" w:color="auto" w:sz="4" w:space="0"/>
              <w:right w:val="single" w:color="auto" w:sz="4" w:space="0"/>
            </w:tcBorders>
            <w:vAlign w:val="center"/>
          </w:tcPr>
          <w:p w14:paraId="6679E6B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tcBorders>
              <w:top w:val="single" w:color="auto" w:sz="4" w:space="0"/>
              <w:left w:val="single" w:color="auto" w:sz="4" w:space="0"/>
              <w:bottom w:val="single" w:color="auto" w:sz="4" w:space="0"/>
              <w:right w:val="single" w:color="auto" w:sz="4" w:space="0"/>
            </w:tcBorders>
            <w:vAlign w:val="center"/>
          </w:tcPr>
          <w:p w14:paraId="6D940FB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642B72C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tcBorders>
              <w:top w:val="single" w:color="auto" w:sz="4" w:space="0"/>
              <w:left w:val="single" w:color="auto" w:sz="4" w:space="0"/>
              <w:bottom w:val="single" w:color="auto" w:sz="4" w:space="0"/>
              <w:right w:val="single" w:color="auto" w:sz="4" w:space="0"/>
            </w:tcBorders>
            <w:vAlign w:val="center"/>
          </w:tcPr>
          <w:p w14:paraId="71E06A4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tcBorders>
              <w:top w:val="single" w:color="auto" w:sz="4" w:space="0"/>
              <w:left w:val="single" w:color="auto" w:sz="4" w:space="0"/>
              <w:bottom w:val="single" w:color="auto" w:sz="4" w:space="0"/>
              <w:right w:val="single" w:color="auto" w:sz="4" w:space="0"/>
            </w:tcBorders>
            <w:vAlign w:val="center"/>
          </w:tcPr>
          <w:p w14:paraId="495B1CE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tcBorders>
              <w:top w:val="single" w:color="auto" w:sz="4" w:space="0"/>
              <w:left w:val="single" w:color="auto" w:sz="4" w:space="0"/>
              <w:bottom w:val="single" w:color="auto" w:sz="4" w:space="0"/>
              <w:right w:val="single" w:color="auto" w:sz="4" w:space="0"/>
            </w:tcBorders>
            <w:vAlign w:val="center"/>
          </w:tcPr>
          <w:p w14:paraId="476FEF5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1C80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4795517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第一讲：心理健康导论</w:t>
            </w:r>
          </w:p>
        </w:tc>
        <w:tc>
          <w:tcPr>
            <w:tcW w:w="1701" w:type="dxa"/>
            <w:tcBorders>
              <w:top w:val="single" w:color="auto" w:sz="4" w:space="0"/>
              <w:left w:val="single" w:color="auto" w:sz="4" w:space="0"/>
              <w:bottom w:val="single" w:color="auto" w:sz="4" w:space="0"/>
              <w:right w:val="single" w:color="auto" w:sz="4" w:space="0"/>
            </w:tcBorders>
            <w:vAlign w:val="center"/>
          </w:tcPr>
          <w:p w14:paraId="46639621">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心理健康概述；大学生心理健康现状；</w:t>
            </w:r>
          </w:p>
          <w:p w14:paraId="75833D89">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大学阶段的心理发展任务；</w:t>
            </w:r>
          </w:p>
          <w:p w14:paraId="46DCB0E6">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心理咨询</w:t>
            </w:r>
          </w:p>
        </w:tc>
        <w:tc>
          <w:tcPr>
            <w:tcW w:w="1134" w:type="dxa"/>
            <w:tcBorders>
              <w:top w:val="single" w:color="auto" w:sz="4" w:space="0"/>
              <w:left w:val="single" w:color="auto" w:sz="4" w:space="0"/>
              <w:bottom w:val="single" w:color="auto" w:sz="4" w:space="0"/>
              <w:right w:val="single" w:color="auto" w:sz="4" w:space="0"/>
            </w:tcBorders>
            <w:vAlign w:val="center"/>
          </w:tcPr>
          <w:p w14:paraId="1B7B3269">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tcBorders>
              <w:top w:val="single" w:color="auto" w:sz="4" w:space="0"/>
              <w:left w:val="single" w:color="auto" w:sz="4" w:space="0"/>
              <w:bottom w:val="single" w:color="auto" w:sz="4" w:space="0"/>
              <w:right w:val="single" w:color="auto" w:sz="4" w:space="0"/>
            </w:tcBorders>
            <w:vAlign w:val="center"/>
          </w:tcPr>
          <w:p w14:paraId="6049AB3A">
            <w:pPr>
              <w:numPr>
                <w:ilvl w:val="0"/>
                <w:numId w:val="18"/>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认识心理健康的意义；</w:t>
            </w:r>
          </w:p>
          <w:p w14:paraId="053ABC0C">
            <w:pPr>
              <w:numPr>
                <w:ilvl w:val="0"/>
                <w:numId w:val="18"/>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正确理解心理健康的标准；</w:t>
            </w:r>
          </w:p>
          <w:p w14:paraId="394CC205">
            <w:pPr>
              <w:numPr>
                <w:ilvl w:val="0"/>
                <w:numId w:val="18"/>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了解常见的心理困扰，提高对新环境适应的自觉性；</w:t>
            </w:r>
          </w:p>
          <w:p w14:paraId="50BC135B">
            <w:pPr>
              <w:numPr>
                <w:ilvl w:val="0"/>
                <w:numId w:val="18"/>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了解心理咨询的概念及常见误区、任务和设置，普及心理咨询的正确观念。</w:t>
            </w:r>
          </w:p>
        </w:tc>
        <w:tc>
          <w:tcPr>
            <w:tcW w:w="1560" w:type="dxa"/>
            <w:tcBorders>
              <w:top w:val="single" w:color="auto" w:sz="4" w:space="0"/>
              <w:left w:val="single" w:color="auto" w:sz="4" w:space="0"/>
              <w:bottom w:val="single" w:color="auto" w:sz="4" w:space="0"/>
              <w:right w:val="single" w:color="auto" w:sz="4" w:space="0"/>
            </w:tcBorders>
            <w:vAlign w:val="center"/>
          </w:tcPr>
          <w:p w14:paraId="5A3F6638">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4D415C38">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F7B9D12">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4.课内实践 </w:t>
            </w:r>
          </w:p>
        </w:tc>
        <w:tc>
          <w:tcPr>
            <w:tcW w:w="438" w:type="dxa"/>
            <w:tcBorders>
              <w:top w:val="single" w:color="auto" w:sz="4" w:space="0"/>
              <w:left w:val="single" w:color="auto" w:sz="4" w:space="0"/>
              <w:bottom w:val="single" w:color="auto" w:sz="4" w:space="0"/>
              <w:right w:val="single" w:color="auto" w:sz="4" w:space="0"/>
            </w:tcBorders>
            <w:vAlign w:val="center"/>
          </w:tcPr>
          <w:p w14:paraId="24459561">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0DD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081E730A">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132FEE7F">
            <w:pPr>
              <w:spacing w:line="268"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了解大学生心理健康的标准，建立正确的心理咨询观念以及自助求助的意识，形成“四个自信”的基础。</w:t>
            </w:r>
          </w:p>
        </w:tc>
      </w:tr>
      <w:tr w14:paraId="3C9D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34687BC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第二讲：自我意识</w:t>
            </w:r>
          </w:p>
        </w:tc>
        <w:tc>
          <w:tcPr>
            <w:tcW w:w="1701" w:type="dxa"/>
            <w:tcBorders>
              <w:top w:val="single" w:color="auto" w:sz="4" w:space="0"/>
              <w:left w:val="single" w:color="auto" w:sz="4" w:space="0"/>
              <w:bottom w:val="single" w:color="auto" w:sz="4" w:space="0"/>
              <w:right w:val="single" w:color="auto" w:sz="4" w:space="0"/>
            </w:tcBorders>
            <w:vAlign w:val="center"/>
          </w:tcPr>
          <w:p w14:paraId="27626EB8">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遇见未知的我；拥抱独特的我；雕琢出色的我</w:t>
            </w:r>
          </w:p>
        </w:tc>
        <w:tc>
          <w:tcPr>
            <w:tcW w:w="1134" w:type="dxa"/>
            <w:tcBorders>
              <w:top w:val="single" w:color="auto" w:sz="4" w:space="0"/>
              <w:left w:val="single" w:color="auto" w:sz="4" w:space="0"/>
              <w:bottom w:val="single" w:color="auto" w:sz="4" w:space="0"/>
              <w:right w:val="single" w:color="auto" w:sz="4" w:space="0"/>
            </w:tcBorders>
            <w:vAlign w:val="center"/>
          </w:tcPr>
          <w:p w14:paraId="063E5D5E">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tcBorders>
              <w:top w:val="single" w:color="auto" w:sz="4" w:space="0"/>
              <w:left w:val="single" w:color="auto" w:sz="4" w:space="0"/>
              <w:bottom w:val="single" w:color="auto" w:sz="4" w:space="0"/>
              <w:right w:val="single" w:color="auto" w:sz="4" w:space="0"/>
            </w:tcBorders>
            <w:vAlign w:val="center"/>
          </w:tcPr>
          <w:p w14:paraId="21908E6E">
            <w:pPr>
              <w:numPr>
                <w:ilvl w:val="0"/>
                <w:numId w:val="19"/>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了解自我意识的基本概念、分类；</w:t>
            </w:r>
          </w:p>
          <w:p w14:paraId="41B4DD0A">
            <w:pPr>
              <w:numPr>
                <w:ilvl w:val="0"/>
                <w:numId w:val="19"/>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认识大学生自我意识的基本特点；</w:t>
            </w:r>
          </w:p>
          <w:p w14:paraId="5290A29F">
            <w:pPr>
              <w:numPr>
                <w:ilvl w:val="0"/>
                <w:numId w:val="19"/>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培养健全的自我意识和健康的自尊心。</w:t>
            </w:r>
          </w:p>
        </w:tc>
        <w:tc>
          <w:tcPr>
            <w:tcW w:w="1560" w:type="dxa"/>
            <w:tcBorders>
              <w:top w:val="single" w:color="auto" w:sz="4" w:space="0"/>
              <w:left w:val="single" w:color="auto" w:sz="4" w:space="0"/>
              <w:bottom w:val="single" w:color="auto" w:sz="4" w:space="0"/>
              <w:right w:val="single" w:color="auto" w:sz="4" w:space="0"/>
            </w:tcBorders>
            <w:vAlign w:val="center"/>
          </w:tcPr>
          <w:p w14:paraId="11BB8D60">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632B46A8">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E42905F">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4.实践活动</w:t>
            </w:r>
          </w:p>
        </w:tc>
        <w:tc>
          <w:tcPr>
            <w:tcW w:w="438" w:type="dxa"/>
            <w:tcBorders>
              <w:top w:val="single" w:color="auto" w:sz="4" w:space="0"/>
              <w:left w:val="single" w:color="auto" w:sz="4" w:space="0"/>
              <w:bottom w:val="single" w:color="auto" w:sz="4" w:space="0"/>
              <w:right w:val="single" w:color="auto" w:sz="4" w:space="0"/>
            </w:tcBorders>
            <w:vAlign w:val="center"/>
          </w:tcPr>
          <w:p w14:paraId="2AA95139">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7E1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0AFBB660">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7590322D">
            <w:pPr>
              <w:spacing w:line="268"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了解自我发展的概念和认识自我的途径，能够识别在自我意识发展过程中出现的偏差及原因，并能够对其进行调适，建立自尊自信的自我意识，确立文化自信。</w:t>
            </w:r>
          </w:p>
        </w:tc>
      </w:tr>
      <w:tr w14:paraId="6A6D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6DE01AC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第三讲：人格发展</w:t>
            </w:r>
          </w:p>
        </w:tc>
        <w:tc>
          <w:tcPr>
            <w:tcW w:w="1701" w:type="dxa"/>
            <w:tcBorders>
              <w:top w:val="single" w:color="auto" w:sz="4" w:space="0"/>
              <w:left w:val="single" w:color="auto" w:sz="4" w:space="0"/>
              <w:bottom w:val="single" w:color="auto" w:sz="4" w:space="0"/>
              <w:right w:val="single" w:color="auto" w:sz="4" w:space="0"/>
            </w:tcBorders>
            <w:vAlign w:val="center"/>
          </w:tcPr>
          <w:p w14:paraId="49705B59">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人格概述；</w:t>
            </w:r>
          </w:p>
          <w:p w14:paraId="766D465C">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人格探索；</w:t>
            </w:r>
          </w:p>
          <w:p w14:paraId="5931403D">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积极人格塑造</w:t>
            </w:r>
          </w:p>
          <w:p w14:paraId="517A5813">
            <w:pPr>
              <w:spacing w:line="268" w:lineRule="auto"/>
              <w:jc w:val="left"/>
              <w:rPr>
                <w:rFonts w:hint="eastAsia" w:ascii="宋体" w:hAnsi="宋体" w:eastAsia="宋体" w:cs="Times New Roman"/>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D91AAAA">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tcBorders>
              <w:top w:val="single" w:color="auto" w:sz="4" w:space="0"/>
              <w:left w:val="single" w:color="auto" w:sz="4" w:space="0"/>
              <w:bottom w:val="single" w:color="auto" w:sz="4" w:space="0"/>
              <w:right w:val="single" w:color="auto" w:sz="4" w:space="0"/>
            </w:tcBorders>
            <w:vAlign w:val="center"/>
          </w:tcPr>
          <w:p w14:paraId="384D2CD3">
            <w:pPr>
              <w:numPr>
                <w:ilvl w:val="0"/>
                <w:numId w:val="20"/>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掌握人格的概念、特征及结构；</w:t>
            </w:r>
          </w:p>
          <w:p w14:paraId="03BD782B">
            <w:pPr>
              <w:numPr>
                <w:ilvl w:val="0"/>
                <w:numId w:val="20"/>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了解主要的人格理论；</w:t>
            </w:r>
          </w:p>
          <w:p w14:paraId="16B7B11C">
            <w:pPr>
              <w:numPr>
                <w:ilvl w:val="0"/>
                <w:numId w:val="20"/>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掌握大学生常见的人格障碍；</w:t>
            </w:r>
          </w:p>
          <w:p w14:paraId="20124E73">
            <w:pPr>
              <w:numPr>
                <w:ilvl w:val="0"/>
                <w:numId w:val="20"/>
              </w:num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培养健全人格发展。</w:t>
            </w:r>
          </w:p>
        </w:tc>
        <w:tc>
          <w:tcPr>
            <w:tcW w:w="1560" w:type="dxa"/>
            <w:tcBorders>
              <w:top w:val="single" w:color="auto" w:sz="4" w:space="0"/>
              <w:left w:val="single" w:color="auto" w:sz="4" w:space="0"/>
              <w:bottom w:val="single" w:color="auto" w:sz="4" w:space="0"/>
              <w:right w:val="single" w:color="auto" w:sz="4" w:space="0"/>
            </w:tcBorders>
            <w:vAlign w:val="center"/>
          </w:tcPr>
          <w:p w14:paraId="79584BFE">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4B6854A5">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C842411">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4.课内实践</w:t>
            </w:r>
          </w:p>
        </w:tc>
        <w:tc>
          <w:tcPr>
            <w:tcW w:w="438" w:type="dxa"/>
            <w:tcBorders>
              <w:top w:val="single" w:color="auto" w:sz="4" w:space="0"/>
              <w:left w:val="single" w:color="auto" w:sz="4" w:space="0"/>
              <w:bottom w:val="single" w:color="auto" w:sz="4" w:space="0"/>
              <w:right w:val="single" w:color="auto" w:sz="4" w:space="0"/>
            </w:tcBorders>
            <w:vAlign w:val="center"/>
          </w:tcPr>
          <w:p w14:paraId="7468901E">
            <w:pPr>
              <w:spacing w:line="26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D6E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0E171394">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2656DD26">
            <w:pPr>
              <w:spacing w:line="268"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用科学</w:t>
            </w:r>
            <w:r>
              <w:rPr>
                <w:rFonts w:hint="eastAsia" w:ascii="宋体" w:hAnsi="宋体" w:eastAsia="宋体" w:cs="Times New Roman"/>
                <w:color w:val="000000"/>
                <w:szCs w:val="21"/>
              </w:rPr>
              <w:t>的视角了解人格理论，知道培养健全人格的方法，学会在生活中养成自己的健全人格，学习积极人格与幸福人生、大学生人格的自我探索、积极人格塑造的行动策略。</w:t>
            </w:r>
          </w:p>
        </w:tc>
      </w:tr>
      <w:tr w14:paraId="0B10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4CCCF30C">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第四讲：学习心理</w:t>
            </w:r>
          </w:p>
        </w:tc>
        <w:tc>
          <w:tcPr>
            <w:tcW w:w="1701" w:type="dxa"/>
            <w:tcBorders>
              <w:top w:val="single" w:color="auto" w:sz="4" w:space="0"/>
              <w:left w:val="single" w:color="auto" w:sz="4" w:space="0"/>
              <w:bottom w:val="single" w:color="auto" w:sz="4" w:space="0"/>
              <w:right w:val="single" w:color="auto" w:sz="4" w:space="0"/>
            </w:tcBorders>
            <w:vAlign w:val="center"/>
          </w:tcPr>
          <w:p w14:paraId="6D94FD61">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大学生常见学习问题；</w:t>
            </w:r>
          </w:p>
          <w:p w14:paraId="07C97345">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学会思考与学习；</w:t>
            </w:r>
          </w:p>
          <w:p w14:paraId="5657C973">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高效学习方法与策略</w:t>
            </w:r>
          </w:p>
        </w:tc>
        <w:tc>
          <w:tcPr>
            <w:tcW w:w="1134" w:type="dxa"/>
            <w:tcBorders>
              <w:top w:val="single" w:color="auto" w:sz="4" w:space="0"/>
              <w:left w:val="single" w:color="auto" w:sz="4" w:space="0"/>
              <w:bottom w:val="single" w:color="auto" w:sz="4" w:space="0"/>
              <w:right w:val="single" w:color="auto" w:sz="4" w:space="0"/>
            </w:tcBorders>
            <w:vAlign w:val="center"/>
          </w:tcPr>
          <w:p w14:paraId="00D82124">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tcBorders>
              <w:top w:val="single" w:color="auto" w:sz="4" w:space="0"/>
              <w:left w:val="single" w:color="auto" w:sz="4" w:space="0"/>
              <w:bottom w:val="single" w:color="auto" w:sz="4" w:space="0"/>
              <w:right w:val="single" w:color="auto" w:sz="4" w:space="0"/>
            </w:tcBorders>
            <w:vAlign w:val="center"/>
          </w:tcPr>
          <w:p w14:paraId="7E7C05D1">
            <w:pPr>
              <w:numPr>
                <w:ilvl w:val="0"/>
                <w:numId w:val="21"/>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了解学习心理相关概念，</w:t>
            </w:r>
          </w:p>
          <w:p w14:paraId="76F8156A">
            <w:pPr>
              <w:numPr>
                <w:ilvl w:val="0"/>
                <w:numId w:val="21"/>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掌握大学学习特点、动力特征</w:t>
            </w:r>
          </w:p>
          <w:p w14:paraId="265A7DDE">
            <w:pPr>
              <w:numPr>
                <w:ilvl w:val="0"/>
                <w:numId w:val="21"/>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学会自我诊断与调整策略。</w:t>
            </w:r>
          </w:p>
        </w:tc>
        <w:tc>
          <w:tcPr>
            <w:tcW w:w="1560" w:type="dxa"/>
            <w:tcBorders>
              <w:top w:val="single" w:color="auto" w:sz="4" w:space="0"/>
              <w:left w:val="single" w:color="auto" w:sz="4" w:space="0"/>
              <w:bottom w:val="single" w:color="auto" w:sz="4" w:space="0"/>
              <w:right w:val="single" w:color="auto" w:sz="4" w:space="0"/>
            </w:tcBorders>
            <w:vAlign w:val="center"/>
          </w:tcPr>
          <w:p w14:paraId="789B78F3">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7F7BF12B">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0DFF83B">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4.课内实践</w:t>
            </w:r>
          </w:p>
        </w:tc>
        <w:tc>
          <w:tcPr>
            <w:tcW w:w="438" w:type="dxa"/>
            <w:tcBorders>
              <w:top w:val="single" w:color="auto" w:sz="4" w:space="0"/>
              <w:left w:val="single" w:color="auto" w:sz="4" w:space="0"/>
              <w:bottom w:val="single" w:color="auto" w:sz="4" w:space="0"/>
              <w:right w:val="single" w:color="auto" w:sz="4" w:space="0"/>
            </w:tcBorders>
            <w:vAlign w:val="center"/>
          </w:tcPr>
          <w:p w14:paraId="3B42C1C8">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25C1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2195E5C5">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0E9C85B2">
            <w:pPr>
              <w:spacing w:line="273"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通过了解学习的特点，学会思考，学会学习，掌握学习动机的激发策略，促使学生提高学习效率，提升学习学习策略。</w:t>
            </w:r>
          </w:p>
        </w:tc>
      </w:tr>
      <w:tr w14:paraId="00EB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11A1902B">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第五讲：情绪管理</w:t>
            </w:r>
          </w:p>
        </w:tc>
        <w:tc>
          <w:tcPr>
            <w:tcW w:w="1701" w:type="dxa"/>
            <w:tcBorders>
              <w:top w:val="single" w:color="auto" w:sz="4" w:space="0"/>
              <w:left w:val="single" w:color="auto" w:sz="4" w:space="0"/>
              <w:bottom w:val="single" w:color="auto" w:sz="4" w:space="0"/>
              <w:right w:val="single" w:color="auto" w:sz="4" w:space="0"/>
            </w:tcBorders>
            <w:vAlign w:val="center"/>
          </w:tcPr>
          <w:p w14:paraId="7E2480A2">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全面认识情绪；正确看待情绪；有效管理情绪。</w:t>
            </w:r>
          </w:p>
        </w:tc>
        <w:tc>
          <w:tcPr>
            <w:tcW w:w="1134" w:type="dxa"/>
            <w:tcBorders>
              <w:top w:val="single" w:color="auto" w:sz="4" w:space="0"/>
              <w:left w:val="single" w:color="auto" w:sz="4" w:space="0"/>
              <w:bottom w:val="single" w:color="auto" w:sz="4" w:space="0"/>
              <w:right w:val="single" w:color="auto" w:sz="4" w:space="0"/>
            </w:tcBorders>
            <w:vAlign w:val="center"/>
          </w:tcPr>
          <w:p w14:paraId="5967BDD6">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tcBorders>
              <w:top w:val="single" w:color="auto" w:sz="4" w:space="0"/>
              <w:left w:val="single" w:color="auto" w:sz="4" w:space="0"/>
              <w:bottom w:val="single" w:color="auto" w:sz="4" w:space="0"/>
              <w:right w:val="single" w:color="auto" w:sz="4" w:space="0"/>
            </w:tcBorders>
            <w:vAlign w:val="center"/>
          </w:tcPr>
          <w:p w14:paraId="7BEAA5A9">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1. 了解情绪与健康的关系； </w:t>
            </w:r>
          </w:p>
          <w:p w14:paraId="73E24C50">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2. 掌握情绪经典理论； </w:t>
            </w:r>
          </w:p>
          <w:p w14:paraId="4B968615">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 学会情绪管理技巧。</w:t>
            </w:r>
          </w:p>
        </w:tc>
        <w:tc>
          <w:tcPr>
            <w:tcW w:w="1560" w:type="dxa"/>
            <w:tcBorders>
              <w:top w:val="single" w:color="auto" w:sz="4" w:space="0"/>
              <w:left w:val="single" w:color="auto" w:sz="4" w:space="0"/>
              <w:bottom w:val="single" w:color="auto" w:sz="4" w:space="0"/>
              <w:right w:val="single" w:color="auto" w:sz="4" w:space="0"/>
            </w:tcBorders>
            <w:vAlign w:val="center"/>
          </w:tcPr>
          <w:p w14:paraId="68A2B88E">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458F1320">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CDD8FEA">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4.课内实践</w:t>
            </w:r>
          </w:p>
        </w:tc>
        <w:tc>
          <w:tcPr>
            <w:tcW w:w="438" w:type="dxa"/>
            <w:tcBorders>
              <w:top w:val="single" w:color="auto" w:sz="4" w:space="0"/>
              <w:left w:val="single" w:color="auto" w:sz="4" w:space="0"/>
              <w:bottom w:val="single" w:color="auto" w:sz="4" w:space="0"/>
              <w:right w:val="single" w:color="auto" w:sz="4" w:space="0"/>
            </w:tcBorders>
            <w:vAlign w:val="center"/>
          </w:tcPr>
          <w:p w14:paraId="7AE6BCF3">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A26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6E095B53">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78016FB1">
            <w:pPr>
              <w:spacing w:line="273"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通过对情绪理论的学习，学习情绪管理策略和技巧，养成稳定的情绪表现，具有健康人格。</w:t>
            </w:r>
          </w:p>
        </w:tc>
      </w:tr>
      <w:tr w14:paraId="464B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702AF355">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第六讲：人际交往</w:t>
            </w:r>
          </w:p>
        </w:tc>
        <w:tc>
          <w:tcPr>
            <w:tcW w:w="1701" w:type="dxa"/>
            <w:tcBorders>
              <w:top w:val="single" w:color="auto" w:sz="4" w:space="0"/>
              <w:left w:val="single" w:color="auto" w:sz="4" w:space="0"/>
              <w:bottom w:val="single" w:color="auto" w:sz="4" w:space="0"/>
              <w:right w:val="single" w:color="auto" w:sz="4" w:space="0"/>
            </w:tcBorders>
            <w:vAlign w:val="center"/>
          </w:tcPr>
          <w:p w14:paraId="3AC5E908">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建立和谐的人际关系；</w:t>
            </w:r>
          </w:p>
          <w:p w14:paraId="5589BA23">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提升人际沟通能力；</w:t>
            </w:r>
          </w:p>
          <w:p w14:paraId="1FB6AF94">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人际交往的挑战与应对。</w:t>
            </w:r>
          </w:p>
        </w:tc>
        <w:tc>
          <w:tcPr>
            <w:tcW w:w="1134" w:type="dxa"/>
            <w:tcBorders>
              <w:top w:val="single" w:color="auto" w:sz="4" w:space="0"/>
              <w:left w:val="single" w:color="auto" w:sz="4" w:space="0"/>
              <w:bottom w:val="single" w:color="auto" w:sz="4" w:space="0"/>
              <w:right w:val="single" w:color="auto" w:sz="4" w:space="0"/>
            </w:tcBorders>
            <w:vAlign w:val="center"/>
          </w:tcPr>
          <w:p w14:paraId="3E7A7298">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tcBorders>
              <w:top w:val="single" w:color="auto" w:sz="4" w:space="0"/>
              <w:left w:val="single" w:color="auto" w:sz="4" w:space="0"/>
              <w:bottom w:val="single" w:color="auto" w:sz="4" w:space="0"/>
              <w:right w:val="single" w:color="auto" w:sz="4" w:space="0"/>
            </w:tcBorders>
            <w:vAlign w:val="center"/>
          </w:tcPr>
          <w:p w14:paraId="7A8B030A">
            <w:pPr>
              <w:numPr>
                <w:ilvl w:val="0"/>
                <w:numId w:val="22"/>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认识人际关系对大学生成长的重要意义；</w:t>
            </w:r>
          </w:p>
          <w:p w14:paraId="42007DF6">
            <w:pPr>
              <w:numPr>
                <w:ilvl w:val="0"/>
                <w:numId w:val="22"/>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了解人际交往的社会心理效应；</w:t>
            </w:r>
          </w:p>
          <w:p w14:paraId="27ED0C6D">
            <w:pPr>
              <w:numPr>
                <w:ilvl w:val="0"/>
                <w:numId w:val="22"/>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分析大学生的人际交往特点与人际关系影响因素；</w:t>
            </w:r>
          </w:p>
          <w:p w14:paraId="4C028511">
            <w:pPr>
              <w:numPr>
                <w:ilvl w:val="0"/>
                <w:numId w:val="22"/>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学习人际交往的基本原则，提升人际交往能力。</w:t>
            </w:r>
          </w:p>
        </w:tc>
        <w:tc>
          <w:tcPr>
            <w:tcW w:w="1560" w:type="dxa"/>
            <w:tcBorders>
              <w:top w:val="single" w:color="auto" w:sz="4" w:space="0"/>
              <w:left w:val="single" w:color="auto" w:sz="4" w:space="0"/>
              <w:bottom w:val="single" w:color="auto" w:sz="4" w:space="0"/>
              <w:right w:val="single" w:color="auto" w:sz="4" w:space="0"/>
            </w:tcBorders>
            <w:vAlign w:val="center"/>
          </w:tcPr>
          <w:p w14:paraId="17B7C45B">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7FF48F1A">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422D38D">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4.课内实践</w:t>
            </w:r>
          </w:p>
        </w:tc>
        <w:tc>
          <w:tcPr>
            <w:tcW w:w="438" w:type="dxa"/>
            <w:tcBorders>
              <w:top w:val="single" w:color="auto" w:sz="4" w:space="0"/>
              <w:left w:val="single" w:color="auto" w:sz="4" w:space="0"/>
              <w:bottom w:val="single" w:color="auto" w:sz="4" w:space="0"/>
              <w:right w:val="single" w:color="auto" w:sz="4" w:space="0"/>
            </w:tcBorders>
            <w:vAlign w:val="center"/>
          </w:tcPr>
          <w:p w14:paraId="271AB2D9">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5B03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6AF042F1">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1E451356">
            <w:pPr>
              <w:spacing w:line="273"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掌握基本的交往原则和技巧，了解人际关系的调适方法，增强人际交往能力，具有和谐的人际关系。</w:t>
            </w:r>
          </w:p>
        </w:tc>
      </w:tr>
      <w:tr w14:paraId="1C47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306248DC">
            <w:pPr>
              <w:spacing w:line="273" w:lineRule="auto"/>
              <w:jc w:val="center"/>
              <w:rPr>
                <w:rFonts w:hint="eastAsia" w:ascii="宋体" w:hAnsi="宋体" w:eastAsia="宋体" w:cs="Times New Roman"/>
                <w:szCs w:val="21"/>
              </w:rPr>
            </w:pPr>
            <w:r>
              <w:rPr>
                <w:rFonts w:hint="eastAsia" w:ascii="宋体" w:hAnsi="宋体" w:eastAsia="宋体" w:cs="Times New Roman"/>
                <w:szCs w:val="21"/>
              </w:rPr>
              <w:t>第七讲：恋爱心理</w:t>
            </w:r>
          </w:p>
        </w:tc>
        <w:tc>
          <w:tcPr>
            <w:tcW w:w="1701" w:type="dxa"/>
            <w:tcBorders>
              <w:top w:val="single" w:color="auto" w:sz="4" w:space="0"/>
              <w:left w:val="single" w:color="auto" w:sz="4" w:space="0"/>
              <w:bottom w:val="single" w:color="auto" w:sz="4" w:space="0"/>
              <w:right w:val="single" w:color="auto" w:sz="4" w:space="0"/>
            </w:tcBorders>
            <w:vAlign w:val="center"/>
          </w:tcPr>
          <w:p w14:paraId="4591FE68">
            <w:pPr>
              <w:spacing w:line="273" w:lineRule="auto"/>
              <w:jc w:val="left"/>
              <w:rPr>
                <w:rFonts w:hint="eastAsia" w:ascii="宋体" w:hAnsi="宋体" w:eastAsia="宋体" w:cs="Times New Roman"/>
                <w:szCs w:val="21"/>
              </w:rPr>
            </w:pPr>
            <w:r>
              <w:rPr>
                <w:rFonts w:hint="eastAsia" w:ascii="宋体" w:hAnsi="宋体" w:eastAsia="宋体" w:cs="Times New Roman"/>
                <w:szCs w:val="21"/>
              </w:rPr>
              <w:t>爱为何物；</w:t>
            </w:r>
          </w:p>
          <w:p w14:paraId="0CD9B77F">
            <w:pPr>
              <w:spacing w:line="273" w:lineRule="auto"/>
              <w:jc w:val="left"/>
              <w:rPr>
                <w:rFonts w:hint="eastAsia" w:ascii="宋体" w:hAnsi="宋体" w:eastAsia="宋体" w:cs="Times New Roman"/>
                <w:szCs w:val="21"/>
              </w:rPr>
            </w:pPr>
            <w:r>
              <w:rPr>
                <w:rFonts w:hint="eastAsia" w:ascii="宋体" w:hAnsi="宋体" w:eastAsia="宋体" w:cs="Times New Roman"/>
                <w:szCs w:val="21"/>
              </w:rPr>
              <w:t>爱的艺术；</w:t>
            </w:r>
          </w:p>
          <w:p w14:paraId="17614334">
            <w:pPr>
              <w:spacing w:line="273" w:lineRule="auto"/>
              <w:jc w:val="left"/>
              <w:rPr>
                <w:rFonts w:hint="eastAsia" w:ascii="宋体" w:hAnsi="宋体" w:eastAsia="宋体" w:cs="Times New Roman"/>
                <w:szCs w:val="21"/>
              </w:rPr>
            </w:pPr>
            <w:r>
              <w:rPr>
                <w:rFonts w:hint="eastAsia" w:ascii="宋体" w:hAnsi="宋体" w:eastAsia="宋体" w:cs="Times New Roman"/>
                <w:szCs w:val="21"/>
              </w:rPr>
              <w:t>爱与性的困扰与调适。</w:t>
            </w:r>
          </w:p>
        </w:tc>
        <w:tc>
          <w:tcPr>
            <w:tcW w:w="1134" w:type="dxa"/>
            <w:tcBorders>
              <w:top w:val="single" w:color="auto" w:sz="4" w:space="0"/>
              <w:left w:val="single" w:color="auto" w:sz="4" w:space="0"/>
              <w:bottom w:val="single" w:color="auto" w:sz="4" w:space="0"/>
              <w:right w:val="single" w:color="auto" w:sz="4" w:space="0"/>
            </w:tcBorders>
            <w:vAlign w:val="center"/>
          </w:tcPr>
          <w:p w14:paraId="095BE0FC">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tcBorders>
              <w:top w:val="single" w:color="auto" w:sz="4" w:space="0"/>
              <w:left w:val="single" w:color="auto" w:sz="4" w:space="0"/>
              <w:bottom w:val="single" w:color="auto" w:sz="4" w:space="0"/>
              <w:right w:val="single" w:color="auto" w:sz="4" w:space="0"/>
            </w:tcBorders>
            <w:vAlign w:val="center"/>
          </w:tcPr>
          <w:p w14:paraId="24D2D4C7">
            <w:pPr>
              <w:numPr>
                <w:ilvl w:val="0"/>
                <w:numId w:val="23"/>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正确认识恋爱在大学生成长中的地位；</w:t>
            </w:r>
          </w:p>
          <w:p w14:paraId="473996BB">
            <w:pPr>
              <w:numPr>
                <w:ilvl w:val="0"/>
                <w:numId w:val="23"/>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协调好学习与恋爱关系；</w:t>
            </w:r>
          </w:p>
          <w:p w14:paraId="075865DE">
            <w:pPr>
              <w:numPr>
                <w:ilvl w:val="0"/>
                <w:numId w:val="23"/>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了解爱情的真正含义，树立健康恋爱观；</w:t>
            </w:r>
          </w:p>
          <w:p w14:paraId="6548B8A2">
            <w:pPr>
              <w:numPr>
                <w:ilvl w:val="0"/>
                <w:numId w:val="23"/>
              </w:num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正确处理大学生恋爱中的心理困扰。</w:t>
            </w:r>
          </w:p>
        </w:tc>
        <w:tc>
          <w:tcPr>
            <w:tcW w:w="1560" w:type="dxa"/>
            <w:tcBorders>
              <w:top w:val="single" w:color="auto" w:sz="4" w:space="0"/>
              <w:left w:val="single" w:color="auto" w:sz="4" w:space="0"/>
              <w:bottom w:val="single" w:color="auto" w:sz="4" w:space="0"/>
              <w:right w:val="single" w:color="auto" w:sz="4" w:space="0"/>
            </w:tcBorders>
            <w:vAlign w:val="center"/>
          </w:tcPr>
          <w:p w14:paraId="31E00787">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7A8D965D">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4CE6333">
            <w:pPr>
              <w:spacing w:line="273"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4.课内实践</w:t>
            </w:r>
          </w:p>
        </w:tc>
        <w:tc>
          <w:tcPr>
            <w:tcW w:w="438" w:type="dxa"/>
            <w:tcBorders>
              <w:top w:val="single" w:color="auto" w:sz="4" w:space="0"/>
              <w:left w:val="single" w:color="auto" w:sz="4" w:space="0"/>
              <w:bottom w:val="single" w:color="auto" w:sz="4" w:space="0"/>
              <w:right w:val="single" w:color="auto" w:sz="4" w:space="0"/>
            </w:tcBorders>
            <w:vAlign w:val="center"/>
          </w:tcPr>
          <w:p w14:paraId="1CC06748">
            <w:pPr>
              <w:spacing w:line="273"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554E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6B03563B">
            <w:pPr>
              <w:widowControl/>
              <w:jc w:val="left"/>
              <w:rPr>
                <w:rFonts w:ascii="宋体" w:hAnsi="宋体" w:eastAsia="宋体" w:cs="Times New Roman"/>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7A101050">
            <w:pPr>
              <w:spacing w:line="273"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w:t>
            </w:r>
            <w:r>
              <w:rPr>
                <w:rFonts w:hint="eastAsia" w:ascii="宋体" w:hAnsi="宋体" w:eastAsia="宋体" w:cs="Times New Roman"/>
                <w:color w:val="000000"/>
                <w:szCs w:val="21"/>
              </w:rPr>
              <w:t>了解恋爱的含义、特点，建立正确的恋爱观，全面正确认识爱情的本质，提升符合社会主义社会的婚恋能力。</w:t>
            </w:r>
          </w:p>
        </w:tc>
      </w:tr>
      <w:tr w14:paraId="7426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tcBorders>
              <w:top w:val="nil"/>
              <w:left w:val="single" w:color="auto" w:sz="4" w:space="0"/>
              <w:bottom w:val="single" w:color="auto" w:sz="4" w:space="0"/>
              <w:right w:val="single" w:color="auto" w:sz="4" w:space="0"/>
            </w:tcBorders>
            <w:vAlign w:val="center"/>
          </w:tcPr>
          <w:p w14:paraId="4A8482B1">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第八讲：生命教育与运动健心</w:t>
            </w:r>
          </w:p>
        </w:tc>
        <w:tc>
          <w:tcPr>
            <w:tcW w:w="1701" w:type="dxa"/>
            <w:tcBorders>
              <w:top w:val="single" w:color="auto" w:sz="4" w:space="0"/>
              <w:left w:val="single" w:color="auto" w:sz="4" w:space="0"/>
              <w:bottom w:val="single" w:color="auto" w:sz="4" w:space="0"/>
              <w:right w:val="single" w:color="auto" w:sz="4" w:space="0"/>
            </w:tcBorders>
            <w:vAlign w:val="center"/>
          </w:tcPr>
          <w:p w14:paraId="5896A14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生命意义和价值创造；</w:t>
            </w:r>
          </w:p>
          <w:p w14:paraId="25B53C77">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心理危机的觉察与干预；</w:t>
            </w:r>
          </w:p>
          <w:p w14:paraId="34DD72C1">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运动育心</w:t>
            </w:r>
          </w:p>
        </w:tc>
        <w:tc>
          <w:tcPr>
            <w:tcW w:w="1134" w:type="dxa"/>
            <w:tcBorders>
              <w:top w:val="single" w:color="auto" w:sz="4" w:space="0"/>
              <w:left w:val="single" w:color="auto" w:sz="4" w:space="0"/>
              <w:bottom w:val="single" w:color="auto" w:sz="4" w:space="0"/>
              <w:right w:val="single" w:color="auto" w:sz="4" w:space="0"/>
            </w:tcBorders>
            <w:vAlign w:val="center"/>
          </w:tcPr>
          <w:p w14:paraId="2E882191">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tcBorders>
              <w:top w:val="single" w:color="auto" w:sz="4" w:space="0"/>
              <w:left w:val="single" w:color="auto" w:sz="4" w:space="0"/>
              <w:bottom w:val="single" w:color="auto" w:sz="4" w:space="0"/>
              <w:right w:val="single" w:color="auto" w:sz="4" w:space="0"/>
            </w:tcBorders>
            <w:vAlign w:val="center"/>
          </w:tcPr>
          <w:p w14:paraId="377C8E25">
            <w:pPr>
              <w:numPr>
                <w:ilvl w:val="0"/>
                <w:numId w:val="24"/>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了解生命的历程，理解生命的意义，体会生命的独特与可贵；</w:t>
            </w:r>
          </w:p>
          <w:p w14:paraId="4065EC72">
            <w:pPr>
              <w:numPr>
                <w:ilvl w:val="0"/>
                <w:numId w:val="24"/>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学会热爱生命、尊重生命、珍惜生命、体心融合。</w:t>
            </w:r>
          </w:p>
        </w:tc>
        <w:tc>
          <w:tcPr>
            <w:tcW w:w="1560" w:type="dxa"/>
            <w:tcBorders>
              <w:top w:val="single" w:color="auto" w:sz="4" w:space="0"/>
              <w:left w:val="single" w:color="auto" w:sz="4" w:space="0"/>
              <w:bottom w:val="single" w:color="auto" w:sz="4" w:space="0"/>
              <w:right w:val="single" w:color="auto" w:sz="4" w:space="0"/>
            </w:tcBorders>
            <w:vAlign w:val="center"/>
          </w:tcPr>
          <w:p w14:paraId="212CA470">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48AD1A0E">
            <w:pPr>
              <w:spacing w:line="268"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3CD5BDC">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4.课内实践</w:t>
            </w:r>
          </w:p>
        </w:tc>
        <w:tc>
          <w:tcPr>
            <w:tcW w:w="438" w:type="dxa"/>
            <w:tcBorders>
              <w:top w:val="single" w:color="auto" w:sz="4" w:space="0"/>
              <w:left w:val="single" w:color="auto" w:sz="4" w:space="0"/>
              <w:bottom w:val="single" w:color="auto" w:sz="4" w:space="0"/>
              <w:right w:val="single" w:color="auto" w:sz="4" w:space="0"/>
            </w:tcBorders>
            <w:vAlign w:val="center"/>
          </w:tcPr>
          <w:p w14:paraId="6849D96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663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0C4E73B3">
            <w:pPr>
              <w:widowControl/>
              <w:jc w:val="left"/>
              <w:rPr>
                <w:rFonts w:ascii="宋体" w:hAnsi="宋体" w:eastAsia="宋体" w:cs="Times New Roman"/>
                <w:color w:val="000000"/>
                <w:szCs w:val="21"/>
              </w:rPr>
            </w:pPr>
          </w:p>
        </w:tc>
        <w:tc>
          <w:tcPr>
            <w:tcW w:w="8093" w:type="dxa"/>
            <w:gridSpan w:val="5"/>
            <w:tcBorders>
              <w:top w:val="single" w:color="auto" w:sz="4" w:space="0"/>
              <w:left w:val="single" w:color="auto" w:sz="4" w:space="0"/>
              <w:bottom w:val="single" w:color="auto" w:sz="4" w:space="0"/>
              <w:right w:val="single" w:color="auto" w:sz="4" w:space="0"/>
            </w:tcBorders>
            <w:vAlign w:val="center"/>
          </w:tcPr>
          <w:p w14:paraId="38B9439D">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帮助大学生理解生命的可贵，唤起大学生珍惜生命的意识，认识生命的意义、确立自己的人生价值。同时融入运动健心相关知识点，帮助学生从身、心、脑多角度理解身心健康。</w:t>
            </w:r>
          </w:p>
        </w:tc>
      </w:tr>
    </w:tbl>
    <w:p w14:paraId="297B0A98">
      <w:pPr>
        <w:spacing w:line="360" w:lineRule="auto"/>
        <w:jc w:val="left"/>
        <w:rPr>
          <w:rFonts w:hint="eastAsia" w:ascii="Times New Roman" w:hAnsi="Times New Roman" w:eastAsia="宋体" w:cs="Times New Roman"/>
          <w:sz w:val="24"/>
        </w:rPr>
      </w:pPr>
      <w:r>
        <w:rPr>
          <w:rFonts w:ascii="Times New Roman" w:hAnsi="Times New Roman" w:eastAsia="宋体" w:cs="Times New Roman"/>
          <w:sz w:val="24"/>
        </w:rPr>
        <w:t xml:space="preserve"> </w:t>
      </w:r>
    </w:p>
    <w:p w14:paraId="70522C5A">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1B7C6F4F">
      <w:pPr>
        <w:spacing w:line="360" w:lineRule="auto"/>
        <w:jc w:val="left"/>
        <w:rPr>
          <w:rFonts w:ascii="Times New Roman" w:hAnsi="Times New Roman" w:eastAsia="宋体" w:cs="Times New Roman"/>
          <w:b/>
          <w:szCs w:val="21"/>
        </w:rPr>
      </w:pPr>
      <w:r>
        <w:rPr>
          <w:rFonts w:hint="eastAsia" w:ascii="宋体" w:hAnsi="宋体" w:eastAsia="宋体" w:cs="Times New Roman"/>
          <w:b/>
          <w:szCs w:val="21"/>
        </w:rPr>
        <w:t>（一）课程目标评价方式</w:t>
      </w:r>
    </w:p>
    <w:p w14:paraId="0FC6F1DC">
      <w:pPr>
        <w:spacing w:line="360" w:lineRule="auto"/>
        <w:ind w:firstLine="420" w:firstLineChars="200"/>
        <w:jc w:val="left"/>
        <w:rPr>
          <w:rFonts w:ascii="Times New Roman" w:hAnsi="Times New Roman" w:eastAsia="宋体" w:cs="Times New Roman"/>
          <w:szCs w:val="21"/>
        </w:rPr>
      </w:pPr>
      <w:r>
        <w:rPr>
          <w:rFonts w:hint="eastAsia" w:ascii="宋体" w:hAnsi="宋体" w:eastAsia="宋体" w:cs="Times New Roman"/>
          <w:szCs w:val="21"/>
        </w:rPr>
        <w:t>根据总体设计，用于评价各课程目标的评价方式如表</w:t>
      </w:r>
      <w:r>
        <w:rPr>
          <w:rFonts w:hint="eastAsia" w:ascii="Times New Roman" w:hAnsi="Times New Roman" w:eastAsia="宋体" w:cs="Times New Roman"/>
          <w:szCs w:val="21"/>
        </w:rPr>
        <w:t>3</w:t>
      </w:r>
      <w:r>
        <w:rPr>
          <w:rFonts w:ascii="宋体" w:hAnsi="宋体" w:eastAsia="宋体" w:cs="Times New Roman"/>
          <w:szCs w:val="21"/>
        </w:rPr>
        <w:t>所示。</w:t>
      </w:r>
    </w:p>
    <w:p w14:paraId="5E393553">
      <w:pPr>
        <w:spacing w:line="360" w:lineRule="auto"/>
        <w:jc w:val="center"/>
        <w:rPr>
          <w:rFonts w:ascii="Times New Roman" w:hAnsi="Times New Roman" w:eastAsia="宋体" w:cs="Times New Roman"/>
          <w:b/>
          <w:bCs/>
          <w:szCs w:val="21"/>
        </w:rPr>
      </w:pPr>
      <w:r>
        <w:rPr>
          <w:rFonts w:hint="eastAsia" w:ascii="宋体" w:hAnsi="宋体" w:eastAsia="宋体" w:cs="Times New Roman"/>
          <w:b/>
          <w:bCs/>
          <w:szCs w:val="21"/>
        </w:rPr>
        <w:t>表</w:t>
      </w:r>
      <w:r>
        <w:rPr>
          <w:rFonts w:hint="eastAsia" w:ascii="Times New Roman" w:hAnsi="Times New Roman" w:eastAsia="宋体" w:cs="Times New Roman"/>
          <w:b/>
          <w:bCs/>
          <w:szCs w:val="21"/>
        </w:rPr>
        <w:t>3</w:t>
      </w:r>
      <w:r>
        <w:rPr>
          <w:rFonts w:ascii="宋体" w:hAnsi="宋体" w:eastAsia="宋体" w:cs="Times New Roman"/>
          <w:b/>
          <w:bCs/>
          <w:szCs w:val="21"/>
        </w:rPr>
        <w:t>课程教学评价设计总表</w:t>
      </w:r>
    </w:p>
    <w:tbl>
      <w:tblPr>
        <w:tblStyle w:val="42"/>
        <w:tblW w:w="8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1699"/>
        <w:gridCol w:w="1699"/>
        <w:gridCol w:w="1699"/>
        <w:gridCol w:w="1103"/>
      </w:tblGrid>
      <w:tr w14:paraId="52B9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53BF9807">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78382D71">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tcBorders>
              <w:top w:val="single" w:color="auto" w:sz="4" w:space="0"/>
              <w:left w:val="single" w:color="auto" w:sz="4" w:space="0"/>
              <w:bottom w:val="single" w:color="auto" w:sz="4" w:space="0"/>
              <w:right w:val="single" w:color="auto" w:sz="4" w:space="0"/>
            </w:tcBorders>
            <w:vAlign w:val="center"/>
          </w:tcPr>
          <w:p w14:paraId="1E342D48">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D0F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0B63C24">
            <w:pPr>
              <w:widowControl/>
              <w:jc w:val="left"/>
              <w:rPr>
                <w:rFonts w:ascii="宋体" w:hAnsi="宋体" w:eastAsia="宋体" w:cs="Times New Roman"/>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2A2E0DC4">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tcBorders>
              <w:top w:val="single" w:color="auto" w:sz="4" w:space="0"/>
              <w:left w:val="single" w:color="auto" w:sz="4" w:space="0"/>
              <w:bottom w:val="single" w:color="auto" w:sz="4" w:space="0"/>
              <w:right w:val="single" w:color="auto" w:sz="4" w:space="0"/>
            </w:tcBorders>
            <w:vAlign w:val="center"/>
          </w:tcPr>
          <w:p w14:paraId="43D2E621">
            <w:pPr>
              <w:spacing w:line="360" w:lineRule="auto"/>
              <w:jc w:val="center"/>
              <w:rPr>
                <w:rFonts w:hint="eastAsia" w:ascii="宋体" w:hAnsi="宋体" w:eastAsia="宋体" w:cs="Times New Roman"/>
                <w:szCs w:val="21"/>
              </w:rPr>
            </w:pPr>
            <w:r>
              <w:rPr>
                <w:rFonts w:hint="eastAsia" w:ascii="宋体" w:hAnsi="宋体" w:eastAsia="宋体" w:cs="Times New Roman"/>
                <w:szCs w:val="21"/>
              </w:rPr>
              <w:t>实践作业</w:t>
            </w:r>
          </w:p>
        </w:tc>
        <w:tc>
          <w:tcPr>
            <w:tcW w:w="0" w:type="auto"/>
            <w:tcBorders>
              <w:top w:val="single" w:color="auto" w:sz="4" w:space="0"/>
              <w:left w:val="single" w:color="auto" w:sz="4" w:space="0"/>
              <w:bottom w:val="single" w:color="auto" w:sz="4" w:space="0"/>
              <w:right w:val="single" w:color="auto" w:sz="4" w:space="0"/>
            </w:tcBorders>
            <w:vAlign w:val="center"/>
          </w:tcPr>
          <w:p w14:paraId="0CD3563C">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104" w:type="dxa"/>
            <w:tcBorders>
              <w:top w:val="single" w:color="auto" w:sz="4" w:space="0"/>
              <w:left w:val="single" w:color="auto" w:sz="4" w:space="0"/>
              <w:bottom w:val="single" w:color="auto" w:sz="4" w:space="0"/>
              <w:right w:val="single" w:color="auto" w:sz="4" w:space="0"/>
            </w:tcBorders>
            <w:vAlign w:val="center"/>
          </w:tcPr>
          <w:p w14:paraId="229FF1E6">
            <w:pPr>
              <w:spacing w:line="360" w:lineRule="auto"/>
              <w:jc w:val="center"/>
              <w:rPr>
                <w:rFonts w:hint="eastAsia" w:ascii="宋体" w:hAnsi="宋体" w:eastAsia="宋体" w:cs="Times New Roman"/>
                <w:szCs w:val="21"/>
              </w:rPr>
            </w:pPr>
          </w:p>
        </w:tc>
      </w:tr>
      <w:tr w14:paraId="280A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0" w:type="auto"/>
            <w:tcBorders>
              <w:top w:val="single" w:color="auto" w:sz="4" w:space="0"/>
              <w:left w:val="single" w:color="auto" w:sz="4" w:space="0"/>
              <w:bottom w:val="single" w:color="auto" w:sz="4" w:space="0"/>
              <w:right w:val="single" w:color="auto" w:sz="4" w:space="0"/>
            </w:tcBorders>
            <w:vAlign w:val="center"/>
          </w:tcPr>
          <w:p w14:paraId="0FE8930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tcBorders>
              <w:top w:val="single" w:color="auto" w:sz="4" w:space="0"/>
              <w:left w:val="single" w:color="auto" w:sz="4" w:space="0"/>
              <w:bottom w:val="single" w:color="auto" w:sz="4" w:space="0"/>
              <w:right w:val="single" w:color="auto" w:sz="4" w:space="0"/>
            </w:tcBorders>
            <w:vAlign w:val="center"/>
          </w:tcPr>
          <w:p w14:paraId="685C8F10">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41E942C3">
            <w:pPr>
              <w:spacing w:line="360" w:lineRule="auto"/>
              <w:jc w:val="center"/>
              <w:rPr>
                <w:rFonts w:hint="eastAsia" w:ascii="宋体" w:hAnsi="宋体" w:eastAsia="宋体" w:cs="Times New Roman"/>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2CB30689">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1104" w:type="dxa"/>
            <w:tcBorders>
              <w:top w:val="single" w:color="auto" w:sz="4" w:space="0"/>
              <w:left w:val="single" w:color="auto" w:sz="4" w:space="0"/>
              <w:bottom w:val="single" w:color="auto" w:sz="4" w:space="0"/>
              <w:right w:val="single" w:color="auto" w:sz="4" w:space="0"/>
            </w:tcBorders>
            <w:vAlign w:val="center"/>
          </w:tcPr>
          <w:p w14:paraId="6B0E8B7C">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127B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tcBorders>
              <w:top w:val="single" w:color="auto" w:sz="4" w:space="0"/>
              <w:left w:val="single" w:color="auto" w:sz="4" w:space="0"/>
              <w:bottom w:val="single" w:color="auto" w:sz="4" w:space="0"/>
              <w:right w:val="single" w:color="auto" w:sz="4" w:space="0"/>
            </w:tcBorders>
            <w:vAlign w:val="center"/>
          </w:tcPr>
          <w:p w14:paraId="248CBA7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tcBorders>
              <w:top w:val="single" w:color="auto" w:sz="4" w:space="0"/>
              <w:left w:val="single" w:color="auto" w:sz="4" w:space="0"/>
              <w:bottom w:val="single" w:color="auto" w:sz="4" w:space="0"/>
              <w:right w:val="single" w:color="auto" w:sz="4" w:space="0"/>
            </w:tcBorders>
            <w:vAlign w:val="center"/>
          </w:tcPr>
          <w:p w14:paraId="45D98E5E">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463775A7">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58A968C6">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1104" w:type="dxa"/>
            <w:tcBorders>
              <w:top w:val="single" w:color="auto" w:sz="4" w:space="0"/>
              <w:left w:val="single" w:color="auto" w:sz="4" w:space="0"/>
              <w:bottom w:val="single" w:color="auto" w:sz="4" w:space="0"/>
              <w:right w:val="single" w:color="auto" w:sz="4" w:space="0"/>
            </w:tcBorders>
            <w:vAlign w:val="center"/>
          </w:tcPr>
          <w:p w14:paraId="76255D5A">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0B08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tcBorders>
              <w:top w:val="single" w:color="auto" w:sz="4" w:space="0"/>
              <w:left w:val="single" w:color="auto" w:sz="4" w:space="0"/>
              <w:bottom w:val="single" w:color="auto" w:sz="4" w:space="0"/>
              <w:right w:val="single" w:color="auto" w:sz="4" w:space="0"/>
            </w:tcBorders>
            <w:vAlign w:val="center"/>
          </w:tcPr>
          <w:p w14:paraId="1BBA16F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tcBorders>
              <w:top w:val="single" w:color="auto" w:sz="4" w:space="0"/>
              <w:left w:val="single" w:color="auto" w:sz="4" w:space="0"/>
              <w:bottom w:val="single" w:color="auto" w:sz="4" w:space="0"/>
              <w:right w:val="single" w:color="auto" w:sz="4" w:space="0"/>
            </w:tcBorders>
            <w:vAlign w:val="center"/>
          </w:tcPr>
          <w:p w14:paraId="4D0F925D">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696EE00F">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0" w:type="auto"/>
            <w:tcBorders>
              <w:top w:val="single" w:color="auto" w:sz="4" w:space="0"/>
              <w:left w:val="single" w:color="auto" w:sz="4" w:space="0"/>
              <w:bottom w:val="single" w:color="auto" w:sz="4" w:space="0"/>
              <w:right w:val="single" w:color="auto" w:sz="4" w:space="0"/>
            </w:tcBorders>
            <w:vAlign w:val="center"/>
          </w:tcPr>
          <w:p w14:paraId="5D969D54">
            <w:pPr>
              <w:spacing w:line="360" w:lineRule="auto"/>
              <w:jc w:val="center"/>
              <w:rPr>
                <w:rFonts w:hint="eastAsia" w:ascii="宋体" w:hAnsi="宋体" w:eastAsia="宋体" w:cs="Times New Roman"/>
                <w:szCs w:val="21"/>
              </w:rPr>
            </w:pPr>
            <w:r>
              <w:rPr>
                <w:rFonts w:ascii="Wingdings 2" w:hAnsi="Wingdings 2" w:eastAsia="等线" w:cs="Times New Roman"/>
                <w:szCs w:val="21"/>
              </w:rPr>
              <w:t>P</w:t>
            </w:r>
          </w:p>
        </w:tc>
        <w:tc>
          <w:tcPr>
            <w:tcW w:w="1104" w:type="dxa"/>
            <w:tcBorders>
              <w:top w:val="single" w:color="auto" w:sz="4" w:space="0"/>
              <w:left w:val="single" w:color="auto" w:sz="4" w:space="0"/>
              <w:bottom w:val="single" w:color="auto" w:sz="4" w:space="0"/>
              <w:right w:val="single" w:color="auto" w:sz="4" w:space="0"/>
            </w:tcBorders>
            <w:vAlign w:val="center"/>
          </w:tcPr>
          <w:p w14:paraId="761E7F59">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815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tcBorders>
              <w:top w:val="single" w:color="auto" w:sz="4" w:space="0"/>
              <w:left w:val="single" w:color="auto" w:sz="4" w:space="0"/>
              <w:bottom w:val="single" w:color="auto" w:sz="4" w:space="0"/>
              <w:right w:val="single" w:color="auto" w:sz="4" w:space="0"/>
            </w:tcBorders>
            <w:vAlign w:val="center"/>
          </w:tcPr>
          <w:p w14:paraId="5B401BBA">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45748257">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0" w:type="auto"/>
            <w:tcBorders>
              <w:top w:val="single" w:color="auto" w:sz="4" w:space="0"/>
              <w:left w:val="single" w:color="auto" w:sz="4" w:space="0"/>
              <w:bottom w:val="single" w:color="auto" w:sz="4" w:space="0"/>
              <w:right w:val="single" w:color="auto" w:sz="4" w:space="0"/>
            </w:tcBorders>
            <w:vAlign w:val="center"/>
          </w:tcPr>
          <w:p w14:paraId="21B9204B">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0" w:type="auto"/>
            <w:tcBorders>
              <w:top w:val="single" w:color="auto" w:sz="4" w:space="0"/>
              <w:left w:val="single" w:color="auto" w:sz="4" w:space="0"/>
              <w:bottom w:val="single" w:color="auto" w:sz="4" w:space="0"/>
              <w:right w:val="single" w:color="auto" w:sz="4" w:space="0"/>
            </w:tcBorders>
            <w:vAlign w:val="center"/>
          </w:tcPr>
          <w:p w14:paraId="5618AB2C">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c>
          <w:tcPr>
            <w:tcW w:w="1104" w:type="dxa"/>
            <w:tcBorders>
              <w:top w:val="single" w:color="auto" w:sz="4" w:space="0"/>
              <w:left w:val="single" w:color="auto" w:sz="4" w:space="0"/>
              <w:bottom w:val="single" w:color="auto" w:sz="4" w:space="0"/>
              <w:right w:val="single" w:color="auto" w:sz="4" w:space="0"/>
            </w:tcBorders>
            <w:vAlign w:val="center"/>
          </w:tcPr>
          <w:p w14:paraId="0B6B8D3B">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66E2ECA">
      <w:pPr>
        <w:spacing w:before="156" w:beforeLines="50" w:line="360" w:lineRule="auto"/>
        <w:jc w:val="left"/>
        <w:rPr>
          <w:rFonts w:hint="eastAsia" w:ascii="Times New Roman" w:hAnsi="Times New Roman" w:eastAsia="宋体" w:cs="Times New Roman"/>
          <w:b/>
          <w:szCs w:val="21"/>
        </w:rPr>
      </w:pPr>
      <w:r>
        <w:rPr>
          <w:rFonts w:hint="eastAsia" w:ascii="宋体" w:hAnsi="宋体" w:eastAsia="宋体" w:cs="Times New Roman"/>
          <w:b/>
          <w:szCs w:val="21"/>
        </w:rPr>
        <w:t>（二）成绩评定细则</w:t>
      </w:r>
    </w:p>
    <w:p w14:paraId="3C05DDFD">
      <w:pPr>
        <w:spacing w:line="360" w:lineRule="auto"/>
        <w:ind w:firstLine="420" w:firstLineChars="200"/>
        <w:jc w:val="left"/>
        <w:rPr>
          <w:rFonts w:ascii="Times New Roman" w:hAnsi="Times New Roman" w:eastAsia="宋体" w:cs="Times New Roman"/>
          <w:szCs w:val="21"/>
        </w:rPr>
      </w:pPr>
      <w:r>
        <w:rPr>
          <w:rFonts w:hint="eastAsia" w:ascii="宋体" w:hAnsi="宋体" w:eastAsia="宋体" w:cs="Times New Roman"/>
          <w:szCs w:val="21"/>
        </w:rPr>
        <w:t>各部分的评价方式和成绩评定的细则如表</w:t>
      </w:r>
      <w:r>
        <w:rPr>
          <w:rFonts w:hint="eastAsia" w:ascii="Times New Roman" w:hAnsi="Times New Roman" w:eastAsia="宋体" w:cs="Times New Roman"/>
          <w:szCs w:val="21"/>
        </w:rPr>
        <w:t>4</w:t>
      </w:r>
      <w:r>
        <w:rPr>
          <w:rFonts w:hint="eastAsia" w:ascii="宋体" w:hAnsi="宋体" w:eastAsia="宋体" w:cs="Times New Roman"/>
          <w:szCs w:val="21"/>
        </w:rPr>
        <w:t>所示：</w:t>
      </w:r>
    </w:p>
    <w:p w14:paraId="48220E3F">
      <w:pPr>
        <w:jc w:val="center"/>
        <w:rPr>
          <w:rFonts w:ascii="Times New Roman" w:hAnsi="Times New Roman" w:eastAsia="宋体" w:cs="Times New Roman"/>
          <w:b/>
          <w:bCs/>
          <w:szCs w:val="21"/>
        </w:rPr>
      </w:pPr>
      <w:r>
        <w:rPr>
          <w:rFonts w:hint="eastAsia" w:ascii="宋体" w:hAnsi="宋体" w:eastAsia="宋体" w:cs="Times New Roman"/>
          <w:b/>
          <w:bCs/>
          <w:szCs w:val="21"/>
        </w:rPr>
        <w:t>表</w:t>
      </w:r>
      <w:r>
        <w:rPr>
          <w:rFonts w:hint="eastAsia" w:ascii="Times New Roman" w:hAnsi="Times New Roman" w:eastAsia="宋体" w:cs="Times New Roman"/>
          <w:b/>
          <w:bCs/>
          <w:szCs w:val="21"/>
        </w:rPr>
        <w:t xml:space="preserve">4 </w:t>
      </w:r>
      <w:r>
        <w:rPr>
          <w:rFonts w:hint="eastAsia" w:ascii="宋体" w:hAnsi="宋体" w:eastAsia="宋体" w:cs="Times New Roman"/>
          <w:b/>
          <w:bCs/>
          <w:szCs w:val="21"/>
        </w:rPr>
        <w:t>各部分的评价方式和成绩评定的细则</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6461"/>
        <w:gridCol w:w="706"/>
      </w:tblGrid>
      <w:tr w14:paraId="33D2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14:paraId="5D8970D5">
            <w:pPr>
              <w:jc w:val="center"/>
              <w:rPr>
                <w:rFonts w:ascii="Times New Roman" w:hAnsi="Times New Roman" w:eastAsia="宋体" w:cs="Times New Roman"/>
                <w:b/>
                <w:bCs/>
                <w:szCs w:val="21"/>
              </w:rPr>
            </w:pPr>
            <w:r>
              <w:rPr>
                <w:rFonts w:hint="eastAsia" w:ascii="宋体" w:hAnsi="宋体" w:eastAsia="宋体" w:cs="Times New Roman"/>
                <w:b/>
                <w:bCs/>
                <w:szCs w:val="21"/>
              </w:rPr>
              <w:t>评价方式</w:t>
            </w:r>
          </w:p>
        </w:tc>
        <w:tc>
          <w:tcPr>
            <w:tcW w:w="6461" w:type="dxa"/>
            <w:tcBorders>
              <w:top w:val="single" w:color="auto" w:sz="4" w:space="0"/>
              <w:left w:val="single" w:color="auto" w:sz="4" w:space="0"/>
              <w:bottom w:val="single" w:color="auto" w:sz="4" w:space="0"/>
              <w:right w:val="single" w:color="auto" w:sz="4" w:space="0"/>
            </w:tcBorders>
            <w:vAlign w:val="center"/>
          </w:tcPr>
          <w:p w14:paraId="7CBA956F">
            <w:pPr>
              <w:jc w:val="center"/>
              <w:rPr>
                <w:rFonts w:ascii="Times New Roman" w:hAnsi="Times New Roman" w:eastAsia="宋体" w:cs="Times New Roman"/>
                <w:b/>
                <w:bCs/>
                <w:szCs w:val="21"/>
              </w:rPr>
            </w:pPr>
            <w:r>
              <w:rPr>
                <w:rFonts w:hint="eastAsia" w:ascii="宋体" w:hAnsi="宋体" w:eastAsia="宋体" w:cs="Times New Roman"/>
                <w:b/>
                <w:bCs/>
                <w:szCs w:val="21"/>
              </w:rPr>
              <w:t>评定细则</w:t>
            </w:r>
          </w:p>
        </w:tc>
        <w:tc>
          <w:tcPr>
            <w:tcW w:w="0" w:type="auto"/>
            <w:tcBorders>
              <w:top w:val="single" w:color="auto" w:sz="4" w:space="0"/>
              <w:left w:val="single" w:color="auto" w:sz="4" w:space="0"/>
              <w:bottom w:val="single" w:color="auto" w:sz="4" w:space="0"/>
              <w:right w:val="single" w:color="auto" w:sz="4" w:space="0"/>
            </w:tcBorders>
            <w:vAlign w:val="center"/>
          </w:tcPr>
          <w:p w14:paraId="1D03BF68">
            <w:pPr>
              <w:jc w:val="center"/>
              <w:rPr>
                <w:rFonts w:ascii="Times New Roman" w:hAnsi="Times New Roman" w:eastAsia="宋体" w:cs="Times New Roman"/>
                <w:b/>
                <w:bCs/>
                <w:szCs w:val="21"/>
              </w:rPr>
            </w:pPr>
            <w:r>
              <w:rPr>
                <w:rFonts w:hint="eastAsia" w:ascii="宋体" w:hAnsi="宋体" w:eastAsia="宋体" w:cs="Times New Roman"/>
                <w:b/>
                <w:bCs/>
                <w:szCs w:val="21"/>
              </w:rPr>
              <w:t>占比</w:t>
            </w:r>
          </w:p>
        </w:tc>
      </w:tr>
      <w:tr w14:paraId="1C38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14:paraId="38BBFCE2">
            <w:pPr>
              <w:rPr>
                <w:rFonts w:ascii="Times New Roman" w:hAnsi="Times New Roman" w:eastAsia="宋体" w:cs="Times New Roman"/>
                <w:szCs w:val="21"/>
              </w:rPr>
            </w:pPr>
            <w:r>
              <w:rPr>
                <w:rFonts w:hint="eastAsia" w:ascii="宋体" w:hAnsi="宋体" w:eastAsia="宋体" w:cs="Times New Roman"/>
                <w:szCs w:val="21"/>
              </w:rPr>
              <w:t>课堂表现</w:t>
            </w:r>
          </w:p>
        </w:tc>
        <w:tc>
          <w:tcPr>
            <w:tcW w:w="6461" w:type="dxa"/>
            <w:tcBorders>
              <w:top w:val="single" w:color="auto" w:sz="4" w:space="0"/>
              <w:left w:val="single" w:color="auto" w:sz="4" w:space="0"/>
              <w:bottom w:val="single" w:color="auto" w:sz="4" w:space="0"/>
              <w:right w:val="single" w:color="auto" w:sz="4" w:space="0"/>
            </w:tcBorders>
            <w:vAlign w:val="center"/>
          </w:tcPr>
          <w:p w14:paraId="1EE14A16">
            <w:pPr>
              <w:spacing w:line="264" w:lineRule="auto"/>
              <w:jc w:val="left"/>
              <w:rPr>
                <w:rFonts w:ascii="宋体" w:hAnsi="宋体" w:eastAsia="宋体" w:cs="Times New Roman"/>
                <w:szCs w:val="21"/>
              </w:rPr>
            </w:pPr>
            <w:r>
              <w:rPr>
                <w:rFonts w:hint="eastAsia" w:ascii="宋体" w:hAnsi="宋体" w:eastAsia="宋体" w:cs="Times New Roman"/>
                <w:bCs/>
                <w:kern w:val="24"/>
                <w:szCs w:val="21"/>
              </w:rPr>
              <w:t>按时出勤，不迟到不早退，完成线上视频的观看；积极参与课堂讨论，回答教师提问；能完成课堂作业。</w:t>
            </w:r>
          </w:p>
        </w:tc>
        <w:tc>
          <w:tcPr>
            <w:tcW w:w="0" w:type="auto"/>
            <w:tcBorders>
              <w:top w:val="single" w:color="auto" w:sz="4" w:space="0"/>
              <w:left w:val="single" w:color="auto" w:sz="4" w:space="0"/>
              <w:bottom w:val="single" w:color="auto" w:sz="4" w:space="0"/>
              <w:right w:val="single" w:color="auto" w:sz="4" w:space="0"/>
            </w:tcBorders>
            <w:vAlign w:val="center"/>
          </w:tcPr>
          <w:p w14:paraId="43E3FB9E">
            <w:pPr>
              <w:jc w:val="center"/>
              <w:rPr>
                <w:rFonts w:hint="eastAsia" w:ascii="Times New Roman" w:hAnsi="Times New Roman" w:eastAsia="宋体" w:cs="Times New Roman"/>
                <w:szCs w:val="21"/>
              </w:rPr>
            </w:pPr>
            <w:r>
              <w:rPr>
                <w:rFonts w:hint="eastAsia" w:ascii="Times New Roman" w:hAnsi="Times New Roman" w:eastAsia="宋体" w:cs="Times New Roman"/>
                <w:szCs w:val="21"/>
              </w:rPr>
              <w:t>30%</w:t>
            </w:r>
          </w:p>
        </w:tc>
      </w:tr>
      <w:tr w14:paraId="7BE1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14:paraId="47BC87EF">
            <w:pPr>
              <w:rPr>
                <w:rFonts w:ascii="Times New Roman" w:hAnsi="Times New Roman" w:eastAsia="宋体" w:cs="Times New Roman"/>
                <w:szCs w:val="21"/>
              </w:rPr>
            </w:pPr>
            <w:r>
              <w:rPr>
                <w:rFonts w:hint="eastAsia" w:ascii="宋体" w:hAnsi="宋体" w:eastAsia="宋体" w:cs="Times New Roman"/>
                <w:szCs w:val="21"/>
              </w:rPr>
              <w:t>实践作业</w:t>
            </w:r>
          </w:p>
        </w:tc>
        <w:tc>
          <w:tcPr>
            <w:tcW w:w="6461" w:type="dxa"/>
            <w:tcBorders>
              <w:top w:val="single" w:color="auto" w:sz="4" w:space="0"/>
              <w:left w:val="single" w:color="auto" w:sz="4" w:space="0"/>
              <w:bottom w:val="single" w:color="auto" w:sz="4" w:space="0"/>
              <w:right w:val="single" w:color="auto" w:sz="4" w:space="0"/>
            </w:tcBorders>
            <w:vAlign w:val="center"/>
          </w:tcPr>
          <w:p w14:paraId="26B7B9B6">
            <w:pPr>
              <w:widowControl/>
              <w:spacing w:line="264" w:lineRule="auto"/>
              <w:jc w:val="left"/>
              <w:rPr>
                <w:rFonts w:ascii="宋体" w:hAnsi="宋体" w:eastAsia="宋体" w:cs="Times New Roman"/>
                <w:szCs w:val="21"/>
              </w:rPr>
            </w:pPr>
            <w:r>
              <w:rPr>
                <w:rFonts w:hint="eastAsia" w:ascii="宋体" w:hAnsi="宋体" w:eastAsia="宋体" w:cs="Times New Roman"/>
                <w:szCs w:val="21"/>
              </w:rPr>
              <w:t>认真按时完成每次实践项目；积极参与小组实践活动并能做出自己的贡献；实践项目完成质量高，参与投入度高。</w:t>
            </w:r>
          </w:p>
        </w:tc>
        <w:tc>
          <w:tcPr>
            <w:tcW w:w="0" w:type="auto"/>
            <w:tcBorders>
              <w:top w:val="single" w:color="auto" w:sz="4" w:space="0"/>
              <w:left w:val="single" w:color="auto" w:sz="4" w:space="0"/>
              <w:bottom w:val="single" w:color="auto" w:sz="4" w:space="0"/>
              <w:right w:val="single" w:color="auto" w:sz="4" w:space="0"/>
            </w:tcBorders>
            <w:vAlign w:val="center"/>
          </w:tcPr>
          <w:p w14:paraId="715C4572">
            <w:pPr>
              <w:jc w:val="center"/>
              <w:rPr>
                <w:rFonts w:hint="eastAsia" w:ascii="Times New Roman" w:hAnsi="Times New Roman" w:eastAsia="宋体" w:cs="Times New Roman"/>
                <w:szCs w:val="21"/>
              </w:rPr>
            </w:pPr>
            <w:r>
              <w:rPr>
                <w:rFonts w:hint="eastAsia" w:ascii="Times New Roman" w:hAnsi="Times New Roman" w:eastAsia="宋体" w:cs="Times New Roman"/>
                <w:szCs w:val="21"/>
              </w:rPr>
              <w:t>30%</w:t>
            </w:r>
          </w:p>
        </w:tc>
      </w:tr>
      <w:tr w14:paraId="78A3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14:paraId="02E782F3">
            <w:pPr>
              <w:rPr>
                <w:rFonts w:ascii="Times New Roman" w:hAnsi="Times New Roman" w:eastAsia="宋体" w:cs="Times New Roman"/>
                <w:szCs w:val="21"/>
              </w:rPr>
            </w:pPr>
            <w:r>
              <w:rPr>
                <w:rFonts w:hint="eastAsia" w:ascii="宋体" w:hAnsi="宋体" w:eastAsia="宋体" w:cs="Times New Roman"/>
                <w:szCs w:val="21"/>
              </w:rPr>
              <w:t>期末考试</w:t>
            </w:r>
          </w:p>
        </w:tc>
        <w:tc>
          <w:tcPr>
            <w:tcW w:w="6461" w:type="dxa"/>
            <w:tcBorders>
              <w:top w:val="single" w:color="auto" w:sz="4" w:space="0"/>
              <w:left w:val="single" w:color="auto" w:sz="4" w:space="0"/>
              <w:bottom w:val="single" w:color="auto" w:sz="4" w:space="0"/>
              <w:right w:val="single" w:color="auto" w:sz="4" w:space="0"/>
            </w:tcBorders>
            <w:vAlign w:val="center"/>
          </w:tcPr>
          <w:p w14:paraId="0697525D">
            <w:pPr>
              <w:widowControl/>
              <w:spacing w:line="264" w:lineRule="auto"/>
              <w:jc w:val="left"/>
              <w:rPr>
                <w:rFonts w:ascii="宋体" w:hAnsi="宋体" w:eastAsia="宋体" w:cs="Times New Roman"/>
                <w:color w:val="000000"/>
                <w:kern w:val="0"/>
                <w:szCs w:val="21"/>
              </w:rPr>
            </w:pPr>
            <w:r>
              <w:rPr>
                <w:rFonts w:hint="eastAsia" w:ascii="宋体" w:hAnsi="宋体" w:eastAsia="宋体" w:cs="Times New Roman"/>
                <w:color w:val="000000"/>
                <w:szCs w:val="21"/>
              </w:rPr>
              <w:t>期末报告/论文完成情况：格式规范、结构完整、自我分析有深度、符合实际情况等进行综合评估。</w:t>
            </w:r>
          </w:p>
        </w:tc>
        <w:tc>
          <w:tcPr>
            <w:tcW w:w="0" w:type="auto"/>
            <w:tcBorders>
              <w:top w:val="single" w:color="auto" w:sz="4" w:space="0"/>
              <w:left w:val="single" w:color="auto" w:sz="4" w:space="0"/>
              <w:bottom w:val="single" w:color="auto" w:sz="4" w:space="0"/>
              <w:right w:val="single" w:color="auto" w:sz="4" w:space="0"/>
            </w:tcBorders>
            <w:vAlign w:val="center"/>
          </w:tcPr>
          <w:p w14:paraId="763F6219">
            <w:pPr>
              <w:jc w:val="center"/>
              <w:rPr>
                <w:rFonts w:hint="eastAsia" w:ascii="Times New Roman" w:hAnsi="Times New Roman" w:eastAsia="宋体" w:cs="Times New Roman"/>
                <w:szCs w:val="21"/>
              </w:rPr>
            </w:pPr>
            <w:r>
              <w:rPr>
                <w:rFonts w:hint="eastAsia" w:ascii="Times New Roman" w:hAnsi="Times New Roman" w:eastAsia="宋体" w:cs="Times New Roman"/>
                <w:szCs w:val="21"/>
              </w:rPr>
              <w:t>40%</w:t>
            </w:r>
          </w:p>
        </w:tc>
      </w:tr>
      <w:tr w14:paraId="2306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vAlign w:val="center"/>
          </w:tcPr>
          <w:p w14:paraId="29BF4835">
            <w:pPr>
              <w:rPr>
                <w:rFonts w:ascii="Times New Roman" w:hAnsi="Times New Roman" w:eastAsia="宋体" w:cs="Times New Roman"/>
                <w:szCs w:val="21"/>
              </w:rPr>
            </w:pPr>
            <w:r>
              <w:rPr>
                <w:rFonts w:hint="eastAsia" w:ascii="宋体" w:hAnsi="宋体" w:eastAsia="宋体" w:cs="Times New Roman"/>
                <w:b/>
                <w:bCs/>
                <w:szCs w:val="21"/>
              </w:rPr>
              <w:t>合计</w:t>
            </w:r>
          </w:p>
        </w:tc>
        <w:tc>
          <w:tcPr>
            <w:tcW w:w="6461" w:type="dxa"/>
            <w:tcBorders>
              <w:top w:val="single" w:color="auto" w:sz="4" w:space="0"/>
              <w:left w:val="single" w:color="auto" w:sz="4" w:space="0"/>
              <w:bottom w:val="single" w:color="auto" w:sz="4" w:space="0"/>
              <w:right w:val="single" w:color="auto" w:sz="4" w:space="0"/>
            </w:tcBorders>
            <w:vAlign w:val="center"/>
          </w:tcPr>
          <w:p w14:paraId="2A41E2C3">
            <w:pPr>
              <w:spacing w:line="264" w:lineRule="auto"/>
              <w:jc w:val="left"/>
              <w:rPr>
                <w:rFonts w:ascii="Times New Roman" w:hAnsi="Times New Roman" w:eastAsia="宋体" w:cs="Times New Roman"/>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3CA50D96">
            <w:pPr>
              <w:jc w:val="center"/>
              <w:rPr>
                <w:rFonts w:hint="eastAsia" w:ascii="Times New Roman" w:hAnsi="Times New Roman" w:eastAsia="宋体" w:cs="Times New Roman"/>
                <w:szCs w:val="21"/>
              </w:rPr>
            </w:pPr>
            <w:r>
              <w:rPr>
                <w:rFonts w:hint="eastAsia" w:ascii="Times New Roman" w:hAnsi="Times New Roman" w:eastAsia="宋体" w:cs="Times New Roman"/>
                <w:szCs w:val="21"/>
              </w:rPr>
              <w:t>100%</w:t>
            </w:r>
          </w:p>
        </w:tc>
      </w:tr>
    </w:tbl>
    <w:p w14:paraId="5D2D6EDD">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30306D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所有课程目标均需大于等于0.6，否则总评成绩不及格，需要补考或重修。每门课程目标总体达成度计算方法如下：</w:t>
      </w:r>
    </w:p>
    <w:p w14:paraId="162AA89F">
      <w:pPr>
        <w:spacing w:before="156" w:beforeLines="50" w:line="360" w:lineRule="auto"/>
        <w:ind w:firstLine="420" w:firstLineChars="200"/>
        <w:jc w:val="left"/>
        <w:rPr>
          <w:rFonts w:hint="eastAsia" w:ascii="宋体" w:hAnsi="宋体" w:eastAsia="宋体" w:cs="Times New Roman"/>
          <w:color w:val="000000"/>
          <w:szCs w:val="21"/>
        </w:rPr>
      </w:pPr>
      <w:r>
        <w:rPr>
          <w:rFonts w:hint="eastAsia" w:ascii="等线" w:hAnsi="等线" w:eastAsia="等线" w:cs="Times New Roman"/>
          <w:szCs w:val="21"/>
        </w:rPr>
        <w:drawing>
          <wp:inline distT="0" distB="0" distL="0" distR="0">
            <wp:extent cx="5133975" cy="31432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3975" cy="314325"/>
                    </a:xfrm>
                    <a:prstGeom prst="rect">
                      <a:avLst/>
                    </a:prstGeom>
                    <a:noFill/>
                    <a:ln>
                      <a:noFill/>
                    </a:ln>
                  </pic:spPr>
                </pic:pic>
              </a:graphicData>
            </a:graphic>
          </wp:inline>
        </w:drawing>
      </w:r>
    </w:p>
    <w:p w14:paraId="7D93A3EA">
      <w:pPr>
        <w:spacing w:before="156" w:beforeLines="50" w:line="360" w:lineRule="auto"/>
        <w:jc w:val="left"/>
        <w:rPr>
          <w:rFonts w:hint="eastAsia" w:ascii="Times New Roman" w:hAnsi="Times New Roman" w:eastAsia="宋体" w:cs="Times New Roman"/>
          <w:b/>
          <w:sz w:val="24"/>
        </w:rPr>
      </w:pPr>
      <w:r>
        <w:rPr>
          <w:rFonts w:hint="eastAsia" w:ascii="宋体" w:hAnsi="宋体" w:eastAsia="宋体" w:cs="Times New Roman"/>
          <w:b/>
          <w:color w:val="000000"/>
          <w:sz w:val="24"/>
        </w:rPr>
        <w:t>五、</w:t>
      </w:r>
      <w:r>
        <w:rPr>
          <w:rFonts w:hint="eastAsia" w:ascii="宋体" w:hAnsi="宋体" w:eastAsia="宋体" w:cs="Times New Roman"/>
          <w:b/>
          <w:sz w:val="24"/>
        </w:rPr>
        <w:t>课程实践</w:t>
      </w:r>
    </w:p>
    <w:p w14:paraId="24044524">
      <w:pPr>
        <w:spacing w:after="156" w:afterLines="50" w:line="360" w:lineRule="auto"/>
        <w:ind w:firstLine="420" w:firstLineChars="200"/>
        <w:rPr>
          <w:rFonts w:ascii="宋体" w:hAnsi="宋体" w:eastAsia="宋体" w:cs="Times New Roman"/>
          <w:szCs w:val="21"/>
        </w:rPr>
      </w:pPr>
      <w:r>
        <w:rPr>
          <w:rFonts w:hint="eastAsia" w:ascii="宋体" w:hAnsi="宋体" w:eastAsia="宋体" w:cs="Times New Roman"/>
          <w:szCs w:val="21"/>
        </w:rPr>
        <w:t>本课程在系统教学的基础上，以学生能力为导向，科学设计课内实践活动，丰富教育教学形式，隔周进行课内实践活动，巩固学生心理健康教育教学效果。</w:t>
      </w:r>
    </w:p>
    <w:p w14:paraId="52DD36BE">
      <w:pPr>
        <w:spacing w:after="156" w:afterLines="50" w:line="360" w:lineRule="auto"/>
        <w:ind w:firstLine="442" w:firstLineChars="200"/>
        <w:jc w:val="center"/>
        <w:rPr>
          <w:rFonts w:hint="eastAsia" w:ascii="宋体" w:hAnsi="宋体" w:eastAsia="宋体" w:cs="Times New Roman"/>
          <w:b/>
          <w:bCs/>
          <w:sz w:val="22"/>
          <w:szCs w:val="22"/>
        </w:rPr>
      </w:pPr>
      <w:r>
        <w:rPr>
          <w:rFonts w:hint="eastAsia" w:ascii="宋体" w:hAnsi="宋体" w:eastAsia="宋体" w:cs="Times New Roman"/>
          <w:b/>
          <w:bCs/>
          <w:sz w:val="22"/>
          <w:szCs w:val="22"/>
        </w:rPr>
        <w:t>课内实践项目表</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2"/>
        <w:gridCol w:w="5277"/>
      </w:tblGrid>
      <w:tr w14:paraId="19EF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B89E780">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序号</w:t>
            </w:r>
          </w:p>
        </w:tc>
        <w:tc>
          <w:tcPr>
            <w:tcW w:w="2121" w:type="dxa"/>
            <w:tcBorders>
              <w:top w:val="single" w:color="auto" w:sz="4" w:space="0"/>
              <w:left w:val="single" w:color="auto" w:sz="4" w:space="0"/>
              <w:bottom w:val="single" w:color="auto" w:sz="4" w:space="0"/>
              <w:right w:val="single" w:color="auto" w:sz="4" w:space="0"/>
            </w:tcBorders>
            <w:vAlign w:val="center"/>
          </w:tcPr>
          <w:p w14:paraId="4482D01F">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实践主题</w:t>
            </w:r>
          </w:p>
        </w:tc>
        <w:tc>
          <w:tcPr>
            <w:tcW w:w="4253" w:type="dxa"/>
            <w:tcBorders>
              <w:top w:val="single" w:color="auto" w:sz="4" w:space="0"/>
              <w:left w:val="single" w:color="auto" w:sz="4" w:space="0"/>
              <w:bottom w:val="single" w:color="auto" w:sz="4" w:space="0"/>
              <w:right w:val="single" w:color="auto" w:sz="4" w:space="0"/>
            </w:tcBorders>
            <w:vAlign w:val="center"/>
          </w:tcPr>
          <w:p w14:paraId="69771F0F">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实践项目</w:t>
            </w:r>
          </w:p>
        </w:tc>
      </w:tr>
      <w:tr w14:paraId="0A6D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1171B501">
            <w:pPr>
              <w:spacing w:line="360" w:lineRule="auto"/>
              <w:jc w:val="center"/>
              <w:rPr>
                <w:rFonts w:hint="eastAsia" w:ascii="宋体" w:hAnsi="宋体" w:eastAsia="宋体" w:cs="Times New Roman"/>
                <w:szCs w:val="21"/>
              </w:rPr>
            </w:pPr>
            <w:r>
              <w:rPr>
                <w:rFonts w:hint="eastAsia" w:ascii="宋体" w:hAnsi="宋体" w:eastAsia="宋体" w:cs="Times New Roman"/>
                <w:szCs w:val="21"/>
              </w:rPr>
              <w:t>1</w:t>
            </w:r>
          </w:p>
        </w:tc>
        <w:tc>
          <w:tcPr>
            <w:tcW w:w="2121" w:type="dxa"/>
            <w:tcBorders>
              <w:top w:val="single" w:color="auto" w:sz="4" w:space="0"/>
              <w:left w:val="single" w:color="auto" w:sz="4" w:space="0"/>
              <w:bottom w:val="single" w:color="auto" w:sz="4" w:space="0"/>
              <w:right w:val="single" w:color="auto" w:sz="4" w:space="0"/>
            </w:tcBorders>
            <w:vAlign w:val="center"/>
          </w:tcPr>
          <w:p w14:paraId="5239924C">
            <w:pPr>
              <w:spacing w:line="360" w:lineRule="auto"/>
              <w:jc w:val="center"/>
              <w:rPr>
                <w:rFonts w:hint="eastAsia" w:ascii="宋体" w:hAnsi="宋体" w:eastAsia="宋体" w:cs="Times New Roman"/>
                <w:szCs w:val="21"/>
              </w:rPr>
            </w:pPr>
            <w:r>
              <w:rPr>
                <w:rFonts w:hint="eastAsia" w:ascii="宋体" w:hAnsi="宋体" w:eastAsia="宋体" w:cs="Times New Roman"/>
                <w:szCs w:val="21"/>
              </w:rPr>
              <w:t>探寻心理健康</w:t>
            </w:r>
          </w:p>
        </w:tc>
        <w:tc>
          <w:tcPr>
            <w:tcW w:w="4253" w:type="dxa"/>
            <w:tcBorders>
              <w:top w:val="single" w:color="auto" w:sz="4" w:space="0"/>
              <w:left w:val="single" w:color="auto" w:sz="4" w:space="0"/>
              <w:bottom w:val="single" w:color="auto" w:sz="4" w:space="0"/>
              <w:right w:val="single" w:color="auto" w:sz="4" w:space="0"/>
            </w:tcBorders>
            <w:vAlign w:val="center"/>
          </w:tcPr>
          <w:p w14:paraId="05AE4A86">
            <w:pPr>
              <w:spacing w:line="360" w:lineRule="auto"/>
              <w:jc w:val="left"/>
              <w:rPr>
                <w:rFonts w:hint="eastAsia" w:ascii="宋体" w:hAnsi="宋体" w:eastAsia="宋体" w:cs="Times New Roman"/>
                <w:szCs w:val="21"/>
              </w:rPr>
            </w:pPr>
            <w:r>
              <w:rPr>
                <w:rFonts w:hint="eastAsia" w:ascii="宋体" w:hAnsi="宋体" w:eastAsia="宋体" w:cs="Times New Roman"/>
                <w:szCs w:val="21"/>
              </w:rPr>
              <w:t>走进心理中心，参加心理健康测评</w:t>
            </w:r>
          </w:p>
        </w:tc>
      </w:tr>
      <w:tr w14:paraId="77B7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2D7E82AF">
            <w:pPr>
              <w:spacing w:line="360" w:lineRule="auto"/>
              <w:jc w:val="center"/>
              <w:rPr>
                <w:rFonts w:hint="eastAsia" w:ascii="宋体" w:hAnsi="宋体" w:eastAsia="宋体" w:cs="Times New Roman"/>
                <w:szCs w:val="21"/>
              </w:rPr>
            </w:pPr>
            <w:r>
              <w:rPr>
                <w:rFonts w:hint="eastAsia" w:ascii="宋体" w:hAnsi="宋体" w:eastAsia="宋体" w:cs="Times New Roman"/>
                <w:szCs w:val="21"/>
              </w:rPr>
              <w:t>2</w:t>
            </w:r>
          </w:p>
        </w:tc>
        <w:tc>
          <w:tcPr>
            <w:tcW w:w="2121" w:type="dxa"/>
            <w:tcBorders>
              <w:top w:val="single" w:color="auto" w:sz="4" w:space="0"/>
              <w:left w:val="single" w:color="auto" w:sz="4" w:space="0"/>
              <w:bottom w:val="single" w:color="auto" w:sz="4" w:space="0"/>
              <w:right w:val="single" w:color="auto" w:sz="4" w:space="0"/>
            </w:tcBorders>
            <w:vAlign w:val="center"/>
          </w:tcPr>
          <w:p w14:paraId="69685128">
            <w:pPr>
              <w:spacing w:line="360" w:lineRule="auto"/>
              <w:jc w:val="center"/>
              <w:rPr>
                <w:rFonts w:hint="eastAsia" w:ascii="宋体" w:hAnsi="宋体" w:eastAsia="宋体" w:cs="Times New Roman"/>
                <w:szCs w:val="21"/>
              </w:rPr>
            </w:pPr>
            <w:r>
              <w:rPr>
                <w:rFonts w:hint="eastAsia" w:ascii="宋体" w:hAnsi="宋体" w:eastAsia="宋体" w:cs="Times New Roman"/>
                <w:szCs w:val="21"/>
              </w:rPr>
              <w:t>探索自我奥秘</w:t>
            </w:r>
          </w:p>
        </w:tc>
        <w:tc>
          <w:tcPr>
            <w:tcW w:w="4253" w:type="dxa"/>
            <w:tcBorders>
              <w:top w:val="single" w:color="auto" w:sz="4" w:space="0"/>
              <w:left w:val="single" w:color="auto" w:sz="4" w:space="0"/>
              <w:bottom w:val="single" w:color="auto" w:sz="4" w:space="0"/>
              <w:right w:val="single" w:color="auto" w:sz="4" w:space="0"/>
            </w:tcBorders>
            <w:vAlign w:val="center"/>
          </w:tcPr>
          <w:p w14:paraId="61FE66B6">
            <w:pPr>
              <w:spacing w:line="360" w:lineRule="auto"/>
              <w:jc w:val="left"/>
              <w:rPr>
                <w:rFonts w:hint="eastAsia" w:ascii="宋体" w:hAnsi="宋体" w:eastAsia="宋体" w:cs="Times New Roman"/>
                <w:szCs w:val="21"/>
              </w:rPr>
            </w:pPr>
            <w:r>
              <w:rPr>
                <w:rFonts w:hint="eastAsia" w:ascii="宋体" w:hAnsi="宋体" w:eastAsia="宋体" w:cs="Times New Roman"/>
                <w:szCs w:val="21"/>
              </w:rPr>
              <w:t>心理自画像，对话未知自我，了解经验自我，提升自我效能感</w:t>
            </w:r>
          </w:p>
        </w:tc>
      </w:tr>
      <w:tr w14:paraId="4C95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4CF738CF">
            <w:pPr>
              <w:spacing w:line="360" w:lineRule="auto"/>
              <w:jc w:val="center"/>
              <w:rPr>
                <w:rFonts w:hint="eastAsia" w:ascii="宋体" w:hAnsi="宋体" w:eastAsia="宋体" w:cs="Times New Roman"/>
                <w:szCs w:val="21"/>
              </w:rPr>
            </w:pPr>
            <w:r>
              <w:rPr>
                <w:rFonts w:hint="eastAsia" w:ascii="宋体" w:hAnsi="宋体" w:eastAsia="宋体" w:cs="Times New Roman"/>
                <w:szCs w:val="21"/>
              </w:rPr>
              <w:t>3</w:t>
            </w:r>
          </w:p>
        </w:tc>
        <w:tc>
          <w:tcPr>
            <w:tcW w:w="2121" w:type="dxa"/>
            <w:tcBorders>
              <w:top w:val="single" w:color="auto" w:sz="4" w:space="0"/>
              <w:left w:val="single" w:color="auto" w:sz="4" w:space="0"/>
              <w:bottom w:val="single" w:color="auto" w:sz="4" w:space="0"/>
              <w:right w:val="single" w:color="auto" w:sz="4" w:space="0"/>
            </w:tcBorders>
            <w:vAlign w:val="center"/>
          </w:tcPr>
          <w:p w14:paraId="434B38D6">
            <w:pPr>
              <w:spacing w:line="360" w:lineRule="auto"/>
              <w:jc w:val="center"/>
              <w:rPr>
                <w:rFonts w:hint="eastAsia" w:ascii="宋体" w:hAnsi="宋体" w:eastAsia="宋体" w:cs="Times New Roman"/>
                <w:szCs w:val="21"/>
              </w:rPr>
            </w:pPr>
            <w:r>
              <w:rPr>
                <w:rFonts w:hint="eastAsia" w:ascii="宋体" w:hAnsi="宋体" w:eastAsia="宋体" w:cs="Times New Roman"/>
                <w:szCs w:val="21"/>
              </w:rPr>
              <w:t>揭示人格面具</w:t>
            </w:r>
          </w:p>
        </w:tc>
        <w:tc>
          <w:tcPr>
            <w:tcW w:w="4253" w:type="dxa"/>
            <w:tcBorders>
              <w:top w:val="single" w:color="auto" w:sz="4" w:space="0"/>
              <w:left w:val="single" w:color="auto" w:sz="4" w:space="0"/>
              <w:bottom w:val="single" w:color="auto" w:sz="4" w:space="0"/>
              <w:right w:val="single" w:color="auto" w:sz="4" w:space="0"/>
            </w:tcBorders>
            <w:vAlign w:val="center"/>
          </w:tcPr>
          <w:p w14:paraId="37D04934">
            <w:pPr>
              <w:spacing w:line="360" w:lineRule="auto"/>
              <w:jc w:val="left"/>
              <w:rPr>
                <w:rFonts w:hint="eastAsia" w:ascii="宋体" w:hAnsi="宋体" w:eastAsia="宋体" w:cs="Times New Roman"/>
                <w:szCs w:val="21"/>
              </w:rPr>
            </w:pPr>
            <w:r>
              <w:rPr>
                <w:rFonts w:hint="eastAsia" w:ascii="宋体" w:hAnsi="宋体" w:eastAsia="宋体" w:cs="Times New Roman"/>
                <w:szCs w:val="21"/>
              </w:rPr>
              <w:t>特质挖挖挖，MBTI测试，优势大拍卖</w:t>
            </w:r>
          </w:p>
        </w:tc>
      </w:tr>
      <w:tr w14:paraId="7507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0E0AA3AA">
            <w:pPr>
              <w:spacing w:line="360" w:lineRule="auto"/>
              <w:jc w:val="center"/>
              <w:rPr>
                <w:rFonts w:hint="eastAsia" w:ascii="宋体" w:hAnsi="宋体" w:eastAsia="宋体" w:cs="Times New Roman"/>
                <w:szCs w:val="21"/>
              </w:rPr>
            </w:pPr>
            <w:r>
              <w:rPr>
                <w:rFonts w:hint="eastAsia" w:ascii="宋体" w:hAnsi="宋体" w:eastAsia="宋体" w:cs="Times New Roman"/>
                <w:szCs w:val="21"/>
              </w:rPr>
              <w:t>4</w:t>
            </w:r>
          </w:p>
        </w:tc>
        <w:tc>
          <w:tcPr>
            <w:tcW w:w="2121" w:type="dxa"/>
            <w:tcBorders>
              <w:top w:val="single" w:color="auto" w:sz="4" w:space="0"/>
              <w:left w:val="single" w:color="auto" w:sz="4" w:space="0"/>
              <w:bottom w:val="single" w:color="auto" w:sz="4" w:space="0"/>
              <w:right w:val="single" w:color="auto" w:sz="4" w:space="0"/>
            </w:tcBorders>
            <w:vAlign w:val="center"/>
          </w:tcPr>
          <w:p w14:paraId="493574B8">
            <w:pPr>
              <w:spacing w:line="360" w:lineRule="auto"/>
              <w:jc w:val="center"/>
              <w:rPr>
                <w:rFonts w:hint="eastAsia" w:ascii="宋体" w:hAnsi="宋体" w:eastAsia="宋体" w:cs="Times New Roman"/>
                <w:szCs w:val="21"/>
              </w:rPr>
            </w:pPr>
            <w:r>
              <w:rPr>
                <w:rFonts w:hint="eastAsia" w:ascii="宋体" w:hAnsi="宋体" w:eastAsia="宋体" w:cs="Times New Roman"/>
                <w:szCs w:val="21"/>
              </w:rPr>
              <w:t>成为高效学习者</w:t>
            </w:r>
          </w:p>
        </w:tc>
        <w:tc>
          <w:tcPr>
            <w:tcW w:w="4253" w:type="dxa"/>
            <w:tcBorders>
              <w:top w:val="single" w:color="auto" w:sz="4" w:space="0"/>
              <w:left w:val="single" w:color="auto" w:sz="4" w:space="0"/>
              <w:bottom w:val="single" w:color="auto" w:sz="4" w:space="0"/>
              <w:right w:val="single" w:color="auto" w:sz="4" w:space="0"/>
            </w:tcBorders>
            <w:vAlign w:val="center"/>
          </w:tcPr>
          <w:p w14:paraId="22CB8705">
            <w:pPr>
              <w:spacing w:line="360" w:lineRule="auto"/>
              <w:jc w:val="left"/>
              <w:rPr>
                <w:rFonts w:hint="eastAsia" w:ascii="宋体" w:hAnsi="宋体" w:eastAsia="宋体" w:cs="Times New Roman"/>
                <w:szCs w:val="21"/>
              </w:rPr>
            </w:pPr>
            <w:r>
              <w:rPr>
                <w:rFonts w:hint="eastAsia" w:ascii="宋体" w:hAnsi="宋体" w:eastAsia="宋体" w:cs="Times New Roman"/>
                <w:szCs w:val="21"/>
              </w:rPr>
              <w:t>学习方式大探索，时间管理方法，头脑风暴集锦，学习策略分享会</w:t>
            </w:r>
          </w:p>
        </w:tc>
      </w:tr>
      <w:tr w14:paraId="5C7B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3D8FFD62">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121" w:type="dxa"/>
            <w:tcBorders>
              <w:top w:val="single" w:color="auto" w:sz="4" w:space="0"/>
              <w:left w:val="single" w:color="auto" w:sz="4" w:space="0"/>
              <w:bottom w:val="single" w:color="auto" w:sz="4" w:space="0"/>
              <w:right w:val="single" w:color="auto" w:sz="4" w:space="0"/>
            </w:tcBorders>
            <w:vAlign w:val="center"/>
          </w:tcPr>
          <w:p w14:paraId="57F85CDC">
            <w:pPr>
              <w:spacing w:line="360" w:lineRule="auto"/>
              <w:jc w:val="center"/>
              <w:rPr>
                <w:rFonts w:hint="eastAsia" w:ascii="宋体" w:hAnsi="宋体" w:eastAsia="宋体" w:cs="Times New Roman"/>
                <w:szCs w:val="21"/>
              </w:rPr>
            </w:pPr>
            <w:r>
              <w:rPr>
                <w:rFonts w:hint="eastAsia" w:ascii="宋体" w:hAnsi="宋体" w:eastAsia="宋体" w:cs="Times New Roman"/>
                <w:szCs w:val="21"/>
              </w:rPr>
              <w:t>接纳多彩情绪</w:t>
            </w:r>
          </w:p>
        </w:tc>
        <w:tc>
          <w:tcPr>
            <w:tcW w:w="4253" w:type="dxa"/>
            <w:tcBorders>
              <w:top w:val="single" w:color="auto" w:sz="4" w:space="0"/>
              <w:left w:val="single" w:color="auto" w:sz="4" w:space="0"/>
              <w:bottom w:val="single" w:color="auto" w:sz="4" w:space="0"/>
              <w:right w:val="single" w:color="auto" w:sz="4" w:space="0"/>
            </w:tcBorders>
            <w:vAlign w:val="center"/>
          </w:tcPr>
          <w:p w14:paraId="6E0F4FF7">
            <w:pPr>
              <w:spacing w:line="360" w:lineRule="auto"/>
              <w:jc w:val="left"/>
              <w:rPr>
                <w:rFonts w:hint="eastAsia" w:ascii="宋体" w:hAnsi="宋体" w:eastAsia="宋体" w:cs="Times New Roman"/>
                <w:szCs w:val="21"/>
              </w:rPr>
            </w:pPr>
            <w:r>
              <w:rPr>
                <w:rFonts w:hint="eastAsia" w:ascii="宋体" w:hAnsi="宋体" w:eastAsia="宋体" w:cs="Times New Roman"/>
                <w:szCs w:val="21"/>
              </w:rPr>
              <w:t>心理电影赏析</w:t>
            </w:r>
          </w:p>
        </w:tc>
      </w:tr>
      <w:tr w14:paraId="2CBB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10B8857D">
            <w:pPr>
              <w:spacing w:line="360" w:lineRule="auto"/>
              <w:jc w:val="center"/>
              <w:rPr>
                <w:rFonts w:hint="eastAsia" w:ascii="宋体" w:hAnsi="宋体" w:eastAsia="宋体" w:cs="Times New Roman"/>
                <w:szCs w:val="21"/>
              </w:rPr>
            </w:pPr>
            <w:r>
              <w:rPr>
                <w:rFonts w:hint="eastAsia" w:ascii="宋体" w:hAnsi="宋体" w:eastAsia="宋体" w:cs="Times New Roman"/>
                <w:szCs w:val="21"/>
              </w:rPr>
              <w:t>6</w:t>
            </w:r>
          </w:p>
        </w:tc>
        <w:tc>
          <w:tcPr>
            <w:tcW w:w="2121" w:type="dxa"/>
            <w:tcBorders>
              <w:top w:val="single" w:color="auto" w:sz="4" w:space="0"/>
              <w:left w:val="single" w:color="auto" w:sz="4" w:space="0"/>
              <w:bottom w:val="single" w:color="auto" w:sz="4" w:space="0"/>
              <w:right w:val="single" w:color="auto" w:sz="4" w:space="0"/>
            </w:tcBorders>
            <w:vAlign w:val="center"/>
          </w:tcPr>
          <w:p w14:paraId="11E5C98E">
            <w:pPr>
              <w:spacing w:line="360" w:lineRule="auto"/>
              <w:jc w:val="center"/>
              <w:rPr>
                <w:rFonts w:hint="eastAsia" w:ascii="宋体" w:hAnsi="宋体" w:eastAsia="宋体" w:cs="Times New Roman"/>
                <w:szCs w:val="21"/>
              </w:rPr>
            </w:pPr>
            <w:r>
              <w:rPr>
                <w:rFonts w:hint="eastAsia" w:ascii="宋体" w:hAnsi="宋体" w:eastAsia="宋体" w:cs="Times New Roman"/>
                <w:szCs w:val="21"/>
              </w:rPr>
              <w:t>掌握沟通秘籍</w:t>
            </w:r>
          </w:p>
        </w:tc>
        <w:tc>
          <w:tcPr>
            <w:tcW w:w="4253" w:type="dxa"/>
            <w:tcBorders>
              <w:top w:val="single" w:color="auto" w:sz="4" w:space="0"/>
              <w:left w:val="single" w:color="auto" w:sz="4" w:space="0"/>
              <w:bottom w:val="single" w:color="auto" w:sz="4" w:space="0"/>
              <w:right w:val="single" w:color="auto" w:sz="4" w:space="0"/>
            </w:tcBorders>
            <w:vAlign w:val="center"/>
          </w:tcPr>
          <w:p w14:paraId="37720874">
            <w:pPr>
              <w:spacing w:line="360" w:lineRule="auto"/>
              <w:jc w:val="left"/>
              <w:rPr>
                <w:rFonts w:hint="eastAsia" w:ascii="宋体" w:hAnsi="宋体" w:eastAsia="宋体" w:cs="Times New Roman"/>
                <w:szCs w:val="21"/>
              </w:rPr>
            </w:pPr>
            <w:r>
              <w:rPr>
                <w:rFonts w:hint="eastAsia" w:ascii="宋体" w:hAnsi="宋体" w:eastAsia="宋体" w:cs="Times New Roman"/>
                <w:szCs w:val="21"/>
              </w:rPr>
              <w:t>班级心理团辅活动</w:t>
            </w:r>
          </w:p>
        </w:tc>
      </w:tr>
      <w:tr w14:paraId="318F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2320BD31">
            <w:pPr>
              <w:spacing w:line="360" w:lineRule="auto"/>
              <w:jc w:val="center"/>
              <w:rPr>
                <w:rFonts w:hint="eastAsia" w:ascii="宋体" w:hAnsi="宋体" w:eastAsia="宋体" w:cs="Times New Roman"/>
                <w:szCs w:val="21"/>
              </w:rPr>
            </w:pPr>
            <w:r>
              <w:rPr>
                <w:rFonts w:hint="eastAsia" w:ascii="宋体" w:hAnsi="宋体" w:eastAsia="宋体" w:cs="Times New Roman"/>
                <w:szCs w:val="21"/>
              </w:rPr>
              <w:t>7</w:t>
            </w:r>
          </w:p>
        </w:tc>
        <w:tc>
          <w:tcPr>
            <w:tcW w:w="2121" w:type="dxa"/>
            <w:tcBorders>
              <w:top w:val="single" w:color="auto" w:sz="4" w:space="0"/>
              <w:left w:val="single" w:color="auto" w:sz="4" w:space="0"/>
              <w:bottom w:val="single" w:color="auto" w:sz="4" w:space="0"/>
              <w:right w:val="single" w:color="auto" w:sz="4" w:space="0"/>
            </w:tcBorders>
            <w:vAlign w:val="center"/>
          </w:tcPr>
          <w:p w14:paraId="3A06D2A0">
            <w:pPr>
              <w:spacing w:line="360" w:lineRule="auto"/>
              <w:jc w:val="center"/>
              <w:rPr>
                <w:rFonts w:hint="eastAsia" w:ascii="宋体" w:hAnsi="宋体" w:eastAsia="宋体" w:cs="Times New Roman"/>
                <w:szCs w:val="21"/>
              </w:rPr>
            </w:pPr>
            <w:r>
              <w:rPr>
                <w:rFonts w:hint="eastAsia" w:ascii="宋体" w:hAnsi="宋体" w:eastAsia="宋体" w:cs="Times New Roman"/>
                <w:szCs w:val="21"/>
              </w:rPr>
              <w:t>运动健心</w:t>
            </w:r>
          </w:p>
        </w:tc>
        <w:tc>
          <w:tcPr>
            <w:tcW w:w="4253" w:type="dxa"/>
            <w:tcBorders>
              <w:top w:val="single" w:color="auto" w:sz="4" w:space="0"/>
              <w:left w:val="single" w:color="auto" w:sz="4" w:space="0"/>
              <w:bottom w:val="single" w:color="auto" w:sz="4" w:space="0"/>
              <w:right w:val="single" w:color="auto" w:sz="4" w:space="0"/>
            </w:tcBorders>
            <w:vAlign w:val="center"/>
          </w:tcPr>
          <w:p w14:paraId="32CB0517">
            <w:pPr>
              <w:spacing w:line="360" w:lineRule="auto"/>
              <w:jc w:val="left"/>
              <w:rPr>
                <w:rFonts w:hint="eastAsia" w:ascii="宋体" w:hAnsi="宋体" w:eastAsia="宋体" w:cs="Times New Roman"/>
                <w:szCs w:val="21"/>
              </w:rPr>
            </w:pPr>
            <w:r>
              <w:rPr>
                <w:rFonts w:hint="eastAsia" w:ascii="宋体" w:hAnsi="宋体" w:eastAsia="宋体" w:cs="Times New Roman"/>
                <w:szCs w:val="21"/>
              </w:rPr>
              <w:t>体心融合主题活动</w:t>
            </w:r>
          </w:p>
        </w:tc>
      </w:tr>
      <w:tr w14:paraId="3DAB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57661B1B">
            <w:pPr>
              <w:spacing w:line="360" w:lineRule="auto"/>
              <w:jc w:val="center"/>
              <w:rPr>
                <w:rFonts w:hint="eastAsia" w:ascii="宋体" w:hAnsi="宋体" w:eastAsia="宋体" w:cs="Times New Roman"/>
                <w:szCs w:val="21"/>
              </w:rPr>
            </w:pPr>
            <w:r>
              <w:rPr>
                <w:rFonts w:hint="eastAsia" w:ascii="宋体" w:hAnsi="宋体" w:eastAsia="宋体" w:cs="Times New Roman"/>
                <w:szCs w:val="21"/>
              </w:rPr>
              <w:t>8</w:t>
            </w:r>
          </w:p>
        </w:tc>
        <w:tc>
          <w:tcPr>
            <w:tcW w:w="2121" w:type="dxa"/>
            <w:tcBorders>
              <w:top w:val="single" w:color="auto" w:sz="4" w:space="0"/>
              <w:left w:val="single" w:color="auto" w:sz="4" w:space="0"/>
              <w:bottom w:val="single" w:color="auto" w:sz="4" w:space="0"/>
              <w:right w:val="single" w:color="auto" w:sz="4" w:space="0"/>
            </w:tcBorders>
            <w:vAlign w:val="center"/>
          </w:tcPr>
          <w:p w14:paraId="032AC61C">
            <w:pPr>
              <w:spacing w:line="360" w:lineRule="auto"/>
              <w:jc w:val="center"/>
              <w:rPr>
                <w:rFonts w:hint="eastAsia" w:ascii="宋体" w:hAnsi="宋体" w:eastAsia="宋体" w:cs="Times New Roman"/>
                <w:szCs w:val="21"/>
              </w:rPr>
            </w:pPr>
            <w:r>
              <w:rPr>
                <w:rFonts w:hint="eastAsia" w:ascii="宋体" w:hAnsi="宋体" w:eastAsia="宋体" w:cs="Times New Roman"/>
                <w:szCs w:val="21"/>
              </w:rPr>
              <w:t>自我成长</w:t>
            </w:r>
          </w:p>
        </w:tc>
        <w:tc>
          <w:tcPr>
            <w:tcW w:w="4253" w:type="dxa"/>
            <w:tcBorders>
              <w:top w:val="single" w:color="auto" w:sz="4" w:space="0"/>
              <w:left w:val="single" w:color="auto" w:sz="4" w:space="0"/>
              <w:bottom w:val="single" w:color="auto" w:sz="4" w:space="0"/>
              <w:right w:val="single" w:color="auto" w:sz="4" w:space="0"/>
            </w:tcBorders>
            <w:vAlign w:val="center"/>
          </w:tcPr>
          <w:p w14:paraId="1AFED7D9">
            <w:pPr>
              <w:spacing w:line="360" w:lineRule="auto"/>
              <w:jc w:val="left"/>
              <w:rPr>
                <w:rFonts w:hint="eastAsia" w:ascii="宋体" w:hAnsi="宋体" w:eastAsia="宋体" w:cs="Times New Roman"/>
                <w:szCs w:val="21"/>
              </w:rPr>
            </w:pPr>
            <w:r>
              <w:rPr>
                <w:rFonts w:hint="eastAsia" w:ascii="宋体" w:hAnsi="宋体" w:eastAsia="宋体" w:cs="Times New Roman"/>
                <w:szCs w:val="21"/>
              </w:rPr>
              <w:t>个人成长报告/论文</w:t>
            </w:r>
          </w:p>
        </w:tc>
      </w:tr>
    </w:tbl>
    <w:p w14:paraId="706B8916">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 xml:space="preserve"> </w:t>
      </w:r>
    </w:p>
    <w:p w14:paraId="6877117E">
      <w:pPr>
        <w:spacing w:line="360" w:lineRule="auto"/>
        <w:jc w:val="left"/>
        <w:rPr>
          <w:rFonts w:hint="eastAsia" w:ascii="Times New Roman" w:hAnsi="Times New Roman" w:eastAsia="宋体" w:cs="Times New Roman"/>
          <w:b/>
          <w:bCs/>
          <w:sz w:val="24"/>
        </w:rPr>
      </w:pPr>
      <w:r>
        <w:rPr>
          <w:rFonts w:hint="eastAsia" w:ascii="宋体" w:hAnsi="宋体" w:eastAsia="宋体" w:cs="Times New Roman"/>
          <w:b/>
          <w:color w:val="000000"/>
          <w:sz w:val="24"/>
        </w:rPr>
        <w:t>六、有关说明</w:t>
      </w:r>
    </w:p>
    <w:p w14:paraId="3AE6FC65">
      <w:pPr>
        <w:spacing w:line="360" w:lineRule="auto"/>
        <w:jc w:val="left"/>
        <w:rPr>
          <w:rFonts w:ascii="Times New Roman" w:hAnsi="Times New Roman" w:eastAsia="宋体" w:cs="Times New Roman"/>
          <w:b/>
          <w:szCs w:val="21"/>
        </w:rPr>
      </w:pPr>
      <w:r>
        <w:rPr>
          <w:rFonts w:hint="eastAsia" w:ascii="宋体" w:hAnsi="宋体" w:eastAsia="宋体" w:cs="Times New Roman"/>
          <w:b/>
          <w:szCs w:val="21"/>
        </w:rPr>
        <w:t>（一）持续改进</w:t>
      </w:r>
    </w:p>
    <w:p w14:paraId="4A6D7E91">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w:t>
      </w:r>
      <w:r>
        <w:rPr>
          <w:rFonts w:hint="eastAsia" w:ascii="宋体" w:hAnsi="宋体" w:eastAsia="宋体" w:cs="Times New Roman"/>
          <w:bCs/>
          <w:szCs w:val="21"/>
        </w:rPr>
        <w:t>用积极心理学的理念指导本课程教学，在教学中大力弘扬乐观、宽容、豁达等为人处世的精神，重在培养和提高大学生实际生活中的自我反思能力、分析问题和解决问题的能力。</w:t>
      </w:r>
    </w:p>
    <w:p w14:paraId="659D4C47">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bCs/>
          <w:szCs w:val="21"/>
        </w:rPr>
        <w:t>2.</w:t>
      </w:r>
      <w:r>
        <w:rPr>
          <w:rFonts w:hint="eastAsia" w:ascii="宋体" w:hAnsi="宋体" w:eastAsia="宋体" w:cs="Times New Roman"/>
          <w:bCs/>
          <w:szCs w:val="21"/>
        </w:rPr>
        <w:t>在教学大纲内容范畴内，倡导教学方式、教学手段的多样化，考虑学生的专业特点，开展形式多样的心理素养活动。</w:t>
      </w:r>
      <w:r>
        <w:rPr>
          <w:rFonts w:hint="eastAsia" w:ascii="宋体" w:hAnsi="宋体"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5E842432">
      <w:pPr>
        <w:spacing w:line="360" w:lineRule="auto"/>
        <w:jc w:val="left"/>
        <w:rPr>
          <w:rFonts w:ascii="Times New Roman" w:hAnsi="Times New Roman" w:eastAsia="宋体" w:cs="Times New Roman"/>
          <w:b/>
          <w:szCs w:val="21"/>
        </w:rPr>
      </w:pPr>
      <w:r>
        <w:rPr>
          <w:rFonts w:ascii="Times New Roman" w:hAnsi="Times New Roman" w:eastAsia="宋体" w:cs="Times New Roman"/>
          <w:b/>
          <w:szCs w:val="21"/>
        </w:rPr>
        <w:t xml:space="preserve"> </w:t>
      </w:r>
    </w:p>
    <w:p w14:paraId="0E6D7B4B">
      <w:pPr>
        <w:spacing w:line="360" w:lineRule="auto"/>
        <w:jc w:val="left"/>
        <w:rPr>
          <w:rFonts w:ascii="Times New Roman" w:hAnsi="Times New Roman" w:eastAsia="宋体" w:cs="Times New Roman"/>
          <w:b/>
          <w:szCs w:val="21"/>
        </w:rPr>
      </w:pPr>
      <w:r>
        <w:rPr>
          <w:rFonts w:hint="eastAsia" w:ascii="宋体" w:hAnsi="宋体" w:eastAsia="宋体" w:cs="Times New Roman"/>
          <w:b/>
          <w:szCs w:val="21"/>
        </w:rPr>
        <w:t>（二）建议教材</w:t>
      </w:r>
    </w:p>
    <w:p w14:paraId="191F99A8">
      <w:pPr>
        <w:spacing w:line="360" w:lineRule="auto"/>
        <w:ind w:firstLine="420" w:firstLineChars="200"/>
        <w:jc w:val="left"/>
        <w:rPr>
          <w:rFonts w:ascii="Times New Roman" w:hAnsi="Times New Roman" w:eastAsia="宋体" w:cs="Times New Roman"/>
          <w:bCs/>
          <w:color w:val="000000"/>
          <w:szCs w:val="21"/>
        </w:rPr>
      </w:pPr>
      <w:r>
        <w:rPr>
          <w:rFonts w:hint="eastAsia" w:ascii="宋体" w:hAnsi="宋体" w:eastAsia="宋体" w:cs="Times New Roman"/>
          <w:bCs/>
          <w:color w:val="000000"/>
          <w:szCs w:val="21"/>
        </w:rPr>
        <w:t>《大学生心理素养与行动（本科版）》，崔景贵、魏萍主编，上海交通大学出版，</w:t>
      </w:r>
      <w:r>
        <w:rPr>
          <w:rFonts w:hint="eastAsia" w:ascii="Times New Roman" w:hAnsi="Times New Roman" w:eastAsia="宋体" w:cs="Times New Roman"/>
          <w:bCs/>
          <w:color w:val="000000"/>
          <w:szCs w:val="21"/>
        </w:rPr>
        <w:t>2024</w:t>
      </w:r>
    </w:p>
    <w:p w14:paraId="6C56785A">
      <w:pPr>
        <w:spacing w:line="360" w:lineRule="auto"/>
        <w:jc w:val="left"/>
        <w:rPr>
          <w:rFonts w:ascii="Times New Roman" w:hAnsi="Times New Roman" w:eastAsia="宋体" w:cs="Times New Roman"/>
          <w:b/>
          <w:szCs w:val="21"/>
        </w:rPr>
      </w:pPr>
      <w:r>
        <w:rPr>
          <w:rFonts w:hint="eastAsia" w:ascii="宋体" w:hAnsi="宋体" w:eastAsia="宋体" w:cs="Times New Roman"/>
          <w:b/>
          <w:szCs w:val="21"/>
        </w:rPr>
        <w:t>（三）参考书目</w:t>
      </w:r>
    </w:p>
    <w:p w14:paraId="4C5408FC">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[1]</w:t>
      </w:r>
      <w:r>
        <w:rPr>
          <w:rFonts w:hint="eastAsia" w:ascii="Times New Roman" w:hAnsi="Times New Roman" w:eastAsia="宋体" w:cs="Times New Roman"/>
          <w:bCs/>
          <w:szCs w:val="21"/>
        </w:rPr>
        <w:tab/>
      </w:r>
      <w:r>
        <w:rPr>
          <w:rFonts w:hint="eastAsia" w:ascii="宋体" w:hAnsi="宋体" w:eastAsia="宋体" w:cs="Times New Roman"/>
          <w:bCs/>
          <w:szCs w:val="21"/>
        </w:rPr>
        <w:t>崔景贵</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积极心理学：教育范式的行动研究</w:t>
      </w:r>
      <w:r>
        <w:rPr>
          <w:rFonts w:hint="eastAsia" w:ascii="Times New Roman" w:hAnsi="Times New Roman" w:eastAsia="宋体" w:cs="Times New Roman"/>
          <w:bCs/>
          <w:szCs w:val="21"/>
        </w:rPr>
        <w:t xml:space="preserve">[M]. </w:t>
      </w:r>
      <w:r>
        <w:rPr>
          <w:rFonts w:hint="eastAsia" w:ascii="宋体" w:hAnsi="宋体" w:eastAsia="宋体" w:cs="Times New Roman"/>
          <w:bCs/>
          <w:szCs w:val="21"/>
        </w:rPr>
        <w:t>北京：知识产权出版社，</w:t>
      </w:r>
      <w:r>
        <w:rPr>
          <w:rFonts w:hint="eastAsia" w:ascii="Times New Roman" w:hAnsi="Times New Roman" w:eastAsia="宋体" w:cs="Times New Roman"/>
          <w:bCs/>
          <w:szCs w:val="21"/>
        </w:rPr>
        <w:t>2021.</w:t>
      </w:r>
    </w:p>
    <w:p w14:paraId="4EE981CA">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[2]</w:t>
      </w:r>
      <w:r>
        <w:rPr>
          <w:rFonts w:hint="eastAsia" w:ascii="Times New Roman" w:hAnsi="Times New Roman" w:eastAsia="宋体" w:cs="Times New Roman"/>
          <w:bCs/>
          <w:szCs w:val="21"/>
        </w:rPr>
        <w:tab/>
      </w:r>
      <w:r>
        <w:rPr>
          <w:rFonts w:hint="eastAsia" w:ascii="宋体" w:hAnsi="宋体" w:eastAsia="宋体" w:cs="Times New Roman"/>
          <w:bCs/>
          <w:szCs w:val="21"/>
        </w:rPr>
        <w:t>费尔德曼，黄希庭</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心理学与我们</w:t>
      </w:r>
      <w:r>
        <w:rPr>
          <w:rFonts w:hint="eastAsia" w:ascii="Times New Roman" w:hAnsi="Times New Roman" w:eastAsia="宋体" w:cs="Times New Roman"/>
          <w:bCs/>
          <w:szCs w:val="21"/>
        </w:rPr>
        <w:t>[M]. 2</w:t>
      </w:r>
      <w:r>
        <w:rPr>
          <w:rFonts w:hint="eastAsia" w:ascii="宋体" w:hAnsi="宋体" w:eastAsia="宋体" w:cs="Times New Roman"/>
          <w:bCs/>
          <w:szCs w:val="21"/>
        </w:rPr>
        <w:t>版</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黄希庭，等，译</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北京：人民邮电出版社，</w:t>
      </w:r>
      <w:r>
        <w:rPr>
          <w:rFonts w:hint="eastAsia" w:ascii="Times New Roman" w:hAnsi="Times New Roman" w:eastAsia="宋体" w:cs="Times New Roman"/>
          <w:bCs/>
          <w:szCs w:val="21"/>
        </w:rPr>
        <w:t>2020.</w:t>
      </w:r>
    </w:p>
    <w:p w14:paraId="6F24FED7">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[3]</w:t>
      </w:r>
      <w:r>
        <w:rPr>
          <w:rFonts w:hint="eastAsia" w:ascii="Times New Roman" w:hAnsi="Times New Roman" w:eastAsia="宋体" w:cs="Times New Roman"/>
          <w:bCs/>
          <w:szCs w:val="21"/>
        </w:rPr>
        <w:tab/>
      </w:r>
      <w:r>
        <w:rPr>
          <w:rFonts w:hint="eastAsia" w:ascii="宋体" w:hAnsi="宋体" w:eastAsia="宋体" w:cs="Times New Roman"/>
          <w:bCs/>
          <w:szCs w:val="21"/>
        </w:rPr>
        <w:t>弗雷德里克森</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积极情绪的力量</w:t>
      </w:r>
      <w:r>
        <w:rPr>
          <w:rFonts w:hint="eastAsia" w:ascii="Times New Roman" w:hAnsi="Times New Roman" w:eastAsia="宋体" w:cs="Times New Roman"/>
          <w:bCs/>
          <w:szCs w:val="21"/>
        </w:rPr>
        <w:t xml:space="preserve">[M]. </w:t>
      </w:r>
      <w:r>
        <w:rPr>
          <w:rFonts w:hint="eastAsia" w:ascii="宋体" w:hAnsi="宋体" w:eastAsia="宋体" w:cs="Times New Roman"/>
          <w:bCs/>
          <w:szCs w:val="21"/>
        </w:rPr>
        <w:t>王珺，译</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北京：中国纺织出版社，</w:t>
      </w:r>
      <w:r>
        <w:rPr>
          <w:rFonts w:hint="eastAsia" w:ascii="Times New Roman" w:hAnsi="Times New Roman" w:eastAsia="宋体" w:cs="Times New Roman"/>
          <w:bCs/>
          <w:szCs w:val="21"/>
        </w:rPr>
        <w:t>2021.</w:t>
      </w:r>
    </w:p>
    <w:p w14:paraId="795183D9">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[4]</w:t>
      </w:r>
      <w:r>
        <w:rPr>
          <w:rFonts w:hint="eastAsia" w:ascii="Times New Roman" w:hAnsi="Times New Roman" w:eastAsia="宋体" w:cs="Times New Roman"/>
          <w:bCs/>
          <w:szCs w:val="21"/>
        </w:rPr>
        <w:tab/>
      </w:r>
      <w:r>
        <w:rPr>
          <w:rFonts w:hint="eastAsia" w:ascii="宋体" w:hAnsi="宋体" w:eastAsia="宋体" w:cs="Times New Roman"/>
          <w:bCs/>
          <w:szCs w:val="21"/>
        </w:rPr>
        <w:t>格里格，津巴多</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心理学与生活</w:t>
      </w:r>
      <w:r>
        <w:rPr>
          <w:rFonts w:hint="eastAsia" w:ascii="Times New Roman" w:hAnsi="Times New Roman" w:eastAsia="宋体" w:cs="Times New Roman"/>
          <w:bCs/>
          <w:szCs w:val="21"/>
        </w:rPr>
        <w:t>[M]. 16</w:t>
      </w:r>
      <w:r>
        <w:rPr>
          <w:rFonts w:hint="eastAsia" w:ascii="宋体" w:hAnsi="宋体" w:eastAsia="宋体" w:cs="Times New Roman"/>
          <w:bCs/>
          <w:szCs w:val="21"/>
        </w:rPr>
        <w:t>版</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北京：人民邮电出版社，</w:t>
      </w:r>
      <w:r>
        <w:rPr>
          <w:rFonts w:hint="eastAsia" w:ascii="Times New Roman" w:hAnsi="Times New Roman" w:eastAsia="宋体" w:cs="Times New Roman"/>
          <w:bCs/>
          <w:szCs w:val="21"/>
        </w:rPr>
        <w:t>2003.</w:t>
      </w:r>
    </w:p>
    <w:p w14:paraId="473C24E0">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[5]</w:t>
      </w:r>
      <w:r>
        <w:rPr>
          <w:rFonts w:hint="eastAsia" w:ascii="Times New Roman" w:hAnsi="Times New Roman" w:eastAsia="宋体" w:cs="Times New Roman"/>
          <w:bCs/>
          <w:szCs w:val="21"/>
        </w:rPr>
        <w:tab/>
      </w:r>
      <w:r>
        <w:rPr>
          <w:rFonts w:hint="eastAsia" w:ascii="宋体" w:hAnsi="宋体" w:eastAsia="宋体" w:cs="Times New Roman"/>
          <w:bCs/>
          <w:szCs w:val="21"/>
        </w:rPr>
        <w:t>黄希庭，郑涌</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大学生心理健康教育</w:t>
      </w:r>
      <w:r>
        <w:rPr>
          <w:rFonts w:hint="eastAsia" w:ascii="Times New Roman" w:hAnsi="Times New Roman" w:eastAsia="宋体" w:cs="Times New Roman"/>
          <w:bCs/>
          <w:szCs w:val="21"/>
        </w:rPr>
        <w:t>[M]. 3</w:t>
      </w:r>
      <w:r>
        <w:rPr>
          <w:rFonts w:hint="eastAsia" w:ascii="宋体" w:hAnsi="宋体" w:eastAsia="宋体" w:cs="Times New Roman"/>
          <w:bCs/>
          <w:szCs w:val="21"/>
        </w:rPr>
        <w:t>版</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上海：华东师范大学出版社，</w:t>
      </w:r>
      <w:r>
        <w:rPr>
          <w:rFonts w:hint="eastAsia" w:ascii="Times New Roman" w:hAnsi="Times New Roman" w:eastAsia="宋体" w:cs="Times New Roman"/>
          <w:bCs/>
          <w:szCs w:val="21"/>
        </w:rPr>
        <w:t>2020.</w:t>
      </w:r>
    </w:p>
    <w:p w14:paraId="695F87C1">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[6]</w:t>
      </w:r>
      <w:r>
        <w:rPr>
          <w:rFonts w:hint="eastAsia" w:ascii="Times New Roman" w:hAnsi="Times New Roman" w:eastAsia="宋体" w:cs="Times New Roman"/>
          <w:bCs/>
          <w:szCs w:val="21"/>
        </w:rPr>
        <w:tab/>
      </w:r>
      <w:r>
        <w:rPr>
          <w:rFonts w:hint="eastAsia" w:ascii="宋体" w:hAnsi="宋体" w:eastAsia="宋体" w:cs="Times New Roman"/>
          <w:bCs/>
          <w:szCs w:val="21"/>
        </w:rPr>
        <w:t>拉希德，塞利格曼</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积极心理学治疗手册</w:t>
      </w:r>
      <w:r>
        <w:rPr>
          <w:rFonts w:hint="eastAsia" w:ascii="Times New Roman" w:hAnsi="Times New Roman" w:eastAsia="宋体" w:cs="Times New Roman"/>
          <w:bCs/>
          <w:szCs w:val="21"/>
        </w:rPr>
        <w:t xml:space="preserve">[M]. </w:t>
      </w:r>
      <w:r>
        <w:rPr>
          <w:rFonts w:hint="eastAsia" w:ascii="宋体" w:hAnsi="宋体" w:eastAsia="宋体" w:cs="Times New Roman"/>
          <w:bCs/>
          <w:szCs w:val="21"/>
        </w:rPr>
        <w:t>邓之君，译</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北京：中信出版社，</w:t>
      </w:r>
      <w:r>
        <w:rPr>
          <w:rFonts w:hint="eastAsia" w:ascii="Times New Roman" w:hAnsi="Times New Roman" w:eastAsia="宋体" w:cs="Times New Roman"/>
          <w:bCs/>
          <w:szCs w:val="21"/>
        </w:rPr>
        <w:t>2020.</w:t>
      </w:r>
    </w:p>
    <w:p w14:paraId="10E7E3EA">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[7]</w:t>
      </w:r>
      <w:r>
        <w:rPr>
          <w:rFonts w:hint="eastAsia" w:ascii="Times New Roman" w:hAnsi="Times New Roman" w:eastAsia="宋体" w:cs="Times New Roman"/>
          <w:bCs/>
          <w:szCs w:val="21"/>
        </w:rPr>
        <w:tab/>
      </w:r>
      <w:r>
        <w:rPr>
          <w:rFonts w:hint="eastAsia" w:ascii="宋体" w:hAnsi="宋体" w:eastAsia="宋体" w:cs="Times New Roman"/>
          <w:bCs/>
          <w:szCs w:val="21"/>
        </w:rPr>
        <w:t>刘翔平</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积极心理学</w:t>
      </w:r>
      <w:r>
        <w:rPr>
          <w:rFonts w:hint="eastAsia" w:ascii="Times New Roman" w:hAnsi="Times New Roman" w:eastAsia="宋体" w:cs="Times New Roman"/>
          <w:bCs/>
          <w:szCs w:val="21"/>
        </w:rPr>
        <w:t>[M]. 2</w:t>
      </w:r>
      <w:r>
        <w:rPr>
          <w:rFonts w:hint="eastAsia" w:ascii="宋体" w:hAnsi="宋体" w:eastAsia="宋体" w:cs="Times New Roman"/>
          <w:bCs/>
          <w:szCs w:val="21"/>
        </w:rPr>
        <w:t>版</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北京：中国人民大学出版社，</w:t>
      </w:r>
      <w:r>
        <w:rPr>
          <w:rFonts w:hint="eastAsia" w:ascii="Times New Roman" w:hAnsi="Times New Roman" w:eastAsia="宋体" w:cs="Times New Roman"/>
          <w:bCs/>
          <w:szCs w:val="21"/>
        </w:rPr>
        <w:t>2018.</w:t>
      </w:r>
    </w:p>
    <w:p w14:paraId="2B1F3198">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[8]</w:t>
      </w:r>
      <w:r>
        <w:rPr>
          <w:rFonts w:hint="eastAsia" w:ascii="Times New Roman" w:hAnsi="Times New Roman" w:eastAsia="宋体" w:cs="Times New Roman"/>
          <w:bCs/>
          <w:szCs w:val="21"/>
        </w:rPr>
        <w:tab/>
      </w:r>
      <w:r>
        <w:rPr>
          <w:rFonts w:hint="eastAsia" w:ascii="宋体" w:hAnsi="宋体" w:eastAsia="宋体" w:cs="Times New Roman"/>
          <w:bCs/>
          <w:szCs w:val="21"/>
        </w:rPr>
        <w:t>塞利格曼</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认识自己，接纳自己</w:t>
      </w:r>
      <w:r>
        <w:rPr>
          <w:rFonts w:hint="eastAsia" w:ascii="Times New Roman" w:hAnsi="Times New Roman" w:eastAsia="宋体" w:cs="Times New Roman"/>
          <w:bCs/>
          <w:szCs w:val="21"/>
        </w:rPr>
        <w:t xml:space="preserve">[M]. </w:t>
      </w:r>
      <w:r>
        <w:rPr>
          <w:rFonts w:hint="eastAsia" w:ascii="宋体" w:hAnsi="宋体" w:eastAsia="宋体" w:cs="Times New Roman"/>
          <w:bCs/>
          <w:szCs w:val="21"/>
        </w:rPr>
        <w:t>沈阳：万卷出版公司，</w:t>
      </w:r>
      <w:r>
        <w:rPr>
          <w:rFonts w:hint="eastAsia" w:ascii="Times New Roman" w:hAnsi="Times New Roman" w:eastAsia="宋体" w:cs="Times New Roman"/>
          <w:bCs/>
          <w:szCs w:val="21"/>
        </w:rPr>
        <w:t>2010.</w:t>
      </w:r>
    </w:p>
    <w:p w14:paraId="66BE66CA">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[9]</w:t>
      </w:r>
      <w:r>
        <w:rPr>
          <w:rFonts w:hint="eastAsia" w:ascii="Times New Roman" w:hAnsi="Times New Roman" w:eastAsia="宋体" w:cs="Times New Roman"/>
          <w:bCs/>
          <w:szCs w:val="21"/>
        </w:rPr>
        <w:tab/>
      </w:r>
      <w:r>
        <w:rPr>
          <w:rFonts w:hint="eastAsia" w:ascii="宋体" w:hAnsi="宋体" w:eastAsia="宋体" w:cs="Times New Roman"/>
          <w:bCs/>
          <w:szCs w:val="21"/>
        </w:rPr>
        <w:t>俞国良</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大学生心理健康</w:t>
      </w:r>
      <w:r>
        <w:rPr>
          <w:rFonts w:hint="eastAsia" w:ascii="Times New Roman" w:hAnsi="Times New Roman" w:eastAsia="宋体" w:cs="Times New Roman"/>
          <w:bCs/>
          <w:szCs w:val="21"/>
        </w:rPr>
        <w:t>[M]. 2</w:t>
      </w:r>
      <w:r>
        <w:rPr>
          <w:rFonts w:hint="eastAsia" w:ascii="宋体" w:hAnsi="宋体" w:eastAsia="宋体" w:cs="Times New Roman"/>
          <w:bCs/>
          <w:szCs w:val="21"/>
        </w:rPr>
        <w:t>版</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北京：北京师范大学出版社，</w:t>
      </w:r>
      <w:r>
        <w:rPr>
          <w:rFonts w:hint="eastAsia" w:ascii="Times New Roman" w:hAnsi="Times New Roman" w:eastAsia="宋体" w:cs="Times New Roman"/>
          <w:bCs/>
          <w:szCs w:val="21"/>
        </w:rPr>
        <w:t>2022.</w:t>
      </w:r>
    </w:p>
    <w:p w14:paraId="317A33AB">
      <w:pPr>
        <w:spacing w:line="360" w:lineRule="auto"/>
        <w:rPr>
          <w:rFonts w:hint="eastAsia" w:ascii="等线" w:hAnsi="等线" w:eastAsia="等线" w:cs="Times New Roman"/>
          <w:bCs/>
          <w:szCs w:val="21"/>
        </w:rPr>
      </w:pPr>
      <w:r>
        <w:rPr>
          <w:rFonts w:hint="eastAsia" w:ascii="Times New Roman" w:hAnsi="Times New Roman" w:eastAsia="宋体" w:cs="Times New Roman"/>
          <w:bCs/>
          <w:szCs w:val="21"/>
        </w:rPr>
        <w:t>[10]</w:t>
      </w:r>
      <w:r>
        <w:rPr>
          <w:rFonts w:hint="eastAsia" w:ascii="Times New Roman" w:hAnsi="Times New Roman" w:eastAsia="宋体" w:cs="Times New Roman"/>
          <w:bCs/>
          <w:szCs w:val="21"/>
        </w:rPr>
        <w:tab/>
      </w:r>
      <w:r>
        <w:rPr>
          <w:rFonts w:hint="eastAsia" w:ascii="宋体" w:hAnsi="宋体" w:eastAsia="宋体" w:cs="Times New Roman"/>
          <w:bCs/>
          <w:szCs w:val="21"/>
        </w:rPr>
        <w:t>周宗奎，等</w:t>
      </w:r>
      <w:r>
        <w:rPr>
          <w:rFonts w:hint="eastAsia" w:ascii="Times New Roman" w:hAnsi="Times New Roman" w:eastAsia="宋体" w:cs="Times New Roman"/>
          <w:bCs/>
          <w:szCs w:val="21"/>
        </w:rPr>
        <w:t xml:space="preserve">. </w:t>
      </w:r>
      <w:r>
        <w:rPr>
          <w:rFonts w:hint="eastAsia" w:ascii="宋体" w:hAnsi="宋体" w:eastAsia="宋体" w:cs="Times New Roman"/>
          <w:bCs/>
          <w:szCs w:val="21"/>
        </w:rPr>
        <w:t>网络心理学</w:t>
      </w:r>
      <w:r>
        <w:rPr>
          <w:rFonts w:hint="eastAsia" w:ascii="Times New Roman" w:hAnsi="Times New Roman" w:eastAsia="宋体" w:cs="Times New Roman"/>
          <w:bCs/>
          <w:szCs w:val="21"/>
        </w:rPr>
        <w:t xml:space="preserve">[M]. </w:t>
      </w:r>
      <w:r>
        <w:rPr>
          <w:rFonts w:hint="eastAsia" w:ascii="宋体" w:hAnsi="宋体" w:eastAsia="宋体" w:cs="Times New Roman"/>
          <w:bCs/>
          <w:szCs w:val="21"/>
        </w:rPr>
        <w:t>上海：华东师范大学出版社，</w:t>
      </w:r>
      <w:r>
        <w:rPr>
          <w:rFonts w:hint="eastAsia" w:ascii="Times New Roman" w:hAnsi="Times New Roman" w:eastAsia="宋体" w:cs="Times New Roman"/>
          <w:bCs/>
          <w:szCs w:val="21"/>
        </w:rPr>
        <w:t>2017.</w:t>
      </w:r>
    </w:p>
    <w:p w14:paraId="381CEA42">
      <w:pPr>
        <w:rPr>
          <w:rFonts w:hint="eastAsia" w:ascii="等线" w:hAnsi="等线" w:eastAsia="等线" w:cs="Times New Roman"/>
          <w:szCs w:val="21"/>
        </w:rPr>
      </w:pPr>
      <w:r>
        <w:rPr>
          <w:rFonts w:hint="eastAsia" w:ascii="等线" w:hAnsi="等线" w:eastAsia="等线" w:cs="Times New Roman"/>
          <w:szCs w:val="21"/>
        </w:rPr>
        <w:t xml:space="preserve"> </w:t>
      </w:r>
    </w:p>
    <w:p w14:paraId="4853B639">
      <w:pPr>
        <w:rPr>
          <w:rFonts w:hint="eastAsia" w:ascii="等线" w:hAnsi="等线" w:eastAsia="等线" w:cs="Times New Roman"/>
          <w:szCs w:val="21"/>
        </w:rPr>
      </w:pPr>
      <w:r>
        <w:rPr>
          <w:rFonts w:hint="eastAsia" w:ascii="等线" w:hAnsi="等线" w:eastAsia="等线" w:cs="Times New Roman"/>
          <w:szCs w:val="21"/>
        </w:rPr>
        <w:t xml:space="preserve"> </w:t>
      </w:r>
    </w:p>
    <w:p w14:paraId="4E829727">
      <w:pPr>
        <w:rPr>
          <w:rFonts w:hint="eastAsia" w:ascii="等线" w:hAnsi="等线" w:eastAsia="等线" w:cs="Times New Roman"/>
          <w:szCs w:val="21"/>
        </w:rPr>
      </w:pPr>
      <w:r>
        <w:rPr>
          <w:rFonts w:hint="eastAsia" w:ascii="等线" w:hAnsi="等线" w:eastAsia="等线" w:cs="Times New Roman"/>
          <w:szCs w:val="21"/>
        </w:rPr>
        <w:t xml:space="preserve"> </w:t>
      </w:r>
    </w:p>
    <w:p w14:paraId="02ED82F8">
      <w:pPr>
        <w:rPr>
          <w:rFonts w:hint="eastAsia" w:ascii="等线" w:hAnsi="等线" w:eastAsia="等线" w:cs="Times New Roman"/>
          <w:szCs w:val="21"/>
        </w:rPr>
      </w:pPr>
      <w:r>
        <w:rPr>
          <w:rFonts w:hint="eastAsia" w:ascii="等线" w:hAnsi="等线" w:eastAsia="等线" w:cs="Times New Roman"/>
          <w:szCs w:val="21"/>
        </w:rPr>
        <w:t xml:space="preserve"> </w:t>
      </w:r>
    </w:p>
    <w:p w14:paraId="6CC628BA">
      <w:pPr>
        <w:ind w:right="720"/>
        <w:jc w:val="right"/>
        <w:rPr>
          <w:rFonts w:hint="eastAsia" w:ascii="Times New Roman" w:hAnsi="Times New Roman" w:eastAsia="宋体" w:cs="Times New Roman"/>
          <w:sz w:val="24"/>
        </w:rPr>
      </w:pPr>
      <w:r>
        <w:rPr>
          <w:rFonts w:hint="eastAsia" w:ascii="宋体" w:hAnsi="宋体" w:eastAsia="宋体" w:cs="Times New Roman"/>
          <w:sz w:val="24"/>
        </w:rPr>
        <w:t>执笔人：薛香</w:t>
      </w:r>
    </w:p>
    <w:p w14:paraId="0915501A">
      <w:pPr>
        <w:ind w:right="480"/>
        <w:jc w:val="right"/>
        <w:rPr>
          <w:rFonts w:hint="eastAsia" w:ascii="Times New Roman" w:hAnsi="Times New Roman" w:eastAsia="宋体" w:cs="Times New Roman"/>
          <w:sz w:val="24"/>
        </w:rPr>
      </w:pPr>
      <w:r>
        <w:rPr>
          <w:rFonts w:hint="eastAsia" w:ascii="宋体" w:hAnsi="宋体" w:eastAsia="宋体" w:cs="Times New Roman"/>
          <w:sz w:val="24"/>
        </w:rPr>
        <w:t>审定人：许飞菲</w:t>
      </w:r>
      <w:r>
        <w:rPr>
          <w:rFonts w:hint="eastAsia" w:ascii="Times New Roman" w:hAnsi="Times New Roman" w:eastAsia="宋体" w:cs="Times New Roman"/>
          <w:sz w:val="24"/>
        </w:rPr>
        <w:t xml:space="preserve">  </w:t>
      </w:r>
    </w:p>
    <w:p w14:paraId="11AEA87A">
      <w:pPr>
        <w:ind w:right="720"/>
        <w:jc w:val="right"/>
        <w:rPr>
          <w:rFonts w:hint="eastAsia" w:ascii="Times New Roman" w:hAnsi="Times New Roman" w:eastAsia="宋体" w:cs="Times New Roman"/>
          <w:sz w:val="24"/>
        </w:rPr>
      </w:pPr>
      <w:r>
        <w:rPr>
          <w:rFonts w:hint="eastAsia" w:ascii="宋体" w:hAnsi="宋体" w:eastAsia="宋体" w:cs="Times New Roman"/>
          <w:sz w:val="24"/>
        </w:rPr>
        <w:t>批准人：眭莉</w:t>
      </w:r>
      <w:r>
        <w:rPr>
          <w:rFonts w:hint="eastAsia" w:ascii="Times New Roman" w:hAnsi="Times New Roman" w:eastAsia="宋体" w:cs="Times New Roman"/>
          <w:sz w:val="24"/>
        </w:rPr>
        <w:t xml:space="preserve"> </w:t>
      </w:r>
    </w:p>
    <w:p w14:paraId="7481F82E">
      <w:pPr>
        <w:ind w:right="480"/>
        <w:jc w:val="right"/>
        <w:rPr>
          <w:rFonts w:hint="eastAsia" w:ascii="等线" w:hAnsi="等线" w:eastAsia="等线" w:cs="Times New Roman"/>
          <w:szCs w:val="21"/>
        </w:rPr>
      </w:pPr>
      <w:r>
        <w:rPr>
          <w:rFonts w:hint="eastAsia" w:ascii="Times New Roman" w:hAnsi="Times New Roman" w:eastAsia="宋体" w:cs="Times New Roman"/>
          <w:sz w:val="24"/>
        </w:rPr>
        <w:t>2024</w:t>
      </w:r>
      <w:r>
        <w:rPr>
          <w:rFonts w:hint="eastAsia" w:ascii="宋体" w:hAnsi="宋体" w:eastAsia="宋体" w:cs="Times New Roman"/>
          <w:sz w:val="24"/>
        </w:rPr>
        <w:t>年</w:t>
      </w:r>
      <w:r>
        <w:rPr>
          <w:rFonts w:hint="eastAsia" w:ascii="Times New Roman" w:hAnsi="Times New Roman" w:eastAsia="宋体" w:cs="Times New Roman"/>
          <w:sz w:val="24"/>
        </w:rPr>
        <w:t>8</w:t>
      </w:r>
      <w:r>
        <w:rPr>
          <w:rFonts w:hint="eastAsia" w:ascii="宋体" w:hAnsi="宋体" w:eastAsia="宋体" w:cs="Times New Roman"/>
          <w:sz w:val="24"/>
        </w:rPr>
        <w:t>月</w:t>
      </w:r>
      <w:r>
        <w:rPr>
          <w:rFonts w:hint="eastAsia" w:ascii="Times New Roman" w:hAnsi="Times New Roman" w:eastAsia="宋体" w:cs="Times New Roman"/>
          <w:sz w:val="24"/>
        </w:rPr>
        <w:t>31</w:t>
      </w:r>
      <w:r>
        <w:rPr>
          <w:rFonts w:hint="eastAsia" w:ascii="宋体" w:hAnsi="宋体" w:eastAsia="宋体" w:cs="Times New Roman"/>
          <w:sz w:val="24"/>
        </w:rPr>
        <w:t>日</w:t>
      </w:r>
    </w:p>
    <w:p w14:paraId="391AEED4">
      <w:pPr>
        <w:rPr>
          <w:rFonts w:hint="eastAsia" w:ascii="等线" w:hAnsi="等线" w:eastAsia="等线" w:cs="Times New Roman"/>
          <w:szCs w:val="21"/>
        </w:rPr>
      </w:pPr>
      <w:r>
        <w:rPr>
          <w:rFonts w:hint="eastAsia" w:ascii="等线" w:hAnsi="等线" w:eastAsia="等线" w:cs="Times New Roman"/>
          <w:szCs w:val="21"/>
        </w:rPr>
        <w:t xml:space="preserve"> </w:t>
      </w:r>
    </w:p>
    <w:p w14:paraId="3059F032">
      <w:pPr>
        <w:ind w:firstLine="5670" w:firstLineChars="2700"/>
      </w:pPr>
    </w:p>
    <w:p w14:paraId="0018EB4B"/>
    <w:p w14:paraId="57075D0F">
      <w:pPr>
        <w:rPr>
          <w:rFonts w:hint="eastAsia" w:ascii="等线" w:hAnsi="等线" w:eastAsia="等线" w:cs="等线"/>
          <w:b/>
          <w:bCs/>
          <w:sz w:val="44"/>
          <w:szCs w:val="44"/>
        </w:rPr>
      </w:pPr>
      <w:r>
        <w:rPr>
          <w:rFonts w:hint="eastAsia" w:ascii="等线" w:hAnsi="等线" w:eastAsia="等线" w:cs="等线"/>
          <w:b/>
          <w:bCs/>
          <w:sz w:val="44"/>
          <w:szCs w:val="44"/>
        </w:rPr>
        <w:br w:type="page"/>
      </w:r>
    </w:p>
    <w:p w14:paraId="258DBCEC">
      <w:pPr>
        <w:pStyle w:val="2"/>
        <w:bidi w:val="0"/>
      </w:pPr>
      <w:bookmarkStart w:id="60" w:name="_Toc7172"/>
      <w:bookmarkStart w:id="61" w:name="_Toc5115"/>
      <w:bookmarkStart w:id="62" w:name="_Toc12753"/>
      <w:bookmarkStart w:id="63" w:name="_Toc19522"/>
      <w:bookmarkStart w:id="64" w:name="_Toc29697"/>
      <w:bookmarkStart w:id="65" w:name="_Toc18051"/>
      <w:r>
        <w:rPr>
          <w:rFonts w:hint="eastAsia"/>
          <w:lang w:eastAsia="zh-CN"/>
        </w:rPr>
        <w:t>《</w:t>
      </w:r>
      <w:r>
        <w:rPr>
          <w:rFonts w:hint="eastAsia"/>
        </w:rPr>
        <w:t>大学生安全教育</w:t>
      </w:r>
      <w:r>
        <w:rPr>
          <w:rFonts w:hint="eastAsia"/>
          <w:lang w:eastAsia="zh-CN"/>
        </w:rPr>
        <w:t>》</w:t>
      </w:r>
      <w:r>
        <w:rPr>
          <w:rFonts w:hint="eastAsia"/>
        </w:rPr>
        <w:t>课程教学大纲</w:t>
      </w:r>
      <w:bookmarkEnd w:id="60"/>
      <w:bookmarkEnd w:id="61"/>
      <w:bookmarkEnd w:id="62"/>
      <w:bookmarkEnd w:id="63"/>
      <w:bookmarkEnd w:id="64"/>
    </w:p>
    <w:p w14:paraId="75032D63">
      <w:pPr>
        <w:spacing w:line="360" w:lineRule="auto"/>
        <w:jc w:val="cente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（Campus Safety）</w:t>
      </w:r>
    </w:p>
    <w:p w14:paraId="45A08E42">
      <w:pPr>
        <w:spacing w:line="360" w:lineRule="auto"/>
        <w:ind w:firstLine="482" w:firstLineChars="200"/>
        <w:jc w:val="left"/>
        <w:rPr>
          <w:rFonts w:ascii="宋体" w:hAnsi="宋体"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sz w:val="24"/>
          <w:szCs w:val="24"/>
        </w:rPr>
        <w:t>课程名称：大学生安全教育</w:t>
      </w:r>
    </w:p>
    <w:p w14:paraId="199CBF07">
      <w:pPr>
        <w:spacing w:line="360" w:lineRule="auto"/>
        <w:ind w:firstLine="482" w:firstLineChars="200"/>
        <w:rPr>
          <w:rFonts w:ascii="宋体" w:hAnsi="宋体" w:eastAsia="宋体" w:cs="Times New Roman"/>
          <w:color w:val="000000" w:themeColor="text1"/>
          <w:kern w:val="0"/>
          <w:sz w:val="24"/>
          <w:szCs w:val="22"/>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课程代码</w:t>
      </w:r>
      <w:r>
        <w:rPr>
          <w:rFonts w:ascii="宋体" w:hAnsi="宋体" w:eastAsia="宋体" w:cs="Times New Roman"/>
          <w:b/>
          <w:color w:val="000000" w:themeColor="text1"/>
          <w:kern w:val="0"/>
          <w:sz w:val="24"/>
          <w14:textFill>
            <w14:solidFill>
              <w14:schemeClr w14:val="tx1"/>
            </w14:solidFill>
          </w14:textFill>
        </w:rPr>
        <w:t>：</w:t>
      </w:r>
      <w:r>
        <w:rPr>
          <w:rFonts w:hint="eastAsia" w:ascii="宋体" w:hAnsi="宋体" w:eastAsia="宋体" w:cs="Times New Roman"/>
          <w:b/>
          <w:bCs/>
          <w:color w:val="000000" w:themeColor="text1"/>
          <w:kern w:val="0"/>
          <w:sz w:val="24"/>
          <w:szCs w:val="22"/>
          <w14:textFill>
            <w14:solidFill>
              <w14:schemeClr w14:val="tx1"/>
            </w14:solidFill>
          </w14:textFill>
        </w:rPr>
        <w:t>0000005</w:t>
      </w:r>
    </w:p>
    <w:p w14:paraId="0DCAA1F5">
      <w:pPr>
        <w:spacing w:line="360" w:lineRule="auto"/>
        <w:ind w:firstLine="482" w:firstLineChars="200"/>
        <w:rPr>
          <w:rFonts w:ascii="宋体" w:hAnsi="宋体" w:eastAsia="宋体" w:cs="Times New Roman"/>
          <w:b/>
          <w:color w:val="000000" w:themeColor="text1"/>
          <w:kern w:val="0"/>
          <w:sz w:val="24"/>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学    分</w:t>
      </w:r>
      <w:r>
        <w:rPr>
          <w:rFonts w:ascii="宋体" w:hAnsi="宋体" w:eastAsia="宋体" w:cs="Times New Roman"/>
          <w:b/>
          <w:color w:val="000000" w:themeColor="text1"/>
          <w:kern w:val="0"/>
          <w:sz w:val="24"/>
          <w14:textFill>
            <w14:solidFill>
              <w14:schemeClr w14:val="tx1"/>
            </w14:solidFill>
          </w14:textFill>
        </w:rPr>
        <w:t>：</w:t>
      </w:r>
      <w:r>
        <w:rPr>
          <w:rFonts w:hint="eastAsia" w:ascii="宋体" w:hAnsi="宋体" w:eastAsia="宋体" w:cs="Times New Roman"/>
          <w:b/>
          <w:bCs/>
          <w:color w:val="000000" w:themeColor="text1"/>
          <w:kern w:val="0"/>
          <w:sz w:val="24"/>
          <w:szCs w:val="22"/>
          <w14:textFill>
            <w14:solidFill>
              <w14:schemeClr w14:val="tx1"/>
            </w14:solidFill>
          </w14:textFill>
        </w:rPr>
        <w:t>1</w:t>
      </w:r>
    </w:p>
    <w:p w14:paraId="1FF6B67B">
      <w:pPr>
        <w:spacing w:line="360" w:lineRule="auto"/>
        <w:ind w:firstLine="482" w:firstLineChars="200"/>
        <w:rPr>
          <w:rFonts w:hint="eastAsia" w:ascii="宋体" w:hAnsi="宋体" w:eastAsia="宋体" w:cs="Times New Roman"/>
          <w:color w:val="000000" w:themeColor="text1"/>
          <w:kern w:val="0"/>
          <w:sz w:val="24"/>
          <w:lang w:val="en-US" w:eastAsia="zh-CN"/>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学    时</w:t>
      </w:r>
      <w:r>
        <w:rPr>
          <w:rFonts w:ascii="宋体" w:hAnsi="宋体" w:eastAsia="宋体" w:cs="Times New Roman"/>
          <w:b/>
          <w:color w:val="000000" w:themeColor="text1"/>
          <w:kern w:val="0"/>
          <w:sz w:val="24"/>
          <w14:textFill>
            <w14:solidFill>
              <w14:schemeClr w14:val="tx1"/>
            </w14:solidFill>
          </w14:textFill>
        </w:rPr>
        <w:t>：</w:t>
      </w:r>
      <w:r>
        <w:rPr>
          <w:rFonts w:hint="eastAsia" w:ascii="宋体" w:hAnsi="宋体" w:eastAsia="宋体" w:cs="Times New Roman"/>
          <w:b/>
          <w:color w:val="000000" w:themeColor="text1"/>
          <w:kern w:val="0"/>
          <w:sz w:val="24"/>
          <w:lang w:val="en-US" w:eastAsia="zh-CN"/>
          <w14:textFill>
            <w14:solidFill>
              <w14:schemeClr w14:val="tx1"/>
            </w14:solidFill>
          </w14:textFill>
        </w:rPr>
        <w:t>8</w:t>
      </w:r>
    </w:p>
    <w:p w14:paraId="487ADB1C">
      <w:pPr>
        <w:spacing w:line="360" w:lineRule="auto"/>
        <w:ind w:firstLine="482" w:firstLineChars="200"/>
        <w:jc w:val="left"/>
        <w:rPr>
          <w:rFonts w:ascii="宋体" w:hAnsi="宋体" w:eastAsia="宋体" w:cs="Times New Roman"/>
          <w:color w:val="000000" w:themeColor="text1"/>
          <w:sz w:val="24"/>
          <w:szCs w:val="22"/>
          <w14:textFill>
            <w14:solidFill>
              <w14:schemeClr w14:val="tx1"/>
            </w14:solidFill>
          </w14:textFill>
        </w:rPr>
      </w:pPr>
      <w:r>
        <w:rPr>
          <w:rFonts w:ascii="宋体" w:hAnsi="宋体" w:eastAsia="宋体" w:cs="Times New Roman"/>
          <w:b/>
          <w:bCs/>
          <w:color w:val="000000" w:themeColor="text1"/>
          <w:kern w:val="0"/>
          <w:sz w:val="24"/>
          <w:lang w:val="zh-CN"/>
          <w14:textFill>
            <w14:solidFill>
              <w14:schemeClr w14:val="tx1"/>
            </w14:solidFill>
          </w14:textFill>
        </w:rPr>
        <w:t>先修课程</w:t>
      </w:r>
      <w:r>
        <w:rPr>
          <w:rFonts w:ascii="宋体" w:hAnsi="宋体" w:eastAsia="宋体" w:cs="Times New Roman"/>
          <w:b/>
          <w:color w:val="000000" w:themeColor="text1"/>
          <w:kern w:val="0"/>
          <w:sz w:val="24"/>
          <w:lang w:val="zh-CN"/>
          <w14:textFill>
            <w14:solidFill>
              <w14:schemeClr w14:val="tx1"/>
            </w14:solidFill>
          </w14:textFill>
        </w:rPr>
        <w:t>：</w:t>
      </w:r>
      <w:r>
        <w:rPr>
          <w:rFonts w:hint="eastAsia" w:ascii="宋体" w:hAnsi="宋体" w:eastAsia="宋体" w:cs="Times New Roman"/>
          <w:b/>
          <w:bCs/>
          <w:color w:val="000000" w:themeColor="text1"/>
          <w:sz w:val="24"/>
          <w:szCs w:val="22"/>
          <w14:textFill>
            <w14:solidFill>
              <w14:schemeClr w14:val="tx1"/>
            </w14:solidFill>
          </w14:textFill>
        </w:rPr>
        <w:t>无</w:t>
      </w:r>
    </w:p>
    <w:p w14:paraId="3A053B3B">
      <w:pPr>
        <w:spacing w:line="360" w:lineRule="auto"/>
        <w:ind w:firstLine="482" w:firstLineChars="200"/>
        <w:rPr>
          <w:rFonts w:ascii="宋体" w:hAnsi="宋体" w:eastAsia="宋体" w:cs="Times New Roman"/>
          <w:color w:val="000000" w:themeColor="text1"/>
          <w:kern w:val="0"/>
          <w:sz w:val="24"/>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适用专业</w:t>
      </w:r>
      <w:r>
        <w:rPr>
          <w:rFonts w:ascii="宋体" w:hAnsi="宋体" w:eastAsia="宋体" w:cs="Times New Roman"/>
          <w:b/>
          <w:color w:val="000000" w:themeColor="text1"/>
          <w:kern w:val="0"/>
          <w:sz w:val="24"/>
          <w14:textFill>
            <w14:solidFill>
              <w14:schemeClr w14:val="tx1"/>
            </w14:solidFill>
          </w14:textFill>
        </w:rPr>
        <w:t>：</w:t>
      </w:r>
      <w:r>
        <w:rPr>
          <w:rFonts w:hint="eastAsia" w:ascii="宋体" w:hAnsi="宋体" w:eastAsia="宋体" w:cs="Times New Roman"/>
          <w:b/>
          <w:bCs/>
          <w:color w:val="000000" w:themeColor="text1"/>
          <w:kern w:val="0"/>
          <w:sz w:val="24"/>
          <w14:textFill>
            <w14:solidFill>
              <w14:schemeClr w14:val="tx1"/>
            </w14:solidFill>
          </w14:textFill>
        </w:rPr>
        <w:t>全校所有专业</w:t>
      </w:r>
    </w:p>
    <w:p w14:paraId="3BBD8D66">
      <w:pPr>
        <w:spacing w:line="360" w:lineRule="auto"/>
        <w:jc w:val="left"/>
        <w:rPr>
          <w:rFonts w:hint="eastAsia" w:ascii="宋体" w:hAnsi="宋体"/>
          <w:b/>
          <w:bCs/>
          <w:color w:val="000000" w:themeColor="text1"/>
          <w:kern w:val="0"/>
          <w:sz w:val="24"/>
          <w14:textFill>
            <w14:solidFill>
              <w14:schemeClr w14:val="tx1"/>
            </w14:solidFill>
          </w14:textFill>
        </w:rPr>
      </w:pPr>
      <w:r>
        <w:rPr>
          <w:rFonts w:hint="eastAsia" w:ascii="Times New Roman" w:hAnsi="Times New Roman" w:eastAsia="宋体" w:cs="Times New Roman"/>
          <w:b/>
          <w:sz w:val="24"/>
          <w:szCs w:val="24"/>
        </w:rPr>
        <w:t>一、课程简介</w:t>
      </w:r>
    </w:p>
    <w:p w14:paraId="21CAEE3F">
      <w:pPr>
        <w:pStyle w:val="7"/>
        <w:ind w:firstLine="480"/>
        <w:rPr>
          <w:rFonts w:hint="eastAsia"/>
          <w:sz w:val="24"/>
          <w:szCs w:val="32"/>
        </w:rPr>
      </w:pPr>
      <w:r>
        <w:rPr>
          <w:rFonts w:hint="eastAsia"/>
          <w:bCs/>
          <w:sz w:val="24"/>
          <w:szCs w:val="32"/>
        </w:rPr>
        <w:t>本课程</w:t>
      </w:r>
      <w:r>
        <w:rPr>
          <w:sz w:val="24"/>
        </w:rPr>
        <w:t>是</w:t>
      </w:r>
      <w:r>
        <w:rPr>
          <w:rFonts w:hint="eastAsia"/>
          <w:sz w:val="24"/>
          <w:szCs w:val="32"/>
        </w:rPr>
        <w:t>我校全体学生须学习并考试合格</w:t>
      </w:r>
      <w:r>
        <w:rPr>
          <w:sz w:val="24"/>
          <w:szCs w:val="32"/>
        </w:rPr>
        <w:t>的一门</w:t>
      </w:r>
      <w:r>
        <w:rPr>
          <w:rFonts w:hint="eastAsia"/>
          <w:sz w:val="24"/>
          <w:szCs w:val="32"/>
        </w:rPr>
        <w:t>必修课程</w:t>
      </w:r>
      <w:r>
        <w:rPr>
          <w:sz w:val="24"/>
          <w:szCs w:val="32"/>
        </w:rPr>
        <w:t>。</w:t>
      </w:r>
      <w:r>
        <w:rPr>
          <w:rFonts w:hint="eastAsia"/>
          <w:sz w:val="24"/>
          <w:szCs w:val="32"/>
        </w:rPr>
        <w:t>通过学习《大学生安全知识竞赛题库》，掌握和提高大学生安全意识和防范能力，避免和减少安全事件的发生，确保平安、健康、快乐地度过美好的大学生活。通过学习《实验室安全教育》，使学生了解实验过程中涉及具有一定危险因素的实验环境，如高温、高压、超低温、强磁、真空、辐射、高电压和高转速等基本知识；使学生能够掌握安全、健康和环境方面的基本理论，培养其安全意识和安全素养，使其具有一定的系统安全风险分析的能力，安全操作技能和应急处置能力，以保障大学生在校学习、实验及生活的安全并满足今后职业发展的安全需要。</w:t>
      </w:r>
    </w:p>
    <w:p w14:paraId="45F64EB4">
      <w:pPr>
        <w:pStyle w:val="7"/>
        <w:ind w:firstLine="480"/>
        <w:rPr>
          <w:rFonts w:hint="eastAsia"/>
          <w:sz w:val="24"/>
          <w:szCs w:val="32"/>
        </w:rPr>
      </w:pPr>
    </w:p>
    <w:p w14:paraId="5EC83BDA">
      <w:pPr>
        <w:pStyle w:val="7"/>
        <w:ind w:left="0" w:leftChars="0" w:firstLine="0" w:firstLineChars="0"/>
        <w:rPr>
          <w:rFonts w:hint="eastAsia"/>
          <w:b/>
          <w:bCs/>
          <w:sz w:val="24"/>
          <w:szCs w:val="32"/>
        </w:rPr>
      </w:pPr>
      <w:r>
        <w:rPr>
          <w:rFonts w:hint="eastAsia"/>
          <w:b/>
          <w:bCs/>
          <w:sz w:val="24"/>
          <w:szCs w:val="32"/>
        </w:rPr>
        <w:t>二、课程目标</w:t>
      </w:r>
    </w:p>
    <w:p w14:paraId="61849467">
      <w:pPr>
        <w:pStyle w:val="7"/>
        <w:ind w:left="0" w:leftChars="0" w:firstLine="422" w:firstLineChars="200"/>
        <w:rPr>
          <w:rFonts w:hint="eastAsia"/>
          <w:b/>
          <w:bCs/>
          <w:sz w:val="21"/>
          <w:szCs w:val="21"/>
        </w:rPr>
      </w:pPr>
      <w:r>
        <w:rPr>
          <w:rFonts w:hint="eastAsia"/>
          <w:b/>
          <w:bCs/>
          <w:sz w:val="21"/>
          <w:szCs w:val="21"/>
        </w:rPr>
        <w:t>（一）课程具体目标</w:t>
      </w:r>
    </w:p>
    <w:p w14:paraId="7914459C">
      <w:pPr>
        <w:pStyle w:val="7"/>
        <w:rPr>
          <w:rFonts w:hint="eastAsia"/>
          <w:sz w:val="21"/>
          <w:szCs w:val="21"/>
        </w:rPr>
      </w:pPr>
      <w:r>
        <w:rPr>
          <w:rFonts w:hint="eastAsia"/>
          <w:b/>
          <w:bCs/>
          <w:sz w:val="21"/>
          <w:szCs w:val="21"/>
        </w:rPr>
        <w:t xml:space="preserve">目标1. </w:t>
      </w:r>
      <w:r>
        <w:rPr>
          <w:rFonts w:hint="eastAsia"/>
          <w:sz w:val="21"/>
          <w:szCs w:val="21"/>
        </w:rPr>
        <w:t>掌握安全教育核心知识体系</w:t>
      </w:r>
      <w:r>
        <w:rPr>
          <w:rFonts w:hint="eastAsia"/>
          <w:sz w:val="21"/>
          <w:szCs w:val="21"/>
          <w:lang w:eastAsia="zh-CN"/>
        </w:rPr>
        <w:t>。</w:t>
      </w:r>
      <w:r>
        <w:rPr>
          <w:rFonts w:hint="eastAsia"/>
          <w:sz w:val="21"/>
          <w:szCs w:val="21"/>
        </w:rPr>
        <w:t>系统学习人身安全、财产安全、网络安全、心理健康、自然灾害应对等领域的核心概念与基础理论，了解国内外校园安全典型案例与政策法规，构建安全知识结构框架，初步具备识别校园及社会环境中的安全风险、制定安全防护策略的能力。</w:t>
      </w:r>
    </w:p>
    <w:p w14:paraId="165A1DDB">
      <w:pPr>
        <w:pStyle w:val="7"/>
        <w:ind w:left="0" w:leftChars="0" w:firstLine="422" w:firstLineChars="200"/>
        <w:rPr>
          <w:rFonts w:hint="eastAsia"/>
          <w:sz w:val="21"/>
          <w:szCs w:val="21"/>
        </w:rPr>
      </w:pPr>
      <w:r>
        <w:rPr>
          <w:rFonts w:hint="eastAsia"/>
          <w:b/>
          <w:bCs/>
          <w:sz w:val="21"/>
          <w:szCs w:val="21"/>
        </w:rPr>
        <w:t>目标2.</w:t>
      </w:r>
      <w:r>
        <w:rPr>
          <w:rFonts w:hint="eastAsia"/>
          <w:sz w:val="21"/>
          <w:szCs w:val="21"/>
        </w:rPr>
        <w:t xml:space="preserve"> 提升安全实践与应急处置能力</w:t>
      </w:r>
      <w:r>
        <w:rPr>
          <w:rFonts w:hint="eastAsia"/>
          <w:sz w:val="21"/>
          <w:szCs w:val="21"/>
          <w:lang w:eastAsia="zh-CN"/>
        </w:rPr>
        <w:t>。</w:t>
      </w:r>
      <w:r>
        <w:rPr>
          <w:rFonts w:hint="eastAsia"/>
          <w:sz w:val="21"/>
          <w:szCs w:val="21"/>
        </w:rPr>
        <w:t>通过情景模拟、实操演练（如火灾逃生、急救技能、防身术等），掌握应对突发安全事件的流程与技巧，能运用专业方法分析安全风险、制定应急预案，并具备在紧急情况下冷静应对、有效自救与互助的能力，为未来独立生活与社会实践奠定安全保障基础。</w:t>
      </w:r>
    </w:p>
    <w:p w14:paraId="2775E52E">
      <w:pPr>
        <w:pStyle w:val="7"/>
        <w:ind w:left="0" w:leftChars="0" w:firstLine="0" w:firstLineChars="0"/>
        <w:rPr>
          <w:rFonts w:hint="eastAsia"/>
          <w:sz w:val="21"/>
          <w:szCs w:val="21"/>
        </w:rPr>
      </w:pPr>
    </w:p>
    <w:p w14:paraId="1E598034">
      <w:pPr>
        <w:pStyle w:val="7"/>
        <w:ind w:left="0" w:leftChars="0" w:firstLine="422" w:firstLineChars="200"/>
        <w:rPr>
          <w:rFonts w:hint="eastAsia"/>
          <w:sz w:val="21"/>
          <w:szCs w:val="21"/>
        </w:rPr>
      </w:pPr>
      <w:r>
        <w:rPr>
          <w:rFonts w:hint="eastAsia"/>
          <w:b/>
          <w:bCs/>
          <w:sz w:val="21"/>
          <w:szCs w:val="21"/>
        </w:rPr>
        <w:t>目标3.</w:t>
      </w:r>
      <w:r>
        <w:rPr>
          <w:rFonts w:hint="eastAsia"/>
          <w:sz w:val="21"/>
          <w:szCs w:val="21"/>
        </w:rPr>
        <w:t xml:space="preserve"> 树立科学安全观与责任意识</w:t>
      </w:r>
      <w:r>
        <w:rPr>
          <w:rFonts w:hint="eastAsia"/>
          <w:sz w:val="21"/>
          <w:szCs w:val="21"/>
          <w:lang w:eastAsia="zh-CN"/>
        </w:rPr>
        <w:t>。</w:t>
      </w:r>
      <w:r>
        <w:rPr>
          <w:rFonts w:hint="eastAsia"/>
          <w:sz w:val="21"/>
          <w:szCs w:val="21"/>
        </w:rPr>
        <w:t>形成正确的安全价值观，包括生命安全至上、风险防范优先、安全行为自律等理念；养成主动关注安全动态、定期更新安全知识的习惯；强化安全责任意识，自觉在日常生活与未来职业中践行安全规范，积极参与校园及社会安全文化建设，成为安全理念的传播者与实践者。</w:t>
      </w:r>
    </w:p>
    <w:p w14:paraId="6764B54F">
      <w:pPr>
        <w:numPr>
          <w:ilvl w:val="0"/>
          <w:numId w:val="25"/>
        </w:numPr>
        <w:spacing w:before="156" w:beforeLines="50" w:after="156" w:afterLines="50" w:line="360" w:lineRule="auto"/>
        <w:jc w:val="left"/>
        <w:rPr>
          <w:rFonts w:hint="eastAsia" w:ascii="Times New Roman" w:hAnsi="Times New Roman" w:eastAsia="宋体" w:cs="Times New Roman"/>
          <w:b/>
          <w:bCs/>
          <w:szCs w:val="21"/>
        </w:rPr>
      </w:pPr>
      <w:r>
        <w:rPr>
          <w:rFonts w:hint="eastAsia" w:ascii="Times New Roman" w:hAnsi="Times New Roman" w:eastAsia="宋体" w:cs="Times New Roman"/>
          <w:b/>
          <w:bCs/>
          <w:szCs w:val="21"/>
        </w:rPr>
        <w:t>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A39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018258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7D6FFE9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3A2812E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9D6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6EC4D4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3A306C9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1-1：【理想信念坚定】</w:t>
            </w:r>
            <w:r>
              <w:rPr>
                <w:rFonts w:hint="eastAsia" w:ascii="宋体" w:hAnsi="宋体" w:eastAsia="宋体" w:cs="宋体"/>
                <w:i w:val="0"/>
                <w:caps w:val="0"/>
                <w:color w:val="404040"/>
                <w:spacing w:val="0"/>
                <w:sz w:val="21"/>
                <w:szCs w:val="21"/>
                <w:shd w:val="clear" w:fill="FFFFFF"/>
              </w:rPr>
              <w:t>树立正确的安全价值观，深刻理解国家安全与社会稳定的重要性；认同社会主义核心价值观，自觉遵守法律法规，维护校园安全与公共秩序；具备高度的社会责任感，在安全实践中以身作则，成为学生群体中的安全表率</w:t>
            </w:r>
            <w:r>
              <w:rPr>
                <w:rFonts w:ascii="Times New Roman" w:hAnsi="Times New Roman" w:eastAsia="宋体" w:cs="Times New Roman"/>
                <w:szCs w:val="21"/>
              </w:rPr>
              <w:t>。</w:t>
            </w:r>
          </w:p>
        </w:tc>
        <w:tc>
          <w:tcPr>
            <w:tcW w:w="1191" w:type="dxa"/>
            <w:vAlign w:val="center"/>
          </w:tcPr>
          <w:p w14:paraId="387626AE">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1</w:t>
            </w:r>
          </w:p>
        </w:tc>
      </w:tr>
      <w:tr w14:paraId="5F26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255DBD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0B71A1E9">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2-2：【仁爱之心深厚】</w:t>
            </w:r>
            <w:r>
              <w:rPr>
                <w:rFonts w:hint="eastAsia" w:ascii="宋体" w:hAnsi="宋体" w:eastAsia="宋体" w:cs="Times New Roman"/>
                <w:color w:val="000000"/>
                <w:spacing w:val="2"/>
                <w:kern w:val="0"/>
                <w:szCs w:val="21"/>
              </w:rPr>
              <w:t>关爱学生身心健康，重视安全教育在日常生活中的渗透。具备风险识别与预防意识，尊重学生个体差异，通过安全教育培养学生自我保护能力，营造安全、和谐的校园环境，成为学生健康成长的守护者</w:t>
            </w:r>
            <w:r>
              <w:rPr>
                <w:rFonts w:ascii="宋体" w:hAnsi="宋体" w:eastAsia="宋体" w:cs="Times New Roman"/>
                <w:color w:val="000000"/>
                <w:spacing w:val="2"/>
                <w:kern w:val="0"/>
                <w:szCs w:val="21"/>
              </w:rPr>
              <w:t>。</w:t>
            </w:r>
          </w:p>
        </w:tc>
        <w:tc>
          <w:tcPr>
            <w:tcW w:w="1191" w:type="dxa"/>
            <w:vAlign w:val="center"/>
          </w:tcPr>
          <w:p w14:paraId="5A8B7B0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0C83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E3AF63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087325B7">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w:t>
            </w:r>
            <w:r>
              <w:rPr>
                <w:rFonts w:hint="eastAsia" w:ascii="宋体" w:hAnsi="宋体" w:eastAsia="宋体" w:cs="Times New Roman"/>
                <w:color w:val="000000"/>
                <w:spacing w:val="2"/>
                <w:kern w:val="0"/>
                <w:szCs w:val="21"/>
                <w:lang w:val="en-US" w:eastAsia="zh-CN"/>
              </w:rPr>
              <w:t>安全</w:t>
            </w:r>
            <w:r>
              <w:rPr>
                <w:rFonts w:ascii="宋体" w:hAnsi="宋体" w:eastAsia="宋体" w:cs="Times New Roman"/>
                <w:color w:val="000000"/>
                <w:spacing w:val="2"/>
                <w:kern w:val="0"/>
                <w:szCs w:val="21"/>
              </w:rPr>
              <w:t>知识</w:t>
            </w:r>
            <w:r>
              <w:rPr>
                <w:rFonts w:hint="eastAsia" w:ascii="宋体" w:hAnsi="宋体" w:eastAsia="宋体" w:cs="Times New Roman"/>
                <w:color w:val="000000"/>
                <w:spacing w:val="2"/>
                <w:kern w:val="0"/>
                <w:szCs w:val="21"/>
                <w:lang w:val="en-US" w:eastAsia="zh-CN"/>
              </w:rPr>
              <w:t>扎实</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掌握火灾逃生、急救技能、网络安全、防诈骗等基础安全知识与实践技能；熟悉校园安全管理制度与应急预案，能够结合学科特点解读安全规范，形成科学的安全行为习惯。</w:t>
            </w:r>
          </w:p>
        </w:tc>
        <w:tc>
          <w:tcPr>
            <w:tcW w:w="1191" w:type="dxa"/>
            <w:vAlign w:val="center"/>
          </w:tcPr>
          <w:p w14:paraId="6607A00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2C8F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D1F4C5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毕业要求7学会反思</w:t>
            </w:r>
          </w:p>
        </w:tc>
        <w:tc>
          <w:tcPr>
            <w:tcW w:w="5688" w:type="dxa"/>
            <w:vAlign w:val="center"/>
          </w:tcPr>
          <w:p w14:paraId="4F68667A">
            <w:pPr>
              <w:spacing w:line="276" w:lineRule="auto"/>
              <w:jc w:val="left"/>
              <w:rPr>
                <w:rFonts w:ascii="宋体" w:hAnsi="宋体" w:eastAsia="宋体" w:cs="Times New Roman"/>
                <w:color w:val="000000"/>
                <w:kern w:val="0"/>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rPr>
              <w:t>7</w:t>
            </w:r>
            <w:r>
              <w:rPr>
                <w:rFonts w:ascii="宋体" w:hAnsi="宋体" w:eastAsia="宋体" w:cs="Times New Roman"/>
                <w:color w:val="000000"/>
                <w:kern w:val="0"/>
                <w:szCs w:val="21"/>
              </w:rPr>
              <w:t>-1：</w:t>
            </w:r>
            <w:r>
              <w:rPr>
                <w:rFonts w:hint="eastAsia" w:ascii="宋体" w:hAnsi="宋体" w:eastAsia="宋体" w:cs="Times New Roman"/>
                <w:color w:val="000000"/>
                <w:kern w:val="0"/>
                <w:szCs w:val="21"/>
              </w:rPr>
              <w:t>【教育视野开阔】关注国内外公共安全事件与应急管理动态，了解新时代安全挑战与技术发展，主动学习先进安全教育理念，提升安全教育的针对性与实效性。</w:t>
            </w:r>
          </w:p>
          <w:p w14:paraId="0800A5FA">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7-3：【反思改进良好】</w:t>
            </w:r>
            <w:r>
              <w:rPr>
                <w:rFonts w:hint="eastAsia" w:ascii="宋体" w:hAnsi="宋体" w:eastAsia="宋体" w:cs="Times New Roman"/>
                <w:color w:val="000000"/>
                <w:kern w:val="0"/>
                <w:szCs w:val="21"/>
              </w:rPr>
              <w:t>通过案例分析、模拟演练等方式，反思自身及他人安全行为中的不足，提出改进策略；能够对校园安全隐患进行独立分析与研究，形成批判性思维与创新性解决方案。</w:t>
            </w:r>
          </w:p>
        </w:tc>
        <w:tc>
          <w:tcPr>
            <w:tcW w:w="1191" w:type="dxa"/>
            <w:vAlign w:val="center"/>
          </w:tcPr>
          <w:p w14:paraId="70AA04B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54DABF37">
      <w:pPr>
        <w:numPr>
          <w:ilvl w:val="0"/>
          <w:numId w:val="0"/>
        </w:numPr>
        <w:spacing w:before="156" w:beforeLines="50" w:after="156" w:afterLines="50" w:line="360" w:lineRule="auto"/>
        <w:jc w:val="left"/>
        <w:rPr>
          <w:rFonts w:hint="eastAsia" w:ascii="Times New Roman" w:hAnsi="Times New Roman" w:eastAsia="宋体" w:cs="Times New Roman"/>
          <w:b/>
          <w:bCs/>
          <w:szCs w:val="21"/>
        </w:rPr>
      </w:pPr>
    </w:p>
    <w:p w14:paraId="1C63E7D6">
      <w:pPr>
        <w:numPr>
          <w:ilvl w:val="0"/>
          <w:numId w:val="25"/>
        </w:numPr>
        <w:spacing w:before="156" w:beforeLines="50" w:line="360" w:lineRule="auto"/>
        <w:ind w:left="0" w:leftChars="0" w:firstLine="0" w:firstLineChars="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p>
    <w:p w14:paraId="1E5DE816">
      <w:pPr>
        <w:numPr>
          <w:ilvl w:val="0"/>
          <w:numId w:val="0"/>
        </w:numPr>
        <w:spacing w:before="156" w:beforeLines="50" w:line="360" w:lineRule="auto"/>
        <w:ind w:leftChars="0" w:firstLine="420" w:firstLineChars="20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促使学生在系统掌握安全知识体系与实践技能的基础上，深刻理解国家安全与社会稳定的重要意义，践行社会主义核心价值观；树立“生命至上、风险防范、责任为先”的科学安全观，自觉遵守法律法规与校园安全规范，强化公共安全意识；培养自律守则的行为习惯与人文关怀精神，主动参与校园及社会安全文化建设，积极传播安全理念；以高度的社会责任感与创新思维，分析安全挑战、优化防护策略，立志成为具备扎实安全素养、法治观念、仁爱之心和家国情怀的新时代青年，为构建平安校园、维护社会和谐稳定贡献力量。</w:t>
      </w:r>
    </w:p>
    <w:p w14:paraId="2EF53DFA">
      <w:pPr>
        <w:numPr>
          <w:ilvl w:val="0"/>
          <w:numId w:val="0"/>
        </w:numPr>
        <w:spacing w:before="156" w:beforeLines="50" w:line="360" w:lineRule="auto"/>
        <w:ind w:leftChars="0" w:firstLine="420" w:firstLineChars="200"/>
        <w:jc w:val="left"/>
        <w:rPr>
          <w:rFonts w:hint="eastAsia" w:ascii="宋体" w:hAnsi="宋体" w:eastAsia="宋体" w:cs="Times New Roman"/>
          <w:b w:val="0"/>
          <w:bCs/>
          <w:color w:val="000000"/>
          <w:szCs w:val="21"/>
        </w:rPr>
      </w:pPr>
    </w:p>
    <w:p w14:paraId="429C24E3">
      <w:pPr>
        <w:bidi w:val="0"/>
        <w:rPr>
          <w:rFonts w:hint="eastAsia"/>
        </w:rPr>
      </w:pPr>
      <w:r>
        <w:rPr>
          <w:rFonts w:hint="eastAsia"/>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3167"/>
        <w:gridCol w:w="927"/>
        <w:gridCol w:w="2473"/>
        <w:gridCol w:w="1292"/>
        <w:gridCol w:w="438"/>
      </w:tblGrid>
      <w:tr w14:paraId="372C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Align w:val="center"/>
          </w:tcPr>
          <w:p w14:paraId="6D3F79AA">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6DAF0A7B">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3167" w:type="dxa"/>
            <w:vAlign w:val="center"/>
          </w:tcPr>
          <w:p w14:paraId="2E9C97CF">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927" w:type="dxa"/>
            <w:vAlign w:val="center"/>
          </w:tcPr>
          <w:p w14:paraId="46DEB19E">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738DF3FC">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473" w:type="dxa"/>
            <w:vAlign w:val="center"/>
          </w:tcPr>
          <w:p w14:paraId="576BDFF9">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92" w:type="dxa"/>
            <w:vAlign w:val="center"/>
          </w:tcPr>
          <w:p w14:paraId="17FC6EDB">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907A3AA">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620B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0" w:hRule="atLeast"/>
          <w:jc w:val="center"/>
        </w:trPr>
        <w:tc>
          <w:tcPr>
            <w:tcW w:w="1001" w:type="dxa"/>
            <w:vMerge w:val="restart"/>
            <w:vAlign w:val="center"/>
          </w:tcPr>
          <w:p w14:paraId="71462467">
            <w:pPr>
              <w:spacing w:line="264" w:lineRule="auto"/>
              <w:jc w:val="center"/>
              <w:rPr>
                <w:rFonts w:ascii="宋体" w:hAnsi="宋体" w:eastAsia="宋体" w:cs="Times New Roman"/>
                <w:color w:val="000000"/>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大学生安全知识</w:t>
            </w:r>
          </w:p>
        </w:tc>
        <w:tc>
          <w:tcPr>
            <w:tcW w:w="3167" w:type="dxa"/>
            <w:vAlign w:val="center"/>
          </w:tcPr>
          <w:p w14:paraId="58A3102E">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rPr>
              <w:t>）维护国家安全。</w:t>
            </w:r>
          </w:p>
          <w:p w14:paraId="06A485D0">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）不法侵害的预防与处置。</w:t>
            </w:r>
          </w:p>
          <w:p w14:paraId="5D8E989E">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）诈骗的识别与防范。</w:t>
            </w:r>
          </w:p>
          <w:p w14:paraId="34FB49EA">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）心理障碍的预防与调适。</w:t>
            </w:r>
          </w:p>
          <w:p w14:paraId="4F72FE27">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）火灾事故的预防与应对。</w:t>
            </w:r>
          </w:p>
          <w:p w14:paraId="2C166F7E">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rPr>
              <w:t>）交通事故的预防与处置。</w:t>
            </w:r>
          </w:p>
          <w:p w14:paraId="4D2A83EC">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sz w:val="21"/>
                <w:szCs w:val="21"/>
              </w:rPr>
              <w:t>）盗窃案件的预防与应对。</w:t>
            </w:r>
          </w:p>
          <w:p w14:paraId="07AD539C">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rPr>
              <w:t>）网络侵害的防范与处置。</w:t>
            </w:r>
          </w:p>
          <w:p w14:paraId="096E7DDB">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9</w:t>
            </w:r>
            <w:r>
              <w:rPr>
                <w:rFonts w:hint="eastAsia" w:ascii="宋体" w:hAnsi="宋体" w:eastAsia="宋体" w:cs="宋体"/>
                <w:sz w:val="21"/>
                <w:szCs w:val="21"/>
              </w:rPr>
              <w:t>）灾害及意外伤害事故的防范与应对。</w:t>
            </w:r>
          </w:p>
          <w:p w14:paraId="2AB51EB6">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10</w:t>
            </w:r>
            <w:r>
              <w:rPr>
                <w:rFonts w:hint="eastAsia" w:ascii="宋体" w:hAnsi="宋体" w:eastAsia="宋体" w:cs="宋体"/>
                <w:sz w:val="21"/>
                <w:szCs w:val="21"/>
              </w:rPr>
              <w:t>）食物中毒、传染病及猝死的预防与处置。</w:t>
            </w:r>
          </w:p>
          <w:p w14:paraId="503DF6EB">
            <w:pPr>
              <w:spacing w:line="360" w:lineRule="auto"/>
              <w:rPr>
                <w:rFonts w:ascii="宋体" w:hAnsi="宋体" w:eastAsia="宋体" w:cs="Times New Roman"/>
                <w:color w:val="000000"/>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11</w:t>
            </w:r>
            <w:r>
              <w:rPr>
                <w:rFonts w:hint="eastAsia" w:ascii="宋体" w:hAnsi="宋体" w:eastAsia="宋体" w:cs="宋体"/>
                <w:sz w:val="21"/>
                <w:szCs w:val="21"/>
              </w:rPr>
              <w:t>）学生人身伤害事故处理。</w:t>
            </w:r>
          </w:p>
        </w:tc>
        <w:tc>
          <w:tcPr>
            <w:tcW w:w="927" w:type="dxa"/>
            <w:vAlign w:val="center"/>
          </w:tcPr>
          <w:p w14:paraId="2A78D4F3">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2、3</w:t>
            </w:r>
          </w:p>
        </w:tc>
        <w:tc>
          <w:tcPr>
            <w:tcW w:w="2473" w:type="dxa"/>
            <w:vAlign w:val="center"/>
          </w:tcPr>
          <w:p w14:paraId="4B5052E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 理解人身安全、财产安全、网络安全等领域的核心概念与基础理论；</w:t>
            </w:r>
          </w:p>
          <w:p w14:paraId="3664E69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 了解国内外校园安全典型案例与政策法规，构建安全知识结构框架；</w:t>
            </w:r>
          </w:p>
          <w:p w14:paraId="13B5365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 掌握识别校园及社会环境中安全风险的方法，能制定基础安全防护策略；</w:t>
            </w:r>
          </w:p>
          <w:p w14:paraId="0240007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 通过案例分析与情景模拟，形成应对突发安全事件的初步能力，具备冷静应对、有效自救与互助的意识。</w:t>
            </w:r>
          </w:p>
        </w:tc>
        <w:tc>
          <w:tcPr>
            <w:tcW w:w="1292" w:type="dxa"/>
            <w:vAlign w:val="center"/>
          </w:tcPr>
          <w:p w14:paraId="72C4295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课堂讲授</w:t>
            </w:r>
          </w:p>
          <w:p w14:paraId="1B9F768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案例分析</w:t>
            </w:r>
          </w:p>
          <w:p w14:paraId="7AB1DAB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情景模拟</w:t>
            </w:r>
          </w:p>
        </w:tc>
        <w:tc>
          <w:tcPr>
            <w:tcW w:w="438" w:type="dxa"/>
            <w:vAlign w:val="center"/>
          </w:tcPr>
          <w:p w14:paraId="4D99D7D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3304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16475FE5">
            <w:pPr>
              <w:spacing w:line="264" w:lineRule="auto"/>
              <w:jc w:val="center"/>
              <w:rPr>
                <w:rFonts w:ascii="宋体" w:hAnsi="宋体" w:eastAsia="宋体" w:cs="Times New Roman"/>
                <w:color w:val="000000"/>
                <w:szCs w:val="21"/>
              </w:rPr>
            </w:pPr>
          </w:p>
        </w:tc>
        <w:tc>
          <w:tcPr>
            <w:tcW w:w="8297" w:type="dxa"/>
            <w:gridSpan w:val="5"/>
            <w:vAlign w:val="center"/>
          </w:tcPr>
          <w:p w14:paraId="4280BBC2">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使学生深刻理解国家安全与社会稳定的内在联系，树立 “生命至上、安全第一” 的价值理念；通过典型案例分析，强化社会主义核心价值观，增强法治意识与社会责任感，自觉维护公共安全秩序，立志成为校园安全与社会和谐的守护者。</w:t>
            </w:r>
          </w:p>
        </w:tc>
      </w:tr>
      <w:tr w14:paraId="6CE0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2BA2D174">
            <w:pPr>
              <w:spacing w:line="360" w:lineRule="auto"/>
              <w:rPr>
                <w:rFonts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实验室</w:t>
            </w:r>
            <w:r>
              <w:rPr>
                <w:rFonts w:hint="eastAsia" w:ascii="宋体" w:hAnsi="宋体" w:eastAsia="宋体" w:cs="宋体"/>
                <w:bCs/>
                <w:sz w:val="21"/>
                <w:szCs w:val="21"/>
                <w:lang w:val="en-US" w:eastAsia="zh-CN"/>
              </w:rPr>
              <w:t>消防</w:t>
            </w:r>
            <w:r>
              <w:rPr>
                <w:rFonts w:hint="eastAsia" w:ascii="宋体" w:hAnsi="宋体" w:eastAsia="宋体" w:cs="宋体"/>
                <w:bCs/>
                <w:sz w:val="21"/>
                <w:szCs w:val="21"/>
              </w:rPr>
              <w:t>安全教育</w:t>
            </w:r>
            <w:r>
              <w:rPr>
                <w:rFonts w:hint="eastAsia" w:ascii="宋体" w:hAnsi="宋体" w:eastAsia="宋体" w:cs="宋体"/>
                <w:bCs/>
                <w:sz w:val="21"/>
                <w:szCs w:val="21"/>
                <w:lang w:val="en-US" w:eastAsia="zh-CN"/>
              </w:rPr>
              <w:t>及</w:t>
            </w:r>
            <w:r>
              <w:rPr>
                <w:rFonts w:hint="eastAsia" w:ascii="宋体" w:hAnsi="宋体" w:cs="宋体"/>
                <w:sz w:val="21"/>
                <w:szCs w:val="21"/>
              </w:rPr>
              <w:t>实验室用电安全</w:t>
            </w:r>
          </w:p>
          <w:p w14:paraId="4497B54A">
            <w:pPr>
              <w:spacing w:line="264" w:lineRule="auto"/>
              <w:jc w:val="center"/>
              <w:rPr>
                <w:rFonts w:ascii="宋体" w:hAnsi="宋体" w:eastAsia="宋体" w:cs="Times New Roman"/>
                <w:color w:val="000000"/>
                <w:szCs w:val="21"/>
              </w:rPr>
            </w:pPr>
          </w:p>
        </w:tc>
        <w:tc>
          <w:tcPr>
            <w:tcW w:w="3167" w:type="dxa"/>
            <w:vAlign w:val="center"/>
          </w:tcPr>
          <w:p w14:paraId="6FB99681">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cs="宋体"/>
                <w:sz w:val="21"/>
                <w:szCs w:val="21"/>
              </w:rPr>
              <w:t>实验室消防常识</w:t>
            </w:r>
            <w:r>
              <w:rPr>
                <w:rFonts w:hint="eastAsia" w:ascii="宋体" w:hAnsi="宋体" w:cs="宋体"/>
                <w:sz w:val="21"/>
                <w:szCs w:val="21"/>
                <w:lang w:eastAsia="zh-CN"/>
              </w:rPr>
              <w:t>。</w:t>
            </w:r>
          </w:p>
          <w:p w14:paraId="4634C3F8">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rPr>
              <w:t>2</w:t>
            </w:r>
            <w:r>
              <w:rPr>
                <w:rFonts w:hint="eastAsia" w:ascii="宋体" w:hAnsi="宋体" w:cs="宋体"/>
                <w:sz w:val="21"/>
                <w:szCs w:val="21"/>
                <w:lang w:eastAsia="zh-CN"/>
              </w:rPr>
              <w:t>）</w:t>
            </w:r>
            <w:r>
              <w:rPr>
                <w:rFonts w:hint="eastAsia" w:ascii="宋体" w:hAnsi="宋体" w:cs="宋体"/>
                <w:sz w:val="21"/>
                <w:szCs w:val="21"/>
              </w:rPr>
              <w:t>实验室消防安全管理</w:t>
            </w:r>
            <w:r>
              <w:rPr>
                <w:rFonts w:hint="eastAsia" w:ascii="宋体" w:hAnsi="宋体" w:cs="宋体"/>
                <w:sz w:val="21"/>
                <w:szCs w:val="21"/>
                <w:lang w:eastAsia="zh-CN"/>
              </w:rPr>
              <w:t>。</w:t>
            </w:r>
          </w:p>
          <w:p w14:paraId="3BEA2248">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rPr>
              <w:t>3</w:t>
            </w:r>
            <w:r>
              <w:rPr>
                <w:rFonts w:hint="eastAsia" w:ascii="宋体" w:hAnsi="宋体" w:cs="宋体"/>
                <w:sz w:val="21"/>
                <w:szCs w:val="21"/>
                <w:lang w:eastAsia="zh-CN"/>
              </w:rPr>
              <w:t>）</w:t>
            </w:r>
            <w:r>
              <w:rPr>
                <w:rFonts w:hint="eastAsia" w:ascii="宋体" w:hAnsi="宋体" w:cs="宋体"/>
                <w:sz w:val="21"/>
                <w:szCs w:val="21"/>
              </w:rPr>
              <w:t>实验室消防设施</w:t>
            </w:r>
            <w:r>
              <w:rPr>
                <w:rFonts w:hint="eastAsia" w:ascii="宋体" w:hAnsi="宋体" w:cs="宋体"/>
                <w:sz w:val="21"/>
                <w:szCs w:val="21"/>
                <w:lang w:eastAsia="zh-CN"/>
              </w:rPr>
              <w:t>。</w:t>
            </w:r>
          </w:p>
          <w:p w14:paraId="0230748C">
            <w:pPr>
              <w:pStyle w:val="7"/>
              <w:ind w:left="0" w:leftChars="0" w:firstLine="0" w:firstLineChars="0"/>
              <w:rPr>
                <w:rFonts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rPr>
              <w:t>4</w:t>
            </w:r>
            <w:r>
              <w:rPr>
                <w:rFonts w:hint="eastAsia" w:ascii="宋体" w:hAnsi="宋体" w:cs="宋体"/>
                <w:sz w:val="21"/>
                <w:szCs w:val="21"/>
                <w:lang w:eastAsia="zh-CN"/>
              </w:rPr>
              <w:t>）</w:t>
            </w:r>
            <w:r>
              <w:rPr>
                <w:rFonts w:hint="eastAsia" w:ascii="宋体" w:hAnsi="宋体" w:cs="宋体"/>
                <w:sz w:val="21"/>
                <w:szCs w:val="21"/>
              </w:rPr>
              <w:t>火灾应急措施。</w:t>
            </w:r>
          </w:p>
          <w:p w14:paraId="1C683B25">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ascii="宋体" w:hAnsi="宋体" w:cs="宋体"/>
                <w:sz w:val="21"/>
                <w:szCs w:val="21"/>
              </w:rPr>
              <w:t>实验室安全用电常识</w:t>
            </w:r>
            <w:r>
              <w:rPr>
                <w:rFonts w:hint="eastAsia" w:ascii="宋体" w:hAnsi="宋体" w:cs="宋体"/>
                <w:sz w:val="21"/>
                <w:szCs w:val="21"/>
                <w:lang w:eastAsia="zh-CN"/>
              </w:rPr>
              <w:t>。</w:t>
            </w:r>
          </w:p>
          <w:p w14:paraId="0AD2A88F">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6</w:t>
            </w:r>
            <w:r>
              <w:rPr>
                <w:rFonts w:hint="eastAsia" w:ascii="宋体" w:hAnsi="宋体" w:cs="宋体"/>
                <w:sz w:val="21"/>
                <w:szCs w:val="21"/>
                <w:lang w:eastAsia="zh-CN"/>
              </w:rPr>
              <w:t>）</w:t>
            </w:r>
            <w:r>
              <w:rPr>
                <w:rFonts w:hint="eastAsia" w:ascii="宋体" w:hAnsi="宋体" w:cs="宋体"/>
                <w:sz w:val="21"/>
                <w:szCs w:val="21"/>
              </w:rPr>
              <w:t>实验室安全用电管理</w:t>
            </w:r>
            <w:r>
              <w:rPr>
                <w:rFonts w:hint="eastAsia" w:ascii="宋体" w:hAnsi="宋体" w:cs="宋体"/>
                <w:sz w:val="21"/>
                <w:szCs w:val="21"/>
                <w:lang w:eastAsia="zh-CN"/>
              </w:rPr>
              <w:t>。</w:t>
            </w:r>
          </w:p>
          <w:p w14:paraId="2F3E782A">
            <w:pPr>
              <w:pStyle w:val="7"/>
              <w:ind w:left="0" w:leftChars="0" w:firstLine="0" w:firstLineChars="0"/>
              <w:rPr>
                <w:rFonts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7</w:t>
            </w:r>
            <w:r>
              <w:rPr>
                <w:rFonts w:hint="eastAsia" w:ascii="宋体" w:hAnsi="宋体" w:cs="宋体"/>
                <w:sz w:val="21"/>
                <w:szCs w:val="21"/>
                <w:lang w:eastAsia="zh-CN"/>
              </w:rPr>
              <w:t>）</w:t>
            </w:r>
            <w:r>
              <w:rPr>
                <w:rFonts w:hint="eastAsia" w:ascii="宋体" w:hAnsi="宋体" w:cs="宋体"/>
                <w:sz w:val="21"/>
                <w:szCs w:val="21"/>
              </w:rPr>
              <w:t>实验室用电常见安全事故应急措施。</w:t>
            </w:r>
          </w:p>
          <w:p w14:paraId="70C4E985">
            <w:pPr>
              <w:spacing w:line="269" w:lineRule="auto"/>
              <w:jc w:val="left"/>
              <w:rPr>
                <w:rFonts w:ascii="宋体" w:hAnsi="宋体" w:eastAsia="宋体" w:cs="Times New Roman"/>
                <w:color w:val="000000"/>
                <w:szCs w:val="21"/>
              </w:rPr>
            </w:pPr>
          </w:p>
        </w:tc>
        <w:tc>
          <w:tcPr>
            <w:tcW w:w="927" w:type="dxa"/>
            <w:vAlign w:val="center"/>
          </w:tcPr>
          <w:p w14:paraId="05DD2CA4">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2、3</w:t>
            </w:r>
          </w:p>
        </w:tc>
        <w:tc>
          <w:tcPr>
            <w:tcW w:w="2473" w:type="dxa"/>
            <w:vAlign w:val="center"/>
          </w:tcPr>
          <w:p w14:paraId="08D6F86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 掌握实验室消防与用电安全的核心知识，包括消防设施使用、安全用电规范等；</w:t>
            </w:r>
          </w:p>
          <w:p w14:paraId="6D94893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 理解实验室消防安全与用电安全管理的重要性，熟悉相关应急措施与操作流程；</w:t>
            </w:r>
          </w:p>
          <w:p w14:paraId="1C06079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 形成实验室安全风险防范意识，能在实践中自觉遵守安全规范，具备初步的事故应急处置能力。</w:t>
            </w:r>
          </w:p>
        </w:tc>
        <w:tc>
          <w:tcPr>
            <w:tcW w:w="1292" w:type="dxa"/>
            <w:vAlign w:val="center"/>
          </w:tcPr>
          <w:p w14:paraId="2EE6F3F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理论教学</w:t>
            </w:r>
          </w:p>
          <w:p w14:paraId="13042DE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实操演练</w:t>
            </w:r>
          </w:p>
          <w:p w14:paraId="0CD50F6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安全讲座</w:t>
            </w:r>
          </w:p>
        </w:tc>
        <w:tc>
          <w:tcPr>
            <w:tcW w:w="438" w:type="dxa"/>
            <w:vAlign w:val="center"/>
          </w:tcPr>
          <w:p w14:paraId="79762561">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3818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209074A3">
            <w:pPr>
              <w:spacing w:line="264" w:lineRule="auto"/>
              <w:jc w:val="center"/>
              <w:rPr>
                <w:rFonts w:ascii="宋体" w:hAnsi="宋体" w:eastAsia="宋体" w:cs="Times New Roman"/>
                <w:color w:val="000000"/>
                <w:szCs w:val="21"/>
              </w:rPr>
            </w:pPr>
          </w:p>
        </w:tc>
        <w:tc>
          <w:tcPr>
            <w:tcW w:w="8297" w:type="dxa"/>
            <w:gridSpan w:val="5"/>
            <w:vAlign w:val="center"/>
          </w:tcPr>
          <w:p w14:paraId="7D086703">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引导学生树立 “责任为先、规范操作” 的实验室安全理念，理解安全生产与科研伦理的辩证关系；通过实操演练强化规则意识与团队协作精神，自觉将安全规范内化为科研实践的基本准则，培养严谨细致、精益求精的科学态度。</w:t>
            </w:r>
          </w:p>
        </w:tc>
      </w:tr>
      <w:tr w14:paraId="1D9C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246800F3">
            <w:pPr>
              <w:pStyle w:val="7"/>
              <w:ind w:left="0" w:leftChars="0" w:firstLine="0" w:firstLineChars="0"/>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eastAsia" w:ascii="宋体" w:hAnsi="宋体" w:cs="宋体"/>
                <w:sz w:val="21"/>
                <w:szCs w:val="21"/>
              </w:rPr>
              <w:t>实验室危险化学品使用安全</w:t>
            </w:r>
            <w:r>
              <w:rPr>
                <w:rFonts w:hint="eastAsia" w:ascii="宋体" w:hAnsi="宋体" w:cs="宋体"/>
                <w:sz w:val="21"/>
                <w:szCs w:val="21"/>
                <w:lang w:val="en-US" w:eastAsia="zh-CN"/>
              </w:rPr>
              <w:t>及</w:t>
            </w:r>
            <w:r>
              <w:rPr>
                <w:rFonts w:hint="eastAsia" w:ascii="宋体" w:hAnsi="宋体" w:cs="宋体"/>
                <w:sz w:val="21"/>
                <w:szCs w:val="21"/>
              </w:rPr>
              <w:t>实验室电离辐射安全</w:t>
            </w:r>
          </w:p>
        </w:tc>
        <w:tc>
          <w:tcPr>
            <w:tcW w:w="3167" w:type="dxa"/>
            <w:vAlign w:val="center"/>
          </w:tcPr>
          <w:p w14:paraId="5B4F80FD">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cs="宋体"/>
                <w:sz w:val="21"/>
                <w:szCs w:val="21"/>
              </w:rPr>
              <w:t>危险化学品常识</w:t>
            </w:r>
            <w:r>
              <w:rPr>
                <w:rFonts w:hint="eastAsia" w:ascii="宋体" w:hAnsi="宋体" w:cs="宋体"/>
                <w:sz w:val="21"/>
                <w:szCs w:val="21"/>
                <w:lang w:eastAsia="zh-CN"/>
              </w:rPr>
              <w:t>。</w:t>
            </w:r>
          </w:p>
          <w:p w14:paraId="0109BBFB">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cs="宋体"/>
                <w:sz w:val="21"/>
                <w:szCs w:val="21"/>
              </w:rPr>
              <w:t>危险化学品安全管理</w:t>
            </w:r>
            <w:r>
              <w:rPr>
                <w:rFonts w:hint="eastAsia" w:ascii="宋体" w:hAnsi="宋体" w:cs="宋体"/>
                <w:sz w:val="21"/>
                <w:szCs w:val="21"/>
                <w:lang w:eastAsia="zh-CN"/>
              </w:rPr>
              <w:t>。</w:t>
            </w:r>
          </w:p>
          <w:p w14:paraId="0D949565">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cs="宋体"/>
                <w:sz w:val="21"/>
                <w:szCs w:val="21"/>
              </w:rPr>
              <w:t>危险化学品防护措施</w:t>
            </w:r>
            <w:r>
              <w:rPr>
                <w:rFonts w:hint="eastAsia" w:ascii="宋体" w:hAnsi="宋体" w:cs="宋体"/>
                <w:sz w:val="21"/>
                <w:szCs w:val="21"/>
                <w:lang w:eastAsia="zh-CN"/>
              </w:rPr>
              <w:t>。</w:t>
            </w:r>
          </w:p>
          <w:p w14:paraId="38F447E7">
            <w:pPr>
              <w:pStyle w:val="7"/>
              <w:ind w:left="0" w:leftChars="0" w:firstLine="0" w:firstLineChars="0"/>
              <w:rPr>
                <w:rFonts w:hint="eastAsia"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cs="宋体"/>
                <w:sz w:val="21"/>
                <w:szCs w:val="21"/>
              </w:rPr>
              <w:t>危险化学品事故应急措施。</w:t>
            </w:r>
          </w:p>
          <w:p w14:paraId="3D1859C4">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ascii="宋体" w:hAnsi="宋体" w:cs="宋体"/>
                <w:sz w:val="21"/>
                <w:szCs w:val="21"/>
              </w:rPr>
              <w:t>电离辐射安全常识</w:t>
            </w:r>
            <w:r>
              <w:rPr>
                <w:rFonts w:hint="eastAsia" w:ascii="宋体" w:hAnsi="宋体" w:cs="宋体"/>
                <w:sz w:val="21"/>
                <w:szCs w:val="21"/>
                <w:lang w:eastAsia="zh-CN"/>
              </w:rPr>
              <w:t>。</w:t>
            </w:r>
          </w:p>
          <w:p w14:paraId="4267095B">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6</w:t>
            </w:r>
            <w:r>
              <w:rPr>
                <w:rFonts w:hint="eastAsia" w:ascii="宋体" w:hAnsi="宋体" w:cs="宋体"/>
                <w:sz w:val="21"/>
                <w:szCs w:val="21"/>
                <w:lang w:eastAsia="zh-CN"/>
              </w:rPr>
              <w:t>）</w:t>
            </w:r>
            <w:r>
              <w:rPr>
                <w:rFonts w:hint="eastAsia" w:ascii="宋体" w:hAnsi="宋体" w:cs="宋体"/>
                <w:sz w:val="21"/>
                <w:szCs w:val="21"/>
              </w:rPr>
              <w:t>实验室电离辐射防护措施</w:t>
            </w:r>
            <w:r>
              <w:rPr>
                <w:rFonts w:hint="eastAsia" w:ascii="宋体" w:hAnsi="宋体" w:cs="宋体"/>
                <w:sz w:val="21"/>
                <w:szCs w:val="21"/>
                <w:lang w:eastAsia="zh-CN"/>
              </w:rPr>
              <w:t>。</w:t>
            </w:r>
          </w:p>
          <w:p w14:paraId="04375ACD">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7</w:t>
            </w:r>
            <w:r>
              <w:rPr>
                <w:rFonts w:hint="eastAsia" w:ascii="宋体" w:hAnsi="宋体" w:cs="宋体"/>
                <w:sz w:val="21"/>
                <w:szCs w:val="21"/>
                <w:lang w:eastAsia="zh-CN"/>
              </w:rPr>
              <w:t>）</w:t>
            </w:r>
            <w:r>
              <w:rPr>
                <w:rFonts w:hint="eastAsia" w:ascii="宋体" w:hAnsi="宋体" w:cs="宋体"/>
                <w:sz w:val="21"/>
                <w:szCs w:val="21"/>
              </w:rPr>
              <w:t>电离辐射安全与防护管理</w:t>
            </w:r>
            <w:r>
              <w:rPr>
                <w:rFonts w:hint="eastAsia" w:ascii="宋体" w:hAnsi="宋体" w:cs="宋体"/>
                <w:sz w:val="21"/>
                <w:szCs w:val="21"/>
                <w:lang w:eastAsia="zh-CN"/>
              </w:rPr>
              <w:t>。</w:t>
            </w:r>
          </w:p>
          <w:p w14:paraId="7A24907D">
            <w:pPr>
              <w:spacing w:line="269" w:lineRule="auto"/>
              <w:jc w:val="left"/>
              <w:rPr>
                <w:rFonts w:ascii="宋体" w:hAnsi="宋体" w:eastAsia="宋体" w:cs="Times New Roman"/>
                <w:color w:val="000000"/>
                <w:szCs w:val="21"/>
              </w:rPr>
            </w:pPr>
            <w:r>
              <w:rPr>
                <w:rFonts w:hint="eastAsia" w:ascii="宋体" w:hAnsi="宋体" w:cs="宋体"/>
                <w:sz w:val="21"/>
                <w:szCs w:val="21"/>
                <w:lang w:eastAsia="zh-CN"/>
              </w:rPr>
              <w:t>（</w:t>
            </w:r>
            <w:r>
              <w:rPr>
                <w:rFonts w:hint="eastAsia" w:ascii="宋体" w:hAnsi="宋体" w:cs="宋体"/>
                <w:sz w:val="21"/>
                <w:szCs w:val="21"/>
                <w:lang w:val="en-US" w:eastAsia="zh-CN"/>
              </w:rPr>
              <w:t>8</w:t>
            </w:r>
            <w:r>
              <w:rPr>
                <w:rFonts w:hint="eastAsia" w:ascii="宋体" w:hAnsi="宋体" w:cs="宋体"/>
                <w:sz w:val="21"/>
                <w:szCs w:val="21"/>
                <w:lang w:eastAsia="zh-CN"/>
              </w:rPr>
              <w:t>）</w:t>
            </w:r>
            <w:r>
              <w:rPr>
                <w:rFonts w:hint="eastAsia" w:ascii="宋体" w:hAnsi="宋体" w:cs="宋体"/>
                <w:sz w:val="21"/>
                <w:szCs w:val="21"/>
              </w:rPr>
              <w:t>电离辐射事故应急措施。</w:t>
            </w:r>
          </w:p>
        </w:tc>
        <w:tc>
          <w:tcPr>
            <w:tcW w:w="927" w:type="dxa"/>
            <w:vAlign w:val="center"/>
          </w:tcPr>
          <w:p w14:paraId="44FC99EC">
            <w:pPr>
              <w:spacing w:line="269"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2、3</w:t>
            </w:r>
          </w:p>
        </w:tc>
        <w:tc>
          <w:tcPr>
            <w:tcW w:w="2473" w:type="dxa"/>
            <w:vAlign w:val="center"/>
          </w:tcPr>
          <w:p w14:paraId="6399966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 了解危险化学品与电离辐射的基本特性及安全风险，掌握其安全管理与防护的核心知识；</w:t>
            </w:r>
          </w:p>
          <w:p w14:paraId="7E447A7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 熟悉危险化学品与电离辐射事故的应急处理流程与操作技能；</w:t>
            </w:r>
          </w:p>
          <w:p w14:paraId="7C7C2BA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 强化实验室安全责任意识，形成规范使用危险物品与防范辐射危害的行为习惯，具备风险预判与应急处理的能力。</w:t>
            </w:r>
          </w:p>
        </w:tc>
        <w:tc>
          <w:tcPr>
            <w:tcW w:w="1292" w:type="dxa"/>
            <w:vAlign w:val="center"/>
          </w:tcPr>
          <w:p w14:paraId="4D8D4E0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专题讲解</w:t>
            </w:r>
          </w:p>
          <w:p w14:paraId="094703F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模拟演练</w:t>
            </w:r>
          </w:p>
          <w:p w14:paraId="69A6F97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安全实训</w:t>
            </w:r>
          </w:p>
        </w:tc>
        <w:tc>
          <w:tcPr>
            <w:tcW w:w="438" w:type="dxa"/>
            <w:vAlign w:val="center"/>
          </w:tcPr>
          <w:p w14:paraId="52AF75F7">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3062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625E38C3">
            <w:pPr>
              <w:spacing w:line="264" w:lineRule="auto"/>
              <w:jc w:val="center"/>
              <w:rPr>
                <w:rFonts w:ascii="宋体" w:hAnsi="宋体" w:eastAsia="宋体" w:cs="Times New Roman"/>
                <w:color w:val="000000"/>
                <w:szCs w:val="21"/>
              </w:rPr>
            </w:pPr>
          </w:p>
        </w:tc>
        <w:tc>
          <w:tcPr>
            <w:tcW w:w="8297" w:type="dxa"/>
            <w:gridSpan w:val="5"/>
            <w:vAlign w:val="center"/>
          </w:tcPr>
          <w:p w14:paraId="7E7DA895">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使学生深刻认识危险化学品与电离辐射安全管理的法治内涵，树立 “科学防护、安全可控” 的风险治理理念；通过案例警示与安全实训，强化敬畏生命、遵守规范的职业素养，培养对自身、他人及社会负责的安全责任意识。</w:t>
            </w:r>
          </w:p>
        </w:tc>
      </w:tr>
      <w:tr w14:paraId="656F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09FA7CD9">
            <w:pPr>
              <w:pStyle w:val="7"/>
              <w:ind w:left="0" w:leftChars="0" w:firstLine="0" w:firstLineChars="0"/>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eastAsia" w:ascii="宋体" w:hAnsi="宋体" w:cs="Times New Roman"/>
                <w:color w:val="000000"/>
                <w:szCs w:val="21"/>
                <w:lang w:val="en-US" w:eastAsia="zh-CN"/>
              </w:rPr>
              <w:t>.</w:t>
            </w:r>
            <w:r>
              <w:rPr>
                <w:rFonts w:hint="eastAsia" w:ascii="宋体" w:hAnsi="宋体" w:cs="宋体"/>
                <w:sz w:val="21"/>
                <w:szCs w:val="21"/>
              </w:rPr>
              <w:t>实验室特殊仪器设备使用</w:t>
            </w:r>
            <w:r>
              <w:rPr>
                <w:rFonts w:hint="eastAsia" w:ascii="宋体" w:hAnsi="宋体" w:cs="宋体"/>
                <w:sz w:val="21"/>
                <w:szCs w:val="21"/>
                <w:lang w:val="en-US" w:eastAsia="zh-CN"/>
              </w:rPr>
              <w:t>安全及</w:t>
            </w:r>
            <w:r>
              <w:rPr>
                <w:rFonts w:hint="eastAsia" w:ascii="宋体" w:hAnsi="宋体" w:cs="宋体"/>
                <w:sz w:val="21"/>
                <w:szCs w:val="21"/>
              </w:rPr>
              <w:t>实验室事故人员急救</w:t>
            </w:r>
          </w:p>
        </w:tc>
        <w:tc>
          <w:tcPr>
            <w:tcW w:w="3167" w:type="dxa"/>
            <w:vAlign w:val="center"/>
          </w:tcPr>
          <w:p w14:paraId="0CA168DC">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cs="宋体"/>
                <w:sz w:val="21"/>
                <w:szCs w:val="21"/>
              </w:rPr>
              <w:t>高温、高压类仪器设备使用安全</w:t>
            </w:r>
            <w:r>
              <w:rPr>
                <w:rFonts w:hint="eastAsia" w:ascii="宋体" w:hAnsi="宋体" w:cs="宋体"/>
                <w:sz w:val="21"/>
                <w:szCs w:val="21"/>
                <w:lang w:eastAsia="zh-CN"/>
              </w:rPr>
              <w:t>。</w:t>
            </w:r>
          </w:p>
          <w:p w14:paraId="4940C932">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cs="宋体"/>
                <w:sz w:val="21"/>
                <w:szCs w:val="21"/>
              </w:rPr>
              <w:t>高速运转类设备使用安全</w:t>
            </w:r>
            <w:r>
              <w:rPr>
                <w:rFonts w:hint="eastAsia" w:ascii="宋体" w:hAnsi="宋体" w:cs="宋体"/>
                <w:sz w:val="21"/>
                <w:szCs w:val="21"/>
                <w:lang w:eastAsia="zh-CN"/>
              </w:rPr>
              <w:t>。</w:t>
            </w:r>
          </w:p>
          <w:p w14:paraId="04AAC733">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cs="宋体"/>
                <w:sz w:val="21"/>
                <w:szCs w:val="21"/>
              </w:rPr>
              <w:t>强场类仪器设备使用安全</w:t>
            </w:r>
            <w:r>
              <w:rPr>
                <w:rFonts w:hint="eastAsia" w:ascii="宋体" w:hAnsi="宋体" w:cs="宋体"/>
                <w:sz w:val="21"/>
                <w:szCs w:val="21"/>
                <w:lang w:eastAsia="zh-CN"/>
              </w:rPr>
              <w:t>。</w:t>
            </w:r>
          </w:p>
          <w:p w14:paraId="58C95D4A">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cs="宋体"/>
                <w:sz w:val="21"/>
                <w:szCs w:val="21"/>
              </w:rPr>
              <w:t>激光使用安全</w:t>
            </w:r>
            <w:r>
              <w:rPr>
                <w:rFonts w:hint="eastAsia" w:ascii="宋体" w:hAnsi="宋体" w:cs="宋体"/>
                <w:sz w:val="21"/>
                <w:szCs w:val="21"/>
                <w:lang w:eastAsia="zh-CN"/>
              </w:rPr>
              <w:t>。</w:t>
            </w:r>
          </w:p>
          <w:p w14:paraId="01208AC6">
            <w:pPr>
              <w:pStyle w:val="7"/>
              <w:ind w:left="0" w:leftChars="0" w:firstLine="0" w:firstLineChars="0"/>
              <w:rPr>
                <w:rFonts w:hint="eastAsia"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ascii="宋体" w:hAnsi="宋体" w:cs="宋体"/>
                <w:sz w:val="21"/>
                <w:szCs w:val="21"/>
              </w:rPr>
              <w:t>低温类实验安全。</w:t>
            </w:r>
          </w:p>
          <w:p w14:paraId="4450C616">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6</w:t>
            </w:r>
            <w:r>
              <w:rPr>
                <w:rFonts w:hint="eastAsia" w:ascii="宋体" w:hAnsi="宋体" w:cs="宋体"/>
                <w:sz w:val="21"/>
                <w:szCs w:val="21"/>
                <w:lang w:eastAsia="zh-CN"/>
              </w:rPr>
              <w:t>）</w:t>
            </w:r>
            <w:r>
              <w:rPr>
                <w:rFonts w:hint="eastAsia" w:ascii="宋体" w:hAnsi="宋体" w:cs="宋体"/>
                <w:sz w:val="21"/>
                <w:szCs w:val="21"/>
              </w:rPr>
              <w:t>实验室急救箱简介</w:t>
            </w:r>
            <w:r>
              <w:rPr>
                <w:rFonts w:hint="eastAsia" w:ascii="宋体" w:hAnsi="宋体" w:cs="宋体"/>
                <w:sz w:val="21"/>
                <w:szCs w:val="21"/>
                <w:lang w:eastAsia="zh-CN"/>
              </w:rPr>
              <w:t>。</w:t>
            </w:r>
          </w:p>
          <w:p w14:paraId="69D36028">
            <w:pPr>
              <w:pStyle w:val="7"/>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7</w:t>
            </w:r>
            <w:r>
              <w:rPr>
                <w:rFonts w:hint="eastAsia" w:ascii="宋体" w:hAnsi="宋体" w:cs="宋体"/>
                <w:sz w:val="21"/>
                <w:szCs w:val="21"/>
                <w:lang w:eastAsia="zh-CN"/>
              </w:rPr>
              <w:t>）</w:t>
            </w:r>
            <w:r>
              <w:rPr>
                <w:rFonts w:hint="eastAsia" w:ascii="宋体" w:hAnsi="宋体" w:cs="宋体"/>
                <w:sz w:val="21"/>
                <w:szCs w:val="21"/>
              </w:rPr>
              <w:t>常见急救措施</w:t>
            </w:r>
            <w:r>
              <w:rPr>
                <w:rFonts w:hint="eastAsia" w:ascii="宋体" w:hAnsi="宋体" w:cs="宋体"/>
                <w:sz w:val="21"/>
                <w:szCs w:val="21"/>
                <w:lang w:eastAsia="zh-CN"/>
              </w:rPr>
              <w:t>。</w:t>
            </w:r>
          </w:p>
          <w:p w14:paraId="09688991">
            <w:pPr>
              <w:pStyle w:val="7"/>
              <w:ind w:left="0" w:leftChars="0" w:firstLine="0" w:firstLineChars="0"/>
              <w:rPr>
                <w:rFonts w:ascii="宋体" w:hAnsi="宋体" w:eastAsia="宋体" w:cs="Times New Roman"/>
                <w:color w:val="000000"/>
                <w:szCs w:val="21"/>
              </w:rPr>
            </w:pPr>
            <w:r>
              <w:rPr>
                <w:rFonts w:hint="eastAsia" w:ascii="宋体" w:hAnsi="宋体" w:cs="宋体"/>
                <w:sz w:val="21"/>
                <w:szCs w:val="21"/>
                <w:lang w:eastAsia="zh-CN"/>
              </w:rPr>
              <w:t>（</w:t>
            </w:r>
            <w:r>
              <w:rPr>
                <w:rFonts w:hint="eastAsia" w:ascii="宋体" w:hAnsi="宋体" w:cs="宋体"/>
                <w:sz w:val="21"/>
                <w:szCs w:val="21"/>
                <w:lang w:val="en-US" w:eastAsia="zh-CN"/>
              </w:rPr>
              <w:t>8</w:t>
            </w:r>
            <w:r>
              <w:rPr>
                <w:rFonts w:hint="eastAsia" w:ascii="宋体" w:hAnsi="宋体" w:cs="宋体"/>
                <w:sz w:val="21"/>
                <w:szCs w:val="21"/>
                <w:lang w:eastAsia="zh-CN"/>
              </w:rPr>
              <w:t>）</w:t>
            </w:r>
            <w:r>
              <w:rPr>
                <w:rFonts w:hint="eastAsia" w:ascii="宋体" w:hAnsi="宋体" w:cs="宋体"/>
                <w:sz w:val="21"/>
                <w:szCs w:val="21"/>
              </w:rPr>
              <w:t>其他实验室事故急救措施。</w:t>
            </w:r>
          </w:p>
        </w:tc>
        <w:tc>
          <w:tcPr>
            <w:tcW w:w="927" w:type="dxa"/>
            <w:vAlign w:val="center"/>
          </w:tcPr>
          <w:p w14:paraId="5D8F61A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2、3</w:t>
            </w:r>
          </w:p>
        </w:tc>
        <w:tc>
          <w:tcPr>
            <w:tcW w:w="2473" w:type="dxa"/>
            <w:vAlign w:val="center"/>
          </w:tcPr>
          <w:p w14:paraId="01EA5F1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 掌握高温、高压、激光等特殊仪器设备的安全使用规范与操作要点；</w:t>
            </w:r>
          </w:p>
          <w:p w14:paraId="7A1BEDB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 熟悉实验室常见事故的急救措施，能正确使用急救箱等设备进行初步应急处理；</w:t>
            </w:r>
          </w:p>
          <w:p w14:paraId="5987EA8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 提升实验室安全操作技能与应急处置能力，培养严谨的安全态度与互助精神，形成科学应对设备安全事故的行为习惯。</w:t>
            </w:r>
          </w:p>
        </w:tc>
        <w:tc>
          <w:tcPr>
            <w:tcW w:w="1292" w:type="dxa"/>
            <w:vAlign w:val="center"/>
          </w:tcPr>
          <w:p w14:paraId="041DACD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设备演示</w:t>
            </w:r>
          </w:p>
          <w:p w14:paraId="6F1ADC5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急救演练</w:t>
            </w:r>
          </w:p>
          <w:p w14:paraId="0D8EB15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分组实操</w:t>
            </w:r>
          </w:p>
        </w:tc>
        <w:tc>
          <w:tcPr>
            <w:tcW w:w="438" w:type="dxa"/>
            <w:vAlign w:val="center"/>
          </w:tcPr>
          <w:p w14:paraId="6172C2B4">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3B76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7A7E8F72">
            <w:pPr>
              <w:spacing w:line="276" w:lineRule="auto"/>
              <w:jc w:val="center"/>
              <w:rPr>
                <w:rFonts w:ascii="宋体" w:hAnsi="宋体" w:eastAsia="宋体" w:cs="Times New Roman"/>
                <w:color w:val="000000"/>
                <w:szCs w:val="21"/>
              </w:rPr>
            </w:pPr>
          </w:p>
        </w:tc>
        <w:tc>
          <w:tcPr>
            <w:tcW w:w="8297" w:type="dxa"/>
            <w:gridSpan w:val="5"/>
            <w:vAlign w:val="center"/>
          </w:tcPr>
          <w:p w14:paraId="0F7647D0">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引导学生理解特殊仪器设备安全操作背后的人文关怀与生命伦理，树立 “精准操作、安全互助” 的科研安全观；通过急救技能训练，强化关爱他人、守护生命的责任意识，培养在危急时刻挺身而出的担当精神。</w:t>
            </w:r>
          </w:p>
        </w:tc>
      </w:tr>
    </w:tbl>
    <w:p w14:paraId="4AC60631">
      <w:pPr>
        <w:bidi w:val="0"/>
      </w:pPr>
    </w:p>
    <w:p w14:paraId="5DC7F85E">
      <w:pPr>
        <w:numPr>
          <w:ilvl w:val="0"/>
          <w:numId w:val="26"/>
        </w:num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目标评价与成绩评定</w:t>
      </w:r>
    </w:p>
    <w:p w14:paraId="7493A35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11F36C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730F0FD">
      <w:pPr>
        <w:numPr>
          <w:ilvl w:val="0"/>
          <w:numId w:val="0"/>
        </w:numPr>
        <w:spacing w:line="360" w:lineRule="auto"/>
        <w:ind w:firstLine="2530" w:firstLineChars="1200"/>
        <w:jc w:val="both"/>
        <w:rPr>
          <w:rFonts w:hint="eastAsia" w:ascii="宋体" w:hAnsi="宋体" w:eastAsia="宋体" w:cs="Times New Roman"/>
          <w:b/>
          <w:color w:val="000000"/>
          <w:sz w:val="24"/>
          <w:szCs w:val="24"/>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9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782"/>
        <w:gridCol w:w="1782"/>
        <w:gridCol w:w="1066"/>
        <w:gridCol w:w="2971"/>
        <w:gridCol w:w="702"/>
      </w:tblGrid>
      <w:tr w14:paraId="0BC9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vMerge w:val="restart"/>
            <w:vAlign w:val="center"/>
          </w:tcPr>
          <w:p w14:paraId="77E812CC">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7264" w:type="dxa"/>
            <w:gridSpan w:val="4"/>
            <w:vAlign w:val="center"/>
          </w:tcPr>
          <w:p w14:paraId="4262CD18">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1102A74A">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001A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vMerge w:val="continue"/>
            <w:vAlign w:val="center"/>
          </w:tcPr>
          <w:p w14:paraId="422B75C3">
            <w:pPr>
              <w:spacing w:line="360" w:lineRule="auto"/>
              <w:jc w:val="center"/>
              <w:rPr>
                <w:rFonts w:ascii="宋体" w:hAnsi="宋体" w:eastAsia="宋体" w:cs="Times New Roman"/>
                <w:szCs w:val="21"/>
              </w:rPr>
            </w:pPr>
          </w:p>
        </w:tc>
        <w:tc>
          <w:tcPr>
            <w:tcW w:w="0" w:type="auto"/>
            <w:vAlign w:val="center"/>
          </w:tcPr>
          <w:p w14:paraId="29C142CB">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5318EB0C">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697" w:type="dxa"/>
            <w:vAlign w:val="center"/>
          </w:tcPr>
          <w:p w14:paraId="1476C382">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自主学习</w:t>
            </w:r>
          </w:p>
        </w:tc>
        <w:tc>
          <w:tcPr>
            <w:tcW w:w="1943" w:type="dxa"/>
            <w:vAlign w:val="center"/>
          </w:tcPr>
          <w:p w14:paraId="04FE2652">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7843DE28">
            <w:pPr>
              <w:spacing w:line="360" w:lineRule="auto"/>
              <w:jc w:val="center"/>
              <w:rPr>
                <w:rFonts w:ascii="宋体" w:hAnsi="宋体" w:eastAsia="宋体" w:cs="Times New Roman"/>
                <w:szCs w:val="21"/>
              </w:rPr>
            </w:pPr>
          </w:p>
        </w:tc>
      </w:tr>
      <w:tr w14:paraId="7DC6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vAlign w:val="center"/>
          </w:tcPr>
          <w:p w14:paraId="4AE300C9">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050C32A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EBA2C0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697" w:type="dxa"/>
            <w:vAlign w:val="center"/>
          </w:tcPr>
          <w:p w14:paraId="69055CC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43" w:type="dxa"/>
            <w:vAlign w:val="center"/>
          </w:tcPr>
          <w:p w14:paraId="5FBA09B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05D8EA5">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310D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vAlign w:val="center"/>
          </w:tcPr>
          <w:p w14:paraId="3BD9A519">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03A580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EDCAC5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697" w:type="dxa"/>
            <w:vAlign w:val="center"/>
          </w:tcPr>
          <w:p w14:paraId="2F1D2EE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43" w:type="dxa"/>
            <w:vAlign w:val="center"/>
          </w:tcPr>
          <w:p w14:paraId="36E3703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B5DB4CC">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1578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vAlign w:val="center"/>
          </w:tcPr>
          <w:p w14:paraId="342764E4">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0CA7F21F">
            <w:pPr>
              <w:spacing w:line="360" w:lineRule="auto"/>
              <w:jc w:val="center"/>
              <w:rPr>
                <w:rFonts w:ascii="宋体" w:hAnsi="宋体" w:eastAsia="宋体" w:cs="Times New Roman"/>
                <w:szCs w:val="21"/>
              </w:rPr>
            </w:pPr>
          </w:p>
        </w:tc>
        <w:tc>
          <w:tcPr>
            <w:tcW w:w="0" w:type="auto"/>
            <w:vAlign w:val="center"/>
          </w:tcPr>
          <w:p w14:paraId="28A6D2F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697" w:type="dxa"/>
            <w:vAlign w:val="center"/>
          </w:tcPr>
          <w:p w14:paraId="7B7062B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43" w:type="dxa"/>
            <w:vAlign w:val="center"/>
          </w:tcPr>
          <w:p w14:paraId="31B7505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A3F5CB3">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0F8F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0" w:type="auto"/>
            <w:vAlign w:val="center"/>
          </w:tcPr>
          <w:p w14:paraId="3D46AFA8">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24DA0FD3">
            <w:pPr>
              <w:spacing w:line="360" w:lineRule="auto"/>
              <w:jc w:val="center"/>
              <w:rPr>
                <w:rFonts w:ascii="宋体" w:hAnsi="宋体" w:eastAsia="宋体" w:cs="Times New Roman"/>
                <w:szCs w:val="21"/>
              </w:rPr>
            </w:pPr>
          </w:p>
        </w:tc>
        <w:tc>
          <w:tcPr>
            <w:tcW w:w="0" w:type="auto"/>
            <w:vAlign w:val="center"/>
          </w:tcPr>
          <w:p w14:paraId="49F9073D">
            <w:pPr>
              <w:spacing w:line="360" w:lineRule="auto"/>
              <w:jc w:val="center"/>
              <w:rPr>
                <w:rFonts w:ascii="宋体" w:hAnsi="宋体" w:eastAsia="宋体" w:cs="Times New Roman"/>
                <w:szCs w:val="21"/>
              </w:rPr>
            </w:pPr>
          </w:p>
        </w:tc>
        <w:tc>
          <w:tcPr>
            <w:tcW w:w="697" w:type="dxa"/>
            <w:vAlign w:val="center"/>
          </w:tcPr>
          <w:p w14:paraId="2CC1D4A3">
            <w:pPr>
              <w:spacing w:line="360" w:lineRule="auto"/>
              <w:jc w:val="center"/>
              <w:rPr>
                <w:rFonts w:ascii="宋体" w:hAnsi="宋体" w:eastAsia="宋体" w:cs="Times New Roman"/>
                <w:szCs w:val="21"/>
              </w:rPr>
            </w:pPr>
          </w:p>
        </w:tc>
        <w:tc>
          <w:tcPr>
            <w:tcW w:w="1943" w:type="dxa"/>
            <w:vAlign w:val="center"/>
          </w:tcPr>
          <w:p w14:paraId="52F27CBC">
            <w:pPr>
              <w:spacing w:line="360" w:lineRule="auto"/>
              <w:jc w:val="center"/>
              <w:rPr>
                <w:rFonts w:ascii="宋体" w:hAnsi="宋体" w:eastAsia="宋体" w:cs="Times New Roman"/>
                <w:szCs w:val="21"/>
              </w:rPr>
            </w:pPr>
          </w:p>
        </w:tc>
        <w:tc>
          <w:tcPr>
            <w:tcW w:w="0" w:type="auto"/>
            <w:vAlign w:val="center"/>
          </w:tcPr>
          <w:p w14:paraId="0AA51F0D">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6D1367B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E50AB4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645500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172"/>
        <w:gridCol w:w="709"/>
      </w:tblGrid>
      <w:tr w14:paraId="461F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678" w:type="dxa"/>
            <w:vAlign w:val="center"/>
          </w:tcPr>
          <w:p w14:paraId="18986DA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72" w:type="dxa"/>
            <w:vAlign w:val="center"/>
          </w:tcPr>
          <w:p w14:paraId="04CF936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A69498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03A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678" w:type="dxa"/>
            <w:vAlign w:val="center"/>
          </w:tcPr>
          <w:p w14:paraId="27EDEE28">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72" w:type="dxa"/>
            <w:vAlign w:val="center"/>
          </w:tcPr>
          <w:p w14:paraId="0489B5E4">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667875DE">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2EAE12F">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0%</w:t>
            </w:r>
          </w:p>
        </w:tc>
      </w:tr>
      <w:tr w14:paraId="6EBB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8" w:type="dxa"/>
            <w:vAlign w:val="center"/>
          </w:tcPr>
          <w:p w14:paraId="0F4244BB">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72" w:type="dxa"/>
            <w:vAlign w:val="center"/>
          </w:tcPr>
          <w:p w14:paraId="6E96EF49">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每单元在线上进行测验，主要考查基础知识和基本理论的掌握，以题目的正确率为得分依据。</w:t>
            </w:r>
          </w:p>
        </w:tc>
        <w:tc>
          <w:tcPr>
            <w:tcW w:w="0" w:type="auto"/>
            <w:vAlign w:val="center"/>
          </w:tcPr>
          <w:p w14:paraId="67B057C7">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0%</w:t>
            </w:r>
          </w:p>
        </w:tc>
      </w:tr>
      <w:tr w14:paraId="08BC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678" w:type="dxa"/>
            <w:vAlign w:val="center"/>
          </w:tcPr>
          <w:p w14:paraId="22EAC766">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72" w:type="dxa"/>
            <w:vAlign w:val="center"/>
          </w:tcPr>
          <w:p w14:paraId="3A0DEAD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5E333A3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B0B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678" w:type="dxa"/>
            <w:vAlign w:val="center"/>
          </w:tcPr>
          <w:p w14:paraId="0E4DEB42">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72" w:type="dxa"/>
            <w:vAlign w:val="center"/>
          </w:tcPr>
          <w:p w14:paraId="4CC0CBCD">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20A7A18E">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rPr>
              <w:t>0%</w:t>
            </w:r>
          </w:p>
        </w:tc>
      </w:tr>
      <w:tr w14:paraId="33F6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0" w:type="auto"/>
            <w:vAlign w:val="center"/>
          </w:tcPr>
          <w:p w14:paraId="6E48FD8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0D5829B">
            <w:pPr>
              <w:jc w:val="left"/>
              <w:rPr>
                <w:rFonts w:ascii="Times New Roman" w:hAnsi="Times New Roman" w:eastAsia="宋体" w:cs="Times New Roman"/>
                <w:szCs w:val="21"/>
              </w:rPr>
            </w:pPr>
          </w:p>
        </w:tc>
        <w:tc>
          <w:tcPr>
            <w:tcW w:w="0" w:type="auto"/>
            <w:vAlign w:val="center"/>
          </w:tcPr>
          <w:p w14:paraId="7F147C4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92EE5B7">
      <w:pPr>
        <w:numPr>
          <w:ilvl w:val="0"/>
          <w:numId w:val="0"/>
        </w:numPr>
        <w:spacing w:line="360" w:lineRule="auto"/>
        <w:jc w:val="left"/>
        <w:rPr>
          <w:rFonts w:hint="eastAsia" w:ascii="宋体" w:hAnsi="宋体" w:eastAsia="宋体" w:cs="Times New Roman"/>
          <w:b/>
          <w:color w:val="000000"/>
          <w:sz w:val="24"/>
          <w:szCs w:val="24"/>
        </w:rPr>
      </w:pPr>
    </w:p>
    <w:p w14:paraId="69DCDFF4">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BACAA7D">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EB4D6A9">
      <w:pPr>
        <w:spacing w:before="156" w:beforeLines="50" w:line="360" w:lineRule="auto"/>
        <w:ind w:firstLine="420" w:firstLineChars="200"/>
        <w:jc w:val="left"/>
        <w:rPr>
          <w:rFonts w:hint="eastAsia" w:ascii="宋体" w:hAnsi="宋体" w:cs="宋体"/>
          <w:sz w:val="24"/>
        </w:rPr>
      </w:pPr>
      <w:r>
        <w:rPr>
          <w:rFonts w:ascii="宋体" w:hAnsi="宋体" w:eastAsia="宋体" w:cs="Times New Roman"/>
          <w:color w:val="000000"/>
          <w:szCs w:val="21"/>
        </w:rPr>
        <w:object>
          <v:shape id="_x0000_i1034"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34" DrawAspect="Content" ObjectID="_1468075734" r:id="rId19">
            <o:LockedField>false</o:LockedField>
          </o:OLEObject>
        </w:object>
      </w:r>
    </w:p>
    <w:p w14:paraId="667CCE67">
      <w:pPr>
        <w:numPr>
          <w:ilvl w:val="0"/>
          <w:numId w:val="0"/>
        </w:numPr>
        <w:spacing w:line="360" w:lineRule="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五、有关说明</w:t>
      </w:r>
    </w:p>
    <w:p w14:paraId="304217F2">
      <w:pPr>
        <w:numPr>
          <w:ilvl w:val="0"/>
          <w:numId w:val="0"/>
        </w:numPr>
        <w:spacing w:line="360" w:lineRule="auto"/>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 xml:space="preserve">   （一）参考书目</w:t>
      </w:r>
    </w:p>
    <w:p w14:paraId="160383FD">
      <w:pPr>
        <w:pStyle w:val="7"/>
        <w:ind w:firstLine="720" w:firstLineChars="300"/>
        <w:rPr>
          <w:rFonts w:hint="eastAsia" w:ascii="宋体" w:hAnsi="宋体" w:cs="宋体"/>
          <w:sz w:val="24"/>
        </w:rPr>
      </w:pPr>
      <w:r>
        <w:rPr>
          <w:rFonts w:hint="eastAsia" w:ascii="宋体" w:hAnsi="宋体" w:cs="宋体"/>
          <w:sz w:val="24"/>
        </w:rPr>
        <w:t>1</w:t>
      </w:r>
      <w:r>
        <w:rPr>
          <w:rFonts w:hint="eastAsia" w:ascii="宋体" w:hAnsi="宋体" w:cs="宋体"/>
          <w:sz w:val="24"/>
          <w:lang w:eastAsia="zh-CN"/>
        </w:rPr>
        <w:t>.</w:t>
      </w:r>
      <w:r>
        <w:rPr>
          <w:rFonts w:hint="eastAsia" w:ascii="宋体" w:hAnsi="宋体" w:cs="宋体"/>
          <w:sz w:val="24"/>
        </w:rPr>
        <w:t>江苏省教育厅编</w:t>
      </w:r>
      <w:r>
        <w:rPr>
          <w:rFonts w:hint="eastAsia" w:ascii="宋体" w:hAnsi="宋体" w:cs="宋体"/>
          <w:sz w:val="24"/>
          <w:lang w:eastAsia="zh-CN"/>
        </w:rPr>
        <w:t>，</w:t>
      </w:r>
      <w:r>
        <w:rPr>
          <w:rFonts w:hint="eastAsia" w:ascii="宋体" w:hAnsi="宋体" w:cs="宋体"/>
          <w:sz w:val="24"/>
        </w:rPr>
        <w:t>《江苏省大学生安全知识竞赛题库》。</w:t>
      </w:r>
    </w:p>
    <w:p w14:paraId="4B7B8592">
      <w:pPr>
        <w:pStyle w:val="7"/>
        <w:ind w:firstLine="720" w:firstLineChars="300"/>
        <w:rPr>
          <w:rFonts w:ascii="宋体" w:hAnsi="宋体" w:cs="宋体"/>
          <w:sz w:val="24"/>
        </w:rPr>
      </w:pPr>
      <w:r>
        <w:rPr>
          <w:rFonts w:hint="eastAsia" w:ascii="宋体" w:hAnsi="宋体" w:cs="宋体"/>
          <w:sz w:val="24"/>
        </w:rPr>
        <w:t>2</w:t>
      </w:r>
      <w:r>
        <w:rPr>
          <w:rFonts w:hint="eastAsia" w:ascii="宋体" w:hAnsi="宋体" w:cs="宋体"/>
          <w:sz w:val="24"/>
          <w:lang w:eastAsia="zh-CN"/>
        </w:rPr>
        <w:t>.</w:t>
      </w:r>
      <w:r>
        <w:rPr>
          <w:rFonts w:hint="eastAsia" w:ascii="宋体" w:hAnsi="宋体" w:cs="宋体"/>
          <w:sz w:val="24"/>
        </w:rPr>
        <w:t>王威、呼东燕、高巍、潘洪涛，《大学生安全教育》，清华大学出版社，2017年第一版。</w:t>
      </w:r>
    </w:p>
    <w:p w14:paraId="507F1F8D">
      <w:pPr>
        <w:pStyle w:val="7"/>
        <w:ind w:firstLine="720" w:firstLineChars="300"/>
        <w:rPr>
          <w:rFonts w:ascii="宋体" w:hAnsi="宋体" w:cs="宋体"/>
          <w:sz w:val="24"/>
        </w:rPr>
      </w:pPr>
      <w:r>
        <w:rPr>
          <w:rFonts w:hint="eastAsia" w:ascii="宋体" w:hAnsi="宋体" w:cs="宋体"/>
          <w:sz w:val="24"/>
        </w:rPr>
        <w:t>3</w:t>
      </w:r>
      <w:r>
        <w:rPr>
          <w:rFonts w:hint="eastAsia" w:ascii="宋体" w:hAnsi="宋体" w:cs="宋体"/>
          <w:sz w:val="24"/>
          <w:lang w:eastAsia="zh-CN"/>
        </w:rPr>
        <w:t>.</w:t>
      </w:r>
      <w:r>
        <w:rPr>
          <w:rFonts w:hint="eastAsia" w:ascii="宋体" w:hAnsi="宋体" w:cs="宋体"/>
          <w:sz w:val="24"/>
        </w:rPr>
        <w:t>王传虎，吕思斌，《实验室安全知识手册》，安徽大学出版社，2018年第一版。</w:t>
      </w:r>
    </w:p>
    <w:p w14:paraId="36561793">
      <w:pPr>
        <w:pStyle w:val="7"/>
        <w:ind w:firstLine="720" w:firstLineChars="300"/>
        <w:rPr>
          <w:rFonts w:ascii="宋体" w:hAnsi="宋体" w:cs="宋体"/>
          <w:sz w:val="24"/>
        </w:rPr>
      </w:pPr>
      <w:r>
        <w:rPr>
          <w:rFonts w:hint="eastAsia" w:ascii="宋体" w:hAnsi="宋体" w:cs="宋体"/>
          <w:sz w:val="24"/>
        </w:rPr>
        <w:t>4</w:t>
      </w:r>
      <w:r>
        <w:rPr>
          <w:rFonts w:hint="eastAsia" w:ascii="宋体" w:hAnsi="宋体" w:cs="宋体"/>
          <w:sz w:val="24"/>
          <w:lang w:eastAsia="zh-CN"/>
        </w:rPr>
        <w:t>.</w:t>
      </w:r>
      <w:r>
        <w:rPr>
          <w:rFonts w:hint="eastAsia" w:ascii="宋体" w:hAnsi="宋体" w:cs="宋体"/>
          <w:sz w:val="24"/>
        </w:rPr>
        <w:t>张才，《高校实验室安全准入教育》，南京大学出版社黄凯，2019年第一版。</w:t>
      </w:r>
    </w:p>
    <w:p w14:paraId="11E550C0">
      <w:pPr>
        <w:pStyle w:val="7"/>
        <w:ind w:firstLine="720" w:firstLineChars="300"/>
        <w:rPr>
          <w:rFonts w:ascii="宋体" w:hAnsi="宋体" w:cs="宋体"/>
          <w:sz w:val="24"/>
        </w:rPr>
      </w:pPr>
      <w:r>
        <w:rPr>
          <w:rFonts w:hint="eastAsia" w:ascii="宋体" w:hAnsi="宋体" w:cs="宋体"/>
          <w:sz w:val="24"/>
        </w:rPr>
        <w:t>5</w:t>
      </w:r>
      <w:r>
        <w:rPr>
          <w:rFonts w:hint="eastAsia" w:ascii="宋体" w:hAnsi="宋体" w:cs="宋体"/>
          <w:sz w:val="24"/>
          <w:lang w:eastAsia="zh-CN"/>
        </w:rPr>
        <w:t>.</w:t>
      </w:r>
      <w:r>
        <w:rPr>
          <w:rFonts w:hint="eastAsia" w:ascii="宋体" w:hAnsi="宋体" w:cs="宋体"/>
          <w:sz w:val="24"/>
        </w:rPr>
        <w:t>秦静，《</w:t>
      </w:r>
      <w:bookmarkStart w:id="66" w:name="itemlist-title"/>
      <w:r>
        <w:rPr>
          <w:rFonts w:hint="eastAsia" w:ascii="宋体" w:hAnsi="宋体" w:cs="宋体"/>
          <w:sz w:val="24"/>
        </w:rPr>
        <w:t>危险化学品和化学实验室安全教育读本</w:t>
      </w:r>
      <w:bookmarkEnd w:id="66"/>
      <w:r>
        <w:rPr>
          <w:rFonts w:hint="eastAsia" w:ascii="宋体" w:hAnsi="宋体" w:cs="宋体"/>
          <w:sz w:val="24"/>
        </w:rPr>
        <w:t>》</w:t>
      </w:r>
      <w:r>
        <w:rPr>
          <w:rFonts w:hint="eastAsia" w:ascii="宋体" w:hAnsi="宋体" w:cs="宋体"/>
          <w:sz w:val="24"/>
          <w:lang w:eastAsia="zh-CN"/>
        </w:rPr>
        <w:t>，</w:t>
      </w:r>
      <w:r>
        <w:rPr>
          <w:rFonts w:hint="eastAsia" w:ascii="宋体" w:hAnsi="宋体" w:cs="宋体"/>
          <w:sz w:val="24"/>
        </w:rPr>
        <w:t>化学工业出版社，2018年第一版。</w:t>
      </w:r>
    </w:p>
    <w:p w14:paraId="5D0696B5">
      <w:pPr>
        <w:pStyle w:val="7"/>
        <w:ind w:firstLine="720" w:firstLineChars="300"/>
        <w:rPr>
          <w:rFonts w:ascii="宋体" w:hAnsi="宋体" w:cs="宋体"/>
          <w:sz w:val="24"/>
        </w:rPr>
      </w:pPr>
      <w:r>
        <w:rPr>
          <w:rFonts w:hint="eastAsia" w:ascii="宋体" w:hAnsi="宋体" w:cs="宋体"/>
          <w:sz w:val="24"/>
        </w:rPr>
        <w:t>6</w:t>
      </w:r>
      <w:r>
        <w:rPr>
          <w:rFonts w:hint="eastAsia" w:ascii="宋体" w:hAnsi="宋体" w:cs="宋体"/>
          <w:sz w:val="24"/>
          <w:lang w:eastAsia="zh-CN"/>
        </w:rPr>
        <w:t>.</w:t>
      </w:r>
      <w:r>
        <w:rPr>
          <w:rFonts w:hint="eastAsia" w:ascii="宋体" w:hAnsi="宋体" w:cs="宋体"/>
          <w:sz w:val="24"/>
        </w:rPr>
        <w:t>姜文凤、刘志广，《化学实验室安全基础》，高等教育出版社，2019年第一版。</w:t>
      </w:r>
    </w:p>
    <w:p w14:paraId="08F1774A">
      <w:pPr>
        <w:spacing w:line="360" w:lineRule="auto"/>
        <w:ind w:firstLine="480" w:firstLineChars="200"/>
        <w:rPr>
          <w:rFonts w:ascii="宋体" w:hAnsi="宋体" w:eastAsia="宋体" w:cs="宋体"/>
          <w:bCs/>
          <w:sz w:val="24"/>
        </w:rPr>
      </w:pPr>
    </w:p>
    <w:p w14:paraId="22BB16B0">
      <w:pPr>
        <w:spacing w:line="360" w:lineRule="auto"/>
        <w:ind w:firstLine="480" w:firstLineChars="200"/>
        <w:rPr>
          <w:rFonts w:ascii="宋体" w:hAnsi="宋体" w:eastAsia="宋体" w:cs="宋体"/>
          <w:bCs/>
          <w:sz w:val="24"/>
        </w:rPr>
      </w:pPr>
    </w:p>
    <w:p w14:paraId="68860578">
      <w:pPr>
        <w:autoSpaceDE w:val="0"/>
        <w:autoSpaceDN w:val="0"/>
        <w:adjustRightInd w:val="0"/>
        <w:spacing w:line="360" w:lineRule="auto"/>
        <w:ind w:firstLine="5280" w:firstLineChars="2200"/>
        <w:jc w:val="left"/>
        <w:rPr>
          <w:rFonts w:ascii="宋体" w:hAnsi="宋体" w:eastAsia="宋体" w:cs="Times New Roman"/>
          <w:color w:val="000000" w:themeColor="text1"/>
          <w:kern w:val="0"/>
          <w:sz w:val="24"/>
          <w:szCs w:val="21"/>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执笔人：王鲲鹏 朱庆伟</w:t>
      </w:r>
    </w:p>
    <w:p w14:paraId="332304DE">
      <w:pPr>
        <w:autoSpaceDE w:val="0"/>
        <w:autoSpaceDN w:val="0"/>
        <w:adjustRightInd w:val="0"/>
        <w:spacing w:line="360" w:lineRule="auto"/>
        <w:ind w:firstLine="5280" w:firstLineChars="2200"/>
        <w:jc w:val="left"/>
        <w:rPr>
          <w:rFonts w:hint="default" w:ascii="宋体" w:hAnsi="宋体" w:eastAsia="宋体" w:cs="Times New Roman"/>
          <w:color w:val="000000" w:themeColor="text1"/>
          <w:kern w:val="0"/>
          <w:sz w:val="24"/>
          <w:szCs w:val="21"/>
          <w:lang w:val="en-US" w:eastAsia="zh-CN"/>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审定人：</w:t>
      </w:r>
      <w:r>
        <w:rPr>
          <w:rFonts w:hint="eastAsia" w:ascii="宋体" w:hAnsi="宋体" w:eastAsia="宋体" w:cs="Times New Roman"/>
          <w:color w:val="000000" w:themeColor="text1"/>
          <w:kern w:val="0"/>
          <w:sz w:val="24"/>
          <w:szCs w:val="21"/>
          <w:lang w:val="en-US" w:eastAsia="zh-CN"/>
          <w14:textFill>
            <w14:solidFill>
              <w14:schemeClr w14:val="tx1"/>
            </w14:solidFill>
          </w14:textFill>
        </w:rPr>
        <w:t>王  健</w:t>
      </w:r>
    </w:p>
    <w:p w14:paraId="41F2AFC0">
      <w:pPr>
        <w:autoSpaceDE w:val="0"/>
        <w:autoSpaceDN w:val="0"/>
        <w:adjustRightInd w:val="0"/>
        <w:spacing w:line="360" w:lineRule="auto"/>
        <w:ind w:firstLine="5280" w:firstLineChars="2200"/>
        <w:jc w:val="left"/>
        <w:rPr>
          <w:rFonts w:hint="eastAsia" w:ascii="宋体" w:hAnsi="宋体" w:eastAsia="宋体" w:cs="Times New Roman"/>
          <w:color w:val="000000" w:themeColor="text1"/>
          <w:kern w:val="0"/>
          <w:sz w:val="24"/>
          <w:szCs w:val="21"/>
          <w:lang w:val="en-US" w:eastAsia="zh-CN"/>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审批人：</w:t>
      </w:r>
      <w:r>
        <w:rPr>
          <w:rFonts w:hint="eastAsia" w:ascii="宋体" w:hAnsi="宋体" w:eastAsia="宋体" w:cs="Times New Roman"/>
          <w:color w:val="000000" w:themeColor="text1"/>
          <w:kern w:val="0"/>
          <w:sz w:val="24"/>
          <w:szCs w:val="21"/>
          <w:lang w:val="en-US" w:eastAsia="zh-CN"/>
          <w14:textFill>
            <w14:solidFill>
              <w14:schemeClr w14:val="tx1"/>
            </w14:solidFill>
          </w14:textFill>
        </w:rPr>
        <w:t>张志欣</w:t>
      </w:r>
    </w:p>
    <w:p w14:paraId="62971E16">
      <w:pPr>
        <w:autoSpaceDE w:val="0"/>
        <w:autoSpaceDN w:val="0"/>
        <w:adjustRightInd w:val="0"/>
        <w:spacing w:line="360" w:lineRule="auto"/>
        <w:ind w:firstLine="5280" w:firstLineChars="2200"/>
        <w:jc w:val="left"/>
        <w:rPr>
          <w:rFonts w:ascii="宋体" w:hAnsi="宋体" w:eastAsia="宋体" w:cs="Times New Roman"/>
          <w:color w:val="000000" w:themeColor="text1"/>
          <w:kern w:val="0"/>
          <w:sz w:val="24"/>
          <w:szCs w:val="21"/>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批准时间：202</w:t>
      </w:r>
      <w:r>
        <w:rPr>
          <w:rFonts w:hint="eastAsia" w:ascii="宋体" w:hAnsi="宋体" w:eastAsia="宋体" w:cs="Times New Roman"/>
          <w:color w:val="000000" w:themeColor="text1"/>
          <w:kern w:val="0"/>
          <w:sz w:val="24"/>
          <w:szCs w:val="21"/>
          <w:lang w:val="en-US" w:eastAsia="zh-CN"/>
          <w14:textFill>
            <w14:solidFill>
              <w14:schemeClr w14:val="tx1"/>
            </w14:solidFill>
          </w14:textFill>
        </w:rPr>
        <w:t>4</w:t>
      </w:r>
      <w:r>
        <w:rPr>
          <w:rFonts w:hint="eastAsia" w:ascii="宋体" w:hAnsi="宋体" w:eastAsia="宋体" w:cs="Times New Roman"/>
          <w:color w:val="000000" w:themeColor="text1"/>
          <w:kern w:val="0"/>
          <w:sz w:val="24"/>
          <w:szCs w:val="21"/>
          <w14:textFill>
            <w14:solidFill>
              <w14:schemeClr w14:val="tx1"/>
            </w14:solidFill>
          </w14:textFill>
        </w:rPr>
        <w:t>年8月30日</w:t>
      </w:r>
    </w:p>
    <w:p w14:paraId="6DBBEB65"/>
    <w:p w14:paraId="680250EE">
      <w:pPr>
        <w:rPr>
          <w:rFonts w:hint="eastAsia"/>
        </w:rPr>
      </w:pPr>
      <w:r>
        <w:rPr>
          <w:rFonts w:hint="eastAsia"/>
        </w:rPr>
        <w:br w:type="page"/>
      </w:r>
    </w:p>
    <w:p w14:paraId="7E6A9167">
      <w:pPr>
        <w:pStyle w:val="2"/>
        <w:bidi w:val="0"/>
        <w:rPr>
          <w:rFonts w:hint="eastAsia"/>
        </w:rPr>
      </w:pPr>
      <w:bookmarkStart w:id="67" w:name="_Toc15046"/>
      <w:r>
        <w:rPr>
          <w:rFonts w:hint="eastAsia"/>
          <w:lang w:eastAsia="zh-CN"/>
        </w:rPr>
        <w:t>《</w:t>
      </w:r>
      <w:r>
        <w:rPr>
          <w:rFonts w:hint="eastAsia"/>
        </w:rPr>
        <w:t>实验室安全教育</w:t>
      </w:r>
      <w:r>
        <w:rPr>
          <w:rFonts w:hint="eastAsia"/>
          <w:lang w:eastAsia="zh-CN"/>
        </w:rPr>
        <w:t>》</w:t>
      </w:r>
      <w:r>
        <w:rPr>
          <w:rFonts w:hint="eastAsia"/>
        </w:rPr>
        <w:t>课程教学大纲</w:t>
      </w:r>
      <w:bookmarkEnd w:id="67"/>
    </w:p>
    <w:p w14:paraId="5ABCB0C8">
      <w:pPr>
        <w:spacing w:after="100" w:afterAutospacing="1" w:line="360" w:lineRule="exact"/>
        <w:jc w:val="center"/>
        <w:rPr>
          <w:rFonts w:hint="eastAsia" w:eastAsia="仿宋_GB2312"/>
          <w:bCs/>
          <w:sz w:val="24"/>
        </w:rPr>
      </w:pPr>
      <w:r>
        <w:rPr>
          <w:rFonts w:hint="eastAsia" w:eastAsia="仿宋_GB2312"/>
          <w:bCs/>
          <w:sz w:val="24"/>
        </w:rPr>
        <w:t>（学时数：自学不少于</w:t>
      </w:r>
      <w:r>
        <w:rPr>
          <w:rFonts w:eastAsia="仿宋_GB2312"/>
          <w:bCs/>
          <w:sz w:val="24"/>
        </w:rPr>
        <w:t>8</w:t>
      </w:r>
      <w:r>
        <w:rPr>
          <w:rFonts w:hint="eastAsia" w:eastAsia="仿宋_GB2312"/>
          <w:bCs/>
          <w:sz w:val="24"/>
        </w:rPr>
        <w:t>学时，学分数：</w:t>
      </w:r>
      <w:r>
        <w:rPr>
          <w:rFonts w:eastAsia="仿宋_GB2312"/>
          <w:bCs/>
          <w:sz w:val="24"/>
        </w:rPr>
        <w:t>0.5</w:t>
      </w:r>
      <w:r>
        <w:rPr>
          <w:rFonts w:hint="eastAsia" w:eastAsia="仿宋_GB2312"/>
          <w:bCs/>
          <w:sz w:val="24"/>
        </w:rPr>
        <w:t>）</w:t>
      </w:r>
    </w:p>
    <w:p w14:paraId="02E8674D">
      <w:pPr>
        <w:spacing w:line="360" w:lineRule="auto"/>
        <w:ind w:firstLine="504" w:firstLineChars="180"/>
        <w:rPr>
          <w:rFonts w:hint="eastAsia" w:eastAsia="黑体"/>
          <w:bCs/>
          <w:sz w:val="28"/>
          <w:szCs w:val="28"/>
        </w:rPr>
      </w:pPr>
      <w:r>
        <w:rPr>
          <w:rFonts w:hint="eastAsia" w:eastAsia="黑体"/>
          <w:bCs/>
          <w:sz w:val="28"/>
          <w:szCs w:val="28"/>
        </w:rPr>
        <w:t>一、课程性质和任务</w:t>
      </w:r>
    </w:p>
    <w:p w14:paraId="3BFE2FDC">
      <w:pPr>
        <w:pStyle w:val="7"/>
        <w:rPr>
          <w:rFonts w:hint="eastAsia"/>
        </w:rPr>
      </w:pPr>
      <w:r>
        <w:rPr>
          <w:rFonts w:hint="eastAsia"/>
        </w:rPr>
        <w:t>本课程的性质：</w:t>
      </w:r>
    </w:p>
    <w:p w14:paraId="426B97AA">
      <w:pPr>
        <w:pStyle w:val="7"/>
        <w:rPr>
          <w:rFonts w:hint="eastAsia"/>
        </w:rPr>
      </w:pPr>
      <w:r>
        <w:rPr>
          <w:rFonts w:hint="eastAsia"/>
          <w:bCs/>
        </w:rPr>
        <w:t>本课程</w:t>
      </w:r>
      <w:r>
        <w:rPr>
          <w:szCs w:val="21"/>
        </w:rPr>
        <w:t>是</w:t>
      </w:r>
      <w:r>
        <w:rPr>
          <w:rFonts w:hint="eastAsia"/>
        </w:rPr>
        <w:t>我校全体学生须学习并考试合格</w:t>
      </w:r>
      <w:r>
        <w:t>的一门</w:t>
      </w:r>
      <w:r>
        <w:rPr>
          <w:rFonts w:hint="eastAsia"/>
        </w:rPr>
        <w:t>通识必修课程</w:t>
      </w:r>
      <w:r>
        <w:t>。</w:t>
      </w:r>
    </w:p>
    <w:p w14:paraId="7B188BEE">
      <w:pPr>
        <w:pStyle w:val="7"/>
        <w:rPr>
          <w:rFonts w:hint="eastAsia"/>
        </w:rPr>
      </w:pPr>
      <w:r>
        <w:rPr>
          <w:rFonts w:hint="eastAsia"/>
        </w:rPr>
        <w:t>本课程的任务：</w:t>
      </w:r>
    </w:p>
    <w:p w14:paraId="7C5FA9A9">
      <w:pPr>
        <w:pStyle w:val="7"/>
        <w:rPr>
          <w:rFonts w:hint="eastAsia"/>
        </w:rPr>
      </w:pPr>
      <w:r>
        <w:rPr>
          <w:rFonts w:hint="eastAsia"/>
        </w:rPr>
        <w:t>通过学习《实验室安全教育》，使学生了解实验过程中涉及具有一定危险因素的实验环境，如高温、高压、超低温、强磁、真空、辐射、高电压和高转速等基本知识；使学生能够掌握安全、健康和环境方面的基本理论，培养其安全意识和安全素养，使其具有一定的系统安全风险分析的能力，安全操作技能和应急处置能力，以保障大学生在校学习、实验及生活的安全并满足今后职业发展的安全需要。</w:t>
      </w:r>
    </w:p>
    <w:p w14:paraId="4B14C753">
      <w:pPr>
        <w:spacing w:line="360" w:lineRule="auto"/>
        <w:ind w:firstLine="504" w:firstLineChars="180"/>
        <w:rPr>
          <w:rFonts w:hint="eastAsia" w:eastAsia="黑体"/>
          <w:bCs/>
          <w:sz w:val="28"/>
          <w:szCs w:val="28"/>
        </w:rPr>
      </w:pPr>
      <w:r>
        <w:rPr>
          <w:rFonts w:hint="eastAsia" w:eastAsia="黑体"/>
          <w:bCs/>
          <w:sz w:val="28"/>
          <w:szCs w:val="28"/>
        </w:rPr>
        <w:t>二、课程基本内容</w:t>
      </w:r>
    </w:p>
    <w:p w14:paraId="01B13B4D">
      <w:pPr>
        <w:pStyle w:val="7"/>
        <w:rPr>
          <w:rFonts w:hint="eastAsia"/>
        </w:rPr>
      </w:pPr>
      <w:r>
        <w:rPr>
          <w:rFonts w:hint="eastAsia"/>
        </w:rPr>
        <w:t>（一）实验室消防安全</w:t>
      </w:r>
    </w:p>
    <w:p w14:paraId="6A4F464F">
      <w:pPr>
        <w:pStyle w:val="7"/>
        <w:rPr>
          <w:rFonts w:hint="eastAsia"/>
        </w:rPr>
      </w:pPr>
      <w:r>
        <w:rPr>
          <w:rFonts w:hint="eastAsia"/>
        </w:rPr>
        <w:t>1．实验室消防常识；</w:t>
      </w:r>
    </w:p>
    <w:p w14:paraId="30FF5CB5">
      <w:pPr>
        <w:pStyle w:val="7"/>
        <w:rPr>
          <w:rFonts w:hint="eastAsia"/>
        </w:rPr>
      </w:pPr>
      <w:r>
        <w:rPr>
          <w:rFonts w:hint="eastAsia"/>
        </w:rPr>
        <w:t>2．实验室消防安全管理；</w:t>
      </w:r>
    </w:p>
    <w:p w14:paraId="3DC7600B">
      <w:pPr>
        <w:pStyle w:val="7"/>
        <w:rPr>
          <w:rFonts w:hint="eastAsia"/>
        </w:rPr>
      </w:pPr>
      <w:r>
        <w:rPr>
          <w:rFonts w:hint="eastAsia"/>
        </w:rPr>
        <w:t>3．实验室消防设施；</w:t>
      </w:r>
    </w:p>
    <w:p w14:paraId="0D4C5ABB">
      <w:pPr>
        <w:pStyle w:val="7"/>
        <w:rPr>
          <w:rFonts w:hint="eastAsia"/>
        </w:rPr>
      </w:pPr>
      <w:r>
        <w:rPr>
          <w:rFonts w:hint="eastAsia"/>
        </w:rPr>
        <w:t>4．火灾应急措施。</w:t>
      </w:r>
    </w:p>
    <w:p w14:paraId="0BECD5B2">
      <w:pPr>
        <w:pStyle w:val="7"/>
        <w:rPr>
          <w:rFonts w:hint="eastAsia"/>
        </w:rPr>
      </w:pPr>
      <w:r>
        <w:rPr>
          <w:rFonts w:hint="eastAsia"/>
        </w:rPr>
        <w:t>（二）实验室用电安全</w:t>
      </w:r>
    </w:p>
    <w:p w14:paraId="251D80C5">
      <w:pPr>
        <w:pStyle w:val="7"/>
        <w:rPr>
          <w:rFonts w:hint="eastAsia"/>
        </w:rPr>
      </w:pPr>
      <w:r>
        <w:rPr>
          <w:rFonts w:hint="eastAsia"/>
        </w:rPr>
        <w:t>1．触电危害</w:t>
      </w:r>
    </w:p>
    <w:p w14:paraId="7829315E">
      <w:pPr>
        <w:pStyle w:val="7"/>
        <w:rPr>
          <w:rFonts w:hint="eastAsia"/>
        </w:rPr>
      </w:pPr>
      <w:r>
        <w:rPr>
          <w:rFonts w:hint="eastAsia"/>
        </w:rPr>
        <w:t>2．触电事故防范知识</w:t>
      </w:r>
    </w:p>
    <w:p w14:paraId="2F4B118F">
      <w:pPr>
        <w:pStyle w:val="7"/>
        <w:rPr>
          <w:rFonts w:hint="eastAsia"/>
        </w:rPr>
      </w:pPr>
      <w:r>
        <w:rPr>
          <w:rFonts w:hint="eastAsia"/>
        </w:rPr>
        <w:t>3．触电急救</w:t>
      </w:r>
    </w:p>
    <w:p w14:paraId="7EF89FE7">
      <w:pPr>
        <w:pStyle w:val="7"/>
        <w:rPr>
          <w:rFonts w:hint="eastAsia"/>
        </w:rPr>
      </w:pPr>
      <w:r>
        <w:rPr>
          <w:rFonts w:hint="eastAsia"/>
        </w:rPr>
        <w:t>4．电气类安全知识</w:t>
      </w:r>
    </w:p>
    <w:p w14:paraId="79DF4C21">
      <w:pPr>
        <w:pStyle w:val="7"/>
        <w:rPr>
          <w:rFonts w:hint="eastAsia"/>
        </w:rPr>
      </w:pPr>
      <w:r>
        <w:rPr>
          <w:rFonts w:hint="eastAsia"/>
        </w:rPr>
        <w:t>（三）实验室危险化学品使用安全</w:t>
      </w:r>
    </w:p>
    <w:p w14:paraId="00CBFE21">
      <w:pPr>
        <w:pStyle w:val="7"/>
        <w:rPr>
          <w:rFonts w:hint="eastAsia"/>
        </w:rPr>
      </w:pPr>
      <w:r>
        <w:rPr>
          <w:rFonts w:hint="eastAsia"/>
        </w:rPr>
        <w:t>1．危险化学品常识；</w:t>
      </w:r>
    </w:p>
    <w:p w14:paraId="419A89F9">
      <w:pPr>
        <w:pStyle w:val="7"/>
        <w:rPr>
          <w:rFonts w:hint="eastAsia"/>
        </w:rPr>
      </w:pPr>
      <w:r>
        <w:rPr>
          <w:rFonts w:hint="eastAsia"/>
        </w:rPr>
        <w:t>2．危险化学品安全管理；</w:t>
      </w:r>
    </w:p>
    <w:p w14:paraId="64C4262F">
      <w:pPr>
        <w:pStyle w:val="7"/>
        <w:rPr>
          <w:rFonts w:hint="eastAsia"/>
        </w:rPr>
      </w:pPr>
      <w:r>
        <w:rPr>
          <w:rFonts w:hint="eastAsia"/>
        </w:rPr>
        <w:t>3．危险化学品防护措施；</w:t>
      </w:r>
    </w:p>
    <w:p w14:paraId="06610C6C">
      <w:pPr>
        <w:pStyle w:val="7"/>
        <w:rPr>
          <w:rFonts w:hint="eastAsia"/>
        </w:rPr>
      </w:pPr>
      <w:r>
        <w:rPr>
          <w:rFonts w:hint="eastAsia"/>
        </w:rPr>
        <w:t>4．危险化学品事故应急措施。</w:t>
      </w:r>
    </w:p>
    <w:p w14:paraId="082C12B5">
      <w:pPr>
        <w:pStyle w:val="7"/>
        <w:rPr>
          <w:rFonts w:hint="eastAsia"/>
        </w:rPr>
      </w:pPr>
      <w:r>
        <w:rPr>
          <w:rFonts w:hint="eastAsia"/>
        </w:rPr>
        <w:t>（四）实验室电离辐射安全</w:t>
      </w:r>
    </w:p>
    <w:p w14:paraId="6E30CB3D">
      <w:pPr>
        <w:pStyle w:val="7"/>
        <w:rPr>
          <w:rFonts w:hint="eastAsia"/>
        </w:rPr>
      </w:pPr>
      <w:r>
        <w:rPr>
          <w:rFonts w:hint="eastAsia"/>
        </w:rPr>
        <w:t>1．电离辐射安全常识；</w:t>
      </w:r>
    </w:p>
    <w:p w14:paraId="4E3353EA">
      <w:pPr>
        <w:pStyle w:val="7"/>
        <w:rPr>
          <w:rFonts w:hint="eastAsia"/>
        </w:rPr>
      </w:pPr>
      <w:r>
        <w:rPr>
          <w:rFonts w:hint="eastAsia"/>
        </w:rPr>
        <w:t>2．实验室电离辐射防护措施；</w:t>
      </w:r>
    </w:p>
    <w:p w14:paraId="2C7EF1D6">
      <w:pPr>
        <w:pStyle w:val="7"/>
        <w:rPr>
          <w:rFonts w:hint="eastAsia"/>
        </w:rPr>
      </w:pPr>
      <w:r>
        <w:rPr>
          <w:rFonts w:hint="eastAsia"/>
        </w:rPr>
        <w:t>3．电离辐射安全与防护管理；</w:t>
      </w:r>
    </w:p>
    <w:p w14:paraId="4306646F">
      <w:pPr>
        <w:pStyle w:val="7"/>
        <w:rPr>
          <w:rFonts w:hint="eastAsia"/>
        </w:rPr>
      </w:pPr>
      <w:r>
        <w:rPr>
          <w:rFonts w:hint="eastAsia"/>
        </w:rPr>
        <w:t>4．电离辐射事故应急措施。</w:t>
      </w:r>
    </w:p>
    <w:p w14:paraId="56D2F546">
      <w:pPr>
        <w:pStyle w:val="7"/>
        <w:rPr>
          <w:rFonts w:hint="eastAsia"/>
        </w:rPr>
      </w:pPr>
      <w:r>
        <w:rPr>
          <w:rFonts w:hint="eastAsia"/>
        </w:rPr>
        <w:t>（五）实验室特殊仪器设备使用安全</w:t>
      </w:r>
    </w:p>
    <w:p w14:paraId="5E5280DA">
      <w:pPr>
        <w:pStyle w:val="7"/>
        <w:rPr>
          <w:rFonts w:hint="eastAsia"/>
        </w:rPr>
      </w:pPr>
      <w:r>
        <w:rPr>
          <w:rFonts w:hint="eastAsia"/>
        </w:rPr>
        <w:t>1．高温、高压类仪器设备使用安全；</w:t>
      </w:r>
    </w:p>
    <w:p w14:paraId="5AF446AD">
      <w:pPr>
        <w:pStyle w:val="7"/>
        <w:rPr>
          <w:rFonts w:hint="eastAsia"/>
        </w:rPr>
      </w:pPr>
      <w:r>
        <w:rPr>
          <w:rFonts w:hint="eastAsia"/>
        </w:rPr>
        <w:t>2．高速运转类设备使用安全；</w:t>
      </w:r>
    </w:p>
    <w:p w14:paraId="7EC6204A">
      <w:pPr>
        <w:pStyle w:val="7"/>
        <w:rPr>
          <w:rFonts w:hint="eastAsia"/>
        </w:rPr>
      </w:pPr>
      <w:r>
        <w:rPr>
          <w:rFonts w:hint="eastAsia"/>
        </w:rPr>
        <w:t>3．强场类仪器设备使用安全；</w:t>
      </w:r>
    </w:p>
    <w:p w14:paraId="0C2D7C63">
      <w:pPr>
        <w:pStyle w:val="7"/>
        <w:rPr>
          <w:rFonts w:hint="eastAsia"/>
        </w:rPr>
      </w:pPr>
      <w:r>
        <w:rPr>
          <w:rFonts w:hint="eastAsia"/>
        </w:rPr>
        <w:t>4．激光使用安全；</w:t>
      </w:r>
    </w:p>
    <w:p w14:paraId="3EC2FF77">
      <w:pPr>
        <w:pStyle w:val="7"/>
        <w:rPr>
          <w:rFonts w:hint="eastAsia"/>
        </w:rPr>
      </w:pPr>
      <w:r>
        <w:rPr>
          <w:rFonts w:hint="eastAsia"/>
        </w:rPr>
        <w:t>5．低温类实验安全。</w:t>
      </w:r>
    </w:p>
    <w:p w14:paraId="53822EAC">
      <w:pPr>
        <w:pStyle w:val="7"/>
        <w:rPr>
          <w:rFonts w:hint="eastAsia"/>
        </w:rPr>
      </w:pPr>
      <w:r>
        <w:rPr>
          <w:rFonts w:hint="eastAsia"/>
        </w:rPr>
        <w:t>（六）实验室事故人员急救</w:t>
      </w:r>
    </w:p>
    <w:p w14:paraId="7BDD554B">
      <w:pPr>
        <w:pStyle w:val="7"/>
        <w:rPr>
          <w:rFonts w:hint="eastAsia"/>
        </w:rPr>
      </w:pPr>
      <w:r>
        <w:rPr>
          <w:rFonts w:hint="eastAsia"/>
        </w:rPr>
        <w:t>1．实验室急救箱简介；</w:t>
      </w:r>
    </w:p>
    <w:p w14:paraId="2D39F1AC">
      <w:pPr>
        <w:pStyle w:val="7"/>
        <w:rPr>
          <w:rFonts w:hint="eastAsia"/>
        </w:rPr>
      </w:pPr>
      <w:r>
        <w:rPr>
          <w:rFonts w:hint="eastAsia"/>
        </w:rPr>
        <w:t>2．常见急救措施；</w:t>
      </w:r>
    </w:p>
    <w:p w14:paraId="0D66EE37">
      <w:pPr>
        <w:pStyle w:val="7"/>
        <w:rPr>
          <w:rFonts w:hint="eastAsia"/>
        </w:rPr>
      </w:pPr>
      <w:r>
        <w:rPr>
          <w:rFonts w:hint="eastAsia"/>
        </w:rPr>
        <w:t>3．其他实验室事故急救措施。</w:t>
      </w:r>
    </w:p>
    <w:p w14:paraId="00E773BB">
      <w:pPr>
        <w:spacing w:line="360" w:lineRule="auto"/>
        <w:ind w:firstLine="504" w:firstLineChars="180"/>
        <w:rPr>
          <w:rFonts w:hint="eastAsia" w:eastAsia="黑体"/>
          <w:bCs/>
          <w:sz w:val="28"/>
          <w:szCs w:val="28"/>
        </w:rPr>
      </w:pPr>
      <w:r>
        <w:rPr>
          <w:rFonts w:hint="eastAsia" w:eastAsia="黑体"/>
          <w:bCs/>
          <w:sz w:val="28"/>
          <w:szCs w:val="28"/>
        </w:rPr>
        <w:t>三、其他说明</w:t>
      </w:r>
    </w:p>
    <w:p w14:paraId="5ED2EE2B">
      <w:pPr>
        <w:spacing w:line="360" w:lineRule="auto"/>
        <w:ind w:firstLine="560" w:firstLineChars="200"/>
        <w:rPr>
          <w:rFonts w:hint="eastAsia" w:eastAsia="黑体"/>
          <w:bCs/>
          <w:sz w:val="28"/>
          <w:szCs w:val="28"/>
        </w:rPr>
      </w:pPr>
      <w:r>
        <w:rPr>
          <w:rFonts w:hint="eastAsia" w:eastAsia="黑体"/>
          <w:bCs/>
          <w:sz w:val="28"/>
          <w:szCs w:val="28"/>
        </w:rPr>
        <w:t>1. 课程实施</w:t>
      </w:r>
    </w:p>
    <w:p w14:paraId="5F5CC501">
      <w:pPr>
        <w:pStyle w:val="7"/>
        <w:rPr>
          <w:rFonts w:hint="eastAsia"/>
        </w:rPr>
      </w:pPr>
      <w:r>
        <w:rPr>
          <w:rFonts w:hint="eastAsia"/>
        </w:rPr>
        <w:t>学生通过在线自习相关内容完成课程的学习。学生登录“实验室安全教育与考试系统平台”，浏览“在线学习”栏目进行在线学习、练习。</w:t>
      </w:r>
    </w:p>
    <w:p w14:paraId="378DAE9B">
      <w:pPr>
        <w:spacing w:line="360" w:lineRule="auto"/>
        <w:ind w:firstLine="560" w:firstLineChars="200"/>
        <w:rPr>
          <w:rFonts w:hint="eastAsia" w:eastAsia="黑体"/>
          <w:bCs/>
          <w:sz w:val="28"/>
          <w:szCs w:val="28"/>
        </w:rPr>
      </w:pPr>
      <w:r>
        <w:rPr>
          <w:rFonts w:hint="eastAsia" w:eastAsia="黑体"/>
          <w:bCs/>
          <w:sz w:val="28"/>
          <w:szCs w:val="28"/>
        </w:rPr>
        <w:t>2. 课程考核</w:t>
      </w:r>
    </w:p>
    <w:p w14:paraId="2D086CD1">
      <w:pPr>
        <w:pStyle w:val="7"/>
      </w:pPr>
      <w:r>
        <w:rPr>
          <w:rFonts w:hint="eastAsia"/>
        </w:rPr>
        <w:t>学生通过在线考试完成课程考核。教务处负责每年组织“实验室安全教育”课程的网络在线考试，考试成绩达到</w:t>
      </w:r>
      <w:r>
        <w:t>8</w:t>
      </w:r>
      <w:r>
        <w:rPr>
          <w:rFonts w:hint="eastAsia"/>
        </w:rPr>
        <w:t>0分为合格，获得0.5学分。</w:t>
      </w:r>
    </w:p>
    <w:p w14:paraId="78AB09BE">
      <w:pPr>
        <w:spacing w:line="360" w:lineRule="auto"/>
        <w:ind w:firstLine="560" w:firstLineChars="200"/>
        <w:rPr>
          <w:rFonts w:hint="eastAsia" w:eastAsia="黑体"/>
          <w:bCs/>
          <w:sz w:val="28"/>
          <w:szCs w:val="28"/>
        </w:rPr>
      </w:pPr>
      <w:r>
        <w:rPr>
          <w:rFonts w:hint="eastAsia" w:eastAsia="黑体"/>
          <w:bCs/>
          <w:sz w:val="28"/>
          <w:szCs w:val="28"/>
        </w:rPr>
        <w:t>3. 参考资料</w:t>
      </w:r>
    </w:p>
    <w:p w14:paraId="7DEEAB18">
      <w:pPr>
        <w:pStyle w:val="7"/>
        <w:rPr>
          <w:rFonts w:hint="eastAsia"/>
        </w:rPr>
      </w:pPr>
      <w:r>
        <w:rPr>
          <w:rFonts w:hint="eastAsia"/>
        </w:rPr>
        <w:t>（1）《大学生安全教育》，王威、呼东燕、高巍、潘洪涛，清华大学出版社， 2017年第一版；</w:t>
      </w:r>
    </w:p>
    <w:p w14:paraId="5CA857F1">
      <w:pPr>
        <w:pStyle w:val="7"/>
      </w:pPr>
      <w:r>
        <w:rPr>
          <w:rFonts w:hint="eastAsia"/>
        </w:rPr>
        <w:t>（</w:t>
      </w:r>
      <w:r>
        <w:t>2</w:t>
      </w:r>
      <w:r>
        <w:rPr>
          <w:rFonts w:hint="eastAsia"/>
        </w:rPr>
        <w:t>）《实验室安全知识手册》，王传虎，吕思斌，安徽大学出版社，2018年第一版；</w:t>
      </w:r>
    </w:p>
    <w:p w14:paraId="60FE834D">
      <w:pPr>
        <w:pStyle w:val="7"/>
        <w:rPr>
          <w:rFonts w:hint="eastAsia"/>
        </w:rPr>
      </w:pPr>
      <w:r>
        <w:rPr>
          <w:rFonts w:hint="eastAsia"/>
        </w:rPr>
        <w:t>（</w:t>
      </w:r>
      <w:r>
        <w:t>3</w:t>
      </w:r>
      <w:r>
        <w:rPr>
          <w:rFonts w:hint="eastAsia"/>
        </w:rPr>
        <w:t>）《高校实验室安全准入教育》，张才，南京大学出版社黄凯，201</w:t>
      </w:r>
      <w:r>
        <w:t>9</w:t>
      </w:r>
      <w:r>
        <w:rPr>
          <w:rFonts w:hint="eastAsia"/>
        </w:rPr>
        <w:t>年第一版；</w:t>
      </w:r>
    </w:p>
    <w:p w14:paraId="75B71439">
      <w:pPr>
        <w:pStyle w:val="7"/>
        <w:rPr>
          <w:rFonts w:hint="eastAsia"/>
        </w:rPr>
      </w:pPr>
      <w:r>
        <w:rPr>
          <w:rFonts w:hint="eastAsia"/>
        </w:rPr>
        <w:t>（</w:t>
      </w:r>
      <w:r>
        <w:t>4</w:t>
      </w:r>
      <w:r>
        <w:rPr>
          <w:rFonts w:hint="eastAsia"/>
        </w:rPr>
        <w:t>）《危险化学品和化学实验室安全教育读本》，秦静，化学工业出版社，201</w:t>
      </w:r>
      <w:r>
        <w:t>8</w:t>
      </w:r>
      <w:r>
        <w:rPr>
          <w:rFonts w:hint="eastAsia"/>
        </w:rPr>
        <w:t>年第一版；</w:t>
      </w:r>
    </w:p>
    <w:p w14:paraId="5462492F">
      <w:pPr>
        <w:pStyle w:val="7"/>
        <w:rPr>
          <w:rFonts w:hint="eastAsia"/>
        </w:rPr>
      </w:pPr>
      <w:r>
        <w:rPr>
          <w:rFonts w:hint="eastAsia"/>
        </w:rPr>
        <w:t>（</w:t>
      </w:r>
      <w:r>
        <w:t>5</w:t>
      </w:r>
      <w:r>
        <w:rPr>
          <w:rFonts w:hint="eastAsia"/>
        </w:rPr>
        <w:t>）《化学实验室安全基础》，姜文凤、刘志广，高等教育出版社，201</w:t>
      </w:r>
      <w:r>
        <w:t>9</w:t>
      </w:r>
      <w:r>
        <w:rPr>
          <w:rFonts w:hint="eastAsia"/>
        </w:rPr>
        <w:t>年第一版。</w:t>
      </w:r>
    </w:p>
    <w:p w14:paraId="07327F0E">
      <w:pPr>
        <w:spacing w:line="360" w:lineRule="auto"/>
        <w:ind w:firstLine="560" w:firstLineChars="200"/>
        <w:rPr>
          <w:rFonts w:hint="eastAsia" w:eastAsia="黑体"/>
          <w:bCs/>
          <w:sz w:val="28"/>
          <w:szCs w:val="28"/>
        </w:rPr>
      </w:pPr>
    </w:p>
    <w:p w14:paraId="1A1CA09D">
      <w:pPr>
        <w:spacing w:line="360" w:lineRule="auto"/>
        <w:ind w:firstLine="560" w:firstLineChars="200"/>
        <w:rPr>
          <w:rFonts w:hint="eastAsia" w:eastAsia="黑体"/>
          <w:bCs/>
          <w:sz w:val="28"/>
          <w:szCs w:val="28"/>
        </w:rPr>
      </w:pPr>
    </w:p>
    <w:p w14:paraId="495CBF32">
      <w:pPr>
        <w:spacing w:line="360" w:lineRule="auto"/>
        <w:ind w:left="5460" w:right="240"/>
        <w:jc w:val="right"/>
        <w:rPr>
          <w:rFonts w:hint="eastAsia"/>
          <w:sz w:val="24"/>
        </w:rPr>
      </w:pPr>
      <w:r>
        <w:rPr>
          <w:rFonts w:hint="eastAsia"/>
          <w:sz w:val="24"/>
        </w:rPr>
        <w:t>执笔人：王鲲鹏</w:t>
      </w:r>
    </w:p>
    <w:p w14:paraId="5DCD11B0">
      <w:pPr>
        <w:spacing w:line="360" w:lineRule="auto"/>
        <w:ind w:left="5460" w:right="240"/>
        <w:jc w:val="right"/>
        <w:rPr>
          <w:rFonts w:hint="eastAsia"/>
          <w:sz w:val="24"/>
        </w:rPr>
      </w:pPr>
      <w:r>
        <w:rPr>
          <w:rFonts w:hint="eastAsia"/>
          <w:sz w:val="24"/>
        </w:rPr>
        <w:t xml:space="preserve">审定人：崔 </w:t>
      </w:r>
      <w:r>
        <w:rPr>
          <w:sz w:val="24"/>
        </w:rPr>
        <w:t xml:space="preserve"> </w:t>
      </w:r>
      <w:r>
        <w:rPr>
          <w:rFonts w:hint="eastAsia"/>
          <w:sz w:val="24"/>
        </w:rPr>
        <w:t>涛</w:t>
      </w:r>
    </w:p>
    <w:p w14:paraId="7A92C795">
      <w:pPr>
        <w:spacing w:line="360" w:lineRule="auto"/>
        <w:ind w:left="5460" w:right="240"/>
        <w:jc w:val="right"/>
        <w:rPr>
          <w:rFonts w:hint="eastAsia"/>
        </w:rPr>
      </w:pPr>
      <w:r>
        <w:rPr>
          <w:rFonts w:hint="eastAsia"/>
          <w:sz w:val="24"/>
        </w:rPr>
        <w:t>批准人：邹一琴</w:t>
      </w:r>
    </w:p>
    <w:p w14:paraId="18A614CC">
      <w:pPr>
        <w:rPr>
          <w:rFonts w:hint="eastAsia"/>
        </w:rPr>
      </w:pPr>
      <w:r>
        <w:rPr>
          <w:rFonts w:hint="eastAsia"/>
        </w:rPr>
        <w:br w:type="page"/>
      </w:r>
    </w:p>
    <w:p w14:paraId="5089E6DC">
      <w:pPr>
        <w:pStyle w:val="2"/>
      </w:pPr>
      <w:bookmarkStart w:id="68" w:name="_Toc19246"/>
      <w:r>
        <w:rPr>
          <w:rFonts w:hint="eastAsia"/>
        </w:rPr>
        <w:t>《</w:t>
      </w:r>
      <w:r>
        <w:t>经典阅读与学术素养</w:t>
      </w:r>
      <w:r>
        <w:rPr>
          <w:rFonts w:hint="eastAsia"/>
        </w:rPr>
        <w:t>》课程教学大纲</w:t>
      </w:r>
      <w:bookmarkEnd w:id="65"/>
      <w:bookmarkEnd w:id="68"/>
    </w:p>
    <w:p w14:paraId="556A684D">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（Classic Reading and Academic Literacy）</w:t>
      </w:r>
    </w:p>
    <w:p w14:paraId="6E303EC4">
      <w:pPr>
        <w:spacing w:line="360" w:lineRule="auto"/>
        <w:jc w:val="center"/>
        <w:rPr>
          <w:rFonts w:ascii="Times New Roman" w:hAnsi="Times New Roman" w:eastAsia="宋体" w:cs="Times New Roman"/>
          <w:bCs/>
          <w:sz w:val="30"/>
          <w:szCs w:val="30"/>
        </w:rPr>
      </w:pPr>
    </w:p>
    <w:p w14:paraId="4BE4DB8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ascii="Times New Roman" w:hAnsi="Times New Roman" w:eastAsia="宋体" w:cs="Times New Roman"/>
          <w:b/>
          <w:sz w:val="24"/>
        </w:rPr>
        <w:t>经典阅读与学术素养</w:t>
      </w:r>
    </w:p>
    <w:p w14:paraId="25C6299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2400004</w:t>
      </w:r>
    </w:p>
    <w:p w14:paraId="3E36B9D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548405C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67DDB41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ascii="Times New Roman" w:hAnsi="Times New Roman" w:eastAsia="宋体" w:cs="Times New Roman"/>
          <w:b/>
          <w:sz w:val="24"/>
        </w:rPr>
        <w:t>小学心理学、教育原理、教育心理学、中国教育史、外国教育史、教育哲学</w:t>
      </w:r>
    </w:p>
    <w:p w14:paraId="3F530E0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704D1DEB">
      <w:pPr>
        <w:spacing w:line="360" w:lineRule="auto"/>
        <w:jc w:val="left"/>
        <w:rPr>
          <w:rFonts w:ascii="Times New Roman" w:hAnsi="Times New Roman" w:eastAsia="宋体" w:cs="Times New Roman"/>
          <w:b/>
          <w:sz w:val="24"/>
        </w:rPr>
      </w:pPr>
    </w:p>
    <w:p w14:paraId="5981AD3E">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5EDFFA83">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本课程旨在培养小学教育专业学生的经典阅读能力和学术素养。通过课程学习，学生将能够：掌握经典阅读的方法和技巧；提高独立思考和批判性思维能力；培养学术研究意识和学术规范意识；提升人文素养和综合素质。</w:t>
      </w:r>
    </w:p>
    <w:p w14:paraId="519A6F5F">
      <w:pPr>
        <w:spacing w:line="360" w:lineRule="auto"/>
        <w:jc w:val="left"/>
        <w:rPr>
          <w:rFonts w:hint="eastAsia" w:ascii="宋体" w:hAnsi="宋体" w:eastAsia="宋体" w:cs="Times New Roman"/>
          <w:b/>
          <w:color w:val="000000"/>
          <w:szCs w:val="21"/>
        </w:rPr>
      </w:pPr>
    </w:p>
    <w:p w14:paraId="2CAF6C0D">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60D0EEB6">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A629A9A">
      <w:pPr>
        <w:spacing w:before="156" w:beforeLines="50" w:after="156" w:afterLines="50" w:line="360" w:lineRule="auto"/>
        <w:ind w:firstLine="200"/>
        <w:rPr>
          <w:rFonts w:ascii="Times New Roman" w:hAnsi="Times New Roman" w:eastAsia="宋体" w:cs="Times New Roman"/>
          <w:bCs/>
          <w:szCs w:val="21"/>
        </w:rPr>
      </w:pPr>
      <w:r>
        <w:rPr>
          <w:rFonts w:ascii="Times New Roman" w:hAnsi="Times New Roman" w:eastAsia="宋体" w:cs="Times New Roman"/>
          <w:b/>
          <w:szCs w:val="21"/>
        </w:rPr>
        <w:t>目标1：</w:t>
      </w:r>
      <w:r>
        <w:rPr>
          <w:rFonts w:ascii="Times New Roman" w:hAnsi="Times New Roman" w:eastAsia="宋体" w:cs="Times New Roman"/>
          <w:bCs/>
          <w:szCs w:val="21"/>
        </w:rPr>
        <w:t>熟练掌握经典文献的阅读方法与技巧，深化理解与鉴赏能力。致力于熟练掌握各类经典文献的阅读方法与技巧，通过细致入微的分析与解读，深化对文献内容的理解，同时提升对文学、历史、哲学等经典作品的鉴赏能力，形成独到的见解与感悟。</w:t>
      </w:r>
    </w:p>
    <w:p w14:paraId="43D1E1A8">
      <w:pPr>
        <w:spacing w:before="156" w:beforeLines="50" w:after="156" w:afterLines="50" w:line="360" w:lineRule="auto"/>
        <w:ind w:firstLine="200"/>
        <w:rPr>
          <w:rFonts w:ascii="Times New Roman" w:hAnsi="Times New Roman" w:eastAsia="宋体" w:cs="Times New Roman"/>
          <w:bCs/>
          <w:szCs w:val="21"/>
        </w:rPr>
      </w:pPr>
      <w:r>
        <w:rPr>
          <w:rFonts w:ascii="Times New Roman" w:hAnsi="Times New Roman" w:eastAsia="宋体" w:cs="Times New Roman"/>
          <w:b/>
          <w:szCs w:val="21"/>
        </w:rPr>
        <w:t>目标2：</w:t>
      </w:r>
      <w:r>
        <w:rPr>
          <w:rFonts w:ascii="Times New Roman" w:hAnsi="Times New Roman" w:eastAsia="宋体" w:cs="Times New Roman"/>
          <w:bCs/>
          <w:szCs w:val="21"/>
        </w:rPr>
        <w:t>强化独立思考与批判性思维，培养理性审视问题的能力</w:t>
      </w:r>
      <w:r>
        <w:rPr>
          <w:rFonts w:hint="eastAsia" w:ascii="Times New Roman" w:hAnsi="Times New Roman" w:eastAsia="宋体" w:cs="Times New Roman"/>
          <w:bCs/>
          <w:szCs w:val="21"/>
        </w:rPr>
        <w:t>。</w:t>
      </w:r>
      <w:r>
        <w:rPr>
          <w:rFonts w:ascii="Times New Roman" w:hAnsi="Times New Roman" w:eastAsia="宋体" w:cs="Times New Roman"/>
          <w:bCs/>
          <w:szCs w:val="21"/>
        </w:rPr>
        <w:t>着重增强个体的独立思考能力，通过系统的训练与实践，培养严谨的批判性思维模式。鼓励以理性、客观的态度审视问题，勇于质疑、善于分析，形成独立而深刻的见解。</w:t>
      </w:r>
    </w:p>
    <w:p w14:paraId="65CAD075">
      <w:pPr>
        <w:spacing w:before="156" w:beforeLines="50" w:after="156" w:afterLines="50" w:line="360" w:lineRule="auto"/>
        <w:ind w:firstLine="200"/>
        <w:rPr>
          <w:rFonts w:ascii="Times New Roman" w:hAnsi="Times New Roman" w:eastAsia="宋体" w:cs="Times New Roman"/>
          <w:bCs/>
          <w:szCs w:val="21"/>
        </w:rPr>
      </w:pPr>
      <w:r>
        <w:rPr>
          <w:rFonts w:ascii="Times New Roman" w:hAnsi="Times New Roman" w:eastAsia="宋体" w:cs="Times New Roman"/>
          <w:b/>
          <w:szCs w:val="21"/>
        </w:rPr>
        <w:t>目标3：</w:t>
      </w:r>
      <w:r>
        <w:rPr>
          <w:rFonts w:ascii="Times New Roman" w:hAnsi="Times New Roman" w:eastAsia="宋体" w:cs="Times New Roman"/>
          <w:bCs/>
          <w:szCs w:val="21"/>
        </w:rPr>
        <w:t>树立学术研究意识，恪守学术规范，提升科研素养与学术诚信。积极树立学术研究意识，深入理解学术研究的重要性与价值。在科研过程中，严格遵守学术规范，保持高度的学术诚信，不断提升自身的科研素养，为学术研究的深入与发展贡献力量。</w:t>
      </w:r>
    </w:p>
    <w:p w14:paraId="30ABFDF5">
      <w:pPr>
        <w:spacing w:before="156" w:beforeLines="50" w:after="156" w:afterLines="50" w:line="360" w:lineRule="auto"/>
        <w:ind w:firstLine="200"/>
        <w:rPr>
          <w:rFonts w:ascii="Times New Roman" w:hAnsi="Times New Roman" w:eastAsia="宋体" w:cs="Times New Roman"/>
          <w:bCs/>
          <w:szCs w:val="21"/>
        </w:rPr>
      </w:pPr>
      <w:r>
        <w:rPr>
          <w:rFonts w:ascii="Times New Roman" w:hAnsi="Times New Roman" w:eastAsia="宋体" w:cs="Times New Roman"/>
          <w:b/>
          <w:szCs w:val="21"/>
        </w:rPr>
        <w:t>目标4：</w:t>
      </w:r>
      <w:r>
        <w:rPr>
          <w:rFonts w:ascii="Times New Roman" w:hAnsi="Times New Roman" w:eastAsia="宋体" w:cs="Times New Roman"/>
          <w:bCs/>
          <w:szCs w:val="21"/>
        </w:rPr>
        <w:t>全面提升人文素养，拓宽知识视野，强化综合素质，促进个人全面发展。通过广泛阅读、深入学习，拓宽知识视野，增强对人文、社会、科学等多领域的了解与认识。同时，注重强化综合素质的培养，包括沟通能力、团队协作能力、创新能力等，以促进个人的全面发展与成长。</w:t>
      </w:r>
    </w:p>
    <w:p w14:paraId="513A7798">
      <w:pPr>
        <w:spacing w:before="156" w:beforeLines="50" w:after="156" w:afterLines="50" w:line="360" w:lineRule="auto"/>
        <w:ind w:firstLine="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552"/>
        <w:gridCol w:w="1327"/>
      </w:tblGrid>
      <w:tr w14:paraId="183E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B0AE90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552" w:type="dxa"/>
            <w:vAlign w:val="center"/>
          </w:tcPr>
          <w:p w14:paraId="7C9A46B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4598F6B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116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ED34A86">
            <w:pPr>
              <w:widowControl/>
              <w:rPr>
                <w:rFonts w:hint="eastAsia" w:ascii="宋体" w:hAnsi="宋体" w:eastAsia="宋体"/>
                <w:color w:val="000000"/>
                <w:szCs w:val="23"/>
              </w:rPr>
            </w:pPr>
            <w:r>
              <w:rPr>
                <w:rFonts w:ascii="宋体" w:hAnsi="宋体" w:eastAsia="宋体"/>
                <w:color w:val="000000"/>
                <w:kern w:val="0"/>
                <w:szCs w:val="21"/>
              </w:rPr>
              <w:t>毕业要求2</w:t>
            </w:r>
            <w:r>
              <w:rPr>
                <w:rFonts w:ascii="宋体" w:hAnsi="宋体" w:eastAsia="宋体"/>
                <w:color w:val="000000"/>
                <w:szCs w:val="23"/>
              </w:rPr>
              <w:t>教育情怀</w:t>
            </w:r>
          </w:p>
        </w:tc>
        <w:tc>
          <w:tcPr>
            <w:tcW w:w="5552" w:type="dxa"/>
            <w:vAlign w:val="center"/>
          </w:tcPr>
          <w:p w14:paraId="7ADEBD7C">
            <w:pPr>
              <w:spacing w:line="276" w:lineRule="auto"/>
              <w:jc w:val="left"/>
              <w:rPr>
                <w:rFonts w:hint="eastAsia" w:ascii="宋体" w:hAnsi="宋体" w:eastAsia="宋体" w:cs="Times New Roman"/>
                <w:szCs w:val="21"/>
              </w:rPr>
            </w:pPr>
            <w:r>
              <w:rPr>
                <w:rFonts w:ascii="宋体" w:hAnsi="宋体" w:eastAsia="宋体"/>
                <w:color w:val="000000"/>
                <w:kern w:val="0"/>
                <w:szCs w:val="21"/>
              </w:rPr>
              <w:t>指标点</w:t>
            </w:r>
            <w:r>
              <w:rPr>
                <w:rFonts w:ascii="宋体" w:hAnsi="宋体" w:eastAsia="宋体"/>
                <w:color w:val="000000"/>
                <w:szCs w:val="21"/>
              </w:rPr>
              <w:t>2-3：【自身修养良好】具有较好的人文底蕴与科学精神，言行举止符合教师职业标准，情感积极，人格健全，心理健康，能通过“知识整合”与“技术融合”增强育人素养。</w:t>
            </w:r>
          </w:p>
        </w:tc>
        <w:tc>
          <w:tcPr>
            <w:tcW w:w="1327" w:type="dxa"/>
            <w:vAlign w:val="center"/>
          </w:tcPr>
          <w:p w14:paraId="4E1830D6">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课程目标3</w:t>
            </w:r>
          </w:p>
        </w:tc>
      </w:tr>
      <w:tr w14:paraId="6783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356A2B2">
            <w:pPr>
              <w:rPr>
                <w:rFonts w:hint="eastAsia" w:ascii="宋体" w:hAnsi="宋体" w:eastAsia="宋体"/>
                <w:color w:val="000000"/>
                <w:szCs w:val="23"/>
              </w:rPr>
            </w:pPr>
            <w:r>
              <w:rPr>
                <w:rFonts w:ascii="宋体" w:hAnsi="宋体" w:eastAsia="宋体"/>
                <w:color w:val="000000"/>
                <w:kern w:val="0"/>
                <w:szCs w:val="21"/>
              </w:rPr>
              <w:t>毕业要求3学科</w:t>
            </w:r>
            <w:r>
              <w:rPr>
                <w:rFonts w:ascii="宋体" w:hAnsi="宋体" w:eastAsia="宋体"/>
                <w:color w:val="000000"/>
                <w:szCs w:val="23"/>
              </w:rPr>
              <w:t>素养</w:t>
            </w:r>
          </w:p>
        </w:tc>
        <w:tc>
          <w:tcPr>
            <w:tcW w:w="5552" w:type="dxa"/>
            <w:vAlign w:val="center"/>
          </w:tcPr>
          <w:p w14:paraId="4DAC5E8E">
            <w:pPr>
              <w:spacing w:line="276" w:lineRule="auto"/>
              <w:jc w:val="left"/>
              <w:rPr>
                <w:rFonts w:hint="eastAsia" w:ascii="宋体" w:hAnsi="宋体" w:eastAsia="宋体" w:cs="Times New Roman"/>
                <w:szCs w:val="21"/>
              </w:rPr>
            </w:pPr>
            <w:r>
              <w:rPr>
                <w:rFonts w:ascii="宋体" w:hAnsi="宋体" w:eastAsia="宋体"/>
                <w:color w:val="000000"/>
                <w:kern w:val="0"/>
                <w:szCs w:val="21"/>
              </w:rPr>
              <w:t>指标点</w:t>
            </w:r>
            <w:r>
              <w:rPr>
                <w:rFonts w:ascii="宋体" w:hAnsi="宋体" w:eastAsia="宋体"/>
                <w:color w:val="000000"/>
                <w:szCs w:val="21"/>
              </w:rPr>
              <w:t>3-3：【注重知识整合】</w:t>
            </w:r>
            <w:r>
              <w:rPr>
                <w:rFonts w:ascii="宋体" w:hAnsi="宋体" w:eastAsia="宋体"/>
                <w:color w:val="000000"/>
                <w:szCs w:val="23"/>
              </w:rPr>
              <w:t>了解所教学科与其他学科及与社会实践、小学生生活实践之间的联系，了解学科整合的在小学教育中的价值，具有跨学科解决问题的意识和能力，能指导综合性学科教学活动。</w:t>
            </w:r>
          </w:p>
        </w:tc>
        <w:tc>
          <w:tcPr>
            <w:tcW w:w="1327" w:type="dxa"/>
            <w:vAlign w:val="center"/>
          </w:tcPr>
          <w:p w14:paraId="68B449E5">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tc>
      </w:tr>
      <w:tr w14:paraId="34C4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682C0D9">
            <w:pPr>
              <w:rPr>
                <w:rFonts w:hint="eastAsia" w:ascii="宋体" w:hAnsi="宋体" w:eastAsia="宋体"/>
                <w:color w:val="000000"/>
                <w:kern w:val="0"/>
                <w:szCs w:val="21"/>
              </w:rPr>
            </w:pPr>
            <w:r>
              <w:rPr>
                <w:rFonts w:ascii="宋体" w:hAnsi="宋体" w:eastAsia="宋体"/>
                <w:color w:val="000000"/>
                <w:kern w:val="0"/>
                <w:szCs w:val="21"/>
              </w:rPr>
              <w:t>毕业要求7学会反思</w:t>
            </w:r>
          </w:p>
        </w:tc>
        <w:tc>
          <w:tcPr>
            <w:tcW w:w="5552" w:type="dxa"/>
            <w:vAlign w:val="center"/>
          </w:tcPr>
          <w:p w14:paraId="212D1F6C">
            <w:pPr>
              <w:spacing w:line="276" w:lineRule="auto"/>
              <w:jc w:val="left"/>
              <w:rPr>
                <w:rFonts w:hint="eastAsia" w:ascii="宋体" w:hAnsi="宋体" w:eastAsia="宋体" w:cs="Times New Roman"/>
                <w:szCs w:val="21"/>
              </w:rPr>
            </w:pPr>
            <w:r>
              <w:rPr>
                <w:rFonts w:ascii="宋体" w:hAnsi="宋体" w:eastAsia="宋体"/>
                <w:color w:val="000000"/>
                <w:kern w:val="0"/>
                <w:szCs w:val="21"/>
              </w:rPr>
              <w:t>指标点</w:t>
            </w:r>
            <w:r>
              <w:rPr>
                <w:rFonts w:ascii="宋体" w:hAnsi="宋体" w:eastAsia="宋体"/>
                <w:color w:val="000000"/>
                <w:szCs w:val="21"/>
              </w:rPr>
              <w:t>7-1：【教育视野开阔】积极参加基础教育领域的国内外交流，了解国内外基础教育改革发展的动态，具有宽广的教育视野，能够主动适应新时代和教育发展需求。</w:t>
            </w:r>
          </w:p>
        </w:tc>
        <w:tc>
          <w:tcPr>
            <w:tcW w:w="1327" w:type="dxa"/>
            <w:vAlign w:val="center"/>
          </w:tcPr>
          <w:p w14:paraId="5B1B3CDD">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p w14:paraId="3EFAC0D4">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课程目标4</w:t>
            </w:r>
          </w:p>
        </w:tc>
      </w:tr>
    </w:tbl>
    <w:p w14:paraId="6B49F6CF">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0F8E474F">
      <w:pPr>
        <w:spacing w:line="360"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60524896">
      <w:pPr>
        <w:widowControl/>
        <w:jc w:val="left"/>
        <w:rPr>
          <w:rFonts w:hint="eastAsia" w:ascii="宋体" w:hAnsi="宋体" w:eastAsia="宋体" w:cs="Times New Roman"/>
          <w:color w:val="000000"/>
          <w:szCs w:val="21"/>
        </w:rPr>
      </w:pPr>
    </w:p>
    <w:p w14:paraId="4FB786BF">
      <w:pPr>
        <w:widowControl/>
        <w:jc w:val="left"/>
        <w:rPr>
          <w:rFonts w:hint="eastAsia" w:ascii="宋体" w:hAnsi="宋体" w:eastAsia="宋体" w:cs="Times New Roman"/>
          <w:color w:val="000000"/>
          <w:szCs w:val="21"/>
        </w:rPr>
      </w:pPr>
      <w:r>
        <w:rPr>
          <w:rFonts w:ascii="宋体" w:hAnsi="宋体" w:eastAsia="宋体" w:cs="Times New Roman"/>
          <w:color w:val="000000"/>
          <w:szCs w:val="21"/>
        </w:rPr>
        <w:br w:type="page"/>
      </w:r>
    </w:p>
    <w:p w14:paraId="4EB92893">
      <w:pPr>
        <w:widowControl/>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342"/>
        <w:gridCol w:w="3052"/>
        <w:gridCol w:w="1560"/>
        <w:gridCol w:w="438"/>
      </w:tblGrid>
      <w:tr w14:paraId="290F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0566B6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7E639D7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E9BF36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342" w:type="dxa"/>
            <w:vAlign w:val="center"/>
          </w:tcPr>
          <w:p w14:paraId="4FD4CFD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323651C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052" w:type="dxa"/>
            <w:vAlign w:val="center"/>
          </w:tcPr>
          <w:p w14:paraId="68EB537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6EE143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689370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005A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F06320B">
            <w:pPr>
              <w:spacing w:line="264" w:lineRule="auto"/>
              <w:rPr>
                <w:rFonts w:hint="eastAsia" w:ascii="宋体" w:hAnsi="宋体" w:eastAsia="宋体" w:cs="Times New Roman"/>
                <w:color w:val="000000"/>
                <w:szCs w:val="21"/>
              </w:rPr>
            </w:pPr>
            <w:r>
              <w:rPr>
                <w:rFonts w:hint="eastAsia" w:ascii="宋体" w:hAnsi="宋体" w:eastAsia="宋体" w:cs="Times New Roman"/>
                <w:color w:val="000000"/>
                <w:szCs w:val="21"/>
              </w:rPr>
              <w:t>1.阅读方法与技巧模块</w:t>
            </w:r>
          </w:p>
        </w:tc>
        <w:tc>
          <w:tcPr>
            <w:tcW w:w="1701" w:type="dxa"/>
            <w:vAlign w:val="center"/>
          </w:tcPr>
          <w:p w14:paraId="0BBABE4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介绍常用的阅读方法和技巧，如泛读、精读、略读等，帮助学生掌握如何高效地阅读不同类型的文献。</w:t>
            </w:r>
          </w:p>
        </w:tc>
        <w:tc>
          <w:tcPr>
            <w:tcW w:w="1342" w:type="dxa"/>
            <w:vAlign w:val="center"/>
          </w:tcPr>
          <w:p w14:paraId="1623051C">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tc>
        <w:tc>
          <w:tcPr>
            <w:tcW w:w="3052" w:type="dxa"/>
            <w:vAlign w:val="center"/>
          </w:tcPr>
          <w:p w14:paraId="5887D00C">
            <w:pPr>
              <w:spacing w:line="269" w:lineRule="auto"/>
              <w:rPr>
                <w:rFonts w:hint="eastAsia" w:ascii="宋体" w:hAnsi="宋体" w:eastAsia="宋体" w:cs="Times New Roman"/>
                <w:color w:val="000000"/>
                <w:szCs w:val="21"/>
              </w:rPr>
            </w:pPr>
            <w:r>
              <w:rPr>
                <w:rFonts w:hint="eastAsia" w:ascii="宋体" w:hAnsi="宋体" w:eastAsia="宋体" w:cs="Times New Roman"/>
                <w:szCs w:val="21"/>
              </w:rPr>
              <w:t>理解课程的基本概念、理论和方法，为后续学习打下基础。利用网络资源进行自主学习和拓展阅读，提高学习效果和综合素质。</w:t>
            </w:r>
            <w:r>
              <w:rPr>
                <w:rFonts w:ascii="宋体" w:hAnsi="宋体" w:eastAsia="宋体" w:cs="Times New Roman"/>
                <w:szCs w:val="21"/>
              </w:rPr>
              <w:t>随着阅读经验的积累，学生的阅读速度将会提高，同时保持对文本内容的准确理解。这种能力的提升将使他们能够在有限的时间内阅读更多的材料，获取更多的信息。</w:t>
            </w:r>
          </w:p>
        </w:tc>
        <w:tc>
          <w:tcPr>
            <w:tcW w:w="1560" w:type="dxa"/>
            <w:vAlign w:val="center"/>
          </w:tcPr>
          <w:p w14:paraId="6D45442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553BC2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4865B19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4D31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7608DF8">
            <w:pPr>
              <w:spacing w:line="264" w:lineRule="auto"/>
              <w:jc w:val="center"/>
              <w:rPr>
                <w:rFonts w:hint="eastAsia" w:ascii="宋体" w:hAnsi="宋体" w:eastAsia="宋体" w:cs="Times New Roman"/>
                <w:color w:val="000000"/>
                <w:szCs w:val="21"/>
              </w:rPr>
            </w:pPr>
          </w:p>
        </w:tc>
        <w:tc>
          <w:tcPr>
            <w:tcW w:w="8093" w:type="dxa"/>
            <w:gridSpan w:val="5"/>
            <w:vAlign w:val="center"/>
          </w:tcPr>
          <w:p w14:paraId="3E3332D2">
            <w:pPr>
              <w:spacing w:line="269" w:lineRule="auto"/>
              <w:rPr>
                <w:rFonts w:hint="eastAsia" w:ascii="宋体" w:hAnsi="宋体" w:eastAsia="宋体" w:cs="Times New Roman"/>
                <w:bCs/>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了解</w:t>
            </w:r>
            <w:r>
              <w:rPr>
                <w:rFonts w:ascii="宋体" w:hAnsi="宋体" w:eastAsia="宋体" w:cs="Times New Roman"/>
                <w:bCs/>
                <w:color w:val="000000"/>
                <w:szCs w:val="21"/>
              </w:rPr>
              <w:t>阅读方法和技巧的重要性，养成自主学习的习惯</w:t>
            </w:r>
            <w:r>
              <w:rPr>
                <w:rFonts w:hint="eastAsia" w:ascii="宋体" w:hAnsi="宋体" w:eastAsia="宋体" w:cs="Times New Roman"/>
                <w:bCs/>
                <w:color w:val="000000"/>
                <w:szCs w:val="21"/>
              </w:rPr>
              <w:t>，并</w:t>
            </w:r>
            <w:r>
              <w:rPr>
                <w:rFonts w:ascii="宋体" w:hAnsi="宋体" w:eastAsia="宋体" w:cs="Times New Roman"/>
                <w:bCs/>
                <w:color w:val="000000"/>
                <w:szCs w:val="21"/>
              </w:rPr>
              <w:t>学会利用图书馆、网络资源等，提高信息检索和筛选能力。</w:t>
            </w:r>
          </w:p>
        </w:tc>
      </w:tr>
      <w:tr w14:paraId="1F33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62E774">
            <w:pPr>
              <w:spacing w:line="264" w:lineRule="auto"/>
              <w:rPr>
                <w:rFonts w:hint="eastAsia" w:ascii="宋体" w:hAnsi="宋体" w:eastAsia="宋体" w:cs="Times New Roman"/>
                <w:color w:val="000000"/>
                <w:szCs w:val="21"/>
              </w:rPr>
            </w:pPr>
            <w:r>
              <w:rPr>
                <w:rFonts w:hint="eastAsia" w:ascii="宋体" w:hAnsi="宋体" w:eastAsia="宋体" w:cs="Times New Roman"/>
                <w:color w:val="000000"/>
                <w:szCs w:val="21"/>
              </w:rPr>
              <w:t>2.批判性思维模块</w:t>
            </w:r>
          </w:p>
        </w:tc>
        <w:tc>
          <w:tcPr>
            <w:tcW w:w="1701" w:type="dxa"/>
            <w:vAlign w:val="center"/>
          </w:tcPr>
          <w:p w14:paraId="795643E6">
            <w:pPr>
              <w:spacing w:line="353" w:lineRule="auto"/>
              <w:rPr>
                <w:rFonts w:hint="eastAsia" w:ascii="宋体" w:hAnsi="宋体" w:eastAsia="宋体" w:cs="Times New Roman"/>
                <w:color w:val="000000"/>
                <w:szCs w:val="21"/>
              </w:rPr>
            </w:pPr>
            <w:r>
              <w:rPr>
                <w:rFonts w:hint="eastAsia" w:ascii="宋体" w:hAnsi="宋体" w:eastAsia="宋体" w:cs="Times New Roman"/>
                <w:color w:val="000000"/>
                <w:szCs w:val="21"/>
              </w:rPr>
              <w:t>通过案例分析、讨论等形式，培养学生的批判性思维能力，使其能够独立思考、分析问题并提出解决方案。</w:t>
            </w:r>
          </w:p>
        </w:tc>
        <w:tc>
          <w:tcPr>
            <w:tcW w:w="1342" w:type="dxa"/>
            <w:vAlign w:val="center"/>
          </w:tcPr>
          <w:p w14:paraId="7D77CB02">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c>
          <w:tcPr>
            <w:tcW w:w="3052" w:type="dxa"/>
            <w:vAlign w:val="center"/>
          </w:tcPr>
          <w:p w14:paraId="77B400B0">
            <w:pPr>
              <w:rPr>
                <w:rFonts w:hint="eastAsia" w:ascii="宋体" w:hAnsi="宋体" w:eastAsia="宋体" w:cs="Times New Roman"/>
                <w:szCs w:val="21"/>
              </w:rPr>
            </w:pPr>
            <w:r>
              <w:rPr>
                <w:rFonts w:hint="eastAsia" w:ascii="宋体" w:hAnsi="宋体" w:eastAsia="宋体" w:cs="Times New Roman"/>
                <w:szCs w:val="21"/>
              </w:rPr>
              <w:t>通过分析真实的经典阅读和学术研究案例，帮助学生将理论知识应用于实际情境。</w:t>
            </w:r>
          </w:p>
        </w:tc>
        <w:tc>
          <w:tcPr>
            <w:tcW w:w="1560" w:type="dxa"/>
            <w:vAlign w:val="center"/>
          </w:tcPr>
          <w:p w14:paraId="4F8B4E9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2E537517">
            <w:pPr>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52BFB29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18AF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93BBF3">
            <w:pPr>
              <w:spacing w:line="264" w:lineRule="auto"/>
              <w:jc w:val="center"/>
              <w:rPr>
                <w:rFonts w:hint="eastAsia" w:ascii="宋体" w:hAnsi="宋体" w:eastAsia="宋体" w:cs="Times New Roman"/>
                <w:color w:val="000000"/>
                <w:szCs w:val="21"/>
              </w:rPr>
            </w:pPr>
          </w:p>
        </w:tc>
        <w:tc>
          <w:tcPr>
            <w:tcW w:w="8093" w:type="dxa"/>
            <w:gridSpan w:val="5"/>
            <w:vAlign w:val="center"/>
          </w:tcPr>
          <w:p w14:paraId="319E1599">
            <w:pPr>
              <w:spacing w:line="269"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通过阅读不同类型的文献，学会独立思考，对信息进行批判性分析，不盲目接受</w:t>
            </w:r>
            <w:r>
              <w:rPr>
                <w:rFonts w:hint="eastAsia" w:ascii="宋体" w:hAnsi="宋体" w:eastAsia="宋体" w:cs="Times New Roman"/>
                <w:color w:val="000000"/>
                <w:szCs w:val="21"/>
              </w:rPr>
              <w:t>，善于</w:t>
            </w:r>
            <w:r>
              <w:rPr>
                <w:rFonts w:ascii="宋体" w:hAnsi="宋体" w:eastAsia="宋体" w:cs="Times New Roman"/>
                <w:color w:val="000000"/>
                <w:szCs w:val="21"/>
              </w:rPr>
              <w:t>提出自己的见解，培养质疑精神和创新思维。</w:t>
            </w:r>
          </w:p>
        </w:tc>
      </w:tr>
      <w:tr w14:paraId="5D38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7CADC83">
            <w:pPr>
              <w:spacing w:line="353" w:lineRule="auto"/>
              <w:rPr>
                <w:rFonts w:hint="eastAsia" w:ascii="宋体" w:hAnsi="宋体" w:eastAsia="宋体" w:cs="Times New Roman"/>
                <w:color w:val="000000"/>
                <w:szCs w:val="21"/>
              </w:rPr>
            </w:pPr>
            <w:r>
              <w:rPr>
                <w:rFonts w:hint="eastAsia" w:ascii="宋体" w:hAnsi="宋体" w:eastAsia="宋体" w:cs="Times New Roman"/>
                <w:color w:val="000000"/>
                <w:szCs w:val="21"/>
              </w:rPr>
              <w:t>3．学术研究规范模块</w:t>
            </w:r>
          </w:p>
        </w:tc>
        <w:tc>
          <w:tcPr>
            <w:tcW w:w="1701" w:type="dxa"/>
            <w:vAlign w:val="center"/>
          </w:tcPr>
          <w:p w14:paraId="5C7A3B4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介绍学术研究的基本规范和要求，包括学术诚信、引用规范、论文撰写等，帮助学生树立良好的学术道德和规范意识。</w:t>
            </w:r>
          </w:p>
        </w:tc>
        <w:tc>
          <w:tcPr>
            <w:tcW w:w="1342" w:type="dxa"/>
            <w:vAlign w:val="center"/>
          </w:tcPr>
          <w:p w14:paraId="5841A4CE">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1"/>
              </w:rPr>
              <w:t>课程目标3</w:t>
            </w:r>
          </w:p>
        </w:tc>
        <w:tc>
          <w:tcPr>
            <w:tcW w:w="3052" w:type="dxa"/>
            <w:vAlign w:val="center"/>
          </w:tcPr>
          <w:p w14:paraId="695C56A3">
            <w:pPr>
              <w:spacing w:line="269" w:lineRule="auto"/>
              <w:rPr>
                <w:rFonts w:hint="eastAsia" w:ascii="宋体" w:hAnsi="宋体" w:eastAsia="宋体" w:cs="Times New Roman"/>
                <w:color w:val="000000"/>
                <w:szCs w:val="21"/>
              </w:rPr>
            </w:pPr>
            <w:r>
              <w:rPr>
                <w:rFonts w:hint="eastAsia" w:ascii="宋体" w:hAnsi="宋体" w:eastAsia="宋体" w:cs="Times New Roman"/>
                <w:szCs w:val="21"/>
              </w:rPr>
              <w:t>鼓励学生分组进行讨论，分享阅读体验和思考，培养学生的合作意识和沟通能力。组织学生进行经典阅读实践，撰写读书笔记、论文等，培养学生的实践能力和学术规范意识。</w:t>
            </w:r>
          </w:p>
        </w:tc>
        <w:tc>
          <w:tcPr>
            <w:tcW w:w="1560" w:type="dxa"/>
            <w:vAlign w:val="center"/>
          </w:tcPr>
          <w:p w14:paraId="1674A95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4907D2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061E8DF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04D0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7D4BFB8">
            <w:pPr>
              <w:spacing w:line="264" w:lineRule="auto"/>
              <w:jc w:val="center"/>
              <w:rPr>
                <w:rFonts w:hint="eastAsia" w:ascii="宋体" w:hAnsi="宋体" w:eastAsia="宋体" w:cs="Times New Roman"/>
                <w:color w:val="000000"/>
                <w:szCs w:val="21"/>
              </w:rPr>
            </w:pPr>
          </w:p>
        </w:tc>
        <w:tc>
          <w:tcPr>
            <w:tcW w:w="8093" w:type="dxa"/>
            <w:gridSpan w:val="5"/>
            <w:vAlign w:val="center"/>
          </w:tcPr>
          <w:p w14:paraId="17CBE9B0">
            <w:pPr>
              <w:spacing w:line="269"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w:t>
            </w:r>
            <w:r>
              <w:rPr>
                <w:rFonts w:hint="eastAsia" w:ascii="宋体" w:hAnsi="宋体" w:eastAsia="宋体" w:cs="Times New Roman"/>
                <w:szCs w:val="21"/>
              </w:rPr>
              <w:t>撰写读书笔记和报告、论文等，从而培养自身的实践能力和学术规范意识。</w:t>
            </w:r>
          </w:p>
        </w:tc>
      </w:tr>
      <w:tr w14:paraId="5560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5315856">
            <w:pPr>
              <w:spacing w:line="353" w:lineRule="auto"/>
              <w:rPr>
                <w:rFonts w:hint="eastAsia" w:ascii="宋体" w:hAnsi="宋体" w:eastAsia="宋体" w:cs="Times New Roman"/>
                <w:color w:val="000000"/>
                <w:szCs w:val="21"/>
              </w:rPr>
            </w:pPr>
            <w:r>
              <w:rPr>
                <w:rFonts w:hint="eastAsia" w:ascii="宋体" w:hAnsi="宋体" w:eastAsia="宋体" w:cs="Times New Roman"/>
                <w:color w:val="000000"/>
                <w:szCs w:val="21"/>
              </w:rPr>
              <w:t>4.经典阅读实践模块</w:t>
            </w:r>
          </w:p>
        </w:tc>
        <w:tc>
          <w:tcPr>
            <w:tcW w:w="1701" w:type="dxa"/>
            <w:vAlign w:val="center"/>
          </w:tcPr>
          <w:p w14:paraId="6116B86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通过阅读经典文学作品、教育名著等，提高学生的阅读理解能力和文学鉴赏能力，同时拓展其人文视野和综合素质。</w:t>
            </w:r>
          </w:p>
        </w:tc>
        <w:tc>
          <w:tcPr>
            <w:tcW w:w="1342" w:type="dxa"/>
            <w:vAlign w:val="center"/>
          </w:tcPr>
          <w:p w14:paraId="3FAC329C">
            <w:pPr>
              <w:spacing w:line="276" w:lineRule="auto"/>
              <w:rPr>
                <w:rFonts w:hint="eastAsia" w:ascii="宋体" w:hAnsi="宋体" w:eastAsia="宋体" w:cs="Times New Roman"/>
                <w:color w:val="000000"/>
                <w:szCs w:val="21"/>
              </w:rPr>
            </w:pPr>
            <w:r>
              <w:rPr>
                <w:rFonts w:hint="eastAsia" w:ascii="宋体" w:hAnsi="宋体" w:eastAsia="宋体" w:cs="Times New Roman"/>
                <w:szCs w:val="21"/>
              </w:rPr>
              <w:t>课程目标4</w:t>
            </w:r>
          </w:p>
        </w:tc>
        <w:tc>
          <w:tcPr>
            <w:tcW w:w="3052" w:type="dxa"/>
            <w:vAlign w:val="center"/>
          </w:tcPr>
          <w:p w14:paraId="4C1E6E8D">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学生将能够更好地理解文本的深层含义和作者想要表达的主题思想。通过阅读，捕捉到文本中的关键信息和细节，从而更全面地理解文章的内容。</w:t>
            </w:r>
          </w:p>
          <w:p w14:paraId="4683F5EF">
            <w:pPr>
              <w:spacing w:line="276" w:lineRule="auto"/>
              <w:rPr>
                <w:rFonts w:hint="eastAsia" w:ascii="宋体" w:hAnsi="宋体" w:eastAsia="宋体"/>
                <w:color w:val="000000"/>
                <w:szCs w:val="21"/>
              </w:rPr>
            </w:pPr>
            <w:r>
              <w:rPr>
                <w:rFonts w:ascii="宋体" w:hAnsi="宋体" w:eastAsia="宋体"/>
                <w:color w:val="000000"/>
                <w:szCs w:val="21"/>
              </w:rPr>
              <w:t>经典文学作品往往蕴含着丰富的文化内涵和多元的文化视角。通过阅读这些作品，学生将能够更深入地了解不同文化背景下的社会、历史、人文等方面的知识，从而拓展自己的人文视野。</w:t>
            </w:r>
          </w:p>
          <w:p w14:paraId="4F7E9C14">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学生将能够更好地理解他人的情感和经历，培养自己的同理心和社会责任感。</w:t>
            </w:r>
          </w:p>
        </w:tc>
        <w:tc>
          <w:tcPr>
            <w:tcW w:w="1560" w:type="dxa"/>
            <w:vAlign w:val="center"/>
          </w:tcPr>
          <w:p w14:paraId="4736855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1A5CE1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20E03BB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0891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0275CDA">
            <w:pPr>
              <w:spacing w:line="276" w:lineRule="auto"/>
              <w:jc w:val="center"/>
              <w:rPr>
                <w:rFonts w:hint="eastAsia" w:ascii="宋体" w:hAnsi="宋体" w:eastAsia="宋体" w:cs="Times New Roman"/>
                <w:color w:val="000000"/>
                <w:szCs w:val="21"/>
              </w:rPr>
            </w:pPr>
          </w:p>
        </w:tc>
        <w:tc>
          <w:tcPr>
            <w:tcW w:w="8093" w:type="dxa"/>
            <w:gridSpan w:val="5"/>
            <w:vAlign w:val="center"/>
          </w:tcPr>
          <w:p w14:paraId="0121CBB9">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通过阅读经典文学作品和人文社科类文献，拓宽</w:t>
            </w:r>
            <w:r>
              <w:rPr>
                <w:rFonts w:hint="eastAsia" w:ascii="宋体" w:hAnsi="宋体" w:eastAsia="宋体" w:cs="Times New Roman"/>
                <w:color w:val="000000"/>
                <w:szCs w:val="21"/>
              </w:rPr>
              <w:t>自身</w:t>
            </w:r>
            <w:r>
              <w:rPr>
                <w:rFonts w:ascii="宋体" w:hAnsi="宋体" w:eastAsia="宋体" w:cs="Times New Roman"/>
                <w:color w:val="000000"/>
                <w:szCs w:val="21"/>
              </w:rPr>
              <w:t>的文化视野，增强对多元文化的理解和尊重</w:t>
            </w:r>
            <w:r>
              <w:rPr>
                <w:rFonts w:hint="eastAsia" w:ascii="宋体" w:hAnsi="宋体" w:eastAsia="宋体" w:cs="Times New Roman"/>
                <w:color w:val="000000"/>
                <w:szCs w:val="21"/>
              </w:rPr>
              <w:t>，并</w:t>
            </w:r>
            <w:r>
              <w:rPr>
                <w:rFonts w:ascii="宋体" w:hAnsi="宋体" w:eastAsia="宋体" w:cs="Times New Roman"/>
                <w:color w:val="000000"/>
                <w:szCs w:val="21"/>
              </w:rPr>
              <w:t>培养审美情趣和道德观念，促进全面发展。</w:t>
            </w:r>
          </w:p>
        </w:tc>
      </w:tr>
    </w:tbl>
    <w:p w14:paraId="462B82C3">
      <w:pPr>
        <w:spacing w:line="360" w:lineRule="auto"/>
        <w:jc w:val="left"/>
        <w:rPr>
          <w:rFonts w:ascii="Times New Roman" w:hAnsi="Times New Roman" w:eastAsia="宋体" w:cs="Times New Roman"/>
          <w:sz w:val="24"/>
        </w:rPr>
      </w:pPr>
    </w:p>
    <w:p w14:paraId="0E445C7E">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6F9D059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5EC7E6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CBAC5C9">
      <w:pPr>
        <w:spacing w:line="360" w:lineRule="auto"/>
        <w:ind w:firstLine="420" w:firstLineChars="200"/>
        <w:jc w:val="left"/>
        <w:rPr>
          <w:rFonts w:ascii="Times New Roman" w:hAnsi="Times New Roman" w:eastAsia="宋体" w:cs="Times New Roman"/>
          <w:szCs w:val="21"/>
        </w:rPr>
      </w:pPr>
    </w:p>
    <w:p w14:paraId="74426DA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351"/>
        <w:gridCol w:w="1686"/>
        <w:gridCol w:w="1686"/>
        <w:gridCol w:w="1816"/>
        <w:gridCol w:w="636"/>
      </w:tblGrid>
      <w:tr w14:paraId="39EE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3376BF3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393" w:type="dxa"/>
            <w:gridSpan w:val="4"/>
            <w:vAlign w:val="center"/>
          </w:tcPr>
          <w:p w14:paraId="6D92AFDE">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2F71C066">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E61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1C274101">
            <w:pPr>
              <w:spacing w:line="360" w:lineRule="auto"/>
              <w:jc w:val="center"/>
              <w:rPr>
                <w:rFonts w:hint="eastAsia" w:ascii="宋体" w:hAnsi="宋体" w:eastAsia="宋体" w:cs="Times New Roman"/>
                <w:szCs w:val="21"/>
              </w:rPr>
            </w:pPr>
          </w:p>
        </w:tc>
        <w:tc>
          <w:tcPr>
            <w:tcW w:w="1351" w:type="dxa"/>
            <w:vAlign w:val="center"/>
          </w:tcPr>
          <w:p w14:paraId="28F5872D">
            <w:pPr>
              <w:spacing w:line="360" w:lineRule="auto"/>
              <w:jc w:val="center"/>
              <w:rPr>
                <w:rFonts w:hint="eastAsia" w:ascii="宋体" w:hAnsi="宋体" w:eastAsia="宋体" w:cs="Times New Roman"/>
                <w:szCs w:val="21"/>
              </w:rPr>
            </w:pPr>
            <w:r>
              <w:rPr>
                <w:rFonts w:hint="eastAsia" w:ascii="宋体" w:hAnsi="宋体" w:eastAsia="宋体"/>
              </w:rPr>
              <w:t>经典</w:t>
            </w:r>
            <w:r>
              <w:rPr>
                <w:rFonts w:ascii="宋体" w:hAnsi="宋体" w:eastAsia="宋体"/>
              </w:rPr>
              <w:t>阅读</w:t>
            </w:r>
            <w:r>
              <w:rPr>
                <w:rFonts w:hint="eastAsia" w:ascii="宋体" w:hAnsi="宋体" w:eastAsia="宋体"/>
              </w:rPr>
              <w:t>数量</w:t>
            </w:r>
          </w:p>
        </w:tc>
        <w:tc>
          <w:tcPr>
            <w:tcW w:w="0" w:type="auto"/>
            <w:vAlign w:val="center"/>
          </w:tcPr>
          <w:p w14:paraId="6E4F8B95">
            <w:pPr>
              <w:spacing w:line="360" w:lineRule="auto"/>
              <w:jc w:val="center"/>
              <w:rPr>
                <w:rFonts w:hint="eastAsia" w:ascii="宋体" w:hAnsi="宋体" w:eastAsia="宋体" w:cs="Times New Roman"/>
                <w:szCs w:val="21"/>
              </w:rPr>
            </w:pPr>
            <w:r>
              <w:rPr>
                <w:rFonts w:ascii="宋体" w:hAnsi="宋体" w:eastAsia="宋体"/>
              </w:rPr>
              <w:t>参加讲座</w:t>
            </w:r>
            <w:r>
              <w:rPr>
                <w:rFonts w:hint="eastAsia" w:ascii="宋体" w:hAnsi="宋体" w:eastAsia="宋体"/>
              </w:rPr>
              <w:t>或报告</w:t>
            </w:r>
          </w:p>
        </w:tc>
        <w:tc>
          <w:tcPr>
            <w:tcW w:w="0" w:type="auto"/>
            <w:vAlign w:val="center"/>
          </w:tcPr>
          <w:p w14:paraId="7CAAC2D8">
            <w:pPr>
              <w:spacing w:line="360" w:lineRule="auto"/>
              <w:jc w:val="center"/>
              <w:rPr>
                <w:rFonts w:hint="eastAsia" w:ascii="宋体" w:hAnsi="宋体" w:eastAsia="宋体" w:cs="Times New Roman"/>
                <w:szCs w:val="21"/>
              </w:rPr>
            </w:pPr>
            <w:r>
              <w:rPr>
                <w:rFonts w:ascii="宋体" w:hAnsi="宋体" w:eastAsia="宋体"/>
              </w:rPr>
              <w:t>读书</w:t>
            </w:r>
            <w:r>
              <w:rPr>
                <w:rFonts w:hint="eastAsia" w:ascii="宋体" w:hAnsi="宋体" w:eastAsia="宋体"/>
              </w:rPr>
              <w:t>体会或笔记</w:t>
            </w:r>
          </w:p>
        </w:tc>
        <w:tc>
          <w:tcPr>
            <w:tcW w:w="0" w:type="auto"/>
            <w:vAlign w:val="center"/>
          </w:tcPr>
          <w:p w14:paraId="3E01D214">
            <w:pPr>
              <w:spacing w:line="360" w:lineRule="auto"/>
              <w:jc w:val="center"/>
              <w:rPr>
                <w:rFonts w:hint="eastAsia" w:ascii="宋体" w:hAnsi="宋体" w:eastAsia="宋体" w:cs="Times New Roman"/>
                <w:szCs w:val="21"/>
              </w:rPr>
            </w:pPr>
            <w:r>
              <w:rPr>
                <w:rFonts w:hint="eastAsia" w:ascii="宋体" w:hAnsi="宋体" w:eastAsia="宋体"/>
                <w:spacing w:val="-5"/>
                <w:szCs w:val="21"/>
              </w:rPr>
              <w:t>大学生读书节获奖</w:t>
            </w:r>
          </w:p>
        </w:tc>
        <w:tc>
          <w:tcPr>
            <w:tcW w:w="0" w:type="auto"/>
            <w:vMerge w:val="continue"/>
            <w:vAlign w:val="center"/>
          </w:tcPr>
          <w:p w14:paraId="66E51B9C">
            <w:pPr>
              <w:spacing w:line="360" w:lineRule="auto"/>
              <w:jc w:val="center"/>
              <w:rPr>
                <w:rFonts w:hint="eastAsia" w:ascii="宋体" w:hAnsi="宋体" w:eastAsia="宋体" w:cs="Times New Roman"/>
                <w:szCs w:val="21"/>
              </w:rPr>
            </w:pPr>
          </w:p>
        </w:tc>
      </w:tr>
      <w:tr w14:paraId="3DE4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6F4BAF0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351" w:type="dxa"/>
            <w:vAlign w:val="center"/>
          </w:tcPr>
          <w:p w14:paraId="4585AEE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49493C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2F6701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338108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8DEFEE3">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33B7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3E0BB6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351" w:type="dxa"/>
            <w:vAlign w:val="center"/>
          </w:tcPr>
          <w:p w14:paraId="2F8172A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41902A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E88B10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CFBBE3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0BC528A">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07C5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AD08F2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351" w:type="dxa"/>
            <w:vAlign w:val="center"/>
          </w:tcPr>
          <w:p w14:paraId="4E0FBE6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D075D7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E9969F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E83B48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DB15990">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0589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48106A0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351" w:type="dxa"/>
            <w:vAlign w:val="center"/>
          </w:tcPr>
          <w:p w14:paraId="38C0334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07B44F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411975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1E7B5C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1347C16">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173E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DDEAC61">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351" w:type="dxa"/>
            <w:vAlign w:val="center"/>
          </w:tcPr>
          <w:p w14:paraId="6287F0D5">
            <w:pPr>
              <w:spacing w:line="360" w:lineRule="auto"/>
              <w:jc w:val="center"/>
              <w:rPr>
                <w:rFonts w:hint="eastAsia" w:ascii="宋体" w:hAnsi="宋体" w:eastAsia="宋体" w:cs="Times New Roman"/>
                <w:szCs w:val="21"/>
              </w:rPr>
            </w:pPr>
          </w:p>
        </w:tc>
        <w:tc>
          <w:tcPr>
            <w:tcW w:w="0" w:type="auto"/>
            <w:vAlign w:val="center"/>
          </w:tcPr>
          <w:p w14:paraId="142F154A">
            <w:pPr>
              <w:spacing w:line="360" w:lineRule="auto"/>
              <w:jc w:val="center"/>
              <w:rPr>
                <w:rFonts w:hint="eastAsia" w:ascii="宋体" w:hAnsi="宋体" w:eastAsia="宋体" w:cs="Times New Roman"/>
                <w:szCs w:val="21"/>
              </w:rPr>
            </w:pPr>
          </w:p>
        </w:tc>
        <w:tc>
          <w:tcPr>
            <w:tcW w:w="0" w:type="auto"/>
            <w:vAlign w:val="center"/>
          </w:tcPr>
          <w:p w14:paraId="6D507FA9">
            <w:pPr>
              <w:spacing w:line="360" w:lineRule="auto"/>
              <w:jc w:val="center"/>
              <w:rPr>
                <w:rFonts w:hint="eastAsia" w:ascii="宋体" w:hAnsi="宋体" w:eastAsia="宋体" w:cs="Times New Roman"/>
                <w:szCs w:val="21"/>
              </w:rPr>
            </w:pPr>
          </w:p>
        </w:tc>
        <w:tc>
          <w:tcPr>
            <w:tcW w:w="0" w:type="auto"/>
            <w:vAlign w:val="center"/>
          </w:tcPr>
          <w:p w14:paraId="443E770C">
            <w:pPr>
              <w:spacing w:line="360" w:lineRule="auto"/>
              <w:jc w:val="center"/>
              <w:rPr>
                <w:rFonts w:hint="eastAsia" w:ascii="宋体" w:hAnsi="宋体" w:eastAsia="宋体" w:cs="Times New Roman"/>
                <w:szCs w:val="21"/>
              </w:rPr>
            </w:pPr>
          </w:p>
        </w:tc>
        <w:tc>
          <w:tcPr>
            <w:tcW w:w="0" w:type="auto"/>
            <w:vAlign w:val="center"/>
          </w:tcPr>
          <w:p w14:paraId="2B69DC8E">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6385FB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BBC0D0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84C857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6095"/>
        <w:gridCol w:w="930"/>
      </w:tblGrid>
      <w:tr w14:paraId="22DF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4AA8B10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095" w:type="dxa"/>
            <w:vAlign w:val="center"/>
          </w:tcPr>
          <w:p w14:paraId="449BECA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930" w:type="dxa"/>
            <w:vAlign w:val="center"/>
          </w:tcPr>
          <w:p w14:paraId="2CD2825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63B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DBD0D19">
            <w:pPr>
              <w:rPr>
                <w:rFonts w:hint="eastAsia" w:ascii="宋体" w:hAnsi="宋体" w:eastAsia="宋体" w:cs="Times New Roman"/>
                <w:szCs w:val="21"/>
              </w:rPr>
            </w:pPr>
            <w:r>
              <w:rPr>
                <w:rFonts w:hint="eastAsia" w:ascii="宋体" w:hAnsi="宋体" w:eastAsia="宋体"/>
              </w:rPr>
              <w:t>经典</w:t>
            </w:r>
            <w:r>
              <w:rPr>
                <w:rFonts w:ascii="宋体" w:hAnsi="宋体" w:eastAsia="宋体"/>
              </w:rPr>
              <w:t>阅读</w:t>
            </w:r>
            <w:r>
              <w:rPr>
                <w:rFonts w:hint="eastAsia" w:ascii="宋体" w:hAnsi="宋体" w:eastAsia="宋体"/>
              </w:rPr>
              <w:t>书籍数量</w:t>
            </w:r>
          </w:p>
        </w:tc>
        <w:tc>
          <w:tcPr>
            <w:tcW w:w="6095" w:type="dxa"/>
            <w:vAlign w:val="center"/>
          </w:tcPr>
          <w:p w14:paraId="58AC835F">
            <w:pPr>
              <w:spacing w:line="264" w:lineRule="auto"/>
              <w:rPr>
                <w:rFonts w:hint="eastAsia" w:ascii="宋体" w:hAnsi="宋体" w:eastAsia="宋体"/>
                <w:szCs w:val="21"/>
              </w:rPr>
            </w:pPr>
            <w:r>
              <w:rPr>
                <w:rFonts w:ascii="宋体" w:hAnsi="宋体" w:eastAsia="宋体"/>
                <w:spacing w:val="-7"/>
                <w:szCs w:val="21"/>
              </w:rPr>
              <w:t>学生在校期间，</w:t>
            </w:r>
            <w:r>
              <w:rPr>
                <w:rFonts w:hint="eastAsia" w:ascii="宋体" w:hAnsi="宋体" w:eastAsia="宋体"/>
                <w:spacing w:val="-7"/>
                <w:szCs w:val="21"/>
              </w:rPr>
              <w:t>每学年须完成经典阅读</w:t>
            </w:r>
            <w:r>
              <w:rPr>
                <w:rFonts w:ascii="宋体" w:hAnsi="宋体" w:eastAsia="宋体"/>
                <w:spacing w:val="-7"/>
                <w:szCs w:val="21"/>
              </w:rPr>
              <w:t>20</w:t>
            </w:r>
            <w:r>
              <w:rPr>
                <w:rFonts w:hint="eastAsia" w:ascii="宋体" w:hAnsi="宋体" w:eastAsia="宋体"/>
                <w:spacing w:val="-7"/>
                <w:szCs w:val="21"/>
              </w:rPr>
              <w:t>本/6学时，</w:t>
            </w:r>
            <w:r>
              <w:rPr>
                <w:rFonts w:hint="eastAsia" w:ascii="宋体" w:hAnsi="宋体" w:eastAsia="宋体"/>
                <w:spacing w:val="-5"/>
                <w:szCs w:val="21"/>
              </w:rPr>
              <w:t>学生须</w:t>
            </w:r>
            <w:r>
              <w:rPr>
                <w:rFonts w:ascii="宋体" w:hAnsi="宋体" w:eastAsia="宋体"/>
                <w:spacing w:val="-4"/>
                <w:szCs w:val="21"/>
              </w:rPr>
              <w:t>在</w:t>
            </w:r>
            <w:r>
              <w:rPr>
                <w:rFonts w:hint="eastAsia" w:ascii="宋体" w:hAnsi="宋体" w:eastAsia="宋体"/>
                <w:spacing w:val="-4"/>
                <w:szCs w:val="21"/>
              </w:rPr>
              <w:t>四</w:t>
            </w:r>
            <w:r>
              <w:rPr>
                <w:rFonts w:ascii="宋体" w:hAnsi="宋体" w:eastAsia="宋体"/>
                <w:spacing w:val="-4"/>
                <w:szCs w:val="21"/>
              </w:rPr>
              <w:t>个学</w:t>
            </w:r>
            <w:r>
              <w:rPr>
                <w:rFonts w:hint="eastAsia" w:ascii="宋体" w:hAnsi="宋体" w:eastAsia="宋体"/>
                <w:spacing w:val="-4"/>
                <w:szCs w:val="21"/>
              </w:rPr>
              <w:t>年</w:t>
            </w:r>
            <w:r>
              <w:rPr>
                <w:rFonts w:ascii="宋体" w:hAnsi="宋体" w:eastAsia="宋体"/>
                <w:spacing w:val="-4"/>
                <w:szCs w:val="21"/>
              </w:rPr>
              <w:t>内</w:t>
            </w:r>
            <w:r>
              <w:rPr>
                <w:rFonts w:hint="eastAsia" w:ascii="宋体" w:hAnsi="宋体" w:eastAsia="宋体"/>
                <w:spacing w:val="-7"/>
                <w:szCs w:val="21"/>
              </w:rPr>
              <w:t>完成经典阅读</w:t>
            </w:r>
            <w:r>
              <w:rPr>
                <w:rFonts w:ascii="宋体" w:hAnsi="宋体" w:eastAsia="宋体"/>
                <w:spacing w:val="-5"/>
                <w:szCs w:val="21"/>
              </w:rPr>
              <w:t>累计</w:t>
            </w:r>
            <w:r>
              <w:rPr>
                <w:rFonts w:ascii="宋体" w:hAnsi="宋体" w:eastAsia="宋体"/>
                <w:spacing w:val="-10"/>
                <w:szCs w:val="21"/>
              </w:rPr>
              <w:t>获得</w:t>
            </w:r>
            <w:r>
              <w:rPr>
                <w:rFonts w:ascii="宋体" w:hAnsi="宋体" w:eastAsia="宋体"/>
                <w:spacing w:val="-62"/>
                <w:szCs w:val="21"/>
              </w:rPr>
              <w:t xml:space="preserve"> </w:t>
            </w:r>
            <w:r>
              <w:rPr>
                <w:rFonts w:hint="eastAsia" w:ascii="宋体" w:hAnsi="宋体" w:eastAsia="宋体"/>
                <w:spacing w:val="-10"/>
                <w:szCs w:val="21"/>
              </w:rPr>
              <w:t>24</w:t>
            </w:r>
            <w:r>
              <w:rPr>
                <w:rFonts w:ascii="宋体" w:hAnsi="宋体" w:eastAsia="宋体"/>
                <w:spacing w:val="-44"/>
                <w:szCs w:val="21"/>
              </w:rPr>
              <w:t xml:space="preserve"> </w:t>
            </w:r>
            <w:r>
              <w:rPr>
                <w:rFonts w:ascii="宋体" w:hAnsi="宋体" w:eastAsia="宋体"/>
                <w:spacing w:val="-10"/>
                <w:szCs w:val="21"/>
              </w:rPr>
              <w:t>学时</w:t>
            </w:r>
            <w:r>
              <w:rPr>
                <w:rFonts w:hint="eastAsia" w:ascii="宋体" w:hAnsi="宋体" w:eastAsia="宋体"/>
                <w:spacing w:val="-5"/>
                <w:szCs w:val="21"/>
              </w:rPr>
              <w:t>。</w:t>
            </w:r>
            <w:r>
              <w:rPr>
                <w:rFonts w:hint="eastAsia" w:ascii="宋体" w:hAnsi="宋体" w:eastAsia="宋体"/>
                <w:spacing w:val="-10"/>
                <w:szCs w:val="21"/>
              </w:rPr>
              <w:t>每学年超过部分，认定附加分，每增加1本经典阅读，计2学时。</w:t>
            </w:r>
            <w:r>
              <w:rPr>
                <w:rFonts w:hint="eastAsia" w:ascii="宋体" w:hAnsi="宋体" w:eastAsia="宋体"/>
                <w:bCs/>
                <w:spacing w:val="-5"/>
                <w:szCs w:val="21"/>
              </w:rPr>
              <w:t>经典阅读书目可涵盖</w:t>
            </w:r>
            <w:r>
              <w:rPr>
                <w:rFonts w:ascii="宋体" w:hAnsi="宋体" w:eastAsia="宋体"/>
                <w:bCs/>
                <w:spacing w:val="-5"/>
                <w:szCs w:val="21"/>
              </w:rPr>
              <w:t>“</w:t>
            </w:r>
            <w:r>
              <w:rPr>
                <w:rFonts w:hint="eastAsia" w:ascii="宋体" w:hAnsi="宋体" w:eastAsia="宋体"/>
                <w:bCs/>
                <w:spacing w:val="-5"/>
                <w:szCs w:val="21"/>
              </w:rPr>
              <w:t>教育学类</w:t>
            </w:r>
            <w:r>
              <w:rPr>
                <w:rFonts w:ascii="宋体" w:hAnsi="宋体" w:eastAsia="宋体"/>
                <w:bCs/>
                <w:spacing w:val="-5"/>
                <w:szCs w:val="21"/>
              </w:rPr>
              <w:t xml:space="preserve"> ” </w:t>
            </w:r>
            <w:r>
              <w:rPr>
                <w:rFonts w:hint="eastAsia" w:ascii="宋体" w:hAnsi="宋体" w:eastAsia="宋体"/>
                <w:bCs/>
                <w:spacing w:val="-5"/>
                <w:szCs w:val="21"/>
              </w:rPr>
              <w:t>“心理学类”</w:t>
            </w:r>
            <w:r>
              <w:rPr>
                <w:rFonts w:ascii="宋体" w:hAnsi="宋体" w:eastAsia="宋体"/>
                <w:bCs/>
                <w:spacing w:val="-5"/>
                <w:szCs w:val="21"/>
              </w:rPr>
              <w:t>“</w:t>
            </w:r>
            <w:r>
              <w:rPr>
                <w:rFonts w:hint="eastAsia" w:ascii="宋体" w:hAnsi="宋体" w:eastAsia="宋体"/>
                <w:bCs/>
                <w:spacing w:val="-5"/>
                <w:szCs w:val="21"/>
              </w:rPr>
              <w:t>文学艺术类</w:t>
            </w:r>
            <w:r>
              <w:rPr>
                <w:rFonts w:ascii="宋体" w:hAnsi="宋体" w:eastAsia="宋体"/>
                <w:bCs/>
                <w:spacing w:val="-5"/>
                <w:szCs w:val="21"/>
              </w:rPr>
              <w:t xml:space="preserve"> ”“</w:t>
            </w:r>
            <w:r>
              <w:rPr>
                <w:rFonts w:hint="eastAsia" w:ascii="宋体" w:hAnsi="宋体" w:eastAsia="宋体"/>
                <w:bCs/>
                <w:spacing w:val="-5"/>
                <w:szCs w:val="21"/>
              </w:rPr>
              <w:t>哲学美育类</w:t>
            </w:r>
            <w:r>
              <w:rPr>
                <w:rFonts w:ascii="宋体" w:hAnsi="宋体" w:eastAsia="宋体"/>
                <w:bCs/>
                <w:spacing w:val="-5"/>
                <w:szCs w:val="21"/>
              </w:rPr>
              <w:t xml:space="preserve"> ”</w:t>
            </w:r>
            <w:r>
              <w:rPr>
                <w:rFonts w:hint="eastAsia" w:ascii="宋体" w:hAnsi="宋体" w:eastAsia="宋体"/>
                <w:bCs/>
                <w:spacing w:val="-5"/>
                <w:szCs w:val="21"/>
              </w:rPr>
              <w:t>“社会学类”</w:t>
            </w:r>
            <w:r>
              <w:rPr>
                <w:rFonts w:ascii="宋体" w:hAnsi="宋体" w:eastAsia="宋体"/>
                <w:bCs/>
                <w:spacing w:val="-5"/>
                <w:szCs w:val="21"/>
              </w:rPr>
              <w:t>“</w:t>
            </w:r>
            <w:r>
              <w:rPr>
                <w:rFonts w:hint="eastAsia" w:ascii="宋体" w:hAnsi="宋体" w:eastAsia="宋体"/>
                <w:bCs/>
                <w:spacing w:val="-5"/>
                <w:szCs w:val="21"/>
              </w:rPr>
              <w:t>自然科学类</w:t>
            </w:r>
            <w:r>
              <w:rPr>
                <w:rFonts w:ascii="宋体" w:hAnsi="宋体" w:eastAsia="宋体"/>
                <w:bCs/>
                <w:spacing w:val="-5"/>
                <w:szCs w:val="21"/>
              </w:rPr>
              <w:t>”</w:t>
            </w:r>
            <w:r>
              <w:rPr>
                <w:rFonts w:hint="eastAsia" w:ascii="宋体" w:hAnsi="宋体" w:eastAsia="宋体"/>
                <w:bCs/>
                <w:spacing w:val="-5"/>
                <w:szCs w:val="21"/>
              </w:rPr>
              <w:t>、“历史文明类</w:t>
            </w:r>
            <w:r>
              <w:rPr>
                <w:rFonts w:ascii="宋体" w:hAnsi="宋体" w:eastAsia="宋体"/>
                <w:bCs/>
                <w:spacing w:val="-5"/>
                <w:szCs w:val="21"/>
              </w:rPr>
              <w:t>”“</w:t>
            </w:r>
            <w:r>
              <w:rPr>
                <w:rFonts w:hint="eastAsia" w:ascii="宋体" w:hAnsi="宋体" w:eastAsia="宋体"/>
                <w:bCs/>
                <w:spacing w:val="-5"/>
                <w:szCs w:val="21"/>
              </w:rPr>
              <w:t>全球化领导力类</w:t>
            </w:r>
            <w:r>
              <w:rPr>
                <w:rFonts w:ascii="宋体" w:hAnsi="宋体" w:eastAsia="宋体"/>
                <w:bCs/>
                <w:spacing w:val="-5"/>
                <w:szCs w:val="21"/>
              </w:rPr>
              <w:t xml:space="preserve"> ”</w:t>
            </w:r>
            <w:r>
              <w:rPr>
                <w:rFonts w:hint="eastAsia" w:ascii="宋体" w:hAnsi="宋体" w:eastAsia="宋体"/>
                <w:bCs/>
                <w:spacing w:val="-5"/>
                <w:szCs w:val="21"/>
              </w:rPr>
              <w:t>等八大类。</w:t>
            </w:r>
          </w:p>
        </w:tc>
        <w:tc>
          <w:tcPr>
            <w:tcW w:w="930" w:type="dxa"/>
            <w:vAlign w:val="center"/>
          </w:tcPr>
          <w:p w14:paraId="6D38C720">
            <w:pPr>
              <w:jc w:val="center"/>
              <w:rPr>
                <w:rFonts w:hint="eastAsia" w:ascii="宋体" w:hAnsi="宋体" w:eastAsia="宋体" w:cs="Times New Roman"/>
                <w:szCs w:val="21"/>
              </w:rPr>
            </w:pPr>
            <w:r>
              <w:rPr>
                <w:rFonts w:hint="eastAsia" w:ascii="宋体" w:hAnsi="宋体" w:eastAsia="宋体" w:cs="Times New Roman"/>
                <w:szCs w:val="21"/>
              </w:rPr>
              <w:t>75%</w:t>
            </w:r>
          </w:p>
        </w:tc>
      </w:tr>
      <w:tr w14:paraId="1751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6146514">
            <w:pPr>
              <w:rPr>
                <w:rFonts w:hint="eastAsia" w:ascii="宋体" w:hAnsi="宋体" w:eastAsia="宋体" w:cs="Times New Roman"/>
                <w:szCs w:val="21"/>
              </w:rPr>
            </w:pPr>
            <w:r>
              <w:rPr>
                <w:rFonts w:ascii="宋体" w:hAnsi="宋体" w:eastAsia="宋体"/>
              </w:rPr>
              <w:t>参加讲座</w:t>
            </w:r>
            <w:r>
              <w:rPr>
                <w:rFonts w:hint="eastAsia" w:ascii="宋体" w:hAnsi="宋体" w:eastAsia="宋体"/>
              </w:rPr>
              <w:t>或报告场次</w:t>
            </w:r>
          </w:p>
        </w:tc>
        <w:tc>
          <w:tcPr>
            <w:tcW w:w="6095" w:type="dxa"/>
            <w:vAlign w:val="center"/>
          </w:tcPr>
          <w:p w14:paraId="477673DA">
            <w:pPr>
              <w:widowControl/>
              <w:spacing w:line="264" w:lineRule="auto"/>
              <w:rPr>
                <w:rFonts w:hint="eastAsia" w:ascii="宋体" w:hAnsi="宋体" w:eastAsia="宋体" w:cs="宋体"/>
                <w:color w:val="000000"/>
                <w:kern w:val="0"/>
                <w:szCs w:val="21"/>
                <w:lang w:bidi="ar"/>
              </w:rPr>
            </w:pPr>
            <w:r>
              <w:rPr>
                <w:rFonts w:ascii="宋体" w:hAnsi="宋体" w:eastAsia="宋体"/>
                <w:spacing w:val="-1"/>
                <w:szCs w:val="21"/>
              </w:rPr>
              <w:t>学生每学期参加至少</w:t>
            </w:r>
            <w:r>
              <w:rPr>
                <w:rFonts w:ascii="宋体" w:hAnsi="宋体" w:eastAsia="宋体"/>
                <w:spacing w:val="-49"/>
                <w:szCs w:val="21"/>
              </w:rPr>
              <w:t xml:space="preserve"> </w:t>
            </w:r>
            <w:r>
              <w:rPr>
                <w:rFonts w:ascii="宋体" w:hAnsi="宋体" w:eastAsia="宋体"/>
                <w:spacing w:val="-1"/>
                <w:szCs w:val="21"/>
              </w:rPr>
              <w:t>5</w:t>
            </w:r>
            <w:r>
              <w:rPr>
                <w:rFonts w:ascii="宋体" w:hAnsi="宋体" w:eastAsia="宋体"/>
                <w:spacing w:val="-52"/>
                <w:szCs w:val="21"/>
              </w:rPr>
              <w:t xml:space="preserve"> </w:t>
            </w:r>
            <w:r>
              <w:rPr>
                <w:rFonts w:ascii="宋体" w:hAnsi="宋体" w:eastAsia="宋体"/>
                <w:spacing w:val="-1"/>
                <w:szCs w:val="21"/>
              </w:rPr>
              <w:t>次校内外学术讲座（报告）或者网络</w:t>
            </w:r>
            <w:r>
              <w:rPr>
                <w:rFonts w:ascii="宋体" w:hAnsi="宋体" w:eastAsia="宋体"/>
                <w:spacing w:val="-4"/>
                <w:szCs w:val="21"/>
              </w:rPr>
              <w:t>上公开的学术会议，</w:t>
            </w:r>
            <w:r>
              <w:rPr>
                <w:rFonts w:hint="eastAsia" w:ascii="宋体" w:hAnsi="宋体" w:eastAsia="宋体"/>
                <w:spacing w:val="-7"/>
                <w:szCs w:val="21"/>
              </w:rPr>
              <w:t>每学年须完成参加学术讲座或报告</w:t>
            </w:r>
            <w:r>
              <w:rPr>
                <w:rFonts w:ascii="宋体" w:hAnsi="宋体" w:eastAsia="宋体"/>
                <w:spacing w:val="-7"/>
                <w:szCs w:val="21"/>
              </w:rPr>
              <w:t>10</w:t>
            </w:r>
            <w:r>
              <w:rPr>
                <w:rFonts w:hint="eastAsia" w:ascii="宋体" w:hAnsi="宋体" w:eastAsia="宋体"/>
                <w:spacing w:val="-7"/>
                <w:szCs w:val="21"/>
              </w:rPr>
              <w:t>场，方可获得2学时。学生须</w:t>
            </w:r>
            <w:r>
              <w:rPr>
                <w:rFonts w:ascii="宋体" w:hAnsi="宋体" w:eastAsia="宋体"/>
                <w:spacing w:val="-4"/>
                <w:szCs w:val="21"/>
              </w:rPr>
              <w:t>在</w:t>
            </w:r>
            <w:r>
              <w:rPr>
                <w:rFonts w:hint="eastAsia" w:ascii="宋体" w:hAnsi="宋体" w:eastAsia="宋体"/>
                <w:spacing w:val="-4"/>
                <w:szCs w:val="21"/>
              </w:rPr>
              <w:t>四</w:t>
            </w:r>
            <w:r>
              <w:rPr>
                <w:rFonts w:ascii="宋体" w:hAnsi="宋体" w:eastAsia="宋体"/>
                <w:spacing w:val="-4"/>
                <w:szCs w:val="21"/>
              </w:rPr>
              <w:t>个学</w:t>
            </w:r>
            <w:r>
              <w:rPr>
                <w:rFonts w:hint="eastAsia" w:ascii="宋体" w:hAnsi="宋体" w:eastAsia="宋体"/>
                <w:spacing w:val="-4"/>
                <w:szCs w:val="21"/>
              </w:rPr>
              <w:t>年</w:t>
            </w:r>
            <w:r>
              <w:rPr>
                <w:rFonts w:ascii="宋体" w:hAnsi="宋体" w:eastAsia="宋体"/>
                <w:spacing w:val="-4"/>
                <w:szCs w:val="21"/>
              </w:rPr>
              <w:t>内</w:t>
            </w:r>
            <w:r>
              <w:rPr>
                <w:rFonts w:hint="eastAsia" w:ascii="宋体" w:hAnsi="宋体" w:eastAsia="宋体"/>
                <w:spacing w:val="-4"/>
                <w:szCs w:val="21"/>
              </w:rPr>
              <w:t>须</w:t>
            </w:r>
            <w:r>
              <w:rPr>
                <w:rFonts w:ascii="宋体" w:hAnsi="宋体" w:eastAsia="宋体"/>
                <w:spacing w:val="-4"/>
                <w:szCs w:val="21"/>
              </w:rPr>
              <w:t>参加学术讲座（报</w:t>
            </w:r>
            <w:r>
              <w:rPr>
                <w:rFonts w:ascii="宋体" w:hAnsi="宋体" w:eastAsia="宋体"/>
                <w:spacing w:val="-5"/>
                <w:szCs w:val="21"/>
              </w:rPr>
              <w:t>告）累计</w:t>
            </w:r>
            <w:r>
              <w:rPr>
                <w:rFonts w:ascii="宋体" w:hAnsi="宋体" w:eastAsia="宋体"/>
                <w:spacing w:val="-10"/>
                <w:szCs w:val="21"/>
              </w:rPr>
              <w:t>获得</w:t>
            </w:r>
            <w:r>
              <w:rPr>
                <w:rFonts w:ascii="宋体" w:hAnsi="宋体" w:eastAsia="宋体"/>
                <w:spacing w:val="-62"/>
                <w:szCs w:val="21"/>
              </w:rPr>
              <w:t xml:space="preserve"> </w:t>
            </w:r>
            <w:r>
              <w:rPr>
                <w:rFonts w:ascii="宋体" w:hAnsi="宋体" w:eastAsia="宋体"/>
                <w:spacing w:val="-10"/>
                <w:szCs w:val="21"/>
              </w:rPr>
              <w:t>8</w:t>
            </w:r>
            <w:r>
              <w:rPr>
                <w:rFonts w:ascii="宋体" w:hAnsi="宋体" w:eastAsia="宋体"/>
                <w:spacing w:val="-44"/>
                <w:szCs w:val="21"/>
              </w:rPr>
              <w:t xml:space="preserve"> </w:t>
            </w:r>
            <w:r>
              <w:rPr>
                <w:rFonts w:ascii="宋体" w:hAnsi="宋体" w:eastAsia="宋体"/>
                <w:spacing w:val="-10"/>
                <w:szCs w:val="21"/>
              </w:rPr>
              <w:t>学时。</w:t>
            </w:r>
            <w:r>
              <w:rPr>
                <w:rFonts w:hint="eastAsia" w:ascii="宋体" w:hAnsi="宋体" w:eastAsia="宋体"/>
                <w:spacing w:val="-10"/>
                <w:szCs w:val="21"/>
              </w:rPr>
              <w:t>每学年超过部分，认定附加分，每增加1次学术讲座，计2学时。</w:t>
            </w:r>
          </w:p>
        </w:tc>
        <w:tc>
          <w:tcPr>
            <w:tcW w:w="930" w:type="dxa"/>
            <w:vAlign w:val="center"/>
          </w:tcPr>
          <w:p w14:paraId="264745E4">
            <w:pPr>
              <w:jc w:val="center"/>
              <w:rPr>
                <w:rFonts w:hint="eastAsia" w:ascii="宋体" w:hAnsi="宋体" w:eastAsia="宋体" w:cs="Times New Roman"/>
                <w:szCs w:val="21"/>
              </w:rPr>
            </w:pPr>
            <w:r>
              <w:rPr>
                <w:rFonts w:hint="eastAsia" w:ascii="宋体" w:hAnsi="宋体" w:eastAsia="宋体" w:cs="Times New Roman"/>
                <w:szCs w:val="21"/>
              </w:rPr>
              <w:t>25%</w:t>
            </w:r>
          </w:p>
        </w:tc>
      </w:tr>
      <w:tr w14:paraId="6F90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C1AF9E9">
            <w:pPr>
              <w:rPr>
                <w:rFonts w:hint="eastAsia" w:ascii="宋体" w:hAnsi="宋体" w:eastAsia="宋体" w:cs="Times New Roman"/>
                <w:szCs w:val="21"/>
              </w:rPr>
            </w:pPr>
            <w:r>
              <w:rPr>
                <w:rFonts w:ascii="宋体" w:hAnsi="宋体" w:eastAsia="宋体"/>
              </w:rPr>
              <w:t>读书</w:t>
            </w:r>
            <w:r>
              <w:rPr>
                <w:rFonts w:hint="eastAsia" w:ascii="宋体" w:hAnsi="宋体" w:eastAsia="宋体"/>
              </w:rPr>
              <w:t>体会或笔记</w:t>
            </w:r>
          </w:p>
        </w:tc>
        <w:tc>
          <w:tcPr>
            <w:tcW w:w="6095" w:type="dxa"/>
            <w:vAlign w:val="center"/>
          </w:tcPr>
          <w:p w14:paraId="51F20F26">
            <w:pPr>
              <w:widowControl/>
              <w:spacing w:line="264" w:lineRule="auto"/>
              <w:rPr>
                <w:rFonts w:hint="eastAsia" w:ascii="宋体" w:hAnsi="宋体" w:eastAsia="宋体" w:cs="宋体"/>
                <w:color w:val="000000"/>
                <w:kern w:val="0"/>
                <w:szCs w:val="21"/>
                <w:lang w:bidi="ar"/>
              </w:rPr>
            </w:pPr>
            <w:r>
              <w:rPr>
                <w:rFonts w:hint="eastAsia" w:ascii="宋体" w:hAnsi="宋体" w:eastAsia="宋体"/>
                <w:spacing w:val="-1"/>
                <w:szCs w:val="21"/>
              </w:rPr>
              <w:t>学</w:t>
            </w:r>
            <w:r>
              <w:rPr>
                <w:rFonts w:ascii="宋体" w:hAnsi="宋体" w:eastAsia="宋体"/>
                <w:spacing w:val="-1"/>
                <w:szCs w:val="21"/>
              </w:rPr>
              <w:t>生每提交1篇读书体会或笔记（至少1500 字）可计</w:t>
            </w:r>
            <w:r>
              <w:rPr>
                <w:rFonts w:hint="eastAsia" w:ascii="宋体" w:hAnsi="宋体" w:eastAsia="宋体"/>
                <w:spacing w:val="-1"/>
                <w:szCs w:val="21"/>
              </w:rPr>
              <w:t>2</w:t>
            </w:r>
            <w:r>
              <w:rPr>
                <w:rFonts w:ascii="宋体" w:hAnsi="宋体" w:eastAsia="宋体"/>
                <w:spacing w:val="-1"/>
                <w:szCs w:val="21"/>
              </w:rPr>
              <w:t>学时</w:t>
            </w:r>
            <w:r>
              <w:rPr>
                <w:rFonts w:hint="eastAsia" w:ascii="宋体" w:hAnsi="宋体" w:eastAsia="宋体"/>
                <w:spacing w:val="-1"/>
                <w:szCs w:val="21"/>
              </w:rPr>
              <w:t>，作为附加分，可在第八学期累计入总学时</w:t>
            </w:r>
            <w:r>
              <w:rPr>
                <w:rFonts w:ascii="宋体" w:hAnsi="宋体" w:eastAsia="宋体"/>
                <w:spacing w:val="-1"/>
                <w:szCs w:val="21"/>
              </w:rPr>
              <w:t>。</w:t>
            </w:r>
            <w:r>
              <w:rPr>
                <w:rFonts w:ascii="宋体" w:hAnsi="宋体" w:eastAsia="宋体"/>
                <w:szCs w:val="21"/>
              </w:rPr>
              <w:t>根据学生的报告撰写的质量（格式、内容、逻辑、理论等）综合评定</w:t>
            </w:r>
            <w:r>
              <w:rPr>
                <w:rFonts w:hint="eastAsia" w:ascii="宋体" w:hAnsi="宋体" w:eastAsia="宋体"/>
                <w:szCs w:val="21"/>
              </w:rPr>
              <w:t>。</w:t>
            </w:r>
          </w:p>
        </w:tc>
        <w:tc>
          <w:tcPr>
            <w:tcW w:w="930" w:type="dxa"/>
            <w:vAlign w:val="center"/>
          </w:tcPr>
          <w:p w14:paraId="4E3C04CA">
            <w:pPr>
              <w:jc w:val="center"/>
              <w:rPr>
                <w:rFonts w:hint="eastAsia" w:ascii="宋体" w:hAnsi="宋体" w:eastAsia="宋体" w:cs="Times New Roman"/>
                <w:szCs w:val="21"/>
              </w:rPr>
            </w:pPr>
            <w:r>
              <w:rPr>
                <w:rFonts w:hint="eastAsia" w:ascii="宋体" w:hAnsi="宋体" w:eastAsia="宋体" w:cs="Times New Roman"/>
                <w:szCs w:val="21"/>
              </w:rPr>
              <w:t>附加分</w:t>
            </w:r>
          </w:p>
        </w:tc>
      </w:tr>
      <w:tr w14:paraId="7215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6983876">
            <w:pPr>
              <w:rPr>
                <w:rFonts w:hint="eastAsia" w:ascii="宋体" w:hAnsi="宋体" w:eastAsia="宋体" w:cs="Times New Roman"/>
                <w:szCs w:val="21"/>
              </w:rPr>
            </w:pPr>
            <w:r>
              <w:rPr>
                <w:rFonts w:hint="eastAsia" w:ascii="宋体" w:hAnsi="宋体" w:eastAsia="宋体"/>
                <w:spacing w:val="-5"/>
                <w:szCs w:val="21"/>
              </w:rPr>
              <w:t>大学生读书节获奖</w:t>
            </w:r>
          </w:p>
        </w:tc>
        <w:tc>
          <w:tcPr>
            <w:tcW w:w="6095" w:type="dxa"/>
            <w:vAlign w:val="center"/>
          </w:tcPr>
          <w:p w14:paraId="68BACD86">
            <w:pPr>
              <w:pStyle w:val="6"/>
              <w:ind w:left="50" w:right="-21" w:rightChars="-10"/>
              <w:rPr>
                <w:rFonts w:hint="eastAsia" w:ascii="宋体" w:hAnsi="宋体"/>
                <w:spacing w:val="-1"/>
                <w:sz w:val="21"/>
                <w:szCs w:val="21"/>
              </w:rPr>
            </w:pPr>
            <w:r>
              <w:rPr>
                <w:rFonts w:ascii="宋体" w:hAnsi="宋体"/>
                <w:spacing w:val="-1"/>
                <w:sz w:val="21"/>
                <w:szCs w:val="21"/>
              </w:rPr>
              <w:t>获得校级奖励每项可计5学时，获得省级（教育厅）奖励每项可计10学时</w:t>
            </w:r>
            <w:r>
              <w:rPr>
                <w:rFonts w:hint="eastAsia" w:ascii="宋体" w:hAnsi="宋体"/>
                <w:spacing w:val="-1"/>
                <w:sz w:val="21"/>
                <w:szCs w:val="21"/>
              </w:rPr>
              <w:t>，可在第八学期累计入总学时</w:t>
            </w:r>
            <w:r>
              <w:rPr>
                <w:rFonts w:ascii="宋体" w:hAnsi="宋体"/>
                <w:spacing w:val="-1"/>
                <w:sz w:val="21"/>
                <w:szCs w:val="21"/>
              </w:rPr>
              <w:t>。</w:t>
            </w:r>
          </w:p>
        </w:tc>
        <w:tc>
          <w:tcPr>
            <w:tcW w:w="930" w:type="dxa"/>
            <w:vAlign w:val="center"/>
          </w:tcPr>
          <w:p w14:paraId="616B7288">
            <w:pPr>
              <w:jc w:val="center"/>
              <w:rPr>
                <w:rFonts w:hint="eastAsia" w:ascii="宋体" w:hAnsi="宋体" w:eastAsia="宋体" w:cs="Times New Roman"/>
                <w:szCs w:val="21"/>
              </w:rPr>
            </w:pPr>
            <w:r>
              <w:rPr>
                <w:rFonts w:hint="eastAsia" w:ascii="宋体" w:hAnsi="宋体" w:eastAsia="宋体" w:cs="Times New Roman"/>
                <w:szCs w:val="21"/>
              </w:rPr>
              <w:t>附加分</w:t>
            </w:r>
          </w:p>
        </w:tc>
      </w:tr>
      <w:tr w14:paraId="21EE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71" w:type="dxa"/>
            <w:vAlign w:val="center"/>
          </w:tcPr>
          <w:p w14:paraId="463FD33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095" w:type="dxa"/>
            <w:vAlign w:val="center"/>
          </w:tcPr>
          <w:p w14:paraId="19973702">
            <w:pPr>
              <w:jc w:val="left"/>
              <w:rPr>
                <w:rFonts w:ascii="Times New Roman" w:hAnsi="Times New Roman" w:eastAsia="宋体" w:cs="Times New Roman"/>
                <w:szCs w:val="21"/>
              </w:rPr>
            </w:pPr>
          </w:p>
        </w:tc>
        <w:tc>
          <w:tcPr>
            <w:tcW w:w="930" w:type="dxa"/>
            <w:vAlign w:val="center"/>
          </w:tcPr>
          <w:p w14:paraId="5926008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46F8AF0">
      <w:pPr>
        <w:pStyle w:val="6"/>
        <w:ind w:left="50" w:right="826" w:firstLine="416" w:firstLineChars="200"/>
        <w:rPr>
          <w:rFonts w:hint="eastAsia" w:ascii="宋体" w:hAnsi="宋体"/>
          <w:spacing w:val="-1"/>
          <w:sz w:val="21"/>
          <w:szCs w:val="21"/>
        </w:rPr>
      </w:pPr>
    </w:p>
    <w:p w14:paraId="26320204">
      <w:pPr>
        <w:pStyle w:val="6"/>
        <w:ind w:left="50" w:right="-199" w:firstLine="416" w:firstLineChars="200"/>
        <w:rPr>
          <w:rFonts w:hint="eastAsia" w:ascii="宋体" w:hAnsi="宋体"/>
          <w:spacing w:val="-1"/>
          <w:sz w:val="21"/>
          <w:szCs w:val="21"/>
        </w:rPr>
      </w:pPr>
      <w:r>
        <w:rPr>
          <w:rFonts w:ascii="宋体" w:hAnsi="宋体"/>
          <w:spacing w:val="-1"/>
          <w:sz w:val="21"/>
          <w:szCs w:val="21"/>
        </w:rPr>
        <w:t>该课程成绩以五级制计算，分别是优秀、 良好、 中等、及格、不及格。对应关系如下：</w:t>
      </w:r>
    </w:p>
    <w:p w14:paraId="67840B59">
      <w:pPr>
        <w:jc w:val="right"/>
        <w:rPr>
          <w:rFonts w:hint="eastAsia" w:ascii="宋体" w:hAnsi="宋体" w:eastAsia="宋体"/>
          <w:szCs w:val="21"/>
        </w:rPr>
      </w:pPr>
    </w:p>
    <w:tbl>
      <w:tblPr>
        <w:tblStyle w:val="32"/>
        <w:tblW w:w="468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3"/>
        <w:gridCol w:w="2343"/>
      </w:tblGrid>
      <w:tr w14:paraId="21EBC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4FB44280">
            <w:pPr>
              <w:pStyle w:val="31"/>
              <w:spacing w:before="167"/>
              <w:jc w:val="center"/>
              <w:rPr>
                <w:rFonts w:hint="eastAsia" w:ascii="宋体" w:hAnsi="宋体" w:eastAsia="宋体"/>
                <w:sz w:val="21"/>
                <w:szCs w:val="21"/>
              </w:rPr>
            </w:pPr>
            <w:r>
              <w:rPr>
                <w:rFonts w:ascii="宋体" w:hAnsi="宋体" w:eastAsia="宋体"/>
                <w:spacing w:val="-9"/>
                <w:sz w:val="21"/>
                <w:szCs w:val="21"/>
              </w:rPr>
              <w:t>五级制</w:t>
            </w:r>
          </w:p>
        </w:tc>
        <w:tc>
          <w:tcPr>
            <w:tcW w:w="2343" w:type="dxa"/>
          </w:tcPr>
          <w:p w14:paraId="51681B4A">
            <w:pPr>
              <w:pStyle w:val="31"/>
              <w:spacing w:before="167"/>
              <w:jc w:val="center"/>
              <w:rPr>
                <w:rFonts w:hint="eastAsia" w:ascii="宋体" w:hAnsi="宋体" w:eastAsia="宋体"/>
                <w:sz w:val="21"/>
                <w:szCs w:val="21"/>
              </w:rPr>
            </w:pPr>
            <w:r>
              <w:rPr>
                <w:rFonts w:hint="eastAsia" w:ascii="宋体" w:hAnsi="宋体" w:eastAsia="宋体"/>
                <w:spacing w:val="-11"/>
                <w:sz w:val="21"/>
                <w:szCs w:val="21"/>
                <w:lang w:eastAsia="zh-CN"/>
              </w:rPr>
              <w:t>总</w:t>
            </w:r>
            <w:r>
              <w:rPr>
                <w:rFonts w:ascii="宋体" w:hAnsi="宋体" w:eastAsia="宋体"/>
                <w:spacing w:val="-11"/>
                <w:sz w:val="21"/>
                <w:szCs w:val="21"/>
              </w:rPr>
              <w:t>学时</w:t>
            </w:r>
          </w:p>
        </w:tc>
      </w:tr>
      <w:tr w14:paraId="2CC75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6DB95BC5">
            <w:pPr>
              <w:pStyle w:val="31"/>
              <w:spacing w:before="168"/>
              <w:jc w:val="center"/>
              <w:rPr>
                <w:rFonts w:hint="eastAsia" w:ascii="宋体" w:hAnsi="宋体" w:eastAsia="宋体"/>
                <w:sz w:val="21"/>
                <w:szCs w:val="21"/>
              </w:rPr>
            </w:pPr>
            <w:r>
              <w:rPr>
                <w:rFonts w:ascii="宋体" w:hAnsi="宋体" w:eastAsia="宋体"/>
                <w:spacing w:val="-10"/>
                <w:sz w:val="21"/>
                <w:szCs w:val="21"/>
              </w:rPr>
              <w:t>优秀</w:t>
            </w:r>
          </w:p>
        </w:tc>
        <w:tc>
          <w:tcPr>
            <w:tcW w:w="2343" w:type="dxa"/>
          </w:tcPr>
          <w:p w14:paraId="7B0292D1">
            <w:pPr>
              <w:pStyle w:val="31"/>
              <w:spacing w:before="168"/>
              <w:jc w:val="center"/>
              <w:rPr>
                <w:rFonts w:hint="eastAsia" w:ascii="宋体" w:hAnsi="宋体" w:eastAsia="宋体"/>
                <w:sz w:val="21"/>
                <w:szCs w:val="21"/>
              </w:rPr>
            </w:pPr>
            <w:r>
              <w:rPr>
                <w:rFonts w:ascii="宋体" w:hAnsi="宋体" w:eastAsia="宋体"/>
                <w:spacing w:val="-9"/>
                <w:sz w:val="21"/>
                <w:szCs w:val="21"/>
              </w:rPr>
              <w:t>56</w:t>
            </w:r>
            <w:r>
              <w:rPr>
                <w:rFonts w:ascii="宋体" w:hAnsi="宋体" w:eastAsia="宋体"/>
                <w:spacing w:val="-37"/>
                <w:sz w:val="21"/>
                <w:szCs w:val="21"/>
              </w:rPr>
              <w:t xml:space="preserve"> </w:t>
            </w:r>
            <w:r>
              <w:rPr>
                <w:rFonts w:ascii="宋体" w:hAnsi="宋体" w:eastAsia="宋体"/>
                <w:spacing w:val="-9"/>
                <w:sz w:val="21"/>
                <w:szCs w:val="21"/>
              </w:rPr>
              <w:t>学时以上</w:t>
            </w:r>
          </w:p>
        </w:tc>
      </w:tr>
      <w:tr w14:paraId="4FA7E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7787EB56">
            <w:pPr>
              <w:pStyle w:val="31"/>
              <w:spacing w:before="165"/>
              <w:jc w:val="center"/>
              <w:rPr>
                <w:rFonts w:hint="eastAsia" w:ascii="宋体" w:hAnsi="宋体" w:eastAsia="宋体"/>
                <w:sz w:val="21"/>
                <w:szCs w:val="21"/>
              </w:rPr>
            </w:pPr>
            <w:r>
              <w:rPr>
                <w:rFonts w:ascii="宋体" w:hAnsi="宋体" w:eastAsia="宋体"/>
                <w:spacing w:val="-33"/>
                <w:sz w:val="21"/>
                <w:szCs w:val="21"/>
              </w:rPr>
              <w:t>良好</w:t>
            </w:r>
          </w:p>
        </w:tc>
        <w:tc>
          <w:tcPr>
            <w:tcW w:w="2343" w:type="dxa"/>
          </w:tcPr>
          <w:p w14:paraId="345C2FF0">
            <w:pPr>
              <w:pStyle w:val="31"/>
              <w:spacing w:before="165"/>
              <w:jc w:val="center"/>
              <w:rPr>
                <w:rFonts w:hint="eastAsia" w:ascii="宋体" w:hAnsi="宋体" w:eastAsia="宋体"/>
                <w:sz w:val="21"/>
                <w:szCs w:val="21"/>
              </w:rPr>
            </w:pPr>
            <w:r>
              <w:rPr>
                <w:rFonts w:ascii="宋体" w:hAnsi="宋体" w:eastAsia="宋体"/>
                <w:spacing w:val="-7"/>
                <w:sz w:val="21"/>
                <w:szCs w:val="21"/>
              </w:rPr>
              <w:t>49-56</w:t>
            </w:r>
            <w:r>
              <w:rPr>
                <w:rFonts w:ascii="宋体" w:hAnsi="宋体" w:eastAsia="宋体"/>
                <w:spacing w:val="-39"/>
                <w:sz w:val="21"/>
                <w:szCs w:val="21"/>
              </w:rPr>
              <w:t xml:space="preserve"> </w:t>
            </w:r>
            <w:r>
              <w:rPr>
                <w:rFonts w:ascii="宋体" w:hAnsi="宋体" w:eastAsia="宋体"/>
                <w:spacing w:val="-7"/>
                <w:sz w:val="21"/>
                <w:szCs w:val="21"/>
              </w:rPr>
              <w:t>学时</w:t>
            </w:r>
          </w:p>
        </w:tc>
      </w:tr>
      <w:tr w14:paraId="50729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7670B763">
            <w:pPr>
              <w:pStyle w:val="31"/>
              <w:spacing w:before="165"/>
              <w:jc w:val="center"/>
              <w:rPr>
                <w:rFonts w:hint="eastAsia" w:ascii="宋体" w:hAnsi="宋体" w:eastAsia="宋体"/>
                <w:sz w:val="21"/>
                <w:szCs w:val="21"/>
              </w:rPr>
            </w:pPr>
            <w:r>
              <w:rPr>
                <w:rFonts w:ascii="宋体" w:hAnsi="宋体" w:eastAsia="宋体"/>
                <w:spacing w:val="-30"/>
                <w:sz w:val="21"/>
                <w:szCs w:val="21"/>
              </w:rPr>
              <w:t>中等</w:t>
            </w:r>
          </w:p>
        </w:tc>
        <w:tc>
          <w:tcPr>
            <w:tcW w:w="2343" w:type="dxa"/>
          </w:tcPr>
          <w:p w14:paraId="5D3835BE">
            <w:pPr>
              <w:pStyle w:val="31"/>
              <w:spacing w:before="164"/>
              <w:jc w:val="center"/>
              <w:rPr>
                <w:rFonts w:hint="eastAsia" w:ascii="宋体" w:hAnsi="宋体" w:eastAsia="宋体"/>
                <w:sz w:val="21"/>
                <w:szCs w:val="21"/>
              </w:rPr>
            </w:pPr>
            <w:r>
              <w:rPr>
                <w:rFonts w:ascii="宋体" w:hAnsi="宋体" w:eastAsia="宋体"/>
                <w:spacing w:val="-7"/>
                <w:sz w:val="21"/>
                <w:szCs w:val="21"/>
              </w:rPr>
              <w:t>41-48</w:t>
            </w:r>
            <w:r>
              <w:rPr>
                <w:rFonts w:ascii="宋体" w:hAnsi="宋体" w:eastAsia="宋体"/>
                <w:spacing w:val="-39"/>
                <w:sz w:val="21"/>
                <w:szCs w:val="21"/>
              </w:rPr>
              <w:t xml:space="preserve"> </w:t>
            </w:r>
            <w:r>
              <w:rPr>
                <w:rFonts w:ascii="宋体" w:hAnsi="宋体" w:eastAsia="宋体"/>
                <w:spacing w:val="-7"/>
                <w:sz w:val="21"/>
                <w:szCs w:val="21"/>
              </w:rPr>
              <w:t>学时</w:t>
            </w:r>
          </w:p>
        </w:tc>
      </w:tr>
      <w:tr w14:paraId="302F4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58658286">
            <w:pPr>
              <w:pStyle w:val="31"/>
              <w:spacing w:before="164"/>
              <w:jc w:val="center"/>
              <w:rPr>
                <w:rFonts w:hint="eastAsia" w:ascii="宋体" w:hAnsi="宋体" w:eastAsia="宋体"/>
                <w:sz w:val="21"/>
                <w:szCs w:val="21"/>
              </w:rPr>
            </w:pPr>
            <w:r>
              <w:rPr>
                <w:rFonts w:ascii="宋体" w:hAnsi="宋体" w:eastAsia="宋体"/>
                <w:spacing w:val="-12"/>
                <w:sz w:val="21"/>
                <w:szCs w:val="21"/>
              </w:rPr>
              <w:t>及格</w:t>
            </w:r>
          </w:p>
        </w:tc>
        <w:tc>
          <w:tcPr>
            <w:tcW w:w="2343" w:type="dxa"/>
          </w:tcPr>
          <w:p w14:paraId="494D291E">
            <w:pPr>
              <w:pStyle w:val="31"/>
              <w:spacing w:before="164"/>
              <w:jc w:val="center"/>
              <w:rPr>
                <w:rFonts w:hint="eastAsia" w:ascii="宋体" w:hAnsi="宋体" w:eastAsia="宋体"/>
                <w:sz w:val="21"/>
                <w:szCs w:val="21"/>
              </w:rPr>
            </w:pPr>
            <w:r>
              <w:rPr>
                <w:rFonts w:ascii="宋体" w:hAnsi="宋体" w:eastAsia="宋体"/>
                <w:spacing w:val="-8"/>
                <w:sz w:val="21"/>
                <w:szCs w:val="21"/>
              </w:rPr>
              <w:t>32-40</w:t>
            </w:r>
            <w:r>
              <w:rPr>
                <w:rFonts w:ascii="宋体" w:hAnsi="宋体" w:eastAsia="宋体"/>
                <w:spacing w:val="-39"/>
                <w:sz w:val="21"/>
                <w:szCs w:val="21"/>
              </w:rPr>
              <w:t xml:space="preserve"> </w:t>
            </w:r>
            <w:r>
              <w:rPr>
                <w:rFonts w:ascii="宋体" w:hAnsi="宋体" w:eastAsia="宋体"/>
                <w:spacing w:val="-8"/>
                <w:sz w:val="21"/>
                <w:szCs w:val="21"/>
              </w:rPr>
              <w:t>学时</w:t>
            </w:r>
          </w:p>
        </w:tc>
      </w:tr>
      <w:tr w14:paraId="03C6A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20C1DD6D">
            <w:pPr>
              <w:pStyle w:val="31"/>
              <w:spacing w:before="164"/>
              <w:jc w:val="center"/>
              <w:rPr>
                <w:rFonts w:hint="eastAsia" w:ascii="宋体" w:hAnsi="宋体" w:eastAsia="宋体"/>
                <w:sz w:val="21"/>
                <w:szCs w:val="21"/>
              </w:rPr>
            </w:pPr>
            <w:r>
              <w:rPr>
                <w:rFonts w:ascii="宋体" w:hAnsi="宋体" w:eastAsia="宋体"/>
                <w:spacing w:val="-10"/>
                <w:sz w:val="21"/>
                <w:szCs w:val="21"/>
              </w:rPr>
              <w:t>不及格</w:t>
            </w:r>
          </w:p>
        </w:tc>
        <w:tc>
          <w:tcPr>
            <w:tcW w:w="2343" w:type="dxa"/>
          </w:tcPr>
          <w:p w14:paraId="48586FD2">
            <w:pPr>
              <w:pStyle w:val="31"/>
              <w:spacing w:before="164"/>
              <w:jc w:val="center"/>
              <w:rPr>
                <w:rFonts w:hint="eastAsia" w:ascii="宋体" w:hAnsi="宋体" w:eastAsia="宋体"/>
                <w:sz w:val="21"/>
                <w:szCs w:val="21"/>
              </w:rPr>
            </w:pPr>
            <w:r>
              <w:rPr>
                <w:rFonts w:ascii="宋体" w:hAnsi="宋体" w:eastAsia="宋体"/>
                <w:spacing w:val="-9"/>
                <w:sz w:val="21"/>
                <w:szCs w:val="21"/>
              </w:rPr>
              <w:t>32</w:t>
            </w:r>
            <w:r>
              <w:rPr>
                <w:rFonts w:ascii="宋体" w:hAnsi="宋体" w:eastAsia="宋体"/>
                <w:spacing w:val="-37"/>
                <w:sz w:val="21"/>
                <w:szCs w:val="21"/>
              </w:rPr>
              <w:t xml:space="preserve"> </w:t>
            </w:r>
            <w:r>
              <w:rPr>
                <w:rFonts w:ascii="宋体" w:hAnsi="宋体" w:eastAsia="宋体"/>
                <w:spacing w:val="-9"/>
                <w:sz w:val="21"/>
                <w:szCs w:val="21"/>
              </w:rPr>
              <w:t>学时以下</w:t>
            </w:r>
          </w:p>
        </w:tc>
      </w:tr>
    </w:tbl>
    <w:p w14:paraId="76243B62">
      <w:pPr>
        <w:pStyle w:val="6"/>
        <w:ind w:left="50" w:right="826" w:firstLine="416" w:firstLineChars="200"/>
        <w:rPr>
          <w:rFonts w:hint="eastAsia" w:ascii="宋体" w:hAnsi="宋体"/>
          <w:spacing w:val="-1"/>
          <w:sz w:val="21"/>
          <w:szCs w:val="21"/>
        </w:rPr>
      </w:pPr>
    </w:p>
    <w:p w14:paraId="67070E78">
      <w:pPr>
        <w:pStyle w:val="6"/>
        <w:ind w:right="-58" w:firstLine="416" w:firstLineChars="200"/>
        <w:rPr>
          <w:rFonts w:hint="eastAsia" w:ascii="宋体" w:hAnsi="宋体"/>
          <w:spacing w:val="-1"/>
          <w:sz w:val="21"/>
          <w:szCs w:val="21"/>
        </w:rPr>
      </w:pPr>
      <w:r>
        <w:rPr>
          <w:rFonts w:ascii="宋体" w:hAnsi="宋体"/>
          <w:spacing w:val="-1"/>
          <w:sz w:val="21"/>
          <w:szCs w:val="21"/>
        </w:rPr>
        <w:t>有下列情况之一者，将不给予学时认定：1.存在弄虚作假行为者；2.不在规定时间内上报学分认定材料者。</w:t>
      </w:r>
    </w:p>
    <w:p w14:paraId="14C2F2C7">
      <w:pPr>
        <w:jc w:val="left"/>
        <w:rPr>
          <w:rFonts w:hint="eastAsia" w:ascii="宋体" w:hAnsi="宋体" w:eastAsia="宋体" w:cs="Times New Roman"/>
          <w:b/>
          <w:color w:val="000000"/>
          <w:szCs w:val="21"/>
        </w:rPr>
      </w:pPr>
    </w:p>
    <w:p w14:paraId="15E88653">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475E35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99E40A5">
      <w:pPr>
        <w:spacing w:before="156" w:beforeLines="50" w:line="360" w:lineRule="auto"/>
        <w:ind w:firstLine="480" w:firstLineChars="200"/>
        <w:jc w:val="left"/>
        <w:rPr>
          <w:rFonts w:hint="eastAsia" w:ascii="宋体" w:hAnsi="宋体" w:eastAsia="宋体" w:cs="Times New Roman"/>
          <w:color w:val="000000"/>
          <w:szCs w:val="21"/>
        </w:rPr>
      </w:pPr>
      <w:r>
        <w:rPr>
          <w:rFonts w:ascii="宋体" w:hAnsi="宋体" w:eastAsia="宋体" w:cs="Times New Roman"/>
          <w:sz w:val="24"/>
        </w:rPr>
        <w:drawing>
          <wp:inline distT="0" distB="0" distL="0" distR="0">
            <wp:extent cx="5274310" cy="33718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17229F7C">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264D0B99">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74C2C538">
      <w:pPr>
        <w:spacing w:after="156" w:afterLines="50" w:line="360" w:lineRule="auto"/>
        <w:ind w:firstLine="420" w:firstLineChars="200"/>
        <w:rPr>
          <w:rFonts w:hint="eastAsia" w:ascii="宋体" w:hAnsi="宋体" w:eastAsia="宋体"/>
          <w:szCs w:val="21"/>
        </w:rPr>
      </w:pPr>
    </w:p>
    <w:p w14:paraId="6F14F0F9">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596E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116D7593">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F44384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672FFE9E">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3747D2C8">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15D7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19856AD">
            <w:pPr>
              <w:spacing w:line="276" w:lineRule="auto"/>
              <w:jc w:val="left"/>
              <w:rPr>
                <w:rFonts w:hint="eastAsia" w:ascii="宋体" w:hAnsi="宋体" w:eastAsia="宋体" w:cs="宋体"/>
                <w:szCs w:val="21"/>
              </w:rPr>
            </w:pPr>
            <w:r>
              <w:rPr>
                <w:rFonts w:ascii="宋体" w:hAnsi="宋体" w:eastAsia="宋体" w:cs="Times New Roman"/>
              </w:rPr>
              <w:t>阅读</w:t>
            </w:r>
            <w:r>
              <w:rPr>
                <w:rFonts w:hint="eastAsia" w:ascii="宋体" w:hAnsi="宋体" w:eastAsia="宋体" w:cs="Times New Roman"/>
              </w:rPr>
              <w:t>经典书籍</w:t>
            </w:r>
          </w:p>
        </w:tc>
        <w:tc>
          <w:tcPr>
            <w:tcW w:w="3407" w:type="dxa"/>
            <w:vAlign w:val="center"/>
          </w:tcPr>
          <w:p w14:paraId="7C4214CB">
            <w:pPr>
              <w:spacing w:line="276" w:lineRule="auto"/>
              <w:jc w:val="left"/>
              <w:rPr>
                <w:rFonts w:hint="eastAsia" w:ascii="宋体" w:hAnsi="宋体" w:eastAsia="宋体" w:cs="宋体"/>
                <w:szCs w:val="21"/>
              </w:rPr>
            </w:pPr>
            <w:r>
              <w:rPr>
                <w:rFonts w:ascii="宋体" w:hAnsi="宋体" w:eastAsia="宋体" w:cs="Times New Roman"/>
                <w:spacing w:val="-7"/>
                <w:szCs w:val="21"/>
              </w:rPr>
              <w:t>在校期间，</w:t>
            </w:r>
            <w:r>
              <w:rPr>
                <w:rFonts w:hint="eastAsia" w:ascii="宋体" w:hAnsi="宋体" w:eastAsia="宋体" w:cs="Times New Roman"/>
                <w:spacing w:val="-7"/>
                <w:szCs w:val="21"/>
              </w:rPr>
              <w:t>每学年须完成经典阅读</w:t>
            </w:r>
            <w:r>
              <w:rPr>
                <w:rFonts w:ascii="宋体" w:hAnsi="宋体" w:eastAsia="宋体" w:cs="Times New Roman"/>
                <w:spacing w:val="-7"/>
                <w:szCs w:val="21"/>
              </w:rPr>
              <w:t>20</w:t>
            </w:r>
            <w:r>
              <w:rPr>
                <w:rFonts w:hint="eastAsia" w:ascii="宋体" w:hAnsi="宋体" w:eastAsia="宋体" w:cs="Times New Roman"/>
                <w:spacing w:val="-7"/>
                <w:szCs w:val="21"/>
              </w:rPr>
              <w:t>本/6学时，</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7"/>
                <w:szCs w:val="21"/>
              </w:rPr>
              <w:t>完成经典阅读</w:t>
            </w:r>
            <w:r>
              <w:rPr>
                <w:rFonts w:ascii="宋体" w:hAnsi="宋体" w:eastAsia="宋体" w:cs="Times New Roman"/>
                <w:spacing w:val="-5"/>
                <w:szCs w:val="21"/>
              </w:rPr>
              <w:t>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hint="eastAsia" w:ascii="宋体" w:hAnsi="宋体" w:eastAsia="宋体" w:cs="Times New Roman"/>
                <w:spacing w:val="-10"/>
                <w:szCs w:val="21"/>
              </w:rPr>
              <w:t>24</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5"/>
                <w:szCs w:val="21"/>
              </w:rPr>
              <w:t>。</w:t>
            </w:r>
            <w:r>
              <w:rPr>
                <w:rFonts w:hint="eastAsia" w:ascii="宋体" w:hAnsi="宋体" w:eastAsia="宋体" w:cs="Times New Roman"/>
                <w:spacing w:val="-10"/>
                <w:szCs w:val="21"/>
              </w:rPr>
              <w:t>每学年超过部分，认定附加分，每增加1本经典阅读，计2学时。</w:t>
            </w:r>
            <w:r>
              <w:rPr>
                <w:rFonts w:hint="eastAsia" w:ascii="宋体" w:hAnsi="宋体" w:eastAsia="宋体" w:cs="Times New Roman"/>
                <w:bCs/>
                <w:spacing w:val="-5"/>
                <w:szCs w:val="21"/>
              </w:rPr>
              <w:t>经典阅读书目可涵盖</w:t>
            </w:r>
            <w:r>
              <w:rPr>
                <w:rFonts w:ascii="宋体" w:hAnsi="宋体" w:eastAsia="宋体" w:cs="Times New Roman"/>
                <w:bCs/>
                <w:spacing w:val="-5"/>
                <w:szCs w:val="21"/>
              </w:rPr>
              <w:t>“</w:t>
            </w:r>
            <w:r>
              <w:rPr>
                <w:rFonts w:hint="eastAsia" w:ascii="宋体" w:hAnsi="宋体" w:eastAsia="宋体" w:cs="Times New Roman"/>
                <w:bCs/>
                <w:spacing w:val="-5"/>
                <w:szCs w:val="21"/>
              </w:rPr>
              <w:t>教育学类</w:t>
            </w:r>
            <w:r>
              <w:rPr>
                <w:rFonts w:ascii="宋体" w:hAnsi="宋体" w:eastAsia="宋体" w:cs="Times New Roman"/>
                <w:bCs/>
                <w:spacing w:val="-5"/>
                <w:szCs w:val="21"/>
              </w:rPr>
              <w:t xml:space="preserve"> ” </w:t>
            </w:r>
            <w:r>
              <w:rPr>
                <w:rFonts w:hint="eastAsia" w:ascii="宋体" w:hAnsi="宋体" w:eastAsia="宋体" w:cs="Times New Roman"/>
                <w:bCs/>
                <w:spacing w:val="-5"/>
                <w:szCs w:val="21"/>
              </w:rPr>
              <w:t>“心理学类”</w:t>
            </w:r>
            <w:r>
              <w:rPr>
                <w:rFonts w:ascii="宋体" w:hAnsi="宋体" w:eastAsia="宋体" w:cs="Times New Roman"/>
                <w:bCs/>
                <w:spacing w:val="-5"/>
                <w:szCs w:val="21"/>
              </w:rPr>
              <w:t>“</w:t>
            </w:r>
            <w:r>
              <w:rPr>
                <w:rFonts w:hint="eastAsia" w:ascii="宋体" w:hAnsi="宋体" w:eastAsia="宋体" w:cs="Times New Roman"/>
                <w:bCs/>
                <w:spacing w:val="-5"/>
                <w:szCs w:val="21"/>
              </w:rPr>
              <w:t>文学艺术类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哲学美育类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“社会学类”</w:t>
            </w:r>
            <w:r>
              <w:rPr>
                <w:rFonts w:ascii="宋体" w:hAnsi="宋体" w:eastAsia="宋体" w:cs="Times New Roman"/>
                <w:bCs/>
                <w:spacing w:val="-5"/>
                <w:szCs w:val="21"/>
              </w:rPr>
              <w:t>“</w:t>
            </w:r>
            <w:r>
              <w:rPr>
                <w:rFonts w:hint="eastAsia" w:ascii="宋体" w:hAnsi="宋体" w:eastAsia="宋体" w:cs="Times New Roman"/>
                <w:bCs/>
                <w:spacing w:val="-5"/>
                <w:szCs w:val="21"/>
              </w:rPr>
              <w:t>自然科学类</w:t>
            </w:r>
            <w:r>
              <w:rPr>
                <w:rFonts w:ascii="宋体" w:hAnsi="宋体" w:eastAsia="宋体" w:cs="Times New Roman"/>
                <w:bCs/>
                <w:spacing w:val="-5"/>
                <w:szCs w:val="21"/>
              </w:rPr>
              <w:t>”</w:t>
            </w:r>
            <w:r>
              <w:rPr>
                <w:rFonts w:hint="eastAsia" w:ascii="宋体" w:hAnsi="宋体" w:eastAsia="宋体" w:cs="Times New Roman"/>
                <w:bCs/>
                <w:spacing w:val="-5"/>
                <w:szCs w:val="21"/>
              </w:rPr>
              <w:t>、“历史文明类</w:t>
            </w:r>
            <w:r>
              <w:rPr>
                <w:rFonts w:ascii="宋体" w:hAnsi="宋体" w:eastAsia="宋体" w:cs="Times New Roman"/>
                <w:bCs/>
                <w:spacing w:val="-5"/>
                <w:szCs w:val="21"/>
              </w:rPr>
              <w:t>”“</w:t>
            </w:r>
            <w:r>
              <w:rPr>
                <w:rFonts w:hint="eastAsia" w:ascii="宋体" w:hAnsi="宋体" w:eastAsia="宋体" w:cs="Times New Roman"/>
                <w:bCs/>
                <w:spacing w:val="-5"/>
                <w:szCs w:val="21"/>
              </w:rPr>
              <w:t>全球化领导力类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等八大类。</w:t>
            </w:r>
          </w:p>
        </w:tc>
        <w:tc>
          <w:tcPr>
            <w:tcW w:w="740" w:type="dxa"/>
            <w:vAlign w:val="center"/>
          </w:tcPr>
          <w:p w14:paraId="0E24A9F5">
            <w:pPr>
              <w:spacing w:line="276" w:lineRule="auto"/>
              <w:jc w:val="center"/>
              <w:rPr>
                <w:rFonts w:hint="eastAsia" w:ascii="宋体" w:hAnsi="宋体" w:eastAsia="宋体" w:cs="宋体"/>
                <w:szCs w:val="21"/>
              </w:rPr>
            </w:pPr>
            <w:r>
              <w:rPr>
                <w:rFonts w:hint="eastAsia" w:ascii="宋体" w:hAnsi="宋体" w:eastAsia="宋体" w:cs="宋体"/>
                <w:szCs w:val="21"/>
              </w:rPr>
              <w:t>阅读书籍</w:t>
            </w:r>
          </w:p>
        </w:tc>
        <w:tc>
          <w:tcPr>
            <w:tcW w:w="3160" w:type="dxa"/>
            <w:vAlign w:val="center"/>
          </w:tcPr>
          <w:p w14:paraId="2F98D95F">
            <w:pPr>
              <w:spacing w:line="276" w:lineRule="auto"/>
              <w:jc w:val="left"/>
              <w:rPr>
                <w:rFonts w:hint="eastAsia" w:ascii="宋体" w:hAnsi="宋体" w:eastAsia="宋体" w:cs="宋体"/>
                <w:szCs w:val="21"/>
              </w:rPr>
            </w:pPr>
            <w:r>
              <w:rPr>
                <w:rFonts w:ascii="宋体" w:hAnsi="宋体" w:eastAsia="宋体" w:cs="宋体"/>
                <w:szCs w:val="21"/>
              </w:rPr>
              <w:t>通过深入阅读经典文化作品，提升学生的人文素养，培养良好的道德情操和社会责任感</w:t>
            </w:r>
            <w:r>
              <w:rPr>
                <w:rFonts w:hint="eastAsia" w:ascii="宋体" w:hAnsi="宋体" w:eastAsia="宋体" w:cs="宋体"/>
                <w:szCs w:val="21"/>
              </w:rPr>
              <w:t>，</w:t>
            </w:r>
            <w:r>
              <w:rPr>
                <w:rFonts w:ascii="宋体" w:hAnsi="宋体" w:eastAsia="宋体" w:cs="宋体"/>
                <w:szCs w:val="21"/>
              </w:rPr>
              <w:t>提升学生的审美鉴赏能力，同时锻炼其语言表达和文学创作能力。</w:t>
            </w:r>
          </w:p>
        </w:tc>
      </w:tr>
      <w:tr w14:paraId="3FED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1610DD05">
            <w:pPr>
              <w:spacing w:line="276" w:lineRule="auto"/>
              <w:jc w:val="left"/>
              <w:rPr>
                <w:rFonts w:hint="eastAsia" w:ascii="宋体" w:hAnsi="宋体" w:eastAsia="宋体" w:cs="宋体"/>
                <w:szCs w:val="21"/>
              </w:rPr>
            </w:pPr>
            <w:r>
              <w:rPr>
                <w:rFonts w:ascii="宋体" w:hAnsi="宋体" w:eastAsia="宋体" w:cs="Times New Roman"/>
              </w:rPr>
              <w:t>参加讲座</w:t>
            </w:r>
            <w:r>
              <w:rPr>
                <w:rFonts w:hint="eastAsia" w:ascii="宋体" w:hAnsi="宋体" w:eastAsia="宋体" w:cs="Times New Roman"/>
              </w:rPr>
              <w:t>或报告</w:t>
            </w:r>
          </w:p>
        </w:tc>
        <w:tc>
          <w:tcPr>
            <w:tcW w:w="3407" w:type="dxa"/>
            <w:vAlign w:val="center"/>
          </w:tcPr>
          <w:p w14:paraId="1FFBBBC5">
            <w:pPr>
              <w:spacing w:line="276" w:lineRule="auto"/>
              <w:jc w:val="left"/>
              <w:rPr>
                <w:rFonts w:hint="eastAsia" w:ascii="宋体" w:hAnsi="宋体" w:eastAsia="宋体" w:cs="宋体"/>
                <w:szCs w:val="21"/>
              </w:rPr>
            </w:pPr>
            <w:r>
              <w:rPr>
                <w:rFonts w:ascii="宋体" w:hAnsi="宋体" w:eastAsia="宋体" w:cs="Times New Roman"/>
                <w:spacing w:val="-1"/>
                <w:szCs w:val="21"/>
              </w:rPr>
              <w:t>每学期参加至少</w:t>
            </w:r>
            <w:r>
              <w:rPr>
                <w:rFonts w:ascii="宋体" w:hAnsi="宋体" w:eastAsia="宋体" w:cs="Times New Roman"/>
                <w:spacing w:val="-49"/>
                <w:szCs w:val="21"/>
              </w:rPr>
              <w:t xml:space="preserve"> </w:t>
            </w:r>
            <w:r>
              <w:rPr>
                <w:rFonts w:ascii="宋体" w:hAnsi="宋体" w:eastAsia="宋体" w:cs="Times New Roman"/>
                <w:spacing w:val="-1"/>
                <w:szCs w:val="21"/>
              </w:rPr>
              <w:t>5</w:t>
            </w:r>
            <w:r>
              <w:rPr>
                <w:rFonts w:ascii="宋体" w:hAnsi="宋体" w:eastAsia="宋体" w:cs="Times New Roman"/>
                <w:spacing w:val="-52"/>
                <w:szCs w:val="21"/>
              </w:rPr>
              <w:t xml:space="preserve"> </w:t>
            </w:r>
            <w:r>
              <w:rPr>
                <w:rFonts w:ascii="宋体" w:hAnsi="宋体" w:eastAsia="宋体" w:cs="Times New Roman"/>
                <w:spacing w:val="-1"/>
                <w:szCs w:val="21"/>
              </w:rPr>
              <w:t>次校内外学术讲座（报告）或者网络</w:t>
            </w:r>
            <w:r>
              <w:rPr>
                <w:rFonts w:ascii="宋体" w:hAnsi="宋体" w:eastAsia="宋体" w:cs="Times New Roman"/>
                <w:spacing w:val="-4"/>
                <w:szCs w:val="21"/>
              </w:rPr>
              <w:t>上公开的学术会议，</w:t>
            </w:r>
            <w:r>
              <w:rPr>
                <w:rFonts w:hint="eastAsia" w:ascii="宋体" w:hAnsi="宋体" w:eastAsia="宋体" w:cs="Times New Roman"/>
                <w:spacing w:val="-7"/>
                <w:szCs w:val="21"/>
              </w:rPr>
              <w:t>每学年须完成参加学术讲座或报告</w:t>
            </w:r>
            <w:r>
              <w:rPr>
                <w:rFonts w:ascii="宋体" w:hAnsi="宋体" w:eastAsia="宋体" w:cs="Times New Roman"/>
                <w:spacing w:val="-7"/>
                <w:szCs w:val="21"/>
              </w:rPr>
              <w:t>10</w:t>
            </w:r>
            <w:r>
              <w:rPr>
                <w:rFonts w:hint="eastAsia" w:ascii="宋体" w:hAnsi="宋体" w:eastAsia="宋体" w:cs="Times New Roman"/>
                <w:spacing w:val="-7"/>
                <w:szCs w:val="21"/>
              </w:rPr>
              <w:t>场，方可获得2学时。学生须</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4"/>
                <w:szCs w:val="21"/>
              </w:rPr>
              <w:t>须</w:t>
            </w:r>
            <w:r>
              <w:rPr>
                <w:rFonts w:ascii="宋体" w:hAnsi="宋体" w:eastAsia="宋体" w:cs="Times New Roman"/>
                <w:spacing w:val="-4"/>
                <w:szCs w:val="21"/>
              </w:rPr>
              <w:t>参加学术讲座（报</w:t>
            </w:r>
            <w:r>
              <w:rPr>
                <w:rFonts w:ascii="宋体" w:hAnsi="宋体" w:eastAsia="宋体" w:cs="Times New Roman"/>
                <w:spacing w:val="-5"/>
                <w:szCs w:val="21"/>
              </w:rPr>
              <w:t>告）累计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ascii="宋体" w:hAnsi="宋体" w:eastAsia="宋体" w:cs="Times New Roman"/>
                <w:spacing w:val="-10"/>
                <w:szCs w:val="21"/>
              </w:rPr>
              <w:t>8</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10"/>
                <w:szCs w:val="21"/>
              </w:rPr>
              <w:t>每学年超过部分，认定附加分，每增加1次学术讲座，计2学时。</w:t>
            </w:r>
          </w:p>
        </w:tc>
        <w:tc>
          <w:tcPr>
            <w:tcW w:w="740" w:type="dxa"/>
            <w:vAlign w:val="center"/>
          </w:tcPr>
          <w:p w14:paraId="175F3BD3">
            <w:pPr>
              <w:spacing w:line="276" w:lineRule="auto"/>
              <w:jc w:val="center"/>
              <w:rPr>
                <w:rFonts w:hint="eastAsia" w:ascii="宋体" w:hAnsi="宋体" w:eastAsia="宋体" w:cs="宋体"/>
                <w:szCs w:val="21"/>
              </w:rPr>
            </w:pPr>
            <w:r>
              <w:rPr>
                <w:rFonts w:hint="eastAsia" w:ascii="宋体" w:hAnsi="宋体" w:eastAsia="宋体" w:cs="宋体"/>
                <w:szCs w:val="21"/>
              </w:rPr>
              <w:t>讲座报告</w:t>
            </w:r>
          </w:p>
        </w:tc>
        <w:tc>
          <w:tcPr>
            <w:tcW w:w="3160" w:type="dxa"/>
            <w:vAlign w:val="center"/>
          </w:tcPr>
          <w:p w14:paraId="3B86DD87">
            <w:pPr>
              <w:spacing w:line="276" w:lineRule="auto"/>
              <w:rPr>
                <w:rFonts w:hint="eastAsia" w:ascii="宋体" w:hAnsi="宋体" w:eastAsia="宋体" w:cs="宋体"/>
                <w:szCs w:val="21"/>
              </w:rPr>
            </w:pPr>
            <w:r>
              <w:rPr>
                <w:rFonts w:ascii="宋体" w:hAnsi="宋体" w:eastAsia="宋体" w:cs="宋体"/>
                <w:szCs w:val="21"/>
              </w:rPr>
              <w:t>通过聆听专家学者的讲座或报告，拓宽知识视野，激发创新思维，培养跨学科学习与思考的能力。讲座或报告往往聚焦社会热点、科技发展、文化传承等议题</w:t>
            </w:r>
            <w:r>
              <w:rPr>
                <w:rFonts w:hint="eastAsia" w:ascii="宋体" w:hAnsi="宋体" w:eastAsia="宋体" w:cs="宋体"/>
                <w:szCs w:val="21"/>
              </w:rPr>
              <w:t>，可以增</w:t>
            </w:r>
            <w:r>
              <w:rPr>
                <w:rFonts w:ascii="宋体" w:hAnsi="宋体" w:eastAsia="宋体" w:cs="宋体"/>
                <w:szCs w:val="21"/>
              </w:rPr>
              <w:t>强</w:t>
            </w:r>
            <w:r>
              <w:rPr>
                <w:rFonts w:hint="eastAsia" w:ascii="宋体" w:hAnsi="宋体" w:eastAsia="宋体" w:cs="宋体"/>
                <w:szCs w:val="21"/>
              </w:rPr>
              <w:t>自身</w:t>
            </w:r>
            <w:r>
              <w:rPr>
                <w:rFonts w:ascii="宋体" w:hAnsi="宋体" w:eastAsia="宋体" w:cs="宋体"/>
                <w:szCs w:val="21"/>
              </w:rPr>
              <w:t>社会责任感，激发其为时代进步贡献力量的使命感。通过讲座或报告的互动环节，促进学生与专家、学生之间的学术交流，激发思想碰撞，促进学术氛围的活跃。</w:t>
            </w:r>
          </w:p>
        </w:tc>
      </w:tr>
      <w:tr w14:paraId="52C4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E155159">
            <w:pPr>
              <w:spacing w:line="276" w:lineRule="auto"/>
              <w:jc w:val="left"/>
              <w:rPr>
                <w:rFonts w:hint="eastAsia" w:ascii="宋体" w:hAnsi="宋体" w:eastAsia="宋体" w:cs="宋体"/>
                <w:szCs w:val="21"/>
              </w:rPr>
            </w:pPr>
            <w:r>
              <w:rPr>
                <w:rFonts w:hint="eastAsia" w:ascii="宋体" w:hAnsi="宋体" w:eastAsia="宋体" w:cs="Times New Roman"/>
              </w:rPr>
              <w:t>撰写</w:t>
            </w:r>
            <w:r>
              <w:rPr>
                <w:rFonts w:ascii="宋体" w:hAnsi="宋体" w:eastAsia="宋体" w:cs="Times New Roman"/>
              </w:rPr>
              <w:t>读书</w:t>
            </w:r>
            <w:r>
              <w:rPr>
                <w:rFonts w:hint="eastAsia" w:ascii="宋体" w:hAnsi="宋体" w:eastAsia="宋体" w:cs="Times New Roman"/>
              </w:rPr>
              <w:t>体会或笔记</w:t>
            </w:r>
          </w:p>
        </w:tc>
        <w:tc>
          <w:tcPr>
            <w:tcW w:w="3407" w:type="dxa"/>
            <w:vAlign w:val="center"/>
          </w:tcPr>
          <w:p w14:paraId="62DE8617">
            <w:pPr>
              <w:spacing w:line="276" w:lineRule="auto"/>
              <w:jc w:val="left"/>
              <w:rPr>
                <w:rFonts w:hint="eastAsia" w:ascii="宋体" w:hAnsi="宋体" w:eastAsia="宋体" w:cs="宋体"/>
                <w:szCs w:val="21"/>
              </w:rPr>
            </w:pPr>
            <w:r>
              <w:rPr>
                <w:rFonts w:ascii="宋体" w:hAnsi="宋体" w:eastAsia="宋体" w:cs="Times New Roman"/>
                <w:spacing w:val="-1"/>
                <w:szCs w:val="21"/>
              </w:rPr>
              <w:t>每提交1篇读书体会或笔记（至少1500 字）可计</w:t>
            </w:r>
            <w:r>
              <w:rPr>
                <w:rFonts w:hint="eastAsia" w:ascii="宋体" w:hAnsi="宋体" w:eastAsia="宋体" w:cs="Times New Roman"/>
                <w:spacing w:val="-1"/>
                <w:szCs w:val="21"/>
              </w:rPr>
              <w:t>2</w:t>
            </w:r>
            <w:r>
              <w:rPr>
                <w:rFonts w:ascii="宋体" w:hAnsi="宋体" w:eastAsia="宋体" w:cs="Times New Roman"/>
                <w:spacing w:val="-1"/>
                <w:szCs w:val="21"/>
              </w:rPr>
              <w:t>学时</w:t>
            </w:r>
            <w:r>
              <w:rPr>
                <w:rFonts w:hint="eastAsia" w:ascii="宋体" w:hAnsi="宋体" w:eastAsia="宋体" w:cs="Times New Roman"/>
                <w:spacing w:val="-1"/>
                <w:szCs w:val="21"/>
              </w:rPr>
              <w:t>，作为附加分，可在第八学期累计入总学时</w:t>
            </w:r>
            <w:r>
              <w:rPr>
                <w:rFonts w:ascii="宋体" w:hAnsi="宋体" w:eastAsia="宋体" w:cs="Times New Roman"/>
                <w:spacing w:val="-1"/>
                <w:szCs w:val="21"/>
              </w:rPr>
              <w:t>。</w:t>
            </w:r>
            <w:r>
              <w:rPr>
                <w:rFonts w:ascii="宋体" w:hAnsi="宋体" w:eastAsia="宋体" w:cs="Times New Roman"/>
                <w:szCs w:val="21"/>
              </w:rPr>
              <w:t>根据学生的报告撰写的质量（格式、内容、逻辑、理论等）综合评定</w:t>
            </w:r>
            <w:r>
              <w:rPr>
                <w:rFonts w:hint="eastAsia" w:ascii="宋体" w:hAnsi="宋体" w:eastAsia="宋体" w:cs="Times New Roman"/>
                <w:szCs w:val="21"/>
              </w:rPr>
              <w:t>。</w:t>
            </w:r>
          </w:p>
        </w:tc>
        <w:tc>
          <w:tcPr>
            <w:tcW w:w="740" w:type="dxa"/>
            <w:vAlign w:val="center"/>
          </w:tcPr>
          <w:p w14:paraId="0DCB1A7E">
            <w:pPr>
              <w:spacing w:line="276" w:lineRule="auto"/>
              <w:jc w:val="center"/>
              <w:rPr>
                <w:rFonts w:hint="eastAsia" w:ascii="宋体" w:hAnsi="宋体" w:eastAsia="宋体" w:cs="宋体"/>
                <w:szCs w:val="21"/>
              </w:rPr>
            </w:pPr>
            <w:r>
              <w:rPr>
                <w:rFonts w:hint="eastAsia" w:ascii="宋体" w:hAnsi="宋体" w:eastAsia="宋体" w:cs="宋体"/>
                <w:szCs w:val="21"/>
              </w:rPr>
              <w:t>读书笔记</w:t>
            </w:r>
          </w:p>
        </w:tc>
        <w:tc>
          <w:tcPr>
            <w:tcW w:w="3160" w:type="dxa"/>
            <w:vAlign w:val="center"/>
          </w:tcPr>
          <w:p w14:paraId="43C40A19">
            <w:pPr>
              <w:spacing w:line="276" w:lineRule="auto"/>
              <w:rPr>
                <w:rFonts w:hint="eastAsia" w:ascii="宋体" w:hAnsi="宋体" w:eastAsia="宋体" w:cs="宋体"/>
                <w:szCs w:val="21"/>
              </w:rPr>
            </w:pPr>
            <w:r>
              <w:rPr>
                <w:rFonts w:hint="eastAsia" w:ascii="宋体" w:hAnsi="宋体" w:eastAsia="宋体" w:cs="宋体"/>
                <w:szCs w:val="21"/>
              </w:rPr>
              <w:t>能够</w:t>
            </w:r>
            <w:r>
              <w:rPr>
                <w:rFonts w:ascii="宋体" w:hAnsi="宋体" w:eastAsia="宋体" w:cs="宋体"/>
                <w:szCs w:val="21"/>
              </w:rPr>
              <w:t>以批判性视角审视经典文化作品，鼓励创新思维，培养独立思考和解决问题的能力。</w:t>
            </w:r>
          </w:p>
        </w:tc>
      </w:tr>
      <w:tr w14:paraId="6B95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4B4C35F8">
            <w:pPr>
              <w:spacing w:line="276" w:lineRule="auto"/>
              <w:jc w:val="left"/>
              <w:rPr>
                <w:rFonts w:hint="eastAsia" w:ascii="宋体" w:hAnsi="宋体" w:eastAsia="宋体" w:cs="宋体"/>
                <w:szCs w:val="21"/>
              </w:rPr>
            </w:pPr>
            <w:r>
              <w:rPr>
                <w:rFonts w:hint="eastAsia" w:ascii="宋体" w:hAnsi="宋体" w:eastAsia="宋体" w:cs="Times New Roman"/>
                <w:spacing w:val="-5"/>
                <w:szCs w:val="21"/>
              </w:rPr>
              <w:t>参与大学生读书节</w:t>
            </w:r>
          </w:p>
        </w:tc>
        <w:tc>
          <w:tcPr>
            <w:tcW w:w="3407" w:type="dxa"/>
            <w:vAlign w:val="center"/>
          </w:tcPr>
          <w:p w14:paraId="45BF478E">
            <w:pPr>
              <w:spacing w:line="276" w:lineRule="auto"/>
              <w:jc w:val="left"/>
              <w:rPr>
                <w:rFonts w:hint="eastAsia" w:ascii="宋体" w:hAnsi="宋体" w:eastAsia="宋体" w:cs="宋体"/>
                <w:szCs w:val="21"/>
              </w:rPr>
            </w:pPr>
            <w:r>
              <w:rPr>
                <w:rFonts w:ascii="宋体" w:hAnsi="宋体" w:eastAsia="宋体" w:cs="Times New Roman"/>
                <w:spacing w:val="-1"/>
                <w:szCs w:val="21"/>
              </w:rPr>
              <w:t>获得校级奖励每项可计5学时，获得省级（教育厅）奖励每项可计10学时</w:t>
            </w:r>
            <w:r>
              <w:rPr>
                <w:rFonts w:hint="eastAsia" w:ascii="宋体" w:hAnsi="宋体" w:eastAsia="宋体" w:cs="Times New Roman"/>
                <w:spacing w:val="-1"/>
                <w:szCs w:val="21"/>
              </w:rPr>
              <w:t>，可在第八学期累计入总学时</w:t>
            </w:r>
            <w:r>
              <w:rPr>
                <w:rFonts w:ascii="宋体" w:hAnsi="宋体" w:eastAsia="宋体" w:cs="Times New Roman"/>
                <w:spacing w:val="-1"/>
                <w:szCs w:val="21"/>
              </w:rPr>
              <w:t>。</w:t>
            </w:r>
          </w:p>
        </w:tc>
        <w:tc>
          <w:tcPr>
            <w:tcW w:w="740" w:type="dxa"/>
            <w:vAlign w:val="center"/>
          </w:tcPr>
          <w:p w14:paraId="5628F1F8">
            <w:pPr>
              <w:spacing w:line="276" w:lineRule="auto"/>
              <w:jc w:val="center"/>
              <w:rPr>
                <w:rFonts w:hint="eastAsia" w:ascii="宋体" w:hAnsi="宋体" w:eastAsia="宋体" w:cs="宋体"/>
                <w:szCs w:val="21"/>
              </w:rPr>
            </w:pPr>
            <w:r>
              <w:rPr>
                <w:rFonts w:hint="eastAsia" w:ascii="宋体" w:hAnsi="宋体" w:eastAsia="宋体" w:cs="Times New Roman"/>
                <w:spacing w:val="-5"/>
                <w:szCs w:val="21"/>
              </w:rPr>
              <w:t>大学生读书节</w:t>
            </w:r>
          </w:p>
        </w:tc>
        <w:tc>
          <w:tcPr>
            <w:tcW w:w="3160" w:type="dxa"/>
            <w:vAlign w:val="center"/>
          </w:tcPr>
          <w:p w14:paraId="7BD799B2">
            <w:pPr>
              <w:spacing w:line="276" w:lineRule="auto"/>
              <w:rPr>
                <w:rFonts w:hint="eastAsia" w:ascii="宋体" w:hAnsi="宋体" w:eastAsia="宋体" w:cs="宋体"/>
                <w:szCs w:val="21"/>
              </w:rPr>
            </w:pPr>
            <w:r>
              <w:rPr>
                <w:rFonts w:ascii="宋体" w:hAnsi="宋体" w:eastAsia="宋体" w:cs="宋体"/>
                <w:szCs w:val="21"/>
              </w:rPr>
              <w:t>通过表彰阅读成果，激发大学生对书籍的热爱和持续学习的热情，营造浓厚的校园阅读氛围。读书节活动往往包含团队阅读、分享讨论等环节，旨在增强学生的团队协作能力和社交技巧。通过树立获奖学生为榜样，激励更多学生参与阅读，共同塑造积极向上的校园文化。</w:t>
            </w:r>
          </w:p>
          <w:p w14:paraId="1930435E">
            <w:pPr>
              <w:spacing w:line="276" w:lineRule="auto"/>
              <w:rPr>
                <w:rFonts w:hint="eastAsia" w:ascii="宋体" w:hAnsi="宋体" w:eastAsia="宋体" w:cs="宋体"/>
                <w:szCs w:val="21"/>
              </w:rPr>
            </w:pPr>
          </w:p>
        </w:tc>
      </w:tr>
    </w:tbl>
    <w:p w14:paraId="557E4FDD">
      <w:pPr>
        <w:spacing w:line="360" w:lineRule="auto"/>
        <w:ind w:firstLine="551" w:firstLineChars="196"/>
        <w:jc w:val="left"/>
        <w:rPr>
          <w:rFonts w:hint="eastAsia" w:ascii="宋体" w:hAnsi="宋体" w:eastAsia="宋体" w:cs="Times New Roman"/>
          <w:b/>
          <w:color w:val="000000"/>
          <w:sz w:val="28"/>
          <w:szCs w:val="28"/>
        </w:rPr>
      </w:pPr>
    </w:p>
    <w:p w14:paraId="69CAA308">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1DDD4A4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D76DCCF">
      <w:pPr>
        <w:spacing w:line="360" w:lineRule="auto"/>
        <w:ind w:firstLine="420" w:firstLineChars="200"/>
        <w:jc w:val="left"/>
        <w:rPr>
          <w:rFonts w:hint="eastAsia" w:ascii="宋体" w:hAnsi="宋体" w:eastAsia="宋体" w:cs="Times New Roman"/>
          <w:bCs/>
          <w:szCs w:val="21"/>
        </w:rPr>
      </w:pPr>
      <w:r>
        <w:rPr>
          <w:rFonts w:ascii="宋体" w:hAnsi="宋体" w:eastAsia="宋体" w:cs="Times New Roman"/>
          <w:bCs/>
          <w:szCs w:val="21"/>
        </w:rPr>
        <w:t>1.提倡改革教学方法，强调应用现代化教学手段，如课件、互联网教学和网络答疑。</w:t>
      </w:r>
    </w:p>
    <w:p w14:paraId="6401BD53">
      <w:pPr>
        <w:spacing w:line="360" w:lineRule="auto"/>
        <w:ind w:firstLine="420" w:firstLineChars="200"/>
        <w:jc w:val="left"/>
        <w:rPr>
          <w:rFonts w:hint="eastAsia" w:ascii="宋体" w:hAnsi="宋体" w:eastAsia="宋体" w:cs="Times New Roman"/>
          <w:bCs/>
          <w:szCs w:val="21"/>
        </w:rPr>
      </w:pPr>
      <w:r>
        <w:rPr>
          <w:rFonts w:ascii="宋体" w:hAnsi="宋体" w:eastAsia="宋体" w:cs="Times New Roman"/>
          <w:bCs/>
          <w:szCs w:val="21"/>
        </w:rPr>
        <w:t>2.合理安排教学课时，加强小组讨论等旨在督促学生自主学习的教学环节；布置任务单，引导学生做好课前预习、讨论的工作；保证学生完成作业的次数。</w:t>
      </w:r>
    </w:p>
    <w:p w14:paraId="31C907F9">
      <w:pPr>
        <w:spacing w:line="360" w:lineRule="auto"/>
        <w:ind w:firstLine="420" w:firstLineChars="200"/>
        <w:jc w:val="left"/>
        <w:rPr>
          <w:rFonts w:hint="eastAsia" w:ascii="宋体" w:hAnsi="宋体" w:eastAsia="宋体" w:cs="Times New Roman"/>
          <w:bCs/>
          <w:szCs w:val="21"/>
        </w:rPr>
      </w:pPr>
      <w:r>
        <w:rPr>
          <w:rFonts w:ascii="宋体" w:hAnsi="宋体" w:eastAsia="宋体" w:cs="Times New Roman"/>
          <w:bCs/>
          <w:szCs w:val="21"/>
        </w:rPr>
        <w:t>3．教学内容密切联系教育学与心理学经典理论。</w:t>
      </w:r>
    </w:p>
    <w:p w14:paraId="0843A7B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2686ADB1">
      <w:pPr>
        <w:spacing w:line="360" w:lineRule="auto"/>
        <w:ind w:firstLine="420" w:firstLineChars="200"/>
        <w:jc w:val="left"/>
        <w:rPr>
          <w:rFonts w:ascii="Times New Roman" w:hAnsi="Times New Roman" w:eastAsia="宋体" w:cs="Times New Roman"/>
          <w:bCs/>
          <w:color w:val="000000"/>
          <w:szCs w:val="21"/>
        </w:rPr>
      </w:pPr>
      <w:r>
        <w:rPr>
          <w:rFonts w:ascii="Times New Roman" w:hAnsi="Times New Roman" w:eastAsia="宋体" w:cs="Times New Roman"/>
          <w:bCs/>
          <w:color w:val="000000"/>
          <w:szCs w:val="21"/>
        </w:rPr>
        <w:t>本课程的</w:t>
      </w:r>
      <w:r>
        <w:rPr>
          <w:rFonts w:hint="eastAsia" w:ascii="Times New Roman" w:hAnsi="Times New Roman" w:eastAsia="宋体" w:cs="Times New Roman"/>
          <w:bCs/>
          <w:color w:val="000000"/>
          <w:szCs w:val="21"/>
        </w:rPr>
        <w:t>教材</w:t>
      </w:r>
      <w:r>
        <w:rPr>
          <w:rFonts w:ascii="Times New Roman" w:hAnsi="Times New Roman" w:eastAsia="宋体" w:cs="Times New Roman"/>
          <w:bCs/>
          <w:color w:val="000000"/>
          <w:szCs w:val="21"/>
        </w:rPr>
        <w:t>参考相关课程教师的推荐书目。</w:t>
      </w:r>
    </w:p>
    <w:p w14:paraId="17C2235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DD27163">
      <w:pPr>
        <w:spacing w:line="360" w:lineRule="auto"/>
        <w:ind w:firstLine="420" w:firstLineChars="200"/>
        <w:rPr>
          <w:rFonts w:hint="eastAsia" w:ascii="宋体" w:hAnsi="宋体" w:eastAsia="宋体"/>
        </w:rPr>
      </w:pPr>
      <w:r>
        <w:rPr>
          <w:rFonts w:ascii="宋体" w:hAnsi="宋体" w:eastAsia="宋体"/>
        </w:rPr>
        <w:t>1.伯特兰·罗素：《西方哲学史》，何兆武等译，商务印书馆，2020.</w:t>
      </w:r>
    </w:p>
    <w:p w14:paraId="5D549FF4">
      <w:pPr>
        <w:spacing w:line="360" w:lineRule="auto"/>
        <w:ind w:firstLine="420" w:firstLineChars="200"/>
        <w:rPr>
          <w:rFonts w:hint="eastAsia" w:ascii="宋体" w:hAnsi="宋体" w:eastAsia="宋体"/>
        </w:rPr>
      </w:pPr>
      <w:r>
        <w:rPr>
          <w:rFonts w:ascii="宋体" w:hAnsi="宋体" w:eastAsia="宋体"/>
        </w:rPr>
        <w:t>2.柏拉图：《理想国》，郭斌和、张竹明译，商务印书馆，</w:t>
      </w:r>
    </w:p>
    <w:p w14:paraId="12894E4D">
      <w:pPr>
        <w:spacing w:line="360" w:lineRule="auto"/>
        <w:ind w:firstLine="420" w:firstLineChars="200"/>
        <w:rPr>
          <w:rFonts w:hint="eastAsia" w:ascii="宋体" w:hAnsi="宋体" w:eastAsia="宋体"/>
        </w:rPr>
      </w:pPr>
      <w:r>
        <w:rPr>
          <w:rFonts w:ascii="宋体" w:hAnsi="宋体" w:eastAsia="宋体"/>
        </w:rPr>
        <w:t>3.伯特兰·罗素：《教育和美好的生活》，张鑫毅译，上海人民出版社，2020.</w:t>
      </w:r>
    </w:p>
    <w:p w14:paraId="388DA0B6">
      <w:pPr>
        <w:spacing w:line="360" w:lineRule="auto"/>
        <w:ind w:firstLine="420" w:firstLineChars="200"/>
        <w:rPr>
          <w:rFonts w:hint="eastAsia" w:ascii="宋体" w:hAnsi="宋体" w:eastAsia="宋体"/>
        </w:rPr>
      </w:pPr>
      <w:r>
        <w:rPr>
          <w:rFonts w:ascii="宋体" w:hAnsi="宋体" w:eastAsia="宋体"/>
        </w:rPr>
        <w:t>4.杜威：《民主主义与教育》，人民教育出版社，2001.</w:t>
      </w:r>
    </w:p>
    <w:p w14:paraId="2C5B3D8F">
      <w:pPr>
        <w:spacing w:line="360" w:lineRule="auto"/>
        <w:ind w:firstLine="420" w:firstLineChars="200"/>
        <w:rPr>
          <w:rFonts w:hint="eastAsia" w:ascii="宋体" w:hAnsi="宋体" w:eastAsia="宋体"/>
        </w:rPr>
      </w:pPr>
      <w:r>
        <w:rPr>
          <w:rFonts w:ascii="宋体" w:hAnsi="宋体" w:eastAsia="宋体"/>
        </w:rPr>
        <w:t>5.拉尔夫·泰勒：《课程与教学的基本原理》，施良方译，人民教育出版社，1994.</w:t>
      </w:r>
    </w:p>
    <w:p w14:paraId="43556FD0">
      <w:pPr>
        <w:spacing w:line="360" w:lineRule="auto"/>
        <w:ind w:firstLine="420" w:firstLineChars="200"/>
        <w:rPr>
          <w:rFonts w:hint="eastAsia" w:ascii="宋体" w:hAnsi="宋体" w:eastAsia="宋体"/>
        </w:rPr>
      </w:pPr>
      <w:r>
        <w:rPr>
          <w:rFonts w:ascii="宋体" w:hAnsi="宋体" w:eastAsia="宋体"/>
        </w:rPr>
        <w:t>6.李弘祺，《学以为己：传统中国的教育》（上下册），华东大学出版社，2017.</w:t>
      </w:r>
    </w:p>
    <w:p w14:paraId="3FAF68BC">
      <w:pPr>
        <w:spacing w:line="360" w:lineRule="auto"/>
        <w:ind w:firstLine="420" w:firstLineChars="200"/>
        <w:rPr>
          <w:rFonts w:hint="eastAsia" w:ascii="宋体" w:hAnsi="宋体" w:eastAsia="宋体"/>
        </w:rPr>
      </w:pPr>
      <w:r>
        <w:rPr>
          <w:rFonts w:ascii="宋体" w:hAnsi="宋体" w:eastAsia="宋体"/>
        </w:rPr>
        <w:t>7.杨伯峻：《论语译注》，中华书局，2017.</w:t>
      </w:r>
    </w:p>
    <w:p w14:paraId="4751DCE6">
      <w:pPr>
        <w:spacing w:line="360" w:lineRule="auto"/>
        <w:ind w:firstLine="420" w:firstLineChars="200"/>
        <w:rPr>
          <w:rFonts w:hint="eastAsia" w:ascii="宋体" w:hAnsi="宋体" w:eastAsia="宋体"/>
        </w:rPr>
      </w:pPr>
      <w:r>
        <w:rPr>
          <w:rFonts w:ascii="宋体" w:hAnsi="宋体" w:eastAsia="宋体"/>
        </w:rPr>
        <w:t>8.陶行知：《陶行知文集》，江苏教育出版社，2008.</w:t>
      </w:r>
    </w:p>
    <w:p w14:paraId="2A942CE9"/>
    <w:p w14:paraId="118BB9D1">
      <w:pPr>
        <w:spacing w:line="360" w:lineRule="auto"/>
        <w:ind w:right="1320"/>
        <w:jc w:val="right"/>
        <w:rPr>
          <w:rFonts w:ascii="Times New Roman" w:hAnsi="Times New Roman" w:eastAsia="宋体" w:cs="Times New Roman"/>
          <w:sz w:val="24"/>
        </w:rPr>
      </w:pPr>
      <w:r>
        <w:rPr>
          <w:rFonts w:hint="eastAsia" w:ascii="Times New Roman" w:hAnsi="Times New Roman" w:eastAsia="宋体" w:cs="Times New Roman"/>
          <w:sz w:val="24"/>
        </w:rPr>
        <w:t>执 笔 人：</w:t>
      </w:r>
      <w:r>
        <w:rPr>
          <w:rFonts w:ascii="Times New Roman" w:hAnsi="Times New Roman" w:eastAsia="宋体" w:cs="Times New Roman"/>
          <w:sz w:val="24"/>
        </w:rPr>
        <w:t xml:space="preserve"> </w:t>
      </w:r>
      <w:r>
        <w:rPr>
          <w:rFonts w:hint="eastAsia" w:ascii="Times New Roman" w:hAnsi="Times New Roman" w:eastAsia="宋体" w:cs="Times New Roman"/>
          <w:sz w:val="24"/>
        </w:rPr>
        <w:t>周 晗</w:t>
      </w:r>
    </w:p>
    <w:p w14:paraId="3864523B">
      <w:pPr>
        <w:wordWrap w:val="0"/>
        <w:spacing w:line="360" w:lineRule="auto"/>
        <w:ind w:right="1320"/>
        <w:jc w:val="right"/>
        <w:rPr>
          <w:rFonts w:ascii="Times New Roman" w:hAnsi="Times New Roman" w:eastAsia="宋体" w:cs="Times New Roman"/>
          <w:sz w:val="24"/>
        </w:rPr>
      </w:pPr>
      <w:r>
        <w:rPr>
          <w:rFonts w:hint="eastAsia" w:ascii="Times New Roman" w:hAnsi="Times New Roman" w:eastAsia="宋体" w:cs="Times New Roman"/>
          <w:sz w:val="24"/>
        </w:rPr>
        <w:t>审 定 人：</w:t>
      </w:r>
      <w:r>
        <w:rPr>
          <w:rFonts w:ascii="Times New Roman" w:hAnsi="Times New Roman" w:eastAsia="宋体" w:cs="Times New Roman"/>
          <w:sz w:val="24"/>
        </w:rPr>
        <w:t xml:space="preserve"> </w:t>
      </w:r>
      <w:r>
        <w:rPr>
          <w:rFonts w:hint="eastAsia" w:ascii="Times New Roman" w:hAnsi="Times New Roman" w:eastAsia="宋体" w:cs="Times New Roman"/>
          <w:sz w:val="24"/>
        </w:rPr>
        <w:t>王 健</w:t>
      </w:r>
    </w:p>
    <w:p w14:paraId="7BB369F6">
      <w:pPr>
        <w:spacing w:line="360" w:lineRule="auto"/>
        <w:ind w:right="1200"/>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2CF4FBFA">
      <w:pPr>
        <w:spacing w:line="360" w:lineRule="auto"/>
        <w:ind w:right="120"/>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4D73782A">
      <w:pPr>
        <w:widowControl/>
        <w:ind w:firstLine="5060" w:firstLineChars="2100"/>
        <w:jc w:val="left"/>
        <w:rPr>
          <w:rFonts w:hint="eastAsia" w:ascii="宋体" w:hAnsi="宋体" w:eastAsia="宋体"/>
          <w:b/>
          <w:bCs/>
          <w:sz w:val="24"/>
        </w:rPr>
      </w:pPr>
      <w:r>
        <w:rPr>
          <w:rFonts w:ascii="宋体" w:hAnsi="宋体" w:eastAsia="宋体"/>
          <w:b/>
          <w:bCs/>
          <w:sz w:val="24"/>
        </w:rPr>
        <w:br w:type="page"/>
      </w:r>
    </w:p>
    <w:p w14:paraId="2D3DA10D">
      <w:pPr>
        <w:pStyle w:val="2"/>
        <w:bidi w:val="0"/>
        <w:rPr>
          <w:rFonts w:hint="eastAsia"/>
          <w:lang w:eastAsia="zh-CN"/>
        </w:rPr>
      </w:pPr>
      <w:bookmarkStart w:id="69" w:name="_Toc23130"/>
      <w:bookmarkStart w:id="70" w:name="_Toc8160"/>
      <w:bookmarkStart w:id="71" w:name="_Toc20072"/>
      <w:bookmarkStart w:id="72" w:name="_Toc30052"/>
      <w:bookmarkStart w:id="73" w:name="_Toc3460"/>
      <w:bookmarkStart w:id="74" w:name="_Toc57017169"/>
      <w:bookmarkStart w:id="75" w:name="_Toc57017170"/>
      <w:bookmarkStart w:id="76" w:name="_Toc20361"/>
      <w:bookmarkStart w:id="77" w:name="_Toc23835"/>
      <w:r>
        <w:rPr>
          <w:rFonts w:hint="eastAsia"/>
        </w:rPr>
        <w:t>《国家安全教育》</w:t>
      </w:r>
      <w:r>
        <w:rPr>
          <w:rFonts w:hint="eastAsia"/>
          <w:lang w:eastAsia="zh-CN"/>
        </w:rPr>
        <w:t>课程教学大纲</w:t>
      </w:r>
      <w:bookmarkEnd w:id="69"/>
    </w:p>
    <w:p w14:paraId="5107BC6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w:t>
      </w:r>
      <w:r>
        <w:rPr>
          <w:rFonts w:hint="default" w:ascii="Times New Roman" w:hAnsi="Times New Roman" w:eastAsia="方正小标宋简体" w:cs="Times New Roman"/>
          <w:b/>
          <w:bCs/>
          <w:sz w:val="28"/>
          <w:szCs w:val="28"/>
        </w:rPr>
        <w:t>National Security Education Curriculum Syllabus</w:t>
      </w:r>
      <w:r>
        <w:rPr>
          <w:rFonts w:hint="eastAsia" w:ascii="宋体" w:hAnsi="宋体" w:eastAsia="宋体" w:cs="宋体"/>
          <w:b/>
          <w:bCs/>
          <w:sz w:val="28"/>
          <w:szCs w:val="28"/>
          <w:lang w:eastAsia="zh-CN"/>
        </w:rPr>
        <w:t>）</w:t>
      </w:r>
    </w:p>
    <w:p w14:paraId="4E4B2E1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28"/>
          <w:szCs w:val="28"/>
          <w:lang w:eastAsia="zh-CN"/>
        </w:rPr>
      </w:pPr>
    </w:p>
    <w:p w14:paraId="6709A65B">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国家安全教育</w:t>
      </w:r>
    </w:p>
    <w:p w14:paraId="57C2763F">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hint="eastAsia" w:ascii="Times New Roman" w:hAnsi="Times New Roman" w:eastAsia="宋体" w:cs="Times New Roman"/>
          <w:b/>
          <w:sz w:val="24"/>
          <w:szCs w:val="24"/>
          <w:lang w:val="en-US" w:eastAsia="zh-CN"/>
        </w:rPr>
        <w:t>0000046</w:t>
      </w:r>
    </w:p>
    <w:p w14:paraId="2D58C7C0">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sz w:val="24"/>
          <w:szCs w:val="24"/>
          <w:lang w:val="en-US" w:eastAsia="zh-CN"/>
        </w:rPr>
        <w:t>1</w:t>
      </w:r>
    </w:p>
    <w:p w14:paraId="4528372E">
      <w:pPr>
        <w:spacing w:line="360" w:lineRule="auto"/>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b/>
          <w:sz w:val="24"/>
          <w:szCs w:val="24"/>
          <w:lang w:val="en-US" w:eastAsia="zh-CN"/>
        </w:rPr>
        <w:t>16</w:t>
      </w:r>
    </w:p>
    <w:p w14:paraId="789A084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先修课程：无</w:t>
      </w:r>
    </w:p>
    <w:p w14:paraId="38394166">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适用专业：小学教育</w:t>
      </w:r>
    </w:p>
    <w:p w14:paraId="72266B4A">
      <w:pPr>
        <w:spacing w:line="360" w:lineRule="auto"/>
        <w:ind w:firstLine="482" w:firstLineChars="200"/>
        <w:jc w:val="left"/>
        <w:rPr>
          <w:rFonts w:hint="eastAsia" w:ascii="Times New Roman" w:hAnsi="Times New Roman" w:eastAsia="宋体" w:cs="Times New Roman"/>
          <w:b/>
          <w:sz w:val="24"/>
          <w:szCs w:val="24"/>
        </w:rPr>
      </w:pPr>
    </w:p>
    <w:p w14:paraId="69F1BD16">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14B7126C">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本课程是小学教育专业的通识必修课</w:t>
      </w:r>
      <w:r>
        <w:rPr>
          <w:rFonts w:hint="eastAsia" w:ascii="Times New Roman" w:hAnsi="Times New Roman" w:cs="Times New Roman"/>
          <w:szCs w:val="21"/>
          <w:lang w:eastAsia="zh-CN"/>
        </w:rPr>
        <w:t>，</w:t>
      </w:r>
      <w:r>
        <w:rPr>
          <w:rFonts w:hint="eastAsia" w:ascii="Times New Roman" w:hAnsi="Times New Roman" w:eastAsia="宋体" w:cs="Times New Roman"/>
          <w:szCs w:val="21"/>
        </w:rPr>
        <w:t>隶属于高校思想政治教育体系。其宗旨在于培育学生的爱国情感和社会责任感。通过本课程的学习，学生将深入了解国家安全的基础知识、相关法律法规及政策导向；提升对国家安全重要性的认识，并在此基础上培养起强烈的责任感；学习识别和应对国家安全风险的基本技能；引导学生自觉遵守国家安全相关法律，积极履行公民义务；同时，本课程强调理论与实践相结合，注重提升学生的实际应用能力，以全面提高学生的综合素质。</w:t>
      </w:r>
    </w:p>
    <w:p w14:paraId="01851FE4">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707AC5E0">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A491FFA">
      <w:pPr>
        <w:widowControl w:val="0"/>
        <w:spacing w:line="360" w:lineRule="auto"/>
        <w:ind w:firstLine="422" w:firstLineChars="200"/>
        <w:jc w:val="left"/>
        <w:rPr>
          <w:rFonts w:hint="eastAsia" w:ascii="Times New Roman" w:hAnsi="Times New Roman" w:cs="Times New Roman"/>
          <w:b w:val="0"/>
          <w:bCs/>
          <w:szCs w:val="21"/>
          <w:lang w:eastAsia="zh-CN"/>
        </w:rPr>
      </w:pPr>
      <w:r>
        <w:rPr>
          <w:rFonts w:hint="eastAsia" w:ascii="Times New Roman" w:hAnsi="Times New Roman" w:eastAsia="宋体" w:cs="Times New Roman"/>
          <w:b/>
          <w:szCs w:val="21"/>
          <w:lang w:val="en-US" w:eastAsia="zh-CN"/>
        </w:rPr>
        <w:t>目标</w:t>
      </w:r>
      <w:r>
        <w:rPr>
          <w:rFonts w:hint="eastAsia" w:ascii="Times New Roman" w:hAnsi="Times New Roman" w:eastAsia="宋体" w:cs="Times New Roman"/>
          <w:b/>
          <w:szCs w:val="21"/>
          <w:lang w:eastAsia="zh-CN"/>
        </w:rPr>
        <w:t>１．</w:t>
      </w:r>
      <w:r>
        <w:rPr>
          <w:rFonts w:ascii="Times New Roman" w:hAnsi="Times New Roman" w:eastAsia="宋体" w:cs="Times New Roman"/>
          <w:b w:val="0"/>
          <w:bCs/>
          <w:kern w:val="2"/>
          <w:sz w:val="21"/>
          <w:szCs w:val="21"/>
          <w:lang w:bidi="ar-SA"/>
        </w:rPr>
        <w:t>知识目标：掌握国家安全的基本概念、内涵及外延，熟悉国家安全的法律法规和政策。能力目标：培养识别和应对国家安全风险的能力，提升维护国家安全的实践能力。素质目标：树立国家安全意识，强化爱国主义精神和社会责任感。</w:t>
      </w:r>
    </w:p>
    <w:p w14:paraId="6A36BD72">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5323"/>
        <w:gridCol w:w="1191"/>
      </w:tblGrid>
      <w:tr w14:paraId="169E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dxa"/>
            <w:noWrap w:val="0"/>
            <w:vAlign w:val="center"/>
          </w:tcPr>
          <w:p w14:paraId="2EFF417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323" w:type="dxa"/>
            <w:noWrap w:val="0"/>
            <w:vAlign w:val="center"/>
          </w:tcPr>
          <w:p w14:paraId="348DCBF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noWrap w:val="0"/>
            <w:vAlign w:val="center"/>
          </w:tcPr>
          <w:p w14:paraId="3CA0D44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866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dxa"/>
            <w:noWrap w:val="0"/>
            <w:vAlign w:val="center"/>
          </w:tcPr>
          <w:p w14:paraId="24A87ED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323" w:type="dxa"/>
            <w:noWrap w:val="0"/>
            <w:vAlign w:val="center"/>
          </w:tcPr>
          <w:p w14:paraId="3D484AF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w:t>
            </w:r>
            <w:r>
              <w:rPr>
                <w:rFonts w:hint="eastAsia" w:ascii="宋体" w:hAnsi="Times New Roman" w:eastAsia="宋体" w:cs="宋体"/>
                <w:color w:val="000000"/>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noWrap w:val="0"/>
            <w:vAlign w:val="center"/>
          </w:tcPr>
          <w:p w14:paraId="6F00546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bl>
    <w:p w14:paraId="2D4CED79">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2930"/>
        <w:gridCol w:w="713"/>
        <w:gridCol w:w="2355"/>
        <w:gridCol w:w="1215"/>
        <w:gridCol w:w="539"/>
      </w:tblGrid>
      <w:tr w14:paraId="4A30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72D8B38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36C7B3E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930" w:type="dxa"/>
            <w:noWrap w:val="0"/>
            <w:vAlign w:val="center"/>
          </w:tcPr>
          <w:p w14:paraId="6241A04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713" w:type="dxa"/>
            <w:noWrap w:val="0"/>
            <w:vAlign w:val="center"/>
          </w:tcPr>
          <w:p w14:paraId="3A96AA3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5FEE9C3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355" w:type="dxa"/>
            <w:noWrap w:val="0"/>
            <w:vAlign w:val="center"/>
          </w:tcPr>
          <w:p w14:paraId="6A6CB53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15" w:type="dxa"/>
            <w:noWrap w:val="0"/>
            <w:vAlign w:val="center"/>
          </w:tcPr>
          <w:p w14:paraId="1558D84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539" w:type="dxa"/>
            <w:noWrap w:val="0"/>
            <w:vAlign w:val="center"/>
          </w:tcPr>
          <w:p w14:paraId="4FACEB1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0883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1463B00E">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lang w:val="en-US" w:eastAsia="zh-CN"/>
              </w:rPr>
              <w:t>国家安全教育的意义</w:t>
            </w:r>
          </w:p>
        </w:tc>
        <w:tc>
          <w:tcPr>
            <w:tcW w:w="2930" w:type="dxa"/>
            <w:noWrap w:val="0"/>
            <w:vAlign w:val="center"/>
          </w:tcPr>
          <w:p w14:paraId="24D6296F">
            <w:pPr>
              <w:keepNext w:val="0"/>
              <w:keepLines w:val="0"/>
              <w:pageBreakBefore w:val="0"/>
              <w:widowControl w:val="0"/>
              <w:numPr>
                <w:ilvl w:val="0"/>
                <w:numId w:val="27"/>
              </w:numPr>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我国国家安全形势</w:t>
            </w:r>
          </w:p>
          <w:p w14:paraId="26987D77">
            <w:pPr>
              <w:keepNext w:val="0"/>
              <w:keepLines w:val="0"/>
              <w:pageBreakBefore w:val="0"/>
              <w:widowControl w:val="0"/>
              <w:numPr>
                <w:ilvl w:val="0"/>
                <w:numId w:val="27"/>
              </w:numPr>
              <w:kinsoku/>
              <w:wordWrap/>
              <w:overflowPunct/>
              <w:topLinePunct w:val="0"/>
              <w:autoSpaceDE/>
              <w:autoSpaceDN/>
              <w:bidi w:val="0"/>
              <w:adjustRightInd/>
              <w:snapToGrid/>
              <w:spacing w:line="22" w:lineRule="atLeast"/>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对大学生开展国家安全教育的意义</w:t>
            </w:r>
          </w:p>
          <w:p w14:paraId="2248C87E">
            <w:pPr>
              <w:keepNext w:val="0"/>
              <w:keepLines w:val="0"/>
              <w:pageBreakBefore w:val="0"/>
              <w:widowControl w:val="0"/>
              <w:numPr>
                <w:ilvl w:val="0"/>
                <w:numId w:val="27"/>
              </w:numPr>
              <w:kinsoku/>
              <w:wordWrap/>
              <w:overflowPunct/>
              <w:topLinePunct w:val="0"/>
              <w:autoSpaceDE/>
              <w:autoSpaceDN/>
              <w:bidi w:val="0"/>
              <w:adjustRightInd/>
              <w:snapToGrid/>
              <w:spacing w:line="22" w:lineRule="atLeast"/>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学习总体国家安全观的主要要求和基本方法</w:t>
            </w:r>
          </w:p>
        </w:tc>
        <w:tc>
          <w:tcPr>
            <w:tcW w:w="713" w:type="dxa"/>
            <w:noWrap w:val="0"/>
            <w:vAlign w:val="center"/>
          </w:tcPr>
          <w:p w14:paraId="408D44ED">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center"/>
          </w:tcPr>
          <w:p w14:paraId="3CC706BB">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eastAsia="宋体" w:cs="Times New Roman"/>
                <w:color w:val="000000"/>
                <w:szCs w:val="21"/>
              </w:rPr>
              <w:t>形成“国家安全人人有责”的自觉意识，主动抵制危害国家安全的行为</w:t>
            </w:r>
            <w:r>
              <w:rPr>
                <w:rFonts w:ascii="Arial" w:hAnsi="Arial" w:eastAsia="Arial" w:cs="Arial"/>
                <w:i w:val="0"/>
                <w:iCs w:val="0"/>
                <w:caps w:val="0"/>
                <w:color w:val="333333"/>
                <w:spacing w:val="0"/>
                <w:sz w:val="12"/>
                <w:szCs w:val="12"/>
                <w:shd w:val="clear" w:color="auto" w:fill="FFFFFF"/>
              </w:rPr>
              <w:t>‌</w:t>
            </w:r>
          </w:p>
        </w:tc>
        <w:tc>
          <w:tcPr>
            <w:tcW w:w="1215" w:type="dxa"/>
            <w:noWrap w:val="0"/>
            <w:vAlign w:val="center"/>
          </w:tcPr>
          <w:p w14:paraId="171784E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47F02336">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6B326512">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539" w:type="dxa"/>
            <w:noWrap w:val="0"/>
            <w:vAlign w:val="center"/>
          </w:tcPr>
          <w:p w14:paraId="0DFE4C69">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3FB3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400794FE">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2.</w:t>
            </w:r>
            <w:r>
              <w:rPr>
                <w:rFonts w:hint="eastAsia"/>
                <w:sz w:val="21"/>
                <w:szCs w:val="21"/>
                <w:vertAlign w:val="baseline"/>
                <w:lang w:eastAsia="zh-CN"/>
              </w:rPr>
              <w:t>完整准确领会总体国家安全观</w:t>
            </w:r>
          </w:p>
        </w:tc>
        <w:tc>
          <w:tcPr>
            <w:tcW w:w="2930" w:type="dxa"/>
            <w:noWrap w:val="0"/>
            <w:vAlign w:val="center"/>
          </w:tcPr>
          <w:p w14:paraId="70B6A9E9">
            <w:pPr>
              <w:keepNext w:val="0"/>
              <w:keepLines w:val="0"/>
              <w:pageBreakBefore w:val="0"/>
              <w:widowControl w:val="0"/>
              <w:numPr>
                <w:ilvl w:val="0"/>
                <w:numId w:val="0"/>
              </w:numPr>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lang w:val="en-US" w:eastAsia="zh-CN"/>
              </w:rPr>
              <w:t>总体国家安全观的创立</w:t>
            </w:r>
          </w:p>
          <w:p w14:paraId="7887EFC5">
            <w:pPr>
              <w:keepNext w:val="0"/>
              <w:keepLines w:val="0"/>
              <w:pageBreakBefore w:val="0"/>
              <w:widowControl w:val="0"/>
              <w:numPr>
                <w:ilvl w:val="0"/>
                <w:numId w:val="0"/>
              </w:numPr>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lang w:val="en-US" w:eastAsia="zh-CN"/>
              </w:rPr>
              <w:t>科学内涵</w:t>
            </w:r>
          </w:p>
          <w:p w14:paraId="2E0E0EE4">
            <w:pPr>
              <w:keepNext w:val="0"/>
              <w:keepLines w:val="0"/>
              <w:pageBreakBefore w:val="0"/>
              <w:widowControl w:val="0"/>
              <w:numPr>
                <w:ilvl w:val="0"/>
                <w:numId w:val="0"/>
              </w:numPr>
              <w:kinsoku/>
              <w:wordWrap/>
              <w:overflowPunct/>
              <w:topLinePunct w:val="0"/>
              <w:autoSpaceDE/>
              <w:autoSpaceDN/>
              <w:bidi w:val="0"/>
              <w:adjustRightInd/>
              <w:snapToGrid/>
              <w:spacing w:line="22"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lang w:val="en-US" w:eastAsia="zh-CN"/>
              </w:rPr>
              <w:t>重点领域和基本特征</w:t>
            </w:r>
          </w:p>
        </w:tc>
        <w:tc>
          <w:tcPr>
            <w:tcW w:w="713" w:type="dxa"/>
            <w:noWrap w:val="0"/>
            <w:vAlign w:val="center"/>
          </w:tcPr>
          <w:p w14:paraId="043125AC">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18FCCE4A">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lang w:eastAsia="zh-CN"/>
              </w:rPr>
            </w:pPr>
            <w:r>
              <w:rPr>
                <w:rFonts w:hint="eastAsia" w:ascii="宋体" w:hAnsi="宋体" w:cs="Times New Roman"/>
                <w:color w:val="000000"/>
                <w:sz w:val="21"/>
                <w:szCs w:val="21"/>
                <w:lang w:val="en-US" w:eastAsia="zh-CN"/>
              </w:rPr>
              <w:t>深刻理解国家安全与民族复兴的紧密关联，强化维护国家主权、安全、发展利益的政治自觉‌。掌握国家安全核心领域与法律法规（如《国家安全法》），构建系统化的安全认知框架。</w:t>
            </w:r>
            <w:r>
              <w:rPr>
                <w:rFonts w:ascii="Arial" w:hAnsi="Arial" w:eastAsia="Arial" w:cs="Arial"/>
                <w:i w:val="0"/>
                <w:iCs w:val="0"/>
                <w:caps w:val="0"/>
                <w:color w:val="333333"/>
                <w:spacing w:val="0"/>
                <w:sz w:val="12"/>
                <w:szCs w:val="12"/>
                <w:shd w:val="clear" w:color="auto" w:fill="FFFFFF"/>
              </w:rPr>
              <w:t>‌</w:t>
            </w:r>
          </w:p>
        </w:tc>
        <w:tc>
          <w:tcPr>
            <w:tcW w:w="1215" w:type="dxa"/>
            <w:noWrap w:val="0"/>
            <w:vAlign w:val="top"/>
          </w:tcPr>
          <w:p w14:paraId="1511A59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7AC4B3CB">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47C3118B">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4D4357AE">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1B86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77B69F45">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3.</w:t>
            </w:r>
            <w:r>
              <w:rPr>
                <w:rFonts w:hint="eastAsia"/>
                <w:sz w:val="21"/>
                <w:szCs w:val="21"/>
                <w:vertAlign w:val="baseline"/>
                <w:lang w:eastAsia="zh-CN"/>
              </w:rPr>
              <w:t>在党的领导下走好中国特色国家安全道路</w:t>
            </w:r>
          </w:p>
        </w:tc>
        <w:tc>
          <w:tcPr>
            <w:tcW w:w="2930" w:type="dxa"/>
            <w:noWrap w:val="0"/>
            <w:vAlign w:val="center"/>
          </w:tcPr>
          <w:p w14:paraId="36F76524">
            <w:pPr>
              <w:keepNext w:val="0"/>
              <w:keepLines w:val="0"/>
              <w:pageBreakBefore w:val="0"/>
              <w:widowControl w:val="0"/>
              <w:numPr>
                <w:ilvl w:val="0"/>
                <w:numId w:val="0"/>
              </w:numPr>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（1）坚持党对国家安全工作的绝对领导</w:t>
            </w:r>
          </w:p>
          <w:p w14:paraId="383F3688">
            <w:pPr>
              <w:keepNext w:val="0"/>
              <w:keepLines w:val="0"/>
              <w:pageBreakBefore w:val="0"/>
              <w:widowControl w:val="0"/>
              <w:numPr>
                <w:ilvl w:val="0"/>
                <w:numId w:val="0"/>
              </w:numPr>
              <w:kinsoku/>
              <w:wordWrap/>
              <w:overflowPunct/>
              <w:topLinePunct w:val="0"/>
              <w:autoSpaceDE/>
              <w:autoSpaceDN/>
              <w:bidi w:val="0"/>
              <w:adjustRightInd/>
              <w:snapToGrid/>
              <w:spacing w:line="22"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cs="Times New Roman"/>
                <w:color w:val="000000"/>
                <w:szCs w:val="21"/>
                <w:lang w:val="en-US" w:eastAsia="zh-CN"/>
              </w:rPr>
              <w:t>（2）坚持走好中国特色国家安全道路的科学内涵和实践要求</w:t>
            </w:r>
          </w:p>
        </w:tc>
        <w:tc>
          <w:tcPr>
            <w:tcW w:w="713" w:type="dxa"/>
            <w:noWrap w:val="0"/>
            <w:vAlign w:val="center"/>
          </w:tcPr>
          <w:p w14:paraId="2ADC9D9D">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50F51B48">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default" w:ascii="宋体" w:hAnsi="宋体" w:eastAsia="宋体" w:cs="Times New Roman"/>
                <w:color w:val="000000"/>
                <w:sz w:val="21"/>
                <w:szCs w:val="21"/>
                <w:lang w:val="en-US" w:eastAsia="zh-CN"/>
              </w:rPr>
            </w:pPr>
            <w:r>
              <w:rPr>
                <w:rFonts w:hint="eastAsia" w:ascii="宋体" w:hAnsi="宋体" w:cs="Times New Roman"/>
                <w:color w:val="000000"/>
                <w:sz w:val="21"/>
                <w:szCs w:val="21"/>
                <w:lang w:val="en-US" w:eastAsia="zh-CN"/>
              </w:rPr>
              <w:t>能够深刻理解</w:t>
            </w:r>
            <w:r>
              <w:rPr>
                <w:rFonts w:hint="eastAsia" w:ascii="宋体" w:hAnsi="宋体" w:cs="Times New Roman"/>
                <w:color w:val="000000"/>
                <w:szCs w:val="21"/>
                <w:lang w:val="en-US" w:eastAsia="zh-CN"/>
              </w:rPr>
              <w:t>坚持走好中国特色国家安全道路的科学内涵和实践要求。</w:t>
            </w:r>
          </w:p>
        </w:tc>
        <w:tc>
          <w:tcPr>
            <w:tcW w:w="1215" w:type="dxa"/>
            <w:noWrap w:val="0"/>
            <w:vAlign w:val="top"/>
          </w:tcPr>
          <w:p w14:paraId="78663DD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C863409">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2E44BBD0">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28284D30">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78C2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2C51FAC3">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4.</w:t>
            </w:r>
            <w:r>
              <w:rPr>
                <w:rFonts w:hint="eastAsia"/>
                <w:sz w:val="21"/>
                <w:szCs w:val="21"/>
                <w:vertAlign w:val="baseline"/>
                <w:lang w:eastAsia="zh-CN"/>
              </w:rPr>
              <w:t>更好统筹发展和安全</w:t>
            </w:r>
          </w:p>
        </w:tc>
        <w:tc>
          <w:tcPr>
            <w:tcW w:w="2930" w:type="dxa"/>
            <w:noWrap w:val="0"/>
            <w:vAlign w:val="center"/>
          </w:tcPr>
          <w:p w14:paraId="7894B7C0">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eastAsia="zh-CN"/>
              </w:rPr>
              <w:t>（</w:t>
            </w:r>
            <w:r>
              <w:rPr>
                <w:rFonts w:hint="eastAsia"/>
                <w:sz w:val="21"/>
                <w:szCs w:val="21"/>
                <w:vertAlign w:val="baseline"/>
                <w:lang w:val="en-US" w:eastAsia="zh-CN"/>
              </w:rPr>
              <w:t>1</w:t>
            </w:r>
            <w:r>
              <w:rPr>
                <w:rFonts w:hint="eastAsia"/>
                <w:sz w:val="21"/>
                <w:szCs w:val="21"/>
                <w:vertAlign w:val="baseline"/>
                <w:lang w:eastAsia="zh-CN"/>
              </w:rPr>
              <w:t>）</w:t>
            </w:r>
            <w:r>
              <w:rPr>
                <w:rFonts w:hint="eastAsia"/>
                <w:sz w:val="21"/>
                <w:szCs w:val="21"/>
                <w:vertAlign w:val="baseline"/>
                <w:lang w:val="en-US" w:eastAsia="zh-CN"/>
              </w:rPr>
              <w:t>统筹</w:t>
            </w:r>
            <w:r>
              <w:rPr>
                <w:rFonts w:hint="eastAsia"/>
                <w:sz w:val="21"/>
                <w:szCs w:val="21"/>
                <w:vertAlign w:val="baseline"/>
                <w:lang w:eastAsia="zh-CN"/>
              </w:rPr>
              <w:t>发展和安全</w:t>
            </w:r>
            <w:r>
              <w:rPr>
                <w:rFonts w:hint="eastAsia"/>
                <w:sz w:val="21"/>
                <w:szCs w:val="21"/>
                <w:vertAlign w:val="baseline"/>
                <w:lang w:val="en-US" w:eastAsia="zh-CN"/>
              </w:rPr>
              <w:t>的重大意义</w:t>
            </w:r>
          </w:p>
          <w:p w14:paraId="22E20348">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default"/>
                <w:sz w:val="21"/>
                <w:szCs w:val="21"/>
                <w:vertAlign w:val="baseline"/>
                <w:lang w:val="en-US" w:eastAsia="zh-CN"/>
              </w:rPr>
            </w:pPr>
            <w:r>
              <w:rPr>
                <w:rFonts w:hint="eastAsia"/>
                <w:sz w:val="21"/>
                <w:szCs w:val="21"/>
                <w:vertAlign w:val="baseline"/>
                <w:lang w:val="en-US" w:eastAsia="zh-CN"/>
              </w:rPr>
              <w:t>（2）科学内涵</w:t>
            </w:r>
          </w:p>
        </w:tc>
        <w:tc>
          <w:tcPr>
            <w:tcW w:w="713" w:type="dxa"/>
            <w:noWrap w:val="0"/>
            <w:vAlign w:val="center"/>
          </w:tcPr>
          <w:p w14:paraId="5EEF72D5">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1CE7B02A">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 w:val="21"/>
                <w:szCs w:val="21"/>
                <w:lang w:val="en-US" w:eastAsia="zh-CN"/>
              </w:rPr>
              <w:t>能够深刻理解</w:t>
            </w:r>
            <w:r>
              <w:rPr>
                <w:rFonts w:hint="eastAsia" w:ascii="宋体" w:hAnsi="宋体" w:cs="Times New Roman"/>
                <w:color w:val="000000"/>
                <w:szCs w:val="21"/>
                <w:lang w:val="en-US" w:eastAsia="zh-CN"/>
              </w:rPr>
              <w:t>统筹和发展的科学内涵和实践要求。</w:t>
            </w:r>
          </w:p>
        </w:tc>
        <w:tc>
          <w:tcPr>
            <w:tcW w:w="1215" w:type="dxa"/>
            <w:noWrap w:val="0"/>
            <w:vAlign w:val="top"/>
          </w:tcPr>
          <w:p w14:paraId="074FC3A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3912FCC2">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6A9EB38B">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781BDDFD">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33A5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5C2EE659">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5.</w:t>
            </w:r>
            <w:r>
              <w:rPr>
                <w:rFonts w:hint="eastAsia"/>
                <w:sz w:val="21"/>
                <w:szCs w:val="21"/>
                <w:vertAlign w:val="baseline"/>
                <w:lang w:eastAsia="zh-CN"/>
              </w:rPr>
              <w:t>坚持以人民安全为宗旨</w:t>
            </w:r>
          </w:p>
        </w:tc>
        <w:tc>
          <w:tcPr>
            <w:tcW w:w="2930" w:type="dxa"/>
            <w:noWrap w:val="0"/>
            <w:vAlign w:val="center"/>
          </w:tcPr>
          <w:p w14:paraId="33110BE6">
            <w:pPr>
              <w:keepNext w:val="0"/>
              <w:keepLines w:val="0"/>
              <w:pageBreakBefore w:val="0"/>
              <w:widowControl w:val="0"/>
              <w:numPr>
                <w:ilvl w:val="0"/>
                <w:numId w:val="28"/>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坚持以人民安全为宗旨的科学内涵</w:t>
            </w:r>
          </w:p>
          <w:p w14:paraId="69A772FF">
            <w:pPr>
              <w:keepNext w:val="0"/>
              <w:keepLines w:val="0"/>
              <w:pageBreakBefore w:val="0"/>
              <w:widowControl w:val="0"/>
              <w:numPr>
                <w:ilvl w:val="0"/>
                <w:numId w:val="28"/>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新时代人民安全面临的风险挑战</w:t>
            </w:r>
          </w:p>
          <w:p w14:paraId="6BEEF605">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default"/>
                <w:sz w:val="21"/>
                <w:szCs w:val="21"/>
                <w:vertAlign w:val="baseline"/>
                <w:lang w:val="en-US" w:eastAsia="zh-CN"/>
              </w:rPr>
            </w:pPr>
            <w:r>
              <w:rPr>
                <w:rFonts w:hint="eastAsia"/>
                <w:sz w:val="21"/>
                <w:szCs w:val="21"/>
                <w:vertAlign w:val="baseline"/>
                <w:lang w:val="en-US" w:eastAsia="zh-CN"/>
              </w:rPr>
              <w:t>（3）新时代维护人民安全的途径和方法</w:t>
            </w:r>
          </w:p>
        </w:tc>
        <w:tc>
          <w:tcPr>
            <w:tcW w:w="713" w:type="dxa"/>
            <w:noWrap w:val="0"/>
            <w:vAlign w:val="center"/>
          </w:tcPr>
          <w:p w14:paraId="0BEB5FE8">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30C68EA3">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 w:val="21"/>
                <w:szCs w:val="21"/>
                <w:lang w:val="en-US" w:eastAsia="zh-CN"/>
              </w:rPr>
              <w:t>系统掌握“以人民安全为宗旨”的内涵与外延，理解其在总体国家安全观中的核心地位。</w:t>
            </w:r>
            <w:r>
              <w:rPr>
                <w:rFonts w:ascii="Arial" w:hAnsi="Arial" w:eastAsia="Arial" w:cs="Arial"/>
                <w:i w:val="0"/>
                <w:iCs w:val="0"/>
                <w:caps w:val="0"/>
                <w:color w:val="333333"/>
                <w:spacing w:val="0"/>
                <w:sz w:val="12"/>
                <w:szCs w:val="12"/>
                <w:shd w:val="clear" w:color="auto" w:fill="FFFFFF"/>
              </w:rPr>
              <w:t>‌</w:t>
            </w:r>
          </w:p>
        </w:tc>
        <w:tc>
          <w:tcPr>
            <w:tcW w:w="1215" w:type="dxa"/>
            <w:noWrap w:val="0"/>
            <w:vAlign w:val="top"/>
          </w:tcPr>
          <w:p w14:paraId="3D23F5C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288CABFC">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4AD01717">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56F2501E">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r>
      <w:tr w14:paraId="4E96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661D15D9">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6.</w:t>
            </w:r>
            <w:r>
              <w:rPr>
                <w:rFonts w:hint="eastAsia"/>
                <w:sz w:val="21"/>
                <w:szCs w:val="21"/>
                <w:vertAlign w:val="baseline"/>
                <w:lang w:eastAsia="zh-CN"/>
              </w:rPr>
              <w:t>坚持以政治安全为根本</w:t>
            </w:r>
          </w:p>
        </w:tc>
        <w:tc>
          <w:tcPr>
            <w:tcW w:w="2930" w:type="dxa"/>
            <w:noWrap w:val="0"/>
            <w:vAlign w:val="center"/>
          </w:tcPr>
          <w:p w14:paraId="5EF56CC3">
            <w:pPr>
              <w:keepNext w:val="0"/>
              <w:keepLines w:val="0"/>
              <w:pageBreakBefore w:val="0"/>
              <w:widowControl w:val="0"/>
              <w:numPr>
                <w:ilvl w:val="0"/>
                <w:numId w:val="29"/>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坚持以政治安全为根本的科学内涵</w:t>
            </w:r>
          </w:p>
          <w:p w14:paraId="31183528">
            <w:pPr>
              <w:keepNext w:val="0"/>
              <w:keepLines w:val="0"/>
              <w:pageBreakBefore w:val="0"/>
              <w:widowControl w:val="0"/>
              <w:numPr>
                <w:ilvl w:val="0"/>
                <w:numId w:val="29"/>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新时代政治安全面临的风险挑战</w:t>
            </w:r>
          </w:p>
          <w:p w14:paraId="5F964287">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default"/>
                <w:sz w:val="21"/>
                <w:szCs w:val="21"/>
                <w:vertAlign w:val="baseline"/>
                <w:lang w:val="en-US" w:eastAsia="zh-CN"/>
              </w:rPr>
            </w:pPr>
            <w:r>
              <w:rPr>
                <w:rFonts w:hint="eastAsia"/>
                <w:sz w:val="21"/>
                <w:szCs w:val="21"/>
                <w:vertAlign w:val="baseline"/>
                <w:lang w:val="en-US" w:eastAsia="zh-CN"/>
              </w:rPr>
              <w:t>（3）新时代维护政治安全的途径和方法</w:t>
            </w:r>
          </w:p>
        </w:tc>
        <w:tc>
          <w:tcPr>
            <w:tcW w:w="713" w:type="dxa"/>
            <w:noWrap w:val="0"/>
            <w:vAlign w:val="center"/>
          </w:tcPr>
          <w:p w14:paraId="55D9CAF0">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08A8FD74">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lang w:eastAsia="zh-CN"/>
              </w:rPr>
            </w:pPr>
            <w:r>
              <w:rPr>
                <w:rFonts w:hint="eastAsia" w:ascii="宋体" w:hAnsi="宋体" w:cs="Times New Roman"/>
                <w:color w:val="000000"/>
                <w:sz w:val="21"/>
                <w:szCs w:val="21"/>
                <w:lang w:val="en-US" w:eastAsia="zh-CN"/>
              </w:rPr>
              <w:t>深刻理解政治安全在国家安全体系中的核心地位，增强“两个维护”的政治自觉‌。</w:t>
            </w:r>
          </w:p>
        </w:tc>
        <w:tc>
          <w:tcPr>
            <w:tcW w:w="1215" w:type="dxa"/>
            <w:noWrap w:val="0"/>
            <w:vAlign w:val="top"/>
          </w:tcPr>
          <w:p w14:paraId="0DE90B9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0E81648D">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4E12AFA8">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046E35AF">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r>
      <w:tr w14:paraId="7407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14A0D8EA">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7.</w:t>
            </w:r>
            <w:r>
              <w:rPr>
                <w:rFonts w:hint="eastAsia"/>
                <w:sz w:val="21"/>
                <w:szCs w:val="21"/>
                <w:vertAlign w:val="baseline"/>
                <w:lang w:eastAsia="zh-CN"/>
              </w:rPr>
              <w:t>坚持以经济安全为基础</w:t>
            </w:r>
          </w:p>
        </w:tc>
        <w:tc>
          <w:tcPr>
            <w:tcW w:w="2930" w:type="dxa"/>
            <w:noWrap w:val="0"/>
            <w:vAlign w:val="center"/>
          </w:tcPr>
          <w:p w14:paraId="709ABF84">
            <w:pPr>
              <w:keepNext w:val="0"/>
              <w:keepLines w:val="0"/>
              <w:pageBreakBefore w:val="0"/>
              <w:widowControl w:val="0"/>
              <w:numPr>
                <w:ilvl w:val="0"/>
                <w:numId w:val="3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坚持以经济安全为基础的科学内涵</w:t>
            </w:r>
          </w:p>
          <w:p w14:paraId="3E1734FE">
            <w:pPr>
              <w:keepNext w:val="0"/>
              <w:keepLines w:val="0"/>
              <w:pageBreakBefore w:val="0"/>
              <w:widowControl w:val="0"/>
              <w:numPr>
                <w:ilvl w:val="0"/>
                <w:numId w:val="3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新时代经济安全面临的风险挑战</w:t>
            </w:r>
          </w:p>
          <w:p w14:paraId="0A58E539">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default"/>
                <w:sz w:val="21"/>
                <w:szCs w:val="21"/>
                <w:vertAlign w:val="baseline"/>
                <w:lang w:val="en-US" w:eastAsia="zh-CN"/>
              </w:rPr>
            </w:pPr>
            <w:r>
              <w:rPr>
                <w:rFonts w:hint="eastAsia"/>
                <w:sz w:val="21"/>
                <w:szCs w:val="21"/>
                <w:vertAlign w:val="baseline"/>
                <w:lang w:val="en-US" w:eastAsia="zh-CN"/>
              </w:rPr>
              <w:t>（3）新时代维护经济安全的途径和方法</w:t>
            </w:r>
          </w:p>
        </w:tc>
        <w:tc>
          <w:tcPr>
            <w:tcW w:w="713" w:type="dxa"/>
            <w:noWrap w:val="0"/>
            <w:vAlign w:val="center"/>
          </w:tcPr>
          <w:p w14:paraId="6B4694C4">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4B7E1FE7">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lang w:eastAsia="zh-CN"/>
              </w:rPr>
            </w:pPr>
            <w:r>
              <w:rPr>
                <w:rFonts w:hint="eastAsia" w:ascii="宋体" w:hAnsi="宋体" w:cs="Times New Roman"/>
                <w:color w:val="000000"/>
                <w:sz w:val="21"/>
                <w:szCs w:val="21"/>
                <w:lang w:val="en-US" w:eastAsia="zh-CN"/>
              </w:rPr>
              <w:t>系统掌握经济安全的内涵及其在总体国家安全观中的基础性作用，理解马克思主义理论与经济安全的关联‌。</w:t>
            </w:r>
          </w:p>
        </w:tc>
        <w:tc>
          <w:tcPr>
            <w:tcW w:w="1215" w:type="dxa"/>
            <w:noWrap w:val="0"/>
            <w:vAlign w:val="top"/>
          </w:tcPr>
          <w:p w14:paraId="5266A91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4A1FFB35">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19C0780D">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684FBCE7">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r>
      <w:tr w14:paraId="78DE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589998EB">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8.</w:t>
            </w:r>
            <w:r>
              <w:rPr>
                <w:rFonts w:hint="eastAsia"/>
                <w:sz w:val="21"/>
                <w:szCs w:val="21"/>
                <w:vertAlign w:val="baseline"/>
                <w:lang w:eastAsia="zh-CN"/>
              </w:rPr>
              <w:t>坚持以军事、科技、文化、社会安全为保障</w:t>
            </w:r>
          </w:p>
        </w:tc>
        <w:tc>
          <w:tcPr>
            <w:tcW w:w="2930" w:type="dxa"/>
            <w:noWrap w:val="0"/>
            <w:vAlign w:val="center"/>
          </w:tcPr>
          <w:p w14:paraId="5F20AA1F">
            <w:pPr>
              <w:keepNext w:val="0"/>
              <w:keepLines w:val="0"/>
              <w:pageBreakBefore w:val="0"/>
              <w:widowControl w:val="0"/>
              <w:numPr>
                <w:ilvl w:val="0"/>
                <w:numId w:val="31"/>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科学内涵</w:t>
            </w:r>
          </w:p>
          <w:p w14:paraId="0B6F04C8">
            <w:pPr>
              <w:keepNext w:val="0"/>
              <w:keepLines w:val="0"/>
              <w:pageBreakBefore w:val="0"/>
              <w:widowControl w:val="0"/>
              <w:numPr>
                <w:ilvl w:val="0"/>
                <w:numId w:val="31"/>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面临的风险挑战</w:t>
            </w:r>
          </w:p>
          <w:p w14:paraId="36976C58">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eastAsia"/>
                <w:sz w:val="21"/>
                <w:szCs w:val="21"/>
                <w:vertAlign w:val="baseline"/>
                <w:lang w:val="en-US" w:eastAsia="zh-CN"/>
              </w:rPr>
            </w:pPr>
            <w:r>
              <w:rPr>
                <w:rFonts w:hint="eastAsia"/>
                <w:sz w:val="21"/>
                <w:szCs w:val="21"/>
                <w:vertAlign w:val="baseline"/>
                <w:lang w:val="en-US" w:eastAsia="zh-CN"/>
              </w:rPr>
              <w:t>（3）新时代维护相关安全的途径和方法</w:t>
            </w:r>
          </w:p>
        </w:tc>
        <w:tc>
          <w:tcPr>
            <w:tcW w:w="713" w:type="dxa"/>
            <w:noWrap w:val="0"/>
            <w:vAlign w:val="center"/>
          </w:tcPr>
          <w:p w14:paraId="36CE26DF">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4DDBB1C4">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lang w:eastAsia="zh-CN"/>
              </w:rPr>
            </w:pPr>
            <w:r>
              <w:rPr>
                <w:rFonts w:hint="eastAsia" w:ascii="宋体" w:hAnsi="宋体" w:cs="Times New Roman"/>
                <w:color w:val="000000"/>
                <w:sz w:val="21"/>
                <w:szCs w:val="21"/>
                <w:lang w:val="en-US" w:eastAsia="zh-CN"/>
              </w:rPr>
              <w:t>掌握军事、科技、文化、社会安全在总体国家安全观中的协同保障作用，理解其与政治、经济安全的联动逻辑‌。</w:t>
            </w:r>
          </w:p>
        </w:tc>
        <w:tc>
          <w:tcPr>
            <w:tcW w:w="1215" w:type="dxa"/>
            <w:noWrap w:val="0"/>
            <w:vAlign w:val="top"/>
          </w:tcPr>
          <w:p w14:paraId="760B07E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7FBD27DC">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4C0481A6">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51AD74A3">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r>
      <w:tr w14:paraId="2F16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53DCBA6D">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9.</w:t>
            </w:r>
            <w:r>
              <w:rPr>
                <w:rFonts w:hint="eastAsia"/>
                <w:sz w:val="21"/>
                <w:szCs w:val="21"/>
                <w:vertAlign w:val="baseline"/>
                <w:lang w:eastAsia="zh-CN"/>
              </w:rPr>
              <w:t>坚持以促进国际安全为依托</w:t>
            </w:r>
          </w:p>
        </w:tc>
        <w:tc>
          <w:tcPr>
            <w:tcW w:w="2930" w:type="dxa"/>
            <w:noWrap w:val="0"/>
            <w:vAlign w:val="center"/>
          </w:tcPr>
          <w:p w14:paraId="2907C39B">
            <w:pPr>
              <w:keepNext w:val="0"/>
              <w:keepLines w:val="0"/>
              <w:pageBreakBefore w:val="0"/>
              <w:widowControl w:val="0"/>
              <w:numPr>
                <w:ilvl w:val="0"/>
                <w:numId w:val="32"/>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坚持以促进国际安全为依托的科学内涵</w:t>
            </w:r>
          </w:p>
          <w:p w14:paraId="69838278">
            <w:pPr>
              <w:keepNext w:val="0"/>
              <w:keepLines w:val="0"/>
              <w:pageBreakBefore w:val="0"/>
              <w:widowControl w:val="0"/>
              <w:numPr>
                <w:ilvl w:val="0"/>
                <w:numId w:val="32"/>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新时代国际安全面临的风险挑战</w:t>
            </w:r>
          </w:p>
          <w:p w14:paraId="71377B51">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eastAsia"/>
                <w:sz w:val="21"/>
                <w:szCs w:val="21"/>
                <w:vertAlign w:val="baseline"/>
                <w:lang w:val="en-US" w:eastAsia="zh-CN"/>
              </w:rPr>
            </w:pPr>
            <w:r>
              <w:rPr>
                <w:rFonts w:hint="eastAsia"/>
                <w:sz w:val="21"/>
                <w:szCs w:val="21"/>
                <w:vertAlign w:val="baseline"/>
                <w:lang w:val="en-US" w:eastAsia="zh-CN"/>
              </w:rPr>
              <w:t>（3）新时代维护国际安全的途径和方法</w:t>
            </w:r>
          </w:p>
        </w:tc>
        <w:tc>
          <w:tcPr>
            <w:tcW w:w="713" w:type="dxa"/>
            <w:noWrap w:val="0"/>
            <w:vAlign w:val="center"/>
          </w:tcPr>
          <w:p w14:paraId="397AD1F1">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00B543E9">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 w:val="21"/>
                <w:szCs w:val="21"/>
                <w:lang w:val="en-US" w:eastAsia="zh-CN"/>
              </w:rPr>
            </w:pPr>
            <w:r>
              <w:rPr>
                <w:rFonts w:hint="default" w:ascii="宋体" w:hAnsi="宋体" w:cs="Times New Roman"/>
                <w:color w:val="000000"/>
                <w:sz w:val="21"/>
                <w:szCs w:val="21"/>
                <w:lang w:val="en-US" w:eastAsia="zh-CN"/>
              </w:rPr>
              <w:t>能够</w:t>
            </w:r>
            <w:r>
              <w:rPr>
                <w:rFonts w:hint="eastAsia" w:ascii="宋体" w:hAnsi="宋体" w:cs="Times New Roman"/>
                <w:color w:val="000000"/>
                <w:sz w:val="21"/>
                <w:szCs w:val="21"/>
                <w:lang w:val="en-US" w:eastAsia="zh-CN"/>
              </w:rPr>
              <w:t>理解国际安全作为国家安全重要依托的战略意义及其理论内涵，辨识新时代国际安全领域的主要风险与结构性矛盾。</w:t>
            </w:r>
          </w:p>
          <w:p w14:paraId="4168665F">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p>
        </w:tc>
        <w:tc>
          <w:tcPr>
            <w:tcW w:w="1215" w:type="dxa"/>
            <w:noWrap w:val="0"/>
            <w:vAlign w:val="top"/>
          </w:tcPr>
          <w:p w14:paraId="7077B75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A6759AC">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22AB3E55">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7AD7D712">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r>
      <w:tr w14:paraId="1D38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061D62C6">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10.</w:t>
            </w:r>
            <w:r>
              <w:rPr>
                <w:rFonts w:hint="eastAsia"/>
                <w:sz w:val="21"/>
                <w:szCs w:val="21"/>
                <w:vertAlign w:val="baseline"/>
                <w:lang w:eastAsia="zh-CN"/>
              </w:rPr>
              <w:t>筑牢其他各领域国家安全屏障</w:t>
            </w:r>
          </w:p>
        </w:tc>
        <w:tc>
          <w:tcPr>
            <w:tcW w:w="2930" w:type="dxa"/>
            <w:noWrap w:val="0"/>
            <w:vAlign w:val="center"/>
          </w:tcPr>
          <w:p w14:paraId="3A376445">
            <w:pPr>
              <w:keepNext w:val="0"/>
              <w:keepLines w:val="0"/>
              <w:pageBreakBefore w:val="0"/>
              <w:widowControl w:val="0"/>
              <w:numPr>
                <w:ilvl w:val="0"/>
                <w:numId w:val="33"/>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eastAsia="zh-CN"/>
              </w:rPr>
              <w:t>筑牢</w:t>
            </w:r>
            <w:r>
              <w:rPr>
                <w:rFonts w:hint="eastAsia"/>
                <w:sz w:val="21"/>
                <w:szCs w:val="21"/>
                <w:vertAlign w:val="baseline"/>
                <w:lang w:val="en-US" w:eastAsia="zh-CN"/>
              </w:rPr>
              <w:t>国土安全屏障</w:t>
            </w:r>
          </w:p>
          <w:p w14:paraId="216338C3">
            <w:pPr>
              <w:keepNext w:val="0"/>
              <w:keepLines w:val="0"/>
              <w:pageBreakBefore w:val="0"/>
              <w:widowControl w:val="0"/>
              <w:numPr>
                <w:ilvl w:val="0"/>
                <w:numId w:val="33"/>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eastAsia="zh-CN"/>
              </w:rPr>
              <w:t>筑牢</w:t>
            </w:r>
            <w:r>
              <w:rPr>
                <w:rFonts w:hint="eastAsia"/>
                <w:sz w:val="21"/>
                <w:szCs w:val="21"/>
                <w:vertAlign w:val="baseline"/>
                <w:lang w:val="en-US" w:eastAsia="zh-CN"/>
              </w:rPr>
              <w:t>生态安全屏障</w:t>
            </w:r>
          </w:p>
          <w:p w14:paraId="1E124083">
            <w:pPr>
              <w:keepNext w:val="0"/>
              <w:keepLines w:val="0"/>
              <w:pageBreakBefore w:val="0"/>
              <w:widowControl w:val="0"/>
              <w:numPr>
                <w:ilvl w:val="0"/>
                <w:numId w:val="33"/>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eastAsia="zh-CN"/>
              </w:rPr>
              <w:t>筑牢</w:t>
            </w:r>
            <w:r>
              <w:rPr>
                <w:rFonts w:hint="eastAsia"/>
                <w:sz w:val="21"/>
                <w:szCs w:val="21"/>
                <w:vertAlign w:val="baseline"/>
                <w:lang w:val="en-US" w:eastAsia="zh-CN"/>
              </w:rPr>
              <w:t>资源安全屏障</w:t>
            </w:r>
          </w:p>
          <w:p w14:paraId="10E00159">
            <w:pPr>
              <w:keepNext w:val="0"/>
              <w:keepLines w:val="0"/>
              <w:pageBreakBefore w:val="0"/>
              <w:widowControl w:val="0"/>
              <w:numPr>
                <w:ilvl w:val="0"/>
                <w:numId w:val="33"/>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eastAsia="zh-CN"/>
              </w:rPr>
              <w:t>筑牢</w:t>
            </w:r>
            <w:r>
              <w:rPr>
                <w:rFonts w:hint="eastAsia"/>
                <w:sz w:val="21"/>
                <w:szCs w:val="21"/>
                <w:vertAlign w:val="baseline"/>
                <w:lang w:val="en-US" w:eastAsia="zh-CN"/>
              </w:rPr>
              <w:t>网络安全屏障</w:t>
            </w:r>
          </w:p>
          <w:p w14:paraId="78FF7055">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default"/>
                <w:sz w:val="21"/>
                <w:szCs w:val="21"/>
                <w:vertAlign w:val="baseline"/>
                <w:lang w:val="en-US" w:eastAsia="zh-CN"/>
              </w:rPr>
            </w:pPr>
            <w:r>
              <w:rPr>
                <w:rFonts w:hint="eastAsia"/>
                <w:sz w:val="21"/>
                <w:szCs w:val="21"/>
                <w:vertAlign w:val="baseline"/>
                <w:lang w:val="en-US" w:eastAsia="zh-CN"/>
              </w:rPr>
              <w:t>（5）</w:t>
            </w:r>
            <w:r>
              <w:rPr>
                <w:rFonts w:hint="eastAsia"/>
                <w:sz w:val="21"/>
                <w:szCs w:val="21"/>
                <w:vertAlign w:val="baseline"/>
                <w:lang w:eastAsia="zh-CN"/>
              </w:rPr>
              <w:t>筑牢</w:t>
            </w:r>
            <w:r>
              <w:rPr>
                <w:rFonts w:hint="eastAsia"/>
                <w:sz w:val="21"/>
                <w:szCs w:val="21"/>
                <w:vertAlign w:val="baseline"/>
                <w:lang w:val="en-US" w:eastAsia="zh-CN"/>
              </w:rPr>
              <w:t>核安全屏障</w:t>
            </w:r>
          </w:p>
        </w:tc>
        <w:tc>
          <w:tcPr>
            <w:tcW w:w="713" w:type="dxa"/>
            <w:noWrap w:val="0"/>
            <w:vAlign w:val="center"/>
          </w:tcPr>
          <w:p w14:paraId="677FF5D0">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5EE3D6C6">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default" w:ascii="宋体" w:hAnsi="宋体" w:cs="Times New Roman"/>
                <w:color w:val="000000"/>
                <w:sz w:val="21"/>
                <w:szCs w:val="21"/>
                <w:lang w:val="en-US" w:eastAsia="zh-CN"/>
              </w:rPr>
            </w:pPr>
            <w:r>
              <w:rPr>
                <w:rFonts w:hint="default" w:ascii="宋体" w:hAnsi="宋体" w:cs="Times New Roman"/>
                <w:color w:val="000000"/>
                <w:sz w:val="21"/>
                <w:szCs w:val="21"/>
                <w:lang w:val="en-US" w:eastAsia="zh-CN"/>
              </w:rPr>
              <w:t>能够‌系统理解各领域安全内涵</w:t>
            </w:r>
            <w:r>
              <w:rPr>
                <w:rFonts w:hint="eastAsia" w:ascii="宋体" w:hAnsi="宋体" w:cs="Times New Roman"/>
                <w:color w:val="000000"/>
                <w:sz w:val="21"/>
                <w:szCs w:val="21"/>
                <w:lang w:val="en-US" w:eastAsia="zh-CN"/>
              </w:rPr>
              <w:t>，</w:t>
            </w:r>
            <w:r>
              <w:rPr>
                <w:rFonts w:hint="default" w:ascii="宋体" w:hAnsi="宋体" w:cs="Times New Roman"/>
                <w:color w:val="000000"/>
                <w:sz w:val="21"/>
                <w:szCs w:val="21"/>
                <w:lang w:val="en-US" w:eastAsia="zh-CN"/>
              </w:rPr>
              <w:t>辨识风险与挑战</w:t>
            </w:r>
            <w:r>
              <w:rPr>
                <w:rFonts w:hint="eastAsia" w:ascii="宋体" w:hAnsi="宋体" w:cs="Times New Roman"/>
                <w:color w:val="000000"/>
                <w:sz w:val="21"/>
                <w:szCs w:val="21"/>
                <w:lang w:val="en-US" w:eastAsia="zh-CN"/>
              </w:rPr>
              <w:t>，</w:t>
            </w:r>
            <w:r>
              <w:rPr>
                <w:rFonts w:hint="default" w:ascii="宋体" w:hAnsi="宋体" w:cs="Times New Roman"/>
                <w:color w:val="000000"/>
                <w:sz w:val="21"/>
                <w:szCs w:val="21"/>
                <w:lang w:val="en-US" w:eastAsia="zh-CN"/>
              </w:rPr>
              <w:t>强化责任意识</w:t>
            </w:r>
            <w:r>
              <w:rPr>
                <w:rFonts w:hint="eastAsia" w:ascii="宋体" w:hAnsi="宋体" w:cs="Times New Roman"/>
                <w:color w:val="000000"/>
                <w:sz w:val="21"/>
                <w:szCs w:val="21"/>
                <w:lang w:val="en-US" w:eastAsia="zh-CN"/>
              </w:rPr>
              <w:t>。</w:t>
            </w:r>
          </w:p>
          <w:p w14:paraId="64D7AC54">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 w:val="21"/>
                <w:szCs w:val="21"/>
                <w:lang w:val="en-US" w:eastAsia="zh-CN"/>
              </w:rPr>
            </w:pPr>
          </w:p>
        </w:tc>
        <w:tc>
          <w:tcPr>
            <w:tcW w:w="1215" w:type="dxa"/>
            <w:noWrap w:val="0"/>
            <w:vAlign w:val="top"/>
          </w:tcPr>
          <w:p w14:paraId="4F9CFE9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77200150">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1548B943">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507466F4">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70E8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00D376CF">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11.</w:t>
            </w:r>
            <w:r>
              <w:rPr>
                <w:rFonts w:hint="eastAsia"/>
                <w:sz w:val="21"/>
                <w:szCs w:val="21"/>
                <w:vertAlign w:val="baseline"/>
                <w:lang w:eastAsia="zh-CN"/>
              </w:rPr>
              <w:t>争做总体国家安全观坚定践行者</w:t>
            </w:r>
          </w:p>
        </w:tc>
        <w:tc>
          <w:tcPr>
            <w:tcW w:w="2930" w:type="dxa"/>
            <w:noWrap w:val="0"/>
            <w:vAlign w:val="center"/>
          </w:tcPr>
          <w:p w14:paraId="6F42DD00">
            <w:pPr>
              <w:keepNext w:val="0"/>
              <w:keepLines w:val="0"/>
              <w:pageBreakBefore w:val="0"/>
              <w:widowControl w:val="0"/>
              <w:numPr>
                <w:ilvl w:val="0"/>
                <w:numId w:val="34"/>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增强国家安全意识，坚持国家利益之上</w:t>
            </w:r>
          </w:p>
          <w:p w14:paraId="66E33DF7">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eastAsia"/>
                <w:sz w:val="21"/>
                <w:szCs w:val="21"/>
                <w:vertAlign w:val="baseline"/>
                <w:lang w:val="en-US" w:eastAsia="zh-CN"/>
              </w:rPr>
            </w:pPr>
            <w:r>
              <w:rPr>
                <w:rFonts w:hint="eastAsia"/>
                <w:sz w:val="21"/>
                <w:szCs w:val="21"/>
                <w:vertAlign w:val="baseline"/>
                <w:lang w:val="en-US" w:eastAsia="zh-CN"/>
              </w:rPr>
              <w:t>（2）增强忧患意识，发扬斗争精神</w:t>
            </w:r>
          </w:p>
          <w:p w14:paraId="15CE0C56">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default"/>
                <w:sz w:val="21"/>
                <w:szCs w:val="21"/>
                <w:vertAlign w:val="baseline"/>
                <w:lang w:val="en-US" w:eastAsia="zh-CN"/>
              </w:rPr>
            </w:pPr>
            <w:r>
              <w:rPr>
                <w:rFonts w:hint="eastAsia"/>
                <w:sz w:val="21"/>
                <w:szCs w:val="21"/>
                <w:vertAlign w:val="baseline"/>
                <w:lang w:val="en-US" w:eastAsia="zh-CN"/>
              </w:rPr>
              <w:t>（3）增强社会责任，形成维护国家安全合力</w:t>
            </w:r>
          </w:p>
          <w:p w14:paraId="41144795">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p>
        </w:tc>
        <w:tc>
          <w:tcPr>
            <w:tcW w:w="713" w:type="dxa"/>
            <w:noWrap w:val="0"/>
            <w:vAlign w:val="center"/>
          </w:tcPr>
          <w:p w14:paraId="31914874">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77C7A1B0">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eastAsia="宋体" w:cs="Times New Roman"/>
                <w:color w:val="000000"/>
                <w:szCs w:val="21"/>
                <w:lang w:val="en-US" w:eastAsia="zh-CN"/>
              </w:rPr>
              <w:t>能够</w:t>
            </w:r>
            <w:r>
              <w:rPr>
                <w:rFonts w:hint="eastAsia" w:ascii="宋体" w:hAnsi="宋体" w:eastAsia="宋体" w:cs="Times New Roman"/>
                <w:color w:val="000000"/>
                <w:szCs w:val="21"/>
              </w:rPr>
              <w:t>主动参与国家安全教育与实践，通过科技创新、志愿服务等方式凝聚社会共识，成为维护国家安全的积极行动者</w:t>
            </w:r>
            <w:r>
              <w:rPr>
                <w:rFonts w:hint="eastAsia" w:ascii="宋体" w:hAnsi="宋体" w:eastAsia="宋体" w:cs="Times New Roman"/>
                <w:color w:val="000000"/>
                <w:szCs w:val="21"/>
                <w:lang w:eastAsia="zh-CN"/>
              </w:rPr>
              <w:t>。</w:t>
            </w:r>
            <w:r>
              <w:rPr>
                <w:rFonts w:ascii="Arial" w:hAnsi="Arial" w:eastAsia="Arial" w:cs="Arial"/>
                <w:i w:val="0"/>
                <w:iCs w:val="0"/>
                <w:caps w:val="0"/>
                <w:color w:val="333333"/>
                <w:spacing w:val="0"/>
                <w:sz w:val="12"/>
                <w:szCs w:val="12"/>
                <w:shd w:val="clear" w:color="auto" w:fill="FFFFFF"/>
              </w:rPr>
              <w:t>‌</w:t>
            </w:r>
          </w:p>
        </w:tc>
        <w:tc>
          <w:tcPr>
            <w:tcW w:w="1215" w:type="dxa"/>
            <w:noWrap w:val="0"/>
            <w:vAlign w:val="top"/>
          </w:tcPr>
          <w:p w14:paraId="05EDAF9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3DFFC0E8">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2D4C5BE4">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0F4368F8">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12FF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760235EE">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default"/>
                <w:sz w:val="21"/>
                <w:szCs w:val="21"/>
                <w:vertAlign w:val="baseline"/>
                <w:lang w:val="en-US" w:eastAsia="zh-CN"/>
              </w:rPr>
            </w:pPr>
            <w:r>
              <w:rPr>
                <w:rFonts w:hint="eastAsia"/>
                <w:sz w:val="21"/>
                <w:szCs w:val="21"/>
                <w:vertAlign w:val="baseline"/>
                <w:lang w:val="en-US" w:eastAsia="zh-CN"/>
              </w:rPr>
              <w:t>12.国家安全教育网络专题（尔雅系统教学）</w:t>
            </w:r>
          </w:p>
        </w:tc>
        <w:tc>
          <w:tcPr>
            <w:tcW w:w="2930" w:type="dxa"/>
            <w:noWrap w:val="0"/>
            <w:vAlign w:val="center"/>
          </w:tcPr>
          <w:p w14:paraId="09F08D18">
            <w:pPr>
              <w:keepNext w:val="0"/>
              <w:keepLines w:val="0"/>
              <w:pageBreakBefore w:val="0"/>
              <w:widowControl w:val="0"/>
              <w:numPr>
                <w:ilvl w:val="0"/>
                <w:numId w:val="35"/>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总体国家安全观基础理论</w:t>
            </w:r>
          </w:p>
          <w:p w14:paraId="3EC3BC27">
            <w:pPr>
              <w:keepNext w:val="0"/>
              <w:keepLines w:val="0"/>
              <w:pageBreakBefore w:val="0"/>
              <w:widowControl w:val="0"/>
              <w:numPr>
                <w:ilvl w:val="0"/>
                <w:numId w:val="35"/>
              </w:numPr>
              <w:kinsoku/>
              <w:wordWrap/>
              <w:overflowPunct/>
              <w:topLinePunct w:val="0"/>
              <w:autoSpaceDE/>
              <w:autoSpaceDN/>
              <w:bidi w:val="0"/>
              <w:adjustRightInd/>
              <w:snapToGrid/>
              <w:spacing w:line="22" w:lineRule="atLeast"/>
              <w:ind w:left="0" w:leftChars="0" w:firstLine="0" w:firstLineChars="0"/>
              <w:jc w:val="left"/>
              <w:textAlignment w:val="auto"/>
              <w:rPr>
                <w:rFonts w:hint="default"/>
                <w:sz w:val="21"/>
                <w:szCs w:val="21"/>
                <w:vertAlign w:val="baseline"/>
                <w:lang w:val="en-US" w:eastAsia="zh-CN"/>
              </w:rPr>
            </w:pPr>
            <w:r>
              <w:rPr>
                <w:rFonts w:hint="eastAsia"/>
                <w:sz w:val="21"/>
                <w:szCs w:val="21"/>
                <w:vertAlign w:val="baseline"/>
                <w:lang w:val="en-US" w:eastAsia="zh-CN"/>
              </w:rPr>
              <w:t>国家安全重点领域解析</w:t>
            </w:r>
          </w:p>
          <w:p w14:paraId="28BF0F6F">
            <w:pPr>
              <w:keepNext w:val="0"/>
              <w:keepLines w:val="0"/>
              <w:pageBreakBefore w:val="0"/>
              <w:widowControl w:val="0"/>
              <w:numPr>
                <w:ilvl w:val="0"/>
                <w:numId w:val="35"/>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国家安全形势与法治教育</w:t>
            </w:r>
          </w:p>
          <w:p w14:paraId="76A39460">
            <w:pPr>
              <w:keepNext w:val="0"/>
              <w:keepLines w:val="0"/>
              <w:pageBreakBefore w:val="0"/>
              <w:widowControl w:val="0"/>
              <w:numPr>
                <w:ilvl w:val="0"/>
                <w:numId w:val="35"/>
              </w:numPr>
              <w:kinsoku/>
              <w:wordWrap/>
              <w:overflowPunct/>
              <w:topLinePunct w:val="0"/>
              <w:autoSpaceDE/>
              <w:autoSpaceDN/>
              <w:bidi w:val="0"/>
              <w:adjustRightInd/>
              <w:snapToGrid/>
              <w:spacing w:line="22" w:lineRule="atLeast"/>
              <w:ind w:left="0" w:leftChars="0" w:firstLine="0" w:firstLineChars="0"/>
              <w:jc w:val="left"/>
              <w:textAlignment w:val="auto"/>
              <w:rPr>
                <w:rFonts w:hint="default"/>
                <w:sz w:val="21"/>
                <w:szCs w:val="21"/>
                <w:vertAlign w:val="baseline"/>
                <w:lang w:val="en-US" w:eastAsia="zh-CN"/>
              </w:rPr>
            </w:pPr>
            <w:r>
              <w:rPr>
                <w:rFonts w:hint="eastAsia"/>
                <w:sz w:val="21"/>
                <w:szCs w:val="21"/>
                <w:vertAlign w:val="baseline"/>
                <w:lang w:val="en-US" w:eastAsia="zh-CN"/>
              </w:rPr>
              <w:t>实践技能与责任意识培养</w:t>
            </w:r>
          </w:p>
        </w:tc>
        <w:tc>
          <w:tcPr>
            <w:tcW w:w="713" w:type="dxa"/>
            <w:noWrap w:val="0"/>
            <w:vAlign w:val="center"/>
          </w:tcPr>
          <w:p w14:paraId="6C2AE1A9">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sz w:val="28"/>
                <w:szCs w:val="28"/>
                <w:vertAlign w:val="baseline"/>
                <w:lang w:val="en-US" w:eastAsia="zh-CN"/>
              </w:rPr>
            </w:pPr>
            <w:r>
              <w:rPr>
                <w:rFonts w:hint="eastAsia" w:ascii="宋体" w:hAnsi="宋体" w:eastAsia="宋体" w:cs="Times New Roman"/>
                <w:color w:val="000000"/>
                <w:szCs w:val="21"/>
              </w:rPr>
              <w:t>课程目标1</w:t>
            </w:r>
          </w:p>
        </w:tc>
        <w:tc>
          <w:tcPr>
            <w:tcW w:w="2355" w:type="dxa"/>
            <w:noWrap w:val="0"/>
            <w:vAlign w:val="top"/>
          </w:tcPr>
          <w:p w14:paraId="295DB1D7">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Cs w:val="21"/>
                <w:lang w:eastAsia="zh-CN"/>
              </w:rPr>
            </w:pPr>
            <w:r>
              <w:rPr>
                <w:rFonts w:hint="eastAsia" w:ascii="宋体" w:hAnsi="宋体" w:eastAsia="宋体" w:cs="Times New Roman"/>
                <w:color w:val="000000"/>
                <w:szCs w:val="21"/>
              </w:rPr>
              <w:t>强化</w:t>
            </w:r>
            <w:r>
              <w:rPr>
                <w:rFonts w:hint="eastAsia" w:ascii="宋体" w:hAnsi="宋体" w:cs="Times New Roman"/>
                <w:color w:val="000000"/>
                <w:szCs w:val="21"/>
                <w:lang w:val="en-US" w:eastAsia="zh-CN"/>
              </w:rPr>
              <w:t>学生</w:t>
            </w:r>
            <w:r>
              <w:rPr>
                <w:rFonts w:hint="eastAsia" w:ascii="宋体" w:hAnsi="宋体" w:eastAsia="宋体" w:cs="Times New Roman"/>
                <w:color w:val="000000"/>
                <w:szCs w:val="21"/>
              </w:rPr>
              <w:t>的国家安全责任感，引导践行维护国家安全的行为准则‌</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提升</w:t>
            </w:r>
            <w:r>
              <w:rPr>
                <w:rFonts w:hint="eastAsia" w:ascii="宋体" w:hAnsi="宋体" w:cs="Times New Roman"/>
                <w:color w:val="000000"/>
                <w:szCs w:val="21"/>
                <w:lang w:val="en-US" w:eastAsia="zh-CN"/>
              </w:rPr>
              <w:t>学生</w:t>
            </w:r>
            <w:r>
              <w:rPr>
                <w:rFonts w:hint="eastAsia" w:ascii="宋体" w:hAnsi="宋体" w:eastAsia="宋体" w:cs="Times New Roman"/>
                <w:color w:val="000000"/>
                <w:szCs w:val="21"/>
              </w:rPr>
              <w:t>的国家安全素养和风险防范能力</w:t>
            </w:r>
            <w:r>
              <w:rPr>
                <w:rFonts w:hint="eastAsia" w:ascii="宋体" w:hAnsi="宋体" w:cs="Times New Roman"/>
                <w:color w:val="000000"/>
                <w:szCs w:val="21"/>
                <w:lang w:eastAsia="zh-CN"/>
              </w:rPr>
              <w:t>。</w:t>
            </w:r>
          </w:p>
        </w:tc>
        <w:tc>
          <w:tcPr>
            <w:tcW w:w="1215" w:type="dxa"/>
            <w:noWrap w:val="0"/>
            <w:vAlign w:val="top"/>
          </w:tcPr>
          <w:p w14:paraId="22C43084">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观看视频</w:t>
            </w:r>
          </w:p>
          <w:p w14:paraId="049A6C6E">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单元测试</w:t>
            </w:r>
          </w:p>
          <w:p w14:paraId="7D61225B">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3.期末测试</w:t>
            </w:r>
          </w:p>
        </w:tc>
        <w:tc>
          <w:tcPr>
            <w:tcW w:w="0" w:type="auto"/>
            <w:noWrap w:val="0"/>
            <w:vAlign w:val="center"/>
          </w:tcPr>
          <w:p w14:paraId="61C82B3E">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r>
    </w:tbl>
    <w:p w14:paraId="519C15F4">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ascii="Times New Roman" w:hAnsi="Times New Roman" w:eastAsia="宋体" w:cs="Times New Roman"/>
          <w:sz w:val="24"/>
          <w:szCs w:val="24"/>
        </w:rPr>
      </w:pPr>
    </w:p>
    <w:p w14:paraId="1A9CB300">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ascii="Times New Roman" w:hAnsi="Times New Roman" w:eastAsia="宋体" w:cs="Times New Roman"/>
          <w:sz w:val="24"/>
          <w:szCs w:val="24"/>
        </w:rPr>
      </w:pPr>
    </w:p>
    <w:p w14:paraId="3AA420A2">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ascii="Times New Roman" w:hAnsi="Times New Roman" w:eastAsia="宋体" w:cs="Times New Roman"/>
          <w:sz w:val="24"/>
          <w:szCs w:val="24"/>
        </w:rPr>
      </w:pPr>
    </w:p>
    <w:p w14:paraId="030E734E">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ascii="Times New Roman" w:hAnsi="Times New Roman" w:eastAsia="宋体" w:cs="Times New Roman"/>
          <w:sz w:val="24"/>
          <w:szCs w:val="24"/>
        </w:rPr>
      </w:pPr>
    </w:p>
    <w:p w14:paraId="72D2B1C1">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3F66A97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E3A725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4D8E35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52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088"/>
        <w:gridCol w:w="1207"/>
        <w:gridCol w:w="1168"/>
        <w:gridCol w:w="1388"/>
        <w:gridCol w:w="1506"/>
        <w:gridCol w:w="1723"/>
      </w:tblGrid>
      <w:tr w14:paraId="1B95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restart"/>
            <w:noWrap w:val="0"/>
            <w:vAlign w:val="center"/>
          </w:tcPr>
          <w:p w14:paraId="7DCD7A4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576" w:type="pct"/>
            <w:gridSpan w:val="5"/>
            <w:noWrap w:val="0"/>
            <w:vAlign w:val="center"/>
          </w:tcPr>
          <w:p w14:paraId="39149640">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969" w:type="pct"/>
            <w:vMerge w:val="restart"/>
            <w:noWrap w:val="0"/>
            <w:vAlign w:val="center"/>
          </w:tcPr>
          <w:p w14:paraId="5089CF88">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77F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continue"/>
            <w:noWrap w:val="0"/>
            <w:vAlign w:val="center"/>
          </w:tcPr>
          <w:p w14:paraId="1D45033B">
            <w:pPr>
              <w:spacing w:line="360" w:lineRule="auto"/>
              <w:jc w:val="center"/>
              <w:rPr>
                <w:rFonts w:hint="eastAsia" w:ascii="宋体" w:hAnsi="宋体" w:eastAsia="宋体" w:cs="Times New Roman"/>
                <w:szCs w:val="21"/>
              </w:rPr>
            </w:pPr>
          </w:p>
        </w:tc>
        <w:tc>
          <w:tcPr>
            <w:tcW w:w="1948" w:type="pct"/>
            <w:gridSpan w:val="3"/>
            <w:noWrap w:val="0"/>
            <w:vAlign w:val="center"/>
          </w:tcPr>
          <w:p w14:paraId="5E3F2E35">
            <w:pPr>
              <w:spacing w:line="360" w:lineRule="auto"/>
              <w:jc w:val="center"/>
              <w:rPr>
                <w:rFonts w:hint="default" w:ascii="宋体" w:hAnsi="宋体" w:eastAsia="宋体" w:cs="Times New Roman"/>
                <w:szCs w:val="21"/>
                <w:lang w:val="en-US" w:eastAsia="zh-CN"/>
              </w:rPr>
            </w:pPr>
            <w:r>
              <w:rPr>
                <w:rFonts w:hint="eastAsia" w:ascii="宋体" w:hAnsi="宋体" w:cs="Times New Roman"/>
                <w:szCs w:val="21"/>
                <w:lang w:val="en-US" w:eastAsia="zh-CN"/>
              </w:rPr>
              <w:t>线上成绩</w:t>
            </w:r>
          </w:p>
        </w:tc>
        <w:tc>
          <w:tcPr>
            <w:tcW w:w="1627" w:type="pct"/>
            <w:gridSpan w:val="2"/>
            <w:noWrap w:val="0"/>
            <w:vAlign w:val="center"/>
          </w:tcPr>
          <w:p w14:paraId="38A6B7D6">
            <w:pPr>
              <w:spacing w:line="360" w:lineRule="auto"/>
              <w:jc w:val="center"/>
              <w:rPr>
                <w:rFonts w:hint="default" w:ascii="宋体" w:hAnsi="宋体" w:eastAsia="宋体" w:cs="Times New Roman"/>
                <w:szCs w:val="21"/>
                <w:lang w:val="en-US" w:eastAsia="zh-CN"/>
              </w:rPr>
            </w:pPr>
            <w:r>
              <w:rPr>
                <w:rFonts w:hint="eastAsia" w:ascii="宋体" w:hAnsi="宋体" w:cs="Times New Roman"/>
                <w:szCs w:val="21"/>
                <w:lang w:val="en-US" w:eastAsia="zh-CN"/>
              </w:rPr>
              <w:t>线下成绩</w:t>
            </w:r>
          </w:p>
        </w:tc>
        <w:tc>
          <w:tcPr>
            <w:tcW w:w="969" w:type="pct"/>
            <w:vMerge w:val="continue"/>
            <w:noWrap w:val="0"/>
            <w:vAlign w:val="center"/>
          </w:tcPr>
          <w:p w14:paraId="0B1A3350">
            <w:pPr>
              <w:spacing w:line="360" w:lineRule="auto"/>
              <w:jc w:val="center"/>
              <w:rPr>
                <w:rFonts w:hint="eastAsia" w:ascii="宋体" w:hAnsi="宋体" w:eastAsia="宋体" w:cs="Times New Roman"/>
                <w:szCs w:val="21"/>
              </w:rPr>
            </w:pPr>
          </w:p>
        </w:tc>
      </w:tr>
      <w:tr w14:paraId="11AA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54" w:type="pct"/>
            <w:vMerge w:val="continue"/>
            <w:noWrap w:val="0"/>
            <w:vAlign w:val="center"/>
          </w:tcPr>
          <w:p w14:paraId="0E07D123">
            <w:pPr>
              <w:spacing w:line="360" w:lineRule="auto"/>
              <w:jc w:val="center"/>
              <w:rPr>
                <w:rFonts w:hint="eastAsia" w:ascii="宋体" w:hAnsi="宋体" w:eastAsia="宋体" w:cs="Times New Roman"/>
                <w:szCs w:val="21"/>
              </w:rPr>
            </w:pPr>
          </w:p>
        </w:tc>
        <w:tc>
          <w:tcPr>
            <w:tcW w:w="612" w:type="pct"/>
            <w:noWrap w:val="0"/>
            <w:vAlign w:val="center"/>
          </w:tcPr>
          <w:p w14:paraId="19DFB23D">
            <w:pPr>
              <w:spacing w:line="360" w:lineRule="auto"/>
              <w:jc w:val="center"/>
              <w:rPr>
                <w:rFonts w:hint="default" w:ascii="宋体" w:hAnsi="宋体" w:eastAsia="宋体" w:cs="Times New Roman"/>
                <w:szCs w:val="21"/>
                <w:lang w:val="en-US" w:eastAsia="zh-CN"/>
              </w:rPr>
            </w:pPr>
            <w:r>
              <w:rPr>
                <w:rFonts w:hint="eastAsia" w:ascii="宋体" w:hAnsi="宋体" w:cs="Times New Roman"/>
                <w:szCs w:val="21"/>
                <w:lang w:val="en-US" w:eastAsia="zh-CN"/>
              </w:rPr>
              <w:t>观看视频</w:t>
            </w:r>
          </w:p>
        </w:tc>
        <w:tc>
          <w:tcPr>
            <w:tcW w:w="679" w:type="pct"/>
            <w:noWrap w:val="0"/>
            <w:vAlign w:val="center"/>
          </w:tcPr>
          <w:p w14:paraId="2D5CC26B">
            <w:pPr>
              <w:spacing w:line="360" w:lineRule="auto"/>
              <w:jc w:val="center"/>
              <w:rPr>
                <w:rFonts w:hint="default" w:ascii="宋体" w:hAnsi="宋体" w:eastAsia="宋体" w:cs="Times New Roman"/>
                <w:szCs w:val="21"/>
                <w:lang w:val="en-US" w:eastAsia="zh-CN"/>
              </w:rPr>
            </w:pPr>
            <w:r>
              <w:rPr>
                <w:rFonts w:hint="eastAsia" w:ascii="宋体" w:hAnsi="宋体" w:cs="Times New Roman"/>
                <w:szCs w:val="21"/>
                <w:lang w:val="en-US" w:eastAsia="zh-CN"/>
              </w:rPr>
              <w:t>单元测试</w:t>
            </w:r>
          </w:p>
        </w:tc>
        <w:tc>
          <w:tcPr>
            <w:tcW w:w="657" w:type="pct"/>
            <w:noWrap w:val="0"/>
            <w:vAlign w:val="center"/>
          </w:tcPr>
          <w:p w14:paraId="1E8911FC">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781" w:type="pct"/>
            <w:noWrap w:val="0"/>
            <w:vAlign w:val="center"/>
          </w:tcPr>
          <w:p w14:paraId="4DB381CB">
            <w:pPr>
              <w:spacing w:line="360" w:lineRule="auto"/>
              <w:jc w:val="center"/>
              <w:rPr>
                <w:rFonts w:hint="default" w:ascii="宋体" w:hAnsi="宋体" w:eastAsia="宋体" w:cs="Times New Roman"/>
                <w:szCs w:val="21"/>
                <w:lang w:val="en-US" w:eastAsia="zh-CN"/>
              </w:rPr>
            </w:pPr>
            <w:r>
              <w:rPr>
                <w:rFonts w:hint="eastAsia" w:ascii="宋体" w:hAnsi="宋体" w:cs="Times New Roman"/>
                <w:szCs w:val="21"/>
                <w:lang w:val="en-US" w:eastAsia="zh-CN"/>
              </w:rPr>
              <w:t>平时表现</w:t>
            </w:r>
          </w:p>
        </w:tc>
        <w:tc>
          <w:tcPr>
            <w:tcW w:w="846" w:type="pct"/>
            <w:noWrap w:val="0"/>
            <w:vAlign w:val="center"/>
          </w:tcPr>
          <w:p w14:paraId="3E4B2055">
            <w:pPr>
              <w:spacing w:line="360" w:lineRule="auto"/>
              <w:jc w:val="center"/>
              <w:rPr>
                <w:rFonts w:hint="eastAsia" w:ascii="宋体" w:hAnsi="宋体" w:eastAsia="宋体" w:cs="Times New Roman"/>
                <w:szCs w:val="21"/>
              </w:rPr>
            </w:pPr>
            <w:r>
              <w:rPr>
                <w:rFonts w:hint="eastAsia" w:ascii="宋体" w:hAnsi="宋体" w:cs="Times New Roman"/>
                <w:szCs w:val="21"/>
                <w:lang w:val="en-US" w:eastAsia="zh-CN"/>
              </w:rPr>
              <w:t>期末作业</w:t>
            </w:r>
          </w:p>
        </w:tc>
        <w:tc>
          <w:tcPr>
            <w:tcW w:w="969" w:type="pct"/>
            <w:vMerge w:val="continue"/>
            <w:noWrap w:val="0"/>
            <w:vAlign w:val="center"/>
          </w:tcPr>
          <w:p w14:paraId="050541CA">
            <w:pPr>
              <w:spacing w:line="360" w:lineRule="auto"/>
              <w:jc w:val="center"/>
              <w:rPr>
                <w:rFonts w:hint="eastAsia" w:ascii="宋体" w:hAnsi="宋体" w:eastAsia="宋体" w:cs="Times New Roman"/>
                <w:szCs w:val="21"/>
              </w:rPr>
            </w:pPr>
          </w:p>
        </w:tc>
      </w:tr>
      <w:tr w14:paraId="60BD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66872083">
            <w:pPr>
              <w:spacing w:line="360" w:lineRule="auto"/>
              <w:jc w:val="both"/>
              <w:rPr>
                <w:rFonts w:hint="eastAsia" w:ascii="宋体" w:hAnsi="宋体" w:eastAsia="宋体" w:cs="Times New Roman"/>
                <w:szCs w:val="21"/>
              </w:rPr>
            </w:pPr>
            <w:r>
              <w:rPr>
                <w:rFonts w:hint="eastAsia" w:ascii="宋体" w:hAnsi="宋体" w:eastAsia="宋体" w:cs="Times New Roman"/>
                <w:szCs w:val="21"/>
              </w:rPr>
              <w:t>课程目标1</w:t>
            </w:r>
          </w:p>
        </w:tc>
        <w:tc>
          <w:tcPr>
            <w:tcW w:w="612" w:type="pct"/>
            <w:noWrap w:val="0"/>
            <w:vAlign w:val="center"/>
          </w:tcPr>
          <w:p w14:paraId="7D0D9C0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679" w:type="pct"/>
            <w:noWrap w:val="0"/>
            <w:vAlign w:val="center"/>
          </w:tcPr>
          <w:p w14:paraId="456F5C2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657" w:type="pct"/>
            <w:noWrap w:val="0"/>
            <w:vAlign w:val="center"/>
          </w:tcPr>
          <w:p w14:paraId="52268E6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81" w:type="pct"/>
            <w:noWrap w:val="0"/>
            <w:vAlign w:val="center"/>
          </w:tcPr>
          <w:p w14:paraId="6A5EBE5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46" w:type="pct"/>
            <w:noWrap w:val="0"/>
            <w:vAlign w:val="center"/>
          </w:tcPr>
          <w:p w14:paraId="4BDF4CF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969" w:type="pct"/>
            <w:noWrap w:val="0"/>
            <w:vAlign w:val="center"/>
          </w:tcPr>
          <w:p w14:paraId="0ECB117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r w14:paraId="2945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508AD164">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612" w:type="pct"/>
            <w:noWrap w:val="0"/>
            <w:vAlign w:val="center"/>
          </w:tcPr>
          <w:p w14:paraId="124A09FD">
            <w:pPr>
              <w:spacing w:line="360" w:lineRule="auto"/>
              <w:jc w:val="center"/>
              <w:rPr>
                <w:rFonts w:hint="eastAsia" w:ascii="宋体" w:hAnsi="宋体" w:eastAsia="宋体" w:cs="Times New Roman"/>
                <w:szCs w:val="21"/>
              </w:rPr>
            </w:pPr>
          </w:p>
        </w:tc>
        <w:tc>
          <w:tcPr>
            <w:tcW w:w="679" w:type="pct"/>
            <w:noWrap w:val="0"/>
            <w:vAlign w:val="center"/>
          </w:tcPr>
          <w:p w14:paraId="5D8F269A">
            <w:pPr>
              <w:spacing w:line="360" w:lineRule="auto"/>
              <w:jc w:val="center"/>
              <w:rPr>
                <w:rFonts w:hint="eastAsia" w:ascii="宋体" w:hAnsi="宋体" w:eastAsia="宋体" w:cs="Times New Roman"/>
                <w:szCs w:val="21"/>
              </w:rPr>
            </w:pPr>
          </w:p>
        </w:tc>
        <w:tc>
          <w:tcPr>
            <w:tcW w:w="657" w:type="pct"/>
            <w:noWrap w:val="0"/>
            <w:vAlign w:val="center"/>
          </w:tcPr>
          <w:p w14:paraId="60FDCA4C">
            <w:pPr>
              <w:spacing w:line="360" w:lineRule="auto"/>
              <w:jc w:val="center"/>
              <w:rPr>
                <w:rFonts w:hint="eastAsia" w:ascii="宋体" w:hAnsi="宋体" w:eastAsia="宋体" w:cs="Times New Roman"/>
                <w:szCs w:val="21"/>
              </w:rPr>
            </w:pPr>
          </w:p>
        </w:tc>
        <w:tc>
          <w:tcPr>
            <w:tcW w:w="781" w:type="pct"/>
            <w:noWrap w:val="0"/>
            <w:vAlign w:val="center"/>
          </w:tcPr>
          <w:p w14:paraId="198C08E1">
            <w:pPr>
              <w:spacing w:line="360" w:lineRule="auto"/>
              <w:jc w:val="center"/>
              <w:rPr>
                <w:rFonts w:hint="eastAsia" w:ascii="宋体" w:hAnsi="宋体" w:eastAsia="宋体" w:cs="Times New Roman"/>
                <w:szCs w:val="21"/>
              </w:rPr>
            </w:pPr>
          </w:p>
        </w:tc>
        <w:tc>
          <w:tcPr>
            <w:tcW w:w="846" w:type="pct"/>
            <w:noWrap w:val="0"/>
            <w:vAlign w:val="center"/>
          </w:tcPr>
          <w:p w14:paraId="7AF6608E">
            <w:pPr>
              <w:spacing w:line="360" w:lineRule="auto"/>
              <w:jc w:val="center"/>
              <w:rPr>
                <w:rFonts w:hint="eastAsia" w:ascii="宋体" w:hAnsi="宋体" w:eastAsia="宋体" w:cs="Times New Roman"/>
                <w:szCs w:val="21"/>
              </w:rPr>
            </w:pPr>
          </w:p>
        </w:tc>
        <w:tc>
          <w:tcPr>
            <w:tcW w:w="969" w:type="pct"/>
            <w:noWrap w:val="0"/>
            <w:vAlign w:val="center"/>
          </w:tcPr>
          <w:p w14:paraId="0919BB09">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B153D31">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3CEE3B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AC0BF8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953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5AE6880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noWrap w:val="0"/>
            <w:vAlign w:val="center"/>
          </w:tcPr>
          <w:p w14:paraId="0F016C6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noWrap w:val="0"/>
            <w:vAlign w:val="center"/>
          </w:tcPr>
          <w:p w14:paraId="055EE88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4EC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29E3365F">
            <w:pP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线上成绩</w:t>
            </w:r>
          </w:p>
        </w:tc>
        <w:tc>
          <w:tcPr>
            <w:tcW w:w="7141" w:type="dxa"/>
            <w:noWrap w:val="0"/>
            <w:vAlign w:val="center"/>
          </w:tcPr>
          <w:p w14:paraId="3DCD6C0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lang w:eastAsia="zh-CN"/>
              </w:rPr>
              <w:t>在线视频观看占40%，在线视频测试作业占30%，在线期末考核占30%</w:t>
            </w:r>
            <w:r>
              <w:rPr>
                <w:rFonts w:hint="eastAsia" w:ascii="Times New Roman" w:hAnsi="Times New Roman" w:cs="Times New Roman"/>
                <w:szCs w:val="21"/>
                <w:lang w:eastAsia="zh-CN"/>
              </w:rPr>
              <w:t>。</w:t>
            </w:r>
          </w:p>
        </w:tc>
        <w:tc>
          <w:tcPr>
            <w:tcW w:w="0" w:type="auto"/>
            <w:noWrap w:val="0"/>
            <w:vAlign w:val="center"/>
          </w:tcPr>
          <w:p w14:paraId="67164016">
            <w:pPr>
              <w:jc w:val="center"/>
              <w:rPr>
                <w:rFonts w:ascii="Times New Roman" w:hAnsi="Times New Roman" w:eastAsia="宋体" w:cs="Times New Roman"/>
                <w:szCs w:val="21"/>
              </w:rPr>
            </w:pP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0%</w:t>
            </w:r>
          </w:p>
        </w:tc>
      </w:tr>
      <w:tr w14:paraId="6BF2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628A4E07">
            <w:pP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线下成绩</w:t>
            </w:r>
          </w:p>
        </w:tc>
        <w:tc>
          <w:tcPr>
            <w:tcW w:w="7141" w:type="dxa"/>
            <w:noWrap w:val="0"/>
            <w:vAlign w:val="center"/>
          </w:tcPr>
          <w:p w14:paraId="55A358F4">
            <w:pPr>
              <w:widowControl w:val="0"/>
              <w:spacing w:line="264" w:lineRule="auto"/>
              <w:jc w:val="left"/>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平时表现占50%：</w:t>
            </w:r>
            <w:r>
              <w:rPr>
                <w:rFonts w:hint="eastAsia" w:ascii="Times New Roman" w:hAnsi="Times New Roman" w:eastAsia="宋体" w:cs="Times New Roman"/>
                <w:szCs w:val="21"/>
              </w:rPr>
              <w:t>通过听课表现、学习互动等情况，考核对</w:t>
            </w:r>
            <w:r>
              <w:rPr>
                <w:rFonts w:hint="eastAsia" w:ascii="Times New Roman" w:hAnsi="Times New Roman" w:cs="Times New Roman"/>
                <w:szCs w:val="21"/>
                <w:lang w:val="en-US" w:eastAsia="zh-CN"/>
              </w:rPr>
              <w:t>国家安全</w:t>
            </w:r>
            <w:r>
              <w:rPr>
                <w:rFonts w:hint="eastAsia" w:ascii="Times New Roman" w:hAnsi="Times New Roman" w:eastAsia="宋体" w:cs="Times New Roman"/>
                <w:szCs w:val="21"/>
              </w:rPr>
              <w:t>的理解和运用</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期末作业占50%：</w:t>
            </w:r>
            <w:r>
              <w:rPr>
                <w:rFonts w:ascii="Times New Roman" w:hAnsi="Times New Roman" w:eastAsia="宋体" w:cs="Times New Roman"/>
                <w:kern w:val="2"/>
                <w:sz w:val="21"/>
                <w:szCs w:val="21"/>
                <w:lang w:bidi="ar-SA"/>
              </w:rPr>
              <w:t>通过学习，将知识转化为实践，制作出与国家安全相关的宣传海报。</w:t>
            </w:r>
          </w:p>
        </w:tc>
        <w:tc>
          <w:tcPr>
            <w:tcW w:w="0" w:type="auto"/>
            <w:noWrap w:val="0"/>
            <w:vAlign w:val="center"/>
          </w:tcPr>
          <w:p w14:paraId="19B294FA">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40%</w:t>
            </w:r>
          </w:p>
        </w:tc>
      </w:tr>
      <w:tr w14:paraId="3F48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noWrap w:val="0"/>
            <w:vAlign w:val="center"/>
          </w:tcPr>
          <w:p w14:paraId="0BEB089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noWrap w:val="0"/>
            <w:vAlign w:val="center"/>
          </w:tcPr>
          <w:p w14:paraId="1FDC85B7">
            <w:pPr>
              <w:jc w:val="left"/>
              <w:rPr>
                <w:rFonts w:ascii="Times New Roman" w:hAnsi="Times New Roman" w:eastAsia="宋体" w:cs="Times New Roman"/>
                <w:szCs w:val="21"/>
              </w:rPr>
            </w:pPr>
          </w:p>
        </w:tc>
        <w:tc>
          <w:tcPr>
            <w:tcW w:w="0" w:type="auto"/>
            <w:noWrap w:val="0"/>
            <w:vAlign w:val="center"/>
          </w:tcPr>
          <w:p w14:paraId="1431959F">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1860036">
      <w:pPr>
        <w:spacing w:line="360" w:lineRule="auto"/>
        <w:jc w:val="left"/>
        <w:rPr>
          <w:rFonts w:hint="eastAsia" w:ascii="宋体" w:hAnsi="宋体" w:eastAsia="宋体" w:cs="Times New Roman"/>
          <w:b/>
          <w:color w:val="000000"/>
          <w:szCs w:val="21"/>
        </w:rPr>
      </w:pPr>
    </w:p>
    <w:p w14:paraId="13F6681A">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4EAE8D2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576A4D5">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35" o:spt="75" type="#_x0000_t75" style="height:24.75pt;width:404.25pt;" o:ole="t" filled="f" o:preferrelative="t" stroked="f" coordsize="21600,21600">
            <v:path/>
            <v:fill on="f" focussize="0,0"/>
            <v:stroke on="f" joinstyle="miter"/>
            <v:imagedata r:id="rId5" o:title=""/>
            <o:lock v:ext="edit" aspectratio="t"/>
            <w10:wrap type="none"/>
            <w10:anchorlock/>
          </v:shape>
          <o:OLEObject Type="Embed" ProgID="Equation.3" ShapeID="_x0000_i1035" DrawAspect="Content" ObjectID="_1468075735" r:id="rId20">
            <o:LockedField>false</o:LockedField>
          </o:OLEObject>
        </w:object>
      </w:r>
    </w:p>
    <w:p w14:paraId="7686B9BC">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五、有关说明</w:t>
      </w:r>
    </w:p>
    <w:p w14:paraId="1BA6336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645C9C96">
      <w:pPr>
        <w:widowControl w:val="0"/>
        <w:spacing w:line="360" w:lineRule="auto"/>
        <w:ind w:firstLine="420" w:firstLineChars="200"/>
        <w:jc w:val="left"/>
        <w:rPr>
          <w:rFonts w:hint="eastAsia" w:ascii="Times New Roman" w:hAnsi="Times New Roman" w:cs="Times New Roman"/>
          <w:szCs w:val="21"/>
          <w:lang w:eastAsia="zh-CN"/>
        </w:rPr>
      </w:pPr>
      <w:r>
        <w:rPr>
          <w:rFonts w:ascii="Times New Roman" w:hAnsi="Times New Roman" w:eastAsia="宋体" w:cs="Times New Roman"/>
          <w:kern w:val="2"/>
          <w:sz w:val="21"/>
          <w:szCs w:val="21"/>
          <w:lang w:bidi="ar-SA"/>
        </w:rPr>
        <w:t>本课程将依据线上线下的学习表现、期末作业的展示等评估结果，以及学生和教学督导的反馈，及时对教学中的不足进行调整。在接下来的课程中，我们将进行必要的改进，以确保满足相应的毕业要求。</w:t>
      </w:r>
    </w:p>
    <w:p w14:paraId="3A410C1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0E14E02B">
      <w:pPr>
        <w:spacing w:line="360" w:lineRule="auto"/>
        <w:ind w:firstLine="420" w:firstLineChars="200"/>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《国家安全教育大学生读本》，编者：教育部编写组，高等教育出版社，2024年</w:t>
      </w:r>
      <w:r>
        <w:rPr>
          <w:rFonts w:hint="eastAsia" w:ascii="Times New Roman" w:hAnsi="Times New Roman" w:eastAsia="宋体" w:cs="Times New Roman"/>
          <w:szCs w:val="21"/>
          <w:lang w:val="en-US" w:eastAsia="zh-CN"/>
        </w:rPr>
        <w:t>8</w:t>
      </w:r>
      <w:r>
        <w:rPr>
          <w:rFonts w:hint="eastAsia" w:ascii="Times New Roman" w:hAnsi="Times New Roman" w:eastAsia="宋体" w:cs="Times New Roman"/>
          <w:szCs w:val="21"/>
          <w:lang w:eastAsia="zh-CN"/>
        </w:rPr>
        <w:t>月</w:t>
      </w:r>
    </w:p>
    <w:p w14:paraId="771DDDC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72EAC17C">
      <w:pPr>
        <w:spacing w:line="336" w:lineRule="auto"/>
        <w:ind w:firstLine="420" w:firstLineChars="200"/>
        <w:rPr>
          <w:rFonts w:hint="eastAsia" w:ascii="Times New Roman" w:hAnsi="Times New Roman" w:eastAsia="宋体" w:cs="Times New Roman"/>
          <w:szCs w:val="21"/>
          <w:lang w:eastAsia="zh-CN"/>
        </w:rPr>
      </w:pPr>
      <w:r>
        <w:rPr>
          <w:rFonts w:hint="eastAsia" w:ascii="Times New Roman" w:hAnsi="Times New Roman" w:cs="Times New Roman"/>
          <w:bCs/>
          <w:color w:val="000000"/>
          <w:szCs w:val="21"/>
          <w:lang w:val="en-US" w:eastAsia="zh-CN"/>
        </w:rPr>
        <w:t>1.</w:t>
      </w:r>
      <w:r>
        <w:rPr>
          <w:rFonts w:hint="eastAsia" w:ascii="Times New Roman" w:hAnsi="Times New Roman" w:eastAsia="宋体" w:cs="Times New Roman"/>
          <w:szCs w:val="21"/>
          <w:lang w:eastAsia="zh-CN"/>
        </w:rPr>
        <w:t>《世界主要国家和地区的国家安全研究：历史、理论与实践》</w:t>
      </w:r>
      <w:r>
        <w:rPr>
          <w:rFonts w:hint="eastAsia" w:ascii="Times New Roman" w:hAnsi="Times New Roman" w:cs="Times New Roman"/>
          <w:szCs w:val="21"/>
          <w:lang w:eastAsia="zh-CN"/>
        </w:rPr>
        <w:t>，</w:t>
      </w:r>
      <w:r>
        <w:rPr>
          <w:rFonts w:hint="default" w:ascii="Times New Roman" w:hAnsi="Times New Roman" w:eastAsia="宋体" w:cs="Times New Roman"/>
          <w:szCs w:val="21"/>
          <w:lang w:eastAsia="zh-CN"/>
        </w:rPr>
        <w:t>国际关系出版社，2023年</w:t>
      </w:r>
    </w:p>
    <w:p w14:paraId="080F84F4">
      <w:pPr>
        <w:spacing w:line="336" w:lineRule="auto"/>
        <w:ind w:firstLine="420" w:firstLineChars="200"/>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2</w:t>
      </w:r>
      <w:r>
        <w:rPr>
          <w:rFonts w:hint="eastAsia" w:ascii="Times New Roman" w:hAnsi="Times New Roman" w:eastAsia="宋体" w:cs="Times New Roman"/>
          <w:bCs/>
          <w:color w:val="000000"/>
          <w:szCs w:val="21"/>
        </w:rPr>
        <w:t>.</w:t>
      </w:r>
      <w:r>
        <w:rPr>
          <w:rFonts w:hint="eastAsia" w:ascii="Times New Roman" w:hAnsi="Times New Roman" w:eastAsia="宋体" w:cs="Times New Roman"/>
          <w:szCs w:val="21"/>
          <w:lang w:eastAsia="zh-CN"/>
        </w:rPr>
        <w:t>《总体国家安全观学习纲要》</w:t>
      </w:r>
      <w:r>
        <w:rPr>
          <w:rFonts w:hint="eastAsia" w:ascii="Times New Roman" w:hAnsi="Times New Roman" w:cs="Times New Roman"/>
          <w:szCs w:val="21"/>
          <w:lang w:eastAsia="zh-CN"/>
        </w:rPr>
        <w:t>，</w:t>
      </w:r>
      <w:r>
        <w:rPr>
          <w:rFonts w:hint="default" w:ascii="Times New Roman" w:hAnsi="Times New Roman" w:eastAsia="宋体" w:cs="Times New Roman"/>
          <w:szCs w:val="21"/>
          <w:lang w:eastAsia="zh-CN"/>
        </w:rPr>
        <w:t>中共中央宣传部、中央国家安全委员会办公室，人民出版社，2022年</w:t>
      </w:r>
    </w:p>
    <w:p w14:paraId="3EFF0028">
      <w:pPr>
        <w:spacing w:line="336" w:lineRule="auto"/>
        <w:ind w:firstLine="420" w:firstLineChars="200"/>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3.《国家安全：新的安全实践与理论》</w:t>
      </w:r>
      <w:r>
        <w:rPr>
          <w:rFonts w:hint="default" w:ascii="Times New Roman" w:hAnsi="Times New Roman" w:eastAsia="宋体" w:cs="Times New Roman"/>
          <w:szCs w:val="21"/>
          <w:lang w:eastAsia="zh-CN"/>
        </w:rPr>
        <w:t>中国人民大学出版社，2015年</w:t>
      </w:r>
    </w:p>
    <w:p w14:paraId="5FFD3087">
      <w:pPr>
        <w:spacing w:line="336" w:lineRule="auto"/>
        <w:ind w:firstLine="420" w:firstLineChars="200"/>
        <w:rPr>
          <w:rFonts w:hint="default" w:ascii="Times New Roman" w:hAnsi="Times New Roman" w:eastAsia="宋体" w:cs="Times New Roman"/>
          <w:szCs w:val="21"/>
          <w:lang w:eastAsia="zh-CN"/>
        </w:rPr>
      </w:pPr>
      <w:r>
        <w:rPr>
          <w:rFonts w:hint="eastAsia" w:ascii="Times New Roman" w:hAnsi="Times New Roman" w:eastAsia="宋体" w:cs="Times New Roman"/>
          <w:bCs/>
          <w:color w:val="000000"/>
          <w:szCs w:val="21"/>
        </w:rPr>
        <w:t>4.</w:t>
      </w:r>
      <w:r>
        <w:rPr>
          <w:rFonts w:hint="eastAsia" w:ascii="Times New Roman" w:hAnsi="Times New Roman" w:eastAsia="宋体" w:cs="Times New Roman"/>
          <w:szCs w:val="21"/>
          <w:lang w:eastAsia="zh-CN"/>
        </w:rPr>
        <w:t>《全球政治与安全报告（2024）》</w:t>
      </w:r>
      <w:r>
        <w:rPr>
          <w:rFonts w:hint="eastAsia" w:ascii="Times New Roman" w:hAnsi="Times New Roman" w:cs="Times New Roman"/>
          <w:szCs w:val="21"/>
          <w:lang w:eastAsia="zh-CN"/>
        </w:rPr>
        <w:t>，</w:t>
      </w:r>
      <w:r>
        <w:rPr>
          <w:rFonts w:hint="default" w:ascii="Times New Roman" w:hAnsi="Times New Roman" w:eastAsia="宋体" w:cs="Times New Roman"/>
          <w:szCs w:val="21"/>
          <w:lang w:eastAsia="zh-CN"/>
        </w:rPr>
        <w:t>社会科学文献出版社，2024年</w:t>
      </w:r>
    </w:p>
    <w:p w14:paraId="2CFD522A">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5. 学习网站：</w:t>
      </w:r>
      <w:r>
        <w:rPr>
          <w:rFonts w:hint="eastAsia" w:ascii="Times New Roman" w:hAnsi="Times New Roman" w:cs="Times New Roman"/>
          <w:bCs/>
          <w:color w:val="000000"/>
          <w:szCs w:val="21"/>
          <w:lang w:val="en-US" w:eastAsia="zh-CN"/>
        </w:rPr>
        <w:t>国家安全教育网、</w:t>
      </w:r>
      <w:r>
        <w:rPr>
          <w:rFonts w:hint="eastAsia" w:ascii="Times New Roman" w:hAnsi="Times New Roman" w:eastAsia="宋体" w:cs="Times New Roman"/>
          <w:bCs/>
          <w:color w:val="000000"/>
          <w:szCs w:val="21"/>
        </w:rPr>
        <w:t>人民网、新华网、光明网等</w:t>
      </w:r>
    </w:p>
    <w:p w14:paraId="0D98FDC8">
      <w:pPr>
        <w:bidi w:val="0"/>
        <w:spacing w:line="360" w:lineRule="auto"/>
        <w:ind w:firstLine="5040" w:firstLineChars="2100"/>
        <w:rPr>
          <w:rFonts w:hint="eastAsia" w:ascii="Times New Roman" w:hAnsi="Times New Roman" w:cs="Times New Roman"/>
          <w:sz w:val="24"/>
          <w:szCs w:val="24"/>
          <w:lang w:val="en-US" w:eastAsia="zh-CN"/>
        </w:rPr>
      </w:pPr>
      <w:r>
        <w:rPr>
          <w:rFonts w:hint="eastAsia" w:ascii="Times New Roman" w:hAnsi="Times New Roman" w:eastAsia="宋体" w:cs="Times New Roman"/>
          <w:sz w:val="24"/>
          <w:szCs w:val="24"/>
        </w:rPr>
        <w:t xml:space="preserve"> </w:t>
      </w:r>
      <w:r>
        <w:rPr>
          <w:rFonts w:hint="eastAsia" w:ascii="Times New Roman" w:hAnsi="Times New Roman" w:cs="Times New Roman"/>
          <w:sz w:val="24"/>
          <w:szCs w:val="24"/>
          <w:lang w:val="en-US" w:eastAsia="zh-CN"/>
        </w:rPr>
        <w:t xml:space="preserve">      </w:t>
      </w:r>
    </w:p>
    <w:p w14:paraId="695ED81E">
      <w:pPr>
        <w:bidi w:val="0"/>
        <w:spacing w:line="360" w:lineRule="auto"/>
        <w:ind w:left="5027" w:leftChars="2394" w:firstLine="0" w:firstLineChars="0"/>
        <w:rPr>
          <w:rFonts w:hint="eastAsia" w:ascii="宋体" w:hAnsi="宋体" w:eastAsia="宋体" w:cs="宋体"/>
          <w:sz w:val="24"/>
          <w:szCs w:val="24"/>
          <w:lang w:eastAsia="zh-CN"/>
        </w:rPr>
      </w:pPr>
      <w:r>
        <w:rPr>
          <w:rFonts w:hint="eastAsia" w:ascii="Times New Roman" w:hAnsi="Times New Roman" w:cs="Times New Roman"/>
          <w:sz w:val="24"/>
          <w:szCs w:val="24"/>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执 笔 人：</w:t>
      </w:r>
      <w:r>
        <w:rPr>
          <w:rFonts w:hint="eastAsia" w:ascii="宋体" w:hAnsi="宋体" w:eastAsia="宋体" w:cs="宋体"/>
          <w:sz w:val="24"/>
          <w:szCs w:val="24"/>
          <w:lang w:eastAsia="zh-CN"/>
        </w:rPr>
        <w:t>陶辉俊</w:t>
      </w:r>
    </w:p>
    <w:p w14:paraId="0F0AA7E7">
      <w:pPr>
        <w:bidi w:val="0"/>
        <w:spacing w:line="360" w:lineRule="auto"/>
        <w:ind w:left="5027" w:leftChars="2394" w:firstLine="0" w:firstLineChars="0"/>
        <w:jc w:val="left"/>
        <w:rPr>
          <w:rFonts w:hint="eastAsia" w:ascii="宋体" w:hAnsi="宋体" w:eastAsia="宋体" w:cs="宋体"/>
          <w:sz w:val="24"/>
          <w:szCs w:val="24"/>
        </w:rPr>
      </w:pPr>
      <w:r>
        <w:rPr>
          <w:rFonts w:hint="eastAsia" w:ascii="Times New Roman" w:hAnsi="Times New Roman" w:cs="Times New Roman"/>
          <w:sz w:val="24"/>
          <w:szCs w:val="24"/>
          <w:lang w:val="en-US" w:eastAsia="zh-CN"/>
        </w:rPr>
        <w:t>审 定 人：高  静</w:t>
      </w:r>
      <w:r>
        <w:rPr>
          <w:rFonts w:hint="eastAsia" w:ascii="宋体" w:hAnsi="宋体" w:eastAsia="宋体" w:cs="宋体"/>
          <w:sz w:val="24"/>
          <w:szCs w:val="24"/>
        </w:rPr>
        <w:t xml:space="preserve">                                                                审 批 人：</w:t>
      </w:r>
      <w:r>
        <w:rPr>
          <w:rFonts w:hint="eastAsia" w:ascii="宋体" w:hAnsi="宋体" w:eastAsia="宋体" w:cs="宋体"/>
          <w:sz w:val="24"/>
          <w:szCs w:val="24"/>
          <w:lang w:val="en-US" w:eastAsia="zh-CN"/>
        </w:rPr>
        <w:t>周嘉禾</w:t>
      </w:r>
      <w:r>
        <w:rPr>
          <w:rFonts w:hint="eastAsia" w:ascii="宋体" w:hAnsi="宋体" w:eastAsia="宋体" w:cs="宋体"/>
          <w:sz w:val="24"/>
          <w:szCs w:val="24"/>
        </w:rPr>
        <w:t xml:space="preserve">                              </w:t>
      </w:r>
    </w:p>
    <w:p w14:paraId="78E21C20">
      <w:pPr>
        <w:bidi w:val="0"/>
        <w:spacing w:line="360" w:lineRule="auto"/>
        <w:ind w:firstLine="5040" w:firstLineChars="2100"/>
        <w:rPr>
          <w:rFonts w:hint="default"/>
          <w:lang w:val="en-US" w:eastAsia="zh-CN"/>
        </w:rPr>
      </w:pPr>
      <w:r>
        <w:rPr>
          <w:rFonts w:hint="eastAsia" w:ascii="宋体" w:hAnsi="宋体" w:eastAsia="宋体" w:cs="宋体"/>
          <w:sz w:val="24"/>
          <w:szCs w:val="24"/>
        </w:rPr>
        <w:t>批准时间：2024年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2</w:t>
      </w:r>
      <w:r>
        <w:rPr>
          <w:rFonts w:hint="eastAsia" w:ascii="宋体" w:hAnsi="宋体" w:eastAsia="宋体" w:cs="宋体"/>
          <w:sz w:val="24"/>
          <w:szCs w:val="24"/>
        </w:rPr>
        <w:t>日</w:t>
      </w:r>
    </w:p>
    <w:p w14:paraId="79F618E2">
      <w:pPr>
        <w:rPr>
          <w:rFonts w:hint="eastAsia"/>
        </w:rPr>
      </w:pPr>
      <w:r>
        <w:rPr>
          <w:rFonts w:hint="eastAsia"/>
        </w:rPr>
        <w:br w:type="page"/>
      </w:r>
    </w:p>
    <w:p w14:paraId="61D5D4FF">
      <w:pPr>
        <w:pStyle w:val="2"/>
      </w:pPr>
      <w:bookmarkStart w:id="78" w:name="_Toc6237"/>
      <w:r>
        <w:rPr>
          <w:rFonts w:hint="eastAsia"/>
        </w:rPr>
        <w:t>《书写技能》</w:t>
      </w:r>
      <w:r>
        <w:t>课程教学大纲</w:t>
      </w:r>
      <w:bookmarkEnd w:id="70"/>
      <w:bookmarkEnd w:id="71"/>
      <w:bookmarkEnd w:id="72"/>
      <w:bookmarkEnd w:id="73"/>
      <w:bookmarkEnd w:id="78"/>
    </w:p>
    <w:p w14:paraId="6359307F">
      <w:pPr>
        <w:adjustRightInd w:val="0"/>
        <w:snapToGrid w:val="0"/>
        <w:spacing w:line="312" w:lineRule="auto"/>
        <w:jc w:val="center"/>
        <w:rPr>
          <w:b/>
          <w:bCs/>
          <w:sz w:val="30"/>
        </w:rPr>
      </w:pPr>
      <w:r>
        <w:rPr>
          <w:b/>
          <w:bCs/>
          <w:sz w:val="30"/>
        </w:rPr>
        <w:t>（Handwriting）</w:t>
      </w:r>
    </w:p>
    <w:p w14:paraId="6FA66D9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hint="eastAsia"/>
        </w:rPr>
        <w:t>书写技能</w:t>
      </w:r>
    </w:p>
    <w:p w14:paraId="5EC865C5">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bCs/>
          <w:sz w:val="24"/>
        </w:rPr>
        <w:t>070</w:t>
      </w:r>
      <w:r>
        <w:rPr>
          <w:rFonts w:hint="eastAsia"/>
          <w:bCs/>
          <w:sz w:val="24"/>
        </w:rPr>
        <w:t>1</w:t>
      </w:r>
      <w:r>
        <w:rPr>
          <w:bCs/>
          <w:sz w:val="24"/>
        </w:rPr>
        <w:t>0</w:t>
      </w:r>
      <w:r>
        <w:rPr>
          <w:rFonts w:hint="eastAsia"/>
          <w:bCs/>
          <w:sz w:val="24"/>
        </w:rPr>
        <w:t>18</w:t>
      </w:r>
    </w:p>
    <w:p w14:paraId="48F51DE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7E88A02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5A75AAD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hint="eastAsia" w:cs="Times New Roman"/>
          <w:b/>
          <w:sz w:val="24"/>
        </w:rPr>
        <w:t>无</w:t>
      </w:r>
    </w:p>
    <w:p w14:paraId="6F28323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741AD9E4">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4525FA56">
      <w:pPr>
        <w:autoSpaceDE w:val="0"/>
        <w:autoSpaceDN w:val="0"/>
        <w:adjustRightInd w:val="0"/>
        <w:spacing w:line="360" w:lineRule="auto"/>
        <w:ind w:firstLine="480" w:firstLineChars="200"/>
        <w:jc w:val="left"/>
        <w:rPr>
          <w:sz w:val="24"/>
        </w:rPr>
      </w:pPr>
      <w:r>
        <w:rPr>
          <w:kern w:val="0"/>
          <w:sz w:val="24"/>
        </w:rPr>
        <w:t>本课程是</w:t>
      </w:r>
      <w:r>
        <w:rPr>
          <w:rFonts w:hint="eastAsia"/>
          <w:bCs/>
          <w:kern w:val="0"/>
          <w:sz w:val="24"/>
        </w:rPr>
        <w:t>小学教育</w:t>
      </w:r>
      <w:r>
        <w:rPr>
          <w:kern w:val="0"/>
          <w:sz w:val="24"/>
        </w:rPr>
        <w:t>专业的专业选修课</w:t>
      </w:r>
      <w:r>
        <w:rPr>
          <w:sz w:val="24"/>
        </w:rPr>
        <w:t>。本课程坚持立德树人的根本宗旨，坚持课程思政的教育理念。通过课堂和课外的练习，使学生的书写水平有明显提高，掌握</w:t>
      </w:r>
      <w:r>
        <w:rPr>
          <w:rFonts w:hint="eastAsia"/>
          <w:sz w:val="24"/>
        </w:rPr>
        <w:t>硬笔</w:t>
      </w:r>
      <w:r>
        <w:rPr>
          <w:sz w:val="24"/>
        </w:rPr>
        <w:t>楷书</w:t>
      </w:r>
      <w:r>
        <w:rPr>
          <w:rFonts w:hint="eastAsia"/>
          <w:sz w:val="24"/>
        </w:rPr>
        <w:t>书写、黑板粉笔字楷书书写的</w:t>
      </w:r>
      <w:r>
        <w:rPr>
          <w:sz w:val="24"/>
        </w:rPr>
        <w:t>基本技能，满足工作的日常需要。</w:t>
      </w:r>
    </w:p>
    <w:p w14:paraId="5D018E7B">
      <w:pPr>
        <w:autoSpaceDE w:val="0"/>
        <w:autoSpaceDN w:val="0"/>
        <w:adjustRightInd w:val="0"/>
        <w:spacing w:line="360" w:lineRule="auto"/>
        <w:ind w:firstLine="480" w:firstLineChars="200"/>
        <w:jc w:val="left"/>
        <w:rPr>
          <w:sz w:val="24"/>
        </w:rPr>
      </w:pPr>
    </w:p>
    <w:p w14:paraId="1FC3EB56">
      <w:pPr>
        <w:spacing w:line="360" w:lineRule="auto"/>
        <w:rPr>
          <w:b/>
          <w:sz w:val="24"/>
        </w:rPr>
      </w:pPr>
      <w:r>
        <w:rPr>
          <w:rFonts w:hint="eastAsia"/>
          <w:b/>
          <w:sz w:val="24"/>
        </w:rPr>
        <w:t>二、</w:t>
      </w:r>
      <w:r>
        <w:rPr>
          <w:b/>
          <w:sz w:val="24"/>
        </w:rPr>
        <w:t>课程目标</w:t>
      </w:r>
    </w:p>
    <w:p w14:paraId="3A28163D">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2EE9ED64">
      <w:pPr>
        <w:autoSpaceDE w:val="0"/>
        <w:autoSpaceDN w:val="0"/>
        <w:adjustRightInd w:val="0"/>
        <w:snapToGrid w:val="0"/>
        <w:spacing w:line="360" w:lineRule="auto"/>
        <w:ind w:firstLine="480" w:firstLineChars="200"/>
        <w:rPr>
          <w:sz w:val="24"/>
        </w:rPr>
      </w:pPr>
      <w:r>
        <w:rPr>
          <w:sz w:val="24"/>
        </w:rPr>
        <w:t>目标1. 通过讲解和训练，要求学生进一步认识写好汉字的重要意义。</w:t>
      </w:r>
      <w:r>
        <w:rPr>
          <w:rFonts w:hint="eastAsia"/>
          <w:sz w:val="24"/>
        </w:rPr>
        <w:t>体会书法是中华民族传统文化的瑰宝，培养爱国主义精神。</w:t>
      </w:r>
    </w:p>
    <w:p w14:paraId="5F44D6E4">
      <w:pPr>
        <w:adjustRightInd w:val="0"/>
        <w:snapToGrid w:val="0"/>
        <w:spacing w:line="360" w:lineRule="auto"/>
        <w:ind w:firstLine="480" w:firstLineChars="200"/>
        <w:rPr>
          <w:sz w:val="24"/>
        </w:rPr>
      </w:pPr>
      <w:r>
        <w:rPr>
          <w:sz w:val="24"/>
        </w:rPr>
        <w:t>目标2. 学会掌握汉字的点画、形体和书写特点。</w:t>
      </w:r>
    </w:p>
    <w:p w14:paraId="6EF4C031">
      <w:pPr>
        <w:adjustRightInd w:val="0"/>
        <w:snapToGrid w:val="0"/>
        <w:spacing w:line="360" w:lineRule="auto"/>
        <w:ind w:firstLine="480" w:firstLineChars="200"/>
        <w:rPr>
          <w:sz w:val="24"/>
        </w:rPr>
      </w:pPr>
      <w:r>
        <w:rPr>
          <w:sz w:val="24"/>
        </w:rPr>
        <w:t>目标3. 掌握</w:t>
      </w:r>
      <w:r>
        <w:rPr>
          <w:rFonts w:hint="eastAsia"/>
          <w:sz w:val="24"/>
        </w:rPr>
        <w:t>硬笔</w:t>
      </w:r>
      <w:r>
        <w:rPr>
          <w:sz w:val="24"/>
        </w:rPr>
        <w:t>书写技能，在此基础上学习掌握</w:t>
      </w:r>
      <w:r>
        <w:rPr>
          <w:rFonts w:hint="eastAsia"/>
          <w:sz w:val="24"/>
        </w:rPr>
        <w:t>提高粉笔</w:t>
      </w:r>
      <w:r>
        <w:rPr>
          <w:sz w:val="24"/>
        </w:rPr>
        <w:t>书写技能。</w:t>
      </w:r>
    </w:p>
    <w:p w14:paraId="3E7E1010">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E41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53AFDD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43282A1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6E4B00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AE4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FB00D5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4FFDA29E">
            <w:pPr>
              <w:autoSpaceDE w:val="0"/>
              <w:autoSpaceDN w:val="0"/>
              <w:adjustRightInd w:val="0"/>
              <w:snapToGrid w:val="0"/>
              <w:spacing w:line="336" w:lineRule="auto"/>
              <w:rPr>
                <w:rFonts w:cs="宋体"/>
                <w:sz w:val="22"/>
                <w:szCs w:val="22"/>
              </w:rPr>
            </w:pPr>
            <w:r>
              <w:rPr>
                <w:rFonts w:hint="eastAsia" w:ascii="Times New Roman" w:hAnsi="Times New Roman" w:eastAsia="宋体" w:cs="Times New Roman"/>
                <w:szCs w:val="21"/>
              </w:rPr>
              <w:t>指标点</w:t>
            </w:r>
            <w:r>
              <w:rPr>
                <w:rFonts w:ascii="Times New Roman" w:hAnsi="Times New Roman" w:eastAsia="宋体" w:cs="Times New Roman"/>
                <w:szCs w:val="21"/>
              </w:rPr>
              <w:t>1-1：【理想信念坚定】</w:t>
            </w:r>
            <w:r>
              <w:rPr>
                <w:rFonts w:hint="eastAsia" w:ascii="宋体" w:hAnsi="宋体" w:cs="宋体"/>
                <w:sz w:val="22"/>
                <w:szCs w:val="22"/>
              </w:rPr>
              <w:t>准确把握习近平新时代中国特色社会主义思想内涵，高度认识其对中国式现代化建设的指导意义，形成对中国特色社会主义的思想认同、政治认同、理论认同和情感认同，践行社会主义核心价值观。树立坚定贯彻党的教育方针、落实立德树人根本任务的自觉性。具有良好的道德修养，遵守中小学教师职业道德规范和《新时代中小学教师职业行为十项准则》，依法执教，立志成为有理想信念、道德情操、扎实学识、有仁爱之心，受学生爱戴的好老师。</w:t>
            </w:r>
            <w:r>
              <w:rPr>
                <w:rFonts w:hint="eastAsia" w:cs="宋体"/>
                <w:sz w:val="22"/>
                <w:szCs w:val="22"/>
              </w:rPr>
              <w:t xml:space="preserve">  </w:t>
            </w:r>
          </w:p>
          <w:p w14:paraId="50546EB9">
            <w:pPr>
              <w:spacing w:line="276" w:lineRule="auto"/>
              <w:jc w:val="left"/>
              <w:rPr>
                <w:rFonts w:ascii="Times New Roman" w:hAnsi="Times New Roman" w:eastAsia="宋体" w:cs="Times New Roman"/>
                <w:szCs w:val="21"/>
              </w:rPr>
            </w:pPr>
          </w:p>
        </w:tc>
        <w:tc>
          <w:tcPr>
            <w:tcW w:w="1191" w:type="dxa"/>
            <w:vAlign w:val="center"/>
          </w:tcPr>
          <w:p w14:paraId="52289B8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hint="eastAsia" w:cs="Times New Roman"/>
                <w:szCs w:val="21"/>
              </w:rPr>
              <w:t>1</w:t>
            </w:r>
          </w:p>
        </w:tc>
      </w:tr>
      <w:tr w14:paraId="2563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6BA2E4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4F8EAAEB">
            <w:pPr>
              <w:autoSpaceDE w:val="0"/>
              <w:autoSpaceDN w:val="0"/>
              <w:adjustRightInd w:val="0"/>
              <w:snapToGrid w:val="0"/>
              <w:spacing w:line="336" w:lineRule="auto"/>
              <w:rPr>
                <w:rFonts w:hint="eastAsia" w:ascii="宋体" w:hAnsi="宋体" w:cs="宋体"/>
                <w:sz w:val="22"/>
                <w:szCs w:val="22"/>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2-2：【仁爱之心深厚】</w:t>
            </w:r>
            <w:r>
              <w:rPr>
                <w:rFonts w:hint="eastAsia" w:ascii="宋体" w:hAnsi="宋体" w:cs="宋体"/>
                <w:sz w:val="22"/>
                <w:szCs w:val="22"/>
              </w:rPr>
              <w:t>秉持“坚忍诚勇，立己达人”的师范精神，具有高尚的人格品质和心理健康素养、良好的人文</w:t>
            </w:r>
            <w:r>
              <w:rPr>
                <w:rFonts w:hint="eastAsia" w:cs="宋体"/>
                <w:sz w:val="22"/>
                <w:szCs w:val="22"/>
              </w:rPr>
              <w:t>艺术</w:t>
            </w:r>
            <w:r>
              <w:rPr>
                <w:rFonts w:hint="eastAsia" w:ascii="宋体" w:hAnsi="宋体" w:cs="宋体"/>
                <w:sz w:val="22"/>
                <w:szCs w:val="22"/>
              </w:rPr>
              <w:t>底蕴和科学精神以及服务基层教育的情怀，爱岗敬业，积极践行教育家精神，关心爱护学生、理解尊重学生，富有爱心、责任心、事业心，工作细心、耐心，做学生</w:t>
            </w:r>
            <w:r>
              <w:rPr>
                <w:rFonts w:hint="eastAsia" w:cs="宋体"/>
                <w:sz w:val="22"/>
                <w:szCs w:val="22"/>
              </w:rPr>
              <w:t>锤炼品格、学习知识、创新思维、奉献祖国</w:t>
            </w:r>
            <w:r>
              <w:rPr>
                <w:rFonts w:hint="eastAsia" w:ascii="宋体" w:hAnsi="宋体" w:cs="宋体"/>
                <w:sz w:val="22"/>
                <w:szCs w:val="22"/>
              </w:rPr>
              <w:t>的引路人。</w:t>
            </w:r>
          </w:p>
          <w:p w14:paraId="2F3FD1A3">
            <w:pPr>
              <w:spacing w:line="276" w:lineRule="auto"/>
              <w:jc w:val="left"/>
              <w:rPr>
                <w:rFonts w:ascii="Times New Roman" w:hAnsi="Times New Roman" w:eastAsia="宋体" w:cs="Times New Roman"/>
                <w:szCs w:val="21"/>
              </w:rPr>
            </w:pPr>
          </w:p>
        </w:tc>
        <w:tc>
          <w:tcPr>
            <w:tcW w:w="1191" w:type="dxa"/>
            <w:vAlign w:val="center"/>
          </w:tcPr>
          <w:p w14:paraId="3E5A330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hint="eastAsia" w:cs="Times New Roman"/>
                <w:szCs w:val="21"/>
              </w:rPr>
              <w:t>2、</w:t>
            </w:r>
            <w:r>
              <w:rPr>
                <w:rFonts w:hint="eastAsia" w:ascii="Times New Roman" w:hAnsi="Times New Roman" w:eastAsia="宋体" w:cs="Times New Roman"/>
                <w:szCs w:val="21"/>
              </w:rPr>
              <w:t>3</w:t>
            </w:r>
          </w:p>
        </w:tc>
      </w:tr>
      <w:tr w14:paraId="4F0A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7ADF76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67F8CD08">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3-3：【教育教学知识牢固】掌握教育教学基本理论知识，熟悉所教学科课程标准和教材、教学内容。在教育教学实践中，具有一定的教材解读能力，具有依据课标进行教学的意识和习惯。</w:t>
            </w:r>
          </w:p>
        </w:tc>
        <w:tc>
          <w:tcPr>
            <w:tcW w:w="1191" w:type="dxa"/>
            <w:vAlign w:val="center"/>
          </w:tcPr>
          <w:p w14:paraId="4EDEA91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hint="eastAsia" w:cs="Times New Roman"/>
                <w:szCs w:val="21"/>
              </w:rPr>
              <w:t>2、3</w:t>
            </w:r>
          </w:p>
        </w:tc>
      </w:tr>
    </w:tbl>
    <w:p w14:paraId="619DCF3B">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E23F00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w:t>
      </w:r>
      <w:r>
        <w:rPr>
          <w:rFonts w:hint="eastAsia" w:ascii="宋体" w:hAnsi="宋体" w:cs="Times New Roman"/>
          <w:color w:val="000000"/>
          <w:szCs w:val="21"/>
        </w:rPr>
        <w:t>。</w:t>
      </w:r>
    </w:p>
    <w:p w14:paraId="43BC6ECC">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177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EF366B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4AB970A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72454A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57D10A5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985E2B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7056D0F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D9C12D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78C6E7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1DC3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907F8A5">
            <w:pPr>
              <w:adjustRightInd w:val="0"/>
              <w:snapToGrid w:val="0"/>
              <w:spacing w:line="360" w:lineRule="auto"/>
              <w:rPr>
                <w:b/>
                <w:bCs/>
                <w:szCs w:val="21"/>
              </w:rPr>
            </w:pPr>
            <w:r>
              <w:rPr>
                <w:rFonts w:hint="eastAsia" w:ascii="宋体" w:hAnsi="宋体" w:eastAsia="宋体" w:cs="Times New Roman"/>
                <w:color w:val="000000"/>
                <w:szCs w:val="21"/>
              </w:rPr>
              <w:t>1.</w:t>
            </w:r>
            <w:r>
              <w:rPr>
                <w:szCs w:val="21"/>
              </w:rPr>
              <w:t>绪论</w:t>
            </w:r>
          </w:p>
          <w:p w14:paraId="51DAB119">
            <w:pPr>
              <w:spacing w:line="264" w:lineRule="auto"/>
              <w:jc w:val="center"/>
              <w:rPr>
                <w:rFonts w:hint="eastAsia" w:ascii="宋体" w:hAnsi="宋体" w:eastAsia="宋体" w:cs="Times New Roman"/>
                <w:color w:val="000000"/>
                <w:szCs w:val="21"/>
              </w:rPr>
            </w:pPr>
          </w:p>
        </w:tc>
        <w:tc>
          <w:tcPr>
            <w:tcW w:w="1701" w:type="dxa"/>
            <w:vAlign w:val="center"/>
          </w:tcPr>
          <w:p w14:paraId="4DC90025">
            <w:pPr>
              <w:adjustRightInd w:val="0"/>
              <w:snapToGrid w:val="0"/>
              <w:spacing w:line="360" w:lineRule="auto"/>
              <w:rPr>
                <w:szCs w:val="21"/>
              </w:rPr>
            </w:pPr>
            <w:r>
              <w:rPr>
                <w:szCs w:val="21"/>
              </w:rPr>
              <w:t>（1）</w:t>
            </w:r>
            <w:r>
              <w:rPr>
                <w:rFonts w:hint="eastAsia"/>
                <w:szCs w:val="21"/>
              </w:rPr>
              <w:t>硬笔</w:t>
            </w:r>
            <w:r>
              <w:rPr>
                <w:szCs w:val="21"/>
              </w:rPr>
              <w:t>书法的作用、特点</w:t>
            </w:r>
          </w:p>
          <w:p w14:paraId="33177325">
            <w:pPr>
              <w:adjustRightInd w:val="0"/>
              <w:snapToGrid w:val="0"/>
              <w:spacing w:line="360" w:lineRule="auto"/>
              <w:rPr>
                <w:szCs w:val="21"/>
              </w:rPr>
            </w:pPr>
            <w:r>
              <w:rPr>
                <w:szCs w:val="21"/>
              </w:rPr>
              <w:t>（2）</w:t>
            </w:r>
            <w:r>
              <w:rPr>
                <w:rFonts w:hint="eastAsia"/>
                <w:szCs w:val="21"/>
              </w:rPr>
              <w:t>硬笔</w:t>
            </w:r>
            <w:r>
              <w:rPr>
                <w:szCs w:val="21"/>
              </w:rPr>
              <w:t>书法与毛笔书法的区别与联系</w:t>
            </w:r>
          </w:p>
          <w:p w14:paraId="25A914E8">
            <w:pPr>
              <w:adjustRightInd w:val="0"/>
              <w:snapToGrid w:val="0"/>
              <w:spacing w:line="360" w:lineRule="auto"/>
              <w:rPr>
                <w:szCs w:val="21"/>
              </w:rPr>
            </w:pPr>
            <w:r>
              <w:rPr>
                <w:szCs w:val="21"/>
              </w:rPr>
              <w:t>（3）握笔坐姿</w:t>
            </w:r>
          </w:p>
          <w:p w14:paraId="6293C02D">
            <w:pPr>
              <w:adjustRightInd w:val="0"/>
              <w:snapToGrid w:val="0"/>
              <w:spacing w:line="360" w:lineRule="auto"/>
              <w:rPr>
                <w:szCs w:val="21"/>
              </w:rPr>
            </w:pPr>
            <w:r>
              <w:rPr>
                <w:szCs w:val="21"/>
              </w:rPr>
              <w:t>（4）</w:t>
            </w:r>
            <w:r>
              <w:rPr>
                <w:rFonts w:hint="eastAsia"/>
                <w:szCs w:val="21"/>
              </w:rPr>
              <w:t>硬笔</w:t>
            </w:r>
            <w:r>
              <w:rPr>
                <w:szCs w:val="21"/>
              </w:rPr>
              <w:t>书法的学习方法要求</w:t>
            </w:r>
          </w:p>
          <w:p w14:paraId="59406B84">
            <w:pPr>
              <w:adjustRightInd w:val="0"/>
              <w:snapToGrid w:val="0"/>
              <w:spacing w:line="360" w:lineRule="auto"/>
              <w:rPr>
                <w:szCs w:val="21"/>
              </w:rPr>
            </w:pPr>
            <w:r>
              <w:rPr>
                <w:rFonts w:hint="eastAsia"/>
                <w:szCs w:val="21"/>
              </w:rPr>
              <w:t>（5）书法与传统文化</w:t>
            </w:r>
          </w:p>
          <w:p w14:paraId="176999BF">
            <w:pPr>
              <w:spacing w:line="269" w:lineRule="auto"/>
              <w:jc w:val="left"/>
              <w:rPr>
                <w:rFonts w:hint="eastAsia" w:ascii="宋体" w:hAnsi="宋体" w:eastAsia="宋体" w:cs="Times New Roman"/>
                <w:color w:val="000000"/>
                <w:szCs w:val="21"/>
              </w:rPr>
            </w:pPr>
          </w:p>
        </w:tc>
        <w:tc>
          <w:tcPr>
            <w:tcW w:w="1134" w:type="dxa"/>
            <w:vAlign w:val="center"/>
          </w:tcPr>
          <w:p w14:paraId="493BF25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1BCD48DB">
            <w:pPr>
              <w:numPr>
                <w:ilvl w:val="0"/>
                <w:numId w:val="36"/>
              </w:numPr>
              <w:adjustRightInd w:val="0"/>
              <w:snapToGrid w:val="0"/>
              <w:spacing w:line="360" w:lineRule="auto"/>
              <w:ind w:left="420" w:hanging="420" w:hangingChars="200"/>
              <w:rPr>
                <w:szCs w:val="21"/>
              </w:rPr>
            </w:pPr>
            <w:r>
              <w:rPr>
                <w:szCs w:val="21"/>
              </w:rPr>
              <w:t>了解</w:t>
            </w:r>
            <w:r>
              <w:rPr>
                <w:rFonts w:hint="eastAsia"/>
                <w:szCs w:val="21"/>
              </w:rPr>
              <w:t>硬笔</w:t>
            </w:r>
            <w:r>
              <w:rPr>
                <w:szCs w:val="21"/>
              </w:rPr>
              <w:t>书法对于本专业作用</w:t>
            </w:r>
          </w:p>
          <w:p w14:paraId="2D70AB16">
            <w:pPr>
              <w:numPr>
                <w:ilvl w:val="0"/>
                <w:numId w:val="36"/>
              </w:numPr>
              <w:adjustRightInd w:val="0"/>
              <w:snapToGrid w:val="0"/>
              <w:spacing w:line="360" w:lineRule="auto"/>
              <w:ind w:left="420" w:hanging="420" w:hangingChars="200"/>
              <w:rPr>
                <w:szCs w:val="21"/>
              </w:rPr>
            </w:pPr>
            <w:r>
              <w:rPr>
                <w:szCs w:val="21"/>
              </w:rPr>
              <w:t>书法的基本特点和学习方法</w:t>
            </w:r>
          </w:p>
          <w:p w14:paraId="5660474E">
            <w:pPr>
              <w:numPr>
                <w:ilvl w:val="0"/>
                <w:numId w:val="36"/>
              </w:numPr>
              <w:adjustRightInd w:val="0"/>
              <w:snapToGrid w:val="0"/>
              <w:spacing w:line="360" w:lineRule="auto"/>
              <w:ind w:left="420" w:hanging="420" w:hangingChars="200"/>
              <w:rPr>
                <w:szCs w:val="21"/>
              </w:rPr>
            </w:pPr>
            <w:r>
              <w:rPr>
                <w:rFonts w:hint="eastAsia"/>
                <w:szCs w:val="21"/>
              </w:rPr>
              <w:t>硬笔</w:t>
            </w:r>
            <w:r>
              <w:rPr>
                <w:szCs w:val="21"/>
              </w:rPr>
              <w:t>书法与毛笔书法的区别与联系</w:t>
            </w:r>
          </w:p>
          <w:p w14:paraId="469C4CC8">
            <w:pPr>
              <w:adjustRightInd w:val="0"/>
              <w:snapToGrid w:val="0"/>
              <w:spacing w:line="360" w:lineRule="auto"/>
              <w:ind w:left="420" w:hanging="420" w:hangingChars="200"/>
              <w:rPr>
                <w:rFonts w:hint="eastAsia" w:ascii="宋体" w:hAnsi="宋体" w:eastAsia="宋体" w:cs="Times New Roman"/>
                <w:color w:val="000000"/>
                <w:szCs w:val="21"/>
              </w:rPr>
            </w:pPr>
          </w:p>
        </w:tc>
        <w:tc>
          <w:tcPr>
            <w:tcW w:w="1560" w:type="dxa"/>
            <w:vAlign w:val="center"/>
          </w:tcPr>
          <w:p w14:paraId="753A7F8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603A527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879F6D8">
            <w:pPr>
              <w:spacing w:line="269" w:lineRule="auto"/>
              <w:jc w:val="left"/>
              <w:rPr>
                <w:rFonts w:hint="eastAsia" w:ascii="宋体" w:hAnsi="宋体" w:eastAsia="宋体" w:cs="Times New Roman"/>
                <w:color w:val="000000"/>
                <w:szCs w:val="21"/>
              </w:rPr>
            </w:pPr>
          </w:p>
        </w:tc>
        <w:tc>
          <w:tcPr>
            <w:tcW w:w="438" w:type="dxa"/>
            <w:vAlign w:val="center"/>
          </w:tcPr>
          <w:p w14:paraId="39FF99F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DA1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CE5288B">
            <w:pPr>
              <w:spacing w:line="264" w:lineRule="auto"/>
              <w:jc w:val="center"/>
              <w:rPr>
                <w:rFonts w:hint="eastAsia" w:ascii="宋体" w:hAnsi="宋体" w:eastAsia="宋体" w:cs="Times New Roman"/>
                <w:color w:val="000000"/>
                <w:szCs w:val="21"/>
              </w:rPr>
            </w:pPr>
          </w:p>
        </w:tc>
        <w:tc>
          <w:tcPr>
            <w:tcW w:w="8093" w:type="dxa"/>
            <w:gridSpan w:val="5"/>
            <w:vAlign w:val="center"/>
          </w:tcPr>
          <w:p w14:paraId="5E513D14">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szCs w:val="21"/>
              </w:rPr>
              <w:t>了解书法艺术在中国文化中的重要地位、培养文化自信、民族自豪感</w:t>
            </w:r>
          </w:p>
        </w:tc>
      </w:tr>
      <w:tr w14:paraId="32D8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5A0EE8E">
            <w:pPr>
              <w:adjustRightInd w:val="0"/>
              <w:snapToGrid w:val="0"/>
              <w:spacing w:line="360" w:lineRule="auto"/>
              <w:rPr>
                <w:rFonts w:hint="eastAsia" w:ascii="宋体" w:hAnsi="宋体" w:eastAsia="宋体" w:cs="宋体"/>
                <w:szCs w:val="21"/>
              </w:rPr>
            </w:pPr>
            <w:r>
              <w:rPr>
                <w:rFonts w:hint="eastAsia" w:ascii="宋体" w:hAnsi="宋体" w:eastAsia="宋体" w:cs="Times New Roman"/>
                <w:color w:val="000000"/>
                <w:szCs w:val="21"/>
              </w:rPr>
              <w:t>2.</w:t>
            </w:r>
            <w:r>
              <w:rPr>
                <w:rFonts w:hint="eastAsia" w:ascii="宋体" w:hAnsi="宋体" w:eastAsia="宋体" w:cs="宋体"/>
                <w:szCs w:val="21"/>
              </w:rPr>
              <w:t>硬笔楷书</w:t>
            </w:r>
          </w:p>
          <w:p w14:paraId="19ECAD9B">
            <w:pPr>
              <w:spacing w:line="264" w:lineRule="auto"/>
              <w:jc w:val="center"/>
              <w:rPr>
                <w:rFonts w:hint="eastAsia" w:ascii="宋体" w:hAnsi="宋体" w:eastAsia="宋体" w:cs="Times New Roman"/>
                <w:color w:val="000000"/>
                <w:szCs w:val="21"/>
              </w:rPr>
            </w:pPr>
          </w:p>
        </w:tc>
        <w:tc>
          <w:tcPr>
            <w:tcW w:w="1701" w:type="dxa"/>
            <w:vAlign w:val="center"/>
          </w:tcPr>
          <w:p w14:paraId="27CCDBFE">
            <w:pPr>
              <w:adjustRightInd w:val="0"/>
              <w:snapToGrid w:val="0"/>
              <w:spacing w:line="360" w:lineRule="auto"/>
              <w:rPr>
                <w:rFonts w:hint="eastAsia" w:ascii="宋体" w:hAnsi="宋体" w:eastAsia="宋体" w:cs="宋体"/>
                <w:szCs w:val="21"/>
              </w:rPr>
            </w:pPr>
            <w:r>
              <w:rPr>
                <w:rFonts w:hint="eastAsia" w:ascii="宋体" w:hAnsi="宋体" w:eastAsia="宋体" w:cs="宋体"/>
                <w:szCs w:val="21"/>
              </w:rPr>
              <w:t>（1）结构重心</w:t>
            </w:r>
          </w:p>
          <w:p w14:paraId="79205A17">
            <w:pPr>
              <w:adjustRightInd w:val="0"/>
              <w:snapToGrid w:val="0"/>
              <w:spacing w:line="360" w:lineRule="auto"/>
              <w:rPr>
                <w:rFonts w:hint="eastAsia" w:ascii="宋体" w:hAnsi="宋体" w:eastAsia="宋体" w:cs="宋体"/>
                <w:szCs w:val="21"/>
              </w:rPr>
            </w:pPr>
            <w:r>
              <w:rPr>
                <w:rFonts w:hint="eastAsia" w:ascii="宋体" w:hAnsi="宋体" w:eastAsia="宋体" w:cs="宋体"/>
                <w:szCs w:val="21"/>
              </w:rPr>
              <w:t>（2）起笔收笔</w:t>
            </w:r>
          </w:p>
          <w:p w14:paraId="692D14BF">
            <w:pPr>
              <w:adjustRightInd w:val="0"/>
              <w:snapToGrid w:val="0"/>
              <w:spacing w:line="360" w:lineRule="auto"/>
              <w:rPr>
                <w:rFonts w:hint="eastAsia" w:ascii="宋体" w:hAnsi="宋体" w:eastAsia="宋体" w:cs="宋体"/>
                <w:szCs w:val="21"/>
              </w:rPr>
            </w:pPr>
            <w:r>
              <w:rPr>
                <w:rFonts w:hint="eastAsia" w:ascii="宋体" w:hAnsi="宋体" w:eastAsia="宋体" w:cs="宋体"/>
                <w:szCs w:val="21"/>
              </w:rPr>
              <w:t>（3）基本笔画练习</w:t>
            </w:r>
          </w:p>
          <w:p w14:paraId="0181CEEA">
            <w:pPr>
              <w:adjustRightInd w:val="0"/>
              <w:snapToGrid w:val="0"/>
              <w:spacing w:line="360" w:lineRule="auto"/>
              <w:rPr>
                <w:rFonts w:hint="eastAsia" w:ascii="宋体" w:hAnsi="宋体" w:eastAsia="宋体" w:cs="宋体"/>
                <w:szCs w:val="21"/>
              </w:rPr>
            </w:pPr>
            <w:r>
              <w:rPr>
                <w:rFonts w:hint="eastAsia" w:ascii="宋体" w:hAnsi="宋体" w:eastAsia="宋体" w:cs="宋体"/>
                <w:szCs w:val="21"/>
              </w:rPr>
              <w:t>（4）偏旁部首练习</w:t>
            </w:r>
          </w:p>
          <w:p w14:paraId="6BEB8D38">
            <w:pPr>
              <w:adjustRightInd w:val="0"/>
              <w:snapToGrid w:val="0"/>
              <w:spacing w:line="360" w:lineRule="auto"/>
              <w:rPr>
                <w:rFonts w:hint="eastAsia" w:ascii="宋体" w:hAnsi="宋体" w:eastAsia="宋体" w:cs="宋体"/>
                <w:szCs w:val="21"/>
              </w:rPr>
            </w:pPr>
            <w:r>
              <w:rPr>
                <w:rFonts w:hint="eastAsia" w:ascii="宋体" w:hAnsi="宋体" w:eastAsia="宋体" w:cs="宋体"/>
                <w:szCs w:val="21"/>
              </w:rPr>
              <w:t>（5）间架结构</w:t>
            </w:r>
          </w:p>
          <w:p w14:paraId="46958F9C">
            <w:pPr>
              <w:adjustRightInd w:val="0"/>
              <w:snapToGrid w:val="0"/>
              <w:spacing w:line="360" w:lineRule="auto"/>
              <w:rPr>
                <w:rFonts w:hint="eastAsia" w:ascii="宋体" w:hAnsi="宋体" w:eastAsia="宋体" w:cs="宋体"/>
                <w:szCs w:val="21"/>
              </w:rPr>
            </w:pPr>
            <w:r>
              <w:rPr>
                <w:rFonts w:hint="eastAsia" w:ascii="宋体" w:hAnsi="宋体" w:eastAsia="宋体" w:cs="宋体"/>
                <w:szCs w:val="21"/>
              </w:rPr>
              <w:t>（6）章法布局</w:t>
            </w:r>
          </w:p>
          <w:p w14:paraId="72B33932">
            <w:pPr>
              <w:spacing w:line="269" w:lineRule="auto"/>
              <w:jc w:val="left"/>
              <w:rPr>
                <w:rFonts w:hint="eastAsia" w:ascii="宋体" w:hAnsi="宋体" w:eastAsia="宋体" w:cs="Times New Roman"/>
                <w:color w:val="000000"/>
                <w:szCs w:val="21"/>
              </w:rPr>
            </w:pPr>
          </w:p>
        </w:tc>
        <w:tc>
          <w:tcPr>
            <w:tcW w:w="1134" w:type="dxa"/>
            <w:vAlign w:val="center"/>
          </w:tcPr>
          <w:p w14:paraId="60A6381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cs="Times New Roman"/>
                <w:color w:val="000000"/>
                <w:szCs w:val="21"/>
              </w:rPr>
              <w:t>2</w:t>
            </w:r>
            <w:r>
              <w:rPr>
                <w:rFonts w:hint="eastAsia" w:ascii="宋体" w:hAnsi="宋体" w:eastAsia="宋体" w:cs="Times New Roman"/>
                <w:color w:val="000000"/>
                <w:szCs w:val="21"/>
              </w:rPr>
              <w:t>、3</w:t>
            </w:r>
          </w:p>
        </w:tc>
        <w:tc>
          <w:tcPr>
            <w:tcW w:w="3260" w:type="dxa"/>
            <w:vAlign w:val="center"/>
          </w:tcPr>
          <w:p w14:paraId="63C286D2">
            <w:pPr>
              <w:adjustRightInd w:val="0"/>
              <w:snapToGrid w:val="0"/>
              <w:spacing w:line="360" w:lineRule="auto"/>
              <w:ind w:firstLine="480"/>
              <w:rPr>
                <w:rFonts w:hint="eastAsia" w:ascii="宋体" w:hAnsi="宋体" w:eastAsia="宋体" w:cs="宋体"/>
                <w:szCs w:val="21"/>
              </w:rPr>
            </w:pPr>
            <w:r>
              <w:rPr>
                <w:rFonts w:hint="eastAsia" w:ascii="宋体" w:hAnsi="宋体" w:eastAsia="宋体" w:cs="宋体"/>
                <w:szCs w:val="21"/>
              </w:rPr>
              <w:t>通过练习，要求学生了解硬笔楷书起笔收笔、基本笔画、偏旁部首、间架结构等书写的基本规律，并掌握其技巧。</w:t>
            </w:r>
          </w:p>
          <w:p w14:paraId="38BB1688">
            <w:pPr>
              <w:spacing w:line="269" w:lineRule="auto"/>
              <w:jc w:val="left"/>
              <w:rPr>
                <w:rFonts w:hint="eastAsia" w:ascii="宋体" w:hAnsi="宋体" w:eastAsia="宋体" w:cs="Times New Roman"/>
                <w:color w:val="000000"/>
                <w:szCs w:val="21"/>
              </w:rPr>
            </w:pPr>
          </w:p>
        </w:tc>
        <w:tc>
          <w:tcPr>
            <w:tcW w:w="1560" w:type="dxa"/>
            <w:vAlign w:val="center"/>
          </w:tcPr>
          <w:p w14:paraId="7C5C3CF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rPr>
              <w:t>课堂练习</w:t>
            </w:r>
          </w:p>
          <w:p w14:paraId="799CB117">
            <w:pPr>
              <w:spacing w:line="269" w:lineRule="auto"/>
              <w:jc w:val="left"/>
              <w:rPr>
                <w:rFonts w:hint="eastAsia" w:ascii="宋体" w:hAnsi="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rPr>
              <w:t>课后练习</w:t>
            </w:r>
          </w:p>
          <w:p w14:paraId="0B42B0E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w:t>
            </w:r>
            <w:r>
              <w:rPr>
                <w:rFonts w:hint="eastAsia" w:ascii="宋体" w:hAnsi="宋体" w:cs="Times New Roman"/>
                <w:color w:val="000000"/>
                <w:szCs w:val="21"/>
              </w:rPr>
              <w:t>辅导</w:t>
            </w:r>
          </w:p>
          <w:p w14:paraId="18883C0C">
            <w:p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rPr>
              <w:t>4、作业检查与评点</w:t>
            </w:r>
          </w:p>
        </w:tc>
        <w:tc>
          <w:tcPr>
            <w:tcW w:w="438" w:type="dxa"/>
            <w:vAlign w:val="center"/>
          </w:tcPr>
          <w:p w14:paraId="3D745474">
            <w:pPr>
              <w:spacing w:line="269" w:lineRule="auto"/>
              <w:jc w:val="center"/>
              <w:rPr>
                <w:rFonts w:hint="eastAsia" w:ascii="宋体" w:hAnsi="宋体" w:eastAsia="宋体" w:cs="Times New Roman"/>
                <w:color w:val="000000"/>
                <w:szCs w:val="21"/>
              </w:rPr>
            </w:pPr>
            <w:r>
              <w:rPr>
                <w:rFonts w:hint="eastAsia" w:ascii="宋体" w:hAnsi="宋体" w:cs="Times New Roman"/>
                <w:color w:val="000000"/>
                <w:szCs w:val="21"/>
              </w:rPr>
              <w:t>28</w:t>
            </w:r>
          </w:p>
        </w:tc>
      </w:tr>
      <w:tr w14:paraId="111B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E6CA753">
            <w:pPr>
              <w:spacing w:line="264" w:lineRule="auto"/>
              <w:jc w:val="center"/>
              <w:rPr>
                <w:rFonts w:hint="eastAsia" w:ascii="宋体" w:hAnsi="宋体" w:eastAsia="宋体" w:cs="Times New Roman"/>
                <w:color w:val="000000"/>
                <w:szCs w:val="21"/>
              </w:rPr>
            </w:pPr>
          </w:p>
        </w:tc>
        <w:tc>
          <w:tcPr>
            <w:tcW w:w="8093" w:type="dxa"/>
            <w:gridSpan w:val="5"/>
            <w:vAlign w:val="center"/>
          </w:tcPr>
          <w:p w14:paraId="695BEE19">
            <w:pPr>
              <w:spacing w:line="360" w:lineRule="auto"/>
              <w:ind w:firstLine="413" w:firstLineChars="196"/>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bCs/>
                <w:color w:val="000000"/>
                <w:szCs w:val="21"/>
              </w:rPr>
              <w:t>通过书法学习</w:t>
            </w:r>
            <w:r>
              <w:rPr>
                <w:rFonts w:hint="eastAsia" w:ascii="宋体" w:hAnsi="宋体" w:eastAsia="宋体" w:cs="Times New Roman"/>
                <w:bCs/>
                <w:color w:val="000000"/>
                <w:szCs w:val="21"/>
              </w:rPr>
              <w:t>，</w:t>
            </w:r>
            <w:r>
              <w:rPr>
                <w:rFonts w:hint="eastAsia" w:ascii="宋体" w:hAnsi="宋体" w:cs="Times New Roman"/>
                <w:color w:val="000000"/>
                <w:szCs w:val="21"/>
              </w:rPr>
              <w:t>培养</w:t>
            </w:r>
            <w:r>
              <w:rPr>
                <w:rFonts w:hint="eastAsia" w:ascii="宋体" w:hAnsi="宋体" w:eastAsia="宋体" w:cs="Times New Roman"/>
                <w:color w:val="000000"/>
                <w:szCs w:val="21"/>
              </w:rPr>
              <w:t>爱心、责任心、事业心，立志成为有理想信念、有道德情操、有扎实学习、有仁爱之心的新时代大国良师。</w:t>
            </w:r>
          </w:p>
          <w:p w14:paraId="06CA11D9">
            <w:pPr>
              <w:spacing w:line="269" w:lineRule="auto"/>
              <w:jc w:val="left"/>
              <w:rPr>
                <w:rFonts w:hint="eastAsia" w:ascii="宋体" w:hAnsi="宋体" w:eastAsia="宋体" w:cs="Times New Roman"/>
                <w:color w:val="000000"/>
                <w:szCs w:val="21"/>
              </w:rPr>
            </w:pPr>
          </w:p>
        </w:tc>
      </w:tr>
      <w:tr w14:paraId="272E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24CA1E8">
            <w:pPr>
              <w:adjustRightInd w:val="0"/>
              <w:snapToGrid w:val="0"/>
              <w:spacing w:line="360" w:lineRule="auto"/>
              <w:rPr>
                <w:rFonts w:hint="eastAsia" w:ascii="宋体" w:hAnsi="宋体" w:eastAsia="宋体" w:cs="宋体"/>
                <w:szCs w:val="21"/>
              </w:rPr>
            </w:pPr>
            <w:r>
              <w:rPr>
                <w:rFonts w:hint="eastAsia" w:ascii="宋体" w:hAnsi="宋体" w:eastAsia="宋体" w:cs="Times New Roman"/>
                <w:color w:val="000000"/>
                <w:szCs w:val="21"/>
              </w:rPr>
              <w:t>3.</w:t>
            </w:r>
            <w:r>
              <w:rPr>
                <w:rFonts w:hint="eastAsia" w:ascii="宋体" w:hAnsi="宋体" w:eastAsia="宋体" w:cs="宋体"/>
                <w:szCs w:val="21"/>
              </w:rPr>
              <w:t>章法布局</w:t>
            </w:r>
          </w:p>
          <w:p w14:paraId="30EC1E1E">
            <w:pPr>
              <w:spacing w:line="264" w:lineRule="auto"/>
              <w:jc w:val="center"/>
              <w:rPr>
                <w:rFonts w:hint="eastAsia" w:ascii="宋体" w:hAnsi="宋体" w:eastAsia="宋体" w:cs="Times New Roman"/>
                <w:color w:val="000000"/>
                <w:szCs w:val="21"/>
              </w:rPr>
            </w:pPr>
          </w:p>
        </w:tc>
        <w:tc>
          <w:tcPr>
            <w:tcW w:w="1701" w:type="dxa"/>
            <w:vAlign w:val="center"/>
          </w:tcPr>
          <w:p w14:paraId="6D4C40C2">
            <w:pPr>
              <w:adjustRightInd w:val="0"/>
              <w:snapToGrid w:val="0"/>
              <w:spacing w:line="360" w:lineRule="auto"/>
              <w:rPr>
                <w:rFonts w:hint="eastAsia" w:ascii="宋体" w:hAnsi="宋体" w:eastAsia="宋体" w:cs="宋体"/>
                <w:szCs w:val="21"/>
              </w:rPr>
            </w:pPr>
            <w:r>
              <w:rPr>
                <w:rFonts w:hint="eastAsia" w:ascii="宋体" w:hAnsi="宋体" w:eastAsia="宋体" w:cs="宋体"/>
                <w:szCs w:val="21"/>
              </w:rPr>
              <w:t>（1）基本格式</w:t>
            </w:r>
          </w:p>
          <w:p w14:paraId="215D46D8">
            <w:pPr>
              <w:adjustRightInd w:val="0"/>
              <w:snapToGrid w:val="0"/>
              <w:spacing w:line="360" w:lineRule="auto"/>
              <w:rPr>
                <w:rFonts w:hint="eastAsia" w:ascii="宋体" w:hAnsi="宋体" w:eastAsia="宋体" w:cs="宋体"/>
                <w:szCs w:val="21"/>
              </w:rPr>
            </w:pPr>
            <w:r>
              <w:rPr>
                <w:rFonts w:hint="eastAsia" w:ascii="宋体" w:hAnsi="宋体" w:eastAsia="宋体" w:cs="宋体"/>
                <w:szCs w:val="21"/>
              </w:rPr>
              <w:t>（2）章法布局</w:t>
            </w:r>
          </w:p>
          <w:p w14:paraId="12738365">
            <w:pPr>
              <w:adjustRightInd w:val="0"/>
              <w:snapToGrid w:val="0"/>
              <w:spacing w:line="360" w:lineRule="auto"/>
              <w:rPr>
                <w:rFonts w:hint="eastAsia" w:ascii="宋体" w:hAnsi="宋体" w:eastAsia="宋体" w:cs="宋体"/>
                <w:szCs w:val="21"/>
              </w:rPr>
            </w:pPr>
            <w:r>
              <w:rPr>
                <w:rFonts w:hint="eastAsia" w:ascii="宋体" w:hAnsi="宋体" w:eastAsia="宋体" w:cs="宋体"/>
                <w:szCs w:val="21"/>
              </w:rPr>
              <w:t>（3）书法创作</w:t>
            </w:r>
          </w:p>
          <w:p w14:paraId="748472A2">
            <w:pPr>
              <w:spacing w:line="269" w:lineRule="auto"/>
              <w:jc w:val="left"/>
              <w:rPr>
                <w:rFonts w:hint="eastAsia" w:ascii="宋体" w:hAnsi="宋体" w:eastAsia="宋体" w:cs="Times New Roman"/>
                <w:color w:val="000000"/>
                <w:szCs w:val="21"/>
              </w:rPr>
            </w:pPr>
          </w:p>
        </w:tc>
        <w:tc>
          <w:tcPr>
            <w:tcW w:w="1134" w:type="dxa"/>
            <w:vAlign w:val="center"/>
          </w:tcPr>
          <w:p w14:paraId="182EB2D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vAlign w:val="center"/>
          </w:tcPr>
          <w:p w14:paraId="529034BA">
            <w:pPr>
              <w:adjustRightInd w:val="0"/>
              <w:snapToGrid w:val="0"/>
              <w:spacing w:line="360" w:lineRule="auto"/>
              <w:ind w:firstLine="480"/>
              <w:rPr>
                <w:rFonts w:hint="eastAsia" w:ascii="宋体" w:hAnsi="宋体" w:eastAsia="宋体" w:cs="宋体"/>
                <w:szCs w:val="21"/>
              </w:rPr>
            </w:pPr>
            <w:r>
              <w:rPr>
                <w:rFonts w:hint="eastAsia" w:ascii="宋体" w:hAnsi="宋体" w:eastAsia="宋体" w:cs="宋体"/>
                <w:szCs w:val="21"/>
              </w:rPr>
              <w:t>通过讲解，帮助学生了解书法的章法布局的基本知识，可以初步进行书法作品的创作。</w:t>
            </w:r>
          </w:p>
          <w:p w14:paraId="0143B41E">
            <w:pPr>
              <w:spacing w:line="269" w:lineRule="auto"/>
              <w:jc w:val="left"/>
              <w:rPr>
                <w:rFonts w:hint="eastAsia" w:ascii="宋体" w:hAnsi="宋体" w:eastAsia="宋体" w:cs="Times New Roman"/>
                <w:color w:val="000000"/>
                <w:szCs w:val="21"/>
              </w:rPr>
            </w:pPr>
          </w:p>
        </w:tc>
        <w:tc>
          <w:tcPr>
            <w:tcW w:w="1560" w:type="dxa"/>
            <w:vAlign w:val="center"/>
          </w:tcPr>
          <w:p w14:paraId="1D618FA2">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2CFFE30">
            <w:p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rPr>
              <w:t>2</w:t>
            </w:r>
            <w:r>
              <w:rPr>
                <w:rFonts w:ascii="宋体" w:hAnsi="宋体" w:eastAsia="宋体" w:cs="Times New Roman"/>
                <w:color w:val="000000"/>
                <w:szCs w:val="21"/>
              </w:rPr>
              <w:t>.课堂</w:t>
            </w:r>
            <w:r>
              <w:rPr>
                <w:rFonts w:hint="eastAsia" w:ascii="宋体" w:hAnsi="宋体" w:cs="Times New Roman"/>
                <w:color w:val="000000"/>
                <w:szCs w:val="21"/>
              </w:rPr>
              <w:t>练习</w:t>
            </w:r>
          </w:p>
          <w:p w14:paraId="40574F97">
            <w:pPr>
              <w:spacing w:line="269" w:lineRule="auto"/>
              <w:jc w:val="left"/>
              <w:rPr>
                <w:rFonts w:hint="eastAsia" w:ascii="宋体" w:hAnsi="宋体" w:eastAsia="宋体" w:cs="Times New Roman"/>
                <w:color w:val="000000"/>
                <w:szCs w:val="21"/>
              </w:rPr>
            </w:pPr>
          </w:p>
        </w:tc>
        <w:tc>
          <w:tcPr>
            <w:tcW w:w="438" w:type="dxa"/>
            <w:vAlign w:val="center"/>
          </w:tcPr>
          <w:p w14:paraId="70953569">
            <w:pPr>
              <w:spacing w:line="269" w:lineRule="auto"/>
              <w:jc w:val="center"/>
              <w:rPr>
                <w:rFonts w:hint="eastAsia" w:ascii="宋体" w:hAnsi="宋体" w:eastAsia="宋体" w:cs="Times New Roman"/>
                <w:color w:val="000000"/>
                <w:szCs w:val="21"/>
              </w:rPr>
            </w:pPr>
            <w:r>
              <w:rPr>
                <w:rFonts w:hint="eastAsia" w:ascii="宋体" w:hAnsi="宋体" w:cs="Times New Roman"/>
                <w:color w:val="000000"/>
                <w:szCs w:val="21"/>
              </w:rPr>
              <w:t>2</w:t>
            </w:r>
          </w:p>
        </w:tc>
      </w:tr>
      <w:tr w14:paraId="67BE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DD47272">
            <w:pPr>
              <w:spacing w:line="264" w:lineRule="auto"/>
              <w:jc w:val="center"/>
              <w:rPr>
                <w:rFonts w:hint="eastAsia" w:ascii="宋体" w:hAnsi="宋体" w:eastAsia="宋体" w:cs="Times New Roman"/>
                <w:color w:val="000000"/>
                <w:szCs w:val="21"/>
              </w:rPr>
            </w:pPr>
          </w:p>
        </w:tc>
        <w:tc>
          <w:tcPr>
            <w:tcW w:w="8093" w:type="dxa"/>
            <w:gridSpan w:val="5"/>
            <w:vAlign w:val="center"/>
          </w:tcPr>
          <w:p w14:paraId="6A3754D4">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rPr>
              <w:t>在艺术的熏陶中</w:t>
            </w:r>
            <w:r>
              <w:rPr>
                <w:rFonts w:hint="eastAsia" w:ascii="宋体" w:hAnsi="宋体" w:eastAsia="宋体" w:cs="Times New Roman"/>
                <w:color w:val="000000"/>
                <w:szCs w:val="21"/>
              </w:rPr>
              <w:t>，树立制度自信和文化自信。</w:t>
            </w:r>
          </w:p>
        </w:tc>
      </w:tr>
    </w:tbl>
    <w:p w14:paraId="0A73365D">
      <w:pPr>
        <w:adjustRightInd w:val="0"/>
        <w:snapToGrid w:val="0"/>
        <w:spacing w:before="156" w:beforeLines="50" w:line="360" w:lineRule="auto"/>
        <w:ind w:firstLine="482" w:firstLineChars="200"/>
        <w:rPr>
          <w:b/>
          <w:sz w:val="24"/>
        </w:rPr>
      </w:pPr>
    </w:p>
    <w:p w14:paraId="00F945E9">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75FBB0F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3C1E6B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0BC5218">
      <w:pPr>
        <w:spacing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6734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3A6403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7BFAE548">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633AF0CB">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37AF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3984144">
            <w:pPr>
              <w:spacing w:line="360" w:lineRule="auto"/>
              <w:jc w:val="center"/>
              <w:rPr>
                <w:rFonts w:hint="eastAsia" w:ascii="宋体" w:hAnsi="宋体" w:eastAsia="宋体" w:cs="Times New Roman"/>
                <w:szCs w:val="21"/>
              </w:rPr>
            </w:pPr>
          </w:p>
        </w:tc>
        <w:tc>
          <w:tcPr>
            <w:tcW w:w="0" w:type="auto"/>
            <w:vAlign w:val="center"/>
          </w:tcPr>
          <w:p w14:paraId="630CAB96">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781F8A2E">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6D050E1B">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75FB0456">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39E2520D">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3A728B79">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575D7720">
            <w:pPr>
              <w:spacing w:line="360" w:lineRule="auto"/>
              <w:jc w:val="center"/>
              <w:rPr>
                <w:rFonts w:hint="eastAsia" w:ascii="宋体" w:hAnsi="宋体" w:eastAsia="宋体" w:cs="Times New Roman"/>
                <w:szCs w:val="21"/>
              </w:rPr>
            </w:pPr>
          </w:p>
        </w:tc>
      </w:tr>
      <w:tr w14:paraId="24EB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09C4E6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3778A7A6">
            <w:pPr>
              <w:spacing w:line="360" w:lineRule="auto"/>
              <w:jc w:val="center"/>
              <w:rPr>
                <w:rFonts w:hint="eastAsia" w:ascii="宋体" w:hAnsi="宋体" w:eastAsia="宋体" w:cs="Times New Roman"/>
                <w:szCs w:val="21"/>
              </w:rPr>
            </w:pPr>
          </w:p>
        </w:tc>
        <w:tc>
          <w:tcPr>
            <w:tcW w:w="0" w:type="auto"/>
            <w:vAlign w:val="center"/>
          </w:tcPr>
          <w:p w14:paraId="2AC46A3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C2C8552">
            <w:pPr>
              <w:spacing w:line="360" w:lineRule="auto"/>
              <w:jc w:val="center"/>
              <w:rPr>
                <w:rFonts w:hint="eastAsia" w:ascii="宋体" w:hAnsi="宋体" w:eastAsia="宋体" w:cs="Times New Roman"/>
                <w:szCs w:val="21"/>
              </w:rPr>
            </w:pPr>
          </w:p>
        </w:tc>
        <w:tc>
          <w:tcPr>
            <w:tcW w:w="0" w:type="auto"/>
            <w:vAlign w:val="center"/>
          </w:tcPr>
          <w:p w14:paraId="6303687D">
            <w:pPr>
              <w:spacing w:line="360" w:lineRule="auto"/>
              <w:jc w:val="center"/>
              <w:rPr>
                <w:rFonts w:hint="eastAsia" w:ascii="宋体" w:hAnsi="宋体" w:eastAsia="宋体" w:cs="Times New Roman"/>
                <w:szCs w:val="21"/>
              </w:rPr>
            </w:pPr>
          </w:p>
        </w:tc>
        <w:tc>
          <w:tcPr>
            <w:tcW w:w="0" w:type="auto"/>
            <w:vAlign w:val="center"/>
          </w:tcPr>
          <w:p w14:paraId="14CC6B1D">
            <w:pPr>
              <w:spacing w:line="360" w:lineRule="auto"/>
              <w:jc w:val="center"/>
              <w:rPr>
                <w:rFonts w:hint="eastAsia" w:ascii="宋体" w:hAnsi="宋体" w:eastAsia="宋体" w:cs="Times New Roman"/>
                <w:szCs w:val="21"/>
              </w:rPr>
            </w:pPr>
          </w:p>
        </w:tc>
        <w:tc>
          <w:tcPr>
            <w:tcW w:w="0" w:type="auto"/>
          </w:tcPr>
          <w:p w14:paraId="0135FA00">
            <w:pPr>
              <w:spacing w:line="360" w:lineRule="auto"/>
              <w:jc w:val="center"/>
              <w:rPr>
                <w:rFonts w:hint="eastAsia" w:ascii="宋体" w:hAnsi="宋体" w:eastAsia="宋体" w:cs="Times New Roman"/>
                <w:szCs w:val="21"/>
              </w:rPr>
            </w:pPr>
          </w:p>
        </w:tc>
        <w:tc>
          <w:tcPr>
            <w:tcW w:w="0" w:type="auto"/>
            <w:vAlign w:val="center"/>
          </w:tcPr>
          <w:p w14:paraId="0EC489E6">
            <w:pPr>
              <w:spacing w:line="360" w:lineRule="auto"/>
              <w:jc w:val="center"/>
              <w:rPr>
                <w:rFonts w:hint="eastAsia" w:ascii="宋体" w:hAnsi="宋体" w:eastAsia="宋体" w:cs="Times New Roman"/>
                <w:szCs w:val="21"/>
              </w:rPr>
            </w:pPr>
            <w:r>
              <w:rPr>
                <w:rFonts w:hint="eastAsia" w:ascii="宋体" w:hAnsi="宋体" w:cs="Times New Roman"/>
                <w:szCs w:val="21"/>
              </w:rPr>
              <w:t>10</w:t>
            </w:r>
          </w:p>
        </w:tc>
      </w:tr>
      <w:tr w14:paraId="5512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6ECDEB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828DF1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3037E53">
            <w:pPr>
              <w:spacing w:line="360" w:lineRule="auto"/>
              <w:jc w:val="center"/>
              <w:rPr>
                <w:rFonts w:hint="eastAsia" w:ascii="宋体" w:hAnsi="宋体" w:eastAsia="宋体" w:cs="Times New Roman"/>
                <w:szCs w:val="21"/>
              </w:rPr>
            </w:pPr>
          </w:p>
        </w:tc>
        <w:tc>
          <w:tcPr>
            <w:tcW w:w="0" w:type="auto"/>
            <w:vAlign w:val="center"/>
          </w:tcPr>
          <w:p w14:paraId="7812117D">
            <w:pPr>
              <w:spacing w:line="360" w:lineRule="auto"/>
              <w:jc w:val="center"/>
              <w:rPr>
                <w:rFonts w:hint="eastAsia" w:ascii="宋体" w:hAnsi="宋体" w:eastAsia="宋体" w:cs="Times New Roman"/>
                <w:szCs w:val="21"/>
              </w:rPr>
            </w:pPr>
          </w:p>
        </w:tc>
        <w:tc>
          <w:tcPr>
            <w:tcW w:w="0" w:type="auto"/>
            <w:vAlign w:val="center"/>
          </w:tcPr>
          <w:p w14:paraId="6835D25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3D3E74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235BFF5C">
            <w:pPr>
              <w:spacing w:line="360" w:lineRule="auto"/>
              <w:jc w:val="center"/>
              <w:rPr>
                <w:rFonts w:hint="eastAsia" w:ascii="宋体" w:hAnsi="宋体" w:eastAsia="宋体" w:cs="Times New Roman"/>
                <w:szCs w:val="21"/>
              </w:rPr>
            </w:pPr>
          </w:p>
        </w:tc>
        <w:tc>
          <w:tcPr>
            <w:tcW w:w="0" w:type="auto"/>
            <w:vAlign w:val="center"/>
          </w:tcPr>
          <w:p w14:paraId="1B603661">
            <w:pPr>
              <w:spacing w:line="360" w:lineRule="auto"/>
              <w:jc w:val="center"/>
              <w:rPr>
                <w:rFonts w:hint="eastAsia" w:ascii="宋体" w:hAnsi="宋体" w:eastAsia="宋体" w:cs="Times New Roman"/>
                <w:szCs w:val="21"/>
              </w:rPr>
            </w:pPr>
            <w:r>
              <w:rPr>
                <w:rFonts w:hint="eastAsia" w:ascii="宋体" w:hAnsi="宋体" w:cs="Times New Roman"/>
                <w:szCs w:val="21"/>
              </w:rPr>
              <w:t>8</w:t>
            </w:r>
            <w:r>
              <w:rPr>
                <w:rFonts w:hint="eastAsia" w:ascii="宋体" w:hAnsi="宋体" w:eastAsia="宋体" w:cs="Times New Roman"/>
                <w:szCs w:val="21"/>
              </w:rPr>
              <w:t>0</w:t>
            </w:r>
          </w:p>
        </w:tc>
      </w:tr>
      <w:tr w14:paraId="2D55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0F87DA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67F987E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AE0462B">
            <w:pPr>
              <w:spacing w:line="360" w:lineRule="auto"/>
              <w:jc w:val="center"/>
              <w:rPr>
                <w:rFonts w:hint="eastAsia" w:ascii="宋体" w:hAnsi="宋体" w:eastAsia="宋体" w:cs="Times New Roman"/>
                <w:szCs w:val="21"/>
              </w:rPr>
            </w:pPr>
          </w:p>
        </w:tc>
        <w:tc>
          <w:tcPr>
            <w:tcW w:w="0" w:type="auto"/>
            <w:vAlign w:val="center"/>
          </w:tcPr>
          <w:p w14:paraId="38F0CCDE">
            <w:pPr>
              <w:spacing w:line="360" w:lineRule="auto"/>
              <w:jc w:val="center"/>
              <w:rPr>
                <w:rFonts w:hint="eastAsia" w:ascii="宋体" w:hAnsi="宋体" w:eastAsia="宋体" w:cs="Times New Roman"/>
                <w:szCs w:val="21"/>
              </w:rPr>
            </w:pPr>
          </w:p>
        </w:tc>
        <w:tc>
          <w:tcPr>
            <w:tcW w:w="0" w:type="auto"/>
            <w:vAlign w:val="center"/>
          </w:tcPr>
          <w:p w14:paraId="08F0343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20F29F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1AC90335">
            <w:pPr>
              <w:spacing w:line="360" w:lineRule="auto"/>
              <w:jc w:val="center"/>
              <w:rPr>
                <w:rFonts w:hint="eastAsia" w:ascii="宋体" w:hAnsi="宋体" w:eastAsia="宋体" w:cs="Times New Roman"/>
                <w:szCs w:val="21"/>
              </w:rPr>
            </w:pPr>
          </w:p>
        </w:tc>
        <w:tc>
          <w:tcPr>
            <w:tcW w:w="0" w:type="auto"/>
            <w:vAlign w:val="center"/>
          </w:tcPr>
          <w:p w14:paraId="2C8CB703">
            <w:pPr>
              <w:spacing w:line="360" w:lineRule="auto"/>
              <w:jc w:val="center"/>
              <w:rPr>
                <w:rFonts w:hint="eastAsia" w:ascii="宋体" w:hAnsi="宋体" w:eastAsia="宋体" w:cs="Times New Roman"/>
                <w:szCs w:val="21"/>
              </w:rPr>
            </w:pPr>
            <w:r>
              <w:rPr>
                <w:rFonts w:hint="eastAsia" w:ascii="宋体" w:hAnsi="宋体" w:cs="Times New Roman"/>
                <w:szCs w:val="21"/>
              </w:rPr>
              <w:t>1</w:t>
            </w:r>
            <w:r>
              <w:rPr>
                <w:rFonts w:hint="eastAsia" w:ascii="宋体" w:hAnsi="宋体" w:eastAsia="宋体" w:cs="Times New Roman"/>
                <w:szCs w:val="21"/>
              </w:rPr>
              <w:t>0</w:t>
            </w:r>
          </w:p>
        </w:tc>
      </w:tr>
      <w:tr w14:paraId="378A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E906AE2">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15613DEA">
            <w:pPr>
              <w:spacing w:line="360" w:lineRule="auto"/>
              <w:jc w:val="center"/>
              <w:rPr>
                <w:rFonts w:hint="eastAsia" w:ascii="宋体" w:hAnsi="宋体" w:eastAsia="宋体" w:cs="Times New Roman"/>
                <w:szCs w:val="21"/>
              </w:rPr>
            </w:pPr>
          </w:p>
        </w:tc>
        <w:tc>
          <w:tcPr>
            <w:tcW w:w="0" w:type="auto"/>
            <w:vAlign w:val="center"/>
          </w:tcPr>
          <w:p w14:paraId="4E90FD5E">
            <w:pPr>
              <w:spacing w:line="360" w:lineRule="auto"/>
              <w:jc w:val="center"/>
              <w:rPr>
                <w:rFonts w:hint="eastAsia" w:ascii="宋体" w:hAnsi="宋体" w:eastAsia="宋体" w:cs="Times New Roman"/>
                <w:szCs w:val="21"/>
              </w:rPr>
            </w:pPr>
          </w:p>
        </w:tc>
        <w:tc>
          <w:tcPr>
            <w:tcW w:w="0" w:type="auto"/>
            <w:vAlign w:val="center"/>
          </w:tcPr>
          <w:p w14:paraId="2B54E44E">
            <w:pPr>
              <w:spacing w:line="360" w:lineRule="auto"/>
              <w:jc w:val="center"/>
              <w:rPr>
                <w:rFonts w:hint="eastAsia" w:ascii="宋体" w:hAnsi="宋体" w:eastAsia="宋体" w:cs="Times New Roman"/>
                <w:szCs w:val="21"/>
              </w:rPr>
            </w:pPr>
          </w:p>
        </w:tc>
        <w:tc>
          <w:tcPr>
            <w:tcW w:w="0" w:type="auto"/>
            <w:vAlign w:val="center"/>
          </w:tcPr>
          <w:p w14:paraId="72C7400D">
            <w:pPr>
              <w:spacing w:line="360" w:lineRule="auto"/>
              <w:jc w:val="center"/>
              <w:rPr>
                <w:rFonts w:hint="eastAsia" w:ascii="宋体" w:hAnsi="宋体" w:eastAsia="宋体" w:cs="Times New Roman"/>
                <w:szCs w:val="21"/>
              </w:rPr>
            </w:pPr>
          </w:p>
        </w:tc>
        <w:tc>
          <w:tcPr>
            <w:tcW w:w="0" w:type="auto"/>
            <w:vAlign w:val="center"/>
          </w:tcPr>
          <w:p w14:paraId="60F12A02">
            <w:pPr>
              <w:spacing w:line="360" w:lineRule="auto"/>
              <w:jc w:val="center"/>
              <w:rPr>
                <w:rFonts w:hint="eastAsia" w:ascii="宋体" w:hAnsi="宋体" w:eastAsia="宋体" w:cs="Times New Roman"/>
                <w:szCs w:val="21"/>
              </w:rPr>
            </w:pPr>
          </w:p>
        </w:tc>
        <w:tc>
          <w:tcPr>
            <w:tcW w:w="0" w:type="auto"/>
          </w:tcPr>
          <w:p w14:paraId="1EE56F29">
            <w:pPr>
              <w:spacing w:line="360" w:lineRule="auto"/>
              <w:jc w:val="center"/>
              <w:rPr>
                <w:rFonts w:hint="eastAsia" w:ascii="宋体" w:hAnsi="宋体" w:eastAsia="宋体" w:cs="Times New Roman"/>
                <w:szCs w:val="21"/>
              </w:rPr>
            </w:pPr>
          </w:p>
        </w:tc>
        <w:tc>
          <w:tcPr>
            <w:tcW w:w="0" w:type="auto"/>
            <w:vAlign w:val="center"/>
          </w:tcPr>
          <w:p w14:paraId="62E648F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818204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09B0C8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73D3F0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1C1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3A71BF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CE9F18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5E3DDD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F3B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BE49B9">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C1F011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w:t>
            </w:r>
            <w:r>
              <w:rPr>
                <w:rFonts w:hint="eastAsia" w:cs="Times New Roman"/>
                <w:szCs w:val="21"/>
              </w:rPr>
              <w:t>练习课题学习的字</w:t>
            </w:r>
          </w:p>
        </w:tc>
        <w:tc>
          <w:tcPr>
            <w:tcW w:w="0" w:type="auto"/>
            <w:vAlign w:val="center"/>
          </w:tcPr>
          <w:p w14:paraId="4C7AD49A">
            <w:pPr>
              <w:jc w:val="center"/>
              <w:rPr>
                <w:rFonts w:ascii="Times New Roman" w:hAnsi="Times New Roman" w:eastAsia="宋体" w:cs="Times New Roman"/>
                <w:szCs w:val="21"/>
              </w:rPr>
            </w:pPr>
            <w:r>
              <w:rPr>
                <w:rFonts w:hint="eastAsia" w:cs="Times New Roman"/>
                <w:szCs w:val="21"/>
              </w:rPr>
              <w:t>4</w:t>
            </w:r>
            <w:r>
              <w:rPr>
                <w:rFonts w:hint="eastAsia" w:ascii="Times New Roman" w:hAnsi="Times New Roman" w:eastAsia="宋体" w:cs="Times New Roman"/>
                <w:szCs w:val="21"/>
              </w:rPr>
              <w:t>0%</w:t>
            </w:r>
          </w:p>
        </w:tc>
      </w:tr>
      <w:tr w14:paraId="1730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5CD2180">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198AF4DC">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02E048BC">
            <w:pPr>
              <w:widowControl/>
              <w:spacing w:line="264" w:lineRule="auto"/>
              <w:jc w:val="left"/>
              <w:rPr>
                <w:rFonts w:ascii="Times New Roman" w:hAnsi="Times New Roman" w:eastAsia="宋体" w:cs="Times New Roman"/>
                <w:szCs w:val="21"/>
              </w:rPr>
            </w:pPr>
          </w:p>
        </w:tc>
        <w:tc>
          <w:tcPr>
            <w:tcW w:w="0" w:type="auto"/>
            <w:vAlign w:val="center"/>
          </w:tcPr>
          <w:p w14:paraId="7152F93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9D5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20ADA0">
            <w:pPr>
              <w:rPr>
                <w:rFonts w:ascii="Times New Roman" w:hAnsi="Times New Roman" w:eastAsia="宋体" w:cs="Times New Roman"/>
                <w:szCs w:val="21"/>
              </w:rPr>
            </w:pPr>
            <w:r>
              <w:rPr>
                <w:rFonts w:hint="eastAsia" w:ascii="Times New Roman" w:hAnsi="Times New Roman" w:eastAsia="宋体" w:cs="Times New Roman"/>
                <w:szCs w:val="21"/>
              </w:rPr>
              <w:t>期末</w:t>
            </w:r>
            <w:r>
              <w:rPr>
                <w:rFonts w:hint="eastAsia" w:cs="Times New Roman"/>
                <w:szCs w:val="21"/>
              </w:rPr>
              <w:t>考查</w:t>
            </w:r>
          </w:p>
        </w:tc>
        <w:tc>
          <w:tcPr>
            <w:tcW w:w="7141" w:type="dxa"/>
            <w:vAlign w:val="center"/>
          </w:tcPr>
          <w:p w14:paraId="1EB1A34D">
            <w:pPr>
              <w:spacing w:line="264" w:lineRule="auto"/>
              <w:jc w:val="left"/>
              <w:rPr>
                <w:rFonts w:ascii="Times New Roman" w:hAnsi="Times New Roman" w:eastAsia="宋体" w:cs="Times New Roman"/>
                <w:szCs w:val="21"/>
              </w:rPr>
            </w:pPr>
            <w:r>
              <w:rPr>
                <w:rFonts w:hint="eastAsia" w:cs="Times New Roman"/>
                <w:color w:val="000000"/>
                <w:szCs w:val="21"/>
              </w:rPr>
              <w:t>书写课题练习的字，临摹书法作品</w:t>
            </w:r>
          </w:p>
        </w:tc>
        <w:tc>
          <w:tcPr>
            <w:tcW w:w="0" w:type="auto"/>
            <w:vAlign w:val="center"/>
          </w:tcPr>
          <w:p w14:paraId="1FD28216">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3293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8E72A4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74D5EC1">
            <w:pPr>
              <w:jc w:val="left"/>
              <w:rPr>
                <w:rFonts w:ascii="Times New Roman" w:hAnsi="Times New Roman" w:eastAsia="宋体" w:cs="Times New Roman"/>
                <w:szCs w:val="21"/>
              </w:rPr>
            </w:pPr>
          </w:p>
        </w:tc>
        <w:tc>
          <w:tcPr>
            <w:tcW w:w="0" w:type="auto"/>
            <w:vAlign w:val="center"/>
          </w:tcPr>
          <w:p w14:paraId="0E38C2BF">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A7D7396">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69C827D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EAD67F4">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36"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36" DrawAspect="Content" ObjectID="_1468075736" r:id="rId21">
            <o:LockedField>false</o:LockedField>
          </o:OLEObject>
        </w:object>
      </w:r>
    </w:p>
    <w:p w14:paraId="1D79D75B">
      <w:pPr>
        <w:spacing w:line="360" w:lineRule="auto"/>
        <w:jc w:val="left"/>
        <w:rPr>
          <w:rFonts w:ascii="Times New Roman" w:hAnsi="Times New Roman" w:eastAsia="宋体" w:cs="Times New Roman"/>
          <w:b/>
          <w:bCs/>
          <w:sz w:val="24"/>
        </w:rPr>
      </w:pPr>
      <w:r>
        <w:rPr>
          <w:rFonts w:hint="eastAsia" w:ascii="宋体" w:hAnsi="宋体" w:cs="Times New Roman"/>
          <w:b/>
          <w:color w:val="000000"/>
          <w:sz w:val="24"/>
        </w:rPr>
        <w:t>五</w:t>
      </w:r>
      <w:r>
        <w:rPr>
          <w:rFonts w:hint="eastAsia" w:ascii="宋体" w:hAnsi="宋体" w:eastAsia="宋体" w:cs="Times New Roman"/>
          <w:b/>
          <w:color w:val="000000"/>
          <w:sz w:val="24"/>
        </w:rPr>
        <w:t>、有关说明</w:t>
      </w:r>
    </w:p>
    <w:p w14:paraId="66477E1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FBE50B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232B5413">
      <w:pPr>
        <w:numPr>
          <w:ilvl w:val="0"/>
          <w:numId w:val="37"/>
        </w:num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建议教材</w:t>
      </w:r>
    </w:p>
    <w:p w14:paraId="50451D57">
      <w:pPr>
        <w:spacing w:line="360" w:lineRule="auto"/>
        <w:ind w:firstLine="420" w:firstLineChars="200"/>
        <w:rPr>
          <w:rFonts w:eastAsia="宋体"/>
          <w:kern w:val="0"/>
          <w:szCs w:val="21"/>
        </w:rPr>
      </w:pPr>
      <w:r>
        <w:rPr>
          <w:kern w:val="0"/>
          <w:szCs w:val="21"/>
        </w:rPr>
        <w:t>《</w:t>
      </w:r>
      <w:r>
        <w:rPr>
          <w:rFonts w:hint="eastAsia"/>
          <w:kern w:val="0"/>
          <w:szCs w:val="21"/>
        </w:rPr>
        <w:t>硬笔书法实用教程</w:t>
      </w:r>
      <w:r>
        <w:rPr>
          <w:kern w:val="0"/>
          <w:szCs w:val="21"/>
        </w:rPr>
        <w:t>》，主编：</w:t>
      </w:r>
      <w:r>
        <w:rPr>
          <w:rFonts w:hint="eastAsia"/>
          <w:kern w:val="0"/>
          <w:szCs w:val="21"/>
        </w:rPr>
        <w:t>郭立年等</w:t>
      </w:r>
      <w:r>
        <w:rPr>
          <w:kern w:val="0"/>
          <w:szCs w:val="21"/>
        </w:rPr>
        <w:t>，</w:t>
      </w:r>
      <w:r>
        <w:rPr>
          <w:rFonts w:hint="eastAsia"/>
          <w:kern w:val="0"/>
          <w:szCs w:val="21"/>
        </w:rPr>
        <w:t>北京</w:t>
      </w:r>
      <w:r>
        <w:rPr>
          <w:kern w:val="0"/>
          <w:szCs w:val="21"/>
        </w:rPr>
        <w:t>：</w:t>
      </w:r>
      <w:r>
        <w:rPr>
          <w:rFonts w:hint="eastAsia"/>
          <w:kern w:val="0"/>
          <w:szCs w:val="21"/>
        </w:rPr>
        <w:t>航空工业</w:t>
      </w:r>
      <w:r>
        <w:rPr>
          <w:kern w:val="0"/>
          <w:szCs w:val="21"/>
        </w:rPr>
        <w:t>出版社，</w:t>
      </w:r>
      <w:r>
        <w:rPr>
          <w:szCs w:val="21"/>
        </w:rPr>
        <w:t>20</w:t>
      </w:r>
      <w:r>
        <w:rPr>
          <w:rFonts w:hint="eastAsia"/>
          <w:szCs w:val="21"/>
        </w:rPr>
        <w:t>23</w:t>
      </w:r>
    </w:p>
    <w:p w14:paraId="0683748A">
      <w:pPr>
        <w:spacing w:line="360" w:lineRule="auto"/>
        <w:rPr>
          <w:b/>
          <w:color w:val="000000"/>
          <w:szCs w:val="21"/>
        </w:rPr>
      </w:pPr>
      <w:r>
        <w:rPr>
          <w:b/>
          <w:color w:val="000000"/>
          <w:szCs w:val="21"/>
        </w:rPr>
        <w:t>（三）参考书目及学习资料</w:t>
      </w:r>
    </w:p>
    <w:p w14:paraId="7C1A951E">
      <w:pPr>
        <w:widowControl/>
        <w:spacing w:line="360" w:lineRule="auto"/>
        <w:ind w:firstLine="420" w:firstLineChars="200"/>
        <w:jc w:val="left"/>
        <w:rPr>
          <w:kern w:val="0"/>
          <w:szCs w:val="21"/>
        </w:rPr>
      </w:pPr>
      <w:r>
        <w:rPr>
          <w:kern w:val="0"/>
          <w:szCs w:val="21"/>
        </w:rPr>
        <w:t>1.</w:t>
      </w:r>
      <w:r>
        <w:fldChar w:fldCharType="begin"/>
      </w:r>
      <w:r>
        <w:instrText xml:space="preserve"> HYPERLINK "http://search.dangdang.com/?key2=%B6%A1%D3%C0%BF%B5&amp;medium=01&amp;category_path=01.00.00.00.00.00" \t "http://product.dangdang.com/_blank" </w:instrText>
      </w:r>
      <w:r>
        <w:fldChar w:fldCharType="separate"/>
      </w:r>
      <w:r>
        <w:rPr>
          <w:kern w:val="0"/>
          <w:szCs w:val="21"/>
        </w:rPr>
        <w:t>丁永康</w:t>
      </w:r>
      <w:r>
        <w:rPr>
          <w:kern w:val="0"/>
          <w:szCs w:val="21"/>
        </w:rPr>
        <w:fldChar w:fldCharType="end"/>
      </w:r>
      <w:r>
        <w:rPr>
          <w:kern w:val="0"/>
          <w:szCs w:val="21"/>
        </w:rPr>
        <w:t>著，硬笔书法教程， 山东：</w:t>
      </w:r>
      <w:r>
        <w:fldChar w:fldCharType="begin"/>
      </w:r>
      <w:r>
        <w:instrText xml:space="preserve"> HYPERLINK "http://search.dangdang.com/?key3=%C9%BD%B6%AB%BB%AD%B1%A8%B3%F6%B0%E6%C9%E7&amp;medium=01&amp;category_path=01.00.00.00.00.00" \t "http://product.dangdang.com/_blank" </w:instrText>
      </w:r>
      <w:r>
        <w:fldChar w:fldCharType="separate"/>
      </w:r>
      <w:r>
        <w:rPr>
          <w:kern w:val="0"/>
          <w:szCs w:val="21"/>
        </w:rPr>
        <w:t>山东画报出版社</w:t>
      </w:r>
      <w:r>
        <w:rPr>
          <w:kern w:val="0"/>
          <w:szCs w:val="21"/>
        </w:rPr>
        <w:fldChar w:fldCharType="end"/>
      </w:r>
      <w:r>
        <w:rPr>
          <w:kern w:val="0"/>
          <w:szCs w:val="21"/>
        </w:rPr>
        <w:t>，2009.5</w:t>
      </w:r>
    </w:p>
    <w:p w14:paraId="22D78893">
      <w:pPr>
        <w:widowControl/>
        <w:spacing w:line="360" w:lineRule="auto"/>
        <w:ind w:firstLine="420" w:firstLineChars="200"/>
        <w:jc w:val="left"/>
        <w:rPr>
          <w:kern w:val="0"/>
          <w:szCs w:val="21"/>
        </w:rPr>
      </w:pPr>
      <w:r>
        <w:rPr>
          <w:kern w:val="0"/>
          <w:szCs w:val="21"/>
        </w:rPr>
        <w:t>2.荆霄鹏书，行楷书法等级考试教程，湖北：湖北美术出版社，2012.10</w:t>
      </w:r>
    </w:p>
    <w:p w14:paraId="419F3FCD">
      <w:pPr>
        <w:widowControl/>
        <w:spacing w:line="360" w:lineRule="auto"/>
        <w:ind w:firstLine="420" w:firstLineChars="200"/>
        <w:jc w:val="left"/>
        <w:rPr>
          <w:kern w:val="0"/>
          <w:szCs w:val="21"/>
        </w:rPr>
      </w:pPr>
      <w:r>
        <w:rPr>
          <w:kern w:val="0"/>
          <w:szCs w:val="21"/>
        </w:rPr>
        <w:t>3.田英章，硬笔书法国学楷书行楷字帖，上海：上海交通大学出版社，2015.6</w:t>
      </w:r>
    </w:p>
    <w:p w14:paraId="155F717E">
      <w:pPr>
        <w:widowControl/>
        <w:jc w:val="left"/>
        <w:rPr>
          <w:kern w:val="0"/>
          <w:szCs w:val="21"/>
        </w:rPr>
      </w:pPr>
    </w:p>
    <w:p w14:paraId="0991B655">
      <w:pPr>
        <w:autoSpaceDE w:val="0"/>
        <w:autoSpaceDN w:val="0"/>
        <w:adjustRightInd w:val="0"/>
        <w:spacing w:line="360" w:lineRule="auto"/>
        <w:ind w:left="5519" w:leftChars="228" w:hanging="5040" w:hangingChars="2400"/>
        <w:jc w:val="left"/>
        <w:rPr>
          <w:kern w:val="0"/>
          <w:szCs w:val="21"/>
        </w:rPr>
      </w:pPr>
      <w:r>
        <w:rPr>
          <w:szCs w:val="21"/>
        </w:rPr>
        <w:t xml:space="preserve">                                               </w:t>
      </w:r>
      <w:r>
        <w:rPr>
          <w:kern w:val="0"/>
          <w:szCs w:val="21"/>
        </w:rPr>
        <w:t xml:space="preserve">执笔人： 尹志山 </w:t>
      </w:r>
    </w:p>
    <w:p w14:paraId="360CA043">
      <w:pPr>
        <w:adjustRightInd w:val="0"/>
        <w:snapToGrid w:val="0"/>
        <w:spacing w:line="360" w:lineRule="auto"/>
        <w:ind w:firstLine="5460" w:firstLineChars="2600"/>
        <w:jc w:val="left"/>
        <w:rPr>
          <w:rFonts w:eastAsia="宋体"/>
          <w:kern w:val="0"/>
          <w:szCs w:val="21"/>
        </w:rPr>
      </w:pPr>
      <w:r>
        <w:rPr>
          <w:kern w:val="0"/>
          <w:szCs w:val="21"/>
        </w:rPr>
        <w:t xml:space="preserve">审定人： </w:t>
      </w:r>
      <w:r>
        <w:rPr>
          <w:rFonts w:hint="eastAsia"/>
          <w:kern w:val="0"/>
          <w:szCs w:val="21"/>
        </w:rPr>
        <w:t>荀洁</w:t>
      </w:r>
    </w:p>
    <w:p w14:paraId="1D6D0BD3">
      <w:pPr>
        <w:adjustRightInd w:val="0"/>
        <w:snapToGrid w:val="0"/>
        <w:spacing w:line="360" w:lineRule="auto"/>
        <w:ind w:firstLine="5460" w:firstLineChars="2600"/>
        <w:jc w:val="left"/>
        <w:rPr>
          <w:kern w:val="0"/>
          <w:szCs w:val="21"/>
        </w:rPr>
      </w:pPr>
      <w:r>
        <w:rPr>
          <w:kern w:val="0"/>
          <w:szCs w:val="21"/>
        </w:rPr>
        <w:t>审批人： 陈建忠</w:t>
      </w:r>
    </w:p>
    <w:p w14:paraId="7B6B5D30">
      <w:pPr>
        <w:adjustRightInd w:val="0"/>
        <w:snapToGrid w:val="0"/>
        <w:spacing w:line="360" w:lineRule="auto"/>
        <w:ind w:firstLine="5460" w:firstLineChars="2600"/>
        <w:jc w:val="left"/>
        <w:rPr>
          <w:kern w:val="0"/>
          <w:szCs w:val="21"/>
        </w:rPr>
      </w:pPr>
      <w:r>
        <w:rPr>
          <w:rFonts w:hint="eastAsia"/>
          <w:kern w:val="0"/>
          <w:szCs w:val="21"/>
        </w:rPr>
        <w:t>批准时间： 2024年 9月1 日</w:t>
      </w:r>
    </w:p>
    <w:p w14:paraId="60E2FBD6">
      <w:pPr>
        <w:spacing w:line="360" w:lineRule="auto"/>
        <w:jc w:val="left"/>
        <w:rPr>
          <w:rFonts w:ascii="Times New Roman" w:hAnsi="Times New Roman" w:eastAsia="宋体" w:cs="Times New Roman"/>
          <w:b/>
          <w:szCs w:val="21"/>
        </w:rPr>
      </w:pPr>
    </w:p>
    <w:p w14:paraId="7EE43541">
      <w:r>
        <w:rPr>
          <w:rFonts w:hint="eastAsia"/>
        </w:rPr>
        <w:br w:type="page"/>
      </w:r>
    </w:p>
    <w:p w14:paraId="13DBE9C4">
      <w:pPr>
        <w:pStyle w:val="2"/>
      </w:pPr>
      <w:bookmarkStart w:id="79" w:name="_Toc21937"/>
      <w:r>
        <w:rPr>
          <w:rFonts w:hint="eastAsia"/>
        </w:rPr>
        <w:t>《普通话训练指导》课程教学大纲</w:t>
      </w:r>
      <w:bookmarkEnd w:id="74"/>
      <w:bookmarkEnd w:id="79"/>
    </w:p>
    <w:p w14:paraId="76A3AE16">
      <w:pPr>
        <w:spacing w:line="360" w:lineRule="auto"/>
        <w:jc w:val="center"/>
        <w:rPr>
          <w:rFonts w:ascii="Times New Roman" w:hAnsi="Times New Roman" w:eastAsia="宋体" w:cs="Times New Roman"/>
          <w:b/>
          <w:sz w:val="30"/>
          <w:szCs w:val="30"/>
        </w:rPr>
      </w:pPr>
      <w:r>
        <w:rPr>
          <w:rFonts w:hint="eastAsia" w:ascii="Times New Roman" w:hAnsi="Times New Roman" w:eastAsia="宋体" w:cs="Times New Roman"/>
          <w:b/>
          <w:sz w:val="30"/>
          <w:szCs w:val="30"/>
        </w:rPr>
        <w:t>（</w:t>
      </w:r>
      <w:r>
        <w:rPr>
          <w:rFonts w:ascii="Times New Roman" w:hAnsi="Times New Roman" w:eastAsia="宋体" w:cs="Times New Roman"/>
          <w:b/>
          <w:sz w:val="30"/>
          <w:szCs w:val="30"/>
        </w:rPr>
        <w:t>Practice of Mandarin</w:t>
      </w:r>
      <w:r>
        <w:rPr>
          <w:rFonts w:hint="eastAsia" w:ascii="Times New Roman" w:hAnsi="Times New Roman" w:eastAsia="宋体" w:cs="Times New Roman"/>
          <w:b/>
          <w:sz w:val="30"/>
          <w:szCs w:val="30"/>
        </w:rPr>
        <w:t>）</w:t>
      </w:r>
    </w:p>
    <w:p w14:paraId="005A7071">
      <w:pPr>
        <w:spacing w:line="360" w:lineRule="auto"/>
        <w:ind w:firstLine="551" w:firstLineChars="196"/>
        <w:rPr>
          <w:rFonts w:ascii="Calibri" w:hAnsi="Calibri" w:eastAsia="宋体" w:cs="Times New Roman"/>
          <w:b/>
          <w:sz w:val="28"/>
          <w:szCs w:val="28"/>
        </w:rPr>
      </w:pPr>
    </w:p>
    <w:p w14:paraId="289848A3">
      <w:pPr>
        <w:spacing w:line="360" w:lineRule="auto"/>
        <w:ind w:firstLine="472" w:firstLineChars="196"/>
        <w:rPr>
          <w:rFonts w:ascii="Calibri" w:hAnsi="Calibri" w:eastAsia="宋体" w:cs="Times New Roman"/>
          <w:b/>
          <w:sz w:val="24"/>
        </w:rPr>
      </w:pPr>
      <w:r>
        <w:rPr>
          <w:rFonts w:hint="eastAsia" w:ascii="Calibri" w:hAnsi="Calibri" w:eastAsia="宋体" w:cs="Times New Roman"/>
          <w:b/>
          <w:sz w:val="24"/>
        </w:rPr>
        <w:t>课程名称：普通话训练指导</w:t>
      </w:r>
    </w:p>
    <w:p w14:paraId="752767C9">
      <w:pPr>
        <w:spacing w:line="360" w:lineRule="auto"/>
        <w:ind w:firstLine="482" w:firstLineChars="200"/>
        <w:rPr>
          <w:rFonts w:ascii="Times New Roman" w:hAnsi="Times New Roman" w:eastAsia="华文细黑" w:cs="Times New Roman"/>
          <w:sz w:val="28"/>
          <w:szCs w:val="28"/>
        </w:rPr>
      </w:pPr>
      <w:r>
        <w:rPr>
          <w:rFonts w:hint="eastAsia" w:ascii="宋体" w:hAnsi="宋体" w:eastAsia="宋体" w:cs="Times New Roman"/>
          <w:b/>
          <w:bCs/>
          <w:kern w:val="0"/>
          <w:sz w:val="24"/>
        </w:rPr>
        <w:t>课程代码</w:t>
      </w:r>
      <w:r>
        <w:rPr>
          <w:rFonts w:hint="eastAsia" w:ascii="宋体" w:hAnsi="宋体" w:eastAsia="宋体" w:cs="Times New Roman"/>
          <w:b/>
          <w:kern w:val="0"/>
          <w:sz w:val="24"/>
        </w:rPr>
        <w:t>：</w:t>
      </w:r>
      <w:r>
        <w:rPr>
          <w:rFonts w:ascii="Times New Roman" w:hAnsi="Times New Roman" w:eastAsia="华文细黑" w:cs="Times New Roman"/>
          <w:sz w:val="28"/>
          <w:szCs w:val="28"/>
        </w:rPr>
        <w:t>0705015</w:t>
      </w:r>
    </w:p>
    <w:p w14:paraId="03C578B1">
      <w:pPr>
        <w:spacing w:line="360" w:lineRule="auto"/>
        <w:ind w:firstLine="482" w:firstLineChars="200"/>
        <w:rPr>
          <w:rFonts w:hint="eastAsia" w:ascii="宋体" w:hAnsi="宋体" w:eastAsia="宋体" w:cs="Times New Roman"/>
          <w:b/>
          <w:kern w:val="0"/>
          <w:sz w:val="24"/>
        </w:rPr>
      </w:pPr>
      <w:r>
        <w:rPr>
          <w:rFonts w:hint="eastAsia" w:ascii="宋体" w:hAnsi="宋体" w:eastAsia="宋体" w:cs="Times New Roman"/>
          <w:b/>
          <w:bCs/>
          <w:kern w:val="0"/>
          <w:sz w:val="24"/>
        </w:rPr>
        <w:t>学    分</w:t>
      </w:r>
      <w:r>
        <w:rPr>
          <w:rFonts w:hint="eastAsia" w:ascii="宋体" w:hAnsi="宋体" w:eastAsia="宋体" w:cs="Times New Roman"/>
          <w:b/>
          <w:kern w:val="0"/>
          <w:sz w:val="24"/>
        </w:rPr>
        <w:t>：2</w:t>
      </w:r>
    </w:p>
    <w:p w14:paraId="49B3DCB7">
      <w:pPr>
        <w:spacing w:line="360" w:lineRule="auto"/>
        <w:ind w:firstLine="482" w:firstLineChars="200"/>
        <w:rPr>
          <w:rFonts w:hint="eastAsia" w:ascii="宋体" w:hAnsi="宋体" w:eastAsia="宋体" w:cs="Times New Roman"/>
          <w:kern w:val="0"/>
          <w:sz w:val="24"/>
        </w:rPr>
      </w:pPr>
      <w:r>
        <w:rPr>
          <w:rFonts w:hint="eastAsia" w:ascii="宋体" w:hAnsi="宋体" w:eastAsia="宋体" w:cs="Times New Roman"/>
          <w:b/>
          <w:bCs/>
          <w:kern w:val="0"/>
          <w:sz w:val="24"/>
        </w:rPr>
        <w:t>学    时</w:t>
      </w:r>
      <w:r>
        <w:rPr>
          <w:rFonts w:hint="eastAsia" w:ascii="宋体" w:hAnsi="宋体" w:eastAsia="宋体" w:cs="Times New Roman"/>
          <w:b/>
          <w:kern w:val="0"/>
          <w:sz w:val="24"/>
        </w:rPr>
        <w:t>：16</w:t>
      </w:r>
      <w:r>
        <w:rPr>
          <w:rFonts w:hint="eastAsia" w:ascii="宋体" w:hAnsi="宋体" w:eastAsia="宋体" w:cs="Times New Roman"/>
          <w:kern w:val="0"/>
          <w:sz w:val="24"/>
        </w:rPr>
        <w:t xml:space="preserve"> （其中讲授6学时，课内实践10学时）</w:t>
      </w:r>
    </w:p>
    <w:p w14:paraId="14273E16">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先修课程</w:t>
      </w:r>
      <w:r>
        <w:rPr>
          <w:rFonts w:hint="eastAsia" w:ascii="宋体" w:hAnsi="宋体" w:eastAsia="宋体" w:cs="Times New Roman"/>
          <w:b/>
          <w:kern w:val="0"/>
          <w:sz w:val="24"/>
        </w:rPr>
        <w:t>：</w:t>
      </w:r>
      <w:r>
        <w:rPr>
          <w:rFonts w:hint="eastAsia" w:ascii="宋体" w:hAnsi="宋体" w:eastAsia="宋体" w:cs="Times New Roman"/>
          <w:kern w:val="0"/>
          <w:sz w:val="24"/>
        </w:rPr>
        <w:t>无</w:t>
      </w:r>
    </w:p>
    <w:p w14:paraId="40859128">
      <w:pPr>
        <w:spacing w:line="360" w:lineRule="auto"/>
        <w:ind w:firstLine="482" w:firstLineChars="200"/>
        <w:rPr>
          <w:rFonts w:hint="eastAsia" w:ascii="宋体" w:hAnsi="宋体" w:eastAsia="宋体" w:cs="Times New Roman"/>
          <w:kern w:val="0"/>
          <w:sz w:val="24"/>
        </w:rPr>
      </w:pPr>
      <w:r>
        <w:rPr>
          <w:rFonts w:hint="eastAsia" w:ascii="宋体" w:hAnsi="宋体" w:eastAsia="宋体" w:cs="Times New Roman"/>
          <w:b/>
          <w:bCs/>
          <w:kern w:val="0"/>
          <w:sz w:val="24"/>
        </w:rPr>
        <w:t>适用专业</w:t>
      </w:r>
      <w:r>
        <w:rPr>
          <w:rFonts w:hint="eastAsia" w:ascii="宋体" w:hAnsi="宋体" w:eastAsia="宋体" w:cs="Times New Roman"/>
          <w:b/>
          <w:kern w:val="0"/>
          <w:sz w:val="24"/>
        </w:rPr>
        <w:t>：</w:t>
      </w:r>
      <w:r>
        <w:rPr>
          <w:rFonts w:hint="eastAsia" w:ascii="宋体" w:hAnsi="宋体" w:eastAsia="宋体" w:cs="Times New Roman"/>
          <w:kern w:val="0"/>
          <w:sz w:val="24"/>
        </w:rPr>
        <w:t xml:space="preserve">小学教育  </w:t>
      </w:r>
    </w:p>
    <w:p w14:paraId="5F1E8A17">
      <w:pPr>
        <w:spacing w:line="360" w:lineRule="auto"/>
        <w:ind w:firstLine="480" w:firstLineChars="200"/>
        <w:rPr>
          <w:rFonts w:hint="eastAsia" w:ascii="宋体" w:hAnsi="宋体" w:eastAsia="宋体" w:cs="Times New Roman"/>
          <w:kern w:val="0"/>
          <w:sz w:val="24"/>
        </w:rPr>
      </w:pPr>
      <w:r>
        <w:rPr>
          <w:rFonts w:hint="eastAsia" w:ascii="宋体" w:hAnsi="宋体" w:eastAsia="宋体" w:cs="Times New Roman"/>
          <w:kern w:val="0"/>
          <w:sz w:val="24"/>
        </w:rPr>
        <w:t xml:space="preserve">                    </w:t>
      </w:r>
    </w:p>
    <w:p w14:paraId="31A4770A">
      <w:pPr>
        <w:autoSpaceDE w:val="0"/>
        <w:autoSpaceDN w:val="0"/>
        <w:adjustRightInd w:val="0"/>
        <w:spacing w:line="360" w:lineRule="auto"/>
        <w:jc w:val="left"/>
        <w:rPr>
          <w:rFonts w:hint="eastAsia" w:ascii="宋体" w:hAnsi="宋体" w:eastAsia="宋体" w:cs="Times New Roman"/>
          <w:b/>
          <w:bCs/>
          <w:kern w:val="0"/>
          <w:sz w:val="24"/>
        </w:rPr>
      </w:pPr>
      <w:r>
        <w:rPr>
          <w:rFonts w:hint="eastAsia" w:ascii="宋体" w:hAnsi="宋体" w:eastAsia="宋体" w:cs="Times New Roman"/>
          <w:b/>
          <w:bCs/>
          <w:kern w:val="0"/>
          <w:sz w:val="24"/>
        </w:rPr>
        <w:t>一、课程简介：</w:t>
      </w:r>
    </w:p>
    <w:p w14:paraId="0D777694">
      <w:pPr>
        <w:autoSpaceDE w:val="0"/>
        <w:autoSpaceDN w:val="0"/>
        <w:adjustRightInd w:val="0"/>
        <w:spacing w:line="360" w:lineRule="auto"/>
        <w:ind w:firstLine="420" w:firstLineChars="200"/>
        <w:rPr>
          <w:rFonts w:ascii="Calibri" w:hAnsi="Calibri" w:eastAsia="宋体" w:cs="Times New Roman"/>
          <w:kern w:val="0"/>
          <w:szCs w:val="21"/>
        </w:rPr>
      </w:pPr>
      <w:r>
        <w:rPr>
          <w:rFonts w:hint="eastAsia" w:ascii="Calibri" w:hAnsi="Calibri" w:eastAsia="宋体" w:cs="Times New Roman"/>
          <w:kern w:val="0"/>
          <w:szCs w:val="21"/>
        </w:rPr>
        <w:t>本课程是</w:t>
      </w:r>
      <w:r>
        <w:rPr>
          <w:rFonts w:hint="eastAsia" w:ascii="宋体" w:hAnsi="宋体" w:eastAsia="宋体" w:cs="Times New Roman"/>
          <w:bCs/>
          <w:kern w:val="0"/>
          <w:szCs w:val="21"/>
        </w:rPr>
        <w:t>小学教育</w:t>
      </w:r>
      <w:r>
        <w:rPr>
          <w:rFonts w:hint="eastAsia" w:ascii="Calibri" w:hAnsi="Calibri" w:eastAsia="宋体" w:cs="Times New Roman"/>
          <w:kern w:val="0"/>
          <w:szCs w:val="21"/>
        </w:rPr>
        <w:t>专业一门专业基础—必修课程。通过该课程的学习不仅要让学生掌握普通话和普通话水平测试的基础理论，还要围绕普通话的重难点音及普通话水平测试的常见失误，对学生进行有针对性的训练，</w:t>
      </w:r>
      <w:r>
        <w:rPr>
          <w:rFonts w:hint="eastAsia" w:ascii="Calibri" w:hAnsi="Calibri" w:eastAsia="宋体" w:cs="Times New Roman"/>
          <w:color w:val="000000"/>
          <w:kern w:val="0"/>
          <w:szCs w:val="21"/>
        </w:rPr>
        <w:t>为后续学习</w:t>
      </w:r>
      <w:r>
        <w:rPr>
          <w:rFonts w:hint="eastAsia" w:ascii="宋体" w:hAnsi="宋体" w:eastAsia="宋体" w:cs="Times New Roman"/>
          <w:bCs/>
          <w:color w:val="000000"/>
          <w:kern w:val="0"/>
          <w:szCs w:val="21"/>
        </w:rPr>
        <w:t>相关</w:t>
      </w:r>
      <w:r>
        <w:rPr>
          <w:rFonts w:hint="eastAsia" w:ascii="Calibri" w:hAnsi="Calibri" w:eastAsia="宋体" w:cs="Times New Roman"/>
          <w:color w:val="000000"/>
          <w:kern w:val="0"/>
          <w:szCs w:val="21"/>
        </w:rPr>
        <w:t>课程以及从事小学教育等方面的工作打下坚实的</w:t>
      </w:r>
      <w:r>
        <w:rPr>
          <w:rFonts w:hint="eastAsia" w:ascii="Calibri" w:hAnsi="Calibri" w:eastAsia="宋体" w:cs="Times New Roman"/>
          <w:kern w:val="0"/>
          <w:szCs w:val="21"/>
        </w:rPr>
        <w:t>基础。</w:t>
      </w:r>
    </w:p>
    <w:p w14:paraId="3B0CCB3B">
      <w:pPr>
        <w:autoSpaceDE w:val="0"/>
        <w:autoSpaceDN w:val="0"/>
        <w:adjustRightInd w:val="0"/>
        <w:spacing w:line="360" w:lineRule="auto"/>
        <w:ind w:firstLine="420" w:firstLineChars="200"/>
        <w:rPr>
          <w:rFonts w:ascii="Calibri" w:hAnsi="Calibri" w:eastAsia="宋体" w:cs="Times New Roman"/>
          <w:szCs w:val="21"/>
        </w:rPr>
      </w:pPr>
      <w:r>
        <w:rPr>
          <w:rFonts w:hint="eastAsia" w:ascii="Calibri" w:hAnsi="Calibri" w:eastAsia="宋体" w:cs="Times New Roman"/>
          <w:szCs w:val="21"/>
        </w:rPr>
        <w:t>能说一口标准的普通话，具备较好的口语表达能力，是一项必备的社交技能。教师以普通话为工作语言，师范专业与口语表达密切相关，因此说好普通话也是小学教育专业一项必备的职业技能。提高语言应用能力，继承和弘扬中华民族优秀的传统文化，更是小学教育专业素质教育的重要内容。</w:t>
      </w:r>
    </w:p>
    <w:p w14:paraId="74DD6A80">
      <w:pPr>
        <w:spacing w:line="360" w:lineRule="auto"/>
        <w:rPr>
          <w:rFonts w:ascii="Calibri" w:hAnsi="Calibri" w:eastAsia="宋体" w:cs="Times New Roman"/>
          <w:b/>
          <w:sz w:val="28"/>
          <w:szCs w:val="28"/>
        </w:rPr>
      </w:pPr>
      <w:r>
        <w:rPr>
          <w:rFonts w:hint="eastAsia" w:ascii="Calibri" w:hAnsi="Calibri" w:eastAsia="宋体" w:cs="Times New Roman"/>
          <w:b/>
          <w:sz w:val="28"/>
          <w:szCs w:val="28"/>
        </w:rPr>
        <w:t>二、课程目标</w:t>
      </w:r>
    </w:p>
    <w:p w14:paraId="6D4BA90F">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（一）课程具体目标</w:t>
      </w:r>
    </w:p>
    <w:p w14:paraId="0AA18855">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目标1.使学生了解和掌握普通话语音和普通话水平测试的基础理论知识；</w:t>
      </w:r>
    </w:p>
    <w:p w14:paraId="71F7DD4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目标2.使学生掌握普通话声、韵、调的发音难点并能够准确发音；</w:t>
      </w:r>
    </w:p>
    <w:p w14:paraId="4CF1A43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目标3.使学生了解所操方言与普通话的差异，能够进行自我发音矫正；</w:t>
      </w:r>
    </w:p>
    <w:p w14:paraId="6D34E81B">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目标4.提高学生人际沟通能力和口语表达能力，掌握发音技巧，为将来从事小学教育工作打下基础；</w:t>
      </w:r>
    </w:p>
    <w:p w14:paraId="21B93AC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目标5.学生参加国家普通话水平测试，能够取得二级甲等以上的等级证书。</w:t>
      </w:r>
    </w:p>
    <w:p w14:paraId="5A10147E">
      <w:pPr>
        <w:numPr>
          <w:ilvl w:val="0"/>
          <w:numId w:val="38"/>
        </w:numPr>
        <w:spacing w:before="156" w:beforeLines="50" w:after="156" w:afterLines="50" w:line="360" w:lineRule="auto"/>
        <w:jc w:val="left"/>
        <w:rPr>
          <w:rFonts w:hint="eastAsia" w:ascii="宋体" w:hAnsi="宋体" w:eastAsia="宋体" w:cs="宋体"/>
          <w:b/>
          <w:bCs/>
          <w:szCs w:val="21"/>
        </w:rPr>
      </w:pPr>
      <w:r>
        <w:rPr>
          <w:rFonts w:hint="eastAsia" w:ascii="宋体" w:hAnsi="宋体" w:eastAsia="宋体" w:cs="宋体"/>
          <w:b/>
          <w:bCs/>
          <w:szCs w:val="21"/>
        </w:rPr>
        <w:t>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4B4E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5EF14D1">
            <w:pPr>
              <w:spacing w:line="360" w:lineRule="auto"/>
              <w:jc w:val="center"/>
              <w:rPr>
                <w:rFonts w:hint="eastAsia" w:ascii="宋体" w:hAnsi="宋体" w:eastAsia="宋体" w:cs="宋体"/>
                <w:b/>
                <w:bCs/>
                <w:szCs w:val="21"/>
              </w:rPr>
            </w:pPr>
            <w:r>
              <w:rPr>
                <w:rFonts w:hint="eastAsia" w:ascii="宋体" w:hAnsi="宋体" w:eastAsia="宋体" w:cs="宋体"/>
                <w:b/>
                <w:bCs/>
                <w:szCs w:val="21"/>
              </w:rPr>
              <w:t>毕业要求</w:t>
            </w:r>
          </w:p>
        </w:tc>
        <w:tc>
          <w:tcPr>
            <w:tcW w:w="5688" w:type="dxa"/>
            <w:vAlign w:val="center"/>
          </w:tcPr>
          <w:p w14:paraId="2FFE771C">
            <w:pPr>
              <w:spacing w:line="360" w:lineRule="auto"/>
              <w:jc w:val="center"/>
              <w:rPr>
                <w:rFonts w:hint="eastAsia" w:ascii="宋体" w:hAnsi="宋体" w:eastAsia="宋体" w:cs="宋体"/>
                <w:b/>
                <w:bCs/>
                <w:szCs w:val="21"/>
              </w:rPr>
            </w:pPr>
            <w:r>
              <w:rPr>
                <w:rFonts w:hint="eastAsia" w:ascii="宋体" w:hAnsi="宋体" w:eastAsia="宋体" w:cs="宋体"/>
                <w:b/>
                <w:bCs/>
                <w:szCs w:val="21"/>
              </w:rPr>
              <w:t>毕业要求指标点</w:t>
            </w:r>
          </w:p>
        </w:tc>
        <w:tc>
          <w:tcPr>
            <w:tcW w:w="1191" w:type="dxa"/>
            <w:vAlign w:val="center"/>
          </w:tcPr>
          <w:p w14:paraId="502C3733">
            <w:pPr>
              <w:spacing w:line="360" w:lineRule="auto"/>
              <w:jc w:val="center"/>
              <w:rPr>
                <w:rFonts w:hint="eastAsia" w:ascii="宋体" w:hAnsi="宋体" w:eastAsia="宋体" w:cs="宋体"/>
                <w:b/>
                <w:bCs/>
                <w:szCs w:val="21"/>
              </w:rPr>
            </w:pPr>
            <w:r>
              <w:rPr>
                <w:rFonts w:hint="eastAsia" w:ascii="宋体" w:hAnsi="宋体" w:eastAsia="宋体" w:cs="宋体"/>
                <w:b/>
                <w:bCs/>
                <w:szCs w:val="21"/>
              </w:rPr>
              <w:t>课程目标</w:t>
            </w:r>
          </w:p>
        </w:tc>
      </w:tr>
      <w:tr w14:paraId="7540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shd w:val="clear" w:color="auto" w:fill="auto"/>
            <w:vAlign w:val="center"/>
          </w:tcPr>
          <w:p w14:paraId="1F393E4D">
            <w:pPr>
              <w:spacing w:line="276" w:lineRule="auto"/>
              <w:rPr>
                <w:rFonts w:hint="eastAsia" w:ascii="宋体" w:hAnsi="宋体" w:eastAsia="宋体" w:cs="宋体"/>
                <w:color w:val="000000"/>
                <w:kern w:val="0"/>
                <w:szCs w:val="21"/>
              </w:rPr>
            </w:pPr>
            <w:r>
              <w:rPr>
                <w:rFonts w:hint="eastAsia" w:ascii="宋体" w:hAnsi="宋体" w:eastAsia="宋体" w:cs="宋体"/>
                <w:color w:val="000000"/>
                <w:kern w:val="0"/>
                <w:szCs w:val="21"/>
              </w:rPr>
              <w:t>毕业要求4.教学能力</w:t>
            </w:r>
          </w:p>
        </w:tc>
        <w:tc>
          <w:tcPr>
            <w:tcW w:w="5688" w:type="dxa"/>
            <w:vAlign w:val="center"/>
          </w:tcPr>
          <w:p w14:paraId="7217DBDF">
            <w:pPr>
              <w:spacing w:line="276" w:lineRule="auto"/>
              <w:jc w:val="left"/>
              <w:rPr>
                <w:rFonts w:hint="eastAsia" w:ascii="宋体" w:hAnsi="宋体" w:eastAsia="宋体" w:cs="宋体"/>
                <w:szCs w:val="21"/>
              </w:rPr>
            </w:pPr>
            <w:r>
              <w:rPr>
                <w:rFonts w:hint="eastAsia" w:ascii="宋体" w:hAnsi="宋体" w:eastAsia="宋体" w:cs="宋体"/>
                <w:color w:val="000000"/>
                <w:kern w:val="0"/>
                <w:szCs w:val="21"/>
              </w:rPr>
              <w:t>4-3：掌握小学教师基本功技能，包括书写技能、沟通与表达技能、信息技术运用技能等。</w:t>
            </w:r>
          </w:p>
        </w:tc>
        <w:tc>
          <w:tcPr>
            <w:tcW w:w="1191" w:type="dxa"/>
            <w:vAlign w:val="center"/>
          </w:tcPr>
          <w:p w14:paraId="185AFA4B">
            <w:pPr>
              <w:spacing w:line="276" w:lineRule="auto"/>
              <w:jc w:val="left"/>
              <w:rPr>
                <w:rFonts w:hint="eastAsia" w:ascii="宋体" w:hAnsi="宋体" w:eastAsia="宋体" w:cs="宋体"/>
                <w:szCs w:val="21"/>
              </w:rPr>
            </w:pPr>
            <w:r>
              <w:rPr>
                <w:rFonts w:hint="eastAsia" w:ascii="宋体" w:hAnsi="宋体" w:eastAsia="宋体" w:cs="宋体"/>
                <w:szCs w:val="21"/>
              </w:rPr>
              <w:t>课程目标3</w:t>
            </w:r>
          </w:p>
        </w:tc>
      </w:tr>
      <w:tr w14:paraId="66AB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shd w:val="clear" w:color="auto" w:fill="auto"/>
            <w:vAlign w:val="center"/>
          </w:tcPr>
          <w:p w14:paraId="504D06F3">
            <w:pPr>
              <w:spacing w:line="276" w:lineRule="auto"/>
              <w:rPr>
                <w:rFonts w:hint="eastAsia" w:ascii="宋体" w:hAnsi="宋体" w:eastAsia="宋体" w:cs="宋体"/>
                <w:color w:val="000000"/>
                <w:kern w:val="0"/>
                <w:szCs w:val="21"/>
              </w:rPr>
            </w:pPr>
            <w:r>
              <w:rPr>
                <w:rFonts w:hint="eastAsia" w:ascii="宋体" w:hAnsi="宋体" w:eastAsia="宋体" w:cs="宋体"/>
                <w:color w:val="000000"/>
                <w:kern w:val="0"/>
                <w:szCs w:val="21"/>
              </w:rPr>
              <w:t>毕业要求4.教学能力</w:t>
            </w:r>
          </w:p>
        </w:tc>
        <w:tc>
          <w:tcPr>
            <w:tcW w:w="5688" w:type="dxa"/>
            <w:vAlign w:val="center"/>
          </w:tcPr>
          <w:p w14:paraId="36106707">
            <w:pPr>
              <w:spacing w:line="276" w:lineRule="auto"/>
              <w:jc w:val="left"/>
              <w:rPr>
                <w:rFonts w:hint="eastAsia" w:ascii="宋体" w:hAnsi="宋体" w:eastAsia="宋体" w:cs="宋体"/>
                <w:szCs w:val="21"/>
              </w:rPr>
            </w:pPr>
            <w:r>
              <w:rPr>
                <w:rFonts w:hint="eastAsia" w:ascii="宋体" w:hAnsi="宋体" w:eastAsia="宋体" w:cs="宋体"/>
                <w:color w:val="000000"/>
                <w:kern w:val="0"/>
                <w:szCs w:val="21"/>
              </w:rPr>
              <w:t>4-3：掌握小学教师基本功技能，包括书写技能、沟通与表达技能、信息技术运用技能等。</w:t>
            </w:r>
          </w:p>
        </w:tc>
        <w:tc>
          <w:tcPr>
            <w:tcW w:w="1191" w:type="dxa"/>
            <w:vAlign w:val="center"/>
          </w:tcPr>
          <w:p w14:paraId="2E4D4DB6">
            <w:pPr>
              <w:spacing w:line="276" w:lineRule="auto"/>
              <w:jc w:val="left"/>
              <w:rPr>
                <w:rFonts w:hint="eastAsia" w:ascii="宋体" w:hAnsi="宋体" w:eastAsia="宋体" w:cs="宋体"/>
                <w:szCs w:val="21"/>
              </w:rPr>
            </w:pPr>
            <w:r>
              <w:rPr>
                <w:rFonts w:hint="eastAsia" w:ascii="宋体" w:hAnsi="宋体" w:eastAsia="宋体" w:cs="宋体"/>
                <w:szCs w:val="21"/>
              </w:rPr>
              <w:t>课程目标3</w:t>
            </w:r>
          </w:p>
        </w:tc>
      </w:tr>
      <w:tr w14:paraId="59BD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shd w:val="clear" w:color="auto" w:fill="auto"/>
            <w:vAlign w:val="center"/>
          </w:tcPr>
          <w:p w14:paraId="4C42882D">
            <w:pPr>
              <w:spacing w:line="276" w:lineRule="auto"/>
              <w:rPr>
                <w:rFonts w:hint="eastAsia" w:ascii="宋体" w:hAnsi="宋体" w:eastAsia="宋体" w:cs="宋体"/>
                <w:color w:val="000000"/>
                <w:spacing w:val="2"/>
                <w:kern w:val="0"/>
                <w:szCs w:val="21"/>
              </w:rPr>
            </w:pPr>
            <w:r>
              <w:rPr>
                <w:rFonts w:hint="eastAsia" w:ascii="宋体" w:hAnsi="宋体" w:eastAsia="宋体" w:cs="宋体"/>
                <w:color w:val="000000"/>
                <w:kern w:val="0"/>
                <w:szCs w:val="21"/>
              </w:rPr>
              <w:t>毕业要求4.教学能力</w:t>
            </w:r>
          </w:p>
        </w:tc>
        <w:tc>
          <w:tcPr>
            <w:tcW w:w="5688" w:type="dxa"/>
            <w:vAlign w:val="center"/>
          </w:tcPr>
          <w:p w14:paraId="2F6F0894">
            <w:pPr>
              <w:spacing w:line="276" w:lineRule="auto"/>
              <w:jc w:val="left"/>
              <w:rPr>
                <w:rFonts w:hint="eastAsia" w:ascii="宋体" w:hAnsi="宋体" w:eastAsia="宋体" w:cs="宋体"/>
                <w:szCs w:val="21"/>
              </w:rPr>
            </w:pPr>
            <w:r>
              <w:rPr>
                <w:rFonts w:hint="eastAsia" w:ascii="宋体" w:hAnsi="宋体" w:eastAsia="宋体" w:cs="宋体"/>
                <w:color w:val="000000"/>
                <w:kern w:val="0"/>
                <w:szCs w:val="21"/>
              </w:rPr>
              <w:t>4-3：掌握小学教师基本功技能，包括书写技能、沟通与表达技能、信息技术运用技能等。</w:t>
            </w:r>
          </w:p>
        </w:tc>
        <w:tc>
          <w:tcPr>
            <w:tcW w:w="1191" w:type="dxa"/>
            <w:vAlign w:val="center"/>
          </w:tcPr>
          <w:p w14:paraId="51A8F4A0">
            <w:pPr>
              <w:spacing w:line="276" w:lineRule="auto"/>
              <w:jc w:val="left"/>
              <w:rPr>
                <w:rFonts w:hint="eastAsia" w:ascii="宋体" w:hAnsi="宋体" w:eastAsia="宋体" w:cs="宋体"/>
                <w:szCs w:val="21"/>
              </w:rPr>
            </w:pPr>
            <w:r>
              <w:rPr>
                <w:rFonts w:hint="eastAsia" w:ascii="宋体" w:hAnsi="宋体" w:eastAsia="宋体" w:cs="宋体"/>
                <w:szCs w:val="21"/>
              </w:rPr>
              <w:t>课程目标1</w:t>
            </w:r>
          </w:p>
        </w:tc>
      </w:tr>
      <w:tr w14:paraId="2FD5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shd w:val="clear" w:color="auto" w:fill="auto"/>
            <w:vAlign w:val="center"/>
          </w:tcPr>
          <w:p w14:paraId="5470D33F">
            <w:pPr>
              <w:spacing w:line="276" w:lineRule="auto"/>
              <w:rPr>
                <w:rFonts w:hint="eastAsia" w:ascii="宋体" w:hAnsi="宋体" w:eastAsia="宋体" w:cs="宋体"/>
                <w:color w:val="000000"/>
                <w:spacing w:val="2"/>
                <w:kern w:val="0"/>
                <w:szCs w:val="21"/>
              </w:rPr>
            </w:pPr>
            <w:r>
              <w:rPr>
                <w:rFonts w:hint="eastAsia" w:ascii="宋体" w:hAnsi="宋体" w:eastAsia="宋体" w:cs="宋体"/>
                <w:color w:val="000000"/>
                <w:kern w:val="0"/>
                <w:szCs w:val="21"/>
              </w:rPr>
              <w:t>毕业要求</w:t>
            </w:r>
            <w:r>
              <w:rPr>
                <w:rFonts w:hint="eastAsia" w:ascii="宋体" w:hAnsi="宋体" w:eastAsia="宋体" w:cs="宋体"/>
                <w:color w:val="000000"/>
                <w:spacing w:val="2"/>
                <w:kern w:val="0"/>
                <w:szCs w:val="21"/>
              </w:rPr>
              <w:t>8.沟通合作</w:t>
            </w:r>
          </w:p>
        </w:tc>
        <w:tc>
          <w:tcPr>
            <w:tcW w:w="5688" w:type="dxa"/>
            <w:vAlign w:val="center"/>
          </w:tcPr>
          <w:p w14:paraId="0764FF37">
            <w:pPr>
              <w:spacing w:line="276" w:lineRule="auto"/>
              <w:jc w:val="left"/>
              <w:rPr>
                <w:rFonts w:hint="eastAsia" w:ascii="宋体" w:hAnsi="宋体" w:eastAsia="宋体" w:cs="宋体"/>
                <w:szCs w:val="21"/>
              </w:rPr>
            </w:pPr>
            <w:r>
              <w:rPr>
                <w:rFonts w:hint="eastAsia" w:ascii="宋体" w:hAnsi="宋体" w:eastAsia="宋体" w:cs="宋体"/>
                <w:szCs w:val="21"/>
              </w:rPr>
              <w:t>8-2：掌握人际沟通合作技能，能与学生、家长、同事进行有效沟通与合作</w:t>
            </w:r>
            <w:r>
              <w:rPr>
                <w:rFonts w:hint="eastAsia" w:ascii="宋体" w:hAnsi="宋体" w:eastAsia="宋体" w:cs="宋体"/>
                <w:color w:val="000000"/>
                <w:kern w:val="0"/>
                <w:szCs w:val="21"/>
              </w:rPr>
              <w:t>。</w:t>
            </w:r>
          </w:p>
        </w:tc>
        <w:tc>
          <w:tcPr>
            <w:tcW w:w="1191" w:type="dxa"/>
            <w:vAlign w:val="center"/>
          </w:tcPr>
          <w:p w14:paraId="489FA6F7">
            <w:pPr>
              <w:spacing w:line="276" w:lineRule="auto"/>
              <w:jc w:val="left"/>
              <w:rPr>
                <w:rFonts w:hint="eastAsia" w:ascii="宋体" w:hAnsi="宋体" w:eastAsia="宋体" w:cs="宋体"/>
                <w:szCs w:val="21"/>
              </w:rPr>
            </w:pPr>
            <w:r>
              <w:rPr>
                <w:rFonts w:hint="eastAsia" w:ascii="宋体" w:hAnsi="宋体" w:eastAsia="宋体" w:cs="宋体"/>
                <w:szCs w:val="21"/>
              </w:rPr>
              <w:t>课程目标2</w:t>
            </w:r>
          </w:p>
        </w:tc>
      </w:tr>
    </w:tbl>
    <w:p w14:paraId="1DF5A8BC">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456EBF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45A7615C">
      <w:pPr>
        <w:spacing w:line="360" w:lineRule="auto"/>
        <w:ind w:firstLine="411" w:firstLineChars="196"/>
        <w:jc w:val="left"/>
        <w:rPr>
          <w:rFonts w:hint="eastAsia" w:ascii="宋体" w:hAnsi="宋体" w:eastAsia="宋体" w:cs="Times New Roman"/>
          <w:color w:val="000000"/>
          <w:szCs w:val="21"/>
        </w:rPr>
      </w:pPr>
    </w:p>
    <w:p w14:paraId="414EDF5D">
      <w:pPr>
        <w:spacing w:line="360" w:lineRule="auto"/>
        <w:jc w:val="left"/>
        <w:rPr>
          <w:rFonts w:ascii="Calibri" w:hAnsi="Calibri" w:eastAsia="宋体" w:cs="Times New Roman"/>
          <w:b/>
          <w:sz w:val="24"/>
        </w:rPr>
      </w:pPr>
      <w:r>
        <w:rPr>
          <w:rFonts w:hint="eastAsia" w:ascii="宋体" w:hAnsi="宋体" w:eastAsia="宋体" w:cs="Times New Roman"/>
          <w:color w:val="000000"/>
          <w:sz w:val="24"/>
        </w:rPr>
        <w:t>三、</w:t>
      </w:r>
      <w:r>
        <w:rPr>
          <w:rFonts w:hint="eastAsia" w:ascii="Calibri" w:hAnsi="Calibri" w:eastAsia="宋体" w:cs="Times New Roman"/>
          <w:b/>
          <w:sz w:val="24"/>
        </w:rPr>
        <w:t>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684"/>
        <w:gridCol w:w="1112"/>
        <w:gridCol w:w="3186"/>
        <w:gridCol w:w="1519"/>
        <w:gridCol w:w="438"/>
      </w:tblGrid>
      <w:tr w14:paraId="789D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Align w:val="center"/>
          </w:tcPr>
          <w:p w14:paraId="09DBBD91">
            <w:pPr>
              <w:jc w:val="center"/>
              <w:rPr>
                <w:rFonts w:hint="eastAsia" w:ascii="宋体" w:hAnsi="宋体" w:eastAsia="宋体" w:cs="宋体"/>
                <w:b/>
                <w:color w:val="000000"/>
                <w:szCs w:val="21"/>
              </w:rPr>
            </w:pPr>
            <w:r>
              <w:rPr>
                <w:rFonts w:hint="eastAsia" w:ascii="宋体" w:hAnsi="宋体" w:eastAsia="宋体" w:cs="宋体"/>
                <w:b/>
                <w:color w:val="000000"/>
                <w:szCs w:val="21"/>
              </w:rPr>
              <w:t>知识</w:t>
            </w:r>
          </w:p>
          <w:p w14:paraId="4E0421CA">
            <w:pPr>
              <w:jc w:val="center"/>
              <w:rPr>
                <w:rFonts w:hint="eastAsia" w:ascii="宋体" w:hAnsi="宋体" w:eastAsia="宋体" w:cs="宋体"/>
                <w:b/>
                <w:color w:val="000000"/>
                <w:szCs w:val="21"/>
              </w:rPr>
            </w:pPr>
            <w:r>
              <w:rPr>
                <w:rFonts w:hint="eastAsia" w:ascii="宋体" w:hAnsi="宋体" w:eastAsia="宋体" w:cs="宋体"/>
                <w:b/>
                <w:color w:val="000000"/>
                <w:szCs w:val="21"/>
              </w:rPr>
              <w:t>单元</w:t>
            </w:r>
          </w:p>
        </w:tc>
        <w:tc>
          <w:tcPr>
            <w:tcW w:w="1684" w:type="dxa"/>
            <w:vAlign w:val="center"/>
          </w:tcPr>
          <w:p w14:paraId="0F91327B">
            <w:pPr>
              <w:jc w:val="center"/>
              <w:rPr>
                <w:rFonts w:hint="eastAsia" w:ascii="宋体" w:hAnsi="宋体" w:eastAsia="宋体" w:cs="宋体"/>
                <w:b/>
                <w:color w:val="000000"/>
                <w:szCs w:val="21"/>
              </w:rPr>
            </w:pPr>
            <w:r>
              <w:rPr>
                <w:rFonts w:hint="eastAsia" w:ascii="宋体" w:hAnsi="宋体" w:eastAsia="宋体" w:cs="宋体"/>
                <w:b/>
                <w:color w:val="000000"/>
                <w:szCs w:val="21"/>
              </w:rPr>
              <w:t>知识点</w:t>
            </w:r>
          </w:p>
        </w:tc>
        <w:tc>
          <w:tcPr>
            <w:tcW w:w="1112" w:type="dxa"/>
            <w:vAlign w:val="center"/>
          </w:tcPr>
          <w:p w14:paraId="504A41F8">
            <w:pPr>
              <w:jc w:val="center"/>
              <w:rPr>
                <w:rFonts w:hint="eastAsia" w:ascii="宋体" w:hAnsi="宋体" w:eastAsia="宋体" w:cs="宋体"/>
                <w:b/>
                <w:color w:val="000000"/>
                <w:szCs w:val="21"/>
              </w:rPr>
            </w:pPr>
            <w:r>
              <w:rPr>
                <w:rFonts w:hint="eastAsia" w:ascii="宋体" w:hAnsi="宋体" w:eastAsia="宋体" w:cs="宋体"/>
                <w:b/>
                <w:color w:val="000000"/>
                <w:szCs w:val="21"/>
              </w:rPr>
              <w:t>对应</w:t>
            </w:r>
          </w:p>
          <w:p w14:paraId="4BD1A427">
            <w:pPr>
              <w:jc w:val="center"/>
              <w:rPr>
                <w:rFonts w:hint="eastAsia" w:ascii="宋体" w:hAnsi="宋体" w:eastAsia="宋体" w:cs="宋体"/>
                <w:b/>
                <w:color w:val="000000"/>
                <w:szCs w:val="21"/>
              </w:rPr>
            </w:pPr>
            <w:r>
              <w:rPr>
                <w:rFonts w:hint="eastAsia" w:ascii="宋体" w:hAnsi="宋体" w:eastAsia="宋体" w:cs="宋体"/>
                <w:b/>
                <w:color w:val="000000"/>
                <w:szCs w:val="21"/>
              </w:rPr>
              <w:t>课程目标</w:t>
            </w:r>
          </w:p>
        </w:tc>
        <w:tc>
          <w:tcPr>
            <w:tcW w:w="3186" w:type="dxa"/>
            <w:vAlign w:val="center"/>
          </w:tcPr>
          <w:p w14:paraId="44935CEF">
            <w:pPr>
              <w:jc w:val="center"/>
              <w:rPr>
                <w:rFonts w:hint="eastAsia" w:ascii="宋体" w:hAnsi="宋体" w:eastAsia="宋体" w:cs="宋体"/>
                <w:b/>
                <w:color w:val="000000"/>
                <w:szCs w:val="21"/>
              </w:rPr>
            </w:pPr>
            <w:r>
              <w:rPr>
                <w:rFonts w:hint="eastAsia" w:ascii="宋体" w:hAnsi="宋体" w:eastAsia="宋体" w:cs="宋体"/>
                <w:b/>
                <w:color w:val="000000"/>
                <w:szCs w:val="21"/>
              </w:rPr>
              <w:t>预期学习成效</w:t>
            </w:r>
          </w:p>
        </w:tc>
        <w:tc>
          <w:tcPr>
            <w:tcW w:w="1519" w:type="dxa"/>
            <w:vAlign w:val="center"/>
          </w:tcPr>
          <w:p w14:paraId="646124D3">
            <w:pPr>
              <w:jc w:val="center"/>
              <w:rPr>
                <w:rFonts w:hint="eastAsia" w:ascii="宋体" w:hAnsi="宋体" w:eastAsia="宋体" w:cs="宋体"/>
                <w:b/>
                <w:color w:val="000000"/>
                <w:szCs w:val="21"/>
              </w:rPr>
            </w:pPr>
            <w:r>
              <w:rPr>
                <w:rFonts w:hint="eastAsia" w:ascii="宋体" w:hAnsi="宋体" w:eastAsia="宋体" w:cs="宋体"/>
                <w:b/>
                <w:color w:val="000000"/>
                <w:szCs w:val="21"/>
              </w:rPr>
              <w:t>实现环节</w:t>
            </w:r>
          </w:p>
        </w:tc>
        <w:tc>
          <w:tcPr>
            <w:tcW w:w="438" w:type="dxa"/>
            <w:vAlign w:val="center"/>
          </w:tcPr>
          <w:p w14:paraId="7DCE90FC">
            <w:pPr>
              <w:jc w:val="center"/>
              <w:rPr>
                <w:rFonts w:hint="eastAsia" w:ascii="宋体" w:hAnsi="宋体" w:eastAsia="宋体" w:cs="宋体"/>
                <w:b/>
                <w:color w:val="000000"/>
                <w:szCs w:val="21"/>
              </w:rPr>
            </w:pPr>
            <w:r>
              <w:rPr>
                <w:rFonts w:hint="eastAsia" w:ascii="宋体" w:hAnsi="宋体" w:eastAsia="宋体" w:cs="宋体"/>
                <w:b/>
                <w:color w:val="000000"/>
                <w:szCs w:val="21"/>
              </w:rPr>
              <w:t>学时</w:t>
            </w:r>
          </w:p>
        </w:tc>
      </w:tr>
      <w:tr w14:paraId="4F4F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3B3CB365">
            <w:pPr>
              <w:spacing w:line="360" w:lineRule="auto"/>
              <w:rPr>
                <w:rFonts w:hint="eastAsia" w:ascii="宋体" w:hAnsi="宋体" w:eastAsia="宋体" w:cs="宋体"/>
                <w:b/>
                <w:bCs/>
                <w:szCs w:val="21"/>
              </w:rPr>
            </w:pPr>
            <w:r>
              <w:rPr>
                <w:rFonts w:hint="eastAsia" w:ascii="宋体" w:hAnsi="宋体" w:eastAsia="宋体" w:cs="宋体"/>
                <w:b/>
                <w:bCs/>
                <w:szCs w:val="21"/>
              </w:rPr>
              <w:t>1、普通话语音概说</w:t>
            </w:r>
          </w:p>
          <w:p w14:paraId="22BAF60C">
            <w:pPr>
              <w:spacing w:line="264" w:lineRule="auto"/>
              <w:jc w:val="center"/>
              <w:rPr>
                <w:rFonts w:hint="eastAsia" w:ascii="宋体" w:hAnsi="宋体" w:eastAsia="宋体" w:cs="宋体"/>
                <w:color w:val="000000"/>
                <w:szCs w:val="21"/>
              </w:rPr>
            </w:pPr>
          </w:p>
        </w:tc>
        <w:tc>
          <w:tcPr>
            <w:tcW w:w="1684" w:type="dxa"/>
            <w:vAlign w:val="center"/>
          </w:tcPr>
          <w:p w14:paraId="797DE15B">
            <w:pPr>
              <w:spacing w:line="360" w:lineRule="auto"/>
              <w:rPr>
                <w:rFonts w:hint="eastAsia" w:ascii="宋体" w:hAnsi="宋体" w:eastAsia="宋体" w:cs="宋体"/>
                <w:bCs/>
                <w:szCs w:val="21"/>
              </w:rPr>
            </w:pPr>
            <w:r>
              <w:rPr>
                <w:rFonts w:hint="eastAsia" w:ascii="宋体" w:hAnsi="宋体" w:eastAsia="宋体" w:cs="宋体"/>
                <w:bCs/>
                <w:szCs w:val="21"/>
              </w:rPr>
              <w:t>普通话概述</w:t>
            </w:r>
          </w:p>
          <w:p w14:paraId="6D3B4655">
            <w:pPr>
              <w:spacing w:line="360" w:lineRule="auto"/>
              <w:rPr>
                <w:rFonts w:hint="eastAsia" w:ascii="宋体" w:hAnsi="宋体" w:eastAsia="宋体" w:cs="宋体"/>
                <w:bCs/>
                <w:szCs w:val="21"/>
              </w:rPr>
            </w:pPr>
            <w:r>
              <w:rPr>
                <w:rFonts w:hint="eastAsia" w:ascii="宋体" w:hAnsi="宋体" w:eastAsia="宋体" w:cs="宋体"/>
                <w:bCs/>
                <w:szCs w:val="21"/>
              </w:rPr>
              <w:t>江苏方言概述</w:t>
            </w:r>
          </w:p>
          <w:p w14:paraId="160628D6">
            <w:pPr>
              <w:spacing w:line="269" w:lineRule="auto"/>
              <w:jc w:val="left"/>
              <w:rPr>
                <w:rFonts w:hint="eastAsia" w:ascii="宋体" w:hAnsi="宋体" w:eastAsia="宋体" w:cs="宋体"/>
                <w:color w:val="000000"/>
                <w:szCs w:val="21"/>
              </w:rPr>
            </w:pPr>
          </w:p>
        </w:tc>
        <w:tc>
          <w:tcPr>
            <w:tcW w:w="1112" w:type="dxa"/>
            <w:vAlign w:val="center"/>
          </w:tcPr>
          <w:p w14:paraId="05595A42">
            <w:pPr>
              <w:spacing w:line="269"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课程目标1</w:t>
            </w:r>
          </w:p>
        </w:tc>
        <w:tc>
          <w:tcPr>
            <w:tcW w:w="3186" w:type="dxa"/>
            <w:vAlign w:val="center"/>
          </w:tcPr>
          <w:p w14:paraId="4FE85883">
            <w:pPr>
              <w:spacing w:line="269" w:lineRule="auto"/>
              <w:jc w:val="left"/>
              <w:rPr>
                <w:rFonts w:hint="eastAsia" w:ascii="宋体" w:hAnsi="宋体" w:eastAsia="宋体" w:cs="宋体"/>
                <w:color w:val="000000"/>
                <w:szCs w:val="21"/>
              </w:rPr>
            </w:pPr>
            <w:r>
              <w:rPr>
                <w:rFonts w:hint="eastAsia" w:ascii="宋体" w:hAnsi="宋体" w:eastAsia="宋体" w:cs="宋体"/>
                <w:color w:val="000000"/>
                <w:szCs w:val="21"/>
              </w:rPr>
              <w:t>了解普通话语音基本概念和方言情况</w:t>
            </w:r>
          </w:p>
        </w:tc>
        <w:tc>
          <w:tcPr>
            <w:tcW w:w="1519" w:type="dxa"/>
            <w:vAlign w:val="center"/>
          </w:tcPr>
          <w:p w14:paraId="1F987ED2">
            <w:pPr>
              <w:spacing w:line="269" w:lineRule="auto"/>
              <w:jc w:val="left"/>
              <w:rPr>
                <w:rFonts w:hint="eastAsia" w:ascii="宋体" w:hAnsi="宋体" w:eastAsia="宋体" w:cs="宋体"/>
                <w:color w:val="000000"/>
                <w:szCs w:val="21"/>
              </w:rPr>
            </w:pPr>
            <w:r>
              <w:rPr>
                <w:rFonts w:hint="eastAsia" w:ascii="宋体" w:hAnsi="宋体" w:eastAsia="宋体" w:cs="宋体"/>
                <w:color w:val="000000"/>
                <w:szCs w:val="21"/>
              </w:rPr>
              <w:t>1.多媒体教学2.课堂讨论</w:t>
            </w:r>
          </w:p>
          <w:p w14:paraId="384600FA">
            <w:pPr>
              <w:spacing w:line="269" w:lineRule="auto"/>
              <w:jc w:val="left"/>
              <w:rPr>
                <w:rFonts w:hint="eastAsia" w:ascii="宋体" w:hAnsi="宋体" w:eastAsia="宋体" w:cs="宋体"/>
                <w:color w:val="000000"/>
                <w:szCs w:val="21"/>
              </w:rPr>
            </w:pPr>
            <w:r>
              <w:rPr>
                <w:rFonts w:hint="eastAsia" w:ascii="宋体" w:hAnsi="宋体" w:eastAsia="宋体" w:cs="宋体"/>
                <w:color w:val="000000"/>
                <w:szCs w:val="21"/>
              </w:rPr>
              <w:t>3.发音练习</w:t>
            </w:r>
          </w:p>
        </w:tc>
        <w:tc>
          <w:tcPr>
            <w:tcW w:w="438" w:type="dxa"/>
            <w:vAlign w:val="center"/>
          </w:tcPr>
          <w:p w14:paraId="70A0439F">
            <w:pPr>
              <w:spacing w:line="269" w:lineRule="auto"/>
              <w:jc w:val="center"/>
              <w:rPr>
                <w:rFonts w:hint="eastAsia" w:ascii="宋体" w:hAnsi="宋体" w:eastAsia="宋体" w:cs="宋体"/>
                <w:color w:val="000000"/>
                <w:szCs w:val="21"/>
              </w:rPr>
            </w:pPr>
            <w:r>
              <w:rPr>
                <w:rFonts w:hint="eastAsia" w:ascii="宋体" w:hAnsi="宋体" w:eastAsia="宋体" w:cs="宋体"/>
                <w:color w:val="000000"/>
                <w:szCs w:val="21"/>
              </w:rPr>
              <w:t>2</w:t>
            </w:r>
          </w:p>
        </w:tc>
      </w:tr>
      <w:tr w14:paraId="53F7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267BAD97">
            <w:pPr>
              <w:spacing w:line="264" w:lineRule="auto"/>
              <w:jc w:val="center"/>
              <w:rPr>
                <w:rFonts w:hint="eastAsia" w:ascii="宋体" w:hAnsi="宋体" w:eastAsia="宋体" w:cs="宋体"/>
                <w:color w:val="000000"/>
                <w:szCs w:val="21"/>
              </w:rPr>
            </w:pPr>
          </w:p>
        </w:tc>
        <w:tc>
          <w:tcPr>
            <w:tcW w:w="7939" w:type="dxa"/>
            <w:gridSpan w:val="5"/>
            <w:vAlign w:val="center"/>
          </w:tcPr>
          <w:p w14:paraId="71BF539E">
            <w:pPr>
              <w:spacing w:line="269" w:lineRule="auto"/>
              <w:jc w:val="left"/>
              <w:rPr>
                <w:rFonts w:hint="eastAsia" w:ascii="宋体" w:hAnsi="宋体" w:eastAsia="宋体" w:cs="宋体"/>
                <w:color w:val="000000"/>
                <w:szCs w:val="21"/>
              </w:rPr>
            </w:pPr>
            <w:r>
              <w:rPr>
                <w:rFonts w:hint="eastAsia" w:ascii="宋体" w:hAnsi="宋体" w:eastAsia="宋体" w:cs="宋体"/>
                <w:b/>
                <w:color w:val="000000"/>
                <w:szCs w:val="21"/>
              </w:rPr>
              <w:t>课程思政目标：</w:t>
            </w:r>
            <w:r>
              <w:rPr>
                <w:rFonts w:hint="eastAsia" w:ascii="宋体" w:hAnsi="宋体" w:eastAsia="宋体" w:cs="宋体"/>
                <w:color w:val="000000"/>
                <w:szCs w:val="21"/>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4FE9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635F43D0">
            <w:pPr>
              <w:spacing w:line="360" w:lineRule="auto"/>
              <w:rPr>
                <w:rFonts w:hint="eastAsia" w:ascii="宋体" w:hAnsi="宋体" w:eastAsia="宋体" w:cs="宋体"/>
                <w:b/>
                <w:bCs/>
                <w:szCs w:val="21"/>
              </w:rPr>
            </w:pPr>
            <w:r>
              <w:rPr>
                <w:rFonts w:hint="eastAsia" w:ascii="宋体" w:hAnsi="宋体" w:eastAsia="宋体" w:cs="宋体"/>
                <w:color w:val="000000"/>
                <w:szCs w:val="21"/>
              </w:rPr>
              <w:t>2.</w:t>
            </w:r>
            <w:r>
              <w:rPr>
                <w:rFonts w:hint="eastAsia" w:ascii="宋体" w:hAnsi="宋体" w:eastAsia="宋体" w:cs="宋体"/>
                <w:b/>
                <w:bCs/>
                <w:szCs w:val="21"/>
              </w:rPr>
              <w:t>声母的发音及训练</w:t>
            </w:r>
          </w:p>
          <w:p w14:paraId="58B97DBE">
            <w:pPr>
              <w:spacing w:line="264" w:lineRule="auto"/>
              <w:jc w:val="center"/>
              <w:rPr>
                <w:rFonts w:hint="eastAsia" w:ascii="宋体" w:hAnsi="宋体" w:eastAsia="宋体" w:cs="宋体"/>
                <w:color w:val="000000"/>
                <w:szCs w:val="21"/>
              </w:rPr>
            </w:pPr>
          </w:p>
        </w:tc>
        <w:tc>
          <w:tcPr>
            <w:tcW w:w="1684" w:type="dxa"/>
            <w:vAlign w:val="center"/>
          </w:tcPr>
          <w:p w14:paraId="5F19D38A">
            <w:pPr>
              <w:spacing w:line="360" w:lineRule="auto"/>
              <w:rPr>
                <w:rFonts w:hint="eastAsia" w:ascii="宋体" w:hAnsi="宋体" w:eastAsia="宋体" w:cs="宋体"/>
                <w:bCs/>
                <w:szCs w:val="21"/>
              </w:rPr>
            </w:pPr>
            <w:r>
              <w:rPr>
                <w:rFonts w:hint="eastAsia" w:ascii="宋体" w:hAnsi="宋体" w:eastAsia="宋体" w:cs="宋体"/>
                <w:bCs/>
                <w:szCs w:val="21"/>
              </w:rPr>
              <w:t>1.声母的分类</w:t>
            </w:r>
          </w:p>
          <w:p w14:paraId="7CD53616">
            <w:pPr>
              <w:spacing w:line="360" w:lineRule="auto"/>
              <w:rPr>
                <w:rFonts w:hint="eastAsia" w:ascii="宋体" w:hAnsi="宋体" w:eastAsia="宋体" w:cs="宋体"/>
                <w:bCs/>
                <w:szCs w:val="21"/>
              </w:rPr>
            </w:pPr>
            <w:r>
              <w:rPr>
                <w:rFonts w:hint="eastAsia" w:ascii="宋体" w:hAnsi="宋体" w:eastAsia="宋体" w:cs="宋体"/>
                <w:bCs/>
                <w:szCs w:val="21"/>
              </w:rPr>
              <w:t>2.声母的辨正</w:t>
            </w:r>
          </w:p>
          <w:p w14:paraId="1A88EBD8">
            <w:pPr>
              <w:spacing w:line="269" w:lineRule="auto"/>
              <w:jc w:val="left"/>
              <w:rPr>
                <w:rFonts w:hint="eastAsia" w:ascii="宋体" w:hAnsi="宋体" w:eastAsia="宋体" w:cs="宋体"/>
                <w:color w:val="000000"/>
                <w:szCs w:val="21"/>
              </w:rPr>
            </w:pPr>
          </w:p>
        </w:tc>
        <w:tc>
          <w:tcPr>
            <w:tcW w:w="1112" w:type="dxa"/>
            <w:vAlign w:val="center"/>
          </w:tcPr>
          <w:p w14:paraId="11CC8F12">
            <w:pPr>
              <w:spacing w:line="269"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课程目标1、3</w:t>
            </w:r>
          </w:p>
        </w:tc>
        <w:tc>
          <w:tcPr>
            <w:tcW w:w="3186" w:type="dxa"/>
            <w:vAlign w:val="center"/>
          </w:tcPr>
          <w:p w14:paraId="6F995198">
            <w:pPr>
              <w:spacing w:line="360" w:lineRule="auto"/>
              <w:rPr>
                <w:rFonts w:hint="eastAsia" w:ascii="宋体" w:hAnsi="宋体" w:eastAsia="宋体" w:cs="宋体"/>
                <w:color w:val="000000"/>
                <w:szCs w:val="21"/>
              </w:rPr>
            </w:pPr>
            <w:r>
              <w:rPr>
                <w:rFonts w:hint="eastAsia" w:ascii="宋体" w:hAnsi="宋体" w:eastAsia="宋体" w:cs="宋体"/>
                <w:szCs w:val="21"/>
              </w:rPr>
              <w:t>掌握声母的发音部位和发音方法了解所操方言的声母情况以及声母难点音的辨正</w:t>
            </w:r>
          </w:p>
        </w:tc>
        <w:tc>
          <w:tcPr>
            <w:tcW w:w="1519" w:type="dxa"/>
            <w:vAlign w:val="center"/>
          </w:tcPr>
          <w:p w14:paraId="67DC2CED">
            <w:pPr>
              <w:spacing w:line="269" w:lineRule="auto"/>
              <w:jc w:val="left"/>
              <w:rPr>
                <w:rFonts w:hint="eastAsia" w:ascii="宋体" w:hAnsi="宋体" w:eastAsia="宋体" w:cs="宋体"/>
                <w:color w:val="000000"/>
                <w:szCs w:val="21"/>
              </w:rPr>
            </w:pPr>
            <w:r>
              <w:rPr>
                <w:rFonts w:hint="eastAsia" w:ascii="宋体" w:hAnsi="宋体" w:eastAsia="宋体" w:cs="宋体"/>
                <w:color w:val="000000"/>
                <w:szCs w:val="21"/>
              </w:rPr>
              <w:t>1.多媒体教学2.课堂讨论</w:t>
            </w:r>
          </w:p>
          <w:p w14:paraId="04B471EB">
            <w:pPr>
              <w:spacing w:line="269" w:lineRule="auto"/>
              <w:jc w:val="left"/>
              <w:rPr>
                <w:rFonts w:hint="eastAsia" w:ascii="宋体" w:hAnsi="宋体" w:eastAsia="宋体" w:cs="宋体"/>
                <w:color w:val="000000"/>
                <w:szCs w:val="21"/>
              </w:rPr>
            </w:pPr>
            <w:r>
              <w:rPr>
                <w:rFonts w:hint="eastAsia" w:ascii="宋体" w:hAnsi="宋体" w:eastAsia="宋体" w:cs="宋体"/>
                <w:color w:val="000000"/>
                <w:szCs w:val="21"/>
              </w:rPr>
              <w:t>3.发音训练</w:t>
            </w:r>
          </w:p>
        </w:tc>
        <w:tc>
          <w:tcPr>
            <w:tcW w:w="438" w:type="dxa"/>
            <w:vAlign w:val="center"/>
          </w:tcPr>
          <w:p w14:paraId="1982F47A">
            <w:pPr>
              <w:spacing w:line="269" w:lineRule="auto"/>
              <w:jc w:val="center"/>
              <w:rPr>
                <w:rFonts w:hint="eastAsia" w:ascii="宋体" w:hAnsi="宋体" w:eastAsia="宋体" w:cs="宋体"/>
                <w:color w:val="000000"/>
                <w:szCs w:val="21"/>
              </w:rPr>
            </w:pPr>
            <w:r>
              <w:rPr>
                <w:rFonts w:hint="eastAsia" w:ascii="宋体" w:hAnsi="宋体" w:eastAsia="宋体" w:cs="宋体"/>
                <w:color w:val="000000"/>
                <w:szCs w:val="21"/>
              </w:rPr>
              <w:t>2</w:t>
            </w:r>
          </w:p>
        </w:tc>
      </w:tr>
      <w:tr w14:paraId="3B53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542ABE2C">
            <w:pPr>
              <w:spacing w:line="264" w:lineRule="auto"/>
              <w:jc w:val="center"/>
              <w:rPr>
                <w:rFonts w:hint="eastAsia" w:ascii="宋体" w:hAnsi="宋体" w:eastAsia="宋体" w:cs="宋体"/>
                <w:color w:val="000000"/>
                <w:szCs w:val="21"/>
              </w:rPr>
            </w:pPr>
          </w:p>
        </w:tc>
        <w:tc>
          <w:tcPr>
            <w:tcW w:w="7939" w:type="dxa"/>
            <w:gridSpan w:val="5"/>
            <w:vAlign w:val="center"/>
          </w:tcPr>
          <w:p w14:paraId="06CE81B8">
            <w:pPr>
              <w:spacing w:line="269" w:lineRule="auto"/>
              <w:jc w:val="left"/>
              <w:rPr>
                <w:rFonts w:hint="eastAsia" w:ascii="宋体" w:hAnsi="宋体" w:eastAsia="宋体" w:cs="宋体"/>
                <w:color w:val="000000"/>
                <w:szCs w:val="21"/>
              </w:rPr>
            </w:pPr>
            <w:r>
              <w:rPr>
                <w:rFonts w:hint="eastAsia" w:ascii="宋体" w:hAnsi="宋体" w:eastAsia="宋体" w:cs="宋体"/>
                <w:b/>
                <w:color w:val="000000"/>
                <w:szCs w:val="21"/>
              </w:rPr>
              <w:t>课程思政目标：</w:t>
            </w:r>
            <w:r>
              <w:rPr>
                <w:rFonts w:hint="eastAsia" w:ascii="宋体" w:hAnsi="宋体" w:eastAsia="宋体" w:cs="宋体"/>
                <w:color w:val="000000"/>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6233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7E23021B">
            <w:pPr>
              <w:spacing w:line="264" w:lineRule="auto"/>
              <w:jc w:val="center"/>
              <w:rPr>
                <w:rFonts w:hint="eastAsia" w:ascii="宋体" w:hAnsi="宋体" w:eastAsia="宋体" w:cs="宋体"/>
                <w:color w:val="000000"/>
                <w:szCs w:val="21"/>
              </w:rPr>
            </w:pPr>
            <w:r>
              <w:rPr>
                <w:rFonts w:hint="eastAsia" w:ascii="宋体" w:hAnsi="宋体" w:eastAsia="宋体" w:cs="宋体"/>
                <w:color w:val="000000"/>
                <w:szCs w:val="21"/>
              </w:rPr>
              <w:t>3.</w:t>
            </w:r>
            <w:r>
              <w:rPr>
                <w:rFonts w:hint="eastAsia" w:ascii="宋体" w:hAnsi="宋体" w:eastAsia="宋体" w:cs="宋体"/>
                <w:b/>
                <w:bCs/>
                <w:szCs w:val="21"/>
              </w:rPr>
              <w:t>韵母的发音及训练</w:t>
            </w:r>
            <w:r>
              <w:rPr>
                <w:rFonts w:hint="eastAsia" w:ascii="宋体" w:hAnsi="宋体" w:eastAsia="宋体" w:cs="宋体"/>
                <w:color w:val="000000"/>
                <w:szCs w:val="21"/>
              </w:rPr>
              <w:t>教育与社会发展</w:t>
            </w:r>
          </w:p>
        </w:tc>
        <w:tc>
          <w:tcPr>
            <w:tcW w:w="1684" w:type="dxa"/>
            <w:vAlign w:val="center"/>
          </w:tcPr>
          <w:p w14:paraId="2014C57D">
            <w:pPr>
              <w:spacing w:line="360" w:lineRule="auto"/>
              <w:rPr>
                <w:rFonts w:hint="eastAsia" w:ascii="宋体" w:hAnsi="宋体" w:eastAsia="宋体" w:cs="宋体"/>
                <w:bCs/>
                <w:szCs w:val="21"/>
              </w:rPr>
            </w:pPr>
            <w:r>
              <w:rPr>
                <w:rFonts w:hint="eastAsia" w:ascii="宋体" w:hAnsi="宋体" w:eastAsia="宋体" w:cs="宋体"/>
                <w:bCs/>
                <w:szCs w:val="21"/>
              </w:rPr>
              <w:t>1.韵母的分类</w:t>
            </w:r>
          </w:p>
          <w:p w14:paraId="57E913AA">
            <w:pPr>
              <w:spacing w:line="360" w:lineRule="auto"/>
              <w:rPr>
                <w:rFonts w:hint="eastAsia" w:ascii="宋体" w:hAnsi="宋体" w:eastAsia="宋体" w:cs="宋体"/>
                <w:bCs/>
                <w:szCs w:val="21"/>
              </w:rPr>
            </w:pPr>
            <w:r>
              <w:rPr>
                <w:rFonts w:hint="eastAsia" w:ascii="宋体" w:hAnsi="宋体" w:eastAsia="宋体" w:cs="宋体"/>
                <w:bCs/>
                <w:szCs w:val="21"/>
              </w:rPr>
              <w:t>2.韵母的辨正</w:t>
            </w:r>
          </w:p>
          <w:p w14:paraId="23A456FF">
            <w:pPr>
              <w:spacing w:line="269" w:lineRule="auto"/>
              <w:jc w:val="left"/>
              <w:rPr>
                <w:rFonts w:hint="eastAsia" w:ascii="宋体" w:hAnsi="宋体" w:eastAsia="宋体" w:cs="宋体"/>
                <w:color w:val="000000"/>
                <w:szCs w:val="21"/>
              </w:rPr>
            </w:pPr>
          </w:p>
        </w:tc>
        <w:tc>
          <w:tcPr>
            <w:tcW w:w="1112" w:type="dxa"/>
            <w:vAlign w:val="center"/>
          </w:tcPr>
          <w:p w14:paraId="72AA403D">
            <w:pPr>
              <w:spacing w:line="269"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课程目标2、3</w:t>
            </w:r>
          </w:p>
        </w:tc>
        <w:tc>
          <w:tcPr>
            <w:tcW w:w="3186" w:type="dxa"/>
            <w:vAlign w:val="center"/>
          </w:tcPr>
          <w:p w14:paraId="086F4891">
            <w:pPr>
              <w:spacing w:line="360" w:lineRule="auto"/>
              <w:rPr>
                <w:rFonts w:hint="eastAsia" w:ascii="宋体" w:hAnsi="宋体" w:eastAsia="宋体" w:cs="宋体"/>
                <w:szCs w:val="21"/>
              </w:rPr>
            </w:pPr>
            <w:r>
              <w:rPr>
                <w:rFonts w:hint="eastAsia" w:ascii="宋体" w:hAnsi="宋体" w:eastAsia="宋体" w:cs="宋体"/>
                <w:szCs w:val="21"/>
              </w:rPr>
              <w:t>1.掌握韵母的分类</w:t>
            </w:r>
          </w:p>
          <w:p w14:paraId="303FA570">
            <w:pPr>
              <w:spacing w:line="360" w:lineRule="auto"/>
              <w:rPr>
                <w:rFonts w:hint="eastAsia" w:ascii="宋体" w:hAnsi="宋体" w:eastAsia="宋体" w:cs="宋体"/>
                <w:color w:val="000000"/>
                <w:szCs w:val="21"/>
              </w:rPr>
            </w:pPr>
            <w:r>
              <w:rPr>
                <w:rFonts w:hint="eastAsia" w:ascii="宋体" w:hAnsi="宋体" w:eastAsia="宋体" w:cs="宋体"/>
                <w:szCs w:val="21"/>
              </w:rPr>
              <w:t>2.了解所操方言的韵母情况以及韵母难点音的辨正</w:t>
            </w:r>
          </w:p>
        </w:tc>
        <w:tc>
          <w:tcPr>
            <w:tcW w:w="1519" w:type="dxa"/>
            <w:vAlign w:val="center"/>
          </w:tcPr>
          <w:p w14:paraId="14BA8D76">
            <w:pPr>
              <w:spacing w:line="269" w:lineRule="auto"/>
              <w:jc w:val="left"/>
              <w:rPr>
                <w:rFonts w:hint="eastAsia" w:ascii="宋体" w:hAnsi="宋体" w:eastAsia="宋体" w:cs="宋体"/>
                <w:color w:val="000000"/>
                <w:szCs w:val="21"/>
              </w:rPr>
            </w:pPr>
            <w:r>
              <w:rPr>
                <w:rFonts w:hint="eastAsia" w:ascii="宋体" w:hAnsi="宋体" w:eastAsia="宋体" w:cs="宋体"/>
                <w:color w:val="000000"/>
                <w:szCs w:val="21"/>
              </w:rPr>
              <w:t>1.多媒体教学2.课堂讨论</w:t>
            </w:r>
          </w:p>
          <w:p w14:paraId="53D19E30">
            <w:pPr>
              <w:spacing w:line="269" w:lineRule="auto"/>
              <w:jc w:val="left"/>
              <w:rPr>
                <w:rFonts w:hint="eastAsia" w:ascii="宋体" w:hAnsi="宋体" w:eastAsia="宋体" w:cs="宋体"/>
                <w:color w:val="000000"/>
                <w:szCs w:val="21"/>
              </w:rPr>
            </w:pPr>
            <w:r>
              <w:rPr>
                <w:rFonts w:hint="eastAsia" w:ascii="宋体" w:hAnsi="宋体" w:eastAsia="宋体" w:cs="宋体"/>
                <w:color w:val="000000"/>
                <w:szCs w:val="21"/>
              </w:rPr>
              <w:t>3.语音打卡</w:t>
            </w:r>
          </w:p>
        </w:tc>
        <w:tc>
          <w:tcPr>
            <w:tcW w:w="438" w:type="dxa"/>
            <w:vAlign w:val="center"/>
          </w:tcPr>
          <w:p w14:paraId="2BAE8BBA">
            <w:pPr>
              <w:spacing w:line="269" w:lineRule="auto"/>
              <w:jc w:val="center"/>
              <w:rPr>
                <w:rFonts w:hint="eastAsia" w:ascii="宋体" w:hAnsi="宋体" w:eastAsia="宋体" w:cs="宋体"/>
                <w:color w:val="000000"/>
                <w:szCs w:val="21"/>
              </w:rPr>
            </w:pPr>
            <w:r>
              <w:rPr>
                <w:rFonts w:hint="eastAsia" w:ascii="宋体" w:hAnsi="宋体" w:eastAsia="宋体" w:cs="宋体"/>
                <w:color w:val="000000"/>
                <w:szCs w:val="21"/>
              </w:rPr>
              <w:t>3</w:t>
            </w:r>
          </w:p>
        </w:tc>
      </w:tr>
      <w:tr w14:paraId="117B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617DEC06">
            <w:pPr>
              <w:spacing w:line="264" w:lineRule="auto"/>
              <w:jc w:val="center"/>
              <w:rPr>
                <w:rFonts w:hint="eastAsia" w:ascii="宋体" w:hAnsi="宋体" w:eastAsia="宋体" w:cs="宋体"/>
                <w:color w:val="000000"/>
                <w:szCs w:val="21"/>
              </w:rPr>
            </w:pPr>
          </w:p>
        </w:tc>
        <w:tc>
          <w:tcPr>
            <w:tcW w:w="7939" w:type="dxa"/>
            <w:gridSpan w:val="5"/>
            <w:vAlign w:val="center"/>
          </w:tcPr>
          <w:p w14:paraId="36D48190">
            <w:pPr>
              <w:spacing w:line="269" w:lineRule="auto"/>
              <w:jc w:val="left"/>
              <w:rPr>
                <w:rFonts w:hint="eastAsia" w:ascii="宋体" w:hAnsi="宋体" w:eastAsia="宋体" w:cs="宋体"/>
                <w:color w:val="000000"/>
                <w:szCs w:val="21"/>
              </w:rPr>
            </w:pPr>
            <w:r>
              <w:rPr>
                <w:rFonts w:hint="eastAsia" w:ascii="宋体" w:hAnsi="宋体" w:eastAsia="宋体" w:cs="宋体"/>
                <w:b/>
                <w:color w:val="000000"/>
                <w:szCs w:val="21"/>
              </w:rPr>
              <w:t>课程思政目标：</w:t>
            </w:r>
            <w:r>
              <w:rPr>
                <w:rFonts w:hint="eastAsia" w:ascii="宋体" w:hAnsi="宋体" w:eastAsia="宋体" w:cs="宋体"/>
                <w:color w:val="000000"/>
                <w:szCs w:val="21"/>
              </w:rPr>
              <w:t>从辩证思维的角度掌握教育与社会发展的关系在分析教育与经济、教育与政治、教育与文化的关系中，树立制度自信和文化自信。</w:t>
            </w:r>
          </w:p>
        </w:tc>
      </w:tr>
      <w:tr w14:paraId="7AA5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434F39B5">
            <w:pPr>
              <w:spacing w:line="360" w:lineRule="auto"/>
              <w:rPr>
                <w:rFonts w:hint="eastAsia" w:ascii="宋体" w:hAnsi="宋体" w:eastAsia="宋体" w:cs="宋体"/>
                <w:b/>
                <w:bCs/>
                <w:szCs w:val="21"/>
              </w:rPr>
            </w:pPr>
            <w:r>
              <w:rPr>
                <w:rFonts w:hint="eastAsia" w:ascii="宋体" w:hAnsi="宋体" w:eastAsia="宋体" w:cs="宋体"/>
                <w:b/>
                <w:bCs/>
                <w:szCs w:val="21"/>
              </w:rPr>
              <w:t>4、声调的发音及训练、语流音变</w:t>
            </w:r>
          </w:p>
          <w:p w14:paraId="5165BEB4">
            <w:pPr>
              <w:spacing w:line="276" w:lineRule="auto"/>
              <w:jc w:val="center"/>
              <w:rPr>
                <w:rFonts w:hint="eastAsia" w:ascii="宋体" w:hAnsi="宋体" w:eastAsia="宋体" w:cs="宋体"/>
                <w:color w:val="000000"/>
                <w:szCs w:val="21"/>
              </w:rPr>
            </w:pPr>
          </w:p>
        </w:tc>
        <w:tc>
          <w:tcPr>
            <w:tcW w:w="1684" w:type="dxa"/>
            <w:vAlign w:val="center"/>
          </w:tcPr>
          <w:p w14:paraId="4751D316">
            <w:pPr>
              <w:spacing w:line="360" w:lineRule="auto"/>
              <w:rPr>
                <w:rFonts w:hint="eastAsia" w:ascii="宋体" w:hAnsi="宋体" w:eastAsia="宋体" w:cs="宋体"/>
                <w:szCs w:val="21"/>
              </w:rPr>
            </w:pPr>
            <w:r>
              <w:rPr>
                <w:rFonts w:hint="eastAsia" w:ascii="宋体" w:hAnsi="宋体" w:eastAsia="宋体" w:cs="宋体"/>
                <w:szCs w:val="21"/>
              </w:rPr>
              <w:t>1.掌握声调以及调值</w:t>
            </w:r>
          </w:p>
          <w:p w14:paraId="291BC8B6">
            <w:pPr>
              <w:spacing w:line="360" w:lineRule="auto"/>
              <w:rPr>
                <w:rFonts w:hint="eastAsia" w:ascii="宋体" w:hAnsi="宋体" w:eastAsia="宋体" w:cs="宋体"/>
                <w:color w:val="000000"/>
                <w:szCs w:val="21"/>
              </w:rPr>
            </w:pPr>
            <w:r>
              <w:rPr>
                <w:rFonts w:hint="eastAsia" w:ascii="宋体" w:hAnsi="宋体" w:eastAsia="宋体" w:cs="宋体"/>
                <w:szCs w:val="21"/>
              </w:rPr>
              <w:t>2.熟练掌握普通话语流中的音变规律</w:t>
            </w:r>
          </w:p>
        </w:tc>
        <w:tc>
          <w:tcPr>
            <w:tcW w:w="1112" w:type="dxa"/>
            <w:vAlign w:val="center"/>
          </w:tcPr>
          <w:p w14:paraId="29EFC02A">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课程目标1、2、3</w:t>
            </w:r>
          </w:p>
        </w:tc>
        <w:tc>
          <w:tcPr>
            <w:tcW w:w="3186" w:type="dxa"/>
            <w:vAlign w:val="center"/>
          </w:tcPr>
          <w:p w14:paraId="6DABE120">
            <w:pPr>
              <w:spacing w:line="360" w:lineRule="auto"/>
              <w:rPr>
                <w:rFonts w:hint="eastAsia" w:ascii="宋体" w:hAnsi="宋体" w:eastAsia="宋体" w:cs="宋体"/>
                <w:szCs w:val="21"/>
              </w:rPr>
            </w:pPr>
            <w:r>
              <w:rPr>
                <w:rFonts w:hint="eastAsia" w:ascii="宋体" w:hAnsi="宋体" w:eastAsia="宋体" w:cs="宋体"/>
                <w:szCs w:val="21"/>
              </w:rPr>
              <w:t>1.声调的调值、调类、声调发音难点</w:t>
            </w:r>
          </w:p>
          <w:p w14:paraId="75E8689B">
            <w:pPr>
              <w:spacing w:line="360" w:lineRule="auto"/>
              <w:rPr>
                <w:rFonts w:hint="eastAsia" w:ascii="宋体" w:hAnsi="宋体" w:eastAsia="宋体" w:cs="宋体"/>
                <w:color w:val="000000"/>
                <w:szCs w:val="21"/>
              </w:rPr>
            </w:pPr>
            <w:r>
              <w:rPr>
                <w:rFonts w:hint="eastAsia" w:ascii="宋体" w:hAnsi="宋体" w:eastAsia="宋体" w:cs="宋体"/>
                <w:szCs w:val="21"/>
              </w:rPr>
              <w:t>2.语流音变：变调、轻声、儿化以及“啊”的音变规律</w:t>
            </w:r>
          </w:p>
        </w:tc>
        <w:tc>
          <w:tcPr>
            <w:tcW w:w="1519" w:type="dxa"/>
            <w:vAlign w:val="center"/>
          </w:tcPr>
          <w:p w14:paraId="7001F65F">
            <w:pPr>
              <w:spacing w:line="276" w:lineRule="auto"/>
              <w:jc w:val="left"/>
              <w:rPr>
                <w:rFonts w:hint="eastAsia" w:ascii="宋体" w:hAnsi="宋体" w:eastAsia="宋体" w:cs="宋体"/>
                <w:color w:val="000000"/>
                <w:szCs w:val="21"/>
              </w:rPr>
            </w:pPr>
          </w:p>
          <w:p w14:paraId="1655824A">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1.多媒体教学2.发音训练</w:t>
            </w:r>
          </w:p>
          <w:p w14:paraId="69741A63">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3.语音打卡</w:t>
            </w:r>
          </w:p>
        </w:tc>
        <w:tc>
          <w:tcPr>
            <w:tcW w:w="438" w:type="dxa"/>
            <w:vAlign w:val="center"/>
          </w:tcPr>
          <w:p w14:paraId="26252913">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2</w:t>
            </w:r>
          </w:p>
        </w:tc>
      </w:tr>
      <w:tr w14:paraId="28F6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3A514D03">
            <w:pPr>
              <w:spacing w:line="276" w:lineRule="auto"/>
              <w:jc w:val="center"/>
              <w:rPr>
                <w:rFonts w:hint="eastAsia" w:ascii="宋体" w:hAnsi="宋体" w:eastAsia="宋体" w:cs="宋体"/>
                <w:color w:val="000000"/>
                <w:szCs w:val="21"/>
              </w:rPr>
            </w:pPr>
          </w:p>
        </w:tc>
        <w:tc>
          <w:tcPr>
            <w:tcW w:w="7939" w:type="dxa"/>
            <w:gridSpan w:val="5"/>
            <w:vAlign w:val="center"/>
          </w:tcPr>
          <w:p w14:paraId="5C043871">
            <w:pPr>
              <w:spacing w:line="276" w:lineRule="auto"/>
              <w:jc w:val="left"/>
              <w:rPr>
                <w:rFonts w:hint="eastAsia" w:ascii="宋体" w:hAnsi="宋体" w:eastAsia="宋体" w:cs="宋体"/>
                <w:color w:val="000000"/>
                <w:szCs w:val="21"/>
              </w:rPr>
            </w:pPr>
            <w:r>
              <w:rPr>
                <w:rFonts w:hint="eastAsia" w:ascii="宋体" w:hAnsi="宋体" w:eastAsia="宋体" w:cs="宋体"/>
                <w:b/>
                <w:color w:val="000000"/>
                <w:szCs w:val="21"/>
              </w:rPr>
              <w:t>课程思政目标：</w:t>
            </w:r>
            <w:r>
              <w:rPr>
                <w:rFonts w:hint="eastAsia" w:ascii="宋体" w:hAnsi="宋体" w:eastAsia="宋体" w:cs="宋体"/>
                <w:color w:val="000000"/>
                <w:szCs w:val="21"/>
              </w:rPr>
              <w:t>通过了解人的身心发展的特点，培养学生热爱教育事业和学生的情感，增强从事教育事业的责任感和使命感。</w:t>
            </w:r>
          </w:p>
        </w:tc>
      </w:tr>
      <w:tr w14:paraId="5756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05DFB66D">
            <w:pPr>
              <w:spacing w:line="360" w:lineRule="auto"/>
              <w:rPr>
                <w:rFonts w:hint="eastAsia" w:ascii="宋体" w:hAnsi="宋体" w:eastAsia="宋体" w:cs="宋体"/>
                <w:b/>
                <w:bCs/>
                <w:szCs w:val="21"/>
              </w:rPr>
            </w:pPr>
            <w:r>
              <w:rPr>
                <w:rFonts w:hint="eastAsia" w:ascii="宋体" w:hAnsi="宋体" w:eastAsia="宋体" w:cs="宋体"/>
                <w:b/>
                <w:bCs/>
                <w:szCs w:val="21"/>
              </w:rPr>
              <w:t>5、普通话水平测试介绍</w:t>
            </w:r>
          </w:p>
          <w:p w14:paraId="726624BF">
            <w:pPr>
              <w:spacing w:line="276" w:lineRule="auto"/>
              <w:jc w:val="center"/>
              <w:rPr>
                <w:rFonts w:hint="eastAsia" w:ascii="宋体" w:hAnsi="宋体" w:eastAsia="宋体" w:cs="宋体"/>
                <w:color w:val="000000"/>
                <w:szCs w:val="21"/>
              </w:rPr>
            </w:pPr>
          </w:p>
          <w:p w14:paraId="539CB995">
            <w:pPr>
              <w:spacing w:line="276" w:lineRule="auto"/>
              <w:jc w:val="center"/>
              <w:rPr>
                <w:rFonts w:hint="eastAsia" w:ascii="宋体" w:hAnsi="宋体" w:eastAsia="宋体" w:cs="宋体"/>
                <w:color w:val="000000"/>
                <w:szCs w:val="21"/>
              </w:rPr>
            </w:pPr>
          </w:p>
        </w:tc>
        <w:tc>
          <w:tcPr>
            <w:tcW w:w="1684" w:type="dxa"/>
            <w:vAlign w:val="center"/>
          </w:tcPr>
          <w:p w14:paraId="3E886F42">
            <w:pPr>
              <w:spacing w:line="360" w:lineRule="auto"/>
              <w:rPr>
                <w:rFonts w:hint="eastAsia" w:ascii="宋体" w:hAnsi="宋体" w:eastAsia="宋体" w:cs="宋体"/>
                <w:bCs/>
                <w:szCs w:val="21"/>
              </w:rPr>
            </w:pPr>
            <w:r>
              <w:rPr>
                <w:rFonts w:hint="eastAsia" w:ascii="宋体" w:hAnsi="宋体" w:eastAsia="宋体" w:cs="宋体"/>
                <w:bCs/>
                <w:szCs w:val="21"/>
              </w:rPr>
              <w:t>1.普通话水平测试等级和标准以及测试流程</w:t>
            </w:r>
          </w:p>
          <w:p w14:paraId="1321008F">
            <w:pPr>
              <w:spacing w:line="276" w:lineRule="auto"/>
              <w:jc w:val="left"/>
              <w:rPr>
                <w:rFonts w:hint="eastAsia" w:ascii="宋体" w:hAnsi="宋体" w:eastAsia="宋体" w:cs="宋体"/>
                <w:color w:val="000000"/>
                <w:szCs w:val="21"/>
              </w:rPr>
            </w:pPr>
            <w:r>
              <w:rPr>
                <w:rFonts w:hint="eastAsia" w:ascii="宋体" w:hAnsi="宋体" w:eastAsia="宋体" w:cs="宋体"/>
                <w:bCs/>
                <w:szCs w:val="21"/>
              </w:rPr>
              <w:t>2.普通话水平测试大纲和样卷</w:t>
            </w:r>
          </w:p>
        </w:tc>
        <w:tc>
          <w:tcPr>
            <w:tcW w:w="1112" w:type="dxa"/>
            <w:vAlign w:val="center"/>
          </w:tcPr>
          <w:p w14:paraId="741F2FA9">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课程目标1、2、3</w:t>
            </w:r>
          </w:p>
        </w:tc>
        <w:tc>
          <w:tcPr>
            <w:tcW w:w="3186" w:type="dxa"/>
            <w:vAlign w:val="center"/>
          </w:tcPr>
          <w:p w14:paraId="6B744BB2">
            <w:pPr>
              <w:spacing w:line="360" w:lineRule="auto"/>
              <w:rPr>
                <w:rFonts w:hint="eastAsia" w:ascii="宋体" w:hAnsi="宋体" w:eastAsia="宋体" w:cs="宋体"/>
                <w:szCs w:val="21"/>
              </w:rPr>
            </w:pPr>
            <w:r>
              <w:rPr>
                <w:rFonts w:hint="eastAsia" w:ascii="宋体" w:hAnsi="宋体" w:eastAsia="宋体" w:cs="宋体"/>
                <w:szCs w:val="21"/>
              </w:rPr>
              <w:t>1.了解</w:t>
            </w:r>
            <w:r>
              <w:rPr>
                <w:rFonts w:hint="eastAsia" w:ascii="宋体" w:hAnsi="宋体" w:eastAsia="宋体" w:cs="宋体"/>
                <w:bCs/>
                <w:szCs w:val="21"/>
              </w:rPr>
              <w:t>普通话水平测试等级和标准</w:t>
            </w:r>
          </w:p>
          <w:p w14:paraId="6788DBAE">
            <w:pPr>
              <w:spacing w:line="360" w:lineRule="auto"/>
              <w:rPr>
                <w:rFonts w:hint="eastAsia" w:ascii="宋体" w:hAnsi="宋体" w:eastAsia="宋体" w:cs="宋体"/>
                <w:szCs w:val="21"/>
              </w:rPr>
            </w:pPr>
            <w:r>
              <w:rPr>
                <w:rFonts w:hint="eastAsia" w:ascii="宋体" w:hAnsi="宋体" w:eastAsia="宋体" w:cs="宋体"/>
                <w:szCs w:val="21"/>
              </w:rPr>
              <w:t>2.了解</w:t>
            </w:r>
            <w:r>
              <w:rPr>
                <w:rFonts w:hint="eastAsia" w:ascii="宋体" w:hAnsi="宋体" w:eastAsia="宋体" w:cs="宋体"/>
                <w:bCs/>
                <w:szCs w:val="21"/>
              </w:rPr>
              <w:t>普通话水平测试的流程</w:t>
            </w:r>
          </w:p>
          <w:p w14:paraId="08609155">
            <w:pPr>
              <w:spacing w:line="276" w:lineRule="auto"/>
              <w:jc w:val="left"/>
              <w:rPr>
                <w:rFonts w:hint="eastAsia" w:ascii="宋体" w:hAnsi="宋体" w:eastAsia="宋体" w:cs="宋体"/>
                <w:color w:val="000000"/>
                <w:szCs w:val="21"/>
              </w:rPr>
            </w:pPr>
          </w:p>
        </w:tc>
        <w:tc>
          <w:tcPr>
            <w:tcW w:w="1519" w:type="dxa"/>
            <w:vAlign w:val="center"/>
          </w:tcPr>
          <w:p w14:paraId="7BB42BAA">
            <w:pPr>
              <w:spacing w:line="276" w:lineRule="auto"/>
              <w:jc w:val="left"/>
              <w:rPr>
                <w:rFonts w:hint="eastAsia" w:ascii="宋体" w:hAnsi="宋体" w:eastAsia="宋体" w:cs="宋体"/>
                <w:color w:val="000000"/>
                <w:szCs w:val="21"/>
              </w:rPr>
            </w:pPr>
          </w:p>
          <w:p w14:paraId="49FC0507">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1.多媒体教学2.课堂讨论</w:t>
            </w:r>
          </w:p>
          <w:p w14:paraId="6459C983">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3.单元测验</w:t>
            </w:r>
          </w:p>
        </w:tc>
        <w:tc>
          <w:tcPr>
            <w:tcW w:w="438" w:type="dxa"/>
            <w:vAlign w:val="center"/>
          </w:tcPr>
          <w:p w14:paraId="63949CFA">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2</w:t>
            </w:r>
          </w:p>
        </w:tc>
      </w:tr>
      <w:tr w14:paraId="1E5D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3F1C3196">
            <w:pPr>
              <w:spacing w:line="276" w:lineRule="auto"/>
              <w:jc w:val="center"/>
              <w:rPr>
                <w:rFonts w:hint="eastAsia" w:ascii="宋体" w:hAnsi="宋体" w:eastAsia="宋体" w:cs="宋体"/>
                <w:color w:val="000000"/>
                <w:szCs w:val="21"/>
              </w:rPr>
            </w:pPr>
          </w:p>
        </w:tc>
        <w:tc>
          <w:tcPr>
            <w:tcW w:w="7939" w:type="dxa"/>
            <w:gridSpan w:val="5"/>
            <w:vAlign w:val="center"/>
          </w:tcPr>
          <w:p w14:paraId="37A70B01">
            <w:pPr>
              <w:spacing w:line="276" w:lineRule="auto"/>
              <w:jc w:val="left"/>
              <w:rPr>
                <w:rFonts w:hint="eastAsia" w:ascii="宋体" w:hAnsi="宋体" w:eastAsia="宋体" w:cs="宋体"/>
                <w:color w:val="000000"/>
                <w:szCs w:val="21"/>
              </w:rPr>
            </w:pPr>
            <w:r>
              <w:rPr>
                <w:rFonts w:hint="eastAsia" w:ascii="宋体" w:hAnsi="宋体" w:eastAsia="宋体" w:cs="宋体"/>
                <w:b/>
                <w:color w:val="000000"/>
                <w:szCs w:val="21"/>
              </w:rPr>
              <w:t>课程思政目标：</w:t>
            </w:r>
            <w:r>
              <w:rPr>
                <w:rFonts w:hint="eastAsia" w:ascii="宋体" w:hAnsi="宋体" w:eastAsia="宋体" w:cs="宋体"/>
                <w:color w:val="000000"/>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2CE2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jc w:val="center"/>
        </w:trPr>
        <w:tc>
          <w:tcPr>
            <w:tcW w:w="1359" w:type="dxa"/>
            <w:vMerge w:val="restart"/>
            <w:vAlign w:val="center"/>
          </w:tcPr>
          <w:p w14:paraId="151D3633">
            <w:pPr>
              <w:spacing w:line="360" w:lineRule="auto"/>
              <w:rPr>
                <w:rFonts w:hint="eastAsia" w:ascii="宋体" w:hAnsi="宋体" w:eastAsia="宋体" w:cs="宋体"/>
                <w:b/>
                <w:bCs/>
                <w:szCs w:val="21"/>
              </w:rPr>
            </w:pPr>
            <w:r>
              <w:rPr>
                <w:rFonts w:hint="eastAsia" w:ascii="宋体" w:hAnsi="宋体" w:eastAsia="宋体" w:cs="宋体"/>
                <w:b/>
                <w:bCs/>
                <w:szCs w:val="21"/>
              </w:rPr>
              <w:t>6、普通话水平朗读训练</w:t>
            </w:r>
          </w:p>
          <w:p w14:paraId="1CB4EDD7">
            <w:pPr>
              <w:spacing w:line="360" w:lineRule="auto"/>
              <w:ind w:firstLine="411" w:firstLineChars="196"/>
              <w:rPr>
                <w:rFonts w:hint="eastAsia" w:ascii="宋体" w:hAnsi="宋体" w:eastAsia="宋体" w:cs="宋体"/>
                <w:bCs/>
                <w:szCs w:val="21"/>
              </w:rPr>
            </w:pPr>
          </w:p>
          <w:p w14:paraId="64150421">
            <w:pPr>
              <w:spacing w:line="276" w:lineRule="auto"/>
              <w:jc w:val="center"/>
              <w:rPr>
                <w:rFonts w:hint="eastAsia" w:ascii="宋体" w:hAnsi="宋体" w:eastAsia="宋体" w:cs="宋体"/>
                <w:color w:val="000000"/>
                <w:szCs w:val="21"/>
              </w:rPr>
            </w:pPr>
          </w:p>
        </w:tc>
        <w:tc>
          <w:tcPr>
            <w:tcW w:w="1684" w:type="dxa"/>
            <w:vAlign w:val="center"/>
          </w:tcPr>
          <w:p w14:paraId="154C5A94">
            <w:pPr>
              <w:spacing w:line="360" w:lineRule="auto"/>
              <w:rPr>
                <w:rFonts w:hint="eastAsia" w:ascii="宋体" w:hAnsi="宋体" w:eastAsia="宋体" w:cs="宋体"/>
                <w:bCs/>
                <w:szCs w:val="21"/>
              </w:rPr>
            </w:pPr>
            <w:r>
              <w:rPr>
                <w:rFonts w:hint="eastAsia" w:ascii="宋体" w:hAnsi="宋体" w:eastAsia="宋体" w:cs="宋体"/>
                <w:bCs/>
                <w:szCs w:val="21"/>
              </w:rPr>
              <w:t>1.普通话水平测试朗读作品及朗读训练</w:t>
            </w:r>
          </w:p>
          <w:p w14:paraId="2D3BAB85">
            <w:pPr>
              <w:spacing w:line="360" w:lineRule="auto"/>
              <w:rPr>
                <w:rFonts w:hint="eastAsia" w:ascii="宋体" w:hAnsi="宋体" w:eastAsia="宋体" w:cs="宋体"/>
                <w:color w:val="000000"/>
                <w:szCs w:val="21"/>
              </w:rPr>
            </w:pPr>
            <w:r>
              <w:rPr>
                <w:rFonts w:hint="eastAsia" w:ascii="宋体" w:hAnsi="宋体" w:eastAsia="宋体" w:cs="宋体"/>
                <w:bCs/>
                <w:szCs w:val="21"/>
              </w:rPr>
              <w:t>2.普通话水平测试朗读技巧及扣分标准</w:t>
            </w:r>
          </w:p>
        </w:tc>
        <w:tc>
          <w:tcPr>
            <w:tcW w:w="1112" w:type="dxa"/>
            <w:vAlign w:val="center"/>
          </w:tcPr>
          <w:p w14:paraId="652FD94B">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课程目标1、2、3</w:t>
            </w:r>
          </w:p>
        </w:tc>
        <w:tc>
          <w:tcPr>
            <w:tcW w:w="3186" w:type="dxa"/>
            <w:vAlign w:val="center"/>
          </w:tcPr>
          <w:p w14:paraId="77AFF320">
            <w:pPr>
              <w:spacing w:line="360" w:lineRule="auto"/>
              <w:rPr>
                <w:rFonts w:hint="eastAsia" w:ascii="宋体" w:hAnsi="宋体" w:eastAsia="宋体" w:cs="宋体"/>
                <w:szCs w:val="21"/>
              </w:rPr>
            </w:pPr>
            <w:r>
              <w:rPr>
                <w:rFonts w:hint="eastAsia" w:ascii="宋体" w:hAnsi="宋体" w:eastAsia="宋体" w:cs="宋体"/>
                <w:szCs w:val="21"/>
              </w:rPr>
              <w:t>1.使学生熟练朗读</w:t>
            </w:r>
            <w:r>
              <w:rPr>
                <w:rFonts w:hint="eastAsia" w:ascii="宋体" w:hAnsi="宋体" w:eastAsia="宋体" w:cs="宋体"/>
                <w:bCs/>
                <w:szCs w:val="21"/>
              </w:rPr>
              <w:t>普通话水平测试大纲的50篇朗读作品</w:t>
            </w:r>
          </w:p>
          <w:p w14:paraId="340F0D82">
            <w:pPr>
              <w:spacing w:line="360" w:lineRule="auto"/>
              <w:rPr>
                <w:rFonts w:hint="eastAsia" w:ascii="宋体" w:hAnsi="宋体" w:eastAsia="宋体" w:cs="宋体"/>
                <w:color w:val="000000"/>
                <w:szCs w:val="21"/>
              </w:rPr>
            </w:pPr>
            <w:r>
              <w:rPr>
                <w:rFonts w:hint="eastAsia" w:ascii="宋体" w:hAnsi="宋体" w:eastAsia="宋体" w:cs="宋体"/>
                <w:szCs w:val="21"/>
              </w:rPr>
              <w:t>2.使学生了解</w:t>
            </w:r>
            <w:r>
              <w:rPr>
                <w:rFonts w:hint="eastAsia" w:ascii="宋体" w:hAnsi="宋体" w:eastAsia="宋体" w:cs="宋体"/>
                <w:bCs/>
                <w:szCs w:val="21"/>
              </w:rPr>
              <w:t>普通话水平测试的朗读技巧</w:t>
            </w:r>
          </w:p>
        </w:tc>
        <w:tc>
          <w:tcPr>
            <w:tcW w:w="1519" w:type="dxa"/>
            <w:vAlign w:val="center"/>
          </w:tcPr>
          <w:p w14:paraId="408609DF">
            <w:pPr>
              <w:spacing w:line="276" w:lineRule="auto"/>
              <w:jc w:val="left"/>
              <w:rPr>
                <w:rFonts w:hint="eastAsia" w:ascii="宋体" w:hAnsi="宋体" w:eastAsia="宋体" w:cs="宋体"/>
                <w:color w:val="000000"/>
                <w:szCs w:val="21"/>
              </w:rPr>
            </w:pPr>
          </w:p>
          <w:p w14:paraId="71357B16">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1.多媒体教学2.课堂讨论</w:t>
            </w:r>
          </w:p>
          <w:p w14:paraId="2BBFFB59">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3.单元测验</w:t>
            </w:r>
          </w:p>
        </w:tc>
        <w:tc>
          <w:tcPr>
            <w:tcW w:w="438" w:type="dxa"/>
            <w:vAlign w:val="center"/>
          </w:tcPr>
          <w:p w14:paraId="7F1A3EA6">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2</w:t>
            </w:r>
          </w:p>
        </w:tc>
      </w:tr>
      <w:tr w14:paraId="5FF9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04413DE0">
            <w:pPr>
              <w:spacing w:line="276" w:lineRule="auto"/>
              <w:jc w:val="center"/>
              <w:rPr>
                <w:rFonts w:hint="eastAsia" w:ascii="宋体" w:hAnsi="宋体" w:eastAsia="宋体" w:cs="宋体"/>
                <w:color w:val="000000"/>
                <w:szCs w:val="21"/>
              </w:rPr>
            </w:pPr>
          </w:p>
        </w:tc>
        <w:tc>
          <w:tcPr>
            <w:tcW w:w="7939" w:type="dxa"/>
            <w:gridSpan w:val="5"/>
            <w:vAlign w:val="center"/>
          </w:tcPr>
          <w:p w14:paraId="55EF7F75">
            <w:pPr>
              <w:spacing w:line="276" w:lineRule="auto"/>
              <w:jc w:val="left"/>
              <w:rPr>
                <w:rFonts w:hint="eastAsia" w:ascii="宋体" w:hAnsi="宋体" w:eastAsia="宋体" w:cs="宋体"/>
                <w:color w:val="000000"/>
                <w:szCs w:val="21"/>
              </w:rPr>
            </w:pPr>
            <w:r>
              <w:rPr>
                <w:rFonts w:hint="eastAsia" w:ascii="宋体" w:hAnsi="宋体" w:eastAsia="宋体" w:cs="宋体"/>
                <w:b/>
                <w:color w:val="000000"/>
                <w:szCs w:val="21"/>
              </w:rPr>
              <w:t>课程思政目标：</w:t>
            </w:r>
            <w:r>
              <w:rPr>
                <w:rFonts w:hint="eastAsia" w:ascii="宋体" w:hAnsi="宋体" w:eastAsia="宋体" w:cs="宋体"/>
                <w:color w:val="000000"/>
                <w:szCs w:val="21"/>
              </w:rPr>
              <w:t>通过对人的全面发展教育的学习，形成全面发展的教育观，确立从教信念。</w:t>
            </w:r>
          </w:p>
        </w:tc>
      </w:tr>
      <w:tr w14:paraId="3987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0534F359">
            <w:pPr>
              <w:spacing w:line="276" w:lineRule="auto"/>
              <w:jc w:val="center"/>
              <w:rPr>
                <w:rFonts w:hint="eastAsia" w:ascii="宋体" w:hAnsi="宋体" w:eastAsia="宋体" w:cs="宋体"/>
                <w:szCs w:val="21"/>
              </w:rPr>
            </w:pPr>
            <w:r>
              <w:rPr>
                <w:rFonts w:hint="eastAsia" w:ascii="宋体" w:hAnsi="宋体" w:eastAsia="宋体" w:cs="宋体"/>
                <w:b/>
                <w:bCs/>
                <w:szCs w:val="21"/>
              </w:rPr>
              <w:t>7.普通话水平测试命题说话训练</w:t>
            </w:r>
          </w:p>
        </w:tc>
        <w:tc>
          <w:tcPr>
            <w:tcW w:w="1684" w:type="dxa"/>
            <w:vAlign w:val="center"/>
          </w:tcPr>
          <w:p w14:paraId="5B685082">
            <w:pPr>
              <w:spacing w:line="360" w:lineRule="auto"/>
              <w:rPr>
                <w:rFonts w:hint="eastAsia" w:ascii="宋体" w:hAnsi="宋体" w:eastAsia="宋体" w:cs="宋体"/>
                <w:bCs/>
                <w:szCs w:val="21"/>
              </w:rPr>
            </w:pPr>
            <w:r>
              <w:rPr>
                <w:rFonts w:hint="eastAsia" w:ascii="宋体" w:hAnsi="宋体" w:eastAsia="宋体" w:cs="宋体"/>
                <w:bCs/>
                <w:szCs w:val="21"/>
              </w:rPr>
              <w:t>1.普通话水平测试说话技巧和扣分标准</w:t>
            </w:r>
          </w:p>
          <w:p w14:paraId="4BE56763">
            <w:pPr>
              <w:spacing w:line="360" w:lineRule="auto"/>
              <w:rPr>
                <w:rFonts w:hint="eastAsia" w:ascii="宋体" w:hAnsi="宋体" w:eastAsia="宋体" w:cs="宋体"/>
                <w:szCs w:val="21"/>
              </w:rPr>
            </w:pPr>
            <w:r>
              <w:rPr>
                <w:rFonts w:hint="eastAsia" w:ascii="宋体" w:hAnsi="宋体" w:eastAsia="宋体" w:cs="宋体"/>
                <w:bCs/>
                <w:szCs w:val="21"/>
              </w:rPr>
              <w:t>2.水平测试说话训练</w:t>
            </w:r>
          </w:p>
        </w:tc>
        <w:tc>
          <w:tcPr>
            <w:tcW w:w="1112" w:type="dxa"/>
            <w:vAlign w:val="center"/>
          </w:tcPr>
          <w:p w14:paraId="3ABC2AD7">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课程目标1、2、3</w:t>
            </w:r>
          </w:p>
        </w:tc>
        <w:tc>
          <w:tcPr>
            <w:tcW w:w="3186" w:type="dxa"/>
            <w:vAlign w:val="center"/>
          </w:tcPr>
          <w:p w14:paraId="5FC446D5">
            <w:pPr>
              <w:spacing w:line="360" w:lineRule="auto"/>
              <w:rPr>
                <w:rFonts w:hint="eastAsia" w:ascii="宋体" w:hAnsi="宋体" w:eastAsia="宋体" w:cs="宋体"/>
                <w:szCs w:val="21"/>
              </w:rPr>
            </w:pPr>
            <w:r>
              <w:rPr>
                <w:rFonts w:hint="eastAsia" w:ascii="宋体" w:hAnsi="宋体" w:eastAsia="宋体" w:cs="宋体"/>
                <w:szCs w:val="21"/>
              </w:rPr>
              <w:t>1.训练学生能够在无文字凭借的情况下自由流畅说话</w:t>
            </w:r>
          </w:p>
          <w:p w14:paraId="07DE3339">
            <w:pPr>
              <w:spacing w:line="360" w:lineRule="auto"/>
              <w:rPr>
                <w:rFonts w:hint="eastAsia" w:ascii="宋体" w:hAnsi="宋体" w:eastAsia="宋体" w:cs="宋体"/>
                <w:bCs/>
                <w:szCs w:val="21"/>
              </w:rPr>
            </w:pPr>
            <w:r>
              <w:rPr>
                <w:rFonts w:hint="eastAsia" w:ascii="宋体" w:hAnsi="宋体" w:eastAsia="宋体" w:cs="宋体"/>
                <w:szCs w:val="21"/>
              </w:rPr>
              <w:t>2.使学生了解</w:t>
            </w:r>
            <w:r>
              <w:rPr>
                <w:rFonts w:hint="eastAsia" w:ascii="宋体" w:hAnsi="宋体" w:eastAsia="宋体" w:cs="宋体"/>
                <w:bCs/>
                <w:szCs w:val="21"/>
              </w:rPr>
              <w:t>普通话水平测试的说话技巧及扣分标准</w:t>
            </w:r>
          </w:p>
          <w:p w14:paraId="725FBD03">
            <w:pPr>
              <w:spacing w:line="276" w:lineRule="auto"/>
              <w:jc w:val="left"/>
              <w:rPr>
                <w:rFonts w:hint="eastAsia" w:ascii="宋体" w:hAnsi="宋体" w:eastAsia="宋体" w:cs="宋体"/>
                <w:color w:val="000000"/>
                <w:szCs w:val="21"/>
              </w:rPr>
            </w:pPr>
          </w:p>
        </w:tc>
        <w:tc>
          <w:tcPr>
            <w:tcW w:w="1519" w:type="dxa"/>
            <w:vAlign w:val="center"/>
          </w:tcPr>
          <w:p w14:paraId="5DE31BD7">
            <w:pPr>
              <w:spacing w:line="276" w:lineRule="auto"/>
              <w:jc w:val="left"/>
              <w:rPr>
                <w:rFonts w:hint="eastAsia" w:ascii="宋体" w:hAnsi="宋体" w:eastAsia="宋体" w:cs="宋体"/>
                <w:color w:val="000000"/>
                <w:szCs w:val="21"/>
              </w:rPr>
            </w:pPr>
          </w:p>
          <w:p w14:paraId="6CAFFBC4">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1.多媒体教学2.课堂讨论</w:t>
            </w:r>
          </w:p>
          <w:p w14:paraId="365A874A">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3.单元测验</w:t>
            </w:r>
          </w:p>
        </w:tc>
        <w:tc>
          <w:tcPr>
            <w:tcW w:w="438" w:type="dxa"/>
            <w:vAlign w:val="center"/>
          </w:tcPr>
          <w:p w14:paraId="4A04E9BD">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2</w:t>
            </w:r>
          </w:p>
        </w:tc>
      </w:tr>
      <w:tr w14:paraId="0483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2B99805F">
            <w:pPr>
              <w:spacing w:line="276" w:lineRule="auto"/>
              <w:jc w:val="center"/>
              <w:rPr>
                <w:rFonts w:hint="eastAsia" w:ascii="宋体" w:hAnsi="宋体" w:eastAsia="宋体" w:cs="宋体"/>
                <w:color w:val="000000"/>
                <w:szCs w:val="21"/>
              </w:rPr>
            </w:pPr>
          </w:p>
        </w:tc>
        <w:tc>
          <w:tcPr>
            <w:tcW w:w="7939" w:type="dxa"/>
            <w:gridSpan w:val="5"/>
            <w:vAlign w:val="center"/>
          </w:tcPr>
          <w:p w14:paraId="3ADE7D8D">
            <w:pPr>
              <w:spacing w:line="276" w:lineRule="auto"/>
              <w:jc w:val="left"/>
              <w:rPr>
                <w:rFonts w:hint="eastAsia" w:ascii="宋体" w:hAnsi="宋体" w:eastAsia="宋体" w:cs="宋体"/>
                <w:color w:val="000000"/>
                <w:szCs w:val="21"/>
              </w:rPr>
            </w:pPr>
            <w:r>
              <w:rPr>
                <w:rFonts w:hint="eastAsia" w:ascii="宋体" w:hAnsi="宋体" w:eastAsia="宋体" w:cs="宋体"/>
                <w:b/>
                <w:color w:val="000000"/>
                <w:szCs w:val="21"/>
              </w:rPr>
              <w:t>课程思政目标：</w:t>
            </w:r>
            <w:r>
              <w:rPr>
                <w:rFonts w:hint="eastAsia" w:ascii="宋体" w:hAnsi="宋体" w:eastAsia="宋体" w:cs="宋体"/>
                <w:color w:val="000000"/>
                <w:szCs w:val="21"/>
              </w:rPr>
              <w:t>了解我国现代语言的演变及其形态，确立语言自信与文化自信。</w:t>
            </w:r>
          </w:p>
        </w:tc>
      </w:tr>
    </w:tbl>
    <w:p w14:paraId="3DB421BB">
      <w:pPr>
        <w:spacing w:line="360" w:lineRule="auto"/>
        <w:jc w:val="left"/>
        <w:rPr>
          <w:rFonts w:hint="eastAsia" w:ascii="宋体" w:hAnsi="宋体" w:eastAsia="宋体" w:cs="宋体"/>
          <w:b/>
          <w:color w:val="000000"/>
          <w:szCs w:val="21"/>
        </w:rPr>
      </w:pPr>
    </w:p>
    <w:p w14:paraId="427EC83E">
      <w:pPr>
        <w:spacing w:line="360" w:lineRule="auto"/>
        <w:jc w:val="left"/>
        <w:rPr>
          <w:rFonts w:hint="eastAsia" w:ascii="宋体" w:hAnsi="宋体" w:eastAsia="宋体" w:cs="宋体"/>
          <w:sz w:val="24"/>
        </w:rPr>
      </w:pPr>
      <w:r>
        <w:rPr>
          <w:rFonts w:hint="eastAsia" w:ascii="宋体" w:hAnsi="宋体" w:eastAsia="宋体" w:cs="宋体"/>
          <w:b/>
          <w:color w:val="000000"/>
          <w:sz w:val="24"/>
        </w:rPr>
        <w:t>四、目标评价与成绩评定</w:t>
      </w:r>
    </w:p>
    <w:p w14:paraId="14D4CD0A">
      <w:pPr>
        <w:spacing w:line="360" w:lineRule="auto"/>
        <w:jc w:val="left"/>
        <w:rPr>
          <w:rFonts w:hint="eastAsia" w:ascii="宋体" w:hAnsi="宋体" w:eastAsia="宋体" w:cs="宋体"/>
          <w:b/>
          <w:szCs w:val="21"/>
        </w:rPr>
      </w:pPr>
      <w:r>
        <w:rPr>
          <w:rFonts w:hint="eastAsia" w:ascii="宋体" w:hAnsi="宋体" w:eastAsia="宋体" w:cs="宋体"/>
          <w:b/>
          <w:szCs w:val="21"/>
        </w:rPr>
        <w:t>（一）课程目标评价方式</w:t>
      </w:r>
    </w:p>
    <w:p w14:paraId="42CABC4B">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根据总体设计，用于评价各课程目标的评价方式如表3所示。</w:t>
      </w:r>
    </w:p>
    <w:p w14:paraId="76A663E8">
      <w:pPr>
        <w:spacing w:line="360" w:lineRule="auto"/>
        <w:jc w:val="center"/>
        <w:rPr>
          <w:rFonts w:hint="eastAsia" w:ascii="宋体" w:hAnsi="宋体" w:eastAsia="宋体" w:cs="宋体"/>
          <w:b/>
          <w:bCs/>
          <w:szCs w:val="21"/>
        </w:rPr>
      </w:pPr>
      <w:r>
        <w:rPr>
          <w:rFonts w:hint="eastAsia" w:ascii="宋体" w:hAnsi="宋体" w:eastAsia="宋体" w:cs="宋体"/>
          <w:b/>
          <w:bCs/>
          <w:szCs w:val="21"/>
        </w:rPr>
        <w:t>表3课程教学评价设计总表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24F8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853B33D">
            <w:pPr>
              <w:spacing w:line="360" w:lineRule="auto"/>
              <w:jc w:val="center"/>
              <w:rPr>
                <w:rFonts w:hint="eastAsia" w:ascii="宋体" w:hAnsi="宋体" w:eastAsia="宋体" w:cs="宋体"/>
                <w:szCs w:val="21"/>
              </w:rPr>
            </w:pPr>
            <w:r>
              <w:rPr>
                <w:rFonts w:hint="eastAsia" w:ascii="宋体" w:hAnsi="宋体" w:eastAsia="宋体" w:cs="宋体"/>
                <w:szCs w:val="21"/>
              </w:rPr>
              <w:t>课程目标</w:t>
            </w:r>
          </w:p>
        </w:tc>
        <w:tc>
          <w:tcPr>
            <w:tcW w:w="0" w:type="auto"/>
            <w:gridSpan w:val="6"/>
            <w:vAlign w:val="center"/>
          </w:tcPr>
          <w:p w14:paraId="6E102404">
            <w:pPr>
              <w:spacing w:line="360" w:lineRule="auto"/>
              <w:jc w:val="center"/>
              <w:rPr>
                <w:rFonts w:hint="eastAsia" w:ascii="宋体" w:hAnsi="宋体" w:eastAsia="宋体" w:cs="宋体"/>
                <w:szCs w:val="21"/>
              </w:rPr>
            </w:pPr>
            <w:r>
              <w:rPr>
                <w:rFonts w:hint="eastAsia" w:ascii="宋体" w:hAnsi="宋体" w:eastAsia="宋体" w:cs="宋体"/>
                <w:szCs w:val="21"/>
              </w:rPr>
              <w:t>评价与成绩评定方法</w:t>
            </w:r>
          </w:p>
        </w:tc>
        <w:tc>
          <w:tcPr>
            <w:tcW w:w="0" w:type="auto"/>
            <w:vMerge w:val="restart"/>
            <w:vAlign w:val="center"/>
          </w:tcPr>
          <w:p w14:paraId="7C42AD21">
            <w:pPr>
              <w:spacing w:line="360" w:lineRule="auto"/>
              <w:jc w:val="center"/>
              <w:rPr>
                <w:rFonts w:hint="eastAsia" w:ascii="宋体" w:hAnsi="宋体" w:eastAsia="宋体" w:cs="宋体"/>
                <w:szCs w:val="21"/>
              </w:rPr>
            </w:pPr>
            <w:r>
              <w:rPr>
                <w:rFonts w:hint="eastAsia" w:ascii="宋体" w:hAnsi="宋体" w:eastAsia="宋体" w:cs="宋体"/>
                <w:szCs w:val="21"/>
              </w:rPr>
              <w:t>分值</w:t>
            </w:r>
          </w:p>
        </w:tc>
      </w:tr>
      <w:tr w14:paraId="5BF3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4CF089E">
            <w:pPr>
              <w:spacing w:line="360" w:lineRule="auto"/>
              <w:jc w:val="center"/>
              <w:rPr>
                <w:rFonts w:hint="eastAsia" w:ascii="宋体" w:hAnsi="宋体" w:eastAsia="宋体" w:cs="宋体"/>
                <w:szCs w:val="21"/>
              </w:rPr>
            </w:pPr>
          </w:p>
        </w:tc>
        <w:tc>
          <w:tcPr>
            <w:tcW w:w="0" w:type="auto"/>
            <w:vAlign w:val="center"/>
          </w:tcPr>
          <w:p w14:paraId="458A8E55">
            <w:pPr>
              <w:spacing w:line="360" w:lineRule="auto"/>
              <w:jc w:val="center"/>
              <w:rPr>
                <w:rFonts w:hint="eastAsia" w:ascii="宋体" w:hAnsi="宋体" w:eastAsia="宋体" w:cs="宋体"/>
                <w:szCs w:val="21"/>
              </w:rPr>
            </w:pPr>
            <w:r>
              <w:rPr>
                <w:rFonts w:hint="eastAsia" w:ascii="宋体" w:hAnsi="宋体" w:eastAsia="宋体" w:cs="宋体"/>
                <w:szCs w:val="21"/>
              </w:rPr>
              <w:t>平时作业</w:t>
            </w:r>
          </w:p>
        </w:tc>
        <w:tc>
          <w:tcPr>
            <w:tcW w:w="0" w:type="auto"/>
            <w:vAlign w:val="center"/>
          </w:tcPr>
          <w:p w14:paraId="6F83334F">
            <w:pPr>
              <w:spacing w:line="360" w:lineRule="auto"/>
              <w:jc w:val="center"/>
              <w:rPr>
                <w:rFonts w:hint="eastAsia" w:ascii="宋体" w:hAnsi="宋体" w:eastAsia="宋体" w:cs="宋体"/>
                <w:szCs w:val="21"/>
              </w:rPr>
            </w:pPr>
            <w:r>
              <w:rPr>
                <w:rFonts w:hint="eastAsia" w:ascii="宋体" w:hAnsi="宋体" w:eastAsia="宋体" w:cs="宋体"/>
                <w:szCs w:val="21"/>
              </w:rPr>
              <w:t>课堂表现</w:t>
            </w:r>
          </w:p>
        </w:tc>
        <w:tc>
          <w:tcPr>
            <w:tcW w:w="0" w:type="auto"/>
            <w:vAlign w:val="center"/>
          </w:tcPr>
          <w:p w14:paraId="17545523">
            <w:pPr>
              <w:spacing w:line="360" w:lineRule="auto"/>
              <w:jc w:val="center"/>
              <w:rPr>
                <w:rFonts w:hint="eastAsia" w:ascii="宋体" w:hAnsi="宋体" w:eastAsia="宋体" w:cs="宋体"/>
                <w:szCs w:val="21"/>
              </w:rPr>
            </w:pPr>
            <w:r>
              <w:rPr>
                <w:rFonts w:hint="eastAsia" w:ascii="宋体" w:hAnsi="宋体" w:eastAsia="宋体" w:cs="宋体"/>
                <w:szCs w:val="21"/>
              </w:rPr>
              <w:t>语言练习</w:t>
            </w:r>
          </w:p>
        </w:tc>
        <w:tc>
          <w:tcPr>
            <w:tcW w:w="0" w:type="auto"/>
            <w:vAlign w:val="center"/>
          </w:tcPr>
          <w:p w14:paraId="1952E7E0">
            <w:pPr>
              <w:spacing w:line="360" w:lineRule="auto"/>
              <w:jc w:val="center"/>
              <w:rPr>
                <w:rFonts w:hint="eastAsia" w:ascii="宋体" w:hAnsi="宋体" w:eastAsia="宋体" w:cs="宋体"/>
                <w:szCs w:val="21"/>
              </w:rPr>
            </w:pPr>
            <w:r>
              <w:rPr>
                <w:rFonts w:hint="eastAsia" w:ascii="宋体" w:hAnsi="宋体" w:eastAsia="宋体" w:cs="宋体"/>
                <w:szCs w:val="21"/>
              </w:rPr>
              <w:t>语音打卡</w:t>
            </w:r>
          </w:p>
        </w:tc>
        <w:tc>
          <w:tcPr>
            <w:tcW w:w="0" w:type="auto"/>
            <w:vAlign w:val="center"/>
          </w:tcPr>
          <w:p w14:paraId="1C962CC8">
            <w:pPr>
              <w:spacing w:line="360" w:lineRule="auto"/>
              <w:jc w:val="center"/>
              <w:rPr>
                <w:rFonts w:hint="eastAsia" w:ascii="宋体" w:hAnsi="宋体" w:eastAsia="宋体" w:cs="宋体"/>
                <w:szCs w:val="21"/>
              </w:rPr>
            </w:pPr>
            <w:r>
              <w:rPr>
                <w:rFonts w:hint="eastAsia" w:ascii="宋体" w:hAnsi="宋体" w:eastAsia="宋体" w:cs="宋体"/>
                <w:szCs w:val="21"/>
              </w:rPr>
              <w:t>期末考试</w:t>
            </w:r>
          </w:p>
        </w:tc>
        <w:tc>
          <w:tcPr>
            <w:tcW w:w="0" w:type="auto"/>
          </w:tcPr>
          <w:p w14:paraId="4840B52B">
            <w:pPr>
              <w:spacing w:line="360" w:lineRule="auto"/>
              <w:jc w:val="center"/>
              <w:rPr>
                <w:rFonts w:hint="eastAsia" w:ascii="宋体" w:hAnsi="宋体" w:eastAsia="宋体" w:cs="宋体"/>
                <w:szCs w:val="21"/>
              </w:rPr>
            </w:pPr>
            <w:r>
              <w:rPr>
                <w:rFonts w:hint="eastAsia" w:ascii="宋体" w:hAnsi="宋体" w:eastAsia="宋体" w:cs="宋体"/>
                <w:szCs w:val="21"/>
              </w:rPr>
              <w:t>自主学习</w:t>
            </w:r>
          </w:p>
        </w:tc>
        <w:tc>
          <w:tcPr>
            <w:tcW w:w="0" w:type="auto"/>
            <w:vMerge w:val="continue"/>
            <w:vAlign w:val="center"/>
          </w:tcPr>
          <w:p w14:paraId="75731B85">
            <w:pPr>
              <w:spacing w:line="360" w:lineRule="auto"/>
              <w:jc w:val="center"/>
              <w:rPr>
                <w:rFonts w:hint="eastAsia" w:ascii="宋体" w:hAnsi="宋体" w:eastAsia="宋体" w:cs="宋体"/>
                <w:szCs w:val="21"/>
              </w:rPr>
            </w:pPr>
          </w:p>
        </w:tc>
      </w:tr>
      <w:tr w14:paraId="5D65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CAF979F">
            <w:pPr>
              <w:spacing w:line="360" w:lineRule="auto"/>
              <w:jc w:val="center"/>
              <w:rPr>
                <w:rFonts w:hint="eastAsia" w:ascii="宋体" w:hAnsi="宋体" w:eastAsia="宋体" w:cs="宋体"/>
                <w:szCs w:val="21"/>
              </w:rPr>
            </w:pPr>
            <w:r>
              <w:rPr>
                <w:rFonts w:hint="eastAsia" w:ascii="宋体" w:hAnsi="宋体" w:eastAsia="宋体" w:cs="宋体"/>
                <w:szCs w:val="21"/>
              </w:rPr>
              <w:t>课程目标1</w:t>
            </w:r>
          </w:p>
        </w:tc>
        <w:tc>
          <w:tcPr>
            <w:tcW w:w="0" w:type="auto"/>
            <w:vAlign w:val="center"/>
          </w:tcPr>
          <w:p w14:paraId="67588288">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49947818">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5FCFFEA4">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4968D62F">
            <w:pPr>
              <w:spacing w:line="360" w:lineRule="auto"/>
              <w:jc w:val="center"/>
              <w:rPr>
                <w:rFonts w:hint="eastAsia" w:ascii="宋体" w:hAnsi="宋体" w:eastAsia="宋体" w:cs="宋体"/>
                <w:szCs w:val="21"/>
              </w:rPr>
            </w:pPr>
          </w:p>
        </w:tc>
        <w:tc>
          <w:tcPr>
            <w:tcW w:w="0" w:type="auto"/>
            <w:vAlign w:val="center"/>
          </w:tcPr>
          <w:p w14:paraId="55EDA589">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18F45828">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70E6B2C5">
            <w:pPr>
              <w:spacing w:line="360" w:lineRule="auto"/>
              <w:jc w:val="center"/>
              <w:rPr>
                <w:rFonts w:hint="eastAsia" w:ascii="宋体" w:hAnsi="宋体" w:eastAsia="宋体" w:cs="宋体"/>
                <w:szCs w:val="21"/>
              </w:rPr>
            </w:pPr>
            <w:r>
              <w:rPr>
                <w:rFonts w:hint="eastAsia" w:ascii="宋体" w:hAnsi="宋体" w:eastAsia="宋体" w:cs="宋体"/>
                <w:szCs w:val="21"/>
              </w:rPr>
              <w:t>30</w:t>
            </w:r>
          </w:p>
        </w:tc>
      </w:tr>
      <w:tr w14:paraId="40DA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E1FE7BB">
            <w:pPr>
              <w:spacing w:line="360" w:lineRule="auto"/>
              <w:jc w:val="center"/>
              <w:rPr>
                <w:rFonts w:hint="eastAsia" w:ascii="宋体" w:hAnsi="宋体" w:eastAsia="宋体" w:cs="宋体"/>
                <w:szCs w:val="21"/>
              </w:rPr>
            </w:pPr>
            <w:r>
              <w:rPr>
                <w:rFonts w:hint="eastAsia" w:ascii="宋体" w:hAnsi="宋体" w:eastAsia="宋体" w:cs="宋体"/>
                <w:szCs w:val="21"/>
              </w:rPr>
              <w:t>课程目标2</w:t>
            </w:r>
          </w:p>
        </w:tc>
        <w:tc>
          <w:tcPr>
            <w:tcW w:w="0" w:type="auto"/>
            <w:vAlign w:val="center"/>
          </w:tcPr>
          <w:p w14:paraId="7909A53B">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0214C066">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7125B52F">
            <w:pPr>
              <w:spacing w:line="360" w:lineRule="auto"/>
              <w:jc w:val="center"/>
              <w:rPr>
                <w:rFonts w:hint="eastAsia" w:ascii="宋体" w:hAnsi="宋体" w:eastAsia="宋体" w:cs="宋体"/>
                <w:szCs w:val="21"/>
              </w:rPr>
            </w:pPr>
          </w:p>
        </w:tc>
        <w:tc>
          <w:tcPr>
            <w:tcW w:w="0" w:type="auto"/>
            <w:vAlign w:val="center"/>
          </w:tcPr>
          <w:p w14:paraId="4EA4CBC1">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23298973">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0B8ACE8E">
            <w:pPr>
              <w:spacing w:line="360" w:lineRule="auto"/>
              <w:jc w:val="center"/>
              <w:rPr>
                <w:rFonts w:hint="eastAsia" w:ascii="宋体" w:hAnsi="宋体" w:eastAsia="宋体" w:cs="宋体"/>
                <w:szCs w:val="21"/>
              </w:rPr>
            </w:pPr>
          </w:p>
        </w:tc>
        <w:tc>
          <w:tcPr>
            <w:tcW w:w="0" w:type="auto"/>
            <w:vAlign w:val="center"/>
          </w:tcPr>
          <w:p w14:paraId="6722E5E4">
            <w:pPr>
              <w:spacing w:line="360" w:lineRule="auto"/>
              <w:jc w:val="center"/>
              <w:rPr>
                <w:rFonts w:hint="eastAsia" w:ascii="宋体" w:hAnsi="宋体" w:eastAsia="宋体" w:cs="宋体"/>
                <w:szCs w:val="21"/>
              </w:rPr>
            </w:pPr>
            <w:r>
              <w:rPr>
                <w:rFonts w:hint="eastAsia" w:ascii="宋体" w:hAnsi="宋体" w:eastAsia="宋体" w:cs="宋体"/>
                <w:szCs w:val="21"/>
              </w:rPr>
              <w:t>40</w:t>
            </w:r>
          </w:p>
        </w:tc>
      </w:tr>
      <w:tr w14:paraId="599F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FEA800B">
            <w:pPr>
              <w:spacing w:line="360" w:lineRule="auto"/>
              <w:jc w:val="center"/>
              <w:rPr>
                <w:rFonts w:hint="eastAsia" w:ascii="宋体" w:hAnsi="宋体" w:eastAsia="宋体" w:cs="宋体"/>
                <w:szCs w:val="21"/>
              </w:rPr>
            </w:pPr>
            <w:r>
              <w:rPr>
                <w:rFonts w:hint="eastAsia" w:ascii="宋体" w:hAnsi="宋体" w:eastAsia="宋体" w:cs="宋体"/>
                <w:szCs w:val="21"/>
              </w:rPr>
              <w:t>课程目标3</w:t>
            </w:r>
          </w:p>
        </w:tc>
        <w:tc>
          <w:tcPr>
            <w:tcW w:w="0" w:type="auto"/>
            <w:vAlign w:val="center"/>
          </w:tcPr>
          <w:p w14:paraId="323EE948">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32884D58">
            <w:pPr>
              <w:spacing w:line="360" w:lineRule="auto"/>
              <w:jc w:val="center"/>
              <w:rPr>
                <w:rFonts w:hint="eastAsia" w:ascii="宋体" w:hAnsi="宋体" w:eastAsia="宋体" w:cs="宋体"/>
                <w:szCs w:val="21"/>
              </w:rPr>
            </w:pPr>
          </w:p>
        </w:tc>
        <w:tc>
          <w:tcPr>
            <w:tcW w:w="0" w:type="auto"/>
            <w:vAlign w:val="center"/>
          </w:tcPr>
          <w:p w14:paraId="320BE8CF">
            <w:pPr>
              <w:spacing w:line="360" w:lineRule="auto"/>
              <w:jc w:val="center"/>
              <w:rPr>
                <w:rFonts w:hint="eastAsia" w:ascii="宋体" w:hAnsi="宋体" w:eastAsia="宋体" w:cs="宋体"/>
                <w:szCs w:val="21"/>
              </w:rPr>
            </w:pPr>
          </w:p>
        </w:tc>
        <w:tc>
          <w:tcPr>
            <w:tcW w:w="0" w:type="auto"/>
            <w:vAlign w:val="center"/>
          </w:tcPr>
          <w:p w14:paraId="0DEF1DC0">
            <w:pPr>
              <w:spacing w:line="360" w:lineRule="auto"/>
              <w:jc w:val="center"/>
              <w:rPr>
                <w:rFonts w:hint="eastAsia" w:ascii="宋体" w:hAnsi="宋体" w:eastAsia="宋体" w:cs="宋体"/>
                <w:szCs w:val="21"/>
              </w:rPr>
            </w:pPr>
          </w:p>
        </w:tc>
        <w:tc>
          <w:tcPr>
            <w:tcW w:w="0" w:type="auto"/>
            <w:vAlign w:val="center"/>
          </w:tcPr>
          <w:p w14:paraId="29550C58">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3EC74B49">
            <w:pPr>
              <w:spacing w:line="360" w:lineRule="auto"/>
              <w:jc w:val="center"/>
              <w:rPr>
                <w:rFonts w:hint="eastAsia" w:ascii="宋体" w:hAnsi="宋体" w:eastAsia="宋体" w:cs="宋体"/>
                <w:szCs w:val="21"/>
              </w:rPr>
            </w:pPr>
          </w:p>
        </w:tc>
        <w:tc>
          <w:tcPr>
            <w:tcW w:w="0" w:type="auto"/>
            <w:vAlign w:val="center"/>
          </w:tcPr>
          <w:p w14:paraId="7E9FF5A6">
            <w:pPr>
              <w:spacing w:line="360" w:lineRule="auto"/>
              <w:jc w:val="center"/>
              <w:rPr>
                <w:rFonts w:hint="eastAsia" w:ascii="宋体" w:hAnsi="宋体" w:eastAsia="宋体" w:cs="宋体"/>
                <w:szCs w:val="21"/>
              </w:rPr>
            </w:pPr>
            <w:r>
              <w:rPr>
                <w:rFonts w:hint="eastAsia" w:ascii="宋体" w:hAnsi="宋体" w:eastAsia="宋体" w:cs="宋体"/>
                <w:szCs w:val="21"/>
              </w:rPr>
              <w:t>30</w:t>
            </w:r>
          </w:p>
        </w:tc>
      </w:tr>
      <w:tr w14:paraId="2CB9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5B208F0">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7A0DC4F0">
            <w:pPr>
              <w:spacing w:line="360" w:lineRule="auto"/>
              <w:jc w:val="center"/>
              <w:rPr>
                <w:rFonts w:hint="eastAsia" w:ascii="宋体" w:hAnsi="宋体" w:eastAsia="宋体" w:cs="Times New Roman"/>
                <w:szCs w:val="21"/>
              </w:rPr>
            </w:pPr>
          </w:p>
        </w:tc>
        <w:tc>
          <w:tcPr>
            <w:tcW w:w="0" w:type="auto"/>
            <w:vAlign w:val="center"/>
          </w:tcPr>
          <w:p w14:paraId="7D491EA6">
            <w:pPr>
              <w:spacing w:line="360" w:lineRule="auto"/>
              <w:jc w:val="center"/>
              <w:rPr>
                <w:rFonts w:hint="eastAsia" w:ascii="宋体" w:hAnsi="宋体" w:eastAsia="宋体" w:cs="Times New Roman"/>
                <w:szCs w:val="21"/>
              </w:rPr>
            </w:pPr>
          </w:p>
        </w:tc>
        <w:tc>
          <w:tcPr>
            <w:tcW w:w="0" w:type="auto"/>
            <w:vAlign w:val="center"/>
          </w:tcPr>
          <w:p w14:paraId="7929C30F">
            <w:pPr>
              <w:spacing w:line="360" w:lineRule="auto"/>
              <w:jc w:val="center"/>
              <w:rPr>
                <w:rFonts w:hint="eastAsia" w:ascii="宋体" w:hAnsi="宋体" w:eastAsia="宋体" w:cs="Times New Roman"/>
                <w:szCs w:val="21"/>
              </w:rPr>
            </w:pPr>
          </w:p>
        </w:tc>
        <w:tc>
          <w:tcPr>
            <w:tcW w:w="0" w:type="auto"/>
            <w:vAlign w:val="center"/>
          </w:tcPr>
          <w:p w14:paraId="522D00EC">
            <w:pPr>
              <w:spacing w:line="360" w:lineRule="auto"/>
              <w:jc w:val="center"/>
              <w:rPr>
                <w:rFonts w:hint="eastAsia" w:ascii="宋体" w:hAnsi="宋体" w:eastAsia="宋体" w:cs="Times New Roman"/>
                <w:szCs w:val="21"/>
              </w:rPr>
            </w:pPr>
          </w:p>
        </w:tc>
        <w:tc>
          <w:tcPr>
            <w:tcW w:w="0" w:type="auto"/>
            <w:vAlign w:val="center"/>
          </w:tcPr>
          <w:p w14:paraId="23893BEC">
            <w:pPr>
              <w:spacing w:line="360" w:lineRule="auto"/>
              <w:jc w:val="center"/>
              <w:rPr>
                <w:rFonts w:hint="eastAsia" w:ascii="宋体" w:hAnsi="宋体" w:eastAsia="宋体" w:cs="Times New Roman"/>
                <w:szCs w:val="21"/>
              </w:rPr>
            </w:pPr>
          </w:p>
        </w:tc>
        <w:tc>
          <w:tcPr>
            <w:tcW w:w="0" w:type="auto"/>
          </w:tcPr>
          <w:p w14:paraId="62CC8C92">
            <w:pPr>
              <w:spacing w:line="360" w:lineRule="auto"/>
              <w:jc w:val="center"/>
              <w:rPr>
                <w:rFonts w:hint="eastAsia" w:ascii="宋体" w:hAnsi="宋体" w:eastAsia="宋体" w:cs="Times New Roman"/>
                <w:szCs w:val="21"/>
              </w:rPr>
            </w:pPr>
          </w:p>
        </w:tc>
        <w:tc>
          <w:tcPr>
            <w:tcW w:w="0" w:type="auto"/>
            <w:vAlign w:val="center"/>
          </w:tcPr>
          <w:p w14:paraId="5C39B3F3">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D079E1C">
      <w:pPr>
        <w:spacing w:before="156" w:beforeLines="50" w:line="360" w:lineRule="auto"/>
        <w:jc w:val="left"/>
        <w:rPr>
          <w:rFonts w:ascii="Times New Roman" w:hAnsi="Times New Roman" w:eastAsia="宋体" w:cs="Times New Roman"/>
          <w:b/>
          <w:szCs w:val="21"/>
        </w:rPr>
      </w:pPr>
    </w:p>
    <w:p w14:paraId="084984AC">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7736E9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265470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CA5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61D026">
            <w:pPr>
              <w:jc w:val="center"/>
              <w:rPr>
                <w:rFonts w:ascii="Times New Roman" w:hAnsi="Times New Roman" w:eastAsia="宋体" w:cs="Times New Roman"/>
                <w:b/>
                <w:bCs/>
                <w:szCs w:val="21"/>
              </w:rPr>
            </w:pPr>
            <w:bookmarkStart w:id="80" w:name="OLE_LINK5"/>
            <w:r>
              <w:rPr>
                <w:rFonts w:hint="eastAsia" w:ascii="Times New Roman" w:hAnsi="Times New Roman" w:eastAsia="宋体" w:cs="Times New Roman"/>
                <w:b/>
                <w:bCs/>
                <w:szCs w:val="21"/>
              </w:rPr>
              <w:t>评价方式</w:t>
            </w:r>
          </w:p>
        </w:tc>
        <w:tc>
          <w:tcPr>
            <w:tcW w:w="7141" w:type="dxa"/>
            <w:vAlign w:val="center"/>
          </w:tcPr>
          <w:p w14:paraId="6D7B131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598A95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957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430F6B5">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55755B7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语音打卡八次，选三次成绩进行记录。</w:t>
            </w:r>
          </w:p>
        </w:tc>
        <w:tc>
          <w:tcPr>
            <w:tcW w:w="0" w:type="auto"/>
            <w:vAlign w:val="center"/>
          </w:tcPr>
          <w:p w14:paraId="1243AD2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5CD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BAEFC1D">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30AB8FA">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7D6743DB">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7DA31E4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728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A057C3B">
            <w:pPr>
              <w:rPr>
                <w:rFonts w:ascii="Times New Roman" w:hAnsi="Times New Roman" w:eastAsia="宋体" w:cs="Times New Roman"/>
                <w:szCs w:val="21"/>
              </w:rPr>
            </w:pPr>
            <w:r>
              <w:rPr>
                <w:rFonts w:hint="eastAsia" w:ascii="Times New Roman" w:hAnsi="Times New Roman" w:eastAsia="宋体" w:cs="Times New Roman"/>
                <w:szCs w:val="21"/>
              </w:rPr>
              <w:t>语音练习</w:t>
            </w:r>
          </w:p>
        </w:tc>
        <w:tc>
          <w:tcPr>
            <w:tcW w:w="7141" w:type="dxa"/>
            <w:vAlign w:val="center"/>
          </w:tcPr>
          <w:p w14:paraId="1F7BCCDC">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每节课都有相关的语音练习，及时纠正语音问题。</w:t>
            </w:r>
          </w:p>
        </w:tc>
        <w:tc>
          <w:tcPr>
            <w:tcW w:w="0" w:type="auto"/>
            <w:vAlign w:val="center"/>
          </w:tcPr>
          <w:p w14:paraId="6B6EDD3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A37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629C838">
            <w:pPr>
              <w:rPr>
                <w:rFonts w:ascii="Times New Roman" w:hAnsi="Times New Roman" w:eastAsia="宋体" w:cs="Times New Roman"/>
                <w:szCs w:val="21"/>
              </w:rPr>
            </w:pPr>
            <w:r>
              <w:rPr>
                <w:rFonts w:hint="eastAsia" w:ascii="Times New Roman" w:hAnsi="Times New Roman" w:eastAsia="宋体" w:cs="Times New Roman"/>
                <w:szCs w:val="21"/>
              </w:rPr>
              <w:t>语音打卡</w:t>
            </w:r>
          </w:p>
        </w:tc>
        <w:tc>
          <w:tcPr>
            <w:tcW w:w="7141" w:type="dxa"/>
            <w:vAlign w:val="center"/>
          </w:tcPr>
          <w:p w14:paraId="5BF2DB77">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每周至少使用畅言APP进行一次完整的语音打卡，并提交测试成绩。</w:t>
            </w:r>
          </w:p>
        </w:tc>
        <w:tc>
          <w:tcPr>
            <w:tcW w:w="0" w:type="auto"/>
            <w:vAlign w:val="center"/>
          </w:tcPr>
          <w:p w14:paraId="0EDA5D3E">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B65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ADCA585">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7DC6D64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课后学生自主进行语音训练，朗读和强化训练。</w:t>
            </w:r>
          </w:p>
        </w:tc>
        <w:tc>
          <w:tcPr>
            <w:tcW w:w="0" w:type="auto"/>
            <w:vAlign w:val="center"/>
          </w:tcPr>
          <w:p w14:paraId="501832E5">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99C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AA6D822">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3DBE3CC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随机自动生成试卷，采用手机软件和老师同时打分进行评估。</w:t>
            </w:r>
          </w:p>
        </w:tc>
        <w:tc>
          <w:tcPr>
            <w:tcW w:w="0" w:type="auto"/>
            <w:vAlign w:val="center"/>
          </w:tcPr>
          <w:p w14:paraId="462EB9D8">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4609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198BBA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B64E617">
            <w:pPr>
              <w:jc w:val="left"/>
              <w:rPr>
                <w:rFonts w:ascii="Times New Roman" w:hAnsi="Times New Roman" w:eastAsia="宋体" w:cs="Times New Roman"/>
                <w:szCs w:val="21"/>
              </w:rPr>
            </w:pPr>
          </w:p>
        </w:tc>
        <w:tc>
          <w:tcPr>
            <w:tcW w:w="0" w:type="auto"/>
            <w:vAlign w:val="center"/>
          </w:tcPr>
          <w:p w14:paraId="18DBDF1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bookmarkEnd w:id="80"/>
    </w:tbl>
    <w:p w14:paraId="6FB8AB06">
      <w:pPr>
        <w:spacing w:line="360" w:lineRule="auto"/>
        <w:jc w:val="left"/>
        <w:rPr>
          <w:rFonts w:hint="eastAsia" w:ascii="宋体" w:hAnsi="宋体" w:eastAsia="宋体" w:cs="Times New Roman"/>
          <w:b/>
          <w:color w:val="000000"/>
          <w:szCs w:val="21"/>
        </w:rPr>
      </w:pPr>
    </w:p>
    <w:p w14:paraId="1A85EBC2">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EB23E9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7178A15">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37"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37" DrawAspect="Content" ObjectID="_1468075737" r:id="rId22">
            <o:LockedField>false</o:LockedField>
          </o:OLEObject>
        </w:object>
      </w:r>
    </w:p>
    <w:p w14:paraId="1D192B10">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6995B9B6">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30025E19">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7A30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5E0BCE5">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79BB98E5">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2CE58520">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7C30E0E2">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0DE4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4CDCAF3">
            <w:pPr>
              <w:spacing w:line="276" w:lineRule="auto"/>
              <w:jc w:val="left"/>
              <w:rPr>
                <w:rFonts w:hint="eastAsia" w:ascii="宋体" w:hAnsi="宋体" w:eastAsia="宋体" w:cs="宋体"/>
                <w:szCs w:val="21"/>
              </w:rPr>
            </w:pPr>
            <w:r>
              <w:rPr>
                <w:rFonts w:hint="eastAsia" w:ascii="宋体" w:hAnsi="宋体" w:eastAsia="宋体" w:cs="宋体"/>
                <w:szCs w:val="21"/>
              </w:rPr>
              <w:t>普通话推广</w:t>
            </w:r>
          </w:p>
        </w:tc>
        <w:tc>
          <w:tcPr>
            <w:tcW w:w="3407" w:type="dxa"/>
            <w:vAlign w:val="center"/>
          </w:tcPr>
          <w:p w14:paraId="05EF8959">
            <w:pPr>
              <w:spacing w:line="276" w:lineRule="auto"/>
              <w:jc w:val="left"/>
              <w:rPr>
                <w:rFonts w:hint="eastAsia" w:ascii="宋体" w:hAnsi="宋体" w:eastAsia="宋体" w:cs="宋体"/>
                <w:szCs w:val="21"/>
              </w:rPr>
            </w:pPr>
            <w:r>
              <w:rPr>
                <w:rFonts w:hint="eastAsia" w:ascii="宋体" w:hAnsi="宋体" w:eastAsia="宋体" w:cs="宋体"/>
                <w:szCs w:val="21"/>
              </w:rPr>
              <w:t>通过《主持人大赛》、《朗读者》等节目进行课堂主题讨论，让学生模仿与表达</w:t>
            </w:r>
          </w:p>
        </w:tc>
        <w:tc>
          <w:tcPr>
            <w:tcW w:w="740" w:type="dxa"/>
            <w:vAlign w:val="center"/>
          </w:tcPr>
          <w:p w14:paraId="5174D03B">
            <w:pPr>
              <w:spacing w:line="276" w:lineRule="auto"/>
              <w:jc w:val="center"/>
              <w:rPr>
                <w:rFonts w:hint="eastAsia" w:ascii="宋体" w:hAnsi="宋体" w:eastAsia="宋体" w:cs="宋体"/>
                <w:szCs w:val="21"/>
              </w:rPr>
            </w:pPr>
            <w:r>
              <w:rPr>
                <w:rFonts w:hint="eastAsia" w:ascii="宋体" w:hAnsi="宋体" w:eastAsia="宋体" w:cs="宋体"/>
                <w:szCs w:val="21"/>
              </w:rPr>
              <w:t>即兴演讲</w:t>
            </w:r>
          </w:p>
        </w:tc>
        <w:tc>
          <w:tcPr>
            <w:tcW w:w="3160" w:type="dxa"/>
            <w:vAlign w:val="center"/>
          </w:tcPr>
          <w:p w14:paraId="09654A6B">
            <w:pPr>
              <w:spacing w:line="276" w:lineRule="auto"/>
              <w:jc w:val="left"/>
              <w:rPr>
                <w:rFonts w:hint="eastAsia" w:ascii="宋体" w:hAnsi="宋体" w:eastAsia="宋体" w:cs="宋体"/>
                <w:szCs w:val="21"/>
              </w:rPr>
            </w:pPr>
            <w:r>
              <w:rPr>
                <w:rFonts w:hint="eastAsia" w:ascii="宋体" w:hAnsi="宋体" w:eastAsia="宋体" w:cs="宋体"/>
                <w:szCs w:val="21"/>
              </w:rPr>
              <w:t>通过对教育家精神的领会，使学立志成为有理想信念、有道德情操、有扎实学识、有仁爱之心的“四有”好老师。</w:t>
            </w:r>
          </w:p>
        </w:tc>
      </w:tr>
      <w:tr w14:paraId="7CDB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164DF180">
            <w:pPr>
              <w:spacing w:line="276" w:lineRule="auto"/>
              <w:jc w:val="left"/>
              <w:rPr>
                <w:rFonts w:hint="eastAsia" w:ascii="宋体" w:hAnsi="宋体" w:eastAsia="宋体" w:cs="宋体"/>
                <w:szCs w:val="21"/>
              </w:rPr>
            </w:pPr>
            <w:r>
              <w:rPr>
                <w:rFonts w:hint="eastAsia" w:ascii="宋体" w:hAnsi="宋体" w:eastAsia="宋体" w:cs="宋体"/>
                <w:szCs w:val="21"/>
              </w:rPr>
              <w:t>好声音</w:t>
            </w:r>
          </w:p>
          <w:p w14:paraId="47366AB4">
            <w:pPr>
              <w:spacing w:line="276" w:lineRule="auto"/>
              <w:jc w:val="left"/>
              <w:rPr>
                <w:rFonts w:hint="eastAsia" w:ascii="宋体" w:hAnsi="宋体" w:eastAsia="宋体" w:cs="宋体"/>
                <w:szCs w:val="21"/>
              </w:rPr>
            </w:pPr>
            <w:r>
              <w:rPr>
                <w:rFonts w:hint="eastAsia" w:ascii="宋体" w:hAnsi="宋体" w:eastAsia="宋体" w:cs="宋体"/>
                <w:szCs w:val="21"/>
              </w:rPr>
              <w:t>好表达</w:t>
            </w:r>
          </w:p>
        </w:tc>
        <w:tc>
          <w:tcPr>
            <w:tcW w:w="3407" w:type="dxa"/>
            <w:vAlign w:val="center"/>
          </w:tcPr>
          <w:p w14:paraId="0DA865DE">
            <w:pPr>
              <w:spacing w:line="276" w:lineRule="auto"/>
              <w:jc w:val="left"/>
              <w:rPr>
                <w:rFonts w:hint="eastAsia" w:ascii="宋体" w:hAnsi="宋体" w:eastAsia="宋体" w:cs="宋体"/>
                <w:szCs w:val="21"/>
              </w:rPr>
            </w:pPr>
            <w:r>
              <w:rPr>
                <w:rFonts w:hint="eastAsia" w:ascii="宋体" w:hAnsi="宋体" w:eastAsia="宋体" w:cs="宋体"/>
                <w:szCs w:val="21"/>
              </w:rPr>
              <w:t>鼓励学生走出课堂进行规范的普通话表达，我的语音我做主。</w:t>
            </w:r>
          </w:p>
        </w:tc>
        <w:tc>
          <w:tcPr>
            <w:tcW w:w="740" w:type="dxa"/>
            <w:vAlign w:val="center"/>
          </w:tcPr>
          <w:p w14:paraId="1058AD66">
            <w:pPr>
              <w:spacing w:line="276" w:lineRule="auto"/>
              <w:jc w:val="center"/>
              <w:rPr>
                <w:rFonts w:hint="eastAsia" w:ascii="宋体" w:hAnsi="宋体" w:eastAsia="宋体" w:cs="宋体"/>
                <w:szCs w:val="21"/>
              </w:rPr>
            </w:pPr>
            <w:r>
              <w:rPr>
                <w:rFonts w:hint="eastAsia" w:ascii="宋体" w:hAnsi="宋体" w:eastAsia="宋体" w:cs="宋体"/>
                <w:szCs w:val="21"/>
              </w:rPr>
              <w:t>演讲比赛</w:t>
            </w:r>
          </w:p>
        </w:tc>
        <w:tc>
          <w:tcPr>
            <w:tcW w:w="3160" w:type="dxa"/>
            <w:vAlign w:val="center"/>
          </w:tcPr>
          <w:p w14:paraId="3500DAED">
            <w:pPr>
              <w:spacing w:line="276" w:lineRule="auto"/>
              <w:jc w:val="left"/>
              <w:rPr>
                <w:rFonts w:hint="eastAsia" w:ascii="宋体" w:hAnsi="宋体" w:eastAsia="宋体" w:cs="宋体"/>
                <w:szCs w:val="21"/>
              </w:rPr>
            </w:pPr>
            <w:r>
              <w:rPr>
                <w:rFonts w:hint="eastAsia" w:ascii="宋体" w:hAnsi="宋体" w:eastAsia="宋体" w:cs="宋体"/>
                <w:szCs w:val="21"/>
              </w:rPr>
              <w:t>用语言的力量激发学生爱岗敬业、立志成为卓越教师，为党和国家的发展做出贡献。</w:t>
            </w:r>
          </w:p>
        </w:tc>
      </w:tr>
    </w:tbl>
    <w:p w14:paraId="0D6764C9">
      <w:pPr>
        <w:spacing w:line="360" w:lineRule="auto"/>
        <w:jc w:val="left"/>
        <w:rPr>
          <w:rFonts w:hint="eastAsia" w:ascii="宋体" w:hAnsi="宋体" w:eastAsia="宋体" w:cs="Times New Roman"/>
          <w:b/>
          <w:color w:val="000000"/>
          <w:sz w:val="24"/>
        </w:rPr>
      </w:pPr>
    </w:p>
    <w:p w14:paraId="529235EE">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4E2BCD2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16ABF12">
      <w:pPr>
        <w:spacing w:line="360" w:lineRule="auto"/>
        <w:jc w:val="left"/>
        <w:rPr>
          <w:rFonts w:ascii="Calibri" w:hAnsi="Calibri" w:eastAsia="宋体" w:cs="Times New Roman"/>
          <w:sz w:val="24"/>
        </w:rPr>
      </w:pPr>
      <w:r>
        <w:rPr>
          <w:rFonts w:hint="eastAsia" w:ascii="Calibri" w:hAnsi="Calibri" w:eastAsia="宋体" w:cs="Times New Roman"/>
          <w:sz w:val="24"/>
        </w:rPr>
        <w:t>课程考核包括期末考查、课堂出勤、课堂表现、课后语音打卡，期末考查建议采用以普通话水平测试的朗读和说话等方式进行。</w:t>
      </w:r>
    </w:p>
    <w:p w14:paraId="7730BDD9">
      <w:pPr>
        <w:spacing w:line="360" w:lineRule="auto"/>
        <w:jc w:val="left"/>
        <w:rPr>
          <w:rFonts w:ascii="Calibri" w:hAnsi="Calibri" w:eastAsia="宋体" w:cs="Times New Roman"/>
          <w:sz w:val="24"/>
        </w:rPr>
      </w:pPr>
    </w:p>
    <w:p w14:paraId="23F02366">
      <w:pPr>
        <w:spacing w:line="360" w:lineRule="auto"/>
        <w:rPr>
          <w:rFonts w:ascii="Calibri" w:hAnsi="Calibri" w:eastAsia="宋体" w:cs="Times New Roman"/>
          <w:bCs/>
          <w:color w:val="000000"/>
          <w:szCs w:val="21"/>
        </w:rPr>
      </w:pPr>
      <w:r>
        <w:rPr>
          <w:rFonts w:hint="eastAsia" w:ascii="Calibri" w:hAnsi="Calibri" w:eastAsia="宋体" w:cs="Times New Roman"/>
          <w:bCs/>
          <w:color w:val="000000"/>
          <w:szCs w:val="21"/>
        </w:rPr>
        <w:t>（二）参考书目及学习资料</w:t>
      </w:r>
    </w:p>
    <w:p w14:paraId="4E8ABEEB">
      <w:pPr>
        <w:spacing w:line="360" w:lineRule="auto"/>
        <w:rPr>
          <w:rFonts w:hint="eastAsia" w:ascii="宋体" w:hAnsi="宋体" w:eastAsia="宋体" w:cs="Times New Roman"/>
          <w:b/>
          <w:bCs/>
          <w:szCs w:val="21"/>
        </w:rPr>
      </w:pPr>
      <w:r>
        <w:rPr>
          <w:rFonts w:hint="eastAsia" w:ascii="宋体" w:hAnsi="宋体" w:eastAsia="宋体" w:cs="Times New Roman"/>
          <w:b/>
          <w:bCs/>
          <w:szCs w:val="21"/>
        </w:rPr>
        <w:t>1.教材</w:t>
      </w:r>
    </w:p>
    <w:p w14:paraId="3BCB266C">
      <w:pPr>
        <w:spacing w:line="360" w:lineRule="auto"/>
        <w:rPr>
          <w:rFonts w:hint="eastAsia" w:ascii="宋体" w:hAnsi="宋体" w:eastAsia="宋体" w:cs="Times New Roman"/>
          <w:b/>
          <w:kern w:val="0"/>
          <w:sz w:val="24"/>
        </w:rPr>
      </w:pPr>
      <w:r>
        <w:rPr>
          <w:rFonts w:hint="eastAsia" w:ascii="宋体" w:hAnsi="宋体" w:eastAsia="宋体" w:cs="Times New Roman"/>
          <w:sz w:val="24"/>
        </w:rPr>
        <w:t>《普通话水平测试指导用书》(最新版）普通话水平测试研究组,语文出版社，2024</w:t>
      </w:r>
    </w:p>
    <w:p w14:paraId="7B8DCA08">
      <w:pPr>
        <w:spacing w:line="360" w:lineRule="auto"/>
        <w:rPr>
          <w:rFonts w:hint="eastAsia" w:ascii="宋体" w:hAnsi="宋体" w:eastAsia="宋体" w:cs="Times New Roman"/>
          <w:b/>
          <w:bCs/>
          <w:szCs w:val="21"/>
        </w:rPr>
      </w:pPr>
      <w:r>
        <w:rPr>
          <w:rFonts w:hint="eastAsia" w:ascii="宋体" w:hAnsi="宋体" w:eastAsia="宋体" w:cs="Times New Roman"/>
          <w:b/>
          <w:bCs/>
          <w:szCs w:val="21"/>
        </w:rPr>
        <w:t>2.参考书目</w:t>
      </w:r>
    </w:p>
    <w:p w14:paraId="098C9C15">
      <w:pPr>
        <w:spacing w:line="360" w:lineRule="auto"/>
        <w:rPr>
          <w:rFonts w:hint="eastAsia" w:ascii="宋体" w:hAnsi="宋体" w:eastAsia="宋体" w:cs="Times New Roman"/>
          <w:b/>
          <w:kern w:val="0"/>
          <w:sz w:val="24"/>
        </w:rPr>
      </w:pPr>
      <w:r>
        <w:rPr>
          <w:rFonts w:hint="eastAsia" w:ascii="宋体" w:hAnsi="宋体" w:eastAsia="宋体" w:cs="Times New Roman"/>
          <w:sz w:val="24"/>
        </w:rPr>
        <w:t>1、普通话水平测试研究组.《普通话水平测试指导用书》(最新版）.语文出版社，2024</w:t>
      </w:r>
    </w:p>
    <w:p w14:paraId="724C78D0">
      <w:pPr>
        <w:spacing w:line="360" w:lineRule="auto"/>
        <w:rPr>
          <w:rFonts w:hint="eastAsia" w:ascii="宋体" w:hAnsi="宋体" w:eastAsia="宋体" w:cs="Times New Roman"/>
          <w:sz w:val="24"/>
        </w:rPr>
      </w:pPr>
      <w:r>
        <w:rPr>
          <w:rFonts w:hint="eastAsia" w:ascii="宋体" w:hAnsi="宋体" w:eastAsia="宋体" w:cs="Times New Roman"/>
          <w:sz w:val="24"/>
        </w:rPr>
        <w:t>2、秦存钢等.普通话口语教程.高等教育出版社,2018</w:t>
      </w:r>
    </w:p>
    <w:p w14:paraId="7AC3C3B0">
      <w:pPr>
        <w:spacing w:line="360" w:lineRule="auto"/>
        <w:rPr>
          <w:rFonts w:hint="eastAsia" w:ascii="宋体" w:hAnsi="宋体" w:eastAsia="宋体" w:cs="Times New Roman"/>
          <w:sz w:val="24"/>
        </w:rPr>
      </w:pPr>
      <w:r>
        <w:rPr>
          <w:rFonts w:hint="eastAsia" w:ascii="宋体" w:hAnsi="宋体" w:eastAsia="宋体" w:cs="Times New Roman"/>
          <w:sz w:val="24"/>
        </w:rPr>
        <w:t>3、高乃尧.普通话教程.江苏大学出版社,2022</w:t>
      </w:r>
    </w:p>
    <w:p w14:paraId="43372827">
      <w:pPr>
        <w:spacing w:line="360" w:lineRule="auto"/>
        <w:rPr>
          <w:rFonts w:hint="eastAsia" w:ascii="宋体" w:hAnsi="宋体" w:eastAsia="宋体" w:cs="Times New Roman"/>
          <w:sz w:val="24"/>
        </w:rPr>
      </w:pPr>
      <w:r>
        <w:rPr>
          <w:rFonts w:hint="eastAsia" w:ascii="宋体" w:hAnsi="宋体" w:eastAsia="宋体" w:cs="Times New Roman"/>
          <w:sz w:val="24"/>
        </w:rPr>
        <w:t>4、周芸等.普通话训练与测试.北京大学出版社,2023</w:t>
      </w:r>
    </w:p>
    <w:p w14:paraId="360C4BB1">
      <w:pPr>
        <w:autoSpaceDE w:val="0"/>
        <w:autoSpaceDN w:val="0"/>
        <w:adjustRightInd w:val="0"/>
        <w:spacing w:line="360" w:lineRule="auto"/>
        <w:ind w:firstLine="480" w:firstLineChars="200"/>
        <w:jc w:val="right"/>
        <w:rPr>
          <w:rFonts w:ascii="Calibri" w:hAnsi="Calibri" w:eastAsia="宋体" w:cs="Times New Roman"/>
          <w:sz w:val="24"/>
        </w:rPr>
      </w:pPr>
      <w:r>
        <w:rPr>
          <w:rFonts w:ascii="Calibri" w:hAnsi="Calibri" w:eastAsia="宋体" w:cs="Times New Roman"/>
          <w:sz w:val="24"/>
        </w:rPr>
        <w:t xml:space="preserve">                                                   </w:t>
      </w:r>
    </w:p>
    <w:p w14:paraId="10C091E1">
      <w:pPr>
        <w:autoSpaceDE w:val="0"/>
        <w:autoSpaceDN w:val="0"/>
        <w:adjustRightInd w:val="0"/>
        <w:spacing w:line="360" w:lineRule="auto"/>
        <w:ind w:left="210" w:leftChars="100" w:firstLine="480" w:firstLineChars="200"/>
        <w:jc w:val="center"/>
        <w:rPr>
          <w:rFonts w:ascii="Calibri" w:hAnsi="Calibri" w:eastAsia="宋体" w:cs="Times New Roman"/>
          <w:kern w:val="0"/>
          <w:sz w:val="24"/>
          <w:szCs w:val="21"/>
        </w:rPr>
      </w:pPr>
      <w:r>
        <w:rPr>
          <w:rFonts w:ascii="Calibri" w:hAnsi="Calibri" w:eastAsia="宋体" w:cs="Times New Roman"/>
          <w:sz w:val="24"/>
        </w:rPr>
        <w:t xml:space="preserve">                                        </w:t>
      </w:r>
      <w:r>
        <w:rPr>
          <w:rFonts w:hint="eastAsia" w:ascii="Calibri" w:hAnsi="Calibri" w:eastAsia="宋体" w:cs="Times New Roman"/>
          <w:sz w:val="24"/>
        </w:rPr>
        <w:t xml:space="preserve">  </w:t>
      </w:r>
      <w:r>
        <w:rPr>
          <w:rFonts w:hint="eastAsia" w:ascii="Calibri" w:hAnsi="Calibri" w:eastAsia="宋体" w:cs="Times New Roman"/>
          <w:kern w:val="0"/>
          <w:sz w:val="24"/>
          <w:szCs w:val="21"/>
        </w:rPr>
        <w:t>执笔人：张香萍</w:t>
      </w:r>
      <w:r>
        <w:rPr>
          <w:rFonts w:ascii="Calibri" w:hAnsi="Calibri" w:eastAsia="宋体" w:cs="Times New Roman"/>
          <w:kern w:val="0"/>
          <w:sz w:val="24"/>
          <w:szCs w:val="21"/>
        </w:rPr>
        <w:t xml:space="preserve">                                                                                          </w:t>
      </w:r>
    </w:p>
    <w:p w14:paraId="46A930A4">
      <w:pPr>
        <w:autoSpaceDE w:val="0"/>
        <w:autoSpaceDN w:val="0"/>
        <w:adjustRightInd w:val="0"/>
        <w:spacing w:line="360" w:lineRule="auto"/>
        <w:ind w:firstLine="6240" w:firstLineChars="2600"/>
        <w:rPr>
          <w:rFonts w:hint="eastAsia" w:ascii="宋体" w:hAnsi="宋体" w:eastAsia="宋体" w:cs="Times New Roman"/>
          <w:kern w:val="0"/>
          <w:sz w:val="24"/>
          <w:szCs w:val="21"/>
        </w:rPr>
      </w:pPr>
      <w:r>
        <w:rPr>
          <w:rFonts w:hint="eastAsia" w:ascii="Calibri" w:hAnsi="Calibri" w:eastAsia="宋体" w:cs="Times New Roman"/>
          <w:kern w:val="0"/>
          <w:sz w:val="24"/>
          <w:szCs w:val="21"/>
        </w:rPr>
        <w:t>审定人：</w:t>
      </w:r>
      <w:r>
        <w:rPr>
          <w:rFonts w:hint="eastAsia" w:ascii="宋体" w:hAnsi="宋体" w:eastAsia="宋体" w:cs="Times New Roman"/>
          <w:kern w:val="0"/>
          <w:sz w:val="24"/>
          <w:szCs w:val="21"/>
        </w:rPr>
        <w:t xml:space="preserve"> 张律</w:t>
      </w:r>
    </w:p>
    <w:p w14:paraId="63BBDD7D">
      <w:pPr>
        <w:autoSpaceDE w:val="0"/>
        <w:autoSpaceDN w:val="0"/>
        <w:adjustRightInd w:val="0"/>
        <w:spacing w:line="360" w:lineRule="auto"/>
        <w:ind w:firstLine="6240" w:firstLineChars="2600"/>
        <w:rPr>
          <w:rFonts w:hint="eastAsia" w:ascii="宋体" w:hAnsi="宋体" w:eastAsia="宋体" w:cs="Times New Roman"/>
          <w:kern w:val="0"/>
          <w:sz w:val="24"/>
          <w:szCs w:val="21"/>
        </w:rPr>
      </w:pPr>
      <w:r>
        <w:rPr>
          <w:rFonts w:hint="eastAsia" w:ascii="宋体" w:hAnsi="宋体" w:eastAsia="宋体" w:cs="Times New Roman"/>
          <w:kern w:val="0"/>
          <w:sz w:val="24"/>
          <w:szCs w:val="21"/>
        </w:rPr>
        <w:t>审批人：岳芬</w:t>
      </w:r>
    </w:p>
    <w:p w14:paraId="392D036A">
      <w:pPr>
        <w:autoSpaceDE w:val="0"/>
        <w:autoSpaceDN w:val="0"/>
        <w:adjustRightInd w:val="0"/>
        <w:spacing w:line="360" w:lineRule="auto"/>
        <w:ind w:firstLine="6000" w:firstLineChars="2500"/>
        <w:rPr>
          <w:rFonts w:hint="eastAsia" w:ascii="宋体" w:hAnsi="宋体" w:eastAsia="宋体" w:cs="Times New Roman"/>
          <w:kern w:val="0"/>
          <w:sz w:val="24"/>
          <w:szCs w:val="21"/>
        </w:rPr>
      </w:pPr>
      <w:r>
        <w:rPr>
          <w:rFonts w:hint="eastAsia" w:ascii="宋体" w:hAnsi="宋体" w:eastAsia="宋体" w:cs="Times New Roman"/>
          <w:kern w:val="0"/>
          <w:sz w:val="24"/>
          <w:szCs w:val="21"/>
        </w:rPr>
        <w:t>审批时间：2024年8月</w:t>
      </w:r>
    </w:p>
    <w:p w14:paraId="0EE8CEC8"/>
    <w:p w14:paraId="145176E5">
      <w:pPr>
        <w:spacing w:line="360" w:lineRule="auto"/>
        <w:ind w:firstLine="562" w:firstLineChars="200"/>
        <w:rPr>
          <w:rFonts w:ascii="Calibri" w:hAnsi="Calibri" w:eastAsia="宋体" w:cs="Times New Roman"/>
          <w:b/>
          <w:sz w:val="28"/>
          <w:szCs w:val="28"/>
        </w:rPr>
      </w:pPr>
    </w:p>
    <w:p w14:paraId="144AF76D">
      <w:pPr>
        <w:spacing w:line="360" w:lineRule="auto"/>
        <w:ind w:firstLine="562" w:firstLineChars="200"/>
        <w:rPr>
          <w:rFonts w:ascii="Calibri" w:hAnsi="Calibri" w:eastAsia="宋体" w:cs="Times New Roman"/>
          <w:b/>
          <w:sz w:val="28"/>
          <w:szCs w:val="28"/>
        </w:rPr>
      </w:pPr>
    </w:p>
    <w:p w14:paraId="1B02C7F9">
      <w:pPr>
        <w:spacing w:line="360" w:lineRule="auto"/>
        <w:ind w:firstLine="562" w:firstLineChars="200"/>
        <w:rPr>
          <w:rFonts w:ascii="Calibri" w:hAnsi="Calibri" w:eastAsia="宋体" w:cs="Times New Roman"/>
          <w:b/>
          <w:sz w:val="28"/>
          <w:szCs w:val="28"/>
        </w:rPr>
      </w:pPr>
    </w:p>
    <w:p w14:paraId="54BE57D9">
      <w:pPr>
        <w:spacing w:line="360" w:lineRule="auto"/>
        <w:ind w:firstLine="562" w:firstLineChars="200"/>
        <w:rPr>
          <w:rFonts w:ascii="Calibri" w:hAnsi="Calibri" w:eastAsia="宋体" w:cs="Times New Roman"/>
          <w:b/>
          <w:sz w:val="28"/>
          <w:szCs w:val="28"/>
        </w:rPr>
      </w:pPr>
    </w:p>
    <w:p w14:paraId="253D091C">
      <w:pPr>
        <w:spacing w:line="360" w:lineRule="auto"/>
        <w:ind w:firstLine="482" w:firstLineChars="200"/>
        <w:rPr>
          <w:rFonts w:ascii="Calibri" w:hAnsi="Calibri" w:eastAsia="宋体" w:cs="Times New Roman"/>
          <w:b/>
          <w:color w:val="000000"/>
          <w:sz w:val="24"/>
        </w:rPr>
      </w:pPr>
    </w:p>
    <w:p w14:paraId="31933284">
      <w:r>
        <w:rPr>
          <w:rFonts w:hint="eastAsia"/>
        </w:rPr>
        <w:br w:type="page"/>
      </w:r>
    </w:p>
    <w:p w14:paraId="7705C665">
      <w:pPr>
        <w:pStyle w:val="2"/>
        <w:tabs>
          <w:tab w:val="left" w:pos="720"/>
          <w:tab w:val="left" w:pos="2700"/>
        </w:tabs>
      </w:pPr>
      <w:bookmarkStart w:id="81" w:name="_Toc18890"/>
      <w:r>
        <w:rPr>
          <w:rFonts w:hint="eastAsia"/>
        </w:rPr>
        <w:t>《小学心理学》课程教学大纲</w:t>
      </w:r>
      <w:bookmarkEnd w:id="75"/>
      <w:bookmarkEnd w:id="76"/>
      <w:bookmarkEnd w:id="81"/>
    </w:p>
    <w:p w14:paraId="339905BB">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（Psychology of Primary Children）</w:t>
      </w:r>
    </w:p>
    <w:p w14:paraId="107DA649">
      <w:pPr>
        <w:spacing w:line="360" w:lineRule="auto"/>
        <w:jc w:val="center"/>
        <w:rPr>
          <w:rFonts w:ascii="Times New Roman" w:hAnsi="Times New Roman" w:eastAsia="黑体" w:cs="Times New Roman"/>
          <w:bCs/>
          <w:sz w:val="30"/>
        </w:rPr>
      </w:pPr>
    </w:p>
    <w:p w14:paraId="3F60FFB5">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rPr>
        <w:t>课程代码</w:t>
      </w:r>
      <w:r>
        <w:rPr>
          <w:rFonts w:ascii="Times New Roman" w:hAnsi="Times New Roman" w:eastAsia="宋体" w:cs="Times New Roman"/>
          <w:b/>
          <w:kern w:val="0"/>
          <w:sz w:val="24"/>
        </w:rPr>
        <w:t>：</w:t>
      </w:r>
      <w:r>
        <w:rPr>
          <w:rFonts w:hint="eastAsia" w:ascii="宋体" w:hAnsi="宋体" w:eastAsia="宋体" w:cs="Times New Roman"/>
          <w:bCs/>
          <w:kern w:val="0"/>
          <w:sz w:val="24"/>
        </w:rPr>
        <w:t>2401</w:t>
      </w:r>
      <w:r>
        <w:rPr>
          <w:rFonts w:ascii="宋体" w:hAnsi="宋体" w:eastAsia="宋体" w:cs="Times New Roman"/>
          <w:bCs/>
          <w:kern w:val="0"/>
          <w:sz w:val="24"/>
        </w:rPr>
        <w:t>003</w:t>
      </w:r>
    </w:p>
    <w:p w14:paraId="073E9DA5">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学    分</w:t>
      </w:r>
      <w:r>
        <w:rPr>
          <w:rFonts w:ascii="Times New Roman" w:hAnsi="Times New Roman" w:eastAsia="宋体" w:cs="Times New Roman"/>
          <w:b/>
          <w:kern w:val="0"/>
          <w:sz w:val="24"/>
        </w:rPr>
        <w:t>：</w:t>
      </w:r>
      <w:r>
        <w:rPr>
          <w:rFonts w:ascii="Times New Roman" w:hAnsi="Times New Roman" w:eastAsia="宋体" w:cs="Times New Roman"/>
          <w:kern w:val="0"/>
          <w:sz w:val="24"/>
        </w:rPr>
        <w:t>3</w:t>
      </w:r>
    </w:p>
    <w:p w14:paraId="08328315">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学    时</w:t>
      </w:r>
      <w:r>
        <w:rPr>
          <w:rFonts w:ascii="Times New Roman" w:hAnsi="Times New Roman" w:eastAsia="宋体" w:cs="Times New Roman"/>
          <w:b/>
          <w:kern w:val="0"/>
          <w:sz w:val="24"/>
        </w:rPr>
        <w:t>：</w:t>
      </w:r>
      <w:r>
        <w:rPr>
          <w:rFonts w:ascii="Times New Roman" w:hAnsi="Times New Roman" w:eastAsia="宋体" w:cs="Times New Roman"/>
          <w:kern w:val="0"/>
          <w:sz w:val="24"/>
        </w:rPr>
        <w:t>48（其中：讲授学时39</w:t>
      </w:r>
      <w:r>
        <w:rPr>
          <w:rFonts w:hint="eastAsia" w:ascii="Times New Roman" w:hAnsi="Times New Roman" w:eastAsia="宋体" w:cs="Times New Roman"/>
          <w:kern w:val="0"/>
          <w:sz w:val="24"/>
        </w:rPr>
        <w:t>，</w:t>
      </w:r>
      <w:r>
        <w:rPr>
          <w:rFonts w:ascii="Times New Roman" w:hAnsi="Times New Roman" w:eastAsia="宋体" w:cs="Times New Roman"/>
          <w:kern w:val="0"/>
          <w:sz w:val="24"/>
        </w:rPr>
        <w:t>实验学时9）</w:t>
      </w:r>
    </w:p>
    <w:p w14:paraId="14DB82B1">
      <w:pPr>
        <w:spacing w:line="360" w:lineRule="auto"/>
        <w:ind w:firstLine="482" w:firstLineChars="200"/>
        <w:rPr>
          <w:rFonts w:ascii="Times New Roman" w:hAnsi="Times New Roman" w:eastAsia="宋体" w:cs="Times New Roman"/>
          <w:kern w:val="0"/>
          <w:sz w:val="24"/>
        </w:rPr>
      </w:pPr>
      <w:r>
        <w:rPr>
          <w:rFonts w:hint="eastAsia" w:ascii="Times New Roman" w:hAnsi="Times New Roman" w:eastAsia="宋体" w:cs="Times New Roman"/>
          <w:b/>
          <w:bCs/>
          <w:kern w:val="0"/>
          <w:sz w:val="24"/>
        </w:rPr>
        <w:t>先修课程：</w:t>
      </w:r>
      <w:r>
        <w:rPr>
          <w:rFonts w:hint="eastAsia" w:ascii="Times New Roman" w:hAnsi="Times New Roman" w:eastAsia="宋体" w:cs="Times New Roman"/>
          <w:kern w:val="0"/>
          <w:sz w:val="24"/>
        </w:rPr>
        <w:t>无</w:t>
      </w:r>
    </w:p>
    <w:p w14:paraId="44316D68">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适用专业</w:t>
      </w:r>
      <w:r>
        <w:rPr>
          <w:rFonts w:ascii="Times New Roman" w:hAnsi="Times New Roman" w:eastAsia="宋体" w:cs="Times New Roman"/>
          <w:b/>
          <w:kern w:val="0"/>
          <w:sz w:val="24"/>
        </w:rPr>
        <w:t>：</w:t>
      </w:r>
      <w:r>
        <w:rPr>
          <w:rFonts w:hint="eastAsia" w:ascii="Times New Roman" w:hAnsi="Times New Roman" w:eastAsia="宋体" w:cs="Times New Roman"/>
          <w:sz w:val="24"/>
        </w:rPr>
        <w:t>小学教育（文）、小学教育（理）</w:t>
      </w:r>
      <w:r>
        <w:rPr>
          <w:rFonts w:ascii="Times New Roman" w:hAnsi="Times New Roman" w:eastAsia="黑体" w:cs="Times New Roman"/>
          <w:sz w:val="24"/>
        </w:rPr>
        <w:t xml:space="preserve">  </w:t>
      </w:r>
      <w:r>
        <w:rPr>
          <w:rFonts w:ascii="Times New Roman" w:hAnsi="Times New Roman" w:eastAsia="宋体" w:cs="Times New Roman"/>
          <w:kern w:val="0"/>
          <w:sz w:val="24"/>
        </w:rPr>
        <w:t xml:space="preserve"> </w:t>
      </w:r>
    </w:p>
    <w:p w14:paraId="373F15F5">
      <w:pPr>
        <w:spacing w:line="360" w:lineRule="auto"/>
        <w:ind w:firstLine="480" w:firstLineChars="200"/>
        <w:rPr>
          <w:rFonts w:ascii="Times New Roman" w:hAnsi="Times New Roman" w:eastAsia="宋体" w:cs="Times New Roman"/>
          <w:kern w:val="0"/>
          <w:sz w:val="24"/>
        </w:rPr>
      </w:pPr>
    </w:p>
    <w:p w14:paraId="0A3A366B">
      <w:pPr>
        <w:spacing w:line="360" w:lineRule="auto"/>
        <w:ind w:left="480"/>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一、课程简介</w:t>
      </w:r>
    </w:p>
    <w:p w14:paraId="76465540">
      <w:pPr>
        <w:spacing w:line="360" w:lineRule="auto"/>
        <w:ind w:left="480"/>
        <w:rPr>
          <w:rFonts w:ascii="Times New Roman" w:hAnsi="Times New Roman" w:eastAsia="宋体" w:cs="Times New Roman"/>
          <w:kern w:val="0"/>
          <w:sz w:val="24"/>
        </w:rPr>
      </w:pPr>
      <w:r>
        <w:rPr>
          <w:rFonts w:hint="eastAsia" w:ascii="Times New Roman" w:hAnsi="Times New Roman" w:eastAsia="宋体" w:cs="Times New Roman"/>
          <w:kern w:val="0"/>
          <w:szCs w:val="21"/>
        </w:rPr>
        <w:t xml:space="preserve">    本课程是小学教育的专业基础必修课，课程内容包括心理学基础和发展心理学的基本观点、心理学的研究方法，以及儿童认知、情感、意志、人格、道德等各个领域发展的基本规律和理论，和对小学儿童教育的建议。通过本课程的学习，学生要了解心理学的基本概念和理论框架，形成小学生心理发展的基本理念，一方面，掌握人类心理和行为的基本规律，并运用能心理学的基础知识，描述、解释小学儿童的心理特点，有效地指导今后的教育教学工作；另一方面，全面提升教师心理素质，养成健全人格，提高教育教学素养。本课程是后续教师教育类课程的先修课程。</w:t>
      </w:r>
      <w:r>
        <w:rPr>
          <w:rFonts w:ascii="Times New Roman" w:hAnsi="Times New Roman" w:eastAsia="宋体" w:cs="Times New Roman"/>
          <w:kern w:val="0"/>
          <w:sz w:val="24"/>
        </w:rPr>
        <w:t xml:space="preserve">                         </w:t>
      </w:r>
    </w:p>
    <w:p w14:paraId="034162CD">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二</w:t>
      </w:r>
      <w:r>
        <w:rPr>
          <w:rFonts w:ascii="Times New Roman" w:hAnsi="Times New Roman" w:eastAsia="宋体" w:cs="Times New Roman"/>
          <w:b/>
          <w:sz w:val="28"/>
          <w:szCs w:val="28"/>
        </w:rPr>
        <w:t>、课程目标</w:t>
      </w:r>
    </w:p>
    <w:p w14:paraId="7E781156">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（一）课程具体目标</w:t>
      </w:r>
    </w:p>
    <w:p w14:paraId="5F3DF94B">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目标1.了解心理学的学科特点，掌握心理学的研究方法，心理现象的基本构成和主要特点，能结合实际分析心理的心理过程和个性的心理的特征，具有科学思维，形成科学的儿童观和教育观。</w:t>
      </w:r>
    </w:p>
    <w:p w14:paraId="67919620">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目标2.理解不同年龄的小学儿童身心发展特点和规律，掌握小学生心理发展的特征，学会分析影响小学儿童身心发展的因素，初步学会培养小学儿童健康发展的方法。</w:t>
      </w:r>
    </w:p>
    <w:p w14:paraId="57392855">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目标3.形成科学的儿童发展观，初步具有现代儿童教育理念，初步掌握保护和促进小学儿童身心健康发展的策略和方法。</w:t>
      </w:r>
    </w:p>
    <w:p w14:paraId="46CD357F">
      <w:pPr>
        <w:spacing w:line="360" w:lineRule="auto"/>
        <w:ind w:firstLine="482"/>
        <w:jc w:val="left"/>
        <w:rPr>
          <w:rFonts w:ascii="Times New Roman" w:hAnsi="Times New Roman" w:eastAsia="宋体" w:cs="Times New Roman"/>
          <w:szCs w:val="21"/>
        </w:rPr>
      </w:pPr>
    </w:p>
    <w:p w14:paraId="498A2333">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E4F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375421A">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w:t>
            </w:r>
          </w:p>
        </w:tc>
        <w:tc>
          <w:tcPr>
            <w:tcW w:w="5688" w:type="dxa"/>
            <w:vAlign w:val="center"/>
          </w:tcPr>
          <w:p w14:paraId="5475D2D5">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毕业要求指标点</w:t>
            </w:r>
          </w:p>
        </w:tc>
        <w:tc>
          <w:tcPr>
            <w:tcW w:w="1191" w:type="dxa"/>
            <w:vAlign w:val="center"/>
          </w:tcPr>
          <w:p w14:paraId="47262B17">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课程目标</w:t>
            </w:r>
          </w:p>
        </w:tc>
      </w:tr>
      <w:tr w14:paraId="6D2A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D0CB72A">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毕业要求5学生管理</w:t>
            </w:r>
          </w:p>
        </w:tc>
        <w:tc>
          <w:tcPr>
            <w:tcW w:w="5688" w:type="dxa"/>
            <w:vAlign w:val="center"/>
          </w:tcPr>
          <w:p w14:paraId="6BDBD31F">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指标点5-2：【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191" w:type="dxa"/>
            <w:vAlign w:val="center"/>
          </w:tcPr>
          <w:p w14:paraId="6B3F38AE">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课程目标1</w:t>
            </w:r>
          </w:p>
          <w:p w14:paraId="736E651E">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课程目标3</w:t>
            </w:r>
          </w:p>
        </w:tc>
      </w:tr>
      <w:tr w14:paraId="7428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3D2463C">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毕业要求6综合育人</w:t>
            </w:r>
          </w:p>
        </w:tc>
        <w:tc>
          <w:tcPr>
            <w:tcW w:w="5688" w:type="dxa"/>
            <w:vAlign w:val="center"/>
          </w:tcPr>
          <w:p w14:paraId="34DD1D7A">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指标点6-1：【遵循身心规律】了解不同年龄以及有特殊需要的小学生的身心发展特点和规律、不同年龄小学生学习的特点，掌握小学生良好行为习惯养成的知识。</w:t>
            </w:r>
          </w:p>
        </w:tc>
        <w:tc>
          <w:tcPr>
            <w:tcW w:w="1191" w:type="dxa"/>
            <w:vAlign w:val="center"/>
          </w:tcPr>
          <w:p w14:paraId="21C09535">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课程目标2</w:t>
            </w:r>
          </w:p>
        </w:tc>
      </w:tr>
    </w:tbl>
    <w:p w14:paraId="5E780319">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D1BCFF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学生在扎实掌握小学心理学学科知识体系、思想与方法的基础上，践行社会主义核心价值观，认同中国特色社会主义，贯彻党的教育方针，以立德树人为己任，认同教师工作的意义和专业性，形成科学的儿童观，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6F070B0D">
      <w:pPr>
        <w:spacing w:line="360" w:lineRule="auto"/>
        <w:ind w:firstLine="562" w:firstLineChars="200"/>
        <w:rPr>
          <w:rFonts w:ascii="Times New Roman" w:hAnsi="Times New Roman" w:eastAsia="宋体" w:cs="Times New Roman"/>
          <w:b/>
          <w:sz w:val="28"/>
          <w:szCs w:val="28"/>
        </w:rPr>
      </w:pPr>
    </w:p>
    <w:p w14:paraId="7C3FF25F">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769"/>
        <w:gridCol w:w="1050"/>
        <w:gridCol w:w="18"/>
        <w:gridCol w:w="3261"/>
        <w:gridCol w:w="1560"/>
        <w:gridCol w:w="438"/>
      </w:tblGrid>
      <w:tr w14:paraId="277E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Align w:val="center"/>
          </w:tcPr>
          <w:p w14:paraId="3C422212">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w:t>
            </w:r>
          </w:p>
          <w:p w14:paraId="5021D43F">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单元</w:t>
            </w:r>
          </w:p>
        </w:tc>
        <w:tc>
          <w:tcPr>
            <w:tcW w:w="1769" w:type="dxa"/>
            <w:vAlign w:val="center"/>
          </w:tcPr>
          <w:p w14:paraId="3CD84835">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知识点</w:t>
            </w:r>
          </w:p>
        </w:tc>
        <w:tc>
          <w:tcPr>
            <w:tcW w:w="1068" w:type="dxa"/>
            <w:gridSpan w:val="2"/>
            <w:vAlign w:val="center"/>
          </w:tcPr>
          <w:p w14:paraId="5056F27E">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对应</w:t>
            </w:r>
          </w:p>
          <w:p w14:paraId="32A1B26D">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课程目标</w:t>
            </w:r>
          </w:p>
        </w:tc>
        <w:tc>
          <w:tcPr>
            <w:tcW w:w="3261" w:type="dxa"/>
            <w:vAlign w:val="center"/>
          </w:tcPr>
          <w:p w14:paraId="0046D399">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预期学习成效</w:t>
            </w:r>
          </w:p>
        </w:tc>
        <w:tc>
          <w:tcPr>
            <w:tcW w:w="1560" w:type="dxa"/>
            <w:vAlign w:val="center"/>
          </w:tcPr>
          <w:p w14:paraId="38303973">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实践环节</w:t>
            </w:r>
          </w:p>
        </w:tc>
        <w:tc>
          <w:tcPr>
            <w:tcW w:w="438" w:type="dxa"/>
            <w:vAlign w:val="center"/>
          </w:tcPr>
          <w:p w14:paraId="2D18B258">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学时</w:t>
            </w:r>
          </w:p>
        </w:tc>
      </w:tr>
      <w:tr w14:paraId="681C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3ECE2B86">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1．绪论</w:t>
            </w:r>
          </w:p>
        </w:tc>
        <w:tc>
          <w:tcPr>
            <w:tcW w:w="1769" w:type="dxa"/>
            <w:vAlign w:val="center"/>
          </w:tcPr>
          <w:p w14:paraId="06688A0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1.心理学与心理现象</w:t>
            </w:r>
          </w:p>
          <w:p w14:paraId="7382DF1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2.小学儿童的发展</w:t>
            </w:r>
          </w:p>
          <w:p w14:paraId="7EB46A6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3.小学心理学的研究内容与方法</w:t>
            </w:r>
          </w:p>
        </w:tc>
        <w:tc>
          <w:tcPr>
            <w:tcW w:w="1068" w:type="dxa"/>
            <w:gridSpan w:val="2"/>
            <w:vAlign w:val="center"/>
          </w:tcPr>
          <w:p w14:paraId="6A642DD1">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w:t>
            </w:r>
          </w:p>
        </w:tc>
        <w:tc>
          <w:tcPr>
            <w:tcW w:w="3261" w:type="dxa"/>
            <w:vAlign w:val="center"/>
          </w:tcPr>
          <w:p w14:paraId="203E90C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1.了解心理学的研究对象，正确理解心理的实质</w:t>
            </w:r>
          </w:p>
          <w:p w14:paraId="1B44102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2.掌握发展的一般概念，理解儿童发展的年龄特征</w:t>
            </w:r>
          </w:p>
          <w:p w14:paraId="1D2DAD4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3.了解小学心理学的研究内容和研究方法，知道心理学的主要流派</w:t>
            </w:r>
          </w:p>
        </w:tc>
        <w:tc>
          <w:tcPr>
            <w:tcW w:w="1560" w:type="dxa"/>
            <w:vAlign w:val="center"/>
          </w:tcPr>
          <w:p w14:paraId="7C5D13DE">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1.线上学习</w:t>
            </w:r>
          </w:p>
          <w:p w14:paraId="19D029C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2.多媒体教学3.课堂讨论</w:t>
            </w:r>
          </w:p>
          <w:p w14:paraId="61DE9F9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4.单元测验</w:t>
            </w:r>
          </w:p>
        </w:tc>
        <w:tc>
          <w:tcPr>
            <w:tcW w:w="438" w:type="dxa"/>
            <w:vAlign w:val="center"/>
          </w:tcPr>
          <w:p w14:paraId="349C37F9">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6</w:t>
            </w:r>
          </w:p>
        </w:tc>
      </w:tr>
      <w:tr w14:paraId="272B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16E1938C">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66E62BD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bCs/>
                <w:color w:val="000000"/>
                <w:kern w:val="0"/>
                <w:sz w:val="20"/>
                <w:szCs w:val="21"/>
              </w:rPr>
              <w:t>在充分了解心理学的学科特点和小学心理学的学习内容的基础上，</w:t>
            </w:r>
            <w:r>
              <w:rPr>
                <w:rFonts w:hint="eastAsia" w:ascii="宋体" w:hAnsi="宋体" w:eastAsia="宋体" w:cs="Times New Roman"/>
                <w:color w:val="000000"/>
                <w:kern w:val="0"/>
                <w:sz w:val="20"/>
                <w:szCs w:val="21"/>
              </w:rPr>
              <w:t>形成初步的科学的儿童观，具备基本的发展观，对师范生的学习生涯产生较大的兴趣，同时形成科学的人生观和自我发展意识。</w:t>
            </w:r>
          </w:p>
        </w:tc>
      </w:tr>
      <w:tr w14:paraId="6C09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51E9E298">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2．小学儿童的注意</w:t>
            </w:r>
          </w:p>
        </w:tc>
        <w:tc>
          <w:tcPr>
            <w:tcW w:w="1769" w:type="dxa"/>
            <w:vAlign w:val="center"/>
          </w:tcPr>
          <w:p w14:paraId="14A6D31D">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1.注意的概述</w:t>
            </w:r>
          </w:p>
          <w:p w14:paraId="5EFDB69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2.小学儿童的注意</w:t>
            </w:r>
          </w:p>
        </w:tc>
        <w:tc>
          <w:tcPr>
            <w:tcW w:w="1068" w:type="dxa"/>
            <w:gridSpan w:val="2"/>
            <w:vAlign w:val="center"/>
          </w:tcPr>
          <w:p w14:paraId="4653458E">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03A02BF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（1）正确理解注意的含义、注意与其他心理过程的关系，注意的外部表现，注意的种类，注意的品质</w:t>
            </w:r>
          </w:p>
          <w:p w14:paraId="32C41C6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（2）理解三种注意之间的关系，掌握引起无意注意、有意注意的条件；小学儿童注意发展的一般特点</w:t>
            </w:r>
          </w:p>
          <w:p w14:paraId="28820AD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（3）学会培养小学儿童良好注意品质；初步具有在教学的各个阶段恰当组织学生注意，提高课堂效果的能力</w:t>
            </w:r>
            <w:r>
              <w:rPr>
                <w:rFonts w:ascii="宋体" w:hAnsi="宋体" w:eastAsia="宋体" w:cs="Times New Roman"/>
                <w:color w:val="000000"/>
                <w:kern w:val="0"/>
                <w:sz w:val="20"/>
                <w:szCs w:val="21"/>
              </w:rPr>
              <w:t>。</w:t>
            </w:r>
          </w:p>
        </w:tc>
        <w:tc>
          <w:tcPr>
            <w:tcW w:w="1560" w:type="dxa"/>
            <w:vAlign w:val="center"/>
          </w:tcPr>
          <w:p w14:paraId="1FE76E4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1.线上学习</w:t>
            </w:r>
          </w:p>
          <w:p w14:paraId="0C7EFAF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2.多媒体教学3.课堂讨论</w:t>
            </w:r>
          </w:p>
          <w:p w14:paraId="7E6E35F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4.单元测验</w:t>
            </w:r>
          </w:p>
          <w:p w14:paraId="6518F79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5.划消实验</w:t>
            </w:r>
          </w:p>
        </w:tc>
        <w:tc>
          <w:tcPr>
            <w:tcW w:w="438" w:type="dxa"/>
            <w:vAlign w:val="center"/>
          </w:tcPr>
          <w:p w14:paraId="09DFDC0A">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w:t>
            </w:r>
          </w:p>
        </w:tc>
      </w:tr>
      <w:tr w14:paraId="3838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352664E8">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1CF9DA4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16DD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627E00FB">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 小学儿童的感知觉</w:t>
            </w:r>
          </w:p>
        </w:tc>
        <w:tc>
          <w:tcPr>
            <w:tcW w:w="1769" w:type="dxa"/>
            <w:vAlign w:val="center"/>
          </w:tcPr>
          <w:p w14:paraId="16F88DB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1.感知觉概述</w:t>
            </w:r>
          </w:p>
          <w:p w14:paraId="5861EBA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2.小学儿童的感知觉</w:t>
            </w:r>
          </w:p>
        </w:tc>
        <w:tc>
          <w:tcPr>
            <w:tcW w:w="1068" w:type="dxa"/>
            <w:gridSpan w:val="2"/>
            <w:vAlign w:val="center"/>
          </w:tcPr>
          <w:p w14:paraId="3F9AC375">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2F492C2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1.了解感觉和知觉的类型、理解感觉和知觉的概念</w:t>
            </w:r>
          </w:p>
          <w:p w14:paraId="252FCD6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2.掌握感觉的基本规律、知觉的特性，小学儿童感知觉发展的特点</w:t>
            </w:r>
          </w:p>
          <w:p w14:paraId="35E7BE3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3.正确把握感受性与感觉阈限的关系，懂得如何促进小学儿童观察力的发展</w:t>
            </w:r>
          </w:p>
          <w:p w14:paraId="1678F6A3">
            <w:pPr>
              <w:spacing w:line="269" w:lineRule="auto"/>
              <w:jc w:val="left"/>
              <w:rPr>
                <w:rFonts w:hint="eastAsia" w:ascii="宋体" w:hAnsi="宋体" w:eastAsia="宋体" w:cs="Times New Roman"/>
                <w:color w:val="000000"/>
                <w:kern w:val="0"/>
                <w:sz w:val="20"/>
                <w:szCs w:val="21"/>
              </w:rPr>
            </w:pPr>
          </w:p>
        </w:tc>
        <w:tc>
          <w:tcPr>
            <w:tcW w:w="1560" w:type="dxa"/>
            <w:vAlign w:val="center"/>
          </w:tcPr>
          <w:p w14:paraId="399A7699">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75C4ABF0">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150506A8">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p w14:paraId="7CDD273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5.简单反应时实验</w:t>
            </w:r>
          </w:p>
        </w:tc>
        <w:tc>
          <w:tcPr>
            <w:tcW w:w="438" w:type="dxa"/>
            <w:vAlign w:val="center"/>
          </w:tcPr>
          <w:p w14:paraId="4B36F838">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w:t>
            </w:r>
          </w:p>
        </w:tc>
      </w:tr>
      <w:tr w14:paraId="7ED8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4759770D">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4E39149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71C4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437CC5E9">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4.小学儿童的记忆</w:t>
            </w:r>
          </w:p>
        </w:tc>
        <w:tc>
          <w:tcPr>
            <w:tcW w:w="1769" w:type="dxa"/>
            <w:vAlign w:val="center"/>
          </w:tcPr>
          <w:p w14:paraId="24C164C5">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1.记忆概述</w:t>
            </w:r>
          </w:p>
          <w:p w14:paraId="2A43AD5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2.小学儿童的记忆</w:t>
            </w:r>
          </w:p>
        </w:tc>
        <w:tc>
          <w:tcPr>
            <w:tcW w:w="1068" w:type="dxa"/>
            <w:gridSpan w:val="2"/>
            <w:vAlign w:val="center"/>
          </w:tcPr>
          <w:p w14:paraId="015D98EF">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7EC0B062">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1.了解记忆的含义，记忆的分类，记忆的品质；理解影响遗忘的因素，三种记忆的相互关系</w:t>
            </w:r>
          </w:p>
          <w:p w14:paraId="413B9C35">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2.掌握遗忘的规律，小学儿童记忆发展的特点</w:t>
            </w:r>
          </w:p>
          <w:p w14:paraId="26E48555">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3.学会有效运用增进记忆的方法，懂得小学儿童良好记忆策略的方法</w:t>
            </w:r>
          </w:p>
        </w:tc>
        <w:tc>
          <w:tcPr>
            <w:tcW w:w="1560" w:type="dxa"/>
            <w:vAlign w:val="center"/>
          </w:tcPr>
          <w:p w14:paraId="27DBCCD2">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364D5DF2">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5119D598">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p w14:paraId="6724096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5.记忆实验</w:t>
            </w:r>
          </w:p>
        </w:tc>
        <w:tc>
          <w:tcPr>
            <w:tcW w:w="438" w:type="dxa"/>
            <w:vAlign w:val="center"/>
          </w:tcPr>
          <w:p w14:paraId="6C897E72">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w:t>
            </w:r>
          </w:p>
        </w:tc>
      </w:tr>
      <w:tr w14:paraId="25D5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2510B1D7">
            <w:pPr>
              <w:spacing w:line="276" w:lineRule="auto"/>
              <w:jc w:val="center"/>
              <w:rPr>
                <w:rFonts w:hint="eastAsia" w:ascii="宋体" w:hAnsi="宋体" w:eastAsia="宋体" w:cs="Times New Roman"/>
                <w:color w:val="000000"/>
                <w:kern w:val="0"/>
                <w:sz w:val="20"/>
                <w:szCs w:val="21"/>
              </w:rPr>
            </w:pPr>
          </w:p>
        </w:tc>
        <w:tc>
          <w:tcPr>
            <w:tcW w:w="8096" w:type="dxa"/>
            <w:gridSpan w:val="6"/>
            <w:vAlign w:val="center"/>
          </w:tcPr>
          <w:p w14:paraId="0C83580E">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4D53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1552B4F2">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5.小学儿童的言语</w:t>
            </w:r>
          </w:p>
        </w:tc>
        <w:tc>
          <w:tcPr>
            <w:tcW w:w="1769" w:type="dxa"/>
            <w:vAlign w:val="center"/>
          </w:tcPr>
          <w:p w14:paraId="20F453AD">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1.言语概述</w:t>
            </w:r>
          </w:p>
          <w:p w14:paraId="583ACA52">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2.小学儿童的言语</w:t>
            </w:r>
          </w:p>
        </w:tc>
        <w:tc>
          <w:tcPr>
            <w:tcW w:w="1068" w:type="dxa"/>
            <w:gridSpan w:val="2"/>
            <w:vAlign w:val="center"/>
          </w:tcPr>
          <w:p w14:paraId="627087A6">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1210DFAC">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ascii="宋体" w:hAnsi="宋体" w:eastAsia="宋体" w:cs="Times New Roman"/>
                <w:color w:val="000000"/>
                <w:kern w:val="0"/>
                <w:sz w:val="20"/>
                <w:szCs w:val="21"/>
              </w:rPr>
              <w:t xml:space="preserve"> </w:t>
            </w:r>
            <w:r>
              <w:rPr>
                <w:rFonts w:hint="eastAsia" w:ascii="宋体" w:hAnsi="宋体" w:eastAsia="宋体" w:cs="Times New Roman"/>
                <w:color w:val="000000"/>
                <w:kern w:val="0"/>
                <w:sz w:val="20"/>
                <w:szCs w:val="21"/>
              </w:rPr>
              <w:t>理解言语的概念及特征，了解言语和语言的关系，言语的分类</w:t>
            </w:r>
          </w:p>
          <w:p w14:paraId="2C618055">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2.掌握小学儿童言语发展的特点，懂得小学儿童言语能力培养的心理基础</w:t>
            </w:r>
          </w:p>
          <w:p w14:paraId="33851538">
            <w:pPr>
              <w:spacing w:line="276" w:lineRule="auto"/>
              <w:jc w:val="left"/>
              <w:rPr>
                <w:rFonts w:hint="eastAsia" w:ascii="宋体" w:hAnsi="宋体" w:eastAsia="宋体" w:cs="Times New Roman"/>
                <w:color w:val="000000"/>
                <w:kern w:val="0"/>
                <w:sz w:val="20"/>
                <w:szCs w:val="21"/>
              </w:rPr>
            </w:pPr>
          </w:p>
        </w:tc>
        <w:tc>
          <w:tcPr>
            <w:tcW w:w="1560" w:type="dxa"/>
            <w:vAlign w:val="center"/>
          </w:tcPr>
          <w:p w14:paraId="138BE51B">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78E0F587">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69382923">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2A8F0F8A">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669F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2640BD21">
            <w:pPr>
              <w:spacing w:line="276" w:lineRule="auto"/>
              <w:jc w:val="center"/>
              <w:rPr>
                <w:rFonts w:hint="eastAsia" w:ascii="宋体" w:hAnsi="宋体" w:eastAsia="宋体" w:cs="Times New Roman"/>
                <w:color w:val="000000"/>
                <w:kern w:val="0"/>
                <w:sz w:val="20"/>
                <w:szCs w:val="21"/>
              </w:rPr>
            </w:pPr>
          </w:p>
        </w:tc>
        <w:tc>
          <w:tcPr>
            <w:tcW w:w="8096" w:type="dxa"/>
            <w:gridSpan w:val="6"/>
            <w:vAlign w:val="center"/>
          </w:tcPr>
          <w:p w14:paraId="1CA4500A">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7901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0A53B304">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6.小学儿童的想象</w:t>
            </w:r>
          </w:p>
        </w:tc>
        <w:tc>
          <w:tcPr>
            <w:tcW w:w="1769" w:type="dxa"/>
            <w:vAlign w:val="center"/>
          </w:tcPr>
          <w:p w14:paraId="4807502F">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1.想象概述</w:t>
            </w:r>
          </w:p>
          <w:p w14:paraId="5B9BE999">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2.小学儿童的想象</w:t>
            </w:r>
          </w:p>
        </w:tc>
        <w:tc>
          <w:tcPr>
            <w:tcW w:w="1068" w:type="dxa"/>
            <w:gridSpan w:val="2"/>
            <w:vAlign w:val="center"/>
          </w:tcPr>
          <w:p w14:paraId="075D7A36">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2826251D">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1.理解表象、想象概念，了解想象的种类、想象与记忆、思维的关系</w:t>
            </w:r>
          </w:p>
          <w:p w14:paraId="5A6A858D">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2.掌握小学儿童想象发展的特点，懂得小学生想象力、创造性思维能力的培养的方法</w:t>
            </w:r>
          </w:p>
          <w:p w14:paraId="43925F05">
            <w:pPr>
              <w:spacing w:line="276" w:lineRule="auto"/>
              <w:jc w:val="left"/>
              <w:rPr>
                <w:rFonts w:hint="eastAsia" w:ascii="宋体" w:hAnsi="宋体" w:eastAsia="宋体" w:cs="Times New Roman"/>
                <w:color w:val="000000"/>
                <w:kern w:val="0"/>
                <w:sz w:val="20"/>
                <w:szCs w:val="21"/>
              </w:rPr>
            </w:pPr>
          </w:p>
        </w:tc>
        <w:tc>
          <w:tcPr>
            <w:tcW w:w="1560" w:type="dxa"/>
            <w:vAlign w:val="center"/>
          </w:tcPr>
          <w:p w14:paraId="615412C3">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7160BBC5">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27107B37">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p w14:paraId="3E53B031">
            <w:pPr>
              <w:spacing w:line="276" w:lineRule="auto"/>
              <w:jc w:val="left"/>
              <w:rPr>
                <w:rFonts w:hint="eastAsia" w:ascii="宋体" w:hAnsi="宋体" w:eastAsia="宋体" w:cs="Times New Roman"/>
                <w:color w:val="000000"/>
                <w:kern w:val="0"/>
                <w:sz w:val="20"/>
                <w:szCs w:val="21"/>
              </w:rPr>
            </w:pPr>
          </w:p>
        </w:tc>
        <w:tc>
          <w:tcPr>
            <w:tcW w:w="438" w:type="dxa"/>
            <w:vAlign w:val="center"/>
          </w:tcPr>
          <w:p w14:paraId="2B9B1F05">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230C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54339077">
            <w:pPr>
              <w:spacing w:line="276" w:lineRule="auto"/>
              <w:jc w:val="center"/>
              <w:rPr>
                <w:rFonts w:hint="eastAsia" w:ascii="宋体" w:hAnsi="宋体" w:eastAsia="宋体" w:cs="Times New Roman"/>
                <w:color w:val="000000"/>
                <w:kern w:val="0"/>
                <w:sz w:val="20"/>
                <w:szCs w:val="21"/>
              </w:rPr>
            </w:pPr>
          </w:p>
        </w:tc>
        <w:tc>
          <w:tcPr>
            <w:tcW w:w="8096" w:type="dxa"/>
            <w:gridSpan w:val="6"/>
            <w:vAlign w:val="center"/>
          </w:tcPr>
          <w:p w14:paraId="593A0CDB">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25D5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20B837E4">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7.小学儿童的思维</w:t>
            </w:r>
          </w:p>
        </w:tc>
        <w:tc>
          <w:tcPr>
            <w:tcW w:w="1769" w:type="dxa"/>
            <w:vAlign w:val="center"/>
          </w:tcPr>
          <w:p w14:paraId="5644EC42">
            <w:pPr>
              <w:spacing w:line="276"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1，思维概述</w:t>
            </w:r>
          </w:p>
          <w:p w14:paraId="2D28964A">
            <w:pPr>
              <w:spacing w:line="276"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2.小学儿童的思维发展</w:t>
            </w:r>
          </w:p>
        </w:tc>
        <w:tc>
          <w:tcPr>
            <w:tcW w:w="1068" w:type="dxa"/>
            <w:gridSpan w:val="2"/>
            <w:vAlign w:val="center"/>
          </w:tcPr>
          <w:p w14:paraId="091A6775">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w:t>
            </w:r>
          </w:p>
        </w:tc>
        <w:tc>
          <w:tcPr>
            <w:tcW w:w="3261" w:type="dxa"/>
            <w:vAlign w:val="center"/>
          </w:tcPr>
          <w:p w14:paraId="54FFAD6C">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1.理解思维的概念，思维的类型和品质</w:t>
            </w:r>
          </w:p>
          <w:p w14:paraId="6FACF1BB">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2.了解思维的过程和形式，掌握小学儿童思维发展的特点，懂得小学生创造性思维能力的培养的方法</w:t>
            </w:r>
          </w:p>
          <w:p w14:paraId="58C2898B">
            <w:pPr>
              <w:spacing w:line="276" w:lineRule="auto"/>
              <w:jc w:val="left"/>
              <w:rPr>
                <w:rFonts w:hint="eastAsia" w:ascii="宋体" w:hAnsi="宋体" w:eastAsia="宋体" w:cs="Times New Roman"/>
                <w:color w:val="000000"/>
                <w:kern w:val="0"/>
                <w:sz w:val="20"/>
                <w:szCs w:val="21"/>
              </w:rPr>
            </w:pPr>
          </w:p>
        </w:tc>
        <w:tc>
          <w:tcPr>
            <w:tcW w:w="1560" w:type="dxa"/>
            <w:vAlign w:val="center"/>
          </w:tcPr>
          <w:p w14:paraId="3A238804">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0025D839">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46E4C338">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5122243E">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w:t>
            </w:r>
          </w:p>
        </w:tc>
      </w:tr>
      <w:tr w14:paraId="6692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03BCECF9">
            <w:pPr>
              <w:spacing w:line="276" w:lineRule="auto"/>
              <w:jc w:val="center"/>
              <w:rPr>
                <w:rFonts w:hint="eastAsia" w:ascii="宋体" w:hAnsi="宋体" w:eastAsia="宋体" w:cs="Times New Roman"/>
                <w:color w:val="000000"/>
                <w:kern w:val="0"/>
                <w:sz w:val="20"/>
                <w:szCs w:val="21"/>
              </w:rPr>
            </w:pPr>
          </w:p>
        </w:tc>
        <w:tc>
          <w:tcPr>
            <w:tcW w:w="8096" w:type="dxa"/>
            <w:gridSpan w:val="6"/>
            <w:vAlign w:val="center"/>
          </w:tcPr>
          <w:p w14:paraId="01DBC149">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6CBD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27562490">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8.小学儿童的情绪和情感</w:t>
            </w:r>
          </w:p>
        </w:tc>
        <w:tc>
          <w:tcPr>
            <w:tcW w:w="1769" w:type="dxa"/>
            <w:vAlign w:val="center"/>
          </w:tcPr>
          <w:p w14:paraId="2EC56DEC">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1.情绪、情感概述</w:t>
            </w:r>
          </w:p>
          <w:p w14:paraId="6716C6C1">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2.小学儿童的情绪与情感</w:t>
            </w:r>
          </w:p>
        </w:tc>
        <w:tc>
          <w:tcPr>
            <w:tcW w:w="1068" w:type="dxa"/>
            <w:gridSpan w:val="2"/>
            <w:vAlign w:val="center"/>
          </w:tcPr>
          <w:p w14:paraId="6FD3DA03">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2D5FA79E">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1.理解情绪、情感的概念，了解情绪与情感的关系以及情感过程与认识过程的关系，情绪情感的功能及分类</w:t>
            </w:r>
          </w:p>
          <w:p w14:paraId="49AE1C0F">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2.掌握小学儿童情绪情感发展的特点，懂得如何培养小学儿童的情感</w:t>
            </w:r>
          </w:p>
        </w:tc>
        <w:tc>
          <w:tcPr>
            <w:tcW w:w="1560" w:type="dxa"/>
            <w:vAlign w:val="center"/>
          </w:tcPr>
          <w:p w14:paraId="3777461D">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75C99821">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51DE22C6">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51E8D846">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6DCA0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4C5A527C">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401B2E3F">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523E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798211A0">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9.小学儿童的意志</w:t>
            </w:r>
          </w:p>
        </w:tc>
        <w:tc>
          <w:tcPr>
            <w:tcW w:w="1769" w:type="dxa"/>
            <w:vAlign w:val="center"/>
          </w:tcPr>
          <w:p w14:paraId="0DEB3352">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1.意志概述</w:t>
            </w:r>
          </w:p>
          <w:p w14:paraId="131C7E93">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2.小学儿童的意志</w:t>
            </w:r>
          </w:p>
        </w:tc>
        <w:tc>
          <w:tcPr>
            <w:tcW w:w="1068" w:type="dxa"/>
            <w:gridSpan w:val="2"/>
            <w:vAlign w:val="center"/>
          </w:tcPr>
          <w:p w14:paraId="47308034">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2AB32A93">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ascii="宋体" w:hAnsi="宋体" w:eastAsia="宋体" w:cs="Times New Roman"/>
                <w:color w:val="000000"/>
                <w:kern w:val="0"/>
                <w:sz w:val="20"/>
                <w:szCs w:val="21"/>
              </w:rPr>
              <w:t xml:space="preserve"> </w:t>
            </w:r>
            <w:r>
              <w:rPr>
                <w:rFonts w:hint="eastAsia" w:ascii="宋体" w:hAnsi="宋体" w:eastAsia="宋体" w:cs="Times New Roman"/>
                <w:color w:val="000000"/>
                <w:kern w:val="0"/>
                <w:sz w:val="20"/>
                <w:szCs w:val="21"/>
              </w:rPr>
              <w:t>了解意志的品质及意志与认知、情感过程的关系，意志行动的具体表现和阶段，理解意志的概念和特征</w:t>
            </w:r>
          </w:p>
          <w:p w14:paraId="36752185">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2.掌握小学儿童意志发展特点，懂得小学意志力培养的方法</w:t>
            </w:r>
          </w:p>
          <w:p w14:paraId="4693B62B">
            <w:pPr>
              <w:spacing w:line="264" w:lineRule="auto"/>
              <w:jc w:val="left"/>
              <w:rPr>
                <w:rFonts w:hint="eastAsia" w:ascii="宋体" w:hAnsi="宋体" w:eastAsia="宋体" w:cs="Times New Roman"/>
                <w:color w:val="000000"/>
                <w:kern w:val="0"/>
                <w:sz w:val="20"/>
                <w:szCs w:val="21"/>
              </w:rPr>
            </w:pPr>
          </w:p>
        </w:tc>
        <w:tc>
          <w:tcPr>
            <w:tcW w:w="1560" w:type="dxa"/>
            <w:vAlign w:val="center"/>
          </w:tcPr>
          <w:p w14:paraId="2BC07B12">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123E2727">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7570ACD3">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7EA31A8D">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p>
        </w:tc>
      </w:tr>
      <w:tr w14:paraId="4B3A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46068A35">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03F0E2D5">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5D73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2642C1B3">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10.小学儿童的个性倾向性</w:t>
            </w:r>
          </w:p>
        </w:tc>
        <w:tc>
          <w:tcPr>
            <w:tcW w:w="1769" w:type="dxa"/>
            <w:vAlign w:val="center"/>
          </w:tcPr>
          <w:p w14:paraId="6A0DB14A">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1．个性概述</w:t>
            </w:r>
          </w:p>
          <w:p w14:paraId="2A5745BE">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2.小学儿童的需要</w:t>
            </w:r>
          </w:p>
          <w:p w14:paraId="711B460A">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3.小学儿童的兴趣</w:t>
            </w:r>
          </w:p>
        </w:tc>
        <w:tc>
          <w:tcPr>
            <w:tcW w:w="1068" w:type="dxa"/>
            <w:gridSpan w:val="2"/>
            <w:vAlign w:val="center"/>
          </w:tcPr>
          <w:p w14:paraId="3E5ADA6E">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w:t>
            </w:r>
          </w:p>
          <w:p w14:paraId="3E7A7DE9">
            <w:pPr>
              <w:spacing w:line="264" w:lineRule="auto"/>
              <w:jc w:val="center"/>
              <w:rPr>
                <w:rFonts w:hint="eastAsia" w:ascii="宋体" w:hAnsi="宋体" w:eastAsia="宋体" w:cs="Times New Roman"/>
                <w:color w:val="000000"/>
                <w:kern w:val="0"/>
                <w:sz w:val="20"/>
                <w:szCs w:val="21"/>
              </w:rPr>
            </w:pPr>
          </w:p>
        </w:tc>
        <w:tc>
          <w:tcPr>
            <w:tcW w:w="3261" w:type="dxa"/>
            <w:vAlign w:val="center"/>
          </w:tcPr>
          <w:p w14:paraId="7C3D2636">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了解兴趣的作用、分类和品质，理解个性、需要和兴趣的概念及基本特征</w:t>
            </w:r>
          </w:p>
          <w:p w14:paraId="50EFEC43">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2.掌握小学儿童需要和兴趣的发展特点</w:t>
            </w:r>
          </w:p>
          <w:p w14:paraId="1F47AFEB">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3.懂得正确引导小学儿童的需要，学会小学儿童兴趣的培养方法</w:t>
            </w:r>
            <w:r>
              <w:rPr>
                <w:rFonts w:ascii="宋体" w:hAnsi="宋体" w:eastAsia="宋体" w:cs="Times New Roman"/>
                <w:color w:val="000000"/>
                <w:kern w:val="0"/>
                <w:sz w:val="20"/>
                <w:szCs w:val="21"/>
              </w:rPr>
              <w:t xml:space="preserve"> </w:t>
            </w:r>
          </w:p>
        </w:tc>
        <w:tc>
          <w:tcPr>
            <w:tcW w:w="1560" w:type="dxa"/>
            <w:vAlign w:val="center"/>
          </w:tcPr>
          <w:p w14:paraId="1C347B3A">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24682408">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4A3B1714">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57F141BE">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6</w:t>
            </w:r>
          </w:p>
        </w:tc>
      </w:tr>
      <w:tr w14:paraId="476F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42E2AD2D">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0D1A5D09">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形成科学的儿童注意的发展观，对学生发展的个别差异和特点有所了解，初步形成全人教育理念，为大国良师打下基础。</w:t>
            </w:r>
          </w:p>
        </w:tc>
      </w:tr>
      <w:tr w14:paraId="7DEF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27FA96FA">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11.小学儿童的气质与性格</w:t>
            </w:r>
          </w:p>
        </w:tc>
        <w:tc>
          <w:tcPr>
            <w:tcW w:w="1769" w:type="dxa"/>
            <w:vAlign w:val="center"/>
          </w:tcPr>
          <w:p w14:paraId="537EAAFE">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1.气质与性格概述</w:t>
            </w:r>
          </w:p>
          <w:p w14:paraId="3D72B8A0">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Cs/>
                <w:color w:val="000000"/>
                <w:kern w:val="0"/>
                <w:sz w:val="20"/>
                <w:szCs w:val="21"/>
              </w:rPr>
              <w:t>2.小学儿童的气质与性格</w:t>
            </w:r>
          </w:p>
        </w:tc>
        <w:tc>
          <w:tcPr>
            <w:tcW w:w="1050" w:type="dxa"/>
            <w:vAlign w:val="center"/>
          </w:tcPr>
          <w:p w14:paraId="7521B09B">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color w:val="000000"/>
                <w:kern w:val="0"/>
                <w:sz w:val="20"/>
                <w:szCs w:val="21"/>
              </w:rPr>
              <w:t>课程目标2、3</w:t>
            </w:r>
          </w:p>
        </w:tc>
        <w:tc>
          <w:tcPr>
            <w:tcW w:w="3279" w:type="dxa"/>
            <w:gridSpan w:val="2"/>
            <w:vAlign w:val="center"/>
          </w:tcPr>
          <w:p w14:paraId="28812C63">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1.了解气质的类型与气质研究对实践活动的意义，性格和气质的关系；理解气质和性格的概念，性格的结构，理解高级神经活动活动类型与气质的关系</w:t>
            </w:r>
          </w:p>
          <w:p w14:paraId="7E909206">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2.掌握小学儿童气质和性格的特点</w:t>
            </w:r>
          </w:p>
          <w:p w14:paraId="0B3EFC00">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Cs/>
                <w:color w:val="000000"/>
                <w:kern w:val="0"/>
                <w:sz w:val="20"/>
                <w:szCs w:val="21"/>
              </w:rPr>
              <w:t>3.能根据学生的气质特点和规律开展教育活动，懂得小学儿童性格的培养</w:t>
            </w:r>
          </w:p>
        </w:tc>
        <w:tc>
          <w:tcPr>
            <w:tcW w:w="1560" w:type="dxa"/>
            <w:vAlign w:val="center"/>
          </w:tcPr>
          <w:p w14:paraId="0A563D62">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1.线上学习</w:t>
            </w:r>
          </w:p>
          <w:p w14:paraId="297D809D">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2.多媒体教学3.课堂讨论</w:t>
            </w:r>
          </w:p>
          <w:p w14:paraId="4EBBE0B9">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4.单元测验</w:t>
            </w:r>
          </w:p>
          <w:p w14:paraId="18A9034F">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5.16PF人格测验</w:t>
            </w:r>
          </w:p>
          <w:p w14:paraId="26F0A8F8">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Cs/>
                <w:color w:val="000000"/>
                <w:kern w:val="0"/>
                <w:sz w:val="20"/>
                <w:szCs w:val="21"/>
              </w:rPr>
              <w:t>6.气质测验</w:t>
            </w:r>
          </w:p>
        </w:tc>
        <w:tc>
          <w:tcPr>
            <w:tcW w:w="438" w:type="dxa"/>
            <w:vAlign w:val="center"/>
          </w:tcPr>
          <w:p w14:paraId="798EFF91">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6</w:t>
            </w:r>
          </w:p>
        </w:tc>
      </w:tr>
      <w:tr w14:paraId="71E8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61E31EA4">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611B5DC1">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形成科学的儿童注意的发展观，对学生发展的个别差异和特点有所了解，初步形成全人教育理念，为大国良师打下基础。</w:t>
            </w:r>
          </w:p>
        </w:tc>
      </w:tr>
      <w:tr w14:paraId="65C7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06A91FCD">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13.小学儿童的能力</w:t>
            </w:r>
          </w:p>
        </w:tc>
        <w:tc>
          <w:tcPr>
            <w:tcW w:w="1769" w:type="dxa"/>
            <w:vAlign w:val="center"/>
          </w:tcPr>
          <w:p w14:paraId="2135B0C0">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1.能力的概述</w:t>
            </w:r>
          </w:p>
          <w:p w14:paraId="23CA6ED9">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Cs/>
                <w:color w:val="000000"/>
                <w:kern w:val="0"/>
                <w:sz w:val="20"/>
                <w:szCs w:val="21"/>
              </w:rPr>
              <w:t>2.小学儿童的能力</w:t>
            </w:r>
          </w:p>
        </w:tc>
        <w:tc>
          <w:tcPr>
            <w:tcW w:w="1050" w:type="dxa"/>
            <w:vAlign w:val="center"/>
          </w:tcPr>
          <w:p w14:paraId="280B3E0B">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color w:val="000000"/>
                <w:kern w:val="0"/>
                <w:sz w:val="20"/>
                <w:szCs w:val="21"/>
              </w:rPr>
              <w:t>课程目标2、3</w:t>
            </w:r>
          </w:p>
        </w:tc>
        <w:tc>
          <w:tcPr>
            <w:tcW w:w="3279" w:type="dxa"/>
            <w:gridSpan w:val="2"/>
            <w:vAlign w:val="center"/>
          </w:tcPr>
          <w:p w14:paraId="52580336">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1.了解能力的分类，理解能力的概念及能力的个别差异，掌握能力发展的影响因素，知道小学生智力发展的特点</w:t>
            </w:r>
          </w:p>
          <w:p w14:paraId="158018F1">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Cs/>
                <w:color w:val="000000"/>
                <w:kern w:val="0"/>
                <w:sz w:val="20"/>
                <w:szCs w:val="21"/>
              </w:rPr>
              <w:t>2.学会在教育教学中运用科学的方法培养小学儿童的能力</w:t>
            </w:r>
          </w:p>
        </w:tc>
        <w:tc>
          <w:tcPr>
            <w:tcW w:w="1560" w:type="dxa"/>
            <w:vAlign w:val="center"/>
          </w:tcPr>
          <w:p w14:paraId="6E49A5B9">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1A6791B0">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124CBA92">
            <w:pPr>
              <w:spacing w:line="264" w:lineRule="auto"/>
              <w:jc w:val="left"/>
              <w:rPr>
                <w:rFonts w:hint="eastAsia" w:ascii="宋体" w:hAnsi="宋体" w:eastAsia="宋体" w:cs="Times New Roman"/>
                <w:b/>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249E3E45">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6</w:t>
            </w:r>
          </w:p>
        </w:tc>
      </w:tr>
      <w:tr w14:paraId="4E9B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361D5DDB">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1FA66C75">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形成科学的儿童注意的发展观，对学生发展的个别差异和特点有所了解，初步形成全人教育理念，为大国良师打下坚实基础。</w:t>
            </w:r>
          </w:p>
        </w:tc>
      </w:tr>
      <w:tr w14:paraId="3964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4067668D">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14.小学儿童的自我意识</w:t>
            </w:r>
          </w:p>
        </w:tc>
        <w:tc>
          <w:tcPr>
            <w:tcW w:w="1769" w:type="dxa"/>
            <w:vAlign w:val="center"/>
          </w:tcPr>
          <w:p w14:paraId="59D5FC19">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1.自我意识概述</w:t>
            </w:r>
          </w:p>
          <w:p w14:paraId="013532DD">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2.小学儿童的自我意识</w:t>
            </w:r>
          </w:p>
        </w:tc>
        <w:tc>
          <w:tcPr>
            <w:tcW w:w="1050" w:type="dxa"/>
            <w:vAlign w:val="center"/>
          </w:tcPr>
          <w:p w14:paraId="70ECEB59">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课程目标2、3</w:t>
            </w:r>
          </w:p>
        </w:tc>
        <w:tc>
          <w:tcPr>
            <w:tcW w:w="3279" w:type="dxa"/>
            <w:gridSpan w:val="2"/>
            <w:vAlign w:val="center"/>
          </w:tcPr>
          <w:p w14:paraId="4C0DB5D6">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1.了解自我意识的心理结构和作用，理解自我意识的概念</w:t>
            </w:r>
          </w:p>
          <w:p w14:paraId="4505A58A">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2.掌握小学儿童自我意识发展的特点</w:t>
            </w:r>
          </w:p>
          <w:p w14:paraId="04AC6DF6">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3.学会灵活运用促进小学儿童自我意识发展策略和方法</w:t>
            </w:r>
          </w:p>
        </w:tc>
        <w:tc>
          <w:tcPr>
            <w:tcW w:w="1560" w:type="dxa"/>
            <w:vAlign w:val="center"/>
          </w:tcPr>
          <w:p w14:paraId="66032D23">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22E78F74">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287712A9">
            <w:pPr>
              <w:spacing w:line="264" w:lineRule="auto"/>
              <w:jc w:val="left"/>
              <w:rPr>
                <w:rFonts w:hint="eastAsia" w:ascii="宋体" w:hAnsi="宋体" w:eastAsia="宋体" w:cs="Times New Roman"/>
                <w:b/>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7B1395BD">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3</w:t>
            </w:r>
          </w:p>
        </w:tc>
      </w:tr>
      <w:tr w14:paraId="0B14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5B67D1EE">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38ED8502">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形成科学的儿童注意的发展观，对学生发展的个别差异和特点有所了解，形成尊重学生主观能动性和主体性的教育理念，为大国良师打下坚实基础。</w:t>
            </w:r>
          </w:p>
        </w:tc>
      </w:tr>
    </w:tbl>
    <w:p w14:paraId="28B22494">
      <w:pPr>
        <w:spacing w:line="360" w:lineRule="auto"/>
        <w:jc w:val="left"/>
        <w:rPr>
          <w:rFonts w:hint="eastAsia" w:ascii="宋体" w:hAnsi="宋体" w:eastAsia="宋体" w:cs="Times New Roman"/>
          <w:b/>
          <w:color w:val="000000"/>
          <w:sz w:val="24"/>
        </w:rPr>
      </w:pPr>
    </w:p>
    <w:p w14:paraId="5531FF6E">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7A210B9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0C721A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264117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016"/>
        <w:gridCol w:w="1016"/>
        <w:gridCol w:w="1016"/>
        <w:gridCol w:w="1016"/>
        <w:gridCol w:w="1016"/>
        <w:gridCol w:w="616"/>
      </w:tblGrid>
      <w:tr w14:paraId="35AC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3FEC25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0" w:type="auto"/>
            <w:gridSpan w:val="5"/>
            <w:vAlign w:val="center"/>
          </w:tcPr>
          <w:p w14:paraId="3F737C9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0" w:type="auto"/>
            <w:vMerge w:val="restart"/>
            <w:vAlign w:val="center"/>
          </w:tcPr>
          <w:p w14:paraId="4C7EC08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338B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7B0A7D4">
            <w:pPr>
              <w:spacing w:line="360" w:lineRule="auto"/>
              <w:jc w:val="center"/>
              <w:rPr>
                <w:rFonts w:hint="eastAsia" w:ascii="宋体" w:hAnsi="宋体" w:eastAsia="宋体" w:cs="Times New Roman"/>
                <w:kern w:val="0"/>
                <w:sz w:val="20"/>
                <w:szCs w:val="21"/>
              </w:rPr>
            </w:pPr>
          </w:p>
        </w:tc>
        <w:tc>
          <w:tcPr>
            <w:tcW w:w="0" w:type="auto"/>
            <w:vAlign w:val="center"/>
          </w:tcPr>
          <w:p w14:paraId="3F2344C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平时作业</w:t>
            </w:r>
          </w:p>
        </w:tc>
        <w:tc>
          <w:tcPr>
            <w:tcW w:w="0" w:type="auto"/>
            <w:vAlign w:val="center"/>
          </w:tcPr>
          <w:p w14:paraId="4711B10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课堂表现</w:t>
            </w:r>
          </w:p>
        </w:tc>
        <w:tc>
          <w:tcPr>
            <w:tcW w:w="0" w:type="auto"/>
            <w:vAlign w:val="center"/>
          </w:tcPr>
          <w:p w14:paraId="0CC1184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课内实验</w:t>
            </w:r>
          </w:p>
        </w:tc>
        <w:tc>
          <w:tcPr>
            <w:tcW w:w="0" w:type="auto"/>
            <w:vAlign w:val="center"/>
          </w:tcPr>
          <w:p w14:paraId="66CC771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0" w:type="auto"/>
          </w:tcPr>
          <w:p w14:paraId="4D01826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网络学习</w:t>
            </w:r>
          </w:p>
        </w:tc>
        <w:tc>
          <w:tcPr>
            <w:tcW w:w="0" w:type="auto"/>
            <w:vMerge w:val="continue"/>
            <w:vAlign w:val="center"/>
          </w:tcPr>
          <w:p w14:paraId="4DF4631D">
            <w:pPr>
              <w:spacing w:line="360" w:lineRule="auto"/>
              <w:jc w:val="center"/>
              <w:rPr>
                <w:rFonts w:hint="eastAsia" w:ascii="宋体" w:hAnsi="宋体" w:eastAsia="宋体" w:cs="Times New Roman"/>
                <w:kern w:val="0"/>
                <w:sz w:val="20"/>
                <w:szCs w:val="21"/>
              </w:rPr>
            </w:pPr>
          </w:p>
        </w:tc>
      </w:tr>
      <w:tr w14:paraId="64D8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BF5E29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0" w:type="auto"/>
            <w:vAlign w:val="center"/>
          </w:tcPr>
          <w:p w14:paraId="2302F4E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437A1C5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3E9EB21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6923E15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tcPr>
          <w:p w14:paraId="2087D80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1676C10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7764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5BD5F6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0" w:type="auto"/>
            <w:vAlign w:val="center"/>
          </w:tcPr>
          <w:p w14:paraId="5D02B9B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4C9B17D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74ED763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54DC9B7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tcPr>
          <w:p w14:paraId="2E44A70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1AC7A07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50</w:t>
            </w:r>
          </w:p>
        </w:tc>
      </w:tr>
      <w:tr w14:paraId="62E0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C76365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0" w:type="auto"/>
            <w:vAlign w:val="center"/>
          </w:tcPr>
          <w:p w14:paraId="0E0F66C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7FE67232">
            <w:pPr>
              <w:spacing w:line="360" w:lineRule="auto"/>
              <w:jc w:val="center"/>
              <w:rPr>
                <w:rFonts w:hint="eastAsia" w:ascii="宋体" w:hAnsi="宋体" w:eastAsia="宋体" w:cs="Times New Roman"/>
                <w:kern w:val="0"/>
                <w:sz w:val="20"/>
                <w:szCs w:val="21"/>
              </w:rPr>
            </w:pPr>
          </w:p>
        </w:tc>
        <w:tc>
          <w:tcPr>
            <w:tcW w:w="0" w:type="auto"/>
            <w:vAlign w:val="center"/>
          </w:tcPr>
          <w:p w14:paraId="46B7F82D">
            <w:pPr>
              <w:spacing w:line="360" w:lineRule="auto"/>
              <w:jc w:val="center"/>
              <w:rPr>
                <w:rFonts w:hint="eastAsia" w:ascii="宋体" w:hAnsi="宋体" w:eastAsia="宋体" w:cs="Times New Roman"/>
                <w:kern w:val="0"/>
                <w:sz w:val="20"/>
                <w:szCs w:val="21"/>
              </w:rPr>
            </w:pPr>
          </w:p>
        </w:tc>
        <w:tc>
          <w:tcPr>
            <w:tcW w:w="0" w:type="auto"/>
            <w:vAlign w:val="center"/>
          </w:tcPr>
          <w:p w14:paraId="1AB8B4A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tcPr>
          <w:p w14:paraId="3AF86B5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673B240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02F0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B1F00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0" w:type="auto"/>
            <w:vAlign w:val="center"/>
          </w:tcPr>
          <w:p w14:paraId="2451FFD5">
            <w:pPr>
              <w:spacing w:line="360" w:lineRule="auto"/>
              <w:jc w:val="center"/>
              <w:rPr>
                <w:rFonts w:hint="eastAsia" w:ascii="宋体" w:hAnsi="宋体" w:eastAsia="宋体" w:cs="Times New Roman"/>
                <w:kern w:val="0"/>
                <w:sz w:val="20"/>
                <w:szCs w:val="21"/>
              </w:rPr>
            </w:pPr>
          </w:p>
        </w:tc>
        <w:tc>
          <w:tcPr>
            <w:tcW w:w="0" w:type="auto"/>
            <w:vAlign w:val="center"/>
          </w:tcPr>
          <w:p w14:paraId="78D04659">
            <w:pPr>
              <w:spacing w:line="360" w:lineRule="auto"/>
              <w:jc w:val="center"/>
              <w:rPr>
                <w:rFonts w:hint="eastAsia" w:ascii="宋体" w:hAnsi="宋体" w:eastAsia="宋体" w:cs="Times New Roman"/>
                <w:kern w:val="0"/>
                <w:sz w:val="20"/>
                <w:szCs w:val="21"/>
              </w:rPr>
            </w:pPr>
          </w:p>
        </w:tc>
        <w:tc>
          <w:tcPr>
            <w:tcW w:w="0" w:type="auto"/>
            <w:vAlign w:val="center"/>
          </w:tcPr>
          <w:p w14:paraId="6927B878">
            <w:pPr>
              <w:spacing w:line="360" w:lineRule="auto"/>
              <w:jc w:val="center"/>
              <w:rPr>
                <w:rFonts w:hint="eastAsia" w:ascii="宋体" w:hAnsi="宋体" w:eastAsia="宋体" w:cs="Times New Roman"/>
                <w:kern w:val="0"/>
                <w:sz w:val="20"/>
                <w:szCs w:val="21"/>
              </w:rPr>
            </w:pPr>
          </w:p>
        </w:tc>
        <w:tc>
          <w:tcPr>
            <w:tcW w:w="0" w:type="auto"/>
            <w:vAlign w:val="center"/>
          </w:tcPr>
          <w:p w14:paraId="33DCC26A">
            <w:pPr>
              <w:spacing w:line="360" w:lineRule="auto"/>
              <w:jc w:val="center"/>
              <w:rPr>
                <w:rFonts w:hint="eastAsia" w:ascii="宋体" w:hAnsi="宋体" w:eastAsia="宋体" w:cs="Times New Roman"/>
                <w:kern w:val="0"/>
                <w:sz w:val="20"/>
                <w:szCs w:val="21"/>
              </w:rPr>
            </w:pPr>
          </w:p>
        </w:tc>
        <w:tc>
          <w:tcPr>
            <w:tcW w:w="0" w:type="auto"/>
          </w:tcPr>
          <w:p w14:paraId="371B28C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27F87D6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4E911EA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051369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6A76A5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6946"/>
        <w:gridCol w:w="683"/>
      </w:tblGrid>
      <w:tr w14:paraId="40BA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FA74347">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6946" w:type="dxa"/>
            <w:vAlign w:val="center"/>
          </w:tcPr>
          <w:p w14:paraId="5ECCD30F">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72C9BF3D">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520D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A8F5E81">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w:t>
            </w:r>
          </w:p>
        </w:tc>
        <w:tc>
          <w:tcPr>
            <w:tcW w:w="6946" w:type="dxa"/>
            <w:vAlign w:val="center"/>
          </w:tcPr>
          <w:p w14:paraId="79296A34">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平时作业共5次，包括网络课程中每章课后测验，以及课后作业，</w:t>
            </w:r>
          </w:p>
        </w:tc>
        <w:tc>
          <w:tcPr>
            <w:tcW w:w="0" w:type="auto"/>
            <w:vAlign w:val="center"/>
          </w:tcPr>
          <w:p w14:paraId="44DC49F2">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16B7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1154D2D">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课堂表现</w:t>
            </w:r>
          </w:p>
        </w:tc>
        <w:tc>
          <w:tcPr>
            <w:tcW w:w="6946" w:type="dxa"/>
            <w:vAlign w:val="center"/>
          </w:tcPr>
          <w:p w14:paraId="593EBE71">
            <w:pPr>
              <w:widowControl/>
              <w:spacing w:line="264" w:lineRule="auto"/>
              <w:jc w:val="left"/>
              <w:rPr>
                <w:rFonts w:ascii="Times New Roman" w:hAnsi="Times New Roman" w:eastAsia="宋体" w:cs="Times New Roman"/>
                <w:kern w:val="0"/>
                <w:sz w:val="20"/>
                <w:szCs w:val="21"/>
              </w:rPr>
            </w:pPr>
            <w:r>
              <w:rPr>
                <w:rFonts w:hint="eastAsia" w:ascii="宋体" w:hAnsi="宋体" w:eastAsia="宋体" w:cs="宋体"/>
                <w:color w:val="000000"/>
                <w:kern w:val="0"/>
                <w:sz w:val="20"/>
                <w:szCs w:val="21"/>
                <w:lang w:bidi="ar"/>
              </w:rPr>
              <w:t>一是课题考勤情况</w:t>
            </w:r>
            <w:r>
              <w:rPr>
                <w:rFonts w:ascii="宋体" w:hAnsi="宋体" w:eastAsia="宋体" w:cs="宋体"/>
                <w:color w:val="000000"/>
                <w:kern w:val="0"/>
                <w:sz w:val="20"/>
                <w:szCs w:val="21"/>
                <w:lang w:bidi="ar"/>
              </w:rPr>
              <w:t>。</w:t>
            </w:r>
            <w:r>
              <w:rPr>
                <w:rFonts w:hint="eastAsia" w:ascii="Times New Roman" w:hAnsi="Times New Roman" w:eastAsia="宋体" w:cs="Times New Roman"/>
                <w:kern w:val="0"/>
                <w:sz w:val="20"/>
                <w:szCs w:val="21"/>
              </w:rPr>
              <w:t>迟到一次扣2分，无故缺席一次扣5分，累计达</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次以上（不含</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次）取消课程成绩。</w:t>
            </w:r>
          </w:p>
          <w:p w14:paraId="571CE212">
            <w:pPr>
              <w:widowControl/>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二是</w:t>
            </w:r>
            <w:r>
              <w:rPr>
                <w:rFonts w:ascii="宋体" w:hAnsi="宋体" w:eastAsia="宋体" w:cs="宋体"/>
                <w:color w:val="000000"/>
                <w:kern w:val="0"/>
                <w:sz w:val="20"/>
                <w:szCs w:val="21"/>
                <w:lang w:bidi="ar"/>
              </w:rPr>
              <w:t>课堂参与</w:t>
            </w:r>
            <w:r>
              <w:rPr>
                <w:rFonts w:hint="eastAsia" w:ascii="宋体" w:hAnsi="宋体" w:eastAsia="宋体" w:cs="宋体"/>
                <w:color w:val="000000"/>
                <w:kern w:val="0"/>
                <w:sz w:val="20"/>
                <w:szCs w:val="21"/>
                <w:lang w:bidi="ar"/>
              </w:rPr>
              <w:t>情况。以课堂讨论的参与情况，超过10次满分，获赞可以额外外加分。</w:t>
            </w:r>
          </w:p>
        </w:tc>
        <w:tc>
          <w:tcPr>
            <w:tcW w:w="0" w:type="auto"/>
            <w:vAlign w:val="center"/>
          </w:tcPr>
          <w:p w14:paraId="0A19B165">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56F0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D9B99F7">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课内实验</w:t>
            </w:r>
          </w:p>
        </w:tc>
        <w:tc>
          <w:tcPr>
            <w:tcW w:w="6946" w:type="dxa"/>
            <w:vAlign w:val="center"/>
          </w:tcPr>
          <w:p w14:paraId="256E514E">
            <w:pPr>
              <w:widowControl/>
              <w:spacing w:line="264" w:lineRule="auto"/>
              <w:jc w:val="left"/>
              <w:rPr>
                <w:rFonts w:hint="eastAsia" w:ascii="宋体" w:hAnsi="宋体" w:eastAsia="宋体" w:cs="宋体"/>
                <w:color w:val="000000"/>
                <w:kern w:val="0"/>
                <w:sz w:val="20"/>
                <w:szCs w:val="21"/>
                <w:lang w:bidi="ar"/>
              </w:rPr>
            </w:pPr>
            <w:r>
              <w:rPr>
                <w:rFonts w:hint="eastAsia" w:ascii="宋体" w:hAnsi="宋体" w:eastAsia="宋体" w:cs="宋体"/>
                <w:color w:val="000000"/>
                <w:kern w:val="0"/>
                <w:sz w:val="20"/>
                <w:szCs w:val="21"/>
                <w:lang w:bidi="ar"/>
              </w:rPr>
              <w:t>根据学生参与实验的情况，实验手册的填写情况打分，实验的平均分计入总成绩。</w:t>
            </w:r>
          </w:p>
        </w:tc>
        <w:tc>
          <w:tcPr>
            <w:tcW w:w="0" w:type="auto"/>
            <w:vAlign w:val="center"/>
          </w:tcPr>
          <w:p w14:paraId="1431D622">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w:t>
            </w:r>
          </w:p>
        </w:tc>
      </w:tr>
      <w:tr w14:paraId="768F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68D26E6C">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网络学习</w:t>
            </w:r>
          </w:p>
        </w:tc>
        <w:tc>
          <w:tcPr>
            <w:tcW w:w="6946" w:type="dxa"/>
            <w:vAlign w:val="center"/>
          </w:tcPr>
          <w:p w14:paraId="6BE30E0F">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09F33B7">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58F2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D307743">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期末考试</w:t>
            </w:r>
          </w:p>
        </w:tc>
        <w:tc>
          <w:tcPr>
            <w:tcW w:w="6946" w:type="dxa"/>
            <w:vAlign w:val="center"/>
          </w:tcPr>
          <w:p w14:paraId="475C5354">
            <w:pPr>
              <w:spacing w:line="264" w:lineRule="auto"/>
              <w:jc w:val="left"/>
              <w:rPr>
                <w:rFonts w:ascii="Times New Roman" w:hAnsi="Times New Roman" w:eastAsia="宋体" w:cs="Times New Roman"/>
                <w:kern w:val="0"/>
                <w:sz w:val="20"/>
                <w:szCs w:val="21"/>
              </w:rPr>
            </w:pPr>
            <w:r>
              <w:rPr>
                <w:rFonts w:ascii="Times New Roman" w:hAnsi="Times New Roman" w:eastAsia="宋体" w:cs="Times New Roman"/>
                <w:color w:val="000000"/>
                <w:kern w:val="0"/>
                <w:sz w:val="20"/>
                <w:szCs w:val="21"/>
              </w:rPr>
              <w:t>试卷题型包括</w:t>
            </w:r>
            <w:r>
              <w:rPr>
                <w:rFonts w:hint="eastAsia" w:ascii="Times New Roman" w:hAnsi="Times New Roman" w:eastAsia="宋体" w:cs="Times New Roman"/>
                <w:color w:val="000000"/>
                <w:kern w:val="0"/>
                <w:sz w:val="20"/>
                <w:szCs w:val="21"/>
              </w:rPr>
              <w:t>选择题</w:t>
            </w:r>
            <w:r>
              <w:rPr>
                <w:rFonts w:ascii="Times New Roman" w:hAnsi="Times New Roman" w:eastAsia="宋体" w:cs="Times New Roman"/>
                <w:color w:val="000000"/>
                <w:kern w:val="0"/>
                <w:sz w:val="20"/>
                <w:szCs w:val="21"/>
              </w:rPr>
              <w:t>、</w:t>
            </w:r>
            <w:r>
              <w:rPr>
                <w:rFonts w:hint="eastAsia" w:ascii="Times New Roman" w:hAnsi="Times New Roman" w:eastAsia="宋体" w:cs="Times New Roman"/>
                <w:color w:val="000000"/>
                <w:kern w:val="0"/>
                <w:sz w:val="20"/>
                <w:szCs w:val="21"/>
              </w:rPr>
              <w:t>辨析</w:t>
            </w:r>
            <w:r>
              <w:rPr>
                <w:rFonts w:ascii="Times New Roman" w:hAnsi="Times New Roman" w:eastAsia="宋体" w:cs="Times New Roman"/>
                <w:color w:val="000000"/>
                <w:kern w:val="0"/>
                <w:sz w:val="20"/>
                <w:szCs w:val="21"/>
              </w:rPr>
              <w:t>、</w:t>
            </w:r>
            <w:r>
              <w:rPr>
                <w:rFonts w:hint="eastAsia" w:ascii="Times New Roman" w:hAnsi="Times New Roman" w:eastAsia="宋体" w:cs="Times New Roman"/>
                <w:color w:val="000000"/>
                <w:kern w:val="0"/>
                <w:sz w:val="20"/>
                <w:szCs w:val="21"/>
              </w:rPr>
              <w:t>简答题、案例分析、论述题</w:t>
            </w:r>
            <w:r>
              <w:rPr>
                <w:rFonts w:ascii="Times New Roman" w:hAnsi="Times New Roman" w:eastAsia="宋体" w:cs="Times New Roman"/>
                <w:color w:val="000000"/>
                <w:kern w:val="0"/>
                <w:sz w:val="20"/>
                <w:szCs w:val="21"/>
              </w:rPr>
              <w:t>等，以卷面成绩的50%计入课程总成绩。其中考核</w:t>
            </w:r>
            <w:r>
              <w:rPr>
                <w:rFonts w:hint="eastAsia" w:ascii="Times New Roman" w:hAnsi="Times New Roman" w:eastAsia="宋体" w:cs="Times New Roman"/>
                <w:color w:val="000000"/>
                <w:kern w:val="0"/>
                <w:sz w:val="20"/>
                <w:szCs w:val="21"/>
              </w:rPr>
              <w:t>小学心理学基本理论的知识类题目占4</w:t>
            </w:r>
            <w:r>
              <w:rPr>
                <w:rFonts w:ascii="Times New Roman" w:hAnsi="Times New Roman" w:eastAsia="宋体" w:cs="Times New Roman"/>
                <w:color w:val="000000"/>
                <w:kern w:val="0"/>
                <w:sz w:val="20"/>
                <w:szCs w:val="21"/>
              </w:rPr>
              <w:t>0</w:t>
            </w:r>
            <w:r>
              <w:rPr>
                <w:rFonts w:hint="eastAsia" w:ascii="Times New Roman" w:hAnsi="Times New Roman" w:eastAsia="宋体" w:cs="Times New Roman"/>
                <w:color w:val="000000"/>
                <w:kern w:val="0"/>
                <w:sz w:val="20"/>
                <w:szCs w:val="21"/>
              </w:rPr>
              <w:t>%；考核学生运用基本理论知识进行分析能力的题型占</w:t>
            </w:r>
            <w:r>
              <w:rPr>
                <w:rFonts w:ascii="Times New Roman" w:hAnsi="Times New Roman" w:eastAsia="宋体" w:cs="Times New Roman"/>
                <w:color w:val="000000"/>
                <w:kern w:val="0"/>
                <w:sz w:val="20"/>
                <w:szCs w:val="21"/>
              </w:rPr>
              <w:t>30</w:t>
            </w:r>
            <w:r>
              <w:rPr>
                <w:rFonts w:hint="eastAsia" w:ascii="Times New Roman" w:hAnsi="Times New Roman" w:eastAsia="宋体" w:cs="Times New Roman"/>
                <w:color w:val="000000"/>
                <w:kern w:val="0"/>
                <w:sz w:val="20"/>
                <w:szCs w:val="21"/>
              </w:rPr>
              <w:t>%；考核学生运用学与教的基本理论和知识进行教学设计的题型占</w:t>
            </w:r>
            <w:r>
              <w:rPr>
                <w:rFonts w:ascii="Times New Roman" w:hAnsi="Times New Roman" w:eastAsia="宋体" w:cs="Times New Roman"/>
                <w:color w:val="000000"/>
                <w:kern w:val="0"/>
                <w:sz w:val="20"/>
                <w:szCs w:val="21"/>
              </w:rPr>
              <w:t>30</w:t>
            </w:r>
            <w:r>
              <w:rPr>
                <w:rFonts w:hint="eastAsia" w:ascii="Times New Roman" w:hAnsi="Times New Roman" w:eastAsia="宋体" w:cs="Times New Roman"/>
                <w:color w:val="000000"/>
                <w:kern w:val="0"/>
                <w:sz w:val="20"/>
                <w:szCs w:val="21"/>
              </w:rPr>
              <w:t>%。</w:t>
            </w:r>
          </w:p>
        </w:tc>
        <w:tc>
          <w:tcPr>
            <w:tcW w:w="0" w:type="auto"/>
            <w:vAlign w:val="center"/>
          </w:tcPr>
          <w:p w14:paraId="3BF59F73">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50%</w:t>
            </w:r>
          </w:p>
        </w:tc>
      </w:tr>
      <w:tr w14:paraId="40DE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4003E83">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合计</w:t>
            </w:r>
          </w:p>
        </w:tc>
        <w:tc>
          <w:tcPr>
            <w:tcW w:w="0" w:type="auto"/>
            <w:vAlign w:val="center"/>
          </w:tcPr>
          <w:p w14:paraId="486B1E47">
            <w:pPr>
              <w:jc w:val="left"/>
              <w:rPr>
                <w:rFonts w:ascii="Times New Roman" w:hAnsi="Times New Roman" w:eastAsia="宋体" w:cs="Times New Roman"/>
                <w:kern w:val="0"/>
                <w:sz w:val="20"/>
                <w:szCs w:val="21"/>
              </w:rPr>
            </w:pPr>
          </w:p>
        </w:tc>
        <w:tc>
          <w:tcPr>
            <w:tcW w:w="0" w:type="auto"/>
            <w:vAlign w:val="center"/>
          </w:tcPr>
          <w:p w14:paraId="507558D7">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w:t>
            </w:r>
          </w:p>
        </w:tc>
      </w:tr>
    </w:tbl>
    <w:p w14:paraId="24D0D0D1">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9E7A09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607AED2">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38"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38" DrawAspect="Content" ObjectID="_1468075738" r:id="rId23">
            <o:LockedField>false</o:LockedField>
          </o:OLEObject>
        </w:object>
      </w:r>
    </w:p>
    <w:p w14:paraId="2FCA8788">
      <w:pPr>
        <w:spacing w:line="360" w:lineRule="auto"/>
        <w:jc w:val="left"/>
        <w:rPr>
          <w:rFonts w:hint="eastAsia" w:ascii="宋体" w:hAnsi="宋体" w:eastAsia="宋体" w:cs="Times New Roman"/>
          <w:b/>
          <w:color w:val="000000"/>
          <w:sz w:val="24"/>
        </w:rPr>
      </w:pPr>
    </w:p>
    <w:p w14:paraId="07BE2CB3">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五、有关说明</w:t>
      </w:r>
    </w:p>
    <w:p w14:paraId="25C57CA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244C2AA0">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本课程根据学生作业、课堂讨论、实验环节、平时考核情况和学生、教学督导等的反馈，及时对教学中的不足之处进行改进，并在下一轮课程教学中整改完善，确保相应毕业要求指标点达成。</w:t>
      </w:r>
    </w:p>
    <w:p w14:paraId="190BFDB1">
      <w:pPr>
        <w:spacing w:line="360" w:lineRule="auto"/>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（二）</w:t>
      </w:r>
      <w:r>
        <w:rPr>
          <w:rFonts w:ascii="Times New Roman" w:hAnsi="Times New Roman" w:eastAsia="宋体" w:cs="Times New Roman"/>
          <w:b/>
          <w:color w:val="000000"/>
          <w:szCs w:val="21"/>
        </w:rPr>
        <w:t>参考书目</w:t>
      </w:r>
    </w:p>
    <w:p w14:paraId="7C10204D">
      <w:pPr>
        <w:autoSpaceDE w:val="0"/>
        <w:autoSpaceDN w:val="0"/>
        <w:adjustRightInd w:val="0"/>
        <w:spacing w:line="360"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hint="eastAsia"/>
        </w:rPr>
        <w:t xml:space="preserve"> </w:t>
      </w:r>
      <w:r>
        <w:rPr>
          <w:rFonts w:hint="eastAsia" w:ascii="Times New Roman" w:hAnsi="Times New Roman" w:eastAsia="宋体" w:cs="Times New Roman"/>
          <w:kern w:val="0"/>
          <w:szCs w:val="21"/>
        </w:rPr>
        <w:t>张厚粲，许燕编，心理学导论（第2版新世纪高等学校教材），北京师范大学出版社，2024</w:t>
      </w:r>
    </w:p>
    <w:p w14:paraId="11B4223C">
      <w:pPr>
        <w:autoSpaceDE w:val="0"/>
        <w:autoSpaceDN w:val="0"/>
        <w:adjustRightInd w:val="0"/>
        <w:spacing w:line="360" w:lineRule="auto"/>
        <w:jc w:val="left"/>
        <w:rPr>
          <w:rFonts w:ascii="Times New Roman" w:hAnsi="Times New Roman" w:eastAsia="宋体" w:cs="Times New Roman"/>
          <w:kern w:val="0"/>
          <w:szCs w:val="21"/>
        </w:rPr>
      </w:pPr>
      <w:r>
        <w:rPr>
          <w:szCs w:val="21"/>
        </w:rPr>
        <w:t xml:space="preserve"> </w:t>
      </w:r>
      <w:r>
        <w:rPr>
          <w:rFonts w:hint="eastAsia" w:ascii="Times New Roman" w:hAnsi="Times New Roman" w:eastAsia="宋体" w:cs="Times New Roman"/>
          <w:szCs w:val="21"/>
        </w:rPr>
        <w:t>2.</w:t>
      </w:r>
      <w:r>
        <w:rPr>
          <w:rFonts w:ascii="Times New Roman" w:hAnsi="Times New Roman" w:eastAsia="宋体" w:cs="Times New Roman"/>
          <w:kern w:val="0"/>
          <w:szCs w:val="21"/>
        </w:rPr>
        <w:t>(美)罗伯特·S·费尔德曼著，苏彦捷译</w:t>
      </w:r>
      <w:r>
        <w:rPr>
          <w:rFonts w:hint="eastAsia" w:ascii="Times New Roman" w:hAnsi="Times New Roman" w:eastAsia="宋体" w:cs="Times New Roman"/>
          <w:kern w:val="0"/>
          <w:szCs w:val="21"/>
        </w:rPr>
        <w:t>，儿童发展心理学：费尔德曼带你开启孩子的成长之旅（第</w:t>
      </w:r>
      <w:r>
        <w:rPr>
          <w:rFonts w:ascii="Times New Roman" w:hAnsi="Times New Roman" w:eastAsia="宋体" w:cs="Times New Roman"/>
          <w:kern w:val="0"/>
          <w:szCs w:val="21"/>
        </w:rPr>
        <w:t>8版） (Child Development, 8th Edition)</w:t>
      </w:r>
      <w:r>
        <w:rPr>
          <w:rFonts w:hint="eastAsia" w:ascii="Times New Roman" w:hAnsi="Times New Roman" w:eastAsia="宋体" w:cs="Times New Roman"/>
          <w:kern w:val="0"/>
          <w:szCs w:val="21"/>
        </w:rPr>
        <w:t>，机械工业出版社，2</w:t>
      </w:r>
      <w:r>
        <w:rPr>
          <w:rFonts w:ascii="Times New Roman" w:hAnsi="Times New Roman" w:eastAsia="宋体" w:cs="Times New Roman"/>
          <w:kern w:val="0"/>
          <w:szCs w:val="21"/>
        </w:rPr>
        <w:t>021</w:t>
      </w:r>
    </w:p>
    <w:p w14:paraId="46921FCE">
      <w:pPr>
        <w:autoSpaceDE w:val="0"/>
        <w:autoSpaceDN w:val="0"/>
        <w:adjustRightInd w:val="0"/>
        <w:spacing w:line="360"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3.（美）墨顿.亨特 著，寒川子，张积模译 ，心理学的故事--源起与演变，商务印书馆，2024</w:t>
      </w:r>
    </w:p>
    <w:p w14:paraId="6EDAEAAA">
      <w:pPr>
        <w:autoSpaceDE w:val="0"/>
        <w:autoSpaceDN w:val="0"/>
        <w:adjustRightInd w:val="0"/>
        <w:spacing w:line="360" w:lineRule="auto"/>
        <w:jc w:val="left"/>
        <w:rPr>
          <w:rFonts w:ascii="Times New Roman" w:hAnsi="Times New Roman" w:eastAsia="宋体" w:cs="Times New Roman"/>
          <w:szCs w:val="21"/>
        </w:rPr>
      </w:pPr>
      <w:r>
        <w:rPr>
          <w:rFonts w:hint="eastAsia" w:ascii="Times New Roman" w:hAnsi="Times New Roman" w:eastAsia="宋体" w:cs="Times New Roman"/>
          <w:kern w:val="0"/>
          <w:szCs w:val="21"/>
        </w:rPr>
        <w:t>4.</w:t>
      </w:r>
      <w:r>
        <w:rPr>
          <w:rFonts w:hint="eastAsia" w:ascii="宋体" w:hAnsi="宋体" w:eastAsia="宋体"/>
        </w:rPr>
        <w:t xml:space="preserve"> [美] 罗伯特·费尔德曼著，苏彦捷，邹丹等译，</w:t>
      </w:r>
      <w:r>
        <w:rPr>
          <w:rFonts w:hint="eastAsia" w:ascii="Times New Roman" w:hAnsi="Times New Roman" w:eastAsia="宋体" w:cs="Times New Roman"/>
          <w:szCs w:val="21"/>
        </w:rPr>
        <w:t>发展心理学——人的毕生发展（第6版），世界图书出版公司，2021</w:t>
      </w:r>
    </w:p>
    <w:p w14:paraId="5F696AE0">
      <w:pPr>
        <w:autoSpaceDE w:val="0"/>
        <w:autoSpaceDN w:val="0"/>
        <w:adjustRightInd w:val="0"/>
        <w:spacing w:line="360"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5.彭聃龄，普通心理学(第5版)，北京师范大学出版社，201</w:t>
      </w:r>
      <w:r>
        <w:rPr>
          <w:rFonts w:ascii="Times New Roman" w:hAnsi="Times New Roman" w:eastAsia="宋体" w:cs="Times New Roman"/>
          <w:kern w:val="0"/>
          <w:szCs w:val="21"/>
        </w:rPr>
        <w:t>9</w:t>
      </w:r>
    </w:p>
    <w:p w14:paraId="6A35FB99">
      <w:pPr>
        <w:autoSpaceDE w:val="0"/>
        <w:autoSpaceDN w:val="0"/>
        <w:adjustRightInd w:val="0"/>
        <w:spacing w:line="360"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6.桑标，儿童发展，华东师范大学出版社，201</w:t>
      </w:r>
      <w:r>
        <w:rPr>
          <w:rFonts w:ascii="Times New Roman" w:hAnsi="Times New Roman" w:eastAsia="宋体" w:cs="Times New Roman"/>
          <w:kern w:val="0"/>
          <w:szCs w:val="21"/>
        </w:rPr>
        <w:t>4</w:t>
      </w:r>
    </w:p>
    <w:p w14:paraId="34020FD3">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4E25D310">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1C1EFC9C">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6BCDA072">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rPr>
        <w:t>缪周芬</w:t>
      </w:r>
    </w:p>
    <w:p w14:paraId="4A9122F5">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hint="eastAsia" w:ascii="Times New Roman" w:hAnsi="Times New Roman" w:eastAsia="宋体" w:cs="Times New Roman"/>
          <w:kern w:val="0"/>
          <w:sz w:val="24"/>
          <w:szCs w:val="21"/>
        </w:rPr>
        <w:t>王健</w:t>
      </w:r>
    </w:p>
    <w:p w14:paraId="3CF7006C">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审批</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张志欣</w:t>
      </w:r>
    </w:p>
    <w:p w14:paraId="6AD80CE4">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批准时间：</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20</w:t>
      </w:r>
      <w:r>
        <w:rPr>
          <w:rFonts w:ascii="Times New Roman" w:hAnsi="Times New Roman" w:eastAsia="宋体" w:cs="Times New Roman"/>
          <w:kern w:val="0"/>
          <w:sz w:val="24"/>
          <w:szCs w:val="21"/>
        </w:rPr>
        <w:t>2</w:t>
      </w:r>
      <w:r>
        <w:rPr>
          <w:rFonts w:hint="eastAsia" w:ascii="Times New Roman" w:hAnsi="Times New Roman" w:eastAsia="宋体" w:cs="Times New Roman"/>
          <w:kern w:val="0"/>
          <w:sz w:val="24"/>
          <w:szCs w:val="21"/>
        </w:rPr>
        <w:t>4年8月30日</w:t>
      </w:r>
    </w:p>
    <w:p w14:paraId="7D7388FA">
      <w:pPr>
        <w:widowControl/>
        <w:spacing w:line="360" w:lineRule="auto"/>
        <w:jc w:val="left"/>
        <w:rPr>
          <w:rFonts w:hint="eastAsia" w:ascii="宋体" w:hAnsi="宋体" w:eastAsia="宋体"/>
          <w:sz w:val="24"/>
        </w:rPr>
      </w:pPr>
      <w:r>
        <w:rPr>
          <w:rFonts w:ascii="宋体" w:hAnsi="宋体" w:eastAsia="宋体"/>
          <w:sz w:val="24"/>
        </w:rPr>
        <w:br w:type="page"/>
      </w:r>
    </w:p>
    <w:p w14:paraId="545ACC4A"/>
    <w:p w14:paraId="3A5C1B42">
      <w:pPr>
        <w:pStyle w:val="2"/>
        <w:tabs>
          <w:tab w:val="left" w:pos="720"/>
          <w:tab w:val="left" w:pos="2700"/>
        </w:tabs>
      </w:pPr>
      <w:bookmarkStart w:id="82" w:name="_Toc29363"/>
      <w:r>
        <w:rPr>
          <w:rFonts w:hint="eastAsia"/>
        </w:rPr>
        <w:t>《教育原理》课程教学大纲</w:t>
      </w:r>
      <w:bookmarkEnd w:id="77"/>
      <w:bookmarkEnd w:id="82"/>
    </w:p>
    <w:p w14:paraId="7A8E8DC9">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Pedagogical Principles</w:t>
      </w:r>
      <w:r>
        <w:rPr>
          <w:rFonts w:ascii="Times New Roman" w:hAnsi="Times New Roman" w:eastAsia="宋体" w:cs="Times New Roman"/>
          <w:b/>
          <w:bCs/>
          <w:sz w:val="28"/>
          <w:szCs w:val="28"/>
        </w:rPr>
        <w:t>）</w:t>
      </w:r>
    </w:p>
    <w:p w14:paraId="49E25DEB">
      <w:pPr>
        <w:spacing w:line="360" w:lineRule="auto"/>
        <w:jc w:val="center"/>
        <w:rPr>
          <w:rFonts w:ascii="Times New Roman" w:hAnsi="Times New Roman" w:eastAsia="宋体" w:cs="Times New Roman"/>
          <w:bCs/>
          <w:sz w:val="30"/>
          <w:szCs w:val="30"/>
        </w:rPr>
      </w:pPr>
    </w:p>
    <w:p w14:paraId="0C39CAA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课程名称：教育原理</w:t>
      </w:r>
    </w:p>
    <w:p w14:paraId="201F363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课程代码：2401005</w:t>
      </w:r>
    </w:p>
    <w:p w14:paraId="686EB60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7A49847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716C320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先修课程：小学心理学、专业导论</w:t>
      </w:r>
    </w:p>
    <w:p w14:paraId="5EC8448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43F9F756">
      <w:pPr>
        <w:spacing w:line="360" w:lineRule="auto"/>
        <w:jc w:val="left"/>
        <w:rPr>
          <w:rFonts w:ascii="Times New Roman" w:hAnsi="Times New Roman" w:eastAsia="宋体" w:cs="Times New Roman"/>
          <w:b/>
          <w:sz w:val="24"/>
        </w:rPr>
      </w:pPr>
    </w:p>
    <w:p w14:paraId="67928797">
      <w:pPr>
        <w:spacing w:line="360" w:lineRule="auto"/>
        <w:jc w:val="left"/>
        <w:rPr>
          <w:rFonts w:ascii="Times New Roman" w:hAnsi="Times New Roman" w:eastAsia="宋体" w:cs="Times New Roman"/>
          <w:sz w:val="28"/>
          <w:szCs w:val="28"/>
        </w:rPr>
      </w:pPr>
      <w:r>
        <w:rPr>
          <w:rFonts w:hint="eastAsia" w:ascii="Times New Roman" w:hAnsi="Times New Roman" w:eastAsia="宋体" w:cs="Times New Roman"/>
          <w:b/>
          <w:sz w:val="28"/>
          <w:szCs w:val="28"/>
        </w:rPr>
        <w:t>一、课程简介</w:t>
      </w:r>
    </w:p>
    <w:p w14:paraId="7B689487">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课程是小学教育专业的专业基础必修课。通过本课程的学习，首先，使学生掌握基本的教育理念，理解不同教育现象之间的关系，在此基础上，形成正确的教育意识和观念；其次，让学生了解我国教育理论和实践发展的现状与趋势，提高其教育理论素养，为今后的工作实践奠定坚实的理论基础；最后，引导学生运用所学的基本理论分析我国目前不断发展和变化着的教育实践，将所学理论知识和教育实践结合起来，增强分析和解决实际问题的能力。</w:t>
      </w:r>
    </w:p>
    <w:p w14:paraId="7616F5BA">
      <w:pPr>
        <w:spacing w:line="360" w:lineRule="auto"/>
        <w:jc w:val="left"/>
        <w:rPr>
          <w:rFonts w:hint="eastAsia" w:ascii="宋体" w:hAnsi="宋体" w:eastAsia="宋体" w:cs="Times New Roman"/>
          <w:b/>
          <w:color w:val="000000"/>
          <w:sz w:val="24"/>
        </w:rPr>
      </w:pPr>
    </w:p>
    <w:p w14:paraId="69DDD5FB">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p>
    <w:p w14:paraId="7E66F04C">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（一）课程具体目标</w:t>
      </w:r>
    </w:p>
    <w:p w14:paraId="4E1D85F3">
      <w:pPr>
        <w:spacing w:line="360" w:lineRule="auto"/>
        <w:ind w:firstLine="482"/>
        <w:jc w:val="left"/>
        <w:rPr>
          <w:rFonts w:ascii="Times New Roman" w:hAnsi="Times New Roman" w:eastAsia="宋体" w:cs="Times New Roman"/>
          <w:sz w:val="24"/>
        </w:rPr>
      </w:pPr>
      <w:r>
        <w:rPr>
          <w:rFonts w:hint="eastAsia" w:ascii="Times New Roman" w:hAnsi="Times New Roman" w:eastAsia="宋体" w:cs="Times New Roman"/>
          <w:b/>
          <w:sz w:val="24"/>
        </w:rPr>
        <w:t>目标</w:t>
      </w:r>
      <w:r>
        <w:rPr>
          <w:rFonts w:ascii="Times New Roman" w:hAnsi="Times New Roman" w:eastAsia="宋体" w:cs="Times New Roman"/>
          <w:b/>
          <w:sz w:val="24"/>
        </w:rPr>
        <w:t>1.</w:t>
      </w:r>
      <w:r>
        <w:rPr>
          <w:rFonts w:hint="eastAsia" w:ascii="Times New Roman" w:hAnsi="Times New Roman" w:eastAsia="宋体" w:cs="Times New Roman"/>
          <w:b/>
          <w:sz w:val="24"/>
        </w:rPr>
        <w:t xml:space="preserve"> </w:t>
      </w:r>
      <w:r>
        <w:rPr>
          <w:rFonts w:hint="eastAsia" w:ascii="Times New Roman" w:hAnsi="Times New Roman" w:eastAsia="宋体" w:cs="Times New Roman"/>
          <w:sz w:val="24"/>
        </w:rPr>
        <w:t>掌握教育学基础理论知识，正确认识与“教育是什么”和“什么是教育”有关的一系列基本概念、基本理论、基本规律等关于教育的基本原理，了解当前国内外教育发展现状，形成教育学相关理论完整的知识结构，初步具备从事小学教育教学实践的能力和不断提升自我专业发展的能力。</w:t>
      </w:r>
    </w:p>
    <w:p w14:paraId="5DA89C4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目标2</w:t>
      </w:r>
      <w:r>
        <w:rPr>
          <w:rFonts w:ascii="Times New Roman" w:hAnsi="Times New Roman" w:eastAsia="宋体" w:cs="Times New Roman"/>
          <w:b/>
          <w:sz w:val="24"/>
        </w:rPr>
        <w:t xml:space="preserve">. </w:t>
      </w:r>
      <w:r>
        <w:rPr>
          <w:rFonts w:hint="eastAsia" w:ascii="Times New Roman" w:hAnsi="Times New Roman" w:eastAsia="宋体" w:cs="Times New Roman"/>
          <w:sz w:val="24"/>
        </w:rPr>
        <w:t>理解教育问题与教育现象背后的教育本质与教育规律，能自觉运用专业思维和方法探究教育现象、反思教育实践、分析并解决教育问题，为今后从事教育实践工作打下良好基础。</w:t>
      </w:r>
    </w:p>
    <w:p w14:paraId="2881652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目标3</w:t>
      </w:r>
      <w:r>
        <w:rPr>
          <w:rFonts w:hint="eastAsia" w:ascii="Times New Roman" w:hAnsi="Times New Roman" w:eastAsia="宋体" w:cs="Times New Roman"/>
          <w:b/>
          <w:kern w:val="0"/>
          <w:sz w:val="24"/>
        </w:rPr>
        <w:t>．</w:t>
      </w:r>
      <w:r>
        <w:rPr>
          <w:rFonts w:hint="eastAsia" w:ascii="Times New Roman" w:hAnsi="Times New Roman" w:eastAsia="宋体" w:cs="Times New Roman"/>
          <w:sz w:val="24"/>
        </w:rPr>
        <w:t>形成正确的教育观、教师观、学生观、人才观、教育评价观和教育改革发展观；养成自觉提升自身业务修养的意识和从事教育教学改革的兴趣及意愿；养成教师职业认同感、使命感和责任感，自觉在教育教学活动中渗透教师职业道德。</w:t>
      </w:r>
    </w:p>
    <w:p w14:paraId="07127CF0">
      <w:pPr>
        <w:spacing w:before="156" w:beforeLines="50" w:after="156" w:afterLines="50"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2D2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B4FA8A6">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w:t>
            </w:r>
          </w:p>
        </w:tc>
        <w:tc>
          <w:tcPr>
            <w:tcW w:w="5688" w:type="dxa"/>
            <w:vAlign w:val="center"/>
          </w:tcPr>
          <w:p w14:paraId="6A05E19D">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毕业要求指标点</w:t>
            </w:r>
          </w:p>
        </w:tc>
        <w:tc>
          <w:tcPr>
            <w:tcW w:w="1191" w:type="dxa"/>
            <w:vAlign w:val="center"/>
          </w:tcPr>
          <w:p w14:paraId="7EAD20DE">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r>
      <w:tr w14:paraId="4A69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FEFED86">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毕业要求1师德规范</w:t>
            </w:r>
          </w:p>
        </w:tc>
        <w:tc>
          <w:tcPr>
            <w:tcW w:w="5688" w:type="dxa"/>
            <w:vAlign w:val="center"/>
          </w:tcPr>
          <w:p w14:paraId="327818D4">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指标点</w:t>
            </w:r>
            <w:r>
              <w:rPr>
                <w:rFonts w:ascii="Times New Roman" w:hAnsi="Times New Roman" w:eastAsia="宋体" w:cs="Times New Roman"/>
                <w:sz w:val="24"/>
              </w:rPr>
              <w:t>1-1：【理想信念坚定】了解我国国情及国际局势，深刻理解新时代中国特色社会主义思想内涵；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445D4D44">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课程目标3</w:t>
            </w:r>
          </w:p>
        </w:tc>
      </w:tr>
      <w:tr w14:paraId="2446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D6D7BD1">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毕业要求2教育情怀</w:t>
            </w:r>
          </w:p>
        </w:tc>
        <w:tc>
          <w:tcPr>
            <w:tcW w:w="5688" w:type="dxa"/>
            <w:vAlign w:val="center"/>
          </w:tcPr>
          <w:p w14:paraId="4C33EBEC">
            <w:pPr>
              <w:spacing w:line="276" w:lineRule="auto"/>
              <w:jc w:val="left"/>
              <w:rPr>
                <w:rFonts w:ascii="Times New Roman" w:hAnsi="Times New Roman" w:eastAsia="宋体" w:cs="Times New Roman"/>
                <w:sz w:val="24"/>
              </w:rPr>
            </w:pPr>
            <w:r>
              <w:rPr>
                <w:rFonts w:hint="eastAsia" w:ascii="宋体" w:hAnsi="宋体" w:eastAsia="宋体" w:cs="Times New Roman"/>
                <w:color w:val="000000"/>
                <w:spacing w:val="2"/>
                <w:kern w:val="0"/>
                <w:sz w:val="24"/>
              </w:rPr>
              <w:t>指标点</w:t>
            </w:r>
            <w:r>
              <w:rPr>
                <w:rFonts w:ascii="宋体" w:hAnsi="宋体" w:eastAsia="宋体" w:cs="Times New Roman"/>
                <w:color w:val="000000"/>
                <w:spacing w:val="2"/>
                <w:kern w:val="0"/>
                <w:sz w:val="24"/>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7EEEA541">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课程目标3</w:t>
            </w:r>
          </w:p>
        </w:tc>
      </w:tr>
      <w:tr w14:paraId="369F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8E96003">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毕业要求3学科素养</w:t>
            </w:r>
          </w:p>
        </w:tc>
        <w:tc>
          <w:tcPr>
            <w:tcW w:w="5688" w:type="dxa"/>
            <w:vAlign w:val="center"/>
          </w:tcPr>
          <w:p w14:paraId="3C152BF5">
            <w:pPr>
              <w:spacing w:line="276" w:lineRule="auto"/>
              <w:jc w:val="left"/>
              <w:rPr>
                <w:rFonts w:ascii="Times New Roman" w:hAnsi="Times New Roman" w:eastAsia="宋体" w:cs="Times New Roman"/>
                <w:sz w:val="24"/>
              </w:rPr>
            </w:pPr>
            <w:r>
              <w:rPr>
                <w:rFonts w:hint="eastAsia" w:ascii="宋体" w:hAnsi="宋体" w:eastAsia="宋体" w:cs="Times New Roman"/>
                <w:color w:val="000000"/>
                <w:spacing w:val="2"/>
                <w:kern w:val="0"/>
                <w:sz w:val="24"/>
              </w:rPr>
              <w:t>指标点</w:t>
            </w:r>
            <w:r>
              <w:rPr>
                <w:rFonts w:ascii="宋体" w:hAnsi="宋体" w:eastAsia="宋体" w:cs="Times New Roman"/>
                <w:color w:val="000000"/>
                <w:spacing w:val="2"/>
                <w:kern w:val="0"/>
                <w:sz w:val="24"/>
              </w:rPr>
              <w:t>3-3：【教育教学知识牢固】掌握教育教学基本理论知识，熟悉所教学科课程标准和教材、教学内容。在教育教学实践中，具有一定的教材解读能力，具有依据课标进行教学的意识和习惯。</w:t>
            </w:r>
          </w:p>
        </w:tc>
        <w:tc>
          <w:tcPr>
            <w:tcW w:w="1191" w:type="dxa"/>
            <w:vAlign w:val="center"/>
          </w:tcPr>
          <w:p w14:paraId="134419D1">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课程目标1</w:t>
            </w:r>
          </w:p>
        </w:tc>
      </w:tr>
      <w:tr w14:paraId="15BE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2FAF99E">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毕业要求7学会反思</w:t>
            </w:r>
          </w:p>
        </w:tc>
        <w:tc>
          <w:tcPr>
            <w:tcW w:w="5688" w:type="dxa"/>
            <w:vAlign w:val="center"/>
          </w:tcPr>
          <w:p w14:paraId="4146CF35">
            <w:pPr>
              <w:spacing w:line="276" w:lineRule="auto"/>
              <w:jc w:val="left"/>
              <w:rPr>
                <w:rFonts w:hint="eastAsia" w:ascii="宋体" w:hAnsi="宋体" w:eastAsia="宋体" w:cs="Times New Roman"/>
                <w:color w:val="000000"/>
                <w:kern w:val="0"/>
                <w:sz w:val="24"/>
              </w:rPr>
            </w:pPr>
            <w:r>
              <w:rPr>
                <w:rFonts w:ascii="宋体" w:hAnsi="宋体" w:eastAsia="宋体" w:cs="Times New Roman"/>
                <w:color w:val="000000"/>
                <w:kern w:val="0"/>
                <w:sz w:val="24"/>
              </w:rPr>
              <w:t>指标点</w:t>
            </w:r>
            <w:r>
              <w:rPr>
                <w:rFonts w:hint="eastAsia" w:ascii="宋体" w:hAnsi="宋体" w:eastAsia="宋体" w:cs="Times New Roman"/>
                <w:color w:val="000000"/>
                <w:kern w:val="0"/>
                <w:sz w:val="24"/>
              </w:rPr>
              <w:t>7</w:t>
            </w:r>
            <w:r>
              <w:rPr>
                <w:rFonts w:ascii="宋体" w:hAnsi="宋体" w:eastAsia="宋体" w:cs="Times New Roman"/>
                <w:color w:val="000000"/>
                <w:kern w:val="0"/>
                <w:sz w:val="24"/>
              </w:rPr>
              <w:t>-1：</w:t>
            </w:r>
            <w:r>
              <w:rPr>
                <w:rFonts w:hint="eastAsia" w:ascii="宋体" w:hAnsi="宋体" w:eastAsia="宋体" w:cs="Times New Roman"/>
                <w:color w:val="000000"/>
                <w:kern w:val="0"/>
                <w:sz w:val="24"/>
              </w:rPr>
              <w:t>【教育视野开阔】积极参加基础教育领域的国内外交流，了解国内外基础教育改革发展的动态，具有宽广的教育视野，能够主动适应新时代和教育发展需求。</w:t>
            </w:r>
          </w:p>
          <w:p w14:paraId="5487EF8E">
            <w:pPr>
              <w:spacing w:line="276" w:lineRule="auto"/>
              <w:jc w:val="left"/>
              <w:rPr>
                <w:rFonts w:ascii="Times New Roman" w:hAnsi="Times New Roman" w:eastAsia="宋体" w:cs="Times New Roman"/>
                <w:sz w:val="24"/>
              </w:rPr>
            </w:pPr>
            <w:r>
              <w:rPr>
                <w:rFonts w:hint="eastAsia" w:ascii="宋体" w:hAnsi="宋体" w:eastAsia="宋体" w:cs="Times New Roman"/>
                <w:color w:val="000000"/>
                <w:kern w:val="0"/>
                <w:sz w:val="24"/>
              </w:rPr>
              <w:t>指标点</w:t>
            </w:r>
            <w:r>
              <w:rPr>
                <w:rFonts w:ascii="宋体" w:hAnsi="宋体" w:eastAsia="宋体" w:cs="Times New Roman"/>
                <w:color w:val="000000"/>
                <w:kern w:val="0"/>
                <w:sz w:val="24"/>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vAlign w:val="center"/>
          </w:tcPr>
          <w:p w14:paraId="7DFE097A">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课程目标2</w:t>
            </w:r>
          </w:p>
        </w:tc>
      </w:tr>
    </w:tbl>
    <w:p w14:paraId="494B2ACF">
      <w:pPr>
        <w:spacing w:before="156" w:beforeLines="50"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（三）课程思政目标</w:t>
      </w:r>
    </w:p>
    <w:p w14:paraId="63B61293">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5AF38743">
      <w:pPr>
        <w:spacing w:line="360" w:lineRule="auto"/>
        <w:jc w:val="left"/>
        <w:rPr>
          <w:rFonts w:hint="eastAsia" w:ascii="宋体" w:hAnsi="宋体" w:eastAsia="宋体" w:cs="Times New Roman"/>
          <w:b/>
          <w:color w:val="000000"/>
          <w:sz w:val="24"/>
        </w:rPr>
      </w:pPr>
    </w:p>
    <w:p w14:paraId="4B990AD4">
      <w:pPr>
        <w:spacing w:line="360" w:lineRule="auto"/>
        <w:jc w:val="left"/>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698"/>
        <w:gridCol w:w="1132"/>
        <w:gridCol w:w="3252"/>
        <w:gridCol w:w="1556"/>
        <w:gridCol w:w="457"/>
      </w:tblGrid>
      <w:tr w14:paraId="7D1A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94139A9">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w:t>
            </w:r>
          </w:p>
          <w:p w14:paraId="664DEFA5">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单元</w:t>
            </w:r>
          </w:p>
        </w:tc>
        <w:tc>
          <w:tcPr>
            <w:tcW w:w="1701" w:type="dxa"/>
            <w:vAlign w:val="center"/>
          </w:tcPr>
          <w:p w14:paraId="56EF7251">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知识点</w:t>
            </w:r>
          </w:p>
        </w:tc>
        <w:tc>
          <w:tcPr>
            <w:tcW w:w="1134" w:type="dxa"/>
            <w:vAlign w:val="center"/>
          </w:tcPr>
          <w:p w14:paraId="3B01846A">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对应</w:t>
            </w:r>
          </w:p>
          <w:p w14:paraId="44419B11">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课程目标</w:t>
            </w:r>
          </w:p>
        </w:tc>
        <w:tc>
          <w:tcPr>
            <w:tcW w:w="3260" w:type="dxa"/>
            <w:vAlign w:val="center"/>
          </w:tcPr>
          <w:p w14:paraId="23E6BCBC">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预期学习成效</w:t>
            </w:r>
          </w:p>
        </w:tc>
        <w:tc>
          <w:tcPr>
            <w:tcW w:w="1560" w:type="dxa"/>
            <w:vAlign w:val="center"/>
          </w:tcPr>
          <w:p w14:paraId="65E33ECD">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实现环节</w:t>
            </w:r>
          </w:p>
        </w:tc>
        <w:tc>
          <w:tcPr>
            <w:tcW w:w="438" w:type="dxa"/>
            <w:vAlign w:val="center"/>
          </w:tcPr>
          <w:p w14:paraId="59ED3BC0">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学时</w:t>
            </w:r>
          </w:p>
        </w:tc>
      </w:tr>
      <w:tr w14:paraId="3B48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FB959F8">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1.教育学及其发展</w:t>
            </w:r>
          </w:p>
        </w:tc>
        <w:tc>
          <w:tcPr>
            <w:tcW w:w="1701" w:type="dxa"/>
            <w:vAlign w:val="center"/>
          </w:tcPr>
          <w:p w14:paraId="34BD653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（1）教育学及其研究对象</w:t>
            </w:r>
          </w:p>
          <w:p w14:paraId="60E1055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（2）教育学的产生和发展</w:t>
            </w:r>
          </w:p>
          <w:p w14:paraId="33978977">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（3）中国化马克思主义教育理论的发展</w:t>
            </w:r>
          </w:p>
          <w:p w14:paraId="57817B6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（4）学习和研究教育学的指导思想</w:t>
            </w:r>
          </w:p>
        </w:tc>
        <w:tc>
          <w:tcPr>
            <w:tcW w:w="1134" w:type="dxa"/>
            <w:vAlign w:val="center"/>
          </w:tcPr>
          <w:p w14:paraId="1D685B8A">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w:t>
            </w:r>
          </w:p>
        </w:tc>
        <w:tc>
          <w:tcPr>
            <w:tcW w:w="3260" w:type="dxa"/>
            <w:vAlign w:val="center"/>
          </w:tcPr>
          <w:p w14:paraId="478C824B">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1.理解教育学的概念表述</w:t>
            </w:r>
            <w:r>
              <w:rPr>
                <w:rFonts w:hint="eastAsia" w:ascii="宋体" w:hAnsi="宋体" w:eastAsia="宋体" w:cs="Times New Roman"/>
                <w:color w:val="000000"/>
                <w:sz w:val="24"/>
              </w:rPr>
              <w:t>；</w:t>
            </w:r>
          </w:p>
          <w:p w14:paraId="746F43D2">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2.了解教育学的学科性质、研究对象、发展历史以及中国化马克思主义教育理论的发展</w:t>
            </w:r>
            <w:r>
              <w:rPr>
                <w:rFonts w:hint="eastAsia" w:ascii="宋体" w:hAnsi="宋体" w:eastAsia="宋体" w:cs="Times New Roman"/>
                <w:color w:val="000000"/>
                <w:sz w:val="24"/>
              </w:rPr>
              <w:t>；</w:t>
            </w:r>
          </w:p>
          <w:p w14:paraId="6B89C18D">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3.掌握学习和研究教育学的基本方法和指导思想</w:t>
            </w:r>
            <w:r>
              <w:rPr>
                <w:rFonts w:hint="eastAsia" w:ascii="宋体" w:hAnsi="宋体" w:eastAsia="宋体" w:cs="Times New Roman"/>
                <w:color w:val="000000"/>
                <w:sz w:val="24"/>
              </w:rPr>
              <w:t>；</w:t>
            </w:r>
          </w:p>
          <w:p w14:paraId="1ED33E94">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4.初步学会运用教育理论、教育规律指导实践，提高学习教育学的自觉性</w:t>
            </w:r>
            <w:r>
              <w:rPr>
                <w:rFonts w:hint="eastAsia" w:ascii="宋体" w:hAnsi="宋体" w:eastAsia="宋体" w:cs="Times New Roman"/>
                <w:color w:val="000000"/>
                <w:sz w:val="24"/>
              </w:rPr>
              <w:t>。</w:t>
            </w:r>
          </w:p>
        </w:tc>
        <w:tc>
          <w:tcPr>
            <w:tcW w:w="1560" w:type="dxa"/>
            <w:vAlign w:val="center"/>
          </w:tcPr>
          <w:p w14:paraId="29146D1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1.线上学习</w:t>
            </w:r>
          </w:p>
          <w:p w14:paraId="0FA9BD1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2.多媒体教学3.课堂讨论</w:t>
            </w:r>
          </w:p>
          <w:p w14:paraId="7DC8A60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4.单元测验</w:t>
            </w:r>
          </w:p>
        </w:tc>
        <w:tc>
          <w:tcPr>
            <w:tcW w:w="438" w:type="dxa"/>
            <w:vAlign w:val="center"/>
          </w:tcPr>
          <w:p w14:paraId="15961FA1">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p>
        </w:tc>
      </w:tr>
      <w:tr w14:paraId="76D8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A6333D8">
            <w:pPr>
              <w:spacing w:line="264" w:lineRule="auto"/>
              <w:jc w:val="center"/>
              <w:rPr>
                <w:rFonts w:hint="eastAsia" w:ascii="宋体" w:hAnsi="宋体" w:eastAsia="宋体" w:cs="Times New Roman"/>
                <w:color w:val="000000"/>
                <w:sz w:val="24"/>
              </w:rPr>
            </w:pPr>
          </w:p>
        </w:tc>
        <w:tc>
          <w:tcPr>
            <w:tcW w:w="8093" w:type="dxa"/>
            <w:gridSpan w:val="5"/>
            <w:vAlign w:val="center"/>
          </w:tcPr>
          <w:p w14:paraId="2AC8DD21">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32CE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B19B562">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2.教育及其本质</w:t>
            </w:r>
          </w:p>
        </w:tc>
        <w:tc>
          <w:tcPr>
            <w:tcW w:w="1701" w:type="dxa"/>
            <w:vAlign w:val="center"/>
          </w:tcPr>
          <w:p w14:paraId="045060E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（1）教育的产生与发展</w:t>
            </w:r>
          </w:p>
          <w:p w14:paraId="1AA2FBE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（2）教育的基本内涵</w:t>
            </w:r>
          </w:p>
          <w:p w14:paraId="79A783CB">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（3）教育的要素与形态</w:t>
            </w:r>
          </w:p>
        </w:tc>
        <w:tc>
          <w:tcPr>
            <w:tcW w:w="1134" w:type="dxa"/>
            <w:vAlign w:val="center"/>
          </w:tcPr>
          <w:p w14:paraId="2A77F4A4">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课程目标1、3</w:t>
            </w:r>
          </w:p>
        </w:tc>
        <w:tc>
          <w:tcPr>
            <w:tcW w:w="3260" w:type="dxa"/>
            <w:vAlign w:val="center"/>
          </w:tcPr>
          <w:p w14:paraId="56F0EEA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正确理解并掌握“教育”的概念及其含义</w:t>
            </w:r>
            <w:r>
              <w:rPr>
                <w:rFonts w:hint="eastAsia" w:ascii="宋体" w:hAnsi="宋体" w:eastAsia="宋体" w:cs="Times New Roman"/>
                <w:color w:val="000000"/>
                <w:sz w:val="24"/>
              </w:rPr>
              <w:t>；</w:t>
            </w:r>
          </w:p>
          <w:p w14:paraId="7400438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了解教育发展的基本阶段及每个阶段教育的重要特征、代表人物及其著作和主要思想主张</w:t>
            </w:r>
            <w:r>
              <w:rPr>
                <w:rFonts w:hint="eastAsia" w:ascii="宋体" w:hAnsi="宋体" w:eastAsia="宋体" w:cs="Times New Roman"/>
                <w:color w:val="000000"/>
                <w:sz w:val="24"/>
              </w:rPr>
              <w:t>；</w:t>
            </w:r>
          </w:p>
          <w:p w14:paraId="492C4B9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理解教育的基本要素及它们之间的关系，以及在当代的变化。</w:t>
            </w:r>
          </w:p>
        </w:tc>
        <w:tc>
          <w:tcPr>
            <w:tcW w:w="1560" w:type="dxa"/>
            <w:vAlign w:val="center"/>
          </w:tcPr>
          <w:p w14:paraId="435DCCA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1.线上学习</w:t>
            </w:r>
          </w:p>
          <w:p w14:paraId="008218B7">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2.多媒体教学3.课堂讨论</w:t>
            </w:r>
          </w:p>
          <w:p w14:paraId="19FACE5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4.单元测验</w:t>
            </w:r>
          </w:p>
        </w:tc>
        <w:tc>
          <w:tcPr>
            <w:tcW w:w="438" w:type="dxa"/>
            <w:vAlign w:val="center"/>
          </w:tcPr>
          <w:p w14:paraId="45CBB43B">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p>
        </w:tc>
      </w:tr>
      <w:tr w14:paraId="5CF7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74AFD9E">
            <w:pPr>
              <w:spacing w:line="264" w:lineRule="auto"/>
              <w:jc w:val="center"/>
              <w:rPr>
                <w:rFonts w:hint="eastAsia" w:ascii="宋体" w:hAnsi="宋体" w:eastAsia="宋体" w:cs="Times New Roman"/>
                <w:color w:val="000000"/>
                <w:sz w:val="24"/>
              </w:rPr>
            </w:pPr>
          </w:p>
        </w:tc>
        <w:tc>
          <w:tcPr>
            <w:tcW w:w="8093" w:type="dxa"/>
            <w:gridSpan w:val="5"/>
            <w:vAlign w:val="center"/>
          </w:tcPr>
          <w:p w14:paraId="02F06FA4">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7CA1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3C966A6">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3.教育与社会发展</w:t>
            </w:r>
          </w:p>
        </w:tc>
        <w:tc>
          <w:tcPr>
            <w:tcW w:w="1701" w:type="dxa"/>
            <w:vAlign w:val="center"/>
          </w:tcPr>
          <w:p w14:paraId="0073AA2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（1）社会对教育发展的影响</w:t>
            </w:r>
          </w:p>
          <w:p w14:paraId="705438D7">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（2）教育对社会发展的促进功能</w:t>
            </w:r>
          </w:p>
          <w:p w14:paraId="6A158EA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（3）教育在社会主义现代化建设中的地位与作用</w:t>
            </w:r>
          </w:p>
        </w:tc>
        <w:tc>
          <w:tcPr>
            <w:tcW w:w="1134" w:type="dxa"/>
            <w:vAlign w:val="center"/>
          </w:tcPr>
          <w:p w14:paraId="580EC6D4">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课程目标2、3</w:t>
            </w:r>
          </w:p>
        </w:tc>
        <w:tc>
          <w:tcPr>
            <w:tcW w:w="3260" w:type="dxa"/>
            <w:vAlign w:val="center"/>
          </w:tcPr>
          <w:p w14:paraId="49EEA04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全面地认识经济、政治、文化、科技等对现代教育的制约性影响</w:t>
            </w:r>
            <w:r>
              <w:rPr>
                <w:rFonts w:hint="eastAsia" w:ascii="宋体" w:hAnsi="宋体" w:eastAsia="宋体" w:cs="Times New Roman"/>
                <w:color w:val="000000"/>
                <w:sz w:val="24"/>
              </w:rPr>
              <w:t>；</w:t>
            </w:r>
          </w:p>
          <w:p w14:paraId="6286FDB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科学地认识教育对政治、经济、文化、科技等社会要求影响的原理与有限性</w:t>
            </w:r>
            <w:r>
              <w:rPr>
                <w:rFonts w:hint="eastAsia" w:ascii="宋体" w:hAnsi="宋体" w:eastAsia="宋体" w:cs="Times New Roman"/>
                <w:color w:val="000000"/>
                <w:sz w:val="24"/>
              </w:rPr>
              <w:t>；</w:t>
            </w:r>
          </w:p>
          <w:p w14:paraId="6FC0F58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了解当前政治、经济、文化、科技等社会要素的新发展带来的教育影响。</w:t>
            </w:r>
          </w:p>
        </w:tc>
        <w:tc>
          <w:tcPr>
            <w:tcW w:w="1560" w:type="dxa"/>
            <w:vAlign w:val="center"/>
          </w:tcPr>
          <w:p w14:paraId="58973865">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1.线上学习</w:t>
            </w:r>
          </w:p>
          <w:p w14:paraId="3C5B4F23">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2.多媒体教学3.课堂讨论</w:t>
            </w:r>
          </w:p>
          <w:p w14:paraId="15F7C064">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4.单元测验</w:t>
            </w:r>
          </w:p>
        </w:tc>
        <w:tc>
          <w:tcPr>
            <w:tcW w:w="438" w:type="dxa"/>
            <w:vAlign w:val="center"/>
          </w:tcPr>
          <w:p w14:paraId="5C9C8B87">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3</w:t>
            </w:r>
          </w:p>
        </w:tc>
      </w:tr>
      <w:tr w14:paraId="7241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DAA7729">
            <w:pPr>
              <w:spacing w:line="264" w:lineRule="auto"/>
              <w:jc w:val="center"/>
              <w:rPr>
                <w:rFonts w:hint="eastAsia" w:ascii="宋体" w:hAnsi="宋体" w:eastAsia="宋体" w:cs="Times New Roman"/>
                <w:color w:val="000000"/>
                <w:sz w:val="24"/>
              </w:rPr>
            </w:pPr>
          </w:p>
        </w:tc>
        <w:tc>
          <w:tcPr>
            <w:tcW w:w="8093" w:type="dxa"/>
            <w:gridSpan w:val="5"/>
            <w:vAlign w:val="center"/>
          </w:tcPr>
          <w:p w14:paraId="6FAA45B8">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从辩证思维的角度掌握教育与社会发展的关系在分析教育与经济、教育与政治、教育与文化的关系中，树立制度自信和文化自信。</w:t>
            </w:r>
          </w:p>
        </w:tc>
      </w:tr>
      <w:tr w14:paraId="5F74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A61DC23">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4.教育与人的发展</w:t>
            </w:r>
          </w:p>
        </w:tc>
        <w:tc>
          <w:tcPr>
            <w:tcW w:w="1701" w:type="dxa"/>
            <w:vAlign w:val="center"/>
          </w:tcPr>
          <w:p w14:paraId="77471C87">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（1）人的身心发展及其影响因素</w:t>
            </w:r>
          </w:p>
          <w:p w14:paraId="7E1E63DF">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（2）教育促进个体发展的功能</w:t>
            </w:r>
          </w:p>
          <w:p w14:paraId="6EEA5387">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（3）教育促进个体发展的条件</w:t>
            </w:r>
          </w:p>
        </w:tc>
        <w:tc>
          <w:tcPr>
            <w:tcW w:w="1134" w:type="dxa"/>
            <w:vAlign w:val="center"/>
          </w:tcPr>
          <w:p w14:paraId="2E934314">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0" w:type="dxa"/>
            <w:vAlign w:val="center"/>
          </w:tcPr>
          <w:p w14:paraId="6281126E">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1.理解并掌握人的发展的内涵及特征及其影响因素，且能运用其对相关教育理论和实践问题进行分析；</w:t>
            </w:r>
          </w:p>
          <w:p w14:paraId="0CAD00B2">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理解</w:t>
            </w:r>
            <w:r>
              <w:rPr>
                <w:rFonts w:hint="eastAsia" w:ascii="宋体" w:hAnsi="宋体" w:eastAsia="宋体" w:cs="Times New Roman"/>
                <w:color w:val="000000"/>
                <w:sz w:val="24"/>
              </w:rPr>
              <w:t>并掌握</w:t>
            </w:r>
            <w:r>
              <w:rPr>
                <w:rFonts w:ascii="宋体" w:hAnsi="宋体" w:eastAsia="宋体" w:cs="Times New Roman"/>
                <w:color w:val="000000"/>
                <w:sz w:val="24"/>
              </w:rPr>
              <w:t>教育与</w:t>
            </w:r>
            <w:r>
              <w:rPr>
                <w:rFonts w:hint="eastAsia" w:ascii="宋体" w:hAnsi="宋体" w:eastAsia="宋体" w:cs="Times New Roman"/>
                <w:color w:val="000000"/>
                <w:sz w:val="24"/>
              </w:rPr>
              <w:t>个体</w:t>
            </w:r>
            <w:r>
              <w:rPr>
                <w:rFonts w:ascii="宋体" w:hAnsi="宋体" w:eastAsia="宋体" w:cs="Times New Roman"/>
                <w:color w:val="000000"/>
                <w:sz w:val="24"/>
              </w:rPr>
              <w:t>发展的关系</w:t>
            </w:r>
            <w:r>
              <w:rPr>
                <w:rFonts w:hint="eastAsia" w:ascii="宋体" w:hAnsi="宋体" w:eastAsia="宋体" w:cs="Times New Roman"/>
                <w:color w:val="000000"/>
                <w:sz w:val="24"/>
              </w:rPr>
              <w:t>，其能运用其对教育相关理论和实践问题进行分析。</w:t>
            </w:r>
          </w:p>
        </w:tc>
        <w:tc>
          <w:tcPr>
            <w:tcW w:w="1560" w:type="dxa"/>
            <w:vAlign w:val="center"/>
          </w:tcPr>
          <w:p w14:paraId="6400745E">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1.线上学习</w:t>
            </w:r>
          </w:p>
          <w:p w14:paraId="007D33D6">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2.多媒体教学3.课堂讨论</w:t>
            </w:r>
          </w:p>
          <w:p w14:paraId="5E3A4B9E">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4.单元测验</w:t>
            </w:r>
          </w:p>
        </w:tc>
        <w:tc>
          <w:tcPr>
            <w:tcW w:w="438" w:type="dxa"/>
            <w:vAlign w:val="center"/>
          </w:tcPr>
          <w:p w14:paraId="7D73D30C">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3</w:t>
            </w:r>
          </w:p>
        </w:tc>
      </w:tr>
      <w:tr w14:paraId="0154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259C370">
            <w:pPr>
              <w:spacing w:line="276" w:lineRule="auto"/>
              <w:jc w:val="center"/>
              <w:rPr>
                <w:rFonts w:hint="eastAsia" w:ascii="宋体" w:hAnsi="宋体" w:eastAsia="宋体" w:cs="Times New Roman"/>
                <w:color w:val="000000"/>
                <w:sz w:val="24"/>
              </w:rPr>
            </w:pPr>
          </w:p>
        </w:tc>
        <w:tc>
          <w:tcPr>
            <w:tcW w:w="8093" w:type="dxa"/>
            <w:gridSpan w:val="5"/>
            <w:vAlign w:val="center"/>
          </w:tcPr>
          <w:p w14:paraId="18AB5E7B">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通过了解人的身心发展的特点，培养学生热爱教育事业和学生的情感，增强从事教育事业的责任感和使命感。</w:t>
            </w:r>
          </w:p>
        </w:tc>
      </w:tr>
      <w:tr w14:paraId="27D3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A9D5058">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5.教育目的</w:t>
            </w:r>
          </w:p>
        </w:tc>
        <w:tc>
          <w:tcPr>
            <w:tcW w:w="1701" w:type="dxa"/>
            <w:vAlign w:val="center"/>
          </w:tcPr>
          <w:p w14:paraId="201FFA0B">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（1）教育目的概述</w:t>
            </w:r>
          </w:p>
          <w:p w14:paraId="05C82E36">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（2）我国教育目的的理论基础</w:t>
            </w:r>
          </w:p>
          <w:p w14:paraId="6BA17DE8">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（3）我国的教育目的</w:t>
            </w:r>
          </w:p>
          <w:p w14:paraId="2D681CE3">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（4）素质教育创新人才培养</w:t>
            </w:r>
          </w:p>
        </w:tc>
        <w:tc>
          <w:tcPr>
            <w:tcW w:w="1134" w:type="dxa"/>
            <w:vAlign w:val="center"/>
          </w:tcPr>
          <w:p w14:paraId="0E290C68">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0" w:type="dxa"/>
            <w:vAlign w:val="center"/>
          </w:tcPr>
          <w:p w14:paraId="57CDA063">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掌握教育目的、培养目标、全面发展教育等基本概念</w:t>
            </w:r>
            <w:r>
              <w:rPr>
                <w:rFonts w:hint="eastAsia" w:ascii="宋体" w:hAnsi="宋体" w:eastAsia="宋体" w:cs="Times New Roman"/>
                <w:color w:val="000000"/>
                <w:sz w:val="24"/>
              </w:rPr>
              <w:t>；</w:t>
            </w:r>
          </w:p>
          <w:p w14:paraId="068ECF0F">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理解教育目的的内容与功能、依据与类型</w:t>
            </w:r>
            <w:r>
              <w:rPr>
                <w:rFonts w:hint="eastAsia" w:ascii="宋体" w:hAnsi="宋体" w:eastAsia="宋体" w:cs="Times New Roman"/>
                <w:color w:val="000000"/>
                <w:sz w:val="24"/>
              </w:rPr>
              <w:t>；</w:t>
            </w:r>
          </w:p>
          <w:p w14:paraId="2FAA24CD">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了解我国教育方针的演变，能够联系实际认识我国教育目的，能够正确认识素质教育和应试教育问题。</w:t>
            </w:r>
          </w:p>
        </w:tc>
        <w:tc>
          <w:tcPr>
            <w:tcW w:w="1560" w:type="dxa"/>
            <w:vAlign w:val="center"/>
          </w:tcPr>
          <w:p w14:paraId="2D52A8B6">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1.线上学习</w:t>
            </w:r>
          </w:p>
          <w:p w14:paraId="571F1898">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2.多媒体教学3.课堂讨论</w:t>
            </w:r>
          </w:p>
          <w:p w14:paraId="5EFF6E30">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4.单元测验</w:t>
            </w:r>
          </w:p>
        </w:tc>
        <w:tc>
          <w:tcPr>
            <w:tcW w:w="438" w:type="dxa"/>
            <w:vAlign w:val="center"/>
          </w:tcPr>
          <w:p w14:paraId="083301A8">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p>
        </w:tc>
      </w:tr>
      <w:tr w14:paraId="6D00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C2B0A12">
            <w:pPr>
              <w:spacing w:line="276" w:lineRule="auto"/>
              <w:jc w:val="center"/>
              <w:rPr>
                <w:rFonts w:hint="eastAsia" w:ascii="宋体" w:hAnsi="宋体" w:eastAsia="宋体" w:cs="Times New Roman"/>
                <w:color w:val="000000"/>
                <w:sz w:val="24"/>
              </w:rPr>
            </w:pPr>
          </w:p>
        </w:tc>
        <w:tc>
          <w:tcPr>
            <w:tcW w:w="8093" w:type="dxa"/>
            <w:gridSpan w:val="5"/>
            <w:vAlign w:val="center"/>
          </w:tcPr>
          <w:p w14:paraId="4A2E4B00">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1F9A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8C87624">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6.人的全面发展</w:t>
            </w:r>
          </w:p>
        </w:tc>
        <w:tc>
          <w:tcPr>
            <w:tcW w:w="1701" w:type="dxa"/>
            <w:vAlign w:val="center"/>
          </w:tcPr>
          <w:p w14:paraId="7D6902D7">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（1）德育</w:t>
            </w:r>
          </w:p>
          <w:p w14:paraId="409EE20C">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（2）智育</w:t>
            </w:r>
          </w:p>
          <w:p w14:paraId="2A52CE96">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（3）体育</w:t>
            </w:r>
          </w:p>
          <w:p w14:paraId="45CC1D5E">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（4）美育</w:t>
            </w:r>
          </w:p>
          <w:p w14:paraId="428F86ED">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（5）劳动技术教育</w:t>
            </w:r>
          </w:p>
        </w:tc>
        <w:tc>
          <w:tcPr>
            <w:tcW w:w="1134" w:type="dxa"/>
            <w:vAlign w:val="center"/>
          </w:tcPr>
          <w:p w14:paraId="1737FB88">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0" w:type="dxa"/>
            <w:vAlign w:val="center"/>
          </w:tcPr>
          <w:p w14:paraId="59B9442E">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了解人的全面发展理论、内涵以及其相互关系</w:t>
            </w:r>
            <w:r>
              <w:rPr>
                <w:rFonts w:hint="eastAsia" w:ascii="宋体" w:hAnsi="宋体" w:eastAsia="宋体" w:cs="Times New Roman"/>
                <w:color w:val="000000"/>
                <w:sz w:val="24"/>
              </w:rPr>
              <w:t>；</w:t>
            </w:r>
          </w:p>
          <w:p w14:paraId="33798642">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理解德育、智育、体育、美育、劳动技术教育的内涵及实施</w:t>
            </w:r>
            <w:r>
              <w:rPr>
                <w:rFonts w:hint="eastAsia" w:ascii="宋体" w:hAnsi="宋体" w:eastAsia="宋体" w:cs="Times New Roman"/>
                <w:color w:val="000000"/>
                <w:sz w:val="24"/>
              </w:rPr>
              <w:t>；</w:t>
            </w:r>
          </w:p>
          <w:p w14:paraId="58205AE1">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掌握全面发展教育各内容之间的辩证关系</w:t>
            </w:r>
            <w:r>
              <w:rPr>
                <w:rFonts w:hint="eastAsia" w:ascii="宋体" w:hAnsi="宋体" w:eastAsia="宋体" w:cs="Times New Roman"/>
                <w:color w:val="000000"/>
                <w:sz w:val="24"/>
              </w:rPr>
              <w:t>。</w:t>
            </w:r>
          </w:p>
        </w:tc>
        <w:tc>
          <w:tcPr>
            <w:tcW w:w="1560" w:type="dxa"/>
            <w:vAlign w:val="center"/>
          </w:tcPr>
          <w:p w14:paraId="6C4B5FD3">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1.线上学习</w:t>
            </w:r>
          </w:p>
          <w:p w14:paraId="22A805AF">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2.多媒体教学3.课堂讨论</w:t>
            </w:r>
          </w:p>
          <w:p w14:paraId="22EED0EF">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4.单元测验</w:t>
            </w:r>
          </w:p>
        </w:tc>
        <w:tc>
          <w:tcPr>
            <w:tcW w:w="438" w:type="dxa"/>
            <w:vAlign w:val="center"/>
          </w:tcPr>
          <w:p w14:paraId="3ED229CE">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p>
        </w:tc>
      </w:tr>
      <w:tr w14:paraId="4673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9270CF4">
            <w:pPr>
              <w:spacing w:line="276" w:lineRule="auto"/>
              <w:jc w:val="center"/>
              <w:rPr>
                <w:rFonts w:hint="eastAsia" w:ascii="宋体" w:hAnsi="宋体" w:eastAsia="宋体" w:cs="Times New Roman"/>
                <w:color w:val="000000"/>
                <w:sz w:val="24"/>
              </w:rPr>
            </w:pPr>
          </w:p>
        </w:tc>
        <w:tc>
          <w:tcPr>
            <w:tcW w:w="8093" w:type="dxa"/>
            <w:gridSpan w:val="5"/>
            <w:vAlign w:val="center"/>
          </w:tcPr>
          <w:p w14:paraId="3A28B34C">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通过对人的全面发展教育的学习，形成全面发展的教育观，确立从教信念。</w:t>
            </w:r>
          </w:p>
        </w:tc>
      </w:tr>
      <w:tr w14:paraId="60AD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0BC4E70">
            <w:pPr>
              <w:spacing w:line="276" w:lineRule="auto"/>
              <w:jc w:val="center"/>
              <w:rPr>
                <w:rFonts w:hint="eastAsia" w:ascii="宋体" w:hAnsi="宋体" w:eastAsia="宋体" w:cs="Times New Roman"/>
                <w:sz w:val="24"/>
              </w:rPr>
            </w:pPr>
            <w:r>
              <w:rPr>
                <w:rFonts w:hint="eastAsia" w:ascii="宋体" w:hAnsi="宋体" w:eastAsia="宋体" w:cs="Times New Roman"/>
                <w:sz w:val="24"/>
              </w:rPr>
              <w:t>7.学校教育制度</w:t>
            </w:r>
          </w:p>
        </w:tc>
        <w:tc>
          <w:tcPr>
            <w:tcW w:w="1701" w:type="dxa"/>
            <w:vAlign w:val="center"/>
          </w:tcPr>
          <w:p w14:paraId="631A0018">
            <w:pPr>
              <w:spacing w:line="276" w:lineRule="auto"/>
              <w:jc w:val="left"/>
              <w:rPr>
                <w:rFonts w:hint="eastAsia" w:ascii="宋体" w:hAnsi="宋体" w:eastAsia="宋体" w:cs="Times New Roman"/>
                <w:sz w:val="24"/>
              </w:rPr>
            </w:pPr>
            <w:r>
              <w:rPr>
                <w:rFonts w:hint="eastAsia" w:ascii="宋体" w:hAnsi="宋体" w:eastAsia="宋体" w:cs="Times New Roman"/>
                <w:sz w:val="24"/>
              </w:rPr>
              <w:t>（1）学校的形成与发展</w:t>
            </w:r>
          </w:p>
          <w:p w14:paraId="778277A6">
            <w:pPr>
              <w:spacing w:line="276" w:lineRule="auto"/>
              <w:jc w:val="left"/>
              <w:rPr>
                <w:rFonts w:hint="eastAsia" w:ascii="宋体" w:hAnsi="宋体" w:eastAsia="宋体" w:cs="Times New Roman"/>
                <w:sz w:val="24"/>
              </w:rPr>
            </w:pPr>
            <w:r>
              <w:rPr>
                <w:rFonts w:hint="eastAsia" w:ascii="宋体" w:hAnsi="宋体" w:eastAsia="宋体" w:cs="Times New Roman"/>
                <w:sz w:val="24"/>
              </w:rPr>
              <w:t>（2）现代学校教育制度</w:t>
            </w:r>
          </w:p>
          <w:p w14:paraId="633520D3">
            <w:pPr>
              <w:spacing w:line="276" w:lineRule="auto"/>
              <w:jc w:val="left"/>
              <w:rPr>
                <w:rFonts w:hint="eastAsia" w:ascii="宋体" w:hAnsi="宋体" w:eastAsia="宋体" w:cs="Times New Roman"/>
                <w:sz w:val="24"/>
              </w:rPr>
            </w:pPr>
            <w:r>
              <w:rPr>
                <w:rFonts w:hint="eastAsia" w:ascii="宋体" w:hAnsi="宋体" w:eastAsia="宋体" w:cs="Times New Roman"/>
                <w:sz w:val="24"/>
              </w:rPr>
              <w:t>（3）学校教育制度的改革</w:t>
            </w:r>
          </w:p>
        </w:tc>
        <w:tc>
          <w:tcPr>
            <w:tcW w:w="1134" w:type="dxa"/>
            <w:vAlign w:val="center"/>
          </w:tcPr>
          <w:p w14:paraId="083932DF">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0" w:type="dxa"/>
            <w:vAlign w:val="center"/>
          </w:tcPr>
          <w:p w14:paraId="15613DED">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1）识记教育制度和学校教育制度的含义、现代学校教育制度的类型</w:t>
            </w:r>
            <w:r>
              <w:rPr>
                <w:rFonts w:hint="eastAsia" w:ascii="宋体" w:hAnsi="宋体" w:eastAsia="宋体" w:cs="Times New Roman"/>
                <w:color w:val="000000"/>
                <w:sz w:val="24"/>
              </w:rPr>
              <w:t>；</w:t>
            </w:r>
          </w:p>
          <w:p w14:paraId="4E916751">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2）理解教育制度和学校教育制度的历史发展过程</w:t>
            </w:r>
            <w:r>
              <w:rPr>
                <w:rFonts w:hint="eastAsia" w:ascii="宋体" w:hAnsi="宋体" w:eastAsia="宋体" w:cs="Times New Roman"/>
                <w:color w:val="000000"/>
                <w:sz w:val="24"/>
              </w:rPr>
              <w:t>；</w:t>
            </w:r>
          </w:p>
          <w:p w14:paraId="3B356D6F">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3）把握教育制度和学校教育制度的改革和发展趋势</w:t>
            </w:r>
            <w:r>
              <w:rPr>
                <w:rFonts w:hint="eastAsia" w:ascii="宋体" w:hAnsi="宋体" w:eastAsia="宋体" w:cs="Times New Roman"/>
                <w:color w:val="000000"/>
                <w:sz w:val="24"/>
              </w:rPr>
              <w:t>；</w:t>
            </w:r>
          </w:p>
          <w:p w14:paraId="0BB42174">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4）运用学校教育制度的有关知识来分析我国现行教育制度</w:t>
            </w:r>
            <w:r>
              <w:rPr>
                <w:rFonts w:hint="eastAsia" w:ascii="宋体" w:hAnsi="宋体" w:eastAsia="宋体" w:cs="Times New Roman"/>
                <w:color w:val="000000"/>
                <w:sz w:val="24"/>
              </w:rPr>
              <w:t>。</w:t>
            </w:r>
          </w:p>
        </w:tc>
        <w:tc>
          <w:tcPr>
            <w:tcW w:w="1560" w:type="dxa"/>
            <w:vAlign w:val="center"/>
          </w:tcPr>
          <w:p w14:paraId="187428B9">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1.线上学习</w:t>
            </w:r>
          </w:p>
          <w:p w14:paraId="3B4B02EB">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2.多媒体教学3.课堂讨论</w:t>
            </w:r>
          </w:p>
          <w:p w14:paraId="47BBD6AD">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4.单元测验</w:t>
            </w:r>
          </w:p>
        </w:tc>
        <w:tc>
          <w:tcPr>
            <w:tcW w:w="438" w:type="dxa"/>
            <w:vAlign w:val="center"/>
          </w:tcPr>
          <w:p w14:paraId="0C277481">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p>
        </w:tc>
      </w:tr>
      <w:tr w14:paraId="4944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1B852AD">
            <w:pPr>
              <w:spacing w:line="276" w:lineRule="auto"/>
              <w:jc w:val="center"/>
              <w:rPr>
                <w:rFonts w:hint="eastAsia" w:ascii="宋体" w:hAnsi="宋体" w:eastAsia="宋体" w:cs="Times New Roman"/>
                <w:color w:val="000000"/>
                <w:sz w:val="24"/>
              </w:rPr>
            </w:pPr>
          </w:p>
        </w:tc>
        <w:tc>
          <w:tcPr>
            <w:tcW w:w="8093" w:type="dxa"/>
            <w:gridSpan w:val="5"/>
            <w:vAlign w:val="center"/>
          </w:tcPr>
          <w:p w14:paraId="4748A73D">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了解我国现代学校教育制度的演变及其形态，确立制度自信。</w:t>
            </w:r>
          </w:p>
        </w:tc>
      </w:tr>
      <w:tr w14:paraId="26B9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BA9826">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8.课程</w:t>
            </w:r>
          </w:p>
        </w:tc>
        <w:tc>
          <w:tcPr>
            <w:tcW w:w="1701" w:type="dxa"/>
            <w:vAlign w:val="center"/>
          </w:tcPr>
          <w:p w14:paraId="4D6BDC12">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（1）课程概述</w:t>
            </w:r>
          </w:p>
          <w:p w14:paraId="3DE67887">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（2）课程开发</w:t>
            </w:r>
          </w:p>
          <w:p w14:paraId="4DAAB2A7">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（3）课程改革</w:t>
            </w:r>
          </w:p>
        </w:tc>
        <w:tc>
          <w:tcPr>
            <w:tcW w:w="1134" w:type="dxa"/>
            <w:vAlign w:val="center"/>
          </w:tcPr>
          <w:p w14:paraId="289481D1">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0" w:type="dxa"/>
            <w:vAlign w:val="center"/>
          </w:tcPr>
          <w:p w14:paraId="6444FDE6">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1）了解关于课程本质的不同观点，掌握现代课程的本质和特点，能够批判性地分析各种现代课程的各种理念</w:t>
            </w:r>
            <w:r>
              <w:rPr>
                <w:rFonts w:hint="eastAsia" w:ascii="宋体" w:hAnsi="宋体" w:eastAsia="宋体" w:cs="Times New Roman"/>
                <w:color w:val="000000"/>
                <w:sz w:val="24"/>
              </w:rPr>
              <w:t>；</w:t>
            </w:r>
          </w:p>
          <w:p w14:paraId="45CD4BA1">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2）了解课程结构的内涵、特点和组织， 能够掌握现代课程资源的类型和开发策略，并能够根据实际工作需要开发课程资源</w:t>
            </w:r>
            <w:r>
              <w:rPr>
                <w:rFonts w:hint="eastAsia" w:ascii="宋体" w:hAnsi="宋体" w:eastAsia="宋体" w:cs="Times New Roman"/>
                <w:color w:val="000000"/>
                <w:sz w:val="24"/>
              </w:rPr>
              <w:t>；</w:t>
            </w:r>
          </w:p>
          <w:p w14:paraId="6FDB289E">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3）能够正确理解我国基础教育改革的背景、目标、创新，了解其未来的发展趋势。</w:t>
            </w:r>
          </w:p>
        </w:tc>
        <w:tc>
          <w:tcPr>
            <w:tcW w:w="1560" w:type="dxa"/>
            <w:vAlign w:val="center"/>
          </w:tcPr>
          <w:p w14:paraId="45B21A07">
            <w:pPr>
              <w:spacing w:line="264" w:lineRule="auto"/>
              <w:jc w:val="left"/>
              <w:rPr>
                <w:rFonts w:hint="eastAsia" w:ascii="宋体" w:hAnsi="宋体" w:eastAsia="宋体" w:cs="Times New Roman"/>
                <w:color w:val="000000"/>
                <w:sz w:val="24"/>
              </w:rPr>
            </w:pPr>
            <w:r>
              <w:rPr>
                <w:rFonts w:ascii="宋体" w:hAnsi="宋体" w:eastAsia="宋体" w:cs="Times New Roman"/>
                <w:color w:val="000000"/>
                <w:sz w:val="24"/>
              </w:rPr>
              <w:t>1.线上学习</w:t>
            </w:r>
          </w:p>
          <w:p w14:paraId="5C9D5648">
            <w:pPr>
              <w:spacing w:line="264" w:lineRule="auto"/>
              <w:jc w:val="left"/>
              <w:rPr>
                <w:rFonts w:hint="eastAsia" w:ascii="宋体" w:hAnsi="宋体" w:eastAsia="宋体" w:cs="Times New Roman"/>
                <w:color w:val="000000"/>
                <w:sz w:val="24"/>
              </w:rPr>
            </w:pPr>
            <w:r>
              <w:rPr>
                <w:rFonts w:ascii="宋体" w:hAnsi="宋体" w:eastAsia="宋体" w:cs="Times New Roman"/>
                <w:color w:val="000000"/>
                <w:sz w:val="24"/>
              </w:rPr>
              <w:t>2.多媒体教学3.课堂讨论</w:t>
            </w:r>
          </w:p>
          <w:p w14:paraId="1B03FCE6">
            <w:pPr>
              <w:spacing w:line="264" w:lineRule="auto"/>
              <w:jc w:val="left"/>
              <w:rPr>
                <w:rFonts w:hint="eastAsia" w:ascii="宋体" w:hAnsi="宋体" w:eastAsia="宋体" w:cs="Times New Roman"/>
                <w:color w:val="000000"/>
                <w:sz w:val="24"/>
              </w:rPr>
            </w:pPr>
            <w:r>
              <w:rPr>
                <w:rFonts w:ascii="宋体" w:hAnsi="宋体" w:eastAsia="宋体" w:cs="Times New Roman"/>
                <w:color w:val="000000"/>
                <w:sz w:val="24"/>
              </w:rPr>
              <w:t>4.单元测验</w:t>
            </w:r>
          </w:p>
        </w:tc>
        <w:tc>
          <w:tcPr>
            <w:tcW w:w="438" w:type="dxa"/>
            <w:vAlign w:val="center"/>
          </w:tcPr>
          <w:p w14:paraId="0309B6E2">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p>
        </w:tc>
      </w:tr>
      <w:tr w14:paraId="1F17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F015660">
            <w:pPr>
              <w:spacing w:line="264" w:lineRule="auto"/>
              <w:jc w:val="center"/>
              <w:rPr>
                <w:rFonts w:hint="eastAsia" w:ascii="宋体" w:hAnsi="宋体" w:eastAsia="宋体" w:cs="Times New Roman"/>
                <w:color w:val="000000"/>
                <w:sz w:val="24"/>
              </w:rPr>
            </w:pPr>
          </w:p>
        </w:tc>
        <w:tc>
          <w:tcPr>
            <w:tcW w:w="8093" w:type="dxa"/>
            <w:gridSpan w:val="5"/>
            <w:vAlign w:val="center"/>
          </w:tcPr>
          <w:p w14:paraId="315B855B">
            <w:pPr>
              <w:spacing w:line="264"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理解新课程的基本价值取向是：为了中华民族的复兴，为了每一个学生的发展，培养教育情怀，确立从教信念。</w:t>
            </w:r>
          </w:p>
        </w:tc>
      </w:tr>
      <w:tr w14:paraId="1D39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D8BE07">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9.教学</w:t>
            </w:r>
          </w:p>
        </w:tc>
        <w:tc>
          <w:tcPr>
            <w:tcW w:w="1701" w:type="dxa"/>
            <w:vAlign w:val="center"/>
          </w:tcPr>
          <w:p w14:paraId="51FF15F7">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（1）教学概述</w:t>
            </w:r>
          </w:p>
          <w:p w14:paraId="41FA95A6">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（2）教学理论与规律</w:t>
            </w:r>
          </w:p>
          <w:p w14:paraId="454BD0E1">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（3）教学实施</w:t>
            </w:r>
          </w:p>
          <w:p w14:paraId="08991DD6">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（4）教学改革</w:t>
            </w:r>
          </w:p>
        </w:tc>
        <w:tc>
          <w:tcPr>
            <w:tcW w:w="1134" w:type="dxa"/>
            <w:vAlign w:val="center"/>
          </w:tcPr>
          <w:p w14:paraId="751A42E7">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0" w:type="dxa"/>
            <w:vAlign w:val="center"/>
          </w:tcPr>
          <w:p w14:paraId="0B857F8C">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掌握现代教学的概念，理解现代教学的地位，了解现代教学的形成与发展</w:t>
            </w:r>
            <w:r>
              <w:rPr>
                <w:rFonts w:hint="eastAsia" w:ascii="宋体" w:hAnsi="宋体" w:eastAsia="宋体" w:cs="Times New Roman"/>
                <w:color w:val="000000"/>
                <w:sz w:val="24"/>
              </w:rPr>
              <w:t>；</w:t>
            </w:r>
          </w:p>
          <w:p w14:paraId="1B7AD96E">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理解主要教学理论流派的主张，并结合实际教学加以评论</w:t>
            </w:r>
            <w:r>
              <w:rPr>
                <w:rFonts w:hint="eastAsia" w:ascii="宋体" w:hAnsi="宋体" w:eastAsia="宋体" w:cs="Times New Roman"/>
                <w:color w:val="000000"/>
                <w:sz w:val="24"/>
              </w:rPr>
              <w:t>；</w:t>
            </w:r>
          </w:p>
          <w:p w14:paraId="52F413F2">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理解并掌握教学实施的各环节和要素</w:t>
            </w:r>
            <w:r>
              <w:rPr>
                <w:rFonts w:hint="eastAsia" w:ascii="宋体" w:hAnsi="宋体" w:eastAsia="宋体" w:cs="Times New Roman"/>
                <w:color w:val="000000"/>
                <w:sz w:val="24"/>
              </w:rPr>
              <w:t>；</w:t>
            </w:r>
          </w:p>
          <w:p w14:paraId="78AE1396">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把握当代我国和世界中小学教学改革的趋势</w:t>
            </w:r>
            <w:r>
              <w:rPr>
                <w:rFonts w:hint="eastAsia" w:ascii="宋体" w:hAnsi="宋体" w:eastAsia="宋体" w:cs="Times New Roman"/>
                <w:color w:val="000000"/>
                <w:sz w:val="24"/>
              </w:rPr>
              <w:t>。</w:t>
            </w:r>
          </w:p>
        </w:tc>
        <w:tc>
          <w:tcPr>
            <w:tcW w:w="1560" w:type="dxa"/>
            <w:vAlign w:val="center"/>
          </w:tcPr>
          <w:p w14:paraId="4932582E">
            <w:pPr>
              <w:spacing w:line="264" w:lineRule="auto"/>
              <w:jc w:val="left"/>
              <w:rPr>
                <w:rFonts w:hint="eastAsia" w:ascii="宋体" w:hAnsi="宋体" w:eastAsia="宋体" w:cs="Times New Roman"/>
                <w:color w:val="000000"/>
                <w:sz w:val="24"/>
              </w:rPr>
            </w:pPr>
            <w:r>
              <w:rPr>
                <w:rFonts w:ascii="宋体" w:hAnsi="宋体" w:eastAsia="宋体" w:cs="Times New Roman"/>
                <w:color w:val="000000"/>
                <w:sz w:val="24"/>
              </w:rPr>
              <w:t>1.线上学习</w:t>
            </w:r>
          </w:p>
          <w:p w14:paraId="2B6DABC3">
            <w:pPr>
              <w:spacing w:line="264" w:lineRule="auto"/>
              <w:jc w:val="left"/>
              <w:rPr>
                <w:rFonts w:hint="eastAsia" w:ascii="宋体" w:hAnsi="宋体" w:eastAsia="宋体" w:cs="Times New Roman"/>
                <w:color w:val="000000"/>
                <w:sz w:val="24"/>
              </w:rPr>
            </w:pPr>
            <w:r>
              <w:rPr>
                <w:rFonts w:ascii="宋体" w:hAnsi="宋体" w:eastAsia="宋体" w:cs="Times New Roman"/>
                <w:color w:val="000000"/>
                <w:sz w:val="24"/>
              </w:rPr>
              <w:t>2.多媒体教学3.课堂讨论</w:t>
            </w:r>
          </w:p>
          <w:p w14:paraId="29632385">
            <w:pPr>
              <w:spacing w:line="264" w:lineRule="auto"/>
              <w:jc w:val="left"/>
              <w:rPr>
                <w:rFonts w:hint="eastAsia" w:ascii="宋体" w:hAnsi="宋体" w:eastAsia="宋体" w:cs="Times New Roman"/>
                <w:color w:val="000000"/>
                <w:sz w:val="24"/>
              </w:rPr>
            </w:pPr>
            <w:r>
              <w:rPr>
                <w:rFonts w:ascii="宋体" w:hAnsi="宋体" w:eastAsia="宋体" w:cs="Times New Roman"/>
                <w:color w:val="000000"/>
                <w:sz w:val="24"/>
              </w:rPr>
              <w:t>4.单元测验</w:t>
            </w:r>
          </w:p>
        </w:tc>
        <w:tc>
          <w:tcPr>
            <w:tcW w:w="438" w:type="dxa"/>
            <w:vAlign w:val="center"/>
          </w:tcPr>
          <w:p w14:paraId="5B566A53">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p>
        </w:tc>
      </w:tr>
      <w:tr w14:paraId="0571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EFFEDAD">
            <w:pPr>
              <w:spacing w:line="264" w:lineRule="auto"/>
              <w:jc w:val="center"/>
              <w:rPr>
                <w:rFonts w:hint="eastAsia" w:ascii="宋体" w:hAnsi="宋体" w:eastAsia="宋体" w:cs="Times New Roman"/>
                <w:color w:val="000000"/>
                <w:sz w:val="24"/>
              </w:rPr>
            </w:pPr>
          </w:p>
        </w:tc>
        <w:tc>
          <w:tcPr>
            <w:tcW w:w="8093" w:type="dxa"/>
            <w:gridSpan w:val="5"/>
            <w:vAlign w:val="center"/>
          </w:tcPr>
          <w:p w14:paraId="4B4DDF03">
            <w:pPr>
              <w:spacing w:line="264"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学会遵循马克思主义的立场、观点和方法、遵循当代社会的伦理规范来实施教学，同时形成教育公平、民主、法治等的正确理念。</w:t>
            </w:r>
          </w:p>
        </w:tc>
      </w:tr>
      <w:tr w14:paraId="218D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7F4650B">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10.教师与学生</w:t>
            </w:r>
          </w:p>
        </w:tc>
        <w:tc>
          <w:tcPr>
            <w:tcW w:w="1701" w:type="dxa"/>
            <w:vAlign w:val="center"/>
          </w:tcPr>
          <w:p w14:paraId="25D54837">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（1）教师</w:t>
            </w:r>
          </w:p>
          <w:p w14:paraId="02402B12">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（2）班主任</w:t>
            </w:r>
          </w:p>
          <w:p w14:paraId="72C0F0C8">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（3）学生</w:t>
            </w:r>
          </w:p>
        </w:tc>
        <w:tc>
          <w:tcPr>
            <w:tcW w:w="1134" w:type="dxa"/>
            <w:vAlign w:val="center"/>
          </w:tcPr>
          <w:p w14:paraId="6EE21F0B">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p w14:paraId="73CDD99C">
            <w:pPr>
              <w:spacing w:line="264" w:lineRule="auto"/>
              <w:jc w:val="center"/>
              <w:rPr>
                <w:rFonts w:hint="eastAsia" w:ascii="宋体" w:hAnsi="宋体" w:eastAsia="宋体" w:cs="Times New Roman"/>
                <w:color w:val="000000"/>
                <w:sz w:val="24"/>
              </w:rPr>
            </w:pPr>
          </w:p>
        </w:tc>
        <w:tc>
          <w:tcPr>
            <w:tcW w:w="3260" w:type="dxa"/>
            <w:vAlign w:val="center"/>
          </w:tcPr>
          <w:p w14:paraId="3B22362D">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了解教师职业的历史发展、特点及意义、教师的权利与义务</w:t>
            </w:r>
            <w:r>
              <w:rPr>
                <w:rFonts w:hint="eastAsia" w:ascii="宋体" w:hAnsi="宋体" w:eastAsia="宋体" w:cs="Times New Roman"/>
                <w:color w:val="000000"/>
                <w:sz w:val="24"/>
              </w:rPr>
              <w:t>；</w:t>
            </w:r>
          </w:p>
          <w:p w14:paraId="2A85239B">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理解教师专业发展的内涵和内容、途径；熟悉各级各类教师专业标准</w:t>
            </w:r>
            <w:r>
              <w:rPr>
                <w:rFonts w:hint="eastAsia" w:ascii="宋体" w:hAnsi="宋体" w:eastAsia="宋体" w:cs="Times New Roman"/>
                <w:color w:val="000000"/>
                <w:sz w:val="24"/>
              </w:rPr>
              <w:t>；</w:t>
            </w:r>
          </w:p>
          <w:p w14:paraId="50B3C12E">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了解班主任的角色、任务与职责</w:t>
            </w:r>
            <w:r>
              <w:rPr>
                <w:rFonts w:hint="eastAsia" w:ascii="宋体" w:hAnsi="宋体" w:eastAsia="宋体" w:cs="Times New Roman"/>
                <w:color w:val="000000"/>
                <w:sz w:val="24"/>
              </w:rPr>
              <w:t>；</w:t>
            </w:r>
          </w:p>
          <w:p w14:paraId="1B06F3AE">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描述学生身心发展的一般规律和时代特点；了解学生的权利与义务；描述理想的师生关系特点及建构策略</w:t>
            </w:r>
            <w:r>
              <w:rPr>
                <w:rFonts w:hint="eastAsia" w:ascii="宋体" w:hAnsi="宋体" w:eastAsia="宋体" w:cs="Times New Roman"/>
                <w:color w:val="000000"/>
                <w:sz w:val="24"/>
              </w:rPr>
              <w:t>；</w:t>
            </w:r>
          </w:p>
          <w:p w14:paraId="74BF1840">
            <w:pPr>
              <w:spacing w:line="264"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5.</w:t>
            </w:r>
            <w:r>
              <w:rPr>
                <w:rFonts w:ascii="宋体" w:hAnsi="宋体" w:eastAsia="宋体" w:cs="Times New Roman"/>
                <w:color w:val="000000"/>
                <w:sz w:val="24"/>
              </w:rPr>
              <w:t>以马克思关于人的本质和人的发展的观点，阐述理想的学生观</w:t>
            </w:r>
            <w:r>
              <w:rPr>
                <w:rFonts w:hint="eastAsia" w:ascii="宋体" w:hAnsi="宋体" w:eastAsia="宋体" w:cs="Times New Roman"/>
                <w:color w:val="000000"/>
                <w:sz w:val="24"/>
              </w:rPr>
              <w:t>。</w:t>
            </w:r>
          </w:p>
        </w:tc>
        <w:tc>
          <w:tcPr>
            <w:tcW w:w="1560" w:type="dxa"/>
            <w:vAlign w:val="center"/>
          </w:tcPr>
          <w:p w14:paraId="6212385F">
            <w:pPr>
              <w:spacing w:line="264" w:lineRule="auto"/>
              <w:jc w:val="left"/>
              <w:rPr>
                <w:rFonts w:hint="eastAsia" w:ascii="宋体" w:hAnsi="宋体" w:eastAsia="宋体" w:cs="Times New Roman"/>
                <w:color w:val="000000"/>
                <w:sz w:val="24"/>
              </w:rPr>
            </w:pPr>
            <w:r>
              <w:rPr>
                <w:rFonts w:ascii="宋体" w:hAnsi="宋体" w:eastAsia="宋体" w:cs="Times New Roman"/>
                <w:color w:val="000000"/>
                <w:sz w:val="24"/>
              </w:rPr>
              <w:t>1.线上学习</w:t>
            </w:r>
          </w:p>
          <w:p w14:paraId="70098EB8">
            <w:pPr>
              <w:spacing w:line="264" w:lineRule="auto"/>
              <w:jc w:val="left"/>
              <w:rPr>
                <w:rFonts w:hint="eastAsia" w:ascii="宋体" w:hAnsi="宋体" w:eastAsia="宋体" w:cs="Times New Roman"/>
                <w:color w:val="000000"/>
                <w:sz w:val="24"/>
              </w:rPr>
            </w:pPr>
            <w:r>
              <w:rPr>
                <w:rFonts w:ascii="宋体" w:hAnsi="宋体" w:eastAsia="宋体" w:cs="Times New Roman"/>
                <w:color w:val="000000"/>
                <w:sz w:val="24"/>
              </w:rPr>
              <w:t>2.多媒体教学3.课堂讨论</w:t>
            </w:r>
          </w:p>
          <w:p w14:paraId="39B50C80">
            <w:pPr>
              <w:spacing w:line="264" w:lineRule="auto"/>
              <w:jc w:val="left"/>
              <w:rPr>
                <w:rFonts w:hint="eastAsia" w:ascii="宋体" w:hAnsi="宋体" w:eastAsia="宋体" w:cs="Times New Roman"/>
                <w:color w:val="000000"/>
                <w:sz w:val="24"/>
              </w:rPr>
            </w:pPr>
            <w:r>
              <w:rPr>
                <w:rFonts w:ascii="宋体" w:hAnsi="宋体" w:eastAsia="宋体" w:cs="Times New Roman"/>
                <w:color w:val="000000"/>
                <w:sz w:val="24"/>
              </w:rPr>
              <w:t>4.单元测验</w:t>
            </w:r>
          </w:p>
        </w:tc>
        <w:tc>
          <w:tcPr>
            <w:tcW w:w="438" w:type="dxa"/>
            <w:vAlign w:val="center"/>
          </w:tcPr>
          <w:p w14:paraId="71AD5474">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p>
        </w:tc>
      </w:tr>
      <w:tr w14:paraId="6FFC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7A5DF83">
            <w:pPr>
              <w:spacing w:line="264" w:lineRule="auto"/>
              <w:jc w:val="center"/>
              <w:rPr>
                <w:rFonts w:hint="eastAsia" w:ascii="宋体" w:hAnsi="宋体" w:eastAsia="宋体" w:cs="Times New Roman"/>
                <w:color w:val="000000"/>
                <w:sz w:val="24"/>
              </w:rPr>
            </w:pPr>
          </w:p>
        </w:tc>
        <w:tc>
          <w:tcPr>
            <w:tcW w:w="8093" w:type="dxa"/>
            <w:gridSpan w:val="5"/>
            <w:vAlign w:val="center"/>
          </w:tcPr>
          <w:p w14:paraId="117C7E0F">
            <w:pPr>
              <w:spacing w:line="264"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实现知识转化，树立正确的教师观、学生观，并热爱教师职业、热爱学生，培养良好的师生关系。</w:t>
            </w:r>
          </w:p>
        </w:tc>
      </w:tr>
    </w:tbl>
    <w:p w14:paraId="4C9CF5CA">
      <w:pPr>
        <w:spacing w:line="360" w:lineRule="auto"/>
        <w:jc w:val="left"/>
        <w:rPr>
          <w:rFonts w:ascii="Times New Roman" w:hAnsi="Times New Roman" w:eastAsia="宋体" w:cs="Times New Roman"/>
          <w:sz w:val="24"/>
        </w:rPr>
      </w:pPr>
    </w:p>
    <w:p w14:paraId="3C8E12BC">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四、目标评价与成绩评定</w:t>
      </w:r>
    </w:p>
    <w:p w14:paraId="317193A9">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6D3A7A4E">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77730036">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097"/>
        <w:gridCol w:w="1097"/>
        <w:gridCol w:w="1097"/>
        <w:gridCol w:w="1097"/>
        <w:gridCol w:w="1097"/>
        <w:gridCol w:w="1097"/>
        <w:gridCol w:w="683"/>
      </w:tblGrid>
      <w:tr w14:paraId="124B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1DC1DD1">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w:t>
            </w:r>
          </w:p>
        </w:tc>
        <w:tc>
          <w:tcPr>
            <w:tcW w:w="0" w:type="auto"/>
            <w:gridSpan w:val="6"/>
            <w:vAlign w:val="center"/>
          </w:tcPr>
          <w:p w14:paraId="44709AB1">
            <w:pPr>
              <w:spacing w:line="360" w:lineRule="auto"/>
              <w:jc w:val="center"/>
              <w:rPr>
                <w:rFonts w:hint="eastAsia" w:ascii="宋体" w:hAnsi="宋体" w:eastAsia="宋体" w:cs="Times New Roman"/>
                <w:sz w:val="24"/>
              </w:rPr>
            </w:pPr>
            <w:r>
              <w:rPr>
                <w:rFonts w:hint="eastAsia" w:ascii="宋体" w:hAnsi="宋体" w:eastAsia="宋体" w:cs="Times New Roman"/>
                <w:sz w:val="24"/>
              </w:rPr>
              <w:t>评价与成绩评定方法</w:t>
            </w:r>
          </w:p>
        </w:tc>
        <w:tc>
          <w:tcPr>
            <w:tcW w:w="0" w:type="auto"/>
            <w:vMerge w:val="restart"/>
            <w:vAlign w:val="center"/>
          </w:tcPr>
          <w:p w14:paraId="2EEB41E2">
            <w:pPr>
              <w:spacing w:line="360" w:lineRule="auto"/>
              <w:jc w:val="center"/>
              <w:rPr>
                <w:rFonts w:hint="eastAsia" w:ascii="宋体" w:hAnsi="宋体" w:eastAsia="宋体" w:cs="Times New Roman"/>
                <w:sz w:val="24"/>
              </w:rPr>
            </w:pPr>
            <w:r>
              <w:rPr>
                <w:rFonts w:hint="eastAsia" w:ascii="宋体" w:hAnsi="宋体" w:eastAsia="宋体" w:cs="Times New Roman"/>
                <w:sz w:val="24"/>
              </w:rPr>
              <w:t>分值</w:t>
            </w:r>
          </w:p>
        </w:tc>
      </w:tr>
      <w:tr w14:paraId="3C0E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B68DCDD">
            <w:pPr>
              <w:spacing w:line="360" w:lineRule="auto"/>
              <w:jc w:val="center"/>
              <w:rPr>
                <w:rFonts w:hint="eastAsia" w:ascii="宋体" w:hAnsi="宋体" w:eastAsia="宋体" w:cs="Times New Roman"/>
                <w:sz w:val="24"/>
              </w:rPr>
            </w:pPr>
          </w:p>
        </w:tc>
        <w:tc>
          <w:tcPr>
            <w:tcW w:w="0" w:type="auto"/>
            <w:vAlign w:val="center"/>
          </w:tcPr>
          <w:p w14:paraId="30EDFA4E">
            <w:pPr>
              <w:spacing w:line="360" w:lineRule="auto"/>
              <w:jc w:val="center"/>
              <w:rPr>
                <w:rFonts w:hint="eastAsia" w:ascii="宋体" w:hAnsi="宋体" w:eastAsia="宋体" w:cs="Times New Roman"/>
                <w:sz w:val="24"/>
              </w:rPr>
            </w:pPr>
            <w:r>
              <w:rPr>
                <w:rFonts w:hint="eastAsia" w:ascii="宋体" w:hAnsi="宋体" w:eastAsia="宋体" w:cs="Times New Roman"/>
                <w:sz w:val="24"/>
              </w:rPr>
              <w:t>平时作业</w:t>
            </w:r>
          </w:p>
        </w:tc>
        <w:tc>
          <w:tcPr>
            <w:tcW w:w="0" w:type="auto"/>
            <w:vAlign w:val="center"/>
          </w:tcPr>
          <w:p w14:paraId="34A84B18">
            <w:pPr>
              <w:spacing w:line="360" w:lineRule="auto"/>
              <w:jc w:val="center"/>
              <w:rPr>
                <w:rFonts w:hint="eastAsia" w:ascii="宋体" w:hAnsi="宋体" w:eastAsia="宋体" w:cs="Times New Roman"/>
                <w:sz w:val="24"/>
              </w:rPr>
            </w:pPr>
            <w:r>
              <w:rPr>
                <w:rFonts w:hint="eastAsia" w:ascii="宋体" w:hAnsi="宋体" w:eastAsia="宋体" w:cs="Times New Roman"/>
                <w:sz w:val="24"/>
              </w:rPr>
              <w:t>课堂表现</w:t>
            </w:r>
          </w:p>
        </w:tc>
        <w:tc>
          <w:tcPr>
            <w:tcW w:w="0" w:type="auto"/>
            <w:vAlign w:val="center"/>
          </w:tcPr>
          <w:p w14:paraId="37559982">
            <w:pPr>
              <w:spacing w:line="360" w:lineRule="auto"/>
              <w:jc w:val="center"/>
              <w:rPr>
                <w:rFonts w:hint="eastAsia" w:ascii="宋体" w:hAnsi="宋体" w:eastAsia="宋体" w:cs="Times New Roman"/>
                <w:sz w:val="24"/>
              </w:rPr>
            </w:pPr>
            <w:r>
              <w:rPr>
                <w:rFonts w:hint="eastAsia" w:ascii="宋体" w:hAnsi="宋体" w:eastAsia="宋体" w:cs="Times New Roman"/>
                <w:sz w:val="24"/>
              </w:rPr>
              <w:t>单元测验</w:t>
            </w:r>
          </w:p>
        </w:tc>
        <w:tc>
          <w:tcPr>
            <w:tcW w:w="0" w:type="auto"/>
            <w:vAlign w:val="center"/>
          </w:tcPr>
          <w:p w14:paraId="69EED622">
            <w:pPr>
              <w:spacing w:line="360" w:lineRule="auto"/>
              <w:jc w:val="center"/>
              <w:rPr>
                <w:rFonts w:hint="eastAsia" w:ascii="宋体" w:hAnsi="宋体" w:eastAsia="宋体" w:cs="Times New Roman"/>
                <w:sz w:val="24"/>
              </w:rPr>
            </w:pPr>
            <w:r>
              <w:rPr>
                <w:rFonts w:hint="eastAsia" w:ascii="宋体" w:hAnsi="宋体" w:eastAsia="宋体" w:cs="Times New Roman"/>
                <w:sz w:val="24"/>
              </w:rPr>
              <w:t>个人展示</w:t>
            </w:r>
          </w:p>
        </w:tc>
        <w:tc>
          <w:tcPr>
            <w:tcW w:w="0" w:type="auto"/>
            <w:vAlign w:val="center"/>
          </w:tcPr>
          <w:p w14:paraId="0A99C240">
            <w:pPr>
              <w:spacing w:line="360" w:lineRule="auto"/>
              <w:jc w:val="center"/>
              <w:rPr>
                <w:rFonts w:hint="eastAsia" w:ascii="宋体" w:hAnsi="宋体" w:eastAsia="宋体" w:cs="Times New Roman"/>
                <w:sz w:val="24"/>
              </w:rPr>
            </w:pPr>
            <w:r>
              <w:rPr>
                <w:rFonts w:hint="eastAsia" w:ascii="宋体" w:hAnsi="宋体" w:eastAsia="宋体" w:cs="Times New Roman"/>
                <w:sz w:val="24"/>
              </w:rPr>
              <w:t>期末考试</w:t>
            </w:r>
          </w:p>
        </w:tc>
        <w:tc>
          <w:tcPr>
            <w:tcW w:w="0" w:type="auto"/>
          </w:tcPr>
          <w:p w14:paraId="47BDDA4E">
            <w:pPr>
              <w:spacing w:line="360" w:lineRule="auto"/>
              <w:jc w:val="center"/>
              <w:rPr>
                <w:rFonts w:hint="eastAsia" w:ascii="宋体" w:hAnsi="宋体" w:eastAsia="宋体" w:cs="Times New Roman"/>
                <w:sz w:val="24"/>
              </w:rPr>
            </w:pPr>
            <w:r>
              <w:rPr>
                <w:rFonts w:hint="eastAsia" w:ascii="宋体" w:hAnsi="宋体" w:eastAsia="宋体" w:cs="Times New Roman"/>
                <w:sz w:val="24"/>
              </w:rPr>
              <w:t>自主学习</w:t>
            </w:r>
          </w:p>
        </w:tc>
        <w:tc>
          <w:tcPr>
            <w:tcW w:w="0" w:type="auto"/>
            <w:vMerge w:val="continue"/>
            <w:vAlign w:val="center"/>
          </w:tcPr>
          <w:p w14:paraId="596CBFFF">
            <w:pPr>
              <w:spacing w:line="360" w:lineRule="auto"/>
              <w:jc w:val="center"/>
              <w:rPr>
                <w:rFonts w:hint="eastAsia" w:ascii="宋体" w:hAnsi="宋体" w:eastAsia="宋体" w:cs="Times New Roman"/>
                <w:sz w:val="24"/>
              </w:rPr>
            </w:pPr>
          </w:p>
        </w:tc>
      </w:tr>
      <w:tr w14:paraId="75D3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1BB9DA2">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0" w:type="auto"/>
            <w:vAlign w:val="center"/>
          </w:tcPr>
          <w:p w14:paraId="659B0AD1">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7FAF242">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12C8AE5">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64D94084">
            <w:pPr>
              <w:spacing w:line="360" w:lineRule="auto"/>
              <w:jc w:val="center"/>
              <w:rPr>
                <w:rFonts w:hint="eastAsia" w:ascii="宋体" w:hAnsi="宋体" w:eastAsia="宋体" w:cs="Times New Roman"/>
                <w:sz w:val="24"/>
              </w:rPr>
            </w:pPr>
          </w:p>
        </w:tc>
        <w:tc>
          <w:tcPr>
            <w:tcW w:w="0" w:type="auto"/>
            <w:vAlign w:val="center"/>
          </w:tcPr>
          <w:p w14:paraId="7D8CF32C">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tcPr>
          <w:p w14:paraId="2359DC6B">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969AB0B">
            <w:pPr>
              <w:spacing w:line="360" w:lineRule="auto"/>
              <w:jc w:val="center"/>
              <w:rPr>
                <w:rFonts w:hint="eastAsia" w:ascii="宋体" w:hAnsi="宋体" w:eastAsia="宋体" w:cs="Times New Roman"/>
                <w:sz w:val="24"/>
              </w:rPr>
            </w:pPr>
            <w:r>
              <w:rPr>
                <w:rFonts w:hint="eastAsia" w:ascii="宋体" w:hAnsi="宋体" w:eastAsia="宋体" w:cs="Times New Roman"/>
                <w:sz w:val="24"/>
              </w:rPr>
              <w:t>30</w:t>
            </w:r>
          </w:p>
        </w:tc>
      </w:tr>
      <w:tr w14:paraId="25E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46153D1">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0" w:type="auto"/>
            <w:vAlign w:val="center"/>
          </w:tcPr>
          <w:p w14:paraId="34D954B7">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093B784">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DF3FDED">
            <w:pPr>
              <w:spacing w:line="360" w:lineRule="auto"/>
              <w:jc w:val="center"/>
              <w:rPr>
                <w:rFonts w:hint="eastAsia" w:ascii="宋体" w:hAnsi="宋体" w:eastAsia="宋体" w:cs="Times New Roman"/>
                <w:sz w:val="24"/>
              </w:rPr>
            </w:pPr>
          </w:p>
        </w:tc>
        <w:tc>
          <w:tcPr>
            <w:tcW w:w="0" w:type="auto"/>
            <w:vAlign w:val="center"/>
          </w:tcPr>
          <w:p w14:paraId="64611EB3">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7CE39C4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tcPr>
          <w:p w14:paraId="42F05006">
            <w:pPr>
              <w:spacing w:line="360" w:lineRule="auto"/>
              <w:jc w:val="center"/>
              <w:rPr>
                <w:rFonts w:hint="eastAsia" w:ascii="宋体" w:hAnsi="宋体" w:eastAsia="宋体" w:cs="Times New Roman"/>
                <w:sz w:val="24"/>
              </w:rPr>
            </w:pPr>
          </w:p>
        </w:tc>
        <w:tc>
          <w:tcPr>
            <w:tcW w:w="0" w:type="auto"/>
            <w:vAlign w:val="center"/>
          </w:tcPr>
          <w:p w14:paraId="183AE168">
            <w:pPr>
              <w:spacing w:line="360" w:lineRule="auto"/>
              <w:jc w:val="center"/>
              <w:rPr>
                <w:rFonts w:hint="eastAsia" w:ascii="宋体" w:hAnsi="宋体" w:eastAsia="宋体" w:cs="Times New Roman"/>
                <w:sz w:val="24"/>
              </w:rPr>
            </w:pPr>
            <w:r>
              <w:rPr>
                <w:rFonts w:hint="eastAsia" w:ascii="宋体" w:hAnsi="宋体" w:eastAsia="宋体" w:cs="Times New Roman"/>
                <w:sz w:val="24"/>
              </w:rPr>
              <w:t>40</w:t>
            </w:r>
          </w:p>
        </w:tc>
      </w:tr>
      <w:tr w14:paraId="7364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4208870">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0" w:type="auto"/>
            <w:vAlign w:val="center"/>
          </w:tcPr>
          <w:p w14:paraId="6F1EE2BD">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EED5364">
            <w:pPr>
              <w:spacing w:line="360" w:lineRule="auto"/>
              <w:jc w:val="center"/>
              <w:rPr>
                <w:rFonts w:hint="eastAsia" w:ascii="宋体" w:hAnsi="宋体" w:eastAsia="宋体" w:cs="Times New Roman"/>
                <w:sz w:val="24"/>
              </w:rPr>
            </w:pPr>
          </w:p>
        </w:tc>
        <w:tc>
          <w:tcPr>
            <w:tcW w:w="0" w:type="auto"/>
            <w:vAlign w:val="center"/>
          </w:tcPr>
          <w:p w14:paraId="41A4D801">
            <w:pPr>
              <w:spacing w:line="360" w:lineRule="auto"/>
              <w:jc w:val="center"/>
              <w:rPr>
                <w:rFonts w:hint="eastAsia" w:ascii="宋体" w:hAnsi="宋体" w:eastAsia="宋体" w:cs="Times New Roman"/>
                <w:sz w:val="24"/>
              </w:rPr>
            </w:pPr>
          </w:p>
        </w:tc>
        <w:tc>
          <w:tcPr>
            <w:tcW w:w="0" w:type="auto"/>
            <w:vAlign w:val="center"/>
          </w:tcPr>
          <w:p w14:paraId="6BFF6C70">
            <w:pPr>
              <w:spacing w:line="360" w:lineRule="auto"/>
              <w:jc w:val="center"/>
              <w:rPr>
                <w:rFonts w:hint="eastAsia" w:ascii="宋体" w:hAnsi="宋体" w:eastAsia="宋体" w:cs="Times New Roman"/>
                <w:sz w:val="24"/>
              </w:rPr>
            </w:pPr>
          </w:p>
        </w:tc>
        <w:tc>
          <w:tcPr>
            <w:tcW w:w="0" w:type="auto"/>
            <w:vAlign w:val="center"/>
          </w:tcPr>
          <w:p w14:paraId="40EFE8D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tcPr>
          <w:p w14:paraId="4EC560F1">
            <w:pPr>
              <w:spacing w:line="360" w:lineRule="auto"/>
              <w:jc w:val="center"/>
              <w:rPr>
                <w:rFonts w:hint="eastAsia" w:ascii="宋体" w:hAnsi="宋体" w:eastAsia="宋体" w:cs="Times New Roman"/>
                <w:sz w:val="24"/>
              </w:rPr>
            </w:pPr>
          </w:p>
        </w:tc>
        <w:tc>
          <w:tcPr>
            <w:tcW w:w="0" w:type="auto"/>
            <w:vAlign w:val="center"/>
          </w:tcPr>
          <w:p w14:paraId="0524E4A8">
            <w:pPr>
              <w:spacing w:line="360" w:lineRule="auto"/>
              <w:jc w:val="center"/>
              <w:rPr>
                <w:rFonts w:hint="eastAsia" w:ascii="宋体" w:hAnsi="宋体" w:eastAsia="宋体" w:cs="Times New Roman"/>
                <w:sz w:val="24"/>
              </w:rPr>
            </w:pPr>
            <w:r>
              <w:rPr>
                <w:rFonts w:hint="eastAsia" w:ascii="宋体" w:hAnsi="宋体" w:eastAsia="宋体" w:cs="Times New Roman"/>
                <w:sz w:val="24"/>
              </w:rPr>
              <w:t>30</w:t>
            </w:r>
          </w:p>
        </w:tc>
      </w:tr>
      <w:tr w14:paraId="7C48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911B509">
            <w:pPr>
              <w:spacing w:line="360"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0" w:type="auto"/>
            <w:vAlign w:val="center"/>
          </w:tcPr>
          <w:p w14:paraId="375B0498">
            <w:pPr>
              <w:spacing w:line="360" w:lineRule="auto"/>
              <w:jc w:val="center"/>
              <w:rPr>
                <w:rFonts w:hint="eastAsia" w:ascii="宋体" w:hAnsi="宋体" w:eastAsia="宋体" w:cs="Times New Roman"/>
                <w:sz w:val="24"/>
              </w:rPr>
            </w:pPr>
          </w:p>
        </w:tc>
        <w:tc>
          <w:tcPr>
            <w:tcW w:w="0" w:type="auto"/>
            <w:vAlign w:val="center"/>
          </w:tcPr>
          <w:p w14:paraId="39CC0B78">
            <w:pPr>
              <w:spacing w:line="360" w:lineRule="auto"/>
              <w:jc w:val="center"/>
              <w:rPr>
                <w:rFonts w:hint="eastAsia" w:ascii="宋体" w:hAnsi="宋体" w:eastAsia="宋体" w:cs="Times New Roman"/>
                <w:sz w:val="24"/>
              </w:rPr>
            </w:pPr>
          </w:p>
        </w:tc>
        <w:tc>
          <w:tcPr>
            <w:tcW w:w="0" w:type="auto"/>
            <w:vAlign w:val="center"/>
          </w:tcPr>
          <w:p w14:paraId="63E0C2AC">
            <w:pPr>
              <w:spacing w:line="360" w:lineRule="auto"/>
              <w:jc w:val="center"/>
              <w:rPr>
                <w:rFonts w:hint="eastAsia" w:ascii="宋体" w:hAnsi="宋体" w:eastAsia="宋体" w:cs="Times New Roman"/>
                <w:sz w:val="24"/>
              </w:rPr>
            </w:pPr>
          </w:p>
        </w:tc>
        <w:tc>
          <w:tcPr>
            <w:tcW w:w="0" w:type="auto"/>
            <w:vAlign w:val="center"/>
          </w:tcPr>
          <w:p w14:paraId="409936A6">
            <w:pPr>
              <w:spacing w:line="360" w:lineRule="auto"/>
              <w:jc w:val="center"/>
              <w:rPr>
                <w:rFonts w:hint="eastAsia" w:ascii="宋体" w:hAnsi="宋体" w:eastAsia="宋体" w:cs="Times New Roman"/>
                <w:sz w:val="24"/>
              </w:rPr>
            </w:pPr>
          </w:p>
        </w:tc>
        <w:tc>
          <w:tcPr>
            <w:tcW w:w="0" w:type="auto"/>
            <w:vAlign w:val="center"/>
          </w:tcPr>
          <w:p w14:paraId="50D242F0">
            <w:pPr>
              <w:spacing w:line="360" w:lineRule="auto"/>
              <w:jc w:val="center"/>
              <w:rPr>
                <w:rFonts w:hint="eastAsia" w:ascii="宋体" w:hAnsi="宋体" w:eastAsia="宋体" w:cs="Times New Roman"/>
                <w:sz w:val="24"/>
              </w:rPr>
            </w:pPr>
          </w:p>
        </w:tc>
        <w:tc>
          <w:tcPr>
            <w:tcW w:w="0" w:type="auto"/>
          </w:tcPr>
          <w:p w14:paraId="2D5ED9B7">
            <w:pPr>
              <w:spacing w:line="360" w:lineRule="auto"/>
              <w:jc w:val="center"/>
              <w:rPr>
                <w:rFonts w:hint="eastAsia" w:ascii="宋体" w:hAnsi="宋体" w:eastAsia="宋体" w:cs="Times New Roman"/>
                <w:sz w:val="24"/>
              </w:rPr>
            </w:pPr>
          </w:p>
        </w:tc>
        <w:tc>
          <w:tcPr>
            <w:tcW w:w="0" w:type="auto"/>
            <w:vAlign w:val="center"/>
          </w:tcPr>
          <w:p w14:paraId="2AD303DE">
            <w:pPr>
              <w:spacing w:line="360"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78D7127A">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6DECC4BC">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2F444839">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7051"/>
        <w:gridCol w:w="776"/>
      </w:tblGrid>
      <w:tr w14:paraId="29B6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938A25">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7141" w:type="dxa"/>
            <w:vAlign w:val="center"/>
          </w:tcPr>
          <w:p w14:paraId="5C27ACAB">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7918064B">
            <w:pPr>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5B74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2BB7530">
            <w:pPr>
              <w:rPr>
                <w:rFonts w:ascii="Times New Roman" w:hAnsi="Times New Roman" w:eastAsia="宋体" w:cs="Times New Roman"/>
                <w:sz w:val="24"/>
              </w:rPr>
            </w:pPr>
            <w:r>
              <w:rPr>
                <w:rFonts w:hint="eastAsia" w:ascii="Times New Roman" w:hAnsi="Times New Roman" w:eastAsia="宋体" w:cs="Times New Roman"/>
                <w:sz w:val="24"/>
              </w:rPr>
              <w:t>平时作业</w:t>
            </w:r>
          </w:p>
        </w:tc>
        <w:tc>
          <w:tcPr>
            <w:tcW w:w="7141" w:type="dxa"/>
            <w:vAlign w:val="center"/>
          </w:tcPr>
          <w:p w14:paraId="7C8B859B">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0F917CFA">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541F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77E6ED0">
            <w:pPr>
              <w:rPr>
                <w:rFonts w:ascii="Times New Roman" w:hAnsi="Times New Roman" w:eastAsia="宋体" w:cs="Times New Roman"/>
                <w:sz w:val="24"/>
              </w:rPr>
            </w:pPr>
            <w:r>
              <w:rPr>
                <w:rFonts w:hint="eastAsia" w:ascii="Times New Roman" w:hAnsi="Times New Roman" w:eastAsia="宋体" w:cs="Times New Roman"/>
                <w:sz w:val="24"/>
              </w:rPr>
              <w:t>课堂表现</w:t>
            </w:r>
          </w:p>
        </w:tc>
        <w:tc>
          <w:tcPr>
            <w:tcW w:w="7141" w:type="dxa"/>
            <w:vAlign w:val="center"/>
          </w:tcPr>
          <w:p w14:paraId="686DEFB6">
            <w:pPr>
              <w:widowControl/>
              <w:spacing w:line="264" w:lineRule="auto"/>
              <w:jc w:val="left"/>
              <w:rPr>
                <w:rFonts w:ascii="Times New Roman" w:hAnsi="Times New Roman" w:eastAsia="宋体" w:cs="Times New Roman"/>
                <w:sz w:val="24"/>
              </w:rPr>
            </w:pPr>
            <w:r>
              <w:rPr>
                <w:rFonts w:hint="eastAsia" w:ascii="宋体" w:hAnsi="宋体" w:eastAsia="宋体" w:cs="宋体"/>
                <w:color w:val="000000"/>
                <w:kern w:val="0"/>
                <w:sz w:val="24"/>
                <w:lang w:bidi="ar"/>
              </w:rPr>
              <w:t>一是课题考勤情况</w:t>
            </w:r>
            <w:r>
              <w:rPr>
                <w:rFonts w:ascii="宋体" w:hAnsi="宋体" w:eastAsia="宋体" w:cs="宋体"/>
                <w:color w:val="000000"/>
                <w:kern w:val="0"/>
                <w:sz w:val="24"/>
                <w:lang w:bidi="ar"/>
              </w:rPr>
              <w:t>。</w:t>
            </w:r>
            <w:r>
              <w:rPr>
                <w:rFonts w:hint="eastAsia" w:ascii="Times New Roman" w:hAnsi="Times New Roman" w:eastAsia="宋体" w:cs="Times New Roman"/>
                <w:sz w:val="24"/>
              </w:rPr>
              <w:t>迟到一次扣2分，无故缺席一次扣5分，累计达</w:t>
            </w:r>
            <w:r>
              <w:rPr>
                <w:rFonts w:ascii="Times New Roman" w:hAnsi="Times New Roman" w:eastAsia="宋体" w:cs="Times New Roman"/>
                <w:sz w:val="24"/>
              </w:rPr>
              <w:t>3</w:t>
            </w:r>
            <w:r>
              <w:rPr>
                <w:rFonts w:hint="eastAsia" w:ascii="Times New Roman" w:hAnsi="Times New Roman" w:eastAsia="宋体" w:cs="Times New Roman"/>
                <w:sz w:val="24"/>
              </w:rPr>
              <w:t>次以上（不含</w:t>
            </w:r>
            <w:r>
              <w:rPr>
                <w:rFonts w:ascii="Times New Roman" w:hAnsi="Times New Roman" w:eastAsia="宋体" w:cs="Times New Roman"/>
                <w:sz w:val="24"/>
              </w:rPr>
              <w:t>3</w:t>
            </w:r>
            <w:r>
              <w:rPr>
                <w:rFonts w:hint="eastAsia" w:ascii="Times New Roman" w:hAnsi="Times New Roman" w:eastAsia="宋体" w:cs="Times New Roman"/>
                <w:sz w:val="24"/>
              </w:rPr>
              <w:t>次）取消课程成绩。</w:t>
            </w:r>
          </w:p>
          <w:p w14:paraId="5C920443">
            <w:pPr>
              <w:widowControl/>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二是</w:t>
            </w:r>
            <w:r>
              <w:rPr>
                <w:rFonts w:ascii="宋体" w:hAnsi="宋体" w:eastAsia="宋体" w:cs="宋体"/>
                <w:color w:val="000000"/>
                <w:kern w:val="0"/>
                <w:sz w:val="24"/>
                <w:lang w:bidi="ar"/>
              </w:rPr>
              <w:t>课堂参与</w:t>
            </w:r>
            <w:r>
              <w:rPr>
                <w:rFonts w:hint="eastAsia" w:ascii="宋体" w:hAnsi="宋体" w:eastAsia="宋体" w:cs="宋体"/>
                <w:color w:val="000000"/>
                <w:kern w:val="0"/>
                <w:sz w:val="24"/>
                <w:lang w:bidi="ar"/>
              </w:rPr>
              <w:t>情况。</w:t>
            </w:r>
            <w:r>
              <w:rPr>
                <w:rFonts w:ascii="宋体" w:hAnsi="宋体" w:eastAsia="宋体" w:cs="宋体"/>
                <w:color w:val="000000"/>
                <w:kern w:val="0"/>
                <w:sz w:val="24"/>
                <w:lang w:bidi="ar"/>
              </w:rPr>
              <w:t>主要指课上教师随机提问、组织课堂讨论等，观察学生参与程度</w:t>
            </w:r>
            <w:r>
              <w:rPr>
                <w:rFonts w:hint="eastAsia" w:ascii="宋体" w:hAnsi="宋体" w:eastAsia="宋体" w:cs="宋体"/>
                <w:color w:val="000000"/>
                <w:kern w:val="0"/>
                <w:sz w:val="24"/>
                <w:lang w:bidi="ar"/>
              </w:rPr>
              <w:t>，</w:t>
            </w:r>
            <w:r>
              <w:rPr>
                <w:rFonts w:ascii="宋体" w:hAnsi="宋体" w:eastAsia="宋体" w:cs="宋体"/>
                <w:color w:val="000000"/>
                <w:kern w:val="0"/>
                <w:sz w:val="24"/>
                <w:lang w:bidi="ar"/>
              </w:rPr>
              <w:t>表现良好，按照对应的课程目标及权重给予评定</w:t>
            </w:r>
            <w:r>
              <w:rPr>
                <w:rFonts w:hint="eastAsia" w:ascii="宋体" w:hAnsi="宋体" w:eastAsia="宋体" w:cs="宋体"/>
                <w:color w:val="000000"/>
                <w:kern w:val="0"/>
                <w:sz w:val="24"/>
                <w:lang w:bidi="ar"/>
              </w:rPr>
              <w:t>。</w:t>
            </w:r>
          </w:p>
        </w:tc>
        <w:tc>
          <w:tcPr>
            <w:tcW w:w="0" w:type="auto"/>
            <w:vAlign w:val="center"/>
          </w:tcPr>
          <w:p w14:paraId="68BA74CD">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507D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A1C139">
            <w:pPr>
              <w:rPr>
                <w:rFonts w:ascii="Times New Roman" w:hAnsi="Times New Roman" w:eastAsia="宋体" w:cs="Times New Roman"/>
                <w:sz w:val="24"/>
              </w:rPr>
            </w:pPr>
            <w:r>
              <w:rPr>
                <w:rFonts w:hint="eastAsia" w:ascii="Times New Roman" w:hAnsi="Times New Roman" w:eastAsia="宋体" w:cs="Times New Roman"/>
                <w:sz w:val="24"/>
              </w:rPr>
              <w:t>单元测验</w:t>
            </w:r>
          </w:p>
        </w:tc>
        <w:tc>
          <w:tcPr>
            <w:tcW w:w="7141" w:type="dxa"/>
            <w:vAlign w:val="center"/>
          </w:tcPr>
          <w:p w14:paraId="387E91F5">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每单元在线上进行测验，主要考查基础知识和基本理论的掌握，以题目的正确率为得分依据。</w:t>
            </w:r>
          </w:p>
        </w:tc>
        <w:tc>
          <w:tcPr>
            <w:tcW w:w="0" w:type="auto"/>
            <w:vAlign w:val="center"/>
          </w:tcPr>
          <w:p w14:paraId="6AB22D35">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21F1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E87BFBD">
            <w:pPr>
              <w:rPr>
                <w:rFonts w:ascii="Times New Roman" w:hAnsi="Times New Roman" w:eastAsia="宋体" w:cs="Times New Roman"/>
                <w:sz w:val="24"/>
              </w:rPr>
            </w:pPr>
            <w:r>
              <w:rPr>
                <w:rFonts w:hint="eastAsia" w:ascii="Times New Roman" w:hAnsi="Times New Roman" w:eastAsia="宋体" w:cs="Times New Roman"/>
                <w:sz w:val="24"/>
              </w:rPr>
              <w:t>个人展示</w:t>
            </w:r>
          </w:p>
        </w:tc>
        <w:tc>
          <w:tcPr>
            <w:tcW w:w="7141" w:type="dxa"/>
            <w:vAlign w:val="center"/>
          </w:tcPr>
          <w:p w14:paraId="68D3A3CD">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课前5分钟左右，每位同学评说教育时事、教育事件或教育现象等，以学生表达的流程性、逻辑性和分析的深度为评分的主要依据。</w:t>
            </w:r>
          </w:p>
        </w:tc>
        <w:tc>
          <w:tcPr>
            <w:tcW w:w="0" w:type="auto"/>
            <w:vAlign w:val="center"/>
          </w:tcPr>
          <w:p w14:paraId="1A3FF047">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3657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B40C3D5">
            <w:pPr>
              <w:rPr>
                <w:rFonts w:ascii="Times New Roman" w:hAnsi="Times New Roman" w:eastAsia="宋体" w:cs="Times New Roman"/>
                <w:sz w:val="24"/>
              </w:rPr>
            </w:pPr>
            <w:r>
              <w:rPr>
                <w:rFonts w:hint="eastAsia" w:ascii="Times New Roman" w:hAnsi="Times New Roman" w:eastAsia="宋体" w:cs="Times New Roman"/>
                <w:sz w:val="24"/>
              </w:rPr>
              <w:t>自主学习</w:t>
            </w:r>
          </w:p>
        </w:tc>
        <w:tc>
          <w:tcPr>
            <w:tcW w:w="7141" w:type="dxa"/>
            <w:vAlign w:val="center"/>
          </w:tcPr>
          <w:p w14:paraId="0EA5939B">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11C50E4">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0FC7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8550160">
            <w:pPr>
              <w:rPr>
                <w:rFonts w:ascii="Times New Roman" w:hAnsi="Times New Roman" w:eastAsia="宋体" w:cs="Times New Roman"/>
                <w:sz w:val="24"/>
              </w:rPr>
            </w:pPr>
            <w:r>
              <w:rPr>
                <w:rFonts w:hint="eastAsia" w:ascii="Times New Roman" w:hAnsi="Times New Roman" w:eastAsia="宋体" w:cs="Times New Roman"/>
                <w:sz w:val="24"/>
              </w:rPr>
              <w:t>期末考试</w:t>
            </w:r>
          </w:p>
        </w:tc>
        <w:tc>
          <w:tcPr>
            <w:tcW w:w="7141" w:type="dxa"/>
            <w:vAlign w:val="center"/>
          </w:tcPr>
          <w:p w14:paraId="2022AC73">
            <w:pPr>
              <w:spacing w:line="264" w:lineRule="auto"/>
              <w:jc w:val="left"/>
              <w:rPr>
                <w:rFonts w:ascii="Times New Roman" w:hAnsi="Times New Roman" w:eastAsia="宋体" w:cs="Times New Roman"/>
                <w:sz w:val="24"/>
              </w:rPr>
            </w:pPr>
            <w:r>
              <w:rPr>
                <w:rFonts w:ascii="Times New Roman" w:hAnsi="Times New Roman" w:eastAsia="宋体" w:cs="Times New Roman"/>
                <w:color w:val="000000"/>
                <w:sz w:val="24"/>
              </w:rPr>
              <w:t>试卷题型包括</w:t>
            </w:r>
            <w:r>
              <w:rPr>
                <w:rFonts w:hint="eastAsia" w:ascii="Times New Roman" w:hAnsi="Times New Roman" w:eastAsia="宋体" w:cs="Times New Roman"/>
                <w:color w:val="000000"/>
                <w:sz w:val="24"/>
              </w:rPr>
              <w:t>选择题</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辨析</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简答题、论述题</w:t>
            </w:r>
            <w:r>
              <w:rPr>
                <w:rFonts w:ascii="Times New Roman" w:hAnsi="Times New Roman" w:eastAsia="宋体" w:cs="Times New Roman"/>
                <w:color w:val="000000"/>
                <w:sz w:val="24"/>
              </w:rPr>
              <w:t>等，以卷面成绩的50%计入课程总成绩。其中考核</w:t>
            </w:r>
            <w:r>
              <w:rPr>
                <w:rFonts w:hint="eastAsia" w:ascii="Times New Roman" w:hAnsi="Times New Roman" w:eastAsia="宋体" w:cs="Times New Roman"/>
                <w:color w:val="000000"/>
                <w:sz w:val="24"/>
              </w:rPr>
              <w:t>教育基本理论和知识型题目占3</w:t>
            </w:r>
            <w:r>
              <w:rPr>
                <w:rFonts w:ascii="Times New Roman" w:hAnsi="Times New Roman" w:eastAsia="宋体" w:cs="Times New Roman"/>
                <w:color w:val="000000"/>
                <w:sz w:val="24"/>
              </w:rPr>
              <w:t>0</w:t>
            </w:r>
            <w:r>
              <w:rPr>
                <w:rFonts w:hint="eastAsia" w:ascii="Times New Roman" w:hAnsi="Times New Roman" w:eastAsia="宋体" w:cs="Times New Roman"/>
                <w:color w:val="000000"/>
                <w:sz w:val="24"/>
              </w:rPr>
              <w:t>%；考核学生运用基本理论知识进行分析能力的题型占</w:t>
            </w:r>
            <w:r>
              <w:rPr>
                <w:rFonts w:ascii="Times New Roman" w:hAnsi="Times New Roman" w:eastAsia="宋体" w:cs="Times New Roman"/>
                <w:color w:val="000000"/>
                <w:sz w:val="24"/>
              </w:rPr>
              <w:t>30</w:t>
            </w:r>
            <w:r>
              <w:rPr>
                <w:rFonts w:hint="eastAsia" w:ascii="Times New Roman" w:hAnsi="Times New Roman" w:eastAsia="宋体" w:cs="Times New Roman"/>
                <w:color w:val="000000"/>
                <w:sz w:val="24"/>
              </w:rPr>
              <w:t>%；考核学生运用学与教的基本理论和知识进行教学设计的题型占</w:t>
            </w:r>
            <w:r>
              <w:rPr>
                <w:rFonts w:ascii="Times New Roman" w:hAnsi="Times New Roman" w:eastAsia="宋体" w:cs="Times New Roman"/>
                <w:color w:val="000000"/>
                <w:sz w:val="24"/>
              </w:rPr>
              <w:t>30</w:t>
            </w:r>
            <w:r>
              <w:rPr>
                <w:rFonts w:hint="eastAsia" w:ascii="Times New Roman" w:hAnsi="Times New Roman" w:eastAsia="宋体" w:cs="Times New Roman"/>
                <w:color w:val="000000"/>
                <w:sz w:val="24"/>
              </w:rPr>
              <w:t>%；考核学生初步研究能力的题型占1</w:t>
            </w:r>
            <w:r>
              <w:rPr>
                <w:rFonts w:ascii="Times New Roman" w:hAnsi="Times New Roman" w:eastAsia="宋体" w:cs="Times New Roman"/>
                <w:color w:val="000000"/>
                <w:sz w:val="24"/>
              </w:rPr>
              <w:t>0</w:t>
            </w:r>
            <w:r>
              <w:rPr>
                <w:rFonts w:hint="eastAsia" w:ascii="Times New Roman" w:hAnsi="Times New Roman" w:eastAsia="宋体" w:cs="Times New Roman"/>
                <w:color w:val="000000"/>
                <w:sz w:val="24"/>
              </w:rPr>
              <w:t>%。</w:t>
            </w:r>
          </w:p>
        </w:tc>
        <w:tc>
          <w:tcPr>
            <w:tcW w:w="0" w:type="auto"/>
            <w:vAlign w:val="center"/>
          </w:tcPr>
          <w:p w14:paraId="6D3E72D2">
            <w:pPr>
              <w:jc w:val="center"/>
              <w:rPr>
                <w:rFonts w:ascii="Times New Roman" w:hAnsi="Times New Roman" w:eastAsia="宋体" w:cs="Times New Roman"/>
                <w:sz w:val="24"/>
              </w:rPr>
            </w:pPr>
            <w:r>
              <w:rPr>
                <w:rFonts w:hint="eastAsia" w:ascii="Times New Roman" w:hAnsi="Times New Roman" w:eastAsia="宋体" w:cs="Times New Roman"/>
                <w:sz w:val="24"/>
              </w:rPr>
              <w:t>50%</w:t>
            </w:r>
          </w:p>
        </w:tc>
      </w:tr>
      <w:tr w14:paraId="51C1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D4C86F0">
            <w:pPr>
              <w:jc w:val="center"/>
              <w:rPr>
                <w:rFonts w:ascii="Times New Roman" w:hAnsi="Times New Roman" w:eastAsia="宋体" w:cs="Times New Roman"/>
                <w:b/>
                <w:bCs/>
                <w:sz w:val="24"/>
              </w:rPr>
            </w:pPr>
            <w:r>
              <w:rPr>
                <w:rFonts w:hint="eastAsia" w:ascii="Times New Roman" w:hAnsi="Times New Roman" w:eastAsia="宋体" w:cs="Times New Roman"/>
                <w:b/>
                <w:bCs/>
                <w:sz w:val="24"/>
              </w:rPr>
              <w:t>合计</w:t>
            </w:r>
          </w:p>
        </w:tc>
        <w:tc>
          <w:tcPr>
            <w:tcW w:w="0" w:type="auto"/>
            <w:vAlign w:val="center"/>
          </w:tcPr>
          <w:p w14:paraId="7BE1A037">
            <w:pPr>
              <w:jc w:val="left"/>
              <w:rPr>
                <w:rFonts w:ascii="Times New Roman" w:hAnsi="Times New Roman" w:eastAsia="宋体" w:cs="Times New Roman"/>
                <w:sz w:val="24"/>
              </w:rPr>
            </w:pPr>
          </w:p>
        </w:tc>
        <w:tc>
          <w:tcPr>
            <w:tcW w:w="0" w:type="auto"/>
            <w:vAlign w:val="center"/>
          </w:tcPr>
          <w:p w14:paraId="19CC6813">
            <w:pPr>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0535AC38">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（三）课程目标达成度计算方法</w:t>
      </w:r>
    </w:p>
    <w:p w14:paraId="771C8F2C">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1DAD78FB">
      <w:pPr>
        <w:spacing w:before="156" w:beforeLines="50"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object>
          <v:shape id="_x0000_i1039"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39" DrawAspect="Content" ObjectID="_1468075739" r:id="rId24">
            <o:LockedField>false</o:LockedField>
          </o:OLEObject>
        </w:object>
      </w:r>
    </w:p>
    <w:p w14:paraId="2307018A">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课程实践</w:t>
      </w:r>
      <w:r>
        <w:rPr>
          <w:rFonts w:hint="eastAsia" w:ascii="Times New Roman" w:hAnsi="Times New Roman" w:eastAsia="宋体" w:cs="Times New Roman"/>
          <w:bCs/>
          <w:sz w:val="28"/>
          <w:szCs w:val="28"/>
        </w:rPr>
        <w:t>（利用第二课堂，不占总学时）</w:t>
      </w:r>
    </w:p>
    <w:p w14:paraId="5ED2C221">
      <w:pPr>
        <w:spacing w:after="156" w:afterLines="50" w:line="360" w:lineRule="auto"/>
        <w:ind w:firstLine="480" w:firstLineChars="200"/>
        <w:rPr>
          <w:rFonts w:hint="eastAsia" w:ascii="宋体" w:hAnsi="宋体" w:eastAsia="宋体"/>
          <w:sz w:val="24"/>
        </w:rPr>
      </w:pPr>
      <w:r>
        <w:rPr>
          <w:rFonts w:hint="eastAsia" w:ascii="宋体" w:hAnsi="宋体" w:eastAsia="宋体"/>
          <w:sz w:val="24"/>
        </w:rPr>
        <w:t>本课程在系统教学的基础上，以学生为主题，整合各类教育资源，科学设计实践活动，丰富教育教学形式，提升教育教学效果，从而实现思政育人。</w:t>
      </w:r>
    </w:p>
    <w:p w14:paraId="566E5244">
      <w:pPr>
        <w:spacing w:line="276" w:lineRule="auto"/>
        <w:ind w:firstLine="482" w:firstLineChars="200"/>
        <w:jc w:val="center"/>
        <w:rPr>
          <w:rFonts w:hint="eastAsia" w:ascii="宋体" w:hAnsi="宋体" w:eastAsia="宋体" w:cs="宋体"/>
          <w:b/>
          <w:bCs/>
          <w:sz w:val="24"/>
        </w:rPr>
      </w:pPr>
      <w:r>
        <w:rPr>
          <w:rFonts w:hint="eastAsia" w:ascii="宋体" w:hAnsi="宋体" w:eastAsia="宋体" w:cs="宋体"/>
          <w:b/>
          <w:bCs/>
          <w:sz w:val="24"/>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921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156D238">
            <w:pPr>
              <w:spacing w:line="240" w:lineRule="exact"/>
              <w:jc w:val="center"/>
              <w:rPr>
                <w:rFonts w:hint="eastAsia" w:ascii="宋体" w:hAnsi="宋体" w:eastAsia="宋体" w:cs="宋体"/>
                <w:b/>
                <w:bCs/>
                <w:sz w:val="24"/>
              </w:rPr>
            </w:pPr>
            <w:r>
              <w:rPr>
                <w:rFonts w:hint="eastAsia" w:ascii="宋体" w:hAnsi="宋体" w:eastAsia="宋体" w:cs="宋体"/>
                <w:b/>
                <w:bCs/>
                <w:sz w:val="24"/>
              </w:rPr>
              <w:t>活动主题</w:t>
            </w:r>
          </w:p>
        </w:tc>
        <w:tc>
          <w:tcPr>
            <w:tcW w:w="3407" w:type="dxa"/>
            <w:vAlign w:val="center"/>
          </w:tcPr>
          <w:p w14:paraId="5ACB8E2D">
            <w:pPr>
              <w:spacing w:line="240" w:lineRule="exact"/>
              <w:jc w:val="center"/>
              <w:rPr>
                <w:rFonts w:hint="eastAsia" w:ascii="宋体" w:hAnsi="宋体" w:eastAsia="宋体" w:cs="宋体"/>
                <w:b/>
                <w:bCs/>
                <w:sz w:val="24"/>
              </w:rPr>
            </w:pPr>
            <w:r>
              <w:rPr>
                <w:rFonts w:hint="eastAsia" w:ascii="宋体" w:hAnsi="宋体" w:eastAsia="宋体" w:cs="宋体"/>
                <w:b/>
                <w:bCs/>
                <w:sz w:val="24"/>
              </w:rPr>
              <w:t>活动内容</w:t>
            </w:r>
          </w:p>
        </w:tc>
        <w:tc>
          <w:tcPr>
            <w:tcW w:w="740" w:type="dxa"/>
            <w:vAlign w:val="center"/>
          </w:tcPr>
          <w:p w14:paraId="4E1A3A66">
            <w:pPr>
              <w:spacing w:line="240" w:lineRule="exact"/>
              <w:jc w:val="center"/>
              <w:rPr>
                <w:rFonts w:hint="eastAsia" w:ascii="宋体" w:hAnsi="宋体" w:eastAsia="宋体" w:cs="宋体"/>
                <w:b/>
                <w:bCs/>
                <w:sz w:val="24"/>
              </w:rPr>
            </w:pPr>
            <w:r>
              <w:rPr>
                <w:rFonts w:hint="eastAsia" w:ascii="宋体" w:hAnsi="宋体" w:eastAsia="宋体" w:cs="宋体"/>
                <w:b/>
                <w:bCs/>
                <w:sz w:val="24"/>
              </w:rPr>
              <w:t>活动方式</w:t>
            </w:r>
          </w:p>
        </w:tc>
        <w:tc>
          <w:tcPr>
            <w:tcW w:w="3160" w:type="dxa"/>
            <w:vAlign w:val="center"/>
          </w:tcPr>
          <w:p w14:paraId="5F3F4407">
            <w:pPr>
              <w:spacing w:line="240" w:lineRule="exact"/>
              <w:jc w:val="center"/>
              <w:rPr>
                <w:rFonts w:hint="eastAsia" w:ascii="宋体" w:hAnsi="宋体" w:eastAsia="宋体" w:cs="宋体"/>
                <w:b/>
                <w:bCs/>
                <w:sz w:val="24"/>
              </w:rPr>
            </w:pPr>
            <w:r>
              <w:rPr>
                <w:rFonts w:hint="eastAsia" w:ascii="宋体" w:hAnsi="宋体" w:eastAsia="宋体" w:cs="宋体"/>
                <w:b/>
                <w:bCs/>
                <w:sz w:val="24"/>
              </w:rPr>
              <w:t>思政目标</w:t>
            </w:r>
          </w:p>
        </w:tc>
      </w:tr>
      <w:tr w14:paraId="6951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BECB397">
            <w:pPr>
              <w:spacing w:line="276" w:lineRule="auto"/>
              <w:jc w:val="left"/>
              <w:rPr>
                <w:rFonts w:hint="eastAsia" w:ascii="宋体" w:hAnsi="宋体" w:eastAsia="宋体" w:cs="宋体"/>
                <w:sz w:val="24"/>
              </w:rPr>
            </w:pPr>
            <w:r>
              <w:rPr>
                <w:rFonts w:hint="eastAsia" w:ascii="宋体" w:hAnsi="宋体" w:eastAsia="宋体" w:cs="宋体"/>
                <w:sz w:val="24"/>
              </w:rPr>
              <w:t>教育家精神</w:t>
            </w:r>
          </w:p>
        </w:tc>
        <w:tc>
          <w:tcPr>
            <w:tcW w:w="3407" w:type="dxa"/>
            <w:vAlign w:val="center"/>
          </w:tcPr>
          <w:p w14:paraId="02B27509">
            <w:pPr>
              <w:spacing w:line="276" w:lineRule="auto"/>
              <w:jc w:val="left"/>
              <w:rPr>
                <w:rFonts w:hint="eastAsia" w:ascii="宋体" w:hAnsi="宋体" w:eastAsia="宋体" w:cs="宋体"/>
                <w:sz w:val="24"/>
              </w:rPr>
            </w:pPr>
            <w:r>
              <w:rPr>
                <w:rFonts w:hint="eastAsia" w:ascii="宋体" w:hAnsi="宋体" w:eastAsia="宋体" w:cs="宋体"/>
                <w:sz w:val="24"/>
              </w:rPr>
              <w:t>通过阅读相关书籍或讲述中国教育家的故事，进行课堂主题讨论，让学生领会教育家精神</w:t>
            </w:r>
          </w:p>
        </w:tc>
        <w:tc>
          <w:tcPr>
            <w:tcW w:w="740" w:type="dxa"/>
            <w:vAlign w:val="center"/>
          </w:tcPr>
          <w:p w14:paraId="13409132">
            <w:pPr>
              <w:spacing w:line="276" w:lineRule="auto"/>
              <w:jc w:val="center"/>
              <w:rPr>
                <w:rFonts w:hint="eastAsia" w:ascii="宋体" w:hAnsi="宋体" w:eastAsia="宋体" w:cs="宋体"/>
                <w:sz w:val="24"/>
              </w:rPr>
            </w:pPr>
            <w:r>
              <w:rPr>
                <w:rFonts w:hint="eastAsia" w:ascii="宋体" w:hAnsi="宋体" w:eastAsia="宋体" w:cs="宋体"/>
                <w:sz w:val="24"/>
              </w:rPr>
              <w:t>读书笔记</w:t>
            </w:r>
          </w:p>
        </w:tc>
        <w:tc>
          <w:tcPr>
            <w:tcW w:w="3160" w:type="dxa"/>
            <w:vAlign w:val="center"/>
          </w:tcPr>
          <w:p w14:paraId="2F0EE41D">
            <w:pPr>
              <w:spacing w:line="276" w:lineRule="auto"/>
              <w:jc w:val="left"/>
              <w:rPr>
                <w:rFonts w:hint="eastAsia" w:ascii="宋体" w:hAnsi="宋体" w:eastAsia="宋体" w:cs="宋体"/>
                <w:sz w:val="24"/>
              </w:rPr>
            </w:pPr>
            <w:r>
              <w:rPr>
                <w:rFonts w:hint="eastAsia" w:ascii="宋体" w:hAnsi="宋体" w:eastAsia="宋体" w:cs="宋体"/>
                <w:sz w:val="24"/>
              </w:rPr>
              <w:t>通过对教育家精神的领会，使学立志成为有理想信念、有道德情操、有扎实学识、有仁爱之心的“四有”好老师。</w:t>
            </w:r>
          </w:p>
        </w:tc>
      </w:tr>
      <w:tr w14:paraId="1FED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08C319F5">
            <w:pPr>
              <w:spacing w:line="276" w:lineRule="auto"/>
              <w:jc w:val="left"/>
              <w:rPr>
                <w:rFonts w:hint="eastAsia" w:ascii="宋体" w:hAnsi="宋体" w:eastAsia="宋体" w:cs="宋体"/>
                <w:sz w:val="24"/>
              </w:rPr>
            </w:pPr>
            <w:r>
              <w:rPr>
                <w:rFonts w:hint="eastAsia" w:ascii="宋体" w:hAnsi="宋体" w:eastAsia="宋体" w:cs="宋体"/>
                <w:sz w:val="24"/>
              </w:rPr>
              <w:t>最美教师或师德模范进课堂</w:t>
            </w:r>
          </w:p>
        </w:tc>
        <w:tc>
          <w:tcPr>
            <w:tcW w:w="3407" w:type="dxa"/>
            <w:vAlign w:val="center"/>
          </w:tcPr>
          <w:p w14:paraId="3FC7900A">
            <w:pPr>
              <w:spacing w:line="276" w:lineRule="auto"/>
              <w:jc w:val="left"/>
              <w:rPr>
                <w:rFonts w:hint="eastAsia" w:ascii="宋体" w:hAnsi="宋体" w:eastAsia="宋体" w:cs="宋体"/>
                <w:sz w:val="24"/>
              </w:rPr>
            </w:pPr>
            <w:r>
              <w:rPr>
                <w:rFonts w:hint="eastAsia" w:ascii="宋体" w:hAnsi="宋体" w:eastAsia="宋体" w:cs="宋体"/>
                <w:sz w:val="24"/>
              </w:rPr>
              <w:t>邀请当地获得最美教师、师德模范等荣誉称号的教师做报告，让学生进一步认识基础一线优秀教师的优秀事迹并向他们学习。</w:t>
            </w:r>
          </w:p>
        </w:tc>
        <w:tc>
          <w:tcPr>
            <w:tcW w:w="740" w:type="dxa"/>
            <w:vAlign w:val="center"/>
          </w:tcPr>
          <w:p w14:paraId="65EDA6C6">
            <w:pPr>
              <w:spacing w:line="276" w:lineRule="auto"/>
              <w:jc w:val="center"/>
              <w:rPr>
                <w:rFonts w:hint="eastAsia" w:ascii="宋体" w:hAnsi="宋体" w:eastAsia="宋体" w:cs="宋体"/>
                <w:sz w:val="24"/>
              </w:rPr>
            </w:pPr>
            <w:r>
              <w:rPr>
                <w:rFonts w:hint="eastAsia" w:ascii="宋体" w:hAnsi="宋体" w:eastAsia="宋体" w:cs="宋体"/>
                <w:sz w:val="24"/>
              </w:rPr>
              <w:t>专题报告</w:t>
            </w:r>
          </w:p>
        </w:tc>
        <w:tc>
          <w:tcPr>
            <w:tcW w:w="3160" w:type="dxa"/>
            <w:vAlign w:val="center"/>
          </w:tcPr>
          <w:p w14:paraId="6923DD48">
            <w:pPr>
              <w:spacing w:line="276" w:lineRule="auto"/>
              <w:jc w:val="left"/>
              <w:rPr>
                <w:rFonts w:hint="eastAsia" w:ascii="宋体" w:hAnsi="宋体" w:eastAsia="宋体" w:cs="宋体"/>
                <w:sz w:val="24"/>
              </w:rPr>
            </w:pPr>
            <w:r>
              <w:rPr>
                <w:rFonts w:hint="eastAsia" w:ascii="宋体" w:hAnsi="宋体" w:eastAsia="宋体" w:cs="宋体"/>
                <w:sz w:val="24"/>
              </w:rPr>
              <w:t>用榜样的力量激发学生爱岗敬业、立志成为卓越教师，为党和国家的发展做出贡献。</w:t>
            </w:r>
          </w:p>
        </w:tc>
      </w:tr>
      <w:tr w14:paraId="1D07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437CBA9">
            <w:pPr>
              <w:spacing w:line="276" w:lineRule="auto"/>
              <w:jc w:val="left"/>
              <w:rPr>
                <w:rFonts w:hint="eastAsia" w:ascii="宋体" w:hAnsi="宋体" w:eastAsia="宋体" w:cs="宋体"/>
                <w:sz w:val="24"/>
              </w:rPr>
            </w:pPr>
            <w:r>
              <w:rPr>
                <w:rFonts w:hint="eastAsia" w:ascii="宋体" w:hAnsi="宋体" w:eastAsia="宋体" w:cs="宋体"/>
                <w:sz w:val="24"/>
              </w:rPr>
              <w:t>寻找最感动我的教师</w:t>
            </w:r>
          </w:p>
        </w:tc>
        <w:tc>
          <w:tcPr>
            <w:tcW w:w="3407" w:type="dxa"/>
            <w:vAlign w:val="center"/>
          </w:tcPr>
          <w:p w14:paraId="4B8D1033">
            <w:pPr>
              <w:spacing w:line="276" w:lineRule="auto"/>
              <w:jc w:val="left"/>
              <w:rPr>
                <w:rFonts w:hint="eastAsia" w:ascii="宋体" w:hAnsi="宋体" w:eastAsia="宋体" w:cs="宋体"/>
                <w:sz w:val="24"/>
              </w:rPr>
            </w:pPr>
            <w:r>
              <w:rPr>
                <w:rFonts w:hint="eastAsia" w:ascii="宋体" w:hAnsi="宋体" w:eastAsia="宋体" w:cs="宋体"/>
                <w:sz w:val="24"/>
              </w:rPr>
              <w:t>利用假期，让学生访谈自己求学生涯中最感动自己的教师，在调查中加强对教育和教师的认识。</w:t>
            </w:r>
          </w:p>
        </w:tc>
        <w:tc>
          <w:tcPr>
            <w:tcW w:w="740" w:type="dxa"/>
            <w:vAlign w:val="center"/>
          </w:tcPr>
          <w:p w14:paraId="7DB34D64">
            <w:pPr>
              <w:spacing w:line="276" w:lineRule="auto"/>
              <w:jc w:val="center"/>
              <w:rPr>
                <w:rFonts w:hint="eastAsia" w:ascii="宋体" w:hAnsi="宋体" w:eastAsia="宋体" w:cs="宋体"/>
                <w:sz w:val="24"/>
              </w:rPr>
            </w:pPr>
            <w:r>
              <w:rPr>
                <w:rFonts w:hint="eastAsia" w:ascii="宋体" w:hAnsi="宋体" w:eastAsia="宋体" w:cs="宋体"/>
                <w:sz w:val="24"/>
              </w:rPr>
              <w:t>课程实践作业</w:t>
            </w:r>
          </w:p>
        </w:tc>
        <w:tc>
          <w:tcPr>
            <w:tcW w:w="3160" w:type="dxa"/>
            <w:vAlign w:val="center"/>
          </w:tcPr>
          <w:p w14:paraId="62ACDF80">
            <w:pPr>
              <w:spacing w:line="276" w:lineRule="auto"/>
              <w:jc w:val="left"/>
              <w:rPr>
                <w:rFonts w:hint="eastAsia" w:ascii="宋体" w:hAnsi="宋体" w:eastAsia="宋体" w:cs="宋体"/>
                <w:sz w:val="24"/>
              </w:rPr>
            </w:pPr>
            <w:r>
              <w:rPr>
                <w:rFonts w:hint="eastAsia" w:ascii="宋体" w:hAnsi="宋体" w:eastAsia="宋体" w:cs="宋体"/>
                <w:sz w:val="24"/>
              </w:rPr>
              <w:t>提高学生对教师职业特性的认识，增强学生从教意愿、责任感、使命感和职业荣耀感， 愿意为党和国家的教育事业奉献终身。</w:t>
            </w:r>
          </w:p>
        </w:tc>
      </w:tr>
      <w:tr w14:paraId="346F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348400AC">
            <w:pPr>
              <w:spacing w:line="276" w:lineRule="auto"/>
              <w:jc w:val="left"/>
              <w:rPr>
                <w:rFonts w:hint="eastAsia" w:ascii="宋体" w:hAnsi="宋体" w:eastAsia="宋体" w:cs="宋体"/>
                <w:sz w:val="24"/>
              </w:rPr>
            </w:pPr>
            <w:r>
              <w:rPr>
                <w:rFonts w:hint="eastAsia" w:ascii="宋体" w:hAnsi="宋体" w:eastAsia="宋体" w:cs="宋体"/>
                <w:sz w:val="24"/>
              </w:rPr>
              <w:t>师范生从教宣誓</w:t>
            </w:r>
          </w:p>
        </w:tc>
        <w:tc>
          <w:tcPr>
            <w:tcW w:w="3407" w:type="dxa"/>
            <w:vAlign w:val="center"/>
          </w:tcPr>
          <w:p w14:paraId="471A9589">
            <w:pPr>
              <w:spacing w:line="276" w:lineRule="auto"/>
              <w:jc w:val="left"/>
              <w:rPr>
                <w:rFonts w:hint="eastAsia" w:ascii="宋体" w:hAnsi="宋体" w:eastAsia="宋体" w:cs="宋体"/>
                <w:sz w:val="24"/>
              </w:rPr>
            </w:pPr>
            <w:r>
              <w:rPr>
                <w:rFonts w:hint="eastAsia" w:ascii="宋体" w:hAnsi="宋体" w:eastAsia="宋体" w:cs="宋体"/>
                <w:sz w:val="24"/>
              </w:rPr>
              <w:t>学期末，结合课程中的所思、所感、和所得 ，以活动展示的新式进行从教宣誓活动。</w:t>
            </w:r>
          </w:p>
        </w:tc>
        <w:tc>
          <w:tcPr>
            <w:tcW w:w="740" w:type="dxa"/>
            <w:vAlign w:val="center"/>
          </w:tcPr>
          <w:p w14:paraId="61E77472">
            <w:pPr>
              <w:spacing w:line="276" w:lineRule="auto"/>
              <w:jc w:val="center"/>
              <w:rPr>
                <w:rFonts w:hint="eastAsia" w:ascii="宋体" w:hAnsi="宋体" w:eastAsia="宋体" w:cs="宋体"/>
                <w:sz w:val="24"/>
              </w:rPr>
            </w:pPr>
            <w:r>
              <w:rPr>
                <w:rFonts w:hint="eastAsia" w:ascii="宋体" w:hAnsi="宋体" w:eastAsia="宋体" w:cs="宋体"/>
                <w:sz w:val="24"/>
              </w:rPr>
              <w:t>第二课堂</w:t>
            </w:r>
          </w:p>
        </w:tc>
        <w:tc>
          <w:tcPr>
            <w:tcW w:w="3160" w:type="dxa"/>
            <w:vAlign w:val="center"/>
          </w:tcPr>
          <w:p w14:paraId="076B24CA">
            <w:pPr>
              <w:spacing w:line="276" w:lineRule="auto"/>
              <w:jc w:val="left"/>
              <w:rPr>
                <w:rFonts w:hint="eastAsia" w:ascii="宋体" w:hAnsi="宋体" w:eastAsia="宋体" w:cs="宋体"/>
                <w:sz w:val="24"/>
              </w:rPr>
            </w:pPr>
            <w:r>
              <w:rPr>
                <w:rFonts w:hint="eastAsia" w:ascii="宋体" w:hAnsi="宋体" w:eastAsia="宋体" w:cs="宋体"/>
                <w:sz w:val="24"/>
              </w:rPr>
              <w:t>用庄严的意识，增强学生从教的意愿，以及成为人民教师的荣耀感、责任感和使命感。</w:t>
            </w:r>
          </w:p>
        </w:tc>
      </w:tr>
    </w:tbl>
    <w:p w14:paraId="24F97253">
      <w:pPr>
        <w:spacing w:line="360" w:lineRule="auto"/>
        <w:ind w:firstLine="472" w:firstLineChars="196"/>
        <w:jc w:val="left"/>
        <w:rPr>
          <w:rFonts w:hint="eastAsia" w:ascii="宋体" w:hAnsi="宋体" w:eastAsia="宋体" w:cs="Times New Roman"/>
          <w:b/>
          <w:color w:val="000000"/>
          <w:sz w:val="24"/>
        </w:rPr>
      </w:pPr>
    </w:p>
    <w:p w14:paraId="10A3B352">
      <w:pPr>
        <w:spacing w:line="360" w:lineRule="auto"/>
        <w:jc w:val="left"/>
        <w:rPr>
          <w:rFonts w:ascii="Times New Roman" w:hAnsi="Times New Roman" w:eastAsia="宋体" w:cs="Times New Roman"/>
          <w:b/>
          <w:bCs/>
          <w:sz w:val="28"/>
          <w:szCs w:val="28"/>
        </w:rPr>
      </w:pPr>
      <w:r>
        <w:rPr>
          <w:rFonts w:hint="eastAsia" w:ascii="宋体" w:hAnsi="宋体" w:eastAsia="宋体" w:cs="Times New Roman"/>
          <w:b/>
          <w:color w:val="000000"/>
          <w:sz w:val="28"/>
          <w:szCs w:val="28"/>
        </w:rPr>
        <w:t>六、有关说明</w:t>
      </w:r>
    </w:p>
    <w:p w14:paraId="73230A1B">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2247AC4A">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根据学生课堂教学中的反应、课后反馈、作业质量、答卷情况，以及领导、督导、教师同行等的听课情况，及时发现和改进教学中的不足之处，确保相应毕业要求指标点达成。</w:t>
      </w:r>
    </w:p>
    <w:p w14:paraId="32A95DBD">
      <w:pPr>
        <w:spacing w:line="360" w:lineRule="auto"/>
        <w:jc w:val="left"/>
        <w:rPr>
          <w:rFonts w:ascii="Times New Roman" w:hAnsi="Times New Roman" w:eastAsia="宋体" w:cs="Times New Roman"/>
          <w:b/>
          <w:sz w:val="24"/>
        </w:rPr>
      </w:pPr>
    </w:p>
    <w:p w14:paraId="267DE0BF">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（二）建议教材</w:t>
      </w:r>
    </w:p>
    <w:p w14:paraId="4623C4FF">
      <w:pPr>
        <w:spacing w:line="336" w:lineRule="auto"/>
        <w:ind w:firstLine="480" w:firstLineChars="200"/>
        <w:rPr>
          <w:rFonts w:ascii="Times New Roman" w:hAnsi="Times New Roman" w:eastAsia="宋体" w:cs="Times New Roman"/>
          <w:sz w:val="24"/>
        </w:rPr>
      </w:pPr>
      <w:r>
        <w:rPr>
          <w:rFonts w:hint="eastAsia" w:ascii="Times New Roman" w:hAnsi="Times New Roman" w:eastAsia="宋体" w:cs="Times New Roman"/>
          <w:bCs/>
          <w:color w:val="000000"/>
          <w:sz w:val="24"/>
        </w:rPr>
        <w:t>《教育学原理》编写组.</w:t>
      </w:r>
      <w:r>
        <w:rPr>
          <w:rFonts w:ascii="Times New Roman" w:hAnsi="Times New Roman" w:eastAsia="宋体" w:cs="Times New Roman"/>
          <w:bCs/>
          <w:color w:val="000000"/>
          <w:sz w:val="24"/>
        </w:rPr>
        <w:t xml:space="preserve"> </w:t>
      </w:r>
      <w:r>
        <w:rPr>
          <w:rFonts w:hint="eastAsia" w:ascii="Times New Roman" w:hAnsi="Times New Roman" w:eastAsia="宋体" w:cs="Times New Roman"/>
          <w:bCs/>
          <w:color w:val="000000"/>
          <w:sz w:val="24"/>
        </w:rPr>
        <w:t>教育学原理，高等教育出版社，2</w:t>
      </w:r>
      <w:r>
        <w:rPr>
          <w:rFonts w:ascii="Times New Roman" w:hAnsi="Times New Roman" w:eastAsia="宋体" w:cs="Times New Roman"/>
          <w:bCs/>
          <w:color w:val="000000"/>
          <w:sz w:val="24"/>
        </w:rPr>
        <w:t>019</w:t>
      </w:r>
      <w:r>
        <w:rPr>
          <w:rFonts w:hint="eastAsia" w:ascii="Times New Roman" w:hAnsi="Times New Roman" w:eastAsia="宋体" w:cs="Times New Roman"/>
          <w:bCs/>
          <w:color w:val="000000"/>
          <w:sz w:val="24"/>
        </w:rPr>
        <w:t>.（马克思主义理论研究和建设工程重点教材）</w:t>
      </w:r>
    </w:p>
    <w:p w14:paraId="65493AA8">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（三）参考书目</w:t>
      </w:r>
    </w:p>
    <w:p w14:paraId="455C3EEF">
      <w:pPr>
        <w:spacing w:line="336"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1.郝文武</w:t>
      </w:r>
      <w:r>
        <w:rPr>
          <w:rFonts w:ascii="Times New Roman" w:hAnsi="Times New Roman" w:eastAsia="宋体" w:cs="Times New Roman"/>
          <w:bCs/>
          <w:color w:val="000000"/>
          <w:sz w:val="24"/>
        </w:rPr>
        <w:t>. 教育学原理. 北京：北京师范大学出版社，2012.</w:t>
      </w:r>
    </w:p>
    <w:p w14:paraId="7EE732FC">
      <w:pPr>
        <w:spacing w:line="336"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2.孙喜亭</w:t>
      </w:r>
      <w:r>
        <w:rPr>
          <w:rFonts w:ascii="Times New Roman" w:hAnsi="Times New Roman" w:eastAsia="宋体" w:cs="Times New Roman"/>
          <w:bCs/>
          <w:color w:val="000000"/>
          <w:sz w:val="24"/>
        </w:rPr>
        <w:t>. 教育原理（修订版）. 北京：北京师范大学出版社，2003.</w:t>
      </w:r>
    </w:p>
    <w:p w14:paraId="069BD76D">
      <w:pPr>
        <w:spacing w:line="336"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3.王道俊、王汉澜</w:t>
      </w:r>
      <w:r>
        <w:rPr>
          <w:rFonts w:ascii="Times New Roman" w:hAnsi="Times New Roman" w:eastAsia="宋体" w:cs="Times New Roman"/>
          <w:bCs/>
          <w:color w:val="000000"/>
          <w:sz w:val="24"/>
        </w:rPr>
        <w:t>. 教育学. 北京：人民教育出版社，1989.</w:t>
      </w:r>
    </w:p>
    <w:p w14:paraId="23A4170A">
      <w:pPr>
        <w:spacing w:line="336"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4.黄济、王策三</w:t>
      </w:r>
      <w:r>
        <w:rPr>
          <w:rFonts w:ascii="Times New Roman" w:hAnsi="Times New Roman" w:eastAsia="宋体" w:cs="Times New Roman"/>
          <w:bCs/>
          <w:color w:val="000000"/>
          <w:sz w:val="24"/>
        </w:rPr>
        <w:t>. 现代教育论. 北京人民教育出版社，2004.</w:t>
      </w:r>
    </w:p>
    <w:p w14:paraId="69149513">
      <w:pPr>
        <w:spacing w:line="336"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5.陈桂生</w:t>
      </w:r>
      <w:r>
        <w:rPr>
          <w:rFonts w:ascii="Times New Roman" w:hAnsi="Times New Roman" w:eastAsia="宋体" w:cs="Times New Roman"/>
          <w:bCs/>
          <w:color w:val="000000"/>
          <w:sz w:val="24"/>
        </w:rPr>
        <w:t>. 教育原理. 上海：华东师范大学出版社，2000.</w:t>
      </w:r>
    </w:p>
    <w:p w14:paraId="55A7EDD1">
      <w:pPr>
        <w:spacing w:line="336"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6.贾馥茗，教育的本质：什么是真正的教育</w:t>
      </w:r>
      <w:r>
        <w:rPr>
          <w:rFonts w:ascii="Times New Roman" w:hAnsi="Times New Roman" w:eastAsia="宋体" w:cs="Times New Roman"/>
          <w:bCs/>
          <w:color w:val="000000"/>
          <w:sz w:val="24"/>
        </w:rPr>
        <w:t>. 北京：世界图书出版公司北京公司，2006.</w:t>
      </w:r>
    </w:p>
    <w:p w14:paraId="265B44B1">
      <w:pPr>
        <w:spacing w:line="336"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7.叶澜</w:t>
      </w:r>
      <w:r>
        <w:rPr>
          <w:rFonts w:ascii="Times New Roman" w:hAnsi="Times New Roman" w:eastAsia="宋体" w:cs="Times New Roman"/>
          <w:bCs/>
          <w:color w:val="000000"/>
          <w:sz w:val="24"/>
        </w:rPr>
        <w:t>. 教育概论. 北京：人民教育出版社，2006.</w:t>
      </w:r>
    </w:p>
    <w:p w14:paraId="16670502">
      <w:pPr>
        <w:spacing w:line="336"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8.约翰•杜威</w:t>
      </w:r>
      <w:r>
        <w:rPr>
          <w:rFonts w:ascii="Times New Roman" w:hAnsi="Times New Roman" w:eastAsia="宋体" w:cs="Times New Roman"/>
          <w:bCs/>
          <w:color w:val="000000"/>
          <w:sz w:val="24"/>
        </w:rPr>
        <w:t>. 民主主义与教育. 北京：人民教育出版社，2003.</w:t>
      </w:r>
    </w:p>
    <w:p w14:paraId="0937D4E1">
      <w:pPr>
        <w:rPr>
          <w:sz w:val="24"/>
        </w:rPr>
      </w:pPr>
    </w:p>
    <w:p w14:paraId="3DEE633A">
      <w:pPr>
        <w:rPr>
          <w:sz w:val="24"/>
        </w:rPr>
      </w:pPr>
    </w:p>
    <w:p w14:paraId="7D617757">
      <w:pPr>
        <w:rPr>
          <w:sz w:val="24"/>
        </w:rPr>
      </w:pPr>
    </w:p>
    <w:p w14:paraId="1F2C4B8E">
      <w:pPr>
        <w:rPr>
          <w:sz w:val="24"/>
        </w:rPr>
      </w:pPr>
    </w:p>
    <w:p w14:paraId="015B3F50">
      <w:pPr>
        <w:rPr>
          <w:sz w:val="24"/>
        </w:rPr>
      </w:pPr>
    </w:p>
    <w:p w14:paraId="2498806F">
      <w:pPr>
        <w:spacing w:line="360" w:lineRule="auto"/>
        <w:ind w:right="1440"/>
        <w:jc w:val="right"/>
        <w:rPr>
          <w:rFonts w:ascii="Times New Roman" w:hAnsi="Times New Roman" w:eastAsia="宋体" w:cs="Times New Roman"/>
          <w:sz w:val="24"/>
        </w:rPr>
      </w:pPr>
      <w:r>
        <w:rPr>
          <w:rFonts w:hint="eastAsia" w:ascii="Times New Roman" w:hAnsi="Times New Roman" w:eastAsia="宋体" w:cs="Times New Roman"/>
          <w:sz w:val="24"/>
        </w:rPr>
        <w:t>执 笔 人： 张志欣</w:t>
      </w:r>
    </w:p>
    <w:p w14:paraId="0983E7CA">
      <w:pPr>
        <w:wordWrap w:val="0"/>
        <w:spacing w:line="360" w:lineRule="auto"/>
        <w:ind w:right="1680"/>
        <w:jc w:val="right"/>
        <w:rPr>
          <w:rFonts w:ascii="Times New Roman" w:hAnsi="Times New Roman" w:eastAsia="宋体" w:cs="Times New Roman"/>
          <w:sz w:val="24"/>
        </w:rPr>
      </w:pPr>
      <w:r>
        <w:rPr>
          <w:rFonts w:hint="eastAsia" w:ascii="Times New Roman" w:hAnsi="Times New Roman" w:eastAsia="宋体" w:cs="Times New Roman"/>
          <w:sz w:val="24"/>
        </w:rPr>
        <w:t>审 定 人： 王健</w:t>
      </w:r>
    </w:p>
    <w:p w14:paraId="245FD79C">
      <w:pPr>
        <w:spacing w:line="360" w:lineRule="auto"/>
        <w:ind w:right="1440"/>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0BDF45BE">
      <w:pPr>
        <w:spacing w:line="360" w:lineRule="auto"/>
        <w:ind w:right="240"/>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0F833F7D">
      <w:pPr>
        <w:rPr>
          <w:rFonts w:hint="eastAsia" w:ascii="等线" w:hAnsi="等线" w:eastAsia="等线" w:cs="等线"/>
          <w:b/>
          <w:bCs/>
          <w:sz w:val="44"/>
          <w:szCs w:val="44"/>
        </w:rPr>
      </w:pPr>
      <w:r>
        <w:rPr>
          <w:rFonts w:hint="eastAsia" w:ascii="等线" w:hAnsi="等线" w:eastAsia="等线" w:cs="等线"/>
          <w:b/>
          <w:bCs/>
          <w:sz w:val="44"/>
          <w:szCs w:val="44"/>
        </w:rPr>
        <w:br w:type="page"/>
      </w:r>
    </w:p>
    <w:p w14:paraId="392755BF">
      <w:pPr>
        <w:pStyle w:val="2"/>
      </w:pPr>
      <w:bookmarkStart w:id="83" w:name="_Toc3082"/>
      <w:bookmarkStart w:id="84" w:name="_Toc166164848"/>
      <w:bookmarkStart w:id="85" w:name="_Toc19749"/>
      <w:r>
        <w:rPr>
          <w:rFonts w:hint="eastAsia"/>
        </w:rPr>
        <w:t>《中国教育史》课程教学大纲</w:t>
      </w:r>
      <w:bookmarkEnd w:id="83"/>
      <w:bookmarkEnd w:id="84"/>
      <w:bookmarkEnd w:id="85"/>
    </w:p>
    <w:p w14:paraId="35114C7A">
      <w:pPr>
        <w:ind w:firstLine="2730" w:firstLineChars="1300"/>
      </w:pPr>
      <w:r>
        <w:rPr>
          <w:rFonts w:hint="eastAsia"/>
        </w:rPr>
        <w:t>（History of Chinese Education）</w:t>
      </w:r>
    </w:p>
    <w:p w14:paraId="73AFBC6F">
      <w:pPr>
        <w:spacing w:line="360" w:lineRule="auto"/>
        <w:jc w:val="center"/>
        <w:rPr>
          <w:rFonts w:ascii="Times New Roman" w:hAnsi="Times New Roman" w:eastAsia="宋体" w:cs="Times New Roman"/>
          <w:bCs/>
          <w:sz w:val="30"/>
          <w:szCs w:val="30"/>
        </w:rPr>
      </w:pPr>
    </w:p>
    <w:p w14:paraId="37DCDF8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课程名称：中国教育史</w:t>
      </w:r>
    </w:p>
    <w:p w14:paraId="2F789CA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课程代码：2401006</w:t>
      </w:r>
    </w:p>
    <w:p w14:paraId="411EA59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分：2</w:t>
      </w:r>
    </w:p>
    <w:p w14:paraId="4FC41D9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时：32</w:t>
      </w:r>
    </w:p>
    <w:p w14:paraId="31AF6A5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先修课程：小学心理学</w:t>
      </w:r>
    </w:p>
    <w:p w14:paraId="318E7E1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42872772">
      <w:pPr>
        <w:spacing w:line="360" w:lineRule="auto"/>
        <w:rPr>
          <w:rFonts w:ascii="Times New Roman" w:hAnsi="Times New Roman" w:eastAsia="宋体" w:cs="Times New Roman"/>
          <w:b/>
          <w:sz w:val="24"/>
        </w:rPr>
      </w:pPr>
    </w:p>
    <w:p w14:paraId="56010F03">
      <w:pPr>
        <w:spacing w:line="360" w:lineRule="auto"/>
        <w:rPr>
          <w:rFonts w:ascii="Times New Roman" w:hAnsi="Times New Roman" w:eastAsia="宋体" w:cs="Times New Roman"/>
          <w:b/>
          <w:sz w:val="24"/>
        </w:rPr>
      </w:pPr>
    </w:p>
    <w:p w14:paraId="01A9D4B0">
      <w:pPr>
        <w:spacing w:line="360" w:lineRule="auto"/>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6B511B4F">
      <w:pPr>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本课程是小学教育专业的一门专业基础必修课程。课程的任务在于使学生了解中国教育发展的基本线索和一般规律；初步认识中国教育发展的历史经验和教训；培养学生运用辩证唯物主义和历史唯物主义观点和方法考察、分析教育问题的意识和能力，树立唯物辨证的教育发展观；扩大教育知识眼界，为学习教育学科打下基础；培养热爱教育、献身教育的职业精神。</w:t>
      </w:r>
    </w:p>
    <w:p w14:paraId="21918875">
      <w:pPr>
        <w:spacing w:before="156" w:before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4"/>
        </w:rPr>
        <w:t>二、课程目标</w:t>
      </w:r>
    </w:p>
    <w:p w14:paraId="672CBEF4">
      <w:pPr>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（一）课程具体目标</w:t>
      </w:r>
    </w:p>
    <w:p w14:paraId="3AA6774C">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 xml:space="preserve">目标1. </w:t>
      </w:r>
      <w:r>
        <w:rPr>
          <w:rFonts w:hint="eastAsia" w:ascii="Times New Roman" w:hAnsi="Times New Roman" w:eastAsia="宋体" w:cs="Times New Roman"/>
          <w:szCs w:val="21"/>
        </w:rPr>
        <w:t>了解中国教育制度发展的基本线索和各个时期的文教政策，掌握学校教育发展史上的重要事件及其历史影响；初步认识中国教育思想发展的脉络和演变历程，掌握主要教育家和教育著作中的重要思想及其历史影响。</w:t>
      </w:r>
    </w:p>
    <w:p w14:paraId="1F3B8497">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目标2.</w:t>
      </w:r>
      <w:r>
        <w:rPr>
          <w:rFonts w:hint="eastAsia" w:ascii="Times New Roman" w:hAnsi="Times New Roman" w:eastAsia="宋体" w:cs="Times New Roman"/>
          <w:szCs w:val="21"/>
        </w:rPr>
        <w:t xml:space="preserve"> 秉持“论从史出，史论结合”的原则，能够灵活运用历史与逻辑相统一的思维方法，以发展的眼光、批判意识、辩证思维和创新精神，对历史事件、制度政策、人物（著作）及其思想进行正确的认识和评价，在扬弃的前提下反思和解决当下教育教学中存在的问题，古为今用。</w:t>
      </w:r>
    </w:p>
    <w:p w14:paraId="495A5080">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 xml:space="preserve">目标3. </w:t>
      </w:r>
      <w:r>
        <w:rPr>
          <w:rFonts w:hint="eastAsia" w:ascii="Times New Roman" w:hAnsi="Times New Roman" w:eastAsia="宋体" w:cs="Times New Roman"/>
          <w:szCs w:val="21"/>
        </w:rPr>
        <w:t>以立德树人为己任；形成正确的历史观、文化观、教育观、教师观、学生观，增强职业认同感、责任感与使命感；以历史上教育家为榜样，以教育家精神为引领，为成长为学生发展的“四个引路人”“四有好老师”和经师与人师相统一的“大先生”而不懈努力。</w:t>
      </w:r>
    </w:p>
    <w:p w14:paraId="28CF0875">
      <w:pPr>
        <w:spacing w:line="360" w:lineRule="auto"/>
        <w:ind w:firstLine="482" w:firstLineChars="200"/>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（二）课程目标与专业毕业要求的关系</w:t>
      </w:r>
    </w:p>
    <w:tbl>
      <w:tblPr>
        <w:tblStyle w:val="13"/>
        <w:tblW w:w="90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5216"/>
        <w:gridCol w:w="1595"/>
      </w:tblGrid>
      <w:tr w14:paraId="255FD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00" w:type="dxa"/>
            <w:vAlign w:val="center"/>
          </w:tcPr>
          <w:p w14:paraId="29842EB2">
            <w:pPr>
              <w:spacing w:line="264"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w:t>
            </w:r>
          </w:p>
        </w:tc>
        <w:tc>
          <w:tcPr>
            <w:tcW w:w="5216" w:type="dxa"/>
            <w:vAlign w:val="center"/>
          </w:tcPr>
          <w:p w14:paraId="4F00335C">
            <w:pPr>
              <w:spacing w:line="264"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支撑的毕业要求指标点</w:t>
            </w:r>
          </w:p>
        </w:tc>
        <w:tc>
          <w:tcPr>
            <w:tcW w:w="1595" w:type="dxa"/>
            <w:shd w:val="clear" w:color="auto" w:fill="auto"/>
            <w:vAlign w:val="center"/>
          </w:tcPr>
          <w:p w14:paraId="55BF4250">
            <w:pPr>
              <w:spacing w:line="264"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课程目标</w:t>
            </w:r>
          </w:p>
        </w:tc>
      </w:tr>
      <w:tr w14:paraId="0BA88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2200" w:type="dxa"/>
            <w:vAlign w:val="center"/>
          </w:tcPr>
          <w:p w14:paraId="6867F961">
            <w:pPr>
              <w:spacing w:line="264"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毕业要求2.师德规范</w:t>
            </w:r>
          </w:p>
          <w:p w14:paraId="77D6F7FE">
            <w:pPr>
              <w:spacing w:line="264" w:lineRule="auto"/>
              <w:rPr>
                <w:rFonts w:hint="eastAsia" w:ascii="宋体" w:hAnsi="宋体" w:eastAsia="宋体" w:cs="Times New Roman"/>
                <w:color w:val="000000"/>
                <w:kern w:val="0"/>
                <w:szCs w:val="21"/>
              </w:rPr>
            </w:pPr>
          </w:p>
        </w:tc>
        <w:tc>
          <w:tcPr>
            <w:tcW w:w="5216" w:type="dxa"/>
            <w:vAlign w:val="center"/>
          </w:tcPr>
          <w:p w14:paraId="0CF4D1D9">
            <w:pPr>
              <w:spacing w:line="360"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595" w:type="dxa"/>
            <w:shd w:val="clear" w:color="auto" w:fill="auto"/>
            <w:vAlign w:val="center"/>
          </w:tcPr>
          <w:p w14:paraId="27232E00">
            <w:pPr>
              <w:spacing w:line="264"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课程目标3</w:t>
            </w:r>
          </w:p>
        </w:tc>
      </w:tr>
      <w:tr w14:paraId="28040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00" w:type="dxa"/>
            <w:vAlign w:val="center"/>
          </w:tcPr>
          <w:p w14:paraId="5BD12637">
            <w:pPr>
              <w:spacing w:line="264"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毕业要求4.教学能力</w:t>
            </w:r>
          </w:p>
        </w:tc>
        <w:tc>
          <w:tcPr>
            <w:tcW w:w="5216" w:type="dxa"/>
            <w:vAlign w:val="center"/>
          </w:tcPr>
          <w:p w14:paraId="01B405AB">
            <w:pPr>
              <w:spacing w:line="360"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595" w:type="dxa"/>
            <w:shd w:val="clear" w:color="auto" w:fill="auto"/>
            <w:vAlign w:val="center"/>
          </w:tcPr>
          <w:p w14:paraId="724A23FF">
            <w:pPr>
              <w:spacing w:line="264"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课程目标1</w:t>
            </w:r>
          </w:p>
          <w:p w14:paraId="2153D44B">
            <w:pPr>
              <w:spacing w:line="264"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课程目标2</w:t>
            </w:r>
          </w:p>
        </w:tc>
      </w:tr>
      <w:tr w14:paraId="2B613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0" w:hRule="atLeast"/>
          <w:jc w:val="center"/>
        </w:trPr>
        <w:tc>
          <w:tcPr>
            <w:tcW w:w="2200" w:type="dxa"/>
            <w:vAlign w:val="center"/>
          </w:tcPr>
          <w:p w14:paraId="3D655122">
            <w:pPr>
              <w:spacing w:line="264" w:lineRule="auto"/>
              <w:rPr>
                <w:rFonts w:hint="eastAsia" w:ascii="宋体" w:hAnsi="宋体" w:eastAsia="宋体" w:cs="Times New Roman"/>
                <w:color w:val="000000"/>
                <w:kern w:val="0"/>
                <w:szCs w:val="21"/>
              </w:rPr>
            </w:pPr>
            <w:r>
              <w:rPr>
                <w:rFonts w:hint="eastAsia" w:ascii="宋体" w:hAnsi="宋体" w:eastAsia="宋体" w:cs="Times New Roman"/>
                <w:color w:val="000000"/>
                <w:spacing w:val="2"/>
                <w:kern w:val="0"/>
                <w:szCs w:val="21"/>
              </w:rPr>
              <w:t>毕业要求7</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学会反思</w:t>
            </w:r>
          </w:p>
        </w:tc>
        <w:tc>
          <w:tcPr>
            <w:tcW w:w="5216" w:type="dxa"/>
            <w:vAlign w:val="center"/>
          </w:tcPr>
          <w:p w14:paraId="72E669FA">
            <w:pPr>
              <w:spacing w:line="360"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指标点7-1：【教育视野开阔】积极关注基础教育领域的国内外交流进展，了解国内外基础教育改革发展的动态，具有宽广的教育视野，能够主动适应新时代和教育发展需求。</w:t>
            </w:r>
          </w:p>
          <w:p w14:paraId="0C7C99DA">
            <w:pPr>
              <w:spacing w:line="360" w:lineRule="auto"/>
              <w:jc w:val="left"/>
              <w:rPr>
                <w:rFonts w:hint="eastAsia" w:ascii="宋体" w:hAnsi="宋体" w:eastAsia="宋体" w:cs="Times New Roman"/>
                <w:color w:val="000000"/>
                <w:kern w:val="0"/>
                <w:szCs w:val="21"/>
              </w:rPr>
            </w:pPr>
            <w:r>
              <w:rPr>
                <w:rFonts w:hint="eastAsia" w:ascii="宋体" w:hAnsi="宋体" w:eastAsia="宋体" w:cs="Times New Roman"/>
                <w:color w:val="000000"/>
                <w:spacing w:val="2"/>
                <w:kern w:val="0"/>
                <w:szCs w:val="21"/>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595" w:type="dxa"/>
            <w:shd w:val="clear" w:color="auto" w:fill="auto"/>
            <w:vAlign w:val="center"/>
          </w:tcPr>
          <w:p w14:paraId="232707C1">
            <w:pPr>
              <w:spacing w:line="264"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课程目标2</w:t>
            </w:r>
          </w:p>
        </w:tc>
      </w:tr>
    </w:tbl>
    <w:p w14:paraId="4C5AB59E">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（三）课程思政目标</w:t>
      </w:r>
    </w:p>
    <w:p w14:paraId="4EF6544D">
      <w:pPr>
        <w:spacing w:line="360" w:lineRule="auto"/>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在掌握教育制度和教育思想发展脉络及其基本史实的基础上，坚定文化自信、制度自信，认识到中国特色社会主义制度的优越性，增强民族自豪感；深刻理解教育强国，人才强国战略意义；以立德树人为己任，坚持为党育人、为国育才；形成正确的历史观、文化观、教育观、教师观、学生观，增强职业认同感、责任感与使命感，自觉以教育家精神为引领，为成长为学生发展的“四个引路人”“四有好老师”和经师与人师相统一的“大先生”而不懈努力。</w:t>
      </w:r>
      <w:r>
        <w:rPr>
          <w:rFonts w:ascii="Times New Roman" w:hAnsi="Times New Roman" w:eastAsia="宋体" w:cs="Times New Roman"/>
          <w:szCs w:val="21"/>
        </w:rPr>
        <w:t xml:space="preserve">  </w:t>
      </w:r>
    </w:p>
    <w:p w14:paraId="5B0CE902">
      <w:pPr>
        <w:numPr>
          <w:ilvl w:val="0"/>
          <w:numId w:val="39"/>
        </w:numPr>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教学内容与预期学习成效</w:t>
      </w:r>
    </w:p>
    <w:tbl>
      <w:tblPr>
        <w:tblStyle w:val="14"/>
        <w:tblpPr w:leftFromText="181" w:rightFromText="181" w:vertAnchor="text" w:horzAnchor="page" w:tblpX="1424" w:tblpY="1"/>
        <w:tblOverlap w:val="never"/>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522"/>
        <w:gridCol w:w="1065"/>
        <w:gridCol w:w="4568"/>
        <w:gridCol w:w="963"/>
        <w:gridCol w:w="438"/>
      </w:tblGrid>
      <w:tr w14:paraId="257C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1953E62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42B1BD7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522" w:type="dxa"/>
            <w:vAlign w:val="center"/>
          </w:tcPr>
          <w:p w14:paraId="37BD45E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065" w:type="dxa"/>
            <w:vAlign w:val="center"/>
          </w:tcPr>
          <w:p w14:paraId="732FB56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84F7F1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4568" w:type="dxa"/>
            <w:vAlign w:val="center"/>
          </w:tcPr>
          <w:p w14:paraId="6CCAAE2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963" w:type="dxa"/>
            <w:vAlign w:val="center"/>
          </w:tcPr>
          <w:p w14:paraId="3688EFF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w:t>
            </w:r>
          </w:p>
          <w:p w14:paraId="3E6B3EE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环节</w:t>
            </w:r>
          </w:p>
        </w:tc>
        <w:tc>
          <w:tcPr>
            <w:tcW w:w="438" w:type="dxa"/>
            <w:vAlign w:val="center"/>
          </w:tcPr>
          <w:p w14:paraId="335A2CF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4044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42EDFFB5">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1.中国古代的文教政策与教育制度</w:t>
            </w:r>
          </w:p>
        </w:tc>
        <w:tc>
          <w:tcPr>
            <w:tcW w:w="1522" w:type="dxa"/>
            <w:vAlign w:val="center"/>
          </w:tcPr>
          <w:p w14:paraId="3F77A4FC">
            <w:pPr>
              <w:numPr>
                <w:ilvl w:val="0"/>
                <w:numId w:val="40"/>
              </w:num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官学制度的建立、发展与衰落</w:t>
            </w:r>
          </w:p>
          <w:p w14:paraId="6C013667">
            <w:pPr>
              <w:numPr>
                <w:ilvl w:val="0"/>
                <w:numId w:val="40"/>
              </w:num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私学的产生与发展</w:t>
            </w:r>
          </w:p>
          <w:p w14:paraId="05910BFA">
            <w:pPr>
              <w:numPr>
                <w:ilvl w:val="0"/>
                <w:numId w:val="40"/>
              </w:num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书院的发展嬗变</w:t>
            </w:r>
          </w:p>
          <w:p w14:paraId="2885215B">
            <w:pPr>
              <w:numPr>
                <w:ilvl w:val="0"/>
                <w:numId w:val="40"/>
              </w:num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蒙养教育与蒙养教材</w:t>
            </w:r>
          </w:p>
          <w:p w14:paraId="165D67FE">
            <w:pPr>
              <w:numPr>
                <w:ilvl w:val="0"/>
                <w:numId w:val="40"/>
              </w:num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选士制度的变迁</w:t>
            </w:r>
          </w:p>
        </w:tc>
        <w:tc>
          <w:tcPr>
            <w:tcW w:w="1065" w:type="dxa"/>
            <w:vAlign w:val="center"/>
          </w:tcPr>
          <w:p w14:paraId="186B3D23">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65153497">
            <w:pPr>
              <w:adjustRightInd w:val="0"/>
              <w:snapToGrid w:val="0"/>
              <w:spacing w:line="312" w:lineRule="auto"/>
              <w:jc w:val="left"/>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了解远古时期的教育及学校的起源；掌握西周、秦汉魏晋南北朝、隋唐五代、宋元明清时期官学的发展演变；</w:t>
            </w:r>
          </w:p>
          <w:p w14:paraId="798F6CA1">
            <w:pPr>
              <w:adjustRightInd w:val="0"/>
              <w:snapToGrid w:val="0"/>
              <w:spacing w:line="312" w:lineRule="auto"/>
              <w:jc w:val="left"/>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掌握私人讲学的兴起与诸子百家私学的发展、齐国的稷下学宫；</w:t>
            </w:r>
          </w:p>
          <w:p w14:paraId="0E474C49">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3.了解书院产生的原因，知道北宋六大书院、东林书院、诂经精舍、学海堂以及《白鹿洞揭示》；正确理解并掌握书院教育宗旨、书院讲会制度、书院学术研究及书院教育的特点；</w:t>
            </w:r>
          </w:p>
          <w:p w14:paraId="6046404B">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4.掌握私塾的发展、私塾教育的特点以及蒙学教材的发展、种类和特点；</w:t>
            </w:r>
          </w:p>
          <w:p w14:paraId="021D6ACC">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w:t>
            </w:r>
            <w:r>
              <w:rPr>
                <w:rFonts w:hint="eastAsia" w:ascii="宋体" w:hAnsi="宋体" w:eastAsia="宋体" w:cs="Times New Roman"/>
                <w:color w:val="000000"/>
                <w:szCs w:val="21"/>
              </w:rPr>
              <w:t>掌握察举制、九品中正制、察举制等选士制度的基本情况，并能对其进行正确评价。</w:t>
            </w:r>
          </w:p>
        </w:tc>
        <w:tc>
          <w:tcPr>
            <w:tcW w:w="963" w:type="dxa"/>
            <w:vAlign w:val="center"/>
          </w:tcPr>
          <w:p w14:paraId="3D96B6A7">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59E9F465">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7F519B5B">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78C1FC00">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4.平时作业</w:t>
            </w:r>
          </w:p>
          <w:p w14:paraId="44ED7546">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5.单元测验</w:t>
            </w:r>
          </w:p>
          <w:p w14:paraId="64B8E036">
            <w:pPr>
              <w:adjustRightInd w:val="0"/>
              <w:snapToGrid w:val="0"/>
              <w:spacing w:line="312" w:lineRule="auto"/>
              <w:jc w:val="left"/>
              <w:rPr>
                <w:rFonts w:hint="eastAsia" w:ascii="宋体" w:hAnsi="宋体" w:eastAsia="宋体" w:cs="Times New Roman"/>
                <w:color w:val="000000"/>
                <w:szCs w:val="21"/>
              </w:rPr>
            </w:pPr>
          </w:p>
        </w:tc>
        <w:tc>
          <w:tcPr>
            <w:tcW w:w="438" w:type="dxa"/>
            <w:vAlign w:val="center"/>
          </w:tcPr>
          <w:p w14:paraId="237E5308">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598C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11379272">
            <w:pPr>
              <w:adjustRightInd w:val="0"/>
              <w:snapToGrid w:val="0"/>
              <w:spacing w:line="312" w:lineRule="auto"/>
              <w:jc w:val="center"/>
              <w:rPr>
                <w:rFonts w:hint="eastAsia" w:ascii="宋体" w:hAnsi="宋体" w:eastAsia="宋体" w:cs="Times New Roman"/>
                <w:color w:val="000000"/>
                <w:szCs w:val="21"/>
              </w:rPr>
            </w:pPr>
          </w:p>
        </w:tc>
        <w:tc>
          <w:tcPr>
            <w:tcW w:w="8556" w:type="dxa"/>
            <w:gridSpan w:val="5"/>
            <w:vAlign w:val="center"/>
          </w:tcPr>
          <w:p w14:paraId="1BF9CF25">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运用辩证唯物主义和历史唯物主义的思想方法，结合我国古代不同历史时期的文教政策、学校的嬗变以及选士取士制度的历史影响，形成正确的历史观、教育观、文化观，坚定文化自信、制度自信，增强国家认同感。</w:t>
            </w:r>
          </w:p>
        </w:tc>
      </w:tr>
      <w:tr w14:paraId="3A4A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0008C75C">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2.中国近代教育制度的发展演变</w:t>
            </w:r>
          </w:p>
        </w:tc>
        <w:tc>
          <w:tcPr>
            <w:tcW w:w="1522" w:type="dxa"/>
            <w:vAlign w:val="center"/>
          </w:tcPr>
          <w:p w14:paraId="6BD4CFEA">
            <w:pPr>
              <w:numPr>
                <w:ilvl w:val="0"/>
                <w:numId w:val="41"/>
              </w:num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鸦片战争与洋务运动时期的教育</w:t>
            </w:r>
          </w:p>
          <w:p w14:paraId="5E392663">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（2）戊戌维新运动与清末新政时期的教育</w:t>
            </w:r>
          </w:p>
          <w:p w14:paraId="51829E79">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（3）晚清时期的留学教育</w:t>
            </w:r>
          </w:p>
          <w:p w14:paraId="1B066120">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（4）民国成立初期的教育</w:t>
            </w:r>
          </w:p>
          <w:p w14:paraId="5EC8C1F2">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（5）新文化运动时期的教育</w:t>
            </w:r>
          </w:p>
          <w:p w14:paraId="56C53907">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（6）新民主主义时期的教育改革</w:t>
            </w:r>
          </w:p>
        </w:tc>
        <w:tc>
          <w:tcPr>
            <w:tcW w:w="1065" w:type="dxa"/>
            <w:vAlign w:val="center"/>
          </w:tcPr>
          <w:p w14:paraId="6729B2C2">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45BBA7EC">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1.了解教会学校在中国的举办情况，正确认识教会学校的性质与影响；掌握洋务学堂的类别、特点及其京师同文馆、福建船政学堂等新式学堂；</w:t>
            </w:r>
          </w:p>
          <w:p w14:paraId="4B25F4B5">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2.了解早期改良派的教育主张与维新派的教育实践；正确认识“百日维新”及清末新政中的教育改革；</w:t>
            </w:r>
          </w:p>
          <w:p w14:paraId="0A2993C8">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3.了解留学教育的发展情况；掌握起步时期的幼童留美、派遣留欧以及后期的留日教育、“庚款兴学”与留美教育；</w:t>
            </w:r>
          </w:p>
          <w:p w14:paraId="781712D4">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4.了解民国初年的教育改革；正确认识民国教育方针；</w:t>
            </w:r>
          </w:p>
          <w:p w14:paraId="283A518B">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5.了解新文化运动时期和20世纪20年代的教育改革运动以及教会教育的扩张与收回教育权运动；</w:t>
            </w:r>
          </w:p>
          <w:p w14:paraId="60570528">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6.了解新民主主义教育提出的背景，正确认识新学制。</w:t>
            </w:r>
          </w:p>
        </w:tc>
        <w:tc>
          <w:tcPr>
            <w:tcW w:w="963" w:type="dxa"/>
            <w:vAlign w:val="center"/>
          </w:tcPr>
          <w:p w14:paraId="056DAA33">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5B2711C2">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4E13844">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4F3834AF">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435F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42" w:type="dxa"/>
            <w:vMerge w:val="continue"/>
            <w:vAlign w:val="center"/>
          </w:tcPr>
          <w:p w14:paraId="463A65ED">
            <w:pPr>
              <w:adjustRightInd w:val="0"/>
              <w:snapToGrid w:val="0"/>
              <w:spacing w:line="312" w:lineRule="auto"/>
              <w:jc w:val="center"/>
              <w:rPr>
                <w:rFonts w:hint="eastAsia" w:ascii="宋体" w:hAnsi="宋体" w:eastAsia="宋体" w:cs="Times New Roman"/>
                <w:color w:val="000000"/>
                <w:szCs w:val="21"/>
              </w:rPr>
            </w:pPr>
          </w:p>
        </w:tc>
        <w:tc>
          <w:tcPr>
            <w:tcW w:w="8556" w:type="dxa"/>
            <w:gridSpan w:val="5"/>
            <w:vAlign w:val="center"/>
          </w:tcPr>
          <w:p w14:paraId="49650439">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运用辩证唯物主义和历史唯物主义的思想方法，在了解清末封建制度的衰朽、教育内容的空疏、学校教育的衰废以及西方列强的入侵以及地主阶级改革派、洋务派、维新派、资产阶级革命派等所进行的教育救国行动基础上，理解爱国人士为国家教育发展所做出的努力与贡献，激发学生的民族精神和爱国情怀，进一步理解教育强国、人才强国。</w:t>
            </w:r>
          </w:p>
        </w:tc>
      </w:tr>
      <w:tr w14:paraId="63D8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4DEF50F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3.中国现代教育制度的发展演变</w:t>
            </w:r>
          </w:p>
        </w:tc>
        <w:tc>
          <w:tcPr>
            <w:tcW w:w="1522" w:type="dxa"/>
            <w:vAlign w:val="center"/>
          </w:tcPr>
          <w:p w14:paraId="7101394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（1）南京国民政府时期的教育</w:t>
            </w:r>
          </w:p>
          <w:p w14:paraId="56FFC2D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（2）中国共产党领导下的革命根据地教育</w:t>
            </w:r>
          </w:p>
        </w:tc>
        <w:tc>
          <w:tcPr>
            <w:tcW w:w="1065" w:type="dxa"/>
            <w:vAlign w:val="center"/>
          </w:tcPr>
          <w:p w14:paraId="2CE3A99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34ED279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1.掌握“党化教育”到“三民主义教育”的变迁，了解“戊辰学制”相对于“壬戌学制”的变化，熟悉大学院制和大学区制的实施过程；</w:t>
            </w:r>
          </w:p>
          <w:p w14:paraId="0914DF1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2.了解新民主主义教育方针及其形成过程，掌握认识革命根据地的干部教育、群众教育，正确认识革命根据地教育的基本经验。</w:t>
            </w:r>
          </w:p>
        </w:tc>
        <w:tc>
          <w:tcPr>
            <w:tcW w:w="963" w:type="dxa"/>
            <w:vAlign w:val="center"/>
          </w:tcPr>
          <w:p w14:paraId="00BF4C47">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5DDE7E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6D158365">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6D5EAB21">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09AE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7323D607">
            <w:pPr>
              <w:spacing w:line="264" w:lineRule="auto"/>
              <w:jc w:val="center"/>
              <w:rPr>
                <w:rFonts w:hint="eastAsia" w:ascii="宋体" w:hAnsi="宋体" w:eastAsia="宋体" w:cs="Times New Roman"/>
                <w:color w:val="000000"/>
                <w:szCs w:val="21"/>
              </w:rPr>
            </w:pPr>
          </w:p>
        </w:tc>
        <w:tc>
          <w:tcPr>
            <w:tcW w:w="8556" w:type="dxa"/>
            <w:gridSpan w:val="5"/>
            <w:vAlign w:val="center"/>
          </w:tcPr>
          <w:p w14:paraId="40D6C0C8">
            <w:pPr>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认识到新民主主义教育纲领的确立，是中国共产党为广大劳动人民争取教育权、扩大教育普及、提升女性受教育权提供的制度保障；理解党领导和创立的革命干部学校，培养了大量的革命干部，为后期的革命运动播下了火种，培养了人才；体悟</w:t>
            </w:r>
            <w:r>
              <w:rPr>
                <w:rFonts w:hint="eastAsia" w:ascii="宋体" w:hAnsi="宋体" w:eastAsia="宋体" w:cs="Times New Roman"/>
                <w:color w:val="000000"/>
                <w:szCs w:val="21"/>
              </w:rPr>
              <w:t>中国共产党在现代教育发展中所起的领导作用以及革命根据地教育的重要影响，深厚爱国情怀、树立制度自信。</w:t>
            </w:r>
          </w:p>
        </w:tc>
      </w:tr>
      <w:tr w14:paraId="5048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071A7C2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4.先秦时期的教育思想</w:t>
            </w:r>
          </w:p>
        </w:tc>
        <w:tc>
          <w:tcPr>
            <w:tcW w:w="1522" w:type="dxa"/>
            <w:vAlign w:val="center"/>
          </w:tcPr>
          <w:p w14:paraId="1E18922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（1）孔子的教育思想</w:t>
            </w:r>
          </w:p>
          <w:p w14:paraId="2FAB69F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（2）孟子的教育思想</w:t>
            </w:r>
          </w:p>
          <w:p w14:paraId="5E0CD80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（3）荀子的教育思想</w:t>
            </w:r>
          </w:p>
          <w:p w14:paraId="2DC7B62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（4）墨子和墨家学派的教育思想</w:t>
            </w:r>
          </w:p>
          <w:p w14:paraId="61A4699C">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（5）《礼记》中的教育思想</w:t>
            </w:r>
          </w:p>
        </w:tc>
        <w:tc>
          <w:tcPr>
            <w:tcW w:w="1065" w:type="dxa"/>
            <w:vAlign w:val="center"/>
          </w:tcPr>
          <w:p w14:paraId="7B74654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3B5E4C4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1.掌握孔子的教育思想；</w:t>
            </w:r>
          </w:p>
          <w:p w14:paraId="2BA21B6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2.领会孟子、荀子关于教育的不同见解；</w:t>
            </w:r>
          </w:p>
          <w:p w14:paraId="050170A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3.了解墨家的科技教育思想；</w:t>
            </w:r>
          </w:p>
          <w:p w14:paraId="234B2EF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4.掌握《礼记》重点篇章中的教育思想；</w:t>
            </w:r>
          </w:p>
          <w:p w14:paraId="1655054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5.能够正确评价先秦教育家的教育思想、历史影响，认识其现代价值。</w:t>
            </w:r>
          </w:p>
        </w:tc>
        <w:tc>
          <w:tcPr>
            <w:tcW w:w="963" w:type="dxa"/>
            <w:vAlign w:val="center"/>
          </w:tcPr>
          <w:p w14:paraId="56B86F4D">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C92B622">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23623C66">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平时作业</w:t>
            </w:r>
          </w:p>
          <w:p w14:paraId="0AB3ED4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单元测验</w:t>
            </w:r>
          </w:p>
        </w:tc>
        <w:tc>
          <w:tcPr>
            <w:tcW w:w="438" w:type="dxa"/>
            <w:vAlign w:val="center"/>
          </w:tcPr>
          <w:p w14:paraId="33A15BB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353C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7883E99C">
            <w:pPr>
              <w:spacing w:line="276" w:lineRule="auto"/>
              <w:jc w:val="center"/>
              <w:rPr>
                <w:rFonts w:hint="eastAsia" w:ascii="宋体" w:hAnsi="宋体" w:eastAsia="宋体" w:cs="Times New Roman"/>
                <w:color w:val="000000"/>
                <w:szCs w:val="21"/>
              </w:rPr>
            </w:pPr>
          </w:p>
        </w:tc>
        <w:tc>
          <w:tcPr>
            <w:tcW w:w="8556" w:type="dxa"/>
            <w:gridSpan w:val="5"/>
            <w:vAlign w:val="center"/>
          </w:tcPr>
          <w:p w14:paraId="77A5F889">
            <w:pPr>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通过学习先秦教育家的生平与教育实践，领会他们深厚的教育情怀，自觉</w:t>
            </w:r>
            <w:r>
              <w:rPr>
                <w:rFonts w:hint="eastAsia" w:ascii="宋体" w:hAnsi="宋体" w:eastAsia="宋体" w:cs="Times New Roman"/>
                <w:color w:val="000000"/>
                <w:szCs w:val="21"/>
              </w:rPr>
              <w:t>以教育家为榜样，忠诚人民教育事业，坚定成为“四个引路人”“四有好老师”“大先生”的理想信念；认识到教育家、教育著作提出的教育思想观点，体现了强国兴邦重在人才，人才兴邦重在教育，教育发展靠教师，古代要培养的人才均是德才兼备的，德是首要素养，自觉落实立德树人根本任务，坚持为党育人、为国育才，培养担当民族复兴大任的时代新人；认识到中国古代虽然没有系统的教育理论，但却有着丰富的教育思想，已经覆盖了教育原理学科的所有范畴，中国在教育学的发展历程中并没有缺席，为世界教育学的发展做出了重要贡献，值得每一位中国人为之骄傲和自豪，树立文化自信，增强民族自豪感。</w:t>
            </w:r>
          </w:p>
        </w:tc>
      </w:tr>
      <w:tr w14:paraId="4A9E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6EB2C92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5.秦汉魏晋南北朝时期的教育思想</w:t>
            </w:r>
          </w:p>
        </w:tc>
        <w:tc>
          <w:tcPr>
            <w:tcW w:w="1522" w:type="dxa"/>
            <w:vAlign w:val="center"/>
          </w:tcPr>
          <w:p w14:paraId="5BDBDEA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（1）董仲舒的教育思想</w:t>
            </w:r>
          </w:p>
          <w:p w14:paraId="1CF934F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（2）王充的教育思想</w:t>
            </w:r>
          </w:p>
          <w:p w14:paraId="1F72879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（3）颜之推的教育思想</w:t>
            </w:r>
          </w:p>
        </w:tc>
        <w:tc>
          <w:tcPr>
            <w:tcW w:w="1065" w:type="dxa"/>
            <w:vAlign w:val="center"/>
          </w:tcPr>
          <w:p w14:paraId="07C919E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48F38F8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1.理解并掌握董仲舒的主要教育思想及其现实意义；</w:t>
            </w:r>
          </w:p>
          <w:p w14:paraId="42D61B5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2.理解并掌握王充的主要教育思想及其现实意义；</w:t>
            </w:r>
          </w:p>
          <w:p w14:paraId="2AE4992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3.正确认识颜之推的家庭教育思想及其现代意义。</w:t>
            </w:r>
          </w:p>
        </w:tc>
        <w:tc>
          <w:tcPr>
            <w:tcW w:w="963" w:type="dxa"/>
            <w:vAlign w:val="center"/>
          </w:tcPr>
          <w:p w14:paraId="1ED422E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B4B67B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26D7682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30C32CE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2C0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40D930F4">
            <w:pPr>
              <w:spacing w:line="276" w:lineRule="auto"/>
              <w:jc w:val="center"/>
              <w:rPr>
                <w:rFonts w:hint="eastAsia" w:ascii="宋体" w:hAnsi="宋体" w:eastAsia="宋体" w:cs="Times New Roman"/>
                <w:color w:val="000000"/>
                <w:szCs w:val="21"/>
              </w:rPr>
            </w:pPr>
          </w:p>
        </w:tc>
        <w:tc>
          <w:tcPr>
            <w:tcW w:w="8556" w:type="dxa"/>
            <w:gridSpan w:val="5"/>
            <w:vAlign w:val="center"/>
          </w:tcPr>
          <w:p w14:paraId="6737CCFE">
            <w:pPr>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理解教育家的思想，巩固专业思想，乐于从教；</w:t>
            </w:r>
            <w:r>
              <w:rPr>
                <w:rFonts w:hint="eastAsia" w:ascii="宋体" w:hAnsi="宋体" w:eastAsia="宋体" w:cs="Times New Roman"/>
                <w:color w:val="000000"/>
                <w:szCs w:val="21"/>
              </w:rPr>
              <w:t>继承祖国优秀教育遗产，如《颜氏家训》是世界上第一本系统全面的家教著作，从而增强民族自尊心和自信心。</w:t>
            </w:r>
          </w:p>
        </w:tc>
      </w:tr>
      <w:tr w14:paraId="1228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7C3E722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6.隋唐宋元明清时期的教育思想</w:t>
            </w:r>
          </w:p>
        </w:tc>
        <w:tc>
          <w:tcPr>
            <w:tcW w:w="1522" w:type="dxa"/>
            <w:vAlign w:val="center"/>
          </w:tcPr>
          <w:p w14:paraId="02AD338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（1）韩愈的教育思想</w:t>
            </w:r>
          </w:p>
          <w:p w14:paraId="499DBBB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（2）朱熹的教育思想</w:t>
            </w:r>
          </w:p>
          <w:p w14:paraId="433681B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（3）王守仁的教育思想</w:t>
            </w:r>
          </w:p>
          <w:p w14:paraId="1D1B497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（4）颜元的教育思想</w:t>
            </w:r>
          </w:p>
        </w:tc>
        <w:tc>
          <w:tcPr>
            <w:tcW w:w="1065" w:type="dxa"/>
            <w:vAlign w:val="center"/>
          </w:tcPr>
          <w:p w14:paraId="3ADDF0A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6F655C9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1.掌握韩愈的教师思想；</w:t>
            </w:r>
          </w:p>
          <w:p w14:paraId="1E9E736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2.理解并掌握朱熹的教育思想及其现实意义；</w:t>
            </w:r>
          </w:p>
          <w:p w14:paraId="3FBE598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3.理解并掌握王守仁的教育思想及其现实意义；</w:t>
            </w:r>
          </w:p>
          <w:p w14:paraId="047DC72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4.掌握颜元“实德实才”的培养目标、“六斋”与“实学”的教育内容以及“习行”的教学方法。</w:t>
            </w:r>
          </w:p>
        </w:tc>
        <w:tc>
          <w:tcPr>
            <w:tcW w:w="963" w:type="dxa"/>
            <w:vAlign w:val="center"/>
          </w:tcPr>
          <w:p w14:paraId="684E93C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987833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4EC0E97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9C9149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B9C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306E7F9E">
            <w:pPr>
              <w:spacing w:line="276" w:lineRule="auto"/>
              <w:jc w:val="center"/>
              <w:rPr>
                <w:rFonts w:hint="eastAsia" w:ascii="宋体" w:hAnsi="宋体" w:eastAsia="宋体" w:cs="Times New Roman"/>
                <w:color w:val="000000"/>
                <w:szCs w:val="21"/>
              </w:rPr>
            </w:pPr>
          </w:p>
        </w:tc>
        <w:tc>
          <w:tcPr>
            <w:tcW w:w="8556" w:type="dxa"/>
            <w:gridSpan w:val="5"/>
            <w:vAlign w:val="center"/>
          </w:tcPr>
          <w:p w14:paraId="1A229436">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了解教育思想演变过程的基础上，教育引导学生传承中华优秀教育遗产，弘扬以爱国主义为核心的民族精神和以改革创新为核心的时代精神；以教育家为榜样，忠诚人民教育事业，进一步巩固专业思想，具有为了中华民族的复兴，为了培养全面发展的社会主义建设者和接班人投身小学教育事业的职业理想。</w:t>
            </w:r>
          </w:p>
        </w:tc>
      </w:tr>
      <w:tr w14:paraId="51EC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0260A3EB">
            <w:pPr>
              <w:spacing w:line="276" w:lineRule="auto"/>
              <w:jc w:val="center"/>
              <w:rPr>
                <w:rFonts w:hint="eastAsia" w:ascii="宋体" w:hAnsi="宋体" w:eastAsia="宋体" w:cs="Times New Roman"/>
                <w:szCs w:val="21"/>
              </w:rPr>
            </w:pPr>
            <w:r>
              <w:rPr>
                <w:rFonts w:hint="eastAsia" w:ascii="宋体" w:hAnsi="宋体" w:eastAsia="宋体" w:cs="Times New Roman"/>
                <w:szCs w:val="21"/>
              </w:rPr>
              <w:t>7.中国近代教育思想</w:t>
            </w:r>
          </w:p>
        </w:tc>
        <w:tc>
          <w:tcPr>
            <w:tcW w:w="1522" w:type="dxa"/>
            <w:vAlign w:val="center"/>
          </w:tcPr>
          <w:p w14:paraId="507D1B2D">
            <w:pPr>
              <w:spacing w:line="276" w:lineRule="auto"/>
              <w:jc w:val="left"/>
              <w:rPr>
                <w:rFonts w:hint="eastAsia" w:ascii="宋体" w:hAnsi="宋体" w:eastAsia="宋体" w:cs="Times New Roman"/>
                <w:szCs w:val="21"/>
              </w:rPr>
            </w:pPr>
            <w:r>
              <w:rPr>
                <w:rFonts w:hint="eastAsia" w:ascii="宋体" w:hAnsi="宋体" w:eastAsia="宋体" w:cs="Times New Roman"/>
                <w:szCs w:val="21"/>
              </w:rPr>
              <w:t>（1）张之洞的教育思想</w:t>
            </w:r>
          </w:p>
          <w:p w14:paraId="6A887F04">
            <w:pPr>
              <w:spacing w:line="276" w:lineRule="auto"/>
              <w:jc w:val="left"/>
              <w:rPr>
                <w:rFonts w:hint="eastAsia" w:ascii="宋体" w:hAnsi="宋体" w:eastAsia="宋体" w:cs="Times New Roman"/>
                <w:szCs w:val="21"/>
              </w:rPr>
            </w:pPr>
            <w:r>
              <w:rPr>
                <w:rFonts w:hint="eastAsia" w:ascii="宋体" w:hAnsi="宋体" w:eastAsia="宋体" w:cs="Times New Roman"/>
                <w:szCs w:val="21"/>
              </w:rPr>
              <w:t>（2）康有为的教育思想</w:t>
            </w:r>
          </w:p>
          <w:p w14:paraId="117D9BFD">
            <w:pPr>
              <w:spacing w:line="276" w:lineRule="auto"/>
              <w:jc w:val="left"/>
              <w:rPr>
                <w:rFonts w:hint="eastAsia" w:ascii="宋体" w:hAnsi="宋体" w:eastAsia="宋体" w:cs="Times New Roman"/>
                <w:szCs w:val="21"/>
              </w:rPr>
            </w:pPr>
            <w:r>
              <w:rPr>
                <w:rFonts w:hint="eastAsia" w:ascii="宋体" w:hAnsi="宋体" w:eastAsia="宋体" w:cs="Times New Roman"/>
                <w:szCs w:val="21"/>
              </w:rPr>
              <w:t>（3）梁启超的教育思想</w:t>
            </w:r>
          </w:p>
          <w:p w14:paraId="1AD60317">
            <w:pPr>
              <w:spacing w:line="276" w:lineRule="auto"/>
              <w:jc w:val="left"/>
              <w:rPr>
                <w:rFonts w:hint="eastAsia" w:ascii="宋体" w:hAnsi="宋体" w:eastAsia="宋体" w:cs="Times New Roman"/>
                <w:szCs w:val="21"/>
              </w:rPr>
            </w:pPr>
            <w:r>
              <w:rPr>
                <w:rFonts w:hint="eastAsia" w:ascii="宋体" w:hAnsi="宋体" w:eastAsia="宋体" w:cs="Times New Roman"/>
                <w:szCs w:val="21"/>
              </w:rPr>
              <w:t>（4）蔡元培的教育思想</w:t>
            </w:r>
          </w:p>
        </w:tc>
        <w:tc>
          <w:tcPr>
            <w:tcW w:w="1065" w:type="dxa"/>
            <w:vAlign w:val="center"/>
          </w:tcPr>
          <w:p w14:paraId="1F415C7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2984927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（1）掌握“中体西用”思想的形成和发展，能够正确认识“中体西用”的历史作用与局限； </w:t>
            </w:r>
          </w:p>
          <w:p w14:paraId="5DF41EF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（2）掌握康有为《大同书》中的教育理想； </w:t>
            </w:r>
          </w:p>
          <w:p w14:paraId="7955095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 xml:space="preserve">正确理解梁启超关于“开民智”“伸民权”与教育作用、培养“新民”的教育目的、学制、论、师范教育、女子教育和儿童教育的相关思想； </w:t>
            </w:r>
          </w:p>
          <w:p w14:paraId="4E53B14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深刻理解蔡元培“五育”并举的教育方针、对北京大学的教育改革实践以及教育独立的思想。</w:t>
            </w:r>
          </w:p>
        </w:tc>
        <w:tc>
          <w:tcPr>
            <w:tcW w:w="963" w:type="dxa"/>
            <w:vAlign w:val="center"/>
          </w:tcPr>
          <w:p w14:paraId="7BC5FCC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57FAA1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DAD5D5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4.平时作业</w:t>
            </w:r>
          </w:p>
          <w:p w14:paraId="3EE1DD5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.单元测验</w:t>
            </w:r>
          </w:p>
        </w:tc>
        <w:tc>
          <w:tcPr>
            <w:tcW w:w="438" w:type="dxa"/>
            <w:vAlign w:val="center"/>
          </w:tcPr>
          <w:p w14:paraId="79F5488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7181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0557B976">
            <w:pPr>
              <w:spacing w:line="276" w:lineRule="auto"/>
              <w:jc w:val="center"/>
              <w:rPr>
                <w:rFonts w:hint="eastAsia" w:ascii="宋体" w:hAnsi="宋体" w:eastAsia="宋体" w:cs="Times New Roman"/>
                <w:color w:val="000000"/>
                <w:szCs w:val="21"/>
              </w:rPr>
            </w:pPr>
          </w:p>
        </w:tc>
        <w:tc>
          <w:tcPr>
            <w:tcW w:w="8556" w:type="dxa"/>
            <w:gridSpan w:val="5"/>
            <w:vAlign w:val="center"/>
          </w:tcPr>
          <w:p w14:paraId="117285BD">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在深刻领会近代教育家们们</w:t>
            </w:r>
            <w:r>
              <w:rPr>
                <w:rFonts w:hint="eastAsia" w:ascii="宋体" w:hAnsi="宋体" w:eastAsia="宋体" w:cs="Times New Roman"/>
                <w:color w:val="000000"/>
                <w:szCs w:val="21"/>
              </w:rPr>
              <w:t>教育强国、教育救国的教育实践的基础上，理解教育先行的教育战略；领会为党育人、为国育才的育人目标；坚持守正创新；落实立德树人教育根本任务；重视美育的价值，丰富人民精神世界以推进中国式现代化。</w:t>
            </w:r>
          </w:p>
        </w:tc>
      </w:tr>
      <w:tr w14:paraId="6402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0A8E24A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8.中国现代教育思想</w:t>
            </w:r>
          </w:p>
        </w:tc>
        <w:tc>
          <w:tcPr>
            <w:tcW w:w="1522" w:type="dxa"/>
            <w:vAlign w:val="center"/>
          </w:tcPr>
          <w:p w14:paraId="0A2150D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（1）陶行知的生活教育思想</w:t>
            </w:r>
          </w:p>
          <w:p w14:paraId="3B26519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（2）黄炎培的职业教育思想</w:t>
            </w:r>
          </w:p>
          <w:p w14:paraId="48141A3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（3）陈鹤琴的活教育思想</w:t>
            </w:r>
          </w:p>
          <w:p w14:paraId="463F8BF3">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（4）晏阳初的平民教育思想</w:t>
            </w:r>
          </w:p>
          <w:p w14:paraId="0EE8B17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（5）梁漱溟的乡村教育思想</w:t>
            </w:r>
          </w:p>
        </w:tc>
        <w:tc>
          <w:tcPr>
            <w:tcW w:w="1065" w:type="dxa"/>
            <w:vAlign w:val="center"/>
          </w:tcPr>
          <w:p w14:paraId="0FEBC61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631B473B">
            <w:pPr>
              <w:numPr>
                <w:ilvl w:val="0"/>
                <w:numId w:val="42"/>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了解陶行知的“生活教育”实践：正确认识晓庄学校、山海工学团、“小先生制”、育才学校的影响，掌握“生活教育”理论体系；</w:t>
            </w:r>
          </w:p>
          <w:p w14:paraId="28888B56">
            <w:pPr>
              <w:numPr>
                <w:ilvl w:val="0"/>
                <w:numId w:val="42"/>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了解黄炎培对职业教育的探索；理解其提倡的“学校采用实用主义”，掌握其职业教育思想体系；</w:t>
            </w:r>
          </w:p>
          <w:p w14:paraId="1956211C">
            <w:pPr>
              <w:numPr>
                <w:ilvl w:val="0"/>
                <w:numId w:val="42"/>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了解陈鹤琴幼儿教育和儿童教育探索及“活教育”实验，掌握“活教育”理论体系；</w:t>
            </w:r>
          </w:p>
          <w:p w14:paraId="1840F1DC">
            <w:pPr>
              <w:numPr>
                <w:ilvl w:val="0"/>
                <w:numId w:val="42"/>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了解晏阳初定县调查与对中国农村问题的分析，掌握“四大教育”“三大方式”“化农民”与“农民化”的相关主张；</w:t>
            </w:r>
          </w:p>
          <w:p w14:paraId="0E8B51BA">
            <w:pPr>
              <w:numPr>
                <w:ilvl w:val="0"/>
                <w:numId w:val="42"/>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掌握梁漱溟</w:t>
            </w:r>
            <w:r>
              <w:rPr>
                <w:rFonts w:ascii="宋体" w:hAnsi="宋体" w:eastAsia="宋体" w:cs="Times New Roman"/>
                <w:color w:val="000000"/>
                <w:szCs w:val="21"/>
              </w:rPr>
              <w:t>乡村建设和乡村教育理论</w:t>
            </w:r>
            <w:r>
              <w:rPr>
                <w:rFonts w:hint="eastAsia" w:ascii="宋体" w:hAnsi="宋体" w:eastAsia="宋体" w:cs="Times New Roman"/>
                <w:color w:val="000000"/>
                <w:szCs w:val="21"/>
              </w:rPr>
              <w:t>。</w:t>
            </w:r>
          </w:p>
        </w:tc>
        <w:tc>
          <w:tcPr>
            <w:tcW w:w="963" w:type="dxa"/>
            <w:vAlign w:val="center"/>
          </w:tcPr>
          <w:p w14:paraId="11CB0704">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4D8F201">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1C8EA22">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3CABEB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9BD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4BA2356A">
            <w:pPr>
              <w:spacing w:line="264" w:lineRule="auto"/>
              <w:jc w:val="center"/>
              <w:rPr>
                <w:rFonts w:hint="eastAsia" w:ascii="宋体" w:hAnsi="宋体" w:eastAsia="宋体" w:cs="Times New Roman"/>
                <w:color w:val="000000"/>
                <w:szCs w:val="21"/>
              </w:rPr>
            </w:pPr>
          </w:p>
        </w:tc>
        <w:tc>
          <w:tcPr>
            <w:tcW w:w="8556" w:type="dxa"/>
            <w:gridSpan w:val="5"/>
            <w:vAlign w:val="center"/>
          </w:tcPr>
          <w:p w14:paraId="28E81015">
            <w:pPr>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学习黄炎培、陈鹤琴、陶行知等教育家的教育思想及教育实践，树立教育情怀，坚定教育信念、文化自信，自觉以教育家为榜样，忠诚人民教育事业，进一步巩固专业思想，具有为了中华民族的复兴，为了培养全面发展的社会主义建设者和接班人投身小学教育事业的职业理想。</w:t>
            </w:r>
          </w:p>
        </w:tc>
      </w:tr>
    </w:tbl>
    <w:p w14:paraId="2D2F956C">
      <w:pPr>
        <w:spacing w:before="156" w:before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4"/>
        </w:rPr>
        <w:t>四、目标评价与成绩评定</w:t>
      </w:r>
    </w:p>
    <w:p w14:paraId="1584090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55B459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98A330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631"/>
        <w:gridCol w:w="1358"/>
        <w:gridCol w:w="1762"/>
        <w:gridCol w:w="1669"/>
        <w:gridCol w:w="1140"/>
      </w:tblGrid>
      <w:tr w14:paraId="210A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65D3BC8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420" w:type="dxa"/>
            <w:gridSpan w:val="4"/>
            <w:vAlign w:val="center"/>
          </w:tcPr>
          <w:p w14:paraId="06F54B7C">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0B5D9ADC">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54FE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2D429AE1">
            <w:pPr>
              <w:spacing w:line="360" w:lineRule="auto"/>
              <w:jc w:val="center"/>
              <w:rPr>
                <w:rFonts w:hint="eastAsia" w:ascii="宋体" w:hAnsi="宋体" w:eastAsia="宋体" w:cs="Times New Roman"/>
                <w:szCs w:val="21"/>
              </w:rPr>
            </w:pPr>
          </w:p>
        </w:tc>
        <w:tc>
          <w:tcPr>
            <w:tcW w:w="1631" w:type="dxa"/>
            <w:vAlign w:val="center"/>
          </w:tcPr>
          <w:p w14:paraId="6F3C6587">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358" w:type="dxa"/>
            <w:vAlign w:val="center"/>
          </w:tcPr>
          <w:p w14:paraId="7B0FEA4B">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762" w:type="dxa"/>
            <w:vAlign w:val="center"/>
          </w:tcPr>
          <w:p w14:paraId="2C9C41FF">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1669" w:type="dxa"/>
            <w:vAlign w:val="center"/>
          </w:tcPr>
          <w:p w14:paraId="019CAC22">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140" w:type="dxa"/>
            <w:vMerge w:val="continue"/>
            <w:vAlign w:val="center"/>
          </w:tcPr>
          <w:p w14:paraId="72843551">
            <w:pPr>
              <w:spacing w:line="360" w:lineRule="auto"/>
              <w:jc w:val="center"/>
              <w:rPr>
                <w:rFonts w:hint="eastAsia" w:ascii="宋体" w:hAnsi="宋体" w:eastAsia="宋体" w:cs="Times New Roman"/>
                <w:szCs w:val="21"/>
              </w:rPr>
            </w:pPr>
          </w:p>
        </w:tc>
      </w:tr>
      <w:tr w14:paraId="1506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3DF456F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631" w:type="dxa"/>
            <w:vAlign w:val="center"/>
          </w:tcPr>
          <w:p w14:paraId="61B86C9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58" w:type="dxa"/>
            <w:vAlign w:val="center"/>
          </w:tcPr>
          <w:p w14:paraId="7B2B8FA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2" w:type="dxa"/>
            <w:vAlign w:val="center"/>
          </w:tcPr>
          <w:p w14:paraId="513425C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69" w:type="dxa"/>
            <w:vAlign w:val="center"/>
          </w:tcPr>
          <w:p w14:paraId="589B4C2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58C4E807">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12C2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C7B514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631" w:type="dxa"/>
            <w:vAlign w:val="center"/>
          </w:tcPr>
          <w:p w14:paraId="11E8EDA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58" w:type="dxa"/>
            <w:vAlign w:val="center"/>
          </w:tcPr>
          <w:p w14:paraId="2FF2CF2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2" w:type="dxa"/>
            <w:vAlign w:val="center"/>
          </w:tcPr>
          <w:p w14:paraId="1100F132">
            <w:pPr>
              <w:spacing w:line="360" w:lineRule="auto"/>
              <w:jc w:val="center"/>
              <w:rPr>
                <w:rFonts w:hint="eastAsia" w:ascii="宋体" w:hAnsi="宋体" w:eastAsia="宋体" w:cs="Times New Roman"/>
                <w:szCs w:val="21"/>
              </w:rPr>
            </w:pPr>
          </w:p>
        </w:tc>
        <w:tc>
          <w:tcPr>
            <w:tcW w:w="1669" w:type="dxa"/>
            <w:vAlign w:val="center"/>
          </w:tcPr>
          <w:p w14:paraId="6C31B43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49DBDD3A">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7CA3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56D5687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631" w:type="dxa"/>
            <w:vAlign w:val="center"/>
          </w:tcPr>
          <w:p w14:paraId="5416683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58" w:type="dxa"/>
            <w:vAlign w:val="center"/>
          </w:tcPr>
          <w:p w14:paraId="7AA7DF0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2" w:type="dxa"/>
            <w:vAlign w:val="center"/>
          </w:tcPr>
          <w:p w14:paraId="1524682A">
            <w:pPr>
              <w:spacing w:line="360" w:lineRule="auto"/>
              <w:jc w:val="center"/>
              <w:rPr>
                <w:rFonts w:hint="eastAsia" w:ascii="宋体" w:hAnsi="宋体" w:eastAsia="宋体" w:cs="Times New Roman"/>
                <w:szCs w:val="21"/>
              </w:rPr>
            </w:pPr>
          </w:p>
        </w:tc>
        <w:tc>
          <w:tcPr>
            <w:tcW w:w="1669" w:type="dxa"/>
            <w:vAlign w:val="center"/>
          </w:tcPr>
          <w:p w14:paraId="30BCCB8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55D8E3B1">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A52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35280A40">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631" w:type="dxa"/>
            <w:vAlign w:val="center"/>
          </w:tcPr>
          <w:p w14:paraId="5C1E09CC">
            <w:pPr>
              <w:spacing w:line="360" w:lineRule="auto"/>
              <w:jc w:val="center"/>
              <w:rPr>
                <w:rFonts w:hint="eastAsia" w:ascii="宋体" w:hAnsi="宋体" w:eastAsia="宋体" w:cs="Times New Roman"/>
                <w:szCs w:val="21"/>
              </w:rPr>
            </w:pPr>
          </w:p>
        </w:tc>
        <w:tc>
          <w:tcPr>
            <w:tcW w:w="1358" w:type="dxa"/>
            <w:vAlign w:val="center"/>
          </w:tcPr>
          <w:p w14:paraId="076ABB11">
            <w:pPr>
              <w:spacing w:line="360" w:lineRule="auto"/>
              <w:jc w:val="center"/>
              <w:rPr>
                <w:rFonts w:hint="eastAsia" w:ascii="宋体" w:hAnsi="宋体" w:eastAsia="宋体" w:cs="Times New Roman"/>
                <w:szCs w:val="21"/>
              </w:rPr>
            </w:pPr>
          </w:p>
        </w:tc>
        <w:tc>
          <w:tcPr>
            <w:tcW w:w="1762" w:type="dxa"/>
            <w:vAlign w:val="center"/>
          </w:tcPr>
          <w:p w14:paraId="24973A7E">
            <w:pPr>
              <w:spacing w:line="360" w:lineRule="auto"/>
              <w:jc w:val="center"/>
              <w:rPr>
                <w:rFonts w:hint="eastAsia" w:ascii="宋体" w:hAnsi="宋体" w:eastAsia="宋体" w:cs="Times New Roman"/>
                <w:szCs w:val="21"/>
              </w:rPr>
            </w:pPr>
          </w:p>
        </w:tc>
        <w:tc>
          <w:tcPr>
            <w:tcW w:w="1669" w:type="dxa"/>
            <w:vAlign w:val="center"/>
          </w:tcPr>
          <w:p w14:paraId="58ABB9E8">
            <w:pPr>
              <w:spacing w:line="360" w:lineRule="auto"/>
              <w:jc w:val="center"/>
              <w:rPr>
                <w:rFonts w:hint="eastAsia" w:ascii="宋体" w:hAnsi="宋体" w:eastAsia="宋体" w:cs="Times New Roman"/>
                <w:szCs w:val="21"/>
              </w:rPr>
            </w:pPr>
          </w:p>
        </w:tc>
        <w:tc>
          <w:tcPr>
            <w:tcW w:w="1140" w:type="dxa"/>
            <w:vAlign w:val="center"/>
          </w:tcPr>
          <w:p w14:paraId="4F07D3B8">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B2B825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F3414E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C12BED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1136"/>
      </w:tblGrid>
      <w:tr w14:paraId="6E2D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62FADD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E2D27B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136" w:type="dxa"/>
            <w:vAlign w:val="center"/>
          </w:tcPr>
          <w:p w14:paraId="25594EB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632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4D5D6A4">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A982E6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是对选士取士制度的评述；二是对先秦教育家某一思想或某一先秦教育家思想的评述；三是对近代某一教育家思想的评述。以小论文的形式完成，以规范性、逻辑性、创新性及整洁性为评分的主要依据。</w:t>
            </w:r>
          </w:p>
        </w:tc>
        <w:tc>
          <w:tcPr>
            <w:tcW w:w="1136" w:type="dxa"/>
            <w:vAlign w:val="center"/>
          </w:tcPr>
          <w:p w14:paraId="2B39745F">
            <w:pPr>
              <w:jc w:val="center"/>
              <w:rPr>
                <w:rFonts w:ascii="Times New Roman" w:hAnsi="Times New Roman" w:eastAsia="宋体" w:cs="Times New Roman"/>
                <w:szCs w:val="21"/>
              </w:rPr>
            </w:pPr>
            <w:r>
              <w:rPr>
                <w:rFonts w:hint="eastAsia" w:ascii="Times New Roman" w:hAnsi="Times New Roman" w:eastAsia="宋体" w:cs="Times New Roman"/>
                <w:szCs w:val="21"/>
              </w:rPr>
              <w:t>15%</w:t>
            </w:r>
          </w:p>
        </w:tc>
      </w:tr>
      <w:tr w14:paraId="60C4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E2F34CD">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540974D0">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09D32F53">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1136" w:type="dxa"/>
            <w:vAlign w:val="center"/>
          </w:tcPr>
          <w:p w14:paraId="05CB3BE0">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4505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81742A1">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2F6402F1">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每单元在线上进行测验，主要考查基础知识和基本理论的掌握，以题目的正确率为得分依据。</w:t>
            </w:r>
          </w:p>
        </w:tc>
        <w:tc>
          <w:tcPr>
            <w:tcW w:w="1136" w:type="dxa"/>
            <w:vAlign w:val="center"/>
          </w:tcPr>
          <w:p w14:paraId="2AD1931F">
            <w:pPr>
              <w:jc w:val="center"/>
              <w:rPr>
                <w:rFonts w:ascii="Times New Roman" w:hAnsi="Times New Roman" w:eastAsia="宋体" w:cs="Times New Roman"/>
                <w:szCs w:val="21"/>
              </w:rPr>
            </w:pPr>
            <w:r>
              <w:rPr>
                <w:rFonts w:hint="eastAsia" w:ascii="Times New Roman" w:hAnsi="Times New Roman" w:eastAsia="宋体" w:cs="Times New Roman"/>
                <w:szCs w:val="21"/>
              </w:rPr>
              <w:t>15%</w:t>
            </w:r>
          </w:p>
        </w:tc>
      </w:tr>
      <w:tr w14:paraId="3459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AEC8C91">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FD940A3">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对教育史实理解和掌握的题目占4</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%；考核学生理解和运用教育思想分析问题的题型占6</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1136" w:type="dxa"/>
            <w:vAlign w:val="center"/>
          </w:tcPr>
          <w:p w14:paraId="3C917C44">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6F42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6A35C9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424B1AD">
            <w:pPr>
              <w:jc w:val="left"/>
              <w:rPr>
                <w:rFonts w:ascii="Times New Roman" w:hAnsi="Times New Roman" w:eastAsia="宋体" w:cs="Times New Roman"/>
                <w:szCs w:val="21"/>
              </w:rPr>
            </w:pPr>
          </w:p>
        </w:tc>
        <w:tc>
          <w:tcPr>
            <w:tcW w:w="1136" w:type="dxa"/>
            <w:vAlign w:val="center"/>
          </w:tcPr>
          <w:p w14:paraId="1EC10DFF">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A5E825E">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46BC4EB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1242136">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color w:val="000000"/>
          <w:szCs w:val="21"/>
        </w:rPr>
        <w:object>
          <v:shape id="_x0000_i1040"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40" DrawAspect="Content" ObjectID="_1468075740" r:id="rId25">
            <o:LockedField>false</o:LockedField>
          </o:OLEObject>
        </w:object>
      </w: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p>
    <w:p w14:paraId="221AFBF2">
      <w:pPr>
        <w:spacing w:line="360" w:lineRule="auto"/>
        <w:ind w:firstLine="480" w:firstLineChars="200"/>
        <w:jc w:val="left"/>
        <w:rPr>
          <w:rFonts w:hint="eastAsia" w:ascii="宋体" w:hAnsi="宋体" w:eastAsia="宋体" w:cs="Times New Roman"/>
          <w:bCs/>
          <w:color w:val="000000"/>
          <w:sz w:val="24"/>
        </w:rPr>
      </w:pPr>
      <w:r>
        <w:rPr>
          <w:rFonts w:hint="eastAsia" w:ascii="宋体" w:hAnsi="宋体" w:eastAsia="宋体" w:cs="Times New Roman"/>
          <w:bCs/>
          <w:color w:val="000000"/>
          <w:sz w:val="24"/>
        </w:rPr>
        <w:t>无</w:t>
      </w:r>
    </w:p>
    <w:p w14:paraId="004038E7">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3AD39C0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6316B06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78798C0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69FD95A6">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孙培青.</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中国教育史（第四版）.华东师范大学出版社，2</w:t>
      </w:r>
      <w:r>
        <w:rPr>
          <w:rFonts w:ascii="Times New Roman" w:hAnsi="Times New Roman" w:eastAsia="宋体" w:cs="Times New Roman"/>
          <w:bCs/>
          <w:color w:val="000000"/>
          <w:szCs w:val="21"/>
        </w:rPr>
        <w:t>019</w:t>
      </w:r>
      <w:r>
        <w:rPr>
          <w:rFonts w:hint="eastAsia" w:ascii="Times New Roman" w:hAnsi="Times New Roman" w:eastAsia="宋体" w:cs="Times New Roman"/>
          <w:bCs/>
          <w:color w:val="000000"/>
          <w:szCs w:val="21"/>
        </w:rPr>
        <w:t>.</w:t>
      </w:r>
    </w:p>
    <w:p w14:paraId="4062E8A2">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2D8354D6">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1.王炳照等.简明中国教育史. 北京：北京师范大学出版社，2018.</w:t>
      </w:r>
    </w:p>
    <w:p w14:paraId="225A623F">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2.孙培青.李国钧.中国教育思想史(第1-3卷).上海：华东师范大学出版社，1995.</w:t>
      </w:r>
    </w:p>
    <w:p w14:paraId="0077CFD3">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3.毛礼锐，沈灌群.中国教育通史(第1-6卷).济南：山东教育出版社，1985-1989.</w:t>
      </w:r>
    </w:p>
    <w:p w14:paraId="0F6C8954">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4.王炳照，阎国华.中国教育思想通史(第1-8卷).长沙：湖南教育出版社，1994.</w:t>
      </w:r>
    </w:p>
    <w:p w14:paraId="51DD0D6B">
      <w:pPr>
        <w:autoSpaceDE w:val="0"/>
        <w:autoSpaceDN w:val="0"/>
        <w:adjustRightInd w:val="0"/>
        <w:spacing w:line="360" w:lineRule="auto"/>
        <w:jc w:val="right"/>
        <w:rPr>
          <w:rFonts w:hint="eastAsia" w:ascii="宋体" w:hAnsi="宋体" w:eastAsia="宋体" w:cs="Times New Roman"/>
          <w:kern w:val="0"/>
          <w:sz w:val="24"/>
          <w:szCs w:val="21"/>
        </w:rPr>
      </w:pPr>
    </w:p>
    <w:p w14:paraId="2858A62A">
      <w:pPr>
        <w:autoSpaceDE w:val="0"/>
        <w:autoSpaceDN w:val="0"/>
        <w:adjustRightInd w:val="0"/>
        <w:spacing w:line="360" w:lineRule="auto"/>
        <w:jc w:val="right"/>
        <w:rPr>
          <w:rFonts w:hint="eastAsia" w:ascii="宋体" w:hAnsi="宋体" w:eastAsia="宋体" w:cs="Times New Roman"/>
          <w:kern w:val="0"/>
          <w:sz w:val="24"/>
          <w:szCs w:val="21"/>
        </w:rPr>
      </w:pPr>
    </w:p>
    <w:p w14:paraId="6BEB64C8">
      <w:pPr>
        <w:autoSpaceDE w:val="0"/>
        <w:autoSpaceDN w:val="0"/>
        <w:adjustRightInd w:val="0"/>
        <w:spacing w:line="360" w:lineRule="auto"/>
        <w:jc w:val="right"/>
        <w:rPr>
          <w:rFonts w:hint="eastAsia"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姚玉香</w:t>
      </w:r>
    </w:p>
    <w:p w14:paraId="40865075">
      <w:pPr>
        <w:autoSpaceDE w:val="0"/>
        <w:autoSpaceDN w:val="0"/>
        <w:adjustRightInd w:val="0"/>
        <w:spacing w:line="360" w:lineRule="auto"/>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审定人：王  健</w:t>
      </w:r>
    </w:p>
    <w:p w14:paraId="7BC95F75">
      <w:pPr>
        <w:autoSpaceDE w:val="0"/>
        <w:autoSpaceDN w:val="0"/>
        <w:adjustRightInd w:val="0"/>
        <w:spacing w:line="360" w:lineRule="auto"/>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77600C3A">
      <w:pPr>
        <w:jc w:val="right"/>
      </w:pPr>
      <w:r>
        <w:rPr>
          <w:rFonts w:hint="eastAsia" w:ascii="宋体" w:hAnsi="宋体" w:eastAsia="宋体" w:cs="Times New Roman"/>
          <w:kern w:val="0"/>
          <w:sz w:val="24"/>
          <w:szCs w:val="21"/>
        </w:rPr>
        <w:t>批准时间：2024年9月1日</w:t>
      </w:r>
    </w:p>
    <w:p w14:paraId="3AC20FAC">
      <w:pPr>
        <w:ind w:firstLine="5280" w:firstLineChars="2200"/>
        <w:rPr>
          <w:rFonts w:hint="eastAsia" w:ascii="等线" w:hAnsi="等线" w:eastAsia="等线" w:cs="Times New Roman"/>
        </w:rPr>
      </w:pPr>
      <w:r>
        <w:rPr>
          <w:rFonts w:hint="eastAsia"/>
          <w:sz w:val="24"/>
        </w:rPr>
        <w:br w:type="page"/>
      </w:r>
    </w:p>
    <w:p w14:paraId="41E0040A">
      <w:pPr>
        <w:pStyle w:val="2"/>
      </w:pPr>
      <w:bookmarkStart w:id="86" w:name="_Toc22723"/>
      <w:bookmarkStart w:id="87" w:name="_Toc57017173"/>
      <w:bookmarkStart w:id="88" w:name="_Toc15027"/>
      <w:bookmarkStart w:id="89" w:name="_Toc166164849"/>
      <w:r>
        <w:rPr>
          <w:rFonts w:hint="eastAsia"/>
        </w:rPr>
        <w:t>《外国教育史》课程与教学大纲</w:t>
      </w:r>
      <w:bookmarkEnd w:id="86"/>
      <w:bookmarkEnd w:id="87"/>
      <w:bookmarkEnd w:id="88"/>
      <w:bookmarkEnd w:id="89"/>
    </w:p>
    <w:p w14:paraId="4A07C335">
      <w:pPr>
        <w:spacing w:line="360" w:lineRule="auto"/>
        <w:jc w:val="center"/>
        <w:rPr>
          <w:rFonts w:ascii="Times New Roman" w:hAnsi="Times New Roman" w:eastAsia="黑体" w:cs="Times New Roman"/>
          <w:b/>
          <w:sz w:val="28"/>
          <w:szCs w:val="30"/>
        </w:rPr>
      </w:pPr>
      <w:r>
        <w:rPr>
          <w:rFonts w:ascii="Times New Roman" w:hAnsi="Times New Roman" w:eastAsia="黑体" w:cs="Times New Roman"/>
          <w:b/>
          <w:sz w:val="28"/>
          <w:szCs w:val="30"/>
        </w:rPr>
        <w:t>（History of Foreign Education）</w:t>
      </w:r>
    </w:p>
    <w:p w14:paraId="26D89E59">
      <w:pPr>
        <w:spacing w:line="360" w:lineRule="auto"/>
        <w:ind w:firstLine="562" w:firstLineChars="200"/>
        <w:rPr>
          <w:rFonts w:hint="eastAsia" w:ascii="宋体" w:hAnsi="宋体" w:eastAsia="宋体" w:cs="Times New Roman"/>
          <w:b/>
          <w:bCs/>
          <w:sz w:val="28"/>
          <w:szCs w:val="28"/>
        </w:rPr>
      </w:pPr>
      <w:bookmarkStart w:id="90" w:name="_Toc27847256"/>
      <w:bookmarkStart w:id="91" w:name="_Toc27846238"/>
      <w:r>
        <w:rPr>
          <w:rFonts w:hint="eastAsia" w:ascii="宋体" w:hAnsi="宋体" w:eastAsia="宋体" w:cs="Times New Roman"/>
          <w:b/>
          <w:bCs/>
          <w:sz w:val="28"/>
          <w:szCs w:val="28"/>
        </w:rPr>
        <w:t>一、课程概况</w:t>
      </w:r>
      <w:bookmarkEnd w:id="90"/>
      <w:bookmarkEnd w:id="91"/>
    </w:p>
    <w:p w14:paraId="5F3F8ADB">
      <w:pPr>
        <w:spacing w:line="360" w:lineRule="auto"/>
        <w:ind w:firstLine="482" w:firstLineChars="200"/>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课程代码</w:t>
      </w:r>
      <w:r>
        <w:rPr>
          <w:rFonts w:hint="eastAsia" w:ascii="宋体" w:hAnsi="宋体" w:eastAsia="宋体" w:cs="Times New Roman"/>
          <w:color w:val="000000"/>
          <w:kern w:val="0"/>
          <w:sz w:val="24"/>
        </w:rPr>
        <w:t>：</w:t>
      </w:r>
      <w:r>
        <w:rPr>
          <w:rFonts w:ascii="宋体" w:hAnsi="宋体" w:eastAsia="宋体" w:cs="Times New Roman"/>
          <w:color w:val="000000"/>
          <w:kern w:val="0"/>
          <w:sz w:val="24"/>
        </w:rPr>
        <w:t>2401007</w:t>
      </w:r>
    </w:p>
    <w:p w14:paraId="23BEDB30">
      <w:pPr>
        <w:spacing w:line="360" w:lineRule="auto"/>
        <w:ind w:firstLine="482" w:firstLineChars="200"/>
        <w:rPr>
          <w:rFonts w:hint="eastAsia" w:ascii="宋体" w:hAnsi="宋体" w:eastAsia="宋体" w:cs="Times New Roman"/>
          <w:b/>
          <w:color w:val="000000"/>
          <w:kern w:val="0"/>
          <w:sz w:val="24"/>
        </w:rPr>
      </w:pPr>
      <w:r>
        <w:rPr>
          <w:rFonts w:hint="eastAsia" w:ascii="宋体" w:hAnsi="宋体" w:eastAsia="宋体" w:cs="Times New Roman"/>
          <w:b/>
          <w:color w:val="000000"/>
          <w:kern w:val="0"/>
          <w:sz w:val="24"/>
        </w:rPr>
        <w:t>学</w:t>
      </w:r>
      <w:r>
        <w:rPr>
          <w:rFonts w:ascii="宋体" w:hAnsi="宋体" w:eastAsia="宋体" w:cs="Times New Roman"/>
          <w:b/>
          <w:color w:val="000000"/>
          <w:kern w:val="0"/>
          <w:sz w:val="24"/>
        </w:rPr>
        <w:t xml:space="preserve">    </w:t>
      </w:r>
      <w:r>
        <w:rPr>
          <w:rFonts w:hint="eastAsia" w:ascii="宋体" w:hAnsi="宋体" w:eastAsia="宋体" w:cs="Times New Roman"/>
          <w:b/>
          <w:color w:val="000000"/>
          <w:kern w:val="0"/>
          <w:sz w:val="24"/>
        </w:rPr>
        <w:t>分</w:t>
      </w:r>
      <w:r>
        <w:rPr>
          <w:rFonts w:hint="eastAsia" w:ascii="宋体" w:hAnsi="宋体" w:eastAsia="宋体" w:cs="Times New Roman"/>
          <w:color w:val="000000"/>
          <w:kern w:val="0"/>
          <w:sz w:val="24"/>
        </w:rPr>
        <w:t>：</w:t>
      </w:r>
      <w:r>
        <w:rPr>
          <w:rFonts w:ascii="宋体" w:hAnsi="宋体" w:eastAsia="宋体" w:cs="Times New Roman"/>
          <w:color w:val="000000"/>
          <w:kern w:val="0"/>
          <w:sz w:val="24"/>
        </w:rPr>
        <w:t>2</w:t>
      </w:r>
    </w:p>
    <w:p w14:paraId="6BEB7BEE">
      <w:pPr>
        <w:spacing w:line="360" w:lineRule="auto"/>
        <w:ind w:firstLine="482" w:firstLineChars="200"/>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学</w:t>
      </w:r>
      <w:r>
        <w:rPr>
          <w:rFonts w:ascii="宋体" w:hAnsi="宋体" w:eastAsia="宋体" w:cs="Times New Roman"/>
          <w:b/>
          <w:color w:val="000000"/>
          <w:kern w:val="0"/>
          <w:sz w:val="24"/>
        </w:rPr>
        <w:t xml:space="preserve">    </w:t>
      </w:r>
      <w:r>
        <w:rPr>
          <w:rFonts w:hint="eastAsia" w:ascii="宋体" w:hAnsi="宋体" w:eastAsia="宋体" w:cs="Times New Roman"/>
          <w:b/>
          <w:color w:val="000000"/>
          <w:kern w:val="0"/>
          <w:sz w:val="24"/>
        </w:rPr>
        <w:t>时</w:t>
      </w:r>
      <w:r>
        <w:rPr>
          <w:rFonts w:hint="eastAsia" w:ascii="宋体" w:hAnsi="宋体" w:eastAsia="宋体" w:cs="Times New Roman"/>
          <w:color w:val="000000"/>
          <w:kern w:val="0"/>
          <w:sz w:val="24"/>
        </w:rPr>
        <w:t>：</w:t>
      </w:r>
      <w:r>
        <w:rPr>
          <w:rFonts w:ascii="宋体" w:hAnsi="宋体" w:eastAsia="宋体" w:cs="Times New Roman"/>
          <w:color w:val="000000"/>
          <w:kern w:val="0"/>
          <w:sz w:val="24"/>
        </w:rPr>
        <w:t>32</w:t>
      </w:r>
    </w:p>
    <w:p w14:paraId="43FE3BD8">
      <w:pPr>
        <w:spacing w:line="360" w:lineRule="auto"/>
        <w:ind w:firstLine="482" w:firstLineChars="200"/>
        <w:jc w:val="left"/>
        <w:rPr>
          <w:rFonts w:hint="eastAsia" w:ascii="宋体" w:hAnsi="宋体" w:eastAsia="宋体" w:cs="Times New Roman"/>
          <w:color w:val="000000"/>
          <w:sz w:val="24"/>
        </w:rPr>
      </w:pPr>
      <w:r>
        <w:rPr>
          <w:rFonts w:hint="eastAsia" w:ascii="宋体" w:hAnsi="宋体" w:eastAsia="宋体" w:cs="Times New Roman"/>
          <w:b/>
          <w:color w:val="000000"/>
          <w:kern w:val="0"/>
          <w:sz w:val="24"/>
        </w:rPr>
        <w:t>先修课程</w:t>
      </w:r>
      <w:r>
        <w:rPr>
          <w:rFonts w:hint="eastAsia" w:ascii="宋体" w:hAnsi="宋体" w:eastAsia="宋体" w:cs="Times New Roman"/>
          <w:color w:val="000000"/>
          <w:kern w:val="0"/>
          <w:sz w:val="24"/>
        </w:rPr>
        <w:t>：</w:t>
      </w:r>
      <w:r>
        <w:rPr>
          <w:rFonts w:hint="eastAsia" w:ascii="宋体" w:hAnsi="宋体" w:eastAsia="宋体" w:cs="Times New Roman"/>
          <w:color w:val="000000"/>
          <w:sz w:val="24"/>
        </w:rPr>
        <w:t>教育原理、中国教育史</w:t>
      </w:r>
    </w:p>
    <w:p w14:paraId="0B4A93FB">
      <w:pPr>
        <w:spacing w:line="360" w:lineRule="auto"/>
        <w:ind w:firstLine="482" w:firstLineChars="200"/>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适用专业</w:t>
      </w:r>
      <w:r>
        <w:rPr>
          <w:rFonts w:hint="eastAsia" w:ascii="宋体" w:hAnsi="宋体" w:eastAsia="宋体" w:cs="Times New Roman"/>
          <w:color w:val="000000"/>
          <w:kern w:val="0"/>
          <w:sz w:val="24"/>
        </w:rPr>
        <w:t>：小学教育（文）、小学教育（理）</w:t>
      </w:r>
    </w:p>
    <w:p w14:paraId="471BB4BD">
      <w:pPr>
        <w:spacing w:line="360" w:lineRule="auto"/>
        <w:ind w:firstLine="482" w:firstLineChars="200"/>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建议教材：</w:t>
      </w:r>
      <w:r>
        <w:rPr>
          <w:rFonts w:hint="eastAsia" w:ascii="宋体" w:hAnsi="宋体" w:eastAsia="宋体" w:cs="Times New Roman"/>
          <w:color w:val="000000"/>
          <w:kern w:val="0"/>
          <w:sz w:val="24"/>
        </w:rPr>
        <w:t>《西方教育思想史</w:t>
      </w:r>
      <w:r>
        <w:rPr>
          <w:rFonts w:hint="eastAsia" w:ascii="宋体" w:hAnsi="宋体" w:eastAsia="宋体" w:cs="Times New Roman"/>
          <w:color w:val="000000"/>
          <w:sz w:val="24"/>
        </w:rPr>
        <w:t>》（第</w:t>
      </w:r>
      <w:r>
        <w:rPr>
          <w:rFonts w:ascii="宋体" w:hAnsi="宋体" w:eastAsia="宋体" w:cs="Times New Roman"/>
          <w:color w:val="000000"/>
          <w:sz w:val="24"/>
        </w:rPr>
        <w:t>2</w:t>
      </w:r>
      <w:r>
        <w:rPr>
          <w:rFonts w:hint="eastAsia" w:ascii="宋体" w:hAnsi="宋体" w:eastAsia="宋体" w:cs="Times New Roman"/>
          <w:color w:val="000000"/>
          <w:sz w:val="24"/>
        </w:rPr>
        <w:t>版），张斌贤等，人民教育出版社，</w:t>
      </w:r>
      <w:r>
        <w:rPr>
          <w:rFonts w:ascii="宋体" w:hAnsi="宋体" w:eastAsia="宋体" w:cs="Times New Roman"/>
          <w:color w:val="000000"/>
          <w:kern w:val="0"/>
          <w:sz w:val="24"/>
        </w:rPr>
        <w:t>20</w:t>
      </w:r>
      <w:r>
        <w:rPr>
          <w:rFonts w:hint="eastAsia" w:ascii="宋体" w:hAnsi="宋体" w:eastAsia="宋体" w:cs="Times New Roman"/>
          <w:color w:val="000000"/>
          <w:kern w:val="0"/>
          <w:sz w:val="24"/>
        </w:rPr>
        <w:t>23</w:t>
      </w:r>
      <w:r>
        <w:rPr>
          <w:rFonts w:ascii="宋体" w:hAnsi="宋体" w:eastAsia="宋体" w:cs="Times New Roman"/>
          <w:color w:val="000000"/>
          <w:kern w:val="0"/>
          <w:sz w:val="24"/>
        </w:rPr>
        <w:t>.</w:t>
      </w:r>
    </w:p>
    <w:p w14:paraId="0CF1851D">
      <w:pPr>
        <w:spacing w:line="360" w:lineRule="auto"/>
        <w:ind w:firstLine="482" w:firstLineChars="200"/>
        <w:rPr>
          <w:rFonts w:hint="eastAsia" w:ascii="宋体" w:hAnsi="宋体" w:eastAsia="宋体" w:cs="Times New Roman"/>
          <w:color w:val="000000"/>
          <w:sz w:val="24"/>
        </w:rPr>
      </w:pPr>
      <w:r>
        <w:rPr>
          <w:rFonts w:hint="eastAsia" w:ascii="宋体" w:hAnsi="宋体" w:eastAsia="宋体" w:cs="Times New Roman"/>
          <w:b/>
          <w:color w:val="000000"/>
          <w:kern w:val="0"/>
          <w:sz w:val="24"/>
        </w:rPr>
        <w:t>课程归口</w:t>
      </w:r>
      <w:r>
        <w:rPr>
          <w:rFonts w:hint="eastAsia" w:ascii="宋体" w:hAnsi="宋体" w:eastAsia="宋体" w:cs="Times New Roman"/>
          <w:color w:val="000000"/>
          <w:kern w:val="0"/>
          <w:sz w:val="24"/>
        </w:rPr>
        <w:t>：</w:t>
      </w:r>
      <w:r>
        <w:rPr>
          <w:rFonts w:hint="eastAsia" w:ascii="宋体" w:hAnsi="宋体" w:eastAsia="宋体" w:cs="Times New Roman"/>
          <w:color w:val="000000"/>
          <w:sz w:val="24"/>
        </w:rPr>
        <w:t>师范学院</w:t>
      </w:r>
    </w:p>
    <w:p w14:paraId="288C63D5">
      <w:pPr>
        <w:spacing w:line="360" w:lineRule="auto"/>
        <w:ind w:firstLine="482" w:firstLineChars="200"/>
        <w:rPr>
          <w:rFonts w:hint="eastAsia" w:ascii="宋体" w:hAnsi="宋体" w:eastAsia="宋体" w:cs="Times New Roman"/>
          <w:color w:val="000000"/>
          <w:sz w:val="24"/>
        </w:rPr>
      </w:pPr>
      <w:r>
        <w:rPr>
          <w:rFonts w:hint="eastAsia" w:ascii="宋体" w:hAnsi="宋体" w:eastAsia="宋体" w:cs="Times New Roman"/>
          <w:b/>
          <w:bCs/>
          <w:color w:val="000000"/>
          <w:sz w:val="24"/>
        </w:rPr>
        <w:t>课程的性质与任务</w:t>
      </w:r>
      <w:r>
        <w:rPr>
          <w:rFonts w:hint="eastAsia" w:ascii="宋体" w:hAnsi="宋体" w:eastAsia="宋体" w:cs="Times New Roman"/>
          <w:bCs/>
          <w:color w:val="000000"/>
          <w:sz w:val="24"/>
        </w:rPr>
        <w:t>：</w:t>
      </w:r>
      <w:r>
        <w:rPr>
          <w:rFonts w:hint="eastAsia" w:ascii="宋体" w:hAnsi="宋体" w:eastAsia="宋体" w:cs="Times New Roman"/>
          <w:color w:val="000000"/>
          <w:sz w:val="24"/>
        </w:rPr>
        <w:t>本课程是小学教育本科专业教师教育类必修课程。课程的主要任务是通过梳理和介绍外国（主要是西方发达国家）的教育制度、教育实践发展历史进程以及主要教育家的教育思想，培养师范生正确的教育历史观、提升教师理论综合素养，提高其针对当今教育现象进行古今中外对比分析的意识和能力，从而形成对人类教育发展规律的历史性认识。</w:t>
      </w:r>
    </w:p>
    <w:p w14:paraId="2CDEA1FF">
      <w:pPr>
        <w:spacing w:line="360" w:lineRule="auto"/>
        <w:ind w:firstLine="562" w:firstLineChars="200"/>
        <w:rPr>
          <w:rFonts w:hint="eastAsia" w:ascii="宋体" w:hAnsi="宋体" w:eastAsia="宋体" w:cs="Times New Roman"/>
          <w:b/>
          <w:bCs/>
          <w:sz w:val="28"/>
          <w:szCs w:val="28"/>
        </w:rPr>
      </w:pPr>
      <w:bookmarkStart w:id="92" w:name="_Toc27847257"/>
      <w:bookmarkStart w:id="93" w:name="_Toc27846239"/>
      <w:r>
        <w:rPr>
          <w:rFonts w:hint="eastAsia" w:ascii="宋体" w:hAnsi="宋体" w:eastAsia="宋体" w:cs="Times New Roman"/>
          <w:b/>
          <w:bCs/>
          <w:sz w:val="28"/>
          <w:szCs w:val="28"/>
        </w:rPr>
        <w:t>二、课程目标</w:t>
      </w:r>
      <w:bookmarkEnd w:id="92"/>
      <w:bookmarkEnd w:id="93"/>
    </w:p>
    <w:p w14:paraId="73F96F47">
      <w:pPr>
        <w:spacing w:line="360" w:lineRule="auto"/>
        <w:ind w:firstLine="482" w:firstLineChars="200"/>
        <w:rPr>
          <w:rFonts w:hint="eastAsia" w:ascii="宋体" w:hAnsi="宋体" w:eastAsia="宋体" w:cs="Times New Roman"/>
          <w:b/>
          <w:bCs/>
          <w:color w:val="000000"/>
          <w:sz w:val="24"/>
        </w:rPr>
      </w:pPr>
      <w:r>
        <w:rPr>
          <w:rFonts w:hint="eastAsia" w:ascii="宋体" w:hAnsi="宋体" w:eastAsia="宋体" w:cs="Times New Roman"/>
          <w:b/>
          <w:bCs/>
          <w:color w:val="000000"/>
          <w:sz w:val="24"/>
        </w:rPr>
        <w:t>（一）课程具体目标</w:t>
      </w:r>
    </w:p>
    <w:p w14:paraId="432EE71C">
      <w:pPr>
        <w:spacing w:line="360" w:lineRule="auto"/>
        <w:ind w:firstLine="480" w:firstLineChars="200"/>
        <w:rPr>
          <w:rFonts w:hint="eastAsia" w:ascii="宋体" w:hAnsi="宋体"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1.</w:t>
      </w:r>
      <w:r>
        <w:rPr>
          <w:rFonts w:hint="eastAsia" w:ascii="宋体" w:hAnsi="宋体" w:eastAsia="宋体" w:cs="Times New Roman"/>
          <w:color w:val="000000"/>
          <w:sz w:val="24"/>
        </w:rPr>
        <w:t>理解外国教育史的学科性质、研究对象、基本概念、基本方法论，建立外国教育史有关问题的批判分析意识和对比研究能力，牢固树立国家民族自豪感，增强中国文化自信。</w:t>
      </w:r>
    </w:p>
    <w:p w14:paraId="796501CC">
      <w:pPr>
        <w:spacing w:line="360" w:lineRule="auto"/>
        <w:ind w:firstLine="480" w:firstLineChars="200"/>
        <w:rPr>
          <w:rFonts w:hint="eastAsia" w:ascii="宋体" w:hAnsi="宋体"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2.</w:t>
      </w:r>
      <w:r>
        <w:rPr>
          <w:rFonts w:hint="eastAsia" w:ascii="宋体" w:hAnsi="宋体" w:eastAsia="宋体" w:cs="Times New Roman"/>
          <w:color w:val="000000"/>
          <w:sz w:val="24"/>
        </w:rPr>
        <w:t>理解西方主要发达国家教育发展的进程和经验得失，掌握综合分析教育历史现象的能力。</w:t>
      </w:r>
    </w:p>
    <w:p w14:paraId="3302ED24">
      <w:pPr>
        <w:spacing w:line="360" w:lineRule="auto"/>
        <w:ind w:firstLine="480" w:firstLineChars="200"/>
        <w:rPr>
          <w:rFonts w:hint="eastAsia" w:ascii="宋体" w:hAnsi="宋体"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3.</w:t>
      </w:r>
      <w:r>
        <w:rPr>
          <w:rFonts w:hint="eastAsia" w:ascii="宋体" w:hAnsi="宋体" w:eastAsia="宋体" w:cs="Times New Roman"/>
          <w:color w:val="000000"/>
          <w:sz w:val="24"/>
        </w:rPr>
        <w:t>了解西方自古希腊以来教育发展的历史线索和相互继承关系，理解教育家的教育思想在人类教育发展中积极作用，逐步建立古为今用和洋为中用的解决问题意识。</w:t>
      </w:r>
    </w:p>
    <w:p w14:paraId="125045A3">
      <w:pPr>
        <w:spacing w:line="360" w:lineRule="auto"/>
        <w:ind w:firstLine="480" w:firstLineChars="200"/>
        <w:rPr>
          <w:rFonts w:hint="eastAsia" w:ascii="宋体" w:hAnsi="宋体"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4.</w:t>
      </w:r>
      <w:r>
        <w:rPr>
          <w:rFonts w:hint="eastAsia" w:ascii="宋体" w:hAnsi="宋体" w:eastAsia="宋体" w:cs="Times New Roman"/>
          <w:color w:val="000000"/>
          <w:sz w:val="24"/>
        </w:rPr>
        <w:t>理解西方主要社会转折时期影响教育发展的诸多因素，正确使用历史的眼光分析当今世界教育发展的现状问题。</w:t>
      </w:r>
    </w:p>
    <w:p w14:paraId="2C8C439A">
      <w:pPr>
        <w:spacing w:line="360" w:lineRule="auto"/>
        <w:ind w:firstLine="480" w:firstLineChars="200"/>
        <w:rPr>
          <w:rFonts w:hint="eastAsia" w:ascii="宋体" w:hAnsi="宋体"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5.</w:t>
      </w:r>
      <w:r>
        <w:rPr>
          <w:rFonts w:hint="eastAsia" w:ascii="宋体" w:hAnsi="宋体" w:eastAsia="宋体" w:cs="Times New Roman"/>
          <w:color w:val="000000"/>
          <w:sz w:val="24"/>
        </w:rPr>
        <w:t>理解世界范围内的教育发展成就问题，掌握使用历史学方法分析和思考未来人类教育发展趋势问题。</w:t>
      </w:r>
    </w:p>
    <w:p w14:paraId="1C0A2611">
      <w:pPr>
        <w:spacing w:line="360" w:lineRule="auto"/>
        <w:ind w:firstLine="480" w:firstLineChars="200"/>
        <w:rPr>
          <w:rFonts w:hint="eastAsia" w:ascii="黑体" w:hAnsi="黑体" w:eastAsia="黑体" w:cs="Times New Roman"/>
          <w:bCs/>
          <w:color w:val="000000"/>
          <w:sz w:val="24"/>
        </w:rPr>
      </w:pPr>
      <w:r>
        <w:rPr>
          <w:rFonts w:hint="eastAsia" w:ascii="黑体" w:hAnsi="黑体" w:eastAsia="黑体" w:cs="Times New Roman"/>
          <w:bCs/>
          <w:color w:val="000000"/>
          <w:sz w:val="24"/>
        </w:rPr>
        <w:t>（二）课程目标与专业毕业要求的关系</w:t>
      </w:r>
    </w:p>
    <w:tbl>
      <w:tblPr>
        <w:tblStyle w:val="13"/>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2312"/>
        <w:gridCol w:w="5298"/>
      </w:tblGrid>
      <w:tr w14:paraId="5E6A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6" w:type="dxa"/>
            <w:vAlign w:val="center"/>
          </w:tcPr>
          <w:p w14:paraId="4C6319B7">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课程目标</w:t>
            </w:r>
          </w:p>
        </w:tc>
        <w:tc>
          <w:tcPr>
            <w:tcW w:w="2312" w:type="dxa"/>
            <w:vAlign w:val="center"/>
          </w:tcPr>
          <w:p w14:paraId="10DE5C86">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w:t>
            </w:r>
          </w:p>
        </w:tc>
        <w:tc>
          <w:tcPr>
            <w:tcW w:w="5298" w:type="dxa"/>
            <w:vAlign w:val="center"/>
          </w:tcPr>
          <w:p w14:paraId="3D902864">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76A2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586" w:type="dxa"/>
            <w:vAlign w:val="center"/>
          </w:tcPr>
          <w:p w14:paraId="33381772">
            <w:pPr>
              <w:adjustRightInd w:val="0"/>
              <w:snapToGrid w:val="0"/>
              <w:spacing w:line="276" w:lineRule="auto"/>
              <w:jc w:val="center"/>
              <w:rPr>
                <w:rFonts w:ascii="宋体" w:hAnsi="Calibri" w:eastAsia="宋体" w:cs="宋体"/>
                <w:bCs/>
                <w:color w:val="000000"/>
                <w:szCs w:val="21"/>
              </w:rPr>
            </w:pPr>
            <w:r>
              <w:rPr>
                <w:rFonts w:hint="eastAsia" w:ascii="宋体" w:hAnsi="宋体" w:eastAsia="宋体" w:cs="宋体"/>
                <w:bCs/>
                <w:color w:val="000000"/>
                <w:szCs w:val="21"/>
              </w:rPr>
              <w:t>课程目标</w:t>
            </w:r>
            <w:r>
              <w:rPr>
                <w:rFonts w:ascii="宋体" w:hAnsi="宋体" w:eastAsia="宋体" w:cs="宋体"/>
                <w:bCs/>
                <w:color w:val="000000"/>
                <w:szCs w:val="21"/>
              </w:rPr>
              <w:t>1</w:t>
            </w:r>
          </w:p>
        </w:tc>
        <w:tc>
          <w:tcPr>
            <w:tcW w:w="2312" w:type="dxa"/>
            <w:vAlign w:val="center"/>
          </w:tcPr>
          <w:p w14:paraId="09E8508D">
            <w:pPr>
              <w:adjustRightInd w:val="0"/>
              <w:snapToGrid w:val="0"/>
              <w:spacing w:line="276" w:lineRule="auto"/>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教育情怀</w:t>
            </w:r>
          </w:p>
        </w:tc>
        <w:tc>
          <w:tcPr>
            <w:tcW w:w="5298" w:type="dxa"/>
            <w:vAlign w:val="center"/>
          </w:tcPr>
          <w:p w14:paraId="3066E66C">
            <w:pPr>
              <w:adjustRightInd w:val="0"/>
              <w:snapToGrid w:val="0"/>
              <w:spacing w:line="276" w:lineRule="auto"/>
              <w:jc w:val="left"/>
              <w:rPr>
                <w:rFonts w:ascii="宋体" w:hAnsi="Calibri" w:eastAsia="宋体" w:cs="Times New Roman"/>
                <w:color w:val="000000"/>
                <w:kern w:val="0"/>
                <w:sz w:val="18"/>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2-1：【职业认同感强】具有家国情怀，热爱教育事业，秉持“坚忍诚勇，立己达人”的师范精神，践行教育家精神，乐于从教，热爱教育事业，具有较高的教师职业认同感，认同教师职业的意义、价值与专业性。</w:t>
            </w:r>
          </w:p>
        </w:tc>
      </w:tr>
      <w:tr w14:paraId="226B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586" w:type="dxa"/>
            <w:vAlign w:val="center"/>
          </w:tcPr>
          <w:p w14:paraId="5656C7E7">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2</w:t>
            </w:r>
          </w:p>
        </w:tc>
        <w:tc>
          <w:tcPr>
            <w:tcW w:w="2312" w:type="dxa"/>
            <w:vAlign w:val="center"/>
          </w:tcPr>
          <w:p w14:paraId="5A3FBFC2">
            <w:pPr>
              <w:adjustRightInd w:val="0"/>
              <w:snapToGrid w:val="0"/>
              <w:spacing w:line="276" w:lineRule="auto"/>
              <w:rPr>
                <w:rFonts w:ascii="宋体" w:hAnsi="Calibri" w:eastAsia="宋体" w:cs="Times New Roman"/>
                <w:color w:val="000000"/>
                <w:kern w:val="0"/>
                <w:sz w:val="18"/>
                <w:szCs w:val="18"/>
              </w:rPr>
            </w:pPr>
            <w:r>
              <w:rPr>
                <w:rFonts w:hint="eastAsia" w:ascii="宋体" w:hAnsi="宋体" w:eastAsia="宋体" w:cs="Times New Roman"/>
                <w:color w:val="000000"/>
                <w:kern w:val="0"/>
                <w:szCs w:val="21"/>
              </w:rPr>
              <w:t>毕业要求7</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学会反思</w:t>
            </w:r>
          </w:p>
        </w:tc>
        <w:tc>
          <w:tcPr>
            <w:tcW w:w="5298" w:type="dxa"/>
            <w:vAlign w:val="center"/>
          </w:tcPr>
          <w:p w14:paraId="5AAC6352">
            <w:pPr>
              <w:adjustRightInd w:val="0"/>
              <w:snapToGrid w:val="0"/>
              <w:spacing w:line="276" w:lineRule="auto"/>
              <w:jc w:val="left"/>
              <w:rPr>
                <w:rFonts w:ascii="宋体" w:hAnsi="Calibri" w:eastAsia="宋体" w:cs="Times New Roman"/>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7-1：【教育视野开阔】积极关注基础教育领域的国内外交流进展，了解国内外基础教育改革发展的动态，具有宽广的教育视野，能够主动适应新时代和教育发展需求。</w:t>
            </w:r>
          </w:p>
        </w:tc>
      </w:tr>
      <w:tr w14:paraId="55D6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586" w:type="dxa"/>
            <w:vAlign w:val="center"/>
          </w:tcPr>
          <w:p w14:paraId="038D1148">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c>
          <w:tcPr>
            <w:tcW w:w="2312" w:type="dxa"/>
            <w:vAlign w:val="center"/>
          </w:tcPr>
          <w:p w14:paraId="55DCB652">
            <w:pPr>
              <w:adjustRightInd w:val="0"/>
              <w:snapToGrid w:val="0"/>
              <w:spacing w:line="276" w:lineRule="auto"/>
              <w:rPr>
                <w:rFonts w:ascii="宋体" w:hAnsi="Calibri" w:eastAsia="宋体" w:cs="Times New Roman"/>
                <w:color w:val="000000"/>
                <w:spacing w:val="2"/>
                <w:kern w:val="0"/>
                <w:szCs w:val="21"/>
              </w:rPr>
            </w:pPr>
            <w:r>
              <w:rPr>
                <w:rFonts w:hint="eastAsia" w:ascii="宋体" w:hAnsi="宋体" w:eastAsia="宋体" w:cs="Times New Roman"/>
                <w:color w:val="000000"/>
                <w:spacing w:val="2"/>
                <w:kern w:val="0"/>
                <w:szCs w:val="21"/>
              </w:rPr>
              <w:t>毕业要求4</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教学能力</w:t>
            </w:r>
          </w:p>
        </w:tc>
        <w:tc>
          <w:tcPr>
            <w:tcW w:w="5298" w:type="dxa"/>
            <w:vAlign w:val="center"/>
          </w:tcPr>
          <w:p w14:paraId="0F4B465A">
            <w:pPr>
              <w:adjustRightInd w:val="0"/>
              <w:snapToGrid w:val="0"/>
              <w:spacing w:line="276" w:lineRule="auto"/>
              <w:jc w:val="left"/>
              <w:rPr>
                <w:rFonts w:ascii="宋体" w:hAnsi="Calibri" w:eastAsia="宋体" w:cs="宋体"/>
                <w:color w:val="000000"/>
                <w:szCs w:val="21"/>
              </w:rPr>
            </w:pPr>
            <w:r>
              <w:rPr>
                <w:rFonts w:hint="eastAsia" w:ascii="宋体" w:hAnsi="宋体" w:cs="宋体"/>
                <w:color w:val="000000"/>
                <w:kern w:val="0"/>
                <w:sz w:val="20"/>
                <w:szCs w:val="20"/>
              </w:rPr>
              <w:t>指标点4-1：</w:t>
            </w:r>
            <w:r>
              <w:rPr>
                <w:rFonts w:hint="eastAsia" w:ascii="宋体" w:hAnsi="宋体" w:cs="宋体"/>
                <w:color w:val="000000"/>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r>
      <w:tr w14:paraId="17D2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86" w:type="dxa"/>
            <w:vAlign w:val="center"/>
          </w:tcPr>
          <w:p w14:paraId="26D20066">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 xml:space="preserve"> 4</w:t>
            </w:r>
          </w:p>
        </w:tc>
        <w:tc>
          <w:tcPr>
            <w:tcW w:w="2312" w:type="dxa"/>
            <w:vAlign w:val="center"/>
          </w:tcPr>
          <w:p w14:paraId="61660884">
            <w:pPr>
              <w:adjustRightInd w:val="0"/>
              <w:snapToGrid w:val="0"/>
              <w:spacing w:line="276" w:lineRule="auto"/>
              <w:rPr>
                <w:rFonts w:ascii="宋体" w:hAnsi="Calibri" w:eastAsia="宋体" w:cs="Times New Roman"/>
                <w:color w:val="000000"/>
                <w:spacing w:val="2"/>
                <w:kern w:val="0"/>
                <w:szCs w:val="21"/>
              </w:rPr>
            </w:pPr>
            <w:r>
              <w:rPr>
                <w:rFonts w:hint="eastAsia" w:ascii="宋体" w:hAnsi="宋体" w:eastAsia="宋体" w:cs="Times New Roman"/>
                <w:color w:val="000000"/>
                <w:kern w:val="0"/>
                <w:szCs w:val="21"/>
              </w:rPr>
              <w:t>毕业要求</w:t>
            </w:r>
            <w:r>
              <w:rPr>
                <w:rFonts w:hint="eastAsia" w:ascii="宋体" w:hAnsi="宋体" w:eastAsia="宋体" w:cs="Times New Roman"/>
                <w:color w:val="000000"/>
                <w:spacing w:val="2"/>
                <w:kern w:val="0"/>
                <w:szCs w:val="21"/>
              </w:rPr>
              <w:t>7</w:t>
            </w:r>
            <w:r>
              <w:rPr>
                <w:rFonts w:ascii="宋体" w:hAnsi="Calibri" w:eastAsia="宋体" w:cs="Times New Roman"/>
                <w:color w:val="000000"/>
                <w:spacing w:val="2"/>
                <w:kern w:val="0"/>
                <w:szCs w:val="21"/>
              </w:rPr>
              <w:t>.</w:t>
            </w:r>
            <w:r>
              <w:rPr>
                <w:rFonts w:hint="eastAsia" w:ascii="宋体" w:hAnsi="宋体" w:eastAsia="宋体" w:cs="Times New Roman"/>
                <w:color w:val="000000"/>
                <w:spacing w:val="2"/>
                <w:kern w:val="0"/>
                <w:szCs w:val="21"/>
              </w:rPr>
              <w:t>学会反思</w:t>
            </w:r>
          </w:p>
        </w:tc>
        <w:tc>
          <w:tcPr>
            <w:tcW w:w="5298" w:type="dxa"/>
            <w:vAlign w:val="center"/>
          </w:tcPr>
          <w:p w14:paraId="2261AA63">
            <w:pPr>
              <w:shd w:val="clear" w:color="auto" w:fill="FFFFFF"/>
              <w:adjustRightInd w:val="0"/>
              <w:snapToGrid w:val="0"/>
              <w:spacing w:line="276" w:lineRule="auto"/>
              <w:jc w:val="left"/>
              <w:rPr>
                <w:rFonts w:ascii="宋体" w:hAnsi="Calibri" w:eastAsia="宋体" w:cs="Times New Roman"/>
                <w:color w:val="000000"/>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r>
      <w:tr w14:paraId="0B9A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586" w:type="dxa"/>
            <w:vAlign w:val="center"/>
          </w:tcPr>
          <w:p w14:paraId="7E3F8AB2">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5</w:t>
            </w:r>
          </w:p>
        </w:tc>
        <w:tc>
          <w:tcPr>
            <w:tcW w:w="2312" w:type="dxa"/>
            <w:vAlign w:val="center"/>
          </w:tcPr>
          <w:p w14:paraId="66B8CCC4">
            <w:pPr>
              <w:adjustRightInd w:val="0"/>
              <w:snapToGrid w:val="0"/>
              <w:spacing w:line="276" w:lineRule="auto"/>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毕业要求7</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学会反思</w:t>
            </w:r>
          </w:p>
        </w:tc>
        <w:tc>
          <w:tcPr>
            <w:tcW w:w="5298" w:type="dxa"/>
            <w:vAlign w:val="center"/>
          </w:tcPr>
          <w:p w14:paraId="5A947004">
            <w:pPr>
              <w:shd w:val="clear" w:color="auto" w:fill="FFFFFF"/>
              <w:adjustRightInd w:val="0"/>
              <w:snapToGrid w:val="0"/>
              <w:spacing w:line="276" w:lineRule="auto"/>
              <w:jc w:val="left"/>
              <w:rPr>
                <w:rFonts w:ascii="宋体" w:hAnsi="Calibri" w:eastAsia="宋体" w:cs="Times New Roman"/>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7-1：【教育视野开阔】积极关注基础教育领域的国内外交流进展，了解国内外基础教育改革发展的动态，具有宽广的教育视野，能够主动适应新时代和教育发展需求。</w:t>
            </w:r>
          </w:p>
        </w:tc>
      </w:tr>
    </w:tbl>
    <w:p w14:paraId="344E5A26">
      <w:pPr>
        <w:adjustRightInd w:val="0"/>
        <w:snapToGrid w:val="0"/>
        <w:spacing w:line="360" w:lineRule="auto"/>
        <w:rPr>
          <w:rFonts w:hint="eastAsia" w:ascii="宋体" w:hAnsi="宋体" w:eastAsia="宋体" w:cs="Times New Roman"/>
          <w:b/>
          <w:color w:val="000000"/>
          <w:sz w:val="28"/>
          <w:szCs w:val="28"/>
        </w:rPr>
      </w:pPr>
    </w:p>
    <w:p w14:paraId="3CE545D0">
      <w:pPr>
        <w:adjustRightInd w:val="0"/>
        <w:snapToGrid w:val="0"/>
        <w:spacing w:line="360" w:lineRule="auto"/>
        <w:ind w:firstLine="562" w:firstLineChars="200"/>
        <w:rPr>
          <w:rFonts w:hint="eastAsia" w:ascii="宋体" w:hAnsi="宋体" w:eastAsia="宋体" w:cs="Times New Roman"/>
          <w:b/>
          <w:color w:val="000000"/>
          <w:sz w:val="28"/>
        </w:rPr>
      </w:pPr>
      <w:r>
        <w:rPr>
          <w:rFonts w:hint="eastAsia" w:ascii="宋体" w:hAnsi="宋体" w:eastAsia="宋体" w:cs="Times New Roman"/>
          <w:b/>
          <w:color w:val="000000"/>
          <w:sz w:val="28"/>
        </w:rPr>
        <w:t>三、课程内容</w:t>
      </w:r>
    </w:p>
    <w:p w14:paraId="42B40684">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（一）</w:t>
      </w:r>
      <w:r>
        <w:rPr>
          <w:rFonts w:hint="eastAsia" w:ascii="宋体" w:hAnsi="宋体" w:eastAsia="宋体" w:cs="宋体"/>
          <w:b/>
          <w:color w:val="000000"/>
          <w:kern w:val="0"/>
          <w:sz w:val="24"/>
        </w:rPr>
        <w:t>外国教育史概</w:t>
      </w:r>
      <w:r>
        <w:rPr>
          <w:rFonts w:hint="eastAsia" w:ascii="宋体" w:hAnsi="宋体" w:eastAsia="宋体" w:cs="Times New Roman"/>
          <w:b/>
          <w:color w:val="000000"/>
          <w:sz w:val="24"/>
        </w:rPr>
        <w:t>论（本模块各知识点的讲授与学习，支撑课程目标</w:t>
      </w:r>
      <w:r>
        <w:rPr>
          <w:rFonts w:ascii="宋体" w:hAnsi="宋体" w:eastAsia="宋体" w:cs="Times New Roman"/>
          <w:b/>
          <w:color w:val="000000"/>
          <w:sz w:val="24"/>
        </w:rPr>
        <w:t>1</w:t>
      </w:r>
      <w:r>
        <w:rPr>
          <w:rFonts w:hint="eastAsia" w:ascii="宋体" w:hAnsi="宋体" w:eastAsia="宋体" w:cs="Times New Roman"/>
          <w:b/>
          <w:color w:val="000000"/>
          <w:sz w:val="24"/>
        </w:rPr>
        <w:t>）</w:t>
      </w:r>
    </w:p>
    <w:p w14:paraId="0F6ADA83">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114D7DED">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）外国教育史课程分析</w:t>
      </w:r>
    </w:p>
    <w:p w14:paraId="64E4B8A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）外国教育史的发展与研究现状</w:t>
      </w:r>
    </w:p>
    <w:p w14:paraId="358BAF9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）外国教育史的学科功能和学习要求</w:t>
      </w:r>
    </w:p>
    <w:p w14:paraId="4ADAEE32">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4BF0C78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）了解外国教育史的学科性质、研究对象、学科功能和学习要求</w:t>
      </w:r>
    </w:p>
    <w:p w14:paraId="6F24992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）理解外国教育史的内容脉络和研究现状</w:t>
      </w:r>
    </w:p>
    <w:p w14:paraId="6A14760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）掌握外国教育史的研究视角和研究热点</w:t>
      </w:r>
    </w:p>
    <w:p w14:paraId="2E021842">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w:t>
      </w:r>
      <w:r>
        <w:rPr>
          <w:rFonts w:ascii="宋体" w:hAnsi="宋体" w:eastAsia="宋体" w:cs="Times New Roman"/>
          <w:b/>
          <w:color w:val="000000"/>
          <w:sz w:val="24"/>
        </w:rPr>
        <w:t>.</w:t>
      </w:r>
      <w:r>
        <w:rPr>
          <w:rFonts w:hint="eastAsia" w:ascii="宋体" w:hAnsi="宋体" w:eastAsia="宋体" w:cs="Times New Roman"/>
          <w:b/>
          <w:color w:val="000000"/>
          <w:sz w:val="24"/>
        </w:rPr>
        <w:t>课程思政育人目标</w:t>
      </w:r>
    </w:p>
    <w:p w14:paraId="21696AA7">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通过本章内容学习，使师范生理解外国教育史在整个教育学科中的地位和学习意义，在中外教育史的学习对比中发现我国悠久历史文化中所积累的教育精华，增强民族自豪感和文化自信心。</w:t>
      </w:r>
    </w:p>
    <w:p w14:paraId="642D57D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：了解外国教育史的内容安排，理解其学习的现实意义。</w:t>
      </w:r>
    </w:p>
    <w:p w14:paraId="3A90B94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：理解外国教育史的学习意义和实际运用方法，形成分析当今教育现象的历史对比意识。</w:t>
      </w:r>
    </w:p>
    <w:p w14:paraId="5D202278">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（二）教育的起源与东方文明古国的教育（本模块各知识点的讲授与学习，可以支撑课程目标</w:t>
      </w:r>
      <w:r>
        <w:rPr>
          <w:rFonts w:ascii="宋体" w:hAnsi="宋体" w:eastAsia="宋体" w:cs="Times New Roman"/>
          <w:b/>
          <w:color w:val="000000"/>
          <w:sz w:val="24"/>
        </w:rPr>
        <w:t>1</w:t>
      </w:r>
      <w:r>
        <w:rPr>
          <w:rFonts w:hint="eastAsia" w:ascii="宋体" w:hAnsi="宋体" w:eastAsia="宋体" w:cs="Times New Roman"/>
          <w:b/>
          <w:color w:val="000000"/>
          <w:sz w:val="24"/>
        </w:rPr>
        <w:t>、课程目标</w:t>
      </w:r>
      <w:r>
        <w:rPr>
          <w:rFonts w:ascii="宋体" w:hAnsi="宋体" w:eastAsia="宋体" w:cs="Times New Roman"/>
          <w:b/>
          <w:color w:val="000000"/>
          <w:sz w:val="24"/>
        </w:rPr>
        <w:t>3</w:t>
      </w:r>
      <w:r>
        <w:rPr>
          <w:rFonts w:hint="eastAsia" w:ascii="宋体" w:hAnsi="宋体" w:eastAsia="宋体" w:cs="Times New Roman"/>
          <w:b/>
          <w:color w:val="000000"/>
          <w:sz w:val="24"/>
        </w:rPr>
        <w:t>）</w:t>
      </w:r>
    </w:p>
    <w:p w14:paraId="34D73B59">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400C926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）教育的三种起源学说</w:t>
      </w:r>
    </w:p>
    <w:p w14:paraId="3D5A82A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）原始社会的教育</w:t>
      </w:r>
    </w:p>
    <w:p w14:paraId="5452B10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）古巴比伦、古埃及、古印度、古希伯来的教育</w:t>
      </w:r>
    </w:p>
    <w:p w14:paraId="035D74FE">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335DF0E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）了解教育起源的主要观点</w:t>
      </w:r>
    </w:p>
    <w:p w14:paraId="35EF32A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）理解原始社会教育的特点</w:t>
      </w:r>
    </w:p>
    <w:p w14:paraId="3476B94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）掌握古巴比伦、古埃及和古印度教育的基本特征</w:t>
      </w:r>
    </w:p>
    <w:p w14:paraId="49AEFB16">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w:t>
      </w:r>
      <w:r>
        <w:rPr>
          <w:rFonts w:ascii="宋体" w:hAnsi="宋体" w:eastAsia="宋体" w:cs="Times New Roman"/>
          <w:b/>
          <w:color w:val="000000"/>
          <w:sz w:val="24"/>
        </w:rPr>
        <w:t>.</w:t>
      </w:r>
      <w:r>
        <w:rPr>
          <w:rFonts w:hint="eastAsia" w:ascii="宋体" w:hAnsi="宋体" w:eastAsia="宋体" w:cs="Times New Roman"/>
          <w:b/>
          <w:color w:val="000000"/>
          <w:sz w:val="24"/>
        </w:rPr>
        <w:t>课程思政育人目标</w:t>
      </w:r>
    </w:p>
    <w:p w14:paraId="58E36577">
      <w:pPr>
        <w:adjustRightInd w:val="0"/>
        <w:snapToGrid w:val="0"/>
        <w:spacing w:line="360" w:lineRule="auto"/>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通过本章内容学习，了解域外三大文明古国灿烂的教育文明，并通过对比发现我国古代教育文明的优越性，不断加强人类命运共同体概念的理解，并运用马克思主义的基本哲学思想分析人类文明的发展变化。</w:t>
      </w:r>
    </w:p>
    <w:p w14:paraId="26B8645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：掌握教育的三种起源学说和古印度的种性教育制度</w:t>
      </w:r>
    </w:p>
    <w:p w14:paraId="0AEE3CD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：理解四个文明古国教育的联系</w:t>
      </w:r>
    </w:p>
    <w:p w14:paraId="70A0D8C6">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（三）古希腊的教育和古罗马的教育（本模块各知识点的讲授与学习，可以支撑课程目标</w:t>
      </w:r>
      <w:r>
        <w:rPr>
          <w:rFonts w:ascii="宋体" w:hAnsi="宋体" w:eastAsia="宋体" w:cs="Times New Roman"/>
          <w:b/>
          <w:color w:val="000000"/>
          <w:sz w:val="24"/>
        </w:rPr>
        <w:t>2</w:t>
      </w:r>
      <w:r>
        <w:rPr>
          <w:rFonts w:hint="eastAsia" w:ascii="宋体" w:hAnsi="宋体" w:eastAsia="宋体" w:cs="Times New Roman"/>
          <w:b/>
          <w:color w:val="000000"/>
          <w:sz w:val="24"/>
        </w:rPr>
        <w:t>）</w:t>
      </w:r>
    </w:p>
    <w:p w14:paraId="65A90782">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2091EF81">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）古希腊教育的分期、斯巴达和雅典的城邦教育</w:t>
      </w:r>
    </w:p>
    <w:p w14:paraId="199DE336">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）苏格拉底、柏拉图、亚里士多德、昆体良的教育思想</w:t>
      </w:r>
    </w:p>
    <w:p w14:paraId="59223CB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）古罗马的教育</w:t>
      </w:r>
    </w:p>
    <w:p w14:paraId="117F6DB5">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60A06197">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）了解古希腊教育的主要分期及主要成就、古罗马教育概况</w:t>
      </w:r>
    </w:p>
    <w:p w14:paraId="03CCB77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）理解斯巴达和雅典教育的区别</w:t>
      </w:r>
    </w:p>
    <w:p w14:paraId="5FA759B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）掌握四个教育家的教育思想及其现代意义</w:t>
      </w:r>
    </w:p>
    <w:p w14:paraId="3229F3F6">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0E80F179">
      <w:pPr>
        <w:adjustRightInd w:val="0"/>
        <w:snapToGrid w:val="0"/>
        <w:spacing w:line="360" w:lineRule="auto"/>
        <w:rPr>
          <w:rFonts w:hint="eastAsia" w:ascii="宋体" w:hAnsi="宋体" w:eastAsia="宋体" w:cs="Times New Roman"/>
          <w:bCs/>
          <w:color w:val="000000"/>
          <w:sz w:val="24"/>
        </w:rPr>
      </w:pPr>
      <w:r>
        <w:rPr>
          <w:rFonts w:hint="eastAsia" w:ascii="宋体" w:hAnsi="宋体" w:eastAsia="宋体" w:cs="Times New Roman"/>
          <w:bCs/>
          <w:color w:val="000000"/>
          <w:sz w:val="24"/>
        </w:rPr>
        <w:t xml:space="preserve"> 通过本章内容学习，使学生了解古代希腊和罗马曾经出现过的伟大教育文明成就，运用历史唯物主义的辩证思维看待今天的希腊和罗马现状，树立不厚古薄今的正确态度。</w:t>
      </w:r>
    </w:p>
    <w:p w14:paraId="03BC5EE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：理解四个教育家的教育思想的主要内容</w:t>
      </w:r>
    </w:p>
    <w:p w14:paraId="6C91F41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：辨析斯巴达和雅典教育的区别及其成因，古罗马帝国时期教育的特征及其历史影响</w:t>
      </w:r>
    </w:p>
    <w:p w14:paraId="364D582A">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（四）中世纪时期西欧的教育（本模块各知识点的讲授与学习，可以支撑课程目标</w:t>
      </w:r>
      <w:r>
        <w:rPr>
          <w:rFonts w:ascii="宋体" w:hAnsi="宋体" w:eastAsia="宋体" w:cs="Times New Roman"/>
          <w:b/>
          <w:color w:val="000000"/>
          <w:sz w:val="24"/>
        </w:rPr>
        <w:t>3</w:t>
      </w:r>
      <w:r>
        <w:rPr>
          <w:rFonts w:hint="eastAsia" w:ascii="宋体" w:hAnsi="宋体" w:eastAsia="宋体" w:cs="Times New Roman"/>
          <w:b/>
          <w:color w:val="000000"/>
          <w:sz w:val="24"/>
        </w:rPr>
        <w:t>）</w:t>
      </w:r>
    </w:p>
    <w:p w14:paraId="503C2663">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2E9989B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）基督教的产生及其对中世纪的影响</w:t>
      </w:r>
    </w:p>
    <w:p w14:paraId="534524F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）骑士教育的产生及其特点</w:t>
      </w:r>
    </w:p>
    <w:p w14:paraId="1EA72E3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）中世纪大学的产生及影响</w:t>
      </w:r>
    </w:p>
    <w:p w14:paraId="0EA570DE">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7BE7A98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）了解基督教产生的社会背景</w:t>
      </w:r>
    </w:p>
    <w:p w14:paraId="016042D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）区分教会教育和世俗教育的特征</w:t>
      </w:r>
    </w:p>
    <w:p w14:paraId="64F109F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）理解骑士教育的内容</w:t>
      </w:r>
    </w:p>
    <w:p w14:paraId="0E1957F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4</w:t>
      </w:r>
      <w:r>
        <w:rPr>
          <w:rFonts w:hint="eastAsia" w:ascii="宋体" w:hAnsi="宋体" w:eastAsia="宋体" w:cs="宋体"/>
          <w:color w:val="000000"/>
          <w:kern w:val="0"/>
          <w:sz w:val="24"/>
        </w:rPr>
        <w:t>）掌握中世纪大学的作用</w:t>
      </w:r>
    </w:p>
    <w:p w14:paraId="7D4FE22F">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w:t>
      </w:r>
      <w:r>
        <w:rPr>
          <w:rFonts w:ascii="宋体" w:hAnsi="宋体" w:eastAsia="宋体" w:cs="Times New Roman"/>
          <w:b/>
          <w:color w:val="000000"/>
          <w:sz w:val="24"/>
        </w:rPr>
        <w:t>.</w:t>
      </w:r>
      <w:r>
        <w:rPr>
          <w:rFonts w:hint="eastAsia" w:ascii="宋体" w:hAnsi="宋体" w:eastAsia="宋体" w:cs="Times New Roman"/>
          <w:b/>
          <w:color w:val="000000"/>
          <w:sz w:val="24"/>
        </w:rPr>
        <w:t>课程思政育人目标</w:t>
      </w:r>
    </w:p>
    <w:p w14:paraId="7CA52E44">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通过本章内容学习，使师范生了解所谓黑暗的中世纪所具有的历史进步意义，没有中世纪一千年的积淀和孕育，伟大的文艺复兴、宗教改革和科学革命等都不可能相继发生。因此，看待任何事物都必须一分为二。</w:t>
      </w:r>
    </w:p>
    <w:p w14:paraId="67ECD70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：教会教育和世俗教育的特征，中世纪大学的历史作用</w:t>
      </w:r>
    </w:p>
    <w:p w14:paraId="0401BF7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：把握经院哲学的历史影响</w:t>
      </w:r>
    </w:p>
    <w:p w14:paraId="521A5014">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（五）文艺复兴和宗教改革时期的教育（本模块各知识点的讲授与学习，可以支撑课程目标</w:t>
      </w:r>
      <w:r>
        <w:rPr>
          <w:rFonts w:ascii="宋体" w:hAnsi="宋体" w:eastAsia="宋体" w:cs="Times New Roman"/>
          <w:b/>
          <w:color w:val="000000"/>
          <w:sz w:val="24"/>
        </w:rPr>
        <w:t>3</w:t>
      </w:r>
      <w:r>
        <w:rPr>
          <w:rFonts w:hint="eastAsia" w:ascii="宋体" w:hAnsi="宋体" w:eastAsia="宋体" w:cs="Times New Roman"/>
          <w:b/>
          <w:color w:val="000000"/>
          <w:sz w:val="24"/>
        </w:rPr>
        <w:t>）</w:t>
      </w:r>
    </w:p>
    <w:p w14:paraId="567EFD09">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60BE201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）文艺复兴的产生及其人文主义教育</w:t>
      </w:r>
    </w:p>
    <w:p w14:paraId="78E188F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）宗教改革的背景及其对教育发展的影响</w:t>
      </w:r>
    </w:p>
    <w:p w14:paraId="7F51370F">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69BA430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）了解中世纪和文艺复兴的联系；</w:t>
      </w:r>
    </w:p>
    <w:p w14:paraId="29AADBE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）理解人文主义教育的主要内容；</w:t>
      </w:r>
    </w:p>
    <w:p w14:paraId="1AC4189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）掌握文艺复兴和宗教改革对西欧近代教育的影响。</w:t>
      </w:r>
    </w:p>
    <w:p w14:paraId="6FF15976">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w:t>
      </w:r>
      <w:r>
        <w:rPr>
          <w:rFonts w:ascii="宋体" w:hAnsi="宋体" w:eastAsia="宋体" w:cs="Times New Roman"/>
          <w:b/>
          <w:color w:val="000000"/>
          <w:sz w:val="24"/>
        </w:rPr>
        <w:t>.</w:t>
      </w:r>
      <w:r>
        <w:rPr>
          <w:rFonts w:hint="eastAsia" w:ascii="宋体" w:hAnsi="宋体" w:eastAsia="宋体" w:cs="Times New Roman"/>
          <w:b/>
          <w:color w:val="000000"/>
          <w:sz w:val="24"/>
        </w:rPr>
        <w:t>课程思政育人目标</w:t>
      </w:r>
    </w:p>
    <w:p w14:paraId="1901EB92">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学生回忆和温故西方历史上曾经出现过的划时代事件和重要人物，以及宗教对欧洲诸国的深刻影响，通过对比，发现我国历史同期所创造的灿烂文化对欧洲历史进程的影响，深刻理解我国当前实行的民族区域自治政策的特殊意义。</w:t>
      </w:r>
    </w:p>
    <w:p w14:paraId="79B7027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：理解人文主义教育家的教育主张；国民教育的兴起</w:t>
      </w:r>
    </w:p>
    <w:p w14:paraId="7CE7C6C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：中世纪教育和文艺复兴时期教育的联系</w:t>
      </w:r>
    </w:p>
    <w:p w14:paraId="62C0EDCC">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（六）夸美纽斯的教育思想（本模块各知识点的讲授与学习，可以支撑课程目标</w:t>
      </w:r>
      <w:r>
        <w:rPr>
          <w:rFonts w:ascii="宋体" w:hAnsi="宋体" w:eastAsia="宋体" w:cs="Times New Roman"/>
          <w:b/>
          <w:color w:val="000000"/>
          <w:sz w:val="24"/>
        </w:rPr>
        <w:t>4</w:t>
      </w:r>
      <w:r>
        <w:rPr>
          <w:rFonts w:hint="eastAsia" w:ascii="宋体" w:hAnsi="宋体" w:eastAsia="宋体" w:cs="Times New Roman"/>
          <w:b/>
          <w:color w:val="000000"/>
          <w:sz w:val="24"/>
        </w:rPr>
        <w:t>）</w:t>
      </w:r>
    </w:p>
    <w:p w14:paraId="1E6F858D">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37632EE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）生平活动和代表性著作</w:t>
      </w:r>
    </w:p>
    <w:p w14:paraId="730BA5C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）主要教育观点</w:t>
      </w:r>
    </w:p>
    <w:p w14:paraId="20E42DF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）历史影响和局限性</w:t>
      </w:r>
    </w:p>
    <w:p w14:paraId="6CC45909">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4398953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）了解夸美纽斯的生平和《大教学论》的影响</w:t>
      </w:r>
    </w:p>
    <w:p w14:paraId="4FA1755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）理解其教育思想的主要观点</w:t>
      </w:r>
    </w:p>
    <w:p w14:paraId="0020397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）掌握其普及教育思想和教学理论</w:t>
      </w:r>
    </w:p>
    <w:p w14:paraId="6F496B69">
      <w:pPr>
        <w:adjustRightInd w:val="0"/>
        <w:snapToGrid w:val="0"/>
        <w:spacing w:line="360" w:lineRule="auto"/>
        <w:rPr>
          <w:rFonts w:hint="eastAsia" w:ascii="宋体" w:hAnsi="宋体" w:eastAsia="宋体" w:cs="宋体"/>
          <w:b/>
          <w:bCs/>
          <w:color w:val="000000"/>
          <w:kern w:val="0"/>
          <w:sz w:val="24"/>
        </w:rPr>
      </w:pPr>
      <w:r>
        <w:rPr>
          <w:rFonts w:hint="eastAsia" w:ascii="宋体" w:hAnsi="宋体" w:eastAsia="宋体" w:cs="宋体"/>
          <w:b/>
          <w:bCs/>
          <w:color w:val="000000"/>
          <w:kern w:val="0"/>
          <w:sz w:val="24"/>
        </w:rPr>
        <w:t>3</w:t>
      </w:r>
      <w:r>
        <w:rPr>
          <w:rFonts w:ascii="宋体" w:hAnsi="宋体" w:eastAsia="宋体" w:cs="宋体"/>
          <w:b/>
          <w:bCs/>
          <w:color w:val="000000"/>
          <w:kern w:val="0"/>
          <w:sz w:val="24"/>
        </w:rPr>
        <w:t>.</w:t>
      </w:r>
      <w:r>
        <w:rPr>
          <w:rFonts w:hint="eastAsia" w:ascii="宋体" w:hAnsi="宋体" w:eastAsia="宋体" w:cs="宋体"/>
          <w:b/>
          <w:bCs/>
          <w:color w:val="000000"/>
          <w:kern w:val="0"/>
          <w:sz w:val="24"/>
        </w:rPr>
        <w:t>课程思政育人目标</w:t>
      </w:r>
    </w:p>
    <w:p w14:paraId="6EAA8B89">
      <w:pPr>
        <w:adjustRightInd w:val="0"/>
        <w:snapToGrid w:val="0"/>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通过本章内容学习，使学生了解欧洲一个小国——捷克所诞生的伟大教育家对世界教育史和教育学科发展所做出的贡献，进而使学生意识到人的的价值是在奋斗中创造的，任何人都不可能轻易成功。</w:t>
      </w:r>
    </w:p>
    <w:p w14:paraId="1FB800A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：理解夸美纽斯教育思想的主要内容</w:t>
      </w:r>
    </w:p>
    <w:p w14:paraId="70FEDB11">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：理解夸美纽斯教育思想的历史局限性。</w:t>
      </w:r>
    </w:p>
    <w:p w14:paraId="7C26FC6E">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（七）启蒙运动和洛克、卢梭的教育思想（本模块各知识点的讲授与学习，可以支撑课程目标</w:t>
      </w:r>
      <w:r>
        <w:rPr>
          <w:rFonts w:ascii="宋体" w:hAnsi="宋体" w:eastAsia="宋体" w:cs="Times New Roman"/>
          <w:b/>
          <w:color w:val="000000"/>
          <w:sz w:val="24"/>
        </w:rPr>
        <w:t>5</w:t>
      </w:r>
      <w:r>
        <w:rPr>
          <w:rFonts w:hint="eastAsia" w:ascii="宋体" w:hAnsi="宋体" w:eastAsia="宋体" w:cs="Times New Roman"/>
          <w:b/>
          <w:color w:val="000000"/>
          <w:sz w:val="24"/>
        </w:rPr>
        <w:t>）</w:t>
      </w:r>
    </w:p>
    <w:p w14:paraId="7EAEFF78">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1A8B940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）启蒙运动的产生和历史作用</w:t>
      </w:r>
    </w:p>
    <w:p w14:paraId="77B9DC7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）洛克的绅士教育思想</w:t>
      </w:r>
    </w:p>
    <w:p w14:paraId="304C26A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）卢梭的自然主义教育理论</w:t>
      </w:r>
    </w:p>
    <w:p w14:paraId="7474026C">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218DF20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）了解启蒙运动的历史作用；</w:t>
      </w:r>
    </w:p>
    <w:p w14:paraId="5D8BD0A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）理解洛克的白板说；</w:t>
      </w:r>
    </w:p>
    <w:p w14:paraId="57CFD6F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）掌握卢梭自然主义教育的内涵。</w:t>
      </w:r>
    </w:p>
    <w:p w14:paraId="5B7725E3">
      <w:pPr>
        <w:widowControl/>
        <w:adjustRightInd w:val="0"/>
        <w:snapToGrid w:val="0"/>
        <w:spacing w:line="360" w:lineRule="auto"/>
        <w:jc w:val="left"/>
        <w:rPr>
          <w:rFonts w:hint="eastAsia" w:ascii="宋体" w:hAnsi="宋体" w:eastAsia="宋体" w:cs="宋体"/>
          <w:b/>
          <w:bCs/>
          <w:color w:val="000000"/>
          <w:kern w:val="0"/>
          <w:sz w:val="24"/>
        </w:rPr>
      </w:pPr>
      <w:r>
        <w:rPr>
          <w:rFonts w:hint="eastAsia" w:ascii="宋体" w:hAnsi="宋体" w:eastAsia="宋体" w:cs="宋体"/>
          <w:b/>
          <w:bCs/>
          <w:color w:val="000000"/>
          <w:kern w:val="0"/>
          <w:sz w:val="24"/>
        </w:rPr>
        <w:t>3</w:t>
      </w:r>
      <w:r>
        <w:rPr>
          <w:rFonts w:ascii="宋体" w:hAnsi="宋体" w:eastAsia="宋体" w:cs="宋体"/>
          <w:b/>
          <w:bCs/>
          <w:color w:val="000000"/>
          <w:kern w:val="0"/>
          <w:sz w:val="24"/>
        </w:rPr>
        <w:t>.</w:t>
      </w:r>
      <w:r>
        <w:rPr>
          <w:rFonts w:hint="eastAsia" w:ascii="宋体" w:hAnsi="宋体" w:eastAsia="宋体" w:cs="宋体"/>
          <w:b/>
          <w:bCs/>
          <w:color w:val="000000"/>
          <w:kern w:val="0"/>
          <w:sz w:val="24"/>
        </w:rPr>
        <w:t>课程思政育人目标</w:t>
      </w:r>
    </w:p>
    <w:p w14:paraId="04F552FB">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通过本章内容学习，使师范生理解时代与个人之间的关系，没有启蒙运动的时代背景，也就不可能产生洛克和卢梭这样伟大的时代精英。因此，一个人的成功除了个人天赋和后天努力之外，也是时代的产物。</w:t>
      </w:r>
    </w:p>
    <w:p w14:paraId="527D0EA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：理解洛克白板说、经验论与绅士教育思想之间的关系；卢梭自然主义教育的实质</w:t>
      </w:r>
    </w:p>
    <w:p w14:paraId="22A8ABC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：洛克经验论哲学和卢梭的儿童中心主义思想</w:t>
      </w:r>
    </w:p>
    <w:p w14:paraId="3BD2120F">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（八）</w:t>
      </w:r>
      <w:r>
        <w:rPr>
          <w:rFonts w:ascii="宋体" w:hAnsi="宋体" w:eastAsia="宋体" w:cs="Times New Roman"/>
          <w:b/>
          <w:color w:val="000000"/>
          <w:sz w:val="24"/>
        </w:rPr>
        <w:t>19</w:t>
      </w:r>
      <w:r>
        <w:rPr>
          <w:rFonts w:hint="eastAsia" w:ascii="宋体" w:hAnsi="宋体" w:eastAsia="宋体" w:cs="Times New Roman"/>
          <w:b/>
          <w:color w:val="000000"/>
          <w:sz w:val="24"/>
        </w:rPr>
        <w:t>世纪西欧主要国家的教育改革和主要教育家的教育思想（本模块各知识点的讲授与学习，可以支撑课程目标</w:t>
      </w:r>
      <w:r>
        <w:rPr>
          <w:rFonts w:ascii="宋体" w:hAnsi="宋体" w:eastAsia="宋体" w:cs="Times New Roman"/>
          <w:b/>
          <w:color w:val="000000"/>
          <w:sz w:val="24"/>
        </w:rPr>
        <w:t>6</w:t>
      </w:r>
      <w:r>
        <w:rPr>
          <w:rFonts w:hint="eastAsia" w:ascii="宋体" w:hAnsi="宋体" w:eastAsia="宋体" w:cs="Times New Roman"/>
          <w:b/>
          <w:color w:val="000000"/>
          <w:sz w:val="24"/>
        </w:rPr>
        <w:t>）</w:t>
      </w:r>
    </w:p>
    <w:p w14:paraId="050BA876">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2B4A76A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）英国教育改革与斯宾塞的科学教育思想</w:t>
      </w:r>
      <w:r>
        <w:rPr>
          <w:rFonts w:ascii="宋体" w:hAnsi="宋体" w:eastAsia="宋体" w:cs="宋体"/>
          <w:color w:val="000000"/>
          <w:kern w:val="0"/>
          <w:sz w:val="24"/>
        </w:rPr>
        <w:t xml:space="preserve"> </w:t>
      </w:r>
    </w:p>
    <w:p w14:paraId="62B5EE6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）德国的教育改革与福禄贝尔、第斯多惠、洪堡的教育思想</w:t>
      </w:r>
    </w:p>
    <w:p w14:paraId="7888DA0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）俄国的教育改革与乌申斯基的教育思想</w:t>
      </w:r>
    </w:p>
    <w:p w14:paraId="3521709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4</w:t>
      </w:r>
      <w:r>
        <w:rPr>
          <w:rFonts w:hint="eastAsia" w:ascii="宋体" w:hAnsi="宋体" w:eastAsia="宋体" w:cs="宋体"/>
          <w:color w:val="000000"/>
          <w:kern w:val="0"/>
          <w:sz w:val="24"/>
        </w:rPr>
        <w:t>）美国教育的改革</w:t>
      </w:r>
    </w:p>
    <w:p w14:paraId="5EE8810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5</w:t>
      </w:r>
      <w:r>
        <w:rPr>
          <w:rFonts w:hint="eastAsia" w:ascii="宋体" w:hAnsi="宋体" w:eastAsia="宋体" w:cs="宋体"/>
          <w:color w:val="000000"/>
          <w:kern w:val="0"/>
          <w:sz w:val="24"/>
        </w:rPr>
        <w:t>）日本的教育改革与福泽谕吉的教育思想</w:t>
      </w:r>
    </w:p>
    <w:p w14:paraId="18ABE522">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1582042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w:t>
      </w:r>
      <w:r>
        <w:rPr>
          <w:rFonts w:ascii="宋体" w:hAnsi="宋体" w:eastAsia="宋体" w:cs="宋体"/>
          <w:color w:val="000000"/>
          <w:kern w:val="0"/>
          <w:sz w:val="24"/>
        </w:rPr>
        <w:t>19</w:t>
      </w:r>
      <w:r>
        <w:rPr>
          <w:rFonts w:hint="eastAsia" w:ascii="宋体" w:hAnsi="宋体" w:eastAsia="宋体" w:cs="宋体"/>
          <w:color w:val="000000"/>
          <w:kern w:val="0"/>
          <w:sz w:val="24"/>
        </w:rPr>
        <w:t>世纪西欧主要国家教育改革的概况</w:t>
      </w:r>
    </w:p>
    <w:p w14:paraId="37E6D60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）理解主要教育家的教育思想及其历史影响</w:t>
      </w:r>
    </w:p>
    <w:p w14:paraId="2DAD1C9D">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）理解近代教育制度的确立和近代大学的创建</w:t>
      </w:r>
    </w:p>
    <w:p w14:paraId="652F7F9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4</w:t>
      </w:r>
      <w:r>
        <w:rPr>
          <w:rFonts w:hint="eastAsia" w:ascii="宋体" w:hAnsi="宋体" w:eastAsia="宋体" w:cs="宋体"/>
          <w:color w:val="000000"/>
          <w:kern w:val="0"/>
          <w:sz w:val="24"/>
        </w:rPr>
        <w:t>）掌握主要教育家的教育思想观点</w:t>
      </w:r>
    </w:p>
    <w:p w14:paraId="6A3F75EF">
      <w:pPr>
        <w:widowControl/>
        <w:adjustRightInd w:val="0"/>
        <w:snapToGrid w:val="0"/>
        <w:spacing w:line="360" w:lineRule="auto"/>
        <w:jc w:val="left"/>
        <w:rPr>
          <w:rFonts w:hint="eastAsia" w:ascii="宋体" w:hAnsi="宋体" w:eastAsia="宋体" w:cs="宋体"/>
          <w:b/>
          <w:bCs/>
          <w:color w:val="000000"/>
          <w:kern w:val="0"/>
          <w:sz w:val="24"/>
        </w:rPr>
      </w:pPr>
      <w:r>
        <w:rPr>
          <w:rFonts w:hint="eastAsia" w:ascii="宋体" w:hAnsi="宋体" w:eastAsia="宋体" w:cs="宋体"/>
          <w:b/>
          <w:bCs/>
          <w:color w:val="000000"/>
          <w:kern w:val="0"/>
          <w:sz w:val="24"/>
        </w:rPr>
        <w:t>3</w:t>
      </w:r>
      <w:r>
        <w:rPr>
          <w:rFonts w:ascii="宋体" w:hAnsi="宋体" w:eastAsia="宋体" w:cs="宋体"/>
          <w:b/>
          <w:bCs/>
          <w:color w:val="000000"/>
          <w:kern w:val="0"/>
          <w:sz w:val="24"/>
        </w:rPr>
        <w:t>.</w:t>
      </w:r>
      <w:r>
        <w:rPr>
          <w:rFonts w:hint="eastAsia" w:ascii="宋体" w:hAnsi="宋体" w:eastAsia="宋体" w:cs="宋体"/>
          <w:b/>
          <w:bCs/>
          <w:color w:val="000000"/>
          <w:kern w:val="0"/>
          <w:sz w:val="24"/>
        </w:rPr>
        <w:t>课程思政育人目标</w:t>
      </w:r>
    </w:p>
    <w:p w14:paraId="1F9C521B">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通过本章内容学习，使师范生了解近代欧洲主要国家教育发展所取得的成就，以及我国同时期教育所存在的落后局面，在对比中理解我国近代所遭受到的侵略，不断增强爱国情怀和报国之志。</w:t>
      </w:r>
    </w:p>
    <w:p w14:paraId="4B068816">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：理解主要教育家的教育观点及其历史意义</w:t>
      </w:r>
    </w:p>
    <w:p w14:paraId="549F894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：近代教育制度的确立对教育发展的历史作用；近代大学的改革内容及其历史影响</w:t>
      </w:r>
    </w:p>
    <w:p w14:paraId="07619DF2">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（九）裴斯泰洛齐和赫尔巴特的教育思想（本模块各知识点的讲授与学习，可以支撑课程目标</w:t>
      </w:r>
      <w:r>
        <w:rPr>
          <w:rFonts w:ascii="宋体" w:hAnsi="宋体" w:eastAsia="宋体" w:cs="Times New Roman"/>
          <w:b/>
          <w:color w:val="000000"/>
          <w:sz w:val="24"/>
        </w:rPr>
        <w:t>6</w:t>
      </w:r>
      <w:r>
        <w:rPr>
          <w:rFonts w:hint="eastAsia" w:ascii="宋体" w:hAnsi="宋体" w:eastAsia="宋体" w:cs="Times New Roman"/>
          <w:b/>
          <w:color w:val="000000"/>
          <w:sz w:val="24"/>
        </w:rPr>
        <w:t>）</w:t>
      </w:r>
    </w:p>
    <w:p w14:paraId="46F4EEC8">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3D794C6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）裴斯泰洛齐和赫尔巴特的生平和代表性著作</w:t>
      </w:r>
    </w:p>
    <w:p w14:paraId="71747B1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）裴斯泰洛齐和赫尔巴特的教育思想的主要内容</w:t>
      </w:r>
    </w:p>
    <w:p w14:paraId="1CA2BDE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）裴斯泰洛齐和赫尔巴特教育思想的历史影响</w:t>
      </w:r>
    </w:p>
    <w:p w14:paraId="2A5C28B3">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2C923671">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）了解两个教育家的生平和教育实践活动</w:t>
      </w:r>
    </w:p>
    <w:p w14:paraId="003F579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）理解两个教育家的教育思想及其历史影响</w:t>
      </w:r>
    </w:p>
    <w:p w14:paraId="1910A4E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）掌握赫尔巴特在教育史上的贡献和局限性</w:t>
      </w:r>
    </w:p>
    <w:p w14:paraId="2E924832">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w:t>
      </w:r>
      <w:r>
        <w:rPr>
          <w:rFonts w:ascii="宋体" w:hAnsi="宋体" w:eastAsia="宋体" w:cs="Times New Roman"/>
          <w:b/>
          <w:color w:val="000000"/>
          <w:sz w:val="24"/>
        </w:rPr>
        <w:t>.</w:t>
      </w:r>
      <w:r>
        <w:rPr>
          <w:rFonts w:hint="eastAsia" w:ascii="宋体" w:hAnsi="宋体" w:eastAsia="宋体" w:cs="Times New Roman"/>
          <w:b/>
          <w:color w:val="000000"/>
          <w:sz w:val="24"/>
        </w:rPr>
        <w:t>课程思政育人目标</w:t>
      </w:r>
    </w:p>
    <w:p w14:paraId="3CE8830F">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在理解两个伟大教育家教育思想和教育实践的同时，发现他们对近现代教育发展所作出的主要贡献，以及对当前我国教育改革所具有的启发意义。他们两个人毕生的精力都放在了教育事业上，对师范生而言，他们的人生经历具有一定的教育意义。</w:t>
      </w:r>
    </w:p>
    <w:p w14:paraId="3EF89AC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：理解两个教育家的教育观点及其历史意义</w:t>
      </w:r>
    </w:p>
    <w:p w14:paraId="6256DDA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：裴斯泰洛齐的教育理论和赫尔巴特的教育双重教育目的</w:t>
      </w:r>
    </w:p>
    <w:p w14:paraId="3982E25B">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（十）</w:t>
      </w:r>
      <w:r>
        <w:rPr>
          <w:rFonts w:ascii="宋体" w:hAnsi="宋体" w:eastAsia="宋体" w:cs="Times New Roman"/>
          <w:b/>
          <w:color w:val="000000"/>
          <w:sz w:val="24"/>
        </w:rPr>
        <w:t>20</w:t>
      </w:r>
      <w:r>
        <w:rPr>
          <w:rFonts w:hint="eastAsia" w:ascii="宋体" w:hAnsi="宋体" w:eastAsia="宋体" w:cs="Times New Roman"/>
          <w:b/>
          <w:color w:val="000000"/>
          <w:sz w:val="24"/>
        </w:rPr>
        <w:t>世纪前期欧美教育改革运动（本模块各知识点的讲授与学习，可以支撑课程目标</w:t>
      </w:r>
      <w:r>
        <w:rPr>
          <w:rFonts w:ascii="宋体" w:hAnsi="宋体" w:eastAsia="宋体" w:cs="Times New Roman"/>
          <w:b/>
          <w:color w:val="000000"/>
          <w:sz w:val="24"/>
        </w:rPr>
        <w:t>6</w:t>
      </w:r>
      <w:r>
        <w:rPr>
          <w:rFonts w:hint="eastAsia" w:ascii="宋体" w:hAnsi="宋体" w:eastAsia="宋体" w:cs="Times New Roman"/>
          <w:b/>
          <w:color w:val="000000"/>
          <w:sz w:val="24"/>
        </w:rPr>
        <w:t>）</w:t>
      </w:r>
    </w:p>
    <w:p w14:paraId="6D3292D9">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48388E36">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）欧洲新教育运动和美国进步主义教育运动概况</w:t>
      </w:r>
    </w:p>
    <w:p w14:paraId="3CB47F5D">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）欧美实验教育学的产生及其影响</w:t>
      </w:r>
    </w:p>
    <w:p w14:paraId="7386F32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）主要教育家的教育思想</w:t>
      </w:r>
    </w:p>
    <w:p w14:paraId="1B2A9C8C">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4CC4731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）了解欧洲新教育运动和美国进步主义教育运动的进程</w:t>
      </w:r>
    </w:p>
    <w:p w14:paraId="277EFC3D">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）理解实验教育学的产生及其对教育学科发展的影响</w:t>
      </w:r>
    </w:p>
    <w:p w14:paraId="4D9F7851">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）掌握主要教育家的教育思想</w:t>
      </w:r>
    </w:p>
    <w:p w14:paraId="79D79231">
      <w:pPr>
        <w:widowControl/>
        <w:adjustRightInd w:val="0"/>
        <w:snapToGrid w:val="0"/>
        <w:spacing w:line="360" w:lineRule="auto"/>
        <w:jc w:val="left"/>
        <w:rPr>
          <w:rFonts w:hint="eastAsia" w:ascii="宋体" w:hAnsi="宋体" w:eastAsia="宋体" w:cs="宋体"/>
          <w:b/>
          <w:bCs/>
          <w:color w:val="000000"/>
          <w:kern w:val="0"/>
          <w:sz w:val="24"/>
        </w:rPr>
      </w:pPr>
      <w:r>
        <w:rPr>
          <w:rFonts w:ascii="宋体" w:hAnsi="宋体" w:eastAsia="宋体" w:cs="宋体"/>
          <w:b/>
          <w:bCs/>
          <w:color w:val="000000"/>
          <w:kern w:val="0"/>
          <w:sz w:val="24"/>
        </w:rPr>
        <w:t>3.</w:t>
      </w:r>
      <w:r>
        <w:rPr>
          <w:rFonts w:hint="eastAsia" w:ascii="宋体" w:hAnsi="宋体" w:eastAsia="宋体" w:cs="宋体"/>
          <w:b/>
          <w:bCs/>
          <w:color w:val="000000"/>
          <w:kern w:val="0"/>
          <w:sz w:val="24"/>
        </w:rPr>
        <w:t>课程思政育人目标</w:t>
      </w:r>
    </w:p>
    <w:p w14:paraId="5E1048AD">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师范生理解教育工作的复杂性和艰巨性，欧洲的新教育革新运动虽然取得了一定的成功，但影响毕竟是有限的。一个人一生能做的事情也是有限的，因此要想作出成就，就必须专注于自己喜欢的事情，并努力坚持。</w:t>
      </w:r>
    </w:p>
    <w:p w14:paraId="31C0FDD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：理解欧洲新教育运动和美国进步主义教育运动之间的联系</w:t>
      </w:r>
    </w:p>
    <w:p w14:paraId="53D64D7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：实验教育学的历史影响</w:t>
      </w:r>
    </w:p>
    <w:p w14:paraId="5F6772F9">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（十一）杜威的教育思想（本模块各知识点的讲授与学习，可以支撑课程目标</w:t>
      </w:r>
      <w:r>
        <w:rPr>
          <w:rFonts w:ascii="宋体" w:hAnsi="宋体" w:eastAsia="宋体" w:cs="Times New Roman"/>
          <w:b/>
          <w:color w:val="000000"/>
          <w:sz w:val="24"/>
        </w:rPr>
        <w:t>6</w:t>
      </w:r>
      <w:r>
        <w:rPr>
          <w:rFonts w:hint="eastAsia" w:ascii="宋体" w:hAnsi="宋体" w:eastAsia="宋体" w:cs="Times New Roman"/>
          <w:b/>
          <w:color w:val="000000"/>
          <w:sz w:val="24"/>
        </w:rPr>
        <w:t>）</w:t>
      </w:r>
    </w:p>
    <w:p w14:paraId="1EB2AE00">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47C9ECE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）杜威的生平和代表性著作</w:t>
      </w:r>
    </w:p>
    <w:p w14:paraId="2892F90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）杜威教育思想的主要内容</w:t>
      </w:r>
    </w:p>
    <w:p w14:paraId="2968F6A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）杜威教育思想的历史影响</w:t>
      </w:r>
    </w:p>
    <w:p w14:paraId="3ACA8450">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0642B447">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）了解杜威的生平和教育实践活动</w:t>
      </w:r>
    </w:p>
    <w:p w14:paraId="480AB8A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）理解杜威的教育目的观</w:t>
      </w:r>
    </w:p>
    <w:p w14:paraId="5E5A7C4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）掌握杜威的课程与教学论</w:t>
      </w:r>
    </w:p>
    <w:p w14:paraId="505E0CE0">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4320D4DA">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学生理解杜威教育思想的当代启发意义，从杜威教育思想中领会教育即生活、学校即社会、从做中学的本质内涵，结合我国当前小学教育存在的实际问题，看到教育改革的艰难，并增强教育改革的信心。</w:t>
      </w:r>
    </w:p>
    <w:p w14:paraId="5D92831D">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：理解杜威的教育观点及其历史意义</w:t>
      </w:r>
    </w:p>
    <w:p w14:paraId="58BCDA2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：杜威教育目的的特征</w:t>
      </w:r>
    </w:p>
    <w:p w14:paraId="600A1C94">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（十二）现代欧美教育思潮（本模块各知识点的讲授与学习，可以支撑课程目标</w:t>
      </w:r>
      <w:r>
        <w:rPr>
          <w:rFonts w:ascii="宋体" w:hAnsi="宋体" w:eastAsia="宋体" w:cs="Times New Roman"/>
          <w:b/>
          <w:color w:val="000000"/>
          <w:sz w:val="24"/>
        </w:rPr>
        <w:t>6</w:t>
      </w:r>
      <w:r>
        <w:rPr>
          <w:rFonts w:hint="eastAsia" w:ascii="宋体" w:hAnsi="宋体" w:eastAsia="宋体" w:cs="Times New Roman"/>
          <w:b/>
          <w:color w:val="000000"/>
          <w:sz w:val="24"/>
        </w:rPr>
        <w:t>）</w:t>
      </w:r>
    </w:p>
    <w:p w14:paraId="7EF730C1">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6C1657E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）现代欧美教育哲学概况</w:t>
      </w:r>
    </w:p>
    <w:p w14:paraId="3036C8B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）存在主义、永恒主义、要素主义等教育思潮的主要内容</w:t>
      </w:r>
    </w:p>
    <w:p w14:paraId="40BF6DF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）教育思潮的历史影响</w:t>
      </w:r>
    </w:p>
    <w:p w14:paraId="0AEBB518">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0F8F0AF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）了解欧美教育思潮概况</w:t>
      </w:r>
    </w:p>
    <w:p w14:paraId="7DA3CCB6">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）理解主要教育思潮的主要观点</w:t>
      </w:r>
    </w:p>
    <w:p w14:paraId="0FF16A6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）掌握主要教育思潮的历史影响</w:t>
      </w:r>
    </w:p>
    <w:p w14:paraId="3B8C2792">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0AD6D553">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通过本质内容学习，使学生理解不同教育思潮产生的时代背景和产生的历史价值，并从中体会社会思潮对个人成长发展所产生的潜移默化的深刻影响，以及未来如何在工作中加强对小学生的思想引导。</w:t>
      </w:r>
    </w:p>
    <w:p w14:paraId="6EC276FD">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：理解现代欧美主要教育哲学</w:t>
      </w:r>
    </w:p>
    <w:p w14:paraId="355BBDB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：存在主义、分析哲学和后现代主义教育思潮</w:t>
      </w:r>
    </w:p>
    <w:p w14:paraId="1B894430">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教学内容与课程目标的对应关系及学时分配如表所示：</w:t>
      </w:r>
    </w:p>
    <w:tbl>
      <w:tblPr>
        <w:tblStyle w:val="13"/>
        <w:tblW w:w="876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3415"/>
        <w:gridCol w:w="1580"/>
        <w:gridCol w:w="2450"/>
        <w:gridCol w:w="9"/>
        <w:gridCol w:w="722"/>
      </w:tblGrid>
      <w:tr w14:paraId="0281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585" w:type="dxa"/>
            <w:shd w:val="clear" w:color="auto" w:fill="FFFFFF"/>
            <w:vAlign w:val="center"/>
          </w:tcPr>
          <w:p w14:paraId="7C0995D6">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序号</w:t>
            </w:r>
          </w:p>
        </w:tc>
        <w:tc>
          <w:tcPr>
            <w:tcW w:w="3415" w:type="dxa"/>
            <w:shd w:val="clear" w:color="auto" w:fill="FFFFFF"/>
            <w:vAlign w:val="center"/>
          </w:tcPr>
          <w:p w14:paraId="16C63FFC">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1580" w:type="dxa"/>
            <w:shd w:val="clear" w:color="auto" w:fill="FFFFFF"/>
            <w:vAlign w:val="center"/>
          </w:tcPr>
          <w:p w14:paraId="4E916928">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支撑的课程目标</w:t>
            </w:r>
          </w:p>
        </w:tc>
        <w:tc>
          <w:tcPr>
            <w:tcW w:w="2450" w:type="dxa"/>
            <w:shd w:val="clear" w:color="auto" w:fill="FFFFFF"/>
            <w:vAlign w:val="center"/>
          </w:tcPr>
          <w:p w14:paraId="3B7C0FBA">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支撑的毕业要求指标点</w:t>
            </w:r>
          </w:p>
        </w:tc>
        <w:tc>
          <w:tcPr>
            <w:tcW w:w="729" w:type="dxa"/>
            <w:gridSpan w:val="2"/>
            <w:shd w:val="clear" w:color="auto" w:fill="FFFFFF"/>
            <w:vAlign w:val="center"/>
          </w:tcPr>
          <w:p w14:paraId="21743780">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讲授学时</w:t>
            </w:r>
          </w:p>
        </w:tc>
      </w:tr>
      <w:tr w14:paraId="5140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5" w:type="dxa"/>
            <w:shd w:val="clear" w:color="auto" w:fill="FFFFFF"/>
            <w:vAlign w:val="center"/>
          </w:tcPr>
          <w:p w14:paraId="4EE12822">
            <w:pPr>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1</w:t>
            </w:r>
          </w:p>
        </w:tc>
        <w:tc>
          <w:tcPr>
            <w:tcW w:w="3415" w:type="dxa"/>
            <w:shd w:val="clear" w:color="auto" w:fill="FFFFFF"/>
            <w:vAlign w:val="center"/>
          </w:tcPr>
          <w:p w14:paraId="2ECD7FAA">
            <w:pPr>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外国教育史概述</w:t>
            </w:r>
          </w:p>
        </w:tc>
        <w:tc>
          <w:tcPr>
            <w:tcW w:w="1580" w:type="dxa"/>
            <w:shd w:val="clear" w:color="auto" w:fill="FFFFFF"/>
            <w:vAlign w:val="center"/>
          </w:tcPr>
          <w:p w14:paraId="1CA7690A">
            <w:pPr>
              <w:spacing w:line="276" w:lineRule="auto"/>
              <w:jc w:val="center"/>
              <w:rPr>
                <w:rFonts w:hint="eastAsia"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shd w:val="clear" w:color="auto" w:fill="FFFFFF"/>
            <w:vAlign w:val="center"/>
          </w:tcPr>
          <w:p w14:paraId="5D7554A9">
            <w:pPr>
              <w:spacing w:line="276" w:lineRule="auto"/>
              <w:jc w:val="center"/>
              <w:rPr>
                <w:rFonts w:hint="eastAsia" w:ascii="宋体" w:hAnsi="宋体" w:eastAsia="宋体" w:cs="Times New Roman"/>
                <w:color w:val="000000"/>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shd w:val="clear" w:color="auto" w:fill="FFFFFF"/>
            <w:vAlign w:val="center"/>
          </w:tcPr>
          <w:p w14:paraId="793DC1CA">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w:t>
            </w:r>
          </w:p>
        </w:tc>
      </w:tr>
      <w:tr w14:paraId="249F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85" w:type="dxa"/>
            <w:vAlign w:val="center"/>
          </w:tcPr>
          <w:p w14:paraId="2DAB6AE5">
            <w:pPr>
              <w:spacing w:line="276" w:lineRule="auto"/>
              <w:jc w:val="center"/>
              <w:rPr>
                <w:rFonts w:hint="eastAsia" w:ascii="宋体" w:hAnsi="宋体" w:eastAsia="宋体" w:cs="Times New Roman"/>
                <w:szCs w:val="21"/>
              </w:rPr>
            </w:pPr>
            <w:r>
              <w:rPr>
                <w:rFonts w:ascii="宋体" w:hAnsi="宋体" w:eastAsia="宋体" w:cs="Times New Roman"/>
                <w:szCs w:val="21"/>
              </w:rPr>
              <w:t>2</w:t>
            </w:r>
          </w:p>
        </w:tc>
        <w:tc>
          <w:tcPr>
            <w:tcW w:w="3415" w:type="dxa"/>
            <w:vAlign w:val="center"/>
          </w:tcPr>
          <w:p w14:paraId="2430AE75">
            <w:pPr>
              <w:widowControl/>
              <w:snapToGrid w:val="0"/>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教育的起源和东方文明古国的教育</w:t>
            </w:r>
          </w:p>
        </w:tc>
        <w:tc>
          <w:tcPr>
            <w:tcW w:w="1580" w:type="dxa"/>
            <w:vAlign w:val="center"/>
          </w:tcPr>
          <w:p w14:paraId="7AA17B1E">
            <w:pPr>
              <w:spacing w:line="276" w:lineRule="auto"/>
              <w:jc w:val="center"/>
              <w:rPr>
                <w:rFonts w:hint="eastAsia"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1FFD2C14">
            <w:pPr>
              <w:spacing w:line="276" w:lineRule="auto"/>
              <w:jc w:val="center"/>
              <w:rPr>
                <w:rFonts w:hint="eastAsia" w:ascii="宋体" w:hAnsi="宋体" w:eastAsia="宋体" w:cs="Times New Roman"/>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7-1</w:t>
            </w:r>
          </w:p>
        </w:tc>
        <w:tc>
          <w:tcPr>
            <w:tcW w:w="729" w:type="dxa"/>
            <w:gridSpan w:val="2"/>
            <w:vAlign w:val="center"/>
          </w:tcPr>
          <w:p w14:paraId="4E90D09C">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w:t>
            </w:r>
          </w:p>
        </w:tc>
      </w:tr>
      <w:tr w14:paraId="4668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85" w:type="dxa"/>
            <w:vAlign w:val="center"/>
          </w:tcPr>
          <w:p w14:paraId="2084FCA3">
            <w:pPr>
              <w:spacing w:line="276" w:lineRule="auto"/>
              <w:jc w:val="center"/>
              <w:rPr>
                <w:rFonts w:hint="eastAsia" w:ascii="宋体" w:hAnsi="宋体" w:eastAsia="宋体" w:cs="Times New Roman"/>
                <w:szCs w:val="21"/>
              </w:rPr>
            </w:pPr>
            <w:r>
              <w:rPr>
                <w:rFonts w:ascii="宋体" w:hAnsi="宋体" w:eastAsia="宋体" w:cs="Times New Roman"/>
                <w:szCs w:val="21"/>
              </w:rPr>
              <w:t>3</w:t>
            </w:r>
          </w:p>
        </w:tc>
        <w:tc>
          <w:tcPr>
            <w:tcW w:w="3415" w:type="dxa"/>
            <w:vAlign w:val="center"/>
          </w:tcPr>
          <w:p w14:paraId="28DCB0F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古希腊和古罗马的教育</w:t>
            </w:r>
          </w:p>
        </w:tc>
        <w:tc>
          <w:tcPr>
            <w:tcW w:w="1580" w:type="dxa"/>
            <w:vAlign w:val="center"/>
          </w:tcPr>
          <w:p w14:paraId="357DAC9A">
            <w:pPr>
              <w:spacing w:line="276" w:lineRule="auto"/>
              <w:jc w:val="center"/>
              <w:rPr>
                <w:rFonts w:hint="eastAsia"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3153649E">
            <w:pPr>
              <w:spacing w:line="276" w:lineRule="auto"/>
              <w:jc w:val="center"/>
              <w:rPr>
                <w:rFonts w:hint="eastAsia"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6747BE9D">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4</w:t>
            </w:r>
          </w:p>
        </w:tc>
      </w:tr>
      <w:tr w14:paraId="6198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85" w:type="dxa"/>
            <w:vAlign w:val="center"/>
          </w:tcPr>
          <w:p w14:paraId="308CB689">
            <w:pPr>
              <w:spacing w:line="276" w:lineRule="auto"/>
              <w:jc w:val="center"/>
              <w:rPr>
                <w:rFonts w:hint="eastAsia" w:ascii="宋体" w:hAnsi="宋体" w:eastAsia="宋体" w:cs="Times New Roman"/>
                <w:szCs w:val="21"/>
              </w:rPr>
            </w:pPr>
            <w:r>
              <w:rPr>
                <w:rFonts w:ascii="宋体" w:hAnsi="宋体" w:eastAsia="宋体" w:cs="Times New Roman"/>
                <w:szCs w:val="21"/>
              </w:rPr>
              <w:t>4</w:t>
            </w:r>
          </w:p>
        </w:tc>
        <w:tc>
          <w:tcPr>
            <w:tcW w:w="3415" w:type="dxa"/>
            <w:vAlign w:val="center"/>
          </w:tcPr>
          <w:p w14:paraId="21437E5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中世纪时期西欧的教育</w:t>
            </w:r>
          </w:p>
        </w:tc>
        <w:tc>
          <w:tcPr>
            <w:tcW w:w="1580" w:type="dxa"/>
            <w:vAlign w:val="center"/>
          </w:tcPr>
          <w:p w14:paraId="3552778B">
            <w:pPr>
              <w:spacing w:line="276" w:lineRule="auto"/>
              <w:jc w:val="center"/>
              <w:rPr>
                <w:rFonts w:hint="eastAsia"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37C0E238">
            <w:pPr>
              <w:spacing w:line="276" w:lineRule="auto"/>
              <w:jc w:val="center"/>
              <w:rPr>
                <w:rFonts w:hint="eastAsia"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7DB34632">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w:t>
            </w:r>
          </w:p>
        </w:tc>
      </w:tr>
      <w:tr w14:paraId="527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85" w:type="dxa"/>
            <w:vAlign w:val="center"/>
          </w:tcPr>
          <w:p w14:paraId="43CD372B">
            <w:pPr>
              <w:spacing w:line="276" w:lineRule="auto"/>
              <w:jc w:val="center"/>
              <w:rPr>
                <w:rFonts w:hint="eastAsia" w:ascii="宋体" w:hAnsi="宋体" w:eastAsia="宋体" w:cs="Times New Roman"/>
                <w:szCs w:val="21"/>
              </w:rPr>
            </w:pPr>
            <w:r>
              <w:rPr>
                <w:rFonts w:ascii="宋体" w:hAnsi="宋体" w:eastAsia="宋体" w:cs="Times New Roman"/>
                <w:szCs w:val="21"/>
              </w:rPr>
              <w:t>5</w:t>
            </w:r>
          </w:p>
        </w:tc>
        <w:tc>
          <w:tcPr>
            <w:tcW w:w="3415" w:type="dxa"/>
            <w:vAlign w:val="center"/>
          </w:tcPr>
          <w:p w14:paraId="32CA3B9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文艺复兴和宗教改革时期的教育</w:t>
            </w:r>
          </w:p>
        </w:tc>
        <w:tc>
          <w:tcPr>
            <w:tcW w:w="1580" w:type="dxa"/>
            <w:vAlign w:val="center"/>
          </w:tcPr>
          <w:p w14:paraId="135D214B">
            <w:pPr>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76D30360">
            <w:pPr>
              <w:spacing w:line="276" w:lineRule="auto"/>
              <w:jc w:val="center"/>
              <w:rPr>
                <w:rFonts w:hint="eastAsia"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18355E82">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4</w:t>
            </w:r>
          </w:p>
        </w:tc>
      </w:tr>
      <w:tr w14:paraId="298B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85" w:type="dxa"/>
            <w:vAlign w:val="center"/>
          </w:tcPr>
          <w:p w14:paraId="46A8D2AF">
            <w:pPr>
              <w:spacing w:line="276" w:lineRule="auto"/>
              <w:jc w:val="center"/>
              <w:rPr>
                <w:rFonts w:hint="eastAsia" w:ascii="宋体" w:hAnsi="宋体" w:eastAsia="宋体" w:cs="Times New Roman"/>
                <w:szCs w:val="21"/>
              </w:rPr>
            </w:pPr>
            <w:r>
              <w:rPr>
                <w:rFonts w:ascii="宋体" w:hAnsi="宋体" w:eastAsia="宋体" w:cs="Times New Roman"/>
                <w:szCs w:val="21"/>
              </w:rPr>
              <w:t>6</w:t>
            </w:r>
          </w:p>
        </w:tc>
        <w:tc>
          <w:tcPr>
            <w:tcW w:w="3415" w:type="dxa"/>
            <w:vAlign w:val="center"/>
          </w:tcPr>
          <w:p w14:paraId="55A75D43">
            <w:pPr>
              <w:widowControl/>
              <w:snapToGrid w:val="0"/>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夸美纽斯的教育思想</w:t>
            </w:r>
          </w:p>
        </w:tc>
        <w:tc>
          <w:tcPr>
            <w:tcW w:w="1580" w:type="dxa"/>
            <w:vAlign w:val="center"/>
          </w:tcPr>
          <w:p w14:paraId="10B1BD71">
            <w:pPr>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0DBD5353">
            <w:pPr>
              <w:spacing w:line="276" w:lineRule="auto"/>
              <w:jc w:val="center"/>
              <w:rPr>
                <w:rFonts w:hint="eastAsia"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33323E44">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w:t>
            </w:r>
          </w:p>
        </w:tc>
      </w:tr>
      <w:tr w14:paraId="4A7D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85" w:type="dxa"/>
            <w:vAlign w:val="center"/>
          </w:tcPr>
          <w:p w14:paraId="6926C253">
            <w:pPr>
              <w:spacing w:line="276" w:lineRule="auto"/>
              <w:jc w:val="center"/>
              <w:rPr>
                <w:rFonts w:hint="eastAsia" w:ascii="宋体" w:hAnsi="宋体" w:eastAsia="宋体" w:cs="Times New Roman"/>
                <w:szCs w:val="21"/>
              </w:rPr>
            </w:pPr>
            <w:r>
              <w:rPr>
                <w:rFonts w:ascii="宋体" w:hAnsi="宋体" w:eastAsia="宋体" w:cs="Times New Roman"/>
                <w:szCs w:val="21"/>
              </w:rPr>
              <w:t>7</w:t>
            </w:r>
          </w:p>
        </w:tc>
        <w:tc>
          <w:tcPr>
            <w:tcW w:w="3415" w:type="dxa"/>
            <w:vAlign w:val="center"/>
          </w:tcPr>
          <w:p w14:paraId="0EF9C74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启蒙运动和洛克、卢梭的教育思想</w:t>
            </w:r>
          </w:p>
        </w:tc>
        <w:tc>
          <w:tcPr>
            <w:tcW w:w="1580" w:type="dxa"/>
            <w:vAlign w:val="center"/>
          </w:tcPr>
          <w:p w14:paraId="1F5F3342">
            <w:pPr>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223E287F">
            <w:pPr>
              <w:spacing w:line="276" w:lineRule="auto"/>
              <w:jc w:val="center"/>
              <w:rPr>
                <w:rFonts w:hint="eastAsia"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45A4487C">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w:t>
            </w:r>
          </w:p>
        </w:tc>
      </w:tr>
      <w:tr w14:paraId="43C2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4CBC6F09">
            <w:pPr>
              <w:spacing w:line="276" w:lineRule="auto"/>
              <w:jc w:val="center"/>
              <w:rPr>
                <w:rFonts w:hint="eastAsia" w:ascii="宋体" w:hAnsi="宋体" w:eastAsia="宋体" w:cs="Times New Roman"/>
                <w:szCs w:val="21"/>
              </w:rPr>
            </w:pPr>
            <w:r>
              <w:rPr>
                <w:rFonts w:ascii="宋体" w:hAnsi="宋体" w:eastAsia="宋体" w:cs="Times New Roman"/>
                <w:szCs w:val="21"/>
              </w:rPr>
              <w:t>8</w:t>
            </w:r>
          </w:p>
        </w:tc>
        <w:tc>
          <w:tcPr>
            <w:tcW w:w="3415" w:type="dxa"/>
            <w:vAlign w:val="center"/>
          </w:tcPr>
          <w:p w14:paraId="73FC92D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19</w:t>
            </w:r>
            <w:r>
              <w:rPr>
                <w:rFonts w:hint="eastAsia" w:ascii="宋体" w:hAnsi="宋体" w:eastAsia="宋体" w:cs="Times New Roman"/>
                <w:color w:val="000000"/>
                <w:szCs w:val="21"/>
              </w:rPr>
              <w:t>世纪西欧主要国家的教育改革和主要教育家的教育思想</w:t>
            </w:r>
          </w:p>
        </w:tc>
        <w:tc>
          <w:tcPr>
            <w:tcW w:w="1580" w:type="dxa"/>
            <w:vAlign w:val="center"/>
          </w:tcPr>
          <w:p w14:paraId="3B9A5BDC">
            <w:pPr>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2BC2D646">
            <w:pPr>
              <w:spacing w:line="276" w:lineRule="auto"/>
              <w:jc w:val="center"/>
              <w:rPr>
                <w:rFonts w:hint="eastAsia"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6CA2FC9D">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w:t>
            </w:r>
          </w:p>
        </w:tc>
      </w:tr>
      <w:tr w14:paraId="17A2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07911B1A">
            <w:pPr>
              <w:spacing w:line="276" w:lineRule="auto"/>
              <w:jc w:val="center"/>
              <w:rPr>
                <w:rFonts w:hint="eastAsia" w:ascii="宋体" w:hAnsi="宋体" w:eastAsia="宋体" w:cs="Times New Roman"/>
                <w:szCs w:val="21"/>
              </w:rPr>
            </w:pPr>
            <w:r>
              <w:rPr>
                <w:rFonts w:ascii="宋体" w:hAnsi="宋体" w:eastAsia="宋体" w:cs="Times New Roman"/>
                <w:szCs w:val="21"/>
              </w:rPr>
              <w:t>9</w:t>
            </w:r>
          </w:p>
        </w:tc>
        <w:tc>
          <w:tcPr>
            <w:tcW w:w="3415" w:type="dxa"/>
            <w:vAlign w:val="center"/>
          </w:tcPr>
          <w:p w14:paraId="64C95B1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裴斯泰洛齐和赫尔巴特的教育思想</w:t>
            </w:r>
          </w:p>
        </w:tc>
        <w:tc>
          <w:tcPr>
            <w:tcW w:w="1580" w:type="dxa"/>
            <w:vAlign w:val="center"/>
          </w:tcPr>
          <w:p w14:paraId="1BB91086">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25BBA5DF">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2AD7108A">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4</w:t>
            </w:r>
          </w:p>
        </w:tc>
      </w:tr>
      <w:tr w14:paraId="07FD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463BC97D">
            <w:pPr>
              <w:spacing w:line="276" w:lineRule="auto"/>
              <w:jc w:val="center"/>
              <w:rPr>
                <w:rFonts w:hint="eastAsia" w:ascii="宋体" w:hAnsi="宋体" w:eastAsia="宋体" w:cs="Times New Roman"/>
                <w:szCs w:val="21"/>
              </w:rPr>
            </w:pPr>
            <w:r>
              <w:rPr>
                <w:rFonts w:ascii="宋体" w:hAnsi="宋体" w:eastAsia="宋体" w:cs="Times New Roman"/>
                <w:szCs w:val="21"/>
              </w:rPr>
              <w:t>10</w:t>
            </w:r>
          </w:p>
        </w:tc>
        <w:tc>
          <w:tcPr>
            <w:tcW w:w="3415" w:type="dxa"/>
            <w:vAlign w:val="center"/>
          </w:tcPr>
          <w:p w14:paraId="7EAD93E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20</w:t>
            </w:r>
            <w:r>
              <w:rPr>
                <w:rFonts w:hint="eastAsia" w:ascii="宋体" w:hAnsi="宋体" w:eastAsia="宋体" w:cs="Times New Roman"/>
                <w:color w:val="000000"/>
                <w:szCs w:val="21"/>
              </w:rPr>
              <w:t>世纪前期欧美教育改革运动</w:t>
            </w:r>
          </w:p>
        </w:tc>
        <w:tc>
          <w:tcPr>
            <w:tcW w:w="1580" w:type="dxa"/>
            <w:vAlign w:val="center"/>
          </w:tcPr>
          <w:p w14:paraId="640F05EA">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2F62C07E">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7A7F7D7C">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w:t>
            </w:r>
          </w:p>
        </w:tc>
      </w:tr>
      <w:tr w14:paraId="4DF8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3232DB7C">
            <w:pPr>
              <w:spacing w:line="276" w:lineRule="auto"/>
              <w:jc w:val="center"/>
              <w:rPr>
                <w:rFonts w:hint="eastAsia" w:ascii="宋体" w:hAnsi="宋体" w:eastAsia="宋体" w:cs="Times New Roman"/>
                <w:szCs w:val="21"/>
              </w:rPr>
            </w:pPr>
            <w:r>
              <w:rPr>
                <w:rFonts w:ascii="宋体" w:hAnsi="宋体" w:eastAsia="宋体" w:cs="Times New Roman"/>
                <w:szCs w:val="21"/>
              </w:rPr>
              <w:t>11</w:t>
            </w:r>
          </w:p>
        </w:tc>
        <w:tc>
          <w:tcPr>
            <w:tcW w:w="3415" w:type="dxa"/>
            <w:vAlign w:val="center"/>
          </w:tcPr>
          <w:p w14:paraId="641B029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杜威的教育思想</w:t>
            </w:r>
          </w:p>
        </w:tc>
        <w:tc>
          <w:tcPr>
            <w:tcW w:w="1580" w:type="dxa"/>
            <w:vAlign w:val="center"/>
          </w:tcPr>
          <w:p w14:paraId="7B3FD6FC">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5B278A37">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16EE45D0">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4</w:t>
            </w:r>
          </w:p>
        </w:tc>
      </w:tr>
      <w:tr w14:paraId="2265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61402B43">
            <w:pPr>
              <w:spacing w:line="276" w:lineRule="auto"/>
              <w:jc w:val="center"/>
              <w:rPr>
                <w:rFonts w:hint="eastAsia" w:ascii="宋体" w:hAnsi="宋体" w:eastAsia="宋体" w:cs="Times New Roman"/>
                <w:szCs w:val="21"/>
              </w:rPr>
            </w:pPr>
            <w:r>
              <w:rPr>
                <w:rFonts w:ascii="宋体" w:hAnsi="宋体" w:eastAsia="宋体" w:cs="Times New Roman"/>
                <w:szCs w:val="21"/>
              </w:rPr>
              <w:t>12</w:t>
            </w:r>
          </w:p>
        </w:tc>
        <w:tc>
          <w:tcPr>
            <w:tcW w:w="3415" w:type="dxa"/>
            <w:vAlign w:val="center"/>
          </w:tcPr>
          <w:p w14:paraId="75C88D2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现代欧美教育思潮</w:t>
            </w:r>
          </w:p>
        </w:tc>
        <w:tc>
          <w:tcPr>
            <w:tcW w:w="1580" w:type="dxa"/>
            <w:vAlign w:val="center"/>
          </w:tcPr>
          <w:p w14:paraId="29DB9C2F">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5</w:t>
            </w:r>
          </w:p>
        </w:tc>
        <w:tc>
          <w:tcPr>
            <w:tcW w:w="2450" w:type="dxa"/>
            <w:vAlign w:val="center"/>
          </w:tcPr>
          <w:p w14:paraId="69038586">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8-3</w:t>
            </w:r>
          </w:p>
        </w:tc>
        <w:tc>
          <w:tcPr>
            <w:tcW w:w="729" w:type="dxa"/>
            <w:gridSpan w:val="2"/>
            <w:vAlign w:val="center"/>
          </w:tcPr>
          <w:p w14:paraId="47264656">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w:t>
            </w:r>
          </w:p>
        </w:tc>
      </w:tr>
      <w:tr w14:paraId="2069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8039" w:type="dxa"/>
            <w:gridSpan w:val="5"/>
            <w:vAlign w:val="center"/>
          </w:tcPr>
          <w:p w14:paraId="2004415A">
            <w:pPr>
              <w:spacing w:line="276"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722" w:type="dxa"/>
            <w:vAlign w:val="center"/>
          </w:tcPr>
          <w:p w14:paraId="5E4BE3A6">
            <w:pPr>
              <w:spacing w:line="276" w:lineRule="auto"/>
              <w:jc w:val="center"/>
              <w:rPr>
                <w:rFonts w:ascii="宋体" w:hAnsi="Calibri" w:eastAsia="宋体" w:cs="Times New Roman"/>
                <w:kern w:val="0"/>
                <w:szCs w:val="21"/>
              </w:rPr>
            </w:pPr>
            <w:r>
              <w:rPr>
                <w:rFonts w:ascii="宋体" w:hAnsi="宋体" w:eastAsia="宋体" w:cs="Times New Roman"/>
                <w:kern w:val="0"/>
                <w:szCs w:val="21"/>
              </w:rPr>
              <w:t>32</w:t>
            </w:r>
          </w:p>
        </w:tc>
      </w:tr>
    </w:tbl>
    <w:p w14:paraId="002A37A0">
      <w:pPr>
        <w:adjustRightInd w:val="0"/>
        <w:snapToGrid w:val="0"/>
        <w:spacing w:line="360" w:lineRule="auto"/>
        <w:rPr>
          <w:rFonts w:ascii="宋体" w:hAnsi="Calibri" w:eastAsia="宋体" w:cs="Times New Roman"/>
          <w:color w:val="000000"/>
        </w:rPr>
      </w:pPr>
    </w:p>
    <w:p w14:paraId="6EA49A49">
      <w:pPr>
        <w:adjustRightInd w:val="0"/>
        <w:snapToGrid w:val="0"/>
        <w:spacing w:line="360" w:lineRule="auto"/>
        <w:ind w:firstLine="562" w:firstLineChars="200"/>
        <w:rPr>
          <w:rFonts w:hint="eastAsia" w:ascii="宋体" w:hAnsi="宋体" w:eastAsia="宋体" w:cs="Times New Roman"/>
          <w:b/>
          <w:bCs/>
          <w:color w:val="000000"/>
          <w:sz w:val="28"/>
        </w:rPr>
      </w:pPr>
      <w:r>
        <w:rPr>
          <w:rFonts w:hint="eastAsia" w:ascii="宋体" w:hAnsi="宋体" w:eastAsia="宋体" w:cs="Times New Roman"/>
          <w:b/>
          <w:bCs/>
          <w:color w:val="000000"/>
          <w:sz w:val="28"/>
        </w:rPr>
        <w:t>四、课程实施</w:t>
      </w:r>
    </w:p>
    <w:p w14:paraId="3BBFE652">
      <w:pPr>
        <w:adjustRightInd w:val="0"/>
        <w:snapToGrid w:val="0"/>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（一）课程在展开之前，要借助教育学视频、外国历史学入门著作等奠定学生对外国教育史的印象，建立学生对学科的初步认识。</w:t>
      </w:r>
    </w:p>
    <w:p w14:paraId="4BF3AD22">
      <w:pPr>
        <w:adjustRightInd w:val="0"/>
        <w:snapToGrid w:val="0"/>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（二）课程在教学中要充分搜集好的历史视频，引导学生使用所学历史学意识审视外国教育问题。</w:t>
      </w:r>
    </w:p>
    <w:p w14:paraId="5E45C6EB">
      <w:pPr>
        <w:adjustRightInd w:val="0"/>
        <w:snapToGrid w:val="0"/>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（三）教师要积极采用平时考勤、课堂讨论、期末考试等多种形式相结合的考核方法，引导学生按时、保质保量地完成本课程学习任务。</w:t>
      </w:r>
    </w:p>
    <w:p w14:paraId="35ED0FD8">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bCs/>
          <w:sz w:val="24"/>
        </w:rPr>
        <w:t>主要教学环节的质量要求如表所示：</w:t>
      </w:r>
    </w:p>
    <w:tbl>
      <w:tblPr>
        <w:tblStyle w:val="13"/>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48DF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6285AF94">
            <w:pPr>
              <w:adjustRightInd w:val="0"/>
              <w:snapToGrid w:val="0"/>
              <w:spacing w:line="276" w:lineRule="auto"/>
              <w:jc w:val="center"/>
              <w:rPr>
                <w:rFonts w:hint="eastAsia" w:ascii="宋体" w:hAnsi="宋体" w:eastAsia="宋体" w:cs="Times New Roman"/>
                <w:b/>
                <w:color w:val="000000"/>
                <w:szCs w:val="21"/>
              </w:rPr>
            </w:pPr>
            <w:r>
              <w:rPr>
                <w:rFonts w:hint="eastAsia" w:ascii="宋体" w:hAnsi="宋体" w:eastAsia="宋体" w:cs="Times New Roman"/>
                <w:b/>
                <w:bCs/>
                <w:color w:val="000000"/>
                <w:szCs w:val="21"/>
              </w:rPr>
              <w:t>主要教学环节</w:t>
            </w:r>
          </w:p>
        </w:tc>
        <w:tc>
          <w:tcPr>
            <w:tcW w:w="7525" w:type="dxa"/>
            <w:tcBorders>
              <w:top w:val="single" w:color="auto" w:sz="8" w:space="0"/>
              <w:left w:val="single" w:color="auto" w:sz="8" w:space="0"/>
              <w:right w:val="single" w:color="auto" w:sz="8" w:space="0"/>
            </w:tcBorders>
            <w:vAlign w:val="center"/>
          </w:tcPr>
          <w:p w14:paraId="3DADA000">
            <w:pPr>
              <w:adjustRightInd w:val="0"/>
              <w:snapToGrid w:val="0"/>
              <w:spacing w:line="276" w:lineRule="auto"/>
              <w:jc w:val="center"/>
              <w:rPr>
                <w:rFonts w:hint="eastAsia" w:ascii="宋体" w:hAnsi="宋体" w:eastAsia="宋体" w:cs="Times New Roman"/>
                <w:b/>
                <w:color w:val="000000"/>
                <w:szCs w:val="21"/>
              </w:rPr>
            </w:pPr>
            <w:r>
              <w:rPr>
                <w:rFonts w:hint="eastAsia" w:ascii="宋体" w:hAnsi="宋体" w:eastAsia="宋体" w:cs="Times New Roman"/>
                <w:b/>
                <w:bCs/>
                <w:color w:val="000000"/>
                <w:szCs w:val="21"/>
              </w:rPr>
              <w:t>质量要求</w:t>
            </w:r>
          </w:p>
        </w:tc>
      </w:tr>
      <w:tr w14:paraId="33C2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582" w:type="dxa"/>
            <w:tcBorders>
              <w:left w:val="single" w:color="auto" w:sz="8" w:space="0"/>
            </w:tcBorders>
            <w:vAlign w:val="center"/>
          </w:tcPr>
          <w:p w14:paraId="52BA27B3">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1</w:t>
            </w:r>
          </w:p>
        </w:tc>
        <w:tc>
          <w:tcPr>
            <w:tcW w:w="993" w:type="dxa"/>
            <w:tcMar>
              <w:left w:w="28" w:type="dxa"/>
              <w:right w:w="28" w:type="dxa"/>
            </w:tcMar>
            <w:vAlign w:val="center"/>
          </w:tcPr>
          <w:p w14:paraId="4A91E73A">
            <w:pPr>
              <w:adjustRightInd w:val="0"/>
              <w:snapToGrid w:val="0"/>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备课</w:t>
            </w:r>
          </w:p>
        </w:tc>
        <w:tc>
          <w:tcPr>
            <w:tcW w:w="7525" w:type="dxa"/>
            <w:tcBorders>
              <w:right w:val="single" w:color="auto" w:sz="8" w:space="0"/>
            </w:tcBorders>
            <w:vAlign w:val="center"/>
          </w:tcPr>
          <w:p w14:paraId="5A6076CF">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）掌握课程教学大纲内容，严格按照教学大纲要求进行课程教学内容的组织。</w:t>
            </w:r>
          </w:p>
          <w:p w14:paraId="41BABBC4">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悉心了解学生的现有水平和最新发展区水平，深透钻研教材内容，广泛阅读相关文献资料，精心选择教学方法、组织形式和教学手段，认真编写授课计划。授课教案内容包括章节标题、教学目标、教学准备、教学方法、课堂类型、时间分配、授课内容、课后作业、教学效果分析等方面。</w:t>
            </w:r>
          </w:p>
        </w:tc>
      </w:tr>
      <w:tr w14:paraId="0372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582" w:type="dxa"/>
            <w:tcBorders>
              <w:left w:val="single" w:color="auto" w:sz="8" w:space="0"/>
            </w:tcBorders>
            <w:vAlign w:val="center"/>
          </w:tcPr>
          <w:p w14:paraId="38CC5396">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p>
        </w:tc>
        <w:tc>
          <w:tcPr>
            <w:tcW w:w="993" w:type="dxa"/>
            <w:tcMar>
              <w:left w:w="28" w:type="dxa"/>
              <w:right w:w="28" w:type="dxa"/>
            </w:tcMar>
            <w:vAlign w:val="center"/>
          </w:tcPr>
          <w:p w14:paraId="11AF695A">
            <w:pPr>
              <w:adjustRightInd w:val="0"/>
              <w:snapToGrid w:val="0"/>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讲授</w:t>
            </w:r>
          </w:p>
        </w:tc>
        <w:tc>
          <w:tcPr>
            <w:tcW w:w="7525" w:type="dxa"/>
            <w:tcBorders>
              <w:right w:val="single" w:color="auto" w:sz="8" w:space="0"/>
            </w:tcBorders>
            <w:vAlign w:val="center"/>
          </w:tcPr>
          <w:p w14:paraId="11695C98">
            <w:pPr>
              <w:adjustRightInd w:val="0"/>
              <w:snapToGrid w:val="0"/>
              <w:spacing w:line="276" w:lineRule="auto"/>
              <w:rPr>
                <w:rFonts w:hint="eastAsia" w:ascii="宋体" w:hAnsi="宋体" w:eastAsia="宋体" w:cs="Times New Roman"/>
                <w:color w:val="000000"/>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w:t>
            </w:r>
            <w:r>
              <w:rPr>
                <w:rFonts w:hint="eastAsia" w:ascii="宋体" w:hAnsi="宋体" w:eastAsia="宋体" w:cs="Times New Roman"/>
                <w:color w:val="000000"/>
              </w:rPr>
              <w:t>教师仪表端庄，情绪情感要饱满；</w:t>
            </w:r>
          </w:p>
          <w:p w14:paraId="1211DDDB">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w:t>
            </w:r>
            <w:r>
              <w:rPr>
                <w:rFonts w:hint="eastAsia" w:ascii="宋体" w:hAnsi="宋体" w:eastAsia="宋体" w:cs="Times New Roman"/>
                <w:color w:val="000000"/>
              </w:rPr>
              <w:t>教学准备充分，熟悉教学内容；</w:t>
            </w:r>
          </w:p>
          <w:p w14:paraId="5278DB98">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w:t>
            </w:r>
            <w:r>
              <w:rPr>
                <w:rFonts w:hint="eastAsia" w:ascii="宋体" w:hAnsi="宋体" w:eastAsia="宋体" w:cs="Times New Roman"/>
                <w:color w:val="000000"/>
              </w:rPr>
              <w:t>教学内容充实，不断充实最新研究成果；</w:t>
            </w:r>
          </w:p>
          <w:p w14:paraId="018D498A">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w:t>
            </w:r>
            <w:r>
              <w:rPr>
                <w:rFonts w:hint="eastAsia" w:ascii="宋体" w:hAnsi="宋体" w:eastAsia="宋体" w:cs="Times New Roman"/>
                <w:color w:val="000000"/>
              </w:rPr>
              <w:t>严格执行计划，教学进度适宜；</w:t>
            </w:r>
          </w:p>
          <w:p w14:paraId="244AD527">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5</w:t>
            </w:r>
            <w:r>
              <w:rPr>
                <w:rFonts w:hint="eastAsia" w:ascii="宋体" w:hAnsi="宋体" w:eastAsia="宋体" w:cs="Times New Roman"/>
                <w:color w:val="000000"/>
                <w:szCs w:val="21"/>
              </w:rPr>
              <w:t>）</w:t>
            </w:r>
            <w:r>
              <w:rPr>
                <w:rFonts w:hint="eastAsia" w:ascii="宋体" w:hAnsi="宋体" w:eastAsia="宋体" w:cs="Times New Roman"/>
                <w:color w:val="000000"/>
              </w:rPr>
              <w:t>课堂教学信息充分，注重理论联系实际；</w:t>
            </w:r>
          </w:p>
          <w:p w14:paraId="65DFFE7A">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6</w:t>
            </w:r>
            <w:r>
              <w:rPr>
                <w:rFonts w:hint="eastAsia" w:ascii="宋体" w:hAnsi="宋体" w:eastAsia="宋体" w:cs="Times New Roman"/>
                <w:color w:val="000000"/>
                <w:szCs w:val="21"/>
              </w:rPr>
              <w:t>）</w:t>
            </w:r>
            <w:r>
              <w:rPr>
                <w:rFonts w:hint="eastAsia" w:ascii="宋体" w:hAnsi="宋体" w:eastAsia="宋体" w:cs="Times New Roman"/>
                <w:color w:val="000000"/>
              </w:rPr>
              <w:t>注重启发学生思维，培养学生的教学能力；</w:t>
            </w:r>
          </w:p>
          <w:p w14:paraId="5D327455">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7</w:t>
            </w:r>
            <w:r>
              <w:rPr>
                <w:rFonts w:hint="eastAsia" w:ascii="宋体" w:hAnsi="宋体" w:eastAsia="宋体" w:cs="Times New Roman"/>
                <w:color w:val="000000"/>
                <w:szCs w:val="21"/>
              </w:rPr>
              <w:t>）</w:t>
            </w:r>
            <w:r>
              <w:rPr>
                <w:rFonts w:hint="eastAsia" w:ascii="宋体" w:hAnsi="宋体" w:eastAsia="宋体" w:cs="Times New Roman"/>
                <w:color w:val="000000"/>
              </w:rPr>
              <w:t>面向全体基础上因材施教，灵活运用多种教学方法；</w:t>
            </w:r>
          </w:p>
          <w:p w14:paraId="73A5D983">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8</w:t>
            </w:r>
            <w:r>
              <w:rPr>
                <w:rFonts w:hint="eastAsia" w:ascii="宋体" w:hAnsi="宋体" w:eastAsia="宋体" w:cs="Times New Roman"/>
                <w:color w:val="000000"/>
                <w:szCs w:val="21"/>
              </w:rPr>
              <w:t>）</w:t>
            </w:r>
            <w:r>
              <w:rPr>
                <w:rFonts w:hint="eastAsia" w:ascii="宋体" w:hAnsi="宋体" w:eastAsia="宋体" w:cs="Times New Roman"/>
                <w:color w:val="000000"/>
              </w:rPr>
              <w:t>教学语言规范，为学生教育教学做好表率；</w:t>
            </w:r>
          </w:p>
          <w:p w14:paraId="3C96615D">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9</w:t>
            </w:r>
            <w:r>
              <w:rPr>
                <w:rFonts w:hint="eastAsia" w:ascii="宋体" w:hAnsi="宋体" w:eastAsia="宋体" w:cs="Times New Roman"/>
                <w:color w:val="000000"/>
                <w:szCs w:val="21"/>
              </w:rPr>
              <w:t>）</w:t>
            </w:r>
            <w:r>
              <w:rPr>
                <w:rFonts w:hint="eastAsia" w:ascii="宋体" w:hAnsi="宋体" w:eastAsia="宋体" w:cs="Times New Roman"/>
                <w:color w:val="000000"/>
              </w:rPr>
              <w:t>教学条理清楚，教学思路逻辑严密；</w:t>
            </w:r>
          </w:p>
          <w:p w14:paraId="7022007A">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10</w:t>
            </w:r>
            <w:r>
              <w:rPr>
                <w:rFonts w:hint="eastAsia" w:ascii="宋体" w:hAnsi="宋体" w:eastAsia="宋体" w:cs="Times New Roman"/>
                <w:color w:val="000000"/>
                <w:szCs w:val="21"/>
              </w:rPr>
              <w:t>）</w:t>
            </w:r>
            <w:r>
              <w:rPr>
                <w:rFonts w:hint="eastAsia" w:ascii="宋体" w:hAnsi="宋体" w:eastAsia="宋体" w:cs="Times New Roman"/>
                <w:color w:val="000000"/>
              </w:rPr>
              <w:t>充分运用现代化教学手段，教学技术熟练；</w:t>
            </w:r>
          </w:p>
          <w:p w14:paraId="63794466">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11</w:t>
            </w:r>
            <w:r>
              <w:rPr>
                <w:rFonts w:hint="eastAsia" w:ascii="宋体" w:hAnsi="宋体" w:eastAsia="宋体" w:cs="Times New Roman"/>
                <w:color w:val="000000"/>
                <w:szCs w:val="21"/>
              </w:rPr>
              <w:t>）</w:t>
            </w:r>
            <w:r>
              <w:rPr>
                <w:rFonts w:hint="eastAsia" w:ascii="宋体" w:hAnsi="宋体" w:eastAsia="宋体" w:cs="Times New Roman"/>
                <w:color w:val="000000"/>
              </w:rPr>
              <w:t>课堂教学要重点突出，难点突破；</w:t>
            </w:r>
          </w:p>
          <w:p w14:paraId="3E41F577">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12</w:t>
            </w:r>
            <w:r>
              <w:rPr>
                <w:rFonts w:hint="eastAsia" w:ascii="宋体" w:hAnsi="宋体" w:eastAsia="宋体" w:cs="Times New Roman"/>
                <w:color w:val="000000"/>
                <w:szCs w:val="21"/>
              </w:rPr>
              <w:t>）</w:t>
            </w:r>
            <w:r>
              <w:rPr>
                <w:rFonts w:hint="eastAsia" w:ascii="宋体" w:hAnsi="宋体" w:eastAsia="宋体" w:cs="Times New Roman"/>
                <w:color w:val="000000"/>
              </w:rPr>
              <w:t>注重师生互动，形成良好的课堂氛围。</w:t>
            </w:r>
          </w:p>
        </w:tc>
      </w:tr>
      <w:tr w14:paraId="7E29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trPr>
        <w:tc>
          <w:tcPr>
            <w:tcW w:w="582" w:type="dxa"/>
            <w:tcBorders>
              <w:left w:val="single" w:color="auto" w:sz="8" w:space="0"/>
            </w:tcBorders>
            <w:vAlign w:val="center"/>
          </w:tcPr>
          <w:p w14:paraId="61411B10">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3</w:t>
            </w:r>
          </w:p>
        </w:tc>
        <w:tc>
          <w:tcPr>
            <w:tcW w:w="993" w:type="dxa"/>
            <w:tcMar>
              <w:left w:w="28" w:type="dxa"/>
              <w:right w:w="28" w:type="dxa"/>
            </w:tcMar>
            <w:vAlign w:val="center"/>
          </w:tcPr>
          <w:p w14:paraId="19B828CE">
            <w:pPr>
              <w:adjustRightInd w:val="0"/>
              <w:snapToGrid w:val="0"/>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作业布置与批改</w:t>
            </w:r>
          </w:p>
        </w:tc>
        <w:tc>
          <w:tcPr>
            <w:tcW w:w="7525" w:type="dxa"/>
            <w:tcBorders>
              <w:right w:val="single" w:color="auto" w:sz="8" w:space="0"/>
            </w:tcBorders>
            <w:vAlign w:val="center"/>
          </w:tcPr>
          <w:p w14:paraId="49022134">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学生必须完成规定数量的作业，作业必须达到以下基本要求：</w:t>
            </w:r>
          </w:p>
          <w:p w14:paraId="71C0B4D5">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）按时按量完成作业，不缺交，不抄袭。</w:t>
            </w:r>
          </w:p>
          <w:p w14:paraId="08E653A2">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）书写规范、字迹美观。</w:t>
            </w:r>
          </w:p>
          <w:p w14:paraId="072311E5">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）有一定深度和自己独立见解。</w:t>
            </w:r>
          </w:p>
          <w:p w14:paraId="67723FD4">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教师批改和讲评作业要求如下：</w:t>
            </w:r>
          </w:p>
          <w:p w14:paraId="2507865A">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）学生的作业要按时全部批改，并及时进行讲评。</w:t>
            </w:r>
          </w:p>
          <w:p w14:paraId="2CB9F879">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）教师批改和讲评作业要认真、细致，按百分制评定成绩并写明日期。</w:t>
            </w:r>
          </w:p>
          <w:p w14:paraId="757E0243">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）学生作业平均成绩应作为本课程总评成绩中平时成绩的重要组成部分。</w:t>
            </w:r>
          </w:p>
        </w:tc>
      </w:tr>
      <w:tr w14:paraId="3B13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582" w:type="dxa"/>
            <w:tcBorders>
              <w:left w:val="single" w:color="auto" w:sz="8" w:space="0"/>
            </w:tcBorders>
            <w:vAlign w:val="center"/>
          </w:tcPr>
          <w:p w14:paraId="1F46E9A2">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4</w:t>
            </w:r>
          </w:p>
        </w:tc>
        <w:tc>
          <w:tcPr>
            <w:tcW w:w="993" w:type="dxa"/>
            <w:tcMar>
              <w:left w:w="28" w:type="dxa"/>
              <w:right w:w="28" w:type="dxa"/>
            </w:tcMar>
            <w:vAlign w:val="center"/>
          </w:tcPr>
          <w:p w14:paraId="7E7DAF35">
            <w:pPr>
              <w:adjustRightInd w:val="0"/>
              <w:snapToGrid w:val="0"/>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课外答疑</w:t>
            </w:r>
          </w:p>
        </w:tc>
        <w:tc>
          <w:tcPr>
            <w:tcW w:w="7525" w:type="dxa"/>
            <w:tcBorders>
              <w:right w:val="single" w:color="auto" w:sz="8" w:space="0"/>
            </w:tcBorders>
            <w:vAlign w:val="center"/>
          </w:tcPr>
          <w:p w14:paraId="36B78FC5">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为了解学生的学习情况，帮助学生更好地理解和消化所学知识、改进学习方法和思维方式，培养其独立的反思与评价能力，任课教师需每周安排一定时间进行课外答疑与辅导。</w:t>
            </w:r>
          </w:p>
        </w:tc>
      </w:tr>
      <w:tr w14:paraId="3012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82" w:type="dxa"/>
            <w:tcBorders>
              <w:left w:val="single" w:color="auto" w:sz="8" w:space="0"/>
            </w:tcBorders>
            <w:vAlign w:val="center"/>
          </w:tcPr>
          <w:p w14:paraId="708F22F7">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5</w:t>
            </w:r>
          </w:p>
        </w:tc>
        <w:tc>
          <w:tcPr>
            <w:tcW w:w="993" w:type="dxa"/>
            <w:tcMar>
              <w:left w:w="28" w:type="dxa"/>
              <w:right w:w="28" w:type="dxa"/>
            </w:tcMar>
            <w:vAlign w:val="center"/>
          </w:tcPr>
          <w:p w14:paraId="3E3D5C49">
            <w:pPr>
              <w:adjustRightInd w:val="0"/>
              <w:snapToGrid w:val="0"/>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成绩考核</w:t>
            </w:r>
          </w:p>
        </w:tc>
        <w:tc>
          <w:tcPr>
            <w:tcW w:w="7525" w:type="dxa"/>
            <w:tcBorders>
              <w:right w:val="single" w:color="auto" w:sz="8" w:space="0"/>
            </w:tcBorders>
            <w:vAlign w:val="center"/>
          </w:tcPr>
          <w:p w14:paraId="530A2E6A">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本课程考核的方式为开卷笔试。考试采取教考分离，监考由学院统一安排。有下列情况之一者，总评成绩为不及格：</w:t>
            </w:r>
          </w:p>
          <w:p w14:paraId="48A386CD">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）缺交作业次数达</w:t>
            </w:r>
            <w:r>
              <w:rPr>
                <w:rFonts w:ascii="宋体" w:hAnsi="宋体" w:eastAsia="宋体" w:cs="Times New Roman"/>
                <w:color w:val="000000"/>
                <w:szCs w:val="21"/>
              </w:rPr>
              <w:t>1/3</w:t>
            </w:r>
            <w:r>
              <w:rPr>
                <w:rFonts w:hint="eastAsia" w:ascii="宋体" w:hAnsi="宋体" w:eastAsia="宋体" w:cs="Times New Roman"/>
                <w:color w:val="000000"/>
                <w:szCs w:val="21"/>
              </w:rPr>
              <w:t>以上者。</w:t>
            </w:r>
          </w:p>
          <w:p w14:paraId="44774EB3">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）缺课次数达本学期总授课学时的</w:t>
            </w:r>
            <w:r>
              <w:rPr>
                <w:rFonts w:ascii="宋体" w:hAnsi="宋体" w:eastAsia="宋体" w:cs="Times New Roman"/>
                <w:color w:val="000000"/>
                <w:szCs w:val="21"/>
              </w:rPr>
              <w:t>1/3</w:t>
            </w:r>
            <w:r>
              <w:rPr>
                <w:rFonts w:hint="eastAsia" w:ascii="宋体" w:hAnsi="宋体" w:eastAsia="宋体" w:cs="Times New Roman"/>
                <w:color w:val="000000"/>
                <w:szCs w:val="21"/>
              </w:rPr>
              <w:t>以上者。</w:t>
            </w:r>
          </w:p>
        </w:tc>
      </w:tr>
    </w:tbl>
    <w:p w14:paraId="627086B1">
      <w:pPr>
        <w:spacing w:line="360" w:lineRule="auto"/>
        <w:ind w:firstLine="562" w:firstLineChars="200"/>
        <w:rPr>
          <w:rFonts w:hint="eastAsia" w:ascii="宋体" w:hAnsi="宋体" w:eastAsia="宋体" w:cs="Times New Roman"/>
          <w:b/>
          <w:sz w:val="28"/>
          <w:szCs w:val="28"/>
        </w:rPr>
      </w:pPr>
      <w:r>
        <w:rPr>
          <w:rFonts w:hint="eastAsia" w:ascii="宋体" w:hAnsi="宋体" w:eastAsia="宋体" w:cs="Times New Roman"/>
          <w:b/>
          <w:sz w:val="28"/>
          <w:szCs w:val="28"/>
        </w:rPr>
        <w:t>五、课程考核</w:t>
      </w:r>
    </w:p>
    <w:p w14:paraId="11EC2419">
      <w:pPr>
        <w:adjustRightInd w:val="0"/>
        <w:snapToGrid w:val="0"/>
        <w:spacing w:line="360" w:lineRule="auto"/>
        <w:rPr>
          <w:rFonts w:hint="eastAsia" w:ascii="宋体" w:hAnsi="宋体" w:eastAsia="宋体" w:cs="Times New Roman"/>
          <w:sz w:val="24"/>
        </w:rPr>
      </w:pPr>
      <w:r>
        <w:rPr>
          <w:rFonts w:hint="eastAsia" w:ascii="宋体" w:hAnsi="宋体" w:eastAsia="宋体" w:cs="Times New Roman"/>
          <w:sz w:val="24"/>
        </w:rPr>
        <w:t>（一）课程考核包括期末考试、平时及作业考核，期末考试采用开卷笔试方式。</w:t>
      </w:r>
    </w:p>
    <w:p w14:paraId="2B3186DC">
      <w:pPr>
        <w:adjustRightInd w:val="0"/>
        <w:snapToGrid w:val="0"/>
        <w:spacing w:line="360" w:lineRule="auto"/>
        <w:rPr>
          <w:rFonts w:hint="eastAsia" w:ascii="宋体" w:hAnsi="宋体" w:eastAsia="宋体" w:cs="Times New Roman"/>
          <w:sz w:val="24"/>
        </w:rPr>
      </w:pPr>
      <w:r>
        <w:rPr>
          <w:rFonts w:hint="eastAsia" w:ascii="宋体" w:hAnsi="宋体" w:eastAsia="宋体" w:cs="Times New Roman"/>
          <w:sz w:val="24"/>
        </w:rPr>
        <w:t>（二）课程成绩</w:t>
      </w:r>
      <w:r>
        <w:rPr>
          <w:rFonts w:ascii="宋体" w:hAnsi="宋体" w:eastAsia="宋体" w:cs="Times New Roman"/>
          <w:sz w:val="24"/>
        </w:rPr>
        <w:t>=</w:t>
      </w:r>
      <w:r>
        <w:rPr>
          <w:rFonts w:hint="eastAsia" w:ascii="宋体" w:hAnsi="宋体" w:eastAsia="宋体" w:cs="Times New Roman"/>
          <w:sz w:val="24"/>
        </w:rPr>
        <w:t>平时成绩×</w:t>
      </w:r>
      <w:r>
        <w:rPr>
          <w:rFonts w:ascii="宋体" w:hAnsi="宋体" w:eastAsia="宋体" w:cs="Times New Roman"/>
          <w:sz w:val="24"/>
        </w:rPr>
        <w:t>20%+</w:t>
      </w:r>
      <w:r>
        <w:rPr>
          <w:rFonts w:hint="eastAsia" w:ascii="宋体" w:hAnsi="宋体" w:eastAsia="宋体" w:cs="Times New Roman"/>
          <w:sz w:val="24"/>
        </w:rPr>
        <w:t>作业成绩×</w:t>
      </w:r>
      <w:r>
        <w:rPr>
          <w:rFonts w:ascii="宋体" w:hAnsi="宋体" w:eastAsia="宋体" w:cs="Times New Roman"/>
          <w:sz w:val="24"/>
        </w:rPr>
        <w:t>20%+</w:t>
      </w:r>
      <w:r>
        <w:rPr>
          <w:rFonts w:hint="eastAsia" w:ascii="宋体" w:hAnsi="宋体" w:eastAsia="宋体" w:cs="Times New Roman"/>
          <w:sz w:val="24"/>
        </w:rPr>
        <w:t>期末考试成绩×</w:t>
      </w:r>
      <w:r>
        <w:rPr>
          <w:rFonts w:ascii="宋体" w:hAnsi="宋体" w:eastAsia="宋体" w:cs="Times New Roman"/>
          <w:sz w:val="24"/>
        </w:rPr>
        <w:t>60%</w:t>
      </w:r>
      <w:r>
        <w:rPr>
          <w:rFonts w:hint="eastAsia" w:ascii="宋体" w:hAnsi="宋体" w:eastAsia="宋体" w:cs="Times New Roman"/>
          <w:sz w:val="24"/>
        </w:rPr>
        <w:t>。</w:t>
      </w:r>
    </w:p>
    <w:p w14:paraId="260F6D1B">
      <w:pPr>
        <w:adjustRightInd w:val="0"/>
        <w:snapToGrid w:val="0"/>
        <w:spacing w:line="360" w:lineRule="auto"/>
        <w:rPr>
          <w:rFonts w:hint="eastAsia" w:ascii="宋体" w:hAnsi="宋体" w:eastAsia="宋体" w:cs="Times New Roman"/>
          <w:sz w:val="24"/>
        </w:rPr>
      </w:pPr>
      <w:r>
        <w:rPr>
          <w:rFonts w:hint="eastAsia" w:ascii="宋体" w:hAnsi="宋体" w:eastAsia="宋体" w:cs="Times New Roman"/>
          <w:b/>
          <w:sz w:val="24"/>
        </w:rPr>
        <w:t>具体内容和比例如下表所示</w:t>
      </w:r>
      <w:r>
        <w:rPr>
          <w:rFonts w:hint="eastAsia" w:ascii="宋体" w:hAnsi="宋体" w:eastAsia="宋体" w:cs="Times New Roman"/>
          <w:sz w:val="24"/>
        </w:rPr>
        <w:t>：</w:t>
      </w:r>
    </w:p>
    <w:tbl>
      <w:tblPr>
        <w:tblStyle w:val="13"/>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134"/>
        <w:gridCol w:w="708"/>
        <w:gridCol w:w="2977"/>
        <w:gridCol w:w="1418"/>
        <w:gridCol w:w="1275"/>
        <w:gridCol w:w="1143"/>
      </w:tblGrid>
      <w:tr w14:paraId="4D9E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10" w:type="dxa"/>
            <w:shd w:val="clear" w:color="auto" w:fill="FFFFFF"/>
            <w:tcMar>
              <w:left w:w="57" w:type="dxa"/>
              <w:right w:w="57" w:type="dxa"/>
            </w:tcMar>
            <w:vAlign w:val="center"/>
          </w:tcPr>
          <w:p w14:paraId="38D96DB7">
            <w:pPr>
              <w:adjustRightInd w:val="0"/>
              <w:snapToGrid w:val="0"/>
              <w:spacing w:line="276" w:lineRule="auto"/>
              <w:jc w:val="center"/>
              <w:rPr>
                <w:rFonts w:ascii="Times New Roman" w:hAnsi="Times New Roman" w:eastAsia="宋体" w:cs="Times New Roman"/>
                <w:b/>
              </w:rPr>
            </w:pPr>
            <w:r>
              <w:rPr>
                <w:rFonts w:hint="eastAsia" w:ascii="Times New Roman" w:hAnsi="Times New Roman" w:eastAsia="宋体" w:cs="Times New Roman"/>
                <w:b/>
              </w:rPr>
              <w:t>成绩组成</w:t>
            </w:r>
          </w:p>
        </w:tc>
        <w:tc>
          <w:tcPr>
            <w:tcW w:w="1134" w:type="dxa"/>
            <w:shd w:val="clear" w:color="auto" w:fill="FFFFFF"/>
            <w:vAlign w:val="center"/>
          </w:tcPr>
          <w:p w14:paraId="0852D535">
            <w:pPr>
              <w:adjustRightInd w:val="0"/>
              <w:snapToGrid w:val="0"/>
              <w:spacing w:line="276" w:lineRule="auto"/>
              <w:jc w:val="center"/>
              <w:rPr>
                <w:rFonts w:ascii="Times New Roman" w:hAnsi="Times New Roman" w:eastAsia="宋体" w:cs="Times New Roman"/>
                <w:b/>
              </w:rPr>
            </w:pPr>
            <w:r>
              <w:rPr>
                <w:rFonts w:hint="eastAsia" w:ascii="Times New Roman" w:hAnsi="Times New Roman" w:eastAsia="宋体" w:cs="Times New Roman"/>
                <w:b/>
              </w:rPr>
              <w:t>考核</w:t>
            </w:r>
            <w:r>
              <w:rPr>
                <w:rFonts w:ascii="Times New Roman" w:hAnsi="Times New Roman" w:eastAsia="宋体" w:cs="Times New Roman"/>
                <w:b/>
              </w:rPr>
              <w:t>/</w:t>
            </w:r>
            <w:r>
              <w:rPr>
                <w:rFonts w:hint="eastAsia" w:ascii="Times New Roman" w:hAnsi="Times New Roman" w:eastAsia="宋体" w:cs="Times New Roman"/>
                <w:b/>
              </w:rPr>
              <w:t>评价环节</w:t>
            </w:r>
          </w:p>
        </w:tc>
        <w:tc>
          <w:tcPr>
            <w:tcW w:w="708" w:type="dxa"/>
            <w:shd w:val="clear" w:color="auto" w:fill="FFFFFF"/>
            <w:vAlign w:val="center"/>
          </w:tcPr>
          <w:p w14:paraId="6CCA0FEB">
            <w:pPr>
              <w:adjustRightInd w:val="0"/>
              <w:snapToGrid w:val="0"/>
              <w:spacing w:line="276" w:lineRule="auto"/>
              <w:jc w:val="center"/>
              <w:rPr>
                <w:rFonts w:ascii="Times New Roman" w:hAnsi="Times New Roman" w:eastAsia="Times New Roman" w:cs="Times New Roman"/>
                <w:b/>
              </w:rPr>
            </w:pPr>
            <w:r>
              <w:rPr>
                <w:rFonts w:hint="eastAsia" w:ascii="宋体" w:hAnsi="宋体" w:eastAsia="宋体" w:cs="宋体"/>
                <w:b/>
              </w:rPr>
              <w:t>权重</w:t>
            </w:r>
          </w:p>
        </w:tc>
        <w:tc>
          <w:tcPr>
            <w:tcW w:w="2977" w:type="dxa"/>
            <w:shd w:val="clear" w:color="auto" w:fill="FFFFFF"/>
            <w:vAlign w:val="center"/>
          </w:tcPr>
          <w:p w14:paraId="1ED19705">
            <w:pPr>
              <w:adjustRightInd w:val="0"/>
              <w:snapToGrid w:val="0"/>
              <w:spacing w:line="276" w:lineRule="auto"/>
              <w:jc w:val="center"/>
              <w:rPr>
                <w:rFonts w:ascii="Times New Roman" w:hAnsi="Times New Roman" w:eastAsia="宋体" w:cs="Times New Roman"/>
                <w:b/>
              </w:rPr>
            </w:pPr>
            <w:r>
              <w:rPr>
                <w:rFonts w:hint="eastAsia" w:ascii="Times New Roman" w:hAnsi="Times New Roman" w:eastAsia="宋体" w:cs="Times New Roman"/>
                <w:b/>
              </w:rPr>
              <w:t>考核</w:t>
            </w:r>
            <w:r>
              <w:rPr>
                <w:rFonts w:ascii="Times New Roman" w:hAnsi="Times New Roman" w:eastAsia="宋体" w:cs="Times New Roman"/>
                <w:b/>
              </w:rPr>
              <w:t>/</w:t>
            </w:r>
            <w:r>
              <w:rPr>
                <w:rFonts w:hint="eastAsia" w:ascii="Times New Roman" w:hAnsi="Times New Roman" w:eastAsia="宋体" w:cs="Times New Roman"/>
                <w:b/>
              </w:rPr>
              <w:t>评价细则</w:t>
            </w:r>
          </w:p>
        </w:tc>
        <w:tc>
          <w:tcPr>
            <w:tcW w:w="1418" w:type="dxa"/>
            <w:shd w:val="clear" w:color="auto" w:fill="FFFFFF"/>
            <w:vAlign w:val="center"/>
          </w:tcPr>
          <w:p w14:paraId="699B5CFA">
            <w:pPr>
              <w:adjustRightInd w:val="0"/>
              <w:snapToGrid w:val="0"/>
              <w:spacing w:line="276" w:lineRule="auto"/>
              <w:jc w:val="center"/>
              <w:rPr>
                <w:rFonts w:ascii="Times New Roman" w:hAnsi="Times New Roman" w:eastAsia="宋体" w:cs="Times New Roman"/>
                <w:b/>
              </w:rPr>
            </w:pPr>
            <w:r>
              <w:rPr>
                <w:rFonts w:hint="eastAsia" w:ascii="Times New Roman" w:hAnsi="Times New Roman" w:eastAsia="宋体" w:cs="Times New Roman"/>
                <w:b/>
              </w:rPr>
              <w:t>课程目标</w:t>
            </w:r>
          </w:p>
        </w:tc>
        <w:tc>
          <w:tcPr>
            <w:tcW w:w="1275" w:type="dxa"/>
            <w:shd w:val="clear" w:color="auto" w:fill="FFFFFF"/>
            <w:vAlign w:val="center"/>
          </w:tcPr>
          <w:p w14:paraId="084ACB93">
            <w:pPr>
              <w:adjustRightInd w:val="0"/>
              <w:snapToGrid w:val="0"/>
              <w:spacing w:line="276" w:lineRule="auto"/>
              <w:jc w:val="center"/>
              <w:rPr>
                <w:rFonts w:ascii="Times New Roman" w:hAnsi="Times New Roman" w:eastAsia="宋体" w:cs="Times New Roman"/>
                <w:b/>
              </w:rPr>
            </w:pPr>
            <w:r>
              <w:rPr>
                <w:rFonts w:hint="eastAsia" w:ascii="Times New Roman" w:hAnsi="Times New Roman" w:eastAsia="宋体" w:cs="Times New Roman"/>
                <w:b/>
              </w:rPr>
              <w:t>考核内容</w:t>
            </w:r>
          </w:p>
        </w:tc>
        <w:tc>
          <w:tcPr>
            <w:tcW w:w="1143" w:type="dxa"/>
            <w:shd w:val="clear" w:color="auto" w:fill="FFFFFF"/>
            <w:vAlign w:val="center"/>
          </w:tcPr>
          <w:p w14:paraId="38707755">
            <w:pPr>
              <w:adjustRightInd w:val="0"/>
              <w:snapToGrid w:val="0"/>
              <w:spacing w:line="276" w:lineRule="auto"/>
              <w:jc w:val="center"/>
              <w:rPr>
                <w:rFonts w:ascii="Times New Roman" w:hAnsi="Times New Roman" w:eastAsia="宋体" w:cs="Times New Roman"/>
                <w:b/>
              </w:rPr>
            </w:pPr>
            <w:r>
              <w:rPr>
                <w:rFonts w:hint="eastAsia" w:ascii="Times New Roman" w:hAnsi="Times New Roman" w:eastAsia="宋体" w:cs="Times New Roman"/>
                <w:b/>
              </w:rPr>
              <w:t>对应的毕业要求指标点</w:t>
            </w:r>
          </w:p>
        </w:tc>
      </w:tr>
      <w:tr w14:paraId="1887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710" w:type="dxa"/>
            <w:tcMar>
              <w:left w:w="57" w:type="dxa"/>
              <w:right w:w="57" w:type="dxa"/>
            </w:tcMar>
            <w:vAlign w:val="center"/>
          </w:tcPr>
          <w:p w14:paraId="5EA44B40">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平时成绩</w:t>
            </w:r>
          </w:p>
        </w:tc>
        <w:tc>
          <w:tcPr>
            <w:tcW w:w="1134" w:type="dxa"/>
            <w:vAlign w:val="center"/>
          </w:tcPr>
          <w:p w14:paraId="5FE7BE19">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课堂考勤、表现及平时作业</w:t>
            </w:r>
          </w:p>
        </w:tc>
        <w:tc>
          <w:tcPr>
            <w:tcW w:w="708" w:type="dxa"/>
            <w:vAlign w:val="center"/>
          </w:tcPr>
          <w:p w14:paraId="5874BBD8">
            <w:pPr>
              <w:adjustRightInd w:val="0"/>
              <w:snapToGrid w:val="0"/>
              <w:spacing w:line="276" w:lineRule="auto"/>
              <w:jc w:val="center"/>
              <w:rPr>
                <w:rFonts w:hint="eastAsia" w:ascii="宋体" w:hAnsi="宋体" w:eastAsia="宋体" w:cs="Times New Roman"/>
              </w:rPr>
            </w:pPr>
            <w:r>
              <w:rPr>
                <w:rFonts w:ascii="宋体" w:hAnsi="宋体" w:eastAsia="宋体" w:cs="Times New Roman"/>
              </w:rPr>
              <w:t>40%</w:t>
            </w:r>
          </w:p>
        </w:tc>
        <w:tc>
          <w:tcPr>
            <w:tcW w:w="2977" w:type="dxa"/>
            <w:vAlign w:val="center"/>
          </w:tcPr>
          <w:p w14:paraId="1157237D">
            <w:pPr>
              <w:widowControl/>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课堂考勤：病假和事假一次扣</w:t>
            </w:r>
            <w:r>
              <w:rPr>
                <w:rFonts w:ascii="宋体" w:hAnsi="宋体" w:eastAsia="宋体" w:cs="宋体"/>
                <w:kern w:val="0"/>
                <w:szCs w:val="21"/>
              </w:rPr>
              <w:t>3</w:t>
            </w:r>
            <w:r>
              <w:rPr>
                <w:rFonts w:hint="eastAsia" w:ascii="宋体" w:hAnsi="宋体" w:eastAsia="宋体" w:cs="宋体"/>
                <w:kern w:val="0"/>
                <w:szCs w:val="21"/>
              </w:rPr>
              <w:t>分，无故缺席一次扣</w:t>
            </w:r>
            <w:r>
              <w:rPr>
                <w:rFonts w:ascii="宋体" w:hAnsi="宋体" w:eastAsia="宋体" w:cs="宋体"/>
                <w:kern w:val="0"/>
                <w:szCs w:val="21"/>
              </w:rPr>
              <w:t>5</w:t>
            </w:r>
            <w:r>
              <w:rPr>
                <w:rFonts w:hint="eastAsia" w:ascii="宋体" w:hAnsi="宋体" w:eastAsia="宋体" w:cs="宋体"/>
                <w:kern w:val="0"/>
                <w:szCs w:val="21"/>
              </w:rPr>
              <w:t>分，无辜缺席累计达</w:t>
            </w:r>
            <w:r>
              <w:rPr>
                <w:rFonts w:ascii="宋体" w:hAnsi="宋体" w:eastAsia="宋体" w:cs="宋体"/>
                <w:kern w:val="0"/>
                <w:szCs w:val="21"/>
              </w:rPr>
              <w:t>3</w:t>
            </w:r>
            <w:r>
              <w:rPr>
                <w:rFonts w:hint="eastAsia" w:ascii="宋体" w:hAnsi="宋体" w:eastAsia="宋体" w:cs="宋体"/>
                <w:kern w:val="0"/>
                <w:szCs w:val="21"/>
              </w:rPr>
              <w:t>次以上</w:t>
            </w:r>
            <w:r>
              <w:rPr>
                <w:rFonts w:ascii="宋体" w:hAnsi="宋体" w:eastAsia="宋体" w:cs="宋体"/>
                <w:kern w:val="0"/>
                <w:szCs w:val="21"/>
              </w:rPr>
              <w:t>(</w:t>
            </w:r>
            <w:r>
              <w:rPr>
                <w:rFonts w:hint="eastAsia" w:ascii="宋体" w:hAnsi="宋体" w:eastAsia="宋体" w:cs="宋体"/>
                <w:kern w:val="0"/>
                <w:szCs w:val="21"/>
              </w:rPr>
              <w:t>不含</w:t>
            </w:r>
            <w:r>
              <w:rPr>
                <w:rFonts w:ascii="宋体" w:hAnsi="宋体" w:eastAsia="宋体" w:cs="宋体"/>
                <w:kern w:val="0"/>
                <w:szCs w:val="21"/>
              </w:rPr>
              <w:t>3</w:t>
            </w:r>
            <w:r>
              <w:rPr>
                <w:rFonts w:hint="eastAsia" w:ascii="宋体" w:hAnsi="宋体" w:eastAsia="宋体" w:cs="宋体"/>
                <w:kern w:val="0"/>
                <w:szCs w:val="21"/>
              </w:rPr>
              <w:t>次</w:t>
            </w:r>
            <w:r>
              <w:rPr>
                <w:rFonts w:ascii="宋体" w:hAnsi="宋体" w:eastAsia="宋体" w:cs="宋体"/>
                <w:kern w:val="0"/>
                <w:szCs w:val="21"/>
              </w:rPr>
              <w:t>)</w:t>
            </w:r>
            <w:r>
              <w:rPr>
                <w:rFonts w:hint="eastAsia" w:ascii="宋体" w:hAnsi="宋体" w:eastAsia="宋体" w:cs="宋体"/>
                <w:kern w:val="0"/>
                <w:szCs w:val="21"/>
              </w:rPr>
              <w:t>取消课程成绩。</w:t>
            </w:r>
          </w:p>
          <w:p w14:paraId="56F939F7">
            <w:pPr>
              <w:widowControl/>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课堂表现：每章</w:t>
            </w:r>
            <w:r>
              <w:rPr>
                <w:rFonts w:hint="eastAsia" w:ascii="宋体" w:hAnsi="宋体" w:eastAsia="宋体" w:cs="宋体"/>
                <w:color w:val="000000"/>
                <w:kern w:val="0"/>
                <w:szCs w:val="21"/>
              </w:rPr>
              <w:t>组织进行</w:t>
            </w:r>
            <w:r>
              <w:rPr>
                <w:rFonts w:ascii="宋体" w:hAnsi="宋体" w:eastAsia="宋体" w:cs="宋体"/>
                <w:color w:val="000000"/>
                <w:kern w:val="0"/>
                <w:szCs w:val="21"/>
              </w:rPr>
              <w:t>1-3</w:t>
            </w:r>
            <w:r>
              <w:rPr>
                <w:rFonts w:hint="eastAsia" w:ascii="宋体" w:hAnsi="宋体" w:eastAsia="宋体" w:cs="宋体"/>
                <w:color w:val="000000"/>
                <w:kern w:val="0"/>
                <w:szCs w:val="21"/>
              </w:rPr>
              <w:t>次讨论，主要考核学生对知识的理解与思考情况。根据回答给出相应分数。</w:t>
            </w:r>
          </w:p>
          <w:p w14:paraId="3231A47B">
            <w:pPr>
              <w:adjustRightInd w:val="0"/>
              <w:snapToGrid w:val="0"/>
              <w:spacing w:line="276" w:lineRule="auto"/>
              <w:rPr>
                <w:rFonts w:hint="eastAsia" w:ascii="宋体" w:hAnsi="宋体" w:eastAsia="宋体" w:cs="Times New Roman"/>
              </w:rPr>
            </w:pPr>
            <w:r>
              <w:rPr>
                <w:rFonts w:hint="eastAsia" w:ascii="宋体" w:hAnsi="宋体" w:eastAsia="宋体" w:cs="Times New Roman"/>
                <w:szCs w:val="21"/>
              </w:rPr>
              <w:t>平时作业：</w:t>
            </w:r>
            <w:r>
              <w:rPr>
                <w:rFonts w:ascii="宋体" w:hAnsi="宋体" w:eastAsia="宋体" w:cs="Times New Roman"/>
                <w:szCs w:val="21"/>
              </w:rPr>
              <w:t>3</w:t>
            </w:r>
            <w:r>
              <w:rPr>
                <w:rFonts w:hint="eastAsia" w:ascii="宋体" w:hAnsi="宋体" w:eastAsia="宋体" w:cs="Times New Roman"/>
                <w:szCs w:val="21"/>
              </w:rPr>
              <w:t>次书面作业，主要考核学生运用教育史知识分析当今教育现象的能力。</w:t>
            </w:r>
          </w:p>
        </w:tc>
        <w:tc>
          <w:tcPr>
            <w:tcW w:w="1418" w:type="dxa"/>
            <w:vAlign w:val="center"/>
          </w:tcPr>
          <w:p w14:paraId="357FBDCE">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1</w:t>
            </w:r>
          </w:p>
          <w:p w14:paraId="00A14761">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2</w:t>
            </w:r>
          </w:p>
          <w:p w14:paraId="463C08EA">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3</w:t>
            </w:r>
            <w:r>
              <w:rPr>
                <w:rFonts w:hint="eastAsia" w:ascii="宋体" w:hAnsi="宋体" w:eastAsia="宋体" w:cs="Times New Roman"/>
              </w:rPr>
              <w:t>课程目标</w:t>
            </w:r>
            <w:r>
              <w:rPr>
                <w:rFonts w:ascii="宋体" w:hAnsi="宋体" w:eastAsia="宋体" w:cs="Times New Roman"/>
              </w:rPr>
              <w:t>4</w:t>
            </w:r>
          </w:p>
          <w:p w14:paraId="082EC717">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5</w:t>
            </w:r>
          </w:p>
          <w:p w14:paraId="05986047">
            <w:pPr>
              <w:adjustRightInd w:val="0"/>
              <w:snapToGrid w:val="0"/>
              <w:spacing w:line="276" w:lineRule="auto"/>
              <w:jc w:val="center"/>
              <w:rPr>
                <w:rFonts w:hint="eastAsia" w:ascii="宋体" w:hAnsi="宋体" w:eastAsia="宋体" w:cs="Times New Roman"/>
              </w:rPr>
            </w:pPr>
          </w:p>
        </w:tc>
        <w:tc>
          <w:tcPr>
            <w:tcW w:w="1275" w:type="dxa"/>
            <w:vAlign w:val="center"/>
          </w:tcPr>
          <w:p w14:paraId="41B229A2">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每章节的基本知识和理论的掌握及运用</w:t>
            </w:r>
          </w:p>
        </w:tc>
        <w:tc>
          <w:tcPr>
            <w:tcW w:w="1143" w:type="dxa"/>
            <w:vAlign w:val="center"/>
          </w:tcPr>
          <w:p w14:paraId="6AF3FB46">
            <w:pPr>
              <w:adjustRightInd w:val="0"/>
              <w:snapToGrid w:val="0"/>
              <w:spacing w:line="276" w:lineRule="auto"/>
              <w:jc w:val="center"/>
              <w:rPr>
                <w:rFonts w:hint="eastAsia" w:ascii="宋体" w:hAnsi="宋体" w:eastAsia="宋体" w:cs="Times New Roman"/>
              </w:rPr>
            </w:pPr>
            <w:r>
              <w:rPr>
                <w:rFonts w:ascii="宋体" w:hAnsi="宋体" w:eastAsia="宋体" w:cs="Times New Roman"/>
              </w:rPr>
              <w:t>1-2</w:t>
            </w:r>
          </w:p>
          <w:p w14:paraId="2CFB9AF3">
            <w:pPr>
              <w:adjustRightInd w:val="0"/>
              <w:snapToGrid w:val="0"/>
              <w:spacing w:line="276" w:lineRule="auto"/>
              <w:jc w:val="center"/>
              <w:rPr>
                <w:rFonts w:hint="eastAsia" w:ascii="宋体" w:hAnsi="宋体" w:eastAsia="宋体" w:cs="Times New Roman"/>
              </w:rPr>
            </w:pPr>
            <w:r>
              <w:rPr>
                <w:rFonts w:ascii="宋体" w:hAnsi="宋体" w:eastAsia="宋体" w:cs="Times New Roman"/>
              </w:rPr>
              <w:t>2-2</w:t>
            </w:r>
          </w:p>
          <w:p w14:paraId="4B74331E">
            <w:pPr>
              <w:adjustRightInd w:val="0"/>
              <w:snapToGrid w:val="0"/>
              <w:spacing w:line="276" w:lineRule="auto"/>
              <w:jc w:val="center"/>
              <w:rPr>
                <w:rFonts w:hint="eastAsia" w:ascii="宋体" w:hAnsi="宋体" w:eastAsia="宋体" w:cs="Times New Roman"/>
              </w:rPr>
            </w:pPr>
            <w:r>
              <w:rPr>
                <w:rFonts w:ascii="宋体" w:hAnsi="宋体" w:eastAsia="宋体" w:cs="Times New Roman"/>
              </w:rPr>
              <w:t>7-1</w:t>
            </w:r>
          </w:p>
          <w:p w14:paraId="43D9F3BE">
            <w:pPr>
              <w:adjustRightInd w:val="0"/>
              <w:snapToGrid w:val="0"/>
              <w:spacing w:line="276" w:lineRule="auto"/>
              <w:jc w:val="center"/>
              <w:rPr>
                <w:rFonts w:hint="eastAsia" w:ascii="宋体" w:hAnsi="宋体" w:eastAsia="宋体" w:cs="Times New Roman"/>
              </w:rPr>
            </w:pPr>
            <w:r>
              <w:rPr>
                <w:rFonts w:ascii="宋体" w:hAnsi="宋体" w:eastAsia="宋体" w:cs="Times New Roman"/>
              </w:rPr>
              <w:t>3-1</w:t>
            </w:r>
          </w:p>
          <w:p w14:paraId="1B68A4CE">
            <w:pPr>
              <w:adjustRightInd w:val="0"/>
              <w:snapToGrid w:val="0"/>
              <w:spacing w:line="276" w:lineRule="auto"/>
              <w:jc w:val="center"/>
              <w:rPr>
                <w:rFonts w:hint="eastAsia" w:ascii="宋体" w:hAnsi="宋体" w:eastAsia="宋体" w:cs="Times New Roman"/>
              </w:rPr>
            </w:pPr>
            <w:r>
              <w:rPr>
                <w:rFonts w:ascii="宋体" w:hAnsi="宋体" w:eastAsia="宋体" w:cs="Times New Roman"/>
              </w:rPr>
              <w:t>8-3</w:t>
            </w:r>
          </w:p>
        </w:tc>
      </w:tr>
      <w:tr w14:paraId="1F03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jc w:val="center"/>
        </w:trPr>
        <w:tc>
          <w:tcPr>
            <w:tcW w:w="710" w:type="dxa"/>
            <w:tcMar>
              <w:left w:w="57" w:type="dxa"/>
              <w:right w:w="57" w:type="dxa"/>
            </w:tcMar>
            <w:vAlign w:val="center"/>
          </w:tcPr>
          <w:p w14:paraId="1598E86F">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期末考试</w:t>
            </w:r>
          </w:p>
        </w:tc>
        <w:tc>
          <w:tcPr>
            <w:tcW w:w="1134" w:type="dxa"/>
            <w:vAlign w:val="center"/>
          </w:tcPr>
          <w:p w14:paraId="2619A286">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期末考试</w:t>
            </w:r>
          </w:p>
          <w:p w14:paraId="407CAAFF">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卷面成绩</w:t>
            </w:r>
          </w:p>
        </w:tc>
        <w:tc>
          <w:tcPr>
            <w:tcW w:w="708" w:type="dxa"/>
            <w:vAlign w:val="center"/>
          </w:tcPr>
          <w:p w14:paraId="09B8DAF2">
            <w:pPr>
              <w:adjustRightInd w:val="0"/>
              <w:snapToGrid w:val="0"/>
              <w:spacing w:line="276" w:lineRule="auto"/>
              <w:jc w:val="center"/>
              <w:rPr>
                <w:rFonts w:hint="eastAsia" w:ascii="宋体" w:hAnsi="宋体" w:eastAsia="宋体" w:cs="Times New Roman"/>
              </w:rPr>
            </w:pPr>
            <w:r>
              <w:rPr>
                <w:rFonts w:ascii="宋体" w:hAnsi="宋体" w:eastAsia="宋体" w:cs="Times New Roman"/>
              </w:rPr>
              <w:t>60%</w:t>
            </w:r>
          </w:p>
        </w:tc>
        <w:tc>
          <w:tcPr>
            <w:tcW w:w="2977" w:type="dxa"/>
            <w:vAlign w:val="center"/>
          </w:tcPr>
          <w:p w14:paraId="13B43562">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试卷题型包括填空题、简答题、判断题、论述题等，以卷面成绩的</w:t>
            </w:r>
            <w:r>
              <w:rPr>
                <w:rFonts w:ascii="宋体" w:hAnsi="宋体" w:eastAsia="宋体" w:cs="Times New Roman"/>
                <w:color w:val="000000"/>
                <w:szCs w:val="21"/>
              </w:rPr>
              <w:t>60%</w:t>
            </w:r>
            <w:r>
              <w:rPr>
                <w:rFonts w:hint="eastAsia" w:ascii="宋体" w:hAnsi="宋体" w:eastAsia="宋体" w:cs="Times New Roman"/>
                <w:color w:val="000000"/>
                <w:szCs w:val="21"/>
              </w:rPr>
              <w:t>计入课程总成绩。其中：考核基本概念知识型题目占</w:t>
            </w:r>
            <w:r>
              <w:rPr>
                <w:rFonts w:ascii="宋体" w:hAnsi="宋体" w:eastAsia="宋体" w:cs="Times New Roman"/>
                <w:color w:val="000000"/>
                <w:szCs w:val="21"/>
              </w:rPr>
              <w:t>30%</w:t>
            </w:r>
            <w:r>
              <w:rPr>
                <w:rFonts w:hint="eastAsia" w:ascii="宋体" w:hAnsi="宋体" w:eastAsia="宋体" w:cs="Times New Roman"/>
                <w:color w:val="000000"/>
                <w:szCs w:val="21"/>
              </w:rPr>
              <w:t>；考核知识理解型题目占</w:t>
            </w:r>
            <w:r>
              <w:rPr>
                <w:rFonts w:ascii="宋体" w:hAnsi="宋体" w:eastAsia="宋体" w:cs="Times New Roman"/>
                <w:color w:val="000000"/>
                <w:szCs w:val="21"/>
              </w:rPr>
              <w:t>30%</w:t>
            </w:r>
            <w:r>
              <w:rPr>
                <w:rFonts w:hint="eastAsia" w:ascii="宋体" w:hAnsi="宋体" w:eastAsia="宋体" w:cs="Times New Roman"/>
                <w:color w:val="000000"/>
                <w:szCs w:val="21"/>
              </w:rPr>
              <w:t>；考核综合分析能力题目占</w:t>
            </w:r>
            <w:r>
              <w:rPr>
                <w:rFonts w:ascii="宋体" w:hAnsi="宋体" w:eastAsia="宋体" w:cs="Times New Roman"/>
                <w:color w:val="000000"/>
                <w:szCs w:val="21"/>
              </w:rPr>
              <w:t>40%</w:t>
            </w:r>
            <w:r>
              <w:rPr>
                <w:rFonts w:hint="eastAsia" w:ascii="宋体" w:hAnsi="宋体" w:eastAsia="宋体" w:cs="Times New Roman"/>
                <w:color w:val="000000"/>
                <w:szCs w:val="21"/>
              </w:rPr>
              <w:t>。</w:t>
            </w:r>
          </w:p>
        </w:tc>
        <w:tc>
          <w:tcPr>
            <w:tcW w:w="1418" w:type="dxa"/>
            <w:vAlign w:val="center"/>
          </w:tcPr>
          <w:p w14:paraId="03709E50">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1</w:t>
            </w:r>
          </w:p>
          <w:p w14:paraId="12760EE6">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2</w:t>
            </w:r>
          </w:p>
          <w:p w14:paraId="56264AFF">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3</w:t>
            </w:r>
            <w:r>
              <w:rPr>
                <w:rFonts w:hint="eastAsia" w:ascii="宋体" w:hAnsi="宋体" w:eastAsia="宋体" w:cs="Times New Roman"/>
              </w:rPr>
              <w:t>课程目标</w:t>
            </w:r>
            <w:r>
              <w:rPr>
                <w:rFonts w:ascii="宋体" w:hAnsi="宋体" w:eastAsia="宋体" w:cs="Times New Roman"/>
              </w:rPr>
              <w:t>4</w:t>
            </w:r>
          </w:p>
          <w:p w14:paraId="1617F061">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5</w:t>
            </w:r>
          </w:p>
          <w:p w14:paraId="2F6D879D">
            <w:pPr>
              <w:adjustRightInd w:val="0"/>
              <w:snapToGrid w:val="0"/>
              <w:spacing w:line="276" w:lineRule="auto"/>
              <w:jc w:val="center"/>
              <w:rPr>
                <w:rFonts w:hint="eastAsia" w:ascii="宋体" w:hAnsi="宋体" w:eastAsia="宋体" w:cs="Times New Roman"/>
                <w:b/>
              </w:rPr>
            </w:pPr>
          </w:p>
        </w:tc>
        <w:tc>
          <w:tcPr>
            <w:tcW w:w="1275" w:type="dxa"/>
            <w:vAlign w:val="center"/>
          </w:tcPr>
          <w:p w14:paraId="17F86BBA">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外国教育史上的主要教育事件、主要教育家的教育思想、教育事件的历史作用等</w:t>
            </w:r>
          </w:p>
        </w:tc>
        <w:tc>
          <w:tcPr>
            <w:tcW w:w="1143" w:type="dxa"/>
            <w:vAlign w:val="center"/>
          </w:tcPr>
          <w:p w14:paraId="3049824F">
            <w:pPr>
              <w:adjustRightInd w:val="0"/>
              <w:snapToGrid w:val="0"/>
              <w:spacing w:line="276" w:lineRule="auto"/>
              <w:jc w:val="center"/>
              <w:rPr>
                <w:rFonts w:hint="eastAsia" w:ascii="宋体" w:hAnsi="宋体" w:eastAsia="宋体" w:cs="Times New Roman"/>
              </w:rPr>
            </w:pPr>
            <w:r>
              <w:rPr>
                <w:rFonts w:ascii="宋体" w:hAnsi="宋体" w:eastAsia="宋体" w:cs="Times New Roman"/>
              </w:rPr>
              <w:t>1-1</w:t>
            </w:r>
          </w:p>
          <w:p w14:paraId="0F18CBF9">
            <w:pPr>
              <w:adjustRightInd w:val="0"/>
              <w:snapToGrid w:val="0"/>
              <w:spacing w:line="276" w:lineRule="auto"/>
              <w:jc w:val="center"/>
              <w:rPr>
                <w:rFonts w:hint="eastAsia" w:ascii="宋体" w:hAnsi="宋体" w:eastAsia="宋体" w:cs="Times New Roman"/>
              </w:rPr>
            </w:pPr>
            <w:r>
              <w:rPr>
                <w:rFonts w:ascii="宋体" w:hAnsi="宋体" w:eastAsia="宋体" w:cs="Times New Roman"/>
              </w:rPr>
              <w:t>5-1</w:t>
            </w:r>
            <w:r>
              <w:rPr>
                <w:rFonts w:hint="eastAsia" w:ascii="宋体" w:hAnsi="宋体" w:eastAsia="宋体" w:cs="Times New Roman"/>
              </w:rPr>
              <w:t>、</w:t>
            </w:r>
            <w:r>
              <w:rPr>
                <w:rFonts w:ascii="宋体" w:hAnsi="宋体" w:eastAsia="宋体" w:cs="Times New Roman"/>
              </w:rPr>
              <w:t>5-2</w:t>
            </w:r>
          </w:p>
          <w:p w14:paraId="4555B692">
            <w:pPr>
              <w:adjustRightInd w:val="0"/>
              <w:snapToGrid w:val="0"/>
              <w:spacing w:line="276" w:lineRule="auto"/>
              <w:jc w:val="center"/>
              <w:rPr>
                <w:rFonts w:hint="eastAsia" w:ascii="宋体" w:hAnsi="宋体" w:eastAsia="宋体" w:cs="Times New Roman"/>
              </w:rPr>
            </w:pPr>
            <w:r>
              <w:rPr>
                <w:rFonts w:ascii="宋体" w:hAnsi="宋体" w:eastAsia="宋体" w:cs="Times New Roman"/>
              </w:rPr>
              <w:t>5-3</w:t>
            </w:r>
          </w:p>
          <w:p w14:paraId="0449D1D7">
            <w:pPr>
              <w:adjustRightInd w:val="0"/>
              <w:snapToGrid w:val="0"/>
              <w:spacing w:line="276" w:lineRule="auto"/>
              <w:jc w:val="center"/>
              <w:rPr>
                <w:rFonts w:hint="eastAsia" w:ascii="宋体" w:hAnsi="宋体" w:eastAsia="宋体" w:cs="Times New Roman"/>
              </w:rPr>
            </w:pPr>
            <w:r>
              <w:rPr>
                <w:rFonts w:ascii="宋体" w:hAnsi="宋体" w:eastAsia="宋体" w:cs="Times New Roman"/>
              </w:rPr>
              <w:t>7-1</w:t>
            </w:r>
            <w:r>
              <w:rPr>
                <w:rFonts w:hint="eastAsia" w:ascii="宋体" w:hAnsi="宋体" w:eastAsia="宋体" w:cs="Times New Roman"/>
              </w:rPr>
              <w:t>、</w:t>
            </w:r>
            <w:r>
              <w:rPr>
                <w:rFonts w:ascii="宋体" w:hAnsi="宋体" w:eastAsia="宋体" w:cs="Times New Roman"/>
              </w:rPr>
              <w:t>7-3</w:t>
            </w:r>
          </w:p>
        </w:tc>
      </w:tr>
    </w:tbl>
    <w:p w14:paraId="6FF210CF">
      <w:pPr>
        <w:adjustRightInd w:val="0"/>
        <w:snapToGrid w:val="0"/>
        <w:spacing w:line="360" w:lineRule="auto"/>
        <w:rPr>
          <w:rFonts w:ascii="宋体" w:hAnsi="Calibri" w:eastAsia="宋体" w:cs="Times New Roman"/>
          <w:color w:val="000000"/>
        </w:rPr>
      </w:pPr>
    </w:p>
    <w:p w14:paraId="347BCCF0">
      <w:pPr>
        <w:spacing w:line="360" w:lineRule="auto"/>
        <w:rPr>
          <w:rFonts w:hint="eastAsia" w:ascii="宋体" w:hAnsi="宋体" w:eastAsia="宋体" w:cs="Times New Roman"/>
          <w:sz w:val="24"/>
        </w:rPr>
      </w:pPr>
      <w:r>
        <w:rPr>
          <w:rFonts w:hint="eastAsia" w:ascii="宋体" w:hAnsi="宋体" w:eastAsia="宋体" w:cs="Times New Roman"/>
          <w:sz w:val="24"/>
        </w:rPr>
        <w:t>（三）课程目标及考核方式权重分配表</w:t>
      </w:r>
    </w:p>
    <w:tbl>
      <w:tblPr>
        <w:tblStyle w:val="13"/>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1352"/>
        <w:gridCol w:w="1911"/>
        <w:gridCol w:w="1432"/>
        <w:gridCol w:w="2075"/>
      </w:tblGrid>
      <w:tr w14:paraId="3B13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341" w:type="dxa"/>
            <w:gridSpan w:val="2"/>
            <w:vAlign w:val="center"/>
          </w:tcPr>
          <w:p w14:paraId="0C71D0DB">
            <w:pPr>
              <w:adjustRightInd w:val="0"/>
              <w:snapToGrid w:val="0"/>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课程目标及权重</w:t>
            </w:r>
          </w:p>
        </w:tc>
        <w:tc>
          <w:tcPr>
            <w:tcW w:w="5418" w:type="dxa"/>
            <w:gridSpan w:val="3"/>
            <w:vAlign w:val="center"/>
          </w:tcPr>
          <w:p w14:paraId="056627D8">
            <w:pPr>
              <w:adjustRightInd w:val="0"/>
              <w:snapToGrid w:val="0"/>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考核方式及权重</w:t>
            </w:r>
          </w:p>
        </w:tc>
      </w:tr>
      <w:tr w14:paraId="5CF8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989" w:type="dxa"/>
            <w:vAlign w:val="center"/>
          </w:tcPr>
          <w:p w14:paraId="6E43887F">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项目</w:t>
            </w:r>
          </w:p>
        </w:tc>
        <w:tc>
          <w:tcPr>
            <w:tcW w:w="1352" w:type="dxa"/>
            <w:vAlign w:val="center"/>
          </w:tcPr>
          <w:p w14:paraId="2FD84FAC">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911" w:type="dxa"/>
            <w:vAlign w:val="center"/>
          </w:tcPr>
          <w:p w14:paraId="187543BE">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评价依据</w:t>
            </w:r>
          </w:p>
        </w:tc>
        <w:tc>
          <w:tcPr>
            <w:tcW w:w="1432" w:type="dxa"/>
            <w:vAlign w:val="center"/>
          </w:tcPr>
          <w:p w14:paraId="65B483B9">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2074" w:type="dxa"/>
            <w:vAlign w:val="center"/>
          </w:tcPr>
          <w:p w14:paraId="592E36C8">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考核方式权重合计</w:t>
            </w:r>
          </w:p>
        </w:tc>
      </w:tr>
      <w:tr w14:paraId="341C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restart"/>
            <w:vAlign w:val="center"/>
          </w:tcPr>
          <w:p w14:paraId="45D4BDB5">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352" w:type="dxa"/>
            <w:vMerge w:val="restart"/>
            <w:vAlign w:val="center"/>
          </w:tcPr>
          <w:p w14:paraId="0D7EB04F">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15%</w:t>
            </w:r>
          </w:p>
        </w:tc>
        <w:tc>
          <w:tcPr>
            <w:tcW w:w="1911" w:type="dxa"/>
            <w:vAlign w:val="center"/>
          </w:tcPr>
          <w:p w14:paraId="503E7B39">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32" w:type="dxa"/>
            <w:vAlign w:val="center"/>
          </w:tcPr>
          <w:p w14:paraId="080A2036">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74" w:type="dxa"/>
            <w:vMerge w:val="restart"/>
            <w:vAlign w:val="center"/>
          </w:tcPr>
          <w:p w14:paraId="07827DA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4025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continue"/>
            <w:vAlign w:val="center"/>
          </w:tcPr>
          <w:p w14:paraId="3769EF9A">
            <w:pPr>
              <w:adjustRightInd w:val="0"/>
              <w:snapToGrid w:val="0"/>
              <w:spacing w:line="276" w:lineRule="auto"/>
              <w:jc w:val="center"/>
              <w:rPr>
                <w:rFonts w:hint="eastAsia" w:ascii="宋体" w:hAnsi="宋体" w:eastAsia="宋体" w:cs="Times New Roman"/>
                <w:kern w:val="0"/>
                <w:szCs w:val="21"/>
              </w:rPr>
            </w:pPr>
          </w:p>
        </w:tc>
        <w:tc>
          <w:tcPr>
            <w:tcW w:w="1352" w:type="dxa"/>
            <w:vMerge w:val="continue"/>
            <w:vAlign w:val="center"/>
          </w:tcPr>
          <w:p w14:paraId="7619C55A">
            <w:pPr>
              <w:adjustRightInd w:val="0"/>
              <w:snapToGrid w:val="0"/>
              <w:spacing w:line="276" w:lineRule="auto"/>
              <w:jc w:val="center"/>
              <w:rPr>
                <w:rFonts w:hint="eastAsia" w:ascii="宋体" w:hAnsi="宋体" w:eastAsia="宋体" w:cs="Times New Roman"/>
                <w:kern w:val="0"/>
                <w:szCs w:val="21"/>
              </w:rPr>
            </w:pPr>
          </w:p>
        </w:tc>
        <w:tc>
          <w:tcPr>
            <w:tcW w:w="1911" w:type="dxa"/>
            <w:vAlign w:val="center"/>
          </w:tcPr>
          <w:p w14:paraId="55B508CD">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期末考试</w:t>
            </w:r>
          </w:p>
        </w:tc>
        <w:tc>
          <w:tcPr>
            <w:tcW w:w="1432" w:type="dxa"/>
            <w:vAlign w:val="center"/>
          </w:tcPr>
          <w:p w14:paraId="1D1F8B19">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74" w:type="dxa"/>
            <w:vMerge w:val="continue"/>
            <w:vAlign w:val="center"/>
          </w:tcPr>
          <w:p w14:paraId="5E2803C4">
            <w:pPr>
              <w:adjustRightInd w:val="0"/>
              <w:snapToGrid w:val="0"/>
              <w:spacing w:line="276" w:lineRule="auto"/>
              <w:jc w:val="center"/>
              <w:rPr>
                <w:rFonts w:hint="eastAsia" w:ascii="宋体" w:hAnsi="宋体" w:eastAsia="宋体" w:cs="Times New Roman"/>
                <w:kern w:val="0"/>
                <w:szCs w:val="21"/>
              </w:rPr>
            </w:pPr>
          </w:p>
        </w:tc>
      </w:tr>
      <w:tr w14:paraId="586F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989" w:type="dxa"/>
            <w:vAlign w:val="center"/>
          </w:tcPr>
          <w:p w14:paraId="720F4C94">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352" w:type="dxa"/>
            <w:vAlign w:val="center"/>
          </w:tcPr>
          <w:p w14:paraId="4FF9CCAA">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15%</w:t>
            </w:r>
          </w:p>
        </w:tc>
        <w:tc>
          <w:tcPr>
            <w:tcW w:w="1911" w:type="dxa"/>
            <w:vAlign w:val="center"/>
          </w:tcPr>
          <w:p w14:paraId="3D2D7C2F">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32" w:type="dxa"/>
            <w:vAlign w:val="center"/>
          </w:tcPr>
          <w:p w14:paraId="1501FC88">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40%</w:t>
            </w:r>
          </w:p>
        </w:tc>
        <w:tc>
          <w:tcPr>
            <w:tcW w:w="2074" w:type="dxa"/>
            <w:vAlign w:val="center"/>
          </w:tcPr>
          <w:p w14:paraId="08419EA3">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1F21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989" w:type="dxa"/>
            <w:vAlign w:val="center"/>
          </w:tcPr>
          <w:p w14:paraId="4B804F99">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352" w:type="dxa"/>
            <w:vAlign w:val="center"/>
          </w:tcPr>
          <w:p w14:paraId="147A89EF">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20%</w:t>
            </w:r>
          </w:p>
        </w:tc>
        <w:tc>
          <w:tcPr>
            <w:tcW w:w="1911" w:type="dxa"/>
            <w:vAlign w:val="center"/>
          </w:tcPr>
          <w:p w14:paraId="3C0A5823">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期末考试</w:t>
            </w:r>
          </w:p>
        </w:tc>
        <w:tc>
          <w:tcPr>
            <w:tcW w:w="1432" w:type="dxa"/>
            <w:vAlign w:val="center"/>
          </w:tcPr>
          <w:p w14:paraId="73E40709">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60%</w:t>
            </w:r>
          </w:p>
        </w:tc>
        <w:tc>
          <w:tcPr>
            <w:tcW w:w="2074" w:type="dxa"/>
            <w:vAlign w:val="center"/>
          </w:tcPr>
          <w:p w14:paraId="0DEED9B0">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1A1A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restart"/>
            <w:vAlign w:val="center"/>
          </w:tcPr>
          <w:p w14:paraId="70C1947E">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352" w:type="dxa"/>
            <w:vMerge w:val="restart"/>
            <w:vAlign w:val="center"/>
          </w:tcPr>
          <w:p w14:paraId="4D6A86A8">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25%</w:t>
            </w:r>
          </w:p>
        </w:tc>
        <w:tc>
          <w:tcPr>
            <w:tcW w:w="1911" w:type="dxa"/>
            <w:vAlign w:val="center"/>
          </w:tcPr>
          <w:p w14:paraId="0ABCAFA1">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32" w:type="dxa"/>
            <w:vAlign w:val="center"/>
          </w:tcPr>
          <w:p w14:paraId="03AA69B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74" w:type="dxa"/>
            <w:vMerge w:val="restart"/>
            <w:vAlign w:val="center"/>
          </w:tcPr>
          <w:p w14:paraId="3BA73E9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3D62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continue"/>
            <w:vAlign w:val="center"/>
          </w:tcPr>
          <w:p w14:paraId="748ECDED">
            <w:pPr>
              <w:adjustRightInd w:val="0"/>
              <w:snapToGrid w:val="0"/>
              <w:spacing w:line="276" w:lineRule="auto"/>
              <w:jc w:val="center"/>
              <w:rPr>
                <w:rFonts w:hint="eastAsia" w:ascii="宋体" w:hAnsi="宋体" w:eastAsia="宋体" w:cs="Times New Roman"/>
                <w:kern w:val="0"/>
                <w:szCs w:val="21"/>
              </w:rPr>
            </w:pPr>
          </w:p>
        </w:tc>
        <w:tc>
          <w:tcPr>
            <w:tcW w:w="1352" w:type="dxa"/>
            <w:vMerge w:val="continue"/>
            <w:vAlign w:val="center"/>
          </w:tcPr>
          <w:p w14:paraId="257EE001">
            <w:pPr>
              <w:adjustRightInd w:val="0"/>
              <w:snapToGrid w:val="0"/>
              <w:spacing w:line="276" w:lineRule="auto"/>
              <w:jc w:val="center"/>
              <w:rPr>
                <w:rFonts w:hint="eastAsia" w:ascii="宋体" w:hAnsi="宋体" w:eastAsia="宋体" w:cs="Times New Roman"/>
                <w:kern w:val="0"/>
                <w:szCs w:val="21"/>
              </w:rPr>
            </w:pPr>
          </w:p>
        </w:tc>
        <w:tc>
          <w:tcPr>
            <w:tcW w:w="1911" w:type="dxa"/>
            <w:vAlign w:val="center"/>
          </w:tcPr>
          <w:p w14:paraId="0F645737">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32" w:type="dxa"/>
            <w:vAlign w:val="center"/>
          </w:tcPr>
          <w:p w14:paraId="17728C16">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74" w:type="dxa"/>
            <w:vMerge w:val="continue"/>
            <w:vAlign w:val="center"/>
          </w:tcPr>
          <w:p w14:paraId="2074D6D3">
            <w:pPr>
              <w:adjustRightInd w:val="0"/>
              <w:snapToGrid w:val="0"/>
              <w:spacing w:line="276" w:lineRule="auto"/>
              <w:jc w:val="center"/>
              <w:rPr>
                <w:rFonts w:hint="eastAsia" w:ascii="宋体" w:hAnsi="宋体" w:eastAsia="宋体" w:cs="Times New Roman"/>
                <w:kern w:val="0"/>
                <w:szCs w:val="21"/>
              </w:rPr>
            </w:pPr>
          </w:p>
        </w:tc>
      </w:tr>
      <w:tr w14:paraId="4E56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restart"/>
            <w:vAlign w:val="center"/>
          </w:tcPr>
          <w:p w14:paraId="7916D0DE">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5</w:t>
            </w:r>
          </w:p>
        </w:tc>
        <w:tc>
          <w:tcPr>
            <w:tcW w:w="1352" w:type="dxa"/>
            <w:vMerge w:val="restart"/>
            <w:vAlign w:val="center"/>
          </w:tcPr>
          <w:p w14:paraId="7B57D85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25%</w:t>
            </w:r>
          </w:p>
        </w:tc>
        <w:tc>
          <w:tcPr>
            <w:tcW w:w="1911" w:type="dxa"/>
            <w:vAlign w:val="center"/>
          </w:tcPr>
          <w:p w14:paraId="74149AF0">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3</w:t>
            </w:r>
          </w:p>
        </w:tc>
        <w:tc>
          <w:tcPr>
            <w:tcW w:w="1432" w:type="dxa"/>
            <w:vAlign w:val="center"/>
          </w:tcPr>
          <w:p w14:paraId="5588CEB7">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60%</w:t>
            </w:r>
          </w:p>
        </w:tc>
        <w:tc>
          <w:tcPr>
            <w:tcW w:w="2074" w:type="dxa"/>
            <w:vMerge w:val="restart"/>
            <w:vAlign w:val="center"/>
          </w:tcPr>
          <w:p w14:paraId="7C6F211D">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7882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989" w:type="dxa"/>
            <w:vMerge w:val="continue"/>
            <w:vAlign w:val="center"/>
          </w:tcPr>
          <w:p w14:paraId="5DC2CC68">
            <w:pPr>
              <w:adjustRightInd w:val="0"/>
              <w:snapToGrid w:val="0"/>
              <w:spacing w:line="276" w:lineRule="auto"/>
              <w:jc w:val="center"/>
              <w:rPr>
                <w:rFonts w:hint="eastAsia" w:ascii="宋体" w:hAnsi="宋体" w:eastAsia="宋体" w:cs="Times New Roman"/>
                <w:kern w:val="0"/>
                <w:szCs w:val="21"/>
              </w:rPr>
            </w:pPr>
          </w:p>
        </w:tc>
        <w:tc>
          <w:tcPr>
            <w:tcW w:w="1352" w:type="dxa"/>
            <w:vMerge w:val="continue"/>
            <w:vAlign w:val="center"/>
          </w:tcPr>
          <w:p w14:paraId="1528A5EC">
            <w:pPr>
              <w:adjustRightInd w:val="0"/>
              <w:snapToGrid w:val="0"/>
              <w:spacing w:line="276" w:lineRule="auto"/>
              <w:jc w:val="center"/>
              <w:rPr>
                <w:rFonts w:hint="eastAsia" w:ascii="宋体" w:hAnsi="宋体" w:eastAsia="宋体" w:cs="Times New Roman"/>
                <w:kern w:val="0"/>
                <w:szCs w:val="21"/>
              </w:rPr>
            </w:pPr>
          </w:p>
        </w:tc>
        <w:tc>
          <w:tcPr>
            <w:tcW w:w="1911" w:type="dxa"/>
            <w:vAlign w:val="center"/>
          </w:tcPr>
          <w:p w14:paraId="5372170A">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期末考试</w:t>
            </w:r>
          </w:p>
        </w:tc>
        <w:tc>
          <w:tcPr>
            <w:tcW w:w="1432" w:type="dxa"/>
            <w:vAlign w:val="center"/>
          </w:tcPr>
          <w:p w14:paraId="5AEABF56">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40%</w:t>
            </w:r>
          </w:p>
        </w:tc>
        <w:tc>
          <w:tcPr>
            <w:tcW w:w="2074" w:type="dxa"/>
            <w:vMerge w:val="continue"/>
            <w:vAlign w:val="center"/>
          </w:tcPr>
          <w:p w14:paraId="7ABB24E0">
            <w:pPr>
              <w:adjustRightInd w:val="0"/>
              <w:snapToGrid w:val="0"/>
              <w:spacing w:line="276" w:lineRule="auto"/>
              <w:jc w:val="center"/>
              <w:rPr>
                <w:rFonts w:hint="eastAsia" w:ascii="宋体" w:hAnsi="宋体" w:eastAsia="宋体" w:cs="Times New Roman"/>
                <w:kern w:val="0"/>
                <w:szCs w:val="21"/>
              </w:rPr>
            </w:pPr>
          </w:p>
        </w:tc>
      </w:tr>
      <w:tr w14:paraId="19DD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989" w:type="dxa"/>
            <w:vAlign w:val="center"/>
          </w:tcPr>
          <w:p w14:paraId="43B5B784">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课程目标权重合计</w:t>
            </w:r>
          </w:p>
        </w:tc>
        <w:tc>
          <w:tcPr>
            <w:tcW w:w="1352" w:type="dxa"/>
            <w:vAlign w:val="center"/>
          </w:tcPr>
          <w:p w14:paraId="2D4E10C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c>
          <w:tcPr>
            <w:tcW w:w="5418" w:type="dxa"/>
            <w:gridSpan w:val="3"/>
            <w:vAlign w:val="center"/>
          </w:tcPr>
          <w:p w14:paraId="26E77E1D">
            <w:pPr>
              <w:adjustRightInd w:val="0"/>
              <w:snapToGrid w:val="0"/>
              <w:spacing w:line="276" w:lineRule="auto"/>
              <w:jc w:val="center"/>
              <w:rPr>
                <w:rFonts w:hint="eastAsia" w:ascii="宋体" w:hAnsi="宋体" w:eastAsia="宋体" w:cs="Times New Roman"/>
                <w:kern w:val="0"/>
                <w:szCs w:val="21"/>
              </w:rPr>
            </w:pPr>
          </w:p>
        </w:tc>
      </w:tr>
    </w:tbl>
    <w:p w14:paraId="6ED1431F">
      <w:pPr>
        <w:spacing w:line="360" w:lineRule="auto"/>
        <w:rPr>
          <w:rFonts w:ascii="Calibri" w:hAnsi="Calibri" w:eastAsia="宋体" w:cs="Times New Roman"/>
        </w:rPr>
      </w:pPr>
    </w:p>
    <w:p w14:paraId="6D08E263">
      <w:pPr>
        <w:spacing w:line="360" w:lineRule="auto"/>
        <w:rPr>
          <w:rFonts w:hint="eastAsia" w:ascii="宋体" w:hAnsi="宋体" w:eastAsia="宋体" w:cs="Times New Roman"/>
          <w:sz w:val="24"/>
        </w:rPr>
      </w:pPr>
      <w:r>
        <w:rPr>
          <w:rFonts w:hint="eastAsia" w:ascii="宋体" w:hAnsi="宋体" w:eastAsia="宋体" w:cs="Times New Roman"/>
          <w:sz w:val="24"/>
        </w:rPr>
        <w:t>（四）课程目标达成度计算方法</w:t>
      </w:r>
    </w:p>
    <w:p w14:paraId="08E1DFFD">
      <w:pPr>
        <w:adjustRightInd w:val="0"/>
        <w:snapToGrid w:val="0"/>
        <w:spacing w:line="360" w:lineRule="auto"/>
        <w:rPr>
          <w:rFonts w:hint="eastAsia" w:ascii="宋体" w:hAnsi="宋体" w:eastAsia="宋体" w:cs="Times New Roman"/>
          <w:sz w:val="24"/>
        </w:rPr>
      </w:pPr>
      <w:r>
        <w:rPr>
          <w:rFonts w:hint="eastAsia" w:ascii="宋体" w:hAnsi="宋体" w:eastAsia="宋体" w:cs="Times New Roman"/>
          <w:sz w:val="24"/>
        </w:rPr>
        <w:t>所有课程目标均需大于等于</w:t>
      </w:r>
      <w:r>
        <w:rPr>
          <w:rFonts w:ascii="宋体" w:hAnsi="宋体" w:eastAsia="宋体" w:cs="Times New Roman"/>
          <w:sz w:val="24"/>
        </w:rPr>
        <w:t>0.6</w:t>
      </w:r>
      <w:r>
        <w:rPr>
          <w:rFonts w:hint="eastAsia" w:ascii="宋体" w:hAnsi="宋体" w:eastAsia="宋体" w:cs="Times New Roman"/>
          <w:sz w:val="24"/>
        </w:rPr>
        <w:t>，否则总评成绩不及格，需要补考或重修。每门课程目标总体达成度计算方法如下：</w:t>
      </w:r>
    </w:p>
    <w:p w14:paraId="5C5A8F4D">
      <w:pPr>
        <w:adjustRightInd w:val="0"/>
        <w:snapToGrid w:val="0"/>
        <w:spacing w:line="360" w:lineRule="auto"/>
        <w:jc w:val="left"/>
        <w:rPr>
          <w:rFonts w:hint="eastAsia" w:ascii="宋体" w:hAnsi="宋体" w:eastAsia="宋体" w:cs="Times New Roman"/>
          <w:sz w:val="24"/>
        </w:rPr>
      </w:pPr>
      <w:bookmarkStart w:id="94" w:name="_Hlk23969649"/>
      <w:r>
        <w:rPr>
          <w:rFonts w:ascii="宋体" w:hAnsi="宋体" w:eastAsia="宋体" w:cs="Times New Roman"/>
          <w:position w:val="-26"/>
          <w:sz w:val="24"/>
        </w:rPr>
        <w:object>
          <v:shape id="_x0000_i1041" o:spt="75" type="#_x0000_t75" style="height:26.65pt;width:376.15pt;" o:ole="t" filled="f" o:preferrelative="t" stroked="f" coordsize="21600,21600">
            <v:path/>
            <v:fill on="f" focussize="0,0"/>
            <v:stroke on="f" joinstyle="miter"/>
            <v:imagedata r:id="rId5" o:title=""/>
            <o:lock v:ext="edit" aspectratio="t"/>
            <w10:wrap type="none"/>
            <w10:anchorlock/>
          </v:shape>
          <o:OLEObject Type="Embed" ProgID="Equation.KSEE3" ShapeID="_x0000_i1041" DrawAspect="Content" ObjectID="_1468075741" r:id="rId26">
            <o:LockedField>false</o:LockedField>
          </o:OLEObject>
        </w:object>
      </w:r>
      <w:bookmarkEnd w:id="94"/>
    </w:p>
    <w:p w14:paraId="19386520">
      <w:pPr>
        <w:adjustRightInd w:val="0"/>
        <w:snapToGrid w:val="0"/>
        <w:spacing w:line="360" w:lineRule="auto"/>
        <w:ind w:firstLine="562" w:firstLineChars="200"/>
        <w:rPr>
          <w:rFonts w:hint="eastAsia" w:ascii="宋体" w:hAnsi="宋体" w:eastAsia="宋体" w:cs="Times New Roman"/>
          <w:b/>
          <w:sz w:val="28"/>
          <w:szCs w:val="28"/>
        </w:rPr>
      </w:pPr>
      <w:r>
        <w:rPr>
          <w:rFonts w:hint="eastAsia" w:ascii="宋体" w:hAnsi="宋体" w:eastAsia="宋体" w:cs="Times New Roman"/>
          <w:b/>
          <w:sz w:val="28"/>
          <w:szCs w:val="28"/>
        </w:rPr>
        <w:t>六、有关说明</w:t>
      </w:r>
    </w:p>
    <w:p w14:paraId="238C4289">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（一）持续改进</w:t>
      </w:r>
    </w:p>
    <w:p w14:paraId="56E1474D">
      <w:pPr>
        <w:adjustRightInd w:val="0"/>
        <w:snapToGrid w:val="0"/>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本课程根据学生作业、课堂讨论、教学环节、平时考核情况和学生、教学督导等的反馈，及时对教学中的不足之处进行改进，并在下一轮课程教学中整改完善，确保相应毕业要求指标点达成。</w:t>
      </w:r>
    </w:p>
    <w:p w14:paraId="1B794465">
      <w:pPr>
        <w:adjustRightInd w:val="0"/>
        <w:snapToGrid w:val="0"/>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（二）参考书目及学习资料</w:t>
      </w:r>
    </w:p>
    <w:p w14:paraId="16418DFE">
      <w:pPr>
        <w:spacing w:line="360" w:lineRule="auto"/>
        <w:rPr>
          <w:rFonts w:hint="eastAsia" w:ascii="宋体" w:hAnsi="宋体" w:eastAsia="宋体" w:cs="Times New Roman"/>
          <w:color w:val="000000"/>
          <w:sz w:val="24"/>
        </w:rPr>
      </w:pPr>
      <w:r>
        <w:rPr>
          <w:rFonts w:ascii="宋体" w:hAnsi="宋体" w:eastAsia="宋体" w:cs="Times New Roman"/>
          <w:color w:val="000000"/>
          <w:sz w:val="24"/>
        </w:rPr>
        <w:t>1.</w:t>
      </w:r>
      <w:r>
        <w:rPr>
          <w:rFonts w:hint="eastAsia" w:ascii="宋体" w:hAnsi="宋体" w:eastAsia="宋体" w:cs="Times New Roman"/>
          <w:color w:val="000000"/>
          <w:sz w:val="24"/>
        </w:rPr>
        <w:t>课程教材</w:t>
      </w:r>
    </w:p>
    <w:p w14:paraId="6BF0FEB2">
      <w:pPr>
        <w:spacing w:line="360" w:lineRule="auto"/>
        <w:rPr>
          <w:rFonts w:hint="eastAsia" w:ascii="宋体" w:hAnsi="宋体" w:eastAsia="宋体" w:cs="Times New Roman"/>
          <w:color w:val="000000"/>
          <w:sz w:val="24"/>
        </w:rPr>
      </w:pPr>
      <w:r>
        <w:rPr>
          <w:rFonts w:hint="eastAsia" w:ascii="宋体" w:hAnsi="宋体" w:eastAsia="宋体" w:cs="Times New Roman"/>
          <w:color w:val="000000"/>
          <w:sz w:val="24"/>
        </w:rPr>
        <w:t>张斌贤等</w:t>
      </w:r>
      <w:r>
        <w:rPr>
          <w:rFonts w:ascii="宋体" w:hAnsi="宋体" w:eastAsia="宋体" w:cs="Times New Roman"/>
          <w:color w:val="000000"/>
          <w:sz w:val="24"/>
        </w:rPr>
        <w:t>.</w:t>
      </w:r>
      <w:r>
        <w:rPr>
          <w:rFonts w:hint="eastAsia" w:ascii="宋体" w:hAnsi="宋体" w:eastAsia="宋体" w:cs="Times New Roman"/>
          <w:color w:val="000000"/>
          <w:sz w:val="24"/>
        </w:rPr>
        <w:t>西方教育思想史</w:t>
      </w:r>
      <w:r>
        <w:rPr>
          <w:rFonts w:ascii="宋体" w:hAnsi="宋体" w:eastAsia="宋体" w:cs="Times New Roman"/>
          <w:color w:val="000000"/>
          <w:sz w:val="24"/>
        </w:rPr>
        <w:t>[M].</w:t>
      </w:r>
      <w:r>
        <w:rPr>
          <w:rFonts w:hint="eastAsia" w:ascii="宋体" w:hAnsi="宋体" w:eastAsia="宋体" w:cs="Times New Roman"/>
          <w:color w:val="000000"/>
          <w:sz w:val="24"/>
        </w:rPr>
        <w:t>北京：人民教育出版社，</w:t>
      </w:r>
      <w:r>
        <w:rPr>
          <w:rFonts w:ascii="宋体" w:hAnsi="宋体" w:eastAsia="宋体" w:cs="Times New Roman"/>
          <w:color w:val="000000"/>
          <w:sz w:val="24"/>
        </w:rPr>
        <w:t>20</w:t>
      </w:r>
      <w:r>
        <w:rPr>
          <w:rFonts w:hint="eastAsia" w:ascii="宋体" w:hAnsi="宋体" w:eastAsia="宋体" w:cs="Times New Roman"/>
          <w:color w:val="000000"/>
          <w:sz w:val="24"/>
        </w:rPr>
        <w:t>23</w:t>
      </w:r>
      <w:r>
        <w:rPr>
          <w:rFonts w:ascii="宋体" w:hAnsi="宋体" w:eastAsia="宋体" w:cs="Times New Roman"/>
          <w:color w:val="000000"/>
          <w:sz w:val="24"/>
        </w:rPr>
        <w:t>.</w:t>
      </w:r>
    </w:p>
    <w:p w14:paraId="1767E010">
      <w:pPr>
        <w:spacing w:line="360" w:lineRule="auto"/>
        <w:rPr>
          <w:rFonts w:hint="eastAsia" w:ascii="宋体" w:hAnsi="宋体" w:eastAsia="宋体" w:cs="Times New Roman"/>
          <w:color w:val="000000"/>
          <w:sz w:val="24"/>
        </w:rPr>
      </w:pPr>
      <w:r>
        <w:rPr>
          <w:rFonts w:ascii="宋体" w:hAnsi="宋体" w:eastAsia="宋体" w:cs="Times New Roman"/>
          <w:color w:val="000000"/>
          <w:sz w:val="24"/>
        </w:rPr>
        <w:t>2.</w:t>
      </w:r>
      <w:r>
        <w:rPr>
          <w:rFonts w:hint="eastAsia" w:ascii="宋体" w:hAnsi="宋体" w:eastAsia="宋体" w:cs="Times New Roman"/>
          <w:color w:val="000000"/>
          <w:sz w:val="24"/>
        </w:rPr>
        <w:t>其他教学参考书</w:t>
      </w:r>
    </w:p>
    <w:p w14:paraId="070B80C9">
      <w:pPr>
        <w:spacing w:line="360" w:lineRule="auto"/>
        <w:rPr>
          <w:rFonts w:hint="eastAsia" w:ascii="宋体" w:hAnsi="宋体" w:eastAsia="宋体" w:cs="Times New Roman"/>
          <w:color w:val="000000"/>
          <w:sz w:val="24"/>
        </w:rPr>
      </w:pPr>
      <w:r>
        <w:rPr>
          <w:rFonts w:hint="eastAsia" w:ascii="宋体" w:hAnsi="宋体" w:eastAsia="宋体" w:cs="Times New Roman"/>
          <w:color w:val="000000"/>
          <w:sz w:val="24"/>
        </w:rPr>
        <w:t>滕大春</w:t>
      </w:r>
      <w:r>
        <w:rPr>
          <w:rFonts w:ascii="宋体" w:hAnsi="宋体" w:eastAsia="宋体" w:cs="Times New Roman"/>
          <w:color w:val="000000"/>
          <w:sz w:val="24"/>
        </w:rPr>
        <w:t>.</w:t>
      </w:r>
      <w:r>
        <w:rPr>
          <w:rFonts w:hint="eastAsia" w:ascii="宋体" w:hAnsi="宋体" w:eastAsia="宋体" w:cs="Times New Roman"/>
          <w:color w:val="000000"/>
          <w:sz w:val="24"/>
        </w:rPr>
        <w:t>外国教育通史</w:t>
      </w:r>
      <w:r>
        <w:rPr>
          <w:rFonts w:ascii="宋体" w:hAnsi="宋体" w:eastAsia="宋体" w:cs="Times New Roman"/>
          <w:color w:val="000000"/>
          <w:sz w:val="24"/>
        </w:rPr>
        <w:t>[M].</w:t>
      </w:r>
      <w:r>
        <w:rPr>
          <w:rFonts w:hint="eastAsia" w:ascii="宋体" w:hAnsi="宋体" w:eastAsia="宋体" w:cs="Times New Roman"/>
          <w:color w:val="000000"/>
          <w:sz w:val="24"/>
        </w:rPr>
        <w:t>济南：山东教育出版社，</w:t>
      </w:r>
      <w:r>
        <w:rPr>
          <w:rFonts w:ascii="宋体" w:hAnsi="宋体" w:eastAsia="宋体" w:cs="Times New Roman"/>
          <w:color w:val="000000"/>
          <w:sz w:val="24"/>
        </w:rPr>
        <w:t>1992-1994.</w:t>
      </w:r>
    </w:p>
    <w:p w14:paraId="5F58509F">
      <w:pPr>
        <w:spacing w:line="360" w:lineRule="auto"/>
        <w:rPr>
          <w:rFonts w:hint="eastAsia" w:ascii="宋体" w:hAnsi="宋体" w:eastAsia="宋体" w:cs="Times New Roman"/>
          <w:color w:val="000000"/>
          <w:sz w:val="24"/>
        </w:rPr>
      </w:pPr>
      <w:r>
        <w:rPr>
          <w:rFonts w:hint="eastAsia" w:ascii="宋体" w:hAnsi="宋体" w:eastAsia="宋体" w:cs="Times New Roman"/>
          <w:color w:val="000000"/>
          <w:sz w:val="24"/>
        </w:rPr>
        <w:t>吴式颖</w:t>
      </w:r>
      <w:r>
        <w:rPr>
          <w:rFonts w:ascii="宋体" w:hAnsi="宋体" w:eastAsia="宋体" w:cs="Times New Roman"/>
          <w:color w:val="000000"/>
          <w:sz w:val="24"/>
        </w:rPr>
        <w:t>.</w:t>
      </w:r>
      <w:r>
        <w:rPr>
          <w:rFonts w:hint="eastAsia" w:ascii="宋体" w:hAnsi="宋体" w:eastAsia="宋体" w:cs="Times New Roman"/>
          <w:color w:val="000000"/>
          <w:sz w:val="24"/>
        </w:rPr>
        <w:t>外国现代教育史</w:t>
      </w:r>
      <w:r>
        <w:rPr>
          <w:rFonts w:ascii="宋体" w:hAnsi="宋体" w:eastAsia="宋体" w:cs="Times New Roman"/>
          <w:color w:val="000000"/>
          <w:sz w:val="24"/>
        </w:rPr>
        <w:t>[M].</w:t>
      </w:r>
      <w:r>
        <w:rPr>
          <w:rFonts w:hint="eastAsia" w:ascii="宋体" w:hAnsi="宋体" w:eastAsia="宋体" w:cs="Times New Roman"/>
          <w:color w:val="000000"/>
          <w:sz w:val="24"/>
        </w:rPr>
        <w:t>北京：人民教育出版社，</w:t>
      </w:r>
      <w:r>
        <w:rPr>
          <w:rFonts w:ascii="宋体" w:hAnsi="宋体" w:eastAsia="宋体" w:cs="Times New Roman"/>
          <w:color w:val="000000"/>
          <w:sz w:val="24"/>
        </w:rPr>
        <w:t>1997.</w:t>
      </w:r>
    </w:p>
    <w:p w14:paraId="5A19C70A">
      <w:pPr>
        <w:autoSpaceDE w:val="0"/>
        <w:autoSpaceDN w:val="0"/>
        <w:adjustRightInd w:val="0"/>
        <w:snapToGrid w:val="0"/>
        <w:spacing w:line="360" w:lineRule="auto"/>
        <w:ind w:right="1440"/>
        <w:jc w:val="right"/>
        <w:rPr>
          <w:rFonts w:hint="eastAsia" w:ascii="宋体" w:hAnsi="宋体" w:eastAsia="宋体" w:cs="Times New Roman"/>
          <w:kern w:val="0"/>
          <w:sz w:val="24"/>
        </w:rPr>
      </w:pPr>
    </w:p>
    <w:p w14:paraId="29F5BE53">
      <w:pPr>
        <w:autoSpaceDE w:val="0"/>
        <w:autoSpaceDN w:val="0"/>
        <w:adjustRightInd w:val="0"/>
        <w:snapToGrid w:val="0"/>
        <w:spacing w:line="360" w:lineRule="auto"/>
        <w:ind w:right="1440"/>
        <w:jc w:val="right"/>
        <w:rPr>
          <w:rFonts w:hint="eastAsia" w:ascii="宋体" w:hAnsi="宋体" w:eastAsia="宋体" w:cs="Times New Roman"/>
          <w:kern w:val="0"/>
          <w:sz w:val="24"/>
        </w:rPr>
      </w:pPr>
    </w:p>
    <w:p w14:paraId="53933B03">
      <w:pPr>
        <w:autoSpaceDE w:val="0"/>
        <w:autoSpaceDN w:val="0"/>
        <w:adjustRightInd w:val="0"/>
        <w:snapToGrid w:val="0"/>
        <w:spacing w:line="360" w:lineRule="auto"/>
        <w:ind w:right="1440"/>
        <w:jc w:val="right"/>
        <w:rPr>
          <w:rFonts w:hint="eastAsia" w:ascii="宋体" w:hAnsi="宋体" w:eastAsia="宋体" w:cs="Times New Roman"/>
          <w:kern w:val="0"/>
          <w:sz w:val="24"/>
        </w:rPr>
      </w:pPr>
      <w:r>
        <w:rPr>
          <w:rFonts w:hint="eastAsia" w:ascii="宋体" w:hAnsi="宋体" w:eastAsia="宋体" w:cs="Times New Roman"/>
          <w:kern w:val="0"/>
          <w:sz w:val="24"/>
        </w:rPr>
        <w:t>执笔人：赵振杰</w:t>
      </w:r>
    </w:p>
    <w:p w14:paraId="524BB928">
      <w:pPr>
        <w:autoSpaceDE w:val="0"/>
        <w:autoSpaceDN w:val="0"/>
        <w:adjustRightInd w:val="0"/>
        <w:snapToGrid w:val="0"/>
        <w:spacing w:line="360" w:lineRule="auto"/>
        <w:ind w:right="1440"/>
        <w:jc w:val="right"/>
        <w:rPr>
          <w:rFonts w:hint="eastAsia" w:ascii="宋体" w:hAnsi="宋体" w:eastAsia="宋体" w:cs="Times New Roman"/>
          <w:kern w:val="0"/>
          <w:sz w:val="24"/>
        </w:rPr>
      </w:pPr>
      <w:r>
        <w:rPr>
          <w:rFonts w:hint="eastAsia" w:ascii="宋体" w:hAnsi="宋体" w:eastAsia="宋体" w:cs="Times New Roman"/>
          <w:kern w:val="0"/>
          <w:sz w:val="24"/>
        </w:rPr>
        <w:t>审定人：王  健</w:t>
      </w:r>
    </w:p>
    <w:p w14:paraId="3E0B0FEB">
      <w:pPr>
        <w:autoSpaceDE w:val="0"/>
        <w:autoSpaceDN w:val="0"/>
        <w:adjustRightInd w:val="0"/>
        <w:snapToGrid w:val="0"/>
        <w:spacing w:line="360" w:lineRule="auto"/>
        <w:ind w:right="1440"/>
        <w:jc w:val="right"/>
        <w:rPr>
          <w:rFonts w:hint="eastAsia" w:ascii="宋体" w:hAnsi="宋体" w:eastAsia="宋体" w:cs="Times New Roman"/>
          <w:kern w:val="0"/>
          <w:sz w:val="24"/>
        </w:rPr>
      </w:pPr>
      <w:r>
        <w:rPr>
          <w:rFonts w:hint="eastAsia" w:ascii="宋体" w:hAnsi="宋体" w:eastAsia="宋体" w:cs="Times New Roman"/>
          <w:kern w:val="0"/>
          <w:sz w:val="24"/>
        </w:rPr>
        <w:t>审批人：张志欣</w:t>
      </w:r>
    </w:p>
    <w:p w14:paraId="496E82C9">
      <w:pPr>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rPr>
        <w:t xml:space="preserve">                                        批准时间：</w:t>
      </w:r>
      <w:r>
        <w:rPr>
          <w:rFonts w:ascii="宋体" w:hAnsi="宋体" w:eastAsia="宋体" w:cs="Times New Roman"/>
          <w:kern w:val="0"/>
          <w:sz w:val="24"/>
        </w:rPr>
        <w:t>202</w:t>
      </w:r>
      <w:r>
        <w:rPr>
          <w:rFonts w:hint="eastAsia" w:ascii="宋体" w:hAnsi="宋体" w:eastAsia="宋体" w:cs="Times New Roman"/>
          <w:kern w:val="0"/>
          <w:sz w:val="24"/>
        </w:rPr>
        <w:t>4年8月2</w:t>
      </w:r>
      <w:r>
        <w:rPr>
          <w:rFonts w:ascii="宋体" w:hAnsi="宋体" w:eastAsia="宋体" w:cs="Times New Roman"/>
          <w:kern w:val="0"/>
          <w:sz w:val="24"/>
        </w:rPr>
        <w:t>0</w:t>
      </w:r>
      <w:r>
        <w:rPr>
          <w:rFonts w:hint="eastAsia" w:ascii="宋体" w:hAnsi="宋体" w:eastAsia="宋体" w:cs="Times New Roman"/>
          <w:kern w:val="0"/>
          <w:sz w:val="24"/>
        </w:rPr>
        <w:t>日</w:t>
      </w:r>
    </w:p>
    <w:p w14:paraId="2F9C3FBF"/>
    <w:p w14:paraId="18465D5A">
      <w:pPr>
        <w:pStyle w:val="2"/>
      </w:pPr>
      <w:r>
        <w:rPr>
          <w:rFonts w:ascii="宋体" w:hAnsi="宋体" w:eastAsia="宋体" w:cs="Times New Roman"/>
        </w:rPr>
        <w:br w:type="page"/>
      </w:r>
      <w:bookmarkStart w:id="95" w:name="_Toc166164850"/>
      <w:bookmarkStart w:id="96" w:name="_Toc57017174"/>
      <w:bookmarkStart w:id="97" w:name="_Toc24884"/>
      <w:bookmarkStart w:id="98" w:name="_Toc27020"/>
      <w:r>
        <w:rPr>
          <w:rFonts w:hint="eastAsia"/>
        </w:rPr>
        <w:t>《小学教育政策与法规》课程与教学大纲</w:t>
      </w:r>
      <w:bookmarkEnd w:id="95"/>
      <w:bookmarkEnd w:id="96"/>
      <w:bookmarkEnd w:id="97"/>
      <w:bookmarkEnd w:id="98"/>
    </w:p>
    <w:p w14:paraId="5E780CCD">
      <w:pPr>
        <w:spacing w:line="360" w:lineRule="auto"/>
        <w:ind w:firstLine="1687" w:firstLineChars="600"/>
        <w:rPr>
          <w:rFonts w:hint="eastAsia" w:ascii="宋体" w:hAnsi="宋体" w:eastAsia="宋体" w:cs="Times New Roman"/>
          <w:b/>
          <w:sz w:val="28"/>
          <w:szCs w:val="30"/>
        </w:rPr>
      </w:pPr>
      <w:r>
        <w:rPr>
          <w:rFonts w:hint="eastAsia" w:ascii="宋体" w:hAnsi="宋体" w:eastAsia="宋体" w:cs="Times New Roman"/>
          <w:b/>
          <w:sz w:val="28"/>
          <w:szCs w:val="30"/>
        </w:rPr>
        <w:t>（</w:t>
      </w:r>
      <w:r>
        <w:rPr>
          <w:rFonts w:ascii="Segoe UI" w:hAnsi="Segoe UI" w:eastAsia="Segoe UI" w:cs="Segoe UI"/>
          <w:b/>
          <w:bCs/>
          <w:sz w:val="24"/>
          <w:shd w:val="clear" w:color="auto" w:fill="FFFFFF"/>
        </w:rPr>
        <w:t>Primary Education Policies and Regulations</w:t>
      </w:r>
      <w:r>
        <w:rPr>
          <w:rFonts w:hint="eastAsia" w:ascii="宋体" w:hAnsi="宋体" w:eastAsia="宋体" w:cs="Times New Roman"/>
          <w:b/>
          <w:sz w:val="28"/>
          <w:szCs w:val="30"/>
        </w:rPr>
        <w:t>）</w:t>
      </w:r>
    </w:p>
    <w:p w14:paraId="3E8FFCC6">
      <w:pPr>
        <w:spacing w:line="360" w:lineRule="auto"/>
        <w:ind w:firstLine="562" w:firstLineChars="200"/>
        <w:rPr>
          <w:rFonts w:hint="eastAsia" w:ascii="宋体" w:hAnsi="等线" w:eastAsia="宋体" w:cs="Times New Roman"/>
          <w:b/>
          <w:color w:val="000000"/>
          <w:sz w:val="28"/>
          <w:szCs w:val="28"/>
        </w:rPr>
      </w:pPr>
      <w:bookmarkStart w:id="99" w:name="_Toc27846241"/>
      <w:bookmarkStart w:id="100" w:name="_Toc27847259"/>
      <w:r>
        <w:rPr>
          <w:rFonts w:hint="eastAsia" w:ascii="宋体" w:hAnsi="宋体" w:eastAsia="宋体" w:cs="Times New Roman"/>
          <w:b/>
          <w:color w:val="000000"/>
          <w:sz w:val="28"/>
          <w:szCs w:val="28"/>
        </w:rPr>
        <w:t>一、课程概况</w:t>
      </w:r>
      <w:bookmarkEnd w:id="99"/>
      <w:bookmarkEnd w:id="100"/>
    </w:p>
    <w:p w14:paraId="34E10BC7">
      <w:pPr>
        <w:spacing w:line="360" w:lineRule="auto"/>
        <w:ind w:firstLine="482" w:firstLineChars="200"/>
        <w:rPr>
          <w:rFonts w:hint="eastAsia" w:ascii="宋体" w:hAnsi="等线" w:eastAsia="宋体" w:cs="Times New Roman"/>
          <w:color w:val="000000"/>
          <w:kern w:val="0"/>
          <w:sz w:val="24"/>
        </w:rPr>
      </w:pPr>
      <w:r>
        <w:rPr>
          <w:rFonts w:hint="eastAsia" w:ascii="宋体" w:hAnsi="宋体" w:eastAsia="宋体" w:cs="Times New Roman"/>
          <w:b/>
          <w:bCs/>
          <w:color w:val="000000"/>
          <w:kern w:val="0"/>
          <w:sz w:val="24"/>
        </w:rPr>
        <w:t>课程代码</w:t>
      </w:r>
      <w:r>
        <w:rPr>
          <w:rFonts w:hint="eastAsia" w:ascii="宋体" w:hAnsi="宋体" w:eastAsia="宋体" w:cs="Times New Roman"/>
          <w:b/>
          <w:color w:val="000000"/>
          <w:kern w:val="0"/>
          <w:sz w:val="24"/>
        </w:rPr>
        <w:t>：</w:t>
      </w:r>
      <w:r>
        <w:rPr>
          <w:rFonts w:ascii="宋体" w:hAnsi="宋体" w:eastAsia="宋体" w:cs="Times New Roman"/>
          <w:color w:val="000000"/>
          <w:kern w:val="0"/>
          <w:sz w:val="24"/>
        </w:rPr>
        <w:t>2401008</w:t>
      </w:r>
    </w:p>
    <w:p w14:paraId="388D8E96">
      <w:pPr>
        <w:spacing w:line="360" w:lineRule="auto"/>
        <w:ind w:firstLine="482" w:firstLineChars="200"/>
        <w:rPr>
          <w:rFonts w:hint="eastAsia" w:ascii="宋体" w:hAnsi="等线" w:eastAsia="宋体" w:cs="Times New Roman"/>
          <w:b/>
          <w:color w:val="000000"/>
          <w:kern w:val="0"/>
          <w:sz w:val="24"/>
        </w:rPr>
      </w:pPr>
      <w:r>
        <w:rPr>
          <w:rFonts w:hint="eastAsia" w:ascii="宋体" w:hAnsi="宋体" w:eastAsia="宋体" w:cs="Times New Roman"/>
          <w:b/>
          <w:bCs/>
          <w:color w:val="000000"/>
          <w:kern w:val="0"/>
          <w:sz w:val="24"/>
        </w:rPr>
        <w:t>学</w:t>
      </w:r>
      <w:r>
        <w:rPr>
          <w:rFonts w:ascii="宋体" w:hAnsi="宋体" w:eastAsia="宋体" w:cs="Times New Roman"/>
          <w:b/>
          <w:bCs/>
          <w:color w:val="000000"/>
          <w:kern w:val="0"/>
          <w:sz w:val="24"/>
        </w:rPr>
        <w:t xml:space="preserve">    </w:t>
      </w:r>
      <w:r>
        <w:rPr>
          <w:rFonts w:hint="eastAsia" w:ascii="宋体" w:hAnsi="宋体" w:eastAsia="宋体" w:cs="Times New Roman"/>
          <w:b/>
          <w:bCs/>
          <w:color w:val="000000"/>
          <w:kern w:val="0"/>
          <w:sz w:val="24"/>
        </w:rPr>
        <w:t>分</w:t>
      </w:r>
      <w:r>
        <w:rPr>
          <w:rFonts w:hint="eastAsia" w:ascii="宋体" w:hAnsi="宋体" w:eastAsia="宋体" w:cs="Times New Roman"/>
          <w:b/>
          <w:color w:val="000000"/>
          <w:kern w:val="0"/>
          <w:sz w:val="24"/>
        </w:rPr>
        <w:t>：</w:t>
      </w:r>
      <w:r>
        <w:rPr>
          <w:rFonts w:ascii="宋体" w:hAnsi="宋体" w:eastAsia="宋体" w:cs="Times New Roman"/>
          <w:color w:val="000000"/>
          <w:kern w:val="0"/>
          <w:sz w:val="24"/>
        </w:rPr>
        <w:t>1</w:t>
      </w:r>
    </w:p>
    <w:p w14:paraId="29A3DA4C">
      <w:pPr>
        <w:spacing w:line="360" w:lineRule="auto"/>
        <w:ind w:firstLine="482" w:firstLineChars="200"/>
        <w:rPr>
          <w:rFonts w:hint="eastAsia" w:ascii="宋体" w:hAnsi="等线" w:eastAsia="宋体" w:cs="Times New Roman"/>
          <w:color w:val="000000"/>
          <w:kern w:val="0"/>
          <w:sz w:val="24"/>
        </w:rPr>
      </w:pPr>
      <w:r>
        <w:rPr>
          <w:rFonts w:hint="eastAsia" w:ascii="宋体" w:hAnsi="宋体" w:eastAsia="宋体" w:cs="Times New Roman"/>
          <w:b/>
          <w:bCs/>
          <w:color w:val="000000"/>
          <w:kern w:val="0"/>
          <w:sz w:val="24"/>
        </w:rPr>
        <w:t>学</w:t>
      </w:r>
      <w:r>
        <w:rPr>
          <w:rFonts w:ascii="宋体" w:hAnsi="宋体" w:eastAsia="宋体" w:cs="Times New Roman"/>
          <w:b/>
          <w:bCs/>
          <w:color w:val="000000"/>
          <w:kern w:val="0"/>
          <w:sz w:val="24"/>
        </w:rPr>
        <w:t xml:space="preserve">    </w:t>
      </w:r>
      <w:r>
        <w:rPr>
          <w:rFonts w:hint="eastAsia" w:ascii="宋体" w:hAnsi="宋体" w:eastAsia="宋体" w:cs="Times New Roman"/>
          <w:b/>
          <w:bCs/>
          <w:color w:val="000000"/>
          <w:kern w:val="0"/>
          <w:sz w:val="24"/>
        </w:rPr>
        <w:t>时</w:t>
      </w:r>
      <w:r>
        <w:rPr>
          <w:rFonts w:hint="eastAsia" w:ascii="宋体" w:hAnsi="宋体" w:eastAsia="宋体" w:cs="Times New Roman"/>
          <w:b/>
          <w:color w:val="000000"/>
          <w:kern w:val="0"/>
          <w:sz w:val="24"/>
        </w:rPr>
        <w:t>：</w:t>
      </w:r>
      <w:r>
        <w:rPr>
          <w:rFonts w:ascii="宋体" w:hAnsi="宋体" w:eastAsia="宋体" w:cs="Times New Roman"/>
          <w:color w:val="000000"/>
          <w:kern w:val="0"/>
          <w:sz w:val="24"/>
        </w:rPr>
        <w:t>16</w:t>
      </w:r>
    </w:p>
    <w:p w14:paraId="0DFA6C3B">
      <w:pPr>
        <w:spacing w:line="360" w:lineRule="auto"/>
        <w:ind w:firstLine="482" w:firstLineChars="200"/>
        <w:jc w:val="left"/>
        <w:rPr>
          <w:rFonts w:hint="eastAsia" w:ascii="宋体" w:hAnsi="等线" w:eastAsia="宋体" w:cs="Times New Roman"/>
          <w:color w:val="000000"/>
          <w:sz w:val="24"/>
        </w:rPr>
      </w:pPr>
      <w:r>
        <w:rPr>
          <w:rFonts w:hint="eastAsia" w:ascii="宋体" w:hAnsi="宋体" w:eastAsia="宋体" w:cs="Times New Roman"/>
          <w:b/>
          <w:bCs/>
          <w:color w:val="000000"/>
          <w:kern w:val="0"/>
          <w:sz w:val="24"/>
        </w:rPr>
        <w:t>先修课程</w:t>
      </w:r>
      <w:r>
        <w:rPr>
          <w:rFonts w:hint="eastAsia" w:ascii="宋体" w:hAnsi="宋体" w:eastAsia="宋体" w:cs="Times New Roman"/>
          <w:b/>
          <w:color w:val="000000"/>
          <w:kern w:val="0"/>
          <w:sz w:val="24"/>
        </w:rPr>
        <w:t>：</w:t>
      </w:r>
      <w:r>
        <w:rPr>
          <w:rFonts w:hint="eastAsia" w:ascii="宋体" w:hAnsi="宋体" w:eastAsia="宋体" w:cs="Times New Roman"/>
          <w:color w:val="000000"/>
          <w:sz w:val="24"/>
        </w:rPr>
        <w:t>教育原理、中外教育史、教师职业道德</w:t>
      </w:r>
    </w:p>
    <w:p w14:paraId="5B16C602">
      <w:pPr>
        <w:spacing w:line="360" w:lineRule="auto"/>
        <w:ind w:firstLine="482" w:firstLineChars="200"/>
        <w:rPr>
          <w:rFonts w:hint="eastAsia" w:ascii="宋体" w:hAnsi="等线" w:eastAsia="宋体" w:cs="Times New Roman"/>
          <w:color w:val="000000"/>
          <w:kern w:val="0"/>
          <w:sz w:val="24"/>
        </w:rPr>
      </w:pPr>
      <w:r>
        <w:rPr>
          <w:rFonts w:hint="eastAsia" w:ascii="宋体" w:hAnsi="宋体" w:eastAsia="宋体" w:cs="Times New Roman"/>
          <w:b/>
          <w:bCs/>
          <w:color w:val="000000"/>
          <w:kern w:val="0"/>
          <w:sz w:val="24"/>
        </w:rPr>
        <w:t>适用专业</w:t>
      </w:r>
      <w:r>
        <w:rPr>
          <w:rFonts w:hint="eastAsia" w:ascii="宋体" w:hAnsi="宋体" w:eastAsia="宋体" w:cs="Times New Roman"/>
          <w:b/>
          <w:color w:val="000000"/>
          <w:kern w:val="0"/>
          <w:sz w:val="24"/>
        </w:rPr>
        <w:t>：</w:t>
      </w:r>
      <w:r>
        <w:rPr>
          <w:rFonts w:hint="eastAsia" w:ascii="宋体" w:hAnsi="宋体" w:eastAsia="宋体" w:cs="Times New Roman"/>
          <w:color w:val="000000"/>
          <w:kern w:val="0"/>
          <w:sz w:val="24"/>
        </w:rPr>
        <w:t>小学教育（文）、小学教育（理）</w:t>
      </w:r>
    </w:p>
    <w:p w14:paraId="13B72BDF">
      <w:pPr>
        <w:spacing w:line="360" w:lineRule="auto"/>
        <w:ind w:firstLine="482" w:firstLineChars="200"/>
        <w:rPr>
          <w:rFonts w:hint="eastAsia" w:ascii="宋体" w:hAnsi="等线" w:eastAsia="宋体" w:cs="Times New Roman"/>
          <w:color w:val="000000"/>
          <w:kern w:val="0"/>
          <w:sz w:val="24"/>
        </w:rPr>
      </w:pPr>
      <w:r>
        <w:rPr>
          <w:rFonts w:hint="eastAsia" w:ascii="宋体" w:hAnsi="宋体" w:eastAsia="宋体" w:cs="Times New Roman"/>
          <w:b/>
          <w:bCs/>
          <w:color w:val="000000"/>
          <w:kern w:val="0"/>
          <w:sz w:val="24"/>
        </w:rPr>
        <w:t>建议教材</w:t>
      </w:r>
      <w:r>
        <w:rPr>
          <w:rFonts w:hint="eastAsia" w:ascii="宋体" w:hAnsi="宋体" w:eastAsia="宋体" w:cs="Times New Roman"/>
          <w:b/>
          <w:color w:val="000000"/>
          <w:kern w:val="0"/>
          <w:sz w:val="24"/>
        </w:rPr>
        <w:t>：</w:t>
      </w:r>
      <w:r>
        <w:rPr>
          <w:rFonts w:hint="eastAsia" w:ascii="宋体" w:hAnsi="宋体" w:eastAsia="宋体" w:cs="Times New Roman"/>
          <w:color w:val="000000"/>
          <w:kern w:val="0"/>
          <w:sz w:val="24"/>
        </w:rPr>
        <w:t>《小学教育政策与法规</w:t>
      </w:r>
      <w:r>
        <w:rPr>
          <w:rFonts w:hint="eastAsia" w:ascii="宋体" w:hAnsi="宋体" w:eastAsia="宋体" w:cs="Times New Roman"/>
          <w:color w:val="000000"/>
          <w:sz w:val="24"/>
        </w:rPr>
        <w:t>》，石正义，北京师范大学出版社，</w:t>
      </w:r>
      <w:r>
        <w:rPr>
          <w:rFonts w:ascii="宋体" w:hAnsi="宋体" w:eastAsia="宋体" w:cs="Times New Roman"/>
          <w:color w:val="000000"/>
          <w:kern w:val="0"/>
          <w:sz w:val="24"/>
        </w:rPr>
        <w:t>20</w:t>
      </w:r>
      <w:r>
        <w:rPr>
          <w:rFonts w:hint="eastAsia" w:ascii="宋体" w:hAnsi="宋体" w:eastAsia="宋体" w:cs="Times New Roman"/>
          <w:color w:val="000000"/>
          <w:kern w:val="0"/>
          <w:sz w:val="24"/>
        </w:rPr>
        <w:t>23</w:t>
      </w:r>
      <w:r>
        <w:rPr>
          <w:rFonts w:ascii="宋体" w:hAnsi="等线" w:eastAsia="宋体" w:cs="Times New Roman"/>
          <w:color w:val="000000"/>
          <w:kern w:val="0"/>
          <w:sz w:val="24"/>
        </w:rPr>
        <w:t>.</w:t>
      </w:r>
    </w:p>
    <w:p w14:paraId="751AC820">
      <w:pPr>
        <w:spacing w:line="360" w:lineRule="auto"/>
        <w:ind w:firstLine="482" w:firstLineChars="200"/>
        <w:rPr>
          <w:rFonts w:hint="eastAsia" w:ascii="宋体" w:hAnsi="等线" w:eastAsia="宋体" w:cs="Times New Roman"/>
          <w:color w:val="000000"/>
          <w:sz w:val="24"/>
        </w:rPr>
      </w:pPr>
      <w:r>
        <w:rPr>
          <w:rFonts w:hint="eastAsia" w:ascii="宋体" w:hAnsi="宋体" w:eastAsia="宋体" w:cs="Times New Roman"/>
          <w:b/>
          <w:bCs/>
          <w:color w:val="000000"/>
          <w:kern w:val="0"/>
          <w:sz w:val="24"/>
        </w:rPr>
        <w:t>课程归口：</w:t>
      </w:r>
      <w:r>
        <w:rPr>
          <w:rFonts w:hint="eastAsia" w:ascii="宋体" w:hAnsi="宋体" w:eastAsia="宋体" w:cs="Times New Roman"/>
          <w:color w:val="000000"/>
          <w:sz w:val="24"/>
        </w:rPr>
        <w:t>师范学院</w:t>
      </w:r>
    </w:p>
    <w:p w14:paraId="1F7C63B8">
      <w:pPr>
        <w:adjustRightInd w:val="0"/>
        <w:snapToGrid w:val="0"/>
        <w:spacing w:line="360" w:lineRule="auto"/>
        <w:ind w:firstLine="482" w:firstLineChars="200"/>
        <w:rPr>
          <w:rFonts w:hint="eastAsia" w:ascii="宋体" w:hAnsi="等线" w:eastAsia="宋体" w:cs="Times New Roman"/>
          <w:color w:val="000000"/>
          <w:sz w:val="24"/>
        </w:rPr>
      </w:pPr>
      <w:r>
        <w:rPr>
          <w:rFonts w:hint="eastAsia" w:ascii="宋体" w:hAnsi="宋体" w:eastAsia="宋体" w:cs="Times New Roman"/>
          <w:b/>
          <w:color w:val="000000"/>
          <w:sz w:val="24"/>
        </w:rPr>
        <w:t>课程的性质与任务</w:t>
      </w:r>
      <w:r>
        <w:rPr>
          <w:rFonts w:hint="eastAsia" w:ascii="宋体" w:hAnsi="宋体" w:eastAsia="宋体" w:cs="Times New Roman"/>
          <w:color w:val="000000"/>
          <w:sz w:val="24"/>
        </w:rPr>
        <w:t>：作为小学教育本科专业的必修教材，本课程以教育政策和教育法规方面的基本概念、官方文本和有关解释为知识基础，初步建立起以小学教育政策和法规应用为主线的知识课程体系。本课程立足于一个实践型、反思型小学教师专业实践的需要兼及小学教育管理者在教育政策学和教育法学的基础上凸显小学教育政策与法规的特定内涵，以新时期涉及小学教育的现实问题为焦点、以典型案例为其切入点、促进文本与实践应用的有机结合。</w:t>
      </w:r>
    </w:p>
    <w:p w14:paraId="020A597F">
      <w:pPr>
        <w:adjustRightInd w:val="0"/>
        <w:snapToGrid w:val="0"/>
        <w:spacing w:line="360" w:lineRule="auto"/>
        <w:ind w:firstLine="562" w:firstLineChars="200"/>
        <w:rPr>
          <w:rFonts w:hint="eastAsia" w:ascii="宋体" w:hAnsi="等线" w:eastAsia="宋体" w:cs="Times New Roman"/>
          <w:b/>
          <w:color w:val="000000"/>
          <w:sz w:val="28"/>
          <w:szCs w:val="28"/>
        </w:rPr>
      </w:pPr>
      <w:r>
        <w:rPr>
          <w:rFonts w:hint="eastAsia" w:ascii="宋体" w:hAnsi="宋体" w:eastAsia="宋体" w:cs="Times New Roman"/>
          <w:b/>
          <w:color w:val="000000"/>
          <w:sz w:val="28"/>
          <w:szCs w:val="28"/>
        </w:rPr>
        <w:t>二、课程目标</w:t>
      </w:r>
    </w:p>
    <w:p w14:paraId="621813D5">
      <w:pPr>
        <w:adjustRightInd w:val="0"/>
        <w:snapToGrid w:val="0"/>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（一）课程具体目标</w:t>
      </w:r>
    </w:p>
    <w:p w14:paraId="50BDC326">
      <w:pPr>
        <w:adjustRightInd w:val="0"/>
        <w:snapToGrid w:val="0"/>
        <w:spacing w:line="360" w:lineRule="auto"/>
        <w:ind w:firstLine="480" w:firstLineChars="200"/>
        <w:rPr>
          <w:rFonts w:hint="eastAsia"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1.</w:t>
      </w:r>
      <w:r>
        <w:rPr>
          <w:rFonts w:hint="eastAsia" w:ascii="宋体" w:hAnsi="宋体" w:eastAsia="宋体" w:cs="Times New Roman"/>
          <w:color w:val="000000"/>
          <w:sz w:val="24"/>
        </w:rPr>
        <w:t>熟悉教育政策的属性、功能、过程，增强中国特色社会主义核心价值观的理解。</w:t>
      </w:r>
    </w:p>
    <w:p w14:paraId="1AF46173">
      <w:pPr>
        <w:adjustRightInd w:val="0"/>
        <w:snapToGrid w:val="0"/>
        <w:spacing w:line="360" w:lineRule="auto"/>
        <w:ind w:firstLine="480" w:firstLineChars="200"/>
        <w:rPr>
          <w:rFonts w:hint="eastAsia"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2.</w:t>
      </w:r>
      <w:r>
        <w:rPr>
          <w:rFonts w:hint="eastAsia" w:ascii="宋体" w:hAnsi="宋体" w:eastAsia="宋体" w:cs="Times New Roman"/>
          <w:color w:val="000000"/>
          <w:sz w:val="24"/>
        </w:rPr>
        <w:t>理解我国小学教育政策和法规体系，客观完整的把握我国国情。</w:t>
      </w:r>
    </w:p>
    <w:p w14:paraId="2C4B27AF">
      <w:pPr>
        <w:adjustRightInd w:val="0"/>
        <w:snapToGrid w:val="0"/>
        <w:spacing w:line="360" w:lineRule="auto"/>
        <w:ind w:firstLine="480" w:firstLineChars="200"/>
        <w:rPr>
          <w:rFonts w:hint="eastAsia" w:ascii="宋体" w:hAnsi="等线" w:eastAsia="宋体" w:cs="Times New Roman"/>
          <w:color w:val="000000"/>
          <w:sz w:val="24"/>
        </w:rPr>
      </w:pPr>
      <w:r>
        <w:rPr>
          <w:rFonts w:hint="eastAsia" w:ascii="宋体" w:hAnsi="宋体" w:eastAsia="宋体" w:cs="Times New Roman"/>
          <w:color w:val="000000"/>
          <w:sz w:val="24"/>
        </w:rPr>
        <w:t>目标3</w:t>
      </w:r>
      <w:r>
        <w:rPr>
          <w:rFonts w:ascii="宋体" w:hAnsi="宋体" w:eastAsia="宋体" w:cs="Times New Roman"/>
          <w:color w:val="000000"/>
          <w:sz w:val="24"/>
        </w:rPr>
        <w:t>.</w:t>
      </w:r>
      <w:r>
        <w:rPr>
          <w:rFonts w:hint="eastAsia" w:ascii="宋体" w:hAnsi="宋体" w:eastAsia="宋体" w:cs="Times New Roman"/>
          <w:color w:val="000000"/>
          <w:sz w:val="24"/>
        </w:rPr>
        <w:t>掌握小学教师、小学生的权益和保护规定，增强职业责任感。</w:t>
      </w:r>
    </w:p>
    <w:p w14:paraId="5A3E332C">
      <w:pPr>
        <w:adjustRightInd w:val="0"/>
        <w:snapToGrid w:val="0"/>
        <w:spacing w:line="360" w:lineRule="auto"/>
        <w:ind w:firstLine="480" w:firstLineChars="200"/>
        <w:rPr>
          <w:rFonts w:hint="eastAsia" w:ascii="宋体" w:hAnsi="等线" w:eastAsia="宋体" w:cs="Times New Roman"/>
          <w:color w:val="000000"/>
          <w:sz w:val="24"/>
        </w:rPr>
      </w:pPr>
      <w:r>
        <w:rPr>
          <w:rFonts w:hint="eastAsia" w:ascii="宋体" w:hAnsi="宋体" w:eastAsia="宋体" w:cs="Times New Roman"/>
          <w:color w:val="000000"/>
          <w:sz w:val="24"/>
        </w:rPr>
        <w:t>目标4</w:t>
      </w:r>
      <w:r>
        <w:rPr>
          <w:rFonts w:ascii="宋体" w:hAnsi="宋体" w:eastAsia="宋体" w:cs="Times New Roman"/>
          <w:color w:val="000000"/>
          <w:sz w:val="24"/>
        </w:rPr>
        <w:t>.</w:t>
      </w:r>
      <w:r>
        <w:rPr>
          <w:rFonts w:hint="eastAsia" w:ascii="宋体" w:hAnsi="宋体" w:eastAsia="宋体" w:cs="Times New Roman"/>
          <w:color w:val="000000"/>
          <w:sz w:val="24"/>
        </w:rPr>
        <w:t>掌握政府、家庭和社会的教育职责和责任，强化教育的政治功能。</w:t>
      </w:r>
    </w:p>
    <w:p w14:paraId="1F3E0D95">
      <w:pPr>
        <w:adjustRightInd w:val="0"/>
        <w:snapToGrid w:val="0"/>
        <w:spacing w:line="360" w:lineRule="auto"/>
        <w:ind w:firstLine="480" w:firstLineChars="200"/>
        <w:rPr>
          <w:rFonts w:hint="eastAsia" w:ascii="宋体" w:hAnsi="宋体" w:eastAsia="宋体" w:cs="Times New Roman"/>
          <w:color w:val="000000"/>
          <w:sz w:val="24"/>
        </w:rPr>
      </w:pPr>
      <w:r>
        <w:rPr>
          <w:rFonts w:hint="eastAsia" w:ascii="宋体" w:hAnsi="宋体" w:eastAsia="宋体" w:cs="Times New Roman"/>
          <w:color w:val="000000"/>
          <w:sz w:val="24"/>
        </w:rPr>
        <w:t>目标5</w:t>
      </w:r>
      <w:r>
        <w:rPr>
          <w:rFonts w:ascii="宋体" w:hAnsi="宋体" w:eastAsia="宋体" w:cs="Times New Roman"/>
          <w:color w:val="000000"/>
          <w:sz w:val="24"/>
        </w:rPr>
        <w:t>.</w:t>
      </w:r>
      <w:r>
        <w:rPr>
          <w:rFonts w:hint="eastAsia" w:ascii="宋体" w:hAnsi="宋体" w:eastAsia="宋体" w:cs="Times New Roman"/>
          <w:color w:val="000000"/>
          <w:sz w:val="24"/>
        </w:rPr>
        <w:t>运用我国涉及小学生的重要法律法规和政策，树立依法执教的意识。</w:t>
      </w:r>
    </w:p>
    <w:p w14:paraId="2A9BC481">
      <w:pPr>
        <w:adjustRightInd w:val="0"/>
        <w:snapToGrid w:val="0"/>
        <w:spacing w:line="360" w:lineRule="auto"/>
        <w:rPr>
          <w:rFonts w:hint="eastAsia" w:ascii="宋体" w:hAnsi="等线" w:eastAsia="宋体" w:cs="Times New Roman"/>
          <w:color w:val="000000"/>
          <w:sz w:val="24"/>
        </w:rPr>
      </w:pPr>
    </w:p>
    <w:p w14:paraId="34CE4542">
      <w:pPr>
        <w:adjustRightInd w:val="0"/>
        <w:snapToGrid w:val="0"/>
        <w:spacing w:line="360" w:lineRule="auto"/>
        <w:rPr>
          <w:rFonts w:hint="eastAsia" w:ascii="宋体" w:hAnsi="等线" w:eastAsia="宋体" w:cs="Times New Roman"/>
          <w:color w:val="000000"/>
          <w:sz w:val="24"/>
        </w:rPr>
      </w:pPr>
    </w:p>
    <w:p w14:paraId="6843B7E3">
      <w:pPr>
        <w:adjustRightInd w:val="0"/>
        <w:snapToGrid w:val="0"/>
        <w:spacing w:line="360" w:lineRule="auto"/>
        <w:rPr>
          <w:rFonts w:hint="eastAsia" w:ascii="宋体" w:hAnsi="等线" w:eastAsia="宋体" w:cs="Times New Roman"/>
          <w:color w:val="000000"/>
          <w:sz w:val="24"/>
        </w:rPr>
      </w:pPr>
    </w:p>
    <w:p w14:paraId="08F2612D">
      <w:pPr>
        <w:adjustRightInd w:val="0"/>
        <w:snapToGrid w:val="0"/>
        <w:spacing w:line="360" w:lineRule="auto"/>
        <w:rPr>
          <w:rFonts w:hint="eastAsia" w:ascii="宋体" w:hAnsi="等线" w:eastAsia="宋体" w:cs="Times New Roman"/>
          <w:color w:val="000000"/>
          <w:sz w:val="24"/>
        </w:rPr>
      </w:pPr>
    </w:p>
    <w:p w14:paraId="5586A96D">
      <w:pPr>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（二）课程目标与专业毕业要求的关系</w:t>
      </w:r>
    </w:p>
    <w:tbl>
      <w:tblPr>
        <w:tblStyle w:val="13"/>
        <w:tblW w:w="9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309"/>
        <w:gridCol w:w="5290"/>
      </w:tblGrid>
      <w:tr w14:paraId="5243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584" w:type="dxa"/>
            <w:vAlign w:val="center"/>
          </w:tcPr>
          <w:p w14:paraId="2A1EAFA3">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课程目标</w:t>
            </w:r>
          </w:p>
        </w:tc>
        <w:tc>
          <w:tcPr>
            <w:tcW w:w="2309" w:type="dxa"/>
            <w:vAlign w:val="center"/>
          </w:tcPr>
          <w:p w14:paraId="7644CF69">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w:t>
            </w:r>
          </w:p>
        </w:tc>
        <w:tc>
          <w:tcPr>
            <w:tcW w:w="5290" w:type="dxa"/>
            <w:vAlign w:val="center"/>
          </w:tcPr>
          <w:p w14:paraId="48D5EF1F">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557D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584" w:type="dxa"/>
            <w:vAlign w:val="center"/>
          </w:tcPr>
          <w:p w14:paraId="7D15F114">
            <w:pPr>
              <w:adjustRightInd w:val="0"/>
              <w:snapToGrid w:val="0"/>
              <w:spacing w:line="276" w:lineRule="auto"/>
              <w:jc w:val="center"/>
              <w:rPr>
                <w:rFonts w:ascii="宋体" w:hAnsi="Calibri" w:eastAsia="宋体" w:cs="宋体"/>
                <w:bCs/>
                <w:color w:val="000000"/>
                <w:szCs w:val="21"/>
              </w:rPr>
            </w:pPr>
            <w:r>
              <w:rPr>
                <w:rFonts w:hint="eastAsia" w:ascii="宋体" w:hAnsi="宋体" w:eastAsia="宋体" w:cs="宋体"/>
                <w:bCs/>
                <w:color w:val="000000"/>
                <w:szCs w:val="21"/>
              </w:rPr>
              <w:t>课程目标</w:t>
            </w:r>
            <w:r>
              <w:rPr>
                <w:rFonts w:ascii="宋体" w:hAnsi="宋体" w:eastAsia="宋体" w:cs="宋体"/>
                <w:bCs/>
                <w:color w:val="000000"/>
                <w:szCs w:val="21"/>
              </w:rPr>
              <w:t>1</w:t>
            </w:r>
          </w:p>
        </w:tc>
        <w:tc>
          <w:tcPr>
            <w:tcW w:w="2309" w:type="dxa"/>
            <w:vAlign w:val="center"/>
          </w:tcPr>
          <w:p w14:paraId="4DCE7FBB">
            <w:pPr>
              <w:adjustRightInd w:val="0"/>
              <w:snapToGrid w:val="0"/>
              <w:spacing w:line="276" w:lineRule="auto"/>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1</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师德规范</w:t>
            </w:r>
          </w:p>
        </w:tc>
        <w:tc>
          <w:tcPr>
            <w:tcW w:w="5290" w:type="dxa"/>
            <w:vAlign w:val="center"/>
          </w:tcPr>
          <w:p w14:paraId="0606FF54">
            <w:pPr>
              <w:adjustRightInd w:val="0"/>
              <w:snapToGrid w:val="0"/>
              <w:spacing w:line="276" w:lineRule="auto"/>
              <w:jc w:val="left"/>
              <w:rPr>
                <w:rFonts w:ascii="宋体" w:hAnsi="Calibri" w:eastAsia="宋体" w:cs="Times New Roman"/>
                <w:color w:val="000000"/>
                <w:kern w:val="0"/>
                <w:sz w:val="18"/>
                <w:szCs w:val="18"/>
              </w:rPr>
            </w:pPr>
            <w:r>
              <w:rPr>
                <w:rFonts w:hint="eastAsia" w:ascii="宋体" w:hAnsi="宋体" w:cs="宋体"/>
                <w:color w:val="000000"/>
                <w:kern w:val="0"/>
                <w:sz w:val="20"/>
                <w:szCs w:val="20"/>
              </w:rPr>
              <w:t>指标点</w:t>
            </w:r>
            <w:r>
              <w:rPr>
                <w:rFonts w:hint="eastAsia" w:ascii="宋体" w:hAnsi="宋体" w:cs="宋体"/>
                <w:color w:val="000000"/>
                <w:sz w:val="20"/>
                <w:szCs w:val="20"/>
              </w:rPr>
              <w:t>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r w14:paraId="3E16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584" w:type="dxa"/>
            <w:vAlign w:val="center"/>
          </w:tcPr>
          <w:p w14:paraId="5D74E15D">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2</w:t>
            </w:r>
          </w:p>
        </w:tc>
        <w:tc>
          <w:tcPr>
            <w:tcW w:w="2309" w:type="dxa"/>
            <w:vAlign w:val="center"/>
          </w:tcPr>
          <w:p w14:paraId="67F69023">
            <w:pPr>
              <w:adjustRightInd w:val="0"/>
              <w:snapToGrid w:val="0"/>
              <w:spacing w:line="276" w:lineRule="auto"/>
              <w:rPr>
                <w:rFonts w:ascii="宋体" w:hAnsi="Calibri" w:eastAsia="宋体" w:cs="Times New Roman"/>
                <w:color w:val="000000"/>
                <w:kern w:val="0"/>
                <w:sz w:val="18"/>
                <w:szCs w:val="18"/>
              </w:rPr>
            </w:pPr>
            <w:r>
              <w:rPr>
                <w:rFonts w:hint="eastAsia" w:ascii="宋体" w:hAnsi="宋体" w:eastAsia="宋体" w:cs="Times New Roman"/>
                <w:color w:val="000000"/>
                <w:kern w:val="0"/>
                <w:szCs w:val="21"/>
              </w:rPr>
              <w:t>毕业要求2</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教育情怀</w:t>
            </w:r>
          </w:p>
        </w:tc>
        <w:tc>
          <w:tcPr>
            <w:tcW w:w="5290" w:type="dxa"/>
            <w:vAlign w:val="center"/>
          </w:tcPr>
          <w:p w14:paraId="7904895F">
            <w:pPr>
              <w:adjustRightInd w:val="0"/>
              <w:snapToGrid w:val="0"/>
              <w:spacing w:line="276" w:lineRule="auto"/>
              <w:jc w:val="left"/>
              <w:rPr>
                <w:rFonts w:ascii="宋体" w:hAnsi="Calibri" w:eastAsia="宋体" w:cs="Times New Roman"/>
                <w:color w:val="000000"/>
                <w:kern w:val="0"/>
                <w:sz w:val="18"/>
                <w:szCs w:val="18"/>
              </w:rPr>
            </w:pPr>
            <w:r>
              <w:rPr>
                <w:rFonts w:hint="eastAsia" w:ascii="宋体" w:hAnsi="宋体" w:cs="宋体"/>
                <w:color w:val="000000"/>
                <w:kern w:val="0"/>
                <w:sz w:val="20"/>
                <w:szCs w:val="20"/>
              </w:rPr>
              <w:t>指标点</w:t>
            </w:r>
            <w:r>
              <w:rPr>
                <w:rFonts w:hint="eastAsia" w:ascii="宋体" w:hAnsi="宋体" w:cs="宋体"/>
                <w:color w:val="000000"/>
                <w:sz w:val="20"/>
                <w:szCs w:val="20"/>
              </w:rPr>
              <w:t>2-1：【职业认同感强】具有家国情怀，热爱教育事业，秉持“坚忍诚勇，立己达人”的师范精神，践行教育家精神，乐于从教，热爱教育事业，具有较高的教师职业认同感，认同教师职业的意义、价值与专业性。</w:t>
            </w:r>
          </w:p>
        </w:tc>
      </w:tr>
      <w:tr w14:paraId="217B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84" w:type="dxa"/>
            <w:vAlign w:val="center"/>
          </w:tcPr>
          <w:p w14:paraId="0FE6A67B">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c>
          <w:tcPr>
            <w:tcW w:w="2309" w:type="dxa"/>
            <w:vAlign w:val="center"/>
          </w:tcPr>
          <w:p w14:paraId="1E8D6F30">
            <w:pPr>
              <w:adjustRightInd w:val="0"/>
              <w:snapToGrid w:val="0"/>
              <w:spacing w:line="276" w:lineRule="auto"/>
              <w:rPr>
                <w:rFonts w:ascii="宋体" w:hAnsi="Calibri" w:eastAsia="宋体" w:cs="Times New Roman"/>
                <w:color w:val="000000"/>
                <w:spacing w:val="2"/>
                <w:kern w:val="0"/>
                <w:szCs w:val="21"/>
              </w:rPr>
            </w:pPr>
            <w:r>
              <w:rPr>
                <w:rFonts w:hint="eastAsia" w:ascii="宋体" w:hAnsi="宋体" w:eastAsia="宋体" w:cs="Times New Roman"/>
                <w:color w:val="000000"/>
                <w:spacing w:val="2"/>
                <w:kern w:val="0"/>
                <w:szCs w:val="21"/>
              </w:rPr>
              <w:t>毕业要求1</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师德规范</w:t>
            </w:r>
          </w:p>
        </w:tc>
        <w:tc>
          <w:tcPr>
            <w:tcW w:w="5290" w:type="dxa"/>
            <w:vAlign w:val="center"/>
          </w:tcPr>
          <w:p w14:paraId="32EF4840">
            <w:pPr>
              <w:adjustRightInd w:val="0"/>
              <w:snapToGrid w:val="0"/>
              <w:spacing w:line="276" w:lineRule="auto"/>
              <w:jc w:val="left"/>
              <w:rPr>
                <w:rFonts w:hint="eastAsia" w:ascii="宋体" w:hAnsi="宋体" w:cs="宋体"/>
                <w:color w:val="000000"/>
                <w:sz w:val="20"/>
                <w:szCs w:val="20"/>
              </w:rPr>
            </w:pPr>
            <w:r>
              <w:rPr>
                <w:rFonts w:hint="eastAsia" w:ascii="宋体" w:hAnsi="宋体" w:cs="宋体"/>
                <w:color w:val="000000"/>
                <w:kern w:val="0"/>
                <w:sz w:val="20"/>
                <w:szCs w:val="20"/>
              </w:rPr>
              <w:t>指标点</w:t>
            </w:r>
            <w:r>
              <w:rPr>
                <w:rFonts w:hint="eastAsia" w:ascii="宋体" w:hAnsi="宋体" w:cs="宋体"/>
                <w:color w:val="000000"/>
                <w:sz w:val="20"/>
                <w:szCs w:val="20"/>
              </w:rPr>
              <w:t>2-1：【职业认同感强】具有家国情怀，热爱教育事业，秉持“坚忍诚勇，立己达人”的师范精神，践行教育家精神，乐于从教，热爱教育事业，具有较高的教师职业认同感，认同教师职业的意义、价值与专业性。</w:t>
            </w:r>
          </w:p>
          <w:p w14:paraId="20B3817D">
            <w:pPr>
              <w:adjustRightInd w:val="0"/>
              <w:snapToGrid w:val="0"/>
              <w:spacing w:line="276" w:lineRule="auto"/>
              <w:jc w:val="left"/>
              <w:rPr>
                <w:rFonts w:hint="eastAsia" w:ascii="宋体" w:hAnsi="宋体" w:cs="宋体"/>
                <w:color w:val="000000"/>
                <w:sz w:val="20"/>
                <w:szCs w:val="20"/>
              </w:rPr>
            </w:pPr>
            <w:r>
              <w:rPr>
                <w:rFonts w:hint="eastAsia" w:ascii="宋体" w:hAnsi="宋体" w:cs="宋体"/>
                <w:color w:val="000000"/>
                <w:kern w:val="0"/>
                <w:sz w:val="20"/>
                <w:szCs w:val="20"/>
              </w:rPr>
              <w:t>指标点</w:t>
            </w:r>
            <w:r>
              <w:rPr>
                <w:rFonts w:hint="eastAsia" w:ascii="宋体" w:hAnsi="宋体" w:cs="宋体"/>
                <w:color w:val="000000"/>
                <w:sz w:val="20"/>
                <w:szCs w:val="20"/>
              </w:rPr>
              <w:t>2-3：【自身修养良好】具有较好的人文</w:t>
            </w:r>
            <w:r>
              <w:rPr>
                <w:rFonts w:hint="eastAsia" w:cs="宋体"/>
                <w:color w:val="000000"/>
                <w:sz w:val="20"/>
                <w:szCs w:val="20"/>
              </w:rPr>
              <w:t>艺术</w:t>
            </w:r>
            <w:r>
              <w:rPr>
                <w:rFonts w:hint="eastAsia" w:ascii="宋体" w:hAnsi="宋体" w:cs="宋体"/>
                <w:color w:val="000000"/>
                <w:sz w:val="20"/>
                <w:szCs w:val="20"/>
              </w:rPr>
              <w:t>底蕴与科学精神，言行举止符合教师职业标准，情感积极，人格健全，身心健康。</w:t>
            </w:r>
          </w:p>
        </w:tc>
      </w:tr>
      <w:tr w14:paraId="56DB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584" w:type="dxa"/>
            <w:vAlign w:val="center"/>
          </w:tcPr>
          <w:p w14:paraId="15626F60">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 xml:space="preserve"> 4</w:t>
            </w:r>
          </w:p>
        </w:tc>
        <w:tc>
          <w:tcPr>
            <w:tcW w:w="2309" w:type="dxa"/>
            <w:vAlign w:val="center"/>
          </w:tcPr>
          <w:p w14:paraId="7C57812D">
            <w:pPr>
              <w:adjustRightInd w:val="0"/>
              <w:snapToGrid w:val="0"/>
              <w:spacing w:line="276" w:lineRule="auto"/>
              <w:rPr>
                <w:rFonts w:ascii="宋体" w:hAnsi="Calibri" w:eastAsia="宋体" w:cs="Times New Roman"/>
                <w:color w:val="000000"/>
                <w:spacing w:val="2"/>
                <w:kern w:val="0"/>
                <w:szCs w:val="21"/>
              </w:rPr>
            </w:pPr>
            <w:r>
              <w:rPr>
                <w:rFonts w:hint="eastAsia" w:ascii="宋体" w:hAnsi="宋体" w:eastAsia="宋体" w:cs="Times New Roman"/>
                <w:color w:val="000000"/>
                <w:kern w:val="0"/>
                <w:szCs w:val="21"/>
              </w:rPr>
              <w:t>毕业要求</w:t>
            </w:r>
            <w:r>
              <w:rPr>
                <w:rFonts w:hint="eastAsia" w:ascii="宋体" w:hAnsi="宋体" w:eastAsia="宋体" w:cs="Times New Roman"/>
                <w:color w:val="000000"/>
                <w:spacing w:val="2"/>
                <w:kern w:val="0"/>
                <w:szCs w:val="21"/>
              </w:rPr>
              <w:t>2</w:t>
            </w:r>
            <w:r>
              <w:rPr>
                <w:rFonts w:ascii="宋体" w:hAnsi="Calibri" w:eastAsia="宋体" w:cs="Times New Roman"/>
                <w:color w:val="000000"/>
                <w:spacing w:val="2"/>
                <w:kern w:val="0"/>
                <w:szCs w:val="21"/>
              </w:rPr>
              <w:t>.</w:t>
            </w:r>
            <w:r>
              <w:rPr>
                <w:rFonts w:hint="eastAsia" w:ascii="宋体" w:hAnsi="宋体" w:eastAsia="宋体" w:cs="Times New Roman"/>
                <w:color w:val="000000"/>
                <w:spacing w:val="2"/>
                <w:kern w:val="0"/>
                <w:szCs w:val="21"/>
              </w:rPr>
              <w:t>教育情怀</w:t>
            </w:r>
          </w:p>
        </w:tc>
        <w:tc>
          <w:tcPr>
            <w:tcW w:w="5290" w:type="dxa"/>
            <w:vAlign w:val="center"/>
          </w:tcPr>
          <w:p w14:paraId="44038A3E">
            <w:pPr>
              <w:shd w:val="clear" w:color="auto" w:fill="FFFFFF"/>
              <w:adjustRightInd w:val="0"/>
              <w:snapToGrid w:val="0"/>
              <w:spacing w:line="276" w:lineRule="auto"/>
              <w:jc w:val="left"/>
              <w:rPr>
                <w:rFonts w:ascii="宋体" w:hAnsi="Calibri" w:eastAsia="宋体" w:cs="Times New Roman"/>
                <w:color w:val="000000"/>
                <w:spacing w:val="2"/>
                <w:kern w:val="0"/>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2-1：【职业认同感强】具有家国情怀，热爱教育事业，秉持“坚忍诚勇，立己达人”的师范精神，践行教育家精神，乐于从教，热爱教育事业，具有较高的教师职业认同感，认同教师职业的意义、价值与专业性。</w:t>
            </w:r>
          </w:p>
        </w:tc>
      </w:tr>
      <w:tr w14:paraId="2D7E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584" w:type="dxa"/>
            <w:vAlign w:val="center"/>
          </w:tcPr>
          <w:p w14:paraId="342A3AD7">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5</w:t>
            </w:r>
          </w:p>
        </w:tc>
        <w:tc>
          <w:tcPr>
            <w:tcW w:w="2309" w:type="dxa"/>
            <w:vAlign w:val="center"/>
          </w:tcPr>
          <w:p w14:paraId="53200E84">
            <w:pPr>
              <w:adjustRightInd w:val="0"/>
              <w:snapToGrid w:val="0"/>
              <w:spacing w:line="276" w:lineRule="auto"/>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毕业要求1</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师德规范</w:t>
            </w:r>
          </w:p>
        </w:tc>
        <w:tc>
          <w:tcPr>
            <w:tcW w:w="5290" w:type="dxa"/>
            <w:vAlign w:val="center"/>
          </w:tcPr>
          <w:p w14:paraId="0FD9B194">
            <w:pPr>
              <w:shd w:val="clear" w:color="auto" w:fill="FFFFFF"/>
              <w:adjustRightInd w:val="0"/>
              <w:snapToGrid w:val="0"/>
              <w:spacing w:line="276" w:lineRule="auto"/>
              <w:jc w:val="left"/>
              <w:rPr>
                <w:rFonts w:ascii="宋体" w:hAnsi="Calibri" w:eastAsia="宋体" w:cs="Times New Roman"/>
                <w:color w:val="000000"/>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bl>
    <w:p w14:paraId="5B176556">
      <w:pPr>
        <w:spacing w:line="360" w:lineRule="auto"/>
        <w:rPr>
          <w:rFonts w:hint="eastAsia" w:ascii="宋体" w:hAnsi="等线" w:eastAsia="宋体" w:cs="Times New Roman"/>
          <w:b/>
          <w:color w:val="000000"/>
          <w:sz w:val="24"/>
        </w:rPr>
      </w:pPr>
    </w:p>
    <w:p w14:paraId="2B9769BD">
      <w:pPr>
        <w:adjustRightInd w:val="0"/>
        <w:snapToGrid w:val="0"/>
        <w:spacing w:line="360" w:lineRule="auto"/>
        <w:rPr>
          <w:rFonts w:hint="eastAsia" w:ascii="宋体" w:hAnsi="等线" w:eastAsia="宋体" w:cs="Times New Roman"/>
          <w:color w:val="000000"/>
          <w:sz w:val="24"/>
        </w:rPr>
      </w:pPr>
    </w:p>
    <w:p w14:paraId="6AC034CD">
      <w:pPr>
        <w:adjustRightInd w:val="0"/>
        <w:snapToGrid w:val="0"/>
        <w:spacing w:line="360" w:lineRule="auto"/>
        <w:rPr>
          <w:rFonts w:hint="eastAsia" w:ascii="宋体" w:hAnsi="等线" w:eastAsia="宋体" w:cs="Times New Roman"/>
          <w:b/>
          <w:color w:val="000000"/>
          <w:sz w:val="28"/>
          <w:szCs w:val="28"/>
        </w:rPr>
      </w:pPr>
      <w:r>
        <w:rPr>
          <w:rFonts w:hint="eastAsia" w:ascii="宋体" w:hAnsi="宋体" w:eastAsia="宋体" w:cs="Times New Roman"/>
          <w:b/>
          <w:color w:val="000000"/>
          <w:sz w:val="28"/>
          <w:szCs w:val="28"/>
        </w:rPr>
        <w:t>三、课程内容</w:t>
      </w:r>
    </w:p>
    <w:p w14:paraId="6AB67EB4">
      <w:pPr>
        <w:adjustRightInd w:val="0"/>
        <w:snapToGrid w:val="0"/>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（一）</w:t>
      </w:r>
      <w:r>
        <w:rPr>
          <w:rFonts w:hint="eastAsia" w:ascii="宋体" w:hAnsi="宋体" w:eastAsia="宋体" w:cs="宋体"/>
          <w:b/>
          <w:color w:val="000000"/>
          <w:kern w:val="0"/>
          <w:sz w:val="24"/>
        </w:rPr>
        <w:t>教育政策概</w:t>
      </w:r>
      <w:r>
        <w:rPr>
          <w:rFonts w:hint="eastAsia" w:ascii="宋体" w:hAnsi="宋体" w:eastAsia="宋体" w:cs="Times New Roman"/>
          <w:b/>
          <w:color w:val="000000"/>
          <w:sz w:val="24"/>
        </w:rPr>
        <w:t>论（本模块各知识点的讲授与学习，可以支撑课程目标</w:t>
      </w:r>
      <w:r>
        <w:rPr>
          <w:rFonts w:ascii="宋体" w:hAnsi="宋体" w:eastAsia="宋体" w:cs="Times New Roman"/>
          <w:b/>
          <w:color w:val="000000"/>
          <w:sz w:val="24"/>
        </w:rPr>
        <w:t>1</w:t>
      </w:r>
      <w:r>
        <w:rPr>
          <w:rFonts w:hint="eastAsia" w:ascii="宋体" w:hAnsi="宋体" w:eastAsia="宋体" w:cs="Times New Roman"/>
          <w:b/>
          <w:color w:val="000000"/>
          <w:sz w:val="24"/>
        </w:rPr>
        <w:t>）</w:t>
      </w:r>
    </w:p>
    <w:p w14:paraId="76279E3F">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68EED57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）教育政策的本质和特点、功能</w:t>
      </w:r>
    </w:p>
    <w:p w14:paraId="2D7F21F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）教育政策的价值取向</w:t>
      </w:r>
    </w:p>
    <w:p w14:paraId="01462F36">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）教育政策过程</w:t>
      </w:r>
    </w:p>
    <w:p w14:paraId="7C8DEC7A">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6BB5F78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）了解教育政策的基本内涵</w:t>
      </w:r>
    </w:p>
    <w:p w14:paraId="3EE71C4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）理解教育政策的价值取向</w:t>
      </w:r>
    </w:p>
    <w:p w14:paraId="4334252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）掌握教育政策的过程</w:t>
      </w:r>
    </w:p>
    <w:p w14:paraId="4282622C">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1EFD0861">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通过理解教育政策的公共性，让学生结合国家最近出台的一系列教育政策思考我国目前现实中所遇到的教育危机和面临的挑战，从而能在宏观的层面上增强“四个自信”。</w:t>
      </w:r>
    </w:p>
    <w:p w14:paraId="6C37354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：了解教育政策的功能</w:t>
      </w:r>
    </w:p>
    <w:p w14:paraId="1D03959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：理解教育政策的制定、执行和评估</w:t>
      </w:r>
    </w:p>
    <w:p w14:paraId="2D8DE578">
      <w:pPr>
        <w:adjustRightInd w:val="0"/>
        <w:snapToGrid w:val="0"/>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（二）小学教育政策体系（本模块各知识点的讲授与学习，可以支撑课程目标</w:t>
      </w:r>
      <w:r>
        <w:rPr>
          <w:rFonts w:ascii="宋体" w:hAnsi="宋体" w:eastAsia="宋体" w:cs="Times New Roman"/>
          <w:b/>
          <w:color w:val="000000"/>
          <w:sz w:val="24"/>
        </w:rPr>
        <w:t>1</w:t>
      </w:r>
      <w:r>
        <w:rPr>
          <w:rFonts w:hint="eastAsia" w:ascii="宋体" w:hAnsi="宋体" w:eastAsia="宋体" w:cs="Times New Roman"/>
          <w:b/>
          <w:color w:val="000000"/>
          <w:sz w:val="24"/>
        </w:rPr>
        <w:t>、课程目标</w:t>
      </w:r>
      <w:r>
        <w:rPr>
          <w:rFonts w:ascii="宋体" w:hAnsi="宋体" w:eastAsia="宋体" w:cs="Times New Roman"/>
          <w:b/>
          <w:color w:val="000000"/>
          <w:sz w:val="24"/>
        </w:rPr>
        <w:t>3</w:t>
      </w:r>
      <w:r>
        <w:rPr>
          <w:rFonts w:hint="eastAsia" w:ascii="宋体" w:hAnsi="宋体" w:eastAsia="宋体" w:cs="Times New Roman"/>
          <w:b/>
          <w:color w:val="000000"/>
          <w:sz w:val="24"/>
        </w:rPr>
        <w:t>）</w:t>
      </w:r>
    </w:p>
    <w:p w14:paraId="37A907DB">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6A9F3F8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）教育政策体系内涵</w:t>
      </w:r>
    </w:p>
    <w:p w14:paraId="7A5568F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）小学教育政策体系的结构</w:t>
      </w:r>
    </w:p>
    <w:p w14:paraId="39A8079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）我国小学教育政策体系的形成和发展</w:t>
      </w:r>
    </w:p>
    <w:p w14:paraId="7E393467">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739C44D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）了解教育政策体系的基本内涵</w:t>
      </w:r>
    </w:p>
    <w:p w14:paraId="4D0A860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）理解小学教育政策体系的结构特征</w:t>
      </w:r>
    </w:p>
    <w:p w14:paraId="27C5DB1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）掌握我国小学教育政策体系的发展</w:t>
      </w:r>
    </w:p>
    <w:p w14:paraId="6C721169">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6F12DB1C">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通过本章内容学习，使学生在理解教育政策体系重要性和存在问题的基础上，坚定小学教师职业使命感，树立正确的人生价值观。</w:t>
      </w:r>
    </w:p>
    <w:p w14:paraId="416CA5A7">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：掌握小学教育政策体系的结构特征和发展</w:t>
      </w:r>
    </w:p>
    <w:p w14:paraId="001BC17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：理解教育政策体系的内涵</w:t>
      </w:r>
    </w:p>
    <w:p w14:paraId="43DA1593">
      <w:pPr>
        <w:adjustRightInd w:val="0"/>
        <w:snapToGrid w:val="0"/>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（三）教育法规与小学教育法制建设（本模块各知识点的讲授与学习，可以支撑课程目标</w:t>
      </w:r>
      <w:r>
        <w:rPr>
          <w:rFonts w:ascii="宋体" w:hAnsi="宋体" w:eastAsia="宋体" w:cs="Times New Roman"/>
          <w:b/>
          <w:color w:val="000000"/>
          <w:sz w:val="24"/>
        </w:rPr>
        <w:t>2</w:t>
      </w:r>
      <w:r>
        <w:rPr>
          <w:rFonts w:hint="eastAsia" w:ascii="宋体" w:hAnsi="宋体" w:eastAsia="宋体" w:cs="Times New Roman"/>
          <w:b/>
          <w:color w:val="000000"/>
          <w:sz w:val="24"/>
        </w:rPr>
        <w:t>）</w:t>
      </w:r>
    </w:p>
    <w:p w14:paraId="207A8159">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16C0E62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）教育法规概述</w:t>
      </w:r>
    </w:p>
    <w:p w14:paraId="0149860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）教育法律关系和教育法律责任</w:t>
      </w:r>
    </w:p>
    <w:p w14:paraId="7CA7DF6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）小学教育立法、实施和监督</w:t>
      </w:r>
    </w:p>
    <w:p w14:paraId="4F31A3D2">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3E667FFD">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）了解教育法规</w:t>
      </w:r>
    </w:p>
    <w:p w14:paraId="7D48D86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）理解教育法律关系和教育法律责任</w:t>
      </w:r>
    </w:p>
    <w:p w14:paraId="6EA41E1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）掌握小学教育法规实施和监督</w:t>
      </w:r>
    </w:p>
    <w:p w14:paraId="29247895">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7732C690">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通过本章内容学习，使学生深刻理解我国依法治国和依法治教的意义，以及当前我国建设法治国家所面临的严峻形势，更加自觉的做到敬畏法律、遵守法律，在今后的工作中积极宣扬法治精神，维护法律尊严。</w:t>
      </w:r>
    </w:p>
    <w:p w14:paraId="71F88BB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：理解教育法律关系的类型</w:t>
      </w:r>
    </w:p>
    <w:p w14:paraId="671563D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：教育法律责任的认定</w:t>
      </w:r>
    </w:p>
    <w:p w14:paraId="3AA51AE2">
      <w:pPr>
        <w:adjustRightInd w:val="0"/>
        <w:snapToGrid w:val="0"/>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（四）政府、家庭和社会的职责和责任（本模块各知识点的讲授与学习，可以支撑课程目标</w:t>
      </w:r>
      <w:r>
        <w:rPr>
          <w:rFonts w:ascii="宋体" w:hAnsi="宋体" w:eastAsia="宋体" w:cs="Times New Roman"/>
          <w:b/>
          <w:color w:val="000000"/>
          <w:sz w:val="24"/>
        </w:rPr>
        <w:t>3</w:t>
      </w:r>
      <w:r>
        <w:rPr>
          <w:rFonts w:hint="eastAsia" w:ascii="宋体" w:hAnsi="宋体" w:eastAsia="宋体" w:cs="Times New Roman"/>
          <w:b/>
          <w:color w:val="000000"/>
          <w:sz w:val="24"/>
        </w:rPr>
        <w:t>）</w:t>
      </w:r>
    </w:p>
    <w:p w14:paraId="6B0524C5">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3F607D2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）政府的法律责任</w:t>
      </w:r>
    </w:p>
    <w:p w14:paraId="73ADDDB6">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）家庭的教育义务和责任</w:t>
      </w:r>
    </w:p>
    <w:p w14:paraId="701F972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）社会的教育义务和责任</w:t>
      </w:r>
    </w:p>
    <w:p w14:paraId="06F7E0E3">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6E7B0CD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）了解政府的职责</w:t>
      </w:r>
    </w:p>
    <w:p w14:paraId="01A8DD5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）区分政府、家庭和社会的教育义务</w:t>
      </w:r>
    </w:p>
    <w:p w14:paraId="46410E6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）理解政府、家庭和社会的教育责任</w:t>
      </w:r>
    </w:p>
    <w:p w14:paraId="48D35D0A">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6FA52E15">
      <w:pPr>
        <w:widowControl/>
        <w:adjustRightInd w:val="0"/>
        <w:snapToGrid w:val="0"/>
        <w:spacing w:line="360" w:lineRule="auto"/>
        <w:ind w:firstLine="480" w:firstLineChars="200"/>
        <w:jc w:val="left"/>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通过本章内容学习，使学生理解我国社会主义制度和社会结构的特殊优越性，增强爱国主义情怀和集体主义意识，明确作为一个公民的社会责任和公共道德。</w:t>
      </w:r>
    </w:p>
    <w:p w14:paraId="2EE5D996">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：政府、家庭和社会的教育责任划分</w:t>
      </w:r>
    </w:p>
    <w:p w14:paraId="42D91001">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：政府、家庭和社会的教育义务监督</w:t>
      </w:r>
    </w:p>
    <w:p w14:paraId="1C47DF44">
      <w:pPr>
        <w:adjustRightInd w:val="0"/>
        <w:snapToGrid w:val="0"/>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（五）小学的权利和责任（本模块各知识点的讲授与学习，可以支撑课程目标</w:t>
      </w:r>
      <w:r>
        <w:rPr>
          <w:rFonts w:ascii="宋体" w:hAnsi="宋体" w:eastAsia="宋体" w:cs="Times New Roman"/>
          <w:b/>
          <w:color w:val="000000"/>
          <w:sz w:val="24"/>
        </w:rPr>
        <w:t>3</w:t>
      </w:r>
      <w:r>
        <w:rPr>
          <w:rFonts w:hint="eastAsia" w:ascii="宋体" w:hAnsi="宋体" w:eastAsia="宋体" w:cs="Times New Roman"/>
          <w:b/>
          <w:color w:val="000000"/>
          <w:sz w:val="24"/>
        </w:rPr>
        <w:t>）</w:t>
      </w:r>
    </w:p>
    <w:p w14:paraId="0C4CF292">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7F028DB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）小学的法律地位</w:t>
      </w:r>
    </w:p>
    <w:p w14:paraId="2003E56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）小学的权利义务和责任</w:t>
      </w:r>
    </w:p>
    <w:p w14:paraId="50834E6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）学校事故及侵权责任</w:t>
      </w:r>
    </w:p>
    <w:p w14:paraId="58634D36">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7495E64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）了解小学的法律地位</w:t>
      </w:r>
    </w:p>
    <w:p w14:paraId="35AF636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）理解小学的权利义务和责任</w:t>
      </w:r>
    </w:p>
    <w:p w14:paraId="2485DA0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）掌握学校事故及侵权责任</w:t>
      </w:r>
    </w:p>
    <w:p w14:paraId="3E096C46">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0A8B8257">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通过本章内容学习，使学生理解未来作为一个学校管理者和决策者所承担的法律责任，从而做到谨慎决策、科学决策，并不断提高创新管理的水平。</w:t>
      </w:r>
    </w:p>
    <w:p w14:paraId="2513ECF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：理解小学法律地位</w:t>
      </w:r>
    </w:p>
    <w:p w14:paraId="0876A3C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：学校事故的责任划分</w:t>
      </w:r>
    </w:p>
    <w:p w14:paraId="4A75361F">
      <w:pPr>
        <w:adjustRightInd w:val="0"/>
        <w:snapToGrid w:val="0"/>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（六）小学教师的权益及保护（本模块各知识点的讲授与学习，可以支撑课程目标</w:t>
      </w:r>
      <w:r>
        <w:rPr>
          <w:rFonts w:ascii="宋体" w:hAnsi="宋体" w:eastAsia="宋体" w:cs="Times New Roman"/>
          <w:b/>
          <w:color w:val="000000"/>
          <w:sz w:val="24"/>
        </w:rPr>
        <w:t>4</w:t>
      </w:r>
      <w:r>
        <w:rPr>
          <w:rFonts w:hint="eastAsia" w:ascii="宋体" w:hAnsi="宋体" w:eastAsia="宋体" w:cs="Times New Roman"/>
          <w:b/>
          <w:color w:val="000000"/>
          <w:sz w:val="24"/>
        </w:rPr>
        <w:t>）</w:t>
      </w:r>
    </w:p>
    <w:p w14:paraId="0DAA2BA4">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5458E707">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）小学教师的法律地位</w:t>
      </w:r>
    </w:p>
    <w:p w14:paraId="71A3D71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）小学教师的权利与义务</w:t>
      </w:r>
    </w:p>
    <w:p w14:paraId="357EE47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）教师的惩戒与权利救济</w:t>
      </w:r>
    </w:p>
    <w:p w14:paraId="600EBCA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4</w:t>
      </w:r>
      <w:r>
        <w:rPr>
          <w:rFonts w:hint="eastAsia" w:ascii="宋体" w:hAnsi="宋体" w:eastAsia="宋体" w:cs="宋体"/>
          <w:color w:val="000000"/>
          <w:kern w:val="0"/>
          <w:sz w:val="24"/>
        </w:rPr>
        <w:t>）教师职业制度</w:t>
      </w:r>
    </w:p>
    <w:p w14:paraId="306871AB">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31DD718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）了解小学教师的法律地位</w:t>
      </w:r>
    </w:p>
    <w:p w14:paraId="17594207">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）理解教师的惩戒和权利救济</w:t>
      </w:r>
    </w:p>
    <w:p w14:paraId="5646D54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）掌握小学教师的权利与义务</w:t>
      </w:r>
    </w:p>
    <w:p w14:paraId="76717469">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798BDBFF">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通过本章内容学习，使学生深刻理解习近平总书记提出的“四有好老师”所蕴含的时代意义，在今后的教师岗位上不断增强履职尽责的自觉性和为国育人的崇高精神。</w:t>
      </w:r>
    </w:p>
    <w:p w14:paraId="0583CF9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：理解小学教师的法律地位</w:t>
      </w:r>
    </w:p>
    <w:p w14:paraId="2CBF4A0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：理解教师的权利救济和教师职业制度。</w:t>
      </w:r>
    </w:p>
    <w:p w14:paraId="41884357">
      <w:pPr>
        <w:adjustRightInd w:val="0"/>
        <w:snapToGrid w:val="0"/>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（七）小学生的权益及保护（本模块各知识点的讲授与学习，可以支撑课程目标</w:t>
      </w:r>
      <w:r>
        <w:rPr>
          <w:rFonts w:ascii="宋体" w:hAnsi="宋体" w:eastAsia="宋体" w:cs="Times New Roman"/>
          <w:b/>
          <w:color w:val="000000"/>
          <w:sz w:val="24"/>
        </w:rPr>
        <w:t>5</w:t>
      </w:r>
      <w:r>
        <w:rPr>
          <w:rFonts w:hint="eastAsia" w:ascii="宋体" w:hAnsi="宋体" w:eastAsia="宋体" w:cs="Times New Roman"/>
          <w:b/>
          <w:color w:val="000000"/>
          <w:sz w:val="24"/>
        </w:rPr>
        <w:t>）</w:t>
      </w:r>
    </w:p>
    <w:p w14:paraId="238C350D">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54DC026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）小学生的法律地位</w:t>
      </w:r>
    </w:p>
    <w:p w14:paraId="1754D24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）小学生的权利与义务</w:t>
      </w:r>
    </w:p>
    <w:p w14:paraId="2C12E13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）学生惩戒与权利救济</w:t>
      </w:r>
    </w:p>
    <w:p w14:paraId="6B575133">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0FD2F74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）了解小学生的法律地位</w:t>
      </w:r>
    </w:p>
    <w:p w14:paraId="2B65526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）理解学生惩戒与权利救济；</w:t>
      </w:r>
    </w:p>
    <w:p w14:paraId="6917440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）掌握小学生的权利与义务</w:t>
      </w:r>
    </w:p>
    <w:p w14:paraId="3C99E875">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7777AC83">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师范生不断增强教育立德树人的时代意义，尤其是理解小学教育是基础教育的基础这一基本观点，在加强自身品德修养中培养小学生的综合素质，履行培养担当民族复兴大任时代新人的历史使命。</w:t>
      </w:r>
    </w:p>
    <w:p w14:paraId="45221FE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：理解学生惩戒与权利救济的内涵</w:t>
      </w:r>
    </w:p>
    <w:p w14:paraId="492E42D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：小学生的法律地位</w:t>
      </w:r>
    </w:p>
    <w:p w14:paraId="0EC84513">
      <w:pPr>
        <w:adjustRightInd w:val="0"/>
        <w:snapToGrid w:val="0"/>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（八）小学教育重要法律法规和政策解读（本模块各知识点的讲授与学习，可以支撑课程目标</w:t>
      </w:r>
      <w:r>
        <w:rPr>
          <w:rFonts w:ascii="宋体" w:hAnsi="宋体" w:eastAsia="宋体" w:cs="Times New Roman"/>
          <w:b/>
          <w:color w:val="000000"/>
          <w:sz w:val="24"/>
        </w:rPr>
        <w:t>6</w:t>
      </w:r>
      <w:r>
        <w:rPr>
          <w:rFonts w:hint="eastAsia" w:ascii="宋体" w:hAnsi="宋体" w:eastAsia="宋体" w:cs="Times New Roman"/>
          <w:b/>
          <w:color w:val="000000"/>
          <w:sz w:val="24"/>
        </w:rPr>
        <w:t>）</w:t>
      </w:r>
    </w:p>
    <w:p w14:paraId="340E9822">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1.</w:t>
      </w:r>
      <w:r>
        <w:rPr>
          <w:rFonts w:hint="eastAsia" w:ascii="宋体" w:hAnsi="宋体" w:eastAsia="宋体" w:cs="宋体"/>
          <w:b/>
          <w:color w:val="000000"/>
          <w:kern w:val="0"/>
          <w:sz w:val="24"/>
        </w:rPr>
        <w:t>教学内容</w:t>
      </w:r>
    </w:p>
    <w:p w14:paraId="2EEF2CF7">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）教育法与义务教育法</w:t>
      </w:r>
    </w:p>
    <w:p w14:paraId="289CC6B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）教师法与未成年人保护法</w:t>
      </w:r>
    </w:p>
    <w:p w14:paraId="217F284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）预防未成年人犯罪法</w:t>
      </w:r>
    </w:p>
    <w:p w14:paraId="2639EE1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4</w:t>
      </w:r>
      <w:r>
        <w:rPr>
          <w:rFonts w:hint="eastAsia" w:ascii="宋体" w:hAnsi="宋体" w:eastAsia="宋体" w:cs="宋体"/>
          <w:color w:val="000000"/>
          <w:kern w:val="0"/>
          <w:sz w:val="24"/>
        </w:rPr>
        <w:t>）学生伤害事故处理办法</w:t>
      </w:r>
    </w:p>
    <w:p w14:paraId="176E985B">
      <w:pPr>
        <w:widowControl/>
        <w:adjustRightInd w:val="0"/>
        <w:snapToGrid w:val="0"/>
        <w:spacing w:line="360" w:lineRule="auto"/>
        <w:jc w:val="left"/>
        <w:rPr>
          <w:rFonts w:hint="eastAsia" w:ascii="宋体" w:hAnsi="宋体" w:eastAsia="宋体" w:cs="宋体"/>
          <w:b/>
          <w:color w:val="000000"/>
          <w:kern w:val="0"/>
          <w:sz w:val="24"/>
        </w:rPr>
      </w:pPr>
      <w:r>
        <w:rPr>
          <w:rFonts w:ascii="宋体" w:hAnsi="宋体" w:eastAsia="宋体" w:cs="宋体"/>
          <w:b/>
          <w:color w:val="000000"/>
          <w:kern w:val="0"/>
          <w:sz w:val="24"/>
        </w:rPr>
        <w:t>2.</w:t>
      </w:r>
      <w:r>
        <w:rPr>
          <w:rFonts w:hint="eastAsia" w:ascii="宋体" w:hAnsi="宋体" w:eastAsia="宋体" w:cs="宋体"/>
          <w:b/>
          <w:color w:val="000000"/>
          <w:kern w:val="0"/>
          <w:sz w:val="24"/>
        </w:rPr>
        <w:t>基本要求</w:t>
      </w:r>
    </w:p>
    <w:p w14:paraId="08D7ABE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1</w:t>
      </w:r>
      <w:r>
        <w:rPr>
          <w:rFonts w:hint="eastAsia" w:ascii="宋体" w:hAnsi="宋体" w:eastAsia="宋体" w:cs="宋体"/>
          <w:color w:val="000000"/>
          <w:kern w:val="0"/>
          <w:sz w:val="24"/>
        </w:rPr>
        <w:t>）了解小学教育重要法律法规的内容</w:t>
      </w:r>
    </w:p>
    <w:p w14:paraId="54EABCB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2</w:t>
      </w:r>
      <w:r>
        <w:rPr>
          <w:rFonts w:hint="eastAsia" w:ascii="宋体" w:hAnsi="宋体" w:eastAsia="宋体" w:cs="宋体"/>
          <w:color w:val="000000"/>
          <w:kern w:val="0"/>
          <w:sz w:val="24"/>
        </w:rPr>
        <w:t>）理解相关法律法规中的具体内容现实意义</w:t>
      </w:r>
    </w:p>
    <w:p w14:paraId="4C57C09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w:t>
      </w:r>
      <w:r>
        <w:rPr>
          <w:rFonts w:ascii="宋体" w:hAnsi="宋体" w:eastAsia="宋体" w:cs="宋体"/>
          <w:color w:val="000000"/>
          <w:kern w:val="0"/>
          <w:sz w:val="24"/>
        </w:rPr>
        <w:t>3</w:t>
      </w:r>
      <w:r>
        <w:rPr>
          <w:rFonts w:hint="eastAsia" w:ascii="宋体" w:hAnsi="宋体" w:eastAsia="宋体" w:cs="宋体"/>
          <w:color w:val="000000"/>
          <w:kern w:val="0"/>
          <w:sz w:val="24"/>
        </w:rPr>
        <w:t>）理解相关法律法规执行中的问题</w:t>
      </w:r>
    </w:p>
    <w:p w14:paraId="5D83DBC2">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26929432">
      <w:pPr>
        <w:adjustRightInd w:val="0"/>
        <w:snapToGrid w:val="0"/>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通过本章内容学习，使学生了解我国教育政策与法规内容中所体现的中国特色社会主义精神，深刻理解中国共产党领导下的教育宏图大业，增强作为一个新时代中国小学教师的自豪感。</w:t>
      </w:r>
    </w:p>
    <w:p w14:paraId="604BF92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教学重点</w:t>
      </w:r>
      <w:r>
        <w:rPr>
          <w:rFonts w:hint="eastAsia" w:ascii="宋体" w:hAnsi="宋体" w:eastAsia="宋体" w:cs="宋体"/>
          <w:color w:val="000000"/>
          <w:kern w:val="0"/>
          <w:sz w:val="24"/>
        </w:rPr>
        <w:t>：理解小学教育重要法律法规和政策中的具体内容规定</w:t>
      </w:r>
    </w:p>
    <w:p w14:paraId="5DA2802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b/>
          <w:color w:val="000000"/>
          <w:kern w:val="0"/>
          <w:sz w:val="24"/>
        </w:rPr>
        <w:t>教学难点</w:t>
      </w:r>
      <w:r>
        <w:rPr>
          <w:rFonts w:hint="eastAsia" w:ascii="宋体" w:hAnsi="宋体" w:eastAsia="宋体" w:cs="宋体"/>
          <w:color w:val="000000"/>
          <w:kern w:val="0"/>
          <w:sz w:val="24"/>
        </w:rPr>
        <w:t>：教育法律法规制订、修订的现实意义</w:t>
      </w:r>
    </w:p>
    <w:p w14:paraId="3E1BEF80">
      <w:pPr>
        <w:adjustRightInd w:val="0"/>
        <w:snapToGrid w:val="0"/>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教学内容与课程目标的对应关系及学时分配如表所示：</w:t>
      </w:r>
    </w:p>
    <w:tbl>
      <w:tblPr>
        <w:tblStyle w:val="13"/>
        <w:tblW w:w="883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3417"/>
        <w:gridCol w:w="1703"/>
        <w:gridCol w:w="2385"/>
        <w:gridCol w:w="10"/>
        <w:gridCol w:w="727"/>
      </w:tblGrid>
      <w:tr w14:paraId="3E6B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589" w:type="dxa"/>
            <w:shd w:val="clear" w:color="auto" w:fill="FFFFFF"/>
            <w:vAlign w:val="center"/>
          </w:tcPr>
          <w:p w14:paraId="50BFE155">
            <w:pPr>
              <w:spacing w:line="276" w:lineRule="auto"/>
              <w:jc w:val="center"/>
              <w:rPr>
                <w:rFonts w:hint="eastAsia" w:ascii="宋体" w:hAnsi="等线" w:eastAsia="宋体" w:cs="Times New Roman"/>
                <w:b/>
                <w:color w:val="000000"/>
                <w:szCs w:val="21"/>
              </w:rPr>
            </w:pPr>
            <w:r>
              <w:rPr>
                <w:rFonts w:hint="eastAsia" w:ascii="宋体" w:hAnsi="宋体" w:eastAsia="宋体" w:cs="Times New Roman"/>
                <w:b/>
                <w:color w:val="000000"/>
                <w:szCs w:val="21"/>
              </w:rPr>
              <w:t>序号</w:t>
            </w:r>
          </w:p>
        </w:tc>
        <w:tc>
          <w:tcPr>
            <w:tcW w:w="3417" w:type="dxa"/>
            <w:shd w:val="clear" w:color="auto" w:fill="FFFFFF"/>
            <w:vAlign w:val="center"/>
          </w:tcPr>
          <w:p w14:paraId="6C345FEE">
            <w:pPr>
              <w:spacing w:line="276" w:lineRule="auto"/>
              <w:jc w:val="center"/>
              <w:rPr>
                <w:rFonts w:hint="eastAsia" w:ascii="宋体" w:hAnsi="等线" w:eastAsia="宋体" w:cs="Times New Roman"/>
                <w:b/>
                <w:color w:val="000000"/>
                <w:szCs w:val="21"/>
              </w:rPr>
            </w:pPr>
            <w:r>
              <w:rPr>
                <w:rFonts w:hint="eastAsia" w:ascii="宋体" w:hAnsi="宋体" w:eastAsia="宋体" w:cs="Times New Roman"/>
                <w:b/>
                <w:color w:val="000000"/>
                <w:szCs w:val="21"/>
              </w:rPr>
              <w:t>教学内容</w:t>
            </w:r>
          </w:p>
        </w:tc>
        <w:tc>
          <w:tcPr>
            <w:tcW w:w="1703" w:type="dxa"/>
            <w:shd w:val="clear" w:color="auto" w:fill="FFFFFF"/>
            <w:vAlign w:val="center"/>
          </w:tcPr>
          <w:p w14:paraId="30511670">
            <w:pPr>
              <w:spacing w:line="276" w:lineRule="auto"/>
              <w:jc w:val="center"/>
              <w:rPr>
                <w:rFonts w:hint="eastAsia" w:ascii="宋体" w:hAnsi="等线" w:eastAsia="宋体" w:cs="Times New Roman"/>
                <w:b/>
                <w:color w:val="000000"/>
                <w:szCs w:val="21"/>
              </w:rPr>
            </w:pPr>
            <w:r>
              <w:rPr>
                <w:rFonts w:hint="eastAsia" w:ascii="宋体" w:hAnsi="宋体" w:eastAsia="宋体" w:cs="Times New Roman"/>
                <w:b/>
                <w:color w:val="000000"/>
                <w:szCs w:val="21"/>
              </w:rPr>
              <w:t>支撑的课程目标</w:t>
            </w:r>
          </w:p>
        </w:tc>
        <w:tc>
          <w:tcPr>
            <w:tcW w:w="2385" w:type="dxa"/>
            <w:shd w:val="clear" w:color="auto" w:fill="FFFFFF"/>
            <w:vAlign w:val="center"/>
          </w:tcPr>
          <w:p w14:paraId="31D68C99">
            <w:pPr>
              <w:spacing w:line="276" w:lineRule="auto"/>
              <w:jc w:val="center"/>
              <w:rPr>
                <w:rFonts w:hint="eastAsia" w:ascii="宋体" w:hAnsi="等线" w:eastAsia="宋体" w:cs="Times New Roman"/>
                <w:b/>
                <w:color w:val="000000"/>
                <w:szCs w:val="21"/>
              </w:rPr>
            </w:pPr>
            <w:r>
              <w:rPr>
                <w:rFonts w:hint="eastAsia" w:ascii="宋体" w:hAnsi="宋体" w:eastAsia="宋体" w:cs="Times New Roman"/>
                <w:b/>
                <w:color w:val="000000"/>
                <w:szCs w:val="21"/>
              </w:rPr>
              <w:t>支撑的毕业要求指标点</w:t>
            </w:r>
          </w:p>
        </w:tc>
        <w:tc>
          <w:tcPr>
            <w:tcW w:w="735" w:type="dxa"/>
            <w:gridSpan w:val="2"/>
            <w:shd w:val="clear" w:color="auto" w:fill="FFFFFF"/>
            <w:vAlign w:val="center"/>
          </w:tcPr>
          <w:p w14:paraId="0EDC8F1E">
            <w:pPr>
              <w:spacing w:line="276" w:lineRule="auto"/>
              <w:jc w:val="center"/>
              <w:rPr>
                <w:rFonts w:hint="eastAsia" w:ascii="宋体" w:hAnsi="等线" w:eastAsia="宋体" w:cs="Times New Roman"/>
                <w:b/>
                <w:color w:val="000000"/>
                <w:szCs w:val="21"/>
              </w:rPr>
            </w:pPr>
            <w:r>
              <w:rPr>
                <w:rFonts w:hint="eastAsia" w:ascii="宋体" w:hAnsi="宋体" w:eastAsia="宋体" w:cs="Times New Roman"/>
                <w:b/>
                <w:color w:val="000000"/>
                <w:szCs w:val="21"/>
              </w:rPr>
              <w:t>讲授学时</w:t>
            </w:r>
          </w:p>
        </w:tc>
      </w:tr>
      <w:tr w14:paraId="34DF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9" w:type="dxa"/>
            <w:shd w:val="clear" w:color="auto" w:fill="FFFFFF"/>
            <w:vAlign w:val="center"/>
          </w:tcPr>
          <w:p w14:paraId="32C1804D">
            <w:pPr>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1</w:t>
            </w:r>
          </w:p>
        </w:tc>
        <w:tc>
          <w:tcPr>
            <w:tcW w:w="3417" w:type="dxa"/>
            <w:shd w:val="clear" w:color="auto" w:fill="FFFFFF"/>
            <w:vAlign w:val="center"/>
          </w:tcPr>
          <w:p w14:paraId="4463E5C3">
            <w:pPr>
              <w:spacing w:line="276" w:lineRule="auto"/>
              <w:jc w:val="left"/>
              <w:rPr>
                <w:rFonts w:hint="eastAsia" w:ascii="宋体" w:hAnsi="等线" w:eastAsia="宋体" w:cs="宋体"/>
                <w:color w:val="000000"/>
                <w:kern w:val="0"/>
                <w:szCs w:val="21"/>
              </w:rPr>
            </w:pPr>
            <w:r>
              <w:rPr>
                <w:rFonts w:hint="eastAsia" w:ascii="宋体" w:hAnsi="等线" w:eastAsia="宋体" w:cs="宋体"/>
                <w:color w:val="000000"/>
                <w:kern w:val="0"/>
                <w:szCs w:val="21"/>
              </w:rPr>
              <w:t>教育政策概论</w:t>
            </w:r>
          </w:p>
        </w:tc>
        <w:tc>
          <w:tcPr>
            <w:tcW w:w="1703" w:type="dxa"/>
            <w:shd w:val="clear" w:color="auto" w:fill="FFFFFF"/>
            <w:vAlign w:val="center"/>
          </w:tcPr>
          <w:p w14:paraId="477230DF">
            <w:pPr>
              <w:spacing w:line="276" w:lineRule="auto"/>
              <w:jc w:val="center"/>
              <w:rPr>
                <w:rFonts w:hint="eastAsia"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p>
        </w:tc>
        <w:tc>
          <w:tcPr>
            <w:tcW w:w="2385" w:type="dxa"/>
            <w:shd w:val="clear" w:color="auto" w:fill="FFFFFF"/>
            <w:vAlign w:val="center"/>
          </w:tcPr>
          <w:p w14:paraId="02C9BC59">
            <w:pPr>
              <w:spacing w:line="276" w:lineRule="auto"/>
              <w:jc w:val="center"/>
              <w:rPr>
                <w:rFonts w:hint="eastAsia" w:ascii="宋体" w:hAnsi="等线" w:eastAsia="宋体" w:cs="Times New Roman"/>
                <w:color w:val="000000"/>
                <w:szCs w:val="21"/>
              </w:rPr>
            </w:pPr>
            <w:r>
              <w:rPr>
                <w:rFonts w:ascii="宋体" w:hAnsi="宋体" w:eastAsia="宋体" w:cs="Times New Roman"/>
                <w:kern w:val="0"/>
                <w:szCs w:val="21"/>
              </w:rPr>
              <w:t>1-1</w:t>
            </w:r>
          </w:p>
        </w:tc>
        <w:tc>
          <w:tcPr>
            <w:tcW w:w="735" w:type="dxa"/>
            <w:gridSpan w:val="2"/>
            <w:shd w:val="clear" w:color="auto" w:fill="FFFFFF"/>
            <w:vAlign w:val="center"/>
          </w:tcPr>
          <w:p w14:paraId="104B53F0">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2</w:t>
            </w:r>
          </w:p>
        </w:tc>
      </w:tr>
      <w:tr w14:paraId="7C33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9" w:type="dxa"/>
            <w:vAlign w:val="center"/>
          </w:tcPr>
          <w:p w14:paraId="0AE57F24">
            <w:pPr>
              <w:spacing w:line="276" w:lineRule="auto"/>
              <w:jc w:val="center"/>
              <w:rPr>
                <w:rFonts w:hint="eastAsia" w:ascii="宋体" w:hAnsi="宋体" w:eastAsia="宋体" w:cs="Times New Roman"/>
                <w:szCs w:val="21"/>
              </w:rPr>
            </w:pPr>
            <w:r>
              <w:rPr>
                <w:rFonts w:ascii="宋体" w:hAnsi="宋体" w:eastAsia="宋体" w:cs="Times New Roman"/>
                <w:szCs w:val="21"/>
              </w:rPr>
              <w:t>2</w:t>
            </w:r>
          </w:p>
        </w:tc>
        <w:tc>
          <w:tcPr>
            <w:tcW w:w="3417" w:type="dxa"/>
            <w:vAlign w:val="center"/>
          </w:tcPr>
          <w:p w14:paraId="214B43E0">
            <w:pPr>
              <w:widowControl/>
              <w:snapToGrid w:val="0"/>
              <w:spacing w:line="276" w:lineRule="auto"/>
              <w:jc w:val="left"/>
              <w:rPr>
                <w:rFonts w:hint="eastAsia" w:ascii="宋体" w:hAnsi="等线" w:eastAsia="宋体" w:cs="宋体"/>
                <w:color w:val="000000"/>
                <w:kern w:val="0"/>
                <w:szCs w:val="21"/>
              </w:rPr>
            </w:pPr>
            <w:r>
              <w:rPr>
                <w:rFonts w:hint="eastAsia" w:ascii="宋体" w:hAnsi="等线" w:eastAsia="宋体" w:cs="宋体"/>
                <w:color w:val="000000"/>
                <w:kern w:val="0"/>
                <w:szCs w:val="21"/>
              </w:rPr>
              <w:t>小学教育政策体系</w:t>
            </w:r>
          </w:p>
        </w:tc>
        <w:tc>
          <w:tcPr>
            <w:tcW w:w="1703" w:type="dxa"/>
            <w:vAlign w:val="center"/>
          </w:tcPr>
          <w:p w14:paraId="5F7799E7">
            <w:pPr>
              <w:spacing w:line="276" w:lineRule="auto"/>
              <w:jc w:val="center"/>
              <w:rPr>
                <w:rFonts w:hint="eastAsia"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p>
        </w:tc>
        <w:tc>
          <w:tcPr>
            <w:tcW w:w="2385" w:type="dxa"/>
            <w:vAlign w:val="center"/>
          </w:tcPr>
          <w:p w14:paraId="0A580F3C">
            <w:pPr>
              <w:spacing w:line="276" w:lineRule="auto"/>
              <w:jc w:val="center"/>
              <w:rPr>
                <w:rFonts w:hint="eastAsia" w:ascii="宋体" w:hAnsi="等线" w:eastAsia="宋体" w:cs="Times New Roman"/>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7-1</w:t>
            </w:r>
          </w:p>
        </w:tc>
        <w:tc>
          <w:tcPr>
            <w:tcW w:w="735" w:type="dxa"/>
            <w:gridSpan w:val="2"/>
            <w:vAlign w:val="center"/>
          </w:tcPr>
          <w:p w14:paraId="6F4D1BE1">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2</w:t>
            </w:r>
          </w:p>
        </w:tc>
      </w:tr>
      <w:tr w14:paraId="6307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89" w:type="dxa"/>
            <w:vAlign w:val="center"/>
          </w:tcPr>
          <w:p w14:paraId="5C99623B">
            <w:pPr>
              <w:spacing w:line="276" w:lineRule="auto"/>
              <w:jc w:val="center"/>
              <w:rPr>
                <w:rFonts w:hint="eastAsia" w:ascii="宋体" w:hAnsi="宋体" w:eastAsia="宋体" w:cs="Times New Roman"/>
                <w:szCs w:val="21"/>
              </w:rPr>
            </w:pPr>
            <w:r>
              <w:rPr>
                <w:rFonts w:ascii="宋体" w:hAnsi="宋体" w:eastAsia="宋体" w:cs="Times New Roman"/>
                <w:szCs w:val="21"/>
              </w:rPr>
              <w:t>3</w:t>
            </w:r>
          </w:p>
        </w:tc>
        <w:tc>
          <w:tcPr>
            <w:tcW w:w="3417" w:type="dxa"/>
            <w:vAlign w:val="center"/>
          </w:tcPr>
          <w:p w14:paraId="035A4A14">
            <w:pPr>
              <w:spacing w:line="276" w:lineRule="auto"/>
              <w:jc w:val="left"/>
              <w:rPr>
                <w:rFonts w:hint="eastAsia" w:ascii="宋体" w:hAnsi="等线" w:eastAsia="宋体" w:cs="Times New Roman"/>
                <w:color w:val="000000"/>
                <w:szCs w:val="21"/>
              </w:rPr>
            </w:pPr>
            <w:r>
              <w:rPr>
                <w:rFonts w:hint="eastAsia" w:ascii="宋体" w:hAnsi="等线" w:eastAsia="宋体" w:cs="Times New Roman"/>
                <w:color w:val="000000"/>
                <w:szCs w:val="21"/>
              </w:rPr>
              <w:t>教育法规与小学教育法制建设</w:t>
            </w:r>
          </w:p>
        </w:tc>
        <w:tc>
          <w:tcPr>
            <w:tcW w:w="1703" w:type="dxa"/>
            <w:vAlign w:val="center"/>
          </w:tcPr>
          <w:p w14:paraId="39D8902C">
            <w:pPr>
              <w:spacing w:line="276" w:lineRule="auto"/>
              <w:jc w:val="center"/>
              <w:rPr>
                <w:rFonts w:hint="eastAsia"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2</w:t>
            </w:r>
          </w:p>
        </w:tc>
        <w:tc>
          <w:tcPr>
            <w:tcW w:w="2385" w:type="dxa"/>
            <w:vAlign w:val="center"/>
          </w:tcPr>
          <w:p w14:paraId="441FB696">
            <w:pPr>
              <w:spacing w:line="276" w:lineRule="auto"/>
              <w:jc w:val="center"/>
              <w:rPr>
                <w:rFonts w:hint="eastAsia" w:ascii="宋体" w:hAnsi="等线" w:eastAsia="宋体" w:cs="Times New Roman"/>
                <w:szCs w:val="21"/>
              </w:rPr>
            </w:pPr>
            <w:r>
              <w:rPr>
                <w:rFonts w:ascii="宋体" w:hAnsi="宋体" w:eastAsia="宋体" w:cs="Times New Roman"/>
                <w:kern w:val="0"/>
                <w:szCs w:val="21"/>
              </w:rPr>
              <w:t>5-1</w:t>
            </w:r>
            <w:r>
              <w:rPr>
                <w:rFonts w:hint="eastAsia" w:ascii="宋体" w:hAnsi="宋体" w:eastAsia="宋体" w:cs="Times New Roman"/>
                <w:kern w:val="0"/>
                <w:szCs w:val="21"/>
              </w:rPr>
              <w:t>、</w:t>
            </w:r>
            <w:r>
              <w:rPr>
                <w:rFonts w:ascii="宋体" w:hAnsi="宋体" w:eastAsia="宋体" w:cs="Times New Roman"/>
                <w:kern w:val="0"/>
                <w:szCs w:val="21"/>
              </w:rPr>
              <w:t>5-3</w:t>
            </w:r>
          </w:p>
        </w:tc>
        <w:tc>
          <w:tcPr>
            <w:tcW w:w="735" w:type="dxa"/>
            <w:gridSpan w:val="2"/>
            <w:vAlign w:val="center"/>
          </w:tcPr>
          <w:p w14:paraId="0FAC60BA">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2</w:t>
            </w:r>
          </w:p>
        </w:tc>
      </w:tr>
      <w:tr w14:paraId="3A7A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89" w:type="dxa"/>
            <w:vAlign w:val="center"/>
          </w:tcPr>
          <w:p w14:paraId="306ADE4F">
            <w:pPr>
              <w:spacing w:line="276" w:lineRule="auto"/>
              <w:jc w:val="center"/>
              <w:rPr>
                <w:rFonts w:hint="eastAsia" w:ascii="宋体" w:hAnsi="宋体" w:eastAsia="宋体" w:cs="Times New Roman"/>
                <w:szCs w:val="21"/>
              </w:rPr>
            </w:pPr>
            <w:r>
              <w:rPr>
                <w:rFonts w:ascii="宋体" w:hAnsi="宋体" w:eastAsia="宋体" w:cs="Times New Roman"/>
                <w:szCs w:val="21"/>
              </w:rPr>
              <w:t>4</w:t>
            </w:r>
          </w:p>
        </w:tc>
        <w:tc>
          <w:tcPr>
            <w:tcW w:w="3417" w:type="dxa"/>
            <w:vAlign w:val="center"/>
          </w:tcPr>
          <w:p w14:paraId="0EDF3F9D">
            <w:pPr>
              <w:spacing w:line="276" w:lineRule="auto"/>
              <w:jc w:val="left"/>
              <w:rPr>
                <w:rFonts w:hint="eastAsia" w:ascii="宋体" w:hAnsi="等线" w:eastAsia="宋体" w:cs="Times New Roman"/>
                <w:color w:val="000000"/>
                <w:szCs w:val="21"/>
              </w:rPr>
            </w:pPr>
            <w:r>
              <w:rPr>
                <w:rFonts w:hint="eastAsia" w:ascii="宋体" w:hAnsi="等线" w:eastAsia="宋体" w:cs="Times New Roman"/>
                <w:color w:val="000000"/>
                <w:szCs w:val="21"/>
              </w:rPr>
              <w:t>政府、家庭和社会的义务和责任</w:t>
            </w:r>
          </w:p>
        </w:tc>
        <w:tc>
          <w:tcPr>
            <w:tcW w:w="1703" w:type="dxa"/>
            <w:vAlign w:val="center"/>
          </w:tcPr>
          <w:p w14:paraId="25982561">
            <w:pPr>
              <w:spacing w:line="276" w:lineRule="auto"/>
              <w:jc w:val="center"/>
              <w:rPr>
                <w:rFonts w:hint="eastAsia"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3</w:t>
            </w:r>
          </w:p>
        </w:tc>
        <w:tc>
          <w:tcPr>
            <w:tcW w:w="2385" w:type="dxa"/>
            <w:vAlign w:val="center"/>
          </w:tcPr>
          <w:p w14:paraId="58DECEAE">
            <w:pPr>
              <w:spacing w:line="276" w:lineRule="auto"/>
              <w:jc w:val="center"/>
              <w:rPr>
                <w:rFonts w:hint="eastAsia" w:ascii="宋体" w:hAnsi="等线" w:eastAsia="宋体" w:cs="Times New Roman"/>
                <w:szCs w:val="21"/>
              </w:rPr>
            </w:pPr>
            <w:r>
              <w:rPr>
                <w:rFonts w:ascii="宋体" w:hAnsi="宋体" w:eastAsia="宋体" w:cs="Times New Roman"/>
                <w:kern w:val="0"/>
                <w:szCs w:val="21"/>
              </w:rPr>
              <w:t>7-1</w:t>
            </w:r>
          </w:p>
        </w:tc>
        <w:tc>
          <w:tcPr>
            <w:tcW w:w="735" w:type="dxa"/>
            <w:gridSpan w:val="2"/>
            <w:vAlign w:val="center"/>
          </w:tcPr>
          <w:p w14:paraId="76ABDE3F">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2</w:t>
            </w:r>
          </w:p>
        </w:tc>
      </w:tr>
      <w:tr w14:paraId="6A58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89" w:type="dxa"/>
            <w:vAlign w:val="center"/>
          </w:tcPr>
          <w:p w14:paraId="773C7177">
            <w:pPr>
              <w:spacing w:line="276" w:lineRule="auto"/>
              <w:jc w:val="center"/>
              <w:rPr>
                <w:rFonts w:hint="eastAsia" w:ascii="宋体" w:hAnsi="宋体" w:eastAsia="宋体" w:cs="Times New Roman"/>
                <w:szCs w:val="21"/>
              </w:rPr>
            </w:pPr>
            <w:r>
              <w:rPr>
                <w:rFonts w:ascii="宋体" w:hAnsi="宋体" w:eastAsia="宋体" w:cs="Times New Roman"/>
                <w:szCs w:val="21"/>
              </w:rPr>
              <w:t>5</w:t>
            </w:r>
          </w:p>
        </w:tc>
        <w:tc>
          <w:tcPr>
            <w:tcW w:w="3417" w:type="dxa"/>
            <w:vAlign w:val="center"/>
          </w:tcPr>
          <w:p w14:paraId="64D9CC54">
            <w:pPr>
              <w:spacing w:line="276" w:lineRule="auto"/>
              <w:jc w:val="left"/>
              <w:rPr>
                <w:rFonts w:hint="eastAsia" w:ascii="宋体" w:hAnsi="等线" w:eastAsia="宋体" w:cs="Times New Roman"/>
                <w:color w:val="000000"/>
                <w:szCs w:val="21"/>
              </w:rPr>
            </w:pPr>
            <w:r>
              <w:rPr>
                <w:rFonts w:hint="eastAsia" w:ascii="宋体" w:hAnsi="等线" w:eastAsia="宋体" w:cs="Times New Roman"/>
                <w:color w:val="000000"/>
                <w:szCs w:val="21"/>
              </w:rPr>
              <w:t>小学的权利和责任</w:t>
            </w:r>
          </w:p>
        </w:tc>
        <w:tc>
          <w:tcPr>
            <w:tcW w:w="1703" w:type="dxa"/>
            <w:vAlign w:val="center"/>
          </w:tcPr>
          <w:p w14:paraId="12809426">
            <w:pPr>
              <w:spacing w:line="276" w:lineRule="auto"/>
              <w:jc w:val="center"/>
              <w:rPr>
                <w:rFonts w:hint="eastAsia"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3</w:t>
            </w:r>
          </w:p>
        </w:tc>
        <w:tc>
          <w:tcPr>
            <w:tcW w:w="2385" w:type="dxa"/>
            <w:vAlign w:val="center"/>
          </w:tcPr>
          <w:p w14:paraId="69C04347">
            <w:pPr>
              <w:spacing w:line="276" w:lineRule="auto"/>
              <w:jc w:val="center"/>
              <w:rPr>
                <w:rFonts w:hint="eastAsia" w:ascii="宋体" w:hAnsi="等线" w:eastAsia="宋体" w:cs="Times New Roman"/>
                <w:szCs w:val="21"/>
              </w:rPr>
            </w:pPr>
            <w:r>
              <w:rPr>
                <w:rFonts w:ascii="宋体" w:hAnsi="宋体" w:eastAsia="宋体" w:cs="Times New Roman"/>
                <w:kern w:val="0"/>
                <w:szCs w:val="21"/>
              </w:rPr>
              <w:t>7-1</w:t>
            </w:r>
          </w:p>
        </w:tc>
        <w:tc>
          <w:tcPr>
            <w:tcW w:w="735" w:type="dxa"/>
            <w:gridSpan w:val="2"/>
            <w:vAlign w:val="center"/>
          </w:tcPr>
          <w:p w14:paraId="0FE1F3F5">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2</w:t>
            </w:r>
          </w:p>
        </w:tc>
      </w:tr>
      <w:tr w14:paraId="2AAC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9" w:type="dxa"/>
            <w:vAlign w:val="center"/>
          </w:tcPr>
          <w:p w14:paraId="65F7005D">
            <w:pPr>
              <w:spacing w:line="276" w:lineRule="auto"/>
              <w:jc w:val="center"/>
              <w:rPr>
                <w:rFonts w:hint="eastAsia" w:ascii="宋体" w:hAnsi="宋体" w:eastAsia="宋体" w:cs="Times New Roman"/>
                <w:szCs w:val="21"/>
              </w:rPr>
            </w:pPr>
            <w:r>
              <w:rPr>
                <w:rFonts w:ascii="宋体" w:hAnsi="宋体" w:eastAsia="宋体" w:cs="Times New Roman"/>
                <w:szCs w:val="21"/>
              </w:rPr>
              <w:t>6</w:t>
            </w:r>
          </w:p>
        </w:tc>
        <w:tc>
          <w:tcPr>
            <w:tcW w:w="3417" w:type="dxa"/>
            <w:vAlign w:val="center"/>
          </w:tcPr>
          <w:p w14:paraId="4FD5E785">
            <w:pPr>
              <w:widowControl/>
              <w:snapToGrid w:val="0"/>
              <w:spacing w:line="276" w:lineRule="auto"/>
              <w:jc w:val="left"/>
              <w:rPr>
                <w:rFonts w:hint="eastAsia" w:ascii="宋体" w:hAnsi="等线" w:eastAsia="宋体" w:cs="宋体"/>
                <w:color w:val="000000"/>
                <w:kern w:val="0"/>
                <w:szCs w:val="21"/>
              </w:rPr>
            </w:pPr>
            <w:r>
              <w:rPr>
                <w:rFonts w:hint="eastAsia" w:ascii="宋体" w:hAnsi="宋体" w:eastAsia="宋体" w:cs="宋体"/>
                <w:color w:val="000000"/>
                <w:kern w:val="0"/>
                <w:szCs w:val="21"/>
              </w:rPr>
              <w:t>小学教师的权益及保护</w:t>
            </w:r>
          </w:p>
        </w:tc>
        <w:tc>
          <w:tcPr>
            <w:tcW w:w="1703" w:type="dxa"/>
            <w:vAlign w:val="center"/>
          </w:tcPr>
          <w:p w14:paraId="5C1FBD32">
            <w:pPr>
              <w:spacing w:line="276" w:lineRule="auto"/>
              <w:jc w:val="center"/>
              <w:rPr>
                <w:rFonts w:hint="eastAsia"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4</w:t>
            </w:r>
          </w:p>
        </w:tc>
        <w:tc>
          <w:tcPr>
            <w:tcW w:w="2385" w:type="dxa"/>
            <w:vAlign w:val="center"/>
          </w:tcPr>
          <w:p w14:paraId="48AA05E0">
            <w:pPr>
              <w:spacing w:line="276" w:lineRule="auto"/>
              <w:jc w:val="center"/>
              <w:rPr>
                <w:rFonts w:hint="eastAsia" w:ascii="宋体" w:hAnsi="等线" w:eastAsia="宋体" w:cs="Times New Roman"/>
                <w:szCs w:val="21"/>
              </w:rPr>
            </w:pPr>
            <w:r>
              <w:rPr>
                <w:rFonts w:ascii="宋体" w:hAnsi="宋体" w:eastAsia="宋体" w:cs="Times New Roman"/>
                <w:kern w:val="0"/>
                <w:szCs w:val="21"/>
              </w:rPr>
              <w:t>7-3</w:t>
            </w:r>
          </w:p>
        </w:tc>
        <w:tc>
          <w:tcPr>
            <w:tcW w:w="735" w:type="dxa"/>
            <w:gridSpan w:val="2"/>
            <w:vAlign w:val="center"/>
          </w:tcPr>
          <w:p w14:paraId="3DB02CA1">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2</w:t>
            </w:r>
          </w:p>
        </w:tc>
      </w:tr>
      <w:tr w14:paraId="39BD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89" w:type="dxa"/>
            <w:vAlign w:val="center"/>
          </w:tcPr>
          <w:p w14:paraId="487B65CD">
            <w:pPr>
              <w:spacing w:line="276" w:lineRule="auto"/>
              <w:jc w:val="center"/>
              <w:rPr>
                <w:rFonts w:hint="eastAsia" w:ascii="宋体" w:hAnsi="宋体" w:eastAsia="宋体" w:cs="Times New Roman"/>
                <w:szCs w:val="21"/>
              </w:rPr>
            </w:pPr>
            <w:r>
              <w:rPr>
                <w:rFonts w:ascii="宋体" w:hAnsi="宋体" w:eastAsia="宋体" w:cs="Times New Roman"/>
                <w:szCs w:val="21"/>
              </w:rPr>
              <w:t>7</w:t>
            </w:r>
          </w:p>
        </w:tc>
        <w:tc>
          <w:tcPr>
            <w:tcW w:w="3417" w:type="dxa"/>
            <w:vAlign w:val="center"/>
          </w:tcPr>
          <w:p w14:paraId="40FD3680">
            <w:pPr>
              <w:spacing w:line="276" w:lineRule="auto"/>
              <w:jc w:val="left"/>
              <w:rPr>
                <w:rFonts w:hint="eastAsia" w:ascii="宋体" w:hAnsi="等线" w:eastAsia="宋体" w:cs="Times New Roman"/>
                <w:color w:val="000000"/>
                <w:szCs w:val="21"/>
              </w:rPr>
            </w:pPr>
            <w:r>
              <w:rPr>
                <w:rFonts w:hint="eastAsia" w:ascii="宋体" w:hAnsi="宋体" w:eastAsia="宋体" w:cs="Times New Roman"/>
                <w:color w:val="000000"/>
                <w:szCs w:val="21"/>
              </w:rPr>
              <w:t>小学生的权益和保护</w:t>
            </w:r>
          </w:p>
        </w:tc>
        <w:tc>
          <w:tcPr>
            <w:tcW w:w="1703" w:type="dxa"/>
            <w:vAlign w:val="center"/>
          </w:tcPr>
          <w:p w14:paraId="4D209BD9">
            <w:pPr>
              <w:spacing w:line="276" w:lineRule="auto"/>
              <w:jc w:val="center"/>
              <w:rPr>
                <w:rFonts w:hint="eastAsia"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5</w:t>
            </w:r>
          </w:p>
        </w:tc>
        <w:tc>
          <w:tcPr>
            <w:tcW w:w="2385" w:type="dxa"/>
            <w:vAlign w:val="center"/>
          </w:tcPr>
          <w:p w14:paraId="7707BB61">
            <w:pPr>
              <w:spacing w:line="276" w:lineRule="auto"/>
              <w:jc w:val="center"/>
              <w:rPr>
                <w:rFonts w:hint="eastAsia" w:ascii="宋体" w:hAnsi="等线" w:eastAsia="宋体" w:cs="Times New Roman"/>
                <w:szCs w:val="21"/>
              </w:rPr>
            </w:pPr>
            <w:r>
              <w:rPr>
                <w:rFonts w:ascii="宋体" w:hAnsi="宋体" w:eastAsia="宋体" w:cs="Times New Roman"/>
                <w:kern w:val="0"/>
                <w:szCs w:val="21"/>
              </w:rPr>
              <w:t>5-1</w:t>
            </w:r>
            <w:r>
              <w:rPr>
                <w:rFonts w:hint="eastAsia" w:ascii="宋体" w:hAnsi="宋体" w:eastAsia="宋体" w:cs="Times New Roman"/>
                <w:kern w:val="0"/>
                <w:szCs w:val="21"/>
              </w:rPr>
              <w:t>、</w:t>
            </w:r>
            <w:r>
              <w:rPr>
                <w:rFonts w:ascii="宋体" w:hAnsi="宋体" w:eastAsia="宋体" w:cs="Times New Roman"/>
                <w:kern w:val="0"/>
                <w:szCs w:val="21"/>
              </w:rPr>
              <w:t>5-2</w:t>
            </w:r>
          </w:p>
        </w:tc>
        <w:tc>
          <w:tcPr>
            <w:tcW w:w="735" w:type="dxa"/>
            <w:gridSpan w:val="2"/>
            <w:vAlign w:val="center"/>
          </w:tcPr>
          <w:p w14:paraId="7EAC797C">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2</w:t>
            </w:r>
          </w:p>
        </w:tc>
      </w:tr>
      <w:tr w14:paraId="2717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9" w:type="dxa"/>
            <w:vAlign w:val="center"/>
          </w:tcPr>
          <w:p w14:paraId="39563503">
            <w:pPr>
              <w:spacing w:line="276" w:lineRule="auto"/>
              <w:jc w:val="center"/>
              <w:rPr>
                <w:rFonts w:hint="eastAsia" w:ascii="宋体" w:hAnsi="宋体" w:eastAsia="宋体" w:cs="Times New Roman"/>
                <w:szCs w:val="21"/>
              </w:rPr>
            </w:pPr>
            <w:r>
              <w:rPr>
                <w:rFonts w:ascii="宋体" w:hAnsi="宋体" w:eastAsia="宋体" w:cs="Times New Roman"/>
                <w:szCs w:val="21"/>
              </w:rPr>
              <w:t>8</w:t>
            </w:r>
          </w:p>
        </w:tc>
        <w:tc>
          <w:tcPr>
            <w:tcW w:w="3417" w:type="dxa"/>
            <w:vAlign w:val="center"/>
          </w:tcPr>
          <w:p w14:paraId="3B3C8A68">
            <w:pPr>
              <w:spacing w:line="276" w:lineRule="auto"/>
              <w:jc w:val="left"/>
              <w:rPr>
                <w:rFonts w:hint="eastAsia" w:ascii="宋体" w:hAnsi="等线" w:eastAsia="宋体" w:cs="Times New Roman"/>
                <w:color w:val="000000"/>
                <w:szCs w:val="21"/>
              </w:rPr>
            </w:pPr>
            <w:r>
              <w:rPr>
                <w:rFonts w:hint="eastAsia" w:ascii="宋体" w:hAnsi="宋体" w:eastAsia="宋体" w:cs="Times New Roman"/>
                <w:color w:val="000000"/>
                <w:szCs w:val="21"/>
              </w:rPr>
              <w:t>小学教育重要法律法规和政策解读</w:t>
            </w:r>
          </w:p>
        </w:tc>
        <w:tc>
          <w:tcPr>
            <w:tcW w:w="1703" w:type="dxa"/>
            <w:vAlign w:val="center"/>
          </w:tcPr>
          <w:p w14:paraId="1C969B37">
            <w:pPr>
              <w:spacing w:line="276" w:lineRule="auto"/>
              <w:jc w:val="center"/>
              <w:rPr>
                <w:rFonts w:hint="eastAsia"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6</w:t>
            </w:r>
          </w:p>
        </w:tc>
        <w:tc>
          <w:tcPr>
            <w:tcW w:w="2385" w:type="dxa"/>
            <w:vAlign w:val="center"/>
          </w:tcPr>
          <w:p w14:paraId="58CD41E1">
            <w:pPr>
              <w:spacing w:line="276" w:lineRule="auto"/>
              <w:jc w:val="center"/>
              <w:rPr>
                <w:rFonts w:hint="eastAsia" w:ascii="宋体" w:hAnsi="等线" w:eastAsia="宋体" w:cs="Times New Roman"/>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7-3</w:t>
            </w:r>
          </w:p>
        </w:tc>
        <w:tc>
          <w:tcPr>
            <w:tcW w:w="735" w:type="dxa"/>
            <w:gridSpan w:val="2"/>
            <w:vAlign w:val="center"/>
          </w:tcPr>
          <w:p w14:paraId="556537B8">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2</w:t>
            </w:r>
          </w:p>
        </w:tc>
      </w:tr>
      <w:tr w14:paraId="32D3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04" w:type="dxa"/>
            <w:gridSpan w:val="5"/>
            <w:vAlign w:val="center"/>
          </w:tcPr>
          <w:p w14:paraId="47A3D9BD">
            <w:pPr>
              <w:spacing w:line="276" w:lineRule="auto"/>
              <w:jc w:val="center"/>
              <w:rPr>
                <w:rFonts w:hint="eastAsia" w:ascii="宋体" w:hAnsi="等线" w:eastAsia="宋体" w:cs="Times New Roman"/>
                <w:szCs w:val="21"/>
              </w:rPr>
            </w:pPr>
            <w:r>
              <w:rPr>
                <w:rFonts w:hint="eastAsia" w:ascii="宋体" w:hAnsi="宋体" w:eastAsia="宋体" w:cs="Times New Roman"/>
                <w:szCs w:val="21"/>
              </w:rPr>
              <w:t>合计</w:t>
            </w:r>
          </w:p>
        </w:tc>
        <w:tc>
          <w:tcPr>
            <w:tcW w:w="727" w:type="dxa"/>
            <w:vAlign w:val="center"/>
          </w:tcPr>
          <w:p w14:paraId="73E4FD3A">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16</w:t>
            </w:r>
          </w:p>
        </w:tc>
      </w:tr>
    </w:tbl>
    <w:p w14:paraId="7790A6AE">
      <w:pPr>
        <w:adjustRightInd w:val="0"/>
        <w:snapToGrid w:val="0"/>
        <w:spacing w:line="360" w:lineRule="auto"/>
        <w:rPr>
          <w:rFonts w:hint="eastAsia" w:ascii="宋体" w:hAnsi="宋体" w:eastAsia="宋体" w:cs="Times New Roman"/>
          <w:b/>
          <w:color w:val="000000"/>
          <w:sz w:val="28"/>
          <w:szCs w:val="28"/>
        </w:rPr>
      </w:pPr>
    </w:p>
    <w:p w14:paraId="0357476B">
      <w:pPr>
        <w:adjustRightInd w:val="0"/>
        <w:snapToGrid w:val="0"/>
        <w:spacing w:line="360" w:lineRule="auto"/>
        <w:ind w:firstLine="562" w:firstLineChars="200"/>
        <w:rPr>
          <w:rFonts w:hint="eastAsia" w:ascii="宋体" w:hAnsi="等线" w:eastAsia="宋体" w:cs="Times New Roman"/>
          <w:b/>
          <w:color w:val="000000"/>
          <w:sz w:val="28"/>
          <w:szCs w:val="28"/>
        </w:rPr>
      </w:pPr>
      <w:r>
        <w:rPr>
          <w:rFonts w:hint="eastAsia" w:ascii="宋体" w:hAnsi="宋体" w:eastAsia="宋体" w:cs="Times New Roman"/>
          <w:b/>
          <w:color w:val="000000"/>
          <w:sz w:val="28"/>
          <w:szCs w:val="28"/>
        </w:rPr>
        <w:t>四、课程实施</w:t>
      </w:r>
    </w:p>
    <w:p w14:paraId="465B7E0E">
      <w:pPr>
        <w:adjustRightInd w:val="0"/>
        <w:snapToGrid w:val="0"/>
        <w:spacing w:line="360" w:lineRule="auto"/>
        <w:ind w:firstLine="480" w:firstLineChars="200"/>
        <w:rPr>
          <w:rFonts w:ascii="Calibri" w:hAnsi="Calibri" w:eastAsia="宋体" w:cs="Times New Roman"/>
          <w:sz w:val="24"/>
        </w:rPr>
      </w:pPr>
      <w:r>
        <w:rPr>
          <w:rFonts w:hint="eastAsia" w:ascii="Calibri" w:hAnsi="Calibri" w:eastAsia="宋体" w:cs="Times New Roman"/>
          <w:sz w:val="24"/>
        </w:rPr>
        <w:t>（一）课程在展开之前，要借助相关视频奠定学生关注小学教育法律法规和政策现象，引导学生对学科的初步认识。</w:t>
      </w:r>
    </w:p>
    <w:p w14:paraId="3EFFC30A">
      <w:pPr>
        <w:adjustRightInd w:val="0"/>
        <w:snapToGrid w:val="0"/>
        <w:spacing w:line="360" w:lineRule="auto"/>
        <w:ind w:firstLine="480" w:firstLineChars="200"/>
        <w:rPr>
          <w:rFonts w:ascii="Calibri" w:hAnsi="Calibri" w:eastAsia="宋体" w:cs="Times New Roman"/>
          <w:sz w:val="24"/>
        </w:rPr>
      </w:pPr>
      <w:r>
        <w:rPr>
          <w:rFonts w:hint="eastAsia" w:ascii="Calibri" w:hAnsi="Calibri" w:eastAsia="宋体" w:cs="Times New Roman"/>
          <w:sz w:val="24"/>
        </w:rPr>
        <w:t>（二）课程在教学中要充分搜集相关案例引导学生使用所学理论审视现实问题、用法律意识不断深入的分析和思考。</w:t>
      </w:r>
    </w:p>
    <w:p w14:paraId="74EA3C4F">
      <w:pPr>
        <w:adjustRightInd w:val="0"/>
        <w:snapToGrid w:val="0"/>
        <w:spacing w:line="360" w:lineRule="auto"/>
        <w:ind w:firstLine="480" w:firstLineChars="200"/>
        <w:rPr>
          <w:rFonts w:ascii="Calibri" w:hAnsi="Calibri" w:eastAsia="宋体" w:cs="Times New Roman"/>
          <w:sz w:val="24"/>
        </w:rPr>
      </w:pPr>
      <w:r>
        <w:rPr>
          <w:rFonts w:hint="eastAsia" w:ascii="Calibri" w:hAnsi="Calibri" w:eastAsia="宋体" w:cs="Times New Roman"/>
          <w:sz w:val="24"/>
        </w:rPr>
        <w:t>（三）教师要积极采用平时考勤、课堂讨论、期末考试等多种形式相结合的考核方法，引导学生按时、保质保量地完成本课程学习任务。</w:t>
      </w:r>
    </w:p>
    <w:p w14:paraId="59188F32">
      <w:pPr>
        <w:spacing w:line="360" w:lineRule="auto"/>
        <w:ind w:firstLine="482" w:firstLineChars="200"/>
        <w:rPr>
          <w:rFonts w:ascii="Calibri" w:hAnsi="Calibri" w:eastAsia="宋体" w:cs="Times New Roman"/>
          <w:b/>
          <w:sz w:val="24"/>
        </w:rPr>
      </w:pPr>
      <w:r>
        <w:rPr>
          <w:rFonts w:hint="eastAsia" w:ascii="Calibri" w:hAnsi="Calibri" w:eastAsia="宋体" w:cs="Times New Roman"/>
          <w:b/>
          <w:bCs/>
          <w:sz w:val="24"/>
        </w:rPr>
        <w:t>主要教学环节的质量要求如表所示：</w:t>
      </w:r>
    </w:p>
    <w:tbl>
      <w:tblPr>
        <w:tblStyle w:val="13"/>
        <w:tblW w:w="8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204"/>
      </w:tblGrid>
      <w:tr w14:paraId="07EB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1E3A4B9B">
            <w:pPr>
              <w:adjustRightInd w:val="0"/>
              <w:snapToGrid w:val="0"/>
              <w:spacing w:line="276" w:lineRule="auto"/>
              <w:jc w:val="center"/>
              <w:rPr>
                <w:rFonts w:hint="eastAsia" w:ascii="宋体" w:hAnsi="等线" w:eastAsia="宋体" w:cs="Times New Roman"/>
                <w:b/>
                <w:color w:val="000000"/>
                <w:szCs w:val="21"/>
              </w:rPr>
            </w:pPr>
            <w:r>
              <w:rPr>
                <w:rFonts w:hint="eastAsia" w:ascii="宋体" w:hAnsi="宋体" w:eastAsia="宋体" w:cs="Times New Roman"/>
                <w:b/>
                <w:bCs/>
                <w:color w:val="000000"/>
                <w:szCs w:val="21"/>
              </w:rPr>
              <w:t>主要教学环节</w:t>
            </w:r>
          </w:p>
        </w:tc>
        <w:tc>
          <w:tcPr>
            <w:tcW w:w="7204" w:type="dxa"/>
            <w:tcBorders>
              <w:top w:val="single" w:color="auto" w:sz="8" w:space="0"/>
              <w:left w:val="single" w:color="auto" w:sz="8" w:space="0"/>
              <w:right w:val="single" w:color="auto" w:sz="8" w:space="0"/>
            </w:tcBorders>
            <w:vAlign w:val="center"/>
          </w:tcPr>
          <w:p w14:paraId="3D733600">
            <w:pPr>
              <w:adjustRightInd w:val="0"/>
              <w:snapToGrid w:val="0"/>
              <w:spacing w:line="276" w:lineRule="auto"/>
              <w:jc w:val="center"/>
              <w:rPr>
                <w:rFonts w:hint="eastAsia" w:ascii="宋体" w:hAnsi="等线" w:eastAsia="宋体" w:cs="Times New Roman"/>
                <w:b/>
                <w:color w:val="000000"/>
                <w:szCs w:val="21"/>
              </w:rPr>
            </w:pPr>
            <w:r>
              <w:rPr>
                <w:rFonts w:hint="eastAsia" w:ascii="宋体" w:hAnsi="宋体" w:eastAsia="宋体" w:cs="Times New Roman"/>
                <w:b/>
                <w:bCs/>
                <w:color w:val="000000"/>
                <w:szCs w:val="21"/>
              </w:rPr>
              <w:t>质量要求</w:t>
            </w:r>
          </w:p>
        </w:tc>
      </w:tr>
      <w:tr w14:paraId="06CF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582" w:type="dxa"/>
            <w:tcBorders>
              <w:left w:val="single" w:color="auto" w:sz="8" w:space="0"/>
            </w:tcBorders>
            <w:vAlign w:val="center"/>
          </w:tcPr>
          <w:p w14:paraId="701EFC3D">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1</w:t>
            </w:r>
          </w:p>
        </w:tc>
        <w:tc>
          <w:tcPr>
            <w:tcW w:w="993" w:type="dxa"/>
            <w:tcMar>
              <w:left w:w="28" w:type="dxa"/>
              <w:right w:w="28" w:type="dxa"/>
            </w:tcMar>
            <w:vAlign w:val="center"/>
          </w:tcPr>
          <w:p w14:paraId="6FBFAC77">
            <w:pPr>
              <w:adjustRightInd w:val="0"/>
              <w:snapToGrid w:val="0"/>
              <w:spacing w:line="276" w:lineRule="auto"/>
              <w:jc w:val="center"/>
              <w:rPr>
                <w:rFonts w:hint="eastAsia" w:ascii="宋体" w:hAnsi="等线" w:eastAsia="宋体" w:cs="Times New Roman"/>
                <w:color w:val="000000"/>
                <w:szCs w:val="21"/>
              </w:rPr>
            </w:pPr>
            <w:r>
              <w:rPr>
                <w:rFonts w:hint="eastAsia" w:ascii="宋体" w:hAnsi="宋体" w:eastAsia="宋体" w:cs="Times New Roman"/>
                <w:color w:val="000000"/>
                <w:szCs w:val="21"/>
              </w:rPr>
              <w:t>备课</w:t>
            </w:r>
          </w:p>
        </w:tc>
        <w:tc>
          <w:tcPr>
            <w:tcW w:w="7204" w:type="dxa"/>
            <w:tcBorders>
              <w:right w:val="single" w:color="auto" w:sz="8" w:space="0"/>
            </w:tcBorders>
            <w:vAlign w:val="center"/>
          </w:tcPr>
          <w:p w14:paraId="27483842">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）掌握课程教学大纲内容，严格按照教学大纲要求进行课程教学内容的组织。</w:t>
            </w:r>
          </w:p>
          <w:p w14:paraId="18A30C87">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）悉心了解学生的现有水平和最新发展区水平，深透钻研教材内容，广泛阅读相关文献资料，精心选择教学方法、组织形式和教学手段，认真编写授课计划。</w:t>
            </w:r>
          </w:p>
          <w:p w14:paraId="422454A2">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（3）授课教案内容包括章节标题、教学目标、教学准备、教学方法、课堂类型、时间分配、授课内容、课后作业、教学效果分析等方面。</w:t>
            </w:r>
          </w:p>
        </w:tc>
      </w:tr>
      <w:tr w14:paraId="02D6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trPr>
        <w:tc>
          <w:tcPr>
            <w:tcW w:w="582" w:type="dxa"/>
            <w:tcBorders>
              <w:left w:val="single" w:color="auto" w:sz="8" w:space="0"/>
            </w:tcBorders>
            <w:vAlign w:val="center"/>
          </w:tcPr>
          <w:p w14:paraId="68B41789">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p>
        </w:tc>
        <w:tc>
          <w:tcPr>
            <w:tcW w:w="993" w:type="dxa"/>
            <w:tcMar>
              <w:left w:w="28" w:type="dxa"/>
              <w:right w:w="28" w:type="dxa"/>
            </w:tcMar>
            <w:vAlign w:val="center"/>
          </w:tcPr>
          <w:p w14:paraId="5FF7E392">
            <w:pPr>
              <w:adjustRightInd w:val="0"/>
              <w:snapToGrid w:val="0"/>
              <w:spacing w:line="276" w:lineRule="auto"/>
              <w:jc w:val="center"/>
              <w:rPr>
                <w:rFonts w:hint="eastAsia" w:ascii="宋体" w:hAnsi="等线" w:eastAsia="宋体" w:cs="Times New Roman"/>
                <w:color w:val="000000"/>
                <w:szCs w:val="21"/>
              </w:rPr>
            </w:pPr>
            <w:r>
              <w:rPr>
                <w:rFonts w:hint="eastAsia" w:ascii="宋体" w:hAnsi="宋体" w:eastAsia="宋体" w:cs="Times New Roman"/>
                <w:color w:val="000000"/>
                <w:szCs w:val="21"/>
              </w:rPr>
              <w:t>讲授</w:t>
            </w:r>
          </w:p>
        </w:tc>
        <w:tc>
          <w:tcPr>
            <w:tcW w:w="7204" w:type="dxa"/>
            <w:tcBorders>
              <w:right w:val="single" w:color="auto" w:sz="8" w:space="0"/>
            </w:tcBorders>
            <w:vAlign w:val="center"/>
          </w:tcPr>
          <w:p w14:paraId="43E23B18">
            <w:pPr>
              <w:adjustRightInd w:val="0"/>
              <w:snapToGrid w:val="0"/>
              <w:spacing w:line="276" w:lineRule="auto"/>
              <w:rPr>
                <w:rFonts w:hint="eastAsia" w:ascii="宋体" w:hAnsi="等线" w:eastAsia="宋体" w:cs="Times New Roman"/>
                <w:color w:val="000000"/>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w:t>
            </w:r>
            <w:r>
              <w:rPr>
                <w:rFonts w:hint="eastAsia" w:ascii="宋体" w:hAnsi="宋体" w:eastAsia="宋体" w:cs="Times New Roman"/>
                <w:color w:val="000000"/>
              </w:rPr>
              <w:t>教师仪表端庄，情绪情感要饱满；</w:t>
            </w:r>
          </w:p>
          <w:p w14:paraId="5901E680">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w:t>
            </w:r>
            <w:r>
              <w:rPr>
                <w:rFonts w:hint="eastAsia" w:ascii="宋体" w:hAnsi="宋体" w:eastAsia="宋体" w:cs="Times New Roman"/>
                <w:color w:val="000000"/>
              </w:rPr>
              <w:t>教学准备充分，熟悉教学内容；</w:t>
            </w:r>
          </w:p>
          <w:p w14:paraId="38F4B416">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w:t>
            </w:r>
            <w:r>
              <w:rPr>
                <w:rFonts w:hint="eastAsia" w:ascii="宋体" w:hAnsi="宋体" w:eastAsia="宋体" w:cs="Times New Roman"/>
                <w:color w:val="000000"/>
              </w:rPr>
              <w:t>教学内容充实，不断充实最新研究成果；</w:t>
            </w:r>
          </w:p>
          <w:p w14:paraId="1EAD85F0">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w:t>
            </w:r>
            <w:r>
              <w:rPr>
                <w:rFonts w:hint="eastAsia" w:ascii="宋体" w:hAnsi="宋体" w:eastAsia="宋体" w:cs="Times New Roman"/>
                <w:color w:val="000000"/>
              </w:rPr>
              <w:t>严格执行计划，教学进度适宜；</w:t>
            </w:r>
          </w:p>
          <w:p w14:paraId="01F808C8">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5</w:t>
            </w:r>
            <w:r>
              <w:rPr>
                <w:rFonts w:hint="eastAsia" w:ascii="宋体" w:hAnsi="宋体" w:eastAsia="宋体" w:cs="Times New Roman"/>
                <w:color w:val="000000"/>
                <w:szCs w:val="21"/>
              </w:rPr>
              <w:t>）</w:t>
            </w:r>
            <w:r>
              <w:rPr>
                <w:rFonts w:hint="eastAsia" w:ascii="宋体" w:hAnsi="宋体" w:eastAsia="宋体" w:cs="Times New Roman"/>
                <w:color w:val="000000"/>
              </w:rPr>
              <w:t>课堂教学信息充分，注重理论联系实际；</w:t>
            </w:r>
          </w:p>
          <w:p w14:paraId="237583CD">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6</w:t>
            </w:r>
            <w:r>
              <w:rPr>
                <w:rFonts w:hint="eastAsia" w:ascii="宋体" w:hAnsi="宋体" w:eastAsia="宋体" w:cs="Times New Roman"/>
                <w:color w:val="000000"/>
                <w:szCs w:val="21"/>
              </w:rPr>
              <w:t>）</w:t>
            </w:r>
            <w:r>
              <w:rPr>
                <w:rFonts w:hint="eastAsia" w:ascii="宋体" w:hAnsi="宋体" w:eastAsia="宋体" w:cs="Times New Roman"/>
                <w:color w:val="000000"/>
              </w:rPr>
              <w:t>注重启发学生思维，培养学生的教学能力；</w:t>
            </w:r>
          </w:p>
          <w:p w14:paraId="6E4E0A37">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7</w:t>
            </w:r>
            <w:r>
              <w:rPr>
                <w:rFonts w:hint="eastAsia" w:ascii="宋体" w:hAnsi="宋体" w:eastAsia="宋体" w:cs="Times New Roman"/>
                <w:color w:val="000000"/>
                <w:szCs w:val="21"/>
              </w:rPr>
              <w:t>）</w:t>
            </w:r>
            <w:r>
              <w:rPr>
                <w:rFonts w:hint="eastAsia" w:ascii="宋体" w:hAnsi="宋体" w:eastAsia="宋体" w:cs="Times New Roman"/>
                <w:color w:val="000000"/>
              </w:rPr>
              <w:t>面向全体基础上因材施教，灵活运用多种教学方法；</w:t>
            </w:r>
          </w:p>
          <w:p w14:paraId="42EAE068">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8</w:t>
            </w:r>
            <w:r>
              <w:rPr>
                <w:rFonts w:hint="eastAsia" w:ascii="宋体" w:hAnsi="宋体" w:eastAsia="宋体" w:cs="Times New Roman"/>
                <w:color w:val="000000"/>
                <w:szCs w:val="21"/>
              </w:rPr>
              <w:t>）</w:t>
            </w:r>
            <w:r>
              <w:rPr>
                <w:rFonts w:hint="eastAsia" w:ascii="宋体" w:hAnsi="宋体" w:eastAsia="宋体" w:cs="Times New Roman"/>
                <w:color w:val="000000"/>
              </w:rPr>
              <w:t>教学语言规范，为学生教育教学做好表率；</w:t>
            </w:r>
          </w:p>
          <w:p w14:paraId="47AFDC82">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9</w:t>
            </w:r>
            <w:r>
              <w:rPr>
                <w:rFonts w:hint="eastAsia" w:ascii="宋体" w:hAnsi="宋体" w:eastAsia="宋体" w:cs="Times New Roman"/>
                <w:color w:val="000000"/>
                <w:szCs w:val="21"/>
              </w:rPr>
              <w:t>）</w:t>
            </w:r>
            <w:r>
              <w:rPr>
                <w:rFonts w:hint="eastAsia" w:ascii="宋体" w:hAnsi="宋体" w:eastAsia="宋体" w:cs="Times New Roman"/>
                <w:color w:val="000000"/>
              </w:rPr>
              <w:t>教学条理清楚，教学思路逻辑严密；</w:t>
            </w:r>
          </w:p>
          <w:p w14:paraId="40AB4231">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10</w:t>
            </w:r>
            <w:r>
              <w:rPr>
                <w:rFonts w:hint="eastAsia" w:ascii="宋体" w:hAnsi="宋体" w:eastAsia="宋体" w:cs="Times New Roman"/>
                <w:color w:val="000000"/>
                <w:szCs w:val="21"/>
              </w:rPr>
              <w:t>）</w:t>
            </w:r>
            <w:r>
              <w:rPr>
                <w:rFonts w:hint="eastAsia" w:ascii="宋体" w:hAnsi="宋体" w:eastAsia="宋体" w:cs="Times New Roman"/>
                <w:color w:val="000000"/>
              </w:rPr>
              <w:t>充分运用现代化教学手段，教学技术熟练；</w:t>
            </w:r>
          </w:p>
          <w:p w14:paraId="051718E9">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11</w:t>
            </w:r>
            <w:r>
              <w:rPr>
                <w:rFonts w:hint="eastAsia" w:ascii="宋体" w:hAnsi="宋体" w:eastAsia="宋体" w:cs="Times New Roman"/>
                <w:color w:val="000000"/>
                <w:szCs w:val="21"/>
              </w:rPr>
              <w:t>）</w:t>
            </w:r>
            <w:r>
              <w:rPr>
                <w:rFonts w:hint="eastAsia" w:ascii="宋体" w:hAnsi="宋体" w:eastAsia="宋体" w:cs="Times New Roman"/>
                <w:color w:val="000000"/>
              </w:rPr>
              <w:t>课堂教学要重点突出，难点突破；</w:t>
            </w:r>
          </w:p>
          <w:p w14:paraId="62236494">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12</w:t>
            </w:r>
            <w:r>
              <w:rPr>
                <w:rFonts w:hint="eastAsia" w:ascii="宋体" w:hAnsi="宋体" w:eastAsia="宋体" w:cs="Times New Roman"/>
                <w:color w:val="000000"/>
                <w:szCs w:val="21"/>
              </w:rPr>
              <w:t>）</w:t>
            </w:r>
            <w:r>
              <w:rPr>
                <w:rFonts w:hint="eastAsia" w:ascii="宋体" w:hAnsi="宋体" w:eastAsia="宋体" w:cs="Times New Roman"/>
                <w:color w:val="000000"/>
              </w:rPr>
              <w:t>注重师生互动，形成良好的课堂氛围。</w:t>
            </w:r>
          </w:p>
        </w:tc>
      </w:tr>
      <w:tr w14:paraId="2928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trPr>
        <w:tc>
          <w:tcPr>
            <w:tcW w:w="582" w:type="dxa"/>
            <w:tcBorders>
              <w:left w:val="single" w:color="auto" w:sz="8" w:space="0"/>
            </w:tcBorders>
            <w:vAlign w:val="center"/>
          </w:tcPr>
          <w:p w14:paraId="795EE31C">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3</w:t>
            </w:r>
          </w:p>
        </w:tc>
        <w:tc>
          <w:tcPr>
            <w:tcW w:w="993" w:type="dxa"/>
            <w:tcMar>
              <w:left w:w="28" w:type="dxa"/>
              <w:right w:w="28" w:type="dxa"/>
            </w:tcMar>
            <w:vAlign w:val="center"/>
          </w:tcPr>
          <w:p w14:paraId="483B9957">
            <w:pPr>
              <w:adjustRightInd w:val="0"/>
              <w:snapToGrid w:val="0"/>
              <w:spacing w:line="276" w:lineRule="auto"/>
              <w:jc w:val="center"/>
              <w:rPr>
                <w:rFonts w:hint="eastAsia" w:ascii="宋体" w:hAnsi="等线" w:eastAsia="宋体" w:cs="Times New Roman"/>
                <w:color w:val="000000"/>
                <w:szCs w:val="21"/>
              </w:rPr>
            </w:pPr>
            <w:r>
              <w:rPr>
                <w:rFonts w:hint="eastAsia" w:ascii="宋体" w:hAnsi="宋体" w:eastAsia="宋体" w:cs="Times New Roman"/>
                <w:color w:val="000000"/>
                <w:szCs w:val="21"/>
              </w:rPr>
              <w:t>作业布置与批改</w:t>
            </w:r>
          </w:p>
        </w:tc>
        <w:tc>
          <w:tcPr>
            <w:tcW w:w="7204" w:type="dxa"/>
            <w:tcBorders>
              <w:right w:val="single" w:color="auto" w:sz="8" w:space="0"/>
            </w:tcBorders>
            <w:vAlign w:val="center"/>
          </w:tcPr>
          <w:p w14:paraId="31768C3A">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学生必须完成规定数量的作业，作业必须达到以下基本要求：</w:t>
            </w:r>
          </w:p>
          <w:p w14:paraId="2BEE5CF2">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）按时按量完成作业，不缺交，不抄袭。</w:t>
            </w:r>
          </w:p>
          <w:p w14:paraId="72707B84">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）书写规范、字迹美观。</w:t>
            </w:r>
          </w:p>
          <w:p w14:paraId="603F5B5B">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）有一定的独立见解。</w:t>
            </w:r>
          </w:p>
          <w:p w14:paraId="79A09B2E">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教师批改和讲评作业要求如下：</w:t>
            </w:r>
          </w:p>
          <w:p w14:paraId="216E2DD9">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）学生的作业要按时全部批改，并及时进行讲评。</w:t>
            </w:r>
          </w:p>
          <w:p w14:paraId="1AE1944F">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）教师批改和讲评作业要认真、细致，按百分制评定成绩并写明日期。</w:t>
            </w:r>
          </w:p>
          <w:p w14:paraId="5B035032">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）学生作业平均成绩应作为本课程总评成绩中平时成绩的重要组成部分。</w:t>
            </w:r>
          </w:p>
        </w:tc>
      </w:tr>
      <w:tr w14:paraId="3F33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582" w:type="dxa"/>
            <w:tcBorders>
              <w:left w:val="single" w:color="auto" w:sz="8" w:space="0"/>
            </w:tcBorders>
            <w:vAlign w:val="center"/>
          </w:tcPr>
          <w:p w14:paraId="12245242">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4</w:t>
            </w:r>
          </w:p>
        </w:tc>
        <w:tc>
          <w:tcPr>
            <w:tcW w:w="993" w:type="dxa"/>
            <w:tcMar>
              <w:left w:w="28" w:type="dxa"/>
              <w:right w:w="28" w:type="dxa"/>
            </w:tcMar>
            <w:vAlign w:val="center"/>
          </w:tcPr>
          <w:p w14:paraId="16745FF5">
            <w:pPr>
              <w:adjustRightInd w:val="0"/>
              <w:snapToGrid w:val="0"/>
              <w:spacing w:line="276" w:lineRule="auto"/>
              <w:jc w:val="center"/>
              <w:rPr>
                <w:rFonts w:hint="eastAsia" w:ascii="宋体" w:hAnsi="等线" w:eastAsia="宋体" w:cs="Times New Roman"/>
                <w:color w:val="000000"/>
                <w:szCs w:val="21"/>
              </w:rPr>
            </w:pPr>
            <w:r>
              <w:rPr>
                <w:rFonts w:hint="eastAsia" w:ascii="宋体" w:hAnsi="宋体" w:eastAsia="宋体" w:cs="Times New Roman"/>
                <w:color w:val="000000"/>
                <w:szCs w:val="21"/>
              </w:rPr>
              <w:t>课外答疑</w:t>
            </w:r>
          </w:p>
        </w:tc>
        <w:tc>
          <w:tcPr>
            <w:tcW w:w="7204" w:type="dxa"/>
            <w:tcBorders>
              <w:right w:val="single" w:color="auto" w:sz="8" w:space="0"/>
            </w:tcBorders>
            <w:vAlign w:val="center"/>
          </w:tcPr>
          <w:p w14:paraId="0991F367">
            <w:pPr>
              <w:adjustRightInd w:val="0"/>
              <w:snapToGrid w:val="0"/>
              <w:spacing w:line="276" w:lineRule="auto"/>
              <w:ind w:firstLine="420" w:firstLineChars="200"/>
              <w:rPr>
                <w:rFonts w:hint="eastAsia" w:ascii="宋体" w:hAnsi="等线" w:eastAsia="宋体" w:cs="Times New Roman"/>
                <w:color w:val="000000"/>
                <w:szCs w:val="21"/>
              </w:rPr>
            </w:pPr>
            <w:r>
              <w:rPr>
                <w:rFonts w:hint="eastAsia" w:ascii="宋体" w:hAnsi="宋体" w:eastAsia="宋体" w:cs="Times New Roman"/>
                <w:color w:val="000000"/>
                <w:szCs w:val="21"/>
              </w:rPr>
              <w:t>为了解学生的学习情况，帮助学生更好地理解和消化所学知识、改进学习方法和思维方式，培养其独立的反思与评价能力，任课教师根据需要安排一定时间进行课外答疑与辅导。</w:t>
            </w:r>
          </w:p>
        </w:tc>
      </w:tr>
      <w:tr w14:paraId="4587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82" w:type="dxa"/>
            <w:tcBorders>
              <w:left w:val="single" w:color="auto" w:sz="8" w:space="0"/>
            </w:tcBorders>
            <w:vAlign w:val="center"/>
          </w:tcPr>
          <w:p w14:paraId="333B7ED0">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5</w:t>
            </w:r>
          </w:p>
        </w:tc>
        <w:tc>
          <w:tcPr>
            <w:tcW w:w="993" w:type="dxa"/>
            <w:tcMar>
              <w:left w:w="28" w:type="dxa"/>
              <w:right w:w="28" w:type="dxa"/>
            </w:tcMar>
            <w:vAlign w:val="center"/>
          </w:tcPr>
          <w:p w14:paraId="0C7CB706">
            <w:pPr>
              <w:adjustRightInd w:val="0"/>
              <w:snapToGrid w:val="0"/>
              <w:spacing w:line="276" w:lineRule="auto"/>
              <w:jc w:val="center"/>
              <w:rPr>
                <w:rFonts w:hint="eastAsia" w:ascii="宋体" w:hAnsi="等线" w:eastAsia="宋体" w:cs="Times New Roman"/>
                <w:color w:val="000000"/>
                <w:szCs w:val="21"/>
              </w:rPr>
            </w:pPr>
            <w:r>
              <w:rPr>
                <w:rFonts w:hint="eastAsia" w:ascii="宋体" w:hAnsi="宋体" w:eastAsia="宋体" w:cs="Times New Roman"/>
                <w:color w:val="000000"/>
                <w:szCs w:val="21"/>
              </w:rPr>
              <w:t>成绩考核</w:t>
            </w:r>
          </w:p>
        </w:tc>
        <w:tc>
          <w:tcPr>
            <w:tcW w:w="7204" w:type="dxa"/>
            <w:tcBorders>
              <w:right w:val="single" w:color="auto" w:sz="8" w:space="0"/>
            </w:tcBorders>
            <w:vAlign w:val="center"/>
          </w:tcPr>
          <w:p w14:paraId="27862345">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本课程考核的方式为开卷笔试。考试采取教考分离，监考由学院统一安排。有下列情况之一者，总评成绩为不及格：</w:t>
            </w:r>
          </w:p>
          <w:p w14:paraId="6003C97C">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）缺交作业者。</w:t>
            </w:r>
          </w:p>
          <w:p w14:paraId="0C557576">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）缺课次数达本学期总授课学时的</w:t>
            </w:r>
            <w:r>
              <w:rPr>
                <w:rFonts w:ascii="宋体" w:hAnsi="宋体" w:eastAsia="宋体" w:cs="Times New Roman"/>
                <w:color w:val="000000"/>
                <w:szCs w:val="21"/>
              </w:rPr>
              <w:t>1/3</w:t>
            </w:r>
            <w:r>
              <w:rPr>
                <w:rFonts w:hint="eastAsia" w:ascii="宋体" w:hAnsi="宋体" w:eastAsia="宋体" w:cs="Times New Roman"/>
                <w:color w:val="000000"/>
                <w:szCs w:val="21"/>
              </w:rPr>
              <w:t>以上者。</w:t>
            </w:r>
          </w:p>
        </w:tc>
      </w:tr>
    </w:tbl>
    <w:p w14:paraId="0C9ED0D0">
      <w:pPr>
        <w:spacing w:line="360" w:lineRule="auto"/>
        <w:rPr>
          <w:rFonts w:hint="eastAsia" w:ascii="宋体" w:hAnsi="等线" w:eastAsia="宋体" w:cs="宋体"/>
          <w:bCs/>
          <w:szCs w:val="21"/>
        </w:rPr>
      </w:pPr>
    </w:p>
    <w:p w14:paraId="43BD6B4B">
      <w:pPr>
        <w:spacing w:line="360" w:lineRule="auto"/>
        <w:rPr>
          <w:rFonts w:ascii="Calibri" w:hAnsi="Calibri" w:eastAsia="宋体" w:cs="Times New Roman"/>
          <w:b/>
          <w:sz w:val="28"/>
          <w:szCs w:val="28"/>
        </w:rPr>
      </w:pPr>
      <w:r>
        <w:rPr>
          <w:rFonts w:hint="eastAsia" w:ascii="Calibri" w:hAnsi="Calibri" w:eastAsia="宋体" w:cs="Times New Roman"/>
          <w:b/>
          <w:sz w:val="28"/>
          <w:szCs w:val="28"/>
        </w:rPr>
        <w:t>五、课程考核</w:t>
      </w:r>
    </w:p>
    <w:p w14:paraId="54C9EAC5">
      <w:pPr>
        <w:adjustRightInd w:val="0"/>
        <w:snapToGrid w:val="0"/>
        <w:spacing w:line="360" w:lineRule="auto"/>
        <w:rPr>
          <w:rFonts w:ascii="Calibri" w:hAnsi="Calibri" w:eastAsia="宋体" w:cs="Times New Roman"/>
          <w:sz w:val="24"/>
        </w:rPr>
      </w:pPr>
      <w:r>
        <w:rPr>
          <w:rFonts w:hint="eastAsia" w:ascii="Calibri" w:hAnsi="Calibri" w:eastAsia="宋体" w:cs="Times New Roman"/>
          <w:sz w:val="24"/>
        </w:rPr>
        <w:t>（一）课程考核包括期末考试、平时及作业考核，期末考试采用开卷笔试方式。</w:t>
      </w:r>
    </w:p>
    <w:p w14:paraId="61406F31">
      <w:pPr>
        <w:adjustRightInd w:val="0"/>
        <w:snapToGrid w:val="0"/>
        <w:spacing w:line="360" w:lineRule="auto"/>
        <w:rPr>
          <w:rFonts w:hint="eastAsia" w:ascii="宋体" w:hAnsi="宋体" w:eastAsia="宋体" w:cs="Times New Roman"/>
          <w:sz w:val="24"/>
        </w:rPr>
      </w:pPr>
      <w:r>
        <w:rPr>
          <w:rFonts w:hint="eastAsia" w:ascii="Calibri" w:hAnsi="Calibri" w:eastAsia="宋体" w:cs="Times New Roman"/>
          <w:sz w:val="24"/>
        </w:rPr>
        <w:t>（二）课程成绩</w:t>
      </w:r>
      <w:r>
        <w:rPr>
          <w:rFonts w:ascii="Calibri" w:hAnsi="Calibri" w:eastAsia="宋体" w:cs="Times New Roman"/>
          <w:sz w:val="24"/>
        </w:rPr>
        <w:t>=</w:t>
      </w:r>
      <w:r>
        <w:rPr>
          <w:rFonts w:hint="eastAsia" w:ascii="Calibri" w:hAnsi="Calibri" w:eastAsia="宋体" w:cs="Times New Roman"/>
          <w:sz w:val="24"/>
        </w:rPr>
        <w:t>平时成绩</w:t>
      </w:r>
      <w:r>
        <w:rPr>
          <w:rFonts w:hint="eastAsia" w:ascii="宋体" w:hAnsi="宋体" w:eastAsia="宋体" w:cs="Times New Roman"/>
          <w:sz w:val="24"/>
        </w:rPr>
        <w:t>×</w:t>
      </w:r>
      <w:r>
        <w:rPr>
          <w:rFonts w:ascii="宋体" w:hAnsi="宋体" w:eastAsia="宋体" w:cs="Times New Roman"/>
          <w:sz w:val="24"/>
        </w:rPr>
        <w:t>20%+</w:t>
      </w:r>
      <w:r>
        <w:rPr>
          <w:rFonts w:hint="eastAsia" w:ascii="宋体" w:hAnsi="宋体" w:eastAsia="宋体" w:cs="Times New Roman"/>
          <w:sz w:val="24"/>
        </w:rPr>
        <w:t>作业成绩×</w:t>
      </w:r>
      <w:r>
        <w:rPr>
          <w:rFonts w:ascii="宋体" w:hAnsi="宋体" w:eastAsia="宋体" w:cs="Times New Roman"/>
          <w:sz w:val="24"/>
        </w:rPr>
        <w:t>20%+</w:t>
      </w:r>
      <w:r>
        <w:rPr>
          <w:rFonts w:hint="eastAsia" w:ascii="宋体" w:hAnsi="宋体" w:eastAsia="宋体" w:cs="Times New Roman"/>
          <w:sz w:val="24"/>
        </w:rPr>
        <w:t>期末考试成绩×</w:t>
      </w:r>
      <w:r>
        <w:rPr>
          <w:rFonts w:ascii="宋体" w:hAnsi="宋体" w:eastAsia="宋体" w:cs="Times New Roman"/>
          <w:sz w:val="24"/>
        </w:rPr>
        <w:t>60%</w:t>
      </w:r>
      <w:r>
        <w:rPr>
          <w:rFonts w:hint="eastAsia" w:ascii="宋体" w:hAnsi="宋体" w:eastAsia="宋体" w:cs="Times New Roman"/>
          <w:sz w:val="24"/>
        </w:rPr>
        <w:t>。</w:t>
      </w:r>
    </w:p>
    <w:p w14:paraId="7FF68CA7">
      <w:pPr>
        <w:adjustRightInd w:val="0"/>
        <w:snapToGrid w:val="0"/>
        <w:spacing w:line="360" w:lineRule="auto"/>
        <w:rPr>
          <w:rFonts w:hint="eastAsia" w:ascii="宋体" w:hAnsi="宋体" w:eastAsia="宋体" w:cs="Times New Roman"/>
          <w:sz w:val="24"/>
        </w:rPr>
      </w:pPr>
      <w:r>
        <w:rPr>
          <w:rFonts w:hint="eastAsia" w:ascii="宋体" w:hAnsi="宋体" w:eastAsia="宋体" w:cs="Times New Roman"/>
          <w:b/>
          <w:sz w:val="24"/>
        </w:rPr>
        <w:t>具体内容和比例如下表所示</w:t>
      </w:r>
      <w:r>
        <w:rPr>
          <w:rFonts w:hint="eastAsia" w:ascii="宋体" w:hAnsi="宋体" w:eastAsia="宋体" w:cs="Times New Roman"/>
          <w:sz w:val="24"/>
        </w:rPr>
        <w:t>：</w:t>
      </w:r>
    </w:p>
    <w:tbl>
      <w:tblPr>
        <w:tblStyle w:val="13"/>
        <w:tblW w:w="9365"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134"/>
        <w:gridCol w:w="708"/>
        <w:gridCol w:w="2977"/>
        <w:gridCol w:w="1418"/>
        <w:gridCol w:w="1275"/>
        <w:gridCol w:w="1143"/>
      </w:tblGrid>
      <w:tr w14:paraId="0AEE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10" w:type="dxa"/>
            <w:shd w:val="clear" w:color="auto" w:fill="FFFFFF"/>
            <w:tcMar>
              <w:left w:w="57" w:type="dxa"/>
              <w:right w:w="57" w:type="dxa"/>
            </w:tcMar>
            <w:vAlign w:val="center"/>
          </w:tcPr>
          <w:p w14:paraId="307EEB6A">
            <w:pPr>
              <w:adjustRightInd w:val="0"/>
              <w:snapToGrid w:val="0"/>
              <w:spacing w:line="276" w:lineRule="auto"/>
              <w:jc w:val="center"/>
              <w:rPr>
                <w:rFonts w:hint="eastAsia" w:ascii="等线" w:hAnsi="等线" w:eastAsia="宋体" w:cs="Times New Roman"/>
                <w:b/>
              </w:rPr>
            </w:pPr>
            <w:r>
              <w:rPr>
                <w:rFonts w:hint="eastAsia" w:ascii="等线" w:hAnsi="等线" w:eastAsia="宋体" w:cs="Times New Roman"/>
                <w:b/>
              </w:rPr>
              <w:t>成绩组成</w:t>
            </w:r>
          </w:p>
        </w:tc>
        <w:tc>
          <w:tcPr>
            <w:tcW w:w="1134" w:type="dxa"/>
            <w:shd w:val="clear" w:color="auto" w:fill="FFFFFF"/>
            <w:vAlign w:val="center"/>
          </w:tcPr>
          <w:p w14:paraId="101A0805">
            <w:pPr>
              <w:adjustRightInd w:val="0"/>
              <w:snapToGrid w:val="0"/>
              <w:spacing w:line="276" w:lineRule="auto"/>
              <w:jc w:val="center"/>
              <w:rPr>
                <w:rFonts w:hint="eastAsia" w:ascii="等线" w:hAnsi="等线" w:eastAsia="宋体" w:cs="Times New Roman"/>
                <w:b/>
              </w:rPr>
            </w:pPr>
            <w:r>
              <w:rPr>
                <w:rFonts w:hint="eastAsia" w:ascii="等线" w:hAnsi="等线" w:eastAsia="宋体" w:cs="Times New Roman"/>
                <w:b/>
              </w:rPr>
              <w:t>考核</w:t>
            </w:r>
            <w:r>
              <w:rPr>
                <w:rFonts w:ascii="等线" w:hAnsi="等线" w:eastAsia="宋体" w:cs="Times New Roman"/>
                <w:b/>
              </w:rPr>
              <w:t>/</w:t>
            </w:r>
            <w:r>
              <w:rPr>
                <w:rFonts w:hint="eastAsia" w:ascii="等线" w:hAnsi="等线" w:eastAsia="宋体" w:cs="Times New Roman"/>
                <w:b/>
              </w:rPr>
              <w:t>评价环节</w:t>
            </w:r>
          </w:p>
        </w:tc>
        <w:tc>
          <w:tcPr>
            <w:tcW w:w="708" w:type="dxa"/>
            <w:shd w:val="clear" w:color="auto" w:fill="FFFFFF"/>
            <w:vAlign w:val="center"/>
          </w:tcPr>
          <w:p w14:paraId="51B2585F">
            <w:pPr>
              <w:adjustRightInd w:val="0"/>
              <w:snapToGrid w:val="0"/>
              <w:spacing w:line="276" w:lineRule="auto"/>
              <w:jc w:val="center"/>
              <w:rPr>
                <w:rFonts w:ascii="等线" w:hAnsi="等线" w:eastAsia="Times New Roman" w:cs="Times New Roman"/>
                <w:b/>
              </w:rPr>
            </w:pPr>
            <w:r>
              <w:rPr>
                <w:rFonts w:hint="eastAsia" w:ascii="宋体" w:hAnsi="宋体" w:eastAsia="宋体" w:cs="宋体"/>
                <w:b/>
              </w:rPr>
              <w:t>权重</w:t>
            </w:r>
          </w:p>
        </w:tc>
        <w:tc>
          <w:tcPr>
            <w:tcW w:w="2977" w:type="dxa"/>
            <w:shd w:val="clear" w:color="auto" w:fill="FFFFFF"/>
            <w:vAlign w:val="center"/>
          </w:tcPr>
          <w:p w14:paraId="41F502F6">
            <w:pPr>
              <w:adjustRightInd w:val="0"/>
              <w:snapToGrid w:val="0"/>
              <w:spacing w:line="276" w:lineRule="auto"/>
              <w:jc w:val="center"/>
              <w:rPr>
                <w:rFonts w:hint="eastAsia" w:ascii="等线" w:hAnsi="等线" w:eastAsia="宋体" w:cs="Times New Roman"/>
                <w:b/>
              </w:rPr>
            </w:pPr>
            <w:r>
              <w:rPr>
                <w:rFonts w:hint="eastAsia" w:ascii="等线" w:hAnsi="等线" w:eastAsia="宋体" w:cs="Times New Roman"/>
                <w:b/>
              </w:rPr>
              <w:t>考核</w:t>
            </w:r>
            <w:r>
              <w:rPr>
                <w:rFonts w:ascii="等线" w:hAnsi="等线" w:eastAsia="宋体" w:cs="Times New Roman"/>
                <w:b/>
              </w:rPr>
              <w:t>/</w:t>
            </w:r>
            <w:r>
              <w:rPr>
                <w:rFonts w:hint="eastAsia" w:ascii="等线" w:hAnsi="等线" w:eastAsia="宋体" w:cs="Times New Roman"/>
                <w:b/>
              </w:rPr>
              <w:t>评价细则</w:t>
            </w:r>
          </w:p>
        </w:tc>
        <w:tc>
          <w:tcPr>
            <w:tcW w:w="1418" w:type="dxa"/>
            <w:shd w:val="clear" w:color="auto" w:fill="FFFFFF"/>
            <w:vAlign w:val="center"/>
          </w:tcPr>
          <w:p w14:paraId="6F7F7806">
            <w:pPr>
              <w:adjustRightInd w:val="0"/>
              <w:snapToGrid w:val="0"/>
              <w:spacing w:line="276" w:lineRule="auto"/>
              <w:jc w:val="center"/>
              <w:rPr>
                <w:rFonts w:hint="eastAsia" w:ascii="等线" w:hAnsi="等线" w:eastAsia="宋体" w:cs="Times New Roman"/>
                <w:b/>
              </w:rPr>
            </w:pPr>
            <w:r>
              <w:rPr>
                <w:rFonts w:hint="eastAsia" w:ascii="等线" w:hAnsi="等线" w:eastAsia="宋体" w:cs="Times New Roman"/>
                <w:b/>
              </w:rPr>
              <w:t>课程目标</w:t>
            </w:r>
          </w:p>
        </w:tc>
        <w:tc>
          <w:tcPr>
            <w:tcW w:w="1275" w:type="dxa"/>
            <w:shd w:val="clear" w:color="auto" w:fill="FFFFFF"/>
            <w:vAlign w:val="center"/>
          </w:tcPr>
          <w:p w14:paraId="082C6429">
            <w:pPr>
              <w:adjustRightInd w:val="0"/>
              <w:snapToGrid w:val="0"/>
              <w:spacing w:line="276" w:lineRule="auto"/>
              <w:jc w:val="center"/>
              <w:rPr>
                <w:rFonts w:hint="eastAsia" w:ascii="等线" w:hAnsi="等线" w:eastAsia="宋体" w:cs="Times New Roman"/>
                <w:b/>
              </w:rPr>
            </w:pPr>
            <w:r>
              <w:rPr>
                <w:rFonts w:hint="eastAsia" w:ascii="等线" w:hAnsi="等线" w:eastAsia="宋体" w:cs="Times New Roman"/>
                <w:b/>
              </w:rPr>
              <w:t>考核内容</w:t>
            </w:r>
          </w:p>
        </w:tc>
        <w:tc>
          <w:tcPr>
            <w:tcW w:w="1143" w:type="dxa"/>
            <w:shd w:val="clear" w:color="auto" w:fill="FFFFFF"/>
            <w:vAlign w:val="center"/>
          </w:tcPr>
          <w:p w14:paraId="2A0B349D">
            <w:pPr>
              <w:adjustRightInd w:val="0"/>
              <w:snapToGrid w:val="0"/>
              <w:spacing w:line="276" w:lineRule="auto"/>
              <w:jc w:val="center"/>
              <w:rPr>
                <w:rFonts w:hint="eastAsia" w:ascii="等线" w:hAnsi="等线" w:eastAsia="宋体" w:cs="Times New Roman"/>
                <w:b/>
              </w:rPr>
            </w:pPr>
            <w:r>
              <w:rPr>
                <w:rFonts w:hint="eastAsia" w:ascii="等线" w:hAnsi="等线" w:eastAsia="宋体" w:cs="Times New Roman"/>
                <w:b/>
              </w:rPr>
              <w:t>对应的毕业要求指标点</w:t>
            </w:r>
          </w:p>
        </w:tc>
      </w:tr>
      <w:tr w14:paraId="3F84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710" w:type="dxa"/>
            <w:tcMar>
              <w:left w:w="57" w:type="dxa"/>
              <w:right w:w="57" w:type="dxa"/>
            </w:tcMar>
            <w:vAlign w:val="center"/>
          </w:tcPr>
          <w:p w14:paraId="707F066F">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平时成绩</w:t>
            </w:r>
          </w:p>
        </w:tc>
        <w:tc>
          <w:tcPr>
            <w:tcW w:w="1134" w:type="dxa"/>
            <w:vAlign w:val="center"/>
          </w:tcPr>
          <w:p w14:paraId="5426C7C2">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课堂考勤、表现及平时作业</w:t>
            </w:r>
          </w:p>
        </w:tc>
        <w:tc>
          <w:tcPr>
            <w:tcW w:w="708" w:type="dxa"/>
            <w:vAlign w:val="center"/>
          </w:tcPr>
          <w:p w14:paraId="6ECA4BFE">
            <w:pPr>
              <w:adjustRightInd w:val="0"/>
              <w:snapToGrid w:val="0"/>
              <w:spacing w:line="276" w:lineRule="auto"/>
              <w:jc w:val="center"/>
              <w:rPr>
                <w:rFonts w:hint="eastAsia" w:ascii="宋体" w:hAnsi="宋体" w:eastAsia="宋体" w:cs="Times New Roman"/>
              </w:rPr>
            </w:pPr>
            <w:r>
              <w:rPr>
                <w:rFonts w:ascii="宋体" w:hAnsi="宋体" w:eastAsia="宋体" w:cs="Times New Roman"/>
              </w:rPr>
              <w:t>40%</w:t>
            </w:r>
          </w:p>
        </w:tc>
        <w:tc>
          <w:tcPr>
            <w:tcW w:w="2977" w:type="dxa"/>
            <w:vAlign w:val="center"/>
          </w:tcPr>
          <w:p w14:paraId="61D24C67">
            <w:pPr>
              <w:widowControl/>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课堂考勤：病假和事假一次不扣分，无故缺席或迟到一次扣1分。</w:t>
            </w:r>
          </w:p>
          <w:p w14:paraId="5BC9F271">
            <w:pPr>
              <w:widowControl/>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课堂表现：每章</w:t>
            </w:r>
            <w:r>
              <w:rPr>
                <w:rFonts w:hint="eastAsia" w:ascii="宋体" w:hAnsi="宋体" w:eastAsia="宋体" w:cs="宋体"/>
                <w:color w:val="000000"/>
                <w:kern w:val="0"/>
                <w:szCs w:val="21"/>
              </w:rPr>
              <w:t>组织进行</w:t>
            </w:r>
            <w:r>
              <w:rPr>
                <w:rFonts w:ascii="宋体" w:hAnsi="宋体" w:eastAsia="宋体" w:cs="宋体"/>
                <w:color w:val="000000"/>
                <w:kern w:val="0"/>
                <w:szCs w:val="21"/>
              </w:rPr>
              <w:t>1-3</w:t>
            </w:r>
            <w:r>
              <w:rPr>
                <w:rFonts w:hint="eastAsia" w:ascii="宋体" w:hAnsi="宋体" w:eastAsia="宋体" w:cs="宋体"/>
                <w:color w:val="000000"/>
                <w:kern w:val="0"/>
                <w:szCs w:val="21"/>
              </w:rPr>
              <w:t>次讨论，主要考核学生对知识的理解与思考情况。根据回答给出相应分数。</w:t>
            </w:r>
          </w:p>
          <w:p w14:paraId="6D66CFE2">
            <w:pPr>
              <w:adjustRightInd w:val="0"/>
              <w:snapToGrid w:val="0"/>
              <w:spacing w:line="276" w:lineRule="auto"/>
              <w:rPr>
                <w:rFonts w:hint="eastAsia" w:ascii="宋体" w:hAnsi="宋体" w:eastAsia="宋体" w:cs="Times New Roman"/>
              </w:rPr>
            </w:pPr>
            <w:r>
              <w:rPr>
                <w:rFonts w:hint="eastAsia" w:ascii="宋体" w:hAnsi="宋体" w:eastAsia="宋体" w:cs="Times New Roman"/>
                <w:szCs w:val="21"/>
              </w:rPr>
              <w:t>平时作业：2次书面作业，主要考核学生运用理论分析问题的能力。</w:t>
            </w:r>
          </w:p>
        </w:tc>
        <w:tc>
          <w:tcPr>
            <w:tcW w:w="1418" w:type="dxa"/>
            <w:vAlign w:val="center"/>
          </w:tcPr>
          <w:p w14:paraId="1C421474">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1</w:t>
            </w:r>
          </w:p>
          <w:p w14:paraId="2E1769A7">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2</w:t>
            </w:r>
          </w:p>
          <w:p w14:paraId="533CF865">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3</w:t>
            </w:r>
            <w:r>
              <w:rPr>
                <w:rFonts w:hint="eastAsia" w:ascii="宋体" w:hAnsi="宋体" w:eastAsia="宋体" w:cs="Times New Roman"/>
              </w:rPr>
              <w:t>课程目标</w:t>
            </w:r>
            <w:r>
              <w:rPr>
                <w:rFonts w:ascii="宋体" w:hAnsi="宋体" w:eastAsia="宋体" w:cs="Times New Roman"/>
              </w:rPr>
              <w:t>4</w:t>
            </w:r>
          </w:p>
          <w:p w14:paraId="65121487">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5</w:t>
            </w:r>
          </w:p>
          <w:p w14:paraId="01AA7715">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6</w:t>
            </w:r>
          </w:p>
        </w:tc>
        <w:tc>
          <w:tcPr>
            <w:tcW w:w="1275" w:type="dxa"/>
            <w:vAlign w:val="center"/>
          </w:tcPr>
          <w:p w14:paraId="03A713A9">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每章节的基本知识和理论的掌握及运用</w:t>
            </w:r>
          </w:p>
        </w:tc>
        <w:tc>
          <w:tcPr>
            <w:tcW w:w="1143" w:type="dxa"/>
            <w:vAlign w:val="center"/>
          </w:tcPr>
          <w:p w14:paraId="3BA9E242">
            <w:pPr>
              <w:adjustRightInd w:val="0"/>
              <w:snapToGrid w:val="0"/>
              <w:spacing w:line="276" w:lineRule="auto"/>
              <w:jc w:val="center"/>
              <w:rPr>
                <w:rFonts w:hint="eastAsia" w:ascii="宋体" w:hAnsi="宋体" w:eastAsia="宋体" w:cs="Times New Roman"/>
              </w:rPr>
            </w:pPr>
            <w:r>
              <w:rPr>
                <w:rFonts w:ascii="宋体" w:hAnsi="宋体" w:eastAsia="宋体" w:cs="Times New Roman"/>
              </w:rPr>
              <w:t>1-1</w:t>
            </w:r>
          </w:p>
          <w:p w14:paraId="7F59E0B8">
            <w:pPr>
              <w:adjustRightInd w:val="0"/>
              <w:snapToGrid w:val="0"/>
              <w:spacing w:line="276" w:lineRule="auto"/>
              <w:jc w:val="center"/>
              <w:rPr>
                <w:rFonts w:hint="eastAsia" w:ascii="宋体" w:hAnsi="宋体" w:eastAsia="宋体" w:cs="Times New Roman"/>
              </w:rPr>
            </w:pPr>
            <w:r>
              <w:rPr>
                <w:rFonts w:ascii="宋体" w:hAnsi="宋体" w:eastAsia="宋体" w:cs="Times New Roman"/>
              </w:rPr>
              <w:t>5-1</w:t>
            </w:r>
            <w:r>
              <w:rPr>
                <w:rFonts w:hint="eastAsia" w:ascii="宋体" w:hAnsi="宋体" w:eastAsia="宋体" w:cs="Times New Roman"/>
              </w:rPr>
              <w:t>、</w:t>
            </w:r>
            <w:r>
              <w:rPr>
                <w:rFonts w:ascii="宋体" w:hAnsi="宋体" w:eastAsia="宋体" w:cs="Times New Roman"/>
              </w:rPr>
              <w:t>5-2</w:t>
            </w:r>
          </w:p>
          <w:p w14:paraId="360EF332">
            <w:pPr>
              <w:adjustRightInd w:val="0"/>
              <w:snapToGrid w:val="0"/>
              <w:spacing w:line="276" w:lineRule="auto"/>
              <w:jc w:val="center"/>
              <w:rPr>
                <w:rFonts w:hint="eastAsia" w:ascii="宋体" w:hAnsi="宋体" w:eastAsia="宋体" w:cs="Times New Roman"/>
              </w:rPr>
            </w:pPr>
            <w:r>
              <w:rPr>
                <w:rFonts w:ascii="宋体" w:hAnsi="宋体" w:eastAsia="宋体" w:cs="Times New Roman"/>
              </w:rPr>
              <w:t>5-3</w:t>
            </w:r>
          </w:p>
          <w:p w14:paraId="7694A4D8">
            <w:pPr>
              <w:adjustRightInd w:val="0"/>
              <w:snapToGrid w:val="0"/>
              <w:spacing w:line="276" w:lineRule="auto"/>
              <w:jc w:val="center"/>
              <w:rPr>
                <w:rFonts w:hint="eastAsia" w:ascii="宋体" w:hAnsi="宋体" w:eastAsia="宋体" w:cs="Times New Roman"/>
              </w:rPr>
            </w:pPr>
            <w:r>
              <w:rPr>
                <w:rFonts w:ascii="宋体" w:hAnsi="宋体" w:eastAsia="宋体" w:cs="Times New Roman"/>
              </w:rPr>
              <w:t>7-1</w:t>
            </w:r>
            <w:r>
              <w:rPr>
                <w:rFonts w:hint="eastAsia" w:ascii="宋体" w:hAnsi="宋体" w:eastAsia="宋体" w:cs="Times New Roman"/>
              </w:rPr>
              <w:t>、</w:t>
            </w:r>
            <w:r>
              <w:rPr>
                <w:rFonts w:ascii="宋体" w:hAnsi="宋体" w:eastAsia="宋体" w:cs="Times New Roman"/>
              </w:rPr>
              <w:t>7-3</w:t>
            </w:r>
          </w:p>
        </w:tc>
      </w:tr>
      <w:tr w14:paraId="62EE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trPr>
        <w:tc>
          <w:tcPr>
            <w:tcW w:w="710" w:type="dxa"/>
            <w:tcMar>
              <w:left w:w="57" w:type="dxa"/>
              <w:right w:w="57" w:type="dxa"/>
            </w:tcMar>
            <w:vAlign w:val="center"/>
          </w:tcPr>
          <w:p w14:paraId="6A1C6521">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期末考试</w:t>
            </w:r>
          </w:p>
        </w:tc>
        <w:tc>
          <w:tcPr>
            <w:tcW w:w="1134" w:type="dxa"/>
            <w:vAlign w:val="center"/>
          </w:tcPr>
          <w:p w14:paraId="5E608E6F">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期末考试</w:t>
            </w:r>
          </w:p>
          <w:p w14:paraId="3945244C">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卷面成绩</w:t>
            </w:r>
          </w:p>
        </w:tc>
        <w:tc>
          <w:tcPr>
            <w:tcW w:w="708" w:type="dxa"/>
            <w:vAlign w:val="center"/>
          </w:tcPr>
          <w:p w14:paraId="2C8E47A2">
            <w:pPr>
              <w:adjustRightInd w:val="0"/>
              <w:snapToGrid w:val="0"/>
              <w:spacing w:line="276" w:lineRule="auto"/>
              <w:jc w:val="center"/>
              <w:rPr>
                <w:rFonts w:hint="eastAsia" w:ascii="宋体" w:hAnsi="宋体" w:eastAsia="宋体" w:cs="Times New Roman"/>
              </w:rPr>
            </w:pPr>
            <w:r>
              <w:rPr>
                <w:rFonts w:ascii="宋体" w:hAnsi="宋体" w:eastAsia="宋体" w:cs="Times New Roman"/>
              </w:rPr>
              <w:t>60%</w:t>
            </w:r>
          </w:p>
        </w:tc>
        <w:tc>
          <w:tcPr>
            <w:tcW w:w="2977" w:type="dxa"/>
            <w:vAlign w:val="center"/>
          </w:tcPr>
          <w:p w14:paraId="695EEB64">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试卷题型包括填空题、简答题、论述题和案例分析题等，以卷面成绩的</w:t>
            </w:r>
            <w:r>
              <w:rPr>
                <w:rFonts w:ascii="宋体" w:hAnsi="宋体" w:eastAsia="宋体" w:cs="Times New Roman"/>
                <w:color w:val="000000"/>
                <w:szCs w:val="21"/>
              </w:rPr>
              <w:t>60%</w:t>
            </w:r>
            <w:r>
              <w:rPr>
                <w:rFonts w:hint="eastAsia" w:ascii="宋体" w:hAnsi="宋体" w:eastAsia="宋体" w:cs="Times New Roman"/>
                <w:color w:val="000000"/>
                <w:szCs w:val="21"/>
              </w:rPr>
              <w:t>计入课程总成绩。其中：考核基本概念知识型题目占25</w:t>
            </w:r>
            <w:r>
              <w:rPr>
                <w:rFonts w:ascii="宋体" w:hAnsi="宋体" w:eastAsia="宋体" w:cs="Times New Roman"/>
                <w:color w:val="000000"/>
                <w:szCs w:val="21"/>
              </w:rPr>
              <w:t>%</w:t>
            </w:r>
            <w:r>
              <w:rPr>
                <w:rFonts w:hint="eastAsia" w:ascii="宋体" w:hAnsi="宋体" w:eastAsia="宋体" w:cs="Times New Roman"/>
                <w:color w:val="000000"/>
                <w:szCs w:val="21"/>
              </w:rPr>
              <w:t>；考核知识理解型题目占25</w:t>
            </w:r>
            <w:r>
              <w:rPr>
                <w:rFonts w:ascii="宋体" w:hAnsi="宋体" w:eastAsia="宋体" w:cs="Times New Roman"/>
                <w:color w:val="000000"/>
                <w:szCs w:val="21"/>
              </w:rPr>
              <w:t>%</w:t>
            </w:r>
            <w:r>
              <w:rPr>
                <w:rFonts w:hint="eastAsia" w:ascii="宋体" w:hAnsi="宋体" w:eastAsia="宋体" w:cs="Times New Roman"/>
                <w:color w:val="000000"/>
                <w:szCs w:val="21"/>
              </w:rPr>
              <w:t>；考核综合分析能力题目占5</w:t>
            </w:r>
            <w:r>
              <w:rPr>
                <w:rFonts w:ascii="宋体" w:hAnsi="宋体" w:eastAsia="宋体" w:cs="Times New Roman"/>
                <w:color w:val="000000"/>
                <w:szCs w:val="21"/>
              </w:rPr>
              <w:t>0%</w:t>
            </w:r>
            <w:r>
              <w:rPr>
                <w:rFonts w:hint="eastAsia" w:ascii="宋体" w:hAnsi="宋体" w:eastAsia="宋体" w:cs="Times New Roman"/>
                <w:color w:val="000000"/>
                <w:szCs w:val="21"/>
              </w:rPr>
              <w:t>。</w:t>
            </w:r>
          </w:p>
        </w:tc>
        <w:tc>
          <w:tcPr>
            <w:tcW w:w="1418" w:type="dxa"/>
            <w:vAlign w:val="center"/>
          </w:tcPr>
          <w:p w14:paraId="7979377D">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1</w:t>
            </w:r>
          </w:p>
          <w:p w14:paraId="3A52A049">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2</w:t>
            </w:r>
          </w:p>
          <w:p w14:paraId="0EDBDD53">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3</w:t>
            </w:r>
            <w:r>
              <w:rPr>
                <w:rFonts w:hint="eastAsia" w:ascii="宋体" w:hAnsi="宋体" w:eastAsia="宋体" w:cs="Times New Roman"/>
              </w:rPr>
              <w:t>课程目标</w:t>
            </w:r>
            <w:r>
              <w:rPr>
                <w:rFonts w:ascii="宋体" w:hAnsi="宋体" w:eastAsia="宋体" w:cs="Times New Roman"/>
              </w:rPr>
              <w:t>4</w:t>
            </w:r>
          </w:p>
          <w:p w14:paraId="23C67399">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课程目标</w:t>
            </w:r>
            <w:r>
              <w:rPr>
                <w:rFonts w:ascii="宋体" w:hAnsi="宋体" w:eastAsia="宋体" w:cs="Times New Roman"/>
              </w:rPr>
              <w:t>5</w:t>
            </w:r>
          </w:p>
          <w:p w14:paraId="0F4D8223">
            <w:pPr>
              <w:adjustRightInd w:val="0"/>
              <w:snapToGrid w:val="0"/>
              <w:spacing w:line="276" w:lineRule="auto"/>
              <w:jc w:val="center"/>
              <w:rPr>
                <w:rFonts w:hint="eastAsia" w:ascii="宋体" w:hAnsi="宋体" w:eastAsia="宋体" w:cs="Times New Roman"/>
                <w:b/>
              </w:rPr>
            </w:pPr>
            <w:r>
              <w:rPr>
                <w:rFonts w:hint="eastAsia" w:ascii="宋体" w:hAnsi="宋体" w:eastAsia="宋体" w:cs="Times New Roman"/>
              </w:rPr>
              <w:t>课程目标</w:t>
            </w:r>
            <w:r>
              <w:rPr>
                <w:rFonts w:ascii="宋体" w:hAnsi="宋体" w:eastAsia="宋体" w:cs="Times New Roman"/>
              </w:rPr>
              <w:t>6</w:t>
            </w:r>
          </w:p>
        </w:tc>
        <w:tc>
          <w:tcPr>
            <w:tcW w:w="1275" w:type="dxa"/>
            <w:vAlign w:val="center"/>
          </w:tcPr>
          <w:p w14:paraId="2B862C1E">
            <w:pPr>
              <w:adjustRightInd w:val="0"/>
              <w:snapToGrid w:val="0"/>
              <w:spacing w:line="276" w:lineRule="auto"/>
              <w:jc w:val="center"/>
              <w:rPr>
                <w:rFonts w:hint="eastAsia" w:ascii="宋体" w:hAnsi="宋体" w:eastAsia="宋体" w:cs="Times New Roman"/>
              </w:rPr>
            </w:pPr>
            <w:r>
              <w:rPr>
                <w:rFonts w:hint="eastAsia" w:ascii="宋体" w:hAnsi="宋体" w:eastAsia="宋体" w:cs="Times New Roman"/>
              </w:rPr>
              <w:t>教育政策的价值取向、教育法律关系和教育法律责任、学校事故及侵权责任、小学教师的权利和义务、重要法律法规文件解读</w:t>
            </w:r>
          </w:p>
        </w:tc>
        <w:tc>
          <w:tcPr>
            <w:tcW w:w="1143" w:type="dxa"/>
            <w:vAlign w:val="center"/>
          </w:tcPr>
          <w:p w14:paraId="5557459A">
            <w:pPr>
              <w:adjustRightInd w:val="0"/>
              <w:snapToGrid w:val="0"/>
              <w:spacing w:line="276" w:lineRule="auto"/>
              <w:jc w:val="center"/>
              <w:rPr>
                <w:rFonts w:hint="eastAsia" w:ascii="宋体" w:hAnsi="宋体" w:eastAsia="宋体" w:cs="Times New Roman"/>
              </w:rPr>
            </w:pPr>
            <w:r>
              <w:rPr>
                <w:rFonts w:ascii="宋体" w:hAnsi="宋体" w:eastAsia="宋体" w:cs="Times New Roman"/>
              </w:rPr>
              <w:t>1-1</w:t>
            </w:r>
          </w:p>
          <w:p w14:paraId="10160276">
            <w:pPr>
              <w:adjustRightInd w:val="0"/>
              <w:snapToGrid w:val="0"/>
              <w:spacing w:line="276" w:lineRule="auto"/>
              <w:jc w:val="center"/>
              <w:rPr>
                <w:rFonts w:hint="eastAsia" w:ascii="宋体" w:hAnsi="宋体" w:eastAsia="宋体" w:cs="Times New Roman"/>
              </w:rPr>
            </w:pPr>
            <w:r>
              <w:rPr>
                <w:rFonts w:ascii="宋体" w:hAnsi="宋体" w:eastAsia="宋体" w:cs="Times New Roman"/>
              </w:rPr>
              <w:t>5-1</w:t>
            </w:r>
            <w:r>
              <w:rPr>
                <w:rFonts w:hint="eastAsia" w:ascii="宋体" w:hAnsi="宋体" w:eastAsia="宋体" w:cs="Times New Roman"/>
              </w:rPr>
              <w:t>、</w:t>
            </w:r>
            <w:r>
              <w:rPr>
                <w:rFonts w:ascii="宋体" w:hAnsi="宋体" w:eastAsia="宋体" w:cs="Times New Roman"/>
              </w:rPr>
              <w:t>5-2</w:t>
            </w:r>
          </w:p>
          <w:p w14:paraId="3769105B">
            <w:pPr>
              <w:adjustRightInd w:val="0"/>
              <w:snapToGrid w:val="0"/>
              <w:spacing w:line="276" w:lineRule="auto"/>
              <w:jc w:val="center"/>
              <w:rPr>
                <w:rFonts w:hint="eastAsia" w:ascii="宋体" w:hAnsi="宋体" w:eastAsia="宋体" w:cs="Times New Roman"/>
              </w:rPr>
            </w:pPr>
            <w:r>
              <w:rPr>
                <w:rFonts w:ascii="宋体" w:hAnsi="宋体" w:eastAsia="宋体" w:cs="Times New Roman"/>
              </w:rPr>
              <w:t>5-3</w:t>
            </w:r>
          </w:p>
          <w:p w14:paraId="54A54255">
            <w:pPr>
              <w:adjustRightInd w:val="0"/>
              <w:snapToGrid w:val="0"/>
              <w:spacing w:line="276" w:lineRule="auto"/>
              <w:jc w:val="center"/>
              <w:rPr>
                <w:rFonts w:hint="eastAsia" w:ascii="宋体" w:hAnsi="宋体" w:eastAsia="宋体" w:cs="Times New Roman"/>
              </w:rPr>
            </w:pPr>
            <w:r>
              <w:rPr>
                <w:rFonts w:ascii="宋体" w:hAnsi="宋体" w:eastAsia="宋体" w:cs="Times New Roman"/>
              </w:rPr>
              <w:t>7-1</w:t>
            </w:r>
            <w:r>
              <w:rPr>
                <w:rFonts w:hint="eastAsia" w:ascii="宋体" w:hAnsi="宋体" w:eastAsia="宋体" w:cs="Times New Roman"/>
              </w:rPr>
              <w:t>、</w:t>
            </w:r>
            <w:r>
              <w:rPr>
                <w:rFonts w:ascii="宋体" w:hAnsi="宋体" w:eastAsia="宋体" w:cs="Times New Roman"/>
              </w:rPr>
              <w:t>7-3</w:t>
            </w:r>
          </w:p>
        </w:tc>
      </w:tr>
    </w:tbl>
    <w:p w14:paraId="763568E0">
      <w:pPr>
        <w:adjustRightInd w:val="0"/>
        <w:snapToGrid w:val="0"/>
        <w:spacing w:line="360" w:lineRule="auto"/>
        <w:rPr>
          <w:rFonts w:hint="eastAsia" w:ascii="宋体" w:hAnsi="等线" w:eastAsia="宋体" w:cs="Times New Roman"/>
          <w:color w:val="000000"/>
          <w:sz w:val="24"/>
        </w:rPr>
      </w:pPr>
    </w:p>
    <w:p w14:paraId="7A053F80">
      <w:pPr>
        <w:spacing w:line="360" w:lineRule="auto"/>
        <w:rPr>
          <w:rFonts w:ascii="Calibri" w:hAnsi="Calibri" w:eastAsia="宋体" w:cs="Times New Roman"/>
          <w:b/>
          <w:bCs/>
          <w:sz w:val="24"/>
        </w:rPr>
      </w:pPr>
      <w:r>
        <w:rPr>
          <w:rFonts w:hint="eastAsia" w:ascii="Calibri" w:hAnsi="Calibri" w:eastAsia="宋体" w:cs="Times New Roman"/>
          <w:b/>
          <w:bCs/>
          <w:sz w:val="24"/>
        </w:rPr>
        <w:t>（三）课程目标及考核方式权重分配表</w:t>
      </w:r>
    </w:p>
    <w:tbl>
      <w:tblPr>
        <w:tblStyle w:val="13"/>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346"/>
        <w:gridCol w:w="1902"/>
        <w:gridCol w:w="1426"/>
        <w:gridCol w:w="2065"/>
      </w:tblGrid>
      <w:tr w14:paraId="1DCB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326" w:type="dxa"/>
            <w:gridSpan w:val="2"/>
            <w:vAlign w:val="center"/>
          </w:tcPr>
          <w:p w14:paraId="36620185">
            <w:pPr>
              <w:adjustRightInd w:val="0"/>
              <w:snapToGrid w:val="0"/>
              <w:spacing w:line="276" w:lineRule="auto"/>
              <w:jc w:val="center"/>
              <w:rPr>
                <w:rFonts w:hint="eastAsia" w:ascii="宋体" w:hAnsi="等线" w:eastAsia="宋体" w:cs="Times New Roman"/>
                <w:b/>
                <w:kern w:val="0"/>
                <w:szCs w:val="21"/>
              </w:rPr>
            </w:pPr>
            <w:r>
              <w:rPr>
                <w:rFonts w:hint="eastAsia" w:ascii="宋体" w:hAnsi="宋体" w:eastAsia="宋体" w:cs="Times New Roman"/>
                <w:b/>
                <w:kern w:val="0"/>
                <w:szCs w:val="21"/>
              </w:rPr>
              <w:t>课程目标及权重</w:t>
            </w:r>
          </w:p>
        </w:tc>
        <w:tc>
          <w:tcPr>
            <w:tcW w:w="5393" w:type="dxa"/>
            <w:gridSpan w:val="3"/>
            <w:vAlign w:val="center"/>
          </w:tcPr>
          <w:p w14:paraId="68E11412">
            <w:pPr>
              <w:adjustRightInd w:val="0"/>
              <w:snapToGrid w:val="0"/>
              <w:spacing w:line="276" w:lineRule="auto"/>
              <w:jc w:val="center"/>
              <w:rPr>
                <w:rFonts w:hint="eastAsia" w:ascii="宋体" w:hAnsi="等线" w:eastAsia="宋体" w:cs="Times New Roman"/>
                <w:b/>
                <w:kern w:val="0"/>
                <w:szCs w:val="21"/>
              </w:rPr>
            </w:pPr>
            <w:r>
              <w:rPr>
                <w:rFonts w:hint="eastAsia" w:ascii="宋体" w:hAnsi="宋体" w:eastAsia="宋体" w:cs="Times New Roman"/>
                <w:b/>
                <w:kern w:val="0"/>
                <w:szCs w:val="21"/>
              </w:rPr>
              <w:t>考核方式及权重</w:t>
            </w:r>
          </w:p>
        </w:tc>
      </w:tr>
      <w:tr w14:paraId="10E9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80" w:type="dxa"/>
            <w:vAlign w:val="center"/>
          </w:tcPr>
          <w:p w14:paraId="312AF236">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项目</w:t>
            </w:r>
          </w:p>
        </w:tc>
        <w:tc>
          <w:tcPr>
            <w:tcW w:w="1346" w:type="dxa"/>
            <w:vAlign w:val="center"/>
          </w:tcPr>
          <w:p w14:paraId="579AC726">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902" w:type="dxa"/>
            <w:vAlign w:val="center"/>
          </w:tcPr>
          <w:p w14:paraId="67D6EC39">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评价依据</w:t>
            </w:r>
          </w:p>
        </w:tc>
        <w:tc>
          <w:tcPr>
            <w:tcW w:w="1426" w:type="dxa"/>
            <w:vAlign w:val="center"/>
          </w:tcPr>
          <w:p w14:paraId="3B31245E">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2065" w:type="dxa"/>
            <w:vAlign w:val="center"/>
          </w:tcPr>
          <w:p w14:paraId="674D05EF">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考核方式权重合计</w:t>
            </w:r>
          </w:p>
        </w:tc>
      </w:tr>
      <w:tr w14:paraId="42E4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6B2838AC">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346" w:type="dxa"/>
            <w:vMerge w:val="restart"/>
            <w:vAlign w:val="center"/>
          </w:tcPr>
          <w:p w14:paraId="01131CD1">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55453AFE">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26" w:type="dxa"/>
            <w:vAlign w:val="center"/>
          </w:tcPr>
          <w:p w14:paraId="5BF4FD89">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65" w:type="dxa"/>
            <w:vMerge w:val="restart"/>
            <w:vAlign w:val="center"/>
          </w:tcPr>
          <w:p w14:paraId="60AF5F36">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4C31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55930D4A">
            <w:pPr>
              <w:adjustRightInd w:val="0"/>
              <w:snapToGrid w:val="0"/>
              <w:spacing w:line="276" w:lineRule="auto"/>
              <w:jc w:val="center"/>
              <w:rPr>
                <w:rFonts w:hint="eastAsia" w:ascii="宋体" w:hAnsi="等线" w:eastAsia="宋体" w:cs="Times New Roman"/>
                <w:kern w:val="0"/>
                <w:szCs w:val="21"/>
              </w:rPr>
            </w:pPr>
          </w:p>
        </w:tc>
        <w:tc>
          <w:tcPr>
            <w:tcW w:w="1346" w:type="dxa"/>
            <w:vMerge w:val="continue"/>
            <w:vAlign w:val="center"/>
          </w:tcPr>
          <w:p w14:paraId="0571B869">
            <w:pPr>
              <w:adjustRightInd w:val="0"/>
              <w:snapToGrid w:val="0"/>
              <w:spacing w:line="276" w:lineRule="auto"/>
              <w:jc w:val="center"/>
              <w:rPr>
                <w:rFonts w:hint="eastAsia" w:ascii="宋体" w:hAnsi="等线" w:eastAsia="宋体" w:cs="Times New Roman"/>
                <w:kern w:val="0"/>
                <w:szCs w:val="21"/>
              </w:rPr>
            </w:pPr>
          </w:p>
        </w:tc>
        <w:tc>
          <w:tcPr>
            <w:tcW w:w="1902" w:type="dxa"/>
            <w:vAlign w:val="center"/>
          </w:tcPr>
          <w:p w14:paraId="76BC5687">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325076B3">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53E67C08">
            <w:pPr>
              <w:adjustRightInd w:val="0"/>
              <w:snapToGrid w:val="0"/>
              <w:spacing w:line="276" w:lineRule="auto"/>
              <w:jc w:val="center"/>
              <w:rPr>
                <w:rFonts w:hint="eastAsia" w:ascii="宋体" w:hAnsi="宋体" w:eastAsia="宋体" w:cs="Times New Roman"/>
                <w:kern w:val="0"/>
                <w:szCs w:val="21"/>
              </w:rPr>
            </w:pPr>
          </w:p>
        </w:tc>
      </w:tr>
      <w:tr w14:paraId="4F94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980" w:type="dxa"/>
            <w:vAlign w:val="center"/>
          </w:tcPr>
          <w:p w14:paraId="118994D5">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346" w:type="dxa"/>
            <w:vAlign w:val="center"/>
          </w:tcPr>
          <w:p w14:paraId="661F59C9">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5BC46CE1">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1991CD0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40%</w:t>
            </w:r>
          </w:p>
        </w:tc>
        <w:tc>
          <w:tcPr>
            <w:tcW w:w="2065" w:type="dxa"/>
            <w:vAlign w:val="center"/>
          </w:tcPr>
          <w:p w14:paraId="09745959">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4221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980" w:type="dxa"/>
            <w:vAlign w:val="center"/>
          </w:tcPr>
          <w:p w14:paraId="0887AE13">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346" w:type="dxa"/>
            <w:vAlign w:val="center"/>
          </w:tcPr>
          <w:p w14:paraId="582DCCF1">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20%</w:t>
            </w:r>
          </w:p>
        </w:tc>
        <w:tc>
          <w:tcPr>
            <w:tcW w:w="1902" w:type="dxa"/>
            <w:vAlign w:val="center"/>
          </w:tcPr>
          <w:p w14:paraId="701C22AC">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026B1A9F">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60%</w:t>
            </w:r>
          </w:p>
        </w:tc>
        <w:tc>
          <w:tcPr>
            <w:tcW w:w="2065" w:type="dxa"/>
            <w:vAlign w:val="center"/>
          </w:tcPr>
          <w:p w14:paraId="61E8FC3C">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378B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1645E967">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346" w:type="dxa"/>
            <w:vMerge w:val="restart"/>
            <w:vAlign w:val="center"/>
          </w:tcPr>
          <w:p w14:paraId="1317C234">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25%</w:t>
            </w:r>
          </w:p>
        </w:tc>
        <w:tc>
          <w:tcPr>
            <w:tcW w:w="1902" w:type="dxa"/>
            <w:vAlign w:val="center"/>
          </w:tcPr>
          <w:p w14:paraId="1181F7B2">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26" w:type="dxa"/>
            <w:vAlign w:val="center"/>
          </w:tcPr>
          <w:p w14:paraId="420820FC">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65" w:type="dxa"/>
            <w:vMerge w:val="restart"/>
            <w:vAlign w:val="center"/>
          </w:tcPr>
          <w:p w14:paraId="4CE63BA9">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03DC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0576531F">
            <w:pPr>
              <w:adjustRightInd w:val="0"/>
              <w:snapToGrid w:val="0"/>
              <w:spacing w:line="276" w:lineRule="auto"/>
              <w:jc w:val="center"/>
              <w:rPr>
                <w:rFonts w:hint="eastAsia" w:ascii="宋体" w:hAnsi="等线" w:eastAsia="宋体" w:cs="Times New Roman"/>
                <w:kern w:val="0"/>
                <w:szCs w:val="21"/>
              </w:rPr>
            </w:pPr>
          </w:p>
        </w:tc>
        <w:tc>
          <w:tcPr>
            <w:tcW w:w="1346" w:type="dxa"/>
            <w:vMerge w:val="continue"/>
            <w:vAlign w:val="center"/>
          </w:tcPr>
          <w:p w14:paraId="275F91DF">
            <w:pPr>
              <w:adjustRightInd w:val="0"/>
              <w:snapToGrid w:val="0"/>
              <w:spacing w:line="276" w:lineRule="auto"/>
              <w:jc w:val="center"/>
              <w:rPr>
                <w:rFonts w:hint="eastAsia" w:ascii="宋体" w:hAnsi="等线" w:eastAsia="宋体" w:cs="Times New Roman"/>
                <w:kern w:val="0"/>
                <w:szCs w:val="21"/>
              </w:rPr>
            </w:pPr>
          </w:p>
        </w:tc>
        <w:tc>
          <w:tcPr>
            <w:tcW w:w="1902" w:type="dxa"/>
            <w:vAlign w:val="center"/>
          </w:tcPr>
          <w:p w14:paraId="186BE80A">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7EB17AC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79C1335C">
            <w:pPr>
              <w:adjustRightInd w:val="0"/>
              <w:snapToGrid w:val="0"/>
              <w:spacing w:line="276" w:lineRule="auto"/>
              <w:jc w:val="center"/>
              <w:rPr>
                <w:rFonts w:hint="eastAsia" w:ascii="宋体" w:hAnsi="宋体" w:eastAsia="宋体" w:cs="Times New Roman"/>
                <w:kern w:val="0"/>
                <w:szCs w:val="21"/>
              </w:rPr>
            </w:pPr>
          </w:p>
        </w:tc>
      </w:tr>
      <w:tr w14:paraId="6960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32BB0227">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5</w:t>
            </w:r>
          </w:p>
        </w:tc>
        <w:tc>
          <w:tcPr>
            <w:tcW w:w="1346" w:type="dxa"/>
            <w:vMerge w:val="restart"/>
            <w:vAlign w:val="center"/>
          </w:tcPr>
          <w:p w14:paraId="4B4E6ABC">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25%</w:t>
            </w:r>
          </w:p>
        </w:tc>
        <w:tc>
          <w:tcPr>
            <w:tcW w:w="1902" w:type="dxa"/>
            <w:vAlign w:val="center"/>
          </w:tcPr>
          <w:p w14:paraId="1A617C99">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3</w:t>
            </w:r>
          </w:p>
        </w:tc>
        <w:tc>
          <w:tcPr>
            <w:tcW w:w="1426" w:type="dxa"/>
            <w:vAlign w:val="center"/>
          </w:tcPr>
          <w:p w14:paraId="28F5CC4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60%</w:t>
            </w:r>
          </w:p>
        </w:tc>
        <w:tc>
          <w:tcPr>
            <w:tcW w:w="2065" w:type="dxa"/>
            <w:vMerge w:val="restart"/>
            <w:vAlign w:val="center"/>
          </w:tcPr>
          <w:p w14:paraId="78AB9430">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35E7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48D8F999">
            <w:pPr>
              <w:adjustRightInd w:val="0"/>
              <w:snapToGrid w:val="0"/>
              <w:spacing w:line="276" w:lineRule="auto"/>
              <w:jc w:val="center"/>
              <w:rPr>
                <w:rFonts w:hint="eastAsia" w:ascii="宋体" w:hAnsi="等线" w:eastAsia="宋体" w:cs="Times New Roman"/>
                <w:kern w:val="0"/>
                <w:szCs w:val="21"/>
              </w:rPr>
            </w:pPr>
          </w:p>
        </w:tc>
        <w:tc>
          <w:tcPr>
            <w:tcW w:w="1346" w:type="dxa"/>
            <w:vMerge w:val="continue"/>
            <w:vAlign w:val="center"/>
          </w:tcPr>
          <w:p w14:paraId="46EC318E">
            <w:pPr>
              <w:adjustRightInd w:val="0"/>
              <w:snapToGrid w:val="0"/>
              <w:spacing w:line="276" w:lineRule="auto"/>
              <w:jc w:val="center"/>
              <w:rPr>
                <w:rFonts w:hint="eastAsia" w:ascii="宋体" w:hAnsi="等线" w:eastAsia="宋体" w:cs="Times New Roman"/>
                <w:kern w:val="0"/>
                <w:szCs w:val="21"/>
              </w:rPr>
            </w:pPr>
          </w:p>
        </w:tc>
        <w:tc>
          <w:tcPr>
            <w:tcW w:w="1902" w:type="dxa"/>
            <w:vAlign w:val="center"/>
          </w:tcPr>
          <w:p w14:paraId="6E35FFA8">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289DBF87">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40%</w:t>
            </w:r>
          </w:p>
        </w:tc>
        <w:tc>
          <w:tcPr>
            <w:tcW w:w="2065" w:type="dxa"/>
            <w:vMerge w:val="continue"/>
            <w:vAlign w:val="center"/>
          </w:tcPr>
          <w:p w14:paraId="46C95C4F">
            <w:pPr>
              <w:adjustRightInd w:val="0"/>
              <w:snapToGrid w:val="0"/>
              <w:spacing w:line="276" w:lineRule="auto"/>
              <w:jc w:val="center"/>
              <w:rPr>
                <w:rFonts w:hint="eastAsia" w:ascii="宋体" w:hAnsi="宋体" w:eastAsia="宋体" w:cs="Times New Roman"/>
                <w:kern w:val="0"/>
                <w:szCs w:val="21"/>
              </w:rPr>
            </w:pPr>
          </w:p>
        </w:tc>
      </w:tr>
      <w:tr w14:paraId="10ED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7DEB4F8D">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6</w:t>
            </w:r>
          </w:p>
        </w:tc>
        <w:tc>
          <w:tcPr>
            <w:tcW w:w="1346" w:type="dxa"/>
            <w:vMerge w:val="restart"/>
            <w:vAlign w:val="center"/>
          </w:tcPr>
          <w:p w14:paraId="4757D865">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1015846B">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2485BBAA">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30%</w:t>
            </w:r>
          </w:p>
        </w:tc>
        <w:tc>
          <w:tcPr>
            <w:tcW w:w="2065" w:type="dxa"/>
            <w:vMerge w:val="restart"/>
            <w:vAlign w:val="center"/>
          </w:tcPr>
          <w:p w14:paraId="397D247A">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2E3E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75ED83F4">
            <w:pPr>
              <w:adjustRightInd w:val="0"/>
              <w:snapToGrid w:val="0"/>
              <w:spacing w:line="276" w:lineRule="auto"/>
              <w:jc w:val="center"/>
              <w:rPr>
                <w:rFonts w:hint="eastAsia" w:ascii="宋体" w:hAnsi="等线" w:eastAsia="宋体" w:cs="Times New Roman"/>
                <w:kern w:val="0"/>
                <w:szCs w:val="21"/>
              </w:rPr>
            </w:pPr>
          </w:p>
        </w:tc>
        <w:tc>
          <w:tcPr>
            <w:tcW w:w="1346" w:type="dxa"/>
            <w:vMerge w:val="continue"/>
            <w:vAlign w:val="center"/>
          </w:tcPr>
          <w:p w14:paraId="33EC1F14">
            <w:pPr>
              <w:adjustRightInd w:val="0"/>
              <w:snapToGrid w:val="0"/>
              <w:spacing w:line="276" w:lineRule="auto"/>
              <w:jc w:val="center"/>
              <w:rPr>
                <w:rFonts w:hint="eastAsia" w:ascii="宋体" w:hAnsi="等线" w:eastAsia="宋体" w:cs="Times New Roman"/>
                <w:kern w:val="0"/>
                <w:szCs w:val="21"/>
              </w:rPr>
            </w:pPr>
          </w:p>
        </w:tc>
        <w:tc>
          <w:tcPr>
            <w:tcW w:w="1902" w:type="dxa"/>
            <w:vAlign w:val="center"/>
          </w:tcPr>
          <w:p w14:paraId="04710A6D">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3</w:t>
            </w:r>
          </w:p>
        </w:tc>
        <w:tc>
          <w:tcPr>
            <w:tcW w:w="1426" w:type="dxa"/>
            <w:vAlign w:val="center"/>
          </w:tcPr>
          <w:p w14:paraId="7FA9A7FF">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20%</w:t>
            </w:r>
          </w:p>
        </w:tc>
        <w:tc>
          <w:tcPr>
            <w:tcW w:w="2065" w:type="dxa"/>
            <w:vMerge w:val="continue"/>
            <w:vAlign w:val="center"/>
          </w:tcPr>
          <w:p w14:paraId="2A9EEEE1">
            <w:pPr>
              <w:adjustRightInd w:val="0"/>
              <w:snapToGrid w:val="0"/>
              <w:spacing w:line="276" w:lineRule="auto"/>
              <w:jc w:val="center"/>
              <w:rPr>
                <w:rFonts w:hint="eastAsia" w:ascii="宋体" w:hAnsi="宋体" w:eastAsia="宋体" w:cs="Times New Roman"/>
                <w:kern w:val="0"/>
                <w:szCs w:val="21"/>
              </w:rPr>
            </w:pPr>
          </w:p>
        </w:tc>
      </w:tr>
      <w:tr w14:paraId="3AE6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3F977287">
            <w:pPr>
              <w:adjustRightInd w:val="0"/>
              <w:snapToGrid w:val="0"/>
              <w:spacing w:line="276" w:lineRule="auto"/>
              <w:jc w:val="center"/>
              <w:rPr>
                <w:rFonts w:hint="eastAsia" w:ascii="宋体" w:hAnsi="等线" w:eastAsia="宋体" w:cs="Times New Roman"/>
                <w:kern w:val="0"/>
                <w:szCs w:val="21"/>
              </w:rPr>
            </w:pPr>
          </w:p>
        </w:tc>
        <w:tc>
          <w:tcPr>
            <w:tcW w:w="1346" w:type="dxa"/>
            <w:vMerge w:val="continue"/>
            <w:vAlign w:val="center"/>
          </w:tcPr>
          <w:p w14:paraId="301189F9">
            <w:pPr>
              <w:adjustRightInd w:val="0"/>
              <w:snapToGrid w:val="0"/>
              <w:spacing w:line="276" w:lineRule="auto"/>
              <w:jc w:val="center"/>
              <w:rPr>
                <w:rFonts w:hint="eastAsia" w:ascii="宋体" w:hAnsi="等线" w:eastAsia="宋体" w:cs="Times New Roman"/>
                <w:kern w:val="0"/>
                <w:szCs w:val="21"/>
              </w:rPr>
            </w:pPr>
          </w:p>
        </w:tc>
        <w:tc>
          <w:tcPr>
            <w:tcW w:w="1902" w:type="dxa"/>
            <w:vAlign w:val="center"/>
          </w:tcPr>
          <w:p w14:paraId="2BE6E2A2">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53913E23">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0609A407">
            <w:pPr>
              <w:adjustRightInd w:val="0"/>
              <w:snapToGrid w:val="0"/>
              <w:spacing w:line="276" w:lineRule="auto"/>
              <w:jc w:val="center"/>
              <w:rPr>
                <w:rFonts w:hint="eastAsia" w:ascii="宋体" w:hAnsi="宋体" w:eastAsia="宋体" w:cs="Times New Roman"/>
                <w:kern w:val="0"/>
                <w:szCs w:val="21"/>
              </w:rPr>
            </w:pPr>
          </w:p>
        </w:tc>
      </w:tr>
      <w:tr w14:paraId="7C61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Align w:val="center"/>
          </w:tcPr>
          <w:p w14:paraId="31771263">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课程目标权重合计</w:t>
            </w:r>
          </w:p>
        </w:tc>
        <w:tc>
          <w:tcPr>
            <w:tcW w:w="1346" w:type="dxa"/>
            <w:vAlign w:val="center"/>
          </w:tcPr>
          <w:p w14:paraId="4009232D">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c>
          <w:tcPr>
            <w:tcW w:w="5393" w:type="dxa"/>
            <w:gridSpan w:val="3"/>
            <w:vAlign w:val="center"/>
          </w:tcPr>
          <w:p w14:paraId="39974C91">
            <w:pPr>
              <w:adjustRightInd w:val="0"/>
              <w:snapToGrid w:val="0"/>
              <w:spacing w:line="276" w:lineRule="auto"/>
              <w:jc w:val="center"/>
              <w:rPr>
                <w:rFonts w:hint="eastAsia" w:ascii="宋体" w:hAnsi="宋体" w:eastAsia="宋体" w:cs="Times New Roman"/>
                <w:kern w:val="0"/>
                <w:szCs w:val="21"/>
              </w:rPr>
            </w:pPr>
          </w:p>
        </w:tc>
      </w:tr>
    </w:tbl>
    <w:p w14:paraId="3447AF64">
      <w:pPr>
        <w:spacing w:line="360" w:lineRule="auto"/>
        <w:rPr>
          <w:rFonts w:ascii="Calibri" w:hAnsi="Calibri" w:eastAsia="宋体" w:cs="Times New Roman"/>
          <w:b/>
          <w:bCs/>
          <w:sz w:val="24"/>
        </w:rPr>
      </w:pPr>
    </w:p>
    <w:p w14:paraId="3D205097">
      <w:pPr>
        <w:spacing w:line="360" w:lineRule="auto"/>
        <w:rPr>
          <w:rFonts w:ascii="Calibri" w:hAnsi="Calibri" w:eastAsia="宋体" w:cs="Times New Roman"/>
          <w:b/>
          <w:bCs/>
          <w:sz w:val="24"/>
        </w:rPr>
      </w:pPr>
      <w:r>
        <w:rPr>
          <w:rFonts w:hint="eastAsia" w:ascii="Calibri" w:hAnsi="Calibri" w:eastAsia="宋体" w:cs="Times New Roman"/>
          <w:b/>
          <w:bCs/>
          <w:sz w:val="24"/>
        </w:rPr>
        <w:t>（四）课程目标达成度计算方法</w:t>
      </w:r>
    </w:p>
    <w:p w14:paraId="1BC092B7">
      <w:pPr>
        <w:adjustRightInd w:val="0"/>
        <w:snapToGrid w:val="0"/>
        <w:spacing w:line="360" w:lineRule="auto"/>
        <w:ind w:firstLine="480" w:firstLineChars="200"/>
        <w:rPr>
          <w:rFonts w:ascii="Calibri" w:hAnsi="Calibri" w:eastAsia="宋体" w:cs="Times New Roman"/>
          <w:sz w:val="24"/>
        </w:rPr>
      </w:pPr>
      <w:r>
        <w:rPr>
          <w:rFonts w:hint="eastAsia" w:ascii="Calibri" w:hAnsi="Calibri" w:eastAsia="宋体" w:cs="Times New Roman"/>
          <w:sz w:val="24"/>
        </w:rPr>
        <w:t>所有课程目标均需大于等</w:t>
      </w:r>
      <w:r>
        <w:rPr>
          <w:rFonts w:hint="eastAsia" w:ascii="宋体" w:hAnsi="宋体" w:eastAsia="宋体" w:cs="Times New Roman"/>
          <w:sz w:val="24"/>
        </w:rPr>
        <w:t>于</w:t>
      </w:r>
      <w:r>
        <w:rPr>
          <w:rFonts w:ascii="宋体" w:hAnsi="宋体" w:eastAsia="宋体" w:cs="Times New Roman"/>
          <w:szCs w:val="21"/>
        </w:rPr>
        <w:t>0.6</w:t>
      </w:r>
      <w:r>
        <w:rPr>
          <w:rFonts w:hint="eastAsia" w:ascii="Calibri" w:hAnsi="Calibri" w:eastAsia="宋体" w:cs="Times New Roman"/>
          <w:sz w:val="24"/>
        </w:rPr>
        <w:t>，否则总评成绩不及格，需要补考或重修。每门课程目标总体达成度计算方法如下：</w:t>
      </w:r>
    </w:p>
    <w:p w14:paraId="45C9327F">
      <w:pPr>
        <w:adjustRightInd w:val="0"/>
        <w:snapToGrid w:val="0"/>
        <w:spacing w:line="360" w:lineRule="auto"/>
        <w:jc w:val="left"/>
        <w:rPr>
          <w:rFonts w:hint="eastAsia" w:ascii="宋体" w:hAnsi="等线" w:eastAsia="宋体" w:cs="Times New Roman"/>
          <w:color w:val="000000"/>
          <w:sz w:val="24"/>
        </w:rPr>
      </w:pPr>
      <w:r>
        <w:rPr>
          <w:rFonts w:ascii="宋体" w:hAnsi="宋体" w:eastAsia="宋体" w:cs="Times New Roman"/>
          <w:position w:val="-26"/>
          <w:sz w:val="24"/>
        </w:rPr>
        <w:object>
          <v:shape id="_x0000_i1042" o:spt="75" type="#_x0000_t75" style="height:28.5pt;width:387pt;" o:ole="t" filled="f" o:preferrelative="t" stroked="f" coordsize="21600,21600">
            <v:path/>
            <v:fill on="f" focussize="0,0"/>
            <v:stroke on="f" joinstyle="miter"/>
            <v:imagedata r:id="rId5" o:title=""/>
            <o:lock v:ext="edit" aspectratio="t"/>
            <w10:wrap type="none"/>
            <w10:anchorlock/>
          </v:shape>
          <o:OLEObject Type="Embed" ProgID="Equation.KSEE3" ShapeID="_x0000_i1042" DrawAspect="Content" ObjectID="_1468075742" r:id="rId27">
            <o:LockedField>false</o:LockedField>
          </o:OLEObject>
        </w:object>
      </w:r>
    </w:p>
    <w:p w14:paraId="52A31EEF">
      <w:pPr>
        <w:adjustRightInd w:val="0"/>
        <w:snapToGrid w:val="0"/>
        <w:spacing w:line="360" w:lineRule="auto"/>
        <w:rPr>
          <w:rFonts w:ascii="Calibri" w:hAnsi="Calibri" w:eastAsia="宋体" w:cs="Times New Roman"/>
          <w:b/>
          <w:sz w:val="28"/>
          <w:szCs w:val="28"/>
        </w:rPr>
      </w:pPr>
      <w:r>
        <w:rPr>
          <w:rFonts w:hint="eastAsia" w:ascii="Calibri" w:hAnsi="Calibri" w:eastAsia="宋体" w:cs="Times New Roman"/>
          <w:b/>
          <w:sz w:val="28"/>
          <w:szCs w:val="28"/>
        </w:rPr>
        <w:t>六、有关说明</w:t>
      </w:r>
    </w:p>
    <w:p w14:paraId="56E686C6">
      <w:pPr>
        <w:adjustRightInd w:val="0"/>
        <w:snapToGrid w:val="0"/>
        <w:spacing w:line="360" w:lineRule="auto"/>
        <w:rPr>
          <w:rFonts w:ascii="Calibri" w:hAnsi="Calibri" w:eastAsia="宋体" w:cs="Times New Roman"/>
          <w:b/>
          <w:color w:val="000000"/>
          <w:sz w:val="24"/>
        </w:rPr>
      </w:pPr>
      <w:r>
        <w:rPr>
          <w:rFonts w:hint="eastAsia" w:ascii="Calibri" w:hAnsi="Calibri" w:eastAsia="宋体" w:cs="Times New Roman"/>
          <w:b/>
          <w:color w:val="000000"/>
          <w:sz w:val="24"/>
        </w:rPr>
        <w:t>（一）持续改进</w:t>
      </w:r>
    </w:p>
    <w:p w14:paraId="64CD2C80">
      <w:pPr>
        <w:adjustRightInd w:val="0"/>
        <w:snapToGrid w:val="0"/>
        <w:spacing w:line="360" w:lineRule="auto"/>
        <w:ind w:firstLine="480" w:firstLineChars="200"/>
        <w:rPr>
          <w:rFonts w:ascii="Calibri" w:hAnsi="Calibri" w:eastAsia="宋体" w:cs="Times New Roman"/>
          <w:sz w:val="24"/>
        </w:rPr>
      </w:pPr>
      <w:r>
        <w:rPr>
          <w:rFonts w:hint="eastAsia" w:ascii="Calibri" w:hAnsi="Calibri" w:eastAsia="宋体" w:cs="Times New Roman"/>
          <w:sz w:val="24"/>
        </w:rPr>
        <w:t>本课程根据学生作业、课堂讨论、教学环节、平时考核情况和学生、教学督导等的反馈，及时对教学中的不足之处进行改进，并在下一轮课程教学中整改完善，确保相应毕业要求指标点达成。</w:t>
      </w:r>
    </w:p>
    <w:p w14:paraId="2E310AC9">
      <w:pPr>
        <w:adjustRightInd w:val="0"/>
        <w:snapToGrid w:val="0"/>
        <w:spacing w:line="360" w:lineRule="auto"/>
        <w:rPr>
          <w:rFonts w:ascii="Calibri" w:hAnsi="Calibri" w:eastAsia="宋体" w:cs="Times New Roman"/>
          <w:b/>
          <w:color w:val="000000"/>
          <w:sz w:val="24"/>
        </w:rPr>
      </w:pPr>
      <w:r>
        <w:rPr>
          <w:rFonts w:hint="eastAsia" w:ascii="Calibri" w:hAnsi="Calibri" w:eastAsia="宋体" w:cs="Times New Roman"/>
          <w:b/>
          <w:color w:val="000000"/>
          <w:sz w:val="24"/>
        </w:rPr>
        <w:t>（二）参考书目及学习资料</w:t>
      </w:r>
    </w:p>
    <w:p w14:paraId="2A778428">
      <w:pPr>
        <w:spacing w:line="360" w:lineRule="auto"/>
        <w:rPr>
          <w:rFonts w:ascii="Calibri" w:hAnsi="Calibri" w:eastAsia="宋体" w:cs="Times New Roman"/>
          <w:sz w:val="24"/>
        </w:rPr>
      </w:pPr>
      <w:r>
        <w:rPr>
          <w:rFonts w:ascii="Calibri" w:hAnsi="Calibri" w:eastAsia="宋体" w:cs="Times New Roman"/>
          <w:sz w:val="24"/>
        </w:rPr>
        <w:t>1.</w:t>
      </w:r>
      <w:r>
        <w:rPr>
          <w:rFonts w:hint="eastAsia" w:ascii="Calibri" w:hAnsi="Calibri" w:eastAsia="宋体" w:cs="Times New Roman"/>
          <w:sz w:val="24"/>
        </w:rPr>
        <w:t>参考教材</w:t>
      </w:r>
    </w:p>
    <w:p w14:paraId="4615C2C8">
      <w:pPr>
        <w:spacing w:line="360" w:lineRule="auto"/>
        <w:rPr>
          <w:rFonts w:ascii="Calibri" w:hAnsi="Calibri" w:eastAsia="宋体" w:cs="Times New Roman"/>
          <w:sz w:val="24"/>
        </w:rPr>
      </w:pPr>
      <w:r>
        <w:rPr>
          <w:rFonts w:hint="eastAsia" w:ascii="Calibri" w:hAnsi="Calibri" w:eastAsia="宋体" w:cs="Times New Roman"/>
          <w:sz w:val="24"/>
        </w:rPr>
        <w:t>石正义</w:t>
      </w:r>
      <w:r>
        <w:rPr>
          <w:rFonts w:ascii="Calibri" w:hAnsi="Calibri" w:eastAsia="宋体" w:cs="Times New Roman"/>
          <w:sz w:val="24"/>
        </w:rPr>
        <w:t>.</w:t>
      </w:r>
      <w:r>
        <w:rPr>
          <w:rFonts w:hint="eastAsia" w:ascii="Calibri" w:hAnsi="Calibri" w:eastAsia="宋体" w:cs="Times New Roman"/>
          <w:sz w:val="24"/>
        </w:rPr>
        <w:t>小学教育政策与法规</w:t>
      </w:r>
      <w:r>
        <w:rPr>
          <w:rFonts w:ascii="Calibri" w:hAnsi="Calibri" w:eastAsia="宋体" w:cs="Times New Roman"/>
          <w:sz w:val="24"/>
        </w:rPr>
        <w:t>[M].</w:t>
      </w:r>
      <w:r>
        <w:rPr>
          <w:rFonts w:hint="eastAsia" w:ascii="Calibri" w:hAnsi="Calibri" w:eastAsia="宋体" w:cs="Times New Roman"/>
          <w:sz w:val="24"/>
        </w:rPr>
        <w:t>北京：北京师范大学出版社，</w:t>
      </w:r>
      <w:r>
        <w:rPr>
          <w:rFonts w:ascii="Calibri" w:hAnsi="Calibri" w:eastAsia="宋体" w:cs="Times New Roman"/>
          <w:sz w:val="24"/>
        </w:rPr>
        <w:t>20</w:t>
      </w:r>
      <w:r>
        <w:rPr>
          <w:rFonts w:hint="eastAsia" w:ascii="Calibri" w:hAnsi="Calibri" w:eastAsia="宋体" w:cs="Times New Roman"/>
          <w:sz w:val="24"/>
        </w:rPr>
        <w:t>22</w:t>
      </w:r>
      <w:r>
        <w:rPr>
          <w:rFonts w:ascii="Calibri" w:hAnsi="Calibri" w:eastAsia="宋体" w:cs="Times New Roman"/>
          <w:sz w:val="24"/>
        </w:rPr>
        <w:t>.</w:t>
      </w:r>
    </w:p>
    <w:p w14:paraId="4BDE3ABD">
      <w:pPr>
        <w:spacing w:line="360" w:lineRule="auto"/>
        <w:rPr>
          <w:rFonts w:ascii="Calibri" w:hAnsi="Calibri" w:eastAsia="宋体" w:cs="Times New Roman"/>
          <w:sz w:val="24"/>
        </w:rPr>
      </w:pPr>
      <w:r>
        <w:rPr>
          <w:rFonts w:ascii="Calibri" w:hAnsi="Calibri" w:eastAsia="宋体" w:cs="Times New Roman"/>
          <w:sz w:val="24"/>
        </w:rPr>
        <w:t>2.</w:t>
      </w:r>
      <w:r>
        <w:rPr>
          <w:rFonts w:hint="eastAsia" w:ascii="Calibri" w:hAnsi="Calibri" w:eastAsia="宋体" w:cs="Times New Roman"/>
          <w:sz w:val="24"/>
        </w:rPr>
        <w:t>其他教学参考书</w:t>
      </w:r>
    </w:p>
    <w:p w14:paraId="27803476">
      <w:pPr>
        <w:spacing w:line="360" w:lineRule="auto"/>
        <w:rPr>
          <w:rFonts w:ascii="Calibri" w:hAnsi="Calibri" w:eastAsia="宋体" w:cs="Times New Roman"/>
          <w:sz w:val="24"/>
        </w:rPr>
      </w:pPr>
      <w:r>
        <w:rPr>
          <w:rFonts w:hint="eastAsia" w:ascii="Calibri" w:hAnsi="Calibri" w:eastAsia="宋体" w:cs="Times New Roman"/>
          <w:sz w:val="24"/>
        </w:rPr>
        <w:t>阮成武</w:t>
      </w:r>
      <w:r>
        <w:rPr>
          <w:rFonts w:ascii="Calibri" w:hAnsi="Calibri" w:eastAsia="宋体" w:cs="Times New Roman"/>
          <w:sz w:val="24"/>
        </w:rPr>
        <w:t>.</w:t>
      </w:r>
      <w:r>
        <w:rPr>
          <w:rFonts w:hint="eastAsia" w:ascii="Calibri" w:hAnsi="Calibri" w:eastAsia="宋体" w:cs="Times New Roman"/>
          <w:sz w:val="24"/>
        </w:rPr>
        <w:t>小学教育政策与法规</w:t>
      </w:r>
      <w:r>
        <w:rPr>
          <w:rFonts w:ascii="Calibri" w:hAnsi="Calibri" w:eastAsia="宋体" w:cs="Times New Roman"/>
          <w:sz w:val="24"/>
        </w:rPr>
        <w:t>[M].</w:t>
      </w:r>
      <w:r>
        <w:rPr>
          <w:rFonts w:hint="eastAsia" w:ascii="Calibri" w:hAnsi="Calibri" w:eastAsia="宋体" w:cs="Times New Roman"/>
          <w:sz w:val="24"/>
        </w:rPr>
        <w:t>北京：高等教育出版社，</w:t>
      </w:r>
      <w:r>
        <w:rPr>
          <w:rFonts w:ascii="Calibri" w:hAnsi="Calibri" w:eastAsia="宋体" w:cs="Times New Roman"/>
          <w:sz w:val="24"/>
        </w:rPr>
        <w:t>20</w:t>
      </w:r>
      <w:r>
        <w:rPr>
          <w:rFonts w:hint="eastAsia" w:ascii="Calibri" w:hAnsi="Calibri" w:eastAsia="宋体" w:cs="Times New Roman"/>
          <w:sz w:val="24"/>
        </w:rPr>
        <w:t>23</w:t>
      </w:r>
      <w:r>
        <w:rPr>
          <w:rFonts w:ascii="Calibri" w:hAnsi="Calibri" w:eastAsia="宋体" w:cs="Times New Roman"/>
          <w:sz w:val="24"/>
        </w:rPr>
        <w:t>.</w:t>
      </w:r>
    </w:p>
    <w:p w14:paraId="7C695780">
      <w:pPr>
        <w:spacing w:line="360" w:lineRule="auto"/>
        <w:rPr>
          <w:rFonts w:ascii="Calibri" w:hAnsi="Calibri" w:eastAsia="宋体" w:cs="Times New Roman"/>
          <w:sz w:val="24"/>
        </w:rPr>
      </w:pPr>
    </w:p>
    <w:p w14:paraId="704EB206">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执笔人：赵振杰</w:t>
      </w:r>
    </w:p>
    <w:p w14:paraId="16107902">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审定人：王  健</w:t>
      </w:r>
    </w:p>
    <w:p w14:paraId="10FEF9B4">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审批人：张志欣</w:t>
      </w:r>
    </w:p>
    <w:p w14:paraId="20BE15CE">
      <w:pPr>
        <w:adjustRightInd w:val="0"/>
        <w:snapToGrid w:val="0"/>
        <w:spacing w:line="360" w:lineRule="auto"/>
        <w:ind w:right="120"/>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w:t>
      </w:r>
      <w:r>
        <w:rPr>
          <w:rFonts w:ascii="宋体" w:hAnsi="宋体" w:eastAsia="宋体" w:cs="Times New Roman"/>
          <w:kern w:val="0"/>
          <w:sz w:val="24"/>
          <w:szCs w:val="21"/>
        </w:rPr>
        <w:t>202</w:t>
      </w:r>
      <w:r>
        <w:rPr>
          <w:rFonts w:hint="eastAsia" w:ascii="宋体" w:hAnsi="宋体" w:eastAsia="宋体" w:cs="Times New Roman"/>
          <w:kern w:val="0"/>
          <w:sz w:val="24"/>
          <w:szCs w:val="21"/>
        </w:rPr>
        <w:t>4年8月2</w:t>
      </w:r>
      <w:r>
        <w:rPr>
          <w:rFonts w:ascii="宋体" w:hAnsi="宋体" w:eastAsia="宋体" w:cs="Times New Roman"/>
          <w:kern w:val="0"/>
          <w:sz w:val="24"/>
          <w:szCs w:val="21"/>
        </w:rPr>
        <w:t>0</w:t>
      </w:r>
      <w:r>
        <w:rPr>
          <w:rFonts w:hint="eastAsia" w:ascii="宋体" w:hAnsi="宋体" w:eastAsia="宋体" w:cs="Times New Roman"/>
          <w:kern w:val="0"/>
          <w:sz w:val="24"/>
          <w:szCs w:val="21"/>
        </w:rPr>
        <w:t>日</w:t>
      </w:r>
    </w:p>
    <w:p w14:paraId="37574825">
      <w:pPr>
        <w:rPr>
          <w:rFonts w:hint="eastAsia" w:ascii="等线" w:hAnsi="等线" w:eastAsia="等线" w:cs="等线"/>
          <w:b/>
          <w:bCs/>
          <w:sz w:val="44"/>
          <w:szCs w:val="44"/>
        </w:rPr>
      </w:pPr>
      <w:r>
        <w:rPr>
          <w:rFonts w:hint="eastAsia" w:ascii="等线" w:hAnsi="等线" w:eastAsia="等线" w:cs="等线"/>
          <w:b/>
          <w:bCs/>
          <w:sz w:val="44"/>
          <w:szCs w:val="44"/>
        </w:rPr>
        <w:br w:type="page"/>
      </w:r>
    </w:p>
    <w:p w14:paraId="2A7771C9">
      <w:pPr>
        <w:pStyle w:val="2"/>
      </w:pPr>
      <w:bookmarkStart w:id="101" w:name="_Toc20164"/>
      <w:bookmarkStart w:id="102" w:name="_Toc20541"/>
      <w:r>
        <w:rPr>
          <w:rFonts w:hint="eastAsia"/>
        </w:rPr>
        <w:t>《教师职业道德》课程教学大纲</w:t>
      </w:r>
      <w:bookmarkEnd w:id="101"/>
      <w:bookmarkEnd w:id="102"/>
    </w:p>
    <w:p w14:paraId="4354E44A">
      <w:pPr>
        <w:spacing w:line="276" w:lineRule="auto"/>
        <w:jc w:val="center"/>
        <w:rPr>
          <w:rFonts w:ascii="Times New Roman" w:hAnsi="Times New Roman" w:eastAsia="宋体" w:cs="Times New Roman"/>
          <w:b/>
          <w:bCs/>
          <w:sz w:val="28"/>
        </w:rPr>
      </w:pPr>
      <w:r>
        <w:rPr>
          <w:rFonts w:ascii="Times New Roman" w:hAnsi="Times New Roman" w:eastAsia="宋体" w:cs="Times New Roman"/>
          <w:b/>
          <w:bCs/>
          <w:sz w:val="28"/>
        </w:rPr>
        <w:t>（Professional Ethics of Teachers）</w:t>
      </w:r>
    </w:p>
    <w:p w14:paraId="2AC6D489">
      <w:pPr>
        <w:spacing w:line="276" w:lineRule="auto"/>
        <w:ind w:firstLine="422" w:firstLineChars="200"/>
        <w:rPr>
          <w:rFonts w:hint="eastAsia" w:ascii="宋体" w:hAnsi="宋体" w:eastAsia="宋体" w:cs="Times New Roman"/>
          <w:b/>
        </w:rPr>
      </w:pPr>
      <w:r>
        <w:rPr>
          <w:rFonts w:hint="eastAsia" w:ascii="宋体" w:hAnsi="宋体" w:eastAsia="宋体" w:cs="Times New Roman"/>
          <w:b/>
        </w:rPr>
        <w:t>课程名称：教师职业道德</w:t>
      </w:r>
    </w:p>
    <w:p w14:paraId="28D44398">
      <w:pPr>
        <w:spacing w:line="276" w:lineRule="auto"/>
        <w:ind w:firstLine="422" w:firstLineChars="200"/>
        <w:rPr>
          <w:rFonts w:hint="eastAsia" w:ascii="宋体" w:hAnsi="宋体" w:eastAsia="宋体" w:cs="Times New Roman"/>
          <w:b/>
          <w:color w:val="000000" w:themeColor="text1"/>
          <w14:textFill>
            <w14:solidFill>
              <w14:schemeClr w14:val="tx1"/>
            </w14:solidFill>
          </w14:textFill>
        </w:rPr>
      </w:pPr>
      <w:r>
        <w:rPr>
          <w:rFonts w:hint="eastAsia" w:ascii="宋体" w:hAnsi="宋体" w:eastAsia="宋体" w:cs="Times New Roman"/>
          <w:b/>
          <w:color w:val="000000" w:themeColor="text1"/>
          <w14:textFill>
            <w14:solidFill>
              <w14:schemeClr w14:val="tx1"/>
            </w14:solidFill>
          </w14:textFill>
        </w:rPr>
        <w:t>课程代码：2</w:t>
      </w:r>
      <w:r>
        <w:rPr>
          <w:rFonts w:ascii="宋体" w:hAnsi="宋体" w:eastAsia="宋体" w:cs="Times New Roman"/>
          <w:b/>
          <w:color w:val="000000" w:themeColor="text1"/>
          <w14:textFill>
            <w14:solidFill>
              <w14:schemeClr w14:val="tx1"/>
            </w14:solidFill>
          </w14:textFill>
        </w:rPr>
        <w:t>401009</w:t>
      </w:r>
    </w:p>
    <w:p w14:paraId="7231DE0E">
      <w:pPr>
        <w:spacing w:line="276" w:lineRule="auto"/>
        <w:ind w:firstLine="422" w:firstLineChars="200"/>
        <w:rPr>
          <w:rFonts w:hint="eastAsia" w:ascii="宋体" w:hAnsi="宋体" w:eastAsia="宋体" w:cs="Times New Roman"/>
          <w:b/>
          <w:color w:val="000000" w:themeColor="text1"/>
          <w14:textFill>
            <w14:solidFill>
              <w14:schemeClr w14:val="tx1"/>
            </w14:solidFill>
          </w14:textFill>
        </w:rPr>
      </w:pPr>
      <w:r>
        <w:rPr>
          <w:rFonts w:hint="eastAsia" w:ascii="宋体" w:hAnsi="宋体" w:eastAsia="宋体" w:cs="Times New Roman"/>
          <w:b/>
          <w:color w:val="000000" w:themeColor="text1"/>
          <w14:textFill>
            <w14:solidFill>
              <w14:schemeClr w14:val="tx1"/>
            </w14:solidFill>
          </w14:textFill>
        </w:rPr>
        <w:t xml:space="preserve">学 </w:t>
      </w:r>
      <w:r>
        <w:rPr>
          <w:rFonts w:ascii="宋体" w:hAnsi="宋体" w:eastAsia="宋体" w:cs="Times New Roman"/>
          <w:b/>
          <w:color w:val="000000" w:themeColor="text1"/>
          <w14:textFill>
            <w14:solidFill>
              <w14:schemeClr w14:val="tx1"/>
            </w14:solidFill>
          </w14:textFill>
        </w:rPr>
        <w:t xml:space="preserve"> </w:t>
      </w:r>
      <w:r>
        <w:rPr>
          <w:rFonts w:hint="eastAsia" w:ascii="宋体" w:hAnsi="宋体" w:eastAsia="宋体" w:cs="Times New Roman"/>
          <w:b/>
          <w:color w:val="000000" w:themeColor="text1"/>
          <w14:textFill>
            <w14:solidFill>
              <w14:schemeClr w14:val="tx1"/>
            </w14:solidFill>
          </w14:textFill>
        </w:rPr>
        <w:t>分：1</w:t>
      </w:r>
    </w:p>
    <w:p w14:paraId="7E20B5FE">
      <w:pPr>
        <w:spacing w:line="276" w:lineRule="auto"/>
        <w:ind w:firstLine="422" w:firstLineChars="200"/>
        <w:rPr>
          <w:rFonts w:hint="eastAsia" w:ascii="宋体" w:hAnsi="宋体" w:eastAsia="宋体" w:cs="Times New Roman"/>
          <w:b/>
          <w:color w:val="000000" w:themeColor="text1"/>
          <w14:textFill>
            <w14:solidFill>
              <w14:schemeClr w14:val="tx1"/>
            </w14:solidFill>
          </w14:textFill>
        </w:rPr>
      </w:pPr>
      <w:r>
        <w:rPr>
          <w:rFonts w:hint="eastAsia" w:ascii="宋体" w:hAnsi="宋体" w:eastAsia="宋体" w:cs="Times New Roman"/>
          <w:b/>
          <w:color w:val="000000" w:themeColor="text1"/>
          <w14:textFill>
            <w14:solidFill>
              <w14:schemeClr w14:val="tx1"/>
            </w14:solidFill>
          </w14:textFill>
        </w:rPr>
        <w:t xml:space="preserve">学 </w:t>
      </w:r>
      <w:r>
        <w:rPr>
          <w:rFonts w:ascii="宋体" w:hAnsi="宋体" w:eastAsia="宋体" w:cs="Times New Roman"/>
          <w:b/>
          <w:color w:val="000000" w:themeColor="text1"/>
          <w14:textFill>
            <w14:solidFill>
              <w14:schemeClr w14:val="tx1"/>
            </w14:solidFill>
          </w14:textFill>
        </w:rPr>
        <w:t xml:space="preserve"> </w:t>
      </w:r>
      <w:r>
        <w:rPr>
          <w:rFonts w:hint="eastAsia" w:ascii="宋体" w:hAnsi="宋体" w:eastAsia="宋体" w:cs="Times New Roman"/>
          <w:b/>
          <w:color w:val="000000" w:themeColor="text1"/>
          <w14:textFill>
            <w14:solidFill>
              <w14:schemeClr w14:val="tx1"/>
            </w14:solidFill>
          </w14:textFill>
        </w:rPr>
        <w:t>时：1</w:t>
      </w:r>
      <w:r>
        <w:rPr>
          <w:rFonts w:ascii="宋体" w:hAnsi="宋体" w:eastAsia="宋体" w:cs="Times New Roman"/>
          <w:b/>
          <w:color w:val="000000" w:themeColor="text1"/>
          <w14:textFill>
            <w14:solidFill>
              <w14:schemeClr w14:val="tx1"/>
            </w14:solidFill>
          </w14:textFill>
        </w:rPr>
        <w:t>6</w:t>
      </w:r>
    </w:p>
    <w:p w14:paraId="47F2DBAA">
      <w:pPr>
        <w:spacing w:line="276" w:lineRule="auto"/>
        <w:ind w:firstLine="422" w:firstLineChars="200"/>
        <w:rPr>
          <w:rFonts w:hint="eastAsia" w:ascii="宋体" w:hAnsi="宋体" w:eastAsia="宋体" w:cs="Times New Roman"/>
          <w:b/>
          <w:color w:val="000000" w:themeColor="text1"/>
          <w14:textFill>
            <w14:solidFill>
              <w14:schemeClr w14:val="tx1"/>
            </w14:solidFill>
          </w14:textFill>
        </w:rPr>
      </w:pPr>
      <w:r>
        <w:rPr>
          <w:rFonts w:hint="eastAsia" w:ascii="宋体" w:hAnsi="宋体" w:eastAsia="宋体" w:cs="Times New Roman"/>
          <w:b/>
          <w:color w:val="000000" w:themeColor="text1"/>
          <w14:textFill>
            <w14:solidFill>
              <w14:schemeClr w14:val="tx1"/>
            </w14:solidFill>
          </w14:textFill>
        </w:rPr>
        <w:t>先修课程：专业导学</w:t>
      </w:r>
    </w:p>
    <w:p w14:paraId="4AE1F57A">
      <w:pPr>
        <w:spacing w:line="276" w:lineRule="auto"/>
        <w:ind w:firstLine="422" w:firstLineChars="200"/>
        <w:rPr>
          <w:rFonts w:hint="eastAsia" w:ascii="宋体" w:hAnsi="宋体" w:eastAsia="宋体" w:cs="Times New Roman"/>
        </w:rPr>
      </w:pPr>
      <w:r>
        <w:rPr>
          <w:rFonts w:hint="eastAsia" w:ascii="宋体" w:hAnsi="宋体" w:eastAsia="宋体" w:cs="Times New Roman"/>
          <w:b/>
        </w:rPr>
        <w:t>适用专业</w:t>
      </w:r>
      <w:r>
        <w:rPr>
          <w:rFonts w:hint="eastAsia" w:ascii="宋体" w:hAnsi="宋体" w:eastAsia="宋体" w:cs="Times New Roman"/>
          <w:b/>
          <w:bCs/>
        </w:rPr>
        <w:t>：小学教育（文）、小学教育（理）</w:t>
      </w:r>
    </w:p>
    <w:p w14:paraId="599338AA">
      <w:pPr>
        <w:spacing w:line="276" w:lineRule="auto"/>
        <w:ind w:firstLine="422" w:firstLineChars="200"/>
        <w:rPr>
          <w:rFonts w:hint="eastAsia" w:ascii="宋体" w:hAnsi="宋体" w:eastAsia="宋体" w:cs="Times New Roman"/>
          <w:b/>
        </w:rPr>
      </w:pPr>
    </w:p>
    <w:p w14:paraId="7FF1A872">
      <w:pPr>
        <w:spacing w:line="276" w:lineRule="auto"/>
        <w:ind w:firstLine="422" w:firstLineChars="200"/>
        <w:rPr>
          <w:rFonts w:hint="eastAsia" w:ascii="宋体" w:hAnsi="宋体" w:eastAsia="宋体" w:cs="Times New Roman"/>
          <w:b/>
        </w:rPr>
      </w:pPr>
      <w:r>
        <w:rPr>
          <w:rFonts w:hint="eastAsia" w:ascii="宋体" w:hAnsi="宋体" w:eastAsia="宋体" w:cs="Times New Roman"/>
          <w:b/>
        </w:rPr>
        <w:t>一、课程简介</w:t>
      </w:r>
    </w:p>
    <w:p w14:paraId="74D823AF">
      <w:pPr>
        <w:spacing w:line="276" w:lineRule="auto"/>
        <w:ind w:firstLine="420" w:firstLineChars="200"/>
        <w:rPr>
          <w:rFonts w:hint="eastAsia" w:ascii="宋体" w:hAnsi="宋体" w:eastAsia="宋体" w:cs="Times New Roman"/>
        </w:rPr>
      </w:pPr>
      <w:r>
        <w:rPr>
          <w:rFonts w:hint="eastAsia" w:ascii="宋体" w:hAnsi="宋体" w:eastAsia="宋体" w:cs="Times New Roman"/>
        </w:rPr>
        <w:t>《教师职业道德》是小学教育专业必修课程。通过本课程的学习，旨在使师范生系统了解教师职业道德的内涵、理论、基本内容与规范，正确认识和理解教育工作、教师职业劳动与社会、国家、集体、他人的关系，全面了解并积极践行教师职业道德规范，掌握教师职业道德修养的途径与方法，自觉提高自身素质，以便在未来更好地教书育人、做好教育教学工作，为建设新时代特色社会主义强国尽职尽责。</w:t>
      </w:r>
    </w:p>
    <w:p w14:paraId="22DDDD99">
      <w:pPr>
        <w:spacing w:line="276" w:lineRule="auto"/>
        <w:ind w:firstLine="562" w:firstLineChars="200"/>
        <w:rPr>
          <w:rFonts w:hint="eastAsia" w:ascii="宋体" w:hAnsi="宋体" w:eastAsia="宋体" w:cs="Times New Roman"/>
          <w:b/>
          <w:sz w:val="28"/>
        </w:rPr>
      </w:pPr>
      <w:r>
        <w:rPr>
          <w:rFonts w:hint="eastAsia" w:ascii="宋体" w:hAnsi="宋体" w:eastAsia="宋体" w:cs="Times New Roman"/>
          <w:b/>
          <w:sz w:val="28"/>
        </w:rPr>
        <w:t>二、课程目标</w:t>
      </w:r>
    </w:p>
    <w:p w14:paraId="348AF526">
      <w:pPr>
        <w:adjustRightInd w:val="0"/>
        <w:snapToGrid w:val="0"/>
        <w:spacing w:line="360" w:lineRule="auto"/>
        <w:ind w:firstLine="316" w:firstLineChars="150"/>
        <w:rPr>
          <w:rFonts w:hint="eastAsia" w:ascii="宋体" w:hAnsi="宋体" w:eastAsia="宋体" w:cs="Times New Roman"/>
          <w:b/>
        </w:rPr>
      </w:pPr>
      <w:r>
        <w:rPr>
          <w:rFonts w:hint="eastAsia" w:ascii="宋体" w:hAnsi="宋体" w:eastAsia="宋体" w:cs="Times New Roman"/>
          <w:b/>
        </w:rPr>
        <w:t>（一）课程具体目标</w:t>
      </w:r>
    </w:p>
    <w:p w14:paraId="51EB7FFB">
      <w:pPr>
        <w:adjustRightInd w:val="0"/>
        <w:snapToGrid w:val="0"/>
        <w:spacing w:line="360" w:lineRule="auto"/>
        <w:ind w:firstLine="420" w:firstLineChars="200"/>
        <w:rPr>
          <w:rFonts w:hint="eastAsia" w:ascii="宋体" w:hAnsi="宋体" w:eastAsia="宋体" w:cs="Times New Roman"/>
        </w:rPr>
      </w:pPr>
      <w:r>
        <w:rPr>
          <w:rFonts w:hint="eastAsia" w:ascii="宋体" w:hAnsi="宋体" w:eastAsia="宋体" w:cs="Times New Roman"/>
        </w:rPr>
        <w:t>目标1.了解教师职业道德的基本概念、基本理论、基本规范，理解教师职业道德在提高教师自身素质和教书育人方面的价值与意义。</w:t>
      </w:r>
    </w:p>
    <w:p w14:paraId="52999D78">
      <w:pPr>
        <w:adjustRightInd w:val="0"/>
        <w:snapToGrid w:val="0"/>
        <w:spacing w:line="360" w:lineRule="auto"/>
        <w:ind w:firstLine="420" w:firstLineChars="200"/>
        <w:rPr>
          <w:rFonts w:hint="eastAsia" w:ascii="宋体" w:hAnsi="宋体" w:eastAsia="宋体" w:cs="Times New Roman"/>
        </w:rPr>
      </w:pPr>
      <w:r>
        <w:rPr>
          <w:rFonts w:hint="eastAsia" w:ascii="宋体" w:hAnsi="宋体" w:eastAsia="宋体" w:cs="Times New Roman"/>
        </w:rPr>
        <w:t>目标2</w:t>
      </w:r>
      <w:r>
        <w:rPr>
          <w:rFonts w:ascii="宋体" w:hAnsi="宋体" w:eastAsia="宋体" w:cs="Times New Roman"/>
        </w:rPr>
        <w:t>.</w:t>
      </w:r>
      <w:r>
        <w:rPr>
          <w:rFonts w:hint="eastAsia" w:ascii="宋体" w:hAnsi="宋体" w:eastAsia="宋体" w:cs="Times New Roman"/>
        </w:rPr>
        <w:t>掌握教师职业道德评价的方法、原则、理念等，会运用教师职业道德规范评判教师日常行为。</w:t>
      </w:r>
    </w:p>
    <w:p w14:paraId="6A3AE3E6">
      <w:pPr>
        <w:adjustRightInd w:val="0"/>
        <w:snapToGrid w:val="0"/>
        <w:spacing w:line="360" w:lineRule="auto"/>
        <w:ind w:firstLine="420" w:firstLineChars="200"/>
        <w:rPr>
          <w:rFonts w:hint="eastAsia" w:ascii="宋体" w:hAnsi="宋体" w:eastAsia="宋体" w:cs="Times New Roman"/>
        </w:rPr>
      </w:pPr>
      <w:r>
        <w:rPr>
          <w:rFonts w:hint="eastAsia" w:ascii="宋体" w:hAnsi="宋体" w:eastAsia="宋体" w:cs="Times New Roman"/>
        </w:rPr>
        <w:t>目标3.正确认识教师与学生、与学生家长、与其他教师之间的关系，掌握调适相互关系的原则与办法。</w:t>
      </w:r>
    </w:p>
    <w:p w14:paraId="7045F08D">
      <w:pPr>
        <w:adjustRightInd w:val="0"/>
        <w:snapToGrid w:val="0"/>
        <w:spacing w:line="360" w:lineRule="auto"/>
        <w:ind w:firstLine="420" w:firstLineChars="200"/>
        <w:rPr>
          <w:rFonts w:hint="eastAsia" w:ascii="宋体" w:hAnsi="宋体" w:eastAsia="宋体" w:cs="Times New Roman"/>
        </w:rPr>
      </w:pPr>
      <w:r>
        <w:rPr>
          <w:rFonts w:hint="eastAsia" w:ascii="宋体" w:hAnsi="宋体" w:eastAsia="宋体" w:cs="Times New Roman"/>
        </w:rPr>
        <w:t>目标</w:t>
      </w:r>
      <w:r>
        <w:rPr>
          <w:rFonts w:ascii="宋体" w:hAnsi="宋体" w:eastAsia="宋体" w:cs="Times New Roman"/>
        </w:rPr>
        <w:t>4</w:t>
      </w:r>
      <w:r>
        <w:rPr>
          <w:rFonts w:hint="eastAsia" w:ascii="宋体" w:hAnsi="宋体" w:eastAsia="宋体" w:cs="Times New Roman"/>
        </w:rPr>
        <w:t>.理解教师职业道德修养的途径与方法，自觉提高自身素养，促进自身师德发展。</w:t>
      </w:r>
    </w:p>
    <w:p w14:paraId="462A570B">
      <w:pPr>
        <w:adjustRightInd w:val="0"/>
        <w:snapToGrid w:val="0"/>
        <w:spacing w:line="360" w:lineRule="auto"/>
        <w:ind w:firstLine="211" w:firstLineChars="100"/>
        <w:rPr>
          <w:rFonts w:hint="eastAsia" w:ascii="宋体" w:hAnsi="宋体" w:eastAsia="宋体" w:cs="Times New Roman"/>
          <w:b/>
        </w:rPr>
      </w:pPr>
      <w:r>
        <w:rPr>
          <w:rFonts w:hint="eastAsia" w:ascii="宋体" w:hAnsi="宋体" w:eastAsia="宋体" w:cs="Times New Roman"/>
          <w:b/>
        </w:rPr>
        <w:t>（二）课程目标及其对毕业要求指标点的支撑</w:t>
      </w:r>
    </w:p>
    <w:p w14:paraId="615A2AB8">
      <w:pPr>
        <w:adjustRightInd w:val="0"/>
        <w:snapToGrid w:val="0"/>
        <w:spacing w:line="360" w:lineRule="auto"/>
        <w:ind w:firstLine="211" w:firstLineChars="100"/>
        <w:rPr>
          <w:rFonts w:hint="eastAsia" w:ascii="宋体" w:hAnsi="宋体" w:eastAsia="宋体" w:cs="Times New Roman"/>
          <w:b/>
        </w:rPr>
      </w:pPr>
    </w:p>
    <w:p w14:paraId="5B25B9FF">
      <w:pPr>
        <w:adjustRightInd w:val="0"/>
        <w:snapToGrid w:val="0"/>
        <w:spacing w:line="360" w:lineRule="auto"/>
        <w:ind w:firstLine="211" w:firstLineChars="100"/>
        <w:rPr>
          <w:rFonts w:hint="eastAsia" w:ascii="宋体" w:hAnsi="宋体" w:eastAsia="宋体" w:cs="Times New Roman"/>
          <w:b/>
        </w:rPr>
      </w:pPr>
    </w:p>
    <w:tbl>
      <w:tblPr>
        <w:tblStyle w:val="14"/>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5244"/>
        <w:gridCol w:w="1701"/>
      </w:tblGrid>
      <w:tr w14:paraId="319F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515D4DB8">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毕业要求</w:t>
            </w:r>
          </w:p>
        </w:tc>
        <w:tc>
          <w:tcPr>
            <w:tcW w:w="5244" w:type="dxa"/>
          </w:tcPr>
          <w:p w14:paraId="037B5CC5">
            <w:pPr>
              <w:adjustRightInd w:val="0"/>
              <w:snapToGrid w:val="0"/>
              <w:spacing w:line="276" w:lineRule="auto"/>
              <w:jc w:val="center"/>
              <w:rPr>
                <w:rFonts w:hint="eastAsia" w:ascii="宋体" w:hAnsi="宋体" w:eastAsia="宋体" w:cs="Times New Roman"/>
                <w:b/>
                <w:szCs w:val="21"/>
              </w:rPr>
            </w:pPr>
            <w:r>
              <w:rPr>
                <w:rFonts w:hint="eastAsia" w:ascii="宋体" w:hAnsi="宋体" w:eastAsia="宋体" w:cs="Times New Roman"/>
                <w:b/>
                <w:szCs w:val="21"/>
              </w:rPr>
              <w:t>毕业要求指标点</w:t>
            </w:r>
          </w:p>
        </w:tc>
        <w:tc>
          <w:tcPr>
            <w:tcW w:w="1701" w:type="dxa"/>
            <w:vAlign w:val="center"/>
          </w:tcPr>
          <w:p w14:paraId="2EA2ABA3">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课标目标</w:t>
            </w:r>
          </w:p>
        </w:tc>
      </w:tr>
      <w:tr w14:paraId="16A4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trPr>
        <w:tc>
          <w:tcPr>
            <w:tcW w:w="1555" w:type="dxa"/>
            <w:vAlign w:val="center"/>
          </w:tcPr>
          <w:p w14:paraId="49CAA7E3">
            <w:pPr>
              <w:adjustRightInd w:val="0"/>
              <w:snapToGrid w:val="0"/>
              <w:spacing w:line="360" w:lineRule="auto"/>
              <w:jc w:val="center"/>
              <w:rPr>
                <w:rFonts w:hint="eastAsia" w:ascii="宋体" w:hAnsi="宋体" w:eastAsia="宋体"/>
                <w:bCs/>
                <w:color w:val="000000"/>
                <w:kern w:val="0"/>
                <w:szCs w:val="21"/>
              </w:rPr>
            </w:pPr>
            <w:r>
              <w:rPr>
                <w:rFonts w:hint="eastAsia" w:ascii="宋体" w:hAnsi="宋体" w:eastAsia="宋体"/>
                <w:bCs/>
                <w:color w:val="000000"/>
                <w:kern w:val="0"/>
                <w:szCs w:val="21"/>
              </w:rPr>
              <w:t>毕业要求</w:t>
            </w:r>
            <w:r>
              <w:rPr>
                <w:rFonts w:ascii="宋体" w:hAnsi="宋体" w:eastAsia="宋体"/>
                <w:bCs/>
                <w:color w:val="000000"/>
                <w:kern w:val="0"/>
                <w:szCs w:val="21"/>
              </w:rPr>
              <w:t>1</w:t>
            </w:r>
            <w:r>
              <w:rPr>
                <w:rFonts w:hint="eastAsia" w:ascii="宋体" w:hAnsi="宋体" w:eastAsia="宋体"/>
                <w:bCs/>
                <w:color w:val="000000"/>
                <w:kern w:val="0"/>
                <w:szCs w:val="21"/>
              </w:rPr>
              <w:t>：</w:t>
            </w:r>
          </w:p>
          <w:p w14:paraId="7E979EA8">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bCs/>
                <w:color w:val="000000"/>
                <w:kern w:val="0"/>
                <w:szCs w:val="21"/>
              </w:rPr>
              <w:t>师德规范</w:t>
            </w:r>
          </w:p>
        </w:tc>
        <w:tc>
          <w:tcPr>
            <w:tcW w:w="5244" w:type="dxa"/>
          </w:tcPr>
          <w:p w14:paraId="19AE8227">
            <w:pPr>
              <w:adjustRightInd w:val="0"/>
              <w:snapToGrid w:val="0"/>
              <w:spacing w:line="276" w:lineRule="auto"/>
              <w:rPr>
                <w:rFonts w:hint="eastAsia" w:ascii="宋体" w:hAnsi="宋体" w:eastAsia="宋体" w:cs="Times New Roman"/>
                <w:bCs/>
                <w:szCs w:val="21"/>
              </w:rPr>
            </w:pPr>
            <w:r>
              <w:rPr>
                <w:rFonts w:ascii="宋体" w:hAnsi="宋体" w:eastAsia="宋体" w:cs="Times New Roman"/>
                <w:bCs/>
                <w:szCs w:val="21"/>
              </w:rPr>
              <w:t>指标点1-2:【职业修养良好】以立德树人为己任，掌握立德树人的途径和方法，着眼于学生的全面发展，实施素质教育，培养 学生的核心素养</w:t>
            </w:r>
            <w:r>
              <w:rPr>
                <w:rFonts w:hint="eastAsia" w:ascii="宋体" w:hAnsi="宋体" w:eastAsia="宋体" w:cs="Times New Roman"/>
                <w:bCs/>
                <w:szCs w:val="21"/>
              </w:rPr>
              <w:t>；理</w:t>
            </w:r>
            <w:r>
              <w:rPr>
                <w:rFonts w:ascii="宋体" w:hAnsi="宋体" w:eastAsia="宋体" w:cs="Times New Roman"/>
                <w:bCs/>
                <w:szCs w:val="21"/>
              </w:rPr>
              <w:t>解教师职业道德规范内涵与要求，遵守《新时代中小学教师职业行为十项准则》，依法执教，教育实践中能履行应尽义务，自觉维护学生和自身的合法权益。</w:t>
            </w:r>
          </w:p>
        </w:tc>
        <w:tc>
          <w:tcPr>
            <w:tcW w:w="1701" w:type="dxa"/>
            <w:vAlign w:val="center"/>
          </w:tcPr>
          <w:p w14:paraId="56C3D407">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课程目标1</w:t>
            </w:r>
          </w:p>
          <w:p w14:paraId="31AA03C9">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课程目标2</w:t>
            </w:r>
          </w:p>
          <w:p w14:paraId="625FF76E">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课程目标3</w:t>
            </w:r>
          </w:p>
        </w:tc>
      </w:tr>
      <w:tr w14:paraId="7E52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326F9441">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毕业要求2：</w:t>
            </w:r>
          </w:p>
          <w:p w14:paraId="7D9748CB">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教育情怀</w:t>
            </w:r>
          </w:p>
        </w:tc>
        <w:tc>
          <w:tcPr>
            <w:tcW w:w="5244" w:type="dxa"/>
          </w:tcPr>
          <w:p w14:paraId="2FD08304">
            <w:pPr>
              <w:adjustRightInd w:val="0"/>
              <w:snapToGrid w:val="0"/>
              <w:spacing w:line="276" w:lineRule="auto"/>
              <w:rPr>
                <w:rFonts w:hint="eastAsia" w:ascii="宋体" w:hAnsi="宋体" w:eastAsia="宋体" w:cs="Times New Roman"/>
                <w:bCs/>
                <w:szCs w:val="21"/>
              </w:rPr>
            </w:pPr>
            <w:r>
              <w:rPr>
                <w:rFonts w:ascii="宋体" w:hAnsi="宋体" w:eastAsia="宋体" w:cs="Times New Roman"/>
                <w:bCs/>
                <w:szCs w:val="21"/>
              </w:rPr>
              <w:t>指标点2-2</w:t>
            </w:r>
            <w:r>
              <w:rPr>
                <w:rFonts w:hint="eastAsia" w:ascii="宋体" w:hAnsi="宋体" w:eastAsia="宋体" w:cs="Times New Roman"/>
                <w:bCs/>
                <w:szCs w:val="21"/>
              </w:rPr>
              <w:t>：</w:t>
            </w:r>
            <w:r>
              <w:rPr>
                <w:rFonts w:ascii="宋体" w:hAnsi="宋体" w:eastAsia="宋体" w:cs="Times New Roman"/>
                <w:bCs/>
                <w:szCs w:val="21"/>
              </w:rPr>
              <w:t>【仁爱之心深厚】关爱学生，用心从教。具有正确的儿童观，理解、尊重、关爱、保护学生，以儿童发展为教育的中心。爱岗敬业，在教育实践中能认真履行教育教学职责与班主 任工作职责，富有爱心、责任心、工作细心、耐心，做学生学习的促进者、道德品质和创新思维的培养者，奉献祖国的引路人。</w:t>
            </w:r>
          </w:p>
        </w:tc>
        <w:tc>
          <w:tcPr>
            <w:tcW w:w="1701" w:type="dxa"/>
            <w:vAlign w:val="center"/>
          </w:tcPr>
          <w:p w14:paraId="6D3F0040">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课程目标1</w:t>
            </w:r>
          </w:p>
          <w:p w14:paraId="24F98240">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课程目标2</w:t>
            </w:r>
          </w:p>
          <w:p w14:paraId="1306936A">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课程目标3</w:t>
            </w:r>
          </w:p>
        </w:tc>
      </w:tr>
      <w:tr w14:paraId="120F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2C9F277C">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毕业要求8：</w:t>
            </w:r>
          </w:p>
          <w:p w14:paraId="70BA8B0C">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沟通合作</w:t>
            </w:r>
          </w:p>
        </w:tc>
        <w:tc>
          <w:tcPr>
            <w:tcW w:w="5244" w:type="dxa"/>
          </w:tcPr>
          <w:p w14:paraId="3F7544BE">
            <w:pPr>
              <w:adjustRightInd w:val="0"/>
              <w:snapToGrid w:val="0"/>
              <w:spacing w:line="276" w:lineRule="auto"/>
              <w:rPr>
                <w:rFonts w:hint="eastAsia" w:ascii="宋体" w:hAnsi="宋体" w:eastAsia="宋体" w:cs="Times New Roman"/>
                <w:bCs/>
                <w:szCs w:val="21"/>
              </w:rPr>
            </w:pPr>
            <w:r>
              <w:rPr>
                <w:rFonts w:ascii="宋体" w:hAnsi="宋体" w:eastAsia="宋体" w:cs="Times New Roman"/>
                <w:bCs/>
                <w:szCs w:val="21"/>
              </w:rPr>
              <w:t>指标点</w:t>
            </w:r>
            <w:r>
              <w:rPr>
                <w:rFonts w:hint="eastAsia" w:ascii="宋体" w:hAnsi="宋体" w:eastAsia="宋体" w:cs="Times New Roman"/>
                <w:bCs/>
                <w:szCs w:val="21"/>
              </w:rPr>
              <w:t>8</w:t>
            </w:r>
            <w:r>
              <w:rPr>
                <w:rFonts w:ascii="宋体" w:hAnsi="宋体" w:eastAsia="宋体" w:cs="Times New Roman"/>
                <w:bCs/>
                <w:szCs w:val="21"/>
              </w:rPr>
              <w:t>-2</w:t>
            </w:r>
            <w:r>
              <w:rPr>
                <w:rFonts w:hint="eastAsia" w:ascii="宋体" w:hAnsi="宋体" w:eastAsia="宋体" w:cs="Times New Roman"/>
                <w:bCs/>
                <w:szCs w:val="21"/>
              </w:rPr>
              <w:t>：</w:t>
            </w:r>
            <w:r>
              <w:rPr>
                <w:rFonts w:ascii="宋体" w:hAnsi="宋体" w:eastAsia="宋体" w:cs="Times New Roman"/>
                <w:bCs/>
                <w:szCs w:val="21"/>
              </w:rPr>
              <w:t>【学会沟通交流】掌握人际沟通合作技能与方法，在教育教学实践中，能与学生和家长以及同行、同事、专家进行有效沟通与合作，实现共同发展。</w:t>
            </w:r>
          </w:p>
        </w:tc>
        <w:tc>
          <w:tcPr>
            <w:tcW w:w="1701" w:type="dxa"/>
            <w:vAlign w:val="center"/>
          </w:tcPr>
          <w:p w14:paraId="10DB10C2">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课程目标3</w:t>
            </w:r>
          </w:p>
          <w:p w14:paraId="3F1E8CE3">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课程目标4</w:t>
            </w:r>
          </w:p>
        </w:tc>
      </w:tr>
    </w:tbl>
    <w:p w14:paraId="7F5160AE">
      <w:pPr>
        <w:adjustRightInd w:val="0"/>
        <w:snapToGrid w:val="0"/>
        <w:spacing w:line="360" w:lineRule="auto"/>
        <w:ind w:firstLine="211" w:firstLineChars="100"/>
        <w:rPr>
          <w:rFonts w:hint="eastAsia" w:ascii="宋体" w:hAnsi="宋体" w:eastAsia="宋体" w:cs="Times New Roman"/>
          <w:b/>
        </w:rPr>
      </w:pPr>
    </w:p>
    <w:p w14:paraId="6FF6E0D4">
      <w:pPr>
        <w:adjustRightInd w:val="0"/>
        <w:snapToGrid w:val="0"/>
        <w:spacing w:line="360" w:lineRule="auto"/>
        <w:ind w:firstLine="211" w:firstLineChars="100"/>
        <w:rPr>
          <w:rFonts w:hint="eastAsia" w:ascii="宋体" w:hAnsi="宋体" w:eastAsia="宋体" w:cs="Times New Roman"/>
          <w:b/>
        </w:rPr>
      </w:pPr>
      <w:r>
        <w:rPr>
          <w:rFonts w:hint="eastAsia" w:ascii="宋体" w:hAnsi="宋体" w:eastAsia="宋体" w:cs="Times New Roman"/>
          <w:b/>
        </w:rPr>
        <w:t>（三）课程思政目标</w:t>
      </w:r>
    </w:p>
    <w:p w14:paraId="6D1C1B53">
      <w:pPr>
        <w:adjustRightInd w:val="0"/>
        <w:snapToGrid w:val="0"/>
        <w:spacing w:line="360" w:lineRule="auto"/>
        <w:ind w:firstLine="420" w:firstLineChars="200"/>
        <w:rPr>
          <w:rFonts w:hint="eastAsia" w:ascii="宋体" w:hAnsi="宋体" w:eastAsia="宋体" w:cs="Times New Roman"/>
          <w:bCs/>
        </w:rPr>
      </w:pPr>
      <w:r>
        <w:rPr>
          <w:rFonts w:ascii="宋体" w:hAnsi="宋体" w:eastAsia="宋体" w:cs="Times New Roman"/>
          <w:bCs/>
        </w:rPr>
        <w:t>树立正确的教育理念</w:t>
      </w:r>
      <w:r>
        <w:rPr>
          <w:rFonts w:hint="eastAsia" w:ascii="宋体" w:hAnsi="宋体" w:eastAsia="宋体" w:cs="Times New Roman"/>
          <w:bCs/>
        </w:rPr>
        <w:t>，加深教育情怀和对教育工作的热爱；谦虚好学、持续发展，热爱儿童，关心儿童，遵循教育规律，掌握教育教学的正确方法。</w:t>
      </w:r>
    </w:p>
    <w:p w14:paraId="6A513829">
      <w:pPr>
        <w:spacing w:line="360" w:lineRule="auto"/>
        <w:ind w:firstLine="422" w:firstLineChars="200"/>
        <w:rPr>
          <w:rFonts w:hint="eastAsia" w:ascii="宋体" w:hAnsi="宋体" w:eastAsia="宋体"/>
          <w:b/>
          <w:szCs w:val="22"/>
        </w:rPr>
      </w:pPr>
      <w:r>
        <w:rPr>
          <w:rFonts w:hint="eastAsia" w:ascii="宋体" w:hAnsi="宋体" w:eastAsia="宋体"/>
          <w:b/>
          <w:szCs w:val="22"/>
        </w:rPr>
        <w:t>三、教学内容与预期学习成效</w:t>
      </w:r>
    </w:p>
    <w:tbl>
      <w:tblPr>
        <w:tblStyle w:val="14"/>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2835"/>
        <w:gridCol w:w="1276"/>
        <w:gridCol w:w="2410"/>
        <w:gridCol w:w="1559"/>
        <w:gridCol w:w="476"/>
      </w:tblGrid>
      <w:tr w14:paraId="460E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28" w:type="dxa"/>
            <w:vAlign w:val="center"/>
          </w:tcPr>
          <w:p w14:paraId="48E46438">
            <w:pPr>
              <w:adjustRightInd w:val="0"/>
              <w:snapToGrid w:val="0"/>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7CE5A4B0">
            <w:pPr>
              <w:adjustRightInd w:val="0"/>
              <w:snapToGrid w:val="0"/>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835" w:type="dxa"/>
            <w:vAlign w:val="center"/>
          </w:tcPr>
          <w:p w14:paraId="10EBE6CE">
            <w:pPr>
              <w:adjustRightInd w:val="0"/>
              <w:snapToGrid w:val="0"/>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276" w:type="dxa"/>
            <w:vAlign w:val="center"/>
          </w:tcPr>
          <w:p w14:paraId="450231D8">
            <w:pPr>
              <w:adjustRightInd w:val="0"/>
              <w:snapToGrid w:val="0"/>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03F107A">
            <w:pPr>
              <w:adjustRightInd w:val="0"/>
              <w:snapToGrid w:val="0"/>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410" w:type="dxa"/>
            <w:vAlign w:val="center"/>
          </w:tcPr>
          <w:p w14:paraId="0E67C61B">
            <w:pPr>
              <w:adjustRightInd w:val="0"/>
              <w:snapToGrid w:val="0"/>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59" w:type="dxa"/>
            <w:vAlign w:val="center"/>
          </w:tcPr>
          <w:p w14:paraId="3E27AC9D">
            <w:pPr>
              <w:adjustRightInd w:val="0"/>
              <w:snapToGrid w:val="0"/>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76" w:type="dxa"/>
            <w:vAlign w:val="center"/>
          </w:tcPr>
          <w:p w14:paraId="1315CABA">
            <w:pPr>
              <w:adjustRightInd w:val="0"/>
              <w:snapToGrid w:val="0"/>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0BFE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128" w:type="dxa"/>
            <w:vMerge w:val="restart"/>
            <w:vAlign w:val="center"/>
          </w:tcPr>
          <w:p w14:paraId="470F5CB4">
            <w:pPr>
              <w:adjustRightInd w:val="0"/>
              <w:snapToGrid w:val="0"/>
              <w:spacing w:line="276" w:lineRule="auto"/>
              <w:rPr>
                <w:rFonts w:hint="eastAsia" w:ascii="宋体" w:hAnsi="宋体" w:eastAsia="宋体"/>
                <w:bCs/>
                <w:szCs w:val="21"/>
              </w:rPr>
            </w:pPr>
            <w:r>
              <w:rPr>
                <w:rFonts w:hint="eastAsia" w:ascii="宋体" w:hAnsi="宋体" w:eastAsia="宋体"/>
                <w:bCs/>
                <w:szCs w:val="21"/>
              </w:rPr>
              <w:t>第一章</w:t>
            </w:r>
          </w:p>
          <w:p w14:paraId="33644154">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bCs/>
                <w:szCs w:val="21"/>
              </w:rPr>
              <w:t>教育劳动与教师职业道德</w:t>
            </w:r>
          </w:p>
        </w:tc>
        <w:tc>
          <w:tcPr>
            <w:tcW w:w="2835" w:type="dxa"/>
            <w:vAlign w:val="center"/>
          </w:tcPr>
          <w:p w14:paraId="282B087C">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.学校教育的价值</w:t>
            </w:r>
          </w:p>
          <w:p w14:paraId="15F15624">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.教育劳动的德性</w:t>
            </w:r>
          </w:p>
          <w:p w14:paraId="6682556E">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.教师职业道德的形成与特点</w:t>
            </w:r>
          </w:p>
          <w:p w14:paraId="31143933">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4</w:t>
            </w:r>
            <w:r>
              <w:rPr>
                <w:rFonts w:ascii="宋体" w:hAnsi="宋体" w:eastAsia="宋体" w:cs="Times New Roman"/>
                <w:bCs/>
                <w:color w:val="000000"/>
                <w:szCs w:val="21"/>
              </w:rPr>
              <w:t>.学习和实践教师职业道德的意义</w:t>
            </w:r>
          </w:p>
        </w:tc>
        <w:tc>
          <w:tcPr>
            <w:tcW w:w="1276" w:type="dxa"/>
            <w:vAlign w:val="center"/>
          </w:tcPr>
          <w:p w14:paraId="6FE32401">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课程目标1</w:t>
            </w:r>
          </w:p>
        </w:tc>
        <w:tc>
          <w:tcPr>
            <w:tcW w:w="2410" w:type="dxa"/>
            <w:vAlign w:val="center"/>
          </w:tcPr>
          <w:p w14:paraId="77E92954">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bCs/>
                <w:szCs w:val="21"/>
              </w:rPr>
              <w:t>了解教师劳动的特点，</w:t>
            </w:r>
            <w:r>
              <w:rPr>
                <w:rFonts w:ascii="宋体" w:hAnsi="宋体" w:eastAsia="宋体"/>
                <w:bCs/>
                <w:szCs w:val="21"/>
              </w:rPr>
              <w:t>理解教师劳动的德性价值，认同践行教师职业道德的价值意义。</w:t>
            </w:r>
          </w:p>
        </w:tc>
        <w:tc>
          <w:tcPr>
            <w:tcW w:w="1559" w:type="dxa"/>
            <w:vAlign w:val="center"/>
          </w:tcPr>
          <w:p w14:paraId="46E37C2B">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1.多媒体教学</w:t>
            </w:r>
          </w:p>
          <w:p w14:paraId="201F52D1">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2.案例研讨</w:t>
            </w:r>
          </w:p>
        </w:tc>
        <w:tc>
          <w:tcPr>
            <w:tcW w:w="476" w:type="dxa"/>
            <w:vAlign w:val="center"/>
          </w:tcPr>
          <w:p w14:paraId="6CB8E38E">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p>
        </w:tc>
      </w:tr>
      <w:tr w14:paraId="6C50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28" w:type="dxa"/>
            <w:vMerge w:val="continue"/>
            <w:vAlign w:val="center"/>
          </w:tcPr>
          <w:p w14:paraId="44E4B469">
            <w:pPr>
              <w:adjustRightInd w:val="0"/>
              <w:snapToGrid w:val="0"/>
              <w:spacing w:line="276" w:lineRule="auto"/>
              <w:rPr>
                <w:rFonts w:hint="eastAsia" w:ascii="宋体" w:hAnsi="宋体" w:eastAsia="宋体" w:cs="Times New Roman"/>
                <w:bCs/>
                <w:color w:val="000000"/>
                <w:szCs w:val="21"/>
              </w:rPr>
            </w:pPr>
          </w:p>
        </w:tc>
        <w:tc>
          <w:tcPr>
            <w:tcW w:w="8556" w:type="dxa"/>
            <w:gridSpan w:val="5"/>
            <w:vAlign w:val="center"/>
          </w:tcPr>
          <w:p w14:paraId="14E9E708">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
                <w:color w:val="000000"/>
                <w:szCs w:val="21"/>
              </w:rPr>
              <w:t>课程思政目标：</w:t>
            </w:r>
            <w:r>
              <w:rPr>
                <w:rFonts w:ascii="宋体" w:hAnsi="宋体" w:eastAsia="宋体" w:cs="Times New Roman"/>
                <w:bCs/>
                <w:color w:val="000000"/>
                <w:szCs w:val="21"/>
              </w:rPr>
              <w:t>坚定政治方向，全面贯彻国家教育方针；自觉爱国守法，依法履行教师职责权利。</w:t>
            </w:r>
          </w:p>
        </w:tc>
      </w:tr>
      <w:tr w14:paraId="2501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72863965">
            <w:pPr>
              <w:adjustRightInd w:val="0"/>
              <w:snapToGrid w:val="0"/>
              <w:spacing w:line="276" w:lineRule="auto"/>
              <w:rPr>
                <w:rFonts w:hint="eastAsia" w:ascii="宋体" w:hAnsi="宋体" w:eastAsia="宋体"/>
                <w:bCs/>
                <w:szCs w:val="21"/>
              </w:rPr>
            </w:pPr>
            <w:r>
              <w:rPr>
                <w:rFonts w:hint="eastAsia" w:ascii="宋体" w:hAnsi="宋体" w:eastAsia="宋体"/>
                <w:bCs/>
                <w:szCs w:val="21"/>
              </w:rPr>
              <w:t>第二章</w:t>
            </w:r>
          </w:p>
          <w:p w14:paraId="2254BA39">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bCs/>
                <w:szCs w:val="21"/>
              </w:rPr>
              <w:t>教师职业道德范畴与基本原则</w:t>
            </w:r>
          </w:p>
        </w:tc>
        <w:tc>
          <w:tcPr>
            <w:tcW w:w="2835" w:type="dxa"/>
            <w:vAlign w:val="center"/>
          </w:tcPr>
          <w:p w14:paraId="2778F127">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.教师职业道德范畴（教育爱、教育良心、教育威信、教育公正）</w:t>
            </w:r>
          </w:p>
          <w:p w14:paraId="65C833D7">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.教师职业道德的基本原则</w:t>
            </w:r>
          </w:p>
        </w:tc>
        <w:tc>
          <w:tcPr>
            <w:tcW w:w="1276" w:type="dxa"/>
            <w:vAlign w:val="center"/>
          </w:tcPr>
          <w:p w14:paraId="4C79B4AB">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课程目标1</w:t>
            </w:r>
          </w:p>
          <w:p w14:paraId="7414DDBC">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课程目标2</w:t>
            </w:r>
          </w:p>
        </w:tc>
        <w:tc>
          <w:tcPr>
            <w:tcW w:w="2410" w:type="dxa"/>
            <w:vAlign w:val="center"/>
          </w:tcPr>
          <w:p w14:paraId="5F8B586D">
            <w:pPr>
              <w:adjustRightInd w:val="0"/>
              <w:snapToGrid w:val="0"/>
              <w:spacing w:line="276" w:lineRule="auto"/>
              <w:rPr>
                <w:rFonts w:hint="eastAsia" w:ascii="宋体" w:hAnsi="宋体" w:eastAsia="宋体" w:cs="Times New Roman"/>
                <w:bCs/>
                <w:color w:val="000000"/>
                <w:szCs w:val="21"/>
              </w:rPr>
            </w:pPr>
            <w:r>
              <w:rPr>
                <w:rFonts w:ascii="宋体" w:hAnsi="宋体" w:eastAsia="宋体" w:cs="Times New Roman"/>
                <w:bCs/>
                <w:color w:val="000000"/>
                <w:szCs w:val="21"/>
              </w:rPr>
              <w:t>理解教师职业道德的基本原则，感受教育爱、教育良心、教育威信、教育公正等范畴在教育实践中的体现</w:t>
            </w:r>
            <w:r>
              <w:rPr>
                <w:rFonts w:hint="eastAsia" w:ascii="宋体" w:hAnsi="宋体" w:eastAsia="宋体" w:cs="Times New Roman"/>
                <w:bCs/>
                <w:color w:val="000000"/>
                <w:szCs w:val="21"/>
              </w:rPr>
              <w:t>。</w:t>
            </w:r>
          </w:p>
        </w:tc>
        <w:tc>
          <w:tcPr>
            <w:tcW w:w="1559" w:type="dxa"/>
            <w:vAlign w:val="center"/>
          </w:tcPr>
          <w:p w14:paraId="7FCC336C">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1.多媒体教学</w:t>
            </w:r>
          </w:p>
          <w:p w14:paraId="57DDB0AB">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2.案例研讨</w:t>
            </w:r>
          </w:p>
        </w:tc>
        <w:tc>
          <w:tcPr>
            <w:tcW w:w="476" w:type="dxa"/>
            <w:vAlign w:val="center"/>
          </w:tcPr>
          <w:p w14:paraId="6ECF6277">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p>
        </w:tc>
      </w:tr>
      <w:tr w14:paraId="1AC4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128" w:type="dxa"/>
            <w:vMerge w:val="continue"/>
            <w:vAlign w:val="center"/>
          </w:tcPr>
          <w:p w14:paraId="40F2001B">
            <w:pPr>
              <w:adjustRightInd w:val="0"/>
              <w:snapToGrid w:val="0"/>
              <w:spacing w:line="276" w:lineRule="auto"/>
              <w:rPr>
                <w:rFonts w:hint="eastAsia" w:ascii="宋体" w:hAnsi="宋体" w:eastAsia="宋体" w:cs="Times New Roman"/>
                <w:bCs/>
                <w:color w:val="000000"/>
                <w:szCs w:val="21"/>
              </w:rPr>
            </w:pPr>
          </w:p>
        </w:tc>
        <w:tc>
          <w:tcPr>
            <w:tcW w:w="8556" w:type="dxa"/>
            <w:gridSpan w:val="5"/>
            <w:vAlign w:val="center"/>
          </w:tcPr>
          <w:p w14:paraId="1EFAE8DF">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加</w:t>
            </w:r>
            <w:r>
              <w:rPr>
                <w:rFonts w:ascii="宋体" w:hAnsi="宋体" w:eastAsia="宋体" w:cs="Times New Roman"/>
                <w:bCs/>
                <w:color w:val="000000"/>
                <w:szCs w:val="21"/>
              </w:rPr>
              <w:t>强教师使命教育，从国家意识、法治意识、社会责任意识和个人诚信意识等层面，树立正确的职业价值认知，形成教育爱、教育良心、教育威信和教育公正等信念。</w:t>
            </w:r>
          </w:p>
        </w:tc>
      </w:tr>
      <w:tr w14:paraId="35C2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7F0C3381">
            <w:pPr>
              <w:adjustRightInd w:val="0"/>
              <w:snapToGrid w:val="0"/>
              <w:spacing w:line="276" w:lineRule="auto"/>
              <w:rPr>
                <w:rFonts w:hint="eastAsia" w:ascii="宋体" w:hAnsi="宋体" w:eastAsia="宋体"/>
                <w:bCs/>
                <w:szCs w:val="21"/>
              </w:rPr>
            </w:pPr>
            <w:r>
              <w:rPr>
                <w:rFonts w:hint="eastAsia" w:ascii="宋体" w:hAnsi="宋体" w:eastAsia="宋体"/>
                <w:bCs/>
                <w:szCs w:val="21"/>
              </w:rPr>
              <w:t>第三章</w:t>
            </w:r>
          </w:p>
          <w:p w14:paraId="1220E090">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bCs/>
                <w:szCs w:val="21"/>
              </w:rPr>
              <w:t>师生交往中的道德问题</w:t>
            </w:r>
          </w:p>
        </w:tc>
        <w:tc>
          <w:tcPr>
            <w:tcW w:w="2835" w:type="dxa"/>
            <w:vAlign w:val="center"/>
          </w:tcPr>
          <w:p w14:paraId="1253C22B">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.师生关系在教育中的意义</w:t>
            </w:r>
          </w:p>
          <w:p w14:paraId="324C9488">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.师生关系中的矛盾分析</w:t>
            </w:r>
          </w:p>
          <w:p w14:paraId="3EEB05FD">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.师生关系的伦理调适</w:t>
            </w:r>
          </w:p>
          <w:p w14:paraId="595199EB">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4</w:t>
            </w:r>
            <w:r>
              <w:rPr>
                <w:rFonts w:ascii="宋体" w:hAnsi="宋体" w:eastAsia="宋体" w:cs="Times New Roman"/>
                <w:bCs/>
                <w:color w:val="000000"/>
                <w:szCs w:val="21"/>
              </w:rPr>
              <w:t>.教师的性道德修养</w:t>
            </w:r>
          </w:p>
        </w:tc>
        <w:tc>
          <w:tcPr>
            <w:tcW w:w="1276" w:type="dxa"/>
            <w:vAlign w:val="center"/>
          </w:tcPr>
          <w:p w14:paraId="2A8AB280">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课程目标1</w:t>
            </w:r>
          </w:p>
          <w:p w14:paraId="25EEA215">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课程目标3</w:t>
            </w:r>
          </w:p>
        </w:tc>
        <w:tc>
          <w:tcPr>
            <w:tcW w:w="2410" w:type="dxa"/>
            <w:vAlign w:val="center"/>
          </w:tcPr>
          <w:p w14:paraId="4ECCC157">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bCs/>
                <w:szCs w:val="21"/>
              </w:rPr>
              <w:t>认识师生关系中存在的矛盾与问题，掌握师生关系调适的原则与方法。</w:t>
            </w:r>
          </w:p>
        </w:tc>
        <w:tc>
          <w:tcPr>
            <w:tcW w:w="1559" w:type="dxa"/>
            <w:vAlign w:val="center"/>
          </w:tcPr>
          <w:p w14:paraId="20220BE9">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1.多媒体教学</w:t>
            </w:r>
          </w:p>
          <w:p w14:paraId="552FB34C">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2.案例研讨</w:t>
            </w:r>
          </w:p>
        </w:tc>
        <w:tc>
          <w:tcPr>
            <w:tcW w:w="476" w:type="dxa"/>
            <w:vAlign w:val="center"/>
          </w:tcPr>
          <w:p w14:paraId="21FE59A8">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p>
        </w:tc>
      </w:tr>
      <w:tr w14:paraId="1222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128" w:type="dxa"/>
            <w:vMerge w:val="continue"/>
            <w:vAlign w:val="center"/>
          </w:tcPr>
          <w:p w14:paraId="77A54139">
            <w:pPr>
              <w:adjustRightInd w:val="0"/>
              <w:snapToGrid w:val="0"/>
              <w:spacing w:line="276" w:lineRule="auto"/>
              <w:rPr>
                <w:rFonts w:hint="eastAsia" w:ascii="宋体" w:hAnsi="宋体" w:eastAsia="宋体" w:cs="Times New Roman"/>
                <w:bCs/>
                <w:color w:val="000000"/>
                <w:szCs w:val="21"/>
              </w:rPr>
            </w:pPr>
          </w:p>
        </w:tc>
        <w:tc>
          <w:tcPr>
            <w:tcW w:w="8556" w:type="dxa"/>
            <w:gridSpan w:val="5"/>
            <w:vAlign w:val="center"/>
          </w:tcPr>
          <w:p w14:paraId="19C4133B">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w:t>
            </w:r>
            <w:r>
              <w:rPr>
                <w:rFonts w:ascii="宋体" w:hAnsi="宋体" w:eastAsia="宋体" w:cs="Times New Roman"/>
                <w:bCs/>
                <w:color w:val="000000"/>
                <w:szCs w:val="21"/>
              </w:rPr>
              <w:t>树立辩证统一的思维，学会正确分析师生关系中的道德问题，热爱学生、尊重学生、赏识学生，塑造良好的师生关系。</w:t>
            </w:r>
          </w:p>
        </w:tc>
      </w:tr>
      <w:tr w14:paraId="729B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523E9DDD">
            <w:pPr>
              <w:adjustRightInd w:val="0"/>
              <w:snapToGrid w:val="0"/>
              <w:spacing w:line="276" w:lineRule="auto"/>
              <w:rPr>
                <w:rFonts w:hint="eastAsia" w:ascii="宋体" w:hAnsi="宋体" w:eastAsia="宋体"/>
                <w:bCs/>
                <w:szCs w:val="21"/>
              </w:rPr>
            </w:pPr>
            <w:r>
              <w:rPr>
                <w:rFonts w:hint="eastAsia" w:ascii="宋体" w:hAnsi="宋体" w:eastAsia="宋体"/>
                <w:bCs/>
                <w:szCs w:val="21"/>
              </w:rPr>
              <w:t>第四章</w:t>
            </w:r>
          </w:p>
          <w:p w14:paraId="473AFD14">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bCs/>
                <w:szCs w:val="21"/>
              </w:rPr>
              <w:t>家校合作中的道德问题</w:t>
            </w:r>
          </w:p>
        </w:tc>
        <w:tc>
          <w:tcPr>
            <w:tcW w:w="2835" w:type="dxa"/>
            <w:vAlign w:val="center"/>
          </w:tcPr>
          <w:p w14:paraId="3D0BC148">
            <w:pPr>
              <w:adjustRightInd w:val="0"/>
              <w:snapToGrid w:val="0"/>
              <w:spacing w:line="276" w:lineRule="auto"/>
              <w:rPr>
                <w:rFonts w:hint="eastAsia" w:ascii="宋体" w:hAnsi="宋体" w:eastAsia="宋体"/>
                <w:bCs/>
                <w:szCs w:val="21"/>
              </w:rPr>
            </w:pPr>
            <w:r>
              <w:rPr>
                <w:rFonts w:hint="eastAsia" w:ascii="宋体" w:hAnsi="宋体" w:eastAsia="宋体"/>
                <w:bCs/>
                <w:szCs w:val="21"/>
              </w:rPr>
              <w:t>1</w:t>
            </w:r>
            <w:r>
              <w:rPr>
                <w:rFonts w:ascii="宋体" w:hAnsi="宋体" w:eastAsia="宋体"/>
                <w:bCs/>
                <w:szCs w:val="21"/>
              </w:rPr>
              <w:t>.家校沟通与合作</w:t>
            </w:r>
          </w:p>
          <w:p w14:paraId="0702B8E8">
            <w:pPr>
              <w:adjustRightInd w:val="0"/>
              <w:snapToGrid w:val="0"/>
              <w:spacing w:line="276" w:lineRule="auto"/>
              <w:rPr>
                <w:rFonts w:hint="eastAsia" w:ascii="宋体" w:hAnsi="宋体" w:eastAsia="宋体"/>
                <w:bCs/>
                <w:szCs w:val="21"/>
              </w:rPr>
            </w:pPr>
            <w:r>
              <w:rPr>
                <w:rFonts w:hint="eastAsia" w:ascii="宋体" w:hAnsi="宋体" w:eastAsia="宋体"/>
                <w:bCs/>
                <w:szCs w:val="21"/>
              </w:rPr>
              <w:t>2</w:t>
            </w:r>
            <w:r>
              <w:rPr>
                <w:rFonts w:ascii="宋体" w:hAnsi="宋体" w:eastAsia="宋体"/>
                <w:bCs/>
                <w:szCs w:val="21"/>
              </w:rPr>
              <w:t>.家校关系的</w:t>
            </w:r>
            <w:r>
              <w:rPr>
                <w:rFonts w:hint="eastAsia" w:ascii="宋体" w:hAnsi="宋体" w:eastAsia="宋体"/>
                <w:bCs/>
                <w:szCs w:val="21"/>
              </w:rPr>
              <w:t>伦理</w:t>
            </w:r>
            <w:r>
              <w:rPr>
                <w:rFonts w:ascii="宋体" w:hAnsi="宋体" w:eastAsia="宋体"/>
                <w:bCs/>
                <w:szCs w:val="21"/>
              </w:rPr>
              <w:t>调适</w:t>
            </w:r>
          </w:p>
        </w:tc>
        <w:tc>
          <w:tcPr>
            <w:tcW w:w="1276" w:type="dxa"/>
            <w:vAlign w:val="center"/>
          </w:tcPr>
          <w:p w14:paraId="0E7C5647">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课程目标1</w:t>
            </w:r>
          </w:p>
          <w:p w14:paraId="5306ABE5">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课程目标3</w:t>
            </w:r>
          </w:p>
        </w:tc>
        <w:tc>
          <w:tcPr>
            <w:tcW w:w="2410" w:type="dxa"/>
            <w:vAlign w:val="center"/>
          </w:tcPr>
          <w:p w14:paraId="41FD62AF">
            <w:pPr>
              <w:adjustRightInd w:val="0"/>
              <w:snapToGrid w:val="0"/>
              <w:spacing w:line="276" w:lineRule="auto"/>
              <w:rPr>
                <w:rFonts w:hint="eastAsia" w:ascii="宋体" w:hAnsi="宋体" w:eastAsia="宋体"/>
                <w:bCs/>
                <w:szCs w:val="21"/>
              </w:rPr>
            </w:pPr>
            <w:r>
              <w:rPr>
                <w:rFonts w:hint="eastAsia" w:ascii="宋体" w:hAnsi="宋体" w:eastAsia="宋体"/>
                <w:bCs/>
                <w:szCs w:val="21"/>
              </w:rPr>
              <w:t>了解家校沟通与合作相关知识与技能，分析家校沟通中存在的问题，掌握家校关系调适的原则与方法。</w:t>
            </w:r>
          </w:p>
        </w:tc>
        <w:tc>
          <w:tcPr>
            <w:tcW w:w="1559" w:type="dxa"/>
            <w:vAlign w:val="center"/>
          </w:tcPr>
          <w:p w14:paraId="30BF9C08">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1.多媒体教学</w:t>
            </w:r>
          </w:p>
          <w:p w14:paraId="41D1AB2F">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2.案例研讨</w:t>
            </w:r>
          </w:p>
        </w:tc>
        <w:tc>
          <w:tcPr>
            <w:tcW w:w="476" w:type="dxa"/>
            <w:vAlign w:val="center"/>
          </w:tcPr>
          <w:p w14:paraId="23A10078">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p>
        </w:tc>
      </w:tr>
      <w:tr w14:paraId="30B7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28" w:type="dxa"/>
            <w:vMerge w:val="continue"/>
            <w:vAlign w:val="center"/>
          </w:tcPr>
          <w:p w14:paraId="5C135AA1">
            <w:pPr>
              <w:adjustRightInd w:val="0"/>
              <w:snapToGrid w:val="0"/>
              <w:spacing w:line="276" w:lineRule="auto"/>
              <w:rPr>
                <w:rFonts w:hint="eastAsia" w:ascii="宋体" w:hAnsi="宋体" w:eastAsia="宋体" w:cs="Times New Roman"/>
                <w:bCs/>
                <w:color w:val="000000"/>
                <w:szCs w:val="21"/>
              </w:rPr>
            </w:pPr>
          </w:p>
        </w:tc>
        <w:tc>
          <w:tcPr>
            <w:tcW w:w="8556" w:type="dxa"/>
            <w:gridSpan w:val="5"/>
            <w:vAlign w:val="center"/>
          </w:tcPr>
          <w:p w14:paraId="6D88B5EA">
            <w:pPr>
              <w:adjustRightInd w:val="0"/>
              <w:snapToGrid w:val="0"/>
              <w:spacing w:line="276" w:lineRule="auto"/>
              <w:rPr>
                <w:rFonts w:hint="eastAsia" w:ascii="宋体" w:hAnsi="宋体" w:eastAsia="宋体"/>
                <w:bCs/>
                <w:szCs w:val="21"/>
              </w:rPr>
            </w:pPr>
            <w:r>
              <w:rPr>
                <w:rFonts w:hint="eastAsia" w:ascii="宋体" w:hAnsi="宋体" w:eastAsia="宋体" w:cs="Times New Roman"/>
                <w:b/>
                <w:color w:val="000000"/>
                <w:szCs w:val="21"/>
              </w:rPr>
              <w:t>课程思政目标：</w:t>
            </w:r>
            <w:r>
              <w:rPr>
                <w:rFonts w:hint="eastAsia" w:ascii="宋体" w:hAnsi="宋体" w:eastAsia="宋体"/>
                <w:bCs/>
                <w:szCs w:val="21"/>
              </w:rPr>
              <w:t>树立辩证统一的思维，学会正确分析家校交往过程中的道德问题，与家长平等沟通，尊重家长人格，教育学生尊重家长；廉洁奉公，不利用职责之便牟取私利，塑造良好的家校合作关系。</w:t>
            </w:r>
          </w:p>
        </w:tc>
      </w:tr>
      <w:tr w14:paraId="0315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173ED0FC">
            <w:pPr>
              <w:adjustRightInd w:val="0"/>
              <w:snapToGrid w:val="0"/>
              <w:spacing w:line="276" w:lineRule="auto"/>
              <w:rPr>
                <w:rFonts w:hint="eastAsia" w:ascii="宋体" w:hAnsi="宋体" w:eastAsia="宋体"/>
                <w:bCs/>
                <w:szCs w:val="21"/>
              </w:rPr>
            </w:pPr>
            <w:r>
              <w:rPr>
                <w:rFonts w:hint="eastAsia" w:ascii="宋体" w:hAnsi="宋体" w:eastAsia="宋体"/>
                <w:bCs/>
                <w:szCs w:val="21"/>
              </w:rPr>
              <w:t>第五章</w:t>
            </w:r>
          </w:p>
          <w:p w14:paraId="5FE412EF">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bCs/>
                <w:szCs w:val="21"/>
              </w:rPr>
              <w:t>教师集体中的道德问题</w:t>
            </w:r>
          </w:p>
        </w:tc>
        <w:tc>
          <w:tcPr>
            <w:tcW w:w="2835" w:type="dxa"/>
            <w:vAlign w:val="center"/>
          </w:tcPr>
          <w:p w14:paraId="4BB74E4A">
            <w:pPr>
              <w:adjustRightInd w:val="0"/>
              <w:snapToGrid w:val="0"/>
              <w:spacing w:line="276" w:lineRule="auto"/>
              <w:rPr>
                <w:rFonts w:hint="eastAsia" w:ascii="宋体" w:hAnsi="宋体" w:eastAsia="宋体"/>
                <w:bCs/>
                <w:szCs w:val="21"/>
              </w:rPr>
            </w:pPr>
            <w:r>
              <w:rPr>
                <w:rFonts w:hint="eastAsia" w:ascii="宋体" w:hAnsi="宋体" w:eastAsia="宋体"/>
                <w:bCs/>
                <w:szCs w:val="21"/>
              </w:rPr>
              <w:t>1</w:t>
            </w:r>
            <w:r>
              <w:rPr>
                <w:rFonts w:ascii="宋体" w:hAnsi="宋体" w:eastAsia="宋体"/>
                <w:bCs/>
                <w:szCs w:val="21"/>
              </w:rPr>
              <w:t>.教师集体在教育中的意义</w:t>
            </w:r>
          </w:p>
          <w:p w14:paraId="52434333">
            <w:pPr>
              <w:adjustRightInd w:val="0"/>
              <w:snapToGrid w:val="0"/>
              <w:spacing w:line="276" w:lineRule="auto"/>
              <w:rPr>
                <w:rFonts w:hint="eastAsia" w:ascii="宋体" w:hAnsi="宋体" w:eastAsia="宋体"/>
                <w:bCs/>
                <w:szCs w:val="21"/>
              </w:rPr>
            </w:pPr>
            <w:r>
              <w:rPr>
                <w:rFonts w:hint="eastAsia" w:ascii="宋体" w:hAnsi="宋体" w:eastAsia="宋体"/>
                <w:bCs/>
                <w:szCs w:val="21"/>
              </w:rPr>
              <w:t>2</w:t>
            </w:r>
            <w:r>
              <w:rPr>
                <w:rFonts w:ascii="宋体" w:hAnsi="宋体" w:eastAsia="宋体"/>
                <w:bCs/>
                <w:szCs w:val="21"/>
              </w:rPr>
              <w:t>.教师集体人际矛盾的原因分析</w:t>
            </w:r>
          </w:p>
          <w:p w14:paraId="7975DEF4">
            <w:pPr>
              <w:adjustRightInd w:val="0"/>
              <w:snapToGrid w:val="0"/>
              <w:spacing w:line="276" w:lineRule="auto"/>
              <w:rPr>
                <w:rFonts w:hint="eastAsia" w:ascii="宋体" w:hAnsi="宋体" w:eastAsia="宋体"/>
                <w:bCs/>
                <w:szCs w:val="21"/>
              </w:rPr>
            </w:pPr>
            <w:r>
              <w:rPr>
                <w:rFonts w:hint="eastAsia" w:ascii="宋体" w:hAnsi="宋体" w:eastAsia="宋体"/>
                <w:bCs/>
                <w:szCs w:val="21"/>
              </w:rPr>
              <w:t>3</w:t>
            </w:r>
            <w:r>
              <w:rPr>
                <w:rFonts w:ascii="宋体" w:hAnsi="宋体" w:eastAsia="宋体"/>
                <w:bCs/>
                <w:szCs w:val="21"/>
              </w:rPr>
              <w:t>.教师集体关系的道德调节</w:t>
            </w:r>
          </w:p>
        </w:tc>
        <w:tc>
          <w:tcPr>
            <w:tcW w:w="1276" w:type="dxa"/>
            <w:vAlign w:val="center"/>
          </w:tcPr>
          <w:p w14:paraId="39F73844">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课程目标1</w:t>
            </w:r>
          </w:p>
          <w:p w14:paraId="5C366BD5">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课程目标3</w:t>
            </w:r>
          </w:p>
        </w:tc>
        <w:tc>
          <w:tcPr>
            <w:tcW w:w="2410" w:type="dxa"/>
            <w:vAlign w:val="center"/>
          </w:tcPr>
          <w:p w14:paraId="2ED3B022">
            <w:pPr>
              <w:adjustRightInd w:val="0"/>
              <w:snapToGrid w:val="0"/>
              <w:spacing w:line="276" w:lineRule="auto"/>
              <w:rPr>
                <w:rFonts w:hint="eastAsia" w:ascii="宋体" w:hAnsi="宋体" w:eastAsia="宋体"/>
                <w:bCs/>
                <w:szCs w:val="21"/>
              </w:rPr>
            </w:pPr>
            <w:r>
              <w:rPr>
                <w:rFonts w:hint="eastAsia" w:ascii="宋体" w:hAnsi="宋体" w:eastAsia="宋体"/>
                <w:bCs/>
                <w:szCs w:val="21"/>
              </w:rPr>
              <w:t>了解教师集体人际矛盾的原因，掌握教师集体关系的道德调节技巧。</w:t>
            </w:r>
          </w:p>
        </w:tc>
        <w:tc>
          <w:tcPr>
            <w:tcW w:w="1559" w:type="dxa"/>
            <w:vAlign w:val="center"/>
          </w:tcPr>
          <w:p w14:paraId="0A18D575">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1.多媒体教学</w:t>
            </w:r>
          </w:p>
          <w:p w14:paraId="75C19974">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2.案例研讨</w:t>
            </w:r>
          </w:p>
        </w:tc>
        <w:tc>
          <w:tcPr>
            <w:tcW w:w="476" w:type="dxa"/>
            <w:vAlign w:val="center"/>
          </w:tcPr>
          <w:p w14:paraId="1F2900F0">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p>
        </w:tc>
      </w:tr>
      <w:tr w14:paraId="3702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continue"/>
            <w:vAlign w:val="center"/>
          </w:tcPr>
          <w:p w14:paraId="717A8AD7">
            <w:pPr>
              <w:adjustRightInd w:val="0"/>
              <w:snapToGrid w:val="0"/>
              <w:spacing w:line="276" w:lineRule="auto"/>
              <w:rPr>
                <w:rFonts w:hint="eastAsia" w:ascii="宋体" w:hAnsi="宋体" w:eastAsia="宋体" w:cs="Times New Roman"/>
                <w:bCs/>
                <w:color w:val="000000"/>
                <w:szCs w:val="21"/>
              </w:rPr>
            </w:pPr>
          </w:p>
        </w:tc>
        <w:tc>
          <w:tcPr>
            <w:tcW w:w="8556" w:type="dxa"/>
            <w:gridSpan w:val="5"/>
            <w:vAlign w:val="center"/>
          </w:tcPr>
          <w:p w14:paraId="052D542B">
            <w:pPr>
              <w:adjustRightInd w:val="0"/>
              <w:snapToGrid w:val="0"/>
              <w:spacing w:line="276" w:lineRule="auto"/>
              <w:rPr>
                <w:rFonts w:hint="eastAsia" w:ascii="宋体" w:hAnsi="宋体" w:eastAsia="宋体"/>
                <w:bCs/>
                <w:szCs w:val="21"/>
              </w:rPr>
            </w:pPr>
            <w:r>
              <w:rPr>
                <w:rFonts w:hint="eastAsia" w:ascii="宋体" w:hAnsi="宋体" w:eastAsia="宋体" w:cs="Times New Roman"/>
                <w:b/>
                <w:color w:val="000000"/>
                <w:szCs w:val="21"/>
              </w:rPr>
              <w:t>课程思政目标：</w:t>
            </w:r>
            <w:r>
              <w:rPr>
                <w:rFonts w:hint="eastAsia" w:ascii="宋体" w:hAnsi="宋体" w:eastAsia="宋体"/>
                <w:bCs/>
                <w:szCs w:val="21"/>
              </w:rPr>
              <w:t>树立辩证统一的思维，学会正确分析教师集体中发生的道德问题。弘扬教师职业精神，互相尊重、互相学习，保持协同、向上的合作关系，促进个人和集体的共同成长。</w:t>
            </w:r>
          </w:p>
        </w:tc>
      </w:tr>
      <w:tr w14:paraId="7BAB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7EF25529">
            <w:pPr>
              <w:adjustRightInd w:val="0"/>
              <w:snapToGrid w:val="0"/>
              <w:spacing w:line="276" w:lineRule="auto"/>
              <w:rPr>
                <w:rFonts w:hint="eastAsia" w:ascii="宋体" w:hAnsi="宋体" w:eastAsia="宋体"/>
                <w:bCs/>
                <w:szCs w:val="21"/>
              </w:rPr>
            </w:pPr>
            <w:r>
              <w:rPr>
                <w:rFonts w:hint="eastAsia" w:ascii="宋体" w:hAnsi="宋体" w:eastAsia="宋体"/>
                <w:bCs/>
                <w:szCs w:val="21"/>
              </w:rPr>
              <w:t>第六章</w:t>
            </w:r>
          </w:p>
          <w:p w14:paraId="31BA02F3">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bCs/>
                <w:szCs w:val="21"/>
              </w:rPr>
              <w:t>课堂教学中的道德问题</w:t>
            </w:r>
          </w:p>
        </w:tc>
        <w:tc>
          <w:tcPr>
            <w:tcW w:w="2835" w:type="dxa"/>
            <w:vAlign w:val="center"/>
          </w:tcPr>
          <w:p w14:paraId="48100443">
            <w:pPr>
              <w:adjustRightInd w:val="0"/>
              <w:snapToGrid w:val="0"/>
              <w:spacing w:line="276" w:lineRule="auto"/>
              <w:rPr>
                <w:rFonts w:hint="eastAsia" w:ascii="宋体" w:hAnsi="宋体" w:eastAsia="宋体"/>
                <w:bCs/>
                <w:szCs w:val="21"/>
              </w:rPr>
            </w:pPr>
            <w:r>
              <w:rPr>
                <w:rFonts w:hint="eastAsia" w:ascii="宋体" w:hAnsi="宋体" w:eastAsia="宋体"/>
                <w:bCs/>
                <w:szCs w:val="21"/>
              </w:rPr>
              <w:t>1</w:t>
            </w:r>
            <w:r>
              <w:rPr>
                <w:rFonts w:ascii="宋体" w:hAnsi="宋体" w:eastAsia="宋体"/>
                <w:bCs/>
                <w:szCs w:val="21"/>
              </w:rPr>
              <w:t>.教学工作的道德特征</w:t>
            </w:r>
          </w:p>
          <w:p w14:paraId="29804BF8">
            <w:pPr>
              <w:adjustRightInd w:val="0"/>
              <w:snapToGrid w:val="0"/>
              <w:spacing w:line="276" w:lineRule="auto"/>
              <w:rPr>
                <w:rFonts w:hint="eastAsia" w:ascii="宋体" w:hAnsi="宋体" w:eastAsia="宋体"/>
                <w:bCs/>
                <w:szCs w:val="21"/>
              </w:rPr>
            </w:pPr>
            <w:r>
              <w:rPr>
                <w:rFonts w:hint="eastAsia" w:ascii="宋体" w:hAnsi="宋体" w:eastAsia="宋体"/>
                <w:bCs/>
                <w:szCs w:val="21"/>
              </w:rPr>
              <w:t>2</w:t>
            </w:r>
            <w:r>
              <w:rPr>
                <w:rFonts w:ascii="宋体" w:hAnsi="宋体" w:eastAsia="宋体"/>
                <w:bCs/>
                <w:szCs w:val="21"/>
              </w:rPr>
              <w:t>.教学活动的道德意义</w:t>
            </w:r>
          </w:p>
          <w:p w14:paraId="39EF2377">
            <w:pPr>
              <w:adjustRightInd w:val="0"/>
              <w:snapToGrid w:val="0"/>
              <w:spacing w:line="276" w:lineRule="auto"/>
              <w:rPr>
                <w:rFonts w:hint="eastAsia" w:ascii="宋体" w:hAnsi="宋体" w:eastAsia="宋体"/>
                <w:bCs/>
                <w:szCs w:val="21"/>
              </w:rPr>
            </w:pPr>
            <w:r>
              <w:rPr>
                <w:rFonts w:hint="eastAsia" w:ascii="宋体" w:hAnsi="宋体" w:eastAsia="宋体"/>
                <w:bCs/>
                <w:szCs w:val="21"/>
              </w:rPr>
              <w:t>3</w:t>
            </w:r>
            <w:r>
              <w:rPr>
                <w:rFonts w:ascii="宋体" w:hAnsi="宋体" w:eastAsia="宋体"/>
                <w:bCs/>
                <w:szCs w:val="21"/>
              </w:rPr>
              <w:t>.教学工作中的道德要求</w:t>
            </w:r>
          </w:p>
          <w:p w14:paraId="263052D1">
            <w:pPr>
              <w:adjustRightInd w:val="0"/>
              <w:snapToGrid w:val="0"/>
              <w:spacing w:line="276" w:lineRule="auto"/>
              <w:rPr>
                <w:rFonts w:hint="eastAsia" w:ascii="宋体" w:hAnsi="宋体" w:eastAsia="宋体"/>
                <w:bCs/>
                <w:szCs w:val="21"/>
              </w:rPr>
            </w:pPr>
            <w:r>
              <w:rPr>
                <w:rFonts w:hint="eastAsia" w:ascii="宋体" w:hAnsi="宋体" w:eastAsia="宋体"/>
                <w:bCs/>
                <w:szCs w:val="21"/>
              </w:rPr>
              <w:t>4</w:t>
            </w:r>
            <w:r>
              <w:rPr>
                <w:rFonts w:ascii="宋体" w:hAnsi="宋体" w:eastAsia="宋体"/>
                <w:bCs/>
                <w:szCs w:val="21"/>
              </w:rPr>
              <w:t>.我国基础教育课程改革的价值追求</w:t>
            </w:r>
          </w:p>
        </w:tc>
        <w:tc>
          <w:tcPr>
            <w:tcW w:w="1276" w:type="dxa"/>
            <w:vAlign w:val="center"/>
          </w:tcPr>
          <w:p w14:paraId="26E5D373">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课程目标1</w:t>
            </w:r>
          </w:p>
          <w:p w14:paraId="59EDAD1B">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课程目标4</w:t>
            </w:r>
          </w:p>
        </w:tc>
        <w:tc>
          <w:tcPr>
            <w:tcW w:w="2410" w:type="dxa"/>
            <w:vAlign w:val="center"/>
          </w:tcPr>
          <w:p w14:paraId="0E16C5D8">
            <w:pPr>
              <w:adjustRightInd w:val="0"/>
              <w:snapToGrid w:val="0"/>
              <w:spacing w:line="276" w:lineRule="auto"/>
              <w:rPr>
                <w:rFonts w:hint="eastAsia" w:ascii="宋体" w:hAnsi="宋体" w:eastAsia="宋体"/>
                <w:bCs/>
                <w:szCs w:val="21"/>
              </w:rPr>
            </w:pPr>
            <w:r>
              <w:rPr>
                <w:rFonts w:hint="eastAsia" w:ascii="宋体" w:hAnsi="宋体" w:eastAsia="宋体"/>
                <w:bCs/>
                <w:szCs w:val="21"/>
              </w:rPr>
              <w:t>了解课堂教学的道德特征及其道德意义，理解教学工作中的道德要求，树立正确的教育观，学会分析当前教育中的道德问题。</w:t>
            </w:r>
          </w:p>
        </w:tc>
        <w:tc>
          <w:tcPr>
            <w:tcW w:w="1559" w:type="dxa"/>
            <w:vAlign w:val="center"/>
          </w:tcPr>
          <w:p w14:paraId="1AB0AB90">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1.多媒体教学</w:t>
            </w:r>
          </w:p>
          <w:p w14:paraId="06B280B8">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2.案例研讨</w:t>
            </w:r>
          </w:p>
        </w:tc>
        <w:tc>
          <w:tcPr>
            <w:tcW w:w="476" w:type="dxa"/>
            <w:vAlign w:val="center"/>
          </w:tcPr>
          <w:p w14:paraId="0900B850">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p>
        </w:tc>
      </w:tr>
      <w:tr w14:paraId="1589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28" w:type="dxa"/>
            <w:vMerge w:val="continue"/>
            <w:vAlign w:val="center"/>
          </w:tcPr>
          <w:p w14:paraId="7D9973B3">
            <w:pPr>
              <w:adjustRightInd w:val="0"/>
              <w:snapToGrid w:val="0"/>
              <w:spacing w:line="276" w:lineRule="auto"/>
              <w:rPr>
                <w:rFonts w:hint="eastAsia" w:ascii="宋体" w:hAnsi="宋体" w:eastAsia="宋体"/>
                <w:bCs/>
                <w:szCs w:val="21"/>
              </w:rPr>
            </w:pPr>
          </w:p>
        </w:tc>
        <w:tc>
          <w:tcPr>
            <w:tcW w:w="8556" w:type="dxa"/>
            <w:gridSpan w:val="5"/>
            <w:vAlign w:val="center"/>
          </w:tcPr>
          <w:p w14:paraId="02F89570">
            <w:pPr>
              <w:adjustRightInd w:val="0"/>
              <w:snapToGrid w:val="0"/>
              <w:spacing w:line="276" w:lineRule="auto"/>
              <w:rPr>
                <w:rFonts w:hint="eastAsia" w:ascii="宋体" w:hAnsi="宋体" w:eastAsia="宋体"/>
                <w:bCs/>
                <w:szCs w:val="21"/>
              </w:rPr>
            </w:pPr>
            <w:r>
              <w:rPr>
                <w:rFonts w:hint="eastAsia" w:ascii="宋体" w:hAnsi="宋体" w:eastAsia="宋体" w:cs="Times New Roman"/>
                <w:b/>
                <w:color w:val="000000"/>
                <w:szCs w:val="21"/>
              </w:rPr>
              <w:t>课程思政目标：</w:t>
            </w:r>
            <w:r>
              <w:rPr>
                <w:rFonts w:hint="eastAsia" w:ascii="宋体" w:hAnsi="宋体" w:eastAsia="宋体"/>
                <w:bCs/>
                <w:szCs w:val="21"/>
              </w:rPr>
              <w:t>树立辩证统一的思维，学会正确分析课堂教学中的问题。确立正确的教育观，遵循教育规律，实施素质教育，将促进学生的全面发展作为教育目标。</w:t>
            </w:r>
          </w:p>
        </w:tc>
      </w:tr>
      <w:tr w14:paraId="4B7A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5C509B11">
            <w:pPr>
              <w:adjustRightInd w:val="0"/>
              <w:snapToGrid w:val="0"/>
              <w:spacing w:line="276" w:lineRule="auto"/>
              <w:rPr>
                <w:rFonts w:hint="eastAsia" w:ascii="宋体" w:hAnsi="宋体" w:eastAsia="宋体"/>
                <w:bCs/>
                <w:szCs w:val="21"/>
              </w:rPr>
            </w:pPr>
            <w:r>
              <w:rPr>
                <w:rFonts w:hint="eastAsia" w:ascii="宋体" w:hAnsi="宋体" w:eastAsia="宋体"/>
                <w:bCs/>
                <w:szCs w:val="21"/>
              </w:rPr>
              <w:t>第七章</w:t>
            </w:r>
          </w:p>
          <w:p w14:paraId="1B59CAAC">
            <w:pPr>
              <w:adjustRightInd w:val="0"/>
              <w:snapToGrid w:val="0"/>
              <w:spacing w:line="276" w:lineRule="auto"/>
              <w:rPr>
                <w:rFonts w:hint="eastAsia" w:ascii="宋体" w:hAnsi="宋体" w:eastAsia="宋体"/>
                <w:bCs/>
                <w:szCs w:val="21"/>
              </w:rPr>
            </w:pPr>
            <w:r>
              <w:rPr>
                <w:rFonts w:hint="eastAsia" w:ascii="宋体" w:hAnsi="宋体" w:eastAsia="宋体"/>
                <w:bCs/>
                <w:szCs w:val="21"/>
              </w:rPr>
              <w:t>学校行政管理中的道德问题</w:t>
            </w:r>
          </w:p>
        </w:tc>
        <w:tc>
          <w:tcPr>
            <w:tcW w:w="2835" w:type="dxa"/>
            <w:vAlign w:val="center"/>
          </w:tcPr>
          <w:p w14:paraId="5EC0E6C0">
            <w:pPr>
              <w:adjustRightInd w:val="0"/>
              <w:snapToGrid w:val="0"/>
              <w:spacing w:line="276" w:lineRule="auto"/>
              <w:rPr>
                <w:rFonts w:hint="eastAsia" w:ascii="宋体" w:hAnsi="宋体" w:eastAsia="宋体"/>
                <w:bCs/>
                <w:szCs w:val="21"/>
              </w:rPr>
            </w:pPr>
            <w:r>
              <w:rPr>
                <w:rFonts w:hint="eastAsia" w:ascii="宋体" w:hAnsi="宋体" w:eastAsia="宋体"/>
                <w:bCs/>
                <w:szCs w:val="21"/>
              </w:rPr>
              <w:t>1</w:t>
            </w:r>
            <w:r>
              <w:rPr>
                <w:rFonts w:ascii="宋体" w:hAnsi="宋体" w:eastAsia="宋体"/>
                <w:bCs/>
                <w:szCs w:val="21"/>
              </w:rPr>
              <w:t>.学校行政管理工作对师生发展的意义</w:t>
            </w:r>
          </w:p>
          <w:p w14:paraId="29612B6B">
            <w:pPr>
              <w:adjustRightInd w:val="0"/>
              <w:snapToGrid w:val="0"/>
              <w:spacing w:line="276" w:lineRule="auto"/>
              <w:rPr>
                <w:rFonts w:hint="eastAsia" w:ascii="宋体" w:hAnsi="宋体" w:eastAsia="宋体"/>
                <w:bCs/>
                <w:szCs w:val="21"/>
              </w:rPr>
            </w:pPr>
            <w:r>
              <w:rPr>
                <w:rFonts w:hint="eastAsia" w:ascii="宋体" w:hAnsi="宋体" w:eastAsia="宋体"/>
                <w:bCs/>
                <w:szCs w:val="21"/>
              </w:rPr>
              <w:t>2</w:t>
            </w:r>
            <w:r>
              <w:rPr>
                <w:rFonts w:ascii="宋体" w:hAnsi="宋体" w:eastAsia="宋体"/>
                <w:bCs/>
                <w:szCs w:val="21"/>
              </w:rPr>
              <w:t>.当前我国学校行政管理中存在的问题</w:t>
            </w:r>
          </w:p>
          <w:p w14:paraId="0FCB6F48">
            <w:pPr>
              <w:adjustRightInd w:val="0"/>
              <w:snapToGrid w:val="0"/>
              <w:spacing w:line="276" w:lineRule="auto"/>
              <w:rPr>
                <w:rFonts w:hint="eastAsia" w:ascii="宋体" w:hAnsi="宋体" w:eastAsia="宋体"/>
                <w:bCs/>
                <w:szCs w:val="21"/>
              </w:rPr>
            </w:pPr>
            <w:r>
              <w:rPr>
                <w:rFonts w:hint="eastAsia" w:ascii="宋体" w:hAnsi="宋体" w:eastAsia="宋体"/>
                <w:bCs/>
                <w:szCs w:val="21"/>
              </w:rPr>
              <w:t>3</w:t>
            </w:r>
            <w:r>
              <w:rPr>
                <w:rFonts w:ascii="宋体" w:hAnsi="宋体" w:eastAsia="宋体"/>
                <w:bCs/>
                <w:szCs w:val="21"/>
              </w:rPr>
              <w:t>.学校行政管理的伦理基础及其功能</w:t>
            </w:r>
          </w:p>
          <w:p w14:paraId="0A78D49B">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bCs/>
                <w:szCs w:val="21"/>
              </w:rPr>
              <w:t>4</w:t>
            </w:r>
            <w:r>
              <w:rPr>
                <w:rFonts w:ascii="宋体" w:hAnsi="宋体" w:eastAsia="宋体"/>
                <w:bCs/>
                <w:szCs w:val="21"/>
              </w:rPr>
              <w:t>.学校行政管理伦理化的实现路径</w:t>
            </w:r>
          </w:p>
        </w:tc>
        <w:tc>
          <w:tcPr>
            <w:tcW w:w="1276" w:type="dxa"/>
            <w:vAlign w:val="center"/>
          </w:tcPr>
          <w:p w14:paraId="588101AB">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课程目标1</w:t>
            </w:r>
          </w:p>
          <w:p w14:paraId="6829E246">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课程目标4</w:t>
            </w:r>
          </w:p>
        </w:tc>
        <w:tc>
          <w:tcPr>
            <w:tcW w:w="2410" w:type="dxa"/>
            <w:vAlign w:val="center"/>
          </w:tcPr>
          <w:p w14:paraId="29DA7983">
            <w:pPr>
              <w:adjustRightInd w:val="0"/>
              <w:snapToGrid w:val="0"/>
              <w:spacing w:line="276" w:lineRule="auto"/>
              <w:rPr>
                <w:rFonts w:hint="eastAsia" w:ascii="宋体" w:hAnsi="宋体" w:eastAsia="宋体"/>
                <w:bCs/>
                <w:szCs w:val="21"/>
              </w:rPr>
            </w:pPr>
            <w:r>
              <w:rPr>
                <w:rFonts w:hint="eastAsia" w:ascii="宋体" w:hAnsi="宋体" w:eastAsia="宋体"/>
                <w:bCs/>
                <w:szCs w:val="21"/>
              </w:rPr>
              <w:t>了解学校管理对师生发展的意义，掌握学校行政管理的伦理基础及其功能。</w:t>
            </w:r>
          </w:p>
        </w:tc>
        <w:tc>
          <w:tcPr>
            <w:tcW w:w="1559" w:type="dxa"/>
            <w:vAlign w:val="center"/>
          </w:tcPr>
          <w:p w14:paraId="3D746783">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1.多媒体教学</w:t>
            </w:r>
          </w:p>
          <w:p w14:paraId="35B3ED06">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2.案例研讨</w:t>
            </w:r>
          </w:p>
        </w:tc>
        <w:tc>
          <w:tcPr>
            <w:tcW w:w="476" w:type="dxa"/>
            <w:vAlign w:val="center"/>
          </w:tcPr>
          <w:p w14:paraId="5298D040">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p>
        </w:tc>
      </w:tr>
      <w:tr w14:paraId="220C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28" w:type="dxa"/>
            <w:vMerge w:val="continue"/>
            <w:vAlign w:val="center"/>
          </w:tcPr>
          <w:p w14:paraId="259C3D98">
            <w:pPr>
              <w:adjustRightInd w:val="0"/>
              <w:snapToGrid w:val="0"/>
              <w:spacing w:line="276" w:lineRule="auto"/>
              <w:rPr>
                <w:rFonts w:hint="eastAsia" w:ascii="宋体" w:hAnsi="宋体" w:eastAsia="宋体"/>
                <w:bCs/>
                <w:szCs w:val="21"/>
              </w:rPr>
            </w:pPr>
          </w:p>
        </w:tc>
        <w:tc>
          <w:tcPr>
            <w:tcW w:w="8556" w:type="dxa"/>
            <w:gridSpan w:val="5"/>
            <w:vAlign w:val="center"/>
          </w:tcPr>
          <w:p w14:paraId="75F3B8F9">
            <w:pPr>
              <w:adjustRightInd w:val="0"/>
              <w:snapToGrid w:val="0"/>
              <w:spacing w:line="276" w:lineRule="auto"/>
              <w:rPr>
                <w:rFonts w:hint="eastAsia" w:ascii="宋体" w:hAnsi="宋体" w:eastAsia="宋体"/>
                <w:bCs/>
                <w:szCs w:val="21"/>
              </w:rPr>
            </w:pPr>
            <w:r>
              <w:rPr>
                <w:rFonts w:hint="eastAsia" w:ascii="宋体" w:hAnsi="宋体" w:eastAsia="宋体" w:cs="Times New Roman"/>
                <w:b/>
                <w:color w:val="000000"/>
                <w:szCs w:val="21"/>
              </w:rPr>
              <w:t>课程思政目标：</w:t>
            </w:r>
            <w:r>
              <w:rPr>
                <w:rFonts w:hint="eastAsia" w:ascii="宋体" w:hAnsi="宋体" w:eastAsia="宋体"/>
                <w:bCs/>
                <w:szCs w:val="21"/>
              </w:rPr>
              <w:t>树立辩证统一的思维，学会正确分析行政管理中的道德问题；弘扬教师职业精神，尊重、理解，服从安排，积极配合，以主人公精神积极参与管理事务。</w:t>
            </w:r>
          </w:p>
        </w:tc>
      </w:tr>
      <w:tr w14:paraId="3E72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28" w:type="dxa"/>
            <w:vMerge w:val="restart"/>
            <w:vAlign w:val="center"/>
          </w:tcPr>
          <w:p w14:paraId="43E5F6BB">
            <w:pPr>
              <w:adjustRightInd w:val="0"/>
              <w:snapToGrid w:val="0"/>
              <w:spacing w:line="276" w:lineRule="auto"/>
              <w:rPr>
                <w:rFonts w:hint="eastAsia" w:ascii="宋体" w:hAnsi="宋体" w:eastAsia="宋体"/>
                <w:bCs/>
                <w:szCs w:val="21"/>
              </w:rPr>
            </w:pPr>
            <w:r>
              <w:rPr>
                <w:rFonts w:hint="eastAsia" w:ascii="宋体" w:hAnsi="宋体" w:eastAsia="宋体"/>
                <w:bCs/>
                <w:szCs w:val="21"/>
              </w:rPr>
              <w:t>第八章</w:t>
            </w:r>
          </w:p>
          <w:p w14:paraId="68373767">
            <w:pPr>
              <w:adjustRightInd w:val="0"/>
              <w:snapToGrid w:val="0"/>
              <w:spacing w:line="276" w:lineRule="auto"/>
              <w:rPr>
                <w:rFonts w:hint="eastAsia" w:ascii="宋体" w:hAnsi="宋体" w:eastAsia="宋体"/>
                <w:bCs/>
                <w:szCs w:val="21"/>
              </w:rPr>
            </w:pPr>
            <w:r>
              <w:rPr>
                <w:rFonts w:hint="eastAsia" w:ascii="宋体" w:hAnsi="宋体" w:eastAsia="宋体"/>
                <w:bCs/>
                <w:szCs w:val="21"/>
              </w:rPr>
              <w:t>教师职业道德修养</w:t>
            </w:r>
          </w:p>
        </w:tc>
        <w:tc>
          <w:tcPr>
            <w:tcW w:w="2835" w:type="dxa"/>
            <w:vAlign w:val="center"/>
          </w:tcPr>
          <w:p w14:paraId="29555199">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.教师职业道德修养的目标</w:t>
            </w:r>
          </w:p>
          <w:p w14:paraId="492812A1">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.教师职业道德修养的内容</w:t>
            </w:r>
          </w:p>
          <w:p w14:paraId="215F7F3C">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.教师职业道德修养的途径和方法</w:t>
            </w:r>
          </w:p>
        </w:tc>
        <w:tc>
          <w:tcPr>
            <w:tcW w:w="1276" w:type="dxa"/>
            <w:vAlign w:val="center"/>
          </w:tcPr>
          <w:p w14:paraId="67A0E4FB">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课程目标1</w:t>
            </w:r>
          </w:p>
          <w:p w14:paraId="227D5644">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课程目标2</w:t>
            </w:r>
          </w:p>
        </w:tc>
        <w:tc>
          <w:tcPr>
            <w:tcW w:w="2410" w:type="dxa"/>
            <w:vAlign w:val="center"/>
          </w:tcPr>
          <w:p w14:paraId="3D632374">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了解教师职业道德修养的目标，掌握教师职业道德修养的基本内容、途径与方法，认同并自觉内化为自身专业发展要求。</w:t>
            </w:r>
          </w:p>
        </w:tc>
        <w:tc>
          <w:tcPr>
            <w:tcW w:w="1559" w:type="dxa"/>
            <w:vAlign w:val="center"/>
          </w:tcPr>
          <w:p w14:paraId="1F53EE30">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1.多媒体教学</w:t>
            </w:r>
          </w:p>
          <w:p w14:paraId="71E56121">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2.案例研讨</w:t>
            </w:r>
          </w:p>
        </w:tc>
        <w:tc>
          <w:tcPr>
            <w:tcW w:w="476" w:type="dxa"/>
            <w:vAlign w:val="center"/>
          </w:tcPr>
          <w:p w14:paraId="07CC29F3">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p>
        </w:tc>
      </w:tr>
      <w:tr w14:paraId="6EF4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28" w:type="dxa"/>
            <w:vMerge w:val="continue"/>
            <w:vAlign w:val="center"/>
          </w:tcPr>
          <w:p w14:paraId="374DB2DF">
            <w:pPr>
              <w:adjustRightInd w:val="0"/>
              <w:snapToGrid w:val="0"/>
              <w:spacing w:line="276" w:lineRule="auto"/>
              <w:rPr>
                <w:rFonts w:hint="eastAsia" w:ascii="宋体" w:hAnsi="宋体" w:eastAsia="宋体"/>
                <w:bCs/>
                <w:szCs w:val="21"/>
              </w:rPr>
            </w:pPr>
          </w:p>
        </w:tc>
        <w:tc>
          <w:tcPr>
            <w:tcW w:w="8556" w:type="dxa"/>
            <w:gridSpan w:val="5"/>
            <w:vAlign w:val="center"/>
          </w:tcPr>
          <w:p w14:paraId="3AD3EB41">
            <w:pPr>
              <w:adjustRightInd w:val="0"/>
              <w:snapToGrid w:val="0"/>
              <w:spacing w:line="276" w:lineRule="auto"/>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ascii="宋体" w:hAnsi="宋体" w:eastAsia="宋体" w:cs="Times New Roman"/>
                <w:bCs/>
                <w:color w:val="000000"/>
                <w:szCs w:val="21"/>
              </w:rPr>
              <w:t>树立终身学习理念，自觉更新教育观念，潜心钻研教育教学业务。</w:t>
            </w:r>
          </w:p>
        </w:tc>
      </w:tr>
    </w:tbl>
    <w:p w14:paraId="47042D49">
      <w:pPr>
        <w:adjustRightInd w:val="0"/>
        <w:snapToGrid w:val="0"/>
        <w:spacing w:line="360" w:lineRule="auto"/>
        <w:ind w:firstLine="422" w:firstLineChars="200"/>
        <w:rPr>
          <w:rFonts w:hint="eastAsia" w:ascii="宋体" w:hAnsi="宋体" w:eastAsia="宋体"/>
          <w:b/>
          <w:szCs w:val="22"/>
        </w:rPr>
      </w:pPr>
    </w:p>
    <w:p w14:paraId="064A2C34">
      <w:pPr>
        <w:adjustRightInd w:val="0"/>
        <w:snapToGrid w:val="0"/>
        <w:spacing w:line="360" w:lineRule="auto"/>
        <w:ind w:firstLine="422" w:firstLineChars="200"/>
        <w:rPr>
          <w:rFonts w:hint="eastAsia" w:ascii="宋体" w:hAnsi="宋体" w:eastAsia="宋体"/>
          <w:b/>
          <w:szCs w:val="22"/>
        </w:rPr>
      </w:pPr>
      <w:r>
        <w:rPr>
          <w:rFonts w:hint="eastAsia" w:ascii="宋体" w:hAnsi="宋体" w:eastAsia="宋体"/>
          <w:b/>
          <w:szCs w:val="22"/>
        </w:rPr>
        <w:t>四、目标评价与成绩评定</w:t>
      </w:r>
    </w:p>
    <w:p w14:paraId="668E82D5">
      <w:pPr>
        <w:adjustRightInd w:val="0"/>
        <w:snapToGrid w:val="0"/>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43E0B36">
      <w:pPr>
        <w:adjustRightInd w:val="0"/>
        <w:snapToGri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B40C452">
      <w:pPr>
        <w:adjustRightInd w:val="0"/>
        <w:snapToGrid w:val="0"/>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559"/>
        <w:gridCol w:w="1418"/>
        <w:gridCol w:w="1276"/>
        <w:gridCol w:w="1417"/>
        <w:gridCol w:w="1355"/>
      </w:tblGrid>
      <w:tr w14:paraId="4228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71" w:type="dxa"/>
            <w:vMerge w:val="restart"/>
            <w:vAlign w:val="center"/>
          </w:tcPr>
          <w:p w14:paraId="5EB87659">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p>
        </w:tc>
        <w:tc>
          <w:tcPr>
            <w:tcW w:w="5670" w:type="dxa"/>
            <w:gridSpan w:val="4"/>
          </w:tcPr>
          <w:p w14:paraId="65A11822">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评价与成绩评定方法</w:t>
            </w:r>
          </w:p>
        </w:tc>
        <w:tc>
          <w:tcPr>
            <w:tcW w:w="1355" w:type="dxa"/>
            <w:vMerge w:val="restart"/>
            <w:vAlign w:val="center"/>
          </w:tcPr>
          <w:p w14:paraId="7027CE74">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分值</w:t>
            </w:r>
          </w:p>
        </w:tc>
      </w:tr>
      <w:tr w14:paraId="1022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271" w:type="dxa"/>
            <w:vMerge w:val="continue"/>
            <w:vAlign w:val="center"/>
          </w:tcPr>
          <w:p w14:paraId="1A4E8D94">
            <w:pPr>
              <w:adjustRightInd w:val="0"/>
              <w:snapToGrid w:val="0"/>
              <w:spacing w:line="276" w:lineRule="auto"/>
              <w:jc w:val="center"/>
              <w:rPr>
                <w:rFonts w:hint="eastAsia" w:ascii="宋体" w:hAnsi="宋体" w:eastAsia="宋体" w:cs="Times New Roman"/>
                <w:kern w:val="0"/>
                <w:szCs w:val="21"/>
              </w:rPr>
            </w:pPr>
          </w:p>
        </w:tc>
        <w:tc>
          <w:tcPr>
            <w:tcW w:w="1559" w:type="dxa"/>
            <w:vAlign w:val="center"/>
          </w:tcPr>
          <w:p w14:paraId="529A3870">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课堂发言</w:t>
            </w:r>
          </w:p>
        </w:tc>
        <w:tc>
          <w:tcPr>
            <w:tcW w:w="1418" w:type="dxa"/>
            <w:vAlign w:val="center"/>
          </w:tcPr>
          <w:p w14:paraId="0173FA15">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平时作业</w:t>
            </w:r>
          </w:p>
        </w:tc>
        <w:tc>
          <w:tcPr>
            <w:tcW w:w="1276" w:type="dxa"/>
            <w:vAlign w:val="center"/>
          </w:tcPr>
          <w:p w14:paraId="594D9F7D">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主题汇报</w:t>
            </w:r>
          </w:p>
        </w:tc>
        <w:tc>
          <w:tcPr>
            <w:tcW w:w="1417" w:type="dxa"/>
            <w:vAlign w:val="center"/>
          </w:tcPr>
          <w:p w14:paraId="11EC7088">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期末考试</w:t>
            </w:r>
          </w:p>
        </w:tc>
        <w:tc>
          <w:tcPr>
            <w:tcW w:w="1355" w:type="dxa"/>
            <w:vMerge w:val="continue"/>
            <w:vAlign w:val="center"/>
          </w:tcPr>
          <w:p w14:paraId="36A5C27C">
            <w:pPr>
              <w:adjustRightInd w:val="0"/>
              <w:snapToGrid w:val="0"/>
              <w:spacing w:line="276" w:lineRule="auto"/>
              <w:jc w:val="center"/>
              <w:rPr>
                <w:rFonts w:hint="eastAsia" w:ascii="宋体" w:hAnsi="宋体" w:eastAsia="宋体" w:cs="Times New Roman"/>
                <w:kern w:val="0"/>
                <w:szCs w:val="21"/>
              </w:rPr>
            </w:pPr>
          </w:p>
        </w:tc>
      </w:tr>
      <w:tr w14:paraId="6F5F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2627BFD2">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课程目标1</w:t>
            </w:r>
          </w:p>
        </w:tc>
        <w:tc>
          <w:tcPr>
            <w:tcW w:w="1559" w:type="dxa"/>
            <w:vAlign w:val="center"/>
          </w:tcPr>
          <w:p w14:paraId="5DF69D86">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59060D66">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583CD539">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30CCDD60">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3E557468">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20</w:t>
            </w:r>
          </w:p>
        </w:tc>
      </w:tr>
      <w:tr w14:paraId="053E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3FB217D1">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课程目标2</w:t>
            </w:r>
          </w:p>
        </w:tc>
        <w:tc>
          <w:tcPr>
            <w:tcW w:w="1559" w:type="dxa"/>
            <w:vAlign w:val="center"/>
          </w:tcPr>
          <w:p w14:paraId="2E48717D">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2C36839B">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426397D1">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01C403D9">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57D443EB">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30</w:t>
            </w:r>
          </w:p>
        </w:tc>
      </w:tr>
      <w:tr w14:paraId="13AC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47365C86">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课程目标3</w:t>
            </w:r>
          </w:p>
        </w:tc>
        <w:tc>
          <w:tcPr>
            <w:tcW w:w="1559" w:type="dxa"/>
            <w:vAlign w:val="center"/>
          </w:tcPr>
          <w:p w14:paraId="0B8859A0">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08E2F38B">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05A5D99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469A25C4">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22A79FDB">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30</w:t>
            </w:r>
          </w:p>
        </w:tc>
      </w:tr>
      <w:tr w14:paraId="35C0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1" w:type="dxa"/>
            <w:vAlign w:val="center"/>
          </w:tcPr>
          <w:p w14:paraId="53CFED61">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课程目标4</w:t>
            </w:r>
          </w:p>
        </w:tc>
        <w:tc>
          <w:tcPr>
            <w:tcW w:w="1559" w:type="dxa"/>
          </w:tcPr>
          <w:p w14:paraId="6AD28A3D">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tcPr>
          <w:p w14:paraId="2A0E247F">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tcPr>
          <w:p w14:paraId="7B9AE9FC">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tcPr>
          <w:p w14:paraId="010F5E30">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459D11C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20</w:t>
            </w:r>
          </w:p>
        </w:tc>
      </w:tr>
      <w:tr w14:paraId="292D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4714FA01">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合计</w:t>
            </w:r>
          </w:p>
        </w:tc>
        <w:tc>
          <w:tcPr>
            <w:tcW w:w="1559" w:type="dxa"/>
            <w:vAlign w:val="center"/>
          </w:tcPr>
          <w:p w14:paraId="0AC7E10B">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w:t>
            </w:r>
          </w:p>
        </w:tc>
        <w:tc>
          <w:tcPr>
            <w:tcW w:w="1418" w:type="dxa"/>
            <w:vAlign w:val="center"/>
          </w:tcPr>
          <w:p w14:paraId="31110CF5">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20</w:t>
            </w:r>
          </w:p>
        </w:tc>
        <w:tc>
          <w:tcPr>
            <w:tcW w:w="1276" w:type="dxa"/>
            <w:vAlign w:val="center"/>
          </w:tcPr>
          <w:p w14:paraId="762AE20D">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0</w:t>
            </w:r>
          </w:p>
        </w:tc>
        <w:tc>
          <w:tcPr>
            <w:tcW w:w="1417" w:type="dxa"/>
            <w:vAlign w:val="center"/>
          </w:tcPr>
          <w:p w14:paraId="662EFEC3">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1355" w:type="dxa"/>
            <w:vAlign w:val="center"/>
          </w:tcPr>
          <w:p w14:paraId="33F06A5D">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bl>
    <w:p w14:paraId="47BE41B0">
      <w:pPr>
        <w:spacing w:before="156" w:beforeLines="50" w:line="360" w:lineRule="auto"/>
        <w:ind w:firstLine="422" w:firstLineChars="200"/>
        <w:jc w:val="left"/>
        <w:rPr>
          <w:rFonts w:ascii="Times New Roman" w:hAnsi="Times New Roman" w:eastAsia="宋体" w:cs="Times New Roman"/>
          <w:b/>
          <w:szCs w:val="21"/>
        </w:rPr>
      </w:pPr>
      <w:r>
        <w:rPr>
          <w:rFonts w:hint="eastAsia" w:ascii="宋体" w:hAnsi="宋体" w:eastAsia="宋体"/>
          <w:b/>
          <w:szCs w:val="22"/>
        </w:rPr>
        <w:t>（二）</w:t>
      </w:r>
      <w:r>
        <w:rPr>
          <w:rFonts w:hint="eastAsia" w:ascii="Times New Roman" w:hAnsi="Times New Roman" w:eastAsia="宋体" w:cs="Times New Roman"/>
          <w:b/>
          <w:szCs w:val="21"/>
        </w:rPr>
        <w:t>成绩评定细则</w:t>
      </w:r>
    </w:p>
    <w:p w14:paraId="68EAD6D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44141D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509"/>
        <w:gridCol w:w="757"/>
      </w:tblGrid>
      <w:tr w14:paraId="3F27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dxa"/>
            <w:vAlign w:val="center"/>
          </w:tcPr>
          <w:p w14:paraId="26878403">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509" w:type="dxa"/>
            <w:vAlign w:val="center"/>
          </w:tcPr>
          <w:p w14:paraId="37E035B1">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F788F88">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AF8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22" w:type="dxa"/>
            <w:tcBorders>
              <w:top w:val="single" w:color="auto" w:sz="4" w:space="0"/>
              <w:left w:val="single" w:color="auto" w:sz="4" w:space="0"/>
              <w:bottom w:val="single" w:color="auto" w:sz="4" w:space="0"/>
              <w:right w:val="single" w:color="auto" w:sz="4" w:space="0"/>
            </w:tcBorders>
            <w:vAlign w:val="center"/>
          </w:tcPr>
          <w:p w14:paraId="5DBB71D5">
            <w:pPr>
              <w:snapToGrid w:val="0"/>
              <w:spacing w:line="276" w:lineRule="auto"/>
              <w:rPr>
                <w:rFonts w:hint="eastAsia" w:ascii="宋体" w:hAnsi="宋体" w:eastAsia="宋体"/>
                <w:szCs w:val="21"/>
              </w:rPr>
            </w:pPr>
            <w:r>
              <w:rPr>
                <w:rFonts w:hint="eastAsia" w:ascii="宋体" w:hAnsi="宋体" w:eastAsia="宋体"/>
                <w:szCs w:val="21"/>
              </w:rPr>
              <w:t>课堂发言</w:t>
            </w:r>
          </w:p>
        </w:tc>
        <w:tc>
          <w:tcPr>
            <w:tcW w:w="7509" w:type="dxa"/>
            <w:tcBorders>
              <w:top w:val="single" w:color="auto" w:sz="4" w:space="0"/>
              <w:left w:val="single" w:color="auto" w:sz="4" w:space="0"/>
              <w:bottom w:val="single" w:color="auto" w:sz="4" w:space="0"/>
              <w:right w:val="single" w:color="auto" w:sz="4" w:space="0"/>
            </w:tcBorders>
            <w:vAlign w:val="center"/>
          </w:tcPr>
          <w:p w14:paraId="7B0AE1A6">
            <w:pPr>
              <w:snapToGrid w:val="0"/>
              <w:spacing w:line="276" w:lineRule="auto"/>
              <w:rPr>
                <w:rFonts w:hint="eastAsia" w:ascii="宋体" w:hAnsi="宋体" w:eastAsia="宋体"/>
                <w:szCs w:val="21"/>
              </w:rPr>
            </w:pPr>
            <w:r>
              <w:rPr>
                <w:rFonts w:hint="eastAsia" w:ascii="宋体" w:hAnsi="宋体" w:eastAsia="宋体"/>
                <w:szCs w:val="21"/>
              </w:rPr>
              <w:t>根据学生课堂发言情况、学习</w:t>
            </w:r>
            <w:r>
              <w:rPr>
                <w:rFonts w:ascii="宋体" w:hAnsi="宋体" w:eastAsia="宋体"/>
                <w:szCs w:val="21"/>
              </w:rPr>
              <w:t>态度</w:t>
            </w:r>
            <w:r>
              <w:rPr>
                <w:rFonts w:hint="eastAsia" w:ascii="宋体" w:hAnsi="宋体" w:eastAsia="宋体"/>
                <w:szCs w:val="21"/>
              </w:rPr>
              <w:t>、回答质量进行评分，考察学生课堂听讲效果、课后预习和复习的效果，以及对基础知识的掌握情况。</w:t>
            </w:r>
          </w:p>
        </w:tc>
        <w:tc>
          <w:tcPr>
            <w:tcW w:w="0" w:type="auto"/>
            <w:tcBorders>
              <w:top w:val="single" w:color="auto" w:sz="4" w:space="0"/>
              <w:left w:val="single" w:color="auto" w:sz="4" w:space="0"/>
              <w:bottom w:val="single" w:color="auto" w:sz="4" w:space="0"/>
              <w:right w:val="single" w:color="auto" w:sz="4" w:space="0"/>
            </w:tcBorders>
            <w:vAlign w:val="center"/>
          </w:tcPr>
          <w:p w14:paraId="6B7FA55F">
            <w:pPr>
              <w:snapToGrid w:val="0"/>
              <w:spacing w:line="276" w:lineRule="auto"/>
              <w:rPr>
                <w:rFonts w:hint="eastAsia" w:ascii="宋体" w:hAnsi="宋体" w:eastAsia="宋体"/>
                <w:szCs w:val="21"/>
              </w:rPr>
            </w:pPr>
            <w:r>
              <w:rPr>
                <w:rFonts w:ascii="宋体" w:hAnsi="宋体" w:eastAsia="宋体"/>
                <w:szCs w:val="21"/>
              </w:rPr>
              <w:t>10%</w:t>
            </w:r>
          </w:p>
        </w:tc>
      </w:tr>
      <w:tr w14:paraId="5FC5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2" w:type="dxa"/>
            <w:tcBorders>
              <w:top w:val="single" w:color="auto" w:sz="4" w:space="0"/>
              <w:left w:val="single" w:color="auto" w:sz="4" w:space="0"/>
              <w:bottom w:val="single" w:color="auto" w:sz="4" w:space="0"/>
              <w:right w:val="single" w:color="auto" w:sz="4" w:space="0"/>
            </w:tcBorders>
            <w:vAlign w:val="center"/>
          </w:tcPr>
          <w:p w14:paraId="3D2FA08A">
            <w:pPr>
              <w:snapToGrid w:val="0"/>
              <w:spacing w:line="276" w:lineRule="auto"/>
              <w:rPr>
                <w:rFonts w:hint="eastAsia" w:ascii="宋体" w:hAnsi="宋体" w:eastAsia="宋体"/>
                <w:szCs w:val="21"/>
              </w:rPr>
            </w:pPr>
            <w:r>
              <w:rPr>
                <w:rFonts w:hint="eastAsia" w:ascii="宋体" w:hAnsi="宋体" w:eastAsia="宋体"/>
                <w:szCs w:val="21"/>
              </w:rPr>
              <w:t>平时作业</w:t>
            </w:r>
          </w:p>
        </w:tc>
        <w:tc>
          <w:tcPr>
            <w:tcW w:w="7509" w:type="dxa"/>
            <w:tcBorders>
              <w:top w:val="single" w:color="auto" w:sz="4" w:space="0"/>
              <w:left w:val="single" w:color="auto" w:sz="4" w:space="0"/>
              <w:bottom w:val="single" w:color="auto" w:sz="4" w:space="0"/>
              <w:right w:val="single" w:color="auto" w:sz="4" w:space="0"/>
            </w:tcBorders>
            <w:vAlign w:val="center"/>
          </w:tcPr>
          <w:p w14:paraId="672EA44C">
            <w:pPr>
              <w:snapToGrid w:val="0"/>
              <w:spacing w:line="276" w:lineRule="auto"/>
              <w:rPr>
                <w:rFonts w:hint="eastAsia" w:ascii="宋体" w:hAnsi="宋体" w:eastAsia="宋体"/>
                <w:szCs w:val="21"/>
              </w:rPr>
            </w:pPr>
            <w:r>
              <w:rPr>
                <w:rFonts w:ascii="宋体" w:hAnsi="宋体" w:eastAsia="宋体" w:cs="Times New Roman"/>
                <w:color w:val="000000" w:themeColor="text1"/>
                <w14:textFill>
                  <w14:solidFill>
                    <w14:schemeClr w14:val="tx1"/>
                  </w14:solidFill>
                </w14:textFill>
              </w:rPr>
              <w:t>考核学生对</w:t>
            </w:r>
            <w:r>
              <w:rPr>
                <w:rFonts w:hint="eastAsia" w:ascii="宋体" w:hAnsi="宋体" w:eastAsia="宋体" w:cs="Times New Roman"/>
                <w:color w:val="000000" w:themeColor="text1"/>
                <w14:textFill>
                  <w14:solidFill>
                    <w14:schemeClr w14:val="tx1"/>
                  </w14:solidFill>
                </w14:textFill>
              </w:rPr>
              <w:t>各章节重要</w:t>
            </w:r>
            <w:r>
              <w:rPr>
                <w:rFonts w:ascii="宋体" w:hAnsi="宋体" w:eastAsia="宋体" w:cs="Times New Roman"/>
                <w:color w:val="000000" w:themeColor="text1"/>
                <w14:textFill>
                  <w14:solidFill>
                    <w14:schemeClr w14:val="tx1"/>
                  </w14:solidFill>
                </w14:textFill>
              </w:rPr>
              <w:t>知识点的理解和掌握</w:t>
            </w:r>
            <w:r>
              <w:rPr>
                <w:rFonts w:hint="eastAsia" w:ascii="宋体" w:hAnsi="宋体" w:eastAsia="宋体" w:cs="Times New Roman"/>
                <w:color w:val="000000" w:themeColor="text1"/>
                <w14:textFill>
                  <w14:solidFill>
                    <w14:schemeClr w14:val="tx1"/>
                  </w14:solidFill>
                </w14:textFill>
              </w:rPr>
              <w:t>情况</w:t>
            </w:r>
            <w:r>
              <w:rPr>
                <w:rFonts w:ascii="宋体" w:hAnsi="宋体" w:eastAsia="宋体" w:cs="Times New Roman"/>
                <w:color w:val="000000" w:themeColor="text1"/>
                <w14:textFill>
                  <w14:solidFill>
                    <w14:schemeClr w14:val="tx1"/>
                  </w14:solidFill>
                </w14:textFill>
              </w:rPr>
              <w:t>，</w:t>
            </w:r>
            <w:r>
              <w:rPr>
                <w:rFonts w:hint="eastAsia" w:ascii="宋体" w:hAnsi="宋体" w:eastAsia="宋体" w:cs="Times New Roman"/>
                <w:color w:val="000000" w:themeColor="text1"/>
                <w14:textFill>
                  <w14:solidFill>
                    <w14:schemeClr w14:val="tx1"/>
                  </w14:solidFill>
                </w14:textFill>
              </w:rPr>
              <w:t>作业次数不少于2次，安排在课后，教师批改反馈并进行讲解。</w:t>
            </w:r>
          </w:p>
        </w:tc>
        <w:tc>
          <w:tcPr>
            <w:tcW w:w="0" w:type="auto"/>
            <w:tcBorders>
              <w:top w:val="single" w:color="auto" w:sz="4" w:space="0"/>
              <w:left w:val="single" w:color="auto" w:sz="4" w:space="0"/>
              <w:bottom w:val="single" w:color="auto" w:sz="4" w:space="0"/>
              <w:right w:val="single" w:color="auto" w:sz="4" w:space="0"/>
            </w:tcBorders>
            <w:vAlign w:val="center"/>
          </w:tcPr>
          <w:p w14:paraId="0361F378">
            <w:pPr>
              <w:snapToGrid w:val="0"/>
              <w:spacing w:line="276" w:lineRule="auto"/>
              <w:rPr>
                <w:rFonts w:hint="eastAsia" w:ascii="宋体" w:hAnsi="宋体" w:eastAsia="宋体"/>
                <w:szCs w:val="21"/>
              </w:rPr>
            </w:pPr>
            <w:r>
              <w:rPr>
                <w:rFonts w:hint="eastAsia" w:ascii="宋体" w:hAnsi="宋体" w:eastAsia="宋体"/>
                <w:szCs w:val="21"/>
              </w:rPr>
              <w:t>2</w:t>
            </w:r>
            <w:r>
              <w:rPr>
                <w:rFonts w:ascii="宋体" w:hAnsi="宋体" w:eastAsia="宋体"/>
                <w:szCs w:val="21"/>
              </w:rPr>
              <w:t>0%</w:t>
            </w:r>
          </w:p>
        </w:tc>
      </w:tr>
      <w:tr w14:paraId="493F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22" w:type="dxa"/>
            <w:tcBorders>
              <w:top w:val="single" w:color="auto" w:sz="4" w:space="0"/>
              <w:left w:val="single" w:color="auto" w:sz="4" w:space="0"/>
              <w:bottom w:val="single" w:color="auto" w:sz="4" w:space="0"/>
              <w:right w:val="single" w:color="auto" w:sz="4" w:space="0"/>
            </w:tcBorders>
            <w:vAlign w:val="center"/>
          </w:tcPr>
          <w:p w14:paraId="49F0B187">
            <w:pPr>
              <w:snapToGrid w:val="0"/>
              <w:spacing w:line="276" w:lineRule="auto"/>
              <w:rPr>
                <w:rFonts w:hint="eastAsia" w:ascii="宋体" w:hAnsi="宋体" w:eastAsia="宋体"/>
                <w:szCs w:val="21"/>
              </w:rPr>
            </w:pPr>
            <w:r>
              <w:rPr>
                <w:rFonts w:hint="eastAsia" w:ascii="宋体" w:hAnsi="宋体" w:eastAsia="宋体"/>
                <w:szCs w:val="21"/>
              </w:rPr>
              <w:t>主题汇报</w:t>
            </w:r>
          </w:p>
        </w:tc>
        <w:tc>
          <w:tcPr>
            <w:tcW w:w="7509" w:type="dxa"/>
            <w:tcBorders>
              <w:top w:val="single" w:color="auto" w:sz="4" w:space="0"/>
              <w:left w:val="single" w:color="auto" w:sz="4" w:space="0"/>
              <w:bottom w:val="single" w:color="auto" w:sz="4" w:space="0"/>
              <w:right w:val="single" w:color="auto" w:sz="4" w:space="0"/>
            </w:tcBorders>
            <w:vAlign w:val="center"/>
          </w:tcPr>
          <w:p w14:paraId="31D766E7">
            <w:pPr>
              <w:snapToGrid w:val="0"/>
              <w:spacing w:line="276" w:lineRule="auto"/>
              <w:rPr>
                <w:rFonts w:hint="eastAsia" w:ascii="宋体" w:hAnsi="宋体" w:eastAsia="宋体"/>
                <w:szCs w:val="21"/>
              </w:rPr>
            </w:pPr>
            <w:r>
              <w:rPr>
                <w:rFonts w:hint="eastAsia" w:ascii="宋体" w:hAnsi="宋体" w:eastAsia="宋体" w:cs="Times New Roman"/>
                <w:color w:val="000000" w:themeColor="text1"/>
                <w14:textFill>
                  <w14:solidFill>
                    <w14:schemeClr w14:val="tx1"/>
                  </w14:solidFill>
                </w14:textFill>
              </w:rPr>
              <w:t>小组合作，围绕一个师德主题，分享教育故事和感悟，考察学生运用师德理念以及相关理论知识分析具体案例的能力。</w:t>
            </w:r>
          </w:p>
        </w:tc>
        <w:tc>
          <w:tcPr>
            <w:tcW w:w="0" w:type="auto"/>
            <w:tcBorders>
              <w:top w:val="single" w:color="auto" w:sz="4" w:space="0"/>
              <w:left w:val="single" w:color="auto" w:sz="4" w:space="0"/>
              <w:bottom w:val="single" w:color="auto" w:sz="4" w:space="0"/>
              <w:right w:val="single" w:color="auto" w:sz="4" w:space="0"/>
            </w:tcBorders>
            <w:vAlign w:val="center"/>
          </w:tcPr>
          <w:p w14:paraId="2F93841C">
            <w:pPr>
              <w:snapToGrid w:val="0"/>
              <w:spacing w:line="276" w:lineRule="auto"/>
              <w:rPr>
                <w:rFonts w:hint="eastAsia" w:ascii="宋体" w:hAnsi="宋体" w:eastAsia="宋体"/>
                <w:szCs w:val="21"/>
              </w:rPr>
            </w:pPr>
            <w:r>
              <w:rPr>
                <w:rFonts w:hint="eastAsia" w:ascii="宋体" w:hAnsi="宋体" w:eastAsia="宋体"/>
                <w:szCs w:val="21"/>
              </w:rPr>
              <w:t>2</w:t>
            </w:r>
            <w:r>
              <w:rPr>
                <w:rFonts w:ascii="宋体" w:hAnsi="宋体" w:eastAsia="宋体"/>
                <w:szCs w:val="21"/>
              </w:rPr>
              <w:t>0%</w:t>
            </w:r>
          </w:p>
        </w:tc>
      </w:tr>
      <w:tr w14:paraId="46F8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22" w:type="dxa"/>
            <w:tcBorders>
              <w:top w:val="single" w:color="auto" w:sz="4" w:space="0"/>
              <w:left w:val="single" w:color="auto" w:sz="4" w:space="0"/>
              <w:bottom w:val="single" w:color="auto" w:sz="4" w:space="0"/>
              <w:right w:val="single" w:color="auto" w:sz="4" w:space="0"/>
            </w:tcBorders>
            <w:vAlign w:val="center"/>
          </w:tcPr>
          <w:p w14:paraId="3619B29A">
            <w:pPr>
              <w:snapToGrid w:val="0"/>
              <w:spacing w:line="276" w:lineRule="auto"/>
              <w:rPr>
                <w:rFonts w:hint="eastAsia" w:ascii="宋体" w:hAnsi="宋体" w:eastAsia="宋体"/>
                <w:szCs w:val="21"/>
              </w:rPr>
            </w:pPr>
            <w:r>
              <w:rPr>
                <w:rFonts w:hint="eastAsia" w:ascii="宋体" w:hAnsi="宋体" w:eastAsia="宋体"/>
                <w:szCs w:val="21"/>
              </w:rPr>
              <w:t>期末考试</w:t>
            </w:r>
          </w:p>
        </w:tc>
        <w:tc>
          <w:tcPr>
            <w:tcW w:w="7509" w:type="dxa"/>
            <w:tcBorders>
              <w:top w:val="single" w:color="auto" w:sz="4" w:space="0"/>
              <w:left w:val="single" w:color="auto" w:sz="4" w:space="0"/>
              <w:bottom w:val="single" w:color="auto" w:sz="4" w:space="0"/>
              <w:right w:val="single" w:color="auto" w:sz="4" w:space="0"/>
            </w:tcBorders>
            <w:vAlign w:val="center"/>
          </w:tcPr>
          <w:p w14:paraId="12E583EE">
            <w:pPr>
              <w:snapToGrid w:val="0"/>
              <w:spacing w:line="276" w:lineRule="auto"/>
              <w:rPr>
                <w:rFonts w:hint="eastAsia" w:ascii="宋体" w:hAnsi="宋体" w:eastAsia="宋体"/>
                <w:szCs w:val="21"/>
              </w:rPr>
            </w:pPr>
            <w:r>
              <w:rPr>
                <w:rFonts w:hint="eastAsia" w:ascii="宋体" w:hAnsi="宋体" w:eastAsia="宋体"/>
                <w:szCs w:val="21"/>
              </w:rPr>
              <w:t>考试形式由教师确定，</w:t>
            </w:r>
            <w:r>
              <w:rPr>
                <w:rFonts w:ascii="宋体" w:hAnsi="宋体" w:eastAsia="宋体"/>
                <w:szCs w:val="21"/>
              </w:rPr>
              <w:t>题型包括选择题、简答题、材料分析题、论述题，</w:t>
            </w:r>
            <w:r>
              <w:rPr>
                <w:rFonts w:hint="eastAsia" w:ascii="宋体" w:hAnsi="宋体" w:eastAsia="宋体"/>
                <w:szCs w:val="21"/>
              </w:rPr>
              <w:t>其中：</w:t>
            </w:r>
          </w:p>
          <w:p w14:paraId="0A030DF7">
            <w:pPr>
              <w:snapToGrid w:val="0"/>
              <w:spacing w:line="276" w:lineRule="auto"/>
              <w:rPr>
                <w:rFonts w:hint="eastAsia" w:ascii="宋体" w:hAnsi="宋体" w:eastAsia="宋体"/>
                <w:szCs w:val="21"/>
              </w:rPr>
            </w:pPr>
            <w:r>
              <w:rPr>
                <w:rFonts w:ascii="宋体" w:hAnsi="宋体" w:eastAsia="宋体"/>
                <w:szCs w:val="21"/>
              </w:rPr>
              <w:t>考核教师职业道德基本理论的知识型题目</w:t>
            </w:r>
            <w:r>
              <w:rPr>
                <w:rFonts w:hint="eastAsia" w:ascii="宋体" w:hAnsi="宋体" w:eastAsia="宋体"/>
                <w:szCs w:val="21"/>
              </w:rPr>
              <w:t>不少于</w:t>
            </w:r>
            <w:r>
              <w:rPr>
                <w:rFonts w:ascii="宋体" w:hAnsi="宋体" w:eastAsia="宋体"/>
                <w:szCs w:val="21"/>
              </w:rPr>
              <w:t>40%。</w:t>
            </w:r>
          </w:p>
          <w:p w14:paraId="323B81AA">
            <w:pPr>
              <w:snapToGrid w:val="0"/>
              <w:spacing w:line="276" w:lineRule="auto"/>
              <w:rPr>
                <w:rFonts w:hint="eastAsia" w:ascii="宋体" w:hAnsi="宋体" w:eastAsia="宋体"/>
                <w:szCs w:val="21"/>
              </w:rPr>
            </w:pPr>
            <w:r>
              <w:rPr>
                <w:rFonts w:ascii="宋体" w:hAnsi="宋体" w:eastAsia="宋体"/>
                <w:szCs w:val="21"/>
              </w:rPr>
              <w:t>考核学生运用职业道德基本理论知识分析材料的能力型题目</w:t>
            </w:r>
            <w:r>
              <w:rPr>
                <w:rFonts w:hint="eastAsia" w:ascii="宋体" w:hAnsi="宋体" w:eastAsia="宋体"/>
                <w:szCs w:val="21"/>
              </w:rPr>
              <w:t>不少于</w:t>
            </w:r>
            <w:r>
              <w:rPr>
                <w:rFonts w:ascii="宋体" w:hAnsi="宋体" w:eastAsia="宋体"/>
                <w:szCs w:val="21"/>
              </w:rPr>
              <w:t>60%。</w:t>
            </w:r>
          </w:p>
        </w:tc>
        <w:tc>
          <w:tcPr>
            <w:tcW w:w="0" w:type="auto"/>
            <w:tcBorders>
              <w:top w:val="single" w:color="auto" w:sz="4" w:space="0"/>
              <w:left w:val="single" w:color="auto" w:sz="4" w:space="0"/>
              <w:bottom w:val="single" w:color="auto" w:sz="4" w:space="0"/>
              <w:right w:val="single" w:color="auto" w:sz="4" w:space="0"/>
            </w:tcBorders>
            <w:vAlign w:val="center"/>
          </w:tcPr>
          <w:p w14:paraId="2FEA34CB">
            <w:pPr>
              <w:snapToGrid w:val="0"/>
              <w:spacing w:line="276" w:lineRule="auto"/>
              <w:rPr>
                <w:rFonts w:hint="eastAsia" w:ascii="宋体" w:hAnsi="宋体" w:eastAsia="宋体"/>
                <w:szCs w:val="21"/>
              </w:rPr>
            </w:pPr>
            <w:r>
              <w:rPr>
                <w:rFonts w:ascii="宋体" w:hAnsi="宋体" w:eastAsia="宋体"/>
                <w:szCs w:val="21"/>
              </w:rPr>
              <w:t>50%</w:t>
            </w:r>
          </w:p>
        </w:tc>
      </w:tr>
      <w:tr w14:paraId="22E2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231" w:type="dxa"/>
            <w:gridSpan w:val="2"/>
            <w:tcBorders>
              <w:top w:val="single" w:color="auto" w:sz="4" w:space="0"/>
              <w:left w:val="single" w:color="auto" w:sz="4" w:space="0"/>
              <w:bottom w:val="single" w:color="auto" w:sz="4" w:space="0"/>
              <w:right w:val="single" w:color="auto" w:sz="4" w:space="0"/>
            </w:tcBorders>
            <w:vAlign w:val="center"/>
          </w:tcPr>
          <w:p w14:paraId="3923D3E1">
            <w:pPr>
              <w:snapToGrid w:val="0"/>
              <w:spacing w:line="276" w:lineRule="auto"/>
              <w:jc w:val="center"/>
              <w:rPr>
                <w:rFonts w:hint="eastAsia" w:ascii="宋体" w:hAnsi="宋体" w:eastAsia="宋体"/>
                <w:szCs w:val="21"/>
              </w:rPr>
            </w:pPr>
            <w:r>
              <w:rPr>
                <w:rFonts w:hint="eastAsia" w:ascii="宋体" w:hAnsi="宋体" w:eastAsia="宋体"/>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2E8441F2">
            <w:pPr>
              <w:snapToGrid w:val="0"/>
              <w:spacing w:line="276" w:lineRule="auto"/>
              <w:rPr>
                <w:rFonts w:hint="eastAsia" w:ascii="宋体" w:hAnsi="宋体" w:eastAsia="宋体"/>
                <w:szCs w:val="21"/>
              </w:rPr>
            </w:pPr>
            <w:r>
              <w:rPr>
                <w:rFonts w:hint="eastAsia" w:ascii="宋体" w:hAnsi="宋体" w:eastAsia="宋体"/>
                <w:szCs w:val="21"/>
              </w:rPr>
              <w:t>1</w:t>
            </w:r>
            <w:r>
              <w:rPr>
                <w:rFonts w:ascii="宋体" w:hAnsi="宋体" w:eastAsia="宋体"/>
                <w:szCs w:val="21"/>
              </w:rPr>
              <w:t>00%</w:t>
            </w:r>
          </w:p>
        </w:tc>
      </w:tr>
    </w:tbl>
    <w:p w14:paraId="6C37F168">
      <w:pPr>
        <w:spacing w:line="276" w:lineRule="auto"/>
        <w:ind w:firstLine="316" w:firstLineChars="150"/>
        <w:rPr>
          <w:rFonts w:hint="eastAsia" w:ascii="宋体" w:hAnsi="宋体" w:eastAsia="宋体"/>
          <w:b/>
          <w:szCs w:val="22"/>
        </w:rPr>
      </w:pPr>
    </w:p>
    <w:p w14:paraId="39351FD6">
      <w:pPr>
        <w:spacing w:line="276" w:lineRule="auto"/>
        <w:ind w:firstLine="316" w:firstLineChars="150"/>
        <w:rPr>
          <w:rFonts w:hint="eastAsia" w:ascii="宋体" w:hAnsi="宋体" w:eastAsia="宋体"/>
          <w:b/>
          <w:szCs w:val="22"/>
        </w:rPr>
      </w:pPr>
      <w:r>
        <w:rPr>
          <w:rFonts w:hint="eastAsia" w:ascii="宋体" w:hAnsi="宋体" w:eastAsia="宋体"/>
          <w:b/>
          <w:szCs w:val="22"/>
        </w:rPr>
        <w:t>（三）</w:t>
      </w:r>
      <w:r>
        <w:rPr>
          <w:rFonts w:hint="eastAsia" w:ascii="宋体" w:hAnsi="宋体" w:eastAsia="宋体"/>
          <w:b/>
          <w:bCs/>
        </w:rPr>
        <w:t>课程目标达成度计算方法</w:t>
      </w:r>
    </w:p>
    <w:p w14:paraId="461334BA">
      <w:pPr>
        <w:spacing w:line="276" w:lineRule="auto"/>
        <w:ind w:firstLine="420" w:firstLineChars="200"/>
        <w:rPr>
          <w:rFonts w:ascii="Calibri" w:hAnsi="Calibri" w:eastAsia="宋体" w:cs="Times New Roman"/>
        </w:rPr>
      </w:pPr>
      <w:r>
        <w:rPr>
          <w:rFonts w:hint="eastAsia" w:ascii="Calibri" w:hAnsi="Calibri" w:eastAsia="宋体" w:cs="Times New Roman"/>
        </w:rPr>
        <w:t>所有课程目标均需大于等</w:t>
      </w:r>
      <w:r>
        <w:rPr>
          <w:rFonts w:hint="eastAsia" w:ascii="宋体" w:hAnsi="宋体" w:eastAsia="宋体" w:cs="Times New Roman"/>
        </w:rPr>
        <w:t>于</w:t>
      </w:r>
      <w:r>
        <w:rPr>
          <w:rFonts w:hint="eastAsia" w:ascii="宋体" w:hAnsi="宋体" w:eastAsia="宋体" w:cs="Times New Roman"/>
          <w:szCs w:val="21"/>
        </w:rPr>
        <w:t>0</w:t>
      </w:r>
      <w:r>
        <w:rPr>
          <w:rFonts w:ascii="宋体" w:hAnsi="宋体" w:eastAsia="宋体" w:cs="Times New Roman"/>
          <w:szCs w:val="21"/>
        </w:rPr>
        <w:t>.6</w:t>
      </w:r>
      <w:r>
        <w:rPr>
          <w:rFonts w:hint="eastAsia" w:ascii="Calibri" w:hAnsi="Calibri" w:eastAsia="宋体" w:cs="Times New Roman"/>
        </w:rPr>
        <w:t>，否则总评成绩不及格，需要补考或重修。每门课程目标总体达成度计算方法如下：</w:t>
      </w:r>
    </w:p>
    <w:p w14:paraId="69DA9132">
      <w:pPr>
        <w:spacing w:line="276" w:lineRule="auto"/>
        <w:rPr>
          <w:rFonts w:ascii="Calibri" w:hAnsi="Calibri" w:eastAsia="宋体" w:cs="Times New Roman"/>
          <w:szCs w:val="21"/>
        </w:rPr>
      </w:pPr>
      <w:r>
        <w:rPr>
          <w:rFonts w:hint="eastAsia" w:ascii="Calibri" w:hAnsi="Calibri" w:eastAsia="宋体" w:cs="Times New Roman"/>
          <w:szCs w:val="21"/>
        </w:rPr>
        <w:t>课程目标达成度=</w:t>
      </w:r>
      <m:oMath>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课程子目标的权重值（</m:t>
        </m:r>
        <m:r>
          <m:rPr/>
          <w:rPr>
            <w:rFonts w:ascii="Cambria Math" w:hAnsi="Cambria Math" w:eastAsia="宋体" w:cs="Times New Roman"/>
            <w:szCs w:val="21"/>
          </w:rPr>
          <m:t>a</m:t>
        </m:r>
        <m:r>
          <m:rPr>
            <m:sty m:val="p"/>
          </m:rPr>
          <w:rPr>
            <w:rFonts w:hint="eastAsia" w:ascii="Cambria Math" w:hAnsi="Cambria Math" w:eastAsia="宋体" w:cs="Times New Roman"/>
            <w:szCs w:val="21"/>
          </w:rPr>
          <m:t>）</m:t>
        </m:r>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课程考核目标的权重值（</m:t>
        </m:r>
        <m:r>
          <m:rPr/>
          <w:rPr>
            <w:rFonts w:ascii="Cambria Math" w:hAnsi="Cambria Math" w:eastAsia="宋体" w:cs="Times New Roman"/>
            <w:szCs w:val="21"/>
          </w:rPr>
          <m:t>b</m:t>
        </m:r>
        <m:r>
          <m:rPr>
            <m:sty m:val="p"/>
          </m:rPr>
          <w:rPr>
            <w:rFonts w:hint="eastAsia" w:ascii="Cambria Math" w:hAnsi="Cambria Math" w:eastAsia="宋体" w:cs="Times New Roman"/>
            <w:szCs w:val="21"/>
          </w:rPr>
          <m:t>）</m:t>
        </m:r>
        <m:f>
          <m:fPr>
            <m:ctrlPr>
              <w:rPr>
                <w:rFonts w:ascii="Cambria Math" w:hAnsi="Cambria Math" w:eastAsia="宋体" w:cs="Times New Roman"/>
                <w:szCs w:val="21"/>
              </w:rPr>
            </m:ctrlPr>
          </m:fPr>
          <m:num>
            <m:r>
              <m:rPr/>
              <w:rPr>
                <w:rFonts w:hint="eastAsia" w:ascii="Cambria Math" w:hAnsi="Cambria Math" w:eastAsia="宋体" w:cs="Times New Roman"/>
                <w:szCs w:val="21"/>
              </w:rPr>
              <m:t>考核项目平均分</m:t>
            </m:r>
            <m:ctrlPr>
              <w:rPr>
                <w:rFonts w:ascii="Cambria Math" w:hAnsi="Cambria Math" w:eastAsia="宋体" w:cs="Times New Roman"/>
                <w:szCs w:val="21"/>
              </w:rPr>
            </m:ctrlPr>
          </m:num>
          <m:den>
            <m:r>
              <m:rPr/>
              <w:rPr>
                <w:rFonts w:hint="eastAsia" w:ascii="Cambria Math" w:hAnsi="Cambria Math" w:eastAsia="宋体" w:cs="Times New Roman"/>
                <w:szCs w:val="21"/>
              </w:rPr>
              <m:t>考核项目总分</m:t>
            </m:r>
            <m:ctrlPr>
              <w:rPr>
                <w:rFonts w:ascii="Cambria Math" w:hAnsi="Cambria Math" w:eastAsia="宋体" w:cs="Times New Roman"/>
                <w:szCs w:val="21"/>
              </w:rPr>
            </m:ctrlPr>
          </m:den>
        </m:f>
      </m:oMath>
    </w:p>
    <w:p w14:paraId="01010BE7">
      <w:pPr>
        <w:spacing w:line="276" w:lineRule="auto"/>
        <w:ind w:firstLine="422" w:firstLineChars="200"/>
        <w:rPr>
          <w:rFonts w:ascii="Calibri" w:hAnsi="Calibri" w:eastAsia="宋体" w:cs="Times New Roman"/>
          <w:b/>
        </w:rPr>
      </w:pPr>
      <w:r>
        <w:rPr>
          <w:rFonts w:hint="eastAsia" w:ascii="Calibri" w:hAnsi="Calibri" w:eastAsia="宋体" w:cs="Times New Roman"/>
          <w:b/>
        </w:rPr>
        <w:t>五、课内实践</w:t>
      </w:r>
    </w:p>
    <w:p w14:paraId="20323D24">
      <w:pPr>
        <w:spacing w:line="276" w:lineRule="auto"/>
        <w:ind w:firstLine="420" w:firstLineChars="200"/>
        <w:rPr>
          <w:rFonts w:ascii="Calibri" w:hAnsi="Calibri" w:eastAsia="宋体" w:cs="Times New Roman"/>
          <w:bCs/>
        </w:rPr>
      </w:pPr>
      <w:r>
        <w:rPr>
          <w:rFonts w:hint="eastAsia" w:ascii="Calibri" w:hAnsi="Calibri" w:eastAsia="宋体" w:cs="Times New Roman"/>
          <w:bCs/>
        </w:rPr>
        <w:t>无</w:t>
      </w:r>
    </w:p>
    <w:p w14:paraId="4260459A">
      <w:pPr>
        <w:spacing w:line="276" w:lineRule="auto"/>
        <w:ind w:firstLine="422" w:firstLineChars="200"/>
        <w:rPr>
          <w:rFonts w:ascii="Calibri" w:hAnsi="Calibri" w:eastAsia="宋体" w:cs="Times New Roman"/>
          <w:b/>
        </w:rPr>
      </w:pPr>
      <w:r>
        <w:rPr>
          <w:rFonts w:hint="eastAsia" w:ascii="Calibri" w:hAnsi="Calibri" w:eastAsia="宋体" w:cs="Times New Roman"/>
          <w:b/>
        </w:rPr>
        <w:t>六</w:t>
      </w:r>
      <w:r>
        <w:rPr>
          <w:rFonts w:ascii="Calibri" w:hAnsi="Calibri" w:eastAsia="宋体" w:cs="Times New Roman"/>
          <w:b/>
        </w:rPr>
        <w:t>、</w:t>
      </w:r>
      <w:r>
        <w:rPr>
          <w:rFonts w:hint="eastAsia" w:ascii="Calibri" w:hAnsi="Calibri" w:eastAsia="宋体" w:cs="Times New Roman"/>
          <w:b/>
        </w:rPr>
        <w:t>有关说明</w:t>
      </w:r>
    </w:p>
    <w:p w14:paraId="025AFAC8">
      <w:pPr>
        <w:spacing w:line="276" w:lineRule="auto"/>
        <w:ind w:firstLine="422" w:firstLineChars="200"/>
        <w:rPr>
          <w:rFonts w:ascii="Calibri" w:hAnsi="Calibri" w:eastAsia="宋体" w:cs="Times New Roman"/>
          <w:b/>
          <w:color w:val="000000"/>
        </w:rPr>
      </w:pPr>
      <w:r>
        <w:rPr>
          <w:rFonts w:hint="eastAsia" w:ascii="Calibri" w:hAnsi="Calibri" w:eastAsia="宋体" w:cs="Times New Roman"/>
          <w:b/>
          <w:color w:val="000000"/>
        </w:rPr>
        <w:t>（一）持续改进</w:t>
      </w:r>
    </w:p>
    <w:p w14:paraId="77536D92">
      <w:pPr>
        <w:spacing w:line="276" w:lineRule="auto"/>
        <w:ind w:firstLine="420" w:firstLineChars="200"/>
        <w:rPr>
          <w:rFonts w:ascii="Calibri" w:hAnsi="Calibri" w:eastAsia="宋体" w:cs="Times New Roman"/>
          <w:szCs w:val="22"/>
        </w:rPr>
      </w:pPr>
      <w:r>
        <w:rPr>
          <w:rFonts w:ascii="Calibri" w:hAnsi="Calibri" w:eastAsia="宋体" w:cs="Times New Roman"/>
          <w:szCs w:val="22"/>
        </w:rPr>
        <w:t>本课程根据学生作业、课堂讨论、</w:t>
      </w:r>
      <w:r>
        <w:rPr>
          <w:rFonts w:hint="eastAsia" w:ascii="Calibri" w:hAnsi="Calibri" w:eastAsia="宋体" w:cs="Times New Roman"/>
          <w:szCs w:val="22"/>
        </w:rPr>
        <w:t>教学</w:t>
      </w:r>
      <w:r>
        <w:rPr>
          <w:rFonts w:ascii="Calibri" w:hAnsi="Calibri" w:eastAsia="宋体" w:cs="Times New Roman"/>
          <w:szCs w:val="22"/>
        </w:rPr>
        <w:t>环节、平时考核情况和学生、教学督导等</w:t>
      </w:r>
      <w:r>
        <w:rPr>
          <w:rFonts w:hint="eastAsia" w:ascii="Calibri" w:hAnsi="Calibri" w:eastAsia="宋体" w:cs="Times New Roman"/>
          <w:szCs w:val="22"/>
        </w:rPr>
        <w:t>的</w:t>
      </w:r>
      <w:r>
        <w:rPr>
          <w:rFonts w:ascii="Calibri" w:hAnsi="Calibri" w:eastAsia="宋体" w:cs="Times New Roman"/>
          <w:szCs w:val="22"/>
        </w:rPr>
        <w:t>反馈，及时对教学中</w:t>
      </w:r>
      <w:r>
        <w:rPr>
          <w:rFonts w:hint="eastAsia" w:ascii="Calibri" w:hAnsi="Calibri" w:eastAsia="宋体" w:cs="Times New Roman"/>
          <w:szCs w:val="22"/>
        </w:rPr>
        <w:t>的</w:t>
      </w:r>
      <w:r>
        <w:rPr>
          <w:rFonts w:ascii="Calibri" w:hAnsi="Calibri" w:eastAsia="宋体" w:cs="Times New Roman"/>
          <w:szCs w:val="22"/>
        </w:rPr>
        <w:t>不足之处进行改进，并在下一轮课程教学中</w:t>
      </w:r>
      <w:r>
        <w:rPr>
          <w:rFonts w:hint="eastAsia" w:ascii="Calibri" w:hAnsi="Calibri" w:eastAsia="宋体" w:cs="Times New Roman"/>
          <w:szCs w:val="22"/>
        </w:rPr>
        <w:t>整改完善</w:t>
      </w:r>
      <w:r>
        <w:rPr>
          <w:rFonts w:ascii="Calibri" w:hAnsi="Calibri" w:eastAsia="宋体" w:cs="Times New Roman"/>
          <w:szCs w:val="22"/>
        </w:rPr>
        <w:t>，确保相应毕业要求指标点达成。</w:t>
      </w:r>
    </w:p>
    <w:p w14:paraId="569F6C9B">
      <w:pPr>
        <w:spacing w:line="276" w:lineRule="auto"/>
        <w:ind w:firstLine="422" w:firstLineChars="200"/>
        <w:rPr>
          <w:rFonts w:ascii="Calibri" w:hAnsi="Calibri" w:eastAsia="宋体" w:cs="Times New Roman"/>
          <w:b/>
          <w:color w:val="000000"/>
        </w:rPr>
      </w:pPr>
      <w:r>
        <w:rPr>
          <w:rFonts w:hint="eastAsia" w:ascii="Calibri" w:hAnsi="Calibri" w:eastAsia="宋体" w:cs="Times New Roman"/>
          <w:b/>
          <w:color w:val="000000"/>
        </w:rPr>
        <w:t>（二）建议教材</w:t>
      </w:r>
    </w:p>
    <w:p w14:paraId="3D165CBC">
      <w:pPr>
        <w:spacing w:line="276" w:lineRule="auto"/>
        <w:ind w:firstLine="525" w:firstLineChars="250"/>
        <w:rPr>
          <w:rFonts w:hint="eastAsia" w:ascii="宋体" w:hAnsi="宋体" w:eastAsia="宋体" w:cs="Times New Roman"/>
        </w:rPr>
      </w:pPr>
      <w:r>
        <w:rPr>
          <w:rFonts w:hint="eastAsia" w:ascii="宋体" w:hAnsi="宋体" w:eastAsia="宋体" w:cs="Times New Roman"/>
        </w:rPr>
        <w:t>钱焕琦</w:t>
      </w:r>
      <w:r>
        <w:rPr>
          <w:rFonts w:ascii="宋体" w:hAnsi="宋体" w:eastAsia="宋体" w:cs="Times New Roman"/>
        </w:rPr>
        <w:t>.</w:t>
      </w:r>
      <w:r>
        <w:rPr>
          <w:rFonts w:hint="eastAsia" w:ascii="宋体" w:hAnsi="宋体" w:eastAsia="宋体" w:cs="Times New Roman"/>
        </w:rPr>
        <w:t>教师职业道德（第四版）.华东师范大学出版社，2</w:t>
      </w:r>
      <w:r>
        <w:rPr>
          <w:rFonts w:ascii="宋体" w:hAnsi="宋体" w:eastAsia="宋体" w:cs="Times New Roman"/>
        </w:rPr>
        <w:t>020</w:t>
      </w:r>
      <w:r>
        <w:rPr>
          <w:rFonts w:hint="eastAsia" w:ascii="宋体" w:hAnsi="宋体" w:eastAsia="宋体" w:cs="Times New Roman"/>
        </w:rPr>
        <w:t>年8月</w:t>
      </w:r>
      <w:r>
        <w:rPr>
          <w:rFonts w:ascii="宋体" w:hAnsi="宋体" w:eastAsia="宋体" w:cs="Times New Roman"/>
        </w:rPr>
        <w:t>.</w:t>
      </w:r>
    </w:p>
    <w:p w14:paraId="1DF07DC1">
      <w:pPr>
        <w:spacing w:line="276" w:lineRule="auto"/>
        <w:ind w:firstLine="422" w:firstLineChars="200"/>
        <w:rPr>
          <w:rFonts w:hint="eastAsia" w:ascii="宋体" w:hAnsi="宋体" w:eastAsia="宋体"/>
          <w:b/>
          <w:bCs/>
        </w:rPr>
      </w:pPr>
      <w:r>
        <w:rPr>
          <w:rFonts w:hint="eastAsia" w:ascii="宋体" w:hAnsi="宋体" w:eastAsia="宋体"/>
          <w:b/>
          <w:bCs/>
        </w:rPr>
        <w:t>（三）参考书目</w:t>
      </w:r>
    </w:p>
    <w:p w14:paraId="2E150658">
      <w:pPr>
        <w:spacing w:line="276" w:lineRule="auto"/>
        <w:ind w:firstLine="525" w:firstLineChars="250"/>
        <w:rPr>
          <w:rFonts w:hint="eastAsia" w:ascii="宋体" w:hAnsi="宋体" w:eastAsia="宋体"/>
        </w:rPr>
      </w:pPr>
      <w:r>
        <w:rPr>
          <w:rFonts w:hint="eastAsia" w:ascii="宋体" w:hAnsi="宋体" w:eastAsia="宋体"/>
        </w:rPr>
        <w:t>1</w:t>
      </w:r>
      <w:r>
        <w:rPr>
          <w:rFonts w:ascii="宋体" w:hAnsi="宋体" w:eastAsia="宋体"/>
        </w:rPr>
        <w:t>.</w:t>
      </w:r>
      <w:r>
        <w:rPr>
          <w:rFonts w:hint="eastAsia" w:ascii="宋体" w:hAnsi="宋体" w:eastAsia="宋体"/>
        </w:rPr>
        <w:t>刘亭亭</w:t>
      </w:r>
      <w:r>
        <w:rPr>
          <w:rFonts w:ascii="宋体" w:hAnsi="宋体" w:eastAsia="宋体"/>
        </w:rPr>
        <w:t>.</w:t>
      </w:r>
      <w:r>
        <w:rPr>
          <w:rFonts w:hint="eastAsia" w:ascii="宋体" w:hAnsi="宋体" w:eastAsia="宋体"/>
        </w:rPr>
        <w:t>教师职业道德</w:t>
      </w:r>
      <w:r>
        <w:rPr>
          <w:rFonts w:ascii="宋体" w:hAnsi="宋体" w:eastAsia="宋体"/>
        </w:rPr>
        <w:t>.</w:t>
      </w:r>
      <w:r>
        <w:rPr>
          <w:rFonts w:hint="eastAsia" w:ascii="宋体" w:hAnsi="宋体" w:eastAsia="宋体"/>
        </w:rPr>
        <w:t>北京大学出版社，2</w:t>
      </w:r>
      <w:r>
        <w:rPr>
          <w:rFonts w:ascii="宋体" w:hAnsi="宋体" w:eastAsia="宋体"/>
        </w:rPr>
        <w:t>017.</w:t>
      </w:r>
    </w:p>
    <w:p w14:paraId="77A11E67">
      <w:pPr>
        <w:spacing w:line="276" w:lineRule="auto"/>
        <w:ind w:firstLine="525" w:firstLineChars="250"/>
        <w:rPr>
          <w:rFonts w:hint="eastAsia" w:ascii="宋体" w:hAnsi="宋体" w:eastAsia="宋体"/>
        </w:rPr>
      </w:pPr>
      <w:r>
        <w:rPr>
          <w:rFonts w:hint="eastAsia" w:ascii="宋体" w:hAnsi="宋体" w:eastAsia="宋体"/>
        </w:rPr>
        <w:t>2</w:t>
      </w:r>
      <w:r>
        <w:rPr>
          <w:rFonts w:ascii="宋体" w:hAnsi="宋体" w:eastAsia="宋体"/>
        </w:rPr>
        <w:t>.</w:t>
      </w:r>
      <w:r>
        <w:rPr>
          <w:rFonts w:hint="eastAsia" w:ascii="宋体" w:hAnsi="宋体" w:eastAsia="宋体"/>
        </w:rPr>
        <w:t>檀传宝.教师职业道德.北京师范大学出版社，2</w:t>
      </w:r>
      <w:r>
        <w:rPr>
          <w:rFonts w:ascii="宋体" w:hAnsi="宋体" w:eastAsia="宋体"/>
        </w:rPr>
        <w:t>015.</w:t>
      </w:r>
    </w:p>
    <w:p w14:paraId="7B185DB6">
      <w:pPr>
        <w:spacing w:line="276" w:lineRule="auto"/>
        <w:ind w:firstLine="525" w:firstLineChars="250"/>
        <w:rPr>
          <w:rFonts w:hint="eastAsia" w:ascii="宋体" w:hAnsi="宋体" w:eastAsia="宋体"/>
        </w:rPr>
      </w:pPr>
      <w:r>
        <w:rPr>
          <w:rFonts w:hint="eastAsia" w:ascii="宋体" w:hAnsi="宋体" w:eastAsia="宋体"/>
        </w:rPr>
        <w:t>3</w:t>
      </w:r>
      <w:r>
        <w:rPr>
          <w:rFonts w:ascii="宋体" w:hAnsi="宋体" w:eastAsia="宋体"/>
        </w:rPr>
        <w:t>.</w:t>
      </w:r>
      <w:r>
        <w:rPr>
          <w:rFonts w:hint="eastAsia" w:ascii="宋体" w:hAnsi="宋体" w:eastAsia="宋体"/>
        </w:rPr>
        <w:t>檀传宝</w:t>
      </w:r>
      <w:r>
        <w:rPr>
          <w:rFonts w:ascii="宋体" w:hAnsi="宋体" w:eastAsia="宋体"/>
        </w:rPr>
        <w:t>.</w:t>
      </w:r>
      <w:r>
        <w:rPr>
          <w:rFonts w:hint="eastAsia" w:ascii="宋体" w:hAnsi="宋体" w:eastAsia="宋体"/>
        </w:rPr>
        <w:t>教师专业伦理基础与实践，华东师范大学出版社，2</w:t>
      </w:r>
      <w:r>
        <w:rPr>
          <w:rFonts w:ascii="宋体" w:hAnsi="宋体" w:eastAsia="宋体"/>
        </w:rPr>
        <w:t>016.</w:t>
      </w:r>
    </w:p>
    <w:p w14:paraId="70CFF88A">
      <w:pPr>
        <w:spacing w:line="276" w:lineRule="auto"/>
        <w:ind w:firstLine="525" w:firstLineChars="250"/>
        <w:rPr>
          <w:rFonts w:hint="eastAsia" w:ascii="宋体" w:hAnsi="宋体" w:eastAsia="宋体"/>
        </w:rPr>
      </w:pPr>
      <w:r>
        <w:rPr>
          <w:rFonts w:hint="eastAsia" w:ascii="宋体" w:hAnsi="宋体" w:eastAsia="宋体"/>
        </w:rPr>
        <w:t>4</w:t>
      </w:r>
      <w:r>
        <w:rPr>
          <w:rFonts w:ascii="宋体" w:hAnsi="宋体" w:eastAsia="宋体"/>
        </w:rPr>
        <w:t>.</w:t>
      </w:r>
      <w:r>
        <w:rPr>
          <w:rFonts w:hint="eastAsia" w:ascii="宋体" w:hAnsi="宋体" w:eastAsia="宋体"/>
        </w:rPr>
        <w:t>肯尼斯·斯特赖克</w:t>
      </w:r>
      <w:r>
        <w:rPr>
          <w:rFonts w:ascii="宋体" w:hAnsi="宋体" w:eastAsia="宋体"/>
        </w:rPr>
        <w:t>.</w:t>
      </w:r>
      <w:r>
        <w:rPr>
          <w:rFonts w:hint="eastAsia" w:ascii="宋体" w:hAnsi="宋体" w:eastAsia="宋体"/>
        </w:rPr>
        <w:t>教学伦理</w:t>
      </w:r>
      <w:r>
        <w:rPr>
          <w:rFonts w:ascii="宋体" w:hAnsi="宋体" w:eastAsia="宋体"/>
        </w:rPr>
        <w:t>.</w:t>
      </w:r>
      <w:r>
        <w:rPr>
          <w:rFonts w:hint="eastAsia" w:ascii="宋体" w:hAnsi="宋体" w:eastAsia="宋体"/>
        </w:rPr>
        <w:t>黄向阳译</w:t>
      </w:r>
      <w:r>
        <w:rPr>
          <w:rFonts w:ascii="宋体" w:hAnsi="宋体" w:eastAsia="宋体"/>
        </w:rPr>
        <w:t>.</w:t>
      </w:r>
      <w:r>
        <w:rPr>
          <w:rFonts w:hint="eastAsia" w:ascii="宋体" w:hAnsi="宋体" w:eastAsia="宋体"/>
        </w:rPr>
        <w:t>华东师范大学出版社，2</w:t>
      </w:r>
      <w:r>
        <w:rPr>
          <w:rFonts w:ascii="宋体" w:hAnsi="宋体" w:eastAsia="宋体"/>
        </w:rPr>
        <w:t>018.</w:t>
      </w:r>
    </w:p>
    <w:p w14:paraId="757EB5D9">
      <w:pPr>
        <w:spacing w:line="276" w:lineRule="auto"/>
        <w:ind w:firstLine="525" w:firstLineChars="250"/>
        <w:rPr>
          <w:rFonts w:hint="eastAsia" w:ascii="宋体" w:hAnsi="宋体" w:eastAsia="宋体"/>
        </w:rPr>
      </w:pPr>
      <w:r>
        <w:rPr>
          <w:rFonts w:hint="eastAsia" w:ascii="宋体" w:hAnsi="宋体" w:eastAsia="宋体"/>
        </w:rPr>
        <w:t>5</w:t>
      </w:r>
      <w:r>
        <w:rPr>
          <w:rFonts w:ascii="宋体" w:hAnsi="宋体" w:eastAsia="宋体"/>
        </w:rPr>
        <w:t>.</w:t>
      </w:r>
      <w:r>
        <w:rPr>
          <w:rFonts w:hint="eastAsia" w:ascii="宋体" w:hAnsi="宋体" w:eastAsia="宋体"/>
        </w:rPr>
        <w:t>刘建华</w:t>
      </w:r>
      <w:r>
        <w:rPr>
          <w:rFonts w:ascii="宋体" w:hAnsi="宋体" w:eastAsia="宋体"/>
        </w:rPr>
        <w:t>.</w:t>
      </w:r>
      <w:r>
        <w:rPr>
          <w:rFonts w:hint="eastAsia" w:ascii="宋体" w:hAnsi="宋体" w:eastAsia="宋体"/>
        </w:rPr>
        <w:t>师生交往论</w:t>
      </w:r>
      <w:r>
        <w:rPr>
          <w:rFonts w:ascii="宋体" w:hAnsi="宋体" w:eastAsia="宋体"/>
        </w:rPr>
        <w:t>.</w:t>
      </w:r>
      <w:r>
        <w:rPr>
          <w:rFonts w:hint="eastAsia" w:ascii="宋体" w:hAnsi="宋体" w:eastAsia="宋体"/>
        </w:rPr>
        <w:t>北京师范大学出版社，2</w:t>
      </w:r>
      <w:r>
        <w:rPr>
          <w:rFonts w:ascii="宋体" w:hAnsi="宋体" w:eastAsia="宋体"/>
        </w:rPr>
        <w:t>011.</w:t>
      </w:r>
    </w:p>
    <w:p w14:paraId="19133F71">
      <w:pPr>
        <w:spacing w:line="276" w:lineRule="auto"/>
        <w:ind w:firstLine="525" w:firstLineChars="250"/>
        <w:rPr>
          <w:rFonts w:hint="eastAsia" w:ascii="宋体" w:hAnsi="宋体" w:eastAsia="宋体"/>
        </w:rPr>
      </w:pPr>
      <w:r>
        <w:rPr>
          <w:rFonts w:hint="eastAsia" w:ascii="宋体" w:hAnsi="宋体" w:eastAsia="宋体"/>
        </w:rPr>
        <w:t>6</w:t>
      </w:r>
      <w:r>
        <w:rPr>
          <w:rFonts w:ascii="宋体" w:hAnsi="宋体" w:eastAsia="宋体"/>
        </w:rPr>
        <w:t>.</w:t>
      </w:r>
      <w:r>
        <w:rPr>
          <w:rFonts w:hint="eastAsia" w:ascii="宋体" w:hAnsi="宋体" w:eastAsia="宋体"/>
        </w:rPr>
        <w:t>陈娇云</w:t>
      </w:r>
      <w:r>
        <w:rPr>
          <w:rFonts w:ascii="宋体" w:hAnsi="宋体" w:eastAsia="宋体"/>
        </w:rPr>
        <w:t>,</w:t>
      </w:r>
      <w:r>
        <w:rPr>
          <w:rFonts w:hint="eastAsia" w:ascii="宋体" w:hAnsi="宋体" w:eastAsia="宋体"/>
        </w:rPr>
        <w:t>汪荣有</w:t>
      </w:r>
      <w:r>
        <w:rPr>
          <w:rFonts w:ascii="宋体" w:hAnsi="宋体" w:eastAsia="宋体"/>
        </w:rPr>
        <w:t>.</w:t>
      </w:r>
      <w:r>
        <w:rPr>
          <w:rFonts w:hint="eastAsia" w:ascii="宋体" w:hAnsi="宋体" w:eastAsia="宋体"/>
        </w:rPr>
        <w:t>教育伦理与教育公正——社会主义和谐社会视野下的教育热点探析，安徽大学出版社，2</w:t>
      </w:r>
      <w:r>
        <w:rPr>
          <w:rFonts w:ascii="宋体" w:hAnsi="宋体" w:eastAsia="宋体"/>
        </w:rPr>
        <w:t>015.</w:t>
      </w:r>
    </w:p>
    <w:p w14:paraId="1275A466">
      <w:pPr>
        <w:spacing w:line="276" w:lineRule="auto"/>
        <w:ind w:firstLine="525" w:firstLineChars="250"/>
        <w:rPr>
          <w:rFonts w:hint="eastAsia" w:ascii="宋体" w:hAnsi="宋体" w:eastAsia="宋体"/>
        </w:rPr>
      </w:pPr>
    </w:p>
    <w:p w14:paraId="4630A86F">
      <w:pPr>
        <w:spacing w:line="276" w:lineRule="auto"/>
        <w:ind w:firstLine="525" w:firstLineChars="250"/>
        <w:rPr>
          <w:rFonts w:hint="eastAsia" w:ascii="宋体" w:hAnsi="宋体" w:eastAsia="宋体"/>
        </w:rPr>
      </w:pPr>
    </w:p>
    <w:p w14:paraId="53BA79D2">
      <w:pPr>
        <w:spacing w:line="276" w:lineRule="auto"/>
        <w:rPr>
          <w:rFonts w:hint="eastAsia" w:ascii="宋体" w:hAnsi="宋体" w:eastAsia="宋体"/>
        </w:rPr>
      </w:pPr>
    </w:p>
    <w:p w14:paraId="33E062C7">
      <w:pPr>
        <w:autoSpaceDE w:val="0"/>
        <w:autoSpaceDN w:val="0"/>
        <w:adjustRightInd w:val="0"/>
        <w:spacing w:line="276" w:lineRule="auto"/>
        <w:ind w:firstLine="4620" w:firstLineChars="2200"/>
        <w:jc w:val="left"/>
        <w:rPr>
          <w:rFonts w:hint="eastAsia" w:ascii="宋体" w:hAnsi="宋体" w:eastAsia="宋体" w:cs="Times New Roman"/>
          <w:color w:val="000000" w:themeColor="text1"/>
          <w:kern w:val="0"/>
          <w:szCs w:val="21"/>
          <w14:textFill>
            <w14:solidFill>
              <w14:schemeClr w14:val="tx1"/>
            </w14:solidFill>
          </w14:textFill>
        </w:rPr>
      </w:pPr>
      <w:r>
        <w:rPr>
          <w:rFonts w:ascii="宋体" w:hAnsi="宋体" w:eastAsia="宋体" w:cs="Times New Roman"/>
          <w:color w:val="000000" w:themeColor="text1"/>
          <w:kern w:val="0"/>
          <w:szCs w:val="21"/>
          <w14:textFill>
            <w14:solidFill>
              <w14:schemeClr w14:val="tx1"/>
            </w14:solidFill>
          </w14:textFill>
        </w:rPr>
        <w:t>执笔人：</w:t>
      </w:r>
      <w:r>
        <w:rPr>
          <w:rFonts w:hint="eastAsia" w:ascii="宋体" w:hAnsi="宋体" w:eastAsia="宋体" w:cs="Times New Roman"/>
          <w:color w:val="000000" w:themeColor="text1"/>
          <w:kern w:val="0"/>
          <w:szCs w:val="21"/>
          <w14:textFill>
            <w14:solidFill>
              <w14:schemeClr w14:val="tx1"/>
            </w14:solidFill>
          </w14:textFill>
        </w:rPr>
        <w:t>王雅丽</w:t>
      </w:r>
    </w:p>
    <w:p w14:paraId="423A3EF0">
      <w:pPr>
        <w:autoSpaceDE w:val="0"/>
        <w:autoSpaceDN w:val="0"/>
        <w:adjustRightInd w:val="0"/>
        <w:spacing w:line="276" w:lineRule="auto"/>
        <w:ind w:firstLine="4620" w:firstLineChars="2200"/>
        <w:jc w:val="left"/>
        <w:rPr>
          <w:rFonts w:hint="eastAsia" w:ascii="宋体" w:hAnsi="宋体" w:eastAsia="宋体" w:cs="Times New Roman"/>
          <w:color w:val="000000" w:themeColor="text1"/>
          <w:kern w:val="0"/>
          <w:szCs w:val="21"/>
          <w14:textFill>
            <w14:solidFill>
              <w14:schemeClr w14:val="tx1"/>
            </w14:solidFill>
          </w14:textFill>
        </w:rPr>
      </w:pPr>
      <w:r>
        <w:rPr>
          <w:rFonts w:ascii="宋体" w:hAnsi="宋体" w:eastAsia="宋体" w:cs="Times New Roman"/>
          <w:color w:val="000000" w:themeColor="text1"/>
          <w:kern w:val="0"/>
          <w:szCs w:val="21"/>
          <w14:textFill>
            <w14:solidFill>
              <w14:schemeClr w14:val="tx1"/>
            </w14:solidFill>
          </w14:textFill>
        </w:rPr>
        <w:t>审定人：</w:t>
      </w:r>
      <w:r>
        <w:rPr>
          <w:rFonts w:hint="eastAsia" w:ascii="宋体" w:hAnsi="宋体" w:eastAsia="宋体" w:cs="Times New Roman"/>
          <w:color w:val="000000" w:themeColor="text1"/>
          <w:kern w:val="0"/>
          <w:szCs w:val="21"/>
          <w14:textFill>
            <w14:solidFill>
              <w14:schemeClr w14:val="tx1"/>
            </w14:solidFill>
          </w14:textFill>
        </w:rPr>
        <w:t>王健</w:t>
      </w:r>
    </w:p>
    <w:p w14:paraId="4F8D6470">
      <w:pPr>
        <w:autoSpaceDE w:val="0"/>
        <w:autoSpaceDN w:val="0"/>
        <w:adjustRightInd w:val="0"/>
        <w:spacing w:line="276" w:lineRule="auto"/>
        <w:ind w:firstLine="4620" w:firstLineChars="2200"/>
        <w:jc w:val="left"/>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审批</w:t>
      </w:r>
      <w:r>
        <w:rPr>
          <w:rFonts w:ascii="宋体" w:hAnsi="宋体" w:eastAsia="宋体" w:cs="Times New Roman"/>
          <w:color w:val="000000" w:themeColor="text1"/>
          <w:kern w:val="0"/>
          <w:szCs w:val="21"/>
          <w14:textFill>
            <w14:solidFill>
              <w14:schemeClr w14:val="tx1"/>
            </w14:solidFill>
          </w14:textFill>
        </w:rPr>
        <w:t>人：</w:t>
      </w:r>
      <w:r>
        <w:rPr>
          <w:rFonts w:hint="eastAsia" w:ascii="宋体" w:hAnsi="宋体" w:eastAsia="宋体" w:cs="Times New Roman"/>
          <w:color w:val="000000" w:themeColor="text1"/>
          <w:kern w:val="0"/>
          <w:szCs w:val="21"/>
          <w14:textFill>
            <w14:solidFill>
              <w14:schemeClr w14:val="tx1"/>
            </w14:solidFill>
          </w14:textFill>
        </w:rPr>
        <w:t>张志欣</w:t>
      </w:r>
    </w:p>
    <w:p w14:paraId="7E530210">
      <w:pPr>
        <w:autoSpaceDE w:val="0"/>
        <w:autoSpaceDN w:val="0"/>
        <w:adjustRightInd w:val="0"/>
        <w:spacing w:line="276" w:lineRule="auto"/>
        <w:ind w:firstLine="4620" w:firstLineChars="2200"/>
        <w:jc w:val="left"/>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批准时间：20</w:t>
      </w:r>
      <w:r>
        <w:rPr>
          <w:rFonts w:ascii="宋体" w:hAnsi="宋体" w:eastAsia="宋体" w:cs="Times New Roman"/>
          <w:color w:val="000000" w:themeColor="text1"/>
          <w:kern w:val="0"/>
          <w:szCs w:val="21"/>
          <w14:textFill>
            <w14:solidFill>
              <w14:schemeClr w14:val="tx1"/>
            </w14:solidFill>
          </w14:textFill>
        </w:rPr>
        <w:t>24</w:t>
      </w:r>
      <w:r>
        <w:rPr>
          <w:rFonts w:hint="eastAsia" w:ascii="宋体" w:hAnsi="宋体" w:eastAsia="宋体" w:cs="Times New Roman"/>
          <w:color w:val="000000" w:themeColor="text1"/>
          <w:kern w:val="0"/>
          <w:szCs w:val="21"/>
          <w14:textFill>
            <w14:solidFill>
              <w14:schemeClr w14:val="tx1"/>
            </w14:solidFill>
          </w14:textFill>
        </w:rPr>
        <w:t>年</w:t>
      </w:r>
      <w:r>
        <w:rPr>
          <w:rFonts w:ascii="宋体" w:hAnsi="宋体" w:eastAsia="宋体" w:cs="Times New Roman"/>
          <w:color w:val="000000" w:themeColor="text1"/>
          <w:kern w:val="0"/>
          <w:szCs w:val="21"/>
          <w14:textFill>
            <w14:solidFill>
              <w14:schemeClr w14:val="tx1"/>
            </w14:solidFill>
          </w14:textFill>
        </w:rPr>
        <w:t>9</w:t>
      </w:r>
      <w:r>
        <w:rPr>
          <w:rFonts w:hint="eastAsia" w:ascii="宋体" w:hAnsi="宋体" w:eastAsia="宋体" w:cs="Times New Roman"/>
          <w:color w:val="000000" w:themeColor="text1"/>
          <w:kern w:val="0"/>
          <w:szCs w:val="21"/>
          <w14:textFill>
            <w14:solidFill>
              <w14:schemeClr w14:val="tx1"/>
            </w14:solidFill>
          </w14:textFill>
        </w:rPr>
        <w:t>月1日</w:t>
      </w:r>
    </w:p>
    <w:p w14:paraId="518316CC">
      <w:pPr>
        <w:rPr>
          <w:rFonts w:hint="eastAsia" w:ascii="等线" w:hAnsi="等线" w:eastAsia="等线" w:cs="等线"/>
          <w:b/>
          <w:bCs/>
          <w:sz w:val="44"/>
          <w:szCs w:val="44"/>
        </w:rPr>
      </w:pPr>
      <w:r>
        <w:rPr>
          <w:rFonts w:hint="eastAsia" w:ascii="等线" w:hAnsi="等线" w:eastAsia="等线" w:cs="等线"/>
          <w:b/>
          <w:bCs/>
          <w:sz w:val="44"/>
          <w:szCs w:val="44"/>
        </w:rPr>
        <w:br w:type="page"/>
      </w:r>
    </w:p>
    <w:p w14:paraId="2D0E7B09">
      <w:pPr>
        <w:pStyle w:val="2"/>
        <w:tabs>
          <w:tab w:val="left" w:pos="720"/>
          <w:tab w:val="left" w:pos="2700"/>
        </w:tabs>
        <w:jc w:val="center"/>
        <w:rPr>
          <w:rFonts w:ascii="Times New Roman" w:hAnsi="Times New Roman" w:eastAsia="宋体" w:cs="Times New Roman"/>
          <w:szCs w:val="44"/>
        </w:rPr>
      </w:pPr>
      <w:bookmarkStart w:id="103" w:name="_Toc9645"/>
      <w:bookmarkStart w:id="104" w:name="_Toc8980"/>
      <w:r>
        <w:rPr>
          <w:rFonts w:hint="eastAsia"/>
        </w:rPr>
        <w:t>《课程与教学论》课程教学大纲</w:t>
      </w:r>
      <w:bookmarkEnd w:id="103"/>
      <w:bookmarkEnd w:id="104"/>
    </w:p>
    <w:p w14:paraId="1F92C377">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（Curriculum and Teaching Methodology）</w:t>
      </w:r>
    </w:p>
    <w:p w14:paraId="5C6172BD">
      <w:pPr>
        <w:spacing w:line="360" w:lineRule="auto"/>
        <w:jc w:val="center"/>
        <w:rPr>
          <w:rFonts w:ascii="Times New Roman" w:hAnsi="Times New Roman" w:eastAsia="宋体" w:cs="Times New Roman"/>
          <w:bCs/>
          <w:sz w:val="30"/>
          <w:szCs w:val="30"/>
        </w:rPr>
      </w:pPr>
    </w:p>
    <w:p w14:paraId="217B9394">
      <w:pPr>
        <w:spacing w:line="360" w:lineRule="auto"/>
        <w:ind w:firstLine="482" w:firstLineChars="200"/>
        <w:jc w:val="left"/>
        <w:rPr>
          <w:rFonts w:ascii="Times New Roman" w:hAnsi="Times New Roman" w:eastAsia="宋体" w:cs="Times New Roman"/>
          <w:bCs/>
          <w:sz w:val="24"/>
        </w:rPr>
      </w:pPr>
      <w:r>
        <w:rPr>
          <w:rFonts w:hint="eastAsia" w:ascii="Times New Roman" w:hAnsi="Times New Roman" w:eastAsia="宋体" w:cs="Times New Roman"/>
          <w:b/>
          <w:sz w:val="24"/>
        </w:rPr>
        <w:t>课程名称：</w:t>
      </w:r>
      <w:r>
        <w:rPr>
          <w:rFonts w:hint="eastAsia" w:ascii="Times New Roman" w:hAnsi="Times New Roman" w:eastAsia="宋体" w:cs="Times New Roman"/>
          <w:bCs/>
          <w:sz w:val="24"/>
        </w:rPr>
        <w:t>课程与教学论</w:t>
      </w:r>
    </w:p>
    <w:p w14:paraId="1CD9633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sz w:val="24"/>
        </w:rPr>
        <w:t>2401010</w:t>
      </w:r>
    </w:p>
    <w:p w14:paraId="5AC015A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hint="eastAsia" w:ascii="Times New Roman" w:hAnsi="Times New Roman" w:eastAsia="宋体" w:cs="Times New Roman"/>
          <w:sz w:val="24"/>
        </w:rPr>
        <w:t>2</w:t>
      </w:r>
    </w:p>
    <w:p w14:paraId="160AF43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Times New Roman" w:hAnsi="Times New Roman" w:eastAsia="宋体" w:cs="Times New Roman"/>
          <w:sz w:val="24"/>
        </w:rPr>
        <w:t>32</w:t>
      </w:r>
      <w:r>
        <w:rPr>
          <w:rFonts w:ascii="Times New Roman" w:hAnsi="Times New Roman" w:eastAsia="宋体" w:cs="Times New Roman"/>
          <w:sz w:val="24"/>
        </w:rPr>
        <w:t>（其中：讲授学时20</w:t>
      </w:r>
      <w:r>
        <w:rPr>
          <w:rFonts w:hint="eastAsia" w:ascii="Times New Roman" w:hAnsi="Times New Roman" w:eastAsia="宋体" w:cs="Times New Roman"/>
          <w:sz w:val="24"/>
        </w:rPr>
        <w:t>，</w:t>
      </w:r>
      <w:r>
        <w:rPr>
          <w:rFonts w:ascii="Times New Roman" w:hAnsi="Times New Roman" w:eastAsia="宋体" w:cs="Times New Roman"/>
          <w:sz w:val="24"/>
        </w:rPr>
        <w:t xml:space="preserve"> </w:t>
      </w:r>
      <w:r>
        <w:rPr>
          <w:rFonts w:hint="eastAsia" w:ascii="Times New Roman" w:hAnsi="Times New Roman" w:eastAsia="宋体" w:cs="Times New Roman"/>
          <w:sz w:val="24"/>
        </w:rPr>
        <w:t>实践</w:t>
      </w:r>
      <w:r>
        <w:rPr>
          <w:rFonts w:ascii="Times New Roman" w:hAnsi="Times New Roman" w:eastAsia="宋体" w:cs="Times New Roman"/>
          <w:sz w:val="24"/>
        </w:rPr>
        <w:t>学时12）</w:t>
      </w:r>
    </w:p>
    <w:p w14:paraId="3D46DDC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hint="eastAsia" w:ascii="Times New Roman" w:hAnsi="Times New Roman" w:eastAsia="宋体" w:cs="Times New Roman"/>
          <w:bCs/>
          <w:sz w:val="24"/>
        </w:rPr>
        <w:t>教育原理、教育心理学、中外教育史</w:t>
      </w:r>
    </w:p>
    <w:p w14:paraId="62B8182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w:t>
      </w:r>
      <w:r>
        <w:rPr>
          <w:rFonts w:hint="eastAsia" w:ascii="Times New Roman" w:hAnsi="Times New Roman" w:eastAsia="宋体" w:cs="Times New Roman"/>
          <w:sz w:val="24"/>
        </w:rPr>
        <w:t>小学教育</w:t>
      </w:r>
    </w:p>
    <w:p w14:paraId="4B8374B9">
      <w:pPr>
        <w:spacing w:line="360" w:lineRule="auto"/>
        <w:ind w:firstLine="480" w:firstLineChars="200"/>
        <w:rPr>
          <w:rFonts w:ascii="Times New Roman" w:hAnsi="Times New Roman" w:eastAsia="宋体" w:cs="Times New Roman"/>
          <w:sz w:val="24"/>
        </w:rPr>
      </w:pPr>
    </w:p>
    <w:p w14:paraId="0D21ADE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601968CF">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课程是小学教育专业的一门专业基础必修课，是“小学语文、小学数学等学科教学论”课程的先修课程，具有理论与实践并重的特性。通过本课程的学习，学生能够全面地了解国内外课程与教学改革的发展和现状，系统地掌握课程与教学的基本概念、基本原理和基本方法，扎实地掌握课程与教学的专业技能，科学地观察、描述和解释小学各种课程与教学现象，自主地发现、分析并解决基础教育一线课程与教学的基本问题，为从事小学教学奠定坚实基础。</w:t>
      </w:r>
    </w:p>
    <w:p w14:paraId="49D6AAA2">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二、课程目标</w:t>
      </w:r>
    </w:p>
    <w:p w14:paraId="4B5CF619">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（一）课程具体目标</w:t>
      </w:r>
    </w:p>
    <w:p w14:paraId="4859F07A">
      <w:pPr>
        <w:spacing w:line="360" w:lineRule="auto"/>
        <w:ind w:firstLine="482" w:firstLineChars="200"/>
        <w:rPr>
          <w:rFonts w:hint="eastAsia" w:ascii="宋体" w:hAnsi="宋体" w:eastAsia="宋体" w:cs="Times New Roman"/>
          <w:sz w:val="24"/>
        </w:rPr>
      </w:pPr>
      <w:r>
        <w:rPr>
          <w:rFonts w:hint="eastAsia" w:ascii="宋体" w:hAnsi="宋体" w:eastAsia="宋体" w:cs="Times New Roman"/>
          <w:b/>
          <w:bCs/>
          <w:sz w:val="24"/>
        </w:rPr>
        <w:t>目标1</w:t>
      </w:r>
      <w:r>
        <w:rPr>
          <w:rFonts w:ascii="宋体" w:hAnsi="宋体" w:eastAsia="宋体" w:cs="Times New Roman"/>
          <w:b/>
          <w:bCs/>
          <w:sz w:val="24"/>
        </w:rPr>
        <w:t xml:space="preserve">. </w:t>
      </w:r>
      <w:r>
        <w:rPr>
          <w:rFonts w:hint="eastAsia" w:ascii="宋体" w:hAnsi="宋体" w:eastAsia="宋体" w:cs="Times New Roman"/>
          <w:sz w:val="24"/>
        </w:rPr>
        <w:t>掌握课程与教学的基本理论和基础知识。</w:t>
      </w:r>
    </w:p>
    <w:p w14:paraId="3D6B5887">
      <w:pPr>
        <w:spacing w:line="360" w:lineRule="auto"/>
        <w:ind w:firstLine="482" w:firstLineChars="200"/>
        <w:rPr>
          <w:rFonts w:hint="eastAsia" w:ascii="宋体" w:hAnsi="宋体" w:eastAsia="宋体" w:cs="Times New Roman"/>
          <w:sz w:val="24"/>
        </w:rPr>
      </w:pPr>
      <w:r>
        <w:rPr>
          <w:rFonts w:hint="eastAsia" w:ascii="宋体" w:hAnsi="宋体" w:eastAsia="宋体" w:cs="Times New Roman"/>
          <w:b/>
          <w:bCs/>
          <w:sz w:val="24"/>
        </w:rPr>
        <w:t>目标2</w:t>
      </w:r>
      <w:r>
        <w:rPr>
          <w:rFonts w:ascii="宋体" w:hAnsi="宋体" w:eastAsia="宋体" w:cs="Times New Roman"/>
          <w:sz w:val="24"/>
        </w:rPr>
        <w:t xml:space="preserve">. </w:t>
      </w:r>
      <w:r>
        <w:rPr>
          <w:rFonts w:hint="eastAsia" w:ascii="宋体" w:hAnsi="宋体" w:eastAsia="宋体" w:cs="Times New Roman"/>
          <w:sz w:val="24"/>
        </w:rPr>
        <w:t>运用所学理论和知识分析评价我国课程与教学的现实问题。</w:t>
      </w:r>
    </w:p>
    <w:p w14:paraId="5A301593">
      <w:pPr>
        <w:spacing w:line="360" w:lineRule="auto"/>
        <w:ind w:firstLine="482" w:firstLineChars="200"/>
        <w:rPr>
          <w:rFonts w:hint="eastAsia" w:ascii="宋体" w:hAnsi="宋体" w:eastAsia="宋体" w:cs="Times New Roman"/>
          <w:sz w:val="24"/>
        </w:rPr>
      </w:pPr>
      <w:r>
        <w:rPr>
          <w:rFonts w:hint="eastAsia" w:ascii="宋体" w:hAnsi="宋体" w:eastAsia="宋体" w:cs="Times New Roman"/>
          <w:b/>
          <w:bCs/>
          <w:sz w:val="24"/>
        </w:rPr>
        <w:t>目标</w:t>
      </w:r>
      <w:r>
        <w:rPr>
          <w:rFonts w:ascii="宋体" w:hAnsi="宋体" w:eastAsia="宋体" w:cs="Times New Roman"/>
          <w:b/>
          <w:bCs/>
          <w:sz w:val="24"/>
        </w:rPr>
        <w:t>3.</w:t>
      </w:r>
      <w:r>
        <w:rPr>
          <w:rFonts w:ascii="宋体" w:hAnsi="宋体" w:eastAsia="宋体" w:cs="Times New Roman"/>
          <w:sz w:val="24"/>
        </w:rPr>
        <w:t xml:space="preserve"> </w:t>
      </w:r>
      <w:r>
        <w:rPr>
          <w:rFonts w:hint="eastAsia" w:ascii="宋体" w:hAnsi="宋体" w:eastAsia="宋体" w:cs="Times New Roman"/>
          <w:sz w:val="24"/>
        </w:rPr>
        <w:t>形成课程与教学设计、实施和评价、课程开发等的基本技能。</w:t>
      </w:r>
    </w:p>
    <w:p w14:paraId="01B87CC7">
      <w:pPr>
        <w:spacing w:line="360" w:lineRule="auto"/>
        <w:ind w:firstLine="482" w:firstLineChars="200"/>
        <w:rPr>
          <w:rFonts w:hint="eastAsia" w:ascii="宋体" w:hAnsi="宋体" w:eastAsia="宋体" w:cs="Times New Roman"/>
          <w:sz w:val="24"/>
        </w:rPr>
      </w:pPr>
      <w:r>
        <w:rPr>
          <w:rFonts w:hint="eastAsia" w:ascii="宋体" w:hAnsi="宋体" w:eastAsia="宋体" w:cs="Times New Roman"/>
          <w:b/>
          <w:bCs/>
          <w:sz w:val="24"/>
        </w:rPr>
        <w:t>目标</w:t>
      </w:r>
      <w:r>
        <w:rPr>
          <w:rFonts w:ascii="宋体" w:hAnsi="宋体" w:eastAsia="宋体" w:cs="Times New Roman"/>
          <w:b/>
          <w:bCs/>
          <w:sz w:val="24"/>
        </w:rPr>
        <w:t>4.</w:t>
      </w:r>
      <w:r>
        <w:rPr>
          <w:rFonts w:ascii="宋体" w:hAnsi="宋体" w:eastAsia="宋体" w:cs="Times New Roman"/>
          <w:sz w:val="24"/>
        </w:rPr>
        <w:t xml:space="preserve"> </w:t>
      </w:r>
      <w:r>
        <w:rPr>
          <w:rFonts w:hint="eastAsia" w:ascii="宋体" w:hAnsi="宋体" w:eastAsia="宋体" w:cs="Times New Roman"/>
          <w:sz w:val="24"/>
        </w:rPr>
        <w:t>提高课程与教学素养，坚定参与课程与教学改革的信念。</w:t>
      </w:r>
    </w:p>
    <w:p w14:paraId="1D977FA3">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（二）课程目标及其对毕业要求指标点的支撑</w:t>
      </w:r>
    </w:p>
    <w:tbl>
      <w:tblPr>
        <w:tblStyle w:val="13"/>
        <w:tblW w:w="81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5519"/>
        <w:gridCol w:w="1276"/>
      </w:tblGrid>
      <w:tr w14:paraId="523DF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393" w:type="dxa"/>
            <w:vAlign w:val="center"/>
          </w:tcPr>
          <w:p w14:paraId="58086389">
            <w:pPr>
              <w:spacing w:line="276" w:lineRule="auto"/>
              <w:jc w:val="center"/>
              <w:rPr>
                <w:rFonts w:hint="eastAsia" w:ascii="宋体" w:hAnsi="宋体" w:eastAsia="宋体" w:cs="Times New Roman"/>
                <w:b/>
                <w:bCs/>
                <w:color w:val="000000" w:themeColor="text1"/>
                <w:sz w:val="24"/>
                <w14:textFill>
                  <w14:solidFill>
                    <w14:schemeClr w14:val="tx1"/>
                  </w14:solidFill>
                </w14:textFill>
              </w:rPr>
            </w:pPr>
            <w:r>
              <w:rPr>
                <w:rFonts w:hint="eastAsia" w:ascii="宋体" w:hAnsi="宋体" w:eastAsia="宋体" w:cs="Times New Roman"/>
                <w:b/>
                <w:bCs/>
                <w:color w:val="000000" w:themeColor="text1"/>
                <w:sz w:val="24"/>
                <w14:textFill>
                  <w14:solidFill>
                    <w14:schemeClr w14:val="tx1"/>
                  </w14:solidFill>
                </w14:textFill>
              </w:rPr>
              <w:t>毕业要求</w:t>
            </w:r>
          </w:p>
        </w:tc>
        <w:tc>
          <w:tcPr>
            <w:tcW w:w="5519" w:type="dxa"/>
            <w:vAlign w:val="center"/>
          </w:tcPr>
          <w:p w14:paraId="54DF6F03">
            <w:pPr>
              <w:spacing w:line="276" w:lineRule="auto"/>
              <w:ind w:firstLine="482" w:firstLineChars="200"/>
              <w:jc w:val="center"/>
              <w:rPr>
                <w:rFonts w:hint="eastAsia" w:ascii="宋体" w:hAnsi="宋体" w:eastAsia="宋体" w:cs="Times New Roman"/>
                <w:b/>
                <w:bCs/>
                <w:color w:val="000000" w:themeColor="text1"/>
                <w:sz w:val="24"/>
                <w14:textFill>
                  <w14:solidFill>
                    <w14:schemeClr w14:val="tx1"/>
                  </w14:solidFill>
                </w14:textFill>
              </w:rPr>
            </w:pPr>
            <w:r>
              <w:rPr>
                <w:rFonts w:hint="eastAsia" w:ascii="宋体" w:hAnsi="宋体" w:eastAsia="宋体" w:cs="Times New Roman"/>
                <w:b/>
                <w:bCs/>
                <w:color w:val="000000" w:themeColor="text1"/>
                <w:sz w:val="24"/>
                <w14:textFill>
                  <w14:solidFill>
                    <w14:schemeClr w14:val="tx1"/>
                  </w14:solidFill>
                </w14:textFill>
              </w:rPr>
              <w:t>毕业要求指标点</w:t>
            </w:r>
          </w:p>
        </w:tc>
        <w:tc>
          <w:tcPr>
            <w:tcW w:w="1276" w:type="dxa"/>
            <w:vAlign w:val="center"/>
          </w:tcPr>
          <w:p w14:paraId="1AB2A3AE">
            <w:pPr>
              <w:spacing w:line="276" w:lineRule="auto"/>
              <w:rPr>
                <w:rFonts w:hint="eastAsia" w:ascii="宋体" w:hAnsi="宋体" w:eastAsia="宋体" w:cs="Times New Roman"/>
                <w:b/>
                <w:bCs/>
                <w:color w:val="000000" w:themeColor="text1"/>
                <w:sz w:val="24"/>
                <w14:textFill>
                  <w14:solidFill>
                    <w14:schemeClr w14:val="tx1"/>
                  </w14:solidFill>
                </w14:textFill>
              </w:rPr>
            </w:pPr>
            <w:r>
              <w:rPr>
                <w:rFonts w:hint="eastAsia" w:ascii="宋体" w:hAnsi="宋体" w:eastAsia="宋体" w:cs="Times New Roman"/>
                <w:b/>
                <w:bCs/>
                <w:color w:val="000000" w:themeColor="text1"/>
                <w:sz w:val="24"/>
                <w14:textFill>
                  <w14:solidFill>
                    <w14:schemeClr w14:val="tx1"/>
                  </w14:solidFill>
                </w14:textFill>
              </w:rPr>
              <w:t>课程目标</w:t>
            </w:r>
          </w:p>
        </w:tc>
      </w:tr>
      <w:tr w14:paraId="31E98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393" w:type="dxa"/>
            <w:vAlign w:val="center"/>
          </w:tcPr>
          <w:p w14:paraId="2E798347">
            <w:pPr>
              <w:spacing w:line="276" w:lineRule="auto"/>
              <w:rPr>
                <w:rFonts w:hint="eastAsia" w:ascii="宋体" w:hAnsi="宋体" w:eastAsia="宋体" w:cs="Times New Roman"/>
                <w:color w:val="000000"/>
                <w:kern w:val="0"/>
                <w:sz w:val="24"/>
              </w:rPr>
            </w:pPr>
            <w:r>
              <w:rPr>
                <w:rFonts w:hint="eastAsia" w:ascii="宋体" w:hAnsi="宋体" w:eastAsia="宋体" w:cs="Times New Roman"/>
                <w:color w:val="000000"/>
                <w:kern w:val="0"/>
                <w:sz w:val="24"/>
              </w:rPr>
              <w:t>毕业要求4</w:t>
            </w:r>
            <w:r>
              <w:rPr>
                <w:rFonts w:ascii="宋体" w:hAnsi="宋体" w:eastAsia="宋体" w:cs="Times New Roman"/>
                <w:color w:val="000000"/>
                <w:kern w:val="0"/>
                <w:sz w:val="24"/>
              </w:rPr>
              <w:t>.</w:t>
            </w:r>
            <w:r>
              <w:rPr>
                <w:rFonts w:hint="eastAsia" w:ascii="宋体" w:hAnsi="宋体" w:eastAsia="宋体" w:cs="Times New Roman"/>
                <w:color w:val="000000"/>
                <w:kern w:val="0"/>
                <w:sz w:val="24"/>
              </w:rPr>
              <w:t>教学能力</w:t>
            </w:r>
          </w:p>
        </w:tc>
        <w:tc>
          <w:tcPr>
            <w:tcW w:w="5519" w:type="dxa"/>
            <w:vAlign w:val="center"/>
          </w:tcPr>
          <w:p w14:paraId="06ADF564">
            <w:pPr>
              <w:spacing w:line="276" w:lineRule="auto"/>
              <w:jc w:val="left"/>
              <w:rPr>
                <w:sz w:val="24"/>
              </w:rPr>
            </w:pPr>
            <w:r>
              <w:rPr>
                <w:kern w:val="0"/>
                <w:sz w:val="24"/>
              </w:rPr>
              <w:t>指标点</w:t>
            </w:r>
            <w:r>
              <w:rPr>
                <w:sz w:val="24"/>
              </w:rPr>
              <w:t>4-1：</w:t>
            </w:r>
            <w:r>
              <w:rPr>
                <w:rFonts w:hint="eastAsia"/>
                <w:sz w:val="24"/>
              </w:rPr>
              <w:t>【领会课程标准】掌握教与学的知识，熟悉所教学科课程标准和教材、教学内容，具有一定的教材解读能力，具有依据课标进行教学的意识和习惯。</w:t>
            </w:r>
          </w:p>
          <w:p w14:paraId="5AABB273">
            <w:pPr>
              <w:spacing w:line="276" w:lineRule="auto"/>
              <w:jc w:val="left"/>
              <w:rPr>
                <w:rFonts w:hint="eastAsia" w:ascii="宋体" w:hAnsi="宋体" w:eastAsia="宋体" w:cs="Times New Roman"/>
                <w:color w:val="000000"/>
                <w:kern w:val="0"/>
                <w:sz w:val="24"/>
              </w:rPr>
            </w:pPr>
            <w:r>
              <w:rPr>
                <w:kern w:val="0"/>
                <w:sz w:val="24"/>
              </w:rPr>
              <w:t>指标点</w:t>
            </w:r>
            <w:r>
              <w:rPr>
                <w:sz w:val="24"/>
              </w:rPr>
              <w:t>4-2：</w:t>
            </w:r>
            <w:r>
              <w:rPr>
                <w:rFonts w:hint="eastAsia"/>
                <w:sz w:val="24"/>
              </w:rPr>
              <w:t>【教学技能突出】获得全面的小学教学体验，掌握学科教学的基本方法与策略，能独立进行教学设计、实施和评价。</w:t>
            </w:r>
          </w:p>
        </w:tc>
        <w:tc>
          <w:tcPr>
            <w:tcW w:w="1276" w:type="dxa"/>
            <w:vAlign w:val="center"/>
          </w:tcPr>
          <w:p w14:paraId="07E9DDAB">
            <w:pPr>
              <w:spacing w:line="276" w:lineRule="auto"/>
              <w:jc w:val="left"/>
              <w:rPr>
                <w:kern w:val="0"/>
                <w:sz w:val="24"/>
              </w:rPr>
            </w:pPr>
            <w:r>
              <w:rPr>
                <w:rFonts w:hint="eastAsia" w:ascii="宋体" w:hAnsi="宋体" w:eastAsia="宋体" w:cs="宋体"/>
                <w:bCs/>
                <w:color w:val="000000"/>
                <w:sz w:val="24"/>
              </w:rPr>
              <w:t>课程目标1</w:t>
            </w:r>
          </w:p>
        </w:tc>
      </w:tr>
      <w:tr w14:paraId="1D0D2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393" w:type="dxa"/>
            <w:vAlign w:val="center"/>
          </w:tcPr>
          <w:p w14:paraId="68018415">
            <w:pPr>
              <w:spacing w:line="276" w:lineRule="auto"/>
              <w:rPr>
                <w:rFonts w:hint="eastAsia" w:ascii="宋体" w:hAnsi="宋体" w:eastAsia="宋体" w:cs="Times New Roman"/>
                <w:color w:val="000000"/>
                <w:kern w:val="0"/>
                <w:sz w:val="24"/>
              </w:rPr>
            </w:pPr>
            <w:r>
              <w:rPr>
                <w:rFonts w:hint="eastAsia" w:ascii="宋体" w:hAnsi="宋体" w:eastAsia="宋体" w:cs="Times New Roman"/>
                <w:color w:val="000000"/>
                <w:kern w:val="0"/>
                <w:sz w:val="24"/>
              </w:rPr>
              <w:t>毕业要求3</w:t>
            </w:r>
            <w:r>
              <w:rPr>
                <w:rFonts w:ascii="宋体" w:hAnsi="宋体" w:eastAsia="宋体" w:cs="Times New Roman"/>
                <w:color w:val="000000"/>
                <w:kern w:val="0"/>
                <w:sz w:val="24"/>
              </w:rPr>
              <w:t>.</w:t>
            </w:r>
            <w:r>
              <w:rPr>
                <w:rFonts w:hint="eastAsia" w:ascii="宋体" w:hAnsi="宋体" w:eastAsia="宋体" w:cs="Times New Roman"/>
                <w:color w:val="000000"/>
                <w:kern w:val="0"/>
                <w:sz w:val="24"/>
              </w:rPr>
              <w:t>综合素养</w:t>
            </w:r>
          </w:p>
        </w:tc>
        <w:tc>
          <w:tcPr>
            <w:tcW w:w="5519" w:type="dxa"/>
            <w:vAlign w:val="center"/>
          </w:tcPr>
          <w:p w14:paraId="1D350AFF">
            <w:pPr>
              <w:spacing w:line="276" w:lineRule="auto"/>
              <w:jc w:val="left"/>
              <w:rPr>
                <w:rFonts w:hint="eastAsia" w:ascii="宋体" w:hAnsi="宋体" w:eastAsia="宋体" w:cs="Times New Roman"/>
                <w:color w:val="000000"/>
                <w:kern w:val="0"/>
                <w:sz w:val="24"/>
              </w:rPr>
            </w:pPr>
            <w:r>
              <w:rPr>
                <w:kern w:val="0"/>
                <w:sz w:val="24"/>
              </w:rPr>
              <w:t>指标点</w:t>
            </w:r>
            <w:r>
              <w:rPr>
                <w:sz w:val="24"/>
              </w:rPr>
              <w:t>3-4：</w:t>
            </w:r>
            <w:r>
              <w:rPr>
                <w:rFonts w:hint="eastAsia"/>
                <w:sz w:val="24"/>
              </w:rPr>
              <w:t>【注重知识整合】了解所教学科与其他学科及与社会实践、小学生生活实践之间的联系，了解学科整合的在小学教育中的价值，具有跨学科解决问题的意识和能力，能指导综合性学科教学活动。</w:t>
            </w:r>
          </w:p>
        </w:tc>
        <w:tc>
          <w:tcPr>
            <w:tcW w:w="1276" w:type="dxa"/>
            <w:vAlign w:val="center"/>
          </w:tcPr>
          <w:p w14:paraId="16F3ABA9">
            <w:pPr>
              <w:spacing w:line="276" w:lineRule="auto"/>
              <w:jc w:val="left"/>
              <w:rPr>
                <w:kern w:val="0"/>
                <w:sz w:val="24"/>
              </w:rPr>
            </w:pPr>
            <w:r>
              <w:rPr>
                <w:rFonts w:hint="eastAsia" w:ascii="宋体" w:hAnsi="宋体" w:eastAsia="宋体" w:cs="宋体"/>
                <w:bCs/>
                <w:color w:val="000000"/>
                <w:sz w:val="24"/>
              </w:rPr>
              <w:t>课程目标2</w:t>
            </w:r>
          </w:p>
        </w:tc>
      </w:tr>
      <w:tr w14:paraId="5830A9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93" w:type="dxa"/>
            <w:vAlign w:val="center"/>
          </w:tcPr>
          <w:p w14:paraId="1DEE1C9D">
            <w:pPr>
              <w:spacing w:line="276" w:lineRule="auto"/>
              <w:rPr>
                <w:rFonts w:hint="eastAsia" w:ascii="宋体" w:hAnsi="宋体" w:eastAsia="宋体" w:cs="Times New Roman"/>
                <w:color w:val="000000"/>
                <w:kern w:val="0"/>
                <w:sz w:val="24"/>
              </w:rPr>
            </w:pPr>
            <w:r>
              <w:rPr>
                <w:rFonts w:hint="eastAsia" w:ascii="宋体" w:hAnsi="宋体" w:eastAsia="宋体" w:cs="Times New Roman"/>
                <w:color w:val="000000"/>
                <w:kern w:val="0"/>
                <w:sz w:val="24"/>
              </w:rPr>
              <w:t>毕业要求2</w:t>
            </w:r>
            <w:r>
              <w:rPr>
                <w:rFonts w:ascii="宋体" w:hAnsi="宋体" w:eastAsia="宋体" w:cs="Times New Roman"/>
                <w:color w:val="000000"/>
                <w:kern w:val="0"/>
                <w:sz w:val="24"/>
              </w:rPr>
              <w:t>.</w:t>
            </w:r>
            <w:r>
              <w:rPr>
                <w:rFonts w:hint="eastAsia" w:ascii="宋体" w:hAnsi="宋体" w:eastAsia="宋体" w:cs="Times New Roman"/>
                <w:color w:val="000000"/>
                <w:kern w:val="0"/>
                <w:sz w:val="24"/>
              </w:rPr>
              <w:t>教育情怀</w:t>
            </w:r>
          </w:p>
          <w:p w14:paraId="52CC8588">
            <w:pPr>
              <w:spacing w:line="276" w:lineRule="auto"/>
              <w:rPr>
                <w:rFonts w:hint="eastAsia" w:ascii="宋体" w:hAnsi="宋体" w:eastAsia="宋体" w:cs="Times New Roman"/>
                <w:color w:val="000000"/>
                <w:kern w:val="0"/>
                <w:sz w:val="24"/>
              </w:rPr>
            </w:pPr>
            <w:r>
              <w:rPr>
                <w:rFonts w:hint="eastAsia" w:ascii="宋体" w:hAnsi="宋体" w:eastAsia="宋体" w:cs="Times New Roman"/>
                <w:color w:val="000000"/>
                <w:kern w:val="0"/>
                <w:sz w:val="24"/>
              </w:rPr>
              <w:t>毕业要求4</w:t>
            </w:r>
            <w:r>
              <w:rPr>
                <w:rFonts w:ascii="宋体" w:hAnsi="宋体" w:eastAsia="宋体" w:cs="Times New Roman"/>
                <w:color w:val="000000"/>
                <w:kern w:val="0"/>
                <w:sz w:val="24"/>
              </w:rPr>
              <w:t>.</w:t>
            </w:r>
            <w:r>
              <w:rPr>
                <w:rFonts w:hint="eastAsia" w:ascii="宋体" w:hAnsi="宋体" w:eastAsia="宋体" w:cs="Times New Roman"/>
                <w:color w:val="000000"/>
                <w:kern w:val="0"/>
                <w:sz w:val="24"/>
              </w:rPr>
              <w:t>教学能力</w:t>
            </w:r>
          </w:p>
          <w:p w14:paraId="0B2B8BB9">
            <w:pPr>
              <w:spacing w:line="276" w:lineRule="auto"/>
              <w:rPr>
                <w:rFonts w:hint="eastAsia" w:ascii="宋体" w:hAnsi="宋体" w:eastAsia="宋体" w:cs="Times New Roman"/>
                <w:color w:val="000000"/>
                <w:spacing w:val="2"/>
                <w:kern w:val="0"/>
                <w:sz w:val="24"/>
              </w:rPr>
            </w:pPr>
            <w:r>
              <w:rPr>
                <w:rFonts w:hint="eastAsia" w:ascii="宋体" w:hAnsi="宋体" w:eastAsia="宋体" w:cs="Times New Roman"/>
                <w:color w:val="000000"/>
                <w:kern w:val="0"/>
                <w:sz w:val="24"/>
              </w:rPr>
              <w:t>毕业要求8</w:t>
            </w:r>
            <w:r>
              <w:rPr>
                <w:rFonts w:ascii="宋体" w:hAnsi="宋体" w:eastAsia="宋体" w:cs="Times New Roman"/>
                <w:color w:val="000000"/>
                <w:kern w:val="0"/>
                <w:sz w:val="24"/>
              </w:rPr>
              <w:t>.</w:t>
            </w:r>
            <w:r>
              <w:rPr>
                <w:rFonts w:hint="eastAsia" w:ascii="宋体" w:hAnsi="宋体" w:eastAsia="宋体" w:cs="Times New Roman"/>
                <w:color w:val="000000"/>
                <w:kern w:val="0"/>
                <w:sz w:val="24"/>
              </w:rPr>
              <w:t>沟通合作</w:t>
            </w:r>
          </w:p>
        </w:tc>
        <w:tc>
          <w:tcPr>
            <w:tcW w:w="5519" w:type="dxa"/>
            <w:vAlign w:val="center"/>
          </w:tcPr>
          <w:p w14:paraId="209BFF77">
            <w:pPr>
              <w:spacing w:line="276" w:lineRule="auto"/>
              <w:jc w:val="left"/>
              <w:rPr>
                <w:sz w:val="24"/>
              </w:rPr>
            </w:pPr>
            <w:r>
              <w:rPr>
                <w:kern w:val="0"/>
                <w:sz w:val="24"/>
              </w:rPr>
              <w:t>指标点</w:t>
            </w:r>
            <w:r>
              <w:rPr>
                <w:sz w:val="24"/>
              </w:rPr>
              <w:t>2-2</w:t>
            </w:r>
            <w:r>
              <w:rPr>
                <w:rFonts w:hint="eastAsia"/>
                <w:sz w:val="24"/>
              </w:rPr>
              <w:t>：【教育情意深厚】关爱学生，用心从教。</w:t>
            </w:r>
            <w:r>
              <w:rPr>
                <w:sz w:val="24"/>
              </w:rPr>
              <w:t>具有正确的儿童观，理解、尊重、关爱、保护学生，以儿童发展为教育的中心。</w:t>
            </w:r>
            <w:r>
              <w:rPr>
                <w:rFonts w:hint="eastAsia"/>
                <w:sz w:val="24"/>
              </w:rPr>
              <w:t>爱岗敬业，在教育实践中能认真履行教育教学职责与班主任工作职责，富有爱心、责任心、工作细心、耐心。</w:t>
            </w:r>
          </w:p>
          <w:p w14:paraId="1BA4481B">
            <w:pPr>
              <w:spacing w:line="276" w:lineRule="auto"/>
              <w:jc w:val="left"/>
              <w:rPr>
                <w:sz w:val="24"/>
              </w:rPr>
            </w:pPr>
            <w:r>
              <w:rPr>
                <w:kern w:val="0"/>
                <w:sz w:val="24"/>
              </w:rPr>
              <w:t>指标点</w:t>
            </w:r>
            <w:r>
              <w:rPr>
                <w:sz w:val="24"/>
              </w:rPr>
              <w:t>4-1：</w:t>
            </w:r>
            <w:r>
              <w:rPr>
                <w:rFonts w:hint="eastAsia"/>
                <w:sz w:val="24"/>
              </w:rPr>
              <w:t>【领会课程标准】掌握教与学的知识，熟悉所教学科课程标准和教材、教学内容，具有一定的教材解读能力，具有依据课标进行教学的意识和习惯。</w:t>
            </w:r>
          </w:p>
          <w:p w14:paraId="086EFF6A">
            <w:pPr>
              <w:spacing w:line="276" w:lineRule="auto"/>
              <w:jc w:val="left"/>
              <w:rPr>
                <w:rFonts w:hint="eastAsia" w:ascii="宋体" w:hAnsi="宋体" w:eastAsia="宋体" w:cs="宋体"/>
                <w:color w:val="000000"/>
                <w:sz w:val="24"/>
              </w:rPr>
            </w:pPr>
            <w:r>
              <w:rPr>
                <w:kern w:val="0"/>
                <w:sz w:val="24"/>
              </w:rPr>
              <w:t>指标点</w:t>
            </w:r>
            <w:r>
              <w:rPr>
                <w:sz w:val="24"/>
              </w:rPr>
              <w:t>4-2：</w:t>
            </w:r>
            <w:r>
              <w:rPr>
                <w:rFonts w:hint="eastAsia"/>
                <w:sz w:val="24"/>
              </w:rPr>
              <w:t>【教学技能突出】获得全面的小学教学体验，掌握学科教学的基本方法与策略，能独立进行教学设计、实施和评价。</w:t>
            </w:r>
          </w:p>
          <w:p w14:paraId="2549438D">
            <w:pPr>
              <w:spacing w:line="276" w:lineRule="auto"/>
              <w:jc w:val="left"/>
              <w:rPr>
                <w:rFonts w:hint="eastAsia" w:ascii="宋体" w:hAnsi="宋体" w:eastAsia="宋体" w:cs="宋体"/>
                <w:color w:val="000000"/>
                <w:sz w:val="24"/>
              </w:rPr>
            </w:pPr>
            <w:r>
              <w:rPr>
                <w:kern w:val="0"/>
                <w:sz w:val="24"/>
              </w:rPr>
              <w:t>指标点</w:t>
            </w:r>
            <w:r>
              <w:rPr>
                <w:sz w:val="24"/>
              </w:rPr>
              <w:t>8-1：</w:t>
            </w:r>
            <w:r>
              <w:rPr>
                <w:rFonts w:hint="eastAsia"/>
                <w:sz w:val="24"/>
              </w:rPr>
              <w:t>【善于团队合作】理解学习共同体的本质和价值，掌握团队协作的基本策略，在课堂学习与教育实践中获得合作学习体验，形成团队协作精神。</w:t>
            </w:r>
          </w:p>
        </w:tc>
        <w:tc>
          <w:tcPr>
            <w:tcW w:w="1276" w:type="dxa"/>
            <w:vAlign w:val="center"/>
          </w:tcPr>
          <w:p w14:paraId="06B13AFD">
            <w:pPr>
              <w:spacing w:line="276" w:lineRule="auto"/>
              <w:jc w:val="left"/>
              <w:rPr>
                <w:kern w:val="0"/>
                <w:sz w:val="24"/>
              </w:rPr>
            </w:pPr>
            <w:r>
              <w:rPr>
                <w:rFonts w:hint="eastAsia" w:ascii="宋体" w:hAnsi="宋体" w:eastAsia="宋体" w:cs="宋体"/>
                <w:color w:val="000000"/>
                <w:sz w:val="24"/>
              </w:rPr>
              <w:t>课程目标</w:t>
            </w:r>
            <w:r>
              <w:rPr>
                <w:rFonts w:ascii="宋体" w:hAnsi="宋体" w:eastAsia="宋体" w:cs="宋体"/>
                <w:color w:val="000000"/>
                <w:sz w:val="24"/>
              </w:rPr>
              <w:t>3</w:t>
            </w:r>
          </w:p>
        </w:tc>
      </w:tr>
      <w:tr w14:paraId="404BB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93" w:type="dxa"/>
            <w:vAlign w:val="center"/>
          </w:tcPr>
          <w:p w14:paraId="5DDC651C">
            <w:pPr>
              <w:spacing w:line="276" w:lineRule="auto"/>
              <w:rPr>
                <w:rFonts w:hint="eastAsia" w:ascii="宋体" w:hAnsi="宋体" w:eastAsia="宋体" w:cs="Times New Roman"/>
                <w:color w:val="000000"/>
                <w:kern w:val="0"/>
                <w:sz w:val="24"/>
              </w:rPr>
            </w:pPr>
            <w:r>
              <w:rPr>
                <w:rFonts w:hint="eastAsia" w:ascii="宋体" w:hAnsi="宋体" w:eastAsia="宋体" w:cs="Times New Roman"/>
                <w:color w:val="000000"/>
                <w:kern w:val="0"/>
                <w:sz w:val="24"/>
              </w:rPr>
              <w:t>毕业要求3</w:t>
            </w:r>
            <w:r>
              <w:rPr>
                <w:rFonts w:ascii="宋体" w:hAnsi="宋体" w:eastAsia="宋体" w:cs="Times New Roman"/>
                <w:color w:val="000000"/>
                <w:kern w:val="0"/>
                <w:sz w:val="24"/>
              </w:rPr>
              <w:t>.</w:t>
            </w:r>
            <w:r>
              <w:rPr>
                <w:rFonts w:hint="eastAsia" w:ascii="宋体" w:hAnsi="宋体" w:eastAsia="宋体" w:cs="Times New Roman"/>
                <w:color w:val="000000"/>
                <w:kern w:val="0"/>
                <w:sz w:val="24"/>
              </w:rPr>
              <w:t>综合素养</w:t>
            </w:r>
          </w:p>
          <w:p w14:paraId="6B1FD775">
            <w:pPr>
              <w:spacing w:line="276" w:lineRule="auto"/>
              <w:rPr>
                <w:rFonts w:hint="eastAsia" w:ascii="宋体" w:hAnsi="宋体" w:eastAsia="宋体" w:cs="Times New Roman"/>
                <w:color w:val="000000"/>
                <w:spacing w:val="2"/>
                <w:kern w:val="0"/>
                <w:sz w:val="24"/>
              </w:rPr>
            </w:pPr>
            <w:r>
              <w:rPr>
                <w:rFonts w:ascii="宋体" w:hAnsi="宋体" w:eastAsia="宋体" w:cs="Times New Roman"/>
                <w:color w:val="000000"/>
                <w:kern w:val="0"/>
                <w:sz w:val="24"/>
              </w:rPr>
              <w:t>毕业要求</w:t>
            </w:r>
            <w:r>
              <w:rPr>
                <w:rFonts w:ascii="宋体" w:hAnsi="宋体" w:eastAsia="宋体" w:cs="Times New Roman"/>
                <w:color w:val="000000"/>
                <w:spacing w:val="2"/>
                <w:kern w:val="0"/>
                <w:sz w:val="24"/>
              </w:rPr>
              <w:t>6.</w:t>
            </w:r>
            <w:r>
              <w:rPr>
                <w:rFonts w:hint="eastAsia" w:ascii="宋体" w:hAnsi="宋体" w:eastAsia="宋体" w:cs="Times New Roman"/>
                <w:color w:val="000000"/>
                <w:spacing w:val="2"/>
                <w:kern w:val="0"/>
                <w:sz w:val="24"/>
              </w:rPr>
              <w:t>综合育人</w:t>
            </w:r>
          </w:p>
          <w:p w14:paraId="3F99A01C">
            <w:pPr>
              <w:spacing w:line="276" w:lineRule="auto"/>
              <w:rPr>
                <w:rFonts w:hint="eastAsia" w:ascii="宋体" w:hAnsi="宋体" w:eastAsia="宋体" w:cs="Times New Roman"/>
                <w:color w:val="000000"/>
                <w:spacing w:val="2"/>
                <w:kern w:val="0"/>
                <w:sz w:val="24"/>
              </w:rPr>
            </w:pPr>
            <w:r>
              <w:rPr>
                <w:rFonts w:hint="eastAsia" w:ascii="宋体" w:hAnsi="宋体" w:eastAsia="宋体" w:cs="Times New Roman"/>
                <w:color w:val="000000"/>
                <w:spacing w:val="2"/>
                <w:kern w:val="0"/>
                <w:sz w:val="24"/>
              </w:rPr>
              <w:t>毕业要求7</w:t>
            </w:r>
            <w:r>
              <w:rPr>
                <w:rFonts w:ascii="宋体" w:hAnsi="宋体" w:eastAsia="宋体" w:cs="Times New Roman"/>
                <w:color w:val="000000"/>
                <w:spacing w:val="2"/>
                <w:kern w:val="0"/>
                <w:sz w:val="24"/>
              </w:rPr>
              <w:t>.</w:t>
            </w:r>
            <w:r>
              <w:rPr>
                <w:rFonts w:hint="eastAsia" w:ascii="宋体" w:hAnsi="宋体" w:eastAsia="宋体" w:cs="Times New Roman"/>
                <w:color w:val="000000"/>
                <w:spacing w:val="2"/>
                <w:kern w:val="0"/>
                <w:sz w:val="24"/>
              </w:rPr>
              <w:t>学会反思</w:t>
            </w:r>
          </w:p>
        </w:tc>
        <w:tc>
          <w:tcPr>
            <w:tcW w:w="5519" w:type="dxa"/>
            <w:vAlign w:val="center"/>
          </w:tcPr>
          <w:p w14:paraId="03A02EB6">
            <w:pPr>
              <w:shd w:val="clear" w:color="auto" w:fill="FFFFFF"/>
              <w:spacing w:line="276" w:lineRule="auto"/>
              <w:jc w:val="left"/>
              <w:rPr>
                <w:sz w:val="24"/>
              </w:rPr>
            </w:pPr>
            <w:r>
              <w:rPr>
                <w:kern w:val="0"/>
                <w:sz w:val="24"/>
              </w:rPr>
              <w:t>指标点</w:t>
            </w:r>
            <w:r>
              <w:rPr>
                <w:sz w:val="24"/>
              </w:rPr>
              <w:t>3-4：</w:t>
            </w:r>
            <w:r>
              <w:rPr>
                <w:rFonts w:hint="eastAsia"/>
                <w:sz w:val="24"/>
              </w:rPr>
              <w:t>【注重知识整合】了解所教学科与其他学科及与社会实践、小学生生活实践之间的联系，了解学科整合的在小学教育中的价值，具有跨学科解决问题的意识和能力，能指导综合性学科教学活动。</w:t>
            </w:r>
          </w:p>
          <w:p w14:paraId="332CBC1B">
            <w:pPr>
              <w:shd w:val="clear" w:color="auto" w:fill="FFFFFF"/>
              <w:spacing w:line="276" w:lineRule="auto"/>
              <w:jc w:val="left"/>
              <w:rPr>
                <w:sz w:val="24"/>
              </w:rPr>
            </w:pPr>
            <w:r>
              <w:rPr>
                <w:kern w:val="0"/>
                <w:sz w:val="24"/>
              </w:rPr>
              <w:t>指标点</w:t>
            </w:r>
            <w:r>
              <w:rPr>
                <w:sz w:val="24"/>
              </w:rPr>
              <w:t>6-2：</w:t>
            </w:r>
            <w:r>
              <w:rPr>
                <w:rFonts w:hint="eastAsia"/>
                <w:sz w:val="24"/>
              </w:rPr>
              <w:t>【懂得学科育人】具有教书育人的意识，理解学科核心素养和拟任教学科课程独特的育人功能，具备结合学科教学进行育人的意识与能力，注重学科教学中思想政治教育的渗透。</w:t>
            </w:r>
          </w:p>
          <w:p w14:paraId="5639364B">
            <w:pPr>
              <w:shd w:val="clear" w:color="auto" w:fill="FFFFFF"/>
              <w:spacing w:line="276" w:lineRule="auto"/>
              <w:jc w:val="left"/>
              <w:rPr>
                <w:rFonts w:hint="eastAsia" w:ascii="宋体" w:hAnsi="宋体" w:eastAsia="宋体" w:cs="Times New Roman"/>
                <w:color w:val="000000"/>
                <w:spacing w:val="2"/>
                <w:kern w:val="0"/>
                <w:sz w:val="24"/>
              </w:rPr>
            </w:pPr>
            <w:r>
              <w:rPr>
                <w:kern w:val="0"/>
                <w:sz w:val="24"/>
              </w:rPr>
              <w:t>指标点</w:t>
            </w:r>
            <w:r>
              <w:rPr>
                <w:sz w:val="24"/>
              </w:rPr>
              <w:t>7-1：</w:t>
            </w:r>
            <w:r>
              <w:rPr>
                <w:rFonts w:hint="eastAsia"/>
                <w:sz w:val="24"/>
              </w:rPr>
              <w:t>【教育视野开阔】</w:t>
            </w:r>
            <w:r>
              <w:rPr>
                <w:sz w:val="24"/>
              </w:rPr>
              <w:t>积极参加基础教育领域的国内外交流，了解国内外基础教育改革发展的动态，具有宽广的教育视野</w:t>
            </w:r>
            <w:r>
              <w:rPr>
                <w:rFonts w:hint="eastAsia"/>
                <w:sz w:val="24"/>
              </w:rPr>
              <w:t>，能够主动适应新时代和教育发展需求。</w:t>
            </w:r>
          </w:p>
        </w:tc>
        <w:tc>
          <w:tcPr>
            <w:tcW w:w="1276" w:type="dxa"/>
            <w:vAlign w:val="center"/>
          </w:tcPr>
          <w:p w14:paraId="6BE4B6F5">
            <w:pPr>
              <w:shd w:val="clear" w:color="auto" w:fill="FFFFFF"/>
              <w:spacing w:line="276" w:lineRule="auto"/>
              <w:jc w:val="left"/>
              <w:rPr>
                <w:kern w:val="0"/>
                <w:sz w:val="24"/>
              </w:rPr>
            </w:pPr>
            <w:r>
              <w:rPr>
                <w:rFonts w:hint="eastAsia" w:ascii="宋体" w:hAnsi="宋体" w:eastAsia="宋体" w:cs="宋体"/>
                <w:color w:val="000000"/>
                <w:sz w:val="24"/>
              </w:rPr>
              <w:t>课程目标</w:t>
            </w:r>
            <w:r>
              <w:rPr>
                <w:rFonts w:ascii="宋体" w:hAnsi="宋体" w:eastAsia="宋体" w:cs="宋体"/>
                <w:color w:val="000000"/>
                <w:sz w:val="24"/>
              </w:rPr>
              <w:t>4</w:t>
            </w:r>
          </w:p>
        </w:tc>
      </w:tr>
    </w:tbl>
    <w:p w14:paraId="3462507D">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（三）课程思政目标</w:t>
      </w:r>
    </w:p>
    <w:p w14:paraId="3AB6A9F8">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在课程教学中引导树立学高人师、身正为范的职业理想，培育爱国守法、规范从教的职业操守，培养传道情怀、授业底蕴、解惑能力，富有工匠精神，坚持贯彻落实党的教育方针，以立德树人为己任，自觉以德立身、以德立学、以德施教，争做有理想信念、有道德情操、有扎实学识、有仁爱之心的“四有”好老师，传承教育家精神，争做新时代的大国良师。</w:t>
      </w:r>
    </w:p>
    <w:p w14:paraId="0CA371C7">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三、课程内容及预期学习成效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698"/>
        <w:gridCol w:w="1132"/>
        <w:gridCol w:w="3251"/>
        <w:gridCol w:w="1556"/>
        <w:gridCol w:w="457"/>
      </w:tblGrid>
      <w:tr w14:paraId="5C62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5509B3C">
            <w:pPr>
              <w:jc w:val="center"/>
              <w:rPr>
                <w:rFonts w:hint="eastAsia" w:ascii="宋体" w:hAnsi="宋体" w:eastAsia="宋体" w:cs="Times New Roman"/>
                <w:b/>
                <w:sz w:val="24"/>
              </w:rPr>
            </w:pPr>
            <w:r>
              <w:rPr>
                <w:rFonts w:hint="eastAsia" w:ascii="宋体" w:hAnsi="宋体" w:eastAsia="宋体" w:cs="Times New Roman"/>
                <w:b/>
                <w:sz w:val="24"/>
              </w:rPr>
              <w:t>知识</w:t>
            </w:r>
          </w:p>
          <w:p w14:paraId="306032A0">
            <w:pPr>
              <w:jc w:val="center"/>
              <w:rPr>
                <w:rFonts w:hint="eastAsia" w:ascii="宋体" w:hAnsi="宋体" w:eastAsia="宋体" w:cs="Times New Roman"/>
                <w:b/>
                <w:sz w:val="24"/>
              </w:rPr>
            </w:pPr>
            <w:r>
              <w:rPr>
                <w:rFonts w:hint="eastAsia" w:ascii="宋体" w:hAnsi="宋体" w:eastAsia="宋体" w:cs="Times New Roman"/>
                <w:b/>
                <w:sz w:val="24"/>
              </w:rPr>
              <w:t>单元</w:t>
            </w:r>
          </w:p>
        </w:tc>
        <w:tc>
          <w:tcPr>
            <w:tcW w:w="1701" w:type="dxa"/>
            <w:vAlign w:val="center"/>
          </w:tcPr>
          <w:p w14:paraId="7582F844">
            <w:pPr>
              <w:jc w:val="center"/>
              <w:rPr>
                <w:rFonts w:hint="eastAsia" w:ascii="宋体" w:hAnsi="宋体" w:eastAsia="宋体" w:cs="Times New Roman"/>
                <w:b/>
                <w:sz w:val="24"/>
              </w:rPr>
            </w:pPr>
            <w:r>
              <w:rPr>
                <w:rFonts w:hint="eastAsia" w:ascii="宋体" w:hAnsi="宋体" w:eastAsia="宋体" w:cs="Times New Roman"/>
                <w:b/>
                <w:sz w:val="24"/>
              </w:rPr>
              <w:t>知识点</w:t>
            </w:r>
          </w:p>
        </w:tc>
        <w:tc>
          <w:tcPr>
            <w:tcW w:w="1134" w:type="dxa"/>
            <w:vAlign w:val="center"/>
          </w:tcPr>
          <w:p w14:paraId="3C7B483B">
            <w:pPr>
              <w:jc w:val="center"/>
              <w:rPr>
                <w:rFonts w:hint="eastAsia" w:ascii="宋体" w:hAnsi="宋体" w:eastAsia="宋体" w:cs="Times New Roman"/>
                <w:b/>
                <w:sz w:val="24"/>
              </w:rPr>
            </w:pPr>
            <w:r>
              <w:rPr>
                <w:rFonts w:hint="eastAsia" w:ascii="宋体" w:hAnsi="宋体" w:eastAsia="宋体" w:cs="Times New Roman"/>
                <w:b/>
                <w:sz w:val="24"/>
              </w:rPr>
              <w:t>对应</w:t>
            </w:r>
          </w:p>
          <w:p w14:paraId="608EDF44">
            <w:pPr>
              <w:jc w:val="center"/>
              <w:rPr>
                <w:rFonts w:hint="eastAsia" w:ascii="宋体" w:hAnsi="宋体" w:eastAsia="宋体" w:cs="Times New Roman"/>
                <w:b/>
                <w:sz w:val="24"/>
              </w:rPr>
            </w:pPr>
            <w:r>
              <w:rPr>
                <w:rFonts w:hint="eastAsia" w:ascii="宋体" w:hAnsi="宋体" w:eastAsia="宋体" w:cs="Times New Roman"/>
                <w:b/>
                <w:sz w:val="24"/>
              </w:rPr>
              <w:t>课程目标</w:t>
            </w:r>
          </w:p>
        </w:tc>
        <w:tc>
          <w:tcPr>
            <w:tcW w:w="3260" w:type="dxa"/>
            <w:vAlign w:val="center"/>
          </w:tcPr>
          <w:p w14:paraId="641819C1">
            <w:pPr>
              <w:jc w:val="center"/>
              <w:rPr>
                <w:rFonts w:hint="eastAsia" w:ascii="宋体" w:hAnsi="宋体" w:eastAsia="宋体" w:cs="Times New Roman"/>
                <w:b/>
                <w:sz w:val="24"/>
              </w:rPr>
            </w:pPr>
            <w:r>
              <w:rPr>
                <w:rFonts w:hint="eastAsia" w:ascii="宋体" w:hAnsi="宋体" w:eastAsia="宋体" w:cs="Times New Roman"/>
                <w:b/>
                <w:sz w:val="24"/>
              </w:rPr>
              <w:t>预期学习成效</w:t>
            </w:r>
          </w:p>
        </w:tc>
        <w:tc>
          <w:tcPr>
            <w:tcW w:w="1560" w:type="dxa"/>
            <w:vAlign w:val="center"/>
          </w:tcPr>
          <w:p w14:paraId="0BA0EA17">
            <w:pPr>
              <w:jc w:val="center"/>
              <w:rPr>
                <w:rFonts w:hint="eastAsia" w:ascii="宋体" w:hAnsi="宋体" w:eastAsia="宋体" w:cs="Times New Roman"/>
                <w:b/>
                <w:sz w:val="24"/>
              </w:rPr>
            </w:pPr>
            <w:r>
              <w:rPr>
                <w:rFonts w:hint="eastAsia" w:ascii="宋体" w:hAnsi="宋体" w:eastAsia="宋体" w:cs="Times New Roman"/>
                <w:b/>
                <w:sz w:val="24"/>
              </w:rPr>
              <w:t>实现环节</w:t>
            </w:r>
          </w:p>
        </w:tc>
        <w:tc>
          <w:tcPr>
            <w:tcW w:w="438" w:type="dxa"/>
            <w:vAlign w:val="center"/>
          </w:tcPr>
          <w:p w14:paraId="37413A31">
            <w:pPr>
              <w:jc w:val="center"/>
              <w:rPr>
                <w:rFonts w:hint="eastAsia" w:ascii="宋体" w:hAnsi="宋体" w:eastAsia="宋体" w:cs="Times New Roman"/>
                <w:b/>
                <w:sz w:val="24"/>
                <w:highlight w:val="yellow"/>
              </w:rPr>
            </w:pPr>
            <w:r>
              <w:rPr>
                <w:rFonts w:hint="eastAsia" w:ascii="宋体" w:hAnsi="宋体" w:eastAsia="宋体" w:cs="Times New Roman"/>
                <w:b/>
                <w:sz w:val="24"/>
              </w:rPr>
              <w:t>学时</w:t>
            </w:r>
          </w:p>
        </w:tc>
      </w:tr>
      <w:tr w14:paraId="1754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B36B53">
            <w:pPr>
              <w:spacing w:line="264" w:lineRule="auto"/>
              <w:jc w:val="center"/>
              <w:rPr>
                <w:rFonts w:hint="eastAsia" w:ascii="宋体" w:hAnsi="宋体" w:eastAsia="宋体" w:cs="Times New Roman"/>
                <w:sz w:val="24"/>
              </w:rPr>
            </w:pPr>
            <w:r>
              <w:rPr>
                <w:rFonts w:hint="eastAsia" w:ascii="Times New Roman" w:hAnsi="Times New Roman" w:eastAsia="宋体" w:cs="Times New Roman"/>
                <w:sz w:val="24"/>
              </w:rPr>
              <w:t>（一）“课程教学论”概论</w:t>
            </w:r>
          </w:p>
        </w:tc>
        <w:tc>
          <w:tcPr>
            <w:tcW w:w="1701" w:type="dxa"/>
            <w:vAlign w:val="center"/>
          </w:tcPr>
          <w:p w14:paraId="4A292C70">
            <w:pPr>
              <w:spacing w:line="269" w:lineRule="auto"/>
              <w:jc w:val="left"/>
              <w:rPr>
                <w:rFonts w:hint="eastAsia" w:ascii="宋体" w:hAnsi="宋体" w:eastAsia="宋体" w:cs="Times New Roman"/>
                <w:sz w:val="24"/>
              </w:rPr>
            </w:pPr>
            <w:r>
              <w:rPr>
                <w:rFonts w:hint="eastAsia" w:ascii="宋体" w:hAnsi="宋体" w:eastAsia="宋体" w:cs="Times New Roman"/>
                <w:sz w:val="24"/>
              </w:rPr>
              <w:t>1. 教学内容</w:t>
            </w:r>
          </w:p>
          <w:p w14:paraId="289AA3FF">
            <w:pPr>
              <w:spacing w:line="269" w:lineRule="auto"/>
              <w:jc w:val="left"/>
              <w:rPr>
                <w:rFonts w:hint="eastAsia" w:ascii="宋体" w:hAnsi="宋体" w:eastAsia="宋体" w:cs="Times New Roman"/>
                <w:sz w:val="24"/>
              </w:rPr>
            </w:pPr>
            <w:r>
              <w:rPr>
                <w:rFonts w:hint="eastAsia" w:ascii="宋体" w:hAnsi="宋体" w:eastAsia="宋体" w:cs="Times New Roman"/>
                <w:sz w:val="24"/>
              </w:rPr>
              <w:t>（1）什么是课程与教学论</w:t>
            </w:r>
          </w:p>
          <w:p w14:paraId="4F924946">
            <w:pPr>
              <w:spacing w:line="269" w:lineRule="auto"/>
              <w:jc w:val="left"/>
              <w:rPr>
                <w:rFonts w:hint="eastAsia" w:ascii="宋体" w:hAnsi="宋体" w:eastAsia="宋体" w:cs="Times New Roman"/>
                <w:sz w:val="24"/>
              </w:rPr>
            </w:pPr>
            <w:r>
              <w:rPr>
                <w:rFonts w:hint="eastAsia" w:ascii="宋体" w:hAnsi="宋体" w:eastAsia="宋体" w:cs="Times New Roman"/>
                <w:sz w:val="24"/>
              </w:rPr>
              <w:t>（2）学习课程与教学论的意义和方法</w:t>
            </w:r>
          </w:p>
        </w:tc>
        <w:tc>
          <w:tcPr>
            <w:tcW w:w="1134" w:type="dxa"/>
            <w:vAlign w:val="center"/>
          </w:tcPr>
          <w:p w14:paraId="3A11E1E4">
            <w:pPr>
              <w:spacing w:line="269" w:lineRule="auto"/>
              <w:jc w:val="center"/>
              <w:rPr>
                <w:rFonts w:hint="eastAsia" w:ascii="宋体" w:hAnsi="宋体" w:eastAsia="宋体" w:cs="Times New Roman"/>
                <w:sz w:val="24"/>
              </w:rPr>
            </w:pPr>
            <w:r>
              <w:rPr>
                <w:rFonts w:hint="eastAsia" w:ascii="宋体" w:hAnsi="宋体" w:eastAsia="宋体" w:cs="Times New Roman"/>
                <w:sz w:val="24"/>
              </w:rPr>
              <w:t>课程目标1、4</w:t>
            </w:r>
          </w:p>
        </w:tc>
        <w:tc>
          <w:tcPr>
            <w:tcW w:w="3260" w:type="dxa"/>
            <w:vAlign w:val="center"/>
          </w:tcPr>
          <w:p w14:paraId="5B13AB0A">
            <w:pPr>
              <w:spacing w:line="269" w:lineRule="auto"/>
              <w:jc w:val="left"/>
              <w:rPr>
                <w:rFonts w:hint="eastAsia" w:ascii="宋体" w:hAnsi="宋体" w:eastAsia="宋体" w:cs="Times New Roman"/>
                <w:sz w:val="24"/>
              </w:rPr>
            </w:pPr>
            <w:r>
              <w:rPr>
                <w:rFonts w:hint="eastAsia" w:ascii="宋体" w:hAnsi="宋体" w:eastAsia="宋体" w:cs="Times New Roman"/>
                <w:sz w:val="24"/>
              </w:rPr>
              <w:t>（1）了解课程与教学论的研究对象、任务和历史演变</w:t>
            </w:r>
          </w:p>
          <w:p w14:paraId="1C9575DA">
            <w:pPr>
              <w:spacing w:line="269" w:lineRule="auto"/>
              <w:jc w:val="left"/>
              <w:rPr>
                <w:rFonts w:hint="eastAsia" w:ascii="宋体" w:hAnsi="宋体" w:eastAsia="宋体" w:cs="Times New Roman"/>
                <w:sz w:val="24"/>
              </w:rPr>
            </w:pPr>
            <w:r>
              <w:rPr>
                <w:rFonts w:hint="eastAsia" w:ascii="宋体" w:hAnsi="宋体" w:eastAsia="宋体" w:cs="Times New Roman"/>
                <w:sz w:val="24"/>
              </w:rPr>
              <w:t>（2）理解课程与教学的关系</w:t>
            </w:r>
          </w:p>
          <w:p w14:paraId="2CD6F028">
            <w:pPr>
              <w:spacing w:line="269" w:lineRule="auto"/>
              <w:jc w:val="left"/>
              <w:rPr>
                <w:rFonts w:hint="eastAsia" w:ascii="宋体" w:hAnsi="宋体" w:eastAsia="宋体" w:cs="Times New Roman"/>
                <w:sz w:val="24"/>
              </w:rPr>
            </w:pPr>
            <w:r>
              <w:rPr>
                <w:rFonts w:hint="eastAsia" w:ascii="宋体" w:hAnsi="宋体" w:eastAsia="宋体" w:cs="Times New Roman"/>
                <w:sz w:val="24"/>
              </w:rPr>
              <w:t>（3）明确学习课程与教学论的意义</w:t>
            </w:r>
          </w:p>
          <w:p w14:paraId="4CC7FEB4">
            <w:pPr>
              <w:spacing w:line="269" w:lineRule="auto"/>
              <w:jc w:val="left"/>
              <w:rPr>
                <w:rFonts w:hint="eastAsia" w:ascii="宋体" w:hAnsi="宋体" w:eastAsia="宋体" w:cs="Times New Roman"/>
                <w:sz w:val="24"/>
              </w:rPr>
            </w:pPr>
            <w:r>
              <w:rPr>
                <w:rFonts w:hint="eastAsia" w:ascii="宋体" w:hAnsi="宋体" w:eastAsia="宋体" w:cs="Times New Roman"/>
                <w:sz w:val="24"/>
              </w:rPr>
              <w:t>（4）反思和改进学习方法</w:t>
            </w:r>
          </w:p>
        </w:tc>
        <w:tc>
          <w:tcPr>
            <w:tcW w:w="1560" w:type="dxa"/>
            <w:vAlign w:val="center"/>
          </w:tcPr>
          <w:p w14:paraId="2F8326DE">
            <w:pPr>
              <w:spacing w:line="269" w:lineRule="auto"/>
              <w:jc w:val="left"/>
              <w:rPr>
                <w:rFonts w:hint="eastAsia" w:ascii="宋体" w:hAnsi="宋体" w:eastAsia="宋体" w:cs="Times New Roman"/>
                <w:sz w:val="24"/>
              </w:rPr>
            </w:pPr>
            <w:r>
              <w:rPr>
                <w:rFonts w:hint="eastAsia" w:ascii="宋体" w:hAnsi="宋体" w:eastAsia="宋体" w:cs="Times New Roman"/>
                <w:sz w:val="24"/>
              </w:rPr>
              <w:t>1.多媒体教学2.课堂讨论</w:t>
            </w:r>
          </w:p>
          <w:p w14:paraId="5576E691">
            <w:pPr>
              <w:spacing w:line="269" w:lineRule="auto"/>
              <w:jc w:val="left"/>
              <w:rPr>
                <w:rFonts w:hint="eastAsia" w:ascii="宋体" w:hAnsi="宋体" w:eastAsia="宋体" w:cs="Times New Roman"/>
                <w:sz w:val="24"/>
              </w:rPr>
            </w:pPr>
            <w:r>
              <w:rPr>
                <w:rFonts w:hint="eastAsia" w:ascii="宋体" w:hAnsi="宋体" w:eastAsia="宋体" w:cs="Times New Roman"/>
                <w:sz w:val="24"/>
              </w:rPr>
              <w:t>3.课堂测验</w:t>
            </w:r>
          </w:p>
        </w:tc>
        <w:tc>
          <w:tcPr>
            <w:tcW w:w="438" w:type="dxa"/>
            <w:vAlign w:val="center"/>
          </w:tcPr>
          <w:p w14:paraId="4D78334C">
            <w:pPr>
              <w:spacing w:line="269" w:lineRule="auto"/>
              <w:jc w:val="center"/>
              <w:rPr>
                <w:rFonts w:hint="eastAsia" w:ascii="宋体" w:hAnsi="宋体" w:eastAsia="宋体" w:cs="Times New Roman"/>
                <w:sz w:val="24"/>
                <w:highlight w:val="yellow"/>
              </w:rPr>
            </w:pPr>
            <w:r>
              <w:rPr>
                <w:rFonts w:hint="eastAsia" w:ascii="宋体" w:hAnsi="宋体" w:eastAsia="宋体" w:cs="Times New Roman"/>
                <w:sz w:val="24"/>
              </w:rPr>
              <w:t>1</w:t>
            </w:r>
          </w:p>
        </w:tc>
      </w:tr>
      <w:tr w14:paraId="7488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CBBC206">
            <w:pPr>
              <w:spacing w:line="264" w:lineRule="auto"/>
              <w:jc w:val="center"/>
              <w:rPr>
                <w:rFonts w:hint="eastAsia" w:ascii="宋体" w:hAnsi="宋体" w:eastAsia="宋体" w:cs="Times New Roman"/>
                <w:sz w:val="24"/>
              </w:rPr>
            </w:pPr>
          </w:p>
        </w:tc>
        <w:tc>
          <w:tcPr>
            <w:tcW w:w="8093" w:type="dxa"/>
            <w:gridSpan w:val="5"/>
            <w:vAlign w:val="center"/>
          </w:tcPr>
          <w:p w14:paraId="3A0F3599">
            <w:pPr>
              <w:spacing w:line="269" w:lineRule="auto"/>
              <w:jc w:val="left"/>
              <w:rPr>
                <w:rFonts w:hint="eastAsia" w:ascii="宋体" w:hAnsi="宋体" w:eastAsia="宋体" w:cs="Times New Roman"/>
                <w:sz w:val="24"/>
              </w:rPr>
            </w:pPr>
            <w:r>
              <w:rPr>
                <w:rFonts w:hint="eastAsia" w:ascii="宋体" w:hAnsi="宋体" w:eastAsia="宋体" w:cs="Times New Roman"/>
                <w:b/>
                <w:sz w:val="24"/>
              </w:rPr>
              <w:t>课程思政目标：</w:t>
            </w:r>
            <w:r>
              <w:rPr>
                <w:rFonts w:hint="eastAsia" w:ascii="宋体" w:hAnsi="宋体" w:eastAsia="宋体" w:cs="Times New Roman"/>
                <w:sz w:val="24"/>
              </w:rPr>
              <w:t>通过学习课程与教学的基本概念、理论、原理，理解课程和教学是学校教育系统的核心要素，增进将其转化为社会主义核心价值观具体化、生动化的有效教学载体的教学意识。</w:t>
            </w:r>
          </w:p>
        </w:tc>
      </w:tr>
    </w:tbl>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0A6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21F6441">
            <w:pPr>
              <w:spacing w:line="264" w:lineRule="auto"/>
              <w:jc w:val="center"/>
              <w:rPr>
                <w:rFonts w:hint="eastAsia" w:ascii="宋体" w:hAnsi="宋体" w:eastAsia="宋体" w:cs="Times New Roman"/>
                <w:kern w:val="0"/>
                <w:sz w:val="24"/>
              </w:rPr>
            </w:pPr>
            <w:r>
              <w:rPr>
                <w:rFonts w:hint="eastAsia" w:ascii="宋体" w:hAnsi="宋体" w:eastAsia="宋体" w:cs="Times New Roman"/>
                <w:kern w:val="0"/>
                <w:sz w:val="24"/>
              </w:rPr>
              <w:t>（二）课程的基本理论</w:t>
            </w:r>
          </w:p>
        </w:tc>
        <w:tc>
          <w:tcPr>
            <w:tcW w:w="1701" w:type="dxa"/>
            <w:vAlign w:val="center"/>
          </w:tcPr>
          <w:p w14:paraId="2955C9E3">
            <w:pPr>
              <w:spacing w:line="269" w:lineRule="auto"/>
              <w:jc w:val="left"/>
              <w:rPr>
                <w:rFonts w:hint="eastAsia" w:ascii="宋体" w:hAnsi="宋体" w:eastAsia="宋体" w:cs="Times New Roman"/>
                <w:kern w:val="0"/>
                <w:sz w:val="24"/>
              </w:rPr>
            </w:pPr>
            <w:r>
              <w:rPr>
                <w:rFonts w:hint="eastAsia" w:ascii="宋体" w:hAnsi="宋体" w:eastAsia="宋体" w:cs="Times New Roman"/>
                <w:kern w:val="0"/>
                <w:sz w:val="24"/>
              </w:rPr>
              <w:t>（1）课程的基本概念</w:t>
            </w:r>
          </w:p>
          <w:p w14:paraId="5B2ECCC0">
            <w:pPr>
              <w:spacing w:line="269" w:lineRule="auto"/>
              <w:jc w:val="left"/>
              <w:rPr>
                <w:rFonts w:hint="eastAsia" w:ascii="宋体" w:hAnsi="宋体" w:eastAsia="宋体" w:cs="Times New Roman"/>
                <w:kern w:val="0"/>
                <w:sz w:val="24"/>
              </w:rPr>
            </w:pPr>
            <w:r>
              <w:rPr>
                <w:rFonts w:hint="eastAsia" w:ascii="宋体" w:hAnsi="宋体" w:eastAsia="宋体" w:cs="Times New Roman"/>
                <w:kern w:val="0"/>
                <w:sz w:val="24"/>
              </w:rPr>
              <w:t>（2）课程的历史发展</w:t>
            </w:r>
          </w:p>
          <w:p w14:paraId="2D71BFF0">
            <w:pPr>
              <w:spacing w:line="269" w:lineRule="auto"/>
              <w:jc w:val="left"/>
              <w:rPr>
                <w:rFonts w:hint="eastAsia" w:ascii="宋体" w:hAnsi="宋体" w:eastAsia="宋体" w:cs="Times New Roman"/>
                <w:kern w:val="0"/>
                <w:sz w:val="24"/>
              </w:rPr>
            </w:pPr>
            <w:r>
              <w:rPr>
                <w:rFonts w:hint="eastAsia" w:ascii="宋体" w:hAnsi="宋体" w:eastAsia="宋体" w:cs="Times New Roman"/>
                <w:kern w:val="0"/>
                <w:sz w:val="24"/>
              </w:rPr>
              <w:t>（3）影响课程发展的基本因素</w:t>
            </w:r>
          </w:p>
        </w:tc>
        <w:tc>
          <w:tcPr>
            <w:tcW w:w="1134" w:type="dxa"/>
            <w:vAlign w:val="center"/>
          </w:tcPr>
          <w:p w14:paraId="7FDD1A06">
            <w:pPr>
              <w:spacing w:line="269" w:lineRule="auto"/>
              <w:jc w:val="center"/>
              <w:rPr>
                <w:rFonts w:hint="eastAsia" w:ascii="宋体" w:hAnsi="宋体" w:eastAsia="宋体" w:cs="Times New Roman"/>
                <w:kern w:val="0"/>
                <w:sz w:val="24"/>
              </w:rPr>
            </w:pPr>
            <w:r>
              <w:rPr>
                <w:rFonts w:hint="eastAsia" w:ascii="宋体" w:hAnsi="宋体" w:eastAsia="宋体" w:cs="Times New Roman"/>
                <w:kern w:val="0"/>
                <w:sz w:val="24"/>
              </w:rPr>
              <w:t>课程目标1、2、4</w:t>
            </w:r>
          </w:p>
        </w:tc>
        <w:tc>
          <w:tcPr>
            <w:tcW w:w="3260" w:type="dxa"/>
            <w:vAlign w:val="center"/>
          </w:tcPr>
          <w:p w14:paraId="603C4F17">
            <w:pPr>
              <w:spacing w:line="269" w:lineRule="auto"/>
              <w:jc w:val="left"/>
              <w:rPr>
                <w:rFonts w:hint="eastAsia" w:ascii="宋体" w:hAnsi="宋体" w:eastAsia="宋体" w:cs="Times New Roman"/>
                <w:kern w:val="0"/>
                <w:sz w:val="24"/>
              </w:rPr>
            </w:pPr>
            <w:r>
              <w:rPr>
                <w:rFonts w:hint="eastAsia" w:ascii="宋体" w:hAnsi="宋体" w:eastAsia="宋体" w:cs="Times New Roman"/>
                <w:kern w:val="0"/>
                <w:sz w:val="24"/>
              </w:rPr>
              <w:t>（1）掌握课程概念，学会用自己的语言来解释课程</w:t>
            </w:r>
          </w:p>
          <w:p w14:paraId="04B30964">
            <w:pPr>
              <w:spacing w:line="269" w:lineRule="auto"/>
              <w:jc w:val="left"/>
              <w:rPr>
                <w:rFonts w:hint="eastAsia" w:ascii="宋体" w:hAnsi="宋体" w:eastAsia="宋体" w:cs="Times New Roman"/>
                <w:kern w:val="0"/>
                <w:sz w:val="24"/>
              </w:rPr>
            </w:pPr>
            <w:r>
              <w:rPr>
                <w:rFonts w:hint="eastAsia" w:ascii="宋体" w:hAnsi="宋体" w:eastAsia="宋体" w:cs="Times New Roman"/>
                <w:kern w:val="0"/>
                <w:sz w:val="24"/>
              </w:rPr>
              <w:t>（2）了解课程发展的历史概况</w:t>
            </w:r>
          </w:p>
          <w:p w14:paraId="637BE13F">
            <w:pPr>
              <w:spacing w:line="269" w:lineRule="auto"/>
              <w:jc w:val="left"/>
              <w:rPr>
                <w:rFonts w:hint="eastAsia" w:ascii="宋体" w:hAnsi="宋体" w:eastAsia="宋体" w:cs="Times New Roman"/>
                <w:kern w:val="0"/>
                <w:sz w:val="24"/>
              </w:rPr>
            </w:pPr>
            <w:r>
              <w:rPr>
                <w:rFonts w:hint="eastAsia" w:ascii="宋体" w:hAnsi="宋体" w:eastAsia="宋体" w:cs="Times New Roman"/>
                <w:kern w:val="0"/>
                <w:sz w:val="24"/>
              </w:rPr>
              <w:t>（3）熟悉影响课程发展的基本因素</w:t>
            </w:r>
          </w:p>
          <w:p w14:paraId="227D1644">
            <w:pPr>
              <w:spacing w:line="269" w:lineRule="auto"/>
              <w:jc w:val="left"/>
              <w:rPr>
                <w:rFonts w:hint="eastAsia" w:ascii="宋体" w:hAnsi="宋体" w:eastAsia="宋体" w:cs="Times New Roman"/>
                <w:kern w:val="0"/>
                <w:sz w:val="24"/>
              </w:rPr>
            </w:pPr>
            <w:r>
              <w:rPr>
                <w:rFonts w:hint="eastAsia" w:ascii="宋体" w:hAnsi="宋体" w:eastAsia="宋体" w:cs="Times New Roman"/>
                <w:kern w:val="0"/>
                <w:sz w:val="24"/>
              </w:rPr>
              <w:t>（4）了解课程理论所涉及的基本问题和基础知识</w:t>
            </w:r>
          </w:p>
        </w:tc>
        <w:tc>
          <w:tcPr>
            <w:tcW w:w="1560" w:type="dxa"/>
            <w:vAlign w:val="center"/>
          </w:tcPr>
          <w:p w14:paraId="33CBE327">
            <w:pPr>
              <w:spacing w:line="269" w:lineRule="auto"/>
              <w:jc w:val="left"/>
              <w:rPr>
                <w:rFonts w:hint="eastAsia" w:ascii="宋体" w:hAnsi="宋体" w:eastAsia="宋体" w:cs="Times New Roman"/>
                <w:kern w:val="0"/>
                <w:sz w:val="24"/>
              </w:rPr>
            </w:pPr>
            <w:r>
              <w:rPr>
                <w:rFonts w:hint="eastAsia" w:ascii="宋体" w:hAnsi="宋体" w:eastAsia="宋体" w:cs="Times New Roman"/>
                <w:kern w:val="0"/>
                <w:sz w:val="24"/>
              </w:rPr>
              <w:t>1.多媒体教学2.课堂讨论</w:t>
            </w:r>
          </w:p>
          <w:p w14:paraId="2FD62EB4">
            <w:pPr>
              <w:spacing w:line="269" w:lineRule="auto"/>
              <w:jc w:val="left"/>
              <w:rPr>
                <w:rFonts w:hint="eastAsia" w:ascii="宋体" w:hAnsi="宋体" w:eastAsia="宋体" w:cs="Times New Roman"/>
                <w:kern w:val="0"/>
                <w:sz w:val="24"/>
              </w:rPr>
            </w:pPr>
            <w:r>
              <w:rPr>
                <w:rFonts w:hint="eastAsia" w:ascii="宋体" w:hAnsi="宋体" w:eastAsia="宋体" w:cs="Times New Roman"/>
                <w:kern w:val="0"/>
                <w:sz w:val="24"/>
              </w:rPr>
              <w:t>3.课堂测验</w:t>
            </w:r>
          </w:p>
        </w:tc>
        <w:tc>
          <w:tcPr>
            <w:tcW w:w="438" w:type="dxa"/>
            <w:vAlign w:val="center"/>
          </w:tcPr>
          <w:p w14:paraId="46CA7992">
            <w:pPr>
              <w:spacing w:line="269" w:lineRule="auto"/>
              <w:jc w:val="center"/>
              <w:rPr>
                <w:rFonts w:hint="eastAsia" w:ascii="宋体" w:hAnsi="宋体" w:eastAsia="宋体" w:cs="Times New Roman"/>
                <w:kern w:val="0"/>
                <w:sz w:val="24"/>
              </w:rPr>
            </w:pPr>
            <w:r>
              <w:rPr>
                <w:rFonts w:hint="eastAsia" w:ascii="宋体" w:hAnsi="宋体" w:eastAsia="宋体" w:cs="Times New Roman"/>
                <w:kern w:val="0"/>
                <w:sz w:val="24"/>
              </w:rPr>
              <w:t>2</w:t>
            </w:r>
          </w:p>
        </w:tc>
      </w:tr>
      <w:tr w14:paraId="4C75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4B3680C">
            <w:pPr>
              <w:spacing w:line="264" w:lineRule="auto"/>
              <w:jc w:val="center"/>
              <w:rPr>
                <w:rFonts w:hint="eastAsia" w:ascii="宋体" w:hAnsi="宋体" w:eastAsia="宋体" w:cs="Times New Roman"/>
                <w:color w:val="000000"/>
                <w:kern w:val="0"/>
                <w:sz w:val="24"/>
              </w:rPr>
            </w:pPr>
          </w:p>
        </w:tc>
        <w:tc>
          <w:tcPr>
            <w:tcW w:w="8093" w:type="dxa"/>
            <w:gridSpan w:val="5"/>
            <w:vAlign w:val="center"/>
          </w:tcPr>
          <w:p w14:paraId="21AB8760">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课程思政目标：</w:t>
            </w:r>
            <w:r>
              <w:rPr>
                <w:rFonts w:hint="eastAsia" w:ascii="宋体" w:hAnsi="宋体" w:eastAsia="宋体" w:cs="Times New Roman"/>
                <w:color w:val="000000"/>
                <w:kern w:val="0"/>
                <w:sz w:val="24"/>
              </w:rPr>
              <w:t>通过了解课程的概念和历史发展，产生强烈的文化认同感和民族自豪感，又能够尊重不同民族和文化的差异。能够有意识的发掘和创造性的利用课程中蕴含的文化基因和价值范式。</w:t>
            </w:r>
          </w:p>
        </w:tc>
      </w:tr>
    </w:tbl>
    <w:tbl>
      <w:tblPr>
        <w:tblStyle w:val="19"/>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38C6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944950D">
            <w:pPr>
              <w:spacing w:line="264"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（三）课程目标与课程内容</w:t>
            </w:r>
          </w:p>
        </w:tc>
        <w:tc>
          <w:tcPr>
            <w:tcW w:w="1701" w:type="dxa"/>
            <w:vAlign w:val="center"/>
          </w:tcPr>
          <w:p w14:paraId="6716E89D">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（1）课程目标</w:t>
            </w:r>
          </w:p>
          <w:p w14:paraId="74E6C784">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（2）课程内容</w:t>
            </w:r>
          </w:p>
        </w:tc>
        <w:tc>
          <w:tcPr>
            <w:tcW w:w="1134" w:type="dxa"/>
            <w:vAlign w:val="center"/>
          </w:tcPr>
          <w:p w14:paraId="54811627">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课程目标1、4</w:t>
            </w:r>
          </w:p>
        </w:tc>
        <w:tc>
          <w:tcPr>
            <w:tcW w:w="3260" w:type="dxa"/>
            <w:vAlign w:val="center"/>
          </w:tcPr>
          <w:p w14:paraId="773BB21A">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（1）明确课程目标的内涵取向及其确定的依据</w:t>
            </w:r>
          </w:p>
          <w:p w14:paraId="482C8AC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（2）掌握课程内容的取向及其选择与组织原则</w:t>
            </w:r>
          </w:p>
          <w:p w14:paraId="6FD4CD88">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（3）了解当代小学教育课程的目标与课程内容</w:t>
            </w:r>
          </w:p>
        </w:tc>
        <w:tc>
          <w:tcPr>
            <w:tcW w:w="1560" w:type="dxa"/>
            <w:vAlign w:val="center"/>
          </w:tcPr>
          <w:p w14:paraId="51DDC10F">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1.多媒体教学2.课堂讨论</w:t>
            </w:r>
          </w:p>
          <w:p w14:paraId="43443098">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3.课堂测验</w:t>
            </w:r>
          </w:p>
        </w:tc>
        <w:tc>
          <w:tcPr>
            <w:tcW w:w="438" w:type="dxa"/>
            <w:vAlign w:val="center"/>
          </w:tcPr>
          <w:p w14:paraId="2A091063">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w:t>
            </w:r>
          </w:p>
        </w:tc>
      </w:tr>
      <w:tr w14:paraId="6D50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D424BA3">
            <w:pPr>
              <w:spacing w:line="264" w:lineRule="auto"/>
              <w:jc w:val="center"/>
              <w:rPr>
                <w:rFonts w:hint="eastAsia" w:ascii="宋体" w:hAnsi="宋体" w:eastAsia="宋体" w:cs="Times New Roman"/>
                <w:color w:val="000000"/>
                <w:kern w:val="0"/>
                <w:sz w:val="24"/>
              </w:rPr>
            </w:pPr>
          </w:p>
        </w:tc>
        <w:tc>
          <w:tcPr>
            <w:tcW w:w="8093" w:type="dxa"/>
            <w:gridSpan w:val="5"/>
            <w:vAlign w:val="center"/>
          </w:tcPr>
          <w:p w14:paraId="635C7711">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课程思政目标：</w:t>
            </w:r>
            <w:r>
              <w:rPr>
                <w:rFonts w:hint="eastAsia" w:ascii="宋体" w:hAnsi="宋体" w:eastAsia="宋体" w:cs="Times New Roman"/>
                <w:color w:val="000000"/>
                <w:kern w:val="0"/>
                <w:sz w:val="24"/>
              </w:rPr>
              <w:t>通过课程目标与课程内容的学习，明确新课程的基本价值取向是“为了中华民族的复兴，为了每一个学生的发展”，以中国特色社会主义思想为指导，坚持知识传授与价值引领相结合，在顶层设计上要把思想政治培养作为课程教学的目标放在首位，并与专业发展教育相结合。</w:t>
            </w:r>
          </w:p>
        </w:tc>
      </w:tr>
    </w:tbl>
    <w:tbl>
      <w:tblPr>
        <w:tblStyle w:val="20"/>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186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BE169BC">
            <w:pPr>
              <w:spacing w:line="264"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（四）课程实施与课程评价</w:t>
            </w:r>
          </w:p>
        </w:tc>
        <w:tc>
          <w:tcPr>
            <w:tcW w:w="1701" w:type="dxa"/>
            <w:vAlign w:val="center"/>
          </w:tcPr>
          <w:p w14:paraId="21A22166">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（1）课程变革的基本过程</w:t>
            </w:r>
          </w:p>
          <w:p w14:paraId="63E80032">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（2）课程实施的三种取向</w:t>
            </w:r>
          </w:p>
          <w:p w14:paraId="565C7C91">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（3）课程实施的基本过程</w:t>
            </w:r>
          </w:p>
          <w:p w14:paraId="3523B0ED">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（4）课程评价的三种取向</w:t>
            </w:r>
          </w:p>
        </w:tc>
        <w:tc>
          <w:tcPr>
            <w:tcW w:w="1134" w:type="dxa"/>
            <w:vAlign w:val="center"/>
          </w:tcPr>
          <w:p w14:paraId="35473D4E">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课程目标3、4</w:t>
            </w:r>
          </w:p>
        </w:tc>
        <w:tc>
          <w:tcPr>
            <w:tcW w:w="3260" w:type="dxa"/>
            <w:vAlign w:val="center"/>
          </w:tcPr>
          <w:p w14:paraId="09079E93">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（1）明确课程实施的内涵</w:t>
            </w:r>
          </w:p>
          <w:p w14:paraId="045B1A9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（2）了解课程实施的取向和途径及影响因素</w:t>
            </w:r>
          </w:p>
          <w:p w14:paraId="3617B446">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（3）熟悉课程实施的基本过程</w:t>
            </w:r>
          </w:p>
          <w:p w14:paraId="466BBBB8">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（4）掌握课程评价的三种取向</w:t>
            </w:r>
          </w:p>
        </w:tc>
        <w:tc>
          <w:tcPr>
            <w:tcW w:w="1560" w:type="dxa"/>
            <w:vAlign w:val="center"/>
          </w:tcPr>
          <w:p w14:paraId="2E0D56F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1.多媒体教学2.课堂讨论</w:t>
            </w:r>
          </w:p>
          <w:p w14:paraId="50CE0265">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3.课堂测验</w:t>
            </w:r>
          </w:p>
        </w:tc>
        <w:tc>
          <w:tcPr>
            <w:tcW w:w="438" w:type="dxa"/>
            <w:vAlign w:val="center"/>
          </w:tcPr>
          <w:p w14:paraId="0A3EAD2B">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w:t>
            </w:r>
          </w:p>
        </w:tc>
      </w:tr>
      <w:tr w14:paraId="516E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CEA9153">
            <w:pPr>
              <w:spacing w:line="264" w:lineRule="auto"/>
              <w:jc w:val="center"/>
              <w:rPr>
                <w:rFonts w:hint="eastAsia" w:ascii="宋体" w:hAnsi="宋体" w:eastAsia="宋体" w:cs="Times New Roman"/>
                <w:color w:val="000000"/>
                <w:kern w:val="0"/>
                <w:sz w:val="24"/>
              </w:rPr>
            </w:pPr>
          </w:p>
        </w:tc>
        <w:tc>
          <w:tcPr>
            <w:tcW w:w="8093" w:type="dxa"/>
            <w:gridSpan w:val="5"/>
            <w:vAlign w:val="center"/>
          </w:tcPr>
          <w:p w14:paraId="3DD5E2E9">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课程思政目标：</w:t>
            </w:r>
            <w:r>
              <w:rPr>
                <w:rFonts w:hint="eastAsia" w:ascii="宋体" w:hAnsi="宋体" w:eastAsia="宋体" w:cs="Times New Roman"/>
                <w:color w:val="000000"/>
                <w:kern w:val="0"/>
                <w:sz w:val="24"/>
              </w:rPr>
              <w:t>通过课程实施和课程评价的学习，懂得必须尊重每一个学生个性发展的完整性、独立性、具体性和特殊性，树立正确的儿童观，把关爱自然、追求人与自然的可持续发展作为价值追求。</w:t>
            </w:r>
          </w:p>
        </w:tc>
      </w:tr>
    </w:tbl>
    <w:tbl>
      <w:tblPr>
        <w:tblStyle w:val="2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259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5F8259C">
            <w:pPr>
              <w:spacing w:line="264"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（五）课程开发与校本课程</w:t>
            </w:r>
          </w:p>
        </w:tc>
        <w:tc>
          <w:tcPr>
            <w:tcW w:w="1701" w:type="dxa"/>
            <w:vAlign w:val="center"/>
          </w:tcPr>
          <w:p w14:paraId="3BC78838">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（1）课程开发的一般原理</w:t>
            </w:r>
          </w:p>
          <w:p w14:paraId="70C1AF2C">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（2）校本课程开发</w:t>
            </w:r>
          </w:p>
        </w:tc>
        <w:tc>
          <w:tcPr>
            <w:tcW w:w="1134" w:type="dxa"/>
            <w:vAlign w:val="center"/>
          </w:tcPr>
          <w:p w14:paraId="516A1B3A">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课程目标1、3</w:t>
            </w:r>
          </w:p>
        </w:tc>
        <w:tc>
          <w:tcPr>
            <w:tcW w:w="3260" w:type="dxa"/>
            <w:vAlign w:val="center"/>
          </w:tcPr>
          <w:p w14:paraId="6EA35DCE">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（1）了解课程开发的概念、具体机制及模式</w:t>
            </w:r>
          </w:p>
          <w:p w14:paraId="0C528A98">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（2）认识校本课程开发的基本特征、意义</w:t>
            </w:r>
          </w:p>
          <w:p w14:paraId="559BAC4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（3）初步掌握课程开发的基本技术</w:t>
            </w:r>
          </w:p>
        </w:tc>
        <w:tc>
          <w:tcPr>
            <w:tcW w:w="1560" w:type="dxa"/>
            <w:vAlign w:val="center"/>
          </w:tcPr>
          <w:p w14:paraId="502D0F6F">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1.多媒体教学2.课堂讨论</w:t>
            </w:r>
          </w:p>
          <w:p w14:paraId="6BB607E3">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3.课堂测验</w:t>
            </w:r>
          </w:p>
        </w:tc>
        <w:tc>
          <w:tcPr>
            <w:tcW w:w="438" w:type="dxa"/>
            <w:vAlign w:val="center"/>
          </w:tcPr>
          <w:p w14:paraId="41598541">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w:t>
            </w:r>
          </w:p>
        </w:tc>
      </w:tr>
      <w:tr w14:paraId="3CCB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B911A55">
            <w:pPr>
              <w:spacing w:line="264" w:lineRule="auto"/>
              <w:jc w:val="center"/>
              <w:rPr>
                <w:rFonts w:hint="eastAsia" w:ascii="宋体" w:hAnsi="宋体" w:eastAsia="宋体" w:cs="Times New Roman"/>
                <w:color w:val="000000"/>
                <w:kern w:val="0"/>
                <w:sz w:val="24"/>
              </w:rPr>
            </w:pPr>
          </w:p>
        </w:tc>
        <w:tc>
          <w:tcPr>
            <w:tcW w:w="8093" w:type="dxa"/>
            <w:gridSpan w:val="5"/>
            <w:vAlign w:val="center"/>
          </w:tcPr>
          <w:p w14:paraId="38AC15C2">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课程思政目标：</w:t>
            </w:r>
            <w:r>
              <w:rPr>
                <w:rFonts w:hint="eastAsia" w:ascii="宋体" w:hAnsi="宋体" w:eastAsia="宋体" w:cs="Times New Roman"/>
                <w:color w:val="000000"/>
                <w:kern w:val="0"/>
                <w:sz w:val="24"/>
              </w:rPr>
              <w:t>通过校本课程开发的学习，能够积极主动将中华优秀传统文化融入课程教学，加强革命文化和社会主义先进文化教育，厚植爱国主义情怀，传承中华优秀传统文化，弘扬以爱国主义为核心的民族精神和以改革创新为核心的时代精神。</w:t>
            </w:r>
          </w:p>
        </w:tc>
      </w:tr>
    </w:tbl>
    <w:tbl>
      <w:tblPr>
        <w:tblStyle w:val="2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088C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47E1630">
            <w:pPr>
              <w:spacing w:line="264"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（六）教学的基本理论</w:t>
            </w:r>
          </w:p>
        </w:tc>
        <w:tc>
          <w:tcPr>
            <w:tcW w:w="1701" w:type="dxa"/>
            <w:vAlign w:val="center"/>
          </w:tcPr>
          <w:p w14:paraId="5426145D">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（1）教学概念与教学本质</w:t>
            </w:r>
          </w:p>
          <w:p w14:paraId="53E82753">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（2）当代主要教学理论</w:t>
            </w:r>
          </w:p>
          <w:p w14:paraId="0C397871">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（3）现代教学及其特征、原则</w:t>
            </w:r>
          </w:p>
        </w:tc>
        <w:tc>
          <w:tcPr>
            <w:tcW w:w="1134" w:type="dxa"/>
            <w:vAlign w:val="center"/>
          </w:tcPr>
          <w:p w14:paraId="13CE4000">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课程目标1、2、4</w:t>
            </w:r>
          </w:p>
        </w:tc>
        <w:tc>
          <w:tcPr>
            <w:tcW w:w="3260" w:type="dxa"/>
            <w:vAlign w:val="center"/>
          </w:tcPr>
          <w:p w14:paraId="6A79F546">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（1）掌握教学、现代教学和优化教学等概念</w:t>
            </w:r>
          </w:p>
          <w:p w14:paraId="63C35DE3">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（2）了解教学发展历程及现代教学的特征</w:t>
            </w:r>
          </w:p>
          <w:p w14:paraId="58F5B70A">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（3）探讨教学的本质</w:t>
            </w:r>
          </w:p>
          <w:p w14:paraId="657BD1D9">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（4）掌握优化教学的策略</w:t>
            </w:r>
          </w:p>
        </w:tc>
        <w:tc>
          <w:tcPr>
            <w:tcW w:w="1560" w:type="dxa"/>
            <w:vAlign w:val="center"/>
          </w:tcPr>
          <w:p w14:paraId="5A2E5C2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1.多媒体教学2.课堂讨论</w:t>
            </w:r>
          </w:p>
          <w:p w14:paraId="3F923AB4">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3.课堂测验</w:t>
            </w:r>
          </w:p>
        </w:tc>
        <w:tc>
          <w:tcPr>
            <w:tcW w:w="438" w:type="dxa"/>
            <w:vAlign w:val="center"/>
          </w:tcPr>
          <w:p w14:paraId="67E2F2DD">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w:t>
            </w:r>
          </w:p>
        </w:tc>
      </w:tr>
      <w:tr w14:paraId="3E05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E4B5F4C">
            <w:pPr>
              <w:spacing w:line="264" w:lineRule="auto"/>
              <w:jc w:val="center"/>
              <w:rPr>
                <w:rFonts w:hint="eastAsia" w:ascii="宋体" w:hAnsi="宋体" w:eastAsia="宋体" w:cs="Times New Roman"/>
                <w:color w:val="000000"/>
                <w:kern w:val="0"/>
                <w:sz w:val="24"/>
              </w:rPr>
            </w:pPr>
          </w:p>
        </w:tc>
        <w:tc>
          <w:tcPr>
            <w:tcW w:w="8093" w:type="dxa"/>
            <w:gridSpan w:val="5"/>
            <w:vAlign w:val="center"/>
          </w:tcPr>
          <w:p w14:paraId="2C93D2A8">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课程思政目标：</w:t>
            </w:r>
            <w:r>
              <w:rPr>
                <w:rFonts w:hint="eastAsia" w:ascii="宋体" w:hAnsi="宋体" w:eastAsia="宋体" w:cs="Times New Roman"/>
                <w:color w:val="000000"/>
                <w:kern w:val="0"/>
                <w:sz w:val="24"/>
              </w:rPr>
              <w:t>通过学习教学的基本理论、发展历程和教学的本质等内容，明确教学是学校的中心工作，是实现教育目的的基本途径，增进目标感与使命感，坚定培养全面发展的人的教育目标，坚持以教学为主，坚定职业理想，为培养全面发展的社会主义建设者和接班人投身教育事业。</w:t>
            </w:r>
          </w:p>
        </w:tc>
      </w:tr>
      <w:tr w14:paraId="3026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94D156">
            <w:pPr>
              <w:spacing w:line="264"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（七）教学目标</w:t>
            </w:r>
          </w:p>
        </w:tc>
        <w:tc>
          <w:tcPr>
            <w:tcW w:w="1701" w:type="dxa"/>
            <w:vAlign w:val="center"/>
          </w:tcPr>
          <w:p w14:paraId="242FCAE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（1）教学目标概述</w:t>
            </w:r>
          </w:p>
          <w:p w14:paraId="5887C0BB">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（2）教学目标分类</w:t>
            </w:r>
          </w:p>
          <w:p w14:paraId="6AF9A45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（3）教学目标设计</w:t>
            </w:r>
          </w:p>
        </w:tc>
        <w:tc>
          <w:tcPr>
            <w:tcW w:w="1134" w:type="dxa"/>
            <w:vAlign w:val="center"/>
          </w:tcPr>
          <w:p w14:paraId="062298B7">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课程目标1、2、4</w:t>
            </w:r>
          </w:p>
        </w:tc>
        <w:tc>
          <w:tcPr>
            <w:tcW w:w="3260" w:type="dxa"/>
            <w:vAlign w:val="center"/>
          </w:tcPr>
          <w:p w14:paraId="784968BD">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（1）了解教学目标的概念及其功能</w:t>
            </w:r>
          </w:p>
          <w:p w14:paraId="334406B5">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（2）掌握教学目标的分类、教学目标设计的基本原则、教学目标的设计的步骤与方法。</w:t>
            </w:r>
          </w:p>
          <w:p w14:paraId="53C224E5">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（3）学会设计小学课程的教学目标</w:t>
            </w:r>
          </w:p>
        </w:tc>
        <w:tc>
          <w:tcPr>
            <w:tcW w:w="1560" w:type="dxa"/>
            <w:vAlign w:val="center"/>
          </w:tcPr>
          <w:p w14:paraId="5A0E488C">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1.多媒体教学2.课堂讨论</w:t>
            </w:r>
          </w:p>
          <w:p w14:paraId="7101F72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3.课堂测验</w:t>
            </w:r>
          </w:p>
        </w:tc>
        <w:tc>
          <w:tcPr>
            <w:tcW w:w="438" w:type="dxa"/>
            <w:vAlign w:val="center"/>
          </w:tcPr>
          <w:p w14:paraId="73737A44">
            <w:pPr>
              <w:spacing w:line="269" w:lineRule="auto"/>
              <w:jc w:val="center"/>
              <w:rPr>
                <w:rFonts w:hint="eastAsia" w:ascii="宋体" w:hAnsi="宋体" w:eastAsia="宋体" w:cs="Times New Roman"/>
                <w:color w:val="000000"/>
                <w:kern w:val="0"/>
                <w:sz w:val="24"/>
                <w:lang w:val="en-US" w:eastAsia="zh-CN"/>
              </w:rPr>
            </w:pPr>
            <w:r>
              <w:rPr>
                <w:rFonts w:hint="eastAsia" w:ascii="宋体" w:hAnsi="宋体" w:eastAsia="宋体" w:cs="Times New Roman"/>
                <w:color w:val="000000"/>
                <w:kern w:val="0"/>
                <w:sz w:val="24"/>
                <w:lang w:val="en-US" w:eastAsia="zh-CN"/>
              </w:rPr>
              <w:t>4</w:t>
            </w:r>
          </w:p>
        </w:tc>
      </w:tr>
      <w:tr w14:paraId="2727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1CD42A">
            <w:pPr>
              <w:spacing w:line="264" w:lineRule="auto"/>
              <w:jc w:val="center"/>
              <w:rPr>
                <w:rFonts w:hint="eastAsia" w:ascii="宋体" w:hAnsi="宋体" w:eastAsia="宋体" w:cs="Times New Roman"/>
                <w:color w:val="000000"/>
                <w:kern w:val="0"/>
                <w:sz w:val="24"/>
              </w:rPr>
            </w:pPr>
          </w:p>
        </w:tc>
        <w:tc>
          <w:tcPr>
            <w:tcW w:w="8093" w:type="dxa"/>
            <w:gridSpan w:val="5"/>
            <w:vAlign w:val="center"/>
          </w:tcPr>
          <w:p w14:paraId="7D044065">
            <w:pPr>
              <w:spacing w:line="269" w:lineRule="auto"/>
              <w:jc w:val="left"/>
              <w:rPr>
                <w:rFonts w:hint="eastAsia" w:ascii="宋体" w:hAnsi="宋体" w:eastAsia="宋体" w:cs="Times New Roman"/>
                <w:b/>
                <w:color w:val="000000"/>
                <w:kern w:val="0"/>
                <w:sz w:val="24"/>
              </w:rPr>
            </w:pPr>
            <w:r>
              <w:rPr>
                <w:rFonts w:hint="eastAsia" w:ascii="宋体" w:hAnsi="宋体" w:eastAsia="宋体" w:cs="Times New Roman"/>
                <w:b/>
                <w:color w:val="000000"/>
                <w:kern w:val="0"/>
                <w:sz w:val="24"/>
              </w:rPr>
              <w:t>课程思政目标：</w:t>
            </w:r>
            <w:r>
              <w:rPr>
                <w:rFonts w:hint="eastAsia" w:ascii="宋体" w:hAnsi="宋体" w:eastAsia="宋体" w:cs="Times New Roman"/>
                <w:color w:val="000000"/>
                <w:kern w:val="0"/>
                <w:sz w:val="24"/>
              </w:rPr>
              <w:t>通过学习，坚持正确的政治方向，能够由小到大、由局部到整体，形成强烈的目标感、使命感，明确自身的社会职责与国家使命，为国育人、为党育人。深刻理解习近平关于教育的论述：教育要“培养什么人、怎样培养人、为谁培养人”的问题。</w:t>
            </w:r>
          </w:p>
        </w:tc>
      </w:tr>
    </w:tbl>
    <w:tbl>
      <w:tblPr>
        <w:tblStyle w:val="2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0AD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EA1EA93">
            <w:pPr>
              <w:spacing w:line="264"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（八）教学模式与方法</w:t>
            </w:r>
          </w:p>
        </w:tc>
        <w:tc>
          <w:tcPr>
            <w:tcW w:w="1701" w:type="dxa"/>
            <w:vAlign w:val="center"/>
          </w:tcPr>
          <w:p w14:paraId="14B0E006">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（1）教学模式概述与类型</w:t>
            </w:r>
          </w:p>
          <w:p w14:paraId="608EF8C1">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（2）教学方法的概念及其分类</w:t>
            </w:r>
          </w:p>
          <w:p w14:paraId="67E9F541">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（3）小学常用教学法及其选择与运用</w:t>
            </w:r>
          </w:p>
        </w:tc>
        <w:tc>
          <w:tcPr>
            <w:tcW w:w="1134" w:type="dxa"/>
            <w:vAlign w:val="center"/>
          </w:tcPr>
          <w:p w14:paraId="1572A318">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课程目标1、2、3、4</w:t>
            </w:r>
          </w:p>
        </w:tc>
        <w:tc>
          <w:tcPr>
            <w:tcW w:w="3260" w:type="dxa"/>
            <w:vAlign w:val="center"/>
          </w:tcPr>
          <w:p w14:paraId="69E79972">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（1）认识教学模式和教学方法的概念</w:t>
            </w:r>
          </w:p>
          <w:p w14:paraId="74F6A06C">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（2）了解教学模式发展的历史、现状和趋势，国内外教学方法改革的现状及发展趋势</w:t>
            </w:r>
          </w:p>
          <w:p w14:paraId="347552A9">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（3）掌握当前几种比较重要的教学模式和小学常用的教学方法</w:t>
            </w:r>
          </w:p>
        </w:tc>
        <w:tc>
          <w:tcPr>
            <w:tcW w:w="1560" w:type="dxa"/>
            <w:vAlign w:val="center"/>
          </w:tcPr>
          <w:p w14:paraId="13F0E7F4">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1.多媒体教学2.课堂讨论</w:t>
            </w:r>
          </w:p>
          <w:p w14:paraId="1BFF24DB">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3.课堂测验</w:t>
            </w:r>
          </w:p>
        </w:tc>
        <w:tc>
          <w:tcPr>
            <w:tcW w:w="438" w:type="dxa"/>
            <w:vAlign w:val="center"/>
          </w:tcPr>
          <w:p w14:paraId="2635954A">
            <w:pPr>
              <w:spacing w:line="269" w:lineRule="auto"/>
              <w:jc w:val="center"/>
              <w:rPr>
                <w:rFonts w:hint="eastAsia" w:ascii="宋体" w:hAnsi="宋体" w:eastAsia="宋体" w:cs="Times New Roman"/>
                <w:color w:val="000000"/>
                <w:kern w:val="0"/>
                <w:sz w:val="24"/>
                <w:lang w:val="en-US" w:eastAsia="zh-CN"/>
              </w:rPr>
            </w:pPr>
            <w:r>
              <w:rPr>
                <w:rFonts w:hint="eastAsia" w:ascii="宋体" w:hAnsi="宋体" w:eastAsia="宋体" w:cs="Times New Roman"/>
                <w:color w:val="000000"/>
                <w:kern w:val="0"/>
                <w:sz w:val="24"/>
                <w:lang w:val="en-US" w:eastAsia="zh-CN"/>
              </w:rPr>
              <w:t>4</w:t>
            </w:r>
          </w:p>
        </w:tc>
      </w:tr>
      <w:tr w14:paraId="30C8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8DBAB68">
            <w:pPr>
              <w:spacing w:line="264" w:lineRule="auto"/>
              <w:jc w:val="center"/>
              <w:rPr>
                <w:rFonts w:hint="eastAsia" w:ascii="宋体" w:hAnsi="宋体" w:eastAsia="宋体" w:cs="Times New Roman"/>
                <w:color w:val="000000"/>
                <w:kern w:val="0"/>
                <w:sz w:val="24"/>
              </w:rPr>
            </w:pPr>
          </w:p>
        </w:tc>
        <w:tc>
          <w:tcPr>
            <w:tcW w:w="8093" w:type="dxa"/>
            <w:gridSpan w:val="5"/>
            <w:vAlign w:val="center"/>
          </w:tcPr>
          <w:p w14:paraId="5E4B96B6">
            <w:pPr>
              <w:spacing w:line="269" w:lineRule="auto"/>
              <w:jc w:val="left"/>
              <w:rPr>
                <w:rFonts w:hint="eastAsia" w:ascii="宋体" w:hAnsi="宋体" w:eastAsia="宋体" w:cs="Times New Roman"/>
                <w:b/>
                <w:color w:val="000000"/>
                <w:kern w:val="0"/>
                <w:sz w:val="24"/>
              </w:rPr>
            </w:pPr>
            <w:r>
              <w:rPr>
                <w:rFonts w:hint="eastAsia" w:ascii="宋体" w:hAnsi="宋体" w:eastAsia="宋体" w:cs="Times New Roman"/>
                <w:b/>
                <w:color w:val="000000"/>
                <w:kern w:val="0"/>
                <w:sz w:val="24"/>
              </w:rPr>
              <w:t>课程思政目标：</w:t>
            </w:r>
          </w:p>
          <w:p w14:paraId="14E1AD78">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通过教学模式和教学方法的学习，明确在未来的教学中必须遵循马克思主义的立场、观点和方法，能够传承、灵活创新、大胆尝试新的教学方法。通过国内外主要教学的模式和方法的学习，拓展国际视野，树立民族自信心和自豪感。能够贴近实际、贴近生活、贴近学生，春风化雨。</w:t>
            </w:r>
          </w:p>
        </w:tc>
      </w:tr>
    </w:tbl>
    <w:tbl>
      <w:tblPr>
        <w:tblStyle w:val="2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9D3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A52129B">
            <w:pPr>
              <w:spacing w:line="264"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（九）教学手段</w:t>
            </w:r>
          </w:p>
        </w:tc>
        <w:tc>
          <w:tcPr>
            <w:tcW w:w="1701" w:type="dxa"/>
            <w:vAlign w:val="center"/>
          </w:tcPr>
          <w:p w14:paraId="59A0935B">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（1）教学手段概述</w:t>
            </w:r>
          </w:p>
          <w:p w14:paraId="0041FC1B">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（2）教学手段分类</w:t>
            </w:r>
          </w:p>
          <w:p w14:paraId="7E713673">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（3）教学手段的选择与应用</w:t>
            </w:r>
          </w:p>
          <w:p w14:paraId="5842E525">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（4）教学手段现代化对教学的影响</w:t>
            </w:r>
          </w:p>
        </w:tc>
        <w:tc>
          <w:tcPr>
            <w:tcW w:w="1134" w:type="dxa"/>
            <w:vAlign w:val="center"/>
          </w:tcPr>
          <w:p w14:paraId="195D9EFA">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课程目标1、3、4</w:t>
            </w:r>
          </w:p>
        </w:tc>
        <w:tc>
          <w:tcPr>
            <w:tcW w:w="3260" w:type="dxa"/>
            <w:vAlign w:val="center"/>
          </w:tcPr>
          <w:p w14:paraId="37A88AD4">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（1）理解教学手段的概念，明了教学手段的不同分类</w:t>
            </w:r>
          </w:p>
          <w:p w14:paraId="57E2AEB9">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（2）了解各种教学手段的特点及功能</w:t>
            </w:r>
          </w:p>
          <w:p w14:paraId="2E55C28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（3）掌握选用教学手段的基本原则</w:t>
            </w:r>
          </w:p>
          <w:p w14:paraId="2B148E49">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（4）理解教学手段现代化的内涵及其意义</w:t>
            </w:r>
          </w:p>
        </w:tc>
        <w:tc>
          <w:tcPr>
            <w:tcW w:w="1560" w:type="dxa"/>
            <w:vAlign w:val="center"/>
          </w:tcPr>
          <w:p w14:paraId="4EA346CF">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1.多媒体教学2.课堂讨论</w:t>
            </w:r>
          </w:p>
          <w:p w14:paraId="68E04731">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3.课堂测验</w:t>
            </w:r>
          </w:p>
        </w:tc>
        <w:tc>
          <w:tcPr>
            <w:tcW w:w="438" w:type="dxa"/>
            <w:vAlign w:val="center"/>
          </w:tcPr>
          <w:p w14:paraId="7F181463">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w:t>
            </w:r>
          </w:p>
        </w:tc>
      </w:tr>
      <w:tr w14:paraId="7380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4BC1D0F">
            <w:pPr>
              <w:spacing w:line="264" w:lineRule="auto"/>
              <w:jc w:val="center"/>
              <w:rPr>
                <w:rFonts w:hint="eastAsia" w:ascii="宋体" w:hAnsi="宋体" w:eastAsia="宋体" w:cs="Times New Roman"/>
                <w:color w:val="000000"/>
                <w:kern w:val="0"/>
                <w:sz w:val="24"/>
              </w:rPr>
            </w:pPr>
          </w:p>
        </w:tc>
        <w:tc>
          <w:tcPr>
            <w:tcW w:w="8093" w:type="dxa"/>
            <w:gridSpan w:val="5"/>
            <w:vAlign w:val="center"/>
          </w:tcPr>
          <w:p w14:paraId="0FB37AF4">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课程思政目标：</w:t>
            </w:r>
            <w:r>
              <w:rPr>
                <w:rFonts w:hint="eastAsia" w:ascii="宋体" w:hAnsi="宋体" w:eastAsia="宋体" w:cs="Times New Roman"/>
                <w:color w:val="000000"/>
                <w:kern w:val="0"/>
                <w:sz w:val="24"/>
              </w:rPr>
              <w:t>通过教学手段现代化的学习，了解信息化、数字化时代背景下教师所应具备的数字素养、数字化教学手段，了解基本的教具，灵活运用现代化教学手段，提高教学技能，树立科学精神。</w:t>
            </w:r>
          </w:p>
        </w:tc>
      </w:tr>
    </w:tbl>
    <w:tbl>
      <w:tblPr>
        <w:tblStyle w:val="2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E97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97E7261">
            <w:pPr>
              <w:spacing w:line="264"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（十）教学组织形式</w:t>
            </w:r>
          </w:p>
        </w:tc>
        <w:tc>
          <w:tcPr>
            <w:tcW w:w="1701" w:type="dxa"/>
            <w:vAlign w:val="center"/>
          </w:tcPr>
          <w:p w14:paraId="72F6BC9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（1）教学组织形式概述</w:t>
            </w:r>
          </w:p>
          <w:p w14:paraId="7EADE663">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（2）常见的教学组织形式</w:t>
            </w:r>
          </w:p>
          <w:p w14:paraId="706C55C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（3）教学组织形式的制约因素</w:t>
            </w:r>
          </w:p>
          <w:p w14:paraId="0723B034">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（4）教学工作的基本环节</w:t>
            </w:r>
          </w:p>
        </w:tc>
        <w:tc>
          <w:tcPr>
            <w:tcW w:w="1134" w:type="dxa"/>
            <w:vAlign w:val="center"/>
          </w:tcPr>
          <w:p w14:paraId="7F2B6692">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课程目标1、3、4</w:t>
            </w:r>
          </w:p>
        </w:tc>
        <w:tc>
          <w:tcPr>
            <w:tcW w:w="3260" w:type="dxa"/>
            <w:vAlign w:val="center"/>
          </w:tcPr>
          <w:p w14:paraId="3F0AEB45">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（1）明确教学组织形式的内涵、意义和历史演变</w:t>
            </w:r>
          </w:p>
          <w:p w14:paraId="20F09634">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（2）熟悉常见的教学组织形式</w:t>
            </w:r>
          </w:p>
          <w:p w14:paraId="48BEFE1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（3）全面认识班级授课制</w:t>
            </w:r>
          </w:p>
          <w:p w14:paraId="622690D8">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（4）掌握教学工作的基本程序</w:t>
            </w:r>
          </w:p>
        </w:tc>
        <w:tc>
          <w:tcPr>
            <w:tcW w:w="1560" w:type="dxa"/>
            <w:vAlign w:val="center"/>
          </w:tcPr>
          <w:p w14:paraId="7C8F9C29">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1.多媒体教学2.课堂讨论</w:t>
            </w:r>
          </w:p>
          <w:p w14:paraId="2C66CE1A">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3.课堂测验</w:t>
            </w:r>
          </w:p>
        </w:tc>
        <w:tc>
          <w:tcPr>
            <w:tcW w:w="438" w:type="dxa"/>
            <w:vAlign w:val="center"/>
          </w:tcPr>
          <w:p w14:paraId="7EFD8300">
            <w:pPr>
              <w:spacing w:line="269" w:lineRule="auto"/>
              <w:jc w:val="center"/>
              <w:rPr>
                <w:rFonts w:hint="default" w:ascii="宋体" w:hAnsi="宋体" w:eastAsia="宋体" w:cs="Times New Roman"/>
                <w:color w:val="000000"/>
                <w:kern w:val="0"/>
                <w:sz w:val="24"/>
                <w:lang w:val="en-US" w:eastAsia="zh-CN"/>
              </w:rPr>
            </w:pPr>
            <w:r>
              <w:rPr>
                <w:rFonts w:hint="eastAsia" w:ascii="宋体" w:hAnsi="宋体" w:eastAsia="宋体" w:cs="Times New Roman"/>
                <w:color w:val="000000"/>
                <w:kern w:val="0"/>
                <w:sz w:val="24"/>
                <w:lang w:val="en-US" w:eastAsia="zh-CN"/>
              </w:rPr>
              <w:t>3</w:t>
            </w:r>
          </w:p>
        </w:tc>
      </w:tr>
      <w:tr w14:paraId="054B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57FBB04">
            <w:pPr>
              <w:spacing w:line="264" w:lineRule="auto"/>
              <w:jc w:val="center"/>
              <w:rPr>
                <w:rFonts w:hint="eastAsia" w:ascii="宋体" w:hAnsi="宋体" w:eastAsia="宋体" w:cs="Times New Roman"/>
                <w:color w:val="000000"/>
                <w:kern w:val="0"/>
                <w:sz w:val="24"/>
              </w:rPr>
            </w:pPr>
          </w:p>
        </w:tc>
        <w:tc>
          <w:tcPr>
            <w:tcW w:w="8093" w:type="dxa"/>
            <w:gridSpan w:val="5"/>
            <w:vAlign w:val="center"/>
          </w:tcPr>
          <w:p w14:paraId="40367C4B">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课程思政目标：</w:t>
            </w:r>
            <w:r>
              <w:rPr>
                <w:rFonts w:hint="eastAsia" w:ascii="宋体" w:hAnsi="宋体" w:eastAsia="宋体" w:cs="Times New Roman"/>
                <w:color w:val="000000"/>
                <w:kern w:val="0"/>
                <w:sz w:val="24"/>
              </w:rPr>
              <w:t>明确中小学教育改革发展的以学生发展为本的理念，以立德树人为己任，贯彻党的教育方针、自觉践行社会主义核心价值观。把握教育的本质在于培养人，深刻理解习近平曾多次论述的教育要“培养什么人、怎样培养人、为谁培养人”的问题。</w:t>
            </w:r>
          </w:p>
        </w:tc>
      </w:tr>
    </w:tbl>
    <w:tbl>
      <w:tblPr>
        <w:tblStyle w:val="2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15D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D856090">
            <w:pPr>
              <w:spacing w:line="264"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（十一）教学评价</w:t>
            </w:r>
          </w:p>
        </w:tc>
        <w:tc>
          <w:tcPr>
            <w:tcW w:w="1701" w:type="dxa"/>
            <w:vAlign w:val="center"/>
          </w:tcPr>
          <w:p w14:paraId="70D64934">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（1）教学评价概述</w:t>
            </w:r>
          </w:p>
          <w:p w14:paraId="67C34860">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（2）教师课堂教学效果评价</w:t>
            </w:r>
          </w:p>
          <w:p w14:paraId="49BC67B6">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（3）学生课堂学习效果评价</w:t>
            </w:r>
          </w:p>
          <w:p w14:paraId="5BE38CFA">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（4）当代教学评价的新特点</w:t>
            </w:r>
          </w:p>
        </w:tc>
        <w:tc>
          <w:tcPr>
            <w:tcW w:w="1134" w:type="dxa"/>
            <w:vAlign w:val="center"/>
          </w:tcPr>
          <w:p w14:paraId="43A4472F">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课程目标1、2、3、4</w:t>
            </w:r>
          </w:p>
        </w:tc>
        <w:tc>
          <w:tcPr>
            <w:tcW w:w="3260" w:type="dxa"/>
            <w:vAlign w:val="center"/>
          </w:tcPr>
          <w:p w14:paraId="104BB34A">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（1）了解教学评价的内容</w:t>
            </w:r>
          </w:p>
          <w:p w14:paraId="4329CFDC">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（2）掌握有关教学评价的策略与方法</w:t>
            </w:r>
          </w:p>
          <w:p w14:paraId="36180AAE">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（3）反思我国教学评价存在的问题</w:t>
            </w:r>
          </w:p>
        </w:tc>
        <w:tc>
          <w:tcPr>
            <w:tcW w:w="1560" w:type="dxa"/>
            <w:vAlign w:val="center"/>
          </w:tcPr>
          <w:p w14:paraId="535E944B">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1.多媒体教学2.课堂讨论</w:t>
            </w:r>
          </w:p>
          <w:p w14:paraId="6E6BEE57">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3.课堂测验</w:t>
            </w:r>
          </w:p>
        </w:tc>
        <w:tc>
          <w:tcPr>
            <w:tcW w:w="438" w:type="dxa"/>
            <w:vAlign w:val="center"/>
          </w:tcPr>
          <w:p w14:paraId="3DA36B6E">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4</w:t>
            </w:r>
          </w:p>
        </w:tc>
      </w:tr>
      <w:tr w14:paraId="7D03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C331703">
            <w:pPr>
              <w:spacing w:line="264" w:lineRule="auto"/>
              <w:jc w:val="center"/>
              <w:rPr>
                <w:rFonts w:hint="eastAsia" w:ascii="宋体" w:hAnsi="宋体" w:eastAsia="宋体" w:cs="Times New Roman"/>
                <w:color w:val="000000"/>
                <w:kern w:val="0"/>
                <w:sz w:val="24"/>
              </w:rPr>
            </w:pPr>
          </w:p>
        </w:tc>
        <w:tc>
          <w:tcPr>
            <w:tcW w:w="8093" w:type="dxa"/>
            <w:gridSpan w:val="5"/>
            <w:vAlign w:val="center"/>
          </w:tcPr>
          <w:p w14:paraId="3F06A562">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课程思政目标：</w:t>
            </w:r>
            <w:r>
              <w:rPr>
                <w:rFonts w:hint="eastAsia" w:ascii="宋体" w:hAnsi="宋体" w:eastAsia="宋体" w:cs="Times New Roman"/>
                <w:color w:val="000000"/>
                <w:kern w:val="0"/>
                <w:sz w:val="24"/>
              </w:rPr>
              <w:t>通过教学评价的学习，懂得必须尊重每一个学生个性发展的完整性、独立性、具体性和特殊性，树立正确的儿童观，把关爱自然、追求人与自然的可持续发展作为价值追求。</w:t>
            </w:r>
          </w:p>
        </w:tc>
      </w:tr>
    </w:tbl>
    <w:tbl>
      <w:tblPr>
        <w:tblStyle w:val="27"/>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143F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410C76">
            <w:pPr>
              <w:spacing w:line="264"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（十二）教学设计与教学实践</w:t>
            </w:r>
          </w:p>
        </w:tc>
        <w:tc>
          <w:tcPr>
            <w:tcW w:w="1701" w:type="dxa"/>
            <w:vAlign w:val="center"/>
          </w:tcPr>
          <w:p w14:paraId="6587CC6D">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（1）教学设计概述</w:t>
            </w:r>
          </w:p>
          <w:p w14:paraId="25BA6F54">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（2）教学设计的模式</w:t>
            </w:r>
          </w:p>
          <w:p w14:paraId="7C4DBB69">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（3）教学设计的基本内容和方法</w:t>
            </w:r>
          </w:p>
        </w:tc>
        <w:tc>
          <w:tcPr>
            <w:tcW w:w="1134" w:type="dxa"/>
            <w:vAlign w:val="center"/>
          </w:tcPr>
          <w:p w14:paraId="4D1B9970">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课程目标1、3、4</w:t>
            </w:r>
          </w:p>
        </w:tc>
        <w:tc>
          <w:tcPr>
            <w:tcW w:w="3260" w:type="dxa"/>
            <w:vAlign w:val="center"/>
          </w:tcPr>
          <w:p w14:paraId="36DA45EA">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（1）明确教学设计的内涵、特征及依据</w:t>
            </w:r>
          </w:p>
          <w:p w14:paraId="6EB8EEE2">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（2）熟悉教学设计的程序和模式</w:t>
            </w:r>
          </w:p>
          <w:p w14:paraId="47B13BE1">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（3）掌握教学设计的基本内容和方法</w:t>
            </w:r>
          </w:p>
        </w:tc>
        <w:tc>
          <w:tcPr>
            <w:tcW w:w="1560" w:type="dxa"/>
            <w:vAlign w:val="center"/>
          </w:tcPr>
          <w:p w14:paraId="7552F03D">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1.多媒体教学2.课堂讨论</w:t>
            </w:r>
          </w:p>
          <w:p w14:paraId="09D75BA2">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color w:val="000000"/>
                <w:kern w:val="0"/>
                <w:sz w:val="24"/>
              </w:rPr>
              <w:t>3.课堂测验</w:t>
            </w:r>
          </w:p>
        </w:tc>
        <w:tc>
          <w:tcPr>
            <w:tcW w:w="438" w:type="dxa"/>
            <w:vAlign w:val="center"/>
          </w:tcPr>
          <w:p w14:paraId="25E318EA">
            <w:pPr>
              <w:spacing w:line="269" w:lineRule="auto"/>
              <w:jc w:val="center"/>
              <w:rPr>
                <w:rFonts w:hint="eastAsia" w:ascii="宋体" w:hAnsi="宋体" w:eastAsia="宋体" w:cs="Times New Roman"/>
                <w:color w:val="000000"/>
                <w:kern w:val="0"/>
                <w:sz w:val="24"/>
              </w:rPr>
            </w:pPr>
            <w:r>
              <w:rPr>
                <w:rFonts w:hint="eastAsia" w:ascii="宋体" w:hAnsi="宋体" w:eastAsia="宋体" w:cs="Times New Roman"/>
                <w:color w:val="000000"/>
                <w:kern w:val="0"/>
                <w:sz w:val="24"/>
              </w:rPr>
              <w:t>2</w:t>
            </w:r>
          </w:p>
        </w:tc>
      </w:tr>
      <w:tr w14:paraId="7E9E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DBED15">
            <w:pPr>
              <w:spacing w:line="264" w:lineRule="auto"/>
              <w:jc w:val="center"/>
              <w:rPr>
                <w:rFonts w:hint="eastAsia" w:ascii="宋体" w:hAnsi="宋体" w:eastAsia="宋体" w:cs="Times New Roman"/>
                <w:color w:val="000000"/>
                <w:kern w:val="0"/>
                <w:sz w:val="24"/>
              </w:rPr>
            </w:pPr>
          </w:p>
        </w:tc>
        <w:tc>
          <w:tcPr>
            <w:tcW w:w="8093" w:type="dxa"/>
            <w:gridSpan w:val="5"/>
            <w:vAlign w:val="center"/>
          </w:tcPr>
          <w:p w14:paraId="4123346B">
            <w:pPr>
              <w:spacing w:line="269" w:lineRule="auto"/>
              <w:jc w:val="left"/>
              <w:rPr>
                <w:rFonts w:hint="eastAsia" w:ascii="宋体" w:hAnsi="宋体" w:eastAsia="宋体" w:cs="Times New Roman"/>
                <w:color w:val="000000"/>
                <w:kern w:val="0"/>
                <w:sz w:val="24"/>
              </w:rPr>
            </w:pPr>
            <w:r>
              <w:rPr>
                <w:rFonts w:hint="eastAsia" w:ascii="宋体" w:hAnsi="宋体" w:eastAsia="宋体" w:cs="Times New Roman"/>
                <w:b/>
                <w:color w:val="000000"/>
                <w:kern w:val="0"/>
                <w:sz w:val="24"/>
              </w:rPr>
              <w:t>课程思政目标：</w:t>
            </w:r>
            <w:r>
              <w:rPr>
                <w:rFonts w:hint="eastAsia" w:ascii="宋体" w:hAnsi="宋体" w:eastAsia="宋体" w:cs="Times New Roman"/>
                <w:color w:val="000000"/>
                <w:kern w:val="0"/>
                <w:sz w:val="24"/>
              </w:rPr>
              <w:t>通过教学设计的学习，掌握知识和提高思想觉悟相统一、掌握知识和提高能力相统一的规律，能够坚持市场需求导向，紧扣新版课程标准，提高思想政治觉悟，进而提高课堂教学质量和“育人”效果。</w:t>
            </w:r>
          </w:p>
        </w:tc>
      </w:tr>
    </w:tbl>
    <w:p w14:paraId="2993A450">
      <w:pPr>
        <w:spacing w:line="360" w:lineRule="auto"/>
        <w:ind w:firstLine="482" w:firstLineChars="200"/>
        <w:rPr>
          <w:rFonts w:ascii="Times New Roman" w:hAnsi="Times New Roman" w:eastAsia="宋体" w:cs="Times New Roman"/>
          <w:b/>
          <w:bCs/>
          <w:sz w:val="24"/>
        </w:rPr>
      </w:pPr>
    </w:p>
    <w:p w14:paraId="201351BA">
      <w:pPr>
        <w:spacing w:line="360" w:lineRule="auto"/>
        <w:jc w:val="left"/>
        <w:rPr>
          <w:rFonts w:ascii="Times New Roman" w:hAnsi="Times New Roman" w:eastAsia="宋体" w:cs="Times New Roman"/>
          <w:sz w:val="24"/>
        </w:rPr>
      </w:pPr>
      <w:r>
        <w:rPr>
          <w:rFonts w:hint="eastAsia" w:ascii="宋体" w:hAnsi="宋体" w:eastAsia="宋体" w:cs="Times New Roman"/>
          <w:b/>
          <w:sz w:val="24"/>
        </w:rPr>
        <w:t>四、目标评价与成绩评定</w:t>
      </w:r>
    </w:p>
    <w:p w14:paraId="20331D0C">
      <w:pPr>
        <w:spacing w:line="360" w:lineRule="auto"/>
        <w:jc w:val="left"/>
        <w:rPr>
          <w:rFonts w:hint="eastAsia" w:cs="Times New Roman" w:asciiTheme="minorEastAsia" w:hAnsiTheme="minorEastAsia"/>
          <w:b/>
          <w:sz w:val="24"/>
        </w:rPr>
      </w:pPr>
      <w:r>
        <w:rPr>
          <w:rFonts w:hint="eastAsia" w:cs="Times New Roman" w:asciiTheme="minorEastAsia" w:hAnsiTheme="minorEastAsia"/>
          <w:b/>
          <w:sz w:val="24"/>
        </w:rPr>
        <w:t>（一）课程目标评价方式</w:t>
      </w:r>
    </w:p>
    <w:p w14:paraId="63EE0BFB">
      <w:pPr>
        <w:spacing w:line="360" w:lineRule="auto"/>
        <w:ind w:firstLine="480" w:firstLineChars="200"/>
        <w:jc w:val="left"/>
        <w:rPr>
          <w:rFonts w:hint="eastAsia" w:cs="Times New Roman" w:asciiTheme="minorEastAsia" w:hAnsiTheme="minorEastAsia"/>
          <w:sz w:val="24"/>
        </w:rPr>
      </w:pPr>
      <w:r>
        <w:rPr>
          <w:rFonts w:hint="eastAsia" w:cs="Times New Roman" w:asciiTheme="minorEastAsia" w:hAnsiTheme="minorEastAsia"/>
          <w:sz w:val="24"/>
        </w:rPr>
        <w:t>根据总体设计，用于评价各课程目标的评价方式如表3</w:t>
      </w:r>
      <w:r>
        <w:rPr>
          <w:rFonts w:cs="Times New Roman" w:asciiTheme="minorEastAsia" w:hAnsiTheme="minorEastAsia"/>
          <w:sz w:val="24"/>
        </w:rPr>
        <w:t>所示。</w:t>
      </w:r>
    </w:p>
    <w:p w14:paraId="3E4E85FC">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418"/>
        <w:gridCol w:w="1417"/>
        <w:gridCol w:w="1417"/>
        <w:gridCol w:w="1419"/>
        <w:gridCol w:w="1275"/>
      </w:tblGrid>
      <w:tr w14:paraId="25D5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14:paraId="6576DA4E">
            <w:pPr>
              <w:spacing w:line="360" w:lineRule="auto"/>
              <w:jc w:val="center"/>
              <w:rPr>
                <w:rFonts w:hint="eastAsia" w:ascii="宋体" w:hAnsi="宋体" w:eastAsia="宋体" w:cs="Times New Roman"/>
                <w:b/>
                <w:bCs/>
                <w:sz w:val="24"/>
              </w:rPr>
            </w:pPr>
            <w:r>
              <w:rPr>
                <w:rFonts w:hint="eastAsia" w:ascii="宋体" w:hAnsi="宋体" w:eastAsia="宋体" w:cs="Times New Roman"/>
                <w:b/>
                <w:bCs/>
                <w:sz w:val="24"/>
              </w:rPr>
              <w:t>课程目标</w:t>
            </w:r>
          </w:p>
        </w:tc>
        <w:tc>
          <w:tcPr>
            <w:tcW w:w="1417" w:type="dxa"/>
          </w:tcPr>
          <w:p w14:paraId="1BA1C04C">
            <w:pPr>
              <w:spacing w:line="360" w:lineRule="auto"/>
              <w:jc w:val="center"/>
              <w:rPr>
                <w:rFonts w:hint="eastAsia" w:ascii="宋体" w:hAnsi="宋体" w:eastAsia="宋体" w:cs="Times New Roman"/>
                <w:b/>
                <w:bCs/>
                <w:sz w:val="24"/>
              </w:rPr>
            </w:pPr>
          </w:p>
        </w:tc>
        <w:tc>
          <w:tcPr>
            <w:tcW w:w="4253" w:type="dxa"/>
            <w:gridSpan w:val="3"/>
            <w:vAlign w:val="center"/>
          </w:tcPr>
          <w:p w14:paraId="275AF4E9">
            <w:pPr>
              <w:spacing w:line="360" w:lineRule="auto"/>
              <w:jc w:val="center"/>
              <w:rPr>
                <w:rFonts w:hint="eastAsia" w:ascii="宋体" w:hAnsi="宋体" w:eastAsia="宋体" w:cs="Times New Roman"/>
                <w:b/>
                <w:bCs/>
                <w:sz w:val="24"/>
              </w:rPr>
            </w:pPr>
            <w:r>
              <w:rPr>
                <w:rFonts w:hint="eastAsia" w:ascii="宋体" w:hAnsi="宋体" w:eastAsia="宋体" w:cs="Times New Roman"/>
                <w:b/>
                <w:bCs/>
                <w:sz w:val="24"/>
              </w:rPr>
              <w:t>评价与成绩评定方法</w:t>
            </w:r>
          </w:p>
        </w:tc>
        <w:tc>
          <w:tcPr>
            <w:tcW w:w="1275" w:type="dxa"/>
            <w:vMerge w:val="restart"/>
            <w:vAlign w:val="center"/>
          </w:tcPr>
          <w:p w14:paraId="67724531">
            <w:pPr>
              <w:spacing w:line="360" w:lineRule="auto"/>
              <w:jc w:val="center"/>
              <w:rPr>
                <w:rFonts w:hint="eastAsia" w:ascii="宋体" w:hAnsi="宋体" w:eastAsia="宋体" w:cs="Times New Roman"/>
                <w:b/>
                <w:bCs/>
                <w:sz w:val="24"/>
              </w:rPr>
            </w:pPr>
            <w:r>
              <w:rPr>
                <w:rFonts w:hint="eastAsia" w:ascii="宋体" w:hAnsi="宋体" w:eastAsia="宋体" w:cs="Times New Roman"/>
                <w:b/>
                <w:bCs/>
                <w:sz w:val="24"/>
              </w:rPr>
              <w:t>分值</w:t>
            </w:r>
          </w:p>
        </w:tc>
      </w:tr>
      <w:tr w14:paraId="7DDF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02C34FBC">
            <w:pPr>
              <w:spacing w:line="360" w:lineRule="auto"/>
              <w:jc w:val="center"/>
              <w:rPr>
                <w:rFonts w:hint="eastAsia" w:ascii="宋体" w:hAnsi="宋体" w:eastAsia="宋体" w:cs="Times New Roman"/>
                <w:sz w:val="24"/>
              </w:rPr>
            </w:pPr>
          </w:p>
        </w:tc>
        <w:tc>
          <w:tcPr>
            <w:tcW w:w="1418" w:type="dxa"/>
            <w:vAlign w:val="center"/>
          </w:tcPr>
          <w:p w14:paraId="19D69686">
            <w:pPr>
              <w:spacing w:line="360" w:lineRule="auto"/>
              <w:jc w:val="center"/>
              <w:rPr>
                <w:rFonts w:hint="eastAsia" w:ascii="宋体" w:hAnsi="宋体" w:eastAsia="宋体" w:cs="Times New Roman"/>
                <w:sz w:val="24"/>
              </w:rPr>
            </w:pPr>
            <w:r>
              <w:rPr>
                <w:rFonts w:hint="eastAsia" w:ascii="宋体" w:hAnsi="宋体" w:eastAsia="宋体" w:cs="Times New Roman"/>
                <w:sz w:val="24"/>
              </w:rPr>
              <w:t>平时作业</w:t>
            </w:r>
          </w:p>
        </w:tc>
        <w:tc>
          <w:tcPr>
            <w:tcW w:w="1417" w:type="dxa"/>
          </w:tcPr>
          <w:p w14:paraId="58594123">
            <w:pPr>
              <w:spacing w:line="360" w:lineRule="auto"/>
              <w:jc w:val="center"/>
              <w:rPr>
                <w:rFonts w:hint="eastAsia" w:ascii="宋体" w:hAnsi="宋体" w:eastAsia="宋体" w:cs="Times New Roman"/>
                <w:sz w:val="24"/>
              </w:rPr>
            </w:pPr>
            <w:r>
              <w:rPr>
                <w:rFonts w:hint="eastAsia" w:ascii="宋体" w:hAnsi="宋体" w:eastAsia="宋体" w:cs="Times New Roman"/>
                <w:sz w:val="24"/>
              </w:rPr>
              <w:t>课堂表现</w:t>
            </w:r>
          </w:p>
        </w:tc>
        <w:tc>
          <w:tcPr>
            <w:tcW w:w="1417" w:type="dxa"/>
            <w:vAlign w:val="center"/>
          </w:tcPr>
          <w:p w14:paraId="7324BDDE">
            <w:pPr>
              <w:spacing w:line="360" w:lineRule="auto"/>
              <w:jc w:val="center"/>
              <w:rPr>
                <w:rFonts w:hint="eastAsia" w:ascii="宋体" w:hAnsi="宋体" w:eastAsia="宋体" w:cs="Times New Roman"/>
                <w:sz w:val="24"/>
              </w:rPr>
            </w:pPr>
            <w:r>
              <w:rPr>
                <w:rFonts w:hint="eastAsia" w:ascii="宋体" w:hAnsi="宋体" w:eastAsia="宋体" w:cs="Times New Roman"/>
                <w:sz w:val="24"/>
              </w:rPr>
              <w:t>课程实践</w:t>
            </w:r>
          </w:p>
        </w:tc>
        <w:tc>
          <w:tcPr>
            <w:tcW w:w="1418" w:type="dxa"/>
            <w:vAlign w:val="center"/>
          </w:tcPr>
          <w:p w14:paraId="6394EBE7">
            <w:pPr>
              <w:spacing w:line="360" w:lineRule="auto"/>
              <w:jc w:val="center"/>
              <w:rPr>
                <w:rFonts w:hint="eastAsia" w:ascii="宋体" w:hAnsi="宋体" w:eastAsia="宋体" w:cs="Times New Roman"/>
                <w:sz w:val="24"/>
              </w:rPr>
            </w:pPr>
            <w:r>
              <w:rPr>
                <w:rFonts w:hint="eastAsia" w:ascii="宋体" w:hAnsi="宋体" w:eastAsia="宋体" w:cs="Times New Roman"/>
                <w:sz w:val="24"/>
              </w:rPr>
              <w:t>期末考试</w:t>
            </w:r>
          </w:p>
        </w:tc>
        <w:tc>
          <w:tcPr>
            <w:tcW w:w="1275" w:type="dxa"/>
            <w:vMerge w:val="continue"/>
            <w:vAlign w:val="center"/>
          </w:tcPr>
          <w:p w14:paraId="632AD94D">
            <w:pPr>
              <w:spacing w:line="360" w:lineRule="auto"/>
              <w:jc w:val="center"/>
              <w:rPr>
                <w:rFonts w:hint="eastAsia" w:ascii="宋体" w:hAnsi="宋体" w:eastAsia="宋体" w:cs="Times New Roman"/>
                <w:sz w:val="24"/>
              </w:rPr>
            </w:pPr>
          </w:p>
        </w:tc>
      </w:tr>
      <w:tr w14:paraId="23FF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7D1C7579">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1418" w:type="dxa"/>
            <w:vAlign w:val="center"/>
          </w:tcPr>
          <w:p w14:paraId="47D3A45C">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7" w:type="dxa"/>
          </w:tcPr>
          <w:p w14:paraId="1D552B93">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7" w:type="dxa"/>
            <w:vAlign w:val="center"/>
          </w:tcPr>
          <w:p w14:paraId="67756B2F">
            <w:pPr>
              <w:spacing w:line="360" w:lineRule="auto"/>
              <w:jc w:val="center"/>
              <w:rPr>
                <w:rFonts w:hint="eastAsia" w:ascii="宋体" w:hAnsi="宋体" w:eastAsia="宋体" w:cs="Times New Roman"/>
                <w:sz w:val="24"/>
              </w:rPr>
            </w:pPr>
          </w:p>
        </w:tc>
        <w:tc>
          <w:tcPr>
            <w:tcW w:w="1418" w:type="dxa"/>
            <w:vAlign w:val="center"/>
          </w:tcPr>
          <w:p w14:paraId="1E9DE08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75" w:type="dxa"/>
            <w:vAlign w:val="center"/>
          </w:tcPr>
          <w:p w14:paraId="29BBC847">
            <w:pPr>
              <w:spacing w:line="360" w:lineRule="auto"/>
              <w:jc w:val="center"/>
              <w:rPr>
                <w:rFonts w:hint="eastAsia" w:ascii="宋体" w:hAnsi="宋体" w:eastAsia="宋体" w:cs="Times New Roman"/>
                <w:sz w:val="24"/>
              </w:rPr>
            </w:pPr>
            <w:r>
              <w:rPr>
                <w:rFonts w:hint="eastAsia" w:ascii="宋体" w:hAnsi="宋体" w:eastAsia="宋体" w:cs="Times New Roman"/>
                <w:sz w:val="24"/>
              </w:rPr>
              <w:t>30</w:t>
            </w:r>
          </w:p>
        </w:tc>
      </w:tr>
      <w:tr w14:paraId="4403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0E0E8CA1">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1418" w:type="dxa"/>
            <w:vAlign w:val="center"/>
          </w:tcPr>
          <w:p w14:paraId="5F35C5B1">
            <w:pPr>
              <w:spacing w:line="360" w:lineRule="auto"/>
              <w:jc w:val="center"/>
              <w:rPr>
                <w:rFonts w:hint="eastAsia" w:ascii="宋体" w:hAnsi="宋体" w:eastAsia="宋体" w:cs="Times New Roman"/>
                <w:sz w:val="24"/>
              </w:rPr>
            </w:pPr>
          </w:p>
        </w:tc>
        <w:tc>
          <w:tcPr>
            <w:tcW w:w="1417" w:type="dxa"/>
          </w:tcPr>
          <w:p w14:paraId="2CEE02E6">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7" w:type="dxa"/>
            <w:vAlign w:val="center"/>
          </w:tcPr>
          <w:p w14:paraId="41F2051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8" w:type="dxa"/>
            <w:vAlign w:val="center"/>
          </w:tcPr>
          <w:p w14:paraId="7CBA7E39">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75" w:type="dxa"/>
            <w:vAlign w:val="center"/>
          </w:tcPr>
          <w:p w14:paraId="1989515D">
            <w:pPr>
              <w:spacing w:line="360" w:lineRule="auto"/>
              <w:jc w:val="center"/>
              <w:rPr>
                <w:rFonts w:hint="eastAsia" w:ascii="宋体" w:hAnsi="宋体" w:eastAsia="宋体" w:cs="Times New Roman"/>
                <w:sz w:val="24"/>
              </w:rPr>
            </w:pPr>
            <w:r>
              <w:rPr>
                <w:rFonts w:hint="eastAsia" w:ascii="宋体" w:hAnsi="宋体" w:eastAsia="宋体" w:cs="Times New Roman"/>
                <w:sz w:val="24"/>
              </w:rPr>
              <w:t>30</w:t>
            </w:r>
          </w:p>
        </w:tc>
      </w:tr>
      <w:tr w14:paraId="0EE9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43E17408">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1418" w:type="dxa"/>
            <w:vAlign w:val="center"/>
          </w:tcPr>
          <w:p w14:paraId="3B2D2342">
            <w:pPr>
              <w:spacing w:line="360" w:lineRule="auto"/>
              <w:jc w:val="center"/>
              <w:rPr>
                <w:rFonts w:hint="eastAsia" w:ascii="宋体" w:hAnsi="宋体" w:eastAsia="宋体" w:cs="Times New Roman"/>
                <w:sz w:val="24"/>
              </w:rPr>
            </w:pPr>
          </w:p>
        </w:tc>
        <w:tc>
          <w:tcPr>
            <w:tcW w:w="1417" w:type="dxa"/>
          </w:tcPr>
          <w:p w14:paraId="4DAE7856">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7" w:type="dxa"/>
            <w:vAlign w:val="center"/>
          </w:tcPr>
          <w:p w14:paraId="394B6185">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8" w:type="dxa"/>
            <w:vAlign w:val="center"/>
          </w:tcPr>
          <w:p w14:paraId="1BE902D6">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75" w:type="dxa"/>
            <w:vAlign w:val="center"/>
          </w:tcPr>
          <w:p w14:paraId="551E8536">
            <w:pPr>
              <w:spacing w:line="360" w:lineRule="auto"/>
              <w:jc w:val="center"/>
              <w:rPr>
                <w:rFonts w:hint="eastAsia" w:ascii="宋体" w:hAnsi="宋体" w:eastAsia="宋体" w:cs="Times New Roman"/>
                <w:sz w:val="24"/>
              </w:rPr>
            </w:pPr>
            <w:r>
              <w:rPr>
                <w:rFonts w:hint="eastAsia" w:ascii="宋体" w:hAnsi="宋体" w:eastAsia="宋体" w:cs="Times New Roman"/>
                <w:sz w:val="24"/>
              </w:rPr>
              <w:t>30</w:t>
            </w:r>
          </w:p>
        </w:tc>
      </w:tr>
      <w:tr w14:paraId="510F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277BDF19">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课程目标4</w:t>
            </w:r>
          </w:p>
        </w:tc>
        <w:tc>
          <w:tcPr>
            <w:tcW w:w="1418" w:type="dxa"/>
            <w:vAlign w:val="center"/>
          </w:tcPr>
          <w:p w14:paraId="562A87EA">
            <w:pPr>
              <w:spacing w:line="360" w:lineRule="auto"/>
              <w:jc w:val="center"/>
              <w:rPr>
                <w:rFonts w:hint="eastAsia" w:ascii="宋体" w:hAnsi="宋体" w:eastAsia="宋体" w:cs="Times New Roman"/>
                <w:sz w:val="24"/>
              </w:rPr>
            </w:pPr>
          </w:p>
        </w:tc>
        <w:tc>
          <w:tcPr>
            <w:tcW w:w="1417" w:type="dxa"/>
          </w:tcPr>
          <w:p w14:paraId="38AD00F0">
            <w:pPr>
              <w:spacing w:line="360" w:lineRule="auto"/>
              <w:jc w:val="center"/>
              <w:rPr>
                <w:rFonts w:hint="eastAsia" w:ascii="宋体" w:hAnsi="宋体" w:eastAsia="宋体" w:cs="Times New Roman"/>
                <w:sz w:val="24"/>
              </w:rPr>
            </w:pPr>
          </w:p>
        </w:tc>
        <w:tc>
          <w:tcPr>
            <w:tcW w:w="1417" w:type="dxa"/>
            <w:vAlign w:val="center"/>
          </w:tcPr>
          <w:p w14:paraId="6009C45D">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8" w:type="dxa"/>
            <w:vAlign w:val="center"/>
          </w:tcPr>
          <w:p w14:paraId="71BF0111">
            <w:pPr>
              <w:spacing w:line="360" w:lineRule="auto"/>
              <w:jc w:val="center"/>
              <w:rPr>
                <w:rFonts w:hint="eastAsia" w:ascii="宋体" w:hAnsi="宋体" w:eastAsia="宋体" w:cs="Times New Roman"/>
                <w:sz w:val="24"/>
              </w:rPr>
            </w:pPr>
          </w:p>
        </w:tc>
        <w:tc>
          <w:tcPr>
            <w:tcW w:w="1275" w:type="dxa"/>
            <w:vAlign w:val="center"/>
          </w:tcPr>
          <w:p w14:paraId="4798EED9">
            <w:pPr>
              <w:spacing w:line="360" w:lineRule="auto"/>
              <w:jc w:val="center"/>
              <w:rPr>
                <w:rFonts w:hint="eastAsia" w:ascii="宋体" w:hAnsi="宋体" w:eastAsia="宋体" w:cs="Times New Roman"/>
                <w:sz w:val="24"/>
              </w:rPr>
            </w:pPr>
            <w:r>
              <w:rPr>
                <w:rFonts w:hint="eastAsia" w:ascii="宋体" w:hAnsi="宋体" w:eastAsia="宋体" w:cs="Times New Roman"/>
                <w:sz w:val="24"/>
              </w:rPr>
              <w:t>10</w:t>
            </w:r>
          </w:p>
        </w:tc>
      </w:tr>
      <w:tr w14:paraId="3C9C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67A3990D">
            <w:pPr>
              <w:spacing w:line="360"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1418" w:type="dxa"/>
            <w:vAlign w:val="center"/>
          </w:tcPr>
          <w:p w14:paraId="0A33714D">
            <w:pPr>
              <w:spacing w:line="360" w:lineRule="auto"/>
              <w:jc w:val="center"/>
              <w:rPr>
                <w:rFonts w:hint="eastAsia" w:ascii="宋体" w:hAnsi="宋体" w:eastAsia="宋体" w:cs="Times New Roman"/>
                <w:sz w:val="24"/>
              </w:rPr>
            </w:pPr>
          </w:p>
        </w:tc>
        <w:tc>
          <w:tcPr>
            <w:tcW w:w="1417" w:type="dxa"/>
          </w:tcPr>
          <w:p w14:paraId="728E47D3">
            <w:pPr>
              <w:spacing w:line="360" w:lineRule="auto"/>
              <w:jc w:val="center"/>
              <w:rPr>
                <w:rFonts w:hint="eastAsia" w:ascii="宋体" w:hAnsi="宋体" w:eastAsia="宋体" w:cs="Times New Roman"/>
                <w:sz w:val="24"/>
              </w:rPr>
            </w:pPr>
          </w:p>
        </w:tc>
        <w:tc>
          <w:tcPr>
            <w:tcW w:w="1417" w:type="dxa"/>
            <w:vAlign w:val="center"/>
          </w:tcPr>
          <w:p w14:paraId="576653F9">
            <w:pPr>
              <w:spacing w:line="360" w:lineRule="auto"/>
              <w:jc w:val="center"/>
              <w:rPr>
                <w:rFonts w:hint="eastAsia" w:ascii="宋体" w:hAnsi="宋体" w:eastAsia="宋体" w:cs="Times New Roman"/>
                <w:sz w:val="24"/>
              </w:rPr>
            </w:pPr>
          </w:p>
        </w:tc>
        <w:tc>
          <w:tcPr>
            <w:tcW w:w="1418" w:type="dxa"/>
            <w:vAlign w:val="center"/>
          </w:tcPr>
          <w:p w14:paraId="0BB06E12">
            <w:pPr>
              <w:spacing w:line="360" w:lineRule="auto"/>
              <w:jc w:val="center"/>
              <w:rPr>
                <w:rFonts w:hint="eastAsia" w:ascii="宋体" w:hAnsi="宋体" w:eastAsia="宋体" w:cs="Times New Roman"/>
                <w:sz w:val="24"/>
              </w:rPr>
            </w:pPr>
          </w:p>
        </w:tc>
        <w:tc>
          <w:tcPr>
            <w:tcW w:w="1275" w:type="dxa"/>
            <w:vAlign w:val="center"/>
          </w:tcPr>
          <w:p w14:paraId="0A7B70A0">
            <w:pPr>
              <w:spacing w:line="360"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543E7FF2">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7CBF4F70">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52576470">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评价方式和成绩评定细则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7073"/>
        <w:gridCol w:w="776"/>
      </w:tblGrid>
      <w:tr w14:paraId="4710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B4F420">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7141" w:type="dxa"/>
            <w:vAlign w:val="center"/>
          </w:tcPr>
          <w:p w14:paraId="22066EDB">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6BD78B84">
            <w:pPr>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19CB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513CC09">
            <w:pPr>
              <w:rPr>
                <w:rFonts w:ascii="Times New Roman" w:hAnsi="Times New Roman" w:eastAsia="宋体" w:cs="Times New Roman"/>
                <w:sz w:val="24"/>
              </w:rPr>
            </w:pPr>
            <w:r>
              <w:rPr>
                <w:rFonts w:hint="eastAsia" w:ascii="Times New Roman" w:hAnsi="Times New Roman" w:eastAsia="宋体" w:cs="Times New Roman"/>
                <w:sz w:val="24"/>
              </w:rPr>
              <w:t>平时作业</w:t>
            </w:r>
          </w:p>
        </w:tc>
        <w:tc>
          <w:tcPr>
            <w:tcW w:w="7141" w:type="dxa"/>
            <w:vAlign w:val="center"/>
          </w:tcPr>
          <w:p w14:paraId="73875720">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平时作业有两种形式可供选择，一种是专业图书推介，要求列举出课程与教学论相关书籍的基本信息，数量不少于15本。另一种是分享专业知识点。基于书本，鼓励有所拓展延伸或细化深化。为日后考证考编考研等做好储备。</w:t>
            </w:r>
          </w:p>
        </w:tc>
        <w:tc>
          <w:tcPr>
            <w:tcW w:w="0" w:type="auto"/>
            <w:vAlign w:val="center"/>
          </w:tcPr>
          <w:p w14:paraId="2A264902">
            <w:pPr>
              <w:jc w:val="center"/>
              <w:rPr>
                <w:rFonts w:ascii="Times New Roman" w:hAnsi="Times New Roman" w:eastAsia="宋体" w:cs="Times New Roman"/>
                <w:sz w:val="24"/>
              </w:rPr>
            </w:pPr>
            <w:r>
              <w:rPr>
                <w:rFonts w:hint="eastAsia" w:ascii="Times New Roman" w:hAnsi="Times New Roman" w:eastAsia="宋体" w:cs="Times New Roman"/>
                <w:sz w:val="24"/>
              </w:rPr>
              <w:t>16%</w:t>
            </w:r>
          </w:p>
        </w:tc>
      </w:tr>
      <w:tr w14:paraId="4766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9C0CB7">
            <w:pPr>
              <w:rPr>
                <w:rFonts w:ascii="Times New Roman" w:hAnsi="Times New Roman" w:eastAsia="宋体" w:cs="Times New Roman"/>
                <w:sz w:val="24"/>
              </w:rPr>
            </w:pPr>
            <w:r>
              <w:rPr>
                <w:rFonts w:hint="eastAsia" w:ascii="Times New Roman" w:hAnsi="Times New Roman" w:eastAsia="宋体" w:cs="Times New Roman"/>
                <w:sz w:val="24"/>
              </w:rPr>
              <w:t>课堂表现</w:t>
            </w:r>
          </w:p>
        </w:tc>
        <w:tc>
          <w:tcPr>
            <w:tcW w:w="7141" w:type="dxa"/>
            <w:vAlign w:val="center"/>
          </w:tcPr>
          <w:p w14:paraId="27A096EF">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包括两部分：一是考勤。事假、病假每次扣除本项总分的十分之一的分数。旷课累计达3次以上（不含3次）取消课程成绩。</w:t>
            </w:r>
          </w:p>
          <w:p w14:paraId="56CB091E">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二是课堂参与。主要指课上教师随机提问、组织课堂讨论等，观察学生参与程度，表现良好，按照对应的课程目标及权重给予评定。</w:t>
            </w:r>
          </w:p>
        </w:tc>
        <w:tc>
          <w:tcPr>
            <w:tcW w:w="0" w:type="auto"/>
            <w:vAlign w:val="center"/>
          </w:tcPr>
          <w:p w14:paraId="4629A9E0">
            <w:pPr>
              <w:jc w:val="center"/>
              <w:rPr>
                <w:rFonts w:ascii="Times New Roman" w:hAnsi="Times New Roman" w:eastAsia="宋体" w:cs="Times New Roman"/>
                <w:sz w:val="24"/>
              </w:rPr>
            </w:pPr>
            <w:r>
              <w:rPr>
                <w:rFonts w:hint="eastAsia" w:ascii="Times New Roman" w:hAnsi="Times New Roman" w:eastAsia="宋体" w:cs="Times New Roman"/>
                <w:sz w:val="24"/>
              </w:rPr>
              <w:t>4%</w:t>
            </w:r>
          </w:p>
        </w:tc>
      </w:tr>
      <w:tr w14:paraId="65E6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87F18E">
            <w:pPr>
              <w:rPr>
                <w:rFonts w:ascii="Times New Roman" w:hAnsi="Times New Roman" w:eastAsia="宋体" w:cs="Times New Roman"/>
                <w:sz w:val="24"/>
              </w:rPr>
            </w:pPr>
            <w:r>
              <w:rPr>
                <w:rFonts w:hint="eastAsia" w:ascii="Times New Roman" w:hAnsi="Times New Roman" w:eastAsia="宋体" w:cs="Times New Roman"/>
                <w:sz w:val="24"/>
              </w:rPr>
              <w:t>课程实践</w:t>
            </w:r>
          </w:p>
        </w:tc>
        <w:tc>
          <w:tcPr>
            <w:tcW w:w="7141" w:type="dxa"/>
            <w:vAlign w:val="center"/>
          </w:tcPr>
          <w:p w14:paraId="2D4AB924">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课程实践是围绕学习主题所作的实践练习， 一是根据所提供的材料来评析学段/学科的教学目标；二是根据提供的课例材料来评析某教师所使用的教学方法。</w:t>
            </w:r>
          </w:p>
        </w:tc>
        <w:tc>
          <w:tcPr>
            <w:tcW w:w="0" w:type="auto"/>
            <w:vAlign w:val="center"/>
          </w:tcPr>
          <w:p w14:paraId="26AD6AC7">
            <w:pPr>
              <w:jc w:val="center"/>
              <w:rPr>
                <w:rFonts w:ascii="Times New Roman" w:hAnsi="Times New Roman" w:eastAsia="宋体" w:cs="Times New Roman"/>
                <w:sz w:val="24"/>
              </w:rPr>
            </w:pPr>
            <w:r>
              <w:rPr>
                <w:rFonts w:hint="eastAsia" w:ascii="Times New Roman" w:hAnsi="Times New Roman" w:eastAsia="宋体" w:cs="Times New Roman"/>
                <w:sz w:val="24"/>
              </w:rPr>
              <w:t>20%</w:t>
            </w:r>
          </w:p>
        </w:tc>
      </w:tr>
      <w:tr w14:paraId="010E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5F98B9">
            <w:pPr>
              <w:rPr>
                <w:rFonts w:ascii="Times New Roman" w:hAnsi="Times New Roman" w:eastAsia="宋体" w:cs="Times New Roman"/>
                <w:sz w:val="24"/>
              </w:rPr>
            </w:pPr>
            <w:r>
              <w:rPr>
                <w:rFonts w:hint="eastAsia" w:ascii="Times New Roman" w:hAnsi="Times New Roman" w:eastAsia="宋体" w:cs="Times New Roman"/>
                <w:sz w:val="24"/>
              </w:rPr>
              <w:t>期末考试</w:t>
            </w:r>
          </w:p>
        </w:tc>
        <w:tc>
          <w:tcPr>
            <w:tcW w:w="7141" w:type="dxa"/>
            <w:vAlign w:val="center"/>
          </w:tcPr>
          <w:p w14:paraId="1672DE75">
            <w:pPr>
              <w:spacing w:line="264" w:lineRule="auto"/>
              <w:jc w:val="left"/>
              <w:rPr>
                <w:rFonts w:ascii="Times New Roman" w:hAnsi="Times New Roman" w:eastAsia="宋体" w:cs="Times New Roman"/>
                <w:sz w:val="24"/>
              </w:rPr>
            </w:pPr>
            <w:r>
              <w:rPr>
                <w:rFonts w:hint="eastAsia" w:ascii="宋体" w:hAnsi="宋体" w:eastAsia="宋体" w:cs="Times New Roman"/>
                <w:sz w:val="24"/>
              </w:rPr>
              <w:t>考试采用开卷形式，试卷题型参考教师资格证考试的常见题型，并以主观题为主，侧重训练学生理论结合实际、分析问题解决问题的能力。</w:t>
            </w:r>
          </w:p>
        </w:tc>
        <w:tc>
          <w:tcPr>
            <w:tcW w:w="0" w:type="auto"/>
            <w:vAlign w:val="center"/>
          </w:tcPr>
          <w:p w14:paraId="4FCCDB89">
            <w:pPr>
              <w:jc w:val="center"/>
              <w:rPr>
                <w:rFonts w:ascii="Times New Roman" w:hAnsi="Times New Roman" w:eastAsia="宋体" w:cs="Times New Roman"/>
                <w:sz w:val="24"/>
              </w:rPr>
            </w:pPr>
            <w:r>
              <w:rPr>
                <w:rFonts w:hint="eastAsia" w:ascii="Times New Roman" w:hAnsi="Times New Roman" w:eastAsia="宋体" w:cs="Times New Roman"/>
                <w:sz w:val="24"/>
              </w:rPr>
              <w:t>60%</w:t>
            </w:r>
          </w:p>
        </w:tc>
      </w:tr>
      <w:tr w14:paraId="36F4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25B75A">
            <w:pPr>
              <w:rPr>
                <w:rFonts w:ascii="Times New Roman" w:hAnsi="Times New Roman" w:eastAsia="宋体" w:cs="Times New Roman"/>
                <w:sz w:val="24"/>
              </w:rPr>
            </w:pPr>
            <w:r>
              <w:rPr>
                <w:rFonts w:hint="eastAsia" w:ascii="Times New Roman" w:hAnsi="Times New Roman" w:eastAsia="宋体" w:cs="Times New Roman"/>
                <w:sz w:val="24"/>
              </w:rPr>
              <w:t>合计</w:t>
            </w:r>
          </w:p>
        </w:tc>
        <w:tc>
          <w:tcPr>
            <w:tcW w:w="7141" w:type="dxa"/>
            <w:vAlign w:val="center"/>
          </w:tcPr>
          <w:p w14:paraId="5FF7CC10">
            <w:pPr>
              <w:spacing w:line="264" w:lineRule="auto"/>
              <w:jc w:val="left"/>
              <w:rPr>
                <w:rFonts w:hint="eastAsia" w:ascii="宋体" w:hAnsi="宋体" w:eastAsia="宋体" w:cs="Times New Roman"/>
                <w:sz w:val="24"/>
              </w:rPr>
            </w:pPr>
          </w:p>
        </w:tc>
        <w:tc>
          <w:tcPr>
            <w:tcW w:w="0" w:type="auto"/>
            <w:vAlign w:val="center"/>
          </w:tcPr>
          <w:p w14:paraId="405C7B59">
            <w:pPr>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68F4C5BE">
      <w:pPr>
        <w:spacing w:line="360" w:lineRule="auto"/>
        <w:jc w:val="left"/>
        <w:rPr>
          <w:rFonts w:hint="eastAsia" w:ascii="宋体" w:hAnsi="宋体" w:eastAsia="宋体" w:cs="Times New Roman"/>
          <w:b/>
          <w:color w:val="000000"/>
          <w:sz w:val="24"/>
        </w:rPr>
      </w:pPr>
      <w:r>
        <w:rPr>
          <w:rFonts w:hint="eastAsia" w:ascii="宋体" w:hAnsi="宋体" w:eastAsia="宋体" w:cs="Times New Roman"/>
          <w:b/>
          <w:sz w:val="24"/>
        </w:rPr>
        <w:t>（三）课程目标达成度</w:t>
      </w:r>
      <w:r>
        <w:rPr>
          <w:rFonts w:hint="eastAsia" w:ascii="宋体" w:hAnsi="宋体" w:eastAsia="宋体" w:cs="Times New Roman"/>
          <w:b/>
          <w:color w:val="000000"/>
          <w:sz w:val="24"/>
        </w:rPr>
        <w:t>计算方法</w:t>
      </w:r>
    </w:p>
    <w:p w14:paraId="115303A3">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38BF3020">
      <w:pPr>
        <w:spacing w:before="156" w:beforeLines="50" w:line="360" w:lineRule="auto"/>
        <w:jc w:val="left"/>
        <w:rPr>
          <w:rFonts w:hint="eastAsia" w:ascii="宋体" w:hAnsi="宋体" w:eastAsia="宋体" w:cs="Times New Roman"/>
          <w:color w:val="000000"/>
          <w:sz w:val="24"/>
        </w:rPr>
      </w:pPr>
      <w:r>
        <w:rPr>
          <w:rFonts w:ascii="宋体" w:hAnsi="宋体" w:eastAsia="宋体" w:cs="Times New Roman"/>
          <w:color w:val="000000"/>
          <w:sz w:val="24"/>
        </w:rPr>
        <w:object>
          <v:shape id="_x0000_i1043"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43" DrawAspect="Content" ObjectID="_1468075743" r:id="rId28">
            <o:LockedField>false</o:LockedField>
          </o:OLEObject>
        </w:object>
      </w:r>
    </w:p>
    <w:p w14:paraId="19A6000A">
      <w:pPr>
        <w:spacing w:before="156" w:beforeLines="50" w:line="360" w:lineRule="auto"/>
        <w:jc w:val="left"/>
        <w:rPr>
          <w:rFonts w:hint="eastAsia" w:ascii="宋体" w:hAnsi="宋体" w:eastAsia="宋体" w:cs="Times New Roman"/>
          <w:color w:val="000000"/>
          <w:sz w:val="24"/>
        </w:rPr>
      </w:pPr>
    </w:p>
    <w:p w14:paraId="105C2CE5">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3B32F594">
      <w:pPr>
        <w:spacing w:after="156" w:afterLines="50" w:line="360" w:lineRule="auto"/>
        <w:ind w:firstLine="480" w:firstLineChars="200"/>
        <w:rPr>
          <w:rFonts w:hint="eastAsia" w:ascii="宋体" w:hAnsi="宋体" w:eastAsia="宋体"/>
          <w:sz w:val="24"/>
        </w:rPr>
      </w:pPr>
      <w:r>
        <w:rPr>
          <w:rFonts w:hint="eastAsia" w:ascii="宋体" w:hAnsi="宋体" w:eastAsia="宋体"/>
          <w:sz w:val="24"/>
        </w:rPr>
        <w:t>本课程在系统教学的基础上，以学生为主题，整合各类教育资源，科学设计实践活动，丰富教育教学形式，提升教育教学效果，从而实现思政育人。</w:t>
      </w:r>
    </w:p>
    <w:p w14:paraId="2D0404EF">
      <w:pPr>
        <w:spacing w:line="276" w:lineRule="auto"/>
        <w:ind w:firstLine="482" w:firstLineChars="200"/>
        <w:jc w:val="center"/>
        <w:rPr>
          <w:rFonts w:hint="eastAsia" w:ascii="宋体" w:hAnsi="宋体" w:eastAsia="宋体" w:cs="宋体"/>
          <w:b/>
          <w:bCs/>
          <w:sz w:val="24"/>
        </w:rPr>
      </w:pPr>
      <w:r>
        <w:rPr>
          <w:rFonts w:hint="eastAsia" w:ascii="宋体" w:hAnsi="宋体" w:eastAsia="宋体" w:cs="宋体"/>
          <w:b/>
          <w:bCs/>
          <w:sz w:val="24"/>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5933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0E3E1A52">
            <w:pPr>
              <w:spacing w:line="240" w:lineRule="exact"/>
              <w:jc w:val="center"/>
              <w:rPr>
                <w:rFonts w:hint="eastAsia" w:ascii="宋体" w:hAnsi="宋体" w:eastAsia="宋体" w:cs="宋体"/>
                <w:b/>
                <w:bCs/>
                <w:kern w:val="0"/>
                <w:sz w:val="24"/>
              </w:rPr>
            </w:pPr>
            <w:r>
              <w:rPr>
                <w:rFonts w:hint="eastAsia" w:ascii="宋体" w:hAnsi="宋体" w:eastAsia="宋体" w:cs="宋体"/>
                <w:b/>
                <w:bCs/>
                <w:kern w:val="0"/>
                <w:sz w:val="24"/>
              </w:rPr>
              <w:t>活动主题</w:t>
            </w:r>
          </w:p>
        </w:tc>
        <w:tc>
          <w:tcPr>
            <w:tcW w:w="3407" w:type="dxa"/>
            <w:vAlign w:val="center"/>
          </w:tcPr>
          <w:p w14:paraId="7F8478ED">
            <w:pPr>
              <w:spacing w:line="240" w:lineRule="exact"/>
              <w:jc w:val="center"/>
              <w:rPr>
                <w:rFonts w:hint="eastAsia" w:ascii="宋体" w:hAnsi="宋体" w:eastAsia="宋体" w:cs="宋体"/>
                <w:b/>
                <w:bCs/>
                <w:kern w:val="0"/>
                <w:sz w:val="24"/>
              </w:rPr>
            </w:pPr>
            <w:r>
              <w:rPr>
                <w:rFonts w:hint="eastAsia" w:ascii="宋体" w:hAnsi="宋体" w:eastAsia="宋体" w:cs="宋体"/>
                <w:b/>
                <w:bCs/>
                <w:kern w:val="0"/>
                <w:sz w:val="24"/>
              </w:rPr>
              <w:t>活动内容</w:t>
            </w:r>
          </w:p>
        </w:tc>
        <w:tc>
          <w:tcPr>
            <w:tcW w:w="740" w:type="dxa"/>
            <w:vAlign w:val="center"/>
          </w:tcPr>
          <w:p w14:paraId="182024B2">
            <w:pPr>
              <w:spacing w:line="240" w:lineRule="exact"/>
              <w:jc w:val="center"/>
              <w:rPr>
                <w:rFonts w:hint="eastAsia" w:ascii="宋体" w:hAnsi="宋体" w:eastAsia="宋体" w:cs="宋体"/>
                <w:b/>
                <w:bCs/>
                <w:kern w:val="0"/>
                <w:sz w:val="24"/>
              </w:rPr>
            </w:pPr>
            <w:r>
              <w:rPr>
                <w:rFonts w:hint="eastAsia" w:ascii="宋体" w:hAnsi="宋体" w:eastAsia="宋体" w:cs="宋体"/>
                <w:b/>
                <w:bCs/>
                <w:kern w:val="0"/>
                <w:sz w:val="24"/>
              </w:rPr>
              <w:t>活动方式</w:t>
            </w:r>
          </w:p>
        </w:tc>
        <w:tc>
          <w:tcPr>
            <w:tcW w:w="3160" w:type="dxa"/>
            <w:vAlign w:val="center"/>
          </w:tcPr>
          <w:p w14:paraId="242C793D">
            <w:pPr>
              <w:spacing w:line="240" w:lineRule="exact"/>
              <w:jc w:val="center"/>
              <w:rPr>
                <w:rFonts w:hint="eastAsia" w:ascii="宋体" w:hAnsi="宋体" w:eastAsia="宋体" w:cs="宋体"/>
                <w:b/>
                <w:bCs/>
                <w:kern w:val="0"/>
                <w:sz w:val="24"/>
              </w:rPr>
            </w:pPr>
            <w:r>
              <w:rPr>
                <w:rFonts w:hint="eastAsia" w:ascii="宋体" w:hAnsi="宋体" w:eastAsia="宋体" w:cs="宋体"/>
                <w:b/>
                <w:bCs/>
                <w:kern w:val="0"/>
                <w:sz w:val="24"/>
              </w:rPr>
              <w:t>思政目标</w:t>
            </w:r>
          </w:p>
        </w:tc>
      </w:tr>
      <w:tr w14:paraId="0ABE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40A71B5">
            <w:pPr>
              <w:spacing w:line="276" w:lineRule="auto"/>
              <w:jc w:val="left"/>
              <w:rPr>
                <w:rFonts w:hint="eastAsia" w:ascii="宋体" w:hAnsi="宋体" w:eastAsia="宋体" w:cs="宋体"/>
                <w:kern w:val="0"/>
                <w:sz w:val="24"/>
              </w:rPr>
            </w:pPr>
            <w:r>
              <w:rPr>
                <w:rFonts w:hint="eastAsia" w:ascii="宋体" w:hAnsi="宋体" w:eastAsia="宋体" w:cs="宋体"/>
                <w:kern w:val="0"/>
                <w:sz w:val="24"/>
              </w:rPr>
              <w:t>教育家精神</w:t>
            </w:r>
          </w:p>
        </w:tc>
        <w:tc>
          <w:tcPr>
            <w:tcW w:w="3407" w:type="dxa"/>
            <w:vAlign w:val="center"/>
          </w:tcPr>
          <w:p w14:paraId="0FB8EE18">
            <w:pPr>
              <w:spacing w:line="276" w:lineRule="auto"/>
              <w:jc w:val="left"/>
              <w:rPr>
                <w:rFonts w:hint="eastAsia" w:ascii="宋体" w:hAnsi="宋体" w:eastAsia="宋体" w:cs="宋体"/>
                <w:kern w:val="0"/>
                <w:sz w:val="24"/>
              </w:rPr>
            </w:pPr>
            <w:r>
              <w:rPr>
                <w:rFonts w:hint="eastAsia" w:ascii="宋体" w:hAnsi="宋体" w:eastAsia="宋体" w:cs="宋体"/>
                <w:kern w:val="0"/>
                <w:sz w:val="24"/>
              </w:rPr>
              <w:t>通过阅读相关书籍或分享中国教育家的故事，进行课堂主题讨论，引导学生领会教育家精神</w:t>
            </w:r>
          </w:p>
        </w:tc>
        <w:tc>
          <w:tcPr>
            <w:tcW w:w="740" w:type="dxa"/>
            <w:vAlign w:val="center"/>
          </w:tcPr>
          <w:p w14:paraId="4492D12E">
            <w:pPr>
              <w:spacing w:line="276" w:lineRule="auto"/>
              <w:jc w:val="center"/>
              <w:rPr>
                <w:rFonts w:hint="eastAsia" w:ascii="宋体" w:hAnsi="宋体" w:eastAsia="宋体" w:cs="宋体"/>
                <w:kern w:val="0"/>
                <w:sz w:val="24"/>
              </w:rPr>
            </w:pPr>
            <w:r>
              <w:rPr>
                <w:rFonts w:hint="eastAsia" w:ascii="宋体" w:hAnsi="宋体" w:eastAsia="宋体" w:cs="宋体"/>
                <w:kern w:val="0"/>
                <w:sz w:val="24"/>
              </w:rPr>
              <w:t>平时作业</w:t>
            </w:r>
          </w:p>
        </w:tc>
        <w:tc>
          <w:tcPr>
            <w:tcW w:w="3160" w:type="dxa"/>
            <w:vAlign w:val="center"/>
          </w:tcPr>
          <w:p w14:paraId="4F6FAFF8">
            <w:pPr>
              <w:spacing w:line="276" w:lineRule="auto"/>
              <w:jc w:val="left"/>
              <w:rPr>
                <w:rFonts w:hint="eastAsia" w:ascii="宋体" w:hAnsi="宋体" w:eastAsia="宋体" w:cs="宋体"/>
                <w:kern w:val="0"/>
                <w:sz w:val="24"/>
              </w:rPr>
            </w:pPr>
            <w:r>
              <w:rPr>
                <w:rFonts w:hint="eastAsia" w:ascii="宋体" w:hAnsi="宋体" w:eastAsia="宋体" w:cs="宋体"/>
                <w:kern w:val="0"/>
                <w:sz w:val="24"/>
              </w:rPr>
              <w:t>通过对教育家精神的领会，使学立志成为有理想信念、有道德情操、有扎实学识、有仁爱之心的“四有”好老师。</w:t>
            </w:r>
          </w:p>
        </w:tc>
      </w:tr>
      <w:tr w14:paraId="0326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F96BF21">
            <w:pPr>
              <w:spacing w:line="276" w:lineRule="auto"/>
              <w:jc w:val="left"/>
              <w:rPr>
                <w:rFonts w:hint="eastAsia" w:ascii="宋体" w:hAnsi="宋体" w:eastAsia="宋体" w:cs="宋体"/>
                <w:kern w:val="0"/>
                <w:sz w:val="24"/>
              </w:rPr>
            </w:pPr>
            <w:r>
              <w:rPr>
                <w:rFonts w:hint="eastAsia" w:ascii="宋体" w:hAnsi="宋体" w:eastAsia="宋体" w:cs="宋体"/>
                <w:kern w:val="0"/>
                <w:sz w:val="24"/>
              </w:rPr>
              <w:t>观察身边榜样教师</w:t>
            </w:r>
          </w:p>
        </w:tc>
        <w:tc>
          <w:tcPr>
            <w:tcW w:w="3407" w:type="dxa"/>
            <w:vAlign w:val="center"/>
          </w:tcPr>
          <w:p w14:paraId="652F3951">
            <w:pPr>
              <w:spacing w:line="276" w:lineRule="auto"/>
              <w:jc w:val="left"/>
              <w:rPr>
                <w:rFonts w:hint="eastAsia" w:ascii="宋体" w:hAnsi="宋体" w:eastAsia="宋体" w:cs="宋体"/>
                <w:kern w:val="0"/>
                <w:sz w:val="24"/>
              </w:rPr>
            </w:pPr>
            <w:r>
              <w:rPr>
                <w:rFonts w:hint="eastAsia" w:ascii="宋体" w:hAnsi="宋体" w:eastAsia="宋体" w:cs="宋体"/>
                <w:kern w:val="0"/>
                <w:sz w:val="24"/>
              </w:rPr>
              <w:t>提示学生留意记录并观察当地或本学科的优秀教师，利用实习见习机会或者节假日等近距离接触，听课，评课，学习榜样教师的典型教学方法，传承和弘扬精益求精的工匠精神。</w:t>
            </w:r>
          </w:p>
        </w:tc>
        <w:tc>
          <w:tcPr>
            <w:tcW w:w="740" w:type="dxa"/>
            <w:vAlign w:val="center"/>
          </w:tcPr>
          <w:p w14:paraId="5FB6BA95">
            <w:pPr>
              <w:spacing w:line="276" w:lineRule="auto"/>
              <w:jc w:val="center"/>
              <w:rPr>
                <w:rFonts w:hint="eastAsia" w:ascii="宋体" w:hAnsi="宋体" w:eastAsia="宋体" w:cs="宋体"/>
                <w:kern w:val="0"/>
                <w:sz w:val="24"/>
              </w:rPr>
            </w:pPr>
            <w:r>
              <w:rPr>
                <w:rFonts w:hint="eastAsia" w:ascii="宋体" w:hAnsi="宋体" w:eastAsia="宋体" w:cs="宋体"/>
                <w:kern w:val="0"/>
                <w:sz w:val="24"/>
              </w:rPr>
              <w:t>课程实践作业</w:t>
            </w:r>
          </w:p>
        </w:tc>
        <w:tc>
          <w:tcPr>
            <w:tcW w:w="3160" w:type="dxa"/>
            <w:vAlign w:val="center"/>
          </w:tcPr>
          <w:p w14:paraId="0020BE06">
            <w:pPr>
              <w:spacing w:line="276" w:lineRule="auto"/>
              <w:jc w:val="left"/>
              <w:rPr>
                <w:rFonts w:hint="eastAsia" w:ascii="宋体" w:hAnsi="宋体" w:eastAsia="宋体" w:cs="宋体"/>
                <w:kern w:val="0"/>
                <w:sz w:val="24"/>
              </w:rPr>
            </w:pPr>
            <w:r>
              <w:rPr>
                <w:rFonts w:hint="eastAsia" w:ascii="宋体" w:hAnsi="宋体" w:eastAsia="宋体" w:cs="宋体"/>
                <w:kern w:val="0"/>
                <w:sz w:val="24"/>
              </w:rPr>
              <w:t>提高对教师专业性的认识， 立志成长为高素质专业化教师队伍中的一员。</w:t>
            </w:r>
          </w:p>
        </w:tc>
      </w:tr>
      <w:tr w14:paraId="560C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C269D6F">
            <w:pPr>
              <w:spacing w:line="276" w:lineRule="auto"/>
              <w:jc w:val="left"/>
              <w:rPr>
                <w:rFonts w:hint="eastAsia" w:ascii="宋体" w:hAnsi="宋体" w:eastAsia="宋体" w:cs="宋体"/>
                <w:kern w:val="0"/>
                <w:sz w:val="24"/>
              </w:rPr>
            </w:pPr>
            <w:r>
              <w:rPr>
                <w:rFonts w:hint="eastAsia" w:ascii="宋体" w:hAnsi="宋体" w:eastAsia="宋体" w:cs="宋体"/>
                <w:kern w:val="0"/>
                <w:sz w:val="24"/>
              </w:rPr>
              <w:t>最美教师或师德模范进课堂</w:t>
            </w:r>
          </w:p>
        </w:tc>
        <w:tc>
          <w:tcPr>
            <w:tcW w:w="3407" w:type="dxa"/>
            <w:vAlign w:val="center"/>
          </w:tcPr>
          <w:p w14:paraId="7072A48B">
            <w:pPr>
              <w:spacing w:line="276" w:lineRule="auto"/>
              <w:jc w:val="left"/>
              <w:rPr>
                <w:rFonts w:hint="eastAsia" w:ascii="宋体" w:hAnsi="宋体" w:eastAsia="宋体" w:cs="宋体"/>
                <w:kern w:val="0"/>
                <w:sz w:val="24"/>
              </w:rPr>
            </w:pPr>
            <w:r>
              <w:rPr>
                <w:rFonts w:hint="eastAsia" w:ascii="宋体" w:hAnsi="宋体" w:eastAsia="宋体" w:cs="宋体"/>
                <w:kern w:val="0"/>
                <w:sz w:val="24"/>
              </w:rPr>
              <w:t>邀请当地获得最美教师、师德模范等荣誉称号的教师做报告，提供给学生亲身经历、近距离接触一线优秀教师的学习机会。</w:t>
            </w:r>
          </w:p>
        </w:tc>
        <w:tc>
          <w:tcPr>
            <w:tcW w:w="740" w:type="dxa"/>
            <w:vAlign w:val="center"/>
          </w:tcPr>
          <w:p w14:paraId="791F64CD">
            <w:pPr>
              <w:spacing w:line="276" w:lineRule="auto"/>
              <w:jc w:val="center"/>
              <w:rPr>
                <w:rFonts w:hint="eastAsia" w:ascii="宋体" w:hAnsi="宋体" w:eastAsia="宋体" w:cs="宋体"/>
                <w:kern w:val="0"/>
                <w:sz w:val="24"/>
              </w:rPr>
            </w:pPr>
            <w:r>
              <w:rPr>
                <w:rFonts w:hint="eastAsia" w:ascii="宋体" w:hAnsi="宋体" w:eastAsia="宋体" w:cs="宋体"/>
                <w:kern w:val="0"/>
                <w:sz w:val="24"/>
              </w:rPr>
              <w:t>专题报告</w:t>
            </w:r>
          </w:p>
        </w:tc>
        <w:tc>
          <w:tcPr>
            <w:tcW w:w="3160" w:type="dxa"/>
            <w:vAlign w:val="center"/>
          </w:tcPr>
          <w:p w14:paraId="446AF380">
            <w:pPr>
              <w:spacing w:line="276" w:lineRule="auto"/>
              <w:jc w:val="left"/>
              <w:rPr>
                <w:rFonts w:hint="eastAsia" w:ascii="宋体" w:hAnsi="宋体" w:eastAsia="宋体" w:cs="宋体"/>
                <w:kern w:val="0"/>
                <w:sz w:val="24"/>
              </w:rPr>
            </w:pPr>
            <w:r>
              <w:rPr>
                <w:rFonts w:hint="eastAsia" w:ascii="宋体" w:hAnsi="宋体" w:eastAsia="宋体" w:cs="宋体"/>
                <w:kern w:val="0"/>
                <w:sz w:val="24"/>
              </w:rPr>
              <w:t>借助榜样的正能量来激发学生爱岗敬业、立志成为卓越教师的专业志向，增强教师的职业归属感与社会责任感。</w:t>
            </w:r>
          </w:p>
        </w:tc>
      </w:tr>
    </w:tbl>
    <w:p w14:paraId="2FE81E51">
      <w:pPr>
        <w:spacing w:line="360" w:lineRule="auto"/>
        <w:ind w:firstLine="482" w:firstLineChars="200"/>
        <w:rPr>
          <w:rFonts w:hint="eastAsia" w:cs="Times New Roman" w:asciiTheme="minorEastAsia" w:hAnsiTheme="minorEastAsia"/>
          <w:b/>
          <w:bCs/>
          <w:sz w:val="24"/>
        </w:rPr>
      </w:pPr>
      <w:r>
        <w:rPr>
          <w:rFonts w:hint="eastAsia" w:cs="Times New Roman" w:asciiTheme="minorEastAsia" w:hAnsiTheme="minorEastAsia"/>
          <w:b/>
          <w:bCs/>
          <w:sz w:val="24"/>
        </w:rPr>
        <w:t>（三）课程目标达成度计算方法</w:t>
      </w:r>
    </w:p>
    <w:p w14:paraId="76DFC8BD">
      <w:pPr>
        <w:spacing w:line="360" w:lineRule="auto"/>
        <w:ind w:firstLine="480" w:firstLineChars="200"/>
        <w:rPr>
          <w:rFonts w:hint="eastAsia" w:cs="Times New Roman" w:asciiTheme="minorEastAsia" w:hAnsiTheme="minorEastAsia"/>
          <w:sz w:val="24"/>
        </w:rPr>
      </w:pPr>
      <w:r>
        <w:rPr>
          <w:rFonts w:hint="eastAsia" w:cs="Times New Roman" w:asciiTheme="minorEastAsia" w:hAnsiTheme="minorEastAsia"/>
          <w:sz w:val="24"/>
        </w:rPr>
        <w:t>所有课程目标均需大于等于</w:t>
      </w:r>
      <w:r>
        <w:rPr>
          <w:rFonts w:cs="Times New Roman" w:asciiTheme="minorEastAsia" w:hAnsiTheme="minorEastAsia"/>
          <w:sz w:val="24"/>
        </w:rPr>
        <w:t>0.6，否则总评成绩不及格，需要补考或重修。每门课程目标总体达成度计算方法如下：</w:t>
      </w:r>
    </w:p>
    <w:p w14:paraId="0224E729">
      <w:pPr>
        <w:spacing w:line="360" w:lineRule="auto"/>
        <w:rPr>
          <w:rFonts w:ascii="Times New Roman" w:hAnsi="Times New Roman" w:eastAsia="宋体" w:cs="Times New Roman"/>
          <w:sz w:val="24"/>
        </w:rPr>
      </w:pPr>
      <w:r>
        <w:rPr>
          <w:rFonts w:ascii="Times New Roman" w:hAnsi="Times New Roman" w:cs="Times New Roman"/>
          <w:position w:val="-26"/>
          <w:sz w:val="24"/>
        </w:rPr>
        <w:object>
          <v:shape id="_x0000_i1044" o:spt="75" type="#_x0000_t75" style="height:27pt;width:381pt;" o:ole="t" filled="f" o:preferrelative="t" stroked="f" coordsize="21600,21600">
            <v:path/>
            <v:fill on="f" focussize="0,0"/>
            <v:stroke on="f" joinstyle="miter"/>
            <v:imagedata r:id="rId5" o:title=""/>
            <o:lock v:ext="edit" aspectratio="t"/>
            <w10:wrap type="none"/>
            <w10:anchorlock/>
          </v:shape>
          <o:OLEObject Type="Embed" ProgID="Equation.KSEE3" ShapeID="_x0000_i1044" DrawAspect="Content" ObjectID="_1468075744" r:id="rId29">
            <o:LockedField>false</o:LockedField>
          </o:OLEObject>
        </w:object>
      </w:r>
    </w:p>
    <w:p w14:paraId="5CC4C3F8">
      <w:pPr>
        <w:spacing w:line="360" w:lineRule="auto"/>
        <w:ind w:firstLine="482" w:firstLineChars="200"/>
        <w:rPr>
          <w:rFonts w:hint="eastAsia" w:ascii="宋体" w:hAnsi="宋体" w:eastAsia="宋体" w:cs="Times New Roman"/>
          <w:b/>
          <w:sz w:val="24"/>
        </w:rPr>
      </w:pPr>
    </w:p>
    <w:p w14:paraId="039EE428">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六</w:t>
      </w:r>
      <w:r>
        <w:rPr>
          <w:rFonts w:ascii="宋体" w:hAnsi="宋体" w:eastAsia="宋体" w:cs="Times New Roman"/>
          <w:b/>
          <w:sz w:val="24"/>
        </w:rPr>
        <w:t>、</w:t>
      </w:r>
      <w:r>
        <w:rPr>
          <w:rFonts w:hint="eastAsia" w:ascii="宋体" w:hAnsi="宋体" w:eastAsia="宋体" w:cs="Times New Roman"/>
          <w:b/>
          <w:sz w:val="24"/>
        </w:rPr>
        <w:t>有关说明</w:t>
      </w:r>
    </w:p>
    <w:p w14:paraId="01A37B99">
      <w:pPr>
        <w:spacing w:line="360" w:lineRule="auto"/>
        <w:ind w:firstLine="482" w:firstLineChars="200"/>
        <w:rPr>
          <w:rFonts w:hint="eastAsia" w:cs="Times New Roman" w:asciiTheme="minorEastAsia" w:hAnsiTheme="minorEastAsia"/>
          <w:b/>
          <w:bCs/>
          <w:sz w:val="24"/>
        </w:rPr>
      </w:pPr>
      <w:r>
        <w:rPr>
          <w:rFonts w:hint="eastAsia" w:cs="Times New Roman" w:asciiTheme="minorEastAsia" w:hAnsiTheme="minorEastAsia"/>
          <w:b/>
          <w:bCs/>
          <w:sz w:val="24"/>
        </w:rPr>
        <w:t>（一）持续改进</w:t>
      </w:r>
    </w:p>
    <w:p w14:paraId="77C93E5F">
      <w:pPr>
        <w:spacing w:line="360" w:lineRule="auto"/>
        <w:ind w:firstLine="480" w:firstLineChars="200"/>
        <w:rPr>
          <w:rFonts w:hint="eastAsia" w:cs="Times New Roman" w:asciiTheme="minorEastAsia" w:hAnsiTheme="minorEastAsia"/>
          <w:sz w:val="24"/>
        </w:rPr>
      </w:pPr>
      <w:r>
        <w:rPr>
          <w:rFonts w:cs="Times New Roman" w:asciiTheme="minorEastAsia" w:hAnsiTheme="minorEastAsia"/>
          <w:sz w:val="24"/>
        </w:rPr>
        <w:t>本课程根据学生作业、课堂讨论、模拟教学、说课、平时考核情况和学生、教学督导等</w:t>
      </w:r>
      <w:r>
        <w:rPr>
          <w:rFonts w:hint="eastAsia" w:cs="Times New Roman" w:asciiTheme="minorEastAsia" w:hAnsiTheme="minorEastAsia"/>
          <w:sz w:val="24"/>
        </w:rPr>
        <w:t>的</w:t>
      </w:r>
      <w:r>
        <w:rPr>
          <w:rFonts w:cs="Times New Roman" w:asciiTheme="minorEastAsia" w:hAnsiTheme="minorEastAsia"/>
          <w:sz w:val="24"/>
        </w:rPr>
        <w:t>反馈，及时对教学中</w:t>
      </w:r>
      <w:r>
        <w:rPr>
          <w:rFonts w:hint="eastAsia" w:cs="Times New Roman" w:asciiTheme="minorEastAsia" w:hAnsiTheme="minorEastAsia"/>
          <w:sz w:val="24"/>
        </w:rPr>
        <w:t>的</w:t>
      </w:r>
      <w:r>
        <w:rPr>
          <w:rFonts w:cs="Times New Roman" w:asciiTheme="minorEastAsia" w:hAnsiTheme="minorEastAsia"/>
          <w:sz w:val="24"/>
        </w:rPr>
        <w:t>不足之处进行改进，并在下一轮课程教学中</w:t>
      </w:r>
      <w:r>
        <w:rPr>
          <w:rFonts w:hint="eastAsia" w:cs="Times New Roman" w:asciiTheme="minorEastAsia" w:hAnsiTheme="minorEastAsia"/>
          <w:sz w:val="24"/>
        </w:rPr>
        <w:t>整改完善</w:t>
      </w:r>
      <w:r>
        <w:rPr>
          <w:rFonts w:cs="Times New Roman" w:asciiTheme="minorEastAsia" w:hAnsiTheme="minorEastAsia"/>
          <w:sz w:val="24"/>
        </w:rPr>
        <w:t>，确保相应毕业要求指标点达成。</w:t>
      </w:r>
    </w:p>
    <w:p w14:paraId="7E6ABFA4">
      <w:pPr>
        <w:spacing w:line="360" w:lineRule="auto"/>
        <w:ind w:firstLine="482" w:firstLineChars="200"/>
        <w:rPr>
          <w:rFonts w:hint="eastAsia" w:cs="Times New Roman" w:asciiTheme="minorEastAsia" w:hAnsiTheme="minorEastAsia"/>
          <w:b/>
          <w:sz w:val="24"/>
        </w:rPr>
      </w:pPr>
      <w:r>
        <w:rPr>
          <w:rFonts w:hint="eastAsia" w:cs="Times New Roman" w:asciiTheme="minorEastAsia" w:hAnsiTheme="minorEastAsia"/>
          <w:b/>
          <w:sz w:val="24"/>
        </w:rPr>
        <w:t>（二）建议教材</w:t>
      </w:r>
    </w:p>
    <w:p w14:paraId="6046E8FE">
      <w:pPr>
        <w:spacing w:line="360" w:lineRule="auto"/>
        <w:ind w:firstLine="480" w:firstLineChars="200"/>
        <w:rPr>
          <w:rFonts w:hint="eastAsia" w:cs="Times New Roman" w:asciiTheme="minorEastAsia" w:hAnsiTheme="minorEastAsia"/>
          <w:sz w:val="24"/>
        </w:rPr>
      </w:pPr>
      <w:r>
        <w:rPr>
          <w:rFonts w:hint="eastAsia" w:cs="Times New Roman" w:asciiTheme="minorEastAsia" w:hAnsiTheme="minorEastAsia"/>
          <w:sz w:val="24"/>
        </w:rPr>
        <w:t>王本陆，课程与教学论（第4版），北京：高等教育出版社，2023.</w:t>
      </w:r>
    </w:p>
    <w:p w14:paraId="1B654034">
      <w:pPr>
        <w:spacing w:line="360" w:lineRule="auto"/>
        <w:ind w:firstLine="480" w:firstLineChars="200"/>
        <w:rPr>
          <w:rFonts w:hint="eastAsia" w:cs="Times New Roman" w:asciiTheme="minorEastAsia" w:hAnsiTheme="minorEastAsia"/>
          <w:sz w:val="24"/>
        </w:rPr>
      </w:pPr>
      <w:r>
        <w:rPr>
          <w:rFonts w:hint="eastAsia" w:cs="Times New Roman" w:asciiTheme="minorEastAsia" w:hAnsiTheme="minorEastAsia"/>
          <w:sz w:val="24"/>
        </w:rPr>
        <w:t>陈佑清，有效教学，北京：高等教育出版社，2016.</w:t>
      </w:r>
    </w:p>
    <w:p w14:paraId="165CBBE6">
      <w:pPr>
        <w:spacing w:line="360" w:lineRule="auto"/>
        <w:ind w:firstLine="482" w:firstLineChars="200"/>
        <w:rPr>
          <w:rFonts w:hint="eastAsia" w:cs="Times New Roman" w:asciiTheme="minorEastAsia" w:hAnsiTheme="minorEastAsia"/>
          <w:b/>
          <w:bCs/>
          <w:sz w:val="24"/>
        </w:rPr>
      </w:pPr>
      <w:r>
        <w:rPr>
          <w:rFonts w:hint="eastAsia" w:cs="Times New Roman" w:asciiTheme="minorEastAsia" w:hAnsiTheme="minorEastAsia"/>
          <w:b/>
          <w:sz w:val="24"/>
        </w:rPr>
        <w:t>（三）</w:t>
      </w:r>
      <w:r>
        <w:rPr>
          <w:rFonts w:cs="Times New Roman" w:asciiTheme="minorEastAsia" w:hAnsiTheme="minorEastAsia"/>
          <w:b/>
          <w:sz w:val="24"/>
        </w:rPr>
        <w:t>参考书目</w:t>
      </w:r>
    </w:p>
    <w:p w14:paraId="7EA11216">
      <w:pPr>
        <w:spacing w:line="360" w:lineRule="auto"/>
        <w:ind w:firstLine="480" w:firstLineChars="200"/>
        <w:rPr>
          <w:rFonts w:hint="eastAsia" w:cs="Times New Roman" w:asciiTheme="minorEastAsia" w:hAnsiTheme="minorEastAsia"/>
          <w:sz w:val="24"/>
        </w:rPr>
      </w:pPr>
      <w:r>
        <w:rPr>
          <w:rFonts w:cs="Times New Roman" w:asciiTheme="minorEastAsia" w:hAnsiTheme="minorEastAsia"/>
          <w:sz w:val="24"/>
        </w:rPr>
        <w:t>[捷]夸美纽斯.傅任敢译.大教学论.北京：教育科学出版社，1999.</w:t>
      </w:r>
    </w:p>
    <w:p w14:paraId="043FC44A">
      <w:pPr>
        <w:spacing w:line="360" w:lineRule="auto"/>
        <w:ind w:firstLine="480" w:firstLineChars="200"/>
        <w:rPr>
          <w:rFonts w:hint="eastAsia" w:cs="Times New Roman" w:asciiTheme="minorEastAsia" w:hAnsiTheme="minorEastAsia"/>
          <w:sz w:val="24"/>
        </w:rPr>
      </w:pPr>
      <w:r>
        <w:rPr>
          <w:rFonts w:hint="eastAsia" w:cs="Times New Roman" w:asciiTheme="minorEastAsia" w:hAnsiTheme="minorEastAsia"/>
          <w:sz w:val="24"/>
        </w:rPr>
        <w:t>陈晓端</w:t>
      </w:r>
      <w:r>
        <w:rPr>
          <w:rFonts w:cs="Times New Roman" w:asciiTheme="minorEastAsia" w:hAnsiTheme="minorEastAsia"/>
          <w:sz w:val="24"/>
        </w:rPr>
        <w:t>, 张立昌. 课程与教学通论. 西安: 陕西师范大学出版总社, 2017.</w:t>
      </w:r>
    </w:p>
    <w:p w14:paraId="1D5A0CBF">
      <w:pPr>
        <w:spacing w:line="360" w:lineRule="auto"/>
        <w:ind w:firstLine="480" w:firstLineChars="200"/>
        <w:jc w:val="left"/>
        <w:rPr>
          <w:rFonts w:hint="eastAsia" w:cs="Times New Roman" w:asciiTheme="minorEastAsia" w:hAnsiTheme="minorEastAsia"/>
          <w:sz w:val="24"/>
        </w:rPr>
      </w:pPr>
      <w:r>
        <w:rPr>
          <w:rFonts w:hint="eastAsia" w:cs="Times New Roman" w:asciiTheme="minorEastAsia" w:hAnsiTheme="minorEastAsia"/>
          <w:sz w:val="24"/>
        </w:rPr>
        <w:t>王本陆.课程与教学论.</w:t>
      </w:r>
      <w:r>
        <w:rPr>
          <w:rFonts w:cs="Times New Roman" w:asciiTheme="minorEastAsia" w:hAnsiTheme="minorEastAsia"/>
          <w:sz w:val="24"/>
        </w:rPr>
        <w:t xml:space="preserve"> </w:t>
      </w:r>
      <w:r>
        <w:rPr>
          <w:rFonts w:hint="eastAsia" w:cs="Times New Roman" w:asciiTheme="minorEastAsia" w:hAnsiTheme="minorEastAsia"/>
          <w:sz w:val="24"/>
        </w:rPr>
        <w:t>北京：高等教育出版社，201</w:t>
      </w:r>
      <w:r>
        <w:rPr>
          <w:rFonts w:cs="Times New Roman" w:asciiTheme="minorEastAsia" w:hAnsiTheme="minorEastAsia"/>
          <w:sz w:val="24"/>
        </w:rPr>
        <w:t>7.</w:t>
      </w:r>
    </w:p>
    <w:p w14:paraId="22A7C844">
      <w:pPr>
        <w:spacing w:line="360" w:lineRule="auto"/>
        <w:ind w:firstLine="480" w:firstLineChars="200"/>
        <w:rPr>
          <w:rFonts w:hint="eastAsia" w:cs="Times New Roman" w:asciiTheme="minorEastAsia" w:hAnsiTheme="minorEastAsia"/>
          <w:sz w:val="24"/>
        </w:rPr>
      </w:pPr>
      <w:r>
        <w:rPr>
          <w:rFonts w:hint="eastAsia" w:cs="Times New Roman" w:asciiTheme="minorEastAsia" w:hAnsiTheme="minorEastAsia"/>
          <w:sz w:val="24"/>
        </w:rPr>
        <w:t>徐继存、徐文彬</w:t>
      </w:r>
      <w:r>
        <w:rPr>
          <w:rFonts w:cs="Times New Roman" w:asciiTheme="minorEastAsia" w:hAnsiTheme="minorEastAsia"/>
          <w:sz w:val="24"/>
        </w:rPr>
        <w:t>.课程与教学论.</w:t>
      </w:r>
      <w:r>
        <w:rPr>
          <w:rFonts w:hint="eastAsia" w:cs="Times New Roman" w:asciiTheme="minorEastAsia" w:hAnsiTheme="minorEastAsia"/>
          <w:sz w:val="24"/>
        </w:rPr>
        <w:t>北京：</w:t>
      </w:r>
      <w:r>
        <w:rPr>
          <w:rFonts w:cs="Times New Roman" w:asciiTheme="minorEastAsia" w:hAnsiTheme="minorEastAsia"/>
          <w:sz w:val="24"/>
        </w:rPr>
        <w:t>高等教育出版社，2009.</w:t>
      </w:r>
    </w:p>
    <w:p w14:paraId="19BA9A1E">
      <w:pPr>
        <w:spacing w:line="360" w:lineRule="auto"/>
        <w:ind w:firstLine="480" w:firstLineChars="200"/>
        <w:rPr>
          <w:rFonts w:hint="eastAsia" w:cs="Times New Roman" w:asciiTheme="minorEastAsia" w:hAnsiTheme="minorEastAsia"/>
          <w:sz w:val="24"/>
        </w:rPr>
      </w:pPr>
      <w:r>
        <w:rPr>
          <w:rFonts w:cs="Times New Roman" w:asciiTheme="minorEastAsia" w:hAnsiTheme="minorEastAsia"/>
          <w:sz w:val="24"/>
        </w:rPr>
        <w:t>张 华.课程与教学论.</w:t>
      </w:r>
      <w:r>
        <w:rPr>
          <w:rFonts w:hint="eastAsia" w:cs="Times New Roman" w:asciiTheme="minorEastAsia" w:hAnsiTheme="minorEastAsia"/>
          <w:sz w:val="24"/>
        </w:rPr>
        <w:t>上海：</w:t>
      </w:r>
      <w:r>
        <w:rPr>
          <w:rFonts w:cs="Times New Roman" w:asciiTheme="minorEastAsia" w:hAnsiTheme="minorEastAsia"/>
          <w:sz w:val="24"/>
        </w:rPr>
        <w:t>上海教育出版社，2001.</w:t>
      </w:r>
    </w:p>
    <w:p w14:paraId="26B73A54">
      <w:pPr>
        <w:spacing w:line="360" w:lineRule="auto"/>
        <w:ind w:firstLine="480" w:firstLineChars="200"/>
        <w:rPr>
          <w:rFonts w:hint="eastAsia" w:cs="Times New Roman" w:asciiTheme="minorEastAsia" w:hAnsiTheme="minorEastAsia"/>
          <w:sz w:val="24"/>
        </w:rPr>
      </w:pPr>
      <w:r>
        <w:rPr>
          <w:rFonts w:cs="Times New Roman" w:asciiTheme="minorEastAsia" w:hAnsiTheme="minorEastAsia"/>
          <w:sz w:val="24"/>
        </w:rPr>
        <w:t>钟启泉.课程论.</w:t>
      </w:r>
      <w:r>
        <w:rPr>
          <w:rFonts w:hint="eastAsia" w:cs="Times New Roman" w:asciiTheme="minorEastAsia" w:hAnsiTheme="minorEastAsia"/>
          <w:sz w:val="24"/>
        </w:rPr>
        <w:t>北京：</w:t>
      </w:r>
      <w:r>
        <w:rPr>
          <w:rFonts w:cs="Times New Roman" w:asciiTheme="minorEastAsia" w:hAnsiTheme="minorEastAsia"/>
          <w:sz w:val="24"/>
        </w:rPr>
        <w:t>教育科学出版社，2007.</w:t>
      </w:r>
    </w:p>
    <w:p w14:paraId="5E4582A7">
      <w:pPr>
        <w:spacing w:line="360" w:lineRule="auto"/>
        <w:ind w:firstLine="480" w:firstLineChars="200"/>
        <w:rPr>
          <w:rFonts w:hint="eastAsia" w:cs="Times New Roman" w:asciiTheme="minorEastAsia" w:hAnsiTheme="minorEastAsia"/>
          <w:sz w:val="24"/>
        </w:rPr>
      </w:pPr>
      <w:r>
        <w:rPr>
          <w:rFonts w:cs="Times New Roman" w:asciiTheme="minorEastAsia" w:hAnsiTheme="minorEastAsia"/>
          <w:sz w:val="24"/>
        </w:rPr>
        <w:t>裴娣娜.教学论.</w:t>
      </w:r>
      <w:r>
        <w:rPr>
          <w:rFonts w:hint="eastAsia" w:cs="Times New Roman" w:asciiTheme="minorEastAsia" w:hAnsiTheme="minorEastAsia"/>
          <w:sz w:val="24"/>
        </w:rPr>
        <w:t>北京：</w:t>
      </w:r>
      <w:r>
        <w:rPr>
          <w:rFonts w:cs="Times New Roman" w:asciiTheme="minorEastAsia" w:hAnsiTheme="minorEastAsia"/>
          <w:sz w:val="24"/>
        </w:rPr>
        <w:t>教育科学出版社，2007.</w:t>
      </w:r>
    </w:p>
    <w:p w14:paraId="2BB22E37">
      <w:pPr>
        <w:spacing w:line="360" w:lineRule="auto"/>
        <w:ind w:firstLine="480" w:firstLineChars="200"/>
        <w:rPr>
          <w:rFonts w:hint="eastAsia" w:cs="Times New Roman" w:asciiTheme="minorEastAsia" w:hAnsiTheme="minorEastAsia"/>
          <w:sz w:val="24"/>
        </w:rPr>
      </w:pPr>
      <w:r>
        <w:rPr>
          <w:rFonts w:cs="Times New Roman" w:asciiTheme="minorEastAsia" w:hAnsiTheme="minorEastAsia"/>
          <w:sz w:val="24"/>
        </w:rPr>
        <w:t>施良方.教学理论.</w:t>
      </w:r>
      <w:r>
        <w:rPr>
          <w:rFonts w:hint="eastAsia" w:cs="Times New Roman" w:asciiTheme="minorEastAsia" w:hAnsiTheme="minorEastAsia"/>
          <w:sz w:val="24"/>
        </w:rPr>
        <w:t>上海：</w:t>
      </w:r>
      <w:r>
        <w:rPr>
          <w:rFonts w:cs="Times New Roman" w:asciiTheme="minorEastAsia" w:hAnsiTheme="minorEastAsia"/>
          <w:sz w:val="24"/>
        </w:rPr>
        <w:t>华东师范大学出版社，1999.</w:t>
      </w:r>
    </w:p>
    <w:p w14:paraId="6DA3BCE2">
      <w:pPr>
        <w:spacing w:line="360" w:lineRule="auto"/>
        <w:ind w:firstLine="480" w:firstLineChars="200"/>
        <w:rPr>
          <w:rFonts w:hint="eastAsia" w:cs="Times New Roman" w:asciiTheme="minorEastAsia" w:hAnsiTheme="minorEastAsia"/>
          <w:sz w:val="24"/>
        </w:rPr>
      </w:pPr>
      <w:r>
        <w:rPr>
          <w:rFonts w:cs="Times New Roman" w:asciiTheme="minorEastAsia" w:hAnsiTheme="minorEastAsia"/>
          <w:sz w:val="24"/>
        </w:rPr>
        <w:t>施良方.课程理论</w:t>
      </w:r>
      <w:r>
        <w:rPr>
          <w:rFonts w:hint="eastAsia" w:cs="Times New Roman" w:asciiTheme="minorEastAsia" w:hAnsiTheme="minorEastAsia"/>
          <w:sz w:val="24"/>
        </w:rPr>
        <w:t>：课程的基础、原理与问题</w:t>
      </w:r>
      <w:r>
        <w:rPr>
          <w:rFonts w:cs="Times New Roman" w:asciiTheme="minorEastAsia" w:hAnsiTheme="minorEastAsia"/>
          <w:sz w:val="24"/>
        </w:rPr>
        <w:t>.</w:t>
      </w:r>
      <w:r>
        <w:rPr>
          <w:rFonts w:hint="eastAsia" w:cs="Times New Roman" w:asciiTheme="minorEastAsia" w:hAnsiTheme="minorEastAsia"/>
          <w:sz w:val="24"/>
        </w:rPr>
        <w:t>北京：</w:t>
      </w:r>
      <w:r>
        <w:rPr>
          <w:rFonts w:cs="Times New Roman" w:asciiTheme="minorEastAsia" w:hAnsiTheme="minorEastAsia"/>
          <w:sz w:val="24"/>
        </w:rPr>
        <w:t>教育科学出版社，1996.</w:t>
      </w:r>
    </w:p>
    <w:p w14:paraId="3D922030">
      <w:pPr>
        <w:spacing w:line="360" w:lineRule="auto"/>
        <w:ind w:firstLine="480" w:firstLineChars="200"/>
        <w:rPr>
          <w:rFonts w:hint="eastAsia" w:cs="Times New Roman" w:asciiTheme="minorEastAsia" w:hAnsiTheme="minorEastAsia"/>
          <w:sz w:val="24"/>
        </w:rPr>
      </w:pPr>
      <w:r>
        <w:rPr>
          <w:rFonts w:cs="Times New Roman" w:asciiTheme="minorEastAsia" w:hAnsiTheme="minorEastAsia"/>
          <w:sz w:val="24"/>
        </w:rPr>
        <w:t>杨启亮.困惑与抉择—20 世纪的新教学论.</w:t>
      </w:r>
      <w:r>
        <w:rPr>
          <w:rFonts w:hint="eastAsia" w:cs="Times New Roman" w:asciiTheme="minorEastAsia" w:hAnsiTheme="minorEastAsia"/>
          <w:sz w:val="24"/>
        </w:rPr>
        <w:t>济南：</w:t>
      </w:r>
      <w:r>
        <w:rPr>
          <w:rFonts w:cs="Times New Roman" w:asciiTheme="minorEastAsia" w:hAnsiTheme="minorEastAsia"/>
          <w:sz w:val="24"/>
        </w:rPr>
        <w:t>山东教育出版社，1995.</w:t>
      </w:r>
    </w:p>
    <w:p w14:paraId="29E9B578">
      <w:pPr>
        <w:spacing w:line="360" w:lineRule="auto"/>
        <w:ind w:firstLine="480" w:firstLineChars="200"/>
        <w:rPr>
          <w:rFonts w:hint="eastAsia" w:cs="Times New Roman" w:asciiTheme="minorEastAsia" w:hAnsiTheme="minorEastAsia"/>
          <w:sz w:val="24"/>
        </w:rPr>
      </w:pPr>
      <w:r>
        <w:rPr>
          <w:rFonts w:cs="Times New Roman" w:asciiTheme="minorEastAsia" w:hAnsiTheme="minorEastAsia"/>
          <w:sz w:val="24"/>
        </w:rPr>
        <w:t>李定仁、徐继存.课程论研究二十年.</w:t>
      </w:r>
      <w:r>
        <w:rPr>
          <w:rFonts w:hint="eastAsia" w:cs="Times New Roman" w:asciiTheme="minorEastAsia" w:hAnsiTheme="minorEastAsia"/>
          <w:sz w:val="24"/>
        </w:rPr>
        <w:t>北京：</w:t>
      </w:r>
      <w:r>
        <w:rPr>
          <w:rFonts w:cs="Times New Roman" w:asciiTheme="minorEastAsia" w:hAnsiTheme="minorEastAsia"/>
          <w:sz w:val="24"/>
        </w:rPr>
        <w:t>人民教育出版社，2004.</w:t>
      </w:r>
    </w:p>
    <w:p w14:paraId="05E382E1">
      <w:pPr>
        <w:spacing w:line="360" w:lineRule="auto"/>
        <w:ind w:firstLine="480" w:firstLineChars="200"/>
        <w:rPr>
          <w:rFonts w:hint="eastAsia" w:cs="Times New Roman" w:asciiTheme="minorEastAsia" w:hAnsiTheme="minorEastAsia"/>
          <w:sz w:val="24"/>
        </w:rPr>
      </w:pPr>
      <w:r>
        <w:rPr>
          <w:rFonts w:hint="eastAsia" w:cs="Times New Roman" w:asciiTheme="minorEastAsia" w:hAnsiTheme="minorEastAsia"/>
          <w:sz w:val="24"/>
        </w:rPr>
        <w:t>陈晓端主编</w:t>
      </w:r>
      <w:r>
        <w:rPr>
          <w:rFonts w:cs="Times New Roman" w:asciiTheme="minorEastAsia" w:hAnsiTheme="minorEastAsia"/>
          <w:sz w:val="24"/>
        </w:rPr>
        <w:t>. 国外教学论基本文献讲读.北京：北京大学出版社, 2013.</w:t>
      </w:r>
    </w:p>
    <w:p w14:paraId="0420B3C1">
      <w:pPr>
        <w:spacing w:line="360" w:lineRule="auto"/>
        <w:ind w:firstLine="480" w:firstLineChars="200"/>
        <w:rPr>
          <w:rFonts w:hint="eastAsia" w:cs="Times New Roman" w:asciiTheme="minorEastAsia" w:hAnsiTheme="minorEastAsia"/>
          <w:sz w:val="24"/>
        </w:rPr>
      </w:pPr>
      <w:r>
        <w:rPr>
          <w:rFonts w:hint="eastAsia" w:cs="Times New Roman" w:asciiTheme="minorEastAsia" w:hAnsiTheme="minorEastAsia"/>
          <w:sz w:val="24"/>
        </w:rPr>
        <w:t>陈晓端、郝文武主编</w:t>
      </w:r>
      <w:r>
        <w:rPr>
          <w:rFonts w:cs="Times New Roman" w:asciiTheme="minorEastAsia" w:hAnsiTheme="minorEastAsia"/>
          <w:sz w:val="24"/>
        </w:rPr>
        <w:t>.西方教育哲学流派课程与教学思想.北京：中国轻工业出版社，2008.</w:t>
      </w:r>
    </w:p>
    <w:p w14:paraId="759CA78F">
      <w:pPr>
        <w:spacing w:line="360" w:lineRule="auto"/>
        <w:ind w:firstLine="480" w:firstLineChars="200"/>
        <w:rPr>
          <w:rFonts w:hint="eastAsia" w:cs="Times New Roman" w:asciiTheme="minorEastAsia" w:hAnsiTheme="minorEastAsia"/>
          <w:sz w:val="24"/>
        </w:rPr>
      </w:pPr>
      <w:r>
        <w:rPr>
          <w:rFonts w:hint="eastAsia" w:cs="Times New Roman" w:asciiTheme="minorEastAsia" w:hAnsiTheme="minorEastAsia"/>
          <w:sz w:val="24"/>
        </w:rPr>
        <w:t>何克抗等著</w:t>
      </w:r>
      <w:r>
        <w:rPr>
          <w:rFonts w:cs="Times New Roman" w:asciiTheme="minorEastAsia" w:hAnsiTheme="minorEastAsia"/>
          <w:sz w:val="24"/>
        </w:rPr>
        <w:t>. 教学系统设计(第2版).北京:高等教育出版社, 2016.</w:t>
      </w:r>
    </w:p>
    <w:p w14:paraId="15D51ED9">
      <w:pPr>
        <w:spacing w:line="360" w:lineRule="auto"/>
        <w:ind w:firstLine="480" w:firstLineChars="200"/>
        <w:rPr>
          <w:rFonts w:hint="eastAsia" w:cs="Times New Roman" w:asciiTheme="minorEastAsia" w:hAnsiTheme="minorEastAsia"/>
          <w:sz w:val="24"/>
        </w:rPr>
      </w:pPr>
      <w:r>
        <w:rPr>
          <w:rFonts w:cs="Times New Roman" w:asciiTheme="minorEastAsia" w:hAnsiTheme="minorEastAsia"/>
          <w:sz w:val="24"/>
        </w:rPr>
        <w:t>Diane Heacox著.杨希洁译.差异教学——帮助每个学生获得成功.北京：中国轻工业出版社, 2004.</w:t>
      </w:r>
    </w:p>
    <w:p w14:paraId="2C0D3516">
      <w:pPr>
        <w:autoSpaceDE w:val="0"/>
        <w:autoSpaceDN w:val="0"/>
        <w:adjustRightInd w:val="0"/>
        <w:spacing w:line="360" w:lineRule="auto"/>
        <w:jc w:val="left"/>
        <w:rPr>
          <w:rFonts w:hint="eastAsia" w:cs="Times New Roman" w:asciiTheme="minorEastAsia" w:hAnsiTheme="minorEastAsia"/>
          <w:sz w:val="24"/>
        </w:rPr>
      </w:pPr>
      <w:r>
        <w:rPr>
          <w:rFonts w:cs="Times New Roman" w:asciiTheme="minorEastAsia" w:hAnsiTheme="minorEastAsia"/>
          <w:sz w:val="24"/>
        </w:rPr>
        <w:t>熊川武.反思性教学.上海:华东师范大学出版社, 1999.</w:t>
      </w:r>
    </w:p>
    <w:p w14:paraId="11BA670F">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张文娟</w:t>
      </w:r>
    </w:p>
    <w:p w14:paraId="37106AAA">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ascii="宋体" w:hAnsi="宋体" w:eastAsia="宋体" w:cs="Times New Roman"/>
          <w:kern w:val="0"/>
          <w:sz w:val="24"/>
          <w:szCs w:val="21"/>
        </w:rPr>
        <w:t>审定人：</w:t>
      </w:r>
      <w:r>
        <w:rPr>
          <w:rFonts w:hint="eastAsia" w:ascii="宋体" w:hAnsi="宋体" w:eastAsia="宋体" w:cs="Times New Roman"/>
          <w:kern w:val="0"/>
          <w:sz w:val="24"/>
          <w:szCs w:val="21"/>
        </w:rPr>
        <w:t>王健</w:t>
      </w:r>
    </w:p>
    <w:p w14:paraId="0BD8C8CA">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审批</w:t>
      </w:r>
      <w:r>
        <w:rPr>
          <w:rFonts w:ascii="宋体" w:hAnsi="宋体" w:eastAsia="宋体" w:cs="Times New Roman"/>
          <w:kern w:val="0"/>
          <w:sz w:val="24"/>
          <w:szCs w:val="21"/>
        </w:rPr>
        <w:t>人：</w:t>
      </w:r>
      <w:r>
        <w:rPr>
          <w:rFonts w:hint="eastAsia" w:ascii="宋体" w:hAnsi="宋体" w:eastAsia="宋体" w:cs="Times New Roman"/>
          <w:kern w:val="0"/>
          <w:sz w:val="24"/>
          <w:szCs w:val="21"/>
        </w:rPr>
        <w:t>张志欣</w:t>
      </w:r>
    </w:p>
    <w:p w14:paraId="169B965F">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批准时间：2024年9月1日</w:t>
      </w:r>
    </w:p>
    <w:p w14:paraId="69E47BB2">
      <w:pPr>
        <w:rPr>
          <w:rFonts w:hint="eastAsia" w:ascii="等线" w:hAnsi="等线" w:eastAsia="等线" w:cs="等线"/>
          <w:b/>
          <w:bCs/>
          <w:sz w:val="44"/>
          <w:szCs w:val="44"/>
        </w:rPr>
      </w:pPr>
      <w:r>
        <w:rPr>
          <w:rFonts w:hint="eastAsia" w:ascii="等线" w:hAnsi="等线" w:eastAsia="等线" w:cs="等线"/>
          <w:b/>
          <w:bCs/>
          <w:sz w:val="44"/>
          <w:szCs w:val="44"/>
        </w:rPr>
        <w:br w:type="page"/>
      </w:r>
    </w:p>
    <w:p w14:paraId="7D6A5CE9">
      <w:pPr>
        <w:pStyle w:val="2"/>
      </w:pPr>
      <w:bookmarkStart w:id="105" w:name="_Toc57017177"/>
      <w:bookmarkStart w:id="106" w:name="_Toc88424519"/>
      <w:bookmarkStart w:id="107" w:name="_Toc31278"/>
      <w:r>
        <w:rPr>
          <w:rFonts w:hint="eastAsia"/>
        </w:rPr>
        <w:t>《教育心理学》课程教学大纲</w:t>
      </w:r>
      <w:bookmarkEnd w:id="105"/>
      <w:bookmarkEnd w:id="106"/>
      <w:bookmarkEnd w:id="107"/>
    </w:p>
    <w:p w14:paraId="747B6382">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（Educational Psychology）</w:t>
      </w:r>
    </w:p>
    <w:p w14:paraId="3CA55EA6">
      <w:pPr>
        <w:spacing w:line="360" w:lineRule="auto"/>
        <w:jc w:val="center"/>
        <w:rPr>
          <w:rFonts w:ascii="Times New Roman" w:hAnsi="Times New Roman" w:eastAsia="宋体" w:cs="Times New Roman"/>
          <w:b/>
          <w:bCs/>
          <w:sz w:val="30"/>
        </w:rPr>
      </w:pPr>
    </w:p>
    <w:p w14:paraId="2F2CD9DA">
      <w:pPr>
        <w:spacing w:line="360" w:lineRule="auto"/>
        <w:ind w:firstLine="482" w:firstLineChars="200"/>
        <w:jc w:val="left"/>
        <w:rPr>
          <w:rFonts w:ascii="Times New Roman" w:hAnsi="Times New Roman" w:eastAsia="宋体" w:cs="Times New Roman"/>
          <w:b/>
          <w:sz w:val="24"/>
        </w:rPr>
      </w:pPr>
      <w:bookmarkStart w:id="108" w:name="_Toc27847272"/>
      <w:bookmarkStart w:id="109" w:name="_Toc27846254"/>
      <w:r>
        <w:rPr>
          <w:rFonts w:hint="eastAsia" w:ascii="Times New Roman" w:hAnsi="Times New Roman" w:eastAsia="宋体" w:cs="Times New Roman"/>
          <w:b/>
          <w:sz w:val="24"/>
        </w:rPr>
        <w:t>课程名称：教育心理学</w:t>
      </w:r>
    </w:p>
    <w:p w14:paraId="66AE47F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课程代码：2401011</w:t>
      </w:r>
    </w:p>
    <w:p w14:paraId="470C1C1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369F334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147F84E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先修课程：小学心理学、专业导论</w:t>
      </w:r>
    </w:p>
    <w:p w14:paraId="7B1AAF1D">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49BCEEE2">
      <w:pPr>
        <w:spacing w:line="360" w:lineRule="auto"/>
        <w:ind w:firstLine="551" w:firstLineChars="196"/>
        <w:rPr>
          <w:rFonts w:hint="eastAsia" w:ascii="宋体" w:hAnsi="宋体" w:eastAsia="宋体" w:cs="Times New Roman"/>
          <w:b/>
          <w:sz w:val="28"/>
          <w:szCs w:val="28"/>
        </w:rPr>
      </w:pPr>
    </w:p>
    <w:p w14:paraId="70253DF9">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5FC76C8C">
      <w:pPr>
        <w:spacing w:line="360" w:lineRule="auto"/>
        <w:ind w:firstLine="411" w:firstLineChars="196"/>
        <w:rPr>
          <w:rFonts w:hint="eastAsia" w:ascii="宋体" w:hAnsi="宋体" w:eastAsia="宋体" w:cs="Times New Roman"/>
          <w:b/>
          <w:sz w:val="28"/>
          <w:szCs w:val="28"/>
        </w:rPr>
      </w:pPr>
      <w:r>
        <w:rPr>
          <w:rFonts w:hint="eastAsia" w:ascii="Times New Roman" w:hAnsi="Times New Roman" w:eastAsia="宋体" w:cs="Times New Roman"/>
          <w:szCs w:val="21"/>
        </w:rPr>
        <w:t xml:space="preserve">本课程是小学教育专业的专业基础必修课。通过本课程的学习，学生能掌握有关学与教的心理学理论与基本原理，获得适应将来教学环境的基础知识和基本能力，为后续《课程与教学论》、《小学数学课程标准与教材分析》/《小学语文课程标准与教材分析》、《小学数学教学设计与实施》/《小学语文教学设计与实施》、《小学班队管理》、《小学生心理辅导》等课程及教育实习环节奠定基础。 </w:t>
      </w:r>
    </w:p>
    <w:bookmarkEnd w:id="108"/>
    <w:bookmarkEnd w:id="109"/>
    <w:p w14:paraId="009C10B4">
      <w:pPr>
        <w:spacing w:line="360" w:lineRule="auto"/>
        <w:rPr>
          <w:rFonts w:hint="eastAsia" w:ascii="宋体" w:hAnsi="宋体" w:eastAsia="宋体" w:cs="Times New Roman"/>
          <w:b/>
          <w:sz w:val="24"/>
        </w:rPr>
      </w:pPr>
      <w:bookmarkStart w:id="110" w:name="_Toc27847273"/>
      <w:bookmarkStart w:id="111" w:name="_Toc27846255"/>
    </w:p>
    <w:p w14:paraId="7E3974B2">
      <w:pPr>
        <w:spacing w:line="360" w:lineRule="auto"/>
        <w:rPr>
          <w:rFonts w:hint="eastAsia" w:ascii="宋体" w:hAnsi="宋体" w:eastAsia="宋体" w:cs="Times New Roman"/>
          <w:b/>
          <w:sz w:val="24"/>
        </w:rPr>
      </w:pPr>
      <w:r>
        <w:rPr>
          <w:rFonts w:hint="eastAsia" w:ascii="宋体" w:hAnsi="宋体" w:eastAsia="宋体" w:cs="Times New Roman"/>
          <w:b/>
          <w:sz w:val="24"/>
        </w:rPr>
        <w:t>二</w:t>
      </w:r>
      <w:r>
        <w:rPr>
          <w:rFonts w:ascii="宋体" w:hAnsi="宋体" w:eastAsia="宋体" w:cs="Times New Roman"/>
          <w:b/>
          <w:sz w:val="24"/>
        </w:rPr>
        <w:t>、课程目标</w:t>
      </w:r>
      <w:bookmarkEnd w:id="110"/>
      <w:bookmarkEnd w:id="111"/>
    </w:p>
    <w:p w14:paraId="7D3ED06A">
      <w:pPr>
        <w:spacing w:line="360" w:lineRule="auto"/>
        <w:ind w:firstLine="442" w:firstLineChars="200"/>
        <w:rPr>
          <w:rFonts w:hint="eastAsia" w:ascii="宋体" w:hAnsi="宋体" w:eastAsia="宋体" w:cs="Times New Roman"/>
          <w:b/>
          <w:sz w:val="22"/>
          <w:szCs w:val="22"/>
        </w:rPr>
      </w:pPr>
      <w:bookmarkStart w:id="112" w:name="_Toc27846256"/>
      <w:bookmarkStart w:id="113" w:name="_Toc27847274"/>
      <w:r>
        <w:rPr>
          <w:rFonts w:hint="eastAsia" w:ascii="宋体" w:hAnsi="宋体" w:eastAsia="宋体" w:cs="Times New Roman"/>
          <w:b/>
          <w:sz w:val="22"/>
          <w:szCs w:val="22"/>
        </w:rPr>
        <w:t>（一）课程具体目标</w:t>
      </w:r>
      <w:bookmarkEnd w:id="112"/>
      <w:bookmarkEnd w:id="113"/>
    </w:p>
    <w:p w14:paraId="6DCE72B5">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kern w:val="0"/>
          <w:szCs w:val="20"/>
        </w:rPr>
        <w:t>掌握学与教的基本心理学理论与基本原理，具有积极开展教育教学的意识，</w:t>
      </w:r>
      <w:r>
        <w:rPr>
          <w:rFonts w:hint="eastAsia" w:ascii="Times New Roman" w:hAnsi="Times New Roman" w:eastAsia="宋体" w:cs="Times New Roman"/>
          <w:szCs w:val="21"/>
        </w:rPr>
        <w:t>为今后从事教育实践工作打下良好基础。</w:t>
      </w:r>
    </w:p>
    <w:p w14:paraId="241381DE">
      <w:pPr>
        <w:spacing w:line="360" w:lineRule="auto"/>
        <w:ind w:firstLine="422" w:firstLineChars="200"/>
        <w:rPr>
          <w:rFonts w:hint="eastAsia" w:ascii="宋体" w:hAnsi="宋体" w:eastAsia="宋体" w:cs="Times New Roman"/>
          <w:kern w:val="0"/>
          <w:szCs w:val="20"/>
        </w:rPr>
      </w:pPr>
      <w:r>
        <w:rPr>
          <w:rFonts w:hint="eastAsia" w:ascii="Times New Roman" w:hAnsi="Times New Roman" w:eastAsia="宋体" w:cs="Times New Roman"/>
          <w:b/>
          <w:szCs w:val="21"/>
        </w:rPr>
        <w:t xml:space="preserve">目标2. </w:t>
      </w:r>
      <w:r>
        <w:rPr>
          <w:rFonts w:hint="eastAsia" w:ascii="宋体" w:hAnsi="宋体" w:eastAsia="宋体" w:cs="Times New Roman"/>
          <w:kern w:val="0"/>
          <w:szCs w:val="20"/>
        </w:rPr>
        <w:t>了解小学生身心发展的一般规律与个体差异，了解不同年龄阶段小学生的身心发展特点，为今后从事小学教育实践奠定教学准备的基础。</w:t>
      </w:r>
    </w:p>
    <w:p w14:paraId="1B69DBB8">
      <w:pPr>
        <w:spacing w:line="360" w:lineRule="auto"/>
        <w:ind w:firstLine="482" w:firstLineChars="200"/>
        <w:rPr>
          <w:rFonts w:hint="eastAsia" w:ascii="宋体" w:hAnsi="宋体" w:eastAsia="宋体" w:cs="Times New Roman"/>
          <w:b/>
          <w:sz w:val="24"/>
        </w:rPr>
      </w:pPr>
      <w:bookmarkStart w:id="114" w:name="_Toc27846257"/>
      <w:bookmarkStart w:id="115" w:name="_Toc27847275"/>
      <w:r>
        <w:rPr>
          <w:rFonts w:hint="eastAsia" w:ascii="宋体" w:hAnsi="宋体" w:eastAsia="宋体" w:cs="Times New Roman"/>
          <w:b/>
          <w:sz w:val="24"/>
        </w:rPr>
        <w:t>（二）课程目标与专业毕业要求的关系</w:t>
      </w:r>
      <w:bookmarkEnd w:id="114"/>
      <w:bookmarkEnd w:id="115"/>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1C5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71EF2E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959E96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95AF71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F7B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55C0C365">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pacing w:val="-6"/>
                <w:szCs w:val="21"/>
              </w:rPr>
              <w:t>毕业要求4 教学能力</w:t>
            </w:r>
          </w:p>
        </w:tc>
        <w:tc>
          <w:tcPr>
            <w:tcW w:w="5688" w:type="dxa"/>
            <w:vAlign w:val="center"/>
          </w:tcPr>
          <w:p w14:paraId="5F14E5F6">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3FC6FA44">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r>
      <w:tr w14:paraId="6C52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B44AF23">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毕业要求6综合育人</w:t>
            </w:r>
          </w:p>
        </w:tc>
        <w:tc>
          <w:tcPr>
            <w:tcW w:w="5688" w:type="dxa"/>
            <w:vAlign w:val="center"/>
          </w:tcPr>
          <w:p w14:paraId="74FFAD80">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指标点6-1：【遵循身心规律】了解不同年龄以及有特殊需要的小学生的身心发展特点和规律、不同年龄小学生学习的特点，掌握小学生良好行为习惯养成的知识。</w:t>
            </w:r>
          </w:p>
        </w:tc>
        <w:tc>
          <w:tcPr>
            <w:tcW w:w="1191" w:type="dxa"/>
            <w:vAlign w:val="center"/>
          </w:tcPr>
          <w:p w14:paraId="0FAFF4E6">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r>
    </w:tbl>
    <w:p w14:paraId="40FCAAA5">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82B5F5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教育教学知识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72F69AC6">
      <w:pPr>
        <w:spacing w:line="360" w:lineRule="auto"/>
        <w:jc w:val="left"/>
        <w:rPr>
          <w:rFonts w:hint="eastAsia" w:ascii="宋体" w:hAnsi="宋体" w:eastAsia="宋体" w:cs="Times New Roman"/>
          <w:b/>
          <w:color w:val="000000"/>
          <w:sz w:val="24"/>
        </w:rPr>
      </w:pPr>
    </w:p>
    <w:p w14:paraId="799C80E8">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701"/>
        <w:gridCol w:w="1136"/>
        <w:gridCol w:w="3259"/>
        <w:gridCol w:w="1560"/>
        <w:gridCol w:w="8"/>
        <w:gridCol w:w="430"/>
      </w:tblGrid>
      <w:tr w14:paraId="4704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40A428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18A75E2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7D3FCF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4A9BB6A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52BA8C8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59AE779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152F374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gridSpan w:val="2"/>
            <w:vAlign w:val="center"/>
          </w:tcPr>
          <w:p w14:paraId="4F673FB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7D47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E2986A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1.教育心理学：教学的基础</w:t>
            </w:r>
          </w:p>
        </w:tc>
        <w:tc>
          <w:tcPr>
            <w:tcW w:w="1701" w:type="dxa"/>
            <w:vAlign w:val="center"/>
          </w:tcPr>
          <w:p w14:paraId="3A1FD80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（1）教育心理学的研究对象</w:t>
            </w:r>
          </w:p>
          <w:p w14:paraId="72AEC40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（2）教育心理学的产生概况</w:t>
            </w:r>
          </w:p>
          <w:p w14:paraId="35A331B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（3）教育心理学的研究方法</w:t>
            </w:r>
          </w:p>
        </w:tc>
        <w:tc>
          <w:tcPr>
            <w:tcW w:w="1134" w:type="dxa"/>
            <w:vAlign w:val="center"/>
          </w:tcPr>
          <w:p w14:paraId="50B5EB3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6E0D018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w:t>
            </w:r>
            <w:r>
              <w:rPr>
                <w:rFonts w:ascii="宋体" w:hAnsi="宋体" w:eastAsia="宋体" w:cs="Times New Roman"/>
                <w:color w:val="000000"/>
                <w:szCs w:val="21"/>
              </w:rPr>
              <w:t>解教育</w:t>
            </w:r>
            <w:r>
              <w:rPr>
                <w:rFonts w:hint="eastAsia" w:ascii="宋体" w:hAnsi="宋体" w:eastAsia="宋体" w:cs="Times New Roman"/>
                <w:color w:val="000000"/>
                <w:szCs w:val="21"/>
              </w:rPr>
              <w:t>心理</w:t>
            </w:r>
            <w:r>
              <w:rPr>
                <w:rFonts w:ascii="宋体" w:hAnsi="宋体" w:eastAsia="宋体" w:cs="Times New Roman"/>
                <w:color w:val="000000"/>
                <w:szCs w:val="21"/>
              </w:rPr>
              <w:t>学的学科性质、研究对象</w:t>
            </w:r>
            <w:r>
              <w:rPr>
                <w:rFonts w:hint="eastAsia" w:ascii="宋体" w:hAnsi="宋体" w:eastAsia="宋体" w:cs="Times New Roman"/>
                <w:color w:val="000000"/>
                <w:szCs w:val="21"/>
              </w:rPr>
              <w:t>；</w:t>
            </w:r>
          </w:p>
          <w:p w14:paraId="0401925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（2）了解教育心理学发展历史；</w:t>
            </w:r>
          </w:p>
          <w:p w14:paraId="4B588AF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（3）掌握教育心理学的基本研究方法，初步形成自觉适应教育变革的意识。</w:t>
            </w:r>
          </w:p>
        </w:tc>
        <w:tc>
          <w:tcPr>
            <w:tcW w:w="1560" w:type="dxa"/>
            <w:vAlign w:val="center"/>
          </w:tcPr>
          <w:p w14:paraId="1ED7303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40629B8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1F6790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gridSpan w:val="2"/>
            <w:vAlign w:val="center"/>
          </w:tcPr>
          <w:p w14:paraId="078E686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61B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8F19D0C">
            <w:pPr>
              <w:spacing w:line="264" w:lineRule="auto"/>
              <w:jc w:val="center"/>
              <w:rPr>
                <w:rFonts w:hint="eastAsia" w:ascii="宋体" w:hAnsi="宋体" w:eastAsia="宋体" w:cs="Times New Roman"/>
                <w:color w:val="000000"/>
                <w:szCs w:val="21"/>
              </w:rPr>
            </w:pPr>
          </w:p>
        </w:tc>
        <w:tc>
          <w:tcPr>
            <w:tcW w:w="8093" w:type="dxa"/>
            <w:gridSpan w:val="6"/>
            <w:vAlign w:val="center"/>
          </w:tcPr>
          <w:p w14:paraId="7822B231">
            <w:pPr>
              <w:spacing w:line="336"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通过让学生了解教育心理学的产生背景和发展脉络，了解教育心理规律，形成正确的符合我国国情的教育心理观，深刻理解立德树人的教育理念。</w:t>
            </w:r>
          </w:p>
        </w:tc>
      </w:tr>
      <w:tr w14:paraId="0DB2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1205" w:type="dxa"/>
            <w:vMerge w:val="restart"/>
            <w:vAlign w:val="center"/>
          </w:tcPr>
          <w:p w14:paraId="35764EB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2.学生</w:t>
            </w:r>
          </w:p>
          <w:p w14:paraId="16B5C773">
            <w:pPr>
              <w:spacing w:line="264" w:lineRule="auto"/>
              <w:ind w:firstLine="210" w:firstLineChars="100"/>
              <w:jc w:val="left"/>
              <w:rPr>
                <w:rFonts w:hint="eastAsia" w:ascii="宋体" w:hAnsi="宋体" w:eastAsia="宋体" w:cs="Times New Roman"/>
                <w:color w:val="000000"/>
                <w:szCs w:val="21"/>
              </w:rPr>
            </w:pPr>
            <w:r>
              <w:rPr>
                <w:rFonts w:hint="eastAsia" w:ascii="宋体" w:hAnsi="宋体" w:eastAsia="宋体" w:cs="Times New Roman"/>
                <w:color w:val="000000"/>
                <w:szCs w:val="21"/>
              </w:rPr>
              <w:t>心理</w:t>
            </w:r>
          </w:p>
        </w:tc>
        <w:tc>
          <w:tcPr>
            <w:tcW w:w="1701" w:type="dxa"/>
            <w:vAlign w:val="center"/>
          </w:tcPr>
          <w:p w14:paraId="56B156E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（1）学生的认知发展</w:t>
            </w:r>
          </w:p>
          <w:p w14:paraId="6C5EAFE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（2）学生的情感和个性发展</w:t>
            </w:r>
          </w:p>
          <w:p w14:paraId="078E492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（3）学生的个体差异</w:t>
            </w:r>
          </w:p>
        </w:tc>
        <w:tc>
          <w:tcPr>
            <w:tcW w:w="1134" w:type="dxa"/>
            <w:vAlign w:val="center"/>
          </w:tcPr>
          <w:p w14:paraId="7898D46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260" w:type="dxa"/>
            <w:vAlign w:val="center"/>
          </w:tcPr>
          <w:p w14:paraId="1A19439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（1）掌握学生发展的一般规律，把握学生发展的个体差异性；</w:t>
            </w:r>
          </w:p>
          <w:p w14:paraId="5642DF7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（2）把握不同年龄阶段小学生的学习特点。</w:t>
            </w:r>
          </w:p>
        </w:tc>
        <w:tc>
          <w:tcPr>
            <w:tcW w:w="1560" w:type="dxa"/>
            <w:vAlign w:val="center"/>
          </w:tcPr>
          <w:p w14:paraId="5E84538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585B78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5DE096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gridSpan w:val="2"/>
            <w:vAlign w:val="center"/>
          </w:tcPr>
          <w:p w14:paraId="721AEAE9">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332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31E3F33">
            <w:pPr>
              <w:spacing w:line="264" w:lineRule="auto"/>
              <w:jc w:val="center"/>
              <w:rPr>
                <w:rFonts w:hint="eastAsia" w:ascii="宋体" w:hAnsi="宋体" w:eastAsia="宋体" w:cs="Times New Roman"/>
                <w:color w:val="000000"/>
                <w:szCs w:val="21"/>
              </w:rPr>
            </w:pPr>
          </w:p>
        </w:tc>
        <w:tc>
          <w:tcPr>
            <w:tcW w:w="8093" w:type="dxa"/>
            <w:gridSpan w:val="6"/>
            <w:vAlign w:val="center"/>
          </w:tcPr>
          <w:p w14:paraId="5A6B589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通过学习认识人的心理的发展和个体差异性，培养学生对自我的全面认识和对他人的尊重，进而为四个自信以及心态平和的价值观打下良好的自我基础。</w:t>
            </w:r>
          </w:p>
        </w:tc>
      </w:tr>
      <w:tr w14:paraId="3698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FFA007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3.学习</w:t>
            </w:r>
          </w:p>
          <w:p w14:paraId="24F0EAB7">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心理导论</w:t>
            </w:r>
          </w:p>
        </w:tc>
        <w:tc>
          <w:tcPr>
            <w:tcW w:w="1701" w:type="dxa"/>
            <w:vAlign w:val="center"/>
          </w:tcPr>
          <w:p w14:paraId="4969304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（1）学习及分类</w:t>
            </w:r>
          </w:p>
          <w:p w14:paraId="636D8CF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（2）学习与脑</w:t>
            </w:r>
          </w:p>
          <w:p w14:paraId="7CC6185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（3）学习理论发展</w:t>
            </w:r>
          </w:p>
        </w:tc>
        <w:tc>
          <w:tcPr>
            <w:tcW w:w="1134" w:type="dxa"/>
            <w:vAlign w:val="center"/>
          </w:tcPr>
          <w:p w14:paraId="56A1241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EF34A4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（1）理解学习的实质；</w:t>
            </w:r>
          </w:p>
          <w:p w14:paraId="56751BD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（2）掌握学习的分类；</w:t>
            </w:r>
          </w:p>
          <w:p w14:paraId="65B930B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（3）了解有关学习理论的发展过程。</w:t>
            </w:r>
          </w:p>
        </w:tc>
        <w:tc>
          <w:tcPr>
            <w:tcW w:w="1560" w:type="dxa"/>
            <w:vAlign w:val="center"/>
          </w:tcPr>
          <w:p w14:paraId="0C8EA5C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779F60A">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7CE0D36B">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581B9E6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DAC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8D61478">
            <w:pPr>
              <w:spacing w:line="264" w:lineRule="auto"/>
              <w:jc w:val="center"/>
              <w:rPr>
                <w:rFonts w:hint="eastAsia" w:ascii="宋体" w:hAnsi="宋体" w:eastAsia="宋体" w:cs="Times New Roman"/>
                <w:color w:val="000000"/>
                <w:szCs w:val="21"/>
              </w:rPr>
            </w:pPr>
          </w:p>
        </w:tc>
        <w:tc>
          <w:tcPr>
            <w:tcW w:w="8093" w:type="dxa"/>
            <w:gridSpan w:val="6"/>
            <w:vAlign w:val="center"/>
          </w:tcPr>
          <w:p w14:paraId="17DBFE03">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393B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C91140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4.行为</w:t>
            </w:r>
          </w:p>
          <w:p w14:paraId="34BAC8A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主义</w:t>
            </w:r>
          </w:p>
          <w:p w14:paraId="7CAFB22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学习理论</w:t>
            </w:r>
          </w:p>
        </w:tc>
        <w:tc>
          <w:tcPr>
            <w:tcW w:w="1701" w:type="dxa"/>
            <w:vAlign w:val="center"/>
          </w:tcPr>
          <w:p w14:paraId="7B51C6E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（1）经典条件作用理论</w:t>
            </w:r>
          </w:p>
          <w:p w14:paraId="0B484BD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（2）联结主义理论</w:t>
            </w:r>
          </w:p>
          <w:p w14:paraId="6F9201F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（3）操作条件作用理论</w:t>
            </w:r>
          </w:p>
          <w:p w14:paraId="4F626DE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（4）社会学习理论</w:t>
            </w:r>
          </w:p>
        </w:tc>
        <w:tc>
          <w:tcPr>
            <w:tcW w:w="1134" w:type="dxa"/>
            <w:vAlign w:val="center"/>
          </w:tcPr>
          <w:p w14:paraId="0E1ECC2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4E89AA9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（1）掌握行为主义有关学习的本质和习得条件的基本观点；</w:t>
            </w:r>
          </w:p>
          <w:p w14:paraId="12630B5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（2）比较各种行为主义学习理论的异同；</w:t>
            </w:r>
          </w:p>
          <w:p w14:paraId="7CB725A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（3）结合人工智能与脑神经研究了解行为主义理论发展的新进展。</w:t>
            </w:r>
          </w:p>
          <w:p w14:paraId="192C6D15">
            <w:pPr>
              <w:spacing w:line="276" w:lineRule="auto"/>
              <w:jc w:val="left"/>
              <w:rPr>
                <w:rFonts w:hint="eastAsia" w:ascii="宋体" w:hAnsi="宋体" w:eastAsia="宋体" w:cs="Times New Roman"/>
                <w:color w:val="000000"/>
                <w:szCs w:val="21"/>
              </w:rPr>
            </w:pPr>
          </w:p>
        </w:tc>
        <w:tc>
          <w:tcPr>
            <w:tcW w:w="1560" w:type="dxa"/>
            <w:vAlign w:val="center"/>
          </w:tcPr>
          <w:p w14:paraId="58618A61">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1069D9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65D817A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2E100FD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0C7B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A2519B0">
            <w:pPr>
              <w:spacing w:line="276" w:lineRule="auto"/>
              <w:jc w:val="center"/>
              <w:rPr>
                <w:rFonts w:hint="eastAsia" w:ascii="宋体" w:hAnsi="宋体" w:eastAsia="宋体" w:cs="Times New Roman"/>
                <w:color w:val="000000"/>
                <w:szCs w:val="21"/>
              </w:rPr>
            </w:pPr>
          </w:p>
        </w:tc>
        <w:tc>
          <w:tcPr>
            <w:tcW w:w="8093" w:type="dxa"/>
            <w:gridSpan w:val="6"/>
            <w:vAlign w:val="center"/>
          </w:tcPr>
          <w:p w14:paraId="0C574EEE">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行为主义学习理论观，让学生充分认识“做中学”的核心理念，结合我国在人工智能研究的探索，积极引导学生在日常生活中积极通过实际行动厚植爱国主义情怀，弘扬以爱国主义为核心的民族精神和以改革创新为核心的时代精神。</w:t>
            </w:r>
          </w:p>
        </w:tc>
      </w:tr>
      <w:tr w14:paraId="454C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19025E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 xml:space="preserve">5.认知 </w:t>
            </w:r>
          </w:p>
          <w:p w14:paraId="120ADDE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学习理论</w:t>
            </w:r>
          </w:p>
        </w:tc>
        <w:tc>
          <w:tcPr>
            <w:tcW w:w="1701" w:type="dxa"/>
            <w:vAlign w:val="center"/>
          </w:tcPr>
          <w:p w14:paraId="45EF5EE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（1）早期的认知学习理论</w:t>
            </w:r>
          </w:p>
          <w:p w14:paraId="0B18988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（2）认知结构学习理论</w:t>
            </w:r>
          </w:p>
          <w:p w14:paraId="49A1261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（3）认知同化学习理论</w:t>
            </w:r>
          </w:p>
          <w:p w14:paraId="463F74D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（4）学习的信息加工论</w:t>
            </w:r>
          </w:p>
        </w:tc>
        <w:tc>
          <w:tcPr>
            <w:tcW w:w="1134" w:type="dxa"/>
            <w:vAlign w:val="center"/>
          </w:tcPr>
          <w:p w14:paraId="0B72E55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51D587D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（1）掌握各认知主义学习理论有关学习的本质和习得条件的基本观点；</w:t>
            </w:r>
          </w:p>
          <w:p w14:paraId="07C8E3E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（2）比较各种行为主义学习理论的异同。</w:t>
            </w:r>
          </w:p>
          <w:p w14:paraId="40DCC401">
            <w:pPr>
              <w:spacing w:line="276" w:lineRule="auto"/>
              <w:jc w:val="left"/>
              <w:rPr>
                <w:rFonts w:hint="eastAsia" w:ascii="宋体" w:hAnsi="宋体" w:eastAsia="宋体" w:cs="Times New Roman"/>
                <w:color w:val="000000"/>
                <w:szCs w:val="21"/>
              </w:rPr>
            </w:pPr>
          </w:p>
        </w:tc>
        <w:tc>
          <w:tcPr>
            <w:tcW w:w="1560" w:type="dxa"/>
            <w:vAlign w:val="center"/>
          </w:tcPr>
          <w:p w14:paraId="70582A16">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153720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794A168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2A4F751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6652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BCC2D10">
            <w:pPr>
              <w:spacing w:line="276" w:lineRule="auto"/>
              <w:jc w:val="center"/>
              <w:rPr>
                <w:rFonts w:hint="eastAsia" w:ascii="宋体" w:hAnsi="宋体" w:eastAsia="宋体" w:cs="Times New Roman"/>
                <w:color w:val="000000"/>
                <w:szCs w:val="21"/>
              </w:rPr>
            </w:pPr>
          </w:p>
        </w:tc>
        <w:tc>
          <w:tcPr>
            <w:tcW w:w="8093" w:type="dxa"/>
            <w:gridSpan w:val="6"/>
            <w:vAlign w:val="center"/>
          </w:tcPr>
          <w:p w14:paraId="52E9970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认知主义的学习观，让学生充分认识并内化新时代中国特色社会主义的核心理念，使学生对待学习和知识获取方面同频共振，使课堂教学在认知层面成为引导学生成为学习知识、锤炼心志和养成品行的过程。</w:t>
            </w:r>
          </w:p>
        </w:tc>
      </w:tr>
      <w:tr w14:paraId="719C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7C996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6.建构</w:t>
            </w:r>
          </w:p>
          <w:p w14:paraId="5115CA6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主义与人本主义学习理论</w:t>
            </w:r>
          </w:p>
        </w:tc>
        <w:tc>
          <w:tcPr>
            <w:tcW w:w="1701" w:type="dxa"/>
            <w:vAlign w:val="center"/>
          </w:tcPr>
          <w:p w14:paraId="4C029DE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（1）建构主义学习理论</w:t>
            </w:r>
          </w:p>
          <w:p w14:paraId="1B712BA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（2）人本主义学习理论</w:t>
            </w:r>
          </w:p>
        </w:tc>
        <w:tc>
          <w:tcPr>
            <w:tcW w:w="1134" w:type="dxa"/>
            <w:vAlign w:val="center"/>
          </w:tcPr>
          <w:p w14:paraId="5FA51D2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5C5C5FC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（1）掌握建构主义学习理论的基本观点；</w:t>
            </w:r>
          </w:p>
          <w:p w14:paraId="5ED3EDE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（2）掌握人本主义学习理论的基本观点；</w:t>
            </w:r>
          </w:p>
        </w:tc>
        <w:tc>
          <w:tcPr>
            <w:tcW w:w="1560" w:type="dxa"/>
            <w:vAlign w:val="center"/>
          </w:tcPr>
          <w:p w14:paraId="035A73C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017C63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6B1B5B81">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139260E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10A3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DCA2BB0">
            <w:pPr>
              <w:spacing w:line="276" w:lineRule="auto"/>
              <w:jc w:val="center"/>
              <w:rPr>
                <w:rFonts w:hint="eastAsia" w:ascii="宋体" w:hAnsi="宋体" w:eastAsia="宋体" w:cs="Times New Roman"/>
                <w:color w:val="000000"/>
                <w:szCs w:val="21"/>
              </w:rPr>
            </w:pPr>
          </w:p>
        </w:tc>
        <w:tc>
          <w:tcPr>
            <w:tcW w:w="8093" w:type="dxa"/>
            <w:gridSpan w:val="6"/>
            <w:vAlign w:val="center"/>
          </w:tcPr>
          <w:p w14:paraId="3FFAB94F">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通过认识建构主义与人本主义学习理念，让学生充分认识到人的主观能动性的作用，知识既然可以是建构获得，人的成长与成才更需要个人的积极努力和不懈追求，进而培养学生“功成不必在我”的初心精神。</w:t>
            </w:r>
          </w:p>
        </w:tc>
      </w:tr>
      <w:tr w14:paraId="4459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7C6F20A">
            <w:pPr>
              <w:spacing w:line="276" w:lineRule="auto"/>
              <w:jc w:val="center"/>
              <w:rPr>
                <w:rFonts w:hint="eastAsia" w:ascii="宋体" w:hAnsi="宋体" w:eastAsia="宋体" w:cs="Times New Roman"/>
                <w:szCs w:val="21"/>
              </w:rPr>
            </w:pPr>
            <w:r>
              <w:rPr>
                <w:rFonts w:hint="eastAsia" w:ascii="宋体" w:hAnsi="宋体" w:eastAsia="宋体" w:cs="Times New Roman"/>
                <w:szCs w:val="21"/>
              </w:rPr>
              <w:t>7.学习</w:t>
            </w:r>
          </w:p>
          <w:p w14:paraId="26405A54">
            <w:pPr>
              <w:spacing w:line="276" w:lineRule="auto"/>
              <w:jc w:val="center"/>
              <w:rPr>
                <w:rFonts w:hint="eastAsia" w:ascii="宋体" w:hAnsi="宋体" w:eastAsia="宋体" w:cs="Times New Roman"/>
                <w:szCs w:val="21"/>
              </w:rPr>
            </w:pPr>
            <w:r>
              <w:rPr>
                <w:rFonts w:hint="eastAsia" w:ascii="宋体" w:hAnsi="宋体" w:eastAsia="宋体" w:cs="Times New Roman"/>
                <w:szCs w:val="21"/>
              </w:rPr>
              <w:t>动机</w:t>
            </w:r>
          </w:p>
        </w:tc>
        <w:tc>
          <w:tcPr>
            <w:tcW w:w="1701" w:type="dxa"/>
            <w:vAlign w:val="center"/>
          </w:tcPr>
          <w:p w14:paraId="0DD60330">
            <w:pPr>
              <w:spacing w:line="276" w:lineRule="auto"/>
              <w:jc w:val="left"/>
              <w:rPr>
                <w:rFonts w:hint="eastAsia" w:ascii="宋体" w:hAnsi="宋体" w:eastAsia="宋体" w:cs="Times New Roman"/>
                <w:szCs w:val="21"/>
              </w:rPr>
            </w:pPr>
            <w:r>
              <w:rPr>
                <w:rFonts w:hint="eastAsia" w:ascii="宋体" w:hAnsi="宋体" w:eastAsia="宋体" w:cs="Times New Roman"/>
                <w:szCs w:val="21"/>
              </w:rPr>
              <w:t xml:space="preserve">（1）学习动机的概述 </w:t>
            </w:r>
          </w:p>
          <w:p w14:paraId="66450487">
            <w:pPr>
              <w:spacing w:line="276" w:lineRule="auto"/>
              <w:jc w:val="left"/>
              <w:rPr>
                <w:rFonts w:hint="eastAsia" w:ascii="宋体" w:hAnsi="宋体" w:eastAsia="宋体" w:cs="Times New Roman"/>
                <w:szCs w:val="21"/>
              </w:rPr>
            </w:pPr>
            <w:r>
              <w:rPr>
                <w:rFonts w:hint="eastAsia" w:ascii="宋体" w:hAnsi="宋体" w:eastAsia="宋体" w:cs="Times New Roman"/>
                <w:szCs w:val="21"/>
              </w:rPr>
              <w:t>（2）学习动机的理论</w:t>
            </w:r>
          </w:p>
          <w:p w14:paraId="00CBA2D0">
            <w:pPr>
              <w:spacing w:line="276" w:lineRule="auto"/>
              <w:jc w:val="left"/>
              <w:rPr>
                <w:rFonts w:hint="eastAsia" w:ascii="宋体" w:hAnsi="宋体" w:eastAsia="宋体" w:cs="Times New Roman"/>
                <w:szCs w:val="21"/>
              </w:rPr>
            </w:pPr>
            <w:r>
              <w:rPr>
                <w:rFonts w:hint="eastAsia" w:ascii="宋体" w:hAnsi="宋体" w:eastAsia="宋体" w:cs="Times New Roman"/>
                <w:szCs w:val="21"/>
              </w:rPr>
              <w:t>（3）学习动机的培养与激发</w:t>
            </w:r>
          </w:p>
        </w:tc>
        <w:tc>
          <w:tcPr>
            <w:tcW w:w="1134" w:type="dxa"/>
            <w:vAlign w:val="center"/>
          </w:tcPr>
          <w:p w14:paraId="1F31AB0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4F7AFE7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（1）理解学习动机的概念及其分类，掌握小学生学习动机的特点；</w:t>
            </w:r>
          </w:p>
          <w:p w14:paraId="3C81E9A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（2）了解有关学习动机的基本理论；</w:t>
            </w:r>
          </w:p>
          <w:p w14:paraId="5EEE4EF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（3）掌握学生学习动机的培养与激发的具体措施。</w:t>
            </w:r>
          </w:p>
        </w:tc>
        <w:tc>
          <w:tcPr>
            <w:tcW w:w="1560" w:type="dxa"/>
            <w:vAlign w:val="center"/>
          </w:tcPr>
          <w:p w14:paraId="7759222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17F9DF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7DAD88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71B192C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1920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D97B1C2">
            <w:pPr>
              <w:spacing w:line="276" w:lineRule="auto"/>
              <w:jc w:val="center"/>
              <w:rPr>
                <w:rFonts w:hint="eastAsia" w:ascii="宋体" w:hAnsi="宋体" w:eastAsia="宋体" w:cs="Times New Roman"/>
                <w:color w:val="000000"/>
                <w:szCs w:val="21"/>
              </w:rPr>
            </w:pPr>
          </w:p>
        </w:tc>
        <w:tc>
          <w:tcPr>
            <w:tcW w:w="8093" w:type="dxa"/>
            <w:gridSpan w:val="6"/>
            <w:vAlign w:val="center"/>
          </w:tcPr>
          <w:p w14:paraId="7F8B2BE6">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通过学生对学习动机的理解，认识到个人意愿和心态在学习与工作中的重要作用，进而引导学生更好的深化对“不忘初心、牢记使命”所具有的警醒和激励作用。</w:t>
            </w:r>
          </w:p>
        </w:tc>
      </w:tr>
      <w:tr w14:paraId="6002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0A8501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8.知识的分类与</w:t>
            </w:r>
          </w:p>
          <w:p w14:paraId="54166DC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迁移</w:t>
            </w:r>
          </w:p>
        </w:tc>
        <w:tc>
          <w:tcPr>
            <w:tcW w:w="1701" w:type="dxa"/>
            <w:vAlign w:val="center"/>
          </w:tcPr>
          <w:p w14:paraId="7B7D83A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（1）知识的分类</w:t>
            </w:r>
          </w:p>
          <w:p w14:paraId="1931146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（2）学习的迁移</w:t>
            </w:r>
          </w:p>
          <w:p w14:paraId="0AE8B92B">
            <w:pPr>
              <w:spacing w:line="264" w:lineRule="auto"/>
              <w:jc w:val="left"/>
              <w:rPr>
                <w:rFonts w:hint="eastAsia" w:ascii="宋体" w:hAnsi="宋体" w:eastAsia="宋体" w:cs="Times New Roman"/>
                <w:color w:val="000000"/>
                <w:szCs w:val="21"/>
              </w:rPr>
            </w:pPr>
          </w:p>
        </w:tc>
        <w:tc>
          <w:tcPr>
            <w:tcW w:w="1134" w:type="dxa"/>
            <w:vAlign w:val="center"/>
          </w:tcPr>
          <w:p w14:paraId="1D1462D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322193A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（1）理解知识分类及表征；</w:t>
            </w:r>
          </w:p>
          <w:p w14:paraId="4D2924B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（2）把握迁移的主要理论观点；</w:t>
            </w:r>
          </w:p>
          <w:p w14:paraId="3E722DD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（3）能提出为迁移而教的教学建议。</w:t>
            </w:r>
          </w:p>
        </w:tc>
        <w:tc>
          <w:tcPr>
            <w:tcW w:w="1560" w:type="dxa"/>
            <w:vAlign w:val="center"/>
          </w:tcPr>
          <w:p w14:paraId="3D545A48">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8184E33">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77CF6C3">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6013507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7D1F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CD49E81">
            <w:pPr>
              <w:spacing w:line="264" w:lineRule="auto"/>
              <w:jc w:val="center"/>
              <w:rPr>
                <w:rFonts w:hint="eastAsia" w:ascii="宋体" w:hAnsi="宋体" w:eastAsia="宋体" w:cs="Times New Roman"/>
                <w:color w:val="000000"/>
                <w:szCs w:val="21"/>
              </w:rPr>
            </w:pPr>
          </w:p>
        </w:tc>
        <w:tc>
          <w:tcPr>
            <w:tcW w:w="8093" w:type="dxa"/>
            <w:gridSpan w:val="6"/>
            <w:vAlign w:val="center"/>
          </w:tcPr>
          <w:p w14:paraId="63D1A7CF">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通过对知识的本身概念和分类以及表征过程的学习和理解，让学生充分认识到汉语在人工智能时代的优越性，增强学生的民族自豪感。</w:t>
            </w:r>
          </w:p>
        </w:tc>
      </w:tr>
      <w:tr w14:paraId="0547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9AAC5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9.问题</w:t>
            </w:r>
          </w:p>
          <w:p w14:paraId="4ED1A6D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解决与</w:t>
            </w:r>
          </w:p>
          <w:p w14:paraId="5BF9A8B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创造性</w:t>
            </w:r>
          </w:p>
        </w:tc>
        <w:tc>
          <w:tcPr>
            <w:tcW w:w="1701" w:type="dxa"/>
            <w:vAlign w:val="center"/>
          </w:tcPr>
          <w:p w14:paraId="13CB74C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(1)问题与问题解决</w:t>
            </w:r>
          </w:p>
          <w:p w14:paraId="7F4C353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(2)问题解决的过程</w:t>
            </w:r>
          </w:p>
          <w:p w14:paraId="29A22B91">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(3)问题解决的训练</w:t>
            </w:r>
          </w:p>
          <w:p w14:paraId="4D6E102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(4)创造性思维</w:t>
            </w:r>
          </w:p>
        </w:tc>
        <w:tc>
          <w:tcPr>
            <w:tcW w:w="1134" w:type="dxa"/>
            <w:vAlign w:val="center"/>
          </w:tcPr>
          <w:p w14:paraId="126E5DA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2F0C371F">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（1）理解问题解决的内涵和基本过程；</w:t>
            </w:r>
          </w:p>
          <w:p w14:paraId="02AB7D7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（2）掌握问题解决能力培养的基本方法；</w:t>
            </w:r>
          </w:p>
          <w:p w14:paraId="07F9634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（3）理解创造性思维的内涵；</w:t>
            </w:r>
          </w:p>
          <w:p w14:paraId="05633A6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（4）掌握创新心理教育的基本方法。</w:t>
            </w:r>
          </w:p>
        </w:tc>
        <w:tc>
          <w:tcPr>
            <w:tcW w:w="1560" w:type="dxa"/>
            <w:vAlign w:val="center"/>
          </w:tcPr>
          <w:p w14:paraId="4AC31E3A">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A6B6BD8">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46150912">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3009DBF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6CC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645E19F">
            <w:pPr>
              <w:spacing w:line="264" w:lineRule="auto"/>
              <w:jc w:val="center"/>
              <w:rPr>
                <w:rFonts w:hint="eastAsia" w:ascii="宋体" w:hAnsi="宋体" w:eastAsia="宋体" w:cs="Times New Roman"/>
                <w:color w:val="000000"/>
                <w:szCs w:val="21"/>
              </w:rPr>
            </w:pPr>
          </w:p>
        </w:tc>
        <w:tc>
          <w:tcPr>
            <w:tcW w:w="8093" w:type="dxa"/>
            <w:gridSpan w:val="6"/>
            <w:vAlign w:val="center"/>
          </w:tcPr>
          <w:p w14:paraId="61ED4715">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通过对问题解决的原理的分析，培养学生在日常生活中如何有效思考，学会用更具创造性的方法去解决实际问题，继而为创新型社会贡献自己的一份力量。</w:t>
            </w:r>
          </w:p>
        </w:tc>
      </w:tr>
      <w:tr w14:paraId="25C6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D76E19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10.学习</w:t>
            </w:r>
          </w:p>
          <w:p w14:paraId="34BA207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策略</w:t>
            </w:r>
          </w:p>
        </w:tc>
        <w:tc>
          <w:tcPr>
            <w:tcW w:w="1701" w:type="dxa"/>
            <w:vAlign w:val="center"/>
          </w:tcPr>
          <w:p w14:paraId="637D878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（1）学习策略概述</w:t>
            </w:r>
          </w:p>
          <w:p w14:paraId="61C4DBEC">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（2）认知策略</w:t>
            </w:r>
          </w:p>
          <w:p w14:paraId="5835C81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（3）元认知策略与资源管理策略</w:t>
            </w:r>
          </w:p>
          <w:p w14:paraId="2249447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（4）学习策略的促进</w:t>
            </w:r>
          </w:p>
        </w:tc>
        <w:tc>
          <w:tcPr>
            <w:tcW w:w="1134" w:type="dxa"/>
            <w:vAlign w:val="center"/>
          </w:tcPr>
          <w:p w14:paraId="6FD5431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p w14:paraId="637C3886">
            <w:pPr>
              <w:spacing w:line="264" w:lineRule="auto"/>
              <w:jc w:val="center"/>
              <w:rPr>
                <w:rFonts w:hint="eastAsia" w:ascii="宋体" w:hAnsi="宋体" w:eastAsia="宋体" w:cs="Times New Roman"/>
                <w:color w:val="000000"/>
                <w:szCs w:val="21"/>
              </w:rPr>
            </w:pPr>
          </w:p>
        </w:tc>
        <w:tc>
          <w:tcPr>
            <w:tcW w:w="3260" w:type="dxa"/>
            <w:vAlign w:val="center"/>
          </w:tcPr>
          <w:p w14:paraId="2F916517">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（1）理解学习策略的概念与类别；</w:t>
            </w:r>
          </w:p>
          <w:p w14:paraId="77DFF938">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（2）掌握学习策略培养方法与措施。</w:t>
            </w:r>
          </w:p>
        </w:tc>
        <w:tc>
          <w:tcPr>
            <w:tcW w:w="1560" w:type="dxa"/>
            <w:vAlign w:val="center"/>
          </w:tcPr>
          <w:p w14:paraId="6668DFB0">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05A5700">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4C882B4">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1B4AF5D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53C6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CBA7150">
            <w:pPr>
              <w:spacing w:line="264" w:lineRule="auto"/>
              <w:jc w:val="center"/>
              <w:rPr>
                <w:rFonts w:hint="eastAsia" w:ascii="宋体" w:hAnsi="宋体" w:eastAsia="宋体" w:cs="Times New Roman"/>
                <w:color w:val="000000"/>
                <w:szCs w:val="21"/>
              </w:rPr>
            </w:pPr>
          </w:p>
        </w:tc>
        <w:tc>
          <w:tcPr>
            <w:tcW w:w="8093" w:type="dxa"/>
            <w:gridSpan w:val="6"/>
            <w:vAlign w:val="center"/>
          </w:tcPr>
          <w:p w14:paraId="2799D67E">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学习策略的理解和领会，培养学生积极主动优化自己的学习策略，提高学习效率，进而更好地把马克思主义经典理论和习近平新时代中国特色社会主义思想等马克思主义中国化的最新理论成果融入到学习和生活当中。</w:t>
            </w:r>
          </w:p>
        </w:tc>
      </w:tr>
      <w:tr w14:paraId="1632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06FDD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11.教学</w:t>
            </w:r>
          </w:p>
          <w:p w14:paraId="334412D1">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设计</w:t>
            </w:r>
          </w:p>
        </w:tc>
        <w:tc>
          <w:tcPr>
            <w:tcW w:w="1699" w:type="dxa"/>
            <w:vAlign w:val="center"/>
          </w:tcPr>
          <w:p w14:paraId="5592B85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（1）设置教学目标</w:t>
            </w:r>
          </w:p>
          <w:p w14:paraId="78B5AD7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（2）选择教学模式</w:t>
            </w:r>
          </w:p>
          <w:p w14:paraId="6CCD080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（3）设置教学环境</w:t>
            </w:r>
          </w:p>
        </w:tc>
        <w:tc>
          <w:tcPr>
            <w:tcW w:w="1136" w:type="dxa"/>
            <w:vAlign w:val="center"/>
          </w:tcPr>
          <w:p w14:paraId="10BA8F67">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p w14:paraId="601C0A34">
            <w:pPr>
              <w:spacing w:line="264" w:lineRule="auto"/>
              <w:jc w:val="center"/>
              <w:rPr>
                <w:rFonts w:hint="eastAsia" w:ascii="宋体" w:hAnsi="宋体" w:eastAsia="宋体" w:cs="Times New Roman"/>
                <w:color w:val="000000"/>
                <w:szCs w:val="21"/>
              </w:rPr>
            </w:pPr>
          </w:p>
        </w:tc>
        <w:tc>
          <w:tcPr>
            <w:tcW w:w="3260" w:type="dxa"/>
            <w:vAlign w:val="center"/>
          </w:tcPr>
          <w:p w14:paraId="2EC0580A">
            <w:pPr>
              <w:spacing w:line="264" w:lineRule="auto"/>
              <w:jc w:val="left"/>
            </w:pPr>
            <w:r>
              <w:rPr>
                <w:rFonts w:hint="eastAsia"/>
              </w:rPr>
              <w:t>（1）掌握教学目标的表述方式与目标分类体系，并为一完整课程设计教学目标；</w:t>
            </w:r>
          </w:p>
          <w:p w14:paraId="23FE47BC">
            <w:pPr>
              <w:spacing w:line="264" w:lineRule="auto"/>
              <w:jc w:val="left"/>
            </w:pPr>
            <w:r>
              <w:rPr>
                <w:rFonts w:hint="eastAsia"/>
              </w:rPr>
              <w:t>（2）根据各类教学目标选择和运用相应的教学模式；</w:t>
            </w:r>
          </w:p>
          <w:p w14:paraId="6D12B170">
            <w:pPr>
              <w:spacing w:line="264" w:lineRule="auto"/>
              <w:jc w:val="left"/>
              <w:rPr>
                <w:rFonts w:hint="eastAsia" w:ascii="宋体" w:hAnsi="宋体" w:eastAsia="宋体" w:cs="Times New Roman"/>
                <w:color w:val="000000"/>
                <w:szCs w:val="21"/>
              </w:rPr>
            </w:pPr>
            <w:r>
              <w:rPr>
                <w:rFonts w:hint="eastAsia"/>
              </w:rPr>
              <w:t>（3）根据教学目标与教学模式布置教学环境。</w:t>
            </w:r>
          </w:p>
        </w:tc>
        <w:tc>
          <w:tcPr>
            <w:tcW w:w="1568" w:type="dxa"/>
            <w:gridSpan w:val="2"/>
            <w:vAlign w:val="center"/>
          </w:tcPr>
          <w:p w14:paraId="012E1418">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FC5A0AD">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BB20363">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0" w:type="dxa"/>
            <w:vAlign w:val="center"/>
          </w:tcPr>
          <w:p w14:paraId="3738B98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0E3B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73183F8">
            <w:pPr>
              <w:spacing w:line="264" w:lineRule="auto"/>
              <w:jc w:val="center"/>
              <w:rPr>
                <w:rFonts w:hint="eastAsia" w:ascii="宋体" w:hAnsi="宋体" w:eastAsia="宋体" w:cs="Times New Roman"/>
                <w:color w:val="000000"/>
                <w:szCs w:val="21"/>
              </w:rPr>
            </w:pPr>
          </w:p>
        </w:tc>
        <w:tc>
          <w:tcPr>
            <w:tcW w:w="8093" w:type="dxa"/>
            <w:gridSpan w:val="6"/>
            <w:vAlign w:val="center"/>
          </w:tcPr>
          <w:p w14:paraId="01A099BD">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通过学习如何设计教学，从而让学生在生活中学会如何规划自己的时间，如何让生活中的每一天过得充实、高效、有意义，进而为将来的职业规划打下良好的基础。</w:t>
            </w:r>
          </w:p>
          <w:p w14:paraId="09369692">
            <w:pPr>
              <w:spacing w:line="264" w:lineRule="auto"/>
              <w:jc w:val="left"/>
              <w:rPr>
                <w:rFonts w:hint="eastAsia" w:ascii="宋体" w:hAnsi="宋体" w:eastAsia="宋体" w:cs="Times New Roman"/>
                <w:color w:val="000000"/>
                <w:szCs w:val="21"/>
              </w:rPr>
            </w:pPr>
          </w:p>
        </w:tc>
      </w:tr>
      <w:tr w14:paraId="2978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9930287">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12.课堂</w:t>
            </w:r>
          </w:p>
          <w:p w14:paraId="67D4BB1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管理</w:t>
            </w:r>
          </w:p>
        </w:tc>
        <w:tc>
          <w:tcPr>
            <w:tcW w:w="1699" w:type="dxa"/>
            <w:vAlign w:val="center"/>
          </w:tcPr>
          <w:p w14:paraId="671937F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（1）课堂管理概述</w:t>
            </w:r>
          </w:p>
          <w:p w14:paraId="4D856E33">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（2）课堂管理过程</w:t>
            </w:r>
          </w:p>
          <w:p w14:paraId="12E18873">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（3）处理严重的问题行为</w:t>
            </w:r>
          </w:p>
        </w:tc>
        <w:tc>
          <w:tcPr>
            <w:tcW w:w="1136" w:type="dxa"/>
            <w:vAlign w:val="center"/>
          </w:tcPr>
          <w:p w14:paraId="713C692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p w14:paraId="359B2B61">
            <w:pPr>
              <w:spacing w:line="264" w:lineRule="auto"/>
              <w:jc w:val="center"/>
              <w:rPr>
                <w:rFonts w:hint="eastAsia" w:ascii="宋体" w:hAnsi="宋体" w:eastAsia="宋体" w:cs="Times New Roman"/>
                <w:color w:val="000000"/>
                <w:szCs w:val="21"/>
              </w:rPr>
            </w:pPr>
          </w:p>
        </w:tc>
        <w:tc>
          <w:tcPr>
            <w:tcW w:w="3260" w:type="dxa"/>
            <w:vAlign w:val="center"/>
          </w:tcPr>
          <w:p w14:paraId="1CDBE7D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（1）了解课堂管理的目标和阶段性；</w:t>
            </w:r>
          </w:p>
          <w:p w14:paraId="3B5A7834">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（2）把握课堂管理的基本环节；</w:t>
            </w:r>
          </w:p>
          <w:p w14:paraId="18C22CD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（3）掌握课堂问题分析和处理的基本方法。</w:t>
            </w:r>
          </w:p>
        </w:tc>
        <w:tc>
          <w:tcPr>
            <w:tcW w:w="1568" w:type="dxa"/>
            <w:gridSpan w:val="2"/>
            <w:vAlign w:val="center"/>
          </w:tcPr>
          <w:p w14:paraId="6C3F3F05">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16199E0">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28591858">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0" w:type="dxa"/>
            <w:vAlign w:val="center"/>
          </w:tcPr>
          <w:p w14:paraId="7D07A60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2F32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67160B">
            <w:pPr>
              <w:spacing w:line="264" w:lineRule="auto"/>
              <w:jc w:val="center"/>
              <w:rPr>
                <w:rFonts w:hint="eastAsia" w:ascii="宋体" w:hAnsi="宋体" w:eastAsia="宋体" w:cs="Times New Roman"/>
                <w:color w:val="000000"/>
                <w:szCs w:val="21"/>
              </w:rPr>
            </w:pPr>
          </w:p>
        </w:tc>
        <w:tc>
          <w:tcPr>
            <w:tcW w:w="8093" w:type="dxa"/>
            <w:gridSpan w:val="6"/>
            <w:vAlign w:val="center"/>
          </w:tcPr>
          <w:p w14:paraId="00C5614B">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课堂管理一章的学习，让学生以小见大，形成对国家治理和政府管理的一些理念和规章的深刻认识，培育出“识大体、顾大局”的主人翁意识，引导学生树牢“四个意识”，坚定“四个自信”，坚决做到“两个维护”，为和谐社会的更快更好的发展贡献出自己的力量。</w:t>
            </w:r>
          </w:p>
        </w:tc>
      </w:tr>
      <w:tr w14:paraId="2495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0A9BF8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13.学习</w:t>
            </w:r>
          </w:p>
          <w:p w14:paraId="7B268F0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评估</w:t>
            </w:r>
          </w:p>
        </w:tc>
        <w:tc>
          <w:tcPr>
            <w:tcW w:w="1699" w:type="dxa"/>
            <w:vAlign w:val="center"/>
          </w:tcPr>
          <w:p w14:paraId="1149D8F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（1）学习评定概述</w:t>
            </w:r>
          </w:p>
          <w:p w14:paraId="5915870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（2）标准化测验</w:t>
            </w:r>
          </w:p>
          <w:p w14:paraId="29E9BE5C">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（3）教师自编测验</w:t>
            </w:r>
          </w:p>
          <w:p w14:paraId="0738865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（4）真实性评定与评定结果报告</w:t>
            </w:r>
          </w:p>
        </w:tc>
        <w:tc>
          <w:tcPr>
            <w:tcW w:w="1136" w:type="dxa"/>
            <w:vAlign w:val="center"/>
          </w:tcPr>
          <w:p w14:paraId="1E86BD4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p w14:paraId="3218286E">
            <w:pPr>
              <w:spacing w:line="264" w:lineRule="auto"/>
              <w:jc w:val="center"/>
              <w:rPr>
                <w:rFonts w:hint="eastAsia" w:ascii="宋体" w:hAnsi="宋体" w:eastAsia="宋体" w:cs="Times New Roman"/>
                <w:color w:val="000000"/>
                <w:szCs w:val="21"/>
              </w:rPr>
            </w:pPr>
          </w:p>
        </w:tc>
        <w:tc>
          <w:tcPr>
            <w:tcW w:w="3260" w:type="dxa"/>
            <w:vAlign w:val="center"/>
          </w:tcPr>
          <w:p w14:paraId="63D3E36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（1）掌握学习评定的基本理论；</w:t>
            </w:r>
          </w:p>
          <w:p w14:paraId="52C8697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（2）掌握学习评定的基本方法。</w:t>
            </w:r>
          </w:p>
        </w:tc>
        <w:tc>
          <w:tcPr>
            <w:tcW w:w="1568" w:type="dxa"/>
            <w:gridSpan w:val="2"/>
            <w:vAlign w:val="center"/>
          </w:tcPr>
          <w:p w14:paraId="6D8211A1">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1EB37D0">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27C8F6D0">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0" w:type="dxa"/>
            <w:vAlign w:val="center"/>
          </w:tcPr>
          <w:p w14:paraId="63B151A4">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089D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8279BA9">
            <w:pPr>
              <w:spacing w:line="264" w:lineRule="auto"/>
              <w:jc w:val="center"/>
              <w:rPr>
                <w:rFonts w:hint="eastAsia" w:ascii="宋体" w:hAnsi="宋体" w:eastAsia="宋体" w:cs="Times New Roman"/>
                <w:color w:val="000000"/>
                <w:szCs w:val="21"/>
              </w:rPr>
            </w:pPr>
          </w:p>
        </w:tc>
        <w:tc>
          <w:tcPr>
            <w:tcW w:w="8093" w:type="dxa"/>
            <w:gridSpan w:val="6"/>
            <w:vAlign w:val="center"/>
          </w:tcPr>
          <w:p w14:paraId="128B648F">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并掌握有关如何进行学习评定这一主题，让学生充分认识到国家如何评定育人成果的问题，进而深刻理解中央提出的“培养什么人、怎样培养人、为谁培养人”等问题，从而在潜移默化中引导学生树立正确的世界观、人生观、价值观。</w:t>
            </w:r>
          </w:p>
        </w:tc>
      </w:tr>
    </w:tbl>
    <w:p w14:paraId="1DEAAE89">
      <w:pPr>
        <w:spacing w:line="360" w:lineRule="auto"/>
        <w:jc w:val="left"/>
        <w:rPr>
          <w:rFonts w:ascii="Times New Roman" w:hAnsi="Times New Roman" w:eastAsia="宋体" w:cs="Times New Roman"/>
          <w:sz w:val="24"/>
        </w:rPr>
      </w:pPr>
    </w:p>
    <w:p w14:paraId="4F3688B2">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7A27071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647721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DF1B97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1615"/>
        <w:gridCol w:w="1615"/>
        <w:gridCol w:w="1615"/>
        <w:gridCol w:w="1739"/>
      </w:tblGrid>
      <w:tr w14:paraId="3048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Merge w:val="restart"/>
            <w:vAlign w:val="center"/>
          </w:tcPr>
          <w:p w14:paraId="7D642E5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4845" w:type="dxa"/>
            <w:gridSpan w:val="3"/>
            <w:vAlign w:val="center"/>
          </w:tcPr>
          <w:p w14:paraId="0753B1D4">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739" w:type="dxa"/>
            <w:vMerge w:val="restart"/>
            <w:vAlign w:val="center"/>
          </w:tcPr>
          <w:p w14:paraId="30D9D83A">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50A6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Merge w:val="continue"/>
            <w:vAlign w:val="center"/>
          </w:tcPr>
          <w:p w14:paraId="77640B77">
            <w:pPr>
              <w:spacing w:line="360" w:lineRule="auto"/>
              <w:jc w:val="center"/>
              <w:rPr>
                <w:rFonts w:hint="eastAsia" w:ascii="宋体" w:hAnsi="宋体" w:eastAsia="宋体" w:cs="Times New Roman"/>
                <w:szCs w:val="21"/>
              </w:rPr>
            </w:pPr>
          </w:p>
        </w:tc>
        <w:tc>
          <w:tcPr>
            <w:tcW w:w="1615" w:type="dxa"/>
            <w:vAlign w:val="center"/>
          </w:tcPr>
          <w:p w14:paraId="5418D9C0">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615" w:type="dxa"/>
            <w:vAlign w:val="center"/>
          </w:tcPr>
          <w:p w14:paraId="58668EF6">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615" w:type="dxa"/>
            <w:vAlign w:val="center"/>
          </w:tcPr>
          <w:p w14:paraId="71876900">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739" w:type="dxa"/>
            <w:vMerge w:val="continue"/>
            <w:vAlign w:val="center"/>
          </w:tcPr>
          <w:p w14:paraId="72D42BF1">
            <w:pPr>
              <w:spacing w:line="360" w:lineRule="auto"/>
              <w:jc w:val="center"/>
              <w:rPr>
                <w:rFonts w:hint="eastAsia" w:ascii="宋体" w:hAnsi="宋体" w:eastAsia="宋体" w:cs="Times New Roman"/>
                <w:szCs w:val="21"/>
              </w:rPr>
            </w:pPr>
          </w:p>
        </w:tc>
      </w:tr>
      <w:tr w14:paraId="5542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14:paraId="286D40C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615" w:type="dxa"/>
            <w:vAlign w:val="center"/>
          </w:tcPr>
          <w:p w14:paraId="025C11A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211D0B75">
            <w:pPr>
              <w:spacing w:line="360" w:lineRule="auto"/>
              <w:jc w:val="center"/>
              <w:rPr>
                <w:rFonts w:hint="eastAsia" w:ascii="宋体" w:hAnsi="宋体" w:eastAsia="宋体" w:cs="Times New Roman"/>
                <w:szCs w:val="21"/>
              </w:rPr>
            </w:pPr>
            <w:r>
              <w:rPr>
                <w:rFonts w:hint="eastAsia" w:ascii="宋体" w:hAnsi="宋体" w:eastAsia="宋体" w:cs="Times New Roman"/>
                <w:szCs w:val="21"/>
              </w:rPr>
              <w:sym w:font="Wingdings 2" w:char="F050"/>
            </w:r>
          </w:p>
        </w:tc>
        <w:tc>
          <w:tcPr>
            <w:tcW w:w="1615" w:type="dxa"/>
            <w:vAlign w:val="center"/>
          </w:tcPr>
          <w:p w14:paraId="724D434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39" w:type="dxa"/>
            <w:vAlign w:val="center"/>
          </w:tcPr>
          <w:p w14:paraId="191BA982">
            <w:pPr>
              <w:spacing w:line="360" w:lineRule="auto"/>
              <w:jc w:val="center"/>
              <w:rPr>
                <w:rFonts w:hint="eastAsia" w:ascii="宋体" w:hAnsi="宋体" w:eastAsia="宋体" w:cs="Times New Roman"/>
                <w:szCs w:val="21"/>
              </w:rPr>
            </w:pPr>
            <w:r>
              <w:rPr>
                <w:rFonts w:hint="eastAsia" w:ascii="宋体" w:hAnsi="宋体" w:eastAsia="宋体" w:cs="Times New Roman"/>
                <w:szCs w:val="21"/>
              </w:rPr>
              <w:t>80</w:t>
            </w:r>
          </w:p>
        </w:tc>
      </w:tr>
      <w:tr w14:paraId="7803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14:paraId="752C3D7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615" w:type="dxa"/>
            <w:vAlign w:val="center"/>
          </w:tcPr>
          <w:p w14:paraId="3D3E02D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0EFF2C5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6E55280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39" w:type="dxa"/>
            <w:vAlign w:val="center"/>
          </w:tcPr>
          <w:p w14:paraId="53EE4CC5">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2A8D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14:paraId="4B3B1D2D">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615" w:type="dxa"/>
            <w:vAlign w:val="center"/>
          </w:tcPr>
          <w:p w14:paraId="35DB375E">
            <w:pPr>
              <w:spacing w:line="360" w:lineRule="auto"/>
              <w:jc w:val="center"/>
              <w:rPr>
                <w:rFonts w:hint="eastAsia" w:ascii="宋体" w:hAnsi="宋体" w:eastAsia="宋体" w:cs="Times New Roman"/>
                <w:szCs w:val="21"/>
              </w:rPr>
            </w:pPr>
          </w:p>
        </w:tc>
        <w:tc>
          <w:tcPr>
            <w:tcW w:w="1615" w:type="dxa"/>
            <w:vAlign w:val="center"/>
          </w:tcPr>
          <w:p w14:paraId="35E7D9D4">
            <w:pPr>
              <w:spacing w:line="360" w:lineRule="auto"/>
              <w:jc w:val="center"/>
              <w:rPr>
                <w:rFonts w:hint="eastAsia" w:ascii="宋体" w:hAnsi="宋体" w:eastAsia="宋体" w:cs="Times New Roman"/>
                <w:szCs w:val="21"/>
              </w:rPr>
            </w:pPr>
          </w:p>
        </w:tc>
        <w:tc>
          <w:tcPr>
            <w:tcW w:w="1615" w:type="dxa"/>
            <w:vAlign w:val="center"/>
          </w:tcPr>
          <w:p w14:paraId="1A9C7B33">
            <w:pPr>
              <w:spacing w:line="360" w:lineRule="auto"/>
              <w:jc w:val="center"/>
              <w:rPr>
                <w:rFonts w:hint="eastAsia" w:ascii="宋体" w:hAnsi="宋体" w:eastAsia="宋体" w:cs="Times New Roman"/>
                <w:szCs w:val="21"/>
              </w:rPr>
            </w:pPr>
          </w:p>
        </w:tc>
        <w:tc>
          <w:tcPr>
            <w:tcW w:w="1739" w:type="dxa"/>
            <w:vAlign w:val="center"/>
          </w:tcPr>
          <w:p w14:paraId="002F1D90">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A764AC1">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71E820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86F8EC0">
      <w:pPr>
        <w:spacing w:line="360" w:lineRule="auto"/>
        <w:ind w:firstLine="420" w:firstLineChars="200"/>
        <w:jc w:val="left"/>
        <w:rPr>
          <w:rFonts w:ascii="Times New Roman" w:hAnsi="Times New Roman" w:eastAsia="宋体" w:cs="Times New Roman"/>
          <w:szCs w:val="21"/>
        </w:rPr>
      </w:pPr>
    </w:p>
    <w:p w14:paraId="6AC442C6">
      <w:pPr>
        <w:spacing w:line="360" w:lineRule="auto"/>
        <w:ind w:firstLine="420" w:firstLineChars="200"/>
        <w:jc w:val="left"/>
        <w:rPr>
          <w:rFonts w:ascii="Times New Roman" w:hAnsi="Times New Roman" w:eastAsia="宋体" w:cs="Times New Roman"/>
          <w:szCs w:val="21"/>
        </w:rPr>
      </w:pPr>
    </w:p>
    <w:p w14:paraId="06429CD8">
      <w:pPr>
        <w:spacing w:line="360" w:lineRule="auto"/>
        <w:ind w:firstLine="420" w:firstLineChars="200"/>
        <w:jc w:val="left"/>
        <w:rPr>
          <w:rFonts w:ascii="Times New Roman" w:hAnsi="Times New Roman" w:eastAsia="宋体" w:cs="Times New Roman"/>
          <w:szCs w:val="21"/>
        </w:rPr>
      </w:pPr>
    </w:p>
    <w:p w14:paraId="4487C823">
      <w:pPr>
        <w:jc w:val="center"/>
        <w:rPr>
          <w:rFonts w:ascii="Times New Roman" w:hAnsi="Times New Roman" w:eastAsia="宋体" w:cs="Times New Roman"/>
          <w:b/>
          <w:bCs/>
          <w:szCs w:val="21"/>
        </w:rPr>
      </w:pPr>
    </w:p>
    <w:p w14:paraId="2815AD0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154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29A9B0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0399CE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D45297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9D0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2949E3">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8044DC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三次小论文，评价依据为论文的规范性、逻辑性、创新性及整洁性；一次教学设计，评价依据如下：（1）‌教学目标：明确性：目标清晰、具体，便于操作；恰当性：符合大纲、学科特点和学生实际；全面性：体现知识、能力、思想等多个方面。（2）‌教学内容‌：逻辑性：内容系统、有条理，逻辑性强；针对性：突出重点、难点，抓住关键。（3）‌教学方法‌：多样性：灵活运用多种教学方法，提高教学效果；创新性：鼓励创新思维和实践能力的培养。（4）‌教学程序‌：合理性：教学环节设计合理，过渡自然；</w:t>
            </w:r>
          </w:p>
          <w:p w14:paraId="582989A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主体性：体现学生的主体地位，鼓励学生主动参与。（5）‌教学手段‌：现代性：恰当运用现代教学手段，提高教学效率。（6）‌教学评价‌：有效性：能够有效评价学生的学习成果，提供反馈。（7）‌教学效果‌：达成度：教学目标达成，教学效果显著‌。</w:t>
            </w:r>
          </w:p>
        </w:tc>
        <w:tc>
          <w:tcPr>
            <w:tcW w:w="0" w:type="auto"/>
            <w:vAlign w:val="center"/>
          </w:tcPr>
          <w:p w14:paraId="4C91A0C2">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3F14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1F80670">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131BC584">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2B750FBA">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4E923F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911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F432AC">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B48BABC">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试卷题型包括选择题、填空题、简答题、判断题、材料分析题、论述题和教学设计等，以卷面成绩的60%计入课程总成绩。其中考核教育心理学基本理论型题目占40%，考核学生运用基本理论知识进行案例分析能力型题目占30%；考核学生教学设计与评价能力型题目占30%。</w:t>
            </w:r>
          </w:p>
        </w:tc>
        <w:tc>
          <w:tcPr>
            <w:tcW w:w="0" w:type="auto"/>
            <w:vAlign w:val="center"/>
          </w:tcPr>
          <w:p w14:paraId="6030BEB9">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17D6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5179CC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5E6B87E">
            <w:pPr>
              <w:jc w:val="left"/>
              <w:rPr>
                <w:rFonts w:ascii="Times New Roman" w:hAnsi="Times New Roman" w:eastAsia="宋体" w:cs="Times New Roman"/>
                <w:szCs w:val="21"/>
              </w:rPr>
            </w:pPr>
          </w:p>
        </w:tc>
        <w:tc>
          <w:tcPr>
            <w:tcW w:w="0" w:type="auto"/>
            <w:vAlign w:val="center"/>
          </w:tcPr>
          <w:p w14:paraId="6F407BB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5E86919">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6014B4D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56B080F">
      <w:pPr>
        <w:spacing w:line="360" w:lineRule="auto"/>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45"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45" DrawAspect="Content" ObjectID="_1468075745" r:id="rId30">
            <o:LockedField>false</o:LockedField>
          </o:OLEObject>
        </w:object>
      </w:r>
    </w:p>
    <w:p w14:paraId="4620DA67">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五、有关说明</w:t>
      </w:r>
    </w:p>
    <w:p w14:paraId="756768AC">
      <w:pPr>
        <w:spacing w:line="336"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1B2784B9">
      <w:pPr>
        <w:spacing w:line="336"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561B78F5">
      <w:pPr>
        <w:spacing w:line="336"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6FC4157">
      <w:pPr>
        <w:spacing w:line="336" w:lineRule="auto"/>
        <w:ind w:firstLine="420" w:firstLineChars="20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陈琦，刘儒德主编.教育心理学（第3版）.北京：高等教育出版社，2020.</w:t>
      </w:r>
    </w:p>
    <w:p w14:paraId="4663ADDA">
      <w:pPr>
        <w:spacing w:line="336"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791158C9">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1.卢家楣主编.学习心理与教学:理论和实践(第3版). 上海：上海教育出版社，2016.</w:t>
      </w:r>
    </w:p>
    <w:p w14:paraId="298819FF">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2.[美]伍尔福克（Woolfolk,A.）著，陈红兵，张春莉等译.教育心理学（第14版）.上海：华东师范大学出版社，2022.</w:t>
      </w:r>
    </w:p>
    <w:p w14:paraId="655A1298">
      <w:pPr>
        <w:spacing w:line="336" w:lineRule="auto"/>
        <w:ind w:firstLine="420" w:firstLineChars="200"/>
        <w:rPr>
          <w:rFonts w:eastAsia="宋体"/>
        </w:rPr>
      </w:pPr>
      <w:r>
        <w:rPr>
          <w:rFonts w:hint="eastAsia" w:ascii="Times New Roman" w:hAnsi="Times New Roman" w:eastAsia="宋体" w:cs="Times New Roman"/>
          <w:bCs/>
          <w:color w:val="000000"/>
          <w:szCs w:val="21"/>
        </w:rPr>
        <w:t>3.[美]斯莱文（Slavin,R.）著，刘红瑞，姚梅林等译.教育心理学：理论与实践（第12版）.北京：人民邮电出版社，2024.</w:t>
      </w:r>
    </w:p>
    <w:p w14:paraId="4B882B95">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巫文胜</w:t>
      </w:r>
    </w:p>
    <w:p w14:paraId="41FCCF37">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ascii="宋体" w:hAnsi="宋体" w:eastAsia="宋体" w:cs="Times New Roman"/>
          <w:kern w:val="0"/>
          <w:sz w:val="24"/>
          <w:szCs w:val="21"/>
        </w:rPr>
        <w:t>审定人：</w:t>
      </w:r>
      <w:r>
        <w:rPr>
          <w:rFonts w:hint="eastAsia" w:ascii="宋体" w:hAnsi="宋体" w:eastAsia="宋体" w:cs="Times New Roman"/>
          <w:kern w:val="0"/>
          <w:sz w:val="24"/>
          <w:szCs w:val="21"/>
        </w:rPr>
        <w:t>王健</w:t>
      </w:r>
      <w:r>
        <w:rPr>
          <w:rFonts w:ascii="宋体" w:hAnsi="宋体" w:eastAsia="宋体" w:cs="Times New Roman"/>
          <w:kern w:val="0"/>
          <w:sz w:val="24"/>
          <w:szCs w:val="21"/>
        </w:rPr>
        <w:t xml:space="preserve"> </w:t>
      </w:r>
    </w:p>
    <w:p w14:paraId="1AA653E3">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审批</w:t>
      </w:r>
      <w:r>
        <w:rPr>
          <w:rFonts w:ascii="宋体" w:hAnsi="宋体" w:eastAsia="宋体" w:cs="Times New Roman"/>
          <w:kern w:val="0"/>
          <w:sz w:val="24"/>
          <w:szCs w:val="21"/>
        </w:rPr>
        <w:t>人：</w:t>
      </w:r>
      <w:r>
        <w:rPr>
          <w:rFonts w:hint="eastAsia" w:ascii="宋体" w:hAnsi="宋体" w:eastAsia="宋体" w:cs="Times New Roman"/>
          <w:kern w:val="0"/>
          <w:sz w:val="24"/>
          <w:szCs w:val="21"/>
        </w:rPr>
        <w:t>张志欣</w:t>
      </w:r>
    </w:p>
    <w:p w14:paraId="79ECFC4F">
      <w:pPr>
        <w:autoSpaceDE w:val="0"/>
        <w:autoSpaceDN w:val="0"/>
        <w:adjustRightInd w:val="0"/>
        <w:spacing w:line="360" w:lineRule="auto"/>
        <w:ind w:firstLine="5280" w:firstLineChars="2200"/>
        <w:jc w:val="left"/>
      </w:pPr>
      <w:r>
        <w:rPr>
          <w:rFonts w:hint="eastAsia" w:ascii="宋体" w:hAnsi="宋体" w:eastAsia="宋体" w:cs="Times New Roman"/>
          <w:kern w:val="0"/>
          <w:sz w:val="24"/>
          <w:szCs w:val="21"/>
        </w:rPr>
        <w:t>批准时间：20</w:t>
      </w:r>
      <w:r>
        <w:rPr>
          <w:rFonts w:ascii="宋体" w:hAnsi="宋体" w:eastAsia="宋体" w:cs="Times New Roman"/>
          <w:kern w:val="0"/>
          <w:sz w:val="24"/>
          <w:szCs w:val="21"/>
        </w:rPr>
        <w:t>2</w:t>
      </w:r>
      <w:r>
        <w:rPr>
          <w:rFonts w:hint="eastAsia" w:ascii="宋体" w:hAnsi="宋体" w:eastAsia="宋体" w:cs="Times New Roman"/>
          <w:kern w:val="0"/>
          <w:sz w:val="24"/>
          <w:szCs w:val="21"/>
        </w:rPr>
        <w:t>4年9月1日</w:t>
      </w:r>
    </w:p>
    <w:p w14:paraId="13986288">
      <w:pPr>
        <w:rPr>
          <w:rFonts w:hint="eastAsia" w:ascii="等线" w:hAnsi="等线" w:eastAsia="等线" w:cs="等线"/>
          <w:b/>
          <w:bCs/>
          <w:sz w:val="44"/>
          <w:szCs w:val="44"/>
        </w:rPr>
      </w:pPr>
      <w:r>
        <w:rPr>
          <w:rFonts w:hint="eastAsia" w:ascii="等线" w:hAnsi="等线" w:eastAsia="等线" w:cs="等线"/>
          <w:b/>
          <w:bCs/>
          <w:sz w:val="44"/>
          <w:szCs w:val="44"/>
        </w:rPr>
        <w:br w:type="page"/>
      </w:r>
    </w:p>
    <w:p w14:paraId="5808AA63">
      <w:pPr>
        <w:pStyle w:val="2"/>
      </w:pPr>
      <w:bookmarkStart w:id="116" w:name="_Toc11969"/>
      <w:bookmarkStart w:id="117" w:name="_Toc6384"/>
      <w:r>
        <w:rPr>
          <w:rFonts w:hint="eastAsia"/>
        </w:rPr>
        <w:t>《现代教育技术》课程教学大纲</w:t>
      </w:r>
      <w:bookmarkEnd w:id="116"/>
      <w:bookmarkEnd w:id="117"/>
    </w:p>
    <w:p w14:paraId="5F7D6D88">
      <w:r>
        <w:rPr>
          <w:rFonts w:hint="eastAsia"/>
        </w:rPr>
        <w:t>（</w:t>
      </w:r>
      <w:r>
        <w:t>Modern Educational Technology</w:t>
      </w:r>
      <w:r>
        <w:rPr>
          <w:rFonts w:hint="eastAsia"/>
        </w:rPr>
        <w:t>）</w:t>
      </w:r>
    </w:p>
    <w:p w14:paraId="69DFE4E1">
      <w:r>
        <w:t>一、课程概况</w:t>
      </w:r>
    </w:p>
    <w:p w14:paraId="4D5C69D9">
      <w:r>
        <w:t>课程代码：2401054</w:t>
      </w:r>
    </w:p>
    <w:p w14:paraId="6D558910">
      <w:r>
        <w:t>学    分：</w:t>
      </w:r>
      <w:r>
        <w:rPr>
          <w:rFonts w:hint="eastAsia"/>
        </w:rPr>
        <w:t>2</w:t>
      </w:r>
    </w:p>
    <w:p w14:paraId="057825D9">
      <w:r>
        <w:t>学    时：</w:t>
      </w:r>
      <w:r>
        <w:rPr>
          <w:rFonts w:hint="eastAsia"/>
        </w:rPr>
        <w:t>32</w:t>
      </w:r>
      <w:r>
        <w:t xml:space="preserve"> （其中：讲授学时</w:t>
      </w:r>
      <w:r>
        <w:rPr>
          <w:rFonts w:hint="eastAsia"/>
        </w:rPr>
        <w:t>16，</w:t>
      </w:r>
      <w:r>
        <w:t xml:space="preserve"> 课内实践学时</w:t>
      </w:r>
      <w:r>
        <w:rPr>
          <w:rFonts w:hint="eastAsia"/>
        </w:rPr>
        <w:t>16</w:t>
      </w:r>
      <w:r>
        <w:t>）</w:t>
      </w:r>
    </w:p>
    <w:p w14:paraId="6D50B332">
      <w:r>
        <w:t>先修课程：</w:t>
      </w:r>
      <w:r>
        <w:rPr>
          <w:rFonts w:hint="eastAsia"/>
        </w:rPr>
        <w:t>教育原理、小学心理学、教育心理学、教育科学研究方法、教师职业道德小学班队管理、课程与教</w:t>
      </w:r>
      <w:r>
        <w:t>学论</w:t>
      </w:r>
    </w:p>
    <w:p w14:paraId="4BF77C4D">
      <w:r>
        <w:t>适用专业：</w:t>
      </w:r>
      <w:r>
        <w:rPr>
          <w:rFonts w:hint="eastAsia"/>
        </w:rPr>
        <w:t>小学教育（理）</w:t>
      </w:r>
      <w:r>
        <w:t xml:space="preserve">                         </w:t>
      </w:r>
    </w:p>
    <w:p w14:paraId="7068689E">
      <w:r>
        <w:rPr>
          <w:rFonts w:hint="eastAsia"/>
        </w:rPr>
        <w:t>建议</w:t>
      </w:r>
      <w:r>
        <w:t>教材：</w:t>
      </w:r>
      <w:r>
        <w:rPr>
          <w:rFonts w:hint="eastAsia"/>
        </w:rPr>
        <w:t>《现代教育技术》，章苏静，上海交通大学出版社，2022</w:t>
      </w:r>
    </w:p>
    <w:p w14:paraId="70825CA6">
      <w:r>
        <w:t>课程归口：</w:t>
      </w:r>
      <w:r>
        <w:rPr>
          <w:rFonts w:hint="eastAsia"/>
        </w:rPr>
        <w:t>师范</w:t>
      </w:r>
      <w:r>
        <w:t>学院</w:t>
      </w:r>
    </w:p>
    <w:p w14:paraId="542931D5">
      <w:r>
        <w:rPr>
          <w:rFonts w:hint="eastAsia"/>
        </w:rPr>
        <w:t>课程的性质与任务：本课程</w:t>
      </w:r>
      <w:r>
        <w:t>是</w:t>
      </w:r>
      <w:r>
        <w:rPr>
          <w:rFonts w:hint="eastAsia"/>
        </w:rPr>
        <w:t>小学教育（理）</w:t>
      </w:r>
      <w:r>
        <w:t>专业的一门</w:t>
      </w:r>
      <w:r>
        <w:rPr>
          <w:rFonts w:hint="eastAsia"/>
        </w:rPr>
        <w:t>专业基础必修</w:t>
      </w:r>
      <w:r>
        <w:t>课程</w:t>
      </w:r>
      <w:r>
        <w:rPr>
          <w:rFonts w:hint="eastAsia"/>
        </w:rPr>
        <w:t>。通过本课程学习，使学生理解教育技术基本理论；掌握教学设计的方法并具备进行教学过程的设计、实施和评价的能力；熟悉各种常用教学媒体的操作、数字化教学资源的开发和利用，从而能够运用教育技术优化专业课程的教与学，推动教育教学改革并促进专业发展和个人发展，为后续小学数学课程标准与教材分析、小学数学教学设计与实施</w:t>
      </w:r>
      <w:r>
        <w:t>等课程及教育实习环节奠定基础。</w:t>
      </w:r>
    </w:p>
    <w:p w14:paraId="4B699703">
      <w:r>
        <w:rPr>
          <w:rFonts w:hint="eastAsia"/>
        </w:rPr>
        <w:t>二</w:t>
      </w:r>
      <w:r>
        <w:t>、课程目标</w:t>
      </w:r>
    </w:p>
    <w:p w14:paraId="2CD337BD">
      <w:r>
        <w:rPr>
          <w:rFonts w:hint="eastAsia"/>
        </w:rPr>
        <w:t>（一）课程具体目标</w:t>
      </w:r>
    </w:p>
    <w:p w14:paraId="3E0E2BD8">
      <w:r>
        <w:rPr>
          <w:rFonts w:hint="eastAsia"/>
        </w:rPr>
        <w:t>目标1. 阐释教育技术的概念、作用与理论基础；形成教育技术相关理论的认知框架；了解信息时代教师应具备的素质能力要求。</w:t>
      </w:r>
    </w:p>
    <w:p w14:paraId="40B4E3AC">
      <w:r>
        <w:rPr>
          <w:rFonts w:hint="eastAsia"/>
        </w:rPr>
        <w:t>目标2. 将教育理论与信息技术相结合，对信息化教学资源进行设计与开发；运用信息化教学模式与方法进行课程的设计并组织教学。</w:t>
      </w:r>
    </w:p>
    <w:p w14:paraId="768F0E07">
      <w:r>
        <w:rPr>
          <w:rFonts w:hint="eastAsia"/>
        </w:rPr>
        <w:t>目标3. 掌握多种教学媒体的基本原理和使用方法。并掌握数字化资源的采集、加工与利用方法，能够进行数字化教学资源的设计与制作。</w:t>
      </w:r>
    </w:p>
    <w:p w14:paraId="691A2CDC"/>
    <w:p w14:paraId="2C37D9C0">
      <w:r>
        <w:rPr>
          <w:rFonts w:hint="eastAsia"/>
        </w:rPr>
        <w:t>（二）课程目标与专业毕业要求的关系</w:t>
      </w:r>
    </w:p>
    <w:tbl>
      <w:tblPr>
        <w:tblStyle w:val="13"/>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4977"/>
        <w:gridCol w:w="1748"/>
      </w:tblGrid>
      <w:tr w14:paraId="3416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23" w:type="dxa"/>
            <w:vAlign w:val="center"/>
          </w:tcPr>
          <w:p w14:paraId="75A96ED1">
            <w:r>
              <w:rPr>
                <w:rFonts w:hint="eastAsia"/>
              </w:rPr>
              <w:t>支撑的毕业要求</w:t>
            </w:r>
          </w:p>
        </w:tc>
        <w:tc>
          <w:tcPr>
            <w:tcW w:w="4977" w:type="dxa"/>
            <w:vAlign w:val="center"/>
          </w:tcPr>
          <w:p w14:paraId="000D407D">
            <w:r>
              <w:rPr>
                <w:rFonts w:hint="eastAsia"/>
              </w:rPr>
              <w:t>支撑的毕业要求指标点</w:t>
            </w:r>
          </w:p>
        </w:tc>
        <w:tc>
          <w:tcPr>
            <w:tcW w:w="1748" w:type="dxa"/>
            <w:vAlign w:val="center"/>
          </w:tcPr>
          <w:p w14:paraId="176FB8EE">
            <w:r>
              <w:rPr>
                <w:rFonts w:hint="eastAsia"/>
              </w:rPr>
              <w:t>课程目标</w:t>
            </w:r>
          </w:p>
        </w:tc>
      </w:tr>
      <w:tr w14:paraId="5883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23" w:type="dxa"/>
            <w:vMerge w:val="restart"/>
            <w:vAlign w:val="center"/>
          </w:tcPr>
          <w:p w14:paraId="53DAEF1C">
            <w:r>
              <w:rPr>
                <w:rFonts w:hint="eastAsia"/>
              </w:rPr>
              <w:t>毕业要求4</w:t>
            </w:r>
            <w:r>
              <w:t>.</w:t>
            </w:r>
            <w:r>
              <w:rPr>
                <w:rFonts w:hint="eastAsia"/>
              </w:rPr>
              <w:t>教学能力</w:t>
            </w:r>
          </w:p>
        </w:tc>
        <w:tc>
          <w:tcPr>
            <w:tcW w:w="4977" w:type="dxa"/>
            <w:vMerge w:val="restart"/>
            <w:vAlign w:val="center"/>
          </w:tcPr>
          <w:p w14:paraId="1113D99F">
            <w:r>
              <w:rPr>
                <w:rFonts w:hint="eastAsia"/>
              </w:rPr>
              <w:t>指标点4-3（H）：【教学实施与评价科学】掌握小学教师基本功技能，包括书写技能、沟通与表达技能、信息技术运用技能等。获得全面的小学教学体验，掌握学科教学的基本方法与策略，能独立进行教学实施和评价。</w:t>
            </w:r>
          </w:p>
        </w:tc>
        <w:tc>
          <w:tcPr>
            <w:tcW w:w="1748" w:type="dxa"/>
            <w:vAlign w:val="center"/>
          </w:tcPr>
          <w:p w14:paraId="41905113">
            <w:r>
              <w:rPr>
                <w:rFonts w:hint="eastAsia"/>
              </w:rPr>
              <w:t>课程目标1</w:t>
            </w:r>
          </w:p>
        </w:tc>
      </w:tr>
      <w:tr w14:paraId="1EAF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23" w:type="dxa"/>
            <w:vMerge w:val="continue"/>
            <w:vAlign w:val="center"/>
          </w:tcPr>
          <w:p w14:paraId="37CD600F"/>
        </w:tc>
        <w:tc>
          <w:tcPr>
            <w:tcW w:w="4977" w:type="dxa"/>
            <w:vMerge w:val="continue"/>
            <w:vAlign w:val="center"/>
          </w:tcPr>
          <w:p w14:paraId="5CEB0294"/>
        </w:tc>
        <w:tc>
          <w:tcPr>
            <w:tcW w:w="1748" w:type="dxa"/>
            <w:vAlign w:val="center"/>
          </w:tcPr>
          <w:p w14:paraId="3ECECD85">
            <w:r>
              <w:rPr>
                <w:rFonts w:hint="eastAsia"/>
              </w:rPr>
              <w:t>课程目标2</w:t>
            </w:r>
          </w:p>
        </w:tc>
      </w:tr>
      <w:tr w14:paraId="42D0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23" w:type="dxa"/>
            <w:vMerge w:val="continue"/>
            <w:vAlign w:val="center"/>
          </w:tcPr>
          <w:p w14:paraId="427AC330"/>
        </w:tc>
        <w:tc>
          <w:tcPr>
            <w:tcW w:w="4977" w:type="dxa"/>
            <w:vMerge w:val="continue"/>
            <w:vAlign w:val="center"/>
          </w:tcPr>
          <w:p w14:paraId="7A9EEBDD"/>
        </w:tc>
        <w:tc>
          <w:tcPr>
            <w:tcW w:w="1748" w:type="dxa"/>
            <w:vAlign w:val="center"/>
          </w:tcPr>
          <w:p w14:paraId="3DCB7EE9">
            <w:r>
              <w:rPr>
                <w:rFonts w:hint="eastAsia"/>
              </w:rPr>
              <w:t>课程目标3</w:t>
            </w:r>
          </w:p>
        </w:tc>
      </w:tr>
    </w:tbl>
    <w:p w14:paraId="56C1F8AE"/>
    <w:p w14:paraId="6A6E1EAC">
      <w:r>
        <w:rPr>
          <w:rFonts w:hint="eastAsia"/>
        </w:rPr>
        <w:t>（三）课程思政目标</w:t>
      </w:r>
    </w:p>
    <w:p w14:paraId="1D9BA92B">
      <w:r>
        <w:rPr>
          <w:rFonts w:hint="eastAsia"/>
        </w:rPr>
        <w:t>在学习掌握现代教育技术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77B593AF"/>
    <w:p w14:paraId="0BEFA234">
      <w:r>
        <w:rPr>
          <w:rFonts w:hint="eastAsia"/>
        </w:rPr>
        <w:t>三</w:t>
      </w:r>
      <w:r>
        <w:t>、</w:t>
      </w:r>
      <w:r>
        <w:rPr>
          <w:rFonts w:hint="eastAsia"/>
        </w:rPr>
        <w:t>教学</w:t>
      </w:r>
      <w:r>
        <w:t>内容</w:t>
      </w:r>
      <w:r>
        <w:rPr>
          <w:rFonts w:hint="eastAsia"/>
        </w:rPr>
        <w:t>与预期学习成效</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080"/>
        <w:gridCol w:w="1276"/>
        <w:gridCol w:w="2122"/>
        <w:gridCol w:w="1539"/>
        <w:gridCol w:w="601"/>
      </w:tblGrid>
      <w:tr w14:paraId="0693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32E61A9">
            <w:r>
              <w:rPr>
                <w:rFonts w:hint="eastAsia"/>
              </w:rPr>
              <w:t>知识单元</w:t>
            </w:r>
          </w:p>
        </w:tc>
        <w:tc>
          <w:tcPr>
            <w:tcW w:w="2080" w:type="dxa"/>
            <w:vAlign w:val="center"/>
          </w:tcPr>
          <w:p w14:paraId="25654FC9">
            <w:r>
              <w:rPr>
                <w:rFonts w:hint="eastAsia"/>
              </w:rPr>
              <w:t>知识点</w:t>
            </w:r>
          </w:p>
        </w:tc>
        <w:tc>
          <w:tcPr>
            <w:tcW w:w="1276" w:type="dxa"/>
            <w:vAlign w:val="center"/>
          </w:tcPr>
          <w:p w14:paraId="3AB29F20">
            <w:r>
              <w:rPr>
                <w:rFonts w:hint="eastAsia"/>
              </w:rPr>
              <w:t>对应课程目标</w:t>
            </w:r>
          </w:p>
        </w:tc>
        <w:tc>
          <w:tcPr>
            <w:tcW w:w="2122" w:type="dxa"/>
            <w:vAlign w:val="center"/>
          </w:tcPr>
          <w:p w14:paraId="718F5594">
            <w:r>
              <w:rPr>
                <w:rFonts w:hint="eastAsia"/>
              </w:rPr>
              <w:t>预期学习成效</w:t>
            </w:r>
          </w:p>
        </w:tc>
        <w:tc>
          <w:tcPr>
            <w:tcW w:w="1539" w:type="dxa"/>
            <w:vAlign w:val="center"/>
          </w:tcPr>
          <w:p w14:paraId="22D30F7F">
            <w:r>
              <w:rPr>
                <w:rFonts w:hint="eastAsia"/>
              </w:rPr>
              <w:t>实现环节</w:t>
            </w:r>
          </w:p>
        </w:tc>
        <w:tc>
          <w:tcPr>
            <w:tcW w:w="601" w:type="dxa"/>
            <w:vAlign w:val="center"/>
          </w:tcPr>
          <w:p w14:paraId="16063103">
            <w:r>
              <w:rPr>
                <w:rFonts w:hint="eastAsia"/>
              </w:rPr>
              <w:t>学时</w:t>
            </w:r>
          </w:p>
        </w:tc>
      </w:tr>
      <w:tr w14:paraId="7651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52094BA5">
            <w:r>
              <w:rPr>
                <w:rFonts w:hint="eastAsia"/>
              </w:rPr>
              <w:t>1.教育技术概述</w:t>
            </w:r>
          </w:p>
        </w:tc>
        <w:tc>
          <w:tcPr>
            <w:tcW w:w="2080" w:type="dxa"/>
            <w:vAlign w:val="center"/>
          </w:tcPr>
          <w:p w14:paraId="49A7D328">
            <w:r>
              <w:rPr>
                <w:rFonts w:hint="eastAsia"/>
              </w:rPr>
              <w:t>（1）技术与教育的关系</w:t>
            </w:r>
          </w:p>
          <w:p w14:paraId="465C73AE">
            <w:r>
              <w:rPr>
                <w:rFonts w:hint="eastAsia"/>
              </w:rPr>
              <w:t>（2）教育技术的产生、发展及其趋势</w:t>
            </w:r>
          </w:p>
          <w:p w14:paraId="63CEC55B">
            <w:r>
              <w:rPr>
                <w:rFonts w:hint="eastAsia"/>
              </w:rPr>
              <w:t>（3）教育技术、现代教育技术与信息技术</w:t>
            </w:r>
          </w:p>
          <w:p w14:paraId="0E762A86">
            <w:r>
              <w:rPr>
                <w:rFonts w:hint="eastAsia"/>
              </w:rPr>
              <w:t>（4）教育技术与教育创新、现代教育技术与教师专业发展</w:t>
            </w:r>
          </w:p>
        </w:tc>
        <w:tc>
          <w:tcPr>
            <w:tcW w:w="1276" w:type="dxa"/>
            <w:vAlign w:val="center"/>
          </w:tcPr>
          <w:p w14:paraId="664A10D2">
            <w:r>
              <w:rPr>
                <w:rFonts w:hint="eastAsia"/>
              </w:rPr>
              <w:t>课程目标1</w:t>
            </w:r>
          </w:p>
        </w:tc>
        <w:tc>
          <w:tcPr>
            <w:tcW w:w="2122" w:type="dxa"/>
            <w:vAlign w:val="center"/>
          </w:tcPr>
          <w:p w14:paraId="427446B1">
            <w:r>
              <w:rPr>
                <w:rFonts w:hint="eastAsia"/>
              </w:rPr>
              <w:t>（1）了解历史上不同的技术对教育产生的影响</w:t>
            </w:r>
          </w:p>
          <w:p w14:paraId="01C8DE8E">
            <w:r>
              <w:rPr>
                <w:rFonts w:hint="eastAsia"/>
              </w:rPr>
              <w:t>（2）了解教育技术的产生、发展及其趋势</w:t>
            </w:r>
          </w:p>
          <w:p w14:paraId="120E906E">
            <w:r>
              <w:rPr>
                <w:rFonts w:hint="eastAsia"/>
              </w:rPr>
              <w:t>（3）知道教育技术名词的演变过程</w:t>
            </w:r>
          </w:p>
          <w:p w14:paraId="53C79132">
            <w:r>
              <w:rPr>
                <w:rFonts w:hint="eastAsia"/>
              </w:rPr>
              <w:t>（4）清楚信息时代对新型教师在教育技术能力方面的要求</w:t>
            </w:r>
          </w:p>
        </w:tc>
        <w:tc>
          <w:tcPr>
            <w:tcW w:w="1539" w:type="dxa"/>
            <w:vAlign w:val="center"/>
          </w:tcPr>
          <w:p w14:paraId="2A1A15B7">
            <w:r>
              <w:rPr>
                <w:rFonts w:hint="eastAsia"/>
              </w:rPr>
              <w:t>1.线上学习</w:t>
            </w:r>
          </w:p>
          <w:p w14:paraId="45BFCC32">
            <w:r>
              <w:rPr>
                <w:rFonts w:hint="eastAsia"/>
              </w:rPr>
              <w:t>2.多媒体教学</w:t>
            </w:r>
          </w:p>
          <w:p w14:paraId="6A097546">
            <w:r>
              <w:rPr>
                <w:rFonts w:hint="eastAsia"/>
              </w:rPr>
              <w:t>3.课堂讨论</w:t>
            </w:r>
          </w:p>
        </w:tc>
        <w:tc>
          <w:tcPr>
            <w:tcW w:w="601" w:type="dxa"/>
            <w:vAlign w:val="center"/>
          </w:tcPr>
          <w:p w14:paraId="07E4F9D7">
            <w:r>
              <w:rPr>
                <w:rFonts w:hint="eastAsia"/>
              </w:rPr>
              <w:t>2</w:t>
            </w:r>
          </w:p>
        </w:tc>
      </w:tr>
      <w:tr w14:paraId="61C8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904" w:type="dxa"/>
            <w:vMerge w:val="continue"/>
            <w:vAlign w:val="center"/>
          </w:tcPr>
          <w:p w14:paraId="2BE19B11"/>
        </w:tc>
        <w:tc>
          <w:tcPr>
            <w:tcW w:w="7618" w:type="dxa"/>
            <w:gridSpan w:val="5"/>
            <w:vAlign w:val="center"/>
          </w:tcPr>
          <w:p w14:paraId="0906B7DE">
            <w:r>
              <w:rPr>
                <w:rFonts w:hint="eastAsia"/>
              </w:rPr>
              <w:t>课程思政目标：在讲述信息技术发展的过程中，回顾我国教育技术和理论的发展历程，激发同学们的民族自豪感，树牢“四个意识”，坚定“四个自信”，坚决做到“两个维护”，形成教育情怀，坚定教育信仰，肩负起民族复兴的时代重任。</w:t>
            </w:r>
          </w:p>
        </w:tc>
      </w:tr>
      <w:tr w14:paraId="6F11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602C58DC">
            <w:r>
              <w:rPr>
                <w:rFonts w:hint="eastAsia"/>
              </w:rPr>
              <w:t>2.教育技术的理论基础</w:t>
            </w:r>
          </w:p>
        </w:tc>
        <w:tc>
          <w:tcPr>
            <w:tcW w:w="2080" w:type="dxa"/>
            <w:vAlign w:val="center"/>
          </w:tcPr>
          <w:p w14:paraId="2059CC63">
            <w:r>
              <w:rPr>
                <w:rFonts w:hint="eastAsia"/>
              </w:rPr>
              <w:t>（1）视听教学理论</w:t>
            </w:r>
          </w:p>
          <w:p w14:paraId="3002AAFD">
            <w:r>
              <w:rPr>
                <w:rFonts w:hint="eastAsia"/>
              </w:rPr>
              <w:t>（2）传播理论与教育传播</w:t>
            </w:r>
          </w:p>
          <w:p w14:paraId="71666826">
            <w:r>
              <w:rPr>
                <w:rFonts w:hint="eastAsia"/>
              </w:rPr>
              <w:t>（3）学习理论</w:t>
            </w:r>
          </w:p>
        </w:tc>
        <w:tc>
          <w:tcPr>
            <w:tcW w:w="1276" w:type="dxa"/>
            <w:vAlign w:val="center"/>
          </w:tcPr>
          <w:p w14:paraId="00B67B82">
            <w:r>
              <w:rPr>
                <w:rFonts w:hint="eastAsia"/>
              </w:rPr>
              <w:t>课程目标1</w:t>
            </w:r>
          </w:p>
          <w:p w14:paraId="73ACEDE2">
            <w:r>
              <w:rPr>
                <w:rFonts w:hint="eastAsia"/>
              </w:rPr>
              <w:t>课程目标2</w:t>
            </w:r>
          </w:p>
        </w:tc>
        <w:tc>
          <w:tcPr>
            <w:tcW w:w="2122" w:type="dxa"/>
            <w:vAlign w:val="center"/>
          </w:tcPr>
          <w:p w14:paraId="4C2EF821">
            <w:r>
              <w:rPr>
                <w:rFonts w:hint="eastAsia"/>
              </w:rPr>
              <w:t>（1）理解“经验之塔”理论对视听教育的影响</w:t>
            </w:r>
          </w:p>
          <w:p w14:paraId="40F1E720">
            <w:r>
              <w:rPr>
                <w:rFonts w:hint="eastAsia"/>
              </w:rPr>
              <w:t>（2）了解主要的教育传播模式，知道教学传播过程的基本要素、基本过程和基本规律</w:t>
            </w:r>
          </w:p>
          <w:p w14:paraId="1B3C8800">
            <w:r>
              <w:rPr>
                <w:rFonts w:hint="eastAsia"/>
              </w:rPr>
              <w:t>（3）知道不同学习理论的主要观点，了解各学习理论指导下的教学模式</w:t>
            </w:r>
          </w:p>
          <w:p w14:paraId="7C3A2583">
            <w:r>
              <w:rPr>
                <w:rFonts w:hint="eastAsia"/>
              </w:rPr>
              <w:t>（4）了解传播理论、学习理论和教学理论与教育技术的关系，能叙述三者作为教育技术学理论基础的意义</w:t>
            </w:r>
          </w:p>
          <w:p w14:paraId="5DBE17A9"/>
        </w:tc>
        <w:tc>
          <w:tcPr>
            <w:tcW w:w="1539" w:type="dxa"/>
            <w:vAlign w:val="center"/>
          </w:tcPr>
          <w:p w14:paraId="609E9F03">
            <w:r>
              <w:rPr>
                <w:rFonts w:hint="eastAsia"/>
              </w:rPr>
              <w:t>1.线上学习</w:t>
            </w:r>
          </w:p>
          <w:p w14:paraId="40471027">
            <w:r>
              <w:rPr>
                <w:rFonts w:hint="eastAsia"/>
              </w:rPr>
              <w:t>2.多媒体教学</w:t>
            </w:r>
          </w:p>
          <w:p w14:paraId="01438EC0">
            <w:r>
              <w:rPr>
                <w:rFonts w:hint="eastAsia"/>
              </w:rPr>
              <w:t>3.课堂讨论</w:t>
            </w:r>
          </w:p>
        </w:tc>
        <w:tc>
          <w:tcPr>
            <w:tcW w:w="601" w:type="dxa"/>
            <w:vAlign w:val="center"/>
          </w:tcPr>
          <w:p w14:paraId="17C8026A">
            <w:r>
              <w:rPr>
                <w:rFonts w:hint="eastAsia"/>
              </w:rPr>
              <w:t>2</w:t>
            </w:r>
          </w:p>
        </w:tc>
      </w:tr>
      <w:tr w14:paraId="2ED3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0A63A39D"/>
        </w:tc>
        <w:tc>
          <w:tcPr>
            <w:tcW w:w="7618" w:type="dxa"/>
            <w:gridSpan w:val="5"/>
            <w:vAlign w:val="center"/>
          </w:tcPr>
          <w:p w14:paraId="2B88813F">
            <w:r>
              <w:rPr>
                <w:rFonts w:hint="eastAsia"/>
              </w:rPr>
              <w:t>课程思政目标：在讲述各教育理论的过程中，引导学生对教育理论进行深入思考和研究，激发同学们投身我国教育事业的热情，将社会主义核心价值观内化为精神追求，具有优良的爱国主义情怀和以爱为魂的高尚师德。</w:t>
            </w:r>
          </w:p>
        </w:tc>
      </w:tr>
      <w:tr w14:paraId="7EDA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754340C4">
            <w:r>
              <w:rPr>
                <w:rFonts w:hint="eastAsia"/>
              </w:rPr>
              <w:t>3.教学媒体及其应用</w:t>
            </w:r>
          </w:p>
        </w:tc>
        <w:tc>
          <w:tcPr>
            <w:tcW w:w="2080" w:type="dxa"/>
            <w:vAlign w:val="center"/>
          </w:tcPr>
          <w:p w14:paraId="301895BE">
            <w:r>
              <w:rPr>
                <w:rFonts w:hint="eastAsia"/>
              </w:rPr>
              <w:t>（1）媒体本质及其类型</w:t>
            </w:r>
          </w:p>
          <w:p w14:paraId="3A355B49">
            <w:r>
              <w:rPr>
                <w:rFonts w:hint="eastAsia"/>
              </w:rPr>
              <w:t>（2）教学媒体的分类及特性</w:t>
            </w:r>
          </w:p>
          <w:p w14:paraId="2BFBE161">
            <w:r>
              <w:rPr>
                <w:rFonts w:hint="eastAsia"/>
              </w:rPr>
              <w:t>（3）传统教学媒体的应用</w:t>
            </w:r>
          </w:p>
          <w:p w14:paraId="79020241">
            <w:r>
              <w:rPr>
                <w:rFonts w:hint="eastAsia"/>
              </w:rPr>
              <w:t>（4）现代教学媒体的应用</w:t>
            </w:r>
          </w:p>
        </w:tc>
        <w:tc>
          <w:tcPr>
            <w:tcW w:w="1276" w:type="dxa"/>
            <w:vAlign w:val="center"/>
          </w:tcPr>
          <w:p w14:paraId="5D1D6468">
            <w:r>
              <w:rPr>
                <w:rFonts w:hint="eastAsia"/>
              </w:rPr>
              <w:t>课程目标1</w:t>
            </w:r>
          </w:p>
          <w:p w14:paraId="4BA1E018">
            <w:r>
              <w:rPr>
                <w:rFonts w:hint="eastAsia"/>
              </w:rPr>
              <w:t>课程目标2</w:t>
            </w:r>
          </w:p>
        </w:tc>
        <w:tc>
          <w:tcPr>
            <w:tcW w:w="2122" w:type="dxa"/>
            <w:vAlign w:val="center"/>
          </w:tcPr>
          <w:p w14:paraId="1C1ECB4B">
            <w:r>
              <w:rPr>
                <w:rFonts w:hint="eastAsia"/>
              </w:rPr>
              <w:t>（1）了解教学媒体的定义、特点和作用</w:t>
            </w:r>
          </w:p>
          <w:p w14:paraId="6469B62A">
            <w:r>
              <w:rPr>
                <w:rFonts w:hint="eastAsia"/>
              </w:rPr>
              <w:t>（2）了解教学媒体的分类方法</w:t>
            </w:r>
          </w:p>
          <w:p w14:paraId="467E52C2">
            <w:r>
              <w:rPr>
                <w:rFonts w:hint="eastAsia"/>
              </w:rPr>
              <w:t>（3）掌握各常规媒体的优势、不足及使用方法</w:t>
            </w:r>
          </w:p>
          <w:p w14:paraId="7739ACB9">
            <w:r>
              <w:rPr>
                <w:rFonts w:hint="eastAsia"/>
              </w:rPr>
              <w:t>（4）了解教学媒体选择的原则与方法</w:t>
            </w:r>
          </w:p>
        </w:tc>
        <w:tc>
          <w:tcPr>
            <w:tcW w:w="1539" w:type="dxa"/>
            <w:vAlign w:val="center"/>
          </w:tcPr>
          <w:p w14:paraId="7AA423A6">
            <w:r>
              <w:rPr>
                <w:rFonts w:hint="eastAsia"/>
              </w:rPr>
              <w:t>1.线上学习</w:t>
            </w:r>
          </w:p>
          <w:p w14:paraId="05F88D9F">
            <w:r>
              <w:rPr>
                <w:rFonts w:hint="eastAsia"/>
              </w:rPr>
              <w:t>2.多媒体教学</w:t>
            </w:r>
          </w:p>
          <w:p w14:paraId="2B5DB90C">
            <w:r>
              <w:rPr>
                <w:rFonts w:hint="eastAsia"/>
              </w:rPr>
              <w:t>3.课堂讨论</w:t>
            </w:r>
          </w:p>
          <w:p w14:paraId="4590C23F">
            <w:r>
              <w:rPr>
                <w:rFonts w:hint="eastAsia"/>
              </w:rPr>
              <w:t>4.机房实操</w:t>
            </w:r>
          </w:p>
        </w:tc>
        <w:tc>
          <w:tcPr>
            <w:tcW w:w="601" w:type="dxa"/>
            <w:vAlign w:val="center"/>
          </w:tcPr>
          <w:p w14:paraId="5D78D043">
            <w:r>
              <w:rPr>
                <w:rFonts w:hint="eastAsia"/>
              </w:rPr>
              <w:t>4</w:t>
            </w:r>
          </w:p>
        </w:tc>
      </w:tr>
      <w:tr w14:paraId="6818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22060814"/>
        </w:tc>
        <w:tc>
          <w:tcPr>
            <w:tcW w:w="7618" w:type="dxa"/>
            <w:gridSpan w:val="5"/>
            <w:vAlign w:val="center"/>
          </w:tcPr>
          <w:p w14:paraId="5C70A288">
            <w:r>
              <w:rPr>
                <w:rFonts w:hint="eastAsia"/>
              </w:rPr>
              <w:t>课程思政目标：现在很多学校都配备了多种教学媒体，使得教师能够充分地选择多种媒体组织教学；引导学生在今后的工作中不仅要用好教学媒体，还要主动爱惜和维护好学校的这些公共设施。</w:t>
            </w:r>
          </w:p>
        </w:tc>
      </w:tr>
      <w:tr w14:paraId="11C4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02D956B0">
            <w:r>
              <w:rPr>
                <w:rFonts w:hint="eastAsia"/>
              </w:rPr>
              <w:t>4.教学资源的获取与加工</w:t>
            </w:r>
          </w:p>
        </w:tc>
        <w:tc>
          <w:tcPr>
            <w:tcW w:w="2080" w:type="dxa"/>
            <w:vAlign w:val="center"/>
          </w:tcPr>
          <w:p w14:paraId="66DF4666">
            <w:r>
              <w:rPr>
                <w:rFonts w:hint="eastAsia"/>
              </w:rPr>
              <w:t>（1）教学资源的概念</w:t>
            </w:r>
          </w:p>
          <w:p w14:paraId="1E9C9432">
            <w:r>
              <w:rPr>
                <w:rFonts w:hint="eastAsia"/>
              </w:rPr>
              <w:t>（2）教学资源的类型与特点</w:t>
            </w:r>
          </w:p>
          <w:p w14:paraId="77EE042C">
            <w:r>
              <w:rPr>
                <w:rFonts w:hint="eastAsia"/>
              </w:rPr>
              <w:t>（3）教学资源的获取</w:t>
            </w:r>
          </w:p>
          <w:p w14:paraId="01230D2A">
            <w:r>
              <w:rPr>
                <w:rFonts w:hint="eastAsia"/>
              </w:rPr>
              <w:t>（4）数字化教学素材的加工</w:t>
            </w:r>
          </w:p>
        </w:tc>
        <w:tc>
          <w:tcPr>
            <w:tcW w:w="1276" w:type="dxa"/>
            <w:vAlign w:val="center"/>
          </w:tcPr>
          <w:p w14:paraId="38BCBD6E">
            <w:r>
              <w:rPr>
                <w:rFonts w:hint="eastAsia"/>
              </w:rPr>
              <w:t>课程目标1</w:t>
            </w:r>
          </w:p>
          <w:p w14:paraId="3BBBEF24">
            <w:r>
              <w:rPr>
                <w:rFonts w:hint="eastAsia"/>
              </w:rPr>
              <w:t>课程目标2</w:t>
            </w:r>
          </w:p>
        </w:tc>
        <w:tc>
          <w:tcPr>
            <w:tcW w:w="2122" w:type="dxa"/>
            <w:vAlign w:val="center"/>
          </w:tcPr>
          <w:p w14:paraId="33D216A4">
            <w:r>
              <w:rPr>
                <w:rFonts w:hint="eastAsia"/>
              </w:rPr>
              <w:t>（1）了解教学资源的分类和特性</w:t>
            </w:r>
          </w:p>
          <w:p w14:paraId="1DBB4DE6">
            <w:r>
              <w:rPr>
                <w:rFonts w:hint="eastAsia"/>
              </w:rPr>
              <w:t>（2）了解教学资源获取的途径</w:t>
            </w:r>
          </w:p>
          <w:p w14:paraId="35A82C80">
            <w:r>
              <w:rPr>
                <w:rFonts w:hint="eastAsia"/>
              </w:rPr>
              <w:t>（3）掌握数字化教学素材获取的方法与技巧</w:t>
            </w:r>
          </w:p>
          <w:p w14:paraId="0FBFE9F8">
            <w:r>
              <w:rPr>
                <w:rFonts w:hint="eastAsia"/>
              </w:rPr>
              <w:t>（4）能用一些基本的工具软件加工教学资源</w:t>
            </w:r>
          </w:p>
        </w:tc>
        <w:tc>
          <w:tcPr>
            <w:tcW w:w="1539" w:type="dxa"/>
            <w:vAlign w:val="center"/>
          </w:tcPr>
          <w:p w14:paraId="507F7CCD">
            <w:r>
              <w:rPr>
                <w:rFonts w:hint="eastAsia"/>
              </w:rPr>
              <w:t>1.线上学习</w:t>
            </w:r>
          </w:p>
          <w:p w14:paraId="45E396AB">
            <w:r>
              <w:rPr>
                <w:rFonts w:hint="eastAsia"/>
              </w:rPr>
              <w:t>2.多媒体教学</w:t>
            </w:r>
          </w:p>
          <w:p w14:paraId="471801ED">
            <w:r>
              <w:rPr>
                <w:rFonts w:hint="eastAsia"/>
              </w:rPr>
              <w:t>3.课堂讨论</w:t>
            </w:r>
          </w:p>
          <w:p w14:paraId="7F0EB8D6">
            <w:r>
              <w:rPr>
                <w:rFonts w:hint="eastAsia"/>
              </w:rPr>
              <w:t>4.机房实操</w:t>
            </w:r>
          </w:p>
        </w:tc>
        <w:tc>
          <w:tcPr>
            <w:tcW w:w="601" w:type="dxa"/>
            <w:vAlign w:val="center"/>
          </w:tcPr>
          <w:p w14:paraId="72D5DE7A">
            <w:r>
              <w:rPr>
                <w:rFonts w:hint="eastAsia"/>
              </w:rPr>
              <w:t>6</w:t>
            </w:r>
          </w:p>
        </w:tc>
      </w:tr>
      <w:tr w14:paraId="1B8C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4AFF5C6D"/>
        </w:tc>
        <w:tc>
          <w:tcPr>
            <w:tcW w:w="7618" w:type="dxa"/>
            <w:gridSpan w:val="5"/>
            <w:vAlign w:val="center"/>
          </w:tcPr>
          <w:p w14:paraId="4189A1F5">
            <w:r>
              <w:rPr>
                <w:rFonts w:hint="eastAsia"/>
              </w:rPr>
              <w:t>课程思政目标：在讲述各种软件的使用过程中，因为多数是国外公司开发的软件，所以，在引导同学们对国产软件认同的同时，激发同学们的危机意识，在今后的工作中努力支持国产软件，树立起为中华民族复兴培养全面发展的社会主义建设者和接班人的职业理想。</w:t>
            </w:r>
          </w:p>
          <w:p w14:paraId="5816FE1B"/>
          <w:p w14:paraId="051F444E"/>
        </w:tc>
      </w:tr>
      <w:tr w14:paraId="72F3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65DF763C">
            <w:r>
              <w:rPr>
                <w:rFonts w:hint="eastAsia"/>
              </w:rPr>
              <w:t>5.数字化教学资源的设计与运用</w:t>
            </w:r>
          </w:p>
        </w:tc>
        <w:tc>
          <w:tcPr>
            <w:tcW w:w="2080" w:type="dxa"/>
            <w:vAlign w:val="center"/>
          </w:tcPr>
          <w:p w14:paraId="48C7D88D">
            <w:r>
              <w:rPr>
                <w:rFonts w:hint="eastAsia"/>
              </w:rPr>
              <w:t>（1）数字化教学资源的内涵</w:t>
            </w:r>
          </w:p>
          <w:p w14:paraId="35CB839F">
            <w:r>
              <w:rPr>
                <w:rFonts w:hint="eastAsia"/>
              </w:rPr>
              <w:t>（2）数字化教学资源的类型及特点</w:t>
            </w:r>
          </w:p>
          <w:p w14:paraId="5B8541E7">
            <w:r>
              <w:rPr>
                <w:rFonts w:hint="eastAsia"/>
              </w:rPr>
              <w:t>（3）多媒体教学课件的制作</w:t>
            </w:r>
          </w:p>
          <w:p w14:paraId="223E1E46">
            <w:r>
              <w:rPr>
                <w:rFonts w:hint="eastAsia"/>
              </w:rPr>
              <w:t>（4）演示型PPT课件的制作与运用技巧</w:t>
            </w:r>
          </w:p>
        </w:tc>
        <w:tc>
          <w:tcPr>
            <w:tcW w:w="1276" w:type="dxa"/>
            <w:vAlign w:val="center"/>
          </w:tcPr>
          <w:p w14:paraId="441C37B9">
            <w:r>
              <w:rPr>
                <w:rFonts w:hint="eastAsia"/>
              </w:rPr>
              <w:t>课程目标1</w:t>
            </w:r>
          </w:p>
          <w:p w14:paraId="09929B50">
            <w:r>
              <w:rPr>
                <w:rFonts w:hint="eastAsia"/>
              </w:rPr>
              <w:t>课程目标2</w:t>
            </w:r>
          </w:p>
          <w:p w14:paraId="585CFD24">
            <w:r>
              <w:rPr>
                <w:rFonts w:hint="eastAsia"/>
              </w:rPr>
              <w:t>课程目标3</w:t>
            </w:r>
          </w:p>
        </w:tc>
        <w:tc>
          <w:tcPr>
            <w:tcW w:w="2122" w:type="dxa"/>
            <w:vAlign w:val="center"/>
          </w:tcPr>
          <w:p w14:paraId="026826F2">
            <w:r>
              <w:rPr>
                <w:rFonts w:hint="eastAsia"/>
              </w:rPr>
              <w:t>（1）了解数字化教学资源的内涵及类型</w:t>
            </w:r>
          </w:p>
          <w:p w14:paraId="70AAD5B9">
            <w:r>
              <w:rPr>
                <w:rFonts w:hint="eastAsia"/>
              </w:rPr>
              <w:t>（2）常用数字化教学资源制作工具简介</w:t>
            </w:r>
          </w:p>
          <w:p w14:paraId="64D602CF">
            <w:r>
              <w:rPr>
                <w:rFonts w:hint="eastAsia"/>
              </w:rPr>
              <w:t>（3）熟练掌握利用PowerPoint制作多媒体课件的原则、过程和方法</w:t>
            </w:r>
          </w:p>
          <w:p w14:paraId="01369FA3">
            <w:r>
              <w:rPr>
                <w:rFonts w:hint="eastAsia"/>
              </w:rPr>
              <w:t>（4）掌握基于PPT课件的教学方法</w:t>
            </w:r>
          </w:p>
        </w:tc>
        <w:tc>
          <w:tcPr>
            <w:tcW w:w="1539" w:type="dxa"/>
            <w:vAlign w:val="center"/>
          </w:tcPr>
          <w:p w14:paraId="2796DAED">
            <w:r>
              <w:rPr>
                <w:rFonts w:hint="eastAsia"/>
              </w:rPr>
              <w:t>1.线上学习</w:t>
            </w:r>
          </w:p>
          <w:p w14:paraId="61597E1A">
            <w:r>
              <w:rPr>
                <w:rFonts w:hint="eastAsia"/>
              </w:rPr>
              <w:t>2.多媒体教学</w:t>
            </w:r>
          </w:p>
          <w:p w14:paraId="4147A624">
            <w:r>
              <w:rPr>
                <w:rFonts w:hint="eastAsia"/>
              </w:rPr>
              <w:t>3.课堂讨论</w:t>
            </w:r>
          </w:p>
          <w:p w14:paraId="74BD8A71">
            <w:r>
              <w:rPr>
                <w:rFonts w:hint="eastAsia"/>
              </w:rPr>
              <w:t>4.机房实操</w:t>
            </w:r>
          </w:p>
        </w:tc>
        <w:tc>
          <w:tcPr>
            <w:tcW w:w="601" w:type="dxa"/>
            <w:vAlign w:val="center"/>
          </w:tcPr>
          <w:p w14:paraId="26750950">
            <w:r>
              <w:rPr>
                <w:rFonts w:hint="eastAsia"/>
              </w:rPr>
              <w:t>6</w:t>
            </w:r>
          </w:p>
        </w:tc>
      </w:tr>
      <w:tr w14:paraId="452B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70D61D5E"/>
        </w:tc>
        <w:tc>
          <w:tcPr>
            <w:tcW w:w="7618" w:type="dxa"/>
            <w:gridSpan w:val="5"/>
            <w:vAlign w:val="center"/>
          </w:tcPr>
          <w:p w14:paraId="61318E44">
            <w:r>
              <w:rPr>
                <w:rFonts w:hint="eastAsia"/>
              </w:rPr>
              <w:t>课程思政目标：引导学生注重知识产权保护，既要学会保护自己设计制作的数字作品，又要学会尊重他人的相关作品，推动数字资源市场的良性化发展。</w:t>
            </w:r>
          </w:p>
        </w:tc>
      </w:tr>
      <w:tr w14:paraId="1099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37E2AD57">
            <w:r>
              <w:rPr>
                <w:rFonts w:hint="eastAsia"/>
              </w:rPr>
              <w:t>6.教学设计的理论与实践</w:t>
            </w:r>
          </w:p>
        </w:tc>
        <w:tc>
          <w:tcPr>
            <w:tcW w:w="2080" w:type="dxa"/>
            <w:vAlign w:val="center"/>
          </w:tcPr>
          <w:p w14:paraId="0E20A405">
            <w:r>
              <w:rPr>
                <w:rFonts w:hint="eastAsia"/>
              </w:rPr>
              <w:t>（1）教学设计的理论基础</w:t>
            </w:r>
          </w:p>
          <w:p w14:paraId="15411D40">
            <w:r>
              <w:rPr>
                <w:rFonts w:hint="eastAsia"/>
              </w:rPr>
              <w:t>（2）教学设计的一般方法</w:t>
            </w:r>
          </w:p>
          <w:p w14:paraId="7E0BD406">
            <w:r>
              <w:rPr>
                <w:rFonts w:hint="eastAsia"/>
              </w:rPr>
              <w:t>（3）信息化教学模式的类型、特点及应用案例</w:t>
            </w:r>
          </w:p>
          <w:p w14:paraId="26D1D7BA">
            <w:r>
              <w:rPr>
                <w:rFonts w:hint="eastAsia"/>
              </w:rPr>
              <w:t>（4）信息化教学工具及应用方法</w:t>
            </w:r>
          </w:p>
        </w:tc>
        <w:tc>
          <w:tcPr>
            <w:tcW w:w="1276" w:type="dxa"/>
            <w:vAlign w:val="center"/>
          </w:tcPr>
          <w:p w14:paraId="5B4DC3A0">
            <w:r>
              <w:rPr>
                <w:rFonts w:hint="eastAsia"/>
              </w:rPr>
              <w:t>课程目标1</w:t>
            </w:r>
          </w:p>
          <w:p w14:paraId="5156AEC9">
            <w:r>
              <w:rPr>
                <w:rFonts w:hint="eastAsia"/>
              </w:rPr>
              <w:t>课程目标2</w:t>
            </w:r>
          </w:p>
        </w:tc>
        <w:tc>
          <w:tcPr>
            <w:tcW w:w="2122" w:type="dxa"/>
            <w:vAlign w:val="center"/>
          </w:tcPr>
          <w:p w14:paraId="057C30D0">
            <w:r>
              <w:rPr>
                <w:rFonts w:hint="eastAsia"/>
              </w:rPr>
              <w:t>（1）了解教学设计的概念和模式</w:t>
            </w:r>
          </w:p>
          <w:p w14:paraId="08693C3C">
            <w:r>
              <w:rPr>
                <w:rFonts w:hint="eastAsia"/>
              </w:rPr>
              <w:t>（2）掌握教学设计的基本过程和方法</w:t>
            </w:r>
          </w:p>
          <w:p w14:paraId="483884C4">
            <w:r>
              <w:rPr>
                <w:rFonts w:hint="eastAsia"/>
              </w:rPr>
              <w:t>（3）了解信息化教学模式的类型及特点</w:t>
            </w:r>
          </w:p>
          <w:p w14:paraId="3B4A2B2B">
            <w:r>
              <w:rPr>
                <w:rFonts w:hint="eastAsia"/>
              </w:rPr>
              <w:t>（4）能够结合学科内容编写教学设计方案并付诸教学实践</w:t>
            </w:r>
          </w:p>
        </w:tc>
        <w:tc>
          <w:tcPr>
            <w:tcW w:w="1539" w:type="dxa"/>
            <w:vAlign w:val="center"/>
          </w:tcPr>
          <w:p w14:paraId="2766F3E7">
            <w:r>
              <w:rPr>
                <w:rFonts w:hint="eastAsia"/>
              </w:rPr>
              <w:t>1.线上学习</w:t>
            </w:r>
          </w:p>
          <w:p w14:paraId="33A7B23F">
            <w:r>
              <w:rPr>
                <w:rFonts w:hint="eastAsia"/>
              </w:rPr>
              <w:t>2.多媒体教学</w:t>
            </w:r>
          </w:p>
          <w:p w14:paraId="436DDFBF">
            <w:r>
              <w:rPr>
                <w:rFonts w:hint="eastAsia"/>
              </w:rPr>
              <w:t>3.课堂讨论</w:t>
            </w:r>
          </w:p>
        </w:tc>
        <w:tc>
          <w:tcPr>
            <w:tcW w:w="601" w:type="dxa"/>
            <w:vAlign w:val="center"/>
          </w:tcPr>
          <w:p w14:paraId="692D7974">
            <w:r>
              <w:rPr>
                <w:rFonts w:hint="eastAsia"/>
              </w:rPr>
              <w:t>4</w:t>
            </w:r>
          </w:p>
        </w:tc>
      </w:tr>
      <w:tr w14:paraId="6A72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605A9A75"/>
        </w:tc>
        <w:tc>
          <w:tcPr>
            <w:tcW w:w="7618" w:type="dxa"/>
            <w:gridSpan w:val="5"/>
            <w:vAlign w:val="center"/>
          </w:tcPr>
          <w:p w14:paraId="0EE4613C">
            <w:r>
              <w:rPr>
                <w:rFonts w:hint="eastAsia"/>
              </w:rPr>
              <w:t>课程思政目标：能创造性地运用所学知识设计与实施小学科学教育，成为有理想信念、有道德情操、有扎实学识、有仁爱之心的小学好老师。</w:t>
            </w:r>
          </w:p>
        </w:tc>
      </w:tr>
      <w:tr w14:paraId="3DE9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5656E329">
            <w:r>
              <w:rPr>
                <w:rFonts w:hint="eastAsia"/>
              </w:rPr>
              <w:t>7.微课制作</w:t>
            </w:r>
          </w:p>
        </w:tc>
        <w:tc>
          <w:tcPr>
            <w:tcW w:w="2080" w:type="dxa"/>
            <w:vAlign w:val="center"/>
          </w:tcPr>
          <w:p w14:paraId="5E558431">
            <w:r>
              <w:rPr>
                <w:rFonts w:hint="eastAsia"/>
              </w:rPr>
              <w:t>（1）教学设计的理论基础</w:t>
            </w:r>
          </w:p>
          <w:p w14:paraId="11BD4603">
            <w:r>
              <w:rPr>
                <w:rFonts w:hint="eastAsia"/>
              </w:rPr>
              <w:t>（2）教学设计的一般方法</w:t>
            </w:r>
          </w:p>
          <w:p w14:paraId="25339E62">
            <w:r>
              <w:rPr>
                <w:rFonts w:hint="eastAsia"/>
              </w:rPr>
              <w:t>（3）Camtasia软件安装与使用</w:t>
            </w:r>
          </w:p>
          <w:p w14:paraId="484FDF68">
            <w:r>
              <w:rPr>
                <w:rFonts w:hint="eastAsia"/>
              </w:rPr>
              <w:t>（4）微课制作基本方法与原则</w:t>
            </w:r>
          </w:p>
        </w:tc>
        <w:tc>
          <w:tcPr>
            <w:tcW w:w="1276" w:type="dxa"/>
            <w:vAlign w:val="center"/>
          </w:tcPr>
          <w:p w14:paraId="3B3A6F66">
            <w:r>
              <w:rPr>
                <w:rFonts w:hint="eastAsia"/>
              </w:rPr>
              <w:t>课程目标1</w:t>
            </w:r>
          </w:p>
          <w:p w14:paraId="4BD074FF">
            <w:r>
              <w:rPr>
                <w:rFonts w:hint="eastAsia"/>
              </w:rPr>
              <w:t>课程目标2</w:t>
            </w:r>
          </w:p>
          <w:p w14:paraId="1725256B">
            <w:r>
              <w:rPr>
                <w:rFonts w:hint="eastAsia"/>
              </w:rPr>
              <w:t>课程目标3</w:t>
            </w:r>
          </w:p>
        </w:tc>
        <w:tc>
          <w:tcPr>
            <w:tcW w:w="2122" w:type="dxa"/>
            <w:vAlign w:val="center"/>
          </w:tcPr>
          <w:p w14:paraId="071937FE">
            <w:r>
              <w:rPr>
                <w:rFonts w:hint="eastAsia"/>
              </w:rPr>
              <w:t>（1）了解信息化教学设计的概念和模式</w:t>
            </w:r>
          </w:p>
          <w:p w14:paraId="6D85AEA3">
            <w:r>
              <w:rPr>
                <w:rFonts w:hint="eastAsia"/>
              </w:rPr>
              <w:t>（2）掌握微课制作的基本过程和方法</w:t>
            </w:r>
          </w:p>
          <w:p w14:paraId="3C89993A">
            <w:r>
              <w:rPr>
                <w:rFonts w:hint="eastAsia"/>
              </w:rPr>
              <w:t>（3）了解Camtasia软件的功能及特点</w:t>
            </w:r>
          </w:p>
          <w:p w14:paraId="05C82336">
            <w:r>
              <w:rPr>
                <w:rFonts w:hint="eastAsia"/>
              </w:rPr>
              <w:t>（4）能够结合学科内容制作一个微课作品</w:t>
            </w:r>
          </w:p>
        </w:tc>
        <w:tc>
          <w:tcPr>
            <w:tcW w:w="1539" w:type="dxa"/>
            <w:vAlign w:val="center"/>
          </w:tcPr>
          <w:p w14:paraId="69FB79A0">
            <w:r>
              <w:rPr>
                <w:rFonts w:hint="eastAsia"/>
              </w:rPr>
              <w:t>1.线上学习</w:t>
            </w:r>
          </w:p>
          <w:p w14:paraId="6F75D300">
            <w:r>
              <w:rPr>
                <w:rFonts w:hint="eastAsia"/>
              </w:rPr>
              <w:t>2.多媒体教学</w:t>
            </w:r>
          </w:p>
          <w:p w14:paraId="162CAC13">
            <w:r>
              <w:rPr>
                <w:rFonts w:hint="eastAsia"/>
              </w:rPr>
              <w:t>3.课堂讨论</w:t>
            </w:r>
          </w:p>
          <w:p w14:paraId="4AD21F28">
            <w:r>
              <w:rPr>
                <w:rFonts w:hint="eastAsia"/>
              </w:rPr>
              <w:t>4.机房实操</w:t>
            </w:r>
          </w:p>
        </w:tc>
        <w:tc>
          <w:tcPr>
            <w:tcW w:w="601" w:type="dxa"/>
            <w:vAlign w:val="center"/>
          </w:tcPr>
          <w:p w14:paraId="7A021B98">
            <w:r>
              <w:rPr>
                <w:rFonts w:hint="eastAsia"/>
              </w:rPr>
              <w:t>8</w:t>
            </w:r>
          </w:p>
        </w:tc>
      </w:tr>
      <w:tr w14:paraId="1A98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41656B36"/>
        </w:tc>
        <w:tc>
          <w:tcPr>
            <w:tcW w:w="7618" w:type="dxa"/>
            <w:gridSpan w:val="5"/>
            <w:vAlign w:val="center"/>
          </w:tcPr>
          <w:p w14:paraId="6ACECCEF">
            <w:r>
              <w:rPr>
                <w:rFonts w:hint="eastAsia"/>
              </w:rPr>
              <w:t>课程思政目标：通过微课制作，让学生了解微课制作的基本原则和方法，引导学生树牢唯物主义世界观、科学发展观、社会主义核心价值观，能够认真体会微课在教学过程中的作用，使微课能够更好地融入到整个教学环节中。</w:t>
            </w:r>
          </w:p>
        </w:tc>
      </w:tr>
    </w:tbl>
    <w:p w14:paraId="737A28F3"/>
    <w:p w14:paraId="3081DC3A">
      <w:r>
        <w:rPr>
          <w:rFonts w:hint="eastAsia"/>
        </w:rPr>
        <w:t>教学内容与</w:t>
      </w:r>
      <w:r>
        <w:t>课程目标的</w:t>
      </w:r>
      <w:r>
        <w:rPr>
          <w:rFonts w:hint="eastAsia"/>
        </w:rPr>
        <w:t>对应关系及</w:t>
      </w:r>
      <w:r>
        <w:t>学时分配</w:t>
      </w:r>
      <w:r>
        <w:rPr>
          <w:rFonts w:hint="eastAsia"/>
        </w:rPr>
        <w:t>如表所示：</w:t>
      </w:r>
    </w:p>
    <w:tbl>
      <w:tblPr>
        <w:tblStyle w:val="13"/>
        <w:tblW w:w="8529"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2968"/>
        <w:gridCol w:w="1887"/>
        <w:gridCol w:w="1750"/>
        <w:gridCol w:w="760"/>
        <w:gridCol w:w="761"/>
      </w:tblGrid>
      <w:tr w14:paraId="002B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dxa"/>
            <w:shd w:val="clear" w:color="auto" w:fill="FFFFFF"/>
            <w:vAlign w:val="center"/>
          </w:tcPr>
          <w:p w14:paraId="00EA70EB">
            <w:r>
              <w:rPr>
                <w:rFonts w:hint="eastAsia"/>
              </w:rPr>
              <w:t>序号</w:t>
            </w:r>
          </w:p>
        </w:tc>
        <w:tc>
          <w:tcPr>
            <w:tcW w:w="2968" w:type="dxa"/>
            <w:shd w:val="clear" w:color="auto" w:fill="FFFFFF"/>
            <w:vAlign w:val="center"/>
          </w:tcPr>
          <w:p w14:paraId="3CFAA4AA">
            <w:r>
              <w:t>教学内容</w:t>
            </w:r>
          </w:p>
        </w:tc>
        <w:tc>
          <w:tcPr>
            <w:tcW w:w="1887" w:type="dxa"/>
            <w:shd w:val="clear" w:color="auto" w:fill="FFFFFF"/>
            <w:vAlign w:val="center"/>
          </w:tcPr>
          <w:p w14:paraId="768BD78F">
            <w:r>
              <w:t>支撑</w:t>
            </w:r>
            <w:r>
              <w:rPr>
                <w:rFonts w:hint="eastAsia"/>
              </w:rPr>
              <w:t>的</w:t>
            </w:r>
            <w:r>
              <w:t>课程目标</w:t>
            </w:r>
          </w:p>
        </w:tc>
        <w:tc>
          <w:tcPr>
            <w:tcW w:w="1750" w:type="dxa"/>
            <w:shd w:val="clear" w:color="auto" w:fill="FFFFFF"/>
            <w:vAlign w:val="center"/>
          </w:tcPr>
          <w:p w14:paraId="6DD99164">
            <w:r>
              <w:t>支撑</w:t>
            </w:r>
            <w:r>
              <w:rPr>
                <w:rFonts w:hint="eastAsia"/>
              </w:rPr>
              <w:t>的</w:t>
            </w:r>
            <w:r>
              <w:t>毕业要求指标点</w:t>
            </w:r>
          </w:p>
        </w:tc>
        <w:tc>
          <w:tcPr>
            <w:tcW w:w="760" w:type="dxa"/>
            <w:shd w:val="clear" w:color="auto" w:fill="FFFFFF"/>
            <w:vAlign w:val="center"/>
          </w:tcPr>
          <w:p w14:paraId="4EABA0B0">
            <w:r>
              <w:t>讲</w:t>
            </w:r>
            <w:r>
              <w:rPr>
                <w:rFonts w:hint="eastAsia"/>
              </w:rPr>
              <w:t>授</w:t>
            </w:r>
            <w:r>
              <w:t>学时</w:t>
            </w:r>
          </w:p>
        </w:tc>
        <w:tc>
          <w:tcPr>
            <w:tcW w:w="761" w:type="dxa"/>
            <w:shd w:val="clear" w:color="auto" w:fill="FFFFFF"/>
            <w:vAlign w:val="center"/>
          </w:tcPr>
          <w:p w14:paraId="2940676A">
            <w:r>
              <w:t>实验</w:t>
            </w:r>
          </w:p>
          <w:p w14:paraId="26CC216E">
            <w:r>
              <w:t>学时</w:t>
            </w:r>
          </w:p>
        </w:tc>
      </w:tr>
      <w:tr w14:paraId="5DB5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3" w:type="dxa"/>
            <w:shd w:val="clear" w:color="auto" w:fill="FFFFFF"/>
            <w:vAlign w:val="center"/>
          </w:tcPr>
          <w:p w14:paraId="15D87965">
            <w:r>
              <w:rPr>
                <w:rFonts w:hint="eastAsia"/>
              </w:rPr>
              <w:t>1</w:t>
            </w:r>
          </w:p>
        </w:tc>
        <w:tc>
          <w:tcPr>
            <w:tcW w:w="2968" w:type="dxa"/>
            <w:shd w:val="clear" w:color="auto" w:fill="FFFFFF"/>
            <w:vAlign w:val="center"/>
          </w:tcPr>
          <w:p w14:paraId="2CB5C853">
            <w:r>
              <w:rPr>
                <w:rFonts w:hint="eastAsia"/>
              </w:rPr>
              <w:t>教育技术概述</w:t>
            </w:r>
          </w:p>
        </w:tc>
        <w:tc>
          <w:tcPr>
            <w:tcW w:w="1887" w:type="dxa"/>
            <w:shd w:val="clear" w:color="auto" w:fill="FFFFFF"/>
            <w:vAlign w:val="center"/>
          </w:tcPr>
          <w:p w14:paraId="54D2D593">
            <w:r>
              <w:rPr>
                <w:rFonts w:hint="eastAsia"/>
              </w:rPr>
              <w:t>课程目标1</w:t>
            </w:r>
          </w:p>
        </w:tc>
        <w:tc>
          <w:tcPr>
            <w:tcW w:w="1750" w:type="dxa"/>
            <w:shd w:val="clear" w:color="auto" w:fill="FFFFFF"/>
            <w:vAlign w:val="center"/>
          </w:tcPr>
          <w:p w14:paraId="37584803">
            <w:r>
              <w:rPr>
                <w:rFonts w:hint="eastAsia"/>
              </w:rPr>
              <w:t>指标点4-3（H）</w:t>
            </w:r>
          </w:p>
        </w:tc>
        <w:tc>
          <w:tcPr>
            <w:tcW w:w="760" w:type="dxa"/>
            <w:shd w:val="clear" w:color="auto" w:fill="FFFFFF"/>
            <w:vAlign w:val="center"/>
          </w:tcPr>
          <w:p w14:paraId="50CF6C3D">
            <w:r>
              <w:rPr>
                <w:rFonts w:hint="eastAsia"/>
              </w:rPr>
              <w:t>2</w:t>
            </w:r>
          </w:p>
        </w:tc>
        <w:tc>
          <w:tcPr>
            <w:tcW w:w="761" w:type="dxa"/>
            <w:shd w:val="clear" w:color="auto" w:fill="FFFFFF"/>
            <w:vAlign w:val="center"/>
          </w:tcPr>
          <w:p w14:paraId="40782F23"/>
        </w:tc>
      </w:tr>
      <w:tr w14:paraId="4E91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03" w:type="dxa"/>
            <w:vAlign w:val="center"/>
          </w:tcPr>
          <w:p w14:paraId="072A1CBB">
            <w:r>
              <w:rPr>
                <w:rFonts w:hint="eastAsia"/>
              </w:rPr>
              <w:t>2</w:t>
            </w:r>
          </w:p>
        </w:tc>
        <w:tc>
          <w:tcPr>
            <w:tcW w:w="2968" w:type="dxa"/>
            <w:vAlign w:val="center"/>
          </w:tcPr>
          <w:p w14:paraId="759CF032">
            <w:r>
              <w:rPr>
                <w:rFonts w:hint="eastAsia"/>
              </w:rPr>
              <w:t>教育技术的理论基础</w:t>
            </w:r>
          </w:p>
        </w:tc>
        <w:tc>
          <w:tcPr>
            <w:tcW w:w="1887" w:type="dxa"/>
            <w:vAlign w:val="center"/>
          </w:tcPr>
          <w:p w14:paraId="20B7AC32">
            <w:r>
              <w:rPr>
                <w:rFonts w:hint="eastAsia"/>
              </w:rPr>
              <w:t>课程目标1、2</w:t>
            </w:r>
          </w:p>
        </w:tc>
        <w:tc>
          <w:tcPr>
            <w:tcW w:w="1750" w:type="dxa"/>
            <w:vAlign w:val="center"/>
          </w:tcPr>
          <w:p w14:paraId="4155C1B9">
            <w:r>
              <w:rPr>
                <w:rFonts w:hint="eastAsia"/>
              </w:rPr>
              <w:t>指标点4-3（H）</w:t>
            </w:r>
          </w:p>
        </w:tc>
        <w:tc>
          <w:tcPr>
            <w:tcW w:w="760" w:type="dxa"/>
            <w:vAlign w:val="center"/>
          </w:tcPr>
          <w:p w14:paraId="11F59B98">
            <w:r>
              <w:rPr>
                <w:rFonts w:hint="eastAsia"/>
              </w:rPr>
              <w:t>2</w:t>
            </w:r>
          </w:p>
        </w:tc>
        <w:tc>
          <w:tcPr>
            <w:tcW w:w="761" w:type="dxa"/>
            <w:vAlign w:val="center"/>
          </w:tcPr>
          <w:p w14:paraId="165ED157"/>
        </w:tc>
      </w:tr>
      <w:tr w14:paraId="5BBB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03" w:type="dxa"/>
            <w:vAlign w:val="center"/>
          </w:tcPr>
          <w:p w14:paraId="4705847B">
            <w:r>
              <w:rPr>
                <w:rFonts w:hint="eastAsia"/>
              </w:rPr>
              <w:t>3</w:t>
            </w:r>
          </w:p>
        </w:tc>
        <w:tc>
          <w:tcPr>
            <w:tcW w:w="2968" w:type="dxa"/>
            <w:vAlign w:val="center"/>
          </w:tcPr>
          <w:p w14:paraId="39B830C2">
            <w:r>
              <w:rPr>
                <w:rFonts w:hint="eastAsia"/>
              </w:rPr>
              <w:t>教学媒体及其应用</w:t>
            </w:r>
          </w:p>
        </w:tc>
        <w:tc>
          <w:tcPr>
            <w:tcW w:w="1887" w:type="dxa"/>
            <w:vAlign w:val="center"/>
          </w:tcPr>
          <w:p w14:paraId="6A3366A7">
            <w:r>
              <w:rPr>
                <w:rFonts w:hint="eastAsia"/>
              </w:rPr>
              <w:t>课程目标1、2</w:t>
            </w:r>
          </w:p>
        </w:tc>
        <w:tc>
          <w:tcPr>
            <w:tcW w:w="1750" w:type="dxa"/>
            <w:vAlign w:val="center"/>
          </w:tcPr>
          <w:p w14:paraId="50F60F40">
            <w:r>
              <w:rPr>
                <w:rFonts w:hint="eastAsia"/>
              </w:rPr>
              <w:t>指标点4-3（H）</w:t>
            </w:r>
          </w:p>
        </w:tc>
        <w:tc>
          <w:tcPr>
            <w:tcW w:w="760" w:type="dxa"/>
            <w:vAlign w:val="center"/>
          </w:tcPr>
          <w:p w14:paraId="0AB3EA63">
            <w:r>
              <w:rPr>
                <w:rFonts w:hint="eastAsia"/>
              </w:rPr>
              <w:t>2</w:t>
            </w:r>
          </w:p>
        </w:tc>
        <w:tc>
          <w:tcPr>
            <w:tcW w:w="761" w:type="dxa"/>
            <w:vAlign w:val="center"/>
          </w:tcPr>
          <w:p w14:paraId="33338D2A">
            <w:r>
              <w:rPr>
                <w:rFonts w:hint="eastAsia"/>
              </w:rPr>
              <w:t>2</w:t>
            </w:r>
          </w:p>
        </w:tc>
      </w:tr>
      <w:tr w14:paraId="7A77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03" w:type="dxa"/>
            <w:vAlign w:val="center"/>
          </w:tcPr>
          <w:p w14:paraId="3DE1F915">
            <w:r>
              <w:rPr>
                <w:rFonts w:hint="eastAsia"/>
              </w:rPr>
              <w:t>4</w:t>
            </w:r>
          </w:p>
        </w:tc>
        <w:tc>
          <w:tcPr>
            <w:tcW w:w="2968" w:type="dxa"/>
            <w:vAlign w:val="center"/>
          </w:tcPr>
          <w:p w14:paraId="211D7179">
            <w:r>
              <w:rPr>
                <w:rFonts w:hint="eastAsia"/>
              </w:rPr>
              <w:t>教学资源的获取与加工</w:t>
            </w:r>
          </w:p>
        </w:tc>
        <w:tc>
          <w:tcPr>
            <w:tcW w:w="1887" w:type="dxa"/>
            <w:vAlign w:val="center"/>
          </w:tcPr>
          <w:p w14:paraId="0196F671">
            <w:r>
              <w:rPr>
                <w:rFonts w:hint="eastAsia"/>
              </w:rPr>
              <w:t>课程目标1、2</w:t>
            </w:r>
          </w:p>
        </w:tc>
        <w:tc>
          <w:tcPr>
            <w:tcW w:w="1750" w:type="dxa"/>
            <w:vAlign w:val="center"/>
          </w:tcPr>
          <w:p w14:paraId="17790B78">
            <w:r>
              <w:rPr>
                <w:rFonts w:hint="eastAsia"/>
              </w:rPr>
              <w:t>指标点4-3（H）</w:t>
            </w:r>
          </w:p>
        </w:tc>
        <w:tc>
          <w:tcPr>
            <w:tcW w:w="760" w:type="dxa"/>
            <w:vAlign w:val="center"/>
          </w:tcPr>
          <w:p w14:paraId="19B9B9D6">
            <w:r>
              <w:rPr>
                <w:rFonts w:hint="eastAsia"/>
              </w:rPr>
              <w:t>2</w:t>
            </w:r>
          </w:p>
        </w:tc>
        <w:tc>
          <w:tcPr>
            <w:tcW w:w="761" w:type="dxa"/>
            <w:vAlign w:val="center"/>
          </w:tcPr>
          <w:p w14:paraId="051B116A">
            <w:r>
              <w:t>4</w:t>
            </w:r>
          </w:p>
        </w:tc>
      </w:tr>
      <w:tr w14:paraId="0D82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3" w:type="dxa"/>
            <w:vAlign w:val="center"/>
          </w:tcPr>
          <w:p w14:paraId="5CA76000">
            <w:r>
              <w:rPr>
                <w:rFonts w:hint="eastAsia"/>
              </w:rPr>
              <w:t>5</w:t>
            </w:r>
          </w:p>
        </w:tc>
        <w:tc>
          <w:tcPr>
            <w:tcW w:w="2968" w:type="dxa"/>
            <w:vAlign w:val="center"/>
          </w:tcPr>
          <w:p w14:paraId="1C1AD591">
            <w:r>
              <w:rPr>
                <w:rFonts w:hint="eastAsia"/>
              </w:rPr>
              <w:t>数字化教学资源的设计与运用</w:t>
            </w:r>
          </w:p>
        </w:tc>
        <w:tc>
          <w:tcPr>
            <w:tcW w:w="1887" w:type="dxa"/>
            <w:vAlign w:val="center"/>
          </w:tcPr>
          <w:p w14:paraId="4C7FCEED">
            <w:r>
              <w:rPr>
                <w:rFonts w:hint="eastAsia"/>
              </w:rPr>
              <w:t>课程目标1、2、3</w:t>
            </w:r>
          </w:p>
        </w:tc>
        <w:tc>
          <w:tcPr>
            <w:tcW w:w="1750" w:type="dxa"/>
            <w:vAlign w:val="center"/>
          </w:tcPr>
          <w:p w14:paraId="5E323D3A">
            <w:r>
              <w:rPr>
                <w:rFonts w:hint="eastAsia"/>
              </w:rPr>
              <w:t>指标点4-3（H）</w:t>
            </w:r>
          </w:p>
        </w:tc>
        <w:tc>
          <w:tcPr>
            <w:tcW w:w="760" w:type="dxa"/>
            <w:vAlign w:val="center"/>
          </w:tcPr>
          <w:p w14:paraId="4863BFD3">
            <w:r>
              <w:rPr>
                <w:rFonts w:hint="eastAsia"/>
              </w:rPr>
              <w:t>2</w:t>
            </w:r>
          </w:p>
        </w:tc>
        <w:tc>
          <w:tcPr>
            <w:tcW w:w="761" w:type="dxa"/>
            <w:vAlign w:val="center"/>
          </w:tcPr>
          <w:p w14:paraId="35C2CEC1">
            <w:r>
              <w:t>4</w:t>
            </w:r>
          </w:p>
        </w:tc>
      </w:tr>
      <w:tr w14:paraId="0D58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03" w:type="dxa"/>
            <w:vAlign w:val="center"/>
          </w:tcPr>
          <w:p w14:paraId="661E9764">
            <w:r>
              <w:rPr>
                <w:rFonts w:hint="eastAsia"/>
              </w:rPr>
              <w:t>6</w:t>
            </w:r>
          </w:p>
        </w:tc>
        <w:tc>
          <w:tcPr>
            <w:tcW w:w="2968" w:type="dxa"/>
            <w:vAlign w:val="center"/>
          </w:tcPr>
          <w:p w14:paraId="3EA2B297">
            <w:r>
              <w:rPr>
                <w:rFonts w:hint="eastAsia"/>
              </w:rPr>
              <w:t>教学设计的理论与实践</w:t>
            </w:r>
          </w:p>
        </w:tc>
        <w:tc>
          <w:tcPr>
            <w:tcW w:w="1887" w:type="dxa"/>
            <w:vAlign w:val="center"/>
          </w:tcPr>
          <w:p w14:paraId="02AA2DD7">
            <w:r>
              <w:rPr>
                <w:rFonts w:hint="eastAsia"/>
              </w:rPr>
              <w:t>课程目标1、2</w:t>
            </w:r>
          </w:p>
        </w:tc>
        <w:tc>
          <w:tcPr>
            <w:tcW w:w="1750" w:type="dxa"/>
            <w:vAlign w:val="center"/>
          </w:tcPr>
          <w:p w14:paraId="55AD428F">
            <w:r>
              <w:rPr>
                <w:rFonts w:hint="eastAsia"/>
              </w:rPr>
              <w:t>指标点4-3（H）</w:t>
            </w:r>
          </w:p>
        </w:tc>
        <w:tc>
          <w:tcPr>
            <w:tcW w:w="760" w:type="dxa"/>
            <w:vAlign w:val="center"/>
          </w:tcPr>
          <w:p w14:paraId="72DF3D4B">
            <w:r>
              <w:rPr>
                <w:rFonts w:hint="eastAsia"/>
              </w:rPr>
              <w:t>2</w:t>
            </w:r>
          </w:p>
        </w:tc>
        <w:tc>
          <w:tcPr>
            <w:tcW w:w="761" w:type="dxa"/>
            <w:vAlign w:val="center"/>
          </w:tcPr>
          <w:p w14:paraId="793F52D0">
            <w:r>
              <w:rPr>
                <w:rFonts w:hint="eastAsia"/>
              </w:rPr>
              <w:t>2</w:t>
            </w:r>
          </w:p>
        </w:tc>
      </w:tr>
      <w:tr w14:paraId="0F6A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03" w:type="dxa"/>
            <w:vAlign w:val="center"/>
          </w:tcPr>
          <w:p w14:paraId="29FE64C3">
            <w:r>
              <w:rPr>
                <w:rFonts w:hint="eastAsia"/>
              </w:rPr>
              <w:t>7</w:t>
            </w:r>
          </w:p>
        </w:tc>
        <w:tc>
          <w:tcPr>
            <w:tcW w:w="2968" w:type="dxa"/>
            <w:vAlign w:val="center"/>
          </w:tcPr>
          <w:p w14:paraId="1F6C487C">
            <w:r>
              <w:rPr>
                <w:rFonts w:hint="eastAsia"/>
              </w:rPr>
              <w:t>微课制作</w:t>
            </w:r>
          </w:p>
        </w:tc>
        <w:tc>
          <w:tcPr>
            <w:tcW w:w="1887" w:type="dxa"/>
            <w:vAlign w:val="center"/>
          </w:tcPr>
          <w:p w14:paraId="18258701">
            <w:r>
              <w:rPr>
                <w:rFonts w:hint="eastAsia"/>
              </w:rPr>
              <w:t>课程目标1、2、3</w:t>
            </w:r>
          </w:p>
        </w:tc>
        <w:tc>
          <w:tcPr>
            <w:tcW w:w="1750" w:type="dxa"/>
            <w:vAlign w:val="center"/>
          </w:tcPr>
          <w:p w14:paraId="72B8EF8D">
            <w:r>
              <w:rPr>
                <w:rFonts w:hint="eastAsia"/>
              </w:rPr>
              <w:t>指标点4-3（H）</w:t>
            </w:r>
          </w:p>
        </w:tc>
        <w:tc>
          <w:tcPr>
            <w:tcW w:w="760" w:type="dxa"/>
            <w:vAlign w:val="center"/>
          </w:tcPr>
          <w:p w14:paraId="3BCAEB49">
            <w:r>
              <w:rPr>
                <w:rFonts w:hint="eastAsia"/>
              </w:rPr>
              <w:t>4</w:t>
            </w:r>
          </w:p>
        </w:tc>
        <w:tc>
          <w:tcPr>
            <w:tcW w:w="761" w:type="dxa"/>
            <w:vAlign w:val="center"/>
          </w:tcPr>
          <w:p w14:paraId="72B11B1F">
            <w:r>
              <w:rPr>
                <w:rFonts w:hint="eastAsia"/>
              </w:rPr>
              <w:t>4</w:t>
            </w:r>
          </w:p>
        </w:tc>
      </w:tr>
      <w:tr w14:paraId="6266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008" w:type="dxa"/>
            <w:gridSpan w:val="4"/>
            <w:vAlign w:val="center"/>
          </w:tcPr>
          <w:p w14:paraId="7DD85AE1">
            <w:r>
              <w:t>合计</w:t>
            </w:r>
          </w:p>
        </w:tc>
        <w:tc>
          <w:tcPr>
            <w:tcW w:w="760" w:type="dxa"/>
            <w:vAlign w:val="center"/>
          </w:tcPr>
          <w:p w14:paraId="702363DE">
            <w:r>
              <w:rPr>
                <w:rFonts w:hint="eastAsia"/>
              </w:rPr>
              <w:t>16</w:t>
            </w:r>
          </w:p>
        </w:tc>
        <w:tc>
          <w:tcPr>
            <w:tcW w:w="761" w:type="dxa"/>
            <w:vAlign w:val="center"/>
          </w:tcPr>
          <w:p w14:paraId="18BB3EDA">
            <w:r>
              <w:rPr>
                <w:rFonts w:hint="eastAsia"/>
              </w:rPr>
              <w:t>16</w:t>
            </w:r>
          </w:p>
        </w:tc>
      </w:tr>
    </w:tbl>
    <w:p w14:paraId="20AFE88A"/>
    <w:p w14:paraId="1778A8DD">
      <w:r>
        <w:rPr>
          <w:rFonts w:hint="eastAsia"/>
        </w:rPr>
        <w:t>四</w:t>
      </w:r>
      <w:r>
        <w:t>、</w:t>
      </w:r>
      <w:r>
        <w:rPr>
          <w:rFonts w:hint="eastAsia"/>
        </w:rPr>
        <w:t>课内实践</w:t>
      </w:r>
    </w:p>
    <w:tbl>
      <w:tblPr>
        <w:tblStyle w:val="13"/>
        <w:tblW w:w="8529"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292"/>
        <w:gridCol w:w="3444"/>
        <w:gridCol w:w="431"/>
        <w:gridCol w:w="1850"/>
        <w:gridCol w:w="724"/>
        <w:gridCol w:w="385"/>
      </w:tblGrid>
      <w:tr w14:paraId="1CDB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03" w:type="dxa"/>
            <w:shd w:val="clear" w:color="auto" w:fill="FFFFFF"/>
            <w:vAlign w:val="center"/>
          </w:tcPr>
          <w:p w14:paraId="0AF2D8A4">
            <w:r>
              <w:t>序号</w:t>
            </w:r>
          </w:p>
        </w:tc>
        <w:tc>
          <w:tcPr>
            <w:tcW w:w="1292" w:type="dxa"/>
            <w:shd w:val="clear" w:color="auto" w:fill="FFFFFF"/>
            <w:vAlign w:val="center"/>
          </w:tcPr>
          <w:p w14:paraId="216DC174">
            <w:r>
              <w:rPr>
                <w:rFonts w:hint="eastAsia"/>
              </w:rPr>
              <w:t>实践</w:t>
            </w:r>
          </w:p>
          <w:p w14:paraId="0AA3499F">
            <w:r>
              <w:t>项目名称</w:t>
            </w:r>
          </w:p>
        </w:tc>
        <w:tc>
          <w:tcPr>
            <w:tcW w:w="3444" w:type="dxa"/>
            <w:shd w:val="clear" w:color="auto" w:fill="FFFFFF"/>
            <w:vAlign w:val="center"/>
          </w:tcPr>
          <w:p w14:paraId="354C215E">
            <w:r>
              <w:rPr>
                <w:rFonts w:hint="eastAsia"/>
              </w:rPr>
              <w:t>实践</w:t>
            </w:r>
            <w:r>
              <w:t>内容</w:t>
            </w:r>
            <w:r>
              <w:rPr>
                <w:rFonts w:hint="eastAsia"/>
              </w:rPr>
              <w:t>及要求</w:t>
            </w:r>
          </w:p>
        </w:tc>
        <w:tc>
          <w:tcPr>
            <w:tcW w:w="431" w:type="dxa"/>
            <w:shd w:val="clear" w:color="auto" w:fill="FFFFFF"/>
            <w:vAlign w:val="center"/>
          </w:tcPr>
          <w:p w14:paraId="44A8ED5D">
            <w:r>
              <w:t>学时</w:t>
            </w:r>
          </w:p>
        </w:tc>
        <w:tc>
          <w:tcPr>
            <w:tcW w:w="1850" w:type="dxa"/>
            <w:shd w:val="clear" w:color="auto" w:fill="FFFFFF"/>
            <w:vAlign w:val="center"/>
          </w:tcPr>
          <w:p w14:paraId="1FA6D6F0">
            <w:r>
              <w:t>对毕业要求的支撑</w:t>
            </w:r>
          </w:p>
        </w:tc>
        <w:tc>
          <w:tcPr>
            <w:tcW w:w="724" w:type="dxa"/>
            <w:shd w:val="clear" w:color="auto" w:fill="FFFFFF"/>
            <w:tcMar>
              <w:left w:w="28" w:type="dxa"/>
              <w:right w:w="28" w:type="dxa"/>
            </w:tcMar>
            <w:vAlign w:val="center"/>
          </w:tcPr>
          <w:p w14:paraId="5E9079F8">
            <w:r>
              <w:t>类型</w:t>
            </w:r>
          </w:p>
        </w:tc>
        <w:tc>
          <w:tcPr>
            <w:tcW w:w="385" w:type="dxa"/>
            <w:shd w:val="clear" w:color="auto" w:fill="FFFFFF"/>
            <w:tcMar>
              <w:left w:w="28" w:type="dxa"/>
              <w:right w:w="28" w:type="dxa"/>
            </w:tcMar>
            <w:vAlign w:val="center"/>
          </w:tcPr>
          <w:p w14:paraId="67A4158E">
            <w:r>
              <w:t>备注</w:t>
            </w:r>
          </w:p>
        </w:tc>
      </w:tr>
      <w:tr w14:paraId="0642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403" w:type="dxa"/>
            <w:vAlign w:val="center"/>
          </w:tcPr>
          <w:p w14:paraId="36BE75C3">
            <w:r>
              <w:t>1</w:t>
            </w:r>
          </w:p>
        </w:tc>
        <w:tc>
          <w:tcPr>
            <w:tcW w:w="1292" w:type="dxa"/>
            <w:vAlign w:val="center"/>
          </w:tcPr>
          <w:p w14:paraId="43B87DBA">
            <w:r>
              <w:rPr>
                <w:rFonts w:hint="eastAsia"/>
              </w:rPr>
              <w:t>智慧教室的应用学习</w:t>
            </w:r>
          </w:p>
        </w:tc>
        <w:tc>
          <w:tcPr>
            <w:tcW w:w="3444" w:type="dxa"/>
            <w:vAlign w:val="center"/>
          </w:tcPr>
          <w:p w14:paraId="17BC11C7">
            <w:r>
              <w:rPr>
                <w:rFonts w:hint="eastAsia"/>
              </w:rPr>
              <w:t>实践</w:t>
            </w:r>
            <w:r>
              <w:t>内容</w:t>
            </w:r>
            <w:r>
              <w:rPr>
                <w:rFonts w:hint="eastAsia"/>
              </w:rPr>
              <w:t>：根据中小学常用的智慧教室配置，学习数字白板的使用。</w:t>
            </w:r>
          </w:p>
          <w:p w14:paraId="2502C487">
            <w:r>
              <w:rPr>
                <w:rFonts w:hint="eastAsia"/>
              </w:rPr>
              <w:t>实践要求：利用数字白板制作一个课件。</w:t>
            </w:r>
          </w:p>
        </w:tc>
        <w:tc>
          <w:tcPr>
            <w:tcW w:w="431" w:type="dxa"/>
            <w:vAlign w:val="center"/>
          </w:tcPr>
          <w:p w14:paraId="763A4296">
            <w:r>
              <w:t>2</w:t>
            </w:r>
          </w:p>
        </w:tc>
        <w:tc>
          <w:tcPr>
            <w:tcW w:w="1850" w:type="dxa"/>
            <w:vAlign w:val="center"/>
          </w:tcPr>
          <w:p w14:paraId="341962A3">
            <w:r>
              <w:rPr>
                <w:rFonts w:hint="eastAsia"/>
              </w:rPr>
              <w:t>指标点4-3（H）</w:t>
            </w:r>
          </w:p>
        </w:tc>
        <w:tc>
          <w:tcPr>
            <w:tcW w:w="724" w:type="dxa"/>
            <w:tcMar>
              <w:left w:w="28" w:type="dxa"/>
              <w:right w:w="28" w:type="dxa"/>
            </w:tcMar>
            <w:vAlign w:val="center"/>
          </w:tcPr>
          <w:p w14:paraId="4CE9E1A7">
            <w:r>
              <w:rPr>
                <w:rFonts w:hint="eastAsia"/>
              </w:rPr>
              <w:t>设计性</w:t>
            </w:r>
          </w:p>
        </w:tc>
        <w:tc>
          <w:tcPr>
            <w:tcW w:w="385" w:type="dxa"/>
            <w:tcMar>
              <w:left w:w="28" w:type="dxa"/>
              <w:right w:w="28" w:type="dxa"/>
            </w:tcMar>
            <w:vAlign w:val="center"/>
          </w:tcPr>
          <w:p w14:paraId="4382A6B9"/>
        </w:tc>
      </w:tr>
      <w:tr w14:paraId="3FDA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403" w:type="dxa"/>
            <w:vAlign w:val="center"/>
          </w:tcPr>
          <w:p w14:paraId="4F7E127F">
            <w:r>
              <w:rPr>
                <w:rFonts w:hint="eastAsia"/>
              </w:rPr>
              <w:t>2</w:t>
            </w:r>
          </w:p>
        </w:tc>
        <w:tc>
          <w:tcPr>
            <w:tcW w:w="1292" w:type="dxa"/>
            <w:vAlign w:val="center"/>
          </w:tcPr>
          <w:p w14:paraId="32986815">
            <w:r>
              <w:rPr>
                <w:rFonts w:hint="eastAsia"/>
              </w:rPr>
              <w:t>图像设计与制作</w:t>
            </w:r>
          </w:p>
        </w:tc>
        <w:tc>
          <w:tcPr>
            <w:tcW w:w="3444" w:type="dxa"/>
            <w:vAlign w:val="center"/>
          </w:tcPr>
          <w:p w14:paraId="1BDDAE38">
            <w:r>
              <w:rPr>
                <w:rFonts w:hint="eastAsia"/>
              </w:rPr>
              <w:t>实践</w:t>
            </w:r>
            <w:r>
              <w:t>内容</w:t>
            </w:r>
            <w:r>
              <w:rPr>
                <w:rFonts w:hint="eastAsia"/>
              </w:rPr>
              <w:t>：利用Photoshop软件合成并处理教育资源相关图像</w:t>
            </w:r>
          </w:p>
          <w:p w14:paraId="227163DA">
            <w:r>
              <w:rPr>
                <w:rFonts w:hint="eastAsia"/>
              </w:rPr>
              <w:t>实践要求：提交一个PSD或JPG格式作品</w:t>
            </w:r>
            <w:r>
              <w:t>。</w:t>
            </w:r>
          </w:p>
        </w:tc>
        <w:tc>
          <w:tcPr>
            <w:tcW w:w="431" w:type="dxa"/>
            <w:vAlign w:val="center"/>
          </w:tcPr>
          <w:p w14:paraId="73105CF0">
            <w:r>
              <w:t>4</w:t>
            </w:r>
          </w:p>
        </w:tc>
        <w:tc>
          <w:tcPr>
            <w:tcW w:w="1850" w:type="dxa"/>
            <w:vAlign w:val="center"/>
          </w:tcPr>
          <w:p w14:paraId="55CA4C9C">
            <w:r>
              <w:rPr>
                <w:rFonts w:hint="eastAsia"/>
              </w:rPr>
              <w:t>指标点4-3（H）</w:t>
            </w:r>
          </w:p>
        </w:tc>
        <w:tc>
          <w:tcPr>
            <w:tcW w:w="724" w:type="dxa"/>
            <w:tcMar>
              <w:left w:w="28" w:type="dxa"/>
              <w:right w:w="28" w:type="dxa"/>
            </w:tcMar>
            <w:vAlign w:val="center"/>
          </w:tcPr>
          <w:p w14:paraId="4CE9EC64">
            <w:r>
              <w:rPr>
                <w:rFonts w:hint="eastAsia"/>
              </w:rPr>
              <w:t>设计性</w:t>
            </w:r>
          </w:p>
        </w:tc>
        <w:tc>
          <w:tcPr>
            <w:tcW w:w="385" w:type="dxa"/>
            <w:tcMar>
              <w:left w:w="28" w:type="dxa"/>
              <w:right w:w="28" w:type="dxa"/>
            </w:tcMar>
            <w:vAlign w:val="center"/>
          </w:tcPr>
          <w:p w14:paraId="451E8B80"/>
        </w:tc>
      </w:tr>
      <w:tr w14:paraId="273A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03" w:type="dxa"/>
            <w:vAlign w:val="center"/>
          </w:tcPr>
          <w:p w14:paraId="3B593F5E">
            <w:r>
              <w:rPr>
                <w:rFonts w:hint="eastAsia"/>
              </w:rPr>
              <w:t>3</w:t>
            </w:r>
          </w:p>
        </w:tc>
        <w:tc>
          <w:tcPr>
            <w:tcW w:w="1292" w:type="dxa"/>
            <w:vAlign w:val="center"/>
          </w:tcPr>
          <w:p w14:paraId="69E0CC64">
            <w:r>
              <w:rPr>
                <w:rFonts w:hint="eastAsia"/>
              </w:rPr>
              <w:t>音频设计与制作</w:t>
            </w:r>
          </w:p>
        </w:tc>
        <w:tc>
          <w:tcPr>
            <w:tcW w:w="3444" w:type="dxa"/>
            <w:vAlign w:val="center"/>
          </w:tcPr>
          <w:p w14:paraId="700E10F6">
            <w:r>
              <w:rPr>
                <w:rFonts w:hint="eastAsia"/>
              </w:rPr>
              <w:t>实践</w:t>
            </w:r>
            <w:r>
              <w:t>内容</w:t>
            </w:r>
            <w:r>
              <w:rPr>
                <w:rFonts w:hint="eastAsia"/>
              </w:rPr>
              <w:t>：利用相关软件合成并处理音频资料。</w:t>
            </w:r>
          </w:p>
          <w:p w14:paraId="66AD9823">
            <w:r>
              <w:rPr>
                <w:rFonts w:hint="eastAsia"/>
              </w:rPr>
              <w:t>实践要求：提交一个MP3格式的作品</w:t>
            </w:r>
            <w:r>
              <w:t>。</w:t>
            </w:r>
          </w:p>
        </w:tc>
        <w:tc>
          <w:tcPr>
            <w:tcW w:w="431" w:type="dxa"/>
            <w:vAlign w:val="center"/>
          </w:tcPr>
          <w:p w14:paraId="2CB270C6">
            <w:r>
              <w:t>2</w:t>
            </w:r>
          </w:p>
        </w:tc>
        <w:tc>
          <w:tcPr>
            <w:tcW w:w="1850" w:type="dxa"/>
            <w:vAlign w:val="center"/>
          </w:tcPr>
          <w:p w14:paraId="549D31A6">
            <w:r>
              <w:rPr>
                <w:rFonts w:hint="eastAsia"/>
              </w:rPr>
              <w:t>指标点4-3（H）</w:t>
            </w:r>
          </w:p>
        </w:tc>
        <w:tc>
          <w:tcPr>
            <w:tcW w:w="724" w:type="dxa"/>
            <w:tcMar>
              <w:left w:w="28" w:type="dxa"/>
              <w:right w:w="28" w:type="dxa"/>
            </w:tcMar>
            <w:vAlign w:val="center"/>
          </w:tcPr>
          <w:p w14:paraId="2D867F5A">
            <w:r>
              <w:rPr>
                <w:rFonts w:hint="eastAsia"/>
              </w:rPr>
              <w:t>设计性</w:t>
            </w:r>
          </w:p>
        </w:tc>
        <w:tc>
          <w:tcPr>
            <w:tcW w:w="385" w:type="dxa"/>
            <w:tcMar>
              <w:left w:w="28" w:type="dxa"/>
              <w:right w:w="28" w:type="dxa"/>
            </w:tcMar>
            <w:vAlign w:val="center"/>
          </w:tcPr>
          <w:p w14:paraId="1BD07591"/>
        </w:tc>
      </w:tr>
      <w:tr w14:paraId="2338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403" w:type="dxa"/>
            <w:vAlign w:val="center"/>
          </w:tcPr>
          <w:p w14:paraId="1BE1323D">
            <w:r>
              <w:rPr>
                <w:rFonts w:hint="eastAsia"/>
              </w:rPr>
              <w:t>4</w:t>
            </w:r>
          </w:p>
        </w:tc>
        <w:tc>
          <w:tcPr>
            <w:tcW w:w="1292" w:type="dxa"/>
            <w:vAlign w:val="center"/>
          </w:tcPr>
          <w:p w14:paraId="29510888">
            <w:r>
              <w:rPr>
                <w:rFonts w:hint="eastAsia"/>
              </w:rPr>
              <w:t>图形设计与制作</w:t>
            </w:r>
          </w:p>
        </w:tc>
        <w:tc>
          <w:tcPr>
            <w:tcW w:w="3444" w:type="dxa"/>
            <w:vAlign w:val="center"/>
          </w:tcPr>
          <w:p w14:paraId="24C10FFE">
            <w:r>
              <w:rPr>
                <w:rFonts w:hint="eastAsia"/>
              </w:rPr>
              <w:t>实践</w:t>
            </w:r>
            <w:r>
              <w:t>内容</w:t>
            </w:r>
            <w:r>
              <w:rPr>
                <w:rFonts w:hint="eastAsia"/>
              </w:rPr>
              <w:t>：利用CorelDRAW软件设计相关图形。</w:t>
            </w:r>
          </w:p>
          <w:p w14:paraId="1D8F3ACC">
            <w:r>
              <w:rPr>
                <w:rFonts w:hint="eastAsia"/>
              </w:rPr>
              <w:t>实践要求：提交一个CDR格式的作品。</w:t>
            </w:r>
          </w:p>
        </w:tc>
        <w:tc>
          <w:tcPr>
            <w:tcW w:w="431" w:type="dxa"/>
            <w:vAlign w:val="center"/>
          </w:tcPr>
          <w:p w14:paraId="1ACF6E71">
            <w:r>
              <w:rPr>
                <w:rFonts w:hint="eastAsia"/>
              </w:rPr>
              <w:t>4</w:t>
            </w:r>
          </w:p>
        </w:tc>
        <w:tc>
          <w:tcPr>
            <w:tcW w:w="1850" w:type="dxa"/>
            <w:vAlign w:val="center"/>
          </w:tcPr>
          <w:p w14:paraId="22CC9FB9">
            <w:r>
              <w:rPr>
                <w:rFonts w:hint="eastAsia"/>
              </w:rPr>
              <w:t>指标点4-3（H）</w:t>
            </w:r>
          </w:p>
        </w:tc>
        <w:tc>
          <w:tcPr>
            <w:tcW w:w="724" w:type="dxa"/>
            <w:tcMar>
              <w:left w:w="28" w:type="dxa"/>
              <w:right w:w="28" w:type="dxa"/>
            </w:tcMar>
            <w:vAlign w:val="center"/>
          </w:tcPr>
          <w:p w14:paraId="1F18384D">
            <w:r>
              <w:rPr>
                <w:rFonts w:hint="eastAsia"/>
              </w:rPr>
              <w:t>设计性</w:t>
            </w:r>
          </w:p>
        </w:tc>
        <w:tc>
          <w:tcPr>
            <w:tcW w:w="385" w:type="dxa"/>
            <w:tcMar>
              <w:left w:w="28" w:type="dxa"/>
              <w:right w:w="28" w:type="dxa"/>
            </w:tcMar>
            <w:vAlign w:val="center"/>
          </w:tcPr>
          <w:p w14:paraId="7F34AF5F"/>
        </w:tc>
      </w:tr>
      <w:tr w14:paraId="166B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403" w:type="dxa"/>
            <w:vAlign w:val="center"/>
          </w:tcPr>
          <w:p w14:paraId="536BE956">
            <w:r>
              <w:rPr>
                <w:rFonts w:hint="eastAsia"/>
              </w:rPr>
              <w:t>5</w:t>
            </w:r>
          </w:p>
        </w:tc>
        <w:tc>
          <w:tcPr>
            <w:tcW w:w="1292" w:type="dxa"/>
            <w:vAlign w:val="center"/>
          </w:tcPr>
          <w:p w14:paraId="6DE36500">
            <w:r>
              <w:rPr>
                <w:rFonts w:hint="eastAsia"/>
              </w:rPr>
              <w:t>视频设计与制作</w:t>
            </w:r>
          </w:p>
        </w:tc>
        <w:tc>
          <w:tcPr>
            <w:tcW w:w="3444" w:type="dxa"/>
            <w:vAlign w:val="center"/>
          </w:tcPr>
          <w:p w14:paraId="47A6AC42">
            <w:r>
              <w:rPr>
                <w:rFonts w:hint="eastAsia"/>
              </w:rPr>
              <w:t>实践</w:t>
            </w:r>
            <w:r>
              <w:t>内容</w:t>
            </w:r>
            <w:r>
              <w:rPr>
                <w:rFonts w:hint="eastAsia"/>
              </w:rPr>
              <w:t>：结合前面所学图形、图像、音频相关知识设计制作一段视频。</w:t>
            </w:r>
          </w:p>
          <w:p w14:paraId="602B322C">
            <w:r>
              <w:rPr>
                <w:rFonts w:hint="eastAsia"/>
              </w:rPr>
              <w:t>实践要求：</w:t>
            </w:r>
            <w:r>
              <w:t>自选</w:t>
            </w:r>
            <w:r>
              <w:rPr>
                <w:rFonts w:hint="eastAsia"/>
              </w:rPr>
              <w:t>内容，提交一个MP4格式的作品。</w:t>
            </w:r>
          </w:p>
        </w:tc>
        <w:tc>
          <w:tcPr>
            <w:tcW w:w="431" w:type="dxa"/>
            <w:vAlign w:val="center"/>
          </w:tcPr>
          <w:p w14:paraId="7430A5C9">
            <w:r>
              <w:rPr>
                <w:rFonts w:hint="eastAsia"/>
              </w:rPr>
              <w:t>4</w:t>
            </w:r>
          </w:p>
        </w:tc>
        <w:tc>
          <w:tcPr>
            <w:tcW w:w="1850" w:type="dxa"/>
            <w:vAlign w:val="center"/>
          </w:tcPr>
          <w:p w14:paraId="09550E21">
            <w:r>
              <w:rPr>
                <w:rFonts w:hint="eastAsia"/>
              </w:rPr>
              <w:t>指标点4-3（H）</w:t>
            </w:r>
          </w:p>
        </w:tc>
        <w:tc>
          <w:tcPr>
            <w:tcW w:w="724" w:type="dxa"/>
            <w:tcMar>
              <w:left w:w="28" w:type="dxa"/>
              <w:right w:w="28" w:type="dxa"/>
            </w:tcMar>
            <w:vAlign w:val="center"/>
          </w:tcPr>
          <w:p w14:paraId="1F0BB014">
            <w:r>
              <w:rPr>
                <w:rFonts w:hint="eastAsia"/>
              </w:rPr>
              <w:t>设计性</w:t>
            </w:r>
          </w:p>
        </w:tc>
        <w:tc>
          <w:tcPr>
            <w:tcW w:w="385" w:type="dxa"/>
            <w:tcMar>
              <w:left w:w="28" w:type="dxa"/>
              <w:right w:w="28" w:type="dxa"/>
            </w:tcMar>
            <w:vAlign w:val="center"/>
          </w:tcPr>
          <w:p w14:paraId="1E6EA990"/>
        </w:tc>
      </w:tr>
    </w:tbl>
    <w:p w14:paraId="3DA23E1B"/>
    <w:p w14:paraId="14355BC4">
      <w:r>
        <w:rPr>
          <w:rFonts w:hint="eastAsia"/>
        </w:rPr>
        <w:t>五、课程</w:t>
      </w:r>
      <w:r>
        <w:t>考核</w:t>
      </w:r>
    </w:p>
    <w:p w14:paraId="5E0E2C64">
      <w:r>
        <w:rPr>
          <w:rFonts w:hint="eastAsia"/>
        </w:rPr>
        <w:t>（一）</w:t>
      </w:r>
      <w:r>
        <w:t>课程考核包括平时及</w:t>
      </w:r>
      <w:r>
        <w:rPr>
          <w:rFonts w:hint="eastAsia"/>
        </w:rPr>
        <w:t>期末</w:t>
      </w:r>
      <w:r>
        <w:t>作业考核和</w:t>
      </w:r>
      <w:r>
        <w:rPr>
          <w:rFonts w:hint="eastAsia"/>
        </w:rPr>
        <w:t>实践</w:t>
      </w:r>
      <w:r>
        <w:t>考核</w:t>
      </w:r>
      <w:r>
        <w:rPr>
          <w:rFonts w:hint="eastAsia"/>
        </w:rPr>
        <w:t>等</w:t>
      </w:r>
      <w:r>
        <w:t>。</w:t>
      </w:r>
    </w:p>
    <w:p w14:paraId="60C9EF63">
      <w:r>
        <w:rPr>
          <w:rFonts w:hint="eastAsia"/>
        </w:rPr>
        <w:t>（二）</w:t>
      </w:r>
      <w:r>
        <w:t>课程</w:t>
      </w:r>
      <w:r>
        <w:rPr>
          <w:rFonts w:hint="eastAsia"/>
        </w:rPr>
        <w:t>总评</w:t>
      </w:r>
      <w:r>
        <w:t>成绩=平时成绩×</w:t>
      </w:r>
      <w:r>
        <w:rPr>
          <w:rFonts w:hint="eastAsia"/>
        </w:rPr>
        <w:t>50</w:t>
      </w:r>
      <w:r>
        <w:t>%+期末</w:t>
      </w:r>
      <w:r>
        <w:rPr>
          <w:rFonts w:hint="eastAsia"/>
        </w:rPr>
        <w:t>考核</w:t>
      </w:r>
      <w:r>
        <w:t>×</w:t>
      </w:r>
      <w:r>
        <w:rPr>
          <w:rFonts w:hint="eastAsia"/>
        </w:rPr>
        <w:t>50</w:t>
      </w:r>
      <w:r>
        <w:t>%。</w:t>
      </w:r>
    </w:p>
    <w:p w14:paraId="3DF19ADB">
      <w:r>
        <w:t>平时成绩=</w:t>
      </w:r>
      <w:r>
        <w:rPr>
          <w:rFonts w:hint="eastAsia"/>
        </w:rPr>
        <w:t>作业成绩</w:t>
      </w:r>
      <w:r>
        <w:t>×</w:t>
      </w:r>
      <w:r>
        <w:rPr>
          <w:rFonts w:hint="eastAsia"/>
        </w:rPr>
        <w:t>20</w:t>
      </w:r>
      <w:r>
        <w:t>%</w:t>
      </w:r>
      <w:r>
        <w:rPr>
          <w:rFonts w:hint="eastAsia"/>
        </w:rPr>
        <w:t>+实践</w:t>
      </w:r>
      <w:r>
        <w:t>成绩×</w:t>
      </w:r>
      <w:r>
        <w:rPr>
          <w:rFonts w:hint="eastAsia"/>
        </w:rPr>
        <w:t>80</w:t>
      </w:r>
      <w:r>
        <w:t>%</w:t>
      </w:r>
    </w:p>
    <w:p w14:paraId="78CEA0FE"/>
    <w:p w14:paraId="2A031D85">
      <w:r>
        <w:t>具体内容和比例</w:t>
      </w:r>
      <w:r>
        <w:rPr>
          <w:rFonts w:hint="eastAsia"/>
        </w:rPr>
        <w:t>如表所示：</w:t>
      </w:r>
    </w:p>
    <w:tbl>
      <w:tblPr>
        <w:tblStyle w:val="13"/>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667"/>
        <w:gridCol w:w="697"/>
        <w:gridCol w:w="3471"/>
        <w:gridCol w:w="1803"/>
      </w:tblGrid>
      <w:tr w14:paraId="56D7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shd w:val="clear" w:color="auto" w:fill="FFFFFF"/>
            <w:tcMar>
              <w:left w:w="57" w:type="dxa"/>
              <w:right w:w="57" w:type="dxa"/>
            </w:tcMar>
            <w:vAlign w:val="center"/>
          </w:tcPr>
          <w:p w14:paraId="54904ADC">
            <w:r>
              <w:t>成绩组成</w:t>
            </w:r>
          </w:p>
        </w:tc>
        <w:tc>
          <w:tcPr>
            <w:tcW w:w="1667" w:type="dxa"/>
            <w:shd w:val="clear" w:color="auto" w:fill="FFFFFF"/>
            <w:vAlign w:val="center"/>
          </w:tcPr>
          <w:p w14:paraId="3E94C811">
            <w:r>
              <w:t>考核/</w:t>
            </w:r>
          </w:p>
          <w:p w14:paraId="6CCC0E76">
            <w:r>
              <w:t>评价环节</w:t>
            </w:r>
          </w:p>
        </w:tc>
        <w:tc>
          <w:tcPr>
            <w:tcW w:w="697" w:type="dxa"/>
            <w:shd w:val="clear" w:color="auto" w:fill="FFFFFF"/>
            <w:vAlign w:val="center"/>
          </w:tcPr>
          <w:p w14:paraId="6B53C059">
            <w:r>
              <w:rPr>
                <w:rFonts w:hint="eastAsia"/>
              </w:rPr>
              <w:t>权重</w:t>
            </w:r>
          </w:p>
        </w:tc>
        <w:tc>
          <w:tcPr>
            <w:tcW w:w="3471" w:type="dxa"/>
            <w:shd w:val="clear" w:color="auto" w:fill="FFFFFF"/>
            <w:vAlign w:val="center"/>
          </w:tcPr>
          <w:p w14:paraId="0706FD5D">
            <w:r>
              <w:t>考核/评价细则</w:t>
            </w:r>
          </w:p>
        </w:tc>
        <w:tc>
          <w:tcPr>
            <w:tcW w:w="1803" w:type="dxa"/>
            <w:shd w:val="clear" w:color="auto" w:fill="FFFFFF"/>
            <w:vAlign w:val="center"/>
          </w:tcPr>
          <w:p w14:paraId="323282F9">
            <w:r>
              <w:t>对应的毕业要求指标点</w:t>
            </w:r>
          </w:p>
        </w:tc>
      </w:tr>
      <w:tr w14:paraId="008D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52" w:type="dxa"/>
            <w:tcMar>
              <w:left w:w="57" w:type="dxa"/>
              <w:right w:w="57" w:type="dxa"/>
            </w:tcMar>
            <w:vAlign w:val="center"/>
          </w:tcPr>
          <w:p w14:paraId="1BF3DA0A">
            <w:r>
              <w:t>平时成绩</w:t>
            </w:r>
          </w:p>
        </w:tc>
        <w:tc>
          <w:tcPr>
            <w:tcW w:w="1667" w:type="dxa"/>
            <w:vAlign w:val="center"/>
          </w:tcPr>
          <w:p w14:paraId="750077C3">
            <w:r>
              <w:t>电子（书面）作业+课堂表现</w:t>
            </w:r>
          </w:p>
        </w:tc>
        <w:tc>
          <w:tcPr>
            <w:tcW w:w="697" w:type="dxa"/>
            <w:vAlign w:val="center"/>
          </w:tcPr>
          <w:p w14:paraId="2DFF74A5">
            <w:r>
              <w:t>10%</w:t>
            </w:r>
          </w:p>
        </w:tc>
        <w:tc>
          <w:tcPr>
            <w:tcW w:w="3471" w:type="dxa"/>
            <w:vAlign w:val="center"/>
          </w:tcPr>
          <w:p w14:paraId="3C2A9AB5">
            <w:r>
              <w:t>教师根据学生完成作业的质量评定相应的成绩。学生出勤及课堂表现与平时成绩挂钩</w:t>
            </w:r>
          </w:p>
        </w:tc>
        <w:tc>
          <w:tcPr>
            <w:tcW w:w="1803" w:type="dxa"/>
            <w:vAlign w:val="center"/>
          </w:tcPr>
          <w:p w14:paraId="497DF782">
            <w:r>
              <w:rPr>
                <w:rFonts w:hint="eastAsia"/>
              </w:rPr>
              <w:t>指标点4-3（H）</w:t>
            </w:r>
          </w:p>
        </w:tc>
      </w:tr>
      <w:tr w14:paraId="7A78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052" w:type="dxa"/>
            <w:tcMar>
              <w:left w:w="57" w:type="dxa"/>
              <w:right w:w="57" w:type="dxa"/>
            </w:tcMar>
            <w:vAlign w:val="center"/>
          </w:tcPr>
          <w:p w14:paraId="3CC583D5">
            <w:r>
              <w:rPr>
                <w:rFonts w:hint="eastAsia"/>
              </w:rPr>
              <w:t>实践</w:t>
            </w:r>
            <w:r>
              <w:t>成绩</w:t>
            </w:r>
          </w:p>
        </w:tc>
        <w:tc>
          <w:tcPr>
            <w:tcW w:w="1667" w:type="dxa"/>
            <w:vAlign w:val="center"/>
          </w:tcPr>
          <w:p w14:paraId="005F65D0">
            <w:r>
              <w:t>课内实践</w:t>
            </w:r>
          </w:p>
        </w:tc>
        <w:tc>
          <w:tcPr>
            <w:tcW w:w="697" w:type="dxa"/>
            <w:vAlign w:val="center"/>
          </w:tcPr>
          <w:p w14:paraId="66D19CED">
            <w:r>
              <w:rPr>
                <w:rFonts w:hint="eastAsia"/>
              </w:rPr>
              <w:t>4</w:t>
            </w:r>
            <w:r>
              <w:t xml:space="preserve">0% </w:t>
            </w:r>
          </w:p>
        </w:tc>
        <w:tc>
          <w:tcPr>
            <w:tcW w:w="3471" w:type="dxa"/>
            <w:vAlign w:val="center"/>
          </w:tcPr>
          <w:p w14:paraId="127E0B11">
            <w:r>
              <w:t>按照要求完成素材的采集，各种多媒体应用软件的操作，必须有自己的思想，不得让他人代操作、不能使用网上下载的作品。教师根据学生完成要求的质量评定相应的成绩。</w:t>
            </w:r>
          </w:p>
        </w:tc>
        <w:tc>
          <w:tcPr>
            <w:tcW w:w="1803" w:type="dxa"/>
            <w:vAlign w:val="center"/>
          </w:tcPr>
          <w:p w14:paraId="087B3A4F">
            <w:r>
              <w:rPr>
                <w:rFonts w:hint="eastAsia"/>
              </w:rPr>
              <w:t>指标点4-3（H）</w:t>
            </w:r>
          </w:p>
        </w:tc>
      </w:tr>
      <w:tr w14:paraId="47BC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052" w:type="dxa"/>
            <w:tcMar>
              <w:left w:w="57" w:type="dxa"/>
              <w:right w:w="57" w:type="dxa"/>
            </w:tcMar>
            <w:vAlign w:val="center"/>
          </w:tcPr>
          <w:p w14:paraId="017F0B57">
            <w:r>
              <w:t>期末考核</w:t>
            </w:r>
          </w:p>
        </w:tc>
        <w:tc>
          <w:tcPr>
            <w:tcW w:w="1667" w:type="dxa"/>
            <w:vAlign w:val="center"/>
          </w:tcPr>
          <w:p w14:paraId="01E2C12E">
            <w:r>
              <w:t>期末考核</w:t>
            </w:r>
          </w:p>
        </w:tc>
        <w:tc>
          <w:tcPr>
            <w:tcW w:w="697" w:type="dxa"/>
            <w:vAlign w:val="center"/>
          </w:tcPr>
          <w:p w14:paraId="7319BA81">
            <w:r>
              <w:rPr>
                <w:rFonts w:hint="eastAsia"/>
              </w:rPr>
              <w:t>5</w:t>
            </w:r>
            <w:r>
              <w:t>0%</w:t>
            </w:r>
          </w:p>
        </w:tc>
        <w:tc>
          <w:tcPr>
            <w:tcW w:w="3471" w:type="dxa"/>
            <w:vAlign w:val="center"/>
          </w:tcPr>
          <w:p w14:paraId="3D14E66D">
            <w:r>
              <w:rPr>
                <w:rFonts w:hint="eastAsia"/>
              </w:rPr>
              <w:t>考核主要考察学生针对特定教学任务，充分、合理运用信息技术、数字资源和信息化教学环境进行教学设计和实际教学，并将教学的过程制作成为学习资源的能力。</w:t>
            </w:r>
          </w:p>
        </w:tc>
        <w:tc>
          <w:tcPr>
            <w:tcW w:w="1803" w:type="dxa"/>
            <w:vAlign w:val="center"/>
          </w:tcPr>
          <w:p w14:paraId="65D8C2FB">
            <w:r>
              <w:rPr>
                <w:rFonts w:hint="eastAsia"/>
              </w:rPr>
              <w:t>指标点4-3（H）</w:t>
            </w:r>
          </w:p>
        </w:tc>
      </w:tr>
    </w:tbl>
    <w:p w14:paraId="37C795B9"/>
    <w:p w14:paraId="7EC79DCA">
      <w:r>
        <w:t>（三）</w:t>
      </w:r>
      <w:r>
        <w:rPr>
          <w:rFonts w:hint="eastAsia"/>
        </w:rPr>
        <w:t>课程目标及考核方式权重分配表</w:t>
      </w:r>
    </w:p>
    <w:tbl>
      <w:tblPr>
        <w:tblStyle w:val="13"/>
        <w:tblW w:w="7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418"/>
        <w:gridCol w:w="2268"/>
        <w:gridCol w:w="2158"/>
      </w:tblGrid>
      <w:tr w14:paraId="771A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403" w:type="dxa"/>
            <w:gridSpan w:val="2"/>
            <w:tcBorders>
              <w:tl2br w:val="nil"/>
              <w:tr2bl w:val="nil"/>
            </w:tcBorders>
            <w:shd w:val="clear" w:color="auto" w:fill="auto"/>
            <w:vAlign w:val="center"/>
          </w:tcPr>
          <w:p w14:paraId="4AFD4871">
            <w:r>
              <w:rPr>
                <w:rFonts w:hint="eastAsia"/>
              </w:rPr>
              <w:t>课程目标及权重</w:t>
            </w:r>
          </w:p>
        </w:tc>
        <w:tc>
          <w:tcPr>
            <w:tcW w:w="4426" w:type="dxa"/>
            <w:gridSpan w:val="2"/>
            <w:tcBorders>
              <w:tl2br w:val="nil"/>
              <w:tr2bl w:val="nil"/>
            </w:tcBorders>
            <w:shd w:val="clear" w:color="auto" w:fill="auto"/>
            <w:vAlign w:val="center"/>
          </w:tcPr>
          <w:p w14:paraId="71D0ECD7">
            <w:r>
              <w:rPr>
                <w:rFonts w:hint="eastAsia"/>
              </w:rPr>
              <w:t>考核方式及权重</w:t>
            </w:r>
          </w:p>
        </w:tc>
      </w:tr>
      <w:tr w14:paraId="7053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985" w:type="dxa"/>
            <w:tcBorders>
              <w:tl2br w:val="nil"/>
              <w:tr2bl w:val="nil"/>
            </w:tcBorders>
            <w:shd w:val="clear" w:color="auto" w:fill="auto"/>
            <w:vAlign w:val="center"/>
          </w:tcPr>
          <w:p w14:paraId="5FFBADCB">
            <w:r>
              <w:rPr>
                <w:rFonts w:hint="eastAsia"/>
              </w:rPr>
              <w:t>项目</w:t>
            </w:r>
          </w:p>
        </w:tc>
        <w:tc>
          <w:tcPr>
            <w:tcW w:w="1418" w:type="dxa"/>
            <w:tcBorders>
              <w:tl2br w:val="nil"/>
              <w:tr2bl w:val="nil"/>
            </w:tcBorders>
            <w:shd w:val="clear" w:color="auto" w:fill="auto"/>
            <w:vAlign w:val="center"/>
          </w:tcPr>
          <w:p w14:paraId="5547252E">
            <w:r>
              <w:rPr>
                <w:rFonts w:hint="eastAsia"/>
              </w:rPr>
              <w:t>权重（</w:t>
            </w:r>
            <w:r>
              <w:t>a</w:t>
            </w:r>
            <w:r>
              <w:rPr>
                <w:rFonts w:hint="eastAsia"/>
              </w:rPr>
              <w:t>）</w:t>
            </w:r>
          </w:p>
        </w:tc>
        <w:tc>
          <w:tcPr>
            <w:tcW w:w="2268" w:type="dxa"/>
            <w:tcBorders>
              <w:tl2br w:val="nil"/>
              <w:tr2bl w:val="nil"/>
            </w:tcBorders>
            <w:shd w:val="clear" w:color="auto" w:fill="auto"/>
            <w:vAlign w:val="center"/>
          </w:tcPr>
          <w:p w14:paraId="256A26C9">
            <w:r>
              <w:rPr>
                <w:rFonts w:hint="eastAsia"/>
              </w:rPr>
              <w:t>评价依据</w:t>
            </w:r>
          </w:p>
        </w:tc>
        <w:tc>
          <w:tcPr>
            <w:tcW w:w="2158" w:type="dxa"/>
            <w:tcBorders>
              <w:tl2br w:val="nil"/>
              <w:tr2bl w:val="nil"/>
            </w:tcBorders>
            <w:shd w:val="clear" w:color="auto" w:fill="auto"/>
            <w:vAlign w:val="center"/>
          </w:tcPr>
          <w:p w14:paraId="745EB506">
            <w:r>
              <w:rPr>
                <w:rFonts w:hint="eastAsia"/>
              </w:rPr>
              <w:t>权重（</w:t>
            </w:r>
            <w:r>
              <w:t>b</w:t>
            </w:r>
            <w:r>
              <w:rPr>
                <w:rFonts w:hint="eastAsia"/>
              </w:rPr>
              <w:t>）</w:t>
            </w:r>
          </w:p>
        </w:tc>
      </w:tr>
      <w:tr w14:paraId="40F4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shd w:val="clear" w:color="auto" w:fill="auto"/>
            <w:vAlign w:val="center"/>
          </w:tcPr>
          <w:p w14:paraId="51BCA9A1">
            <w:r>
              <w:rPr>
                <w:rFonts w:hint="eastAsia"/>
              </w:rPr>
              <w:t>课程目标</w:t>
            </w:r>
            <w:r>
              <w:t>1</w:t>
            </w:r>
          </w:p>
        </w:tc>
        <w:tc>
          <w:tcPr>
            <w:tcW w:w="1418" w:type="dxa"/>
            <w:vMerge w:val="restart"/>
            <w:tcBorders>
              <w:tl2br w:val="nil"/>
              <w:tr2bl w:val="nil"/>
            </w:tcBorders>
            <w:shd w:val="clear" w:color="auto" w:fill="auto"/>
            <w:vAlign w:val="center"/>
          </w:tcPr>
          <w:p w14:paraId="4DC46DB7">
            <w:r>
              <w:t>2</w:t>
            </w:r>
            <w:r>
              <w:rPr>
                <w:rFonts w:hint="eastAsia"/>
              </w:rPr>
              <w:t>0%</w:t>
            </w:r>
          </w:p>
        </w:tc>
        <w:tc>
          <w:tcPr>
            <w:tcW w:w="2268" w:type="dxa"/>
            <w:tcBorders>
              <w:tl2br w:val="nil"/>
              <w:tr2bl w:val="nil"/>
            </w:tcBorders>
            <w:shd w:val="clear" w:color="auto" w:fill="auto"/>
            <w:vAlign w:val="center"/>
          </w:tcPr>
          <w:p w14:paraId="03B1D25C">
            <w:r>
              <w:rPr>
                <w:rFonts w:hint="eastAsia"/>
              </w:rPr>
              <w:t>作业+课堂表现</w:t>
            </w:r>
          </w:p>
        </w:tc>
        <w:tc>
          <w:tcPr>
            <w:tcW w:w="2158" w:type="dxa"/>
            <w:tcBorders>
              <w:tl2br w:val="nil"/>
              <w:tr2bl w:val="nil"/>
            </w:tcBorders>
            <w:shd w:val="clear" w:color="auto" w:fill="auto"/>
            <w:vAlign w:val="center"/>
          </w:tcPr>
          <w:p w14:paraId="57DFD4D5">
            <w:r>
              <w:rPr>
                <w:rFonts w:hint="eastAsia"/>
              </w:rPr>
              <w:t>1</w:t>
            </w:r>
            <w:r>
              <w:t>0</w:t>
            </w:r>
            <w:r>
              <w:rPr>
                <w:rFonts w:hint="eastAsia"/>
              </w:rPr>
              <w:t>%</w:t>
            </w:r>
            <w:r>
              <w:t xml:space="preserve"> </w:t>
            </w:r>
          </w:p>
        </w:tc>
      </w:tr>
      <w:tr w14:paraId="1CDC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985" w:type="dxa"/>
            <w:vMerge w:val="continue"/>
            <w:tcBorders>
              <w:tl2br w:val="nil"/>
              <w:tr2bl w:val="nil"/>
            </w:tcBorders>
            <w:shd w:val="clear" w:color="auto" w:fill="auto"/>
            <w:vAlign w:val="center"/>
          </w:tcPr>
          <w:p w14:paraId="0D227520"/>
        </w:tc>
        <w:tc>
          <w:tcPr>
            <w:tcW w:w="1418" w:type="dxa"/>
            <w:vMerge w:val="continue"/>
            <w:tcBorders>
              <w:tl2br w:val="nil"/>
              <w:tr2bl w:val="nil"/>
            </w:tcBorders>
            <w:shd w:val="clear" w:color="auto" w:fill="auto"/>
            <w:vAlign w:val="center"/>
          </w:tcPr>
          <w:p w14:paraId="7DF413CE"/>
        </w:tc>
        <w:tc>
          <w:tcPr>
            <w:tcW w:w="2268" w:type="dxa"/>
            <w:tcBorders>
              <w:bottom w:val="single" w:color="000000" w:sz="4" w:space="0"/>
              <w:tl2br w:val="nil"/>
              <w:tr2bl w:val="nil"/>
            </w:tcBorders>
            <w:shd w:val="clear" w:color="auto" w:fill="auto"/>
            <w:vAlign w:val="center"/>
          </w:tcPr>
          <w:p w14:paraId="17A8B51B">
            <w:r>
              <w:rPr>
                <w:rFonts w:hint="eastAsia"/>
              </w:rPr>
              <w:t>课内实践</w:t>
            </w:r>
          </w:p>
        </w:tc>
        <w:tc>
          <w:tcPr>
            <w:tcW w:w="2158" w:type="dxa"/>
            <w:tcBorders>
              <w:bottom w:val="single" w:color="000000" w:sz="4" w:space="0"/>
              <w:tl2br w:val="nil"/>
              <w:tr2bl w:val="nil"/>
            </w:tcBorders>
            <w:shd w:val="clear" w:color="auto" w:fill="auto"/>
            <w:vAlign w:val="center"/>
          </w:tcPr>
          <w:p w14:paraId="3E389C9C">
            <w:r>
              <w:rPr>
                <w:rFonts w:hint="eastAsia"/>
              </w:rPr>
              <w:t>4</w:t>
            </w:r>
            <w:r>
              <w:t>0</w:t>
            </w:r>
            <w:r>
              <w:rPr>
                <w:rFonts w:hint="eastAsia"/>
              </w:rPr>
              <w:t>%</w:t>
            </w:r>
          </w:p>
        </w:tc>
      </w:tr>
      <w:tr w14:paraId="3623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985" w:type="dxa"/>
            <w:vMerge w:val="continue"/>
            <w:tcBorders>
              <w:tl2br w:val="nil"/>
              <w:tr2bl w:val="nil"/>
            </w:tcBorders>
            <w:shd w:val="clear" w:color="auto" w:fill="auto"/>
            <w:vAlign w:val="center"/>
          </w:tcPr>
          <w:p w14:paraId="5E5685DC"/>
        </w:tc>
        <w:tc>
          <w:tcPr>
            <w:tcW w:w="1418" w:type="dxa"/>
            <w:vMerge w:val="continue"/>
            <w:tcBorders>
              <w:tl2br w:val="nil"/>
              <w:tr2bl w:val="nil"/>
            </w:tcBorders>
            <w:shd w:val="clear" w:color="auto" w:fill="auto"/>
            <w:vAlign w:val="center"/>
          </w:tcPr>
          <w:p w14:paraId="385A31AC"/>
        </w:tc>
        <w:tc>
          <w:tcPr>
            <w:tcW w:w="2268" w:type="dxa"/>
            <w:tcBorders>
              <w:top w:val="single" w:color="000000" w:sz="4" w:space="0"/>
              <w:tl2br w:val="nil"/>
              <w:tr2bl w:val="nil"/>
            </w:tcBorders>
            <w:shd w:val="clear" w:color="auto" w:fill="auto"/>
            <w:vAlign w:val="center"/>
          </w:tcPr>
          <w:p w14:paraId="77306AC6">
            <w:r>
              <w:t>期末考核</w:t>
            </w:r>
          </w:p>
        </w:tc>
        <w:tc>
          <w:tcPr>
            <w:tcW w:w="2158" w:type="dxa"/>
            <w:tcBorders>
              <w:top w:val="single" w:color="000000" w:sz="4" w:space="0"/>
              <w:tl2br w:val="nil"/>
              <w:tr2bl w:val="nil"/>
            </w:tcBorders>
            <w:shd w:val="clear" w:color="auto" w:fill="auto"/>
            <w:vAlign w:val="center"/>
          </w:tcPr>
          <w:p w14:paraId="177D1F39">
            <w:r>
              <w:rPr>
                <w:rFonts w:hint="eastAsia"/>
              </w:rPr>
              <w:t>50%</w:t>
            </w:r>
          </w:p>
        </w:tc>
      </w:tr>
      <w:tr w14:paraId="0F10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shd w:val="clear" w:color="auto" w:fill="auto"/>
            <w:vAlign w:val="center"/>
          </w:tcPr>
          <w:p w14:paraId="0ECE8F55">
            <w:r>
              <w:rPr>
                <w:rFonts w:hint="eastAsia"/>
              </w:rPr>
              <w:t>课程目标</w:t>
            </w:r>
            <w:r>
              <w:t>2</w:t>
            </w:r>
          </w:p>
        </w:tc>
        <w:tc>
          <w:tcPr>
            <w:tcW w:w="1418" w:type="dxa"/>
            <w:vMerge w:val="restart"/>
            <w:tcBorders>
              <w:tl2br w:val="nil"/>
              <w:tr2bl w:val="nil"/>
            </w:tcBorders>
            <w:shd w:val="clear" w:color="auto" w:fill="auto"/>
            <w:vAlign w:val="center"/>
          </w:tcPr>
          <w:p w14:paraId="255D59EA">
            <w:r>
              <w:t>50</w:t>
            </w:r>
            <w:r>
              <w:rPr>
                <w:rFonts w:hint="eastAsia"/>
              </w:rPr>
              <w:t>%</w:t>
            </w:r>
          </w:p>
        </w:tc>
        <w:tc>
          <w:tcPr>
            <w:tcW w:w="2268" w:type="dxa"/>
            <w:tcBorders>
              <w:tl2br w:val="nil"/>
              <w:tr2bl w:val="nil"/>
            </w:tcBorders>
            <w:shd w:val="clear" w:color="auto" w:fill="auto"/>
            <w:vAlign w:val="center"/>
          </w:tcPr>
          <w:p w14:paraId="094F3C07">
            <w:r>
              <w:rPr>
                <w:rFonts w:hint="eastAsia"/>
              </w:rPr>
              <w:t>作业+课堂表现</w:t>
            </w:r>
          </w:p>
        </w:tc>
        <w:tc>
          <w:tcPr>
            <w:tcW w:w="2158" w:type="dxa"/>
            <w:tcBorders>
              <w:tl2br w:val="nil"/>
              <w:tr2bl w:val="nil"/>
            </w:tcBorders>
            <w:shd w:val="clear" w:color="auto" w:fill="auto"/>
            <w:vAlign w:val="center"/>
          </w:tcPr>
          <w:p w14:paraId="3FBEA01A">
            <w:r>
              <w:rPr>
                <w:rFonts w:hint="eastAsia"/>
              </w:rPr>
              <w:t>1</w:t>
            </w:r>
            <w:r>
              <w:t>0</w:t>
            </w:r>
            <w:r>
              <w:rPr>
                <w:rFonts w:hint="eastAsia"/>
              </w:rPr>
              <w:t>%</w:t>
            </w:r>
            <w:r>
              <w:t xml:space="preserve"> </w:t>
            </w:r>
          </w:p>
        </w:tc>
      </w:tr>
      <w:tr w14:paraId="4B84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985" w:type="dxa"/>
            <w:vMerge w:val="continue"/>
            <w:tcBorders>
              <w:tl2br w:val="nil"/>
              <w:tr2bl w:val="nil"/>
            </w:tcBorders>
            <w:shd w:val="clear" w:color="auto" w:fill="auto"/>
            <w:vAlign w:val="center"/>
          </w:tcPr>
          <w:p w14:paraId="12420880"/>
        </w:tc>
        <w:tc>
          <w:tcPr>
            <w:tcW w:w="1418" w:type="dxa"/>
            <w:vMerge w:val="continue"/>
            <w:tcBorders>
              <w:tl2br w:val="nil"/>
              <w:tr2bl w:val="nil"/>
            </w:tcBorders>
            <w:shd w:val="clear" w:color="auto" w:fill="auto"/>
            <w:vAlign w:val="center"/>
          </w:tcPr>
          <w:p w14:paraId="0A4CD60B"/>
        </w:tc>
        <w:tc>
          <w:tcPr>
            <w:tcW w:w="2268" w:type="dxa"/>
            <w:tcBorders>
              <w:bottom w:val="single" w:color="000000" w:sz="4" w:space="0"/>
              <w:tl2br w:val="nil"/>
              <w:tr2bl w:val="nil"/>
            </w:tcBorders>
            <w:shd w:val="clear" w:color="auto" w:fill="auto"/>
            <w:vAlign w:val="center"/>
          </w:tcPr>
          <w:p w14:paraId="40BC18AC">
            <w:r>
              <w:rPr>
                <w:rFonts w:hint="eastAsia"/>
              </w:rPr>
              <w:t>课内实践</w:t>
            </w:r>
          </w:p>
        </w:tc>
        <w:tc>
          <w:tcPr>
            <w:tcW w:w="2158" w:type="dxa"/>
            <w:tcBorders>
              <w:bottom w:val="single" w:color="000000" w:sz="4" w:space="0"/>
              <w:tl2br w:val="nil"/>
              <w:tr2bl w:val="nil"/>
            </w:tcBorders>
            <w:shd w:val="clear" w:color="auto" w:fill="auto"/>
            <w:vAlign w:val="center"/>
          </w:tcPr>
          <w:p w14:paraId="0B0B4C90">
            <w:r>
              <w:rPr>
                <w:rFonts w:hint="eastAsia"/>
              </w:rPr>
              <w:t>4</w:t>
            </w:r>
            <w:r>
              <w:t>0</w:t>
            </w:r>
            <w:r>
              <w:rPr>
                <w:rFonts w:hint="eastAsia"/>
              </w:rPr>
              <w:t>%</w:t>
            </w:r>
          </w:p>
        </w:tc>
      </w:tr>
      <w:tr w14:paraId="0317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985" w:type="dxa"/>
            <w:vMerge w:val="continue"/>
            <w:tcBorders>
              <w:tl2br w:val="nil"/>
              <w:tr2bl w:val="nil"/>
            </w:tcBorders>
            <w:shd w:val="clear" w:color="auto" w:fill="auto"/>
            <w:vAlign w:val="center"/>
          </w:tcPr>
          <w:p w14:paraId="45B03C35"/>
        </w:tc>
        <w:tc>
          <w:tcPr>
            <w:tcW w:w="1418" w:type="dxa"/>
            <w:vMerge w:val="continue"/>
            <w:tcBorders>
              <w:tl2br w:val="nil"/>
              <w:tr2bl w:val="nil"/>
            </w:tcBorders>
            <w:shd w:val="clear" w:color="auto" w:fill="auto"/>
            <w:vAlign w:val="center"/>
          </w:tcPr>
          <w:p w14:paraId="15029D64"/>
        </w:tc>
        <w:tc>
          <w:tcPr>
            <w:tcW w:w="2268" w:type="dxa"/>
            <w:tcBorders>
              <w:top w:val="single" w:color="000000" w:sz="4" w:space="0"/>
              <w:tl2br w:val="nil"/>
              <w:tr2bl w:val="nil"/>
            </w:tcBorders>
            <w:shd w:val="clear" w:color="auto" w:fill="auto"/>
            <w:vAlign w:val="center"/>
          </w:tcPr>
          <w:p w14:paraId="205CBA88">
            <w:r>
              <w:t>期末考核</w:t>
            </w:r>
          </w:p>
        </w:tc>
        <w:tc>
          <w:tcPr>
            <w:tcW w:w="2158" w:type="dxa"/>
            <w:tcBorders>
              <w:top w:val="single" w:color="000000" w:sz="4" w:space="0"/>
              <w:tl2br w:val="nil"/>
              <w:tr2bl w:val="nil"/>
            </w:tcBorders>
            <w:shd w:val="clear" w:color="auto" w:fill="auto"/>
            <w:vAlign w:val="center"/>
          </w:tcPr>
          <w:p w14:paraId="206CA589">
            <w:r>
              <w:rPr>
                <w:rFonts w:hint="eastAsia"/>
              </w:rPr>
              <w:t>50%</w:t>
            </w:r>
          </w:p>
        </w:tc>
      </w:tr>
      <w:tr w14:paraId="006C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shd w:val="clear" w:color="auto" w:fill="auto"/>
            <w:vAlign w:val="center"/>
          </w:tcPr>
          <w:p w14:paraId="2E02FC4A">
            <w:r>
              <w:rPr>
                <w:rFonts w:hint="eastAsia"/>
              </w:rPr>
              <w:t>课程目标</w:t>
            </w:r>
            <w:r>
              <w:t>3</w:t>
            </w:r>
          </w:p>
        </w:tc>
        <w:tc>
          <w:tcPr>
            <w:tcW w:w="1418" w:type="dxa"/>
            <w:vMerge w:val="restart"/>
            <w:tcBorders>
              <w:tl2br w:val="nil"/>
              <w:tr2bl w:val="nil"/>
            </w:tcBorders>
            <w:shd w:val="clear" w:color="auto" w:fill="auto"/>
            <w:vAlign w:val="center"/>
          </w:tcPr>
          <w:p w14:paraId="43956A5E">
            <w:r>
              <w:t>30</w:t>
            </w:r>
            <w:r>
              <w:rPr>
                <w:rFonts w:hint="eastAsia"/>
              </w:rPr>
              <w:t>%</w:t>
            </w:r>
          </w:p>
        </w:tc>
        <w:tc>
          <w:tcPr>
            <w:tcW w:w="2268" w:type="dxa"/>
            <w:tcBorders>
              <w:tl2br w:val="nil"/>
              <w:tr2bl w:val="nil"/>
            </w:tcBorders>
            <w:shd w:val="clear" w:color="auto" w:fill="auto"/>
            <w:vAlign w:val="center"/>
          </w:tcPr>
          <w:p w14:paraId="561E6D91">
            <w:r>
              <w:rPr>
                <w:rFonts w:hint="eastAsia"/>
              </w:rPr>
              <w:t>作业+课堂表现</w:t>
            </w:r>
          </w:p>
        </w:tc>
        <w:tc>
          <w:tcPr>
            <w:tcW w:w="2158" w:type="dxa"/>
            <w:tcBorders>
              <w:tl2br w:val="nil"/>
              <w:tr2bl w:val="nil"/>
            </w:tcBorders>
            <w:shd w:val="clear" w:color="auto" w:fill="auto"/>
            <w:vAlign w:val="center"/>
          </w:tcPr>
          <w:p w14:paraId="685E3036">
            <w:r>
              <w:rPr>
                <w:rFonts w:hint="eastAsia"/>
              </w:rPr>
              <w:t>1</w:t>
            </w:r>
            <w:r>
              <w:t>0</w:t>
            </w:r>
            <w:r>
              <w:rPr>
                <w:rFonts w:hint="eastAsia"/>
              </w:rPr>
              <w:t>%</w:t>
            </w:r>
            <w:r>
              <w:t xml:space="preserve"> </w:t>
            </w:r>
          </w:p>
        </w:tc>
      </w:tr>
      <w:tr w14:paraId="6E95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985" w:type="dxa"/>
            <w:vMerge w:val="continue"/>
            <w:tcBorders>
              <w:tl2br w:val="nil"/>
              <w:tr2bl w:val="nil"/>
            </w:tcBorders>
            <w:shd w:val="clear" w:color="auto" w:fill="auto"/>
            <w:vAlign w:val="center"/>
          </w:tcPr>
          <w:p w14:paraId="5AC3A194"/>
        </w:tc>
        <w:tc>
          <w:tcPr>
            <w:tcW w:w="1418" w:type="dxa"/>
            <w:vMerge w:val="continue"/>
            <w:tcBorders>
              <w:tl2br w:val="nil"/>
              <w:tr2bl w:val="nil"/>
            </w:tcBorders>
            <w:shd w:val="clear" w:color="auto" w:fill="auto"/>
            <w:vAlign w:val="center"/>
          </w:tcPr>
          <w:p w14:paraId="1E1A867B"/>
        </w:tc>
        <w:tc>
          <w:tcPr>
            <w:tcW w:w="2268" w:type="dxa"/>
            <w:tcBorders>
              <w:bottom w:val="single" w:color="000000" w:sz="4" w:space="0"/>
              <w:tl2br w:val="nil"/>
              <w:tr2bl w:val="nil"/>
            </w:tcBorders>
            <w:shd w:val="clear" w:color="auto" w:fill="auto"/>
            <w:vAlign w:val="center"/>
          </w:tcPr>
          <w:p w14:paraId="7AA5E835">
            <w:r>
              <w:rPr>
                <w:rFonts w:hint="eastAsia"/>
              </w:rPr>
              <w:t>课内实践</w:t>
            </w:r>
          </w:p>
        </w:tc>
        <w:tc>
          <w:tcPr>
            <w:tcW w:w="2158" w:type="dxa"/>
            <w:tcBorders>
              <w:bottom w:val="single" w:color="000000" w:sz="4" w:space="0"/>
              <w:tl2br w:val="nil"/>
              <w:tr2bl w:val="nil"/>
            </w:tcBorders>
            <w:shd w:val="clear" w:color="auto" w:fill="auto"/>
            <w:vAlign w:val="center"/>
          </w:tcPr>
          <w:p w14:paraId="49CA3D0D">
            <w:r>
              <w:rPr>
                <w:rFonts w:hint="eastAsia"/>
              </w:rPr>
              <w:t>4</w:t>
            </w:r>
            <w:r>
              <w:t>0</w:t>
            </w:r>
            <w:r>
              <w:rPr>
                <w:rFonts w:hint="eastAsia"/>
              </w:rPr>
              <w:t>%</w:t>
            </w:r>
          </w:p>
        </w:tc>
      </w:tr>
      <w:tr w14:paraId="27ED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985" w:type="dxa"/>
            <w:vMerge w:val="continue"/>
            <w:tcBorders>
              <w:tl2br w:val="nil"/>
              <w:tr2bl w:val="nil"/>
            </w:tcBorders>
            <w:shd w:val="clear" w:color="auto" w:fill="auto"/>
            <w:vAlign w:val="center"/>
          </w:tcPr>
          <w:p w14:paraId="6688C55C"/>
        </w:tc>
        <w:tc>
          <w:tcPr>
            <w:tcW w:w="1418" w:type="dxa"/>
            <w:vMerge w:val="continue"/>
            <w:tcBorders>
              <w:tl2br w:val="nil"/>
              <w:tr2bl w:val="nil"/>
            </w:tcBorders>
            <w:shd w:val="clear" w:color="auto" w:fill="auto"/>
            <w:vAlign w:val="center"/>
          </w:tcPr>
          <w:p w14:paraId="280836A9"/>
        </w:tc>
        <w:tc>
          <w:tcPr>
            <w:tcW w:w="2268" w:type="dxa"/>
            <w:tcBorders>
              <w:top w:val="single" w:color="000000" w:sz="4" w:space="0"/>
              <w:tl2br w:val="nil"/>
              <w:tr2bl w:val="nil"/>
            </w:tcBorders>
            <w:shd w:val="clear" w:color="auto" w:fill="auto"/>
            <w:vAlign w:val="center"/>
          </w:tcPr>
          <w:p w14:paraId="5E25BBDF">
            <w:r>
              <w:t>期末考核</w:t>
            </w:r>
          </w:p>
        </w:tc>
        <w:tc>
          <w:tcPr>
            <w:tcW w:w="2158" w:type="dxa"/>
            <w:tcBorders>
              <w:top w:val="single" w:color="000000" w:sz="4" w:space="0"/>
              <w:tl2br w:val="nil"/>
              <w:tr2bl w:val="nil"/>
            </w:tcBorders>
            <w:shd w:val="clear" w:color="auto" w:fill="auto"/>
            <w:vAlign w:val="center"/>
          </w:tcPr>
          <w:p w14:paraId="68A548FA">
            <w:r>
              <w:rPr>
                <w:rFonts w:hint="eastAsia"/>
              </w:rPr>
              <w:t>50%</w:t>
            </w:r>
          </w:p>
        </w:tc>
      </w:tr>
      <w:tr w14:paraId="6932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5" w:type="dxa"/>
            <w:tcBorders>
              <w:tl2br w:val="nil"/>
              <w:tr2bl w:val="nil"/>
            </w:tcBorders>
            <w:shd w:val="clear" w:color="auto" w:fill="auto"/>
            <w:vAlign w:val="center"/>
          </w:tcPr>
          <w:p w14:paraId="6208DA34">
            <w:r>
              <w:rPr>
                <w:rFonts w:hint="eastAsia"/>
              </w:rPr>
              <w:t>课程目标权重合计</w:t>
            </w:r>
          </w:p>
        </w:tc>
        <w:tc>
          <w:tcPr>
            <w:tcW w:w="1418" w:type="dxa"/>
            <w:tcBorders>
              <w:tl2br w:val="nil"/>
              <w:tr2bl w:val="nil"/>
            </w:tcBorders>
            <w:shd w:val="clear" w:color="auto" w:fill="auto"/>
            <w:vAlign w:val="center"/>
          </w:tcPr>
          <w:p w14:paraId="08A7E80B">
            <w:r>
              <w:rPr>
                <w:rFonts w:hint="eastAsia"/>
              </w:rPr>
              <w:t>100%</w:t>
            </w:r>
          </w:p>
        </w:tc>
        <w:tc>
          <w:tcPr>
            <w:tcW w:w="4426" w:type="dxa"/>
            <w:gridSpan w:val="2"/>
            <w:tcBorders>
              <w:tl2br w:val="nil"/>
              <w:tr2bl w:val="nil"/>
            </w:tcBorders>
            <w:shd w:val="clear" w:color="auto" w:fill="auto"/>
            <w:vAlign w:val="center"/>
          </w:tcPr>
          <w:p w14:paraId="2C7D97BC"/>
        </w:tc>
      </w:tr>
    </w:tbl>
    <w:p w14:paraId="5B33E417"/>
    <w:p w14:paraId="70C2309A"/>
    <w:p w14:paraId="64CF7383">
      <w:r>
        <w:rPr>
          <w:rFonts w:hint="eastAsia"/>
        </w:rPr>
        <w:t>（四）</w:t>
      </w:r>
      <w:r>
        <w:t>课程目标达成度计算方法</w:t>
      </w:r>
    </w:p>
    <w:p w14:paraId="058F5444">
      <w:r>
        <w:t>所有课程目标均</w:t>
      </w:r>
      <w:r>
        <w:rPr>
          <w:rFonts w:hint="eastAsia"/>
        </w:rPr>
        <w:t>需</w:t>
      </w:r>
      <w:r>
        <w:t>大于等于0.6，否则总评成绩不及格，需要重</w:t>
      </w:r>
      <w:r>
        <w:rPr>
          <w:rFonts w:hint="eastAsia"/>
        </w:rPr>
        <w:t>修。</w:t>
      </w:r>
      <w:r>
        <w:t>每</w:t>
      </w:r>
      <w:r>
        <w:rPr>
          <w:rFonts w:hint="eastAsia"/>
        </w:rPr>
        <w:t>门</w:t>
      </w:r>
      <w:r>
        <w:t>课程目标</w:t>
      </w:r>
      <w:r>
        <w:rPr>
          <w:rFonts w:hint="eastAsia"/>
        </w:rPr>
        <w:t>总体</w:t>
      </w:r>
      <w:r>
        <w:t>达成度计算方法如下：</w:t>
      </w:r>
    </w:p>
    <w:p w14:paraId="66A068DA">
      <w:r>
        <w:drawing>
          <wp:inline distT="0" distB="0" distL="0" distR="0">
            <wp:extent cx="5762625" cy="3619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srcRect/>
                    <a:stretch>
                      <a:fillRect/>
                    </a:stretch>
                  </pic:blipFill>
                  <pic:spPr>
                    <a:xfrm>
                      <a:off x="0" y="0"/>
                      <a:ext cx="5762625" cy="361950"/>
                    </a:xfrm>
                    <a:prstGeom prst="rect">
                      <a:avLst/>
                    </a:prstGeom>
                    <a:noFill/>
                    <a:ln w="9525">
                      <a:noFill/>
                      <a:miter lim="800000"/>
                      <a:headEnd/>
                      <a:tailEnd/>
                    </a:ln>
                  </pic:spPr>
                </pic:pic>
              </a:graphicData>
            </a:graphic>
          </wp:inline>
        </w:drawing>
      </w:r>
    </w:p>
    <w:p w14:paraId="32E35D38">
      <w:r>
        <w:rPr>
          <w:rFonts w:hint="eastAsia"/>
        </w:rPr>
        <w:t>六、有关说明</w:t>
      </w:r>
    </w:p>
    <w:p w14:paraId="577C0802">
      <w:r>
        <w:rPr>
          <w:rFonts w:hint="eastAsia"/>
        </w:rPr>
        <w:t>（一）持续改进</w:t>
      </w:r>
    </w:p>
    <w:p w14:paraId="4C4C0653">
      <w:r>
        <w:t>本课程根据学生作业、课堂讨论、模拟教学、</w:t>
      </w:r>
      <w:r>
        <w:rPr>
          <w:rFonts w:hint="eastAsia"/>
        </w:rPr>
        <w:t>微课教学设计与制作</w:t>
      </w:r>
      <w:r>
        <w:t>、平时考核情况和学生、教学督导等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1B9B7093">
      <w:r>
        <w:rPr>
          <w:rFonts w:hint="eastAsia"/>
        </w:rPr>
        <w:t>（二）</w:t>
      </w:r>
      <w:r>
        <w:t>参考书目及学习资料</w:t>
      </w:r>
    </w:p>
    <w:p w14:paraId="353A89C0">
      <w:r>
        <w:rPr>
          <w:rFonts w:hint="eastAsia"/>
        </w:rPr>
        <w:t>1．教材</w:t>
      </w:r>
    </w:p>
    <w:p w14:paraId="21C35621">
      <w:r>
        <w:rPr>
          <w:rFonts w:hint="eastAsia"/>
        </w:rPr>
        <w:t>章苏静.《现代教育技术》（第1版）.上海交通大学出版社. 2022</w:t>
      </w:r>
    </w:p>
    <w:p w14:paraId="5DCBFF7C">
      <w:r>
        <w:rPr>
          <w:rFonts w:hint="eastAsia"/>
        </w:rPr>
        <w:t>2．教学参考书</w:t>
      </w:r>
    </w:p>
    <w:p w14:paraId="76152D88">
      <w:r>
        <w:rPr>
          <w:rFonts w:hint="eastAsia"/>
        </w:rPr>
        <w:t>陈明选.《现代教育技术》（第1版）.上海交通大学出版社. 2022.</w:t>
      </w:r>
    </w:p>
    <w:p w14:paraId="2580B36B">
      <w:r>
        <w:rPr>
          <w:rFonts w:hint="eastAsia"/>
        </w:rPr>
        <w:t>杨宁.《现代教育技术》（第6版）.上海交通大学出版社. 2020</w:t>
      </w:r>
    </w:p>
    <w:p w14:paraId="556FD0D5">
      <w:r>
        <w:rPr>
          <w:rFonts w:hint="eastAsia"/>
        </w:rPr>
        <w:t>李世荣.《现代教育技术》（第2版）.清华大学出版社. 2020.</w:t>
      </w:r>
    </w:p>
    <w:p w14:paraId="3DAB67BA">
      <w:r>
        <w:t>Adobe公司  Adobe数字艺术中心Photoshop CS标准教材 人民邮电出版社</w:t>
      </w:r>
    </w:p>
    <w:p w14:paraId="73B71712">
      <w:r>
        <w:t>李颖、董彦</w:t>
      </w:r>
      <w:r>
        <w:rPr>
          <w:rFonts w:hint="eastAsia"/>
        </w:rPr>
        <w:t>.《现代教育技术》.中国科学技术大学出版社.2010</w:t>
      </w:r>
    </w:p>
    <w:p w14:paraId="51FCF8D6"/>
    <w:p w14:paraId="70E307C6">
      <w:r>
        <w:rPr>
          <w:rFonts w:hint="eastAsia"/>
        </w:rPr>
        <w:t>执笔人：曾新勇</w:t>
      </w:r>
    </w:p>
    <w:p w14:paraId="50AE358F">
      <w:r>
        <w:rPr>
          <w:rFonts w:hint="eastAsia"/>
        </w:rPr>
        <w:t>审定人：</w:t>
      </w:r>
    </w:p>
    <w:p w14:paraId="464987E4">
      <w:r>
        <w:rPr>
          <w:rFonts w:hint="eastAsia"/>
        </w:rPr>
        <w:t>审批人：</w:t>
      </w:r>
    </w:p>
    <w:p w14:paraId="0DEF009C">
      <w:r>
        <w:rPr>
          <w:rFonts w:hint="eastAsia"/>
        </w:rPr>
        <w:t>批准时间：2024年8月30日</w:t>
      </w:r>
    </w:p>
    <w:p w14:paraId="24F71ECA">
      <w:pPr>
        <w:rPr>
          <w:rFonts w:hint="eastAsia" w:ascii="等线" w:hAnsi="等线" w:eastAsia="等线" w:cs="等线"/>
          <w:b/>
          <w:bCs/>
          <w:sz w:val="44"/>
          <w:szCs w:val="44"/>
        </w:rPr>
      </w:pPr>
      <w:r>
        <w:rPr>
          <w:rFonts w:hint="eastAsia" w:ascii="等线" w:hAnsi="等线" w:eastAsia="等线" w:cs="等线"/>
          <w:b/>
          <w:bCs/>
          <w:sz w:val="44"/>
          <w:szCs w:val="44"/>
        </w:rPr>
        <w:br w:type="page"/>
      </w:r>
    </w:p>
    <w:p w14:paraId="23AC69A0">
      <w:pPr>
        <w:pStyle w:val="2"/>
        <w:bidi w:val="0"/>
      </w:pPr>
      <w:bookmarkStart w:id="118" w:name="_Toc12262"/>
      <w:r>
        <w:rPr>
          <w:rFonts w:hint="eastAsia"/>
          <w:lang w:eastAsia="zh-CN"/>
        </w:rPr>
        <w:t>《</w:t>
      </w:r>
      <w:r>
        <w:rPr>
          <w:rFonts w:hint="eastAsia"/>
        </w:rPr>
        <w:t>教育科学研究方法</w:t>
      </w:r>
      <w:r>
        <w:rPr>
          <w:rFonts w:hint="eastAsia"/>
          <w:lang w:eastAsia="zh-CN"/>
        </w:rPr>
        <w:t>》</w:t>
      </w:r>
      <w:r>
        <w:rPr>
          <w:rFonts w:hint="eastAsia"/>
        </w:rPr>
        <w:t>课程教学大纲</w:t>
      </w:r>
      <w:bookmarkEnd w:id="118"/>
    </w:p>
    <w:p w14:paraId="285CDC45">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w:t>
      </w:r>
      <w:r>
        <w:rPr>
          <w:rFonts w:ascii="Times New Roman" w:hAnsi="Times New Roman" w:eastAsia="宋体" w:cs="Times New Roman"/>
          <w:b/>
          <w:bCs/>
          <w:sz w:val="28"/>
          <w:szCs w:val="28"/>
        </w:rPr>
        <w:t>Educational Research Method</w:t>
      </w:r>
      <w:r>
        <w:rPr>
          <w:rFonts w:hint="eastAsia" w:ascii="Times New Roman" w:hAnsi="Times New Roman" w:eastAsia="宋体" w:cs="Times New Roman"/>
          <w:b/>
          <w:bCs/>
          <w:sz w:val="28"/>
          <w:szCs w:val="28"/>
        </w:rPr>
        <w:t>）</w:t>
      </w:r>
    </w:p>
    <w:p w14:paraId="0D7AFEF0">
      <w:pPr>
        <w:spacing w:line="360" w:lineRule="auto"/>
        <w:jc w:val="center"/>
        <w:rPr>
          <w:rFonts w:ascii="Times New Roman" w:hAnsi="Times New Roman" w:eastAsia="宋体" w:cs="Times New Roman"/>
          <w:bCs/>
          <w:sz w:val="30"/>
          <w:szCs w:val="30"/>
        </w:rPr>
      </w:pPr>
    </w:p>
    <w:p w14:paraId="58288A8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课程名称：教育科学研究方法</w:t>
      </w:r>
    </w:p>
    <w:p w14:paraId="26577B85">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2401049</w:t>
      </w:r>
    </w:p>
    <w:p w14:paraId="052A575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2</w:t>
      </w:r>
    </w:p>
    <w:p w14:paraId="4464622B">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32（其中，讲授学时24，实践学时8）</w:t>
      </w:r>
    </w:p>
    <w:p w14:paraId="5A16D7BF">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先修课程：小学心理学、教育原理、教育心理学、课程与教学论，等</w:t>
      </w:r>
    </w:p>
    <w:p w14:paraId="395FA93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w:t>
      </w:r>
      <w:r>
        <w:rPr>
          <w:rFonts w:ascii="Times New Roman" w:hAnsi="Times New Roman" w:eastAsia="宋体" w:cs="Times New Roman"/>
          <w:b/>
          <w:sz w:val="24"/>
          <w:szCs w:val="24"/>
        </w:rPr>
        <w:t xml:space="preserve"> 小学教育      </w:t>
      </w:r>
    </w:p>
    <w:p w14:paraId="25EB2288">
      <w:pPr>
        <w:spacing w:line="360" w:lineRule="auto"/>
        <w:jc w:val="left"/>
        <w:rPr>
          <w:rFonts w:ascii="Times New Roman" w:hAnsi="Times New Roman" w:eastAsia="宋体" w:cs="Times New Roman"/>
          <w:b/>
          <w:sz w:val="28"/>
          <w:szCs w:val="28"/>
        </w:rPr>
      </w:pPr>
    </w:p>
    <w:p w14:paraId="489891CC">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8"/>
          <w:szCs w:val="28"/>
        </w:rPr>
        <w:t>一、课程简介</w:t>
      </w:r>
    </w:p>
    <w:p w14:paraId="201E298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必修课程。通过本课程的学习，师范生能够了解教育科学研究的基本理论和一般过程，掌握小学教育科研基本方法，学会发现、分析和解决小学教育实践中的问题，形成小学教育科研的意识和开展教育科研工作的基本能力，并为后修课程“毕业论文”的写作奠定研究方法基础。</w:t>
      </w:r>
    </w:p>
    <w:p w14:paraId="02174B8A">
      <w:pPr>
        <w:spacing w:line="360" w:lineRule="auto"/>
        <w:jc w:val="left"/>
        <w:rPr>
          <w:rFonts w:ascii="Times New Roman" w:hAnsi="Times New Roman" w:eastAsia="宋体" w:cs="Times New Roman"/>
          <w:sz w:val="24"/>
          <w:szCs w:val="24"/>
        </w:rPr>
      </w:pPr>
    </w:p>
    <w:p w14:paraId="162232E7">
      <w:pPr>
        <w:spacing w:line="360" w:lineRule="auto"/>
        <w:jc w:val="left"/>
        <w:rPr>
          <w:rFonts w:ascii="Times New Roman" w:hAnsi="Times New Roman" w:eastAsia="宋体" w:cs="Times New Roman"/>
          <w:sz w:val="24"/>
          <w:szCs w:val="24"/>
        </w:rPr>
      </w:pPr>
      <w:r>
        <w:rPr>
          <w:rFonts w:hint="eastAsia" w:ascii="宋体" w:hAnsi="宋体" w:eastAsia="宋体" w:cs="Times New Roman"/>
          <w:b/>
          <w:sz w:val="28"/>
          <w:szCs w:val="28"/>
        </w:rPr>
        <w:t>二</w:t>
      </w:r>
      <w:r>
        <w:rPr>
          <w:rFonts w:ascii="宋体" w:hAnsi="宋体" w:eastAsia="宋体" w:cs="Times New Roman"/>
          <w:b/>
          <w:sz w:val="28"/>
          <w:szCs w:val="28"/>
        </w:rPr>
        <w:t>、课程目标</w:t>
      </w:r>
    </w:p>
    <w:p w14:paraId="3907776C">
      <w:pPr>
        <w:spacing w:line="360" w:lineRule="auto"/>
        <w:ind w:firstLine="482" w:firstLineChars="200"/>
        <w:rPr>
          <w:rFonts w:hint="eastAsia" w:ascii="宋体" w:hAnsi="宋体" w:eastAsia="宋体" w:cs="Times New Roman"/>
          <w:b/>
          <w:sz w:val="24"/>
          <w:szCs w:val="24"/>
        </w:rPr>
      </w:pPr>
      <w:r>
        <w:rPr>
          <w:rFonts w:hint="eastAsia" w:ascii="宋体" w:hAnsi="宋体" w:eastAsia="宋体" w:cs="Times New Roman"/>
          <w:b/>
          <w:sz w:val="24"/>
          <w:szCs w:val="24"/>
        </w:rPr>
        <w:t>（一）课程具体目标</w:t>
      </w:r>
    </w:p>
    <w:p w14:paraId="6E7D4A37">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目标1. </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理解教育科学研究的价值，懂得通过合作开展教育科学研究的意义，树立正确的教育科研观。</w:t>
      </w:r>
    </w:p>
    <w:p w14:paraId="579513F8">
      <w:pPr>
        <w:autoSpaceDE w:val="0"/>
        <w:autoSpaceDN w:val="0"/>
        <w:adjustRightInd w:val="0"/>
        <w:spacing w:line="360" w:lineRule="auto"/>
        <w:ind w:firstLine="420" w:firstLineChars="200"/>
        <w:jc w:val="left"/>
        <w:rPr>
          <w:rFonts w:hint="eastAsia" w:ascii="宋体" w:hAnsi="宋体" w:eastAsia="宋体" w:cs="Times New Roman"/>
          <w:b/>
          <w:bCs/>
          <w:kern w:val="0"/>
          <w:szCs w:val="21"/>
        </w:rPr>
      </w:pPr>
      <w:r>
        <w:rPr>
          <w:rFonts w:hint="eastAsia" w:ascii="Times New Roman" w:hAnsi="Times New Roman" w:eastAsia="宋体" w:cs="Times New Roman"/>
          <w:kern w:val="0"/>
          <w:szCs w:val="21"/>
        </w:rPr>
        <w:t>目标2. 了解小学教育研究课题的问题来源、研究现状和趋势，熟悉教育研究的过程，能够从中小学情境中选择合适的课题，独立设计教育研究方案。</w:t>
      </w:r>
      <w:r>
        <w:rPr>
          <w:rFonts w:ascii="Times New Roman" w:hAnsi="Times New Roman" w:eastAsia="宋体" w:cs="Times New Roman"/>
          <w:kern w:val="0"/>
          <w:szCs w:val="21"/>
        </w:rPr>
        <w:t xml:space="preserve"> </w:t>
      </w:r>
    </w:p>
    <w:p w14:paraId="0D2BF1D4">
      <w:pPr>
        <w:autoSpaceDE w:val="0"/>
        <w:autoSpaceDN w:val="0"/>
        <w:adjustRightInd w:val="0"/>
        <w:spacing w:line="360" w:lineRule="auto"/>
        <w:ind w:firstLine="420" w:firstLineChars="200"/>
        <w:jc w:val="left"/>
        <w:rPr>
          <w:rFonts w:hint="eastAsia" w:ascii="宋体" w:hAnsi="宋体" w:eastAsia="宋体" w:cs="Times New Roman"/>
          <w:b/>
          <w:bCs/>
          <w:kern w:val="0"/>
          <w:szCs w:val="21"/>
        </w:rPr>
      </w:pPr>
      <w:r>
        <w:rPr>
          <w:rFonts w:hint="eastAsia" w:ascii="Times New Roman" w:hAnsi="Times New Roman" w:eastAsia="宋体" w:cs="Times New Roman"/>
          <w:kern w:val="0"/>
          <w:szCs w:val="21"/>
        </w:rPr>
        <w:t>目标3. 理解各种教育科学研究方法的特征、功能与局限性，能够根据基础教育的实际需要选择、设计和使用研究方法。</w:t>
      </w:r>
      <w:r>
        <w:rPr>
          <w:rFonts w:ascii="Times New Roman" w:hAnsi="Times New Roman" w:eastAsia="宋体" w:cs="Times New Roman"/>
          <w:kern w:val="0"/>
          <w:szCs w:val="21"/>
        </w:rPr>
        <w:t xml:space="preserve"> </w:t>
      </w:r>
    </w:p>
    <w:p w14:paraId="69E91899">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kern w:val="0"/>
          <w:szCs w:val="21"/>
        </w:rPr>
        <w:t>目标4. 了解学术论文的基本结构，初步掌握学术论文的写作方法，能够撰写符合学术规范的论</w:t>
      </w:r>
      <w:r>
        <w:rPr>
          <w:rFonts w:hint="eastAsia" w:ascii="Times New Roman" w:hAnsi="Times New Roman" w:eastAsia="宋体" w:cs="Times New Roman"/>
          <w:szCs w:val="21"/>
        </w:rPr>
        <w:t>文。</w:t>
      </w:r>
    </w:p>
    <w:p w14:paraId="3E7CF961">
      <w:pPr>
        <w:autoSpaceDE w:val="0"/>
        <w:autoSpaceDN w:val="0"/>
        <w:adjustRightInd w:val="0"/>
        <w:spacing w:line="360" w:lineRule="auto"/>
        <w:ind w:firstLine="420" w:firstLineChars="200"/>
        <w:jc w:val="left"/>
        <w:rPr>
          <w:rFonts w:ascii="Times New Roman" w:hAnsi="Times New Roman" w:eastAsia="宋体" w:cs="Times New Roman"/>
          <w:szCs w:val="21"/>
        </w:rPr>
      </w:pPr>
    </w:p>
    <w:p w14:paraId="46B71BBD">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（二）课程目标及其对毕业要求指标点的支撑</w:t>
      </w:r>
    </w:p>
    <w:p w14:paraId="79AFF773">
      <w:pPr>
        <w:spacing w:line="360" w:lineRule="auto"/>
        <w:jc w:val="center"/>
        <w:rPr>
          <w:rFonts w:ascii="Times New Roman" w:hAnsi="Times New Roman" w:eastAsia="宋体" w:cs="Times New Roman"/>
          <w:b/>
          <w:bCs/>
          <w:sz w:val="24"/>
          <w:szCs w:val="24"/>
        </w:rPr>
      </w:pPr>
      <w:bookmarkStart w:id="119" w:name="_Hlk182037875"/>
      <w:r>
        <w:rPr>
          <w:rFonts w:hint="eastAsia" w:ascii="Times New Roman" w:hAnsi="Times New Roman" w:eastAsia="宋体" w:cs="Times New Roman"/>
          <w:b/>
          <w:bCs/>
          <w:sz w:val="24"/>
          <w:szCs w:val="24"/>
        </w:rPr>
        <w:t>表</w:t>
      </w:r>
      <w:r>
        <w:rPr>
          <w:rFonts w:ascii="Times New Roman" w:hAnsi="Times New Roman" w:eastAsia="宋体" w:cs="Times New Roman"/>
          <w:b/>
          <w:bCs/>
          <w:sz w:val="24"/>
          <w:szCs w:val="24"/>
        </w:rPr>
        <w:t xml:space="preserve">1 </w:t>
      </w:r>
      <w:bookmarkEnd w:id="119"/>
      <w:r>
        <w:rPr>
          <w:rFonts w:ascii="Times New Roman" w:hAnsi="Times New Roman" w:eastAsia="宋体" w:cs="Times New Roman"/>
          <w:b/>
          <w:bCs/>
          <w:sz w:val="24"/>
          <w:szCs w:val="24"/>
        </w:rPr>
        <w:t>课程目标及其对毕业要求</w:t>
      </w:r>
      <w:r>
        <w:rPr>
          <w:rFonts w:hint="eastAsia" w:ascii="Times New Roman" w:hAnsi="Times New Roman" w:eastAsia="宋体" w:cs="Times New Roman"/>
          <w:b/>
          <w:bCs/>
          <w:sz w:val="24"/>
          <w:szCs w:val="24"/>
        </w:rPr>
        <w:t>指标</w:t>
      </w:r>
      <w:r>
        <w:rPr>
          <w:rFonts w:ascii="Times New Roman" w:hAnsi="Times New Roman" w:eastAsia="宋体" w:cs="Times New Roman"/>
          <w:b/>
          <w:bCs/>
          <w:sz w:val="24"/>
          <w:szCs w:val="24"/>
        </w:rPr>
        <w:t>点的支撑</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3609"/>
        <w:gridCol w:w="1922"/>
      </w:tblGrid>
      <w:tr w14:paraId="1146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6EB4F62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3609" w:type="dxa"/>
          </w:tcPr>
          <w:p w14:paraId="2F542E4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922" w:type="dxa"/>
          </w:tcPr>
          <w:p w14:paraId="4B803A3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639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restart"/>
            <w:vAlign w:val="center"/>
          </w:tcPr>
          <w:p w14:paraId="5BAE1772">
            <w:pPr>
              <w:spacing w:line="276" w:lineRule="auto"/>
              <w:jc w:val="left"/>
              <w:rPr>
                <w:rFonts w:hint="eastAsia" w:ascii="宋体" w:hAnsi="宋体" w:eastAsia="宋体" w:cs="宋体"/>
                <w:szCs w:val="21"/>
              </w:rPr>
            </w:pPr>
            <w:r>
              <w:rPr>
                <w:rFonts w:hint="eastAsia" w:ascii="宋体" w:hAnsi="宋体" w:eastAsia="宋体" w:cs="宋体"/>
                <w:szCs w:val="21"/>
              </w:rPr>
              <w:t>毕业要求8.沟通合作</w:t>
            </w:r>
          </w:p>
        </w:tc>
        <w:tc>
          <w:tcPr>
            <w:tcW w:w="3609" w:type="dxa"/>
            <w:vMerge w:val="restart"/>
            <w:vAlign w:val="center"/>
          </w:tcPr>
          <w:p w14:paraId="40C65F9C">
            <w:pPr>
              <w:spacing w:line="276" w:lineRule="auto"/>
              <w:jc w:val="left"/>
              <w:rPr>
                <w:rFonts w:hint="eastAsia" w:ascii="宋体" w:hAnsi="宋体" w:eastAsia="宋体" w:cs="Times New Roman"/>
                <w:szCs w:val="21"/>
              </w:rPr>
            </w:pPr>
            <w:r>
              <w:rPr>
                <w:rFonts w:hint="eastAsia" w:ascii="宋体" w:hAnsi="宋体" w:eastAsia="宋体" w:cs="宋体"/>
                <w:szCs w:val="21"/>
              </w:rPr>
              <w:t>指标点</w:t>
            </w:r>
            <w:r>
              <w:rPr>
                <w:rFonts w:ascii="宋体" w:hAnsi="宋体" w:eastAsia="宋体" w:cs="宋体"/>
                <w:szCs w:val="21"/>
              </w:rPr>
              <w:t>8-1：【善于团队合作】理解学习共同体的本质和价值，掌握团队协作的基本策略，在课堂学习与教育实践中获得合作学习体验，形成团队协作精神。</w:t>
            </w:r>
          </w:p>
        </w:tc>
        <w:tc>
          <w:tcPr>
            <w:tcW w:w="1922" w:type="dxa"/>
            <w:vAlign w:val="center"/>
          </w:tcPr>
          <w:p w14:paraId="154EAC6E">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0164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continue"/>
            <w:vAlign w:val="center"/>
          </w:tcPr>
          <w:p w14:paraId="6F97C0A8">
            <w:pPr>
              <w:spacing w:line="276" w:lineRule="auto"/>
              <w:jc w:val="left"/>
              <w:rPr>
                <w:rFonts w:hint="eastAsia" w:ascii="宋体" w:hAnsi="宋体" w:eastAsia="宋体" w:cs="宋体"/>
                <w:szCs w:val="21"/>
              </w:rPr>
            </w:pPr>
          </w:p>
        </w:tc>
        <w:tc>
          <w:tcPr>
            <w:tcW w:w="3609" w:type="dxa"/>
            <w:vMerge w:val="continue"/>
            <w:vAlign w:val="center"/>
          </w:tcPr>
          <w:p w14:paraId="2BC6D8EE">
            <w:pPr>
              <w:spacing w:line="276" w:lineRule="auto"/>
              <w:jc w:val="left"/>
              <w:rPr>
                <w:rFonts w:hint="eastAsia" w:ascii="宋体" w:hAnsi="宋体" w:eastAsia="宋体" w:cs="宋体"/>
                <w:szCs w:val="21"/>
              </w:rPr>
            </w:pPr>
          </w:p>
        </w:tc>
        <w:tc>
          <w:tcPr>
            <w:tcW w:w="1922" w:type="dxa"/>
            <w:vAlign w:val="center"/>
          </w:tcPr>
          <w:p w14:paraId="067CEB85">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r w14:paraId="59F0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restart"/>
            <w:vAlign w:val="center"/>
          </w:tcPr>
          <w:p w14:paraId="7511D6D2">
            <w:pPr>
              <w:pStyle w:val="30"/>
              <w:spacing w:line="276" w:lineRule="auto"/>
              <w:ind w:firstLine="0" w:firstLineChars="0"/>
              <w:rPr>
                <w:rFonts w:hint="eastAsia" w:ascii="宋体" w:hAnsi="宋体" w:cs="宋体"/>
                <w:szCs w:val="21"/>
              </w:rPr>
            </w:pPr>
            <w:r>
              <w:rPr>
                <w:rFonts w:hint="eastAsia" w:ascii="宋体" w:hAnsi="宋体" w:cs="宋体"/>
                <w:szCs w:val="21"/>
              </w:rPr>
              <w:t>毕业要求4.教学能力</w:t>
            </w:r>
          </w:p>
        </w:tc>
        <w:tc>
          <w:tcPr>
            <w:tcW w:w="3609" w:type="dxa"/>
            <w:vMerge w:val="restart"/>
            <w:vAlign w:val="center"/>
          </w:tcPr>
          <w:p w14:paraId="486B23AF">
            <w:pPr>
              <w:pStyle w:val="30"/>
              <w:spacing w:line="276" w:lineRule="auto"/>
              <w:ind w:firstLine="0" w:firstLineChars="0"/>
              <w:jc w:val="left"/>
              <w:rPr>
                <w:rFonts w:hint="eastAsia" w:ascii="宋体" w:hAnsi="宋体" w:cs="宋体"/>
                <w:szCs w:val="21"/>
              </w:rPr>
            </w:pPr>
            <w:r>
              <w:rPr>
                <w:rFonts w:hint="eastAsia" w:ascii="宋体" w:hAnsi="宋体" w:cs="宋体"/>
                <w:szCs w:val="21"/>
              </w:rPr>
              <w:t>指标点</w:t>
            </w:r>
            <w:r>
              <w:rPr>
                <w:rFonts w:ascii="宋体" w:hAnsi="宋体" w:cs="宋体"/>
                <w:szCs w:val="21"/>
              </w:rPr>
              <w:t>4-4：【具备教学研究能力】掌握教育研究的基本方法，在教育教学实践中，结合小学教育教学实践进行研究，具有一定的教学研究能力。</w:t>
            </w:r>
          </w:p>
        </w:tc>
        <w:tc>
          <w:tcPr>
            <w:tcW w:w="1922" w:type="dxa"/>
            <w:vAlign w:val="center"/>
          </w:tcPr>
          <w:p w14:paraId="5144DD72">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7239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continue"/>
            <w:vAlign w:val="center"/>
          </w:tcPr>
          <w:p w14:paraId="6F3ACC54">
            <w:pPr>
              <w:pStyle w:val="30"/>
              <w:spacing w:line="276" w:lineRule="auto"/>
              <w:ind w:firstLine="0" w:firstLineChars="0"/>
              <w:rPr>
                <w:rFonts w:hint="eastAsia" w:ascii="宋体" w:hAnsi="宋体" w:cs="宋体"/>
                <w:szCs w:val="21"/>
              </w:rPr>
            </w:pPr>
          </w:p>
        </w:tc>
        <w:tc>
          <w:tcPr>
            <w:tcW w:w="3609" w:type="dxa"/>
            <w:vMerge w:val="continue"/>
            <w:vAlign w:val="center"/>
          </w:tcPr>
          <w:p w14:paraId="3DBD932C">
            <w:pPr>
              <w:pStyle w:val="30"/>
              <w:spacing w:line="276" w:lineRule="auto"/>
              <w:ind w:firstLine="0" w:firstLineChars="0"/>
              <w:jc w:val="left"/>
              <w:rPr>
                <w:rFonts w:hint="eastAsia" w:ascii="宋体" w:hAnsi="宋体" w:cs="宋体"/>
                <w:szCs w:val="21"/>
              </w:rPr>
            </w:pPr>
          </w:p>
        </w:tc>
        <w:tc>
          <w:tcPr>
            <w:tcW w:w="1922" w:type="dxa"/>
            <w:vAlign w:val="center"/>
          </w:tcPr>
          <w:p w14:paraId="2CC3E51D">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r w14:paraId="6419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restart"/>
            <w:vAlign w:val="center"/>
          </w:tcPr>
          <w:p w14:paraId="1C36679D">
            <w:pPr>
              <w:pStyle w:val="30"/>
              <w:spacing w:line="276" w:lineRule="auto"/>
              <w:ind w:firstLine="0" w:firstLineChars="0"/>
              <w:rPr>
                <w:rFonts w:hint="eastAsia" w:ascii="宋体" w:hAnsi="宋体" w:cs="宋体"/>
                <w:szCs w:val="21"/>
              </w:rPr>
            </w:pPr>
            <w:r>
              <w:rPr>
                <w:rFonts w:hint="eastAsia" w:ascii="宋体" w:hAnsi="宋体" w:cs="宋体"/>
                <w:szCs w:val="21"/>
              </w:rPr>
              <w:t>毕业要求7.学会反思</w:t>
            </w:r>
          </w:p>
        </w:tc>
        <w:tc>
          <w:tcPr>
            <w:tcW w:w="3609" w:type="dxa"/>
            <w:vAlign w:val="center"/>
          </w:tcPr>
          <w:p w14:paraId="6E31B10C">
            <w:pPr>
              <w:pStyle w:val="30"/>
              <w:spacing w:line="276" w:lineRule="auto"/>
              <w:ind w:firstLine="0" w:firstLineChars="0"/>
              <w:jc w:val="left"/>
              <w:rPr>
                <w:rFonts w:hint="eastAsia" w:ascii="宋体" w:hAnsi="宋体" w:cs="宋体"/>
                <w:szCs w:val="21"/>
              </w:rPr>
            </w:pPr>
            <w:r>
              <w:rPr>
                <w:rFonts w:hint="eastAsia" w:ascii="宋体" w:hAnsi="宋体" w:cs="宋体"/>
                <w:szCs w:val="21"/>
              </w:rPr>
              <w:t>指标点</w:t>
            </w:r>
            <w:r>
              <w:rPr>
                <w:rFonts w:ascii="宋体" w:hAnsi="宋体" w:cs="宋体"/>
                <w:szCs w:val="21"/>
              </w:rPr>
              <w:t>7-1：【教育视野开阔】积极关注基础教育领域的国内外交流进展，了解国内外基础教育改革发展的动态，具有宽广的教育视野，能够主动适应新时代和教育发展需求。</w:t>
            </w:r>
          </w:p>
        </w:tc>
        <w:tc>
          <w:tcPr>
            <w:tcW w:w="1922" w:type="dxa"/>
            <w:vAlign w:val="center"/>
          </w:tcPr>
          <w:p w14:paraId="03621059">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tc>
      </w:tr>
      <w:tr w14:paraId="30B1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765" w:type="dxa"/>
            <w:vMerge w:val="continue"/>
            <w:vAlign w:val="center"/>
          </w:tcPr>
          <w:p w14:paraId="51550E62">
            <w:pPr>
              <w:pStyle w:val="30"/>
              <w:spacing w:line="276" w:lineRule="auto"/>
              <w:ind w:firstLine="0" w:firstLineChars="0"/>
              <w:rPr>
                <w:rFonts w:hint="eastAsia" w:ascii="宋体" w:hAnsi="宋体" w:cs="宋体"/>
                <w:szCs w:val="21"/>
              </w:rPr>
            </w:pPr>
          </w:p>
        </w:tc>
        <w:tc>
          <w:tcPr>
            <w:tcW w:w="3609" w:type="dxa"/>
            <w:vMerge w:val="restart"/>
            <w:vAlign w:val="center"/>
          </w:tcPr>
          <w:p w14:paraId="4715B279">
            <w:pPr>
              <w:pStyle w:val="30"/>
              <w:spacing w:line="276" w:lineRule="auto"/>
              <w:ind w:firstLine="0" w:firstLineChars="0"/>
              <w:jc w:val="left"/>
              <w:rPr>
                <w:rFonts w:hint="eastAsia" w:ascii="宋体" w:hAnsi="宋体" w:cs="宋体"/>
                <w:szCs w:val="21"/>
              </w:rPr>
            </w:pPr>
            <w:r>
              <w:rPr>
                <w:rFonts w:hint="eastAsia" w:ascii="宋体" w:hAnsi="宋体" w:cs="宋体"/>
                <w:szCs w:val="21"/>
              </w:rPr>
              <w:t>指标点</w:t>
            </w:r>
            <w:r>
              <w:rPr>
                <w:rFonts w:ascii="宋体" w:hAnsi="宋体" w:cs="宋体"/>
                <w:szCs w:val="21"/>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922" w:type="dxa"/>
            <w:vAlign w:val="center"/>
          </w:tcPr>
          <w:p w14:paraId="266CA2E0">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r w14:paraId="2EC7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765" w:type="dxa"/>
            <w:vMerge w:val="continue"/>
            <w:vAlign w:val="center"/>
          </w:tcPr>
          <w:p w14:paraId="1A043450">
            <w:pPr>
              <w:pStyle w:val="30"/>
              <w:spacing w:line="276" w:lineRule="auto"/>
              <w:ind w:firstLine="0" w:firstLineChars="0"/>
              <w:rPr>
                <w:rFonts w:hint="eastAsia" w:ascii="宋体" w:hAnsi="宋体" w:cs="宋体"/>
                <w:szCs w:val="21"/>
              </w:rPr>
            </w:pPr>
          </w:p>
        </w:tc>
        <w:tc>
          <w:tcPr>
            <w:tcW w:w="3609" w:type="dxa"/>
            <w:vMerge w:val="continue"/>
            <w:vAlign w:val="center"/>
          </w:tcPr>
          <w:p w14:paraId="2E57A0AE">
            <w:pPr>
              <w:pStyle w:val="30"/>
              <w:spacing w:line="276" w:lineRule="auto"/>
              <w:ind w:firstLine="0" w:firstLineChars="0"/>
              <w:jc w:val="left"/>
              <w:rPr>
                <w:rFonts w:hint="eastAsia" w:ascii="宋体" w:hAnsi="宋体" w:cs="宋体"/>
                <w:szCs w:val="21"/>
              </w:rPr>
            </w:pPr>
          </w:p>
        </w:tc>
        <w:tc>
          <w:tcPr>
            <w:tcW w:w="1922" w:type="dxa"/>
            <w:vAlign w:val="center"/>
          </w:tcPr>
          <w:p w14:paraId="72BBEEDA">
            <w:pPr>
              <w:spacing w:line="360" w:lineRule="auto"/>
              <w:jc w:val="left"/>
              <w:rPr>
                <w:rFonts w:hint="eastAsia" w:ascii="宋体" w:hAnsi="宋体" w:eastAsia="宋体" w:cs="宋体"/>
                <w:szCs w:val="21"/>
              </w:rPr>
            </w:pPr>
            <w:r>
              <w:rPr>
                <w:rFonts w:hint="eastAsia" w:ascii="宋体" w:hAnsi="宋体" w:eastAsia="宋体" w:cs="宋体"/>
                <w:szCs w:val="21"/>
              </w:rPr>
              <w:t>课程目标 4</w:t>
            </w:r>
          </w:p>
        </w:tc>
      </w:tr>
    </w:tbl>
    <w:p w14:paraId="477A0C73">
      <w:pPr>
        <w:spacing w:line="360" w:lineRule="auto"/>
        <w:ind w:firstLine="482" w:firstLineChars="200"/>
        <w:rPr>
          <w:rFonts w:hint="eastAsia" w:ascii="宋体" w:hAnsi="宋体" w:eastAsia="宋体" w:cs="Times New Roman"/>
          <w:b/>
          <w:sz w:val="24"/>
          <w:szCs w:val="28"/>
        </w:rPr>
      </w:pPr>
    </w:p>
    <w:p w14:paraId="25085753">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（三）课程思政目标</w:t>
      </w:r>
    </w:p>
    <w:p w14:paraId="57E8E27D">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学生在扎实掌握教育科学研究方法的基础上，践行社会主义核心价值观，认同中国特色社会主义，坚持“立德树人”，树立正确的世界观、价值观和人生观，形成正确的学术观、科研观和儿童观，学会发现、分析和解决人民群众关心的基础教育热点与难点问题。立志成为有理想信念、有道德情操、有扎实学习、有仁爱之心的新时代大国良师。</w:t>
      </w:r>
    </w:p>
    <w:p w14:paraId="31863A62">
      <w:pPr>
        <w:spacing w:line="360" w:lineRule="auto"/>
        <w:jc w:val="left"/>
        <w:rPr>
          <w:rFonts w:hint="eastAsia" w:ascii="宋体" w:hAnsi="宋体" w:eastAsia="宋体" w:cs="Times New Roman"/>
          <w:b/>
          <w:sz w:val="24"/>
          <w:szCs w:val="24"/>
        </w:rPr>
      </w:pPr>
    </w:p>
    <w:p w14:paraId="27A39E3E">
      <w:pPr>
        <w:spacing w:line="360" w:lineRule="auto"/>
        <w:jc w:val="left"/>
        <w:rPr>
          <w:rFonts w:hint="eastAsia" w:ascii="宋体" w:hAnsi="宋体" w:eastAsia="宋体" w:cs="Times New Roman"/>
          <w:b/>
          <w:sz w:val="24"/>
          <w:szCs w:val="24"/>
        </w:rPr>
      </w:pPr>
      <w:r>
        <w:rPr>
          <w:rFonts w:hint="eastAsia" w:ascii="宋体" w:hAnsi="宋体" w:eastAsia="宋体" w:cs="Times New Roman"/>
          <w:b/>
          <w:sz w:val="24"/>
          <w:szCs w:val="24"/>
        </w:rPr>
        <w:t>三、教学内容与预期学习成效</w:t>
      </w:r>
    </w:p>
    <w:p w14:paraId="4AFA81BF">
      <w:pPr>
        <w:spacing w:line="360" w:lineRule="auto"/>
        <w:jc w:val="left"/>
        <w:rPr>
          <w:rFonts w:hint="eastAsia" w:ascii="宋体" w:hAnsi="宋体" w:eastAsia="宋体" w:cs="Times New Roman"/>
          <w:szCs w:val="21"/>
        </w:rPr>
      </w:pPr>
      <w:r>
        <w:rPr>
          <w:rFonts w:hint="eastAsia" w:ascii="宋体" w:hAnsi="宋体" w:eastAsia="宋体" w:cs="Times New Roman"/>
          <w:b/>
          <w:sz w:val="24"/>
          <w:szCs w:val="24"/>
        </w:rPr>
        <w:t xml:space="preserve"> </w:t>
      </w:r>
      <w:r>
        <w:rPr>
          <w:rFonts w:ascii="宋体" w:hAnsi="宋体" w:eastAsia="宋体" w:cs="Times New Roman"/>
          <w:b/>
          <w:sz w:val="24"/>
          <w:szCs w:val="24"/>
        </w:rPr>
        <w:t xml:space="preserve">  </w:t>
      </w:r>
      <w:r>
        <w:rPr>
          <w:rFonts w:hint="eastAsia" w:ascii="宋体" w:hAnsi="宋体" w:eastAsia="宋体" w:cs="Times New Roman"/>
          <w:szCs w:val="21"/>
        </w:rPr>
        <w:t>本课程主要教学内容及学生预期学习成效见表2。</w:t>
      </w:r>
    </w:p>
    <w:p w14:paraId="07505255">
      <w:pPr>
        <w:spacing w:line="360" w:lineRule="auto"/>
        <w:ind w:firstLine="1928" w:firstLineChars="800"/>
        <w:jc w:val="left"/>
        <w:rPr>
          <w:rFonts w:hint="eastAsia" w:ascii="宋体" w:hAnsi="宋体" w:eastAsia="宋体" w:cs="Times New Roman"/>
          <w:b/>
          <w:sz w:val="24"/>
          <w:szCs w:val="24"/>
        </w:rPr>
      </w:pPr>
      <w:r>
        <w:rPr>
          <w:rFonts w:hint="eastAsia" w:ascii="宋体" w:hAnsi="宋体" w:eastAsia="宋体" w:cs="Times New Roman"/>
          <w:b/>
          <w:sz w:val="24"/>
          <w:szCs w:val="24"/>
        </w:rPr>
        <w:t>表</w:t>
      </w:r>
      <w:r>
        <w:rPr>
          <w:rFonts w:ascii="宋体" w:hAnsi="宋体" w:eastAsia="宋体" w:cs="Times New Roman"/>
          <w:b/>
          <w:sz w:val="24"/>
          <w:szCs w:val="24"/>
        </w:rPr>
        <w:t xml:space="preserve">2   </w:t>
      </w:r>
      <w:r>
        <w:rPr>
          <w:rFonts w:hint="eastAsia" w:ascii="宋体" w:hAnsi="宋体" w:eastAsia="宋体" w:cs="Times New Roman"/>
          <w:b/>
          <w:sz w:val="24"/>
          <w:szCs w:val="24"/>
        </w:rPr>
        <w:t>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326"/>
        <w:gridCol w:w="1276"/>
        <w:gridCol w:w="656"/>
      </w:tblGrid>
      <w:tr w14:paraId="74E3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F734778">
            <w:pPr>
              <w:jc w:val="center"/>
              <w:rPr>
                <w:rFonts w:hint="eastAsia" w:ascii="宋体" w:hAnsi="宋体" w:eastAsia="宋体" w:cs="Times New Roman"/>
                <w:b/>
                <w:szCs w:val="21"/>
              </w:rPr>
            </w:pPr>
            <w:r>
              <w:rPr>
                <w:rFonts w:hint="eastAsia" w:ascii="宋体" w:hAnsi="宋体" w:eastAsia="宋体" w:cs="Times New Roman"/>
                <w:b/>
                <w:szCs w:val="21"/>
              </w:rPr>
              <w:t>知识</w:t>
            </w:r>
          </w:p>
          <w:p w14:paraId="74899018">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5C69F030">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67304ADC">
            <w:pPr>
              <w:jc w:val="center"/>
              <w:rPr>
                <w:rFonts w:hint="eastAsia" w:ascii="宋体" w:hAnsi="宋体" w:eastAsia="宋体" w:cs="Times New Roman"/>
                <w:b/>
                <w:szCs w:val="21"/>
              </w:rPr>
            </w:pPr>
            <w:r>
              <w:rPr>
                <w:rFonts w:hint="eastAsia" w:ascii="宋体" w:hAnsi="宋体" w:eastAsia="宋体" w:cs="Times New Roman"/>
                <w:b/>
                <w:szCs w:val="21"/>
              </w:rPr>
              <w:t>对应</w:t>
            </w:r>
          </w:p>
          <w:p w14:paraId="42B4C991">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326" w:type="dxa"/>
            <w:vAlign w:val="center"/>
          </w:tcPr>
          <w:p w14:paraId="2CA58BE1">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276" w:type="dxa"/>
            <w:vAlign w:val="center"/>
          </w:tcPr>
          <w:p w14:paraId="65F40629">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656" w:type="dxa"/>
            <w:vAlign w:val="center"/>
          </w:tcPr>
          <w:p w14:paraId="5D9D416A">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6012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071A24E">
            <w:pPr>
              <w:spacing w:line="264"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教育科学研究概述</w:t>
            </w:r>
          </w:p>
        </w:tc>
        <w:tc>
          <w:tcPr>
            <w:tcW w:w="1701" w:type="dxa"/>
            <w:vAlign w:val="center"/>
          </w:tcPr>
          <w:p w14:paraId="326C7350">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教育科学研究的涵义、特征和意义</w:t>
            </w:r>
          </w:p>
          <w:p w14:paraId="059089E6">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教育科学研究的类型及其发展趋势</w:t>
            </w:r>
          </w:p>
          <w:p w14:paraId="1506FB1F">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教育学科研究中学术规范与伦理问题</w:t>
            </w:r>
          </w:p>
          <w:p w14:paraId="47DCA170">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学习教育科学研究的方法</w:t>
            </w:r>
          </w:p>
        </w:tc>
        <w:tc>
          <w:tcPr>
            <w:tcW w:w="1134" w:type="dxa"/>
            <w:vAlign w:val="center"/>
          </w:tcPr>
          <w:p w14:paraId="762A22F8">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326" w:type="dxa"/>
            <w:vAlign w:val="center"/>
          </w:tcPr>
          <w:p w14:paraId="498C89C4">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理解教育科学研究的涵义、特征和意义；</w:t>
            </w:r>
          </w:p>
          <w:p w14:paraId="2F8DFFD7">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熟悉教育科学研究方法的类型及其发展趋势；</w:t>
            </w:r>
          </w:p>
          <w:p w14:paraId="759CBA90">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了解教育科学研究中的学术规范与伦理问题，树立正确的学术观和价值观；</w:t>
            </w:r>
          </w:p>
          <w:p w14:paraId="18AE0FE4">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掌握正确的学习教育研究的方法，立志投身教育科学研究。</w:t>
            </w:r>
          </w:p>
        </w:tc>
        <w:tc>
          <w:tcPr>
            <w:tcW w:w="1276" w:type="dxa"/>
            <w:vAlign w:val="center"/>
          </w:tcPr>
          <w:p w14:paraId="68A44EC1">
            <w:pPr>
              <w:spacing w:line="269"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026E3369">
            <w:pPr>
              <w:spacing w:line="269" w:lineRule="auto"/>
              <w:jc w:val="left"/>
              <w:rPr>
                <w:rFonts w:hint="eastAsia" w:ascii="宋体" w:hAnsi="宋体" w:eastAsia="宋体" w:cs="Times New Roman"/>
                <w:szCs w:val="21"/>
              </w:rPr>
            </w:pPr>
            <w:r>
              <w:rPr>
                <w:rFonts w:hint="eastAsia" w:ascii="宋体" w:hAnsi="宋体" w:eastAsia="宋体" w:cs="Times New Roman"/>
                <w:szCs w:val="21"/>
              </w:rPr>
              <w:t>多媒体教学</w:t>
            </w:r>
          </w:p>
          <w:p w14:paraId="58B6E8D5">
            <w:pPr>
              <w:spacing w:line="269"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7C0F1B3B">
            <w:pPr>
              <w:spacing w:line="269" w:lineRule="auto"/>
              <w:jc w:val="left"/>
              <w:rPr>
                <w:rFonts w:hint="eastAsia" w:ascii="宋体" w:hAnsi="宋体" w:eastAsia="宋体" w:cs="Times New Roman"/>
                <w:szCs w:val="21"/>
              </w:rPr>
            </w:pPr>
            <w:r>
              <w:rPr>
                <w:rFonts w:hint="eastAsia" w:ascii="宋体" w:hAnsi="宋体" w:eastAsia="宋体" w:cs="Times New Roman"/>
                <w:szCs w:val="21"/>
              </w:rPr>
              <w:t>在线测试</w:t>
            </w:r>
          </w:p>
        </w:tc>
        <w:tc>
          <w:tcPr>
            <w:tcW w:w="656" w:type="dxa"/>
            <w:vAlign w:val="center"/>
          </w:tcPr>
          <w:p w14:paraId="6A948DD5">
            <w:pPr>
              <w:spacing w:line="269" w:lineRule="auto"/>
              <w:jc w:val="center"/>
              <w:rPr>
                <w:rFonts w:hint="eastAsia" w:ascii="宋体" w:hAnsi="宋体" w:eastAsia="宋体" w:cs="Times New Roman"/>
                <w:szCs w:val="21"/>
              </w:rPr>
            </w:pPr>
            <w:r>
              <w:rPr>
                <w:rFonts w:ascii="宋体" w:hAnsi="宋体" w:eastAsia="宋体" w:cs="Times New Roman"/>
                <w:szCs w:val="21"/>
              </w:rPr>
              <w:t>2</w:t>
            </w:r>
          </w:p>
        </w:tc>
      </w:tr>
      <w:tr w14:paraId="4EA5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123D00C">
            <w:pPr>
              <w:spacing w:line="264" w:lineRule="auto"/>
              <w:jc w:val="center"/>
              <w:rPr>
                <w:rFonts w:hint="eastAsia" w:ascii="宋体" w:hAnsi="宋体" w:eastAsia="宋体" w:cs="Times New Roman"/>
                <w:szCs w:val="21"/>
              </w:rPr>
            </w:pPr>
          </w:p>
        </w:tc>
        <w:tc>
          <w:tcPr>
            <w:tcW w:w="8093" w:type="dxa"/>
            <w:gridSpan w:val="5"/>
            <w:vAlign w:val="center"/>
          </w:tcPr>
          <w:p w14:paraId="45F121AB">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bookmarkStart w:id="120" w:name="_Hlk182024262"/>
            <w:r>
              <w:rPr>
                <w:rFonts w:hint="eastAsia" w:ascii="宋体" w:hAnsi="宋体" w:eastAsia="宋体" w:cs="Times New Roman"/>
                <w:szCs w:val="21"/>
              </w:rPr>
              <w:t>坚持马克思主义的唯物史观，全面正确理解教育研究的本质；以习近平总书记关于教育工作的重要论述为指导，理解基础教育科学研究的价值和意义；坚持“立德树人”，树立正确的世界观、价值观和人生观，形成正确的科研观。</w:t>
            </w:r>
            <w:bookmarkEnd w:id="120"/>
          </w:p>
        </w:tc>
      </w:tr>
      <w:tr w14:paraId="7709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EB6BE0">
            <w:pPr>
              <w:spacing w:line="264" w:lineRule="auto"/>
              <w:jc w:val="center"/>
              <w:rPr>
                <w:rFonts w:hint="eastAsia" w:ascii="宋体" w:hAnsi="宋体" w:eastAsia="宋体" w:cs="Times New Roman"/>
                <w:szCs w:val="21"/>
              </w:rPr>
            </w:pPr>
            <w:r>
              <w:rPr>
                <w:rFonts w:hint="eastAsia" w:ascii="宋体" w:hAnsi="宋体" w:eastAsia="宋体" w:cs="Times New Roman"/>
                <w:szCs w:val="21"/>
              </w:rPr>
              <w:t>2.</w:t>
            </w:r>
            <w:r>
              <w:rPr>
                <w:rFonts w:hint="eastAsia"/>
              </w:rPr>
              <w:t xml:space="preserve"> </w:t>
            </w:r>
            <w:r>
              <w:rPr>
                <w:rFonts w:hint="eastAsia" w:ascii="宋体" w:hAnsi="宋体" w:eastAsia="宋体" w:cs="Times New Roman"/>
                <w:szCs w:val="21"/>
              </w:rPr>
              <w:t>教育研究选题与设计</w:t>
            </w:r>
          </w:p>
        </w:tc>
        <w:tc>
          <w:tcPr>
            <w:tcW w:w="1701" w:type="dxa"/>
            <w:vAlign w:val="center"/>
          </w:tcPr>
          <w:p w14:paraId="2E964B0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1）教育研究课题的问题来源</w:t>
            </w:r>
          </w:p>
          <w:p w14:paraId="56C9903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2）教育研究选题的评价</w:t>
            </w:r>
          </w:p>
          <w:p w14:paraId="0DAEF9D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3）教育研究选题策略</w:t>
            </w:r>
          </w:p>
          <w:p w14:paraId="0CB418E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4）教育研究方案设计</w:t>
            </w:r>
          </w:p>
          <w:p w14:paraId="742C47A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5）毕业论文开题报告</w:t>
            </w:r>
          </w:p>
        </w:tc>
        <w:tc>
          <w:tcPr>
            <w:tcW w:w="1134" w:type="dxa"/>
            <w:vAlign w:val="center"/>
          </w:tcPr>
          <w:p w14:paraId="61C5EDE4">
            <w:pPr>
              <w:jc w:val="center"/>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2</w:t>
            </w:r>
          </w:p>
        </w:tc>
        <w:tc>
          <w:tcPr>
            <w:tcW w:w="3326" w:type="dxa"/>
            <w:vAlign w:val="center"/>
          </w:tcPr>
          <w:p w14:paraId="0144396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1）了解教育研究课题的问题来源；</w:t>
            </w:r>
          </w:p>
          <w:p w14:paraId="315A8AF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2）理解教育研究选题的评价要求；</w:t>
            </w:r>
          </w:p>
          <w:p w14:paraId="799122A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3）学会清楚、明确地表述所研究的问题；</w:t>
            </w:r>
          </w:p>
          <w:p w14:paraId="4FEC5E7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4）能够设计简单的教育研究方案；</w:t>
            </w:r>
          </w:p>
          <w:p w14:paraId="39F0D70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5）学会撰写毕业论文开题报告。</w:t>
            </w:r>
          </w:p>
        </w:tc>
        <w:tc>
          <w:tcPr>
            <w:tcW w:w="1276" w:type="dxa"/>
            <w:vAlign w:val="center"/>
          </w:tcPr>
          <w:p w14:paraId="6775A1D9">
            <w:pPr>
              <w:spacing w:line="269"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26CEE32A">
            <w:pPr>
              <w:spacing w:line="269"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69ED9A39">
            <w:pPr>
              <w:spacing w:line="269"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5B425FFC">
            <w:pPr>
              <w:spacing w:line="269"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1C693A3D">
            <w:pPr>
              <w:spacing w:line="269" w:lineRule="auto"/>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0BEBFB06">
            <w:pPr>
              <w:spacing w:line="269" w:lineRule="auto"/>
              <w:jc w:val="center"/>
              <w:rPr>
                <w:rFonts w:hint="eastAsia" w:ascii="宋体" w:hAnsi="宋体" w:eastAsia="宋体" w:cs="Times New Roman"/>
                <w:szCs w:val="21"/>
              </w:rPr>
            </w:pPr>
            <w:r>
              <w:rPr>
                <w:rFonts w:ascii="宋体" w:hAnsi="宋体" w:eastAsia="宋体" w:cs="Times New Roman"/>
                <w:szCs w:val="21"/>
              </w:rPr>
              <w:t>6</w:t>
            </w:r>
          </w:p>
        </w:tc>
      </w:tr>
      <w:tr w14:paraId="1694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CF94B7D">
            <w:pPr>
              <w:spacing w:line="264" w:lineRule="auto"/>
              <w:jc w:val="center"/>
              <w:rPr>
                <w:rFonts w:hint="eastAsia" w:ascii="宋体" w:hAnsi="宋体" w:eastAsia="宋体" w:cs="Times New Roman"/>
                <w:szCs w:val="21"/>
              </w:rPr>
            </w:pPr>
          </w:p>
        </w:tc>
        <w:tc>
          <w:tcPr>
            <w:tcW w:w="8093" w:type="dxa"/>
            <w:gridSpan w:val="5"/>
            <w:vAlign w:val="center"/>
          </w:tcPr>
          <w:p w14:paraId="12D1D2E7">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培养学生坚持真理、热爱科学、实事求是的品格，形成正确的学术观、科研观；热爱中小学教育，理解基础教育改革的意义，</w:t>
            </w:r>
            <w:bookmarkStart w:id="121" w:name="_Hlk182024397"/>
            <w:r>
              <w:rPr>
                <w:rFonts w:hint="eastAsia" w:ascii="宋体" w:hAnsi="宋体" w:eastAsia="宋体" w:cs="Times New Roman"/>
                <w:szCs w:val="21"/>
              </w:rPr>
              <w:t>具有一定的创新意识，学会发现和分析人民群众关心的基础教育热点与难点问题。</w:t>
            </w:r>
            <w:bookmarkEnd w:id="121"/>
          </w:p>
        </w:tc>
      </w:tr>
      <w:tr w14:paraId="4174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1140117">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r>
              <w:rPr>
                <w:rFonts w:hint="eastAsia"/>
              </w:rPr>
              <w:t xml:space="preserve"> </w:t>
            </w:r>
            <w:r>
              <w:rPr>
                <w:rFonts w:hint="eastAsia" w:ascii="宋体" w:hAnsi="宋体" w:eastAsia="宋体" w:cs="Times New Roman"/>
                <w:szCs w:val="21"/>
              </w:rPr>
              <w:t>文献检索与综述</w:t>
            </w:r>
          </w:p>
        </w:tc>
        <w:tc>
          <w:tcPr>
            <w:tcW w:w="1701" w:type="dxa"/>
            <w:vAlign w:val="center"/>
          </w:tcPr>
          <w:p w14:paraId="577ABD3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1）文献及其作用</w:t>
            </w:r>
          </w:p>
          <w:p w14:paraId="1AB9324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2）教育文献检索</w:t>
            </w:r>
          </w:p>
          <w:p w14:paraId="4DCBBFF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3）教育文献的整理</w:t>
            </w:r>
          </w:p>
          <w:p w14:paraId="1C8F3FB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4）文献综述</w:t>
            </w:r>
          </w:p>
        </w:tc>
        <w:tc>
          <w:tcPr>
            <w:tcW w:w="1134" w:type="dxa"/>
            <w:vAlign w:val="center"/>
          </w:tcPr>
          <w:p w14:paraId="3E8C2E0A">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3326" w:type="dxa"/>
            <w:vAlign w:val="center"/>
          </w:tcPr>
          <w:p w14:paraId="22CF185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1）掌握文献检索与文献综述的基本知识；</w:t>
            </w:r>
          </w:p>
          <w:p w14:paraId="7DE4975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2）了解文献在教育研究中的作用；</w:t>
            </w:r>
          </w:p>
          <w:p w14:paraId="458FD6F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3）学会使用常用的文献检索方法；</w:t>
            </w:r>
          </w:p>
          <w:p w14:paraId="3A3708F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4）学会撰写简单的文献综述。</w:t>
            </w:r>
          </w:p>
        </w:tc>
        <w:tc>
          <w:tcPr>
            <w:tcW w:w="1276" w:type="dxa"/>
            <w:vAlign w:val="center"/>
          </w:tcPr>
          <w:p w14:paraId="6C5FC4E5">
            <w:pPr>
              <w:jc w:val="left"/>
              <w:rPr>
                <w:rFonts w:hint="eastAsia" w:ascii="宋体" w:hAnsi="宋体" w:eastAsia="宋体" w:cs="Times New Roman"/>
                <w:szCs w:val="21"/>
              </w:rPr>
            </w:pPr>
            <w:r>
              <w:rPr>
                <w:rFonts w:hint="eastAsia" w:ascii="宋体" w:hAnsi="宋体" w:eastAsia="宋体" w:cs="Times New Roman"/>
                <w:szCs w:val="21"/>
              </w:rPr>
              <w:t>自主学习</w:t>
            </w:r>
          </w:p>
          <w:p w14:paraId="311164E0">
            <w:pPr>
              <w:jc w:val="left"/>
              <w:rPr>
                <w:rFonts w:hint="eastAsia" w:ascii="宋体" w:hAnsi="宋体" w:eastAsia="宋体" w:cs="Times New Roman"/>
                <w:szCs w:val="21"/>
              </w:rPr>
            </w:pPr>
            <w:r>
              <w:rPr>
                <w:rFonts w:hint="eastAsia" w:ascii="宋体" w:hAnsi="宋体" w:eastAsia="宋体" w:cs="Times New Roman"/>
                <w:szCs w:val="21"/>
              </w:rPr>
              <w:t>案例教学</w:t>
            </w:r>
          </w:p>
          <w:p w14:paraId="0357BD92">
            <w:pPr>
              <w:jc w:val="left"/>
              <w:rPr>
                <w:rFonts w:hint="eastAsia" w:ascii="宋体" w:hAnsi="宋体" w:eastAsia="宋体" w:cs="Times New Roman"/>
                <w:szCs w:val="21"/>
              </w:rPr>
            </w:pPr>
            <w:r>
              <w:rPr>
                <w:rFonts w:hint="eastAsia" w:ascii="宋体" w:hAnsi="宋体" w:eastAsia="宋体" w:cs="Times New Roman"/>
                <w:szCs w:val="21"/>
              </w:rPr>
              <w:t>课堂讨论</w:t>
            </w:r>
          </w:p>
          <w:p w14:paraId="5810357F">
            <w:pPr>
              <w:jc w:val="left"/>
              <w:rPr>
                <w:rFonts w:hint="eastAsia" w:ascii="宋体" w:hAnsi="宋体" w:eastAsia="宋体" w:cs="Times New Roman"/>
                <w:szCs w:val="21"/>
              </w:rPr>
            </w:pPr>
            <w:r>
              <w:rPr>
                <w:rFonts w:hint="eastAsia" w:ascii="宋体" w:hAnsi="宋体" w:eastAsia="宋体" w:cs="Times New Roman"/>
                <w:szCs w:val="21"/>
              </w:rPr>
              <w:t>在线测试</w:t>
            </w:r>
          </w:p>
          <w:p w14:paraId="00E13078">
            <w:pPr>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5A0D0B36">
            <w:pPr>
              <w:jc w:val="center"/>
              <w:rPr>
                <w:rFonts w:hint="eastAsia" w:ascii="宋体" w:hAnsi="宋体" w:eastAsia="宋体" w:cs="Times New Roman"/>
                <w:szCs w:val="21"/>
              </w:rPr>
            </w:pPr>
            <w:r>
              <w:rPr>
                <w:rFonts w:ascii="宋体" w:hAnsi="宋体" w:eastAsia="宋体" w:cs="Times New Roman"/>
                <w:szCs w:val="21"/>
              </w:rPr>
              <w:t>6</w:t>
            </w:r>
          </w:p>
        </w:tc>
      </w:tr>
      <w:tr w14:paraId="1361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B9CAA73">
            <w:pPr>
              <w:spacing w:line="264" w:lineRule="auto"/>
              <w:jc w:val="center"/>
              <w:rPr>
                <w:rFonts w:hint="eastAsia" w:ascii="宋体" w:hAnsi="宋体" w:eastAsia="宋体" w:cs="Times New Roman"/>
                <w:szCs w:val="21"/>
              </w:rPr>
            </w:pPr>
          </w:p>
        </w:tc>
        <w:tc>
          <w:tcPr>
            <w:tcW w:w="8093" w:type="dxa"/>
            <w:gridSpan w:val="5"/>
            <w:vAlign w:val="center"/>
          </w:tcPr>
          <w:p w14:paraId="6443AD6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通过对国内外教育研究现状的全面梳理，增强对我国基础教育改革取得伟大成就的自豪感，培养投身基础教育科学研究的责任感和使命感；形成诚信务实、脚踏实地、实事求是的科研素养。</w:t>
            </w:r>
          </w:p>
        </w:tc>
      </w:tr>
      <w:tr w14:paraId="0CB0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54F9D7D">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 xml:space="preserve"> </w:t>
            </w:r>
            <w:r>
              <w:rPr>
                <w:rFonts w:hint="eastAsia" w:ascii="宋体" w:hAnsi="宋体" w:eastAsia="宋体" w:cs="Times New Roman"/>
                <w:szCs w:val="21"/>
              </w:rPr>
              <w:t>教育调查研究</w:t>
            </w:r>
          </w:p>
        </w:tc>
        <w:tc>
          <w:tcPr>
            <w:tcW w:w="1701" w:type="dxa"/>
            <w:vAlign w:val="center"/>
          </w:tcPr>
          <w:p w14:paraId="2A597F88">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1）调查研究的主要步骤</w:t>
            </w:r>
          </w:p>
          <w:p w14:paraId="467E43F2">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2）问卷法</w:t>
            </w:r>
          </w:p>
          <w:p w14:paraId="750175F3">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3）访谈法</w:t>
            </w:r>
          </w:p>
          <w:p w14:paraId="5416DFB7">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4）观察法</w:t>
            </w:r>
          </w:p>
          <w:p w14:paraId="0C9153D0">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5）调查抽样</w:t>
            </w:r>
          </w:p>
        </w:tc>
        <w:tc>
          <w:tcPr>
            <w:tcW w:w="1134" w:type="dxa"/>
            <w:vAlign w:val="center"/>
          </w:tcPr>
          <w:p w14:paraId="3E490E5B">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3</w:t>
            </w:r>
          </w:p>
        </w:tc>
        <w:tc>
          <w:tcPr>
            <w:tcW w:w="3326" w:type="dxa"/>
            <w:vAlign w:val="center"/>
          </w:tcPr>
          <w:p w14:paraId="13B890F4">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1）明确调查研究的涵义；</w:t>
            </w:r>
          </w:p>
          <w:p w14:paraId="2A9D9697">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2）理解问卷法、访谈法、观察法的优缺点；</w:t>
            </w:r>
          </w:p>
          <w:p w14:paraId="7AA6F04D">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3）学会设计简单的问卷、访谈提纲、观察记录表；</w:t>
            </w:r>
          </w:p>
          <w:p w14:paraId="715DA4D1">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4）了解抽样的主要方法。</w:t>
            </w:r>
          </w:p>
        </w:tc>
        <w:tc>
          <w:tcPr>
            <w:tcW w:w="1276" w:type="dxa"/>
            <w:vAlign w:val="center"/>
          </w:tcPr>
          <w:p w14:paraId="3088E707">
            <w:pPr>
              <w:spacing w:line="276"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0F13D030">
            <w:pPr>
              <w:spacing w:line="276"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06267059">
            <w:pPr>
              <w:spacing w:line="276"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0BB0AE92">
            <w:pPr>
              <w:spacing w:line="276"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1425DF46">
            <w:pPr>
              <w:spacing w:line="276" w:lineRule="auto"/>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0BF337CE">
            <w:pPr>
              <w:spacing w:line="276" w:lineRule="auto"/>
              <w:jc w:val="center"/>
              <w:rPr>
                <w:rFonts w:hint="eastAsia" w:ascii="宋体" w:hAnsi="宋体" w:eastAsia="宋体" w:cs="Times New Roman"/>
                <w:szCs w:val="21"/>
              </w:rPr>
            </w:pPr>
            <w:r>
              <w:rPr>
                <w:rFonts w:ascii="宋体" w:hAnsi="宋体" w:eastAsia="宋体" w:cs="Times New Roman"/>
                <w:szCs w:val="21"/>
              </w:rPr>
              <w:t>6</w:t>
            </w:r>
          </w:p>
        </w:tc>
      </w:tr>
      <w:tr w14:paraId="456F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D801858">
            <w:pPr>
              <w:spacing w:line="276" w:lineRule="auto"/>
              <w:jc w:val="center"/>
              <w:rPr>
                <w:rFonts w:hint="eastAsia" w:ascii="宋体" w:hAnsi="宋体" w:eastAsia="宋体" w:cs="Times New Roman"/>
                <w:szCs w:val="21"/>
              </w:rPr>
            </w:pPr>
          </w:p>
        </w:tc>
        <w:tc>
          <w:tcPr>
            <w:tcW w:w="8093" w:type="dxa"/>
            <w:gridSpan w:val="5"/>
            <w:vAlign w:val="center"/>
          </w:tcPr>
          <w:p w14:paraId="6632C9AC">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以马克思主义的方法论为指导，培养学生诚信务实、脚踏实地、实事求是的科研素养。</w:t>
            </w:r>
          </w:p>
        </w:tc>
      </w:tr>
      <w:tr w14:paraId="4317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16F9EB">
            <w:pPr>
              <w:spacing w:line="276" w:lineRule="auto"/>
              <w:jc w:val="center"/>
              <w:rPr>
                <w:rFonts w:hint="eastAsia" w:ascii="宋体" w:hAnsi="宋体" w:eastAsia="宋体" w:cs="Times New Roman"/>
                <w:szCs w:val="21"/>
              </w:rPr>
            </w:pPr>
            <w:r>
              <w:rPr>
                <w:rFonts w:hint="eastAsia" w:ascii="宋体" w:hAnsi="宋体" w:eastAsia="宋体" w:cs="Times New Roman"/>
                <w:szCs w:val="21"/>
              </w:rPr>
              <w:t>5. 教育个案研究</w:t>
            </w:r>
          </w:p>
        </w:tc>
        <w:tc>
          <w:tcPr>
            <w:tcW w:w="1701" w:type="dxa"/>
            <w:vAlign w:val="center"/>
          </w:tcPr>
          <w:p w14:paraId="487EA1EF">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1）个案研究</w:t>
            </w:r>
            <w:r>
              <w:rPr>
                <w:rFonts w:hint="eastAsia" w:ascii="宋体" w:hAnsi="宋体" w:eastAsia="宋体" w:cs="Times New Roman"/>
                <w:szCs w:val="21"/>
              </w:rPr>
              <w:t>的含义</w:t>
            </w:r>
          </w:p>
          <w:p w14:paraId="3D17278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2）个案研究的步骤</w:t>
            </w:r>
          </w:p>
          <w:p w14:paraId="3C53B6B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3）个案研究的方法</w:t>
            </w:r>
          </w:p>
        </w:tc>
        <w:tc>
          <w:tcPr>
            <w:tcW w:w="1134" w:type="dxa"/>
            <w:vAlign w:val="center"/>
          </w:tcPr>
          <w:p w14:paraId="72945F91">
            <w:pPr>
              <w:jc w:val="center"/>
              <w:rPr>
                <w:rFonts w:hint="eastAsia"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3326" w:type="dxa"/>
            <w:vAlign w:val="center"/>
          </w:tcPr>
          <w:p w14:paraId="41233184">
            <w:pPr>
              <w:jc w:val="left"/>
              <w:rPr>
                <w:rFonts w:hint="eastAsia"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1）理解个案研究的涵义和特点；</w:t>
            </w:r>
          </w:p>
          <w:p w14:paraId="7E2F67E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2）掌握个案研究的步骤；了解个案研究的主要方法；</w:t>
            </w:r>
          </w:p>
          <w:p w14:paraId="7BB1BF5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3）初步尝试个案研究的方案设计。</w:t>
            </w:r>
          </w:p>
        </w:tc>
        <w:tc>
          <w:tcPr>
            <w:tcW w:w="1276" w:type="dxa"/>
            <w:vAlign w:val="center"/>
          </w:tcPr>
          <w:p w14:paraId="6D055B78">
            <w:pPr>
              <w:jc w:val="left"/>
              <w:rPr>
                <w:rFonts w:hint="eastAsia" w:ascii="宋体" w:hAnsi="宋体" w:eastAsia="宋体" w:cs="Times New Roman"/>
                <w:szCs w:val="21"/>
              </w:rPr>
            </w:pPr>
            <w:r>
              <w:rPr>
                <w:rFonts w:hint="eastAsia" w:ascii="宋体" w:hAnsi="宋体" w:eastAsia="宋体" w:cs="Times New Roman"/>
                <w:szCs w:val="21"/>
              </w:rPr>
              <w:t>自主学习</w:t>
            </w:r>
          </w:p>
          <w:p w14:paraId="0192EABB">
            <w:pPr>
              <w:jc w:val="left"/>
              <w:rPr>
                <w:rFonts w:hint="eastAsia" w:ascii="宋体" w:hAnsi="宋体" w:eastAsia="宋体" w:cs="Times New Roman"/>
                <w:szCs w:val="21"/>
              </w:rPr>
            </w:pPr>
            <w:r>
              <w:rPr>
                <w:rFonts w:hint="eastAsia" w:ascii="宋体" w:hAnsi="宋体" w:eastAsia="宋体" w:cs="Times New Roman"/>
                <w:szCs w:val="21"/>
              </w:rPr>
              <w:t>案例教学</w:t>
            </w:r>
          </w:p>
          <w:p w14:paraId="7C43BD34">
            <w:pPr>
              <w:jc w:val="left"/>
              <w:rPr>
                <w:rFonts w:hint="eastAsia" w:ascii="宋体" w:hAnsi="宋体" w:eastAsia="宋体" w:cs="Times New Roman"/>
                <w:szCs w:val="21"/>
              </w:rPr>
            </w:pPr>
            <w:r>
              <w:rPr>
                <w:rFonts w:hint="eastAsia" w:ascii="宋体" w:hAnsi="宋体" w:eastAsia="宋体" w:cs="Times New Roman"/>
                <w:szCs w:val="21"/>
              </w:rPr>
              <w:t>课堂讨论</w:t>
            </w:r>
          </w:p>
          <w:p w14:paraId="4DBE79B7">
            <w:pPr>
              <w:jc w:val="left"/>
              <w:rPr>
                <w:rFonts w:hint="eastAsia" w:ascii="宋体" w:hAnsi="宋体" w:eastAsia="宋体" w:cs="Times New Roman"/>
                <w:szCs w:val="21"/>
              </w:rPr>
            </w:pPr>
            <w:r>
              <w:rPr>
                <w:rFonts w:hint="eastAsia" w:ascii="宋体" w:hAnsi="宋体" w:eastAsia="宋体" w:cs="Times New Roman"/>
                <w:szCs w:val="21"/>
              </w:rPr>
              <w:t>在线测试</w:t>
            </w:r>
          </w:p>
          <w:p w14:paraId="1F50303C">
            <w:pPr>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62571D99">
            <w:pPr>
              <w:spacing w:line="276" w:lineRule="auto"/>
              <w:jc w:val="center"/>
              <w:rPr>
                <w:rFonts w:hint="eastAsia" w:ascii="宋体" w:hAnsi="宋体" w:eastAsia="宋体" w:cs="Times New Roman"/>
                <w:szCs w:val="21"/>
              </w:rPr>
            </w:pPr>
            <w:r>
              <w:rPr>
                <w:rFonts w:ascii="宋体" w:hAnsi="宋体" w:eastAsia="宋体" w:cs="Times New Roman"/>
                <w:szCs w:val="21"/>
              </w:rPr>
              <w:t>2</w:t>
            </w:r>
          </w:p>
        </w:tc>
      </w:tr>
      <w:tr w14:paraId="0ED0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58E1630">
            <w:pPr>
              <w:spacing w:line="276" w:lineRule="auto"/>
              <w:jc w:val="center"/>
              <w:rPr>
                <w:rFonts w:hint="eastAsia" w:ascii="宋体" w:hAnsi="宋体" w:eastAsia="宋体" w:cs="Times New Roman"/>
                <w:szCs w:val="21"/>
              </w:rPr>
            </w:pPr>
          </w:p>
        </w:tc>
        <w:tc>
          <w:tcPr>
            <w:tcW w:w="8093" w:type="dxa"/>
            <w:gridSpan w:val="5"/>
            <w:vAlign w:val="center"/>
          </w:tcPr>
          <w:p w14:paraId="66F63808">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遵循教育规律和儿童身心发展，尊重儿童个性，培养和形成正确的儿童观，热爱儿童、关心儿童的品质；培养和形成具体问题具体分析的工作作风。</w:t>
            </w:r>
          </w:p>
        </w:tc>
      </w:tr>
      <w:tr w14:paraId="51DD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793C43">
            <w:pPr>
              <w:spacing w:line="276" w:lineRule="auto"/>
              <w:jc w:val="center"/>
              <w:rPr>
                <w:rFonts w:hint="eastAsia"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 xml:space="preserve"> </w:t>
            </w:r>
            <w:r>
              <w:rPr>
                <w:rFonts w:hint="eastAsia" w:ascii="宋体" w:hAnsi="宋体" w:eastAsia="宋体" w:cs="Times New Roman"/>
                <w:szCs w:val="21"/>
              </w:rPr>
              <w:t>教育实验研究</w:t>
            </w:r>
          </w:p>
        </w:tc>
        <w:tc>
          <w:tcPr>
            <w:tcW w:w="1701" w:type="dxa"/>
            <w:vAlign w:val="center"/>
          </w:tcPr>
          <w:p w14:paraId="0209CA68">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1）教育实验</w:t>
            </w:r>
            <w:r>
              <w:rPr>
                <w:rFonts w:hint="eastAsia" w:ascii="宋体" w:hAnsi="宋体" w:eastAsia="宋体" w:cs="Times New Roman"/>
                <w:szCs w:val="21"/>
              </w:rPr>
              <w:t>的概念、特征</w:t>
            </w:r>
          </w:p>
          <w:p w14:paraId="4CA6B93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2）教育实验选题与实验假设</w:t>
            </w:r>
          </w:p>
          <w:p w14:paraId="331B7C9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3）教育实验的变量选择、测量和控制</w:t>
            </w:r>
          </w:p>
          <w:p w14:paraId="4087C45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4）教育实验的类型和设计</w:t>
            </w:r>
          </w:p>
          <w:p w14:paraId="3384E1E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5）教育实验的评价</w:t>
            </w:r>
          </w:p>
        </w:tc>
        <w:tc>
          <w:tcPr>
            <w:tcW w:w="1134" w:type="dxa"/>
            <w:vAlign w:val="center"/>
          </w:tcPr>
          <w:p w14:paraId="0BDB24A7">
            <w:pPr>
              <w:jc w:val="center"/>
              <w:rPr>
                <w:rFonts w:hint="eastAsia"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3326" w:type="dxa"/>
            <w:vAlign w:val="center"/>
          </w:tcPr>
          <w:p w14:paraId="7119C3F3">
            <w:pPr>
              <w:jc w:val="left"/>
              <w:rPr>
                <w:rFonts w:hint="eastAsia"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1）明确教育实验研究的涵义及其基本概念，理解教育实验的特征、功能和局限性；</w:t>
            </w:r>
          </w:p>
          <w:p w14:paraId="047F44B5">
            <w:pPr>
              <w:jc w:val="left"/>
              <w:rPr>
                <w:rFonts w:hint="eastAsia" w:ascii="宋体" w:hAnsi="宋体" w:eastAsia="宋体" w:cs="Times New Roman"/>
                <w:szCs w:val="21"/>
              </w:rPr>
            </w:pPr>
            <w:r>
              <w:rPr>
                <w:rFonts w:ascii="宋体" w:hAnsi="宋体" w:eastAsia="宋体" w:cs="Times New Roman"/>
                <w:szCs w:val="21"/>
              </w:rPr>
              <w:t>（2）了解教育实验的步骤；了解常见的无关变量及其控制办法；</w:t>
            </w:r>
          </w:p>
          <w:p w14:paraId="217B77F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3）学会识别常用的实验设计类型；</w:t>
            </w:r>
          </w:p>
          <w:p w14:paraId="18B54E7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4）学会从实验设计的角度评价实验效度。</w:t>
            </w:r>
          </w:p>
        </w:tc>
        <w:tc>
          <w:tcPr>
            <w:tcW w:w="1276" w:type="dxa"/>
            <w:vAlign w:val="center"/>
          </w:tcPr>
          <w:p w14:paraId="7E90E780">
            <w:pPr>
              <w:spacing w:line="276"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180E0E64">
            <w:pPr>
              <w:spacing w:line="276"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6E4AD397">
            <w:pPr>
              <w:spacing w:line="276"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47A429B6">
            <w:pPr>
              <w:spacing w:line="276"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7FE10DA5">
            <w:pPr>
              <w:spacing w:line="276" w:lineRule="auto"/>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77D56DAC">
            <w:pPr>
              <w:spacing w:line="276" w:lineRule="auto"/>
              <w:jc w:val="center"/>
              <w:rPr>
                <w:rFonts w:hint="eastAsia" w:ascii="宋体" w:hAnsi="宋体" w:eastAsia="宋体" w:cs="Times New Roman"/>
                <w:szCs w:val="21"/>
              </w:rPr>
            </w:pPr>
            <w:r>
              <w:rPr>
                <w:rFonts w:ascii="宋体" w:hAnsi="宋体" w:eastAsia="宋体" w:cs="Times New Roman"/>
                <w:szCs w:val="21"/>
              </w:rPr>
              <w:t>3</w:t>
            </w:r>
          </w:p>
        </w:tc>
      </w:tr>
      <w:tr w14:paraId="570C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1FAD3B9">
            <w:pPr>
              <w:spacing w:line="276" w:lineRule="auto"/>
              <w:jc w:val="center"/>
              <w:rPr>
                <w:rFonts w:hint="eastAsia" w:ascii="宋体" w:hAnsi="宋体" w:eastAsia="宋体" w:cs="Times New Roman"/>
                <w:szCs w:val="21"/>
              </w:rPr>
            </w:pPr>
          </w:p>
        </w:tc>
        <w:tc>
          <w:tcPr>
            <w:tcW w:w="8093" w:type="dxa"/>
            <w:gridSpan w:val="5"/>
            <w:vAlign w:val="center"/>
          </w:tcPr>
          <w:p w14:paraId="7E99382B">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尊重事物发展的内在规律，准确把握事物的主要矛盾和次要矛盾；尊重儿童身心发展规律，关注教育研究的伦理特点，形成正确的科研观和业绩观。</w:t>
            </w:r>
          </w:p>
        </w:tc>
      </w:tr>
      <w:tr w14:paraId="35ED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211A51B">
            <w:pPr>
              <w:spacing w:line="276" w:lineRule="auto"/>
              <w:jc w:val="center"/>
              <w:rPr>
                <w:rFonts w:hint="eastAsia" w:ascii="宋体" w:hAnsi="宋体" w:eastAsia="宋体" w:cs="Times New Roman"/>
                <w:szCs w:val="21"/>
              </w:rPr>
            </w:pPr>
            <w:r>
              <w:rPr>
                <w:rFonts w:hint="eastAsia" w:ascii="宋体" w:hAnsi="宋体" w:eastAsia="宋体" w:cs="Times New Roman"/>
                <w:szCs w:val="21"/>
              </w:rPr>
              <w:t>7. 教育叙事研究</w:t>
            </w:r>
          </w:p>
        </w:tc>
        <w:tc>
          <w:tcPr>
            <w:tcW w:w="1701" w:type="dxa"/>
            <w:vAlign w:val="center"/>
          </w:tcPr>
          <w:p w14:paraId="19F7C8A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1）教育叙事研究</w:t>
            </w:r>
            <w:r>
              <w:rPr>
                <w:rFonts w:hint="eastAsia" w:ascii="宋体" w:hAnsi="宋体" w:eastAsia="宋体" w:cs="Times New Roman"/>
                <w:szCs w:val="21"/>
              </w:rPr>
              <w:t>的内涵特征</w:t>
            </w:r>
          </w:p>
          <w:p w14:paraId="51D8E82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2）教育叙事研究的操作策略</w:t>
            </w:r>
          </w:p>
          <w:p w14:paraId="094F49A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3）教育叙事研究的基本要求</w:t>
            </w:r>
          </w:p>
        </w:tc>
        <w:tc>
          <w:tcPr>
            <w:tcW w:w="1134" w:type="dxa"/>
            <w:vAlign w:val="center"/>
          </w:tcPr>
          <w:p w14:paraId="41C986ED">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326" w:type="dxa"/>
            <w:vAlign w:val="center"/>
          </w:tcPr>
          <w:p w14:paraId="6B4A043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1）了解教育叙事研究的特征；</w:t>
            </w:r>
          </w:p>
          <w:p w14:paraId="1190B52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2）掌握教育叙事研究的关键步骤及操作策略；</w:t>
            </w:r>
          </w:p>
          <w:p w14:paraId="778381A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3）掌握教育叙事研究的“深度描写”的基本要求；</w:t>
            </w:r>
          </w:p>
          <w:p w14:paraId="0B11924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4）初步掌握教育叙事研究方案的设计。</w:t>
            </w:r>
          </w:p>
        </w:tc>
        <w:tc>
          <w:tcPr>
            <w:tcW w:w="1276" w:type="dxa"/>
            <w:vAlign w:val="center"/>
          </w:tcPr>
          <w:p w14:paraId="3C2560AB">
            <w:pPr>
              <w:spacing w:line="276"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00FA66C7">
            <w:pPr>
              <w:spacing w:line="276"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21458DED">
            <w:pPr>
              <w:spacing w:line="276"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04628855">
            <w:pPr>
              <w:spacing w:line="276"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5314CB94">
            <w:pPr>
              <w:spacing w:line="276" w:lineRule="auto"/>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5FD2D2C7">
            <w:pPr>
              <w:spacing w:line="276" w:lineRule="auto"/>
              <w:jc w:val="center"/>
              <w:rPr>
                <w:rFonts w:hint="eastAsia" w:ascii="宋体" w:hAnsi="宋体" w:eastAsia="宋体" w:cs="Times New Roman"/>
                <w:szCs w:val="21"/>
              </w:rPr>
            </w:pPr>
            <w:r>
              <w:rPr>
                <w:rFonts w:ascii="宋体" w:hAnsi="宋体" w:eastAsia="宋体" w:cs="Times New Roman"/>
                <w:szCs w:val="21"/>
              </w:rPr>
              <w:t>2</w:t>
            </w:r>
          </w:p>
        </w:tc>
      </w:tr>
      <w:tr w14:paraId="45A3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348B2DE">
            <w:pPr>
              <w:spacing w:line="276" w:lineRule="auto"/>
              <w:jc w:val="center"/>
              <w:rPr>
                <w:rFonts w:hint="eastAsia" w:ascii="宋体" w:hAnsi="宋体" w:eastAsia="宋体" w:cs="Times New Roman"/>
                <w:szCs w:val="21"/>
              </w:rPr>
            </w:pPr>
          </w:p>
        </w:tc>
        <w:tc>
          <w:tcPr>
            <w:tcW w:w="8093" w:type="dxa"/>
            <w:gridSpan w:val="5"/>
            <w:vAlign w:val="center"/>
          </w:tcPr>
          <w:p w14:paraId="7702E8A1">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培养和形成深厚的教育情怀，走进儿童心灵，关心、关爱儿童；养成脚踏实地、实事求是的学习风气和研究态度。</w:t>
            </w:r>
          </w:p>
        </w:tc>
      </w:tr>
      <w:tr w14:paraId="6445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74AB331">
            <w:pPr>
              <w:spacing w:line="264" w:lineRule="auto"/>
              <w:jc w:val="center"/>
              <w:rPr>
                <w:rFonts w:hint="eastAsia" w:ascii="宋体" w:hAnsi="宋体" w:eastAsia="宋体" w:cs="Times New Roman"/>
                <w:szCs w:val="21"/>
              </w:rPr>
            </w:pPr>
            <w:r>
              <w:rPr>
                <w:rFonts w:hint="eastAsia" w:ascii="宋体" w:hAnsi="宋体" w:eastAsia="宋体" w:cs="Times New Roman"/>
                <w:szCs w:val="21"/>
              </w:rPr>
              <w:t>8. 教育行动研究</w:t>
            </w:r>
          </w:p>
        </w:tc>
        <w:tc>
          <w:tcPr>
            <w:tcW w:w="1701" w:type="dxa"/>
            <w:vAlign w:val="center"/>
          </w:tcPr>
          <w:p w14:paraId="77C914E5">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1）教育行动研究</w:t>
            </w:r>
            <w:r>
              <w:rPr>
                <w:rFonts w:hint="eastAsia" w:ascii="宋体" w:hAnsi="宋体" w:eastAsia="宋体" w:cs="Times New Roman"/>
                <w:szCs w:val="21"/>
              </w:rPr>
              <w:t>的特征</w:t>
            </w:r>
          </w:p>
          <w:p w14:paraId="78339AE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2）教育行动研究的步骤</w:t>
            </w:r>
          </w:p>
          <w:p w14:paraId="6ECBCBD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3）教育行动研究的基本要求</w:t>
            </w:r>
          </w:p>
        </w:tc>
        <w:tc>
          <w:tcPr>
            <w:tcW w:w="1134" w:type="dxa"/>
            <w:vAlign w:val="center"/>
          </w:tcPr>
          <w:p w14:paraId="1B58E608">
            <w:pPr>
              <w:jc w:val="center"/>
              <w:rPr>
                <w:rFonts w:hint="eastAsia"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3326" w:type="dxa"/>
            <w:vAlign w:val="center"/>
          </w:tcPr>
          <w:p w14:paraId="3C7D876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1）了解教育行动研究的特征和意义；</w:t>
            </w:r>
          </w:p>
          <w:p w14:paraId="36C0C46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2）掌握教育行动研究的基本步骤；</w:t>
            </w:r>
          </w:p>
          <w:p w14:paraId="1C3C580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3）学会教育行动研究方案设计。</w:t>
            </w:r>
          </w:p>
        </w:tc>
        <w:tc>
          <w:tcPr>
            <w:tcW w:w="1276" w:type="dxa"/>
            <w:vAlign w:val="center"/>
          </w:tcPr>
          <w:p w14:paraId="520AA504">
            <w:pPr>
              <w:spacing w:line="264"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7D69706D">
            <w:pPr>
              <w:spacing w:line="264"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510B0DF7">
            <w:pPr>
              <w:spacing w:line="264"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3023AD0D">
            <w:pPr>
              <w:spacing w:line="264"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63B289E9">
            <w:pPr>
              <w:spacing w:line="264" w:lineRule="auto"/>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5361A6B4">
            <w:pPr>
              <w:spacing w:line="264" w:lineRule="auto"/>
              <w:jc w:val="center"/>
              <w:rPr>
                <w:rFonts w:hint="eastAsia" w:ascii="宋体" w:hAnsi="宋体" w:eastAsia="宋体" w:cs="Times New Roman"/>
                <w:szCs w:val="21"/>
              </w:rPr>
            </w:pPr>
            <w:r>
              <w:rPr>
                <w:rFonts w:ascii="宋体" w:hAnsi="宋体" w:eastAsia="宋体" w:cs="Times New Roman"/>
                <w:szCs w:val="21"/>
              </w:rPr>
              <w:t>2</w:t>
            </w:r>
          </w:p>
        </w:tc>
      </w:tr>
      <w:tr w14:paraId="17CE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EB35C97">
            <w:pPr>
              <w:spacing w:line="264" w:lineRule="auto"/>
              <w:jc w:val="center"/>
              <w:rPr>
                <w:rFonts w:hint="eastAsia" w:ascii="宋体" w:hAnsi="宋体" w:eastAsia="宋体" w:cs="Times New Roman"/>
                <w:szCs w:val="21"/>
              </w:rPr>
            </w:pPr>
          </w:p>
        </w:tc>
        <w:tc>
          <w:tcPr>
            <w:tcW w:w="8093" w:type="dxa"/>
            <w:gridSpan w:val="5"/>
            <w:vAlign w:val="center"/>
          </w:tcPr>
          <w:p w14:paraId="51F3FA1A">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尊重教育发展规律和儿童身心发展规律，形成务实的研究作风；培养和形成协调合作能力和创新实践能力。</w:t>
            </w:r>
          </w:p>
        </w:tc>
      </w:tr>
      <w:tr w14:paraId="3C3A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9B13A50">
            <w:pPr>
              <w:spacing w:line="264" w:lineRule="auto"/>
              <w:jc w:val="center"/>
              <w:rPr>
                <w:rFonts w:hint="eastAsia" w:ascii="宋体" w:hAnsi="宋体" w:eastAsia="宋体" w:cs="Times New Roman"/>
                <w:szCs w:val="21"/>
              </w:rPr>
            </w:pPr>
            <w:r>
              <w:rPr>
                <w:rFonts w:hint="eastAsia" w:ascii="宋体" w:hAnsi="宋体" w:eastAsia="宋体" w:cs="Times New Roman"/>
                <w:szCs w:val="21"/>
              </w:rPr>
              <w:t>9. 教育研究成果表述</w:t>
            </w:r>
          </w:p>
        </w:tc>
        <w:tc>
          <w:tcPr>
            <w:tcW w:w="1701" w:type="dxa"/>
            <w:vAlign w:val="center"/>
          </w:tcPr>
          <w:p w14:paraId="4F16F198">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1）教育研究成果表述的目的</w:t>
            </w:r>
          </w:p>
          <w:p w14:paraId="3E3F289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2）教育研究成果的主要类型</w:t>
            </w:r>
          </w:p>
          <w:p w14:paraId="1804F09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3）教育研究成果的撰写</w:t>
            </w:r>
          </w:p>
          <w:p w14:paraId="108D97A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4）教育研究成果表述规范</w:t>
            </w:r>
          </w:p>
        </w:tc>
        <w:tc>
          <w:tcPr>
            <w:tcW w:w="1134" w:type="dxa"/>
            <w:vAlign w:val="center"/>
          </w:tcPr>
          <w:p w14:paraId="22FEFB18">
            <w:pPr>
              <w:jc w:val="center"/>
              <w:rPr>
                <w:rFonts w:hint="eastAsia" w:ascii="宋体" w:hAnsi="宋体" w:eastAsia="宋体" w:cs="Times New Roman"/>
                <w:szCs w:val="21"/>
              </w:rPr>
            </w:pPr>
            <w:r>
              <w:rPr>
                <w:rFonts w:hint="eastAsia" w:ascii="宋体" w:hAnsi="宋体" w:eastAsia="宋体" w:cs="Times New Roman"/>
                <w:szCs w:val="21"/>
              </w:rPr>
              <w:t>课程目标4</w:t>
            </w:r>
            <w:r>
              <w:rPr>
                <w:rFonts w:ascii="宋体" w:hAnsi="宋体" w:eastAsia="宋体" w:cs="Times New Roman"/>
                <w:szCs w:val="21"/>
              </w:rPr>
              <w:t xml:space="preserve"> </w:t>
            </w:r>
          </w:p>
        </w:tc>
        <w:tc>
          <w:tcPr>
            <w:tcW w:w="3326" w:type="dxa"/>
            <w:vAlign w:val="center"/>
          </w:tcPr>
          <w:p w14:paraId="2AF3880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1）了解教育研究成果表述的目的；</w:t>
            </w:r>
          </w:p>
          <w:p w14:paraId="5BB588B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2）掌握教育经验总结、教育调查报告、实验报告及学术论文（毕业论文）的基本结构；</w:t>
            </w:r>
          </w:p>
          <w:p w14:paraId="5E4AEC6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3）掌握研究撰写的通行规范；</w:t>
            </w:r>
          </w:p>
          <w:p w14:paraId="7B5D463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4）初步掌握研究报告及毕业论文的撰写方法。</w:t>
            </w:r>
          </w:p>
        </w:tc>
        <w:tc>
          <w:tcPr>
            <w:tcW w:w="1276" w:type="dxa"/>
            <w:vAlign w:val="center"/>
          </w:tcPr>
          <w:p w14:paraId="445CDC9E">
            <w:pPr>
              <w:spacing w:line="264"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39886B72">
            <w:pPr>
              <w:spacing w:line="264"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418ECA48">
            <w:pPr>
              <w:spacing w:line="264"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1DF30C24">
            <w:pPr>
              <w:spacing w:line="264"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10258EB5">
            <w:pPr>
              <w:spacing w:line="264" w:lineRule="auto"/>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0BE07020">
            <w:pPr>
              <w:spacing w:line="264" w:lineRule="auto"/>
              <w:jc w:val="center"/>
              <w:rPr>
                <w:rFonts w:hint="eastAsia" w:ascii="宋体" w:hAnsi="宋体" w:eastAsia="宋体" w:cs="Times New Roman"/>
                <w:szCs w:val="21"/>
              </w:rPr>
            </w:pPr>
            <w:r>
              <w:rPr>
                <w:rFonts w:ascii="宋体" w:hAnsi="宋体" w:eastAsia="宋体" w:cs="Times New Roman"/>
                <w:szCs w:val="21"/>
              </w:rPr>
              <w:t>3</w:t>
            </w:r>
          </w:p>
        </w:tc>
      </w:tr>
      <w:tr w14:paraId="4B8E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20AC924">
            <w:pPr>
              <w:spacing w:line="264" w:lineRule="auto"/>
              <w:jc w:val="center"/>
              <w:rPr>
                <w:rFonts w:hint="eastAsia" w:ascii="宋体" w:hAnsi="宋体" w:eastAsia="宋体" w:cs="Times New Roman"/>
                <w:szCs w:val="21"/>
              </w:rPr>
            </w:pPr>
          </w:p>
        </w:tc>
        <w:tc>
          <w:tcPr>
            <w:tcW w:w="8093" w:type="dxa"/>
            <w:gridSpan w:val="5"/>
            <w:vAlign w:val="center"/>
          </w:tcPr>
          <w:p w14:paraId="12D33469">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正确处理整体和部分的关系，准确把握主要矛盾和次要矛盾；践行社会主义核心价值观，坚持“四个自信”；虚心学习，实事求是，培养和形成朴素的文风；学会创新，树立远大理想。</w:t>
            </w:r>
          </w:p>
        </w:tc>
      </w:tr>
    </w:tbl>
    <w:p w14:paraId="2F3EC005">
      <w:pPr>
        <w:spacing w:line="360" w:lineRule="auto"/>
        <w:jc w:val="left"/>
        <w:rPr>
          <w:rFonts w:ascii="Times New Roman" w:hAnsi="Times New Roman" w:eastAsia="宋体" w:cs="Times New Roman"/>
          <w:sz w:val="24"/>
          <w:szCs w:val="24"/>
        </w:rPr>
      </w:pPr>
    </w:p>
    <w:p w14:paraId="15594D38">
      <w:pPr>
        <w:spacing w:line="360" w:lineRule="auto"/>
        <w:jc w:val="left"/>
        <w:rPr>
          <w:rFonts w:ascii="Times New Roman" w:hAnsi="Times New Roman" w:eastAsia="宋体" w:cs="Times New Roman"/>
          <w:sz w:val="28"/>
          <w:szCs w:val="28"/>
        </w:rPr>
      </w:pPr>
      <w:r>
        <w:rPr>
          <w:rFonts w:hint="eastAsia" w:ascii="宋体" w:hAnsi="宋体" w:eastAsia="宋体" w:cs="Times New Roman"/>
          <w:b/>
          <w:sz w:val="28"/>
          <w:szCs w:val="28"/>
        </w:rPr>
        <w:t>四、目标评价与成绩评定</w:t>
      </w:r>
    </w:p>
    <w:p w14:paraId="1DF4292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ADC4FEE">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表3</w:t>
      </w:r>
      <w:r>
        <w:rPr>
          <w:rFonts w:ascii="Times New Roman" w:hAnsi="Times New Roman" w:eastAsia="宋体" w:cs="Times New Roman"/>
          <w:b/>
          <w:bCs/>
          <w:sz w:val="24"/>
          <w:szCs w:val="24"/>
        </w:rPr>
        <w:t xml:space="preserve">  课程教学评价设计总表</w:t>
      </w:r>
      <w:r>
        <w:rPr>
          <w:rFonts w:hint="eastAsia" w:ascii="Times New Roman" w:hAnsi="Times New Roman" w:eastAsia="宋体" w:cs="Times New Roman"/>
          <w:b/>
          <w:bCs/>
          <w:sz w:val="24"/>
          <w:szCs w:val="24"/>
        </w:rPr>
        <w:t xml:space="preserve"> </w:t>
      </w:r>
    </w:p>
    <w:tbl>
      <w:tblPr>
        <w:tblStyle w:val="14"/>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714"/>
        <w:gridCol w:w="701"/>
        <w:gridCol w:w="709"/>
        <w:gridCol w:w="708"/>
        <w:gridCol w:w="713"/>
        <w:gridCol w:w="711"/>
        <w:gridCol w:w="852"/>
        <w:gridCol w:w="993"/>
        <w:gridCol w:w="992"/>
      </w:tblGrid>
      <w:tr w14:paraId="7F38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4" w:type="dxa"/>
            <w:vMerge w:val="restart"/>
            <w:vAlign w:val="center"/>
          </w:tcPr>
          <w:p w14:paraId="30F33A39">
            <w:pPr>
              <w:jc w:val="left"/>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c>
          <w:tcPr>
            <w:tcW w:w="6101" w:type="dxa"/>
            <w:gridSpan w:val="8"/>
            <w:vAlign w:val="center"/>
          </w:tcPr>
          <w:p w14:paraId="7E0D719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评价与成绩评定方法</w:t>
            </w:r>
          </w:p>
        </w:tc>
        <w:tc>
          <w:tcPr>
            <w:tcW w:w="992" w:type="dxa"/>
            <w:vMerge w:val="restart"/>
            <w:vAlign w:val="center"/>
          </w:tcPr>
          <w:p w14:paraId="64CBF31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分值</w:t>
            </w:r>
          </w:p>
        </w:tc>
      </w:tr>
      <w:tr w14:paraId="3733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24" w:type="dxa"/>
            <w:vMerge w:val="continue"/>
            <w:vAlign w:val="center"/>
          </w:tcPr>
          <w:p w14:paraId="3CC53EF4">
            <w:pPr>
              <w:jc w:val="left"/>
              <w:rPr>
                <w:rFonts w:ascii="Times New Roman" w:hAnsi="Times New Roman" w:eastAsia="宋体" w:cs="Times New Roman"/>
                <w:b/>
                <w:bCs/>
                <w:szCs w:val="21"/>
              </w:rPr>
            </w:pPr>
          </w:p>
        </w:tc>
        <w:tc>
          <w:tcPr>
            <w:tcW w:w="3545" w:type="dxa"/>
            <w:gridSpan w:val="5"/>
            <w:vAlign w:val="center"/>
          </w:tcPr>
          <w:p w14:paraId="760CE4C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过程性评价</w:t>
            </w:r>
          </w:p>
        </w:tc>
        <w:tc>
          <w:tcPr>
            <w:tcW w:w="2556" w:type="dxa"/>
            <w:gridSpan w:val="3"/>
            <w:vAlign w:val="center"/>
          </w:tcPr>
          <w:p w14:paraId="67B2048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期末考试</w:t>
            </w:r>
          </w:p>
        </w:tc>
        <w:tc>
          <w:tcPr>
            <w:tcW w:w="992" w:type="dxa"/>
            <w:vMerge w:val="continue"/>
            <w:vAlign w:val="center"/>
          </w:tcPr>
          <w:p w14:paraId="3364A5A8">
            <w:pPr>
              <w:jc w:val="center"/>
              <w:rPr>
                <w:rFonts w:ascii="Times New Roman" w:hAnsi="Times New Roman" w:eastAsia="宋体" w:cs="Times New Roman"/>
                <w:b/>
                <w:bCs/>
                <w:szCs w:val="21"/>
              </w:rPr>
            </w:pPr>
          </w:p>
        </w:tc>
      </w:tr>
      <w:tr w14:paraId="5A36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14:paraId="5D0FB655">
            <w:pPr>
              <w:spacing w:line="360" w:lineRule="auto"/>
              <w:jc w:val="left"/>
              <w:rPr>
                <w:rFonts w:ascii="Times New Roman" w:hAnsi="Times New Roman" w:eastAsia="宋体" w:cs="Times New Roman"/>
                <w:szCs w:val="21"/>
              </w:rPr>
            </w:pPr>
          </w:p>
        </w:tc>
        <w:tc>
          <w:tcPr>
            <w:tcW w:w="714" w:type="dxa"/>
            <w:vAlign w:val="center"/>
          </w:tcPr>
          <w:p w14:paraId="3ED2C5E0">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课堂</w:t>
            </w:r>
          </w:p>
          <w:p w14:paraId="36FE0AE7">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表现</w:t>
            </w:r>
          </w:p>
        </w:tc>
        <w:tc>
          <w:tcPr>
            <w:tcW w:w="701" w:type="dxa"/>
            <w:vAlign w:val="center"/>
          </w:tcPr>
          <w:p w14:paraId="4AF5024E">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平时</w:t>
            </w:r>
          </w:p>
          <w:p w14:paraId="346641A1">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作业</w:t>
            </w:r>
          </w:p>
        </w:tc>
        <w:tc>
          <w:tcPr>
            <w:tcW w:w="709" w:type="dxa"/>
            <w:vAlign w:val="center"/>
          </w:tcPr>
          <w:p w14:paraId="51F0886A">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自主</w:t>
            </w:r>
          </w:p>
          <w:p w14:paraId="13AE3CED">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学习</w:t>
            </w:r>
          </w:p>
        </w:tc>
        <w:tc>
          <w:tcPr>
            <w:tcW w:w="708" w:type="dxa"/>
            <w:vAlign w:val="center"/>
          </w:tcPr>
          <w:p w14:paraId="1E641196">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合作</w:t>
            </w:r>
          </w:p>
          <w:p w14:paraId="000377E5">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学习</w:t>
            </w:r>
          </w:p>
        </w:tc>
        <w:tc>
          <w:tcPr>
            <w:tcW w:w="713" w:type="dxa"/>
            <w:vAlign w:val="center"/>
          </w:tcPr>
          <w:p w14:paraId="201B3BD9">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汇报展示</w:t>
            </w:r>
          </w:p>
        </w:tc>
        <w:tc>
          <w:tcPr>
            <w:tcW w:w="711" w:type="dxa"/>
            <w:vAlign w:val="center"/>
          </w:tcPr>
          <w:p w14:paraId="4FD3BB64">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文献</w:t>
            </w:r>
          </w:p>
          <w:p w14:paraId="08C8BE8A">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综述</w:t>
            </w:r>
          </w:p>
        </w:tc>
        <w:tc>
          <w:tcPr>
            <w:tcW w:w="852" w:type="dxa"/>
          </w:tcPr>
          <w:p w14:paraId="18426FC7">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研究方法设计</w:t>
            </w:r>
          </w:p>
        </w:tc>
        <w:tc>
          <w:tcPr>
            <w:tcW w:w="993" w:type="dxa"/>
          </w:tcPr>
          <w:p w14:paraId="47C6EF3F">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研究方</w:t>
            </w:r>
          </w:p>
          <w:p w14:paraId="35D52871">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案设计</w:t>
            </w:r>
          </w:p>
        </w:tc>
        <w:tc>
          <w:tcPr>
            <w:tcW w:w="992" w:type="dxa"/>
            <w:vMerge w:val="continue"/>
            <w:vAlign w:val="center"/>
          </w:tcPr>
          <w:p w14:paraId="4D7D47C0">
            <w:pPr>
              <w:spacing w:line="360" w:lineRule="auto"/>
              <w:jc w:val="left"/>
              <w:rPr>
                <w:rFonts w:ascii="Times New Roman" w:hAnsi="Times New Roman" w:eastAsia="宋体" w:cs="Times New Roman"/>
                <w:szCs w:val="21"/>
              </w:rPr>
            </w:pPr>
          </w:p>
        </w:tc>
      </w:tr>
      <w:tr w14:paraId="1E9B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24" w:type="dxa"/>
            <w:vAlign w:val="center"/>
          </w:tcPr>
          <w:p w14:paraId="727EED3A">
            <w:pPr>
              <w:spacing w:line="320" w:lineRule="exact"/>
              <w:contextualSpacing/>
              <w:jc w:val="left"/>
              <w:rPr>
                <w:rFonts w:hint="eastAsia" w:ascii="仿宋" w:hAnsi="仿宋" w:eastAsia="仿宋" w:cs="Times New Roman"/>
                <w:sz w:val="18"/>
                <w:szCs w:val="18"/>
              </w:rPr>
            </w:pPr>
            <w:r>
              <w:rPr>
                <w:rFonts w:hint="eastAsia" w:ascii="仿宋" w:hAnsi="仿宋" w:eastAsia="仿宋" w:cs="Times New Roman"/>
                <w:sz w:val="18"/>
                <w:szCs w:val="18"/>
              </w:rPr>
              <w:t>课程目标1</w:t>
            </w:r>
          </w:p>
        </w:tc>
        <w:tc>
          <w:tcPr>
            <w:tcW w:w="714" w:type="dxa"/>
            <w:vAlign w:val="center"/>
          </w:tcPr>
          <w:p w14:paraId="0A5FB752">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150871F9">
            <w:pPr>
              <w:spacing w:line="320" w:lineRule="exact"/>
              <w:ind w:firstLine="210" w:firstLineChars="100"/>
              <w:contextualSpacing/>
              <w:jc w:val="center"/>
              <w:rPr>
                <w:rFonts w:ascii="Times New Roman" w:hAnsi="Times New Roman" w:eastAsia="宋体" w:cs="Times New Roman"/>
                <w:szCs w:val="21"/>
              </w:rPr>
            </w:pPr>
          </w:p>
        </w:tc>
        <w:tc>
          <w:tcPr>
            <w:tcW w:w="709" w:type="dxa"/>
            <w:vAlign w:val="center"/>
          </w:tcPr>
          <w:p w14:paraId="0009253E">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79E66F72">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3" w:type="dxa"/>
            <w:vAlign w:val="center"/>
          </w:tcPr>
          <w:p w14:paraId="184E63E6">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1" w:type="dxa"/>
            <w:vAlign w:val="center"/>
          </w:tcPr>
          <w:p w14:paraId="125B3D02">
            <w:pPr>
              <w:spacing w:line="320" w:lineRule="exact"/>
              <w:contextualSpacing/>
              <w:jc w:val="center"/>
              <w:rPr>
                <w:rFonts w:ascii="Times New Roman" w:hAnsi="Times New Roman" w:eastAsia="宋体" w:cs="Times New Roman"/>
                <w:szCs w:val="21"/>
              </w:rPr>
            </w:pPr>
          </w:p>
        </w:tc>
        <w:tc>
          <w:tcPr>
            <w:tcW w:w="852" w:type="dxa"/>
          </w:tcPr>
          <w:p w14:paraId="51403005">
            <w:pPr>
              <w:jc w:val="center"/>
              <w:rPr>
                <w:rFonts w:hint="eastAsia"/>
              </w:rPr>
            </w:pPr>
            <w:r>
              <w:rPr>
                <w:rFonts w:hint="eastAsia" w:ascii="宋体" w:hAnsi="宋体" w:eastAsia="宋体" w:cs="Times New Roman"/>
                <w:szCs w:val="21"/>
              </w:rPr>
              <w:t>√</w:t>
            </w:r>
          </w:p>
        </w:tc>
        <w:tc>
          <w:tcPr>
            <w:tcW w:w="993" w:type="dxa"/>
          </w:tcPr>
          <w:p w14:paraId="267F15CC">
            <w:pPr>
              <w:spacing w:line="320" w:lineRule="exact"/>
              <w:ind w:firstLine="210" w:firstLineChars="100"/>
              <w:contextualSpacing/>
              <w:jc w:val="center"/>
              <w:rPr>
                <w:rFonts w:ascii="Times New Roman" w:hAnsi="Times New Roman" w:eastAsia="宋体" w:cs="Times New Roman"/>
                <w:szCs w:val="21"/>
              </w:rPr>
            </w:pPr>
          </w:p>
        </w:tc>
        <w:tc>
          <w:tcPr>
            <w:tcW w:w="992" w:type="dxa"/>
            <w:vAlign w:val="center"/>
          </w:tcPr>
          <w:p w14:paraId="7473EEC0">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3404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41F66CCE">
            <w:pPr>
              <w:spacing w:line="320" w:lineRule="exact"/>
              <w:contextualSpacing/>
              <w:jc w:val="left"/>
              <w:rPr>
                <w:rFonts w:hint="eastAsia" w:ascii="仿宋" w:hAnsi="仿宋" w:eastAsia="仿宋" w:cs="Times New Roman"/>
                <w:sz w:val="18"/>
                <w:szCs w:val="18"/>
              </w:rPr>
            </w:pPr>
            <w:r>
              <w:rPr>
                <w:rFonts w:hint="eastAsia" w:ascii="仿宋" w:hAnsi="仿宋" w:eastAsia="仿宋" w:cs="Times New Roman"/>
                <w:sz w:val="18"/>
                <w:szCs w:val="18"/>
              </w:rPr>
              <w:t>课程目标2</w:t>
            </w:r>
          </w:p>
        </w:tc>
        <w:tc>
          <w:tcPr>
            <w:tcW w:w="714" w:type="dxa"/>
            <w:vAlign w:val="center"/>
          </w:tcPr>
          <w:p w14:paraId="25B8F281">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433C0645">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9" w:type="dxa"/>
            <w:vAlign w:val="center"/>
          </w:tcPr>
          <w:p w14:paraId="70C962E0">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78E31518">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3" w:type="dxa"/>
            <w:vAlign w:val="center"/>
          </w:tcPr>
          <w:p w14:paraId="3AAD4550">
            <w:pPr>
              <w:spacing w:line="320" w:lineRule="exact"/>
              <w:contextualSpacing/>
              <w:jc w:val="center"/>
              <w:rPr>
                <w:rFonts w:ascii="Times New Roman" w:hAnsi="Times New Roman" w:eastAsia="宋体" w:cs="Times New Roman"/>
                <w:szCs w:val="21"/>
              </w:rPr>
            </w:pPr>
          </w:p>
        </w:tc>
        <w:tc>
          <w:tcPr>
            <w:tcW w:w="711" w:type="dxa"/>
            <w:vAlign w:val="center"/>
          </w:tcPr>
          <w:p w14:paraId="2448D0D3">
            <w:pPr>
              <w:jc w:val="center"/>
              <w:rPr>
                <w:rFonts w:hint="eastAsia"/>
              </w:rPr>
            </w:pPr>
            <w:r>
              <w:rPr>
                <w:rFonts w:hint="eastAsia" w:ascii="宋体" w:hAnsi="宋体" w:eastAsia="宋体" w:cs="Times New Roman"/>
                <w:szCs w:val="21"/>
              </w:rPr>
              <w:t>√</w:t>
            </w:r>
          </w:p>
        </w:tc>
        <w:tc>
          <w:tcPr>
            <w:tcW w:w="852" w:type="dxa"/>
          </w:tcPr>
          <w:p w14:paraId="1880026D">
            <w:pPr>
              <w:spacing w:line="320" w:lineRule="exact"/>
              <w:contextualSpacing/>
              <w:jc w:val="center"/>
              <w:rPr>
                <w:rFonts w:ascii="Times New Roman" w:hAnsi="Times New Roman" w:eastAsia="宋体" w:cs="Times New Roman"/>
                <w:szCs w:val="21"/>
              </w:rPr>
            </w:pPr>
          </w:p>
        </w:tc>
        <w:tc>
          <w:tcPr>
            <w:tcW w:w="993" w:type="dxa"/>
          </w:tcPr>
          <w:p w14:paraId="01E9C5ED">
            <w:pPr>
              <w:jc w:val="center"/>
              <w:rPr>
                <w:rFonts w:hint="eastAsia"/>
              </w:rPr>
            </w:pPr>
            <w:r>
              <w:rPr>
                <w:rFonts w:hint="eastAsia" w:ascii="宋体" w:hAnsi="宋体" w:eastAsia="宋体" w:cs="Times New Roman"/>
                <w:szCs w:val="21"/>
              </w:rPr>
              <w:t>√</w:t>
            </w:r>
          </w:p>
        </w:tc>
        <w:tc>
          <w:tcPr>
            <w:tcW w:w="992" w:type="dxa"/>
            <w:vAlign w:val="center"/>
          </w:tcPr>
          <w:p w14:paraId="005ABCAA">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25</w:t>
            </w:r>
          </w:p>
        </w:tc>
      </w:tr>
      <w:tr w14:paraId="6EEF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2A21E1AD">
            <w:pPr>
              <w:spacing w:line="320" w:lineRule="exact"/>
              <w:contextualSpacing/>
              <w:jc w:val="left"/>
              <w:rPr>
                <w:rFonts w:hint="eastAsia" w:ascii="仿宋" w:hAnsi="仿宋" w:eastAsia="仿宋" w:cs="Times New Roman"/>
                <w:sz w:val="18"/>
                <w:szCs w:val="18"/>
              </w:rPr>
            </w:pPr>
            <w:r>
              <w:rPr>
                <w:rFonts w:hint="eastAsia" w:ascii="仿宋" w:hAnsi="仿宋" w:eastAsia="仿宋" w:cs="Times New Roman"/>
                <w:sz w:val="18"/>
                <w:szCs w:val="18"/>
              </w:rPr>
              <w:t>课程目标3</w:t>
            </w:r>
          </w:p>
        </w:tc>
        <w:tc>
          <w:tcPr>
            <w:tcW w:w="714" w:type="dxa"/>
            <w:vAlign w:val="center"/>
          </w:tcPr>
          <w:p w14:paraId="70DB6FE7">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2D60EAC1">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9" w:type="dxa"/>
            <w:vAlign w:val="center"/>
          </w:tcPr>
          <w:p w14:paraId="7A1AAF13">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6CBB583F">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3" w:type="dxa"/>
            <w:vAlign w:val="center"/>
          </w:tcPr>
          <w:p w14:paraId="6A355BE6">
            <w:pPr>
              <w:jc w:val="center"/>
              <w:rPr>
                <w:rFonts w:hint="eastAsia"/>
              </w:rPr>
            </w:pPr>
            <w:r>
              <w:rPr>
                <w:rFonts w:hint="eastAsia" w:ascii="宋体" w:hAnsi="宋体" w:eastAsia="宋体" w:cs="Times New Roman"/>
                <w:szCs w:val="21"/>
              </w:rPr>
              <w:t>√</w:t>
            </w:r>
          </w:p>
        </w:tc>
        <w:tc>
          <w:tcPr>
            <w:tcW w:w="711" w:type="dxa"/>
            <w:vAlign w:val="center"/>
          </w:tcPr>
          <w:p w14:paraId="1C137FDE">
            <w:pPr>
              <w:spacing w:line="320" w:lineRule="exact"/>
              <w:contextualSpacing/>
              <w:jc w:val="center"/>
              <w:rPr>
                <w:rFonts w:ascii="Times New Roman" w:hAnsi="Times New Roman" w:eastAsia="宋体" w:cs="Times New Roman"/>
                <w:szCs w:val="21"/>
              </w:rPr>
            </w:pPr>
          </w:p>
        </w:tc>
        <w:tc>
          <w:tcPr>
            <w:tcW w:w="852" w:type="dxa"/>
          </w:tcPr>
          <w:p w14:paraId="331D1E0C">
            <w:pPr>
              <w:jc w:val="center"/>
              <w:rPr>
                <w:rFonts w:hint="eastAsia"/>
              </w:rPr>
            </w:pPr>
            <w:r>
              <w:rPr>
                <w:rFonts w:hint="eastAsia" w:ascii="宋体" w:hAnsi="宋体" w:eastAsia="宋体" w:cs="Times New Roman"/>
                <w:szCs w:val="21"/>
              </w:rPr>
              <w:t>√</w:t>
            </w:r>
          </w:p>
        </w:tc>
        <w:tc>
          <w:tcPr>
            <w:tcW w:w="993" w:type="dxa"/>
          </w:tcPr>
          <w:p w14:paraId="7F168740">
            <w:pPr>
              <w:spacing w:line="320" w:lineRule="exact"/>
              <w:contextualSpacing/>
              <w:jc w:val="center"/>
              <w:rPr>
                <w:rFonts w:ascii="Times New Roman" w:hAnsi="Times New Roman" w:eastAsia="宋体" w:cs="Times New Roman"/>
                <w:szCs w:val="21"/>
              </w:rPr>
            </w:pPr>
          </w:p>
        </w:tc>
        <w:tc>
          <w:tcPr>
            <w:tcW w:w="992" w:type="dxa"/>
            <w:vAlign w:val="center"/>
          </w:tcPr>
          <w:p w14:paraId="1E4F9ABD">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40</w:t>
            </w:r>
          </w:p>
        </w:tc>
      </w:tr>
      <w:tr w14:paraId="0FA3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07822338">
            <w:pPr>
              <w:spacing w:line="320" w:lineRule="exact"/>
              <w:contextualSpacing/>
              <w:jc w:val="left"/>
              <w:rPr>
                <w:rFonts w:hint="eastAsia" w:ascii="仿宋" w:hAnsi="仿宋" w:eastAsia="仿宋" w:cs="Times New Roman"/>
                <w:sz w:val="18"/>
                <w:szCs w:val="18"/>
              </w:rPr>
            </w:pPr>
            <w:r>
              <w:rPr>
                <w:rFonts w:hint="eastAsia" w:ascii="仿宋" w:hAnsi="仿宋" w:eastAsia="仿宋" w:cs="Times New Roman"/>
                <w:sz w:val="18"/>
                <w:szCs w:val="18"/>
              </w:rPr>
              <w:t>课程目标4</w:t>
            </w:r>
          </w:p>
        </w:tc>
        <w:tc>
          <w:tcPr>
            <w:tcW w:w="714" w:type="dxa"/>
            <w:vAlign w:val="center"/>
          </w:tcPr>
          <w:p w14:paraId="268DC322">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2783B423">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9" w:type="dxa"/>
            <w:vAlign w:val="center"/>
          </w:tcPr>
          <w:p w14:paraId="02A272D1">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2D1B7612">
            <w:pPr>
              <w:spacing w:line="320" w:lineRule="exact"/>
              <w:contextualSpacing/>
              <w:jc w:val="center"/>
              <w:rPr>
                <w:rFonts w:ascii="Times New Roman" w:hAnsi="Times New Roman" w:eastAsia="宋体" w:cs="Times New Roman"/>
                <w:szCs w:val="21"/>
              </w:rPr>
            </w:pPr>
          </w:p>
        </w:tc>
        <w:tc>
          <w:tcPr>
            <w:tcW w:w="713" w:type="dxa"/>
            <w:vAlign w:val="center"/>
          </w:tcPr>
          <w:p w14:paraId="118D6896">
            <w:pPr>
              <w:spacing w:line="320" w:lineRule="exact"/>
              <w:contextualSpacing/>
              <w:jc w:val="center"/>
              <w:rPr>
                <w:rFonts w:ascii="Times New Roman" w:hAnsi="Times New Roman" w:eastAsia="宋体" w:cs="Times New Roman"/>
                <w:szCs w:val="21"/>
              </w:rPr>
            </w:pPr>
          </w:p>
        </w:tc>
        <w:tc>
          <w:tcPr>
            <w:tcW w:w="711" w:type="dxa"/>
            <w:vAlign w:val="center"/>
          </w:tcPr>
          <w:p w14:paraId="78F1F704">
            <w:pPr>
              <w:jc w:val="center"/>
              <w:rPr>
                <w:rFonts w:hint="eastAsia"/>
              </w:rPr>
            </w:pPr>
            <w:r>
              <w:rPr>
                <w:rFonts w:hint="eastAsia" w:ascii="宋体" w:hAnsi="宋体" w:eastAsia="宋体" w:cs="Times New Roman"/>
                <w:szCs w:val="21"/>
              </w:rPr>
              <w:t>√</w:t>
            </w:r>
          </w:p>
        </w:tc>
        <w:tc>
          <w:tcPr>
            <w:tcW w:w="852" w:type="dxa"/>
          </w:tcPr>
          <w:p w14:paraId="759E3AF4">
            <w:pPr>
              <w:spacing w:line="320" w:lineRule="exact"/>
              <w:contextualSpacing/>
              <w:jc w:val="center"/>
              <w:rPr>
                <w:rFonts w:ascii="Times New Roman" w:hAnsi="Times New Roman" w:eastAsia="宋体" w:cs="Times New Roman"/>
                <w:szCs w:val="21"/>
              </w:rPr>
            </w:pPr>
          </w:p>
        </w:tc>
        <w:tc>
          <w:tcPr>
            <w:tcW w:w="993" w:type="dxa"/>
          </w:tcPr>
          <w:p w14:paraId="52488F10">
            <w:pPr>
              <w:jc w:val="center"/>
              <w:rPr>
                <w:rFonts w:hint="eastAsia"/>
              </w:rPr>
            </w:pPr>
            <w:r>
              <w:rPr>
                <w:rFonts w:hint="eastAsia" w:ascii="宋体" w:hAnsi="宋体" w:eastAsia="宋体" w:cs="Times New Roman"/>
                <w:szCs w:val="21"/>
              </w:rPr>
              <w:t>√</w:t>
            </w:r>
          </w:p>
        </w:tc>
        <w:tc>
          <w:tcPr>
            <w:tcW w:w="992" w:type="dxa"/>
            <w:vAlign w:val="center"/>
          </w:tcPr>
          <w:p w14:paraId="44A52C5C">
            <w:pPr>
              <w:spacing w:line="320" w:lineRule="exact"/>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5</w:t>
            </w:r>
          </w:p>
        </w:tc>
      </w:tr>
      <w:tr w14:paraId="2EFE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106CDE2F">
            <w:pPr>
              <w:spacing w:line="320" w:lineRule="exact"/>
              <w:contextualSpacing/>
              <w:jc w:val="left"/>
              <w:rPr>
                <w:rFonts w:ascii="Times New Roman" w:hAnsi="Times New Roman" w:eastAsia="宋体" w:cs="Times New Roman"/>
                <w:szCs w:val="21"/>
              </w:rPr>
            </w:pPr>
            <w:r>
              <w:rPr>
                <w:rFonts w:hint="eastAsia" w:ascii="Times New Roman" w:hAnsi="Times New Roman" w:eastAsia="宋体" w:cs="Times New Roman"/>
                <w:b/>
                <w:bCs/>
                <w:szCs w:val="21"/>
              </w:rPr>
              <w:t>合计</w:t>
            </w:r>
          </w:p>
        </w:tc>
        <w:tc>
          <w:tcPr>
            <w:tcW w:w="714" w:type="dxa"/>
            <w:vAlign w:val="center"/>
          </w:tcPr>
          <w:p w14:paraId="3B945FD4">
            <w:pPr>
              <w:spacing w:line="320" w:lineRule="exact"/>
              <w:contextualSpacing/>
              <w:jc w:val="center"/>
              <w:rPr>
                <w:rFonts w:ascii="Times New Roman" w:hAnsi="Times New Roman" w:eastAsia="宋体" w:cs="Times New Roman"/>
                <w:szCs w:val="21"/>
              </w:rPr>
            </w:pPr>
          </w:p>
        </w:tc>
        <w:tc>
          <w:tcPr>
            <w:tcW w:w="701" w:type="dxa"/>
            <w:vAlign w:val="center"/>
          </w:tcPr>
          <w:p w14:paraId="462D2F0B">
            <w:pPr>
              <w:spacing w:line="320" w:lineRule="exact"/>
              <w:contextualSpacing/>
              <w:jc w:val="center"/>
              <w:rPr>
                <w:rFonts w:ascii="Times New Roman" w:hAnsi="Times New Roman" w:eastAsia="宋体" w:cs="Times New Roman"/>
                <w:szCs w:val="21"/>
              </w:rPr>
            </w:pPr>
          </w:p>
        </w:tc>
        <w:tc>
          <w:tcPr>
            <w:tcW w:w="709" w:type="dxa"/>
            <w:vAlign w:val="center"/>
          </w:tcPr>
          <w:p w14:paraId="4E728978">
            <w:pPr>
              <w:spacing w:line="320" w:lineRule="exact"/>
              <w:contextualSpacing/>
              <w:jc w:val="center"/>
              <w:rPr>
                <w:rFonts w:ascii="Times New Roman" w:hAnsi="Times New Roman" w:eastAsia="宋体" w:cs="Times New Roman"/>
                <w:szCs w:val="21"/>
              </w:rPr>
            </w:pPr>
          </w:p>
        </w:tc>
        <w:tc>
          <w:tcPr>
            <w:tcW w:w="708" w:type="dxa"/>
            <w:vAlign w:val="center"/>
          </w:tcPr>
          <w:p w14:paraId="1B109D95">
            <w:pPr>
              <w:spacing w:line="320" w:lineRule="exact"/>
              <w:contextualSpacing/>
              <w:jc w:val="center"/>
              <w:rPr>
                <w:rFonts w:ascii="Times New Roman" w:hAnsi="Times New Roman" w:eastAsia="宋体" w:cs="Times New Roman"/>
                <w:szCs w:val="21"/>
              </w:rPr>
            </w:pPr>
          </w:p>
        </w:tc>
        <w:tc>
          <w:tcPr>
            <w:tcW w:w="713" w:type="dxa"/>
            <w:vAlign w:val="center"/>
          </w:tcPr>
          <w:p w14:paraId="677A2090">
            <w:pPr>
              <w:spacing w:line="320" w:lineRule="exact"/>
              <w:contextualSpacing/>
              <w:jc w:val="center"/>
              <w:rPr>
                <w:rFonts w:ascii="Times New Roman" w:hAnsi="Times New Roman" w:eastAsia="宋体" w:cs="Times New Roman"/>
                <w:szCs w:val="21"/>
              </w:rPr>
            </w:pPr>
          </w:p>
        </w:tc>
        <w:tc>
          <w:tcPr>
            <w:tcW w:w="711" w:type="dxa"/>
            <w:vAlign w:val="center"/>
          </w:tcPr>
          <w:p w14:paraId="5340206F">
            <w:pPr>
              <w:spacing w:line="320" w:lineRule="exact"/>
              <w:contextualSpacing/>
              <w:jc w:val="center"/>
              <w:rPr>
                <w:rFonts w:ascii="Times New Roman" w:hAnsi="Times New Roman" w:eastAsia="宋体" w:cs="Times New Roman"/>
                <w:szCs w:val="21"/>
              </w:rPr>
            </w:pPr>
          </w:p>
        </w:tc>
        <w:tc>
          <w:tcPr>
            <w:tcW w:w="852" w:type="dxa"/>
            <w:vAlign w:val="center"/>
          </w:tcPr>
          <w:p w14:paraId="5E292048">
            <w:pPr>
              <w:spacing w:line="320" w:lineRule="exact"/>
              <w:contextualSpacing/>
              <w:jc w:val="center"/>
              <w:rPr>
                <w:rFonts w:ascii="Times New Roman" w:hAnsi="Times New Roman" w:eastAsia="宋体" w:cs="Times New Roman"/>
                <w:szCs w:val="21"/>
              </w:rPr>
            </w:pPr>
          </w:p>
        </w:tc>
        <w:tc>
          <w:tcPr>
            <w:tcW w:w="993" w:type="dxa"/>
          </w:tcPr>
          <w:p w14:paraId="6AC861D0">
            <w:pPr>
              <w:spacing w:line="320" w:lineRule="exact"/>
              <w:contextualSpacing/>
              <w:jc w:val="center"/>
              <w:rPr>
                <w:rFonts w:ascii="Times New Roman" w:hAnsi="Times New Roman" w:eastAsia="宋体" w:cs="Times New Roman"/>
                <w:szCs w:val="21"/>
              </w:rPr>
            </w:pPr>
          </w:p>
        </w:tc>
        <w:tc>
          <w:tcPr>
            <w:tcW w:w="992" w:type="dxa"/>
            <w:vAlign w:val="center"/>
          </w:tcPr>
          <w:p w14:paraId="245D6BD7">
            <w:pPr>
              <w:spacing w:line="320" w:lineRule="exact"/>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1077849">
      <w:pPr>
        <w:spacing w:line="360" w:lineRule="auto"/>
        <w:ind w:firstLine="480" w:firstLineChars="200"/>
        <w:jc w:val="left"/>
        <w:rPr>
          <w:rFonts w:ascii="Times New Roman" w:hAnsi="Times New Roman" w:eastAsia="宋体" w:cs="Times New Roman"/>
          <w:sz w:val="24"/>
          <w:szCs w:val="24"/>
        </w:rPr>
      </w:pPr>
    </w:p>
    <w:p w14:paraId="169E3FB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00030D8">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表4 各部分的评价方式和成绩评定细则</w:t>
      </w:r>
    </w:p>
    <w:tbl>
      <w:tblPr>
        <w:tblStyle w:val="14"/>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6026"/>
        <w:gridCol w:w="1021"/>
      </w:tblGrid>
      <w:tr w14:paraId="1D99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12" w:type="dxa"/>
            <w:vAlign w:val="center"/>
          </w:tcPr>
          <w:p w14:paraId="325EA52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026" w:type="dxa"/>
            <w:vAlign w:val="center"/>
          </w:tcPr>
          <w:p w14:paraId="73F185E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成绩评定细则</w:t>
            </w:r>
          </w:p>
        </w:tc>
        <w:tc>
          <w:tcPr>
            <w:tcW w:w="1021" w:type="dxa"/>
            <w:vAlign w:val="center"/>
          </w:tcPr>
          <w:p w14:paraId="13AAE17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E35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16A8C6FD">
            <w:pPr>
              <w:rPr>
                <w:rFonts w:ascii="Times New Roman" w:hAnsi="Times New Roman" w:eastAsia="宋体" w:cs="Times New Roman"/>
                <w:b/>
                <w:bCs/>
                <w:szCs w:val="21"/>
              </w:rPr>
            </w:pPr>
            <w:r>
              <w:rPr>
                <w:rFonts w:hint="eastAsia" w:ascii="Times New Roman" w:hAnsi="Times New Roman" w:eastAsia="宋体" w:cs="Times New Roman"/>
                <w:b/>
                <w:bCs/>
                <w:szCs w:val="21"/>
              </w:rPr>
              <w:t>课堂表现</w:t>
            </w:r>
          </w:p>
        </w:tc>
        <w:tc>
          <w:tcPr>
            <w:tcW w:w="6026" w:type="dxa"/>
          </w:tcPr>
          <w:p w14:paraId="63E68431">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按出勤和课堂参与情况进行评分。全勤记</w:t>
            </w:r>
            <w:r>
              <w:rPr>
                <w:rFonts w:ascii="Times New Roman" w:hAnsi="Times New Roman" w:eastAsia="宋体" w:cs="Times New Roman"/>
                <w:szCs w:val="21"/>
              </w:rPr>
              <w:t>5分</w:t>
            </w:r>
            <w:r>
              <w:rPr>
                <w:rFonts w:hint="eastAsia" w:ascii="Times New Roman" w:hAnsi="Times New Roman" w:eastAsia="宋体" w:cs="Times New Roman"/>
                <w:szCs w:val="21"/>
              </w:rPr>
              <w:t>，</w:t>
            </w:r>
            <w:r>
              <w:rPr>
                <w:rFonts w:ascii="Times New Roman" w:hAnsi="Times New Roman" w:eastAsia="宋体" w:cs="Times New Roman"/>
                <w:szCs w:val="21"/>
              </w:rPr>
              <w:t>事假1节</w:t>
            </w:r>
            <w:r>
              <w:rPr>
                <w:rFonts w:hint="eastAsia" w:ascii="Times New Roman" w:hAnsi="Times New Roman" w:eastAsia="宋体" w:cs="Times New Roman"/>
                <w:szCs w:val="21"/>
              </w:rPr>
              <w:t>或</w:t>
            </w:r>
            <w:r>
              <w:rPr>
                <w:rFonts w:ascii="Times New Roman" w:hAnsi="Times New Roman" w:eastAsia="宋体" w:cs="Times New Roman"/>
                <w:szCs w:val="21"/>
              </w:rPr>
              <w:t>迟到、早退1次各扣1分</w:t>
            </w:r>
            <w:r>
              <w:rPr>
                <w:rFonts w:hint="eastAsia" w:ascii="Times New Roman" w:hAnsi="Times New Roman" w:eastAsia="宋体" w:cs="Times New Roman"/>
                <w:szCs w:val="21"/>
              </w:rPr>
              <w:t>，</w:t>
            </w:r>
            <w:r>
              <w:rPr>
                <w:rFonts w:ascii="Times New Roman" w:hAnsi="Times New Roman" w:eastAsia="宋体" w:cs="Times New Roman"/>
                <w:szCs w:val="21"/>
              </w:rPr>
              <w:t>无故旷课1次扣2分，无故旷课2次扣5分，</w:t>
            </w:r>
            <w:r>
              <w:rPr>
                <w:rFonts w:hint="eastAsia" w:ascii="Times New Roman" w:hAnsi="Times New Roman" w:eastAsia="宋体" w:cs="Times New Roman"/>
                <w:szCs w:val="21"/>
              </w:rPr>
              <w:t>无故</w:t>
            </w:r>
            <w:r>
              <w:rPr>
                <w:rFonts w:ascii="Times New Roman" w:hAnsi="Times New Roman" w:eastAsia="宋体" w:cs="Times New Roman"/>
                <w:szCs w:val="21"/>
              </w:rPr>
              <w:t>旷课3次及以上直接定为不及格。</w:t>
            </w:r>
            <w:r>
              <w:rPr>
                <w:rFonts w:hint="eastAsia" w:ascii="Times New Roman" w:hAnsi="Times New Roman" w:eastAsia="宋体" w:cs="Times New Roman"/>
                <w:szCs w:val="21"/>
              </w:rPr>
              <w:t>课堂参与满分5分。学生在</w:t>
            </w:r>
            <w:r>
              <w:rPr>
                <w:rFonts w:ascii="Times New Roman" w:hAnsi="Times New Roman" w:eastAsia="宋体" w:cs="Times New Roman"/>
                <w:szCs w:val="21"/>
              </w:rPr>
              <w:t>课堂上不做与学习无关的事</w:t>
            </w:r>
            <w:r>
              <w:rPr>
                <w:rFonts w:hint="eastAsia" w:ascii="Times New Roman" w:hAnsi="Times New Roman" w:eastAsia="宋体" w:cs="Times New Roman"/>
                <w:szCs w:val="21"/>
              </w:rPr>
              <w:t>，认真听课，</w:t>
            </w:r>
            <w:r>
              <w:rPr>
                <w:rFonts w:ascii="Times New Roman" w:hAnsi="Times New Roman" w:eastAsia="宋体" w:cs="Times New Roman"/>
                <w:szCs w:val="21"/>
              </w:rPr>
              <w:t>勤于思考，主动回答提问</w:t>
            </w:r>
            <w:r>
              <w:rPr>
                <w:rFonts w:hint="eastAsia" w:ascii="Times New Roman" w:hAnsi="Times New Roman" w:eastAsia="宋体" w:cs="Times New Roman"/>
                <w:szCs w:val="21"/>
              </w:rPr>
              <w:t>，</w:t>
            </w:r>
            <w:r>
              <w:rPr>
                <w:rFonts w:ascii="Times New Roman" w:hAnsi="Times New Roman" w:eastAsia="宋体" w:cs="Times New Roman"/>
                <w:szCs w:val="21"/>
              </w:rPr>
              <w:t>积极参加小组</w:t>
            </w:r>
            <w:r>
              <w:rPr>
                <w:rFonts w:hint="eastAsia" w:ascii="Times New Roman" w:hAnsi="Times New Roman" w:eastAsia="宋体" w:cs="Times New Roman"/>
                <w:szCs w:val="21"/>
              </w:rPr>
              <w:t>讨论。根据学生课堂表现酌情给分。</w:t>
            </w:r>
            <w:r>
              <w:rPr>
                <w:rFonts w:ascii="Times New Roman" w:hAnsi="Times New Roman" w:eastAsia="宋体" w:cs="Times New Roman"/>
                <w:szCs w:val="21"/>
              </w:rPr>
              <w:t xml:space="preserve"> </w:t>
            </w:r>
          </w:p>
        </w:tc>
        <w:tc>
          <w:tcPr>
            <w:tcW w:w="1021" w:type="dxa"/>
            <w:vAlign w:val="center"/>
          </w:tcPr>
          <w:p w14:paraId="1D6A330E">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177C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308E3912">
            <w:pPr>
              <w:rPr>
                <w:rFonts w:ascii="Times New Roman" w:hAnsi="Times New Roman" w:eastAsia="宋体" w:cs="Times New Roman"/>
                <w:b/>
                <w:bCs/>
                <w:szCs w:val="21"/>
              </w:rPr>
            </w:pPr>
            <w:r>
              <w:rPr>
                <w:rFonts w:hint="eastAsia" w:ascii="Times New Roman" w:hAnsi="Times New Roman" w:eastAsia="宋体" w:cs="Times New Roman"/>
                <w:b/>
                <w:bCs/>
                <w:szCs w:val="21"/>
              </w:rPr>
              <w:t>平时作业</w:t>
            </w:r>
          </w:p>
        </w:tc>
        <w:tc>
          <w:tcPr>
            <w:tcW w:w="6026" w:type="dxa"/>
          </w:tcPr>
          <w:p w14:paraId="5B302C19">
            <w:pPr>
              <w:spacing w:line="310" w:lineRule="exact"/>
              <w:jc w:val="left"/>
              <w:rPr>
                <w:rFonts w:hint="eastAsia" w:eastAsia="宋体"/>
                <w:szCs w:val="21"/>
              </w:rPr>
            </w:pPr>
            <w:r>
              <w:rPr>
                <w:rFonts w:hint="eastAsia" w:eastAsia="宋体"/>
                <w:szCs w:val="21"/>
              </w:rPr>
              <w:t xml:space="preserve">在本课程学习中，学生提交的文献综述、研究方法设计、研究方案设计（开题报告）的初稿、二稿为平时作业。 </w:t>
            </w:r>
          </w:p>
          <w:p w14:paraId="62189CA3">
            <w:pPr>
              <w:spacing w:line="310" w:lineRule="exact"/>
              <w:jc w:val="left"/>
              <w:rPr>
                <w:rFonts w:ascii="Times New Roman" w:hAnsi="Times New Roman" w:eastAsia="宋体" w:cs="Times New Roman"/>
                <w:szCs w:val="21"/>
              </w:rPr>
            </w:pPr>
            <w:r>
              <w:rPr>
                <w:rFonts w:hint="eastAsia" w:eastAsia="宋体"/>
                <w:szCs w:val="21"/>
              </w:rPr>
              <w:t>学生需认真完成平时作业，按时提交，无故迟交作业1次扣</w:t>
            </w:r>
            <w:r>
              <w:rPr>
                <w:rFonts w:eastAsia="宋体"/>
                <w:szCs w:val="21"/>
              </w:rPr>
              <w:t>1</w:t>
            </w:r>
            <w:r>
              <w:rPr>
                <w:rFonts w:hint="eastAsia" w:eastAsia="宋体"/>
                <w:szCs w:val="21"/>
              </w:rPr>
              <w:t>分。作业评定标准与各项目评分标准相同。</w:t>
            </w:r>
          </w:p>
        </w:tc>
        <w:tc>
          <w:tcPr>
            <w:tcW w:w="1021" w:type="dxa"/>
            <w:vAlign w:val="center"/>
          </w:tcPr>
          <w:p w14:paraId="653E0615">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D2E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1738C919">
            <w:pPr>
              <w:rPr>
                <w:rFonts w:ascii="Times New Roman" w:hAnsi="Times New Roman" w:eastAsia="宋体" w:cs="Times New Roman"/>
                <w:b/>
                <w:bCs/>
                <w:szCs w:val="21"/>
              </w:rPr>
            </w:pPr>
            <w:r>
              <w:rPr>
                <w:rFonts w:hint="eastAsia" w:ascii="Times New Roman" w:hAnsi="Times New Roman" w:eastAsia="宋体" w:cs="Times New Roman"/>
                <w:b/>
                <w:bCs/>
                <w:szCs w:val="21"/>
              </w:rPr>
              <w:t>自主学习</w:t>
            </w:r>
          </w:p>
        </w:tc>
        <w:tc>
          <w:tcPr>
            <w:tcW w:w="6026" w:type="dxa"/>
          </w:tcPr>
          <w:p w14:paraId="78877E60">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每个单元开课前，学生提前一周完成教材预习，登录课程网站完成预习测试；系统自动评定和记录每次成绩。</w:t>
            </w:r>
          </w:p>
        </w:tc>
        <w:tc>
          <w:tcPr>
            <w:tcW w:w="1021" w:type="dxa"/>
            <w:vAlign w:val="center"/>
          </w:tcPr>
          <w:p w14:paraId="01080ED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9BA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713AABB7">
            <w:pPr>
              <w:rPr>
                <w:rFonts w:ascii="Times New Roman" w:hAnsi="Times New Roman" w:eastAsia="宋体" w:cs="Times New Roman"/>
                <w:b/>
                <w:bCs/>
                <w:szCs w:val="21"/>
              </w:rPr>
            </w:pPr>
            <w:r>
              <w:rPr>
                <w:rFonts w:hint="eastAsia" w:ascii="Times New Roman" w:hAnsi="Times New Roman" w:eastAsia="宋体" w:cs="Times New Roman"/>
                <w:b/>
                <w:bCs/>
                <w:szCs w:val="21"/>
              </w:rPr>
              <w:t>合作学习</w:t>
            </w:r>
          </w:p>
        </w:tc>
        <w:tc>
          <w:tcPr>
            <w:tcW w:w="6026" w:type="dxa"/>
          </w:tcPr>
          <w:p w14:paraId="72DA7769">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合作学习主要体现在课堂小组讨论和课后小组合作完成项目设计之中。课堂小组合作主要以学生互评为主，评价依据为每个学生在小组合作中的参与度与投入度。小组合作完成的项目包括教育实验研究、个案研究、行动研究、叙事研究研究方案（4选2），评价标准为：</w:t>
            </w:r>
            <w:r>
              <w:rPr>
                <w:rFonts w:ascii="Times New Roman" w:hAnsi="Times New Roman" w:eastAsia="宋体" w:cs="Times New Roman"/>
                <w:szCs w:val="21"/>
              </w:rPr>
              <w:t>研究目的明确，问题界定清晰，研究计划详细具体，研究策略与方法科学合理，小组成员协调配合好</w:t>
            </w:r>
            <w:r>
              <w:rPr>
                <w:rFonts w:hint="eastAsia" w:ascii="Times New Roman" w:hAnsi="Times New Roman" w:eastAsia="宋体" w:cs="Times New Roman"/>
                <w:szCs w:val="21"/>
              </w:rPr>
              <w:t>，</w:t>
            </w:r>
            <w:r>
              <w:rPr>
                <w:rFonts w:ascii="Times New Roman" w:hAnsi="Times New Roman" w:eastAsia="宋体" w:cs="Times New Roman"/>
                <w:szCs w:val="21"/>
              </w:rPr>
              <w:t>语言通顺，打印规范。小组合作</w:t>
            </w:r>
            <w:r>
              <w:rPr>
                <w:rFonts w:hint="eastAsia" w:ascii="Times New Roman" w:hAnsi="Times New Roman" w:eastAsia="宋体" w:cs="Times New Roman"/>
                <w:szCs w:val="21"/>
              </w:rPr>
              <w:t>项目的</w:t>
            </w:r>
            <w:r>
              <w:rPr>
                <w:rFonts w:ascii="Times New Roman" w:hAnsi="Times New Roman" w:eastAsia="宋体" w:cs="Times New Roman"/>
                <w:szCs w:val="21"/>
              </w:rPr>
              <w:t>评价</w:t>
            </w:r>
            <w:r>
              <w:rPr>
                <w:rFonts w:hint="eastAsia" w:ascii="Times New Roman" w:hAnsi="Times New Roman" w:eastAsia="宋体" w:cs="Times New Roman"/>
                <w:szCs w:val="21"/>
              </w:rPr>
              <w:t>由</w:t>
            </w:r>
            <w:r>
              <w:rPr>
                <w:rFonts w:ascii="Times New Roman" w:hAnsi="Times New Roman" w:eastAsia="宋体" w:cs="Times New Roman"/>
                <w:szCs w:val="21"/>
              </w:rPr>
              <w:t>教师评价</w:t>
            </w:r>
            <w:r>
              <w:rPr>
                <w:rFonts w:hint="eastAsia" w:ascii="Times New Roman" w:hAnsi="Times New Roman" w:eastAsia="宋体" w:cs="Times New Roman"/>
                <w:szCs w:val="21"/>
              </w:rPr>
              <w:t>和</w:t>
            </w:r>
            <w:r>
              <w:rPr>
                <w:rFonts w:ascii="Times New Roman" w:hAnsi="Times New Roman" w:eastAsia="宋体" w:cs="Times New Roman"/>
                <w:szCs w:val="21"/>
              </w:rPr>
              <w:t>小组成员互评</w:t>
            </w:r>
            <w:r>
              <w:rPr>
                <w:rFonts w:hint="eastAsia" w:ascii="Times New Roman" w:hAnsi="Times New Roman" w:eastAsia="宋体" w:cs="Times New Roman"/>
                <w:szCs w:val="21"/>
              </w:rPr>
              <w:t>构成，各占5</w:t>
            </w:r>
            <w:r>
              <w:rPr>
                <w:rFonts w:ascii="Times New Roman" w:hAnsi="Times New Roman" w:eastAsia="宋体" w:cs="Times New Roman"/>
                <w:szCs w:val="21"/>
              </w:rPr>
              <w:t>0%。</w:t>
            </w:r>
          </w:p>
        </w:tc>
        <w:tc>
          <w:tcPr>
            <w:tcW w:w="1021" w:type="dxa"/>
            <w:vAlign w:val="center"/>
          </w:tcPr>
          <w:p w14:paraId="4223FD57">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3CED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10196DE1">
            <w:pPr>
              <w:rPr>
                <w:rFonts w:hint="eastAsia" w:ascii="仿宋" w:hAnsi="仿宋" w:eastAsia="仿宋" w:cs="Times New Roman"/>
                <w:b/>
                <w:bCs/>
                <w:sz w:val="18"/>
                <w:szCs w:val="18"/>
              </w:rPr>
            </w:pPr>
            <w:r>
              <w:rPr>
                <w:rFonts w:hint="eastAsia" w:ascii="Times New Roman" w:hAnsi="Times New Roman" w:eastAsia="宋体" w:cs="Times New Roman"/>
                <w:b/>
                <w:bCs/>
                <w:szCs w:val="21"/>
              </w:rPr>
              <w:t>文献综述</w:t>
            </w:r>
          </w:p>
        </w:tc>
        <w:tc>
          <w:tcPr>
            <w:tcW w:w="6026" w:type="dxa"/>
          </w:tcPr>
          <w:p w14:paraId="3A99129A">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学生完成文献综述的定稿后，教师进行成绩评定。文献综述的优秀等次（9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分）评分标准为：选题恰当，</w:t>
            </w:r>
            <w:r>
              <w:rPr>
                <w:rFonts w:ascii="Times New Roman" w:hAnsi="Times New Roman" w:eastAsia="宋体" w:cs="Times New Roman"/>
                <w:szCs w:val="21"/>
              </w:rPr>
              <w:t>标题规范、简明</w:t>
            </w:r>
            <w:r>
              <w:rPr>
                <w:rFonts w:hint="eastAsia" w:ascii="Times New Roman" w:hAnsi="Times New Roman" w:eastAsia="宋体" w:cs="Times New Roman"/>
                <w:szCs w:val="21"/>
              </w:rPr>
              <w:t>，</w:t>
            </w:r>
            <w:r>
              <w:rPr>
                <w:rFonts w:ascii="Times New Roman" w:hAnsi="Times New Roman" w:eastAsia="宋体" w:cs="Times New Roman"/>
                <w:szCs w:val="21"/>
              </w:rPr>
              <w:t>对本课题国内外研究现状把握准确、全面</w:t>
            </w:r>
            <w:r>
              <w:rPr>
                <w:rFonts w:hint="eastAsia" w:ascii="Times New Roman" w:hAnsi="Times New Roman" w:eastAsia="宋体" w:cs="Times New Roman"/>
                <w:szCs w:val="21"/>
              </w:rPr>
              <w:t>，</w:t>
            </w:r>
            <w:r>
              <w:rPr>
                <w:rFonts w:ascii="Times New Roman" w:hAnsi="Times New Roman" w:eastAsia="宋体" w:cs="Times New Roman"/>
                <w:szCs w:val="21"/>
              </w:rPr>
              <w:t>信息具体</w:t>
            </w:r>
            <w:r>
              <w:rPr>
                <w:rFonts w:hint="eastAsia" w:ascii="Times New Roman" w:hAnsi="Times New Roman" w:eastAsia="宋体" w:cs="Times New Roman"/>
                <w:szCs w:val="21"/>
              </w:rPr>
              <w:t>、</w:t>
            </w:r>
            <w:r>
              <w:rPr>
                <w:rFonts w:ascii="Times New Roman" w:hAnsi="Times New Roman" w:eastAsia="宋体" w:cs="Times New Roman"/>
                <w:szCs w:val="21"/>
              </w:rPr>
              <w:t>符合事实</w:t>
            </w:r>
            <w:r>
              <w:rPr>
                <w:rFonts w:hint="eastAsia" w:ascii="Times New Roman" w:hAnsi="Times New Roman" w:eastAsia="宋体" w:cs="Times New Roman"/>
                <w:szCs w:val="21"/>
              </w:rPr>
              <w:t>，</w:t>
            </w:r>
            <w:r>
              <w:rPr>
                <w:rFonts w:ascii="Times New Roman" w:hAnsi="Times New Roman" w:eastAsia="宋体" w:cs="Times New Roman"/>
                <w:szCs w:val="21"/>
              </w:rPr>
              <w:t>评述结合</w:t>
            </w:r>
            <w:r>
              <w:rPr>
                <w:rFonts w:hint="eastAsia" w:ascii="Times New Roman" w:hAnsi="Times New Roman" w:eastAsia="宋体" w:cs="Times New Roman"/>
                <w:szCs w:val="21"/>
              </w:rPr>
              <w:t>、</w:t>
            </w:r>
            <w:r>
              <w:rPr>
                <w:rFonts w:ascii="Times New Roman" w:hAnsi="Times New Roman" w:eastAsia="宋体" w:cs="Times New Roman"/>
                <w:szCs w:val="21"/>
              </w:rPr>
              <w:t>以评带述</w:t>
            </w:r>
            <w:r>
              <w:rPr>
                <w:rFonts w:hint="eastAsia" w:ascii="Times New Roman" w:hAnsi="Times New Roman" w:eastAsia="宋体" w:cs="Times New Roman"/>
                <w:szCs w:val="21"/>
              </w:rPr>
              <w:t>，</w:t>
            </w:r>
            <w:r>
              <w:rPr>
                <w:rFonts w:ascii="Times New Roman" w:hAnsi="Times New Roman" w:eastAsia="宋体" w:cs="Times New Roman"/>
                <w:szCs w:val="21"/>
              </w:rPr>
              <w:t>高度概括</w:t>
            </w:r>
            <w:r>
              <w:rPr>
                <w:rFonts w:hint="eastAsia" w:ascii="Times New Roman" w:hAnsi="Times New Roman" w:eastAsia="宋体" w:cs="Times New Roman"/>
                <w:szCs w:val="21"/>
              </w:rPr>
              <w:t>、</w:t>
            </w:r>
            <w:r>
              <w:rPr>
                <w:rFonts w:ascii="Times New Roman" w:hAnsi="Times New Roman" w:eastAsia="宋体" w:cs="Times New Roman"/>
                <w:szCs w:val="21"/>
              </w:rPr>
              <w:t>简洁明晰</w:t>
            </w:r>
            <w:r>
              <w:rPr>
                <w:rFonts w:hint="eastAsia" w:ascii="Times New Roman" w:hAnsi="Times New Roman" w:eastAsia="宋体" w:cs="Times New Roman"/>
                <w:szCs w:val="21"/>
              </w:rPr>
              <w:t>，</w:t>
            </w:r>
            <w:r>
              <w:rPr>
                <w:rFonts w:ascii="Times New Roman" w:hAnsi="Times New Roman" w:eastAsia="宋体" w:cs="Times New Roman"/>
                <w:szCs w:val="21"/>
              </w:rPr>
              <w:t>语句通顺</w:t>
            </w:r>
            <w:r>
              <w:rPr>
                <w:rFonts w:hint="eastAsia" w:ascii="Times New Roman" w:hAnsi="Times New Roman" w:eastAsia="宋体" w:cs="Times New Roman"/>
                <w:szCs w:val="21"/>
              </w:rPr>
              <w:t>、</w:t>
            </w:r>
            <w:r>
              <w:rPr>
                <w:rFonts w:ascii="Times New Roman" w:hAnsi="Times New Roman" w:eastAsia="宋体" w:cs="Times New Roman"/>
                <w:szCs w:val="21"/>
              </w:rPr>
              <w:t>层次清楚</w:t>
            </w:r>
            <w:r>
              <w:rPr>
                <w:rFonts w:hint="eastAsia" w:ascii="Times New Roman" w:hAnsi="Times New Roman" w:eastAsia="宋体" w:cs="Times New Roman"/>
                <w:szCs w:val="21"/>
              </w:rPr>
              <w:t>，</w:t>
            </w:r>
            <w:r>
              <w:rPr>
                <w:rFonts w:ascii="Times New Roman" w:hAnsi="Times New Roman" w:eastAsia="宋体" w:cs="Times New Roman"/>
                <w:szCs w:val="21"/>
              </w:rPr>
              <w:t>达到规定字数</w:t>
            </w:r>
            <w:r>
              <w:rPr>
                <w:rFonts w:hint="eastAsia" w:ascii="Times New Roman" w:hAnsi="Times New Roman" w:eastAsia="宋体" w:cs="Times New Roman"/>
                <w:szCs w:val="21"/>
              </w:rPr>
              <w:t>，</w:t>
            </w:r>
            <w:r>
              <w:rPr>
                <w:rFonts w:ascii="Times New Roman" w:hAnsi="Times New Roman" w:eastAsia="宋体" w:cs="Times New Roman"/>
                <w:szCs w:val="21"/>
              </w:rPr>
              <w:t>参考文献</w:t>
            </w:r>
            <w:r>
              <w:rPr>
                <w:rFonts w:hint="eastAsia" w:ascii="Times New Roman" w:hAnsi="Times New Roman" w:eastAsia="宋体" w:cs="Times New Roman"/>
                <w:szCs w:val="21"/>
              </w:rPr>
              <w:t>规范</w:t>
            </w:r>
            <w:r>
              <w:rPr>
                <w:rFonts w:ascii="Times New Roman" w:hAnsi="Times New Roman" w:eastAsia="宋体" w:cs="Times New Roman"/>
                <w:szCs w:val="21"/>
              </w:rPr>
              <w:t>；排版和打印符合要求。</w:t>
            </w:r>
            <w:r>
              <w:rPr>
                <w:rFonts w:hint="eastAsia" w:ascii="Times New Roman" w:hAnsi="Times New Roman" w:eastAsia="宋体" w:cs="Times New Roman"/>
                <w:szCs w:val="21"/>
              </w:rPr>
              <w:t>其他各等次评分标准参见《教育科学研究方法课程“文献综述”考核评分标准》，其中，有抄袭现象的直接按零分处理。</w:t>
            </w:r>
          </w:p>
        </w:tc>
        <w:tc>
          <w:tcPr>
            <w:tcW w:w="1021" w:type="dxa"/>
            <w:vAlign w:val="center"/>
          </w:tcPr>
          <w:p w14:paraId="1D6B6AD3">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r>
      <w:tr w14:paraId="170C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0D066F9C">
            <w:pPr>
              <w:rPr>
                <w:rFonts w:ascii="Times New Roman" w:hAnsi="Times New Roman" w:eastAsia="宋体" w:cs="Times New Roman"/>
                <w:b/>
                <w:bCs/>
                <w:szCs w:val="21"/>
              </w:rPr>
            </w:pPr>
            <w:r>
              <w:rPr>
                <w:rFonts w:hint="eastAsia" w:ascii="Times New Roman" w:hAnsi="Times New Roman" w:eastAsia="宋体" w:cs="Times New Roman"/>
                <w:b/>
                <w:bCs/>
                <w:szCs w:val="21"/>
              </w:rPr>
              <w:t>研究方法</w:t>
            </w:r>
          </w:p>
          <w:p w14:paraId="4AF46772">
            <w:pPr>
              <w:rPr>
                <w:rFonts w:ascii="Times New Roman" w:hAnsi="Times New Roman" w:eastAsia="宋体" w:cs="Times New Roman"/>
                <w:b/>
                <w:bCs/>
                <w:szCs w:val="21"/>
              </w:rPr>
            </w:pPr>
            <w:r>
              <w:rPr>
                <w:rFonts w:hint="eastAsia" w:ascii="Times New Roman" w:hAnsi="Times New Roman" w:eastAsia="宋体" w:cs="Times New Roman"/>
                <w:b/>
                <w:bCs/>
                <w:szCs w:val="21"/>
              </w:rPr>
              <w:t>设计</w:t>
            </w:r>
          </w:p>
        </w:tc>
        <w:tc>
          <w:tcPr>
            <w:tcW w:w="6026" w:type="dxa"/>
          </w:tcPr>
          <w:p w14:paraId="1D316DF6">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学生完成研究方法设计的定稿后，教师进行成绩评定。</w:t>
            </w:r>
            <w:r>
              <w:rPr>
                <w:rFonts w:hint="eastAsia" w:ascii="Calibri" w:hAnsi="Calibri" w:eastAsia="宋体" w:cs="Arial"/>
                <w:szCs w:val="21"/>
              </w:rPr>
              <w:t>个人研究项目主要为调查问卷、访谈提纲、观察量表的设计，其中，调查问卷的优秀</w:t>
            </w:r>
            <w:r>
              <w:rPr>
                <w:rFonts w:hint="eastAsia" w:ascii="Times New Roman" w:hAnsi="Times New Roman" w:eastAsia="宋体" w:cs="Times New Roman"/>
                <w:szCs w:val="21"/>
              </w:rPr>
              <w:t>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w:t>
            </w:r>
            <w:r>
              <w:rPr>
                <w:rFonts w:hint="eastAsia" w:ascii="Calibri" w:hAnsi="Calibri" w:eastAsia="宋体" w:cs="Arial"/>
                <w:szCs w:val="21"/>
              </w:rPr>
              <w:t>调查目的明确，指导语简明、规范，尊重被调查者隐私，变量设计全面、合理，问题表述明确，选项设计合理，问卷逻辑明晰，语言文字表述清晰，问卷容量合理，排版和打印符合要求。</w:t>
            </w:r>
            <w:r>
              <w:rPr>
                <w:rFonts w:hint="eastAsia" w:ascii="Times New Roman" w:hAnsi="Times New Roman" w:eastAsia="宋体" w:cs="Times New Roman"/>
                <w:szCs w:val="21"/>
              </w:rPr>
              <w:t>其他各等次评分标准参见《教育科学研究方法课程“研究方法设计”考核评分标准》，其中，有抄袭现象的直接按零分处理。</w:t>
            </w:r>
          </w:p>
        </w:tc>
        <w:tc>
          <w:tcPr>
            <w:tcW w:w="1021" w:type="dxa"/>
            <w:vAlign w:val="center"/>
          </w:tcPr>
          <w:p w14:paraId="0C543F47">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r>
      <w:tr w14:paraId="2071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49A02C32">
            <w:pPr>
              <w:rPr>
                <w:rFonts w:ascii="Times New Roman" w:hAnsi="Times New Roman" w:eastAsia="宋体" w:cs="Times New Roman"/>
                <w:b/>
                <w:bCs/>
                <w:szCs w:val="21"/>
              </w:rPr>
            </w:pPr>
            <w:r>
              <w:rPr>
                <w:rFonts w:hint="eastAsia" w:ascii="Times New Roman" w:hAnsi="Times New Roman" w:eastAsia="宋体" w:cs="Times New Roman"/>
                <w:b/>
                <w:bCs/>
                <w:szCs w:val="21"/>
              </w:rPr>
              <w:t>研究方案</w:t>
            </w:r>
          </w:p>
          <w:p w14:paraId="20CC66D0">
            <w:pPr>
              <w:rPr>
                <w:rFonts w:ascii="Times New Roman" w:hAnsi="Times New Roman" w:eastAsia="宋体" w:cs="Times New Roman"/>
                <w:b/>
                <w:bCs/>
                <w:szCs w:val="21"/>
              </w:rPr>
            </w:pPr>
            <w:r>
              <w:rPr>
                <w:rFonts w:hint="eastAsia" w:ascii="Times New Roman" w:hAnsi="Times New Roman" w:eastAsia="宋体" w:cs="Times New Roman"/>
                <w:b/>
                <w:bCs/>
                <w:szCs w:val="21"/>
              </w:rPr>
              <w:t>设计</w:t>
            </w:r>
          </w:p>
        </w:tc>
        <w:tc>
          <w:tcPr>
            <w:tcW w:w="6026" w:type="dxa"/>
          </w:tcPr>
          <w:p w14:paraId="5C90FB93">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学生完成研究方案设计的定稿后，教师进行成绩评定。研究方案设计的优秀等次（9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分）评分标准为：课题名称简明、规范，</w:t>
            </w:r>
            <w:r>
              <w:rPr>
                <w:rFonts w:ascii="Times New Roman" w:hAnsi="Times New Roman" w:eastAsia="宋体" w:cs="Times New Roman"/>
                <w:szCs w:val="21"/>
              </w:rPr>
              <w:t>课题有重要研究意义</w:t>
            </w:r>
            <w:r>
              <w:rPr>
                <w:rFonts w:hint="eastAsia" w:ascii="Times New Roman" w:hAnsi="Times New Roman" w:eastAsia="宋体" w:cs="Times New Roman"/>
                <w:szCs w:val="21"/>
              </w:rPr>
              <w:t>，</w:t>
            </w:r>
            <w:r>
              <w:rPr>
                <w:rFonts w:ascii="Times New Roman" w:hAnsi="Times New Roman" w:eastAsia="宋体" w:cs="Times New Roman"/>
                <w:szCs w:val="21"/>
              </w:rPr>
              <w:t>理论与实践价值表达规范</w:t>
            </w:r>
            <w:r>
              <w:rPr>
                <w:rFonts w:hint="eastAsia" w:ascii="Times New Roman" w:hAnsi="Times New Roman" w:eastAsia="宋体" w:cs="Times New Roman"/>
                <w:szCs w:val="21"/>
              </w:rPr>
              <w:t>，</w:t>
            </w:r>
            <w:r>
              <w:rPr>
                <w:rFonts w:ascii="Times New Roman" w:hAnsi="Times New Roman" w:eastAsia="宋体" w:cs="Times New Roman"/>
                <w:szCs w:val="21"/>
              </w:rPr>
              <w:t>课题研究动态把握全面</w:t>
            </w:r>
            <w:r>
              <w:rPr>
                <w:rFonts w:hint="eastAsia" w:ascii="Times New Roman" w:hAnsi="Times New Roman" w:eastAsia="宋体" w:cs="Times New Roman"/>
                <w:szCs w:val="21"/>
              </w:rPr>
              <w:t>，</w:t>
            </w:r>
            <w:r>
              <w:rPr>
                <w:rFonts w:ascii="Times New Roman" w:hAnsi="Times New Roman" w:eastAsia="宋体" w:cs="Times New Roman"/>
                <w:szCs w:val="21"/>
              </w:rPr>
              <w:t>研究思路清晰</w:t>
            </w:r>
            <w:r>
              <w:rPr>
                <w:rFonts w:hint="eastAsia" w:ascii="Times New Roman" w:hAnsi="Times New Roman" w:eastAsia="宋体" w:cs="Times New Roman"/>
                <w:szCs w:val="21"/>
              </w:rPr>
              <w:t>，</w:t>
            </w:r>
            <w:r>
              <w:rPr>
                <w:rFonts w:ascii="Times New Roman" w:hAnsi="Times New Roman" w:eastAsia="宋体" w:cs="Times New Roman"/>
                <w:szCs w:val="21"/>
              </w:rPr>
              <w:t>研究方法选用恰当</w:t>
            </w:r>
            <w:r>
              <w:rPr>
                <w:rFonts w:hint="eastAsia" w:ascii="Times New Roman" w:hAnsi="Times New Roman" w:eastAsia="宋体" w:cs="Times New Roman"/>
                <w:szCs w:val="21"/>
              </w:rPr>
              <w:t>，</w:t>
            </w:r>
            <w:r>
              <w:rPr>
                <w:rFonts w:ascii="Times New Roman" w:hAnsi="Times New Roman" w:eastAsia="宋体" w:cs="Times New Roman"/>
                <w:szCs w:val="21"/>
              </w:rPr>
              <w:t>论文研究提纲清晰</w:t>
            </w:r>
            <w:r>
              <w:rPr>
                <w:rFonts w:hint="eastAsia" w:ascii="Times New Roman" w:hAnsi="Times New Roman" w:eastAsia="宋体" w:cs="Times New Roman"/>
                <w:szCs w:val="21"/>
              </w:rPr>
              <w:t>，</w:t>
            </w:r>
            <w:r>
              <w:rPr>
                <w:rFonts w:ascii="Times New Roman" w:hAnsi="Times New Roman" w:eastAsia="宋体" w:cs="Times New Roman"/>
                <w:szCs w:val="21"/>
              </w:rPr>
              <w:t>预期目标具体、合理</w:t>
            </w:r>
            <w:r>
              <w:rPr>
                <w:rFonts w:hint="eastAsia" w:ascii="Times New Roman" w:hAnsi="Times New Roman" w:eastAsia="宋体" w:cs="Times New Roman"/>
                <w:szCs w:val="21"/>
              </w:rPr>
              <w:t>，</w:t>
            </w:r>
            <w:r>
              <w:rPr>
                <w:rFonts w:ascii="Times New Roman" w:hAnsi="Times New Roman" w:eastAsia="宋体" w:cs="Times New Roman"/>
                <w:szCs w:val="21"/>
              </w:rPr>
              <w:t>按要求列出参考文献</w:t>
            </w:r>
            <w:r>
              <w:rPr>
                <w:rFonts w:hint="eastAsia" w:ascii="Times New Roman" w:hAnsi="Times New Roman" w:eastAsia="宋体" w:cs="Times New Roman"/>
                <w:szCs w:val="21"/>
              </w:rPr>
              <w:t>，</w:t>
            </w:r>
            <w:r>
              <w:rPr>
                <w:rFonts w:ascii="Times New Roman" w:hAnsi="Times New Roman" w:eastAsia="宋体" w:cs="Times New Roman"/>
                <w:szCs w:val="21"/>
              </w:rPr>
              <w:t>排版和打印符合要求。</w:t>
            </w:r>
            <w:r>
              <w:rPr>
                <w:rFonts w:hint="eastAsia" w:ascii="Times New Roman" w:hAnsi="Times New Roman" w:eastAsia="宋体" w:cs="Times New Roman"/>
                <w:szCs w:val="21"/>
              </w:rPr>
              <w:t>其他各等次评分标准参见《教育科学研究方法课程“研究方案设计”考核评分标准》，其中，有抄袭现象的直接按零分处理。</w:t>
            </w:r>
          </w:p>
        </w:tc>
        <w:tc>
          <w:tcPr>
            <w:tcW w:w="1021" w:type="dxa"/>
            <w:vAlign w:val="center"/>
          </w:tcPr>
          <w:p w14:paraId="41101137">
            <w:pPr>
              <w:jc w:val="center"/>
              <w:rPr>
                <w:rFonts w:ascii="Times New Roman" w:hAnsi="Times New Roman" w:eastAsia="宋体" w:cs="Times New Roman"/>
                <w:szCs w:val="21"/>
              </w:rPr>
            </w:pPr>
            <w:r>
              <w:rPr>
                <w:rFonts w:ascii="Times New Roman" w:hAnsi="Times New Roman" w:eastAsia="宋体" w:cs="Times New Roman"/>
                <w:szCs w:val="21"/>
              </w:rPr>
              <w:t>20</w:t>
            </w:r>
            <w:r>
              <w:rPr>
                <w:rFonts w:hint="eastAsia" w:ascii="Times New Roman" w:hAnsi="Times New Roman" w:eastAsia="宋体" w:cs="Times New Roman"/>
                <w:szCs w:val="21"/>
              </w:rPr>
              <w:t>%</w:t>
            </w:r>
          </w:p>
        </w:tc>
      </w:tr>
      <w:tr w14:paraId="5A7D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35447422">
            <w:pPr>
              <w:rPr>
                <w:rFonts w:ascii="Times New Roman" w:hAnsi="Times New Roman" w:eastAsia="宋体" w:cs="Times New Roman"/>
                <w:b/>
                <w:bCs/>
                <w:szCs w:val="21"/>
              </w:rPr>
            </w:pPr>
            <w:r>
              <w:rPr>
                <w:rFonts w:hint="eastAsia" w:ascii="Times New Roman" w:hAnsi="Times New Roman" w:eastAsia="宋体" w:cs="Times New Roman"/>
                <w:b/>
                <w:bCs/>
                <w:szCs w:val="21"/>
              </w:rPr>
              <w:t>汇报展示</w:t>
            </w:r>
          </w:p>
        </w:tc>
        <w:tc>
          <w:tcPr>
            <w:tcW w:w="6026" w:type="dxa"/>
          </w:tcPr>
          <w:p w14:paraId="1E280F73">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小组合作项目在学期末进行集中ppt汇报，每组每个项目的汇报时间不超过6分钟。每个小组成员均要进行汇报，每人每个项目的汇报时间1分钟左右。汇报展示的评价由教师评价和学生评价构成，主要考察学生对研究方法的掌握程度和语言表达的流利程度。</w:t>
            </w:r>
          </w:p>
        </w:tc>
        <w:tc>
          <w:tcPr>
            <w:tcW w:w="1021" w:type="dxa"/>
            <w:vAlign w:val="center"/>
          </w:tcPr>
          <w:p w14:paraId="01E5731E">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w:t>
            </w:r>
          </w:p>
        </w:tc>
      </w:tr>
      <w:tr w14:paraId="3494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2BDAC050">
            <w:pPr>
              <w:rPr>
                <w:rFonts w:ascii="Times New Roman" w:hAnsi="Times New Roman" w:eastAsia="宋体" w:cs="Times New Roman"/>
                <w:b/>
                <w:bCs/>
                <w:szCs w:val="21"/>
              </w:rPr>
            </w:pPr>
            <w:r>
              <w:rPr>
                <w:rFonts w:hint="eastAsia" w:ascii="Times New Roman" w:hAnsi="Times New Roman" w:eastAsia="宋体" w:cs="Times New Roman"/>
                <w:b/>
                <w:bCs/>
                <w:szCs w:val="21"/>
              </w:rPr>
              <w:t>期末考试</w:t>
            </w:r>
          </w:p>
        </w:tc>
        <w:tc>
          <w:tcPr>
            <w:tcW w:w="6026" w:type="dxa"/>
          </w:tcPr>
          <w:p w14:paraId="02108380">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特别说明：本课程为考核方法改革课程，学生完成个人考核项目（文献综述、研究方案设计、研究方法设计）并取得合格成绩，即为期末考试成绩合格，不再另行组织期末考试。评分细则见各项目评分标准。</w:t>
            </w:r>
          </w:p>
          <w:p w14:paraId="4E916F16">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说明：本部分满分</w:t>
            </w:r>
            <w:r>
              <w:rPr>
                <w:rFonts w:ascii="Times New Roman" w:hAnsi="Times New Roman" w:eastAsia="宋体" w:cs="Times New Roman"/>
                <w:szCs w:val="21"/>
              </w:rPr>
              <w:t>50</w:t>
            </w:r>
            <w:r>
              <w:rPr>
                <w:rFonts w:hint="eastAsia" w:ascii="Times New Roman" w:hAnsi="Times New Roman" w:eastAsia="宋体" w:cs="Times New Roman"/>
                <w:szCs w:val="21"/>
              </w:rPr>
              <w:t>分（即文献综述1</w:t>
            </w:r>
            <w:r>
              <w:rPr>
                <w:rFonts w:ascii="Times New Roman" w:hAnsi="Times New Roman" w:eastAsia="宋体" w:cs="Times New Roman"/>
                <w:szCs w:val="21"/>
              </w:rPr>
              <w:t>5</w:t>
            </w:r>
            <w:r>
              <w:rPr>
                <w:rFonts w:hint="eastAsia" w:ascii="Times New Roman" w:hAnsi="Times New Roman" w:eastAsia="宋体" w:cs="Times New Roman"/>
                <w:szCs w:val="21"/>
              </w:rPr>
              <w:t>分+研究方法设计1</w:t>
            </w:r>
            <w:r>
              <w:rPr>
                <w:rFonts w:ascii="Times New Roman" w:hAnsi="Times New Roman" w:eastAsia="宋体" w:cs="Times New Roman"/>
                <w:szCs w:val="21"/>
              </w:rPr>
              <w:t>5</w:t>
            </w:r>
            <w:r>
              <w:rPr>
                <w:rFonts w:hint="eastAsia" w:ascii="Times New Roman" w:hAnsi="Times New Roman" w:eastAsia="宋体" w:cs="Times New Roman"/>
                <w:szCs w:val="21"/>
              </w:rPr>
              <w:t>分+研究方案设计2</w:t>
            </w:r>
            <w:r>
              <w:rPr>
                <w:rFonts w:ascii="Times New Roman" w:hAnsi="Times New Roman" w:eastAsia="宋体" w:cs="Times New Roman"/>
                <w:szCs w:val="21"/>
              </w:rPr>
              <w:t>0</w:t>
            </w:r>
            <w:r>
              <w:rPr>
                <w:rFonts w:hint="eastAsia" w:ascii="Times New Roman" w:hAnsi="Times New Roman" w:eastAsia="宋体" w:cs="Times New Roman"/>
                <w:szCs w:val="21"/>
              </w:rPr>
              <w:t>），不重复计分。</w:t>
            </w:r>
          </w:p>
        </w:tc>
        <w:tc>
          <w:tcPr>
            <w:tcW w:w="1021" w:type="dxa"/>
            <w:vAlign w:val="center"/>
          </w:tcPr>
          <w:p w14:paraId="3C5F7191">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0%）</w:t>
            </w:r>
          </w:p>
        </w:tc>
      </w:tr>
      <w:tr w14:paraId="1864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12" w:type="dxa"/>
          </w:tcPr>
          <w:p w14:paraId="43AF060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026" w:type="dxa"/>
          </w:tcPr>
          <w:p w14:paraId="2C869887">
            <w:pPr>
              <w:jc w:val="left"/>
              <w:rPr>
                <w:rFonts w:ascii="Times New Roman" w:hAnsi="Times New Roman" w:eastAsia="宋体" w:cs="Times New Roman"/>
                <w:szCs w:val="21"/>
              </w:rPr>
            </w:pPr>
          </w:p>
        </w:tc>
        <w:tc>
          <w:tcPr>
            <w:tcW w:w="1021" w:type="dxa"/>
            <w:vAlign w:val="center"/>
          </w:tcPr>
          <w:p w14:paraId="42963B0D">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EEEECF8">
      <w:pPr>
        <w:spacing w:line="360" w:lineRule="auto"/>
        <w:jc w:val="left"/>
        <w:rPr>
          <w:rFonts w:hint="eastAsia" w:ascii="宋体" w:hAnsi="宋体" w:eastAsia="宋体" w:cs="Times New Roman"/>
          <w:b/>
          <w:sz w:val="24"/>
          <w:szCs w:val="24"/>
        </w:rPr>
      </w:pPr>
    </w:p>
    <w:p w14:paraId="55C15257">
      <w:pPr>
        <w:spacing w:line="360" w:lineRule="auto"/>
        <w:jc w:val="left"/>
        <w:rPr>
          <w:rFonts w:hint="eastAsia" w:ascii="宋体" w:hAnsi="宋体" w:eastAsia="宋体" w:cs="Times New Roman"/>
          <w:b/>
          <w:sz w:val="24"/>
          <w:szCs w:val="24"/>
        </w:rPr>
      </w:pPr>
      <w:r>
        <w:rPr>
          <w:rFonts w:hint="eastAsia" w:ascii="宋体" w:hAnsi="宋体" w:eastAsia="宋体" w:cs="Times New Roman"/>
          <w:b/>
          <w:sz w:val="24"/>
          <w:szCs w:val="24"/>
        </w:rPr>
        <w:t>（三）课程目标达成度计算方法</w:t>
      </w:r>
    </w:p>
    <w:p w14:paraId="7480BBC1">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09AFC763">
      <w:pPr>
        <w:spacing w:before="156" w:beforeLines="50"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object>
          <v:shape id="_x0000_i1046" o:spt="75" type="#_x0000_t75" style="height:25.05pt;width:404.65pt;" o:ole="t" filled="f" o:preferrelative="t" stroked="f" coordsize="21600,21600">
            <v:path/>
            <v:fill on="f" focussize="0,0"/>
            <v:stroke on="f" joinstyle="miter"/>
            <v:imagedata r:id="rId5" o:title=""/>
            <o:lock v:ext="edit" aspectratio="t"/>
            <w10:wrap type="none"/>
            <w10:anchorlock/>
          </v:shape>
          <o:OLEObject Type="Embed" ProgID="Equation.3" ShapeID="_x0000_i1046" DrawAspect="Content" ObjectID="_1468075746" r:id="rId31">
            <o:LockedField>false</o:LockedField>
          </o:OLEObject>
        </w:object>
      </w:r>
    </w:p>
    <w:p w14:paraId="3780E693">
      <w:pPr>
        <w:bidi w:val="0"/>
        <w:rPr>
          <w:rFonts w:hint="eastAsia"/>
        </w:rPr>
      </w:pPr>
      <w:r>
        <w:rPr>
          <w:rFonts w:hint="eastAsia"/>
        </w:rPr>
        <w:t>五、课程实践（课内实践）</w:t>
      </w:r>
    </w:p>
    <w:tbl>
      <w:tblPr>
        <w:tblStyle w:val="13"/>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10"/>
        <w:gridCol w:w="3260"/>
        <w:gridCol w:w="1276"/>
        <w:gridCol w:w="708"/>
        <w:gridCol w:w="851"/>
        <w:gridCol w:w="908"/>
      </w:tblGrid>
      <w:tr w14:paraId="1201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77" w:type="dxa"/>
            <w:shd w:val="clear" w:color="auto" w:fill="FFFFFF"/>
            <w:vAlign w:val="center"/>
          </w:tcPr>
          <w:p w14:paraId="671A656C">
            <w:pPr>
              <w:jc w:val="center"/>
              <w:rPr>
                <w:rFonts w:ascii="Times New Roman" w:hAnsi="Times New Roman" w:eastAsia="宋体" w:cs="Times New Roman"/>
                <w:szCs w:val="21"/>
              </w:rPr>
            </w:pPr>
            <w:r>
              <w:rPr>
                <w:rFonts w:hint="eastAsia" w:ascii="Times New Roman" w:hAnsi="Times New Roman" w:eastAsia="宋体" w:cs="Times New Roman"/>
                <w:szCs w:val="21"/>
              </w:rPr>
              <w:t>序号</w:t>
            </w:r>
          </w:p>
        </w:tc>
        <w:tc>
          <w:tcPr>
            <w:tcW w:w="1610" w:type="dxa"/>
            <w:shd w:val="clear" w:color="auto" w:fill="FFFFFF"/>
            <w:vAlign w:val="center"/>
          </w:tcPr>
          <w:p w14:paraId="7AB1E022">
            <w:pPr>
              <w:jc w:val="center"/>
              <w:rPr>
                <w:rFonts w:ascii="Times New Roman" w:hAnsi="Times New Roman" w:eastAsia="宋体" w:cs="Times New Roman"/>
                <w:szCs w:val="21"/>
              </w:rPr>
            </w:pPr>
            <w:r>
              <w:rPr>
                <w:rFonts w:hint="eastAsia" w:ascii="Times New Roman" w:hAnsi="Times New Roman" w:eastAsia="宋体" w:cs="Times New Roman"/>
                <w:szCs w:val="21"/>
              </w:rPr>
              <w:t>实验（实践）</w:t>
            </w:r>
          </w:p>
          <w:p w14:paraId="14F07AE1">
            <w:pPr>
              <w:jc w:val="center"/>
              <w:rPr>
                <w:rFonts w:ascii="Times New Roman" w:hAnsi="Times New Roman" w:eastAsia="宋体" w:cs="Times New Roman"/>
                <w:szCs w:val="21"/>
              </w:rPr>
            </w:pPr>
            <w:r>
              <w:rPr>
                <w:rFonts w:hint="eastAsia" w:ascii="Times New Roman" w:hAnsi="Times New Roman" w:eastAsia="宋体" w:cs="Times New Roman"/>
                <w:szCs w:val="21"/>
              </w:rPr>
              <w:t>项目名称</w:t>
            </w:r>
          </w:p>
        </w:tc>
        <w:tc>
          <w:tcPr>
            <w:tcW w:w="3260" w:type="dxa"/>
            <w:shd w:val="clear" w:color="auto" w:fill="FFFFFF"/>
            <w:vAlign w:val="center"/>
          </w:tcPr>
          <w:p w14:paraId="68A6CD65">
            <w:pPr>
              <w:jc w:val="center"/>
              <w:rPr>
                <w:rFonts w:ascii="Times New Roman" w:hAnsi="Times New Roman" w:eastAsia="宋体" w:cs="Times New Roman"/>
                <w:szCs w:val="21"/>
              </w:rPr>
            </w:pPr>
            <w:r>
              <w:rPr>
                <w:rFonts w:hint="eastAsia" w:ascii="Times New Roman" w:hAnsi="Times New Roman" w:eastAsia="宋体" w:cs="Times New Roman"/>
                <w:szCs w:val="21"/>
              </w:rPr>
              <w:t>实验（实践）项目</w:t>
            </w:r>
          </w:p>
          <w:p w14:paraId="62229CB7">
            <w:pPr>
              <w:jc w:val="center"/>
              <w:rPr>
                <w:rFonts w:ascii="Times New Roman" w:hAnsi="Times New Roman" w:eastAsia="宋体" w:cs="Times New Roman"/>
                <w:szCs w:val="21"/>
              </w:rPr>
            </w:pPr>
            <w:r>
              <w:rPr>
                <w:rFonts w:hint="eastAsia" w:ascii="Times New Roman" w:hAnsi="Times New Roman" w:eastAsia="宋体" w:cs="Times New Roman"/>
                <w:szCs w:val="21"/>
              </w:rPr>
              <w:t>内容及要求</w:t>
            </w:r>
          </w:p>
        </w:tc>
        <w:tc>
          <w:tcPr>
            <w:tcW w:w="1276" w:type="dxa"/>
            <w:shd w:val="clear" w:color="auto" w:fill="FFFFFF"/>
            <w:vAlign w:val="center"/>
          </w:tcPr>
          <w:p w14:paraId="64E31070">
            <w:pPr>
              <w:jc w:val="center"/>
              <w:rPr>
                <w:rFonts w:ascii="Times New Roman" w:hAnsi="Times New Roman" w:eastAsia="宋体" w:cs="Times New Roman"/>
                <w:szCs w:val="21"/>
              </w:rPr>
            </w:pPr>
            <w:r>
              <w:rPr>
                <w:rFonts w:hint="eastAsia" w:ascii="Times New Roman" w:hAnsi="Times New Roman" w:eastAsia="宋体" w:cs="Times New Roman"/>
                <w:szCs w:val="21"/>
              </w:rPr>
              <w:t>对</w:t>
            </w:r>
            <w:r>
              <w:rPr>
                <w:rFonts w:ascii="Times New Roman" w:hAnsi="Times New Roman" w:eastAsia="宋体" w:cs="Times New Roman"/>
                <w:szCs w:val="21"/>
              </w:rPr>
              <w:t>毕业要求</w:t>
            </w:r>
          </w:p>
          <w:p w14:paraId="75FA9178">
            <w:pPr>
              <w:jc w:val="center"/>
              <w:rPr>
                <w:rFonts w:ascii="Times New Roman" w:hAnsi="Times New Roman" w:eastAsia="宋体" w:cs="Times New Roman"/>
                <w:szCs w:val="21"/>
              </w:rPr>
            </w:pPr>
            <w:r>
              <w:rPr>
                <w:rFonts w:hint="eastAsia" w:ascii="Times New Roman" w:hAnsi="Times New Roman" w:eastAsia="宋体" w:cs="Times New Roman"/>
                <w:szCs w:val="21"/>
              </w:rPr>
              <w:t>的</w:t>
            </w:r>
            <w:r>
              <w:rPr>
                <w:rFonts w:ascii="Times New Roman" w:hAnsi="Times New Roman" w:eastAsia="宋体" w:cs="Times New Roman"/>
                <w:szCs w:val="21"/>
              </w:rPr>
              <w:t>支撑</w:t>
            </w:r>
          </w:p>
        </w:tc>
        <w:tc>
          <w:tcPr>
            <w:tcW w:w="708" w:type="dxa"/>
            <w:shd w:val="clear" w:color="auto" w:fill="FFFFFF"/>
            <w:vAlign w:val="center"/>
          </w:tcPr>
          <w:p w14:paraId="28ABA14E">
            <w:pPr>
              <w:rPr>
                <w:rFonts w:ascii="Times New Roman" w:hAnsi="Times New Roman" w:eastAsia="宋体" w:cs="Times New Roman"/>
                <w:szCs w:val="21"/>
              </w:rPr>
            </w:pPr>
            <w:r>
              <w:rPr>
                <w:rFonts w:ascii="Times New Roman" w:hAnsi="Times New Roman" w:eastAsia="宋体" w:cs="Times New Roman"/>
                <w:szCs w:val="21"/>
              </w:rPr>
              <w:t>学时</w:t>
            </w:r>
          </w:p>
        </w:tc>
        <w:tc>
          <w:tcPr>
            <w:tcW w:w="851" w:type="dxa"/>
            <w:shd w:val="clear" w:color="auto" w:fill="FFFFFF"/>
            <w:vAlign w:val="center"/>
          </w:tcPr>
          <w:p w14:paraId="5B57F8CA">
            <w:pPr>
              <w:jc w:val="center"/>
              <w:rPr>
                <w:rFonts w:ascii="Times New Roman" w:hAnsi="Times New Roman" w:eastAsia="宋体" w:cs="Times New Roman"/>
                <w:szCs w:val="21"/>
              </w:rPr>
            </w:pPr>
            <w:r>
              <w:rPr>
                <w:rFonts w:hint="eastAsia" w:ascii="Times New Roman" w:hAnsi="Times New Roman" w:eastAsia="宋体" w:cs="Times New Roman"/>
                <w:szCs w:val="21"/>
              </w:rPr>
              <w:t>类型</w:t>
            </w:r>
          </w:p>
        </w:tc>
        <w:tc>
          <w:tcPr>
            <w:tcW w:w="908" w:type="dxa"/>
            <w:shd w:val="clear" w:color="auto" w:fill="FFFFFF"/>
            <w:vAlign w:val="center"/>
          </w:tcPr>
          <w:p w14:paraId="58F033D9">
            <w:pPr>
              <w:jc w:val="center"/>
              <w:rPr>
                <w:rFonts w:ascii="Times New Roman" w:hAnsi="Times New Roman" w:eastAsia="宋体" w:cs="Times New Roman"/>
                <w:szCs w:val="21"/>
              </w:rPr>
            </w:pPr>
            <w:r>
              <w:rPr>
                <w:rFonts w:hint="eastAsia" w:ascii="Times New Roman" w:hAnsi="Times New Roman" w:eastAsia="宋体" w:cs="Times New Roman"/>
                <w:szCs w:val="21"/>
              </w:rPr>
              <w:t>备注</w:t>
            </w:r>
          </w:p>
        </w:tc>
      </w:tr>
      <w:tr w14:paraId="7B7B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715B608C">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610" w:type="dxa"/>
            <w:vAlign w:val="center"/>
          </w:tcPr>
          <w:p w14:paraId="5993BE96">
            <w:pPr>
              <w:jc w:val="left"/>
              <w:rPr>
                <w:rFonts w:ascii="Times New Roman" w:hAnsi="Times New Roman" w:eastAsia="宋体" w:cs="Times New Roman"/>
                <w:szCs w:val="21"/>
              </w:rPr>
            </w:pPr>
            <w:r>
              <w:rPr>
                <w:rFonts w:hint="eastAsia" w:ascii="Times New Roman" w:hAnsi="Times New Roman" w:eastAsia="宋体" w:cs="Times New Roman"/>
                <w:szCs w:val="21"/>
              </w:rPr>
              <w:t>教育实验研究方案设计</w:t>
            </w:r>
          </w:p>
        </w:tc>
        <w:tc>
          <w:tcPr>
            <w:tcW w:w="3260" w:type="dxa"/>
            <w:vAlign w:val="center"/>
          </w:tcPr>
          <w:p w14:paraId="140377B5">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内容：以小组为单位，进行教育实验方案设计。</w:t>
            </w:r>
          </w:p>
          <w:p w14:paraId="64140DDA">
            <w:pPr>
              <w:jc w:val="left"/>
              <w:rPr>
                <w:rFonts w:ascii="Times New Roman" w:hAnsi="Times New Roman" w:eastAsia="宋体" w:cs="Times New Roman"/>
                <w:szCs w:val="21"/>
              </w:rPr>
            </w:pPr>
            <w:r>
              <w:rPr>
                <w:rFonts w:hint="eastAsia" w:ascii="Times New Roman" w:hAnsi="Times New Roman" w:eastAsia="宋体" w:cs="Times New Roman"/>
                <w:szCs w:val="21"/>
              </w:rPr>
              <w:t>要求：选题适当，实验目的明确，实验假设和统计假设表述正确，自变量取值水平及实验处理合理，因变量分解及测量方法科学，提高实验效度的措施有效。</w:t>
            </w:r>
          </w:p>
        </w:tc>
        <w:tc>
          <w:tcPr>
            <w:tcW w:w="1276" w:type="dxa"/>
            <w:vAlign w:val="center"/>
          </w:tcPr>
          <w:p w14:paraId="70645FC0">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55BA36BE">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851" w:type="dxa"/>
            <w:vAlign w:val="center"/>
          </w:tcPr>
          <w:p w14:paraId="63D309BD">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32297506">
            <w:pPr>
              <w:jc w:val="center"/>
              <w:rPr>
                <w:rFonts w:ascii="Times New Roman" w:hAnsi="Times New Roman" w:eastAsia="宋体" w:cs="Times New Roman"/>
                <w:szCs w:val="21"/>
              </w:rPr>
            </w:pPr>
            <w:r>
              <w:rPr>
                <w:rFonts w:hint="eastAsia" w:ascii="Times New Roman" w:hAnsi="Times New Roman" w:eastAsia="宋体" w:cs="Times New Roman"/>
                <w:szCs w:val="21"/>
              </w:rPr>
              <w:t>必做</w:t>
            </w:r>
          </w:p>
        </w:tc>
      </w:tr>
      <w:tr w14:paraId="337A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3E979B3C">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610" w:type="dxa"/>
            <w:vAlign w:val="center"/>
          </w:tcPr>
          <w:p w14:paraId="592B2CA1">
            <w:pPr>
              <w:jc w:val="left"/>
              <w:rPr>
                <w:rFonts w:ascii="Times New Roman" w:hAnsi="Times New Roman" w:eastAsia="宋体" w:cs="Times New Roman"/>
                <w:szCs w:val="21"/>
              </w:rPr>
            </w:pPr>
            <w:r>
              <w:rPr>
                <w:rFonts w:hint="eastAsia" w:ascii="Times New Roman" w:hAnsi="Times New Roman" w:eastAsia="宋体" w:cs="Times New Roman"/>
                <w:szCs w:val="21"/>
              </w:rPr>
              <w:t>教育个案研究</w:t>
            </w:r>
          </w:p>
          <w:p w14:paraId="685C028A">
            <w:pPr>
              <w:jc w:val="left"/>
              <w:rPr>
                <w:rFonts w:ascii="Times New Roman" w:hAnsi="Times New Roman" w:eastAsia="宋体" w:cs="Times New Roman"/>
                <w:szCs w:val="21"/>
              </w:rPr>
            </w:pPr>
            <w:r>
              <w:rPr>
                <w:rFonts w:hint="eastAsia" w:ascii="Times New Roman" w:hAnsi="Times New Roman" w:eastAsia="宋体" w:cs="Times New Roman"/>
                <w:szCs w:val="21"/>
              </w:rPr>
              <w:t>方案设计</w:t>
            </w:r>
          </w:p>
        </w:tc>
        <w:tc>
          <w:tcPr>
            <w:tcW w:w="3260" w:type="dxa"/>
            <w:vAlign w:val="center"/>
          </w:tcPr>
          <w:p w14:paraId="2CDA511C">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内容：以小组为单位，进行个案研究方案设计。</w:t>
            </w:r>
          </w:p>
          <w:p w14:paraId="4E666501">
            <w:pPr>
              <w:jc w:val="left"/>
              <w:rPr>
                <w:rFonts w:ascii="Times New Roman" w:hAnsi="Times New Roman" w:eastAsia="宋体" w:cs="Times New Roman"/>
                <w:szCs w:val="21"/>
              </w:rPr>
            </w:pPr>
            <w:r>
              <w:rPr>
                <w:rFonts w:hint="eastAsia" w:ascii="Times New Roman" w:hAnsi="Times New Roman" w:eastAsia="宋体" w:cs="Times New Roman"/>
                <w:szCs w:val="21"/>
              </w:rPr>
              <w:t>要求：问题界定明确，研究步骤清晰，方法使用恰当。</w:t>
            </w:r>
          </w:p>
        </w:tc>
        <w:tc>
          <w:tcPr>
            <w:tcW w:w="1276" w:type="dxa"/>
            <w:vAlign w:val="center"/>
          </w:tcPr>
          <w:p w14:paraId="493DBC4B">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606D566C">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851" w:type="dxa"/>
            <w:vAlign w:val="center"/>
          </w:tcPr>
          <w:p w14:paraId="5D994A85">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5CCCAFA0">
            <w:pPr>
              <w:jc w:val="center"/>
              <w:rPr>
                <w:rFonts w:ascii="Times New Roman" w:hAnsi="Times New Roman" w:eastAsia="宋体" w:cs="Times New Roman"/>
                <w:szCs w:val="21"/>
              </w:rPr>
            </w:pPr>
            <w:r>
              <w:rPr>
                <w:rFonts w:hint="eastAsia" w:ascii="Times New Roman" w:hAnsi="Times New Roman" w:eastAsia="宋体" w:cs="Times New Roman"/>
                <w:szCs w:val="21"/>
              </w:rPr>
              <w:t>选做</w:t>
            </w:r>
          </w:p>
        </w:tc>
      </w:tr>
      <w:tr w14:paraId="7A92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7A11E04C">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610" w:type="dxa"/>
            <w:vAlign w:val="center"/>
          </w:tcPr>
          <w:p w14:paraId="1AD6AD30">
            <w:pPr>
              <w:jc w:val="left"/>
              <w:rPr>
                <w:rFonts w:ascii="Times New Roman" w:hAnsi="Times New Roman" w:eastAsia="宋体" w:cs="Times New Roman"/>
                <w:szCs w:val="21"/>
              </w:rPr>
            </w:pPr>
            <w:r>
              <w:rPr>
                <w:rFonts w:hint="eastAsia" w:ascii="Times New Roman" w:hAnsi="Times New Roman" w:eastAsia="宋体" w:cs="Times New Roman"/>
                <w:szCs w:val="21"/>
              </w:rPr>
              <w:t>教育叙事研究方案设计</w:t>
            </w:r>
          </w:p>
        </w:tc>
        <w:tc>
          <w:tcPr>
            <w:tcW w:w="3260" w:type="dxa"/>
            <w:vAlign w:val="center"/>
          </w:tcPr>
          <w:p w14:paraId="38BEBB5E">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内容：以小组为单位，进行教育叙事研究方案设计。</w:t>
            </w:r>
          </w:p>
          <w:p w14:paraId="0826D015">
            <w:pPr>
              <w:jc w:val="left"/>
              <w:rPr>
                <w:rFonts w:ascii="Times New Roman" w:hAnsi="Times New Roman" w:eastAsia="宋体" w:cs="Times New Roman"/>
                <w:szCs w:val="21"/>
              </w:rPr>
            </w:pPr>
            <w:r>
              <w:rPr>
                <w:rFonts w:hint="eastAsia" w:ascii="Times New Roman" w:hAnsi="Times New Roman" w:eastAsia="宋体" w:cs="Times New Roman"/>
                <w:szCs w:val="21"/>
              </w:rPr>
              <w:t>要求：问题界定明确，研究步骤清晰，方法使用恰当。</w:t>
            </w:r>
          </w:p>
        </w:tc>
        <w:tc>
          <w:tcPr>
            <w:tcW w:w="1276" w:type="dxa"/>
            <w:vAlign w:val="center"/>
          </w:tcPr>
          <w:p w14:paraId="54095B51">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06011A48">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851" w:type="dxa"/>
            <w:vAlign w:val="center"/>
          </w:tcPr>
          <w:p w14:paraId="7359E630">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5AE0BBD1">
            <w:pPr>
              <w:jc w:val="center"/>
              <w:rPr>
                <w:rFonts w:ascii="Times New Roman" w:hAnsi="Times New Roman" w:eastAsia="宋体" w:cs="Times New Roman"/>
                <w:szCs w:val="21"/>
              </w:rPr>
            </w:pPr>
            <w:r>
              <w:rPr>
                <w:rFonts w:hint="eastAsia" w:ascii="Times New Roman" w:hAnsi="Times New Roman" w:eastAsia="宋体" w:cs="Times New Roman"/>
                <w:szCs w:val="21"/>
              </w:rPr>
              <w:t>选做</w:t>
            </w:r>
          </w:p>
        </w:tc>
      </w:tr>
      <w:tr w14:paraId="44FF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551C0037">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610" w:type="dxa"/>
            <w:vAlign w:val="center"/>
          </w:tcPr>
          <w:p w14:paraId="2E411F9D">
            <w:pPr>
              <w:jc w:val="left"/>
              <w:rPr>
                <w:rFonts w:ascii="Times New Roman" w:hAnsi="Times New Roman" w:eastAsia="宋体" w:cs="Times New Roman"/>
                <w:szCs w:val="21"/>
              </w:rPr>
            </w:pPr>
            <w:r>
              <w:rPr>
                <w:rFonts w:hint="eastAsia" w:ascii="Times New Roman" w:hAnsi="Times New Roman" w:eastAsia="宋体" w:cs="Times New Roman"/>
                <w:szCs w:val="21"/>
              </w:rPr>
              <w:t>教育行动研究方案设计</w:t>
            </w:r>
          </w:p>
        </w:tc>
        <w:tc>
          <w:tcPr>
            <w:tcW w:w="3260" w:type="dxa"/>
            <w:vAlign w:val="center"/>
          </w:tcPr>
          <w:p w14:paraId="13669784">
            <w:pPr>
              <w:jc w:val="left"/>
              <w:rPr>
                <w:rFonts w:ascii="Times New Roman" w:hAnsi="Times New Roman" w:eastAsia="宋体" w:cs="Times New Roman"/>
                <w:szCs w:val="21"/>
              </w:rPr>
            </w:pPr>
            <w:r>
              <w:rPr>
                <w:rFonts w:hint="eastAsia" w:ascii="Times New Roman" w:hAnsi="Times New Roman" w:eastAsia="宋体" w:cs="Times New Roman"/>
                <w:szCs w:val="21"/>
              </w:rPr>
              <w:t>内容：结合教育实践，以小组为单位，讨论分析在小学教育教学实践中感到困惑的“现象”。选择一个合适的课题，进行教育行动研究方案设计。</w:t>
            </w:r>
          </w:p>
          <w:p w14:paraId="61CF4F62">
            <w:pPr>
              <w:jc w:val="left"/>
              <w:rPr>
                <w:rFonts w:ascii="Times New Roman" w:hAnsi="Times New Roman" w:eastAsia="宋体" w:cs="Times New Roman"/>
                <w:szCs w:val="21"/>
              </w:rPr>
            </w:pPr>
            <w:r>
              <w:rPr>
                <w:rFonts w:hint="eastAsia" w:ascii="Times New Roman" w:hAnsi="Times New Roman" w:eastAsia="宋体" w:cs="Times New Roman"/>
                <w:szCs w:val="21"/>
              </w:rPr>
              <w:t>要求：研究目的明确，问题界定清晰，研究计划详细具体，研究策略与方法科学合理。</w:t>
            </w:r>
          </w:p>
        </w:tc>
        <w:tc>
          <w:tcPr>
            <w:tcW w:w="1276" w:type="dxa"/>
            <w:vAlign w:val="center"/>
          </w:tcPr>
          <w:p w14:paraId="692557CA">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58A5BD84">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851" w:type="dxa"/>
            <w:vAlign w:val="center"/>
          </w:tcPr>
          <w:p w14:paraId="696468B0">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4C110BD1">
            <w:pPr>
              <w:jc w:val="center"/>
              <w:rPr>
                <w:rFonts w:ascii="Times New Roman" w:hAnsi="Times New Roman" w:eastAsia="宋体" w:cs="Times New Roman"/>
                <w:szCs w:val="21"/>
              </w:rPr>
            </w:pPr>
            <w:r>
              <w:rPr>
                <w:rFonts w:hint="eastAsia" w:ascii="Times New Roman" w:hAnsi="Times New Roman" w:eastAsia="宋体" w:cs="Times New Roman"/>
                <w:szCs w:val="21"/>
              </w:rPr>
              <w:t>选做</w:t>
            </w:r>
          </w:p>
        </w:tc>
      </w:tr>
    </w:tbl>
    <w:p w14:paraId="0CD34A79">
      <w:pPr>
        <w:bidi w:val="0"/>
        <w:rPr>
          <w:rFonts w:hint="eastAsia"/>
        </w:rPr>
      </w:pPr>
    </w:p>
    <w:p w14:paraId="20DCB7A9">
      <w:pPr>
        <w:spacing w:line="360" w:lineRule="auto"/>
        <w:jc w:val="left"/>
        <w:rPr>
          <w:rFonts w:ascii="Times New Roman" w:hAnsi="Times New Roman" w:eastAsia="宋体" w:cs="Times New Roman"/>
          <w:b/>
          <w:bCs/>
          <w:sz w:val="32"/>
          <w:szCs w:val="32"/>
        </w:rPr>
      </w:pPr>
      <w:r>
        <w:rPr>
          <w:rFonts w:hint="eastAsia" w:ascii="宋体" w:hAnsi="宋体" w:eastAsia="宋体" w:cs="Times New Roman"/>
          <w:b/>
          <w:sz w:val="28"/>
          <w:szCs w:val="28"/>
        </w:rPr>
        <w:t>六、有关说明</w:t>
      </w:r>
    </w:p>
    <w:p w14:paraId="4E7E8E9C">
      <w:pPr>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（一）持续改进</w:t>
      </w:r>
    </w:p>
    <w:p w14:paraId="6831C3B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w:t>
      </w:r>
      <w:r>
        <w:rPr>
          <w:rFonts w:hint="eastAsia" w:ascii="Times New Roman" w:hAnsi="Times New Roman" w:eastAsia="宋体" w:cs="Times New Roman"/>
          <w:szCs w:val="21"/>
        </w:rPr>
        <w:t xml:space="preserve"> 主讲教师利用指导学生教育见习、实习的机会，认真听取优秀毕业生对本课程教学改革的建议；根据基础教育改革与研究的需要，及时优化、调整教学内容。</w:t>
      </w:r>
    </w:p>
    <w:p w14:paraId="582D796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hint="eastAsia" w:ascii="Times New Roman" w:hAnsi="Times New Roman" w:eastAsia="宋体" w:cs="Times New Roman"/>
          <w:szCs w:val="21"/>
        </w:rPr>
        <w:t xml:space="preserve"> 开课过程中，通过课程群随时了解学生的学习反馈；开课过程中以及课程结束后一周内分别召开一次学生座谈会；同时，依据每学期学生评教结果，及时了解教学中存在的问题，持续改进教学方式方法。</w:t>
      </w:r>
    </w:p>
    <w:p w14:paraId="63963F6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 xml:space="preserve">. </w:t>
      </w:r>
      <w:r>
        <w:rPr>
          <w:rFonts w:hint="eastAsia" w:ascii="Times New Roman" w:hAnsi="Times New Roman" w:eastAsia="宋体" w:cs="Times New Roman"/>
          <w:szCs w:val="21"/>
        </w:rPr>
        <w:t>根据学生个人及小组合作项目作业完成情况，及时发现课程评价中存在的问题，不断优化课程评价方式。</w:t>
      </w:r>
    </w:p>
    <w:p w14:paraId="160C137D">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 xml:space="preserve">4. </w:t>
      </w:r>
      <w:r>
        <w:rPr>
          <w:rFonts w:hint="eastAsia" w:ascii="Times New Roman" w:hAnsi="Times New Roman" w:eastAsia="宋体" w:cs="Times New Roman"/>
          <w:szCs w:val="21"/>
        </w:rPr>
        <w:t>虚心听取领导、督导、教师听课评价意见和建议，努力提高教学质量。</w:t>
      </w:r>
    </w:p>
    <w:p w14:paraId="6854628C">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 xml:space="preserve"> 每一轮开课结束后，课程组召开研讨会，探讨课程教学中的盲点、难点和痛点问题，找准课程改革的切入点和教学质量的增长点，确保课程目标对毕业要求形成有力支撑。</w:t>
      </w:r>
    </w:p>
    <w:p w14:paraId="08558149">
      <w:pPr>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（二）建议教材</w:t>
      </w:r>
    </w:p>
    <w:p w14:paraId="534D7AA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温忠麟主编《教育研究方法基础》，高等教育出版社，2</w:t>
      </w:r>
      <w:r>
        <w:rPr>
          <w:rFonts w:ascii="Times New Roman" w:hAnsi="Times New Roman" w:eastAsia="宋体" w:cs="Times New Roman"/>
          <w:szCs w:val="21"/>
        </w:rPr>
        <w:t>017</w:t>
      </w:r>
      <w:r>
        <w:rPr>
          <w:rFonts w:hint="eastAsia" w:ascii="Times New Roman" w:hAnsi="Times New Roman" w:eastAsia="宋体" w:cs="Times New Roman"/>
          <w:szCs w:val="21"/>
        </w:rPr>
        <w:t>年，第三版</w:t>
      </w:r>
    </w:p>
    <w:p w14:paraId="5E66334D">
      <w:pPr>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（三）参考书目</w:t>
      </w:r>
    </w:p>
    <w:p w14:paraId="11CAEF63">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1．孙德芳等：小学教育科研方法，西南师范大学出版社，</w:t>
      </w:r>
      <w:r>
        <w:rPr>
          <w:rFonts w:hint="eastAsia" w:ascii="Times New Roman" w:hAnsi="Times New Roman" w:eastAsia="宋体" w:cs="Times New Roman"/>
          <w:szCs w:val="21"/>
        </w:rPr>
        <w:t>2</w:t>
      </w:r>
      <w:r>
        <w:rPr>
          <w:rFonts w:ascii="Times New Roman" w:hAnsi="Times New Roman" w:eastAsia="宋体" w:cs="Times New Roman"/>
          <w:szCs w:val="21"/>
        </w:rPr>
        <w:t>019</w:t>
      </w:r>
      <w:r>
        <w:rPr>
          <w:rFonts w:hint="eastAsia" w:ascii="Times New Roman" w:hAnsi="Times New Roman" w:eastAsia="宋体" w:cs="Times New Roman"/>
          <w:szCs w:val="21"/>
        </w:rPr>
        <w:t>年，第一版；</w:t>
      </w:r>
    </w:p>
    <w:p w14:paraId="314E5759">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2．张志杰等：教育科研方法，北京师范大学出版社，</w:t>
      </w:r>
      <w:r>
        <w:rPr>
          <w:rFonts w:hint="eastAsia" w:ascii="Times New Roman" w:hAnsi="Times New Roman" w:eastAsia="宋体" w:cs="Times New Roman"/>
          <w:szCs w:val="21"/>
        </w:rPr>
        <w:t>2</w:t>
      </w:r>
      <w:r>
        <w:rPr>
          <w:rFonts w:ascii="Times New Roman" w:hAnsi="Times New Roman" w:eastAsia="宋体" w:cs="Times New Roman"/>
          <w:szCs w:val="21"/>
        </w:rPr>
        <w:t>018</w:t>
      </w:r>
      <w:r>
        <w:rPr>
          <w:rFonts w:hint="eastAsia" w:ascii="Times New Roman" w:hAnsi="Times New Roman" w:eastAsia="宋体" w:cs="Times New Roman"/>
          <w:szCs w:val="21"/>
        </w:rPr>
        <w:t>年，第一版；</w:t>
      </w:r>
    </w:p>
    <w:p w14:paraId="2579B585">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3. 胡中锋：教育科学方法，中国人民大学出版社，</w:t>
      </w:r>
      <w:r>
        <w:rPr>
          <w:rFonts w:hint="eastAsia" w:ascii="Times New Roman" w:hAnsi="Times New Roman" w:eastAsia="宋体" w:cs="Times New Roman"/>
          <w:szCs w:val="21"/>
        </w:rPr>
        <w:t>2</w:t>
      </w:r>
      <w:r>
        <w:rPr>
          <w:rFonts w:ascii="Times New Roman" w:hAnsi="Times New Roman" w:eastAsia="宋体" w:cs="Times New Roman"/>
          <w:szCs w:val="21"/>
        </w:rPr>
        <w:t>018</w:t>
      </w:r>
      <w:r>
        <w:rPr>
          <w:rFonts w:hint="eastAsia" w:ascii="Times New Roman" w:hAnsi="Times New Roman" w:eastAsia="宋体" w:cs="Times New Roman"/>
          <w:szCs w:val="21"/>
        </w:rPr>
        <w:t>年，第一</w:t>
      </w:r>
      <w:r>
        <w:rPr>
          <w:rFonts w:ascii="Times New Roman" w:hAnsi="Times New Roman" w:eastAsia="宋体" w:cs="Times New Roman"/>
          <w:szCs w:val="21"/>
        </w:rPr>
        <w:t>版</w:t>
      </w:r>
      <w:r>
        <w:rPr>
          <w:rFonts w:hint="eastAsia" w:ascii="Times New Roman" w:hAnsi="Times New Roman" w:eastAsia="宋体" w:cs="Times New Roman"/>
          <w:szCs w:val="21"/>
        </w:rPr>
        <w:t>；</w:t>
      </w:r>
    </w:p>
    <w:p w14:paraId="49356E08">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4. 王红艳：小学教育研究方法，北京大学出版社，</w:t>
      </w:r>
      <w:r>
        <w:rPr>
          <w:rFonts w:hint="eastAsia" w:ascii="Times New Roman" w:hAnsi="Times New Roman" w:eastAsia="宋体" w:cs="Times New Roman"/>
          <w:szCs w:val="21"/>
        </w:rPr>
        <w:t>2</w:t>
      </w:r>
      <w:r>
        <w:rPr>
          <w:rFonts w:ascii="Times New Roman" w:hAnsi="Times New Roman" w:eastAsia="宋体" w:cs="Times New Roman"/>
          <w:szCs w:val="21"/>
        </w:rPr>
        <w:t>019</w:t>
      </w:r>
      <w:r>
        <w:rPr>
          <w:rFonts w:hint="eastAsia" w:ascii="Times New Roman" w:hAnsi="Times New Roman" w:eastAsia="宋体" w:cs="Times New Roman"/>
          <w:szCs w:val="21"/>
        </w:rPr>
        <w:t>年，第一版；</w:t>
      </w:r>
    </w:p>
    <w:p w14:paraId="21CB0405">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5. 荷兰芝等：教育研究方法，同济大学出版社，</w:t>
      </w:r>
      <w:r>
        <w:rPr>
          <w:rFonts w:hint="eastAsia" w:ascii="Times New Roman" w:hAnsi="Times New Roman" w:eastAsia="宋体" w:cs="Times New Roman"/>
          <w:szCs w:val="21"/>
        </w:rPr>
        <w:t xml:space="preserve"> 2</w:t>
      </w:r>
      <w:r>
        <w:rPr>
          <w:rFonts w:ascii="Times New Roman" w:hAnsi="Times New Roman" w:eastAsia="宋体" w:cs="Times New Roman"/>
          <w:szCs w:val="21"/>
        </w:rPr>
        <w:t>020</w:t>
      </w:r>
      <w:r>
        <w:rPr>
          <w:rFonts w:hint="eastAsia" w:ascii="Times New Roman" w:hAnsi="Times New Roman" w:eastAsia="宋体" w:cs="Times New Roman"/>
          <w:szCs w:val="21"/>
        </w:rPr>
        <w:t>年，第一</w:t>
      </w:r>
      <w:r>
        <w:rPr>
          <w:rFonts w:ascii="Times New Roman" w:hAnsi="Times New Roman" w:eastAsia="宋体" w:cs="Times New Roman"/>
          <w:szCs w:val="21"/>
        </w:rPr>
        <w:t>版</w:t>
      </w:r>
      <w:r>
        <w:rPr>
          <w:rFonts w:hint="eastAsia" w:ascii="Times New Roman" w:hAnsi="Times New Roman" w:eastAsia="宋体" w:cs="Times New Roman"/>
          <w:szCs w:val="21"/>
        </w:rPr>
        <w:t>；</w:t>
      </w:r>
    </w:p>
    <w:p w14:paraId="046608DD">
      <w:pPr>
        <w:rPr>
          <w:rFonts w:hint="eastAsia"/>
        </w:rPr>
      </w:pPr>
    </w:p>
    <w:p w14:paraId="596EBFFB">
      <w:pPr>
        <w:rPr>
          <w:rFonts w:hint="eastAsia"/>
        </w:rPr>
      </w:pPr>
    </w:p>
    <w:p w14:paraId="08C7D4C8">
      <w:pPr>
        <w:rPr>
          <w:rFonts w:hint="eastAsia"/>
        </w:rPr>
      </w:pPr>
    </w:p>
    <w:p w14:paraId="753AB2E7">
      <w:pPr>
        <w:rPr>
          <w:rFonts w:hint="eastAsia"/>
        </w:rPr>
      </w:pPr>
    </w:p>
    <w:p w14:paraId="67EE353C">
      <w:pPr>
        <w:rPr>
          <w:rFonts w:hint="eastAsia"/>
        </w:rPr>
      </w:pPr>
    </w:p>
    <w:p w14:paraId="387D3F99">
      <w:pPr>
        <w:rPr>
          <w:rFonts w:hint="eastAsia"/>
        </w:rPr>
      </w:pPr>
    </w:p>
    <w:p w14:paraId="37FDB3A3">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潘金林</w:t>
      </w:r>
    </w:p>
    <w:p w14:paraId="1AE15300">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王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健</w:t>
      </w:r>
    </w:p>
    <w:p w14:paraId="5139F839">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02E9FAF8">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67F6B969">
      <w:pPr>
        <w:rPr>
          <w:rFonts w:hint="eastAsia" w:ascii="等线" w:hAnsi="等线" w:eastAsia="等线" w:cs="等线"/>
          <w:b/>
          <w:bCs/>
          <w:sz w:val="44"/>
          <w:szCs w:val="44"/>
        </w:rPr>
      </w:pPr>
      <w:r>
        <w:rPr>
          <w:rFonts w:hint="eastAsia" w:ascii="等线" w:hAnsi="等线" w:eastAsia="等线" w:cs="等线"/>
          <w:b/>
          <w:bCs/>
          <w:sz w:val="44"/>
          <w:szCs w:val="44"/>
        </w:rPr>
        <w:br w:type="page"/>
      </w:r>
    </w:p>
    <w:p w14:paraId="7F33CCC7">
      <w:pPr>
        <w:pStyle w:val="2"/>
      </w:pPr>
      <w:bookmarkStart w:id="122" w:name="_Toc24211"/>
      <w:bookmarkStart w:id="123" w:name="_Toc13056"/>
      <w:r>
        <w:rPr>
          <w:rFonts w:hint="eastAsia"/>
        </w:rPr>
        <w:t>《小学班队管理》课程教学大纲</w:t>
      </w:r>
      <w:bookmarkEnd w:id="122"/>
      <w:bookmarkEnd w:id="123"/>
    </w:p>
    <w:p w14:paraId="0143F41E">
      <w:pPr>
        <w:spacing w:line="360" w:lineRule="auto"/>
        <w:jc w:val="center"/>
        <w:rPr>
          <w:rFonts w:ascii="Times New Roman" w:hAnsi="Times New Roman" w:eastAsia="宋体" w:cs="Times New Roman"/>
          <w:bCs/>
          <w:sz w:val="30"/>
          <w:szCs w:val="30"/>
        </w:rPr>
      </w:pPr>
      <w:r>
        <w:rPr>
          <w:rFonts w:hint="eastAsia" w:ascii="Times New Roman" w:hAnsi="Times New Roman" w:eastAsia="宋体" w:cs="Times New Roman"/>
          <w:b/>
          <w:bCs/>
          <w:sz w:val="28"/>
          <w:szCs w:val="28"/>
        </w:rPr>
        <w:t>（Class  Management）</w:t>
      </w:r>
    </w:p>
    <w:p w14:paraId="26F8E643">
      <w:pPr>
        <w:spacing w:line="360" w:lineRule="auto"/>
        <w:ind w:firstLine="482" w:firstLineChars="200"/>
        <w:jc w:val="left"/>
        <w:rPr>
          <w:rFonts w:ascii="Times New Roman" w:hAnsi="Times New Roman" w:eastAsia="宋体" w:cs="Times New Roman"/>
          <w:b/>
          <w:sz w:val="24"/>
        </w:rPr>
      </w:pPr>
    </w:p>
    <w:p w14:paraId="35A65722">
      <w:pPr>
        <w:spacing w:line="360" w:lineRule="auto"/>
        <w:ind w:firstLine="482" w:firstLineChars="200"/>
        <w:jc w:val="left"/>
        <w:rPr>
          <w:rFonts w:ascii="Times New Roman" w:hAnsi="Times New Roman" w:eastAsia="宋体" w:cs="Times New Roman"/>
          <w:b/>
          <w:sz w:val="24"/>
        </w:rPr>
      </w:pPr>
    </w:p>
    <w:p w14:paraId="49697A9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课程名称：小学班队管理</w:t>
      </w:r>
    </w:p>
    <w:p w14:paraId="6E9012A5">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课程代码：2401013</w:t>
      </w:r>
    </w:p>
    <w:p w14:paraId="28283B7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2A7DA03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时：32（其中，讲授学时24，实践学时8）</w:t>
      </w:r>
    </w:p>
    <w:p w14:paraId="3077437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先修课程：小学心理学、教育原理、教育心理学、小学教育政策与法规</w:t>
      </w:r>
    </w:p>
    <w:p w14:paraId="6A648AB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2E298D4E">
      <w:pPr>
        <w:spacing w:line="360" w:lineRule="auto"/>
        <w:jc w:val="left"/>
        <w:rPr>
          <w:rFonts w:ascii="Times New Roman" w:hAnsi="Times New Roman" w:eastAsia="宋体" w:cs="Times New Roman"/>
          <w:b/>
          <w:sz w:val="24"/>
        </w:rPr>
      </w:pPr>
    </w:p>
    <w:p w14:paraId="0B1EBD7C">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3557F0D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必修课程，对于学生形成班队组织与管理能力，落实立德树人根本任务具有重要作用。通过本课程的学习，学生进一步理解小学班队管理的目的和意义，掌握小学班队管理的系统理论和基本方法，形成新型的班队管理理念，具备制定班队管理计划、开展班队管理工作的能力，为其今后从事班主任工作和少先队工作奠定基础。</w:t>
      </w:r>
    </w:p>
    <w:p w14:paraId="09BF9485">
      <w:pPr>
        <w:spacing w:line="360" w:lineRule="auto"/>
        <w:jc w:val="left"/>
        <w:rPr>
          <w:rFonts w:hint="eastAsia" w:ascii="宋体" w:hAnsi="宋体" w:eastAsia="宋体" w:cs="Times New Roman"/>
          <w:b/>
          <w:color w:val="000000"/>
          <w:szCs w:val="21"/>
        </w:rPr>
      </w:pPr>
    </w:p>
    <w:p w14:paraId="15B16412">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5158D164">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765D4C6">
      <w:pPr>
        <w:spacing w:before="156" w:beforeLines="50" w:after="156" w:after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目标1：</w:t>
      </w:r>
      <w:r>
        <w:rPr>
          <w:rFonts w:hint="eastAsia" w:ascii="Times New Roman" w:hAnsi="Times New Roman" w:eastAsia="宋体" w:cs="Times New Roman"/>
          <w:bCs/>
          <w:szCs w:val="21"/>
        </w:rPr>
        <w:t>理解小学班级和小学班队管理的特性，领会班队管理对学生发展的重要作用；熟悉班主任的职责和应具备的基本素养，明晰班主任的专业发展路径与方法，确立成长为优秀班主任的基本愿景。</w:t>
      </w:r>
    </w:p>
    <w:p w14:paraId="78A09BE6">
      <w:pPr>
        <w:spacing w:before="156" w:beforeLines="50" w:after="156" w:afterLines="50" w:line="360" w:lineRule="auto"/>
        <w:jc w:val="left"/>
        <w:rPr>
          <w:rFonts w:ascii="Times New Roman" w:hAnsi="Times New Roman" w:eastAsia="宋体" w:cs="Times New Roman"/>
          <w:bCs/>
          <w:szCs w:val="21"/>
        </w:rPr>
      </w:pPr>
      <w:r>
        <w:rPr>
          <w:rFonts w:hint="eastAsia" w:ascii="Times New Roman" w:hAnsi="Times New Roman" w:eastAsia="宋体" w:cs="Times New Roman"/>
          <w:b/>
          <w:szCs w:val="21"/>
        </w:rPr>
        <w:t>目标2：</w:t>
      </w:r>
      <w:r>
        <w:rPr>
          <w:rFonts w:hint="eastAsia" w:ascii="Times New Roman" w:hAnsi="Times New Roman" w:eastAsia="宋体" w:cs="Times New Roman"/>
          <w:bCs/>
          <w:szCs w:val="21"/>
        </w:rPr>
        <w:t>了解小学班队管理的主要内容，系统掌握班队常规、班队组织、班队活动、班队环境、学生问题行为、家校合作等方面管理的基本理论与方法，能够在工作实践中，科学制定班级工作计划和班队常规，具有合理组织和开展班队活动、创建班队文化的能力。</w:t>
      </w:r>
    </w:p>
    <w:p w14:paraId="4489BCF1">
      <w:pPr>
        <w:spacing w:before="156" w:beforeLines="50" w:after="156" w:afterLines="50" w:line="360" w:lineRule="auto"/>
        <w:jc w:val="left"/>
        <w:rPr>
          <w:rFonts w:ascii="Times New Roman" w:hAnsi="Times New Roman" w:eastAsia="宋体" w:cs="Times New Roman"/>
          <w:bCs/>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Cs/>
          <w:szCs w:val="21"/>
        </w:rPr>
        <w:t>能够运用班队管理的理论与方法，分析班主任与不同类型学生的关系处理，及时觉察学生问题行并进行有效干预；能够与任课教师、学生、家长进行良好的沟通与合作。</w:t>
      </w:r>
    </w:p>
    <w:p w14:paraId="73224316">
      <w:pPr>
        <w:spacing w:before="156" w:beforeLines="50" w:after="156" w:afterLines="50"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8F4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474A58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9FEA2F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8BF2B7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DED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4895D5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14CF8B22">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791962B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778B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8D8C48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毕业要求5班级管理</w:t>
            </w:r>
          </w:p>
        </w:tc>
        <w:tc>
          <w:tcPr>
            <w:tcW w:w="5688" w:type="dxa"/>
            <w:vAlign w:val="center"/>
          </w:tcPr>
          <w:p w14:paraId="2EF8224C">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5-1：【擅长班队管理】具有小学德育工作体验，树立德育为先的理念，熟悉小学德育的基本原理与方法。获得小学班队组织与建设的体验。掌握小学班队组织与建设的工作规律和基本方法，具有班队建设和管理的基本能力。</w:t>
            </w:r>
          </w:p>
        </w:tc>
        <w:tc>
          <w:tcPr>
            <w:tcW w:w="1191" w:type="dxa"/>
            <w:vAlign w:val="center"/>
          </w:tcPr>
          <w:p w14:paraId="00487A6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7B0B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1B7DF9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毕业要求6综合育人</w:t>
            </w:r>
          </w:p>
        </w:tc>
        <w:tc>
          <w:tcPr>
            <w:tcW w:w="5688" w:type="dxa"/>
            <w:vAlign w:val="center"/>
          </w:tcPr>
          <w:p w14:paraId="460988A2">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6-3：【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76CB947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01C6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1CB7DC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毕业要求8沟通合作</w:t>
            </w:r>
          </w:p>
        </w:tc>
        <w:tc>
          <w:tcPr>
            <w:tcW w:w="5688" w:type="dxa"/>
            <w:vAlign w:val="center"/>
          </w:tcPr>
          <w:p w14:paraId="26A43ED7">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指标点8-2：【学会沟通交流】掌握人际沟通合作技能与方法，在教育教学实践中，能与学生和家长以及同行、同事、专家进行有效沟通与合作，实现共同发展。</w:t>
            </w:r>
          </w:p>
        </w:tc>
        <w:tc>
          <w:tcPr>
            <w:tcW w:w="1191" w:type="dxa"/>
            <w:vAlign w:val="center"/>
          </w:tcPr>
          <w:p w14:paraId="060B7CF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课程目标2课程目标3</w:t>
            </w:r>
          </w:p>
        </w:tc>
      </w:tr>
    </w:tbl>
    <w:p w14:paraId="28A59B3F">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4417A5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理解小学班级、少先队以及小学班队管理的特性，领会班队管理对学生发展的重要作用，自觉落实立德树人根本任务，促进学生健康成长；熟悉班主任的职责和应具备的基本素养，明晰班主任的专业发展路径与方法，确立成长为优秀班主任的基本愿景，做学生成长的“四个引路人”。</w:t>
      </w:r>
    </w:p>
    <w:p w14:paraId="0EFEF370">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616"/>
        <w:gridCol w:w="1175"/>
        <w:gridCol w:w="3692"/>
        <w:gridCol w:w="1573"/>
        <w:gridCol w:w="438"/>
      </w:tblGrid>
      <w:tr w14:paraId="152C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65CDBA2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206C037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616" w:type="dxa"/>
            <w:vAlign w:val="center"/>
          </w:tcPr>
          <w:p w14:paraId="6ACD27F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75" w:type="dxa"/>
            <w:vAlign w:val="center"/>
          </w:tcPr>
          <w:p w14:paraId="5B83431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55B195B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692" w:type="dxa"/>
            <w:vAlign w:val="center"/>
          </w:tcPr>
          <w:p w14:paraId="18C91E1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73" w:type="dxa"/>
            <w:vAlign w:val="center"/>
          </w:tcPr>
          <w:p w14:paraId="769524C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52B2171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594B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5CBDB72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1.小学班队与班队管理</w:t>
            </w:r>
          </w:p>
        </w:tc>
        <w:tc>
          <w:tcPr>
            <w:tcW w:w="1616" w:type="dxa"/>
            <w:vAlign w:val="center"/>
          </w:tcPr>
          <w:p w14:paraId="75277C5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（1）小学班队概述</w:t>
            </w:r>
          </w:p>
          <w:p w14:paraId="06D9685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（2）小学班队管理</w:t>
            </w:r>
          </w:p>
          <w:p w14:paraId="5D85034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（3）小学班队管理目标与计划</w:t>
            </w:r>
          </w:p>
        </w:tc>
        <w:tc>
          <w:tcPr>
            <w:tcW w:w="1175" w:type="dxa"/>
            <w:vAlign w:val="center"/>
          </w:tcPr>
          <w:p w14:paraId="52DAEE8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692" w:type="dxa"/>
            <w:vAlign w:val="center"/>
          </w:tcPr>
          <w:p w14:paraId="33FD1B3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1.明确班级、班级管理的概念，树立班队管理主体多元化的意识；</w:t>
            </w:r>
          </w:p>
          <w:p w14:paraId="100AD27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2.理解小学班级和小学班队管理的特征；</w:t>
            </w:r>
          </w:p>
          <w:p w14:paraId="0A39213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3.知道班级组织的发展现状与趋势；</w:t>
            </w:r>
          </w:p>
          <w:p w14:paraId="4CBCB3E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4.理解与班级管理相关的理论，树立以理论指导班级管理实践的意识。</w:t>
            </w:r>
          </w:p>
        </w:tc>
        <w:tc>
          <w:tcPr>
            <w:tcW w:w="1573" w:type="dxa"/>
            <w:vAlign w:val="center"/>
          </w:tcPr>
          <w:p w14:paraId="7E4E1B6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57E15A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2.课内实践</w:t>
            </w:r>
          </w:p>
          <w:p w14:paraId="2110D22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3.单元测验</w:t>
            </w:r>
          </w:p>
          <w:p w14:paraId="1D5BD886">
            <w:pPr>
              <w:spacing w:line="269" w:lineRule="auto"/>
              <w:jc w:val="left"/>
              <w:rPr>
                <w:rFonts w:hint="eastAsia" w:ascii="宋体" w:hAnsi="宋体" w:eastAsia="宋体" w:cs="Times New Roman"/>
                <w:color w:val="000000"/>
                <w:szCs w:val="21"/>
              </w:rPr>
            </w:pPr>
          </w:p>
        </w:tc>
        <w:tc>
          <w:tcPr>
            <w:tcW w:w="438" w:type="dxa"/>
            <w:vAlign w:val="center"/>
          </w:tcPr>
          <w:p w14:paraId="678E4DC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769F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35C9BC62">
            <w:pPr>
              <w:spacing w:line="264" w:lineRule="auto"/>
              <w:jc w:val="center"/>
              <w:rPr>
                <w:rFonts w:hint="eastAsia" w:ascii="宋体" w:hAnsi="宋体" w:eastAsia="宋体" w:cs="Times New Roman"/>
                <w:color w:val="000000"/>
                <w:szCs w:val="21"/>
              </w:rPr>
            </w:pPr>
          </w:p>
        </w:tc>
        <w:tc>
          <w:tcPr>
            <w:tcW w:w="8494" w:type="dxa"/>
            <w:gridSpan w:val="5"/>
            <w:vAlign w:val="center"/>
          </w:tcPr>
          <w:p w14:paraId="174CC14A">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理解“立德树人”的重要价值和意义，树立德育为先的理念；准确把握教育发展规律和学生身心发展规律。</w:t>
            </w:r>
          </w:p>
        </w:tc>
      </w:tr>
      <w:tr w14:paraId="5DAA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6F0E4B01">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2.小学班队管理者</w:t>
            </w:r>
          </w:p>
        </w:tc>
        <w:tc>
          <w:tcPr>
            <w:tcW w:w="1616" w:type="dxa"/>
            <w:vAlign w:val="center"/>
          </w:tcPr>
          <w:p w14:paraId="1260684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（1）班队管理者的角色</w:t>
            </w:r>
          </w:p>
          <w:p w14:paraId="178CB8C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（2）班队管理者的领导力及素养</w:t>
            </w:r>
          </w:p>
          <w:p w14:paraId="0C991CA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（2）班队管理者的专业发展</w:t>
            </w:r>
          </w:p>
        </w:tc>
        <w:tc>
          <w:tcPr>
            <w:tcW w:w="1175" w:type="dxa"/>
            <w:vAlign w:val="center"/>
          </w:tcPr>
          <w:p w14:paraId="68ED309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692" w:type="dxa"/>
            <w:vAlign w:val="center"/>
          </w:tcPr>
          <w:p w14:paraId="6E6F2A9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1.熟悉班主任的职责，明确班主任与其他班级管理主体的关系；理解班主任的职责边界；</w:t>
            </w:r>
          </w:p>
          <w:p w14:paraId="39C0B83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2.理解班主任与其管理对象——小学班级及小学生的关系，树立多重角色意识；</w:t>
            </w:r>
          </w:p>
          <w:p w14:paraId="31690BF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3.了解班主任应享有的权利，坚定从事班主任工作的信心；</w:t>
            </w:r>
          </w:p>
          <w:p w14:paraId="25FC328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4.明确班主任应具备的基本素养，促进自我专业成长。</w:t>
            </w:r>
          </w:p>
        </w:tc>
        <w:tc>
          <w:tcPr>
            <w:tcW w:w="1573" w:type="dxa"/>
            <w:vAlign w:val="center"/>
          </w:tcPr>
          <w:p w14:paraId="572C642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5D0AFB9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0962BE6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3.平时作业</w:t>
            </w:r>
          </w:p>
          <w:p w14:paraId="2C2E3FA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054C5D7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742F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60CFA8DC">
            <w:pPr>
              <w:spacing w:line="264" w:lineRule="auto"/>
              <w:jc w:val="center"/>
              <w:rPr>
                <w:rFonts w:hint="eastAsia" w:ascii="宋体" w:hAnsi="宋体" w:eastAsia="宋体" w:cs="Times New Roman"/>
                <w:color w:val="000000"/>
                <w:szCs w:val="21"/>
              </w:rPr>
            </w:pPr>
          </w:p>
        </w:tc>
        <w:tc>
          <w:tcPr>
            <w:tcW w:w="8494" w:type="dxa"/>
            <w:gridSpan w:val="5"/>
            <w:vAlign w:val="center"/>
          </w:tcPr>
          <w:p w14:paraId="198DE8F9">
            <w:pPr>
              <w:spacing w:line="360"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培养和形成良好的教师职业道德规范，具有依法执教的意识，培育师范生成为有理想信念、有道德情操、有扎实学识、有仁爱之心的好教师。培养学生的职业认同感，认同教师职业的专业性与意义性，形成良好的职业理想与较强的敬业精神。</w:t>
            </w:r>
          </w:p>
        </w:tc>
      </w:tr>
      <w:tr w14:paraId="0250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594C75C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3.小学班队常规管理</w:t>
            </w:r>
          </w:p>
        </w:tc>
        <w:tc>
          <w:tcPr>
            <w:tcW w:w="1616" w:type="dxa"/>
            <w:vAlign w:val="center"/>
          </w:tcPr>
          <w:p w14:paraId="654F6D9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（1）小学班队规范的制定</w:t>
            </w:r>
          </w:p>
          <w:p w14:paraId="332B53C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（2）小学班队常规教育</w:t>
            </w:r>
          </w:p>
          <w:p w14:paraId="203AD08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（3）教育惩戒</w:t>
            </w:r>
          </w:p>
        </w:tc>
        <w:tc>
          <w:tcPr>
            <w:tcW w:w="1175" w:type="dxa"/>
            <w:vAlign w:val="center"/>
          </w:tcPr>
          <w:p w14:paraId="0B5F1BA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692" w:type="dxa"/>
            <w:vAlign w:val="center"/>
          </w:tcPr>
          <w:p w14:paraId="5AB456C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1.认识小学班队规范的类型与内容；</w:t>
            </w:r>
          </w:p>
          <w:p w14:paraId="5372790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2.明确小学班队规范制定的要求；</w:t>
            </w:r>
          </w:p>
          <w:p w14:paraId="6999956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3.掌握小学班队常规教育的意义以及有效执行班规的策略；</w:t>
            </w:r>
          </w:p>
          <w:p w14:paraId="4405491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4.理解教育惩戒的作用，知道教育惩戒的运用范围，在教育实践中能够合理运用教育惩戒</w:t>
            </w:r>
          </w:p>
        </w:tc>
        <w:tc>
          <w:tcPr>
            <w:tcW w:w="1573" w:type="dxa"/>
            <w:vAlign w:val="center"/>
          </w:tcPr>
          <w:p w14:paraId="19D0D0F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1.多媒体教学</w:t>
            </w:r>
          </w:p>
          <w:p w14:paraId="7AEC772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课内实践</w:t>
            </w:r>
          </w:p>
          <w:p w14:paraId="5CA3151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3.单元</w:t>
            </w:r>
            <w:r>
              <w:rPr>
                <w:rFonts w:ascii="宋体" w:hAnsi="宋体" w:eastAsia="宋体" w:cs="Times New Roman"/>
                <w:color w:val="000000"/>
                <w:szCs w:val="21"/>
              </w:rPr>
              <w:t>测验</w:t>
            </w:r>
          </w:p>
        </w:tc>
        <w:tc>
          <w:tcPr>
            <w:tcW w:w="438" w:type="dxa"/>
            <w:vAlign w:val="center"/>
          </w:tcPr>
          <w:p w14:paraId="776BEC30">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13EB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7457EE27">
            <w:pPr>
              <w:spacing w:line="264" w:lineRule="auto"/>
              <w:jc w:val="center"/>
              <w:rPr>
                <w:rFonts w:hint="eastAsia" w:ascii="宋体" w:hAnsi="宋体" w:eastAsia="宋体" w:cs="Times New Roman"/>
                <w:color w:val="000000"/>
                <w:szCs w:val="21"/>
              </w:rPr>
            </w:pPr>
          </w:p>
        </w:tc>
        <w:tc>
          <w:tcPr>
            <w:tcW w:w="8494" w:type="dxa"/>
            <w:gridSpan w:val="5"/>
            <w:vAlign w:val="center"/>
          </w:tcPr>
          <w:p w14:paraId="6C585616">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了解教育惩戒的作用与运用范围，遵循教育规律，正确运用教育惩戒。</w:t>
            </w:r>
          </w:p>
        </w:tc>
      </w:tr>
      <w:tr w14:paraId="2F46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4EB12B7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4.小学班队组织管理</w:t>
            </w:r>
          </w:p>
        </w:tc>
        <w:tc>
          <w:tcPr>
            <w:tcW w:w="1616" w:type="dxa"/>
            <w:vAlign w:val="center"/>
          </w:tcPr>
          <w:p w14:paraId="7DDC868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（1）小学班集体的形成</w:t>
            </w:r>
          </w:p>
          <w:p w14:paraId="1022129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（2）小学班队组织结构</w:t>
            </w:r>
          </w:p>
          <w:p w14:paraId="0630A04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（3）非正式群体的类型与教育</w:t>
            </w:r>
          </w:p>
        </w:tc>
        <w:tc>
          <w:tcPr>
            <w:tcW w:w="1175" w:type="dxa"/>
            <w:vAlign w:val="center"/>
          </w:tcPr>
          <w:p w14:paraId="128065D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692" w:type="dxa"/>
            <w:vAlign w:val="center"/>
          </w:tcPr>
          <w:p w14:paraId="62D05BA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1.掌握班级和少先队的组织结构；</w:t>
            </w:r>
          </w:p>
          <w:p w14:paraId="6E58C80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2.了解班队干部的产生方式与培养；            </w:t>
            </w:r>
          </w:p>
          <w:p w14:paraId="5EFE440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3.掌握对非正式群体的教育策略。</w:t>
            </w:r>
          </w:p>
        </w:tc>
        <w:tc>
          <w:tcPr>
            <w:tcW w:w="1573" w:type="dxa"/>
            <w:vAlign w:val="center"/>
          </w:tcPr>
          <w:p w14:paraId="5B8597A3">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1.多媒体教学</w:t>
            </w:r>
          </w:p>
          <w:p w14:paraId="2F173E2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课堂讨论</w:t>
            </w:r>
          </w:p>
          <w:p w14:paraId="29B8344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3.平时作业</w:t>
            </w:r>
          </w:p>
          <w:p w14:paraId="1AB9BCD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w:t>
            </w:r>
            <w:r>
              <w:rPr>
                <w:rFonts w:ascii="宋体" w:hAnsi="宋体" w:eastAsia="宋体" w:cs="Times New Roman"/>
                <w:color w:val="000000"/>
                <w:szCs w:val="21"/>
              </w:rPr>
              <w:t>测验</w:t>
            </w:r>
          </w:p>
        </w:tc>
        <w:tc>
          <w:tcPr>
            <w:tcW w:w="438" w:type="dxa"/>
            <w:vAlign w:val="center"/>
          </w:tcPr>
          <w:p w14:paraId="628F51E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134E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3418C5E2">
            <w:pPr>
              <w:spacing w:line="276" w:lineRule="auto"/>
              <w:jc w:val="center"/>
              <w:rPr>
                <w:rFonts w:hint="eastAsia" w:ascii="宋体" w:hAnsi="宋体" w:eastAsia="宋体" w:cs="Times New Roman"/>
                <w:color w:val="000000"/>
                <w:szCs w:val="21"/>
              </w:rPr>
            </w:pPr>
          </w:p>
        </w:tc>
        <w:tc>
          <w:tcPr>
            <w:tcW w:w="8494" w:type="dxa"/>
            <w:gridSpan w:val="5"/>
            <w:vAlign w:val="center"/>
          </w:tcPr>
          <w:p w14:paraId="356C3589">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理解班队组织的价值和意义，坚定学好组织建设的意识并为之而努力。</w:t>
            </w:r>
          </w:p>
        </w:tc>
      </w:tr>
      <w:tr w14:paraId="0C82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49459D6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5.小学班队活动管理</w:t>
            </w:r>
          </w:p>
        </w:tc>
        <w:tc>
          <w:tcPr>
            <w:tcW w:w="1616" w:type="dxa"/>
            <w:vAlign w:val="center"/>
          </w:tcPr>
          <w:p w14:paraId="0EB4CBC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（1）小学班队活动概述</w:t>
            </w:r>
          </w:p>
          <w:p w14:paraId="48FAEDE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（2）小学班队活动的类型</w:t>
            </w:r>
          </w:p>
          <w:p w14:paraId="5D84C75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（3）小学班队活动的设计与组织</w:t>
            </w:r>
          </w:p>
        </w:tc>
        <w:tc>
          <w:tcPr>
            <w:tcW w:w="1175" w:type="dxa"/>
            <w:vAlign w:val="center"/>
          </w:tcPr>
          <w:p w14:paraId="49E08FC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692" w:type="dxa"/>
            <w:vAlign w:val="center"/>
          </w:tcPr>
          <w:p w14:paraId="46F8951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1.理解班队活动的意义，提升对班队活动价值的认识；</w:t>
            </w:r>
          </w:p>
          <w:p w14:paraId="497C7E5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2.初步掌握班队活动的方法和策略；</w:t>
            </w:r>
          </w:p>
          <w:p w14:paraId="48082B3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3.能根据班级活动的特点及规律进行班队活动的设计。</w:t>
            </w:r>
          </w:p>
        </w:tc>
        <w:tc>
          <w:tcPr>
            <w:tcW w:w="1573" w:type="dxa"/>
            <w:vAlign w:val="center"/>
          </w:tcPr>
          <w:p w14:paraId="7C6EEC1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46642C0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2.课内实践</w:t>
            </w:r>
          </w:p>
          <w:p w14:paraId="0BF93A1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3.单元测验</w:t>
            </w:r>
          </w:p>
        </w:tc>
        <w:tc>
          <w:tcPr>
            <w:tcW w:w="438" w:type="dxa"/>
            <w:vAlign w:val="center"/>
          </w:tcPr>
          <w:p w14:paraId="73367DB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73A5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0A29902E">
            <w:pPr>
              <w:spacing w:line="276" w:lineRule="auto"/>
              <w:jc w:val="center"/>
              <w:rPr>
                <w:rFonts w:hint="eastAsia" w:ascii="宋体" w:hAnsi="宋体" w:eastAsia="宋体" w:cs="Times New Roman"/>
                <w:color w:val="000000"/>
                <w:szCs w:val="21"/>
              </w:rPr>
            </w:pPr>
          </w:p>
        </w:tc>
        <w:tc>
          <w:tcPr>
            <w:tcW w:w="8494" w:type="dxa"/>
            <w:gridSpan w:val="5"/>
            <w:vAlign w:val="center"/>
          </w:tcPr>
          <w:p w14:paraId="778CE7CF">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理解“三全育人”的作用和价值，增强活动育人的意识。</w:t>
            </w:r>
          </w:p>
        </w:tc>
      </w:tr>
      <w:tr w14:paraId="099D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3F52392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6.小学班队环境管理</w:t>
            </w:r>
          </w:p>
        </w:tc>
        <w:tc>
          <w:tcPr>
            <w:tcW w:w="1616" w:type="dxa"/>
            <w:vAlign w:val="center"/>
          </w:tcPr>
          <w:p w14:paraId="5068937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（1）教室环境布置</w:t>
            </w:r>
          </w:p>
          <w:p w14:paraId="56EE42C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（2）班队人际沟通</w:t>
            </w:r>
          </w:p>
          <w:p w14:paraId="0D85950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（3）班风建设</w:t>
            </w:r>
          </w:p>
        </w:tc>
        <w:tc>
          <w:tcPr>
            <w:tcW w:w="1175" w:type="dxa"/>
            <w:vAlign w:val="center"/>
          </w:tcPr>
          <w:p w14:paraId="58B21BB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692" w:type="dxa"/>
            <w:vAlign w:val="center"/>
          </w:tcPr>
          <w:p w14:paraId="43DEC30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1.了解班队环境管理的内容；</w:t>
            </w:r>
          </w:p>
          <w:p w14:paraId="53EBD0A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2.了解教室环境布置的要求；</w:t>
            </w:r>
          </w:p>
          <w:p w14:paraId="18B1A2D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3.掌握班队人际沟通方式及师生沟通中应注意的事项；</w:t>
            </w:r>
          </w:p>
          <w:p w14:paraId="71BFEC3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4.掌握班风建设的要求。</w:t>
            </w:r>
          </w:p>
        </w:tc>
        <w:tc>
          <w:tcPr>
            <w:tcW w:w="1573" w:type="dxa"/>
            <w:vAlign w:val="center"/>
          </w:tcPr>
          <w:p w14:paraId="6AD5CDF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274BBB2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1F56833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3.课内实践</w:t>
            </w:r>
          </w:p>
          <w:p w14:paraId="54F548A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p w14:paraId="60F0D67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5.学期考查</w:t>
            </w:r>
          </w:p>
        </w:tc>
        <w:tc>
          <w:tcPr>
            <w:tcW w:w="438" w:type="dxa"/>
            <w:vAlign w:val="center"/>
          </w:tcPr>
          <w:p w14:paraId="12600B4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7E45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098CAEB2">
            <w:pPr>
              <w:spacing w:line="276" w:lineRule="auto"/>
              <w:jc w:val="center"/>
              <w:rPr>
                <w:rFonts w:hint="eastAsia" w:ascii="宋体" w:hAnsi="宋体" w:eastAsia="宋体" w:cs="Times New Roman"/>
                <w:color w:val="000000"/>
                <w:szCs w:val="21"/>
              </w:rPr>
            </w:pPr>
          </w:p>
        </w:tc>
        <w:tc>
          <w:tcPr>
            <w:tcW w:w="8494" w:type="dxa"/>
            <w:gridSpan w:val="5"/>
            <w:vAlign w:val="center"/>
          </w:tcPr>
          <w:p w14:paraId="75169457">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理解“立德树人”的意义，自觉探索儿童成长成才的规律，增强文化育人的意识。</w:t>
            </w:r>
          </w:p>
        </w:tc>
      </w:tr>
      <w:tr w14:paraId="5103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53AB15EA">
            <w:pPr>
              <w:spacing w:line="276" w:lineRule="auto"/>
              <w:jc w:val="center"/>
              <w:rPr>
                <w:rFonts w:hint="eastAsia" w:ascii="宋体" w:hAnsi="宋体" w:eastAsia="宋体" w:cs="Times New Roman"/>
                <w:szCs w:val="21"/>
              </w:rPr>
            </w:pPr>
            <w:r>
              <w:rPr>
                <w:rFonts w:hint="eastAsia" w:ascii="宋体" w:hAnsi="宋体" w:eastAsia="宋体" w:cs="Times New Roman"/>
                <w:szCs w:val="21"/>
              </w:rPr>
              <w:t>7.学生问题行为管理</w:t>
            </w:r>
          </w:p>
        </w:tc>
        <w:tc>
          <w:tcPr>
            <w:tcW w:w="1616" w:type="dxa"/>
            <w:vAlign w:val="center"/>
          </w:tcPr>
          <w:p w14:paraId="65748540">
            <w:pPr>
              <w:spacing w:line="276" w:lineRule="auto"/>
              <w:jc w:val="left"/>
              <w:rPr>
                <w:rFonts w:hint="eastAsia" w:ascii="宋体" w:hAnsi="宋体" w:eastAsia="宋体" w:cs="Times New Roman"/>
                <w:szCs w:val="21"/>
              </w:rPr>
            </w:pPr>
            <w:r>
              <w:rPr>
                <w:rFonts w:hint="eastAsia" w:ascii="宋体" w:hAnsi="宋体" w:eastAsia="宋体" w:cs="Times New Roman"/>
                <w:szCs w:val="21"/>
              </w:rPr>
              <w:t>（1）学生问题行为界定</w:t>
            </w:r>
          </w:p>
          <w:p w14:paraId="4228E0E2">
            <w:pPr>
              <w:spacing w:line="276" w:lineRule="auto"/>
              <w:jc w:val="left"/>
              <w:rPr>
                <w:rFonts w:hint="eastAsia" w:ascii="宋体" w:hAnsi="宋体" w:eastAsia="宋体" w:cs="Times New Roman"/>
                <w:szCs w:val="21"/>
              </w:rPr>
            </w:pPr>
            <w:r>
              <w:rPr>
                <w:rFonts w:hint="eastAsia" w:ascii="宋体" w:hAnsi="宋体" w:eastAsia="宋体" w:cs="Times New Roman"/>
                <w:szCs w:val="21"/>
              </w:rPr>
              <w:t>（2）学生常见问题行为及教育</w:t>
            </w:r>
          </w:p>
          <w:p w14:paraId="354828E0">
            <w:pPr>
              <w:spacing w:line="276" w:lineRule="auto"/>
              <w:jc w:val="left"/>
              <w:rPr>
                <w:rFonts w:hint="eastAsia" w:ascii="宋体" w:hAnsi="宋体" w:eastAsia="宋体" w:cs="Times New Roman"/>
                <w:szCs w:val="21"/>
              </w:rPr>
            </w:pPr>
            <w:r>
              <w:rPr>
                <w:rFonts w:hint="eastAsia" w:ascii="宋体" w:hAnsi="宋体" w:eastAsia="宋体" w:cs="Times New Roman"/>
                <w:szCs w:val="21"/>
              </w:rPr>
              <w:t>（3）学生问题行为干预</w:t>
            </w:r>
          </w:p>
        </w:tc>
        <w:tc>
          <w:tcPr>
            <w:tcW w:w="1175" w:type="dxa"/>
            <w:vAlign w:val="center"/>
          </w:tcPr>
          <w:p w14:paraId="2C54ECF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692" w:type="dxa"/>
            <w:vAlign w:val="center"/>
          </w:tcPr>
          <w:p w14:paraId="5114C16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1.了解常见的各类学生问题行为及其表现；</w:t>
            </w:r>
          </w:p>
          <w:p w14:paraId="244BC92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2.学会判断和分析各类学生问题行为产生的原因；</w:t>
            </w:r>
          </w:p>
          <w:p w14:paraId="0A6FF2D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3.掌握学生问题行为干预的步骤和各种方法；</w:t>
            </w:r>
          </w:p>
          <w:p w14:paraId="03C42BF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4.尝试提出解决各类学生问题行为的合理方案。</w:t>
            </w:r>
          </w:p>
        </w:tc>
        <w:tc>
          <w:tcPr>
            <w:tcW w:w="1573" w:type="dxa"/>
            <w:vAlign w:val="center"/>
          </w:tcPr>
          <w:p w14:paraId="17D7D1B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4D942BC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4861094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3.课内实践</w:t>
            </w:r>
          </w:p>
          <w:p w14:paraId="4DAEA0C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p w14:paraId="3F5B731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5.学期考查</w:t>
            </w:r>
          </w:p>
        </w:tc>
        <w:tc>
          <w:tcPr>
            <w:tcW w:w="438" w:type="dxa"/>
            <w:vAlign w:val="center"/>
          </w:tcPr>
          <w:p w14:paraId="325A65E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2D6E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0E9DCC08">
            <w:pPr>
              <w:spacing w:line="276" w:lineRule="auto"/>
              <w:jc w:val="center"/>
              <w:rPr>
                <w:rFonts w:hint="eastAsia" w:ascii="宋体" w:hAnsi="宋体" w:eastAsia="宋体" w:cs="Times New Roman"/>
                <w:color w:val="000000"/>
                <w:szCs w:val="21"/>
              </w:rPr>
            </w:pPr>
          </w:p>
        </w:tc>
        <w:tc>
          <w:tcPr>
            <w:tcW w:w="8494" w:type="dxa"/>
            <w:gridSpan w:val="5"/>
            <w:vAlign w:val="center"/>
          </w:tcPr>
          <w:p w14:paraId="56A90694">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遵循教育规律和儿童身心发展，尊重儿童个性，培养和形成正确的学生观、教师观，提升关爱学生，公平公正对待学生的意识。</w:t>
            </w:r>
          </w:p>
        </w:tc>
      </w:tr>
      <w:tr w14:paraId="4F64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77CEEFB1">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8.小学家校合作</w:t>
            </w:r>
          </w:p>
        </w:tc>
        <w:tc>
          <w:tcPr>
            <w:tcW w:w="1616" w:type="dxa"/>
            <w:vAlign w:val="center"/>
          </w:tcPr>
          <w:p w14:paraId="58CE62D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（1）家校合作的意义</w:t>
            </w:r>
          </w:p>
          <w:p w14:paraId="00B3CB6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（2）班主任与家长沟通</w:t>
            </w:r>
          </w:p>
          <w:p w14:paraId="0C8DC47F">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（3）家校合作的方式</w:t>
            </w:r>
          </w:p>
        </w:tc>
        <w:tc>
          <w:tcPr>
            <w:tcW w:w="1175" w:type="dxa"/>
            <w:vAlign w:val="center"/>
          </w:tcPr>
          <w:p w14:paraId="35B7EC7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692" w:type="dxa"/>
            <w:vAlign w:val="center"/>
          </w:tcPr>
          <w:p w14:paraId="6BF77CA3">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1.明确家校合作的意义；</w:t>
            </w:r>
          </w:p>
          <w:p w14:paraId="107574D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2.了解班主任与家长沟通的目的、方式及注意事项；</w:t>
            </w:r>
          </w:p>
          <w:p w14:paraId="0510779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3.学会判断班主任与家长产生冲突的原因并尝试提出解决方案</w:t>
            </w:r>
          </w:p>
        </w:tc>
        <w:tc>
          <w:tcPr>
            <w:tcW w:w="1573" w:type="dxa"/>
            <w:vAlign w:val="center"/>
          </w:tcPr>
          <w:p w14:paraId="63C8654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9E2EA1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313BCAF4">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3.学期考查</w:t>
            </w:r>
          </w:p>
        </w:tc>
        <w:tc>
          <w:tcPr>
            <w:tcW w:w="438" w:type="dxa"/>
            <w:vAlign w:val="center"/>
          </w:tcPr>
          <w:p w14:paraId="5DE5AE8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37C5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5FF8742E">
            <w:pPr>
              <w:spacing w:line="264" w:lineRule="auto"/>
              <w:jc w:val="center"/>
              <w:rPr>
                <w:rFonts w:hint="eastAsia" w:ascii="宋体" w:hAnsi="宋体" w:eastAsia="宋体" w:cs="Times New Roman"/>
                <w:color w:val="000000"/>
                <w:szCs w:val="21"/>
              </w:rPr>
            </w:pPr>
          </w:p>
        </w:tc>
        <w:tc>
          <w:tcPr>
            <w:tcW w:w="8494" w:type="dxa"/>
            <w:gridSpan w:val="5"/>
            <w:vAlign w:val="center"/>
          </w:tcPr>
          <w:p w14:paraId="598E00E5">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深刻理解家校合作的意义，增强家校共育的大局意识、合作精神、敬业精神。</w:t>
            </w:r>
          </w:p>
        </w:tc>
      </w:tr>
    </w:tbl>
    <w:p w14:paraId="24160C4D">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7CE2B27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FE5B74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tbl>
      <w:tblPr>
        <w:tblStyle w:val="14"/>
        <w:tblpPr w:leftFromText="180" w:rightFromText="180" w:vertAnchor="text" w:horzAnchor="page" w:tblpX="1697" w:tblpY="626"/>
        <w:tblOverlap w:val="never"/>
        <w:tblW w:w="97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293"/>
        <w:gridCol w:w="1175"/>
        <w:gridCol w:w="1267"/>
        <w:gridCol w:w="1525"/>
        <w:gridCol w:w="1433"/>
        <w:gridCol w:w="1797"/>
      </w:tblGrid>
      <w:tr w14:paraId="5869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4AB416A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693" w:type="dxa"/>
            <w:gridSpan w:val="5"/>
            <w:vAlign w:val="center"/>
          </w:tcPr>
          <w:p w14:paraId="79D5B691">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797" w:type="dxa"/>
            <w:vMerge w:val="restart"/>
            <w:vAlign w:val="center"/>
          </w:tcPr>
          <w:p w14:paraId="16C9D7D5">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59B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6C7607EF">
            <w:pPr>
              <w:spacing w:line="360" w:lineRule="auto"/>
              <w:jc w:val="center"/>
              <w:rPr>
                <w:rFonts w:hint="eastAsia" w:ascii="宋体" w:hAnsi="宋体" w:eastAsia="宋体" w:cs="Times New Roman"/>
                <w:szCs w:val="21"/>
              </w:rPr>
            </w:pPr>
          </w:p>
        </w:tc>
        <w:tc>
          <w:tcPr>
            <w:tcW w:w="1293" w:type="dxa"/>
            <w:vAlign w:val="center"/>
          </w:tcPr>
          <w:p w14:paraId="071B470D">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175" w:type="dxa"/>
            <w:vAlign w:val="center"/>
          </w:tcPr>
          <w:p w14:paraId="3C816E80">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267" w:type="dxa"/>
            <w:vAlign w:val="center"/>
          </w:tcPr>
          <w:p w14:paraId="4C7907DB">
            <w:pPr>
              <w:spacing w:line="360" w:lineRule="auto"/>
              <w:jc w:val="center"/>
              <w:rPr>
                <w:rFonts w:hint="eastAsia" w:ascii="宋体" w:hAnsi="宋体" w:eastAsia="宋体" w:cs="Times New Roman"/>
                <w:szCs w:val="21"/>
              </w:rPr>
            </w:pPr>
            <w:r>
              <w:rPr>
                <w:rFonts w:hint="eastAsia" w:ascii="宋体" w:hAnsi="宋体" w:eastAsia="宋体" w:cs="Times New Roman"/>
                <w:szCs w:val="21"/>
              </w:rPr>
              <w:t>课内实践</w:t>
            </w:r>
          </w:p>
        </w:tc>
        <w:tc>
          <w:tcPr>
            <w:tcW w:w="1525" w:type="dxa"/>
            <w:vAlign w:val="center"/>
          </w:tcPr>
          <w:p w14:paraId="5A2F30DA">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平时测验</w:t>
            </w:r>
          </w:p>
        </w:tc>
        <w:tc>
          <w:tcPr>
            <w:tcW w:w="1433" w:type="dxa"/>
            <w:vAlign w:val="center"/>
          </w:tcPr>
          <w:p w14:paraId="5F72024C">
            <w:pPr>
              <w:spacing w:line="360" w:lineRule="auto"/>
              <w:jc w:val="center"/>
              <w:rPr>
                <w:rFonts w:hint="eastAsia" w:ascii="宋体" w:hAnsi="宋体" w:eastAsia="宋体" w:cs="Times New Roman"/>
                <w:szCs w:val="21"/>
              </w:rPr>
            </w:pPr>
            <w:r>
              <w:rPr>
                <w:rFonts w:hint="eastAsia" w:ascii="宋体" w:hAnsi="宋体" w:eastAsia="宋体" w:cs="Times New Roman"/>
                <w:szCs w:val="21"/>
              </w:rPr>
              <w:t>学期考试</w:t>
            </w:r>
          </w:p>
        </w:tc>
        <w:tc>
          <w:tcPr>
            <w:tcW w:w="1797" w:type="dxa"/>
            <w:vMerge w:val="continue"/>
            <w:vAlign w:val="center"/>
          </w:tcPr>
          <w:p w14:paraId="33CEF50D">
            <w:pPr>
              <w:spacing w:line="360" w:lineRule="auto"/>
              <w:jc w:val="center"/>
              <w:rPr>
                <w:rFonts w:hint="eastAsia" w:ascii="宋体" w:hAnsi="宋体" w:eastAsia="宋体" w:cs="Times New Roman"/>
                <w:szCs w:val="21"/>
              </w:rPr>
            </w:pPr>
          </w:p>
        </w:tc>
      </w:tr>
      <w:tr w14:paraId="3B71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50480A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293" w:type="dxa"/>
            <w:vAlign w:val="center"/>
          </w:tcPr>
          <w:p w14:paraId="78C8E25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75" w:type="dxa"/>
            <w:vAlign w:val="center"/>
          </w:tcPr>
          <w:p w14:paraId="4DA0ACC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67" w:type="dxa"/>
            <w:vAlign w:val="center"/>
          </w:tcPr>
          <w:p w14:paraId="2811218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5" w:type="dxa"/>
            <w:vAlign w:val="center"/>
          </w:tcPr>
          <w:p w14:paraId="34407D6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3" w:type="dxa"/>
            <w:vAlign w:val="center"/>
          </w:tcPr>
          <w:p w14:paraId="2917C33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97" w:type="dxa"/>
            <w:vAlign w:val="center"/>
          </w:tcPr>
          <w:p w14:paraId="0FA8026D">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5617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4AC14B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293" w:type="dxa"/>
            <w:vAlign w:val="center"/>
          </w:tcPr>
          <w:p w14:paraId="28A385F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75" w:type="dxa"/>
            <w:vAlign w:val="center"/>
          </w:tcPr>
          <w:p w14:paraId="245784F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67" w:type="dxa"/>
            <w:vAlign w:val="center"/>
          </w:tcPr>
          <w:p w14:paraId="4C94B39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5" w:type="dxa"/>
            <w:vAlign w:val="center"/>
          </w:tcPr>
          <w:p w14:paraId="7FBAD37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3" w:type="dxa"/>
            <w:vAlign w:val="center"/>
          </w:tcPr>
          <w:p w14:paraId="3D4E6E3E">
            <w:pPr>
              <w:spacing w:line="360" w:lineRule="auto"/>
              <w:jc w:val="center"/>
              <w:rPr>
                <w:rFonts w:hint="eastAsia" w:ascii="宋体" w:hAnsi="宋体" w:eastAsia="宋体" w:cs="Times New Roman"/>
                <w:szCs w:val="21"/>
              </w:rPr>
            </w:pPr>
          </w:p>
        </w:tc>
        <w:tc>
          <w:tcPr>
            <w:tcW w:w="1797" w:type="dxa"/>
            <w:vAlign w:val="center"/>
          </w:tcPr>
          <w:p w14:paraId="04E8126D">
            <w:pPr>
              <w:spacing w:line="360" w:lineRule="auto"/>
              <w:jc w:val="center"/>
              <w:rPr>
                <w:rFonts w:hint="eastAsia" w:ascii="宋体" w:hAnsi="宋体" w:eastAsia="宋体" w:cs="Times New Roman"/>
                <w:szCs w:val="21"/>
              </w:rPr>
            </w:pPr>
            <w:r>
              <w:rPr>
                <w:rFonts w:hint="eastAsia" w:ascii="宋体" w:hAnsi="宋体" w:eastAsia="宋体" w:cs="Times New Roman"/>
                <w:szCs w:val="21"/>
              </w:rPr>
              <w:t>60</w:t>
            </w:r>
          </w:p>
        </w:tc>
      </w:tr>
      <w:tr w14:paraId="30C3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EC3107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293" w:type="dxa"/>
            <w:vAlign w:val="center"/>
          </w:tcPr>
          <w:p w14:paraId="7C5C31E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75" w:type="dxa"/>
            <w:vAlign w:val="center"/>
          </w:tcPr>
          <w:p w14:paraId="77F41282">
            <w:pPr>
              <w:spacing w:line="360" w:lineRule="auto"/>
              <w:jc w:val="center"/>
              <w:rPr>
                <w:rFonts w:hint="eastAsia" w:ascii="宋体" w:hAnsi="宋体" w:eastAsia="宋体" w:cs="Times New Roman"/>
                <w:szCs w:val="21"/>
              </w:rPr>
            </w:pPr>
          </w:p>
        </w:tc>
        <w:tc>
          <w:tcPr>
            <w:tcW w:w="1267" w:type="dxa"/>
            <w:vAlign w:val="center"/>
          </w:tcPr>
          <w:p w14:paraId="6976F51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5" w:type="dxa"/>
            <w:vAlign w:val="center"/>
          </w:tcPr>
          <w:p w14:paraId="13A57AE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3" w:type="dxa"/>
            <w:vAlign w:val="center"/>
          </w:tcPr>
          <w:p w14:paraId="4E68B9F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97" w:type="dxa"/>
            <w:vAlign w:val="center"/>
          </w:tcPr>
          <w:p w14:paraId="22B26470">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545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6D8A19A">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293" w:type="dxa"/>
            <w:vAlign w:val="center"/>
          </w:tcPr>
          <w:p w14:paraId="1FBC913A">
            <w:pPr>
              <w:spacing w:line="360" w:lineRule="auto"/>
              <w:jc w:val="center"/>
              <w:rPr>
                <w:rFonts w:hint="eastAsia" w:ascii="宋体" w:hAnsi="宋体" w:eastAsia="宋体" w:cs="Times New Roman"/>
                <w:szCs w:val="21"/>
              </w:rPr>
            </w:pPr>
          </w:p>
        </w:tc>
        <w:tc>
          <w:tcPr>
            <w:tcW w:w="1175" w:type="dxa"/>
            <w:vAlign w:val="center"/>
          </w:tcPr>
          <w:p w14:paraId="201C1059">
            <w:pPr>
              <w:spacing w:line="360" w:lineRule="auto"/>
              <w:jc w:val="center"/>
              <w:rPr>
                <w:rFonts w:hint="eastAsia" w:ascii="宋体" w:hAnsi="宋体" w:eastAsia="宋体" w:cs="Times New Roman"/>
                <w:szCs w:val="21"/>
              </w:rPr>
            </w:pPr>
          </w:p>
        </w:tc>
        <w:tc>
          <w:tcPr>
            <w:tcW w:w="1267" w:type="dxa"/>
            <w:vAlign w:val="center"/>
          </w:tcPr>
          <w:p w14:paraId="6FABFB99">
            <w:pPr>
              <w:spacing w:line="360" w:lineRule="auto"/>
              <w:jc w:val="center"/>
              <w:rPr>
                <w:rFonts w:hint="eastAsia" w:ascii="宋体" w:hAnsi="宋体" w:eastAsia="宋体" w:cs="Times New Roman"/>
                <w:szCs w:val="21"/>
              </w:rPr>
            </w:pPr>
          </w:p>
        </w:tc>
        <w:tc>
          <w:tcPr>
            <w:tcW w:w="1525" w:type="dxa"/>
            <w:vAlign w:val="center"/>
          </w:tcPr>
          <w:p w14:paraId="33E0118C">
            <w:pPr>
              <w:spacing w:line="360" w:lineRule="auto"/>
              <w:jc w:val="center"/>
              <w:rPr>
                <w:rFonts w:hint="eastAsia" w:ascii="宋体" w:hAnsi="宋体" w:eastAsia="宋体" w:cs="Times New Roman"/>
                <w:szCs w:val="21"/>
              </w:rPr>
            </w:pPr>
          </w:p>
        </w:tc>
        <w:tc>
          <w:tcPr>
            <w:tcW w:w="1433" w:type="dxa"/>
            <w:vAlign w:val="center"/>
          </w:tcPr>
          <w:p w14:paraId="360DF02B">
            <w:pPr>
              <w:spacing w:line="360" w:lineRule="auto"/>
              <w:jc w:val="center"/>
              <w:rPr>
                <w:rFonts w:hint="eastAsia" w:ascii="宋体" w:hAnsi="宋体" w:eastAsia="宋体" w:cs="Times New Roman"/>
                <w:szCs w:val="21"/>
              </w:rPr>
            </w:pPr>
          </w:p>
        </w:tc>
        <w:tc>
          <w:tcPr>
            <w:tcW w:w="1797" w:type="dxa"/>
            <w:vAlign w:val="center"/>
          </w:tcPr>
          <w:p w14:paraId="4FC35FF6">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C8ECCA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p w14:paraId="2D4DDA7E">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EC3D39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999FE9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657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C87E1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D99D14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0FF89D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AFC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77556FC">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B96BA1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平时作业共3次，为小论文或讨论题，论述的逻辑性、充分性及深刻性为评分的主要依据。</w:t>
            </w:r>
          </w:p>
        </w:tc>
        <w:tc>
          <w:tcPr>
            <w:tcW w:w="0" w:type="auto"/>
            <w:vAlign w:val="center"/>
          </w:tcPr>
          <w:p w14:paraId="306EF00F">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853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C2C282">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2FACB7B0">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100FB933">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640A056">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D68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252B774">
            <w:pPr>
              <w:rPr>
                <w:rFonts w:ascii="Times New Roman" w:hAnsi="Times New Roman" w:eastAsia="宋体" w:cs="Times New Roman"/>
                <w:szCs w:val="21"/>
              </w:rPr>
            </w:pPr>
            <w:r>
              <w:rPr>
                <w:rFonts w:hint="eastAsia" w:ascii="Times New Roman" w:hAnsi="Times New Roman" w:eastAsia="宋体" w:cs="Times New Roman"/>
                <w:szCs w:val="21"/>
              </w:rPr>
              <w:t>平时测验</w:t>
            </w:r>
          </w:p>
        </w:tc>
        <w:tc>
          <w:tcPr>
            <w:tcW w:w="7141" w:type="dxa"/>
            <w:vAlign w:val="center"/>
          </w:tcPr>
          <w:p w14:paraId="3A5498EF">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以客观题形式进行线上进行测验，主要考查基础知识和基本理论的掌握，以题目的正确率为得分依据。</w:t>
            </w:r>
          </w:p>
        </w:tc>
        <w:tc>
          <w:tcPr>
            <w:tcW w:w="0" w:type="auto"/>
            <w:vAlign w:val="center"/>
          </w:tcPr>
          <w:p w14:paraId="5A7BE0B7">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E8D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692BD7E">
            <w:pP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7141" w:type="dxa"/>
            <w:vAlign w:val="center"/>
          </w:tcPr>
          <w:p w14:paraId="167C5016">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建立“小学班队管理课内实践项目库”，要求每个学生在项目库中选择2个项目完成并提交，每个项目需在1000字以上。</w:t>
            </w:r>
          </w:p>
        </w:tc>
        <w:tc>
          <w:tcPr>
            <w:tcW w:w="0" w:type="auto"/>
            <w:vAlign w:val="center"/>
          </w:tcPr>
          <w:p w14:paraId="3A191025">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1A0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EF031C">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0A571AEC">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对所学内容的认识、理解和应用情况</w:t>
            </w:r>
          </w:p>
        </w:tc>
        <w:tc>
          <w:tcPr>
            <w:tcW w:w="0" w:type="auto"/>
            <w:vAlign w:val="center"/>
          </w:tcPr>
          <w:p w14:paraId="4AB089BB">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2295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8826CC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7E933D4B">
            <w:pPr>
              <w:jc w:val="left"/>
              <w:rPr>
                <w:rFonts w:ascii="Times New Roman" w:hAnsi="Times New Roman" w:eastAsia="宋体" w:cs="Times New Roman"/>
                <w:szCs w:val="21"/>
              </w:rPr>
            </w:pPr>
          </w:p>
        </w:tc>
        <w:tc>
          <w:tcPr>
            <w:tcW w:w="0" w:type="auto"/>
            <w:vAlign w:val="center"/>
          </w:tcPr>
          <w:p w14:paraId="71A358E2">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8CCC5C5">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2CC12C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9F9FC18">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color w:val="000000"/>
          <w:szCs w:val="21"/>
        </w:rPr>
        <w:object>
          <v:shape id="_x0000_i1047"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47" DrawAspect="Content" ObjectID="_1468075747" r:id="rId32">
            <o:LockedField>false</o:LockedField>
          </o:OLEObject>
        </w:object>
      </w: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p>
    <w:p w14:paraId="4648F258">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本课程在24学时理论教学的基础上，完成8学时的课内实践。</w:t>
      </w:r>
    </w:p>
    <w:p w14:paraId="7785FAB3">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课内实践活动安排</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475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9EF91F9">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6BFDB7E">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2954490A">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182DD6D">
            <w:pPr>
              <w:spacing w:line="240" w:lineRule="exact"/>
              <w:jc w:val="center"/>
              <w:rPr>
                <w:rFonts w:hint="eastAsia" w:ascii="宋体" w:hAnsi="宋体" w:eastAsia="宋体" w:cs="宋体"/>
                <w:b/>
                <w:bCs/>
                <w:szCs w:val="21"/>
              </w:rPr>
            </w:pPr>
            <w:r>
              <w:rPr>
                <w:rFonts w:hint="eastAsia" w:ascii="宋体" w:hAnsi="宋体" w:eastAsia="宋体" w:cs="宋体"/>
                <w:b/>
                <w:bCs/>
                <w:szCs w:val="21"/>
              </w:rPr>
              <w:t>教学目标</w:t>
            </w:r>
          </w:p>
        </w:tc>
      </w:tr>
      <w:tr w14:paraId="7EF8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541C469">
            <w:pPr>
              <w:spacing w:line="276" w:lineRule="auto"/>
              <w:jc w:val="left"/>
              <w:rPr>
                <w:rFonts w:hint="eastAsia" w:ascii="宋体" w:hAnsi="宋体" w:eastAsia="宋体" w:cs="宋体"/>
                <w:szCs w:val="21"/>
              </w:rPr>
            </w:pPr>
            <w:r>
              <w:rPr>
                <w:rFonts w:hint="eastAsia" w:ascii="宋体" w:hAnsi="宋体" w:eastAsia="宋体" w:cs="宋体"/>
                <w:szCs w:val="21"/>
              </w:rPr>
              <w:t>班队常规管理</w:t>
            </w:r>
          </w:p>
        </w:tc>
        <w:tc>
          <w:tcPr>
            <w:tcW w:w="3407" w:type="dxa"/>
            <w:vAlign w:val="center"/>
          </w:tcPr>
          <w:p w14:paraId="1718B921">
            <w:pPr>
              <w:spacing w:line="276" w:lineRule="auto"/>
              <w:jc w:val="left"/>
              <w:rPr>
                <w:rFonts w:hint="eastAsia" w:ascii="宋体" w:hAnsi="宋体" w:eastAsia="宋体" w:cs="宋体"/>
                <w:szCs w:val="21"/>
              </w:rPr>
            </w:pPr>
            <w:r>
              <w:rPr>
                <w:rFonts w:hint="eastAsia" w:ascii="宋体" w:hAnsi="宋体" w:eastAsia="宋体" w:cs="宋体"/>
                <w:szCs w:val="21"/>
              </w:rPr>
              <w:t>了解小学班队常规，学习《中小学教育惩戒规则》，选择一个年级，制定一份班队常规或结合教育实践案例，谈谈如何正确进行教育惩戒</w:t>
            </w:r>
          </w:p>
        </w:tc>
        <w:tc>
          <w:tcPr>
            <w:tcW w:w="740" w:type="dxa"/>
            <w:vAlign w:val="center"/>
          </w:tcPr>
          <w:p w14:paraId="2A82D752">
            <w:pPr>
              <w:spacing w:line="276" w:lineRule="auto"/>
              <w:jc w:val="center"/>
              <w:rPr>
                <w:rFonts w:hint="eastAsia" w:ascii="宋体" w:hAnsi="宋体" w:eastAsia="宋体" w:cs="宋体"/>
                <w:szCs w:val="21"/>
              </w:rPr>
            </w:pPr>
            <w:r>
              <w:rPr>
                <w:rFonts w:hint="eastAsia" w:ascii="宋体" w:hAnsi="宋体" w:eastAsia="宋体" w:cs="宋体"/>
                <w:szCs w:val="21"/>
              </w:rPr>
              <w:t>课堂研讨与分享</w:t>
            </w:r>
          </w:p>
        </w:tc>
        <w:tc>
          <w:tcPr>
            <w:tcW w:w="3160" w:type="dxa"/>
            <w:vAlign w:val="center"/>
          </w:tcPr>
          <w:p w14:paraId="788B1E55">
            <w:pPr>
              <w:spacing w:line="276" w:lineRule="auto"/>
              <w:jc w:val="left"/>
              <w:rPr>
                <w:rFonts w:hint="eastAsia" w:ascii="宋体" w:hAnsi="宋体" w:eastAsia="宋体" w:cs="宋体"/>
                <w:szCs w:val="21"/>
              </w:rPr>
            </w:pPr>
            <w:r>
              <w:rPr>
                <w:rFonts w:hint="eastAsia" w:ascii="宋体" w:hAnsi="宋体" w:eastAsia="宋体" w:cs="宋体"/>
                <w:szCs w:val="21"/>
              </w:rPr>
              <w:t>1.学会制订班队常规，能够运用班队常规进行班级管理，掌握中小学教育惩戒规则，正确进行教育惩戒；</w:t>
            </w:r>
          </w:p>
          <w:p w14:paraId="0C178FE7">
            <w:pPr>
              <w:spacing w:line="276" w:lineRule="auto"/>
              <w:jc w:val="left"/>
              <w:rPr>
                <w:rFonts w:hint="eastAsia" w:ascii="宋体" w:hAnsi="宋体" w:eastAsia="宋体" w:cs="宋体"/>
                <w:szCs w:val="21"/>
              </w:rPr>
            </w:pPr>
            <w:r>
              <w:rPr>
                <w:rFonts w:hint="eastAsia" w:ascii="宋体" w:hAnsi="宋体" w:eastAsia="宋体" w:cs="宋体"/>
                <w:szCs w:val="21"/>
              </w:rPr>
              <w:t>2.树立正确的教育观、教师观、学生观，遵守教育法律法规，进行班级管理。</w:t>
            </w:r>
          </w:p>
        </w:tc>
      </w:tr>
      <w:tr w14:paraId="36C5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170E153A">
            <w:pPr>
              <w:spacing w:line="276" w:lineRule="auto"/>
              <w:jc w:val="left"/>
              <w:rPr>
                <w:rFonts w:hint="eastAsia" w:ascii="宋体" w:hAnsi="宋体" w:eastAsia="宋体" w:cs="宋体"/>
                <w:szCs w:val="21"/>
              </w:rPr>
            </w:pPr>
            <w:r>
              <w:rPr>
                <w:rFonts w:hint="eastAsia" w:ascii="宋体" w:hAnsi="宋体" w:eastAsia="宋体" w:cs="宋体"/>
                <w:szCs w:val="21"/>
              </w:rPr>
              <w:t>班队活动管理</w:t>
            </w:r>
          </w:p>
        </w:tc>
        <w:tc>
          <w:tcPr>
            <w:tcW w:w="3407" w:type="dxa"/>
            <w:vAlign w:val="center"/>
          </w:tcPr>
          <w:p w14:paraId="12510925">
            <w:pPr>
              <w:spacing w:line="276" w:lineRule="auto"/>
              <w:jc w:val="left"/>
              <w:rPr>
                <w:rFonts w:hint="eastAsia" w:ascii="宋体" w:hAnsi="宋体" w:eastAsia="宋体" w:cs="宋体"/>
                <w:szCs w:val="21"/>
              </w:rPr>
            </w:pPr>
            <w:r>
              <w:rPr>
                <w:rFonts w:hint="eastAsia" w:ascii="宋体" w:hAnsi="宋体" w:eastAsia="宋体" w:cs="宋体"/>
                <w:szCs w:val="21"/>
              </w:rPr>
              <w:t>观看以小学竞选班长为主题的纪录片《请投我一票》，分析这次班队活动中反映出的一些问题，并自选主题，设计“主题班会”活动方案</w:t>
            </w:r>
          </w:p>
        </w:tc>
        <w:tc>
          <w:tcPr>
            <w:tcW w:w="740" w:type="dxa"/>
            <w:vAlign w:val="center"/>
          </w:tcPr>
          <w:p w14:paraId="49D89753">
            <w:pPr>
              <w:spacing w:line="276" w:lineRule="auto"/>
              <w:jc w:val="center"/>
              <w:rPr>
                <w:rFonts w:hint="eastAsia" w:ascii="宋体" w:hAnsi="宋体" w:eastAsia="宋体" w:cs="宋体"/>
                <w:szCs w:val="21"/>
              </w:rPr>
            </w:pPr>
            <w:r>
              <w:rPr>
                <w:rFonts w:hint="eastAsia" w:ascii="宋体" w:hAnsi="宋体" w:eastAsia="宋体" w:cs="宋体"/>
                <w:szCs w:val="21"/>
              </w:rPr>
              <w:t>课堂研讨与分享</w:t>
            </w:r>
          </w:p>
        </w:tc>
        <w:tc>
          <w:tcPr>
            <w:tcW w:w="3160" w:type="dxa"/>
            <w:vAlign w:val="center"/>
          </w:tcPr>
          <w:p w14:paraId="15321E8D">
            <w:pPr>
              <w:spacing w:line="276" w:lineRule="auto"/>
              <w:jc w:val="left"/>
              <w:rPr>
                <w:rFonts w:hint="eastAsia" w:ascii="宋体" w:hAnsi="宋体" w:eastAsia="宋体" w:cs="宋体"/>
                <w:szCs w:val="21"/>
              </w:rPr>
            </w:pPr>
            <w:r>
              <w:rPr>
                <w:rFonts w:hint="eastAsia" w:ascii="宋体" w:hAnsi="宋体" w:eastAsia="宋体" w:cs="宋体"/>
                <w:szCs w:val="21"/>
              </w:rPr>
              <w:t>1.学会组织班队活动；</w:t>
            </w:r>
          </w:p>
          <w:p w14:paraId="3ECAC111">
            <w:pPr>
              <w:spacing w:line="276" w:lineRule="auto"/>
              <w:jc w:val="left"/>
              <w:rPr>
                <w:rFonts w:hint="eastAsia" w:ascii="宋体" w:hAnsi="宋体" w:eastAsia="宋体" w:cs="宋体"/>
                <w:szCs w:val="21"/>
              </w:rPr>
            </w:pPr>
            <w:r>
              <w:rPr>
                <w:rFonts w:hint="eastAsia" w:ascii="宋体" w:hAnsi="宋体" w:eastAsia="宋体" w:cs="宋体"/>
                <w:szCs w:val="21"/>
              </w:rPr>
              <w:t>2.进一步理解活动育人的意义；</w:t>
            </w:r>
          </w:p>
          <w:p w14:paraId="035D8BB6">
            <w:pPr>
              <w:spacing w:line="276" w:lineRule="auto"/>
              <w:jc w:val="left"/>
              <w:rPr>
                <w:rFonts w:hint="eastAsia" w:ascii="宋体" w:hAnsi="宋体" w:eastAsia="宋体" w:cs="宋体"/>
                <w:szCs w:val="21"/>
              </w:rPr>
            </w:pPr>
            <w:r>
              <w:rPr>
                <w:rFonts w:hint="eastAsia" w:ascii="宋体" w:hAnsi="宋体" w:eastAsia="宋体" w:cs="宋体"/>
                <w:szCs w:val="21"/>
              </w:rPr>
              <w:t>3.深刻领会班主任素养对学生成长的重要性，提升努力成为“四有”好教师的意愿。</w:t>
            </w:r>
          </w:p>
        </w:tc>
      </w:tr>
      <w:tr w14:paraId="2524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1212" w:type="dxa"/>
            <w:vAlign w:val="center"/>
          </w:tcPr>
          <w:p w14:paraId="4FDE5A55">
            <w:pPr>
              <w:spacing w:line="276" w:lineRule="auto"/>
              <w:jc w:val="left"/>
              <w:rPr>
                <w:rFonts w:hint="eastAsia" w:ascii="宋体" w:hAnsi="宋体" w:eastAsia="宋体" w:cs="宋体"/>
                <w:szCs w:val="21"/>
              </w:rPr>
            </w:pPr>
            <w:r>
              <w:rPr>
                <w:rFonts w:hint="eastAsia" w:ascii="宋体" w:hAnsi="宋体" w:eastAsia="宋体" w:cs="宋体"/>
                <w:szCs w:val="21"/>
              </w:rPr>
              <w:t>班队环境管理</w:t>
            </w:r>
          </w:p>
        </w:tc>
        <w:tc>
          <w:tcPr>
            <w:tcW w:w="3407" w:type="dxa"/>
            <w:vAlign w:val="center"/>
          </w:tcPr>
          <w:p w14:paraId="203C4234">
            <w:pPr>
              <w:spacing w:line="276" w:lineRule="auto"/>
              <w:jc w:val="left"/>
              <w:rPr>
                <w:rFonts w:hint="eastAsia" w:ascii="宋体" w:hAnsi="宋体" w:eastAsia="宋体" w:cs="宋体"/>
                <w:szCs w:val="21"/>
              </w:rPr>
            </w:pPr>
            <w:r>
              <w:rPr>
                <w:rFonts w:hint="eastAsia" w:ascii="宋体" w:hAnsi="宋体" w:eastAsia="宋体" w:cs="宋体"/>
                <w:szCs w:val="21"/>
              </w:rPr>
              <w:t>结合见习实习经历，谈谈班主任进行班级环境创设应注意的问题。</w:t>
            </w:r>
          </w:p>
        </w:tc>
        <w:tc>
          <w:tcPr>
            <w:tcW w:w="740" w:type="dxa"/>
            <w:vAlign w:val="center"/>
          </w:tcPr>
          <w:p w14:paraId="42C477C4">
            <w:pPr>
              <w:spacing w:line="276" w:lineRule="auto"/>
              <w:jc w:val="center"/>
              <w:rPr>
                <w:rFonts w:hint="eastAsia" w:ascii="宋体" w:hAnsi="宋体" w:eastAsia="宋体" w:cs="宋体"/>
                <w:szCs w:val="21"/>
              </w:rPr>
            </w:pPr>
            <w:r>
              <w:rPr>
                <w:rFonts w:hint="eastAsia" w:ascii="宋体" w:hAnsi="宋体" w:eastAsia="宋体" w:cs="宋体"/>
                <w:szCs w:val="21"/>
              </w:rPr>
              <w:t>课堂研讨与分享</w:t>
            </w:r>
          </w:p>
        </w:tc>
        <w:tc>
          <w:tcPr>
            <w:tcW w:w="3160" w:type="dxa"/>
            <w:vAlign w:val="center"/>
          </w:tcPr>
          <w:p w14:paraId="063380DC">
            <w:pPr>
              <w:spacing w:line="276" w:lineRule="auto"/>
              <w:jc w:val="left"/>
              <w:rPr>
                <w:rFonts w:hint="eastAsia" w:ascii="宋体" w:hAnsi="宋体" w:eastAsia="宋体" w:cs="宋体"/>
                <w:szCs w:val="21"/>
              </w:rPr>
            </w:pPr>
            <w:r>
              <w:rPr>
                <w:rFonts w:hint="eastAsia" w:ascii="宋体" w:hAnsi="宋体" w:eastAsia="宋体" w:cs="宋体"/>
                <w:szCs w:val="21"/>
              </w:rPr>
              <w:t>1.掌握班级环境创设的要求与方法；</w:t>
            </w:r>
          </w:p>
          <w:p w14:paraId="00E3258F">
            <w:pPr>
              <w:spacing w:line="276" w:lineRule="auto"/>
              <w:jc w:val="left"/>
              <w:rPr>
                <w:rFonts w:hint="eastAsia" w:ascii="宋体" w:hAnsi="宋体" w:eastAsia="宋体" w:cs="宋体"/>
                <w:szCs w:val="21"/>
              </w:rPr>
            </w:pPr>
            <w:r>
              <w:rPr>
                <w:rFonts w:hint="eastAsia" w:ascii="宋体" w:hAnsi="宋体" w:eastAsia="宋体" w:cs="宋体"/>
                <w:szCs w:val="21"/>
              </w:rPr>
              <w:t>2.提高对教师职业特性的认识，增强文化育人的意识。</w:t>
            </w:r>
          </w:p>
        </w:tc>
      </w:tr>
      <w:tr w14:paraId="61CA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04E1AA7E">
            <w:pPr>
              <w:spacing w:line="276" w:lineRule="auto"/>
              <w:jc w:val="left"/>
              <w:rPr>
                <w:rFonts w:hint="eastAsia" w:ascii="宋体" w:hAnsi="宋体" w:eastAsia="宋体" w:cs="宋体"/>
                <w:szCs w:val="21"/>
              </w:rPr>
            </w:pPr>
            <w:r>
              <w:rPr>
                <w:rFonts w:hint="eastAsia" w:ascii="宋体" w:hAnsi="宋体" w:eastAsia="宋体" w:cs="宋体"/>
                <w:szCs w:val="21"/>
              </w:rPr>
              <w:t>学生问题行为管理与家校沟通</w:t>
            </w:r>
          </w:p>
        </w:tc>
        <w:tc>
          <w:tcPr>
            <w:tcW w:w="3407" w:type="dxa"/>
            <w:vAlign w:val="center"/>
          </w:tcPr>
          <w:p w14:paraId="60566047">
            <w:pPr>
              <w:spacing w:line="276" w:lineRule="auto"/>
              <w:jc w:val="left"/>
              <w:rPr>
                <w:rFonts w:hint="eastAsia" w:ascii="宋体" w:hAnsi="宋体" w:eastAsia="宋体" w:cs="宋体"/>
                <w:szCs w:val="21"/>
              </w:rPr>
            </w:pPr>
            <w:r>
              <w:rPr>
                <w:rFonts w:hint="eastAsia" w:ascii="宋体" w:hAnsi="宋体" w:eastAsia="宋体" w:cs="宋体"/>
                <w:szCs w:val="21"/>
              </w:rPr>
              <w:t>分析当前小学校园霸凌问题的表现、成因及应对策略；并谈谈家校沟通存在的问题及应对</w:t>
            </w:r>
          </w:p>
        </w:tc>
        <w:tc>
          <w:tcPr>
            <w:tcW w:w="740" w:type="dxa"/>
            <w:vAlign w:val="center"/>
          </w:tcPr>
          <w:p w14:paraId="6CB86456">
            <w:pPr>
              <w:spacing w:line="276" w:lineRule="auto"/>
              <w:jc w:val="center"/>
              <w:rPr>
                <w:rFonts w:hint="eastAsia" w:ascii="宋体" w:hAnsi="宋体" w:eastAsia="宋体" w:cs="宋体"/>
                <w:szCs w:val="21"/>
              </w:rPr>
            </w:pPr>
            <w:r>
              <w:rPr>
                <w:rFonts w:hint="eastAsia" w:ascii="宋体" w:hAnsi="宋体" w:eastAsia="宋体" w:cs="宋体"/>
                <w:szCs w:val="21"/>
              </w:rPr>
              <w:t>课堂研讨与分享</w:t>
            </w:r>
          </w:p>
        </w:tc>
        <w:tc>
          <w:tcPr>
            <w:tcW w:w="3160" w:type="dxa"/>
            <w:vAlign w:val="center"/>
          </w:tcPr>
          <w:p w14:paraId="78EE25FC">
            <w:pPr>
              <w:spacing w:line="276" w:lineRule="auto"/>
              <w:jc w:val="left"/>
              <w:rPr>
                <w:rFonts w:hint="eastAsia" w:ascii="宋体" w:hAnsi="宋体" w:eastAsia="宋体" w:cs="宋体"/>
                <w:szCs w:val="21"/>
              </w:rPr>
            </w:pPr>
            <w:r>
              <w:rPr>
                <w:rFonts w:hint="eastAsia" w:ascii="宋体" w:hAnsi="宋体" w:eastAsia="宋体" w:cs="宋体"/>
                <w:szCs w:val="21"/>
              </w:rPr>
              <w:t>1.了解常见的学生问题行为，掌握处理学生问题行为的策略；提升家校沟通技巧；</w:t>
            </w:r>
          </w:p>
          <w:p w14:paraId="6334205E">
            <w:pPr>
              <w:spacing w:line="276" w:lineRule="auto"/>
              <w:jc w:val="left"/>
              <w:rPr>
                <w:rFonts w:hint="eastAsia" w:ascii="宋体" w:hAnsi="宋体" w:eastAsia="宋体" w:cs="宋体"/>
                <w:szCs w:val="21"/>
              </w:rPr>
            </w:pPr>
            <w:r>
              <w:rPr>
                <w:rFonts w:hint="eastAsia" w:ascii="宋体" w:hAnsi="宋体" w:eastAsia="宋体" w:cs="宋体"/>
                <w:szCs w:val="21"/>
              </w:rPr>
              <w:t>2.增强从教的意愿，以及成为小学教师的荣耀感、责任感和使命感。</w:t>
            </w:r>
          </w:p>
        </w:tc>
      </w:tr>
    </w:tbl>
    <w:p w14:paraId="3536153C">
      <w:pPr>
        <w:spacing w:line="360" w:lineRule="auto"/>
        <w:ind w:firstLine="551" w:firstLineChars="196"/>
        <w:jc w:val="left"/>
        <w:rPr>
          <w:rFonts w:hint="eastAsia" w:ascii="宋体" w:hAnsi="宋体" w:eastAsia="宋体" w:cs="Times New Roman"/>
          <w:b/>
          <w:color w:val="000000"/>
          <w:sz w:val="28"/>
          <w:szCs w:val="28"/>
        </w:rPr>
      </w:pPr>
    </w:p>
    <w:p w14:paraId="76D97616">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0F941B4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3FE78B9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根据学生课堂教学中的反应、课后反馈、课内实践、作业质量，以及领导、督导、教师同行等的听课情况，及时发现和改进教学中的不足之处，确保相应毕业要求指标点达成。</w:t>
      </w:r>
    </w:p>
    <w:p w14:paraId="30E247E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3ECC639">
      <w:pPr>
        <w:spacing w:line="360" w:lineRule="auto"/>
        <w:ind w:firstLine="420" w:firstLineChars="20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沈佳琪.小学班管队理，高等教育出版社，2021。</w:t>
      </w:r>
    </w:p>
    <w:p w14:paraId="5D7D751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3101BAEA">
      <w:pPr>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 李镇西.我这样做班主任——李镇西30年班级管理精华. 漓江出版社，2018.</w:t>
      </w:r>
    </w:p>
    <w:p w14:paraId="2A6C6865">
      <w:pPr>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 xml:space="preserve">2. 曹长德. 当代班级管理引论. 中国科学技术大学出版社, 2019. </w:t>
      </w:r>
    </w:p>
    <w:p w14:paraId="1BEDA5D0">
      <w:pPr>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 xml:space="preserve">3. 王怀玉. 从班级到成长共同体：不一样的带班策略.华东师范大学出版社, 2019. </w:t>
      </w:r>
    </w:p>
    <w:p w14:paraId="06FEDC1B">
      <w:pPr>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 李明敏等. 班级管理原理与方法. 中国社会科学出版社, 2017.</w:t>
      </w:r>
    </w:p>
    <w:p w14:paraId="7A4EAC7B">
      <w:pPr>
        <w:ind w:firstLine="420" w:firstLineChars="200"/>
      </w:pPr>
      <w:r>
        <w:rPr>
          <w:rFonts w:hint="eastAsia" w:ascii="Times New Roman" w:hAnsi="Times New Roman" w:eastAsia="宋体" w:cs="Times New Roman"/>
          <w:bCs/>
          <w:color w:val="000000"/>
          <w:szCs w:val="21"/>
        </w:rPr>
        <w:t>5. 李继秀, 陈小勤. 班级管理案例精选. 安徽大学出版社, 2018.</w:t>
      </w:r>
    </w:p>
    <w:p w14:paraId="373BDF1F"/>
    <w:p w14:paraId="0EEB8C98"/>
    <w:p w14:paraId="7D7D5F02">
      <w:pPr>
        <w:wordWrap w:val="0"/>
        <w:spacing w:line="360" w:lineRule="auto"/>
        <w:ind w:right="1440"/>
        <w:jc w:val="right"/>
        <w:rPr>
          <w:rFonts w:ascii="Times New Roman" w:hAnsi="Times New Roman" w:eastAsia="宋体" w:cs="Times New Roman"/>
          <w:sz w:val="24"/>
        </w:rPr>
      </w:pPr>
      <w:r>
        <w:rPr>
          <w:rFonts w:hint="eastAsia" w:ascii="Times New Roman" w:hAnsi="Times New Roman" w:eastAsia="宋体" w:cs="Times New Roman"/>
          <w:sz w:val="24"/>
        </w:rPr>
        <w:t>执 笔 人： 姚玉香</w:t>
      </w:r>
    </w:p>
    <w:p w14:paraId="4DB2CDFB">
      <w:pPr>
        <w:wordWrap w:val="0"/>
        <w:spacing w:line="360" w:lineRule="auto"/>
        <w:ind w:right="1440"/>
        <w:jc w:val="right"/>
        <w:rPr>
          <w:rFonts w:ascii="Times New Roman" w:hAnsi="Times New Roman" w:eastAsia="宋体" w:cs="Times New Roman"/>
          <w:sz w:val="24"/>
        </w:rPr>
      </w:pPr>
      <w:r>
        <w:rPr>
          <w:rFonts w:hint="eastAsia" w:ascii="Times New Roman" w:hAnsi="Times New Roman" w:eastAsia="宋体" w:cs="Times New Roman"/>
          <w:sz w:val="24"/>
        </w:rPr>
        <w:t xml:space="preserve"> 审 定 人： 王  健</w:t>
      </w:r>
    </w:p>
    <w:p w14:paraId="5F94F292">
      <w:pPr>
        <w:spacing w:line="360" w:lineRule="auto"/>
        <w:ind w:right="1440"/>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702AA374">
      <w:pPr>
        <w:spacing w:line="360" w:lineRule="auto"/>
        <w:ind w:right="240"/>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5F7CEA4D">
      <w:pPr>
        <w:pStyle w:val="2"/>
        <w:bidi w:val="0"/>
        <w:rPr>
          <w:rFonts w:hint="default"/>
          <w:lang w:val="en-US" w:eastAsia="zh-CN"/>
        </w:rPr>
      </w:pPr>
      <w:r>
        <w:rPr>
          <w:rFonts w:hint="eastAsia" w:ascii="等线" w:hAnsi="等线" w:eastAsia="等线" w:cs="等线"/>
          <w:bCs/>
          <w:szCs w:val="44"/>
        </w:rPr>
        <w:br w:type="page"/>
      </w:r>
      <w:bookmarkStart w:id="124" w:name="_Toc11444"/>
      <w:bookmarkStart w:id="125" w:name="_Toc1149"/>
      <w:r>
        <w:rPr>
          <w:rFonts w:hint="eastAsia"/>
          <w:lang w:eastAsia="zh-CN"/>
        </w:rPr>
        <w:t>《</w:t>
      </w:r>
      <w:r>
        <w:rPr>
          <w:rFonts w:hint="eastAsia"/>
        </w:rPr>
        <w:t>教师口语与礼仪</w:t>
      </w:r>
      <w:r>
        <w:rPr>
          <w:rFonts w:hint="eastAsia"/>
          <w:lang w:eastAsia="zh-CN"/>
        </w:rPr>
        <w:t>》</w:t>
      </w:r>
      <w:r>
        <w:rPr>
          <w:rFonts w:hint="eastAsia"/>
          <w:lang w:val="en-US" w:eastAsia="zh-CN"/>
        </w:rPr>
        <w:t>课程教学大纲</w:t>
      </w:r>
      <w:bookmarkEnd w:id="124"/>
    </w:p>
    <w:p w14:paraId="56357D57">
      <w:pPr>
        <w:spacing w:line="312" w:lineRule="auto"/>
        <w:jc w:val="center"/>
        <w:rPr>
          <w:rFonts w:hint="eastAsia" w:ascii="Times New Roman" w:hAnsi="Times New Roman" w:eastAsia="宋体" w:cs="Times New Roman"/>
          <w:b/>
          <w:bCs/>
          <w:sz w:val="30"/>
          <w:szCs w:val="24"/>
          <w:lang w:eastAsia="zh-CN"/>
        </w:rPr>
      </w:pPr>
      <w:r>
        <w:rPr>
          <w:rFonts w:hint="eastAsia" w:ascii="Times New Roman" w:hAnsi="Times New Roman" w:eastAsia="宋体" w:cs="Times New Roman"/>
          <w:b/>
          <w:bCs/>
          <w:sz w:val="30"/>
          <w:szCs w:val="24"/>
          <w:lang w:eastAsia="zh-CN"/>
        </w:rPr>
        <w:t>（</w:t>
      </w:r>
      <w:r>
        <w:rPr>
          <w:rFonts w:hint="eastAsia" w:ascii="Times New Roman" w:hAnsi="Times New Roman" w:eastAsia="宋体" w:cs="Times New Roman"/>
          <w:b/>
          <w:bCs/>
          <w:sz w:val="30"/>
          <w:szCs w:val="24"/>
        </w:rPr>
        <w:t>Teachers' Spoken Language and Etiquette</w:t>
      </w:r>
      <w:r>
        <w:rPr>
          <w:rFonts w:hint="eastAsia" w:ascii="Times New Roman" w:hAnsi="Times New Roman" w:eastAsia="宋体" w:cs="Times New Roman"/>
          <w:b/>
          <w:bCs/>
          <w:sz w:val="30"/>
          <w:szCs w:val="24"/>
          <w:lang w:eastAsia="zh-CN"/>
        </w:rPr>
        <w:t>）</w:t>
      </w:r>
    </w:p>
    <w:p w14:paraId="4D15A4AD">
      <w:pPr>
        <w:spacing w:line="360" w:lineRule="auto"/>
        <w:jc w:val="center"/>
        <w:rPr>
          <w:rFonts w:ascii="Times New Roman" w:hAnsi="Times New Roman" w:eastAsia="宋体" w:cs="Times New Roman"/>
          <w:bCs/>
          <w:sz w:val="30"/>
          <w:szCs w:val="30"/>
        </w:rPr>
      </w:pPr>
    </w:p>
    <w:p w14:paraId="06775067">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val="0"/>
          <w:bCs/>
          <w:sz w:val="24"/>
          <w:szCs w:val="24"/>
        </w:rPr>
        <w:t>教师口语与礼仪</w:t>
      </w:r>
    </w:p>
    <w:p w14:paraId="2AEF298E">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hint="eastAsia" w:ascii="Times New Roman" w:hAnsi="Times New Roman" w:eastAsia="宋体" w:cs="Times New Roman"/>
          <w:b w:val="0"/>
          <w:bCs/>
          <w:sz w:val="24"/>
          <w:szCs w:val="24"/>
        </w:rPr>
        <w:t>2401060</w:t>
      </w:r>
    </w:p>
    <w:p w14:paraId="5363FFF6">
      <w:pPr>
        <w:spacing w:line="360" w:lineRule="auto"/>
        <w:ind w:firstLine="482"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val="0"/>
          <w:bCs/>
          <w:sz w:val="24"/>
          <w:szCs w:val="24"/>
          <w:lang w:val="en-US" w:eastAsia="zh-CN"/>
        </w:rPr>
        <w:t>1</w:t>
      </w:r>
    </w:p>
    <w:p w14:paraId="37DAC66E">
      <w:pPr>
        <w:spacing w:line="360" w:lineRule="auto"/>
        <w:ind w:firstLine="482"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kern w:val="0"/>
          <w:sz w:val="24"/>
          <w:szCs w:val="24"/>
          <w:lang w:val="en-US" w:eastAsia="zh-CN"/>
        </w:rPr>
        <w:t>16</w:t>
      </w:r>
    </w:p>
    <w:p w14:paraId="48085333">
      <w:pPr>
        <w:spacing w:line="360" w:lineRule="auto"/>
        <w:ind w:firstLine="482" w:firstLineChars="200"/>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val="0"/>
          <w:bCs/>
          <w:sz w:val="24"/>
          <w:szCs w:val="24"/>
          <w:lang w:val="en-US" w:eastAsia="zh-CN"/>
        </w:rPr>
        <w:t>教师职业道德、普通话训练</w:t>
      </w:r>
    </w:p>
    <w:p w14:paraId="54E02A8F">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w:t>
      </w:r>
      <w:r>
        <w:rPr>
          <w:rFonts w:ascii="Times New Roman" w:hAnsi="Times New Roman" w:eastAsia="宋体" w:cs="Times New Roman"/>
          <w:kern w:val="0"/>
          <w:sz w:val="24"/>
          <w:szCs w:val="24"/>
        </w:rPr>
        <w:t>小学教育专业</w:t>
      </w:r>
    </w:p>
    <w:p w14:paraId="3A4F7B0D">
      <w:pPr>
        <w:spacing w:line="360" w:lineRule="auto"/>
        <w:jc w:val="left"/>
        <w:rPr>
          <w:rFonts w:ascii="Times New Roman" w:hAnsi="Times New Roman" w:eastAsia="宋体" w:cs="Times New Roman"/>
          <w:b/>
          <w:sz w:val="24"/>
          <w:szCs w:val="24"/>
        </w:rPr>
      </w:pPr>
    </w:p>
    <w:p w14:paraId="4E7E4A61">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71ED3432">
      <w:pPr>
        <w:autoSpaceDE w:val="0"/>
        <w:autoSpaceDN w:val="0"/>
        <w:adjustRightInd w:val="0"/>
        <w:spacing w:line="360" w:lineRule="auto"/>
        <w:ind w:firstLine="480" w:firstLineChars="200"/>
        <w:jc w:val="left"/>
        <w:rPr>
          <w:rFonts w:ascii="Times New Roman" w:hAnsi="Times New Roman" w:eastAsia="宋体" w:cs="Times New Roman"/>
          <w:szCs w:val="21"/>
        </w:rPr>
      </w:pPr>
      <w:r>
        <w:rPr>
          <w:rFonts w:ascii="宋体" w:hAnsi="宋体" w:eastAsia="宋体" w:cs="宋体"/>
          <w:sz w:val="24"/>
          <w:szCs w:val="24"/>
        </w:rPr>
        <w:t>本课程旨在培养师范生及在职教师的口语表达能力和职业礼仪素养，助力提升教学效果与职业形象。课程内容涵盖教师口语艺术（如普通话训练、课堂语言设计、演讲技巧）和职业礼仪规范（如仪态举止、着装礼仪、师生沟通礼仪等），结合教育心理学与真实教学场景，强化语言感染力与互动能力。通过理论讲解、案例分析、情境模拟及实践训练，学生将掌握清晰、得体、富有魅力的表达方式，塑造专业、亲切的教师形象，为未来教育教学工作奠定坚实基础。</w:t>
      </w:r>
    </w:p>
    <w:p w14:paraId="64594B50">
      <w:pPr>
        <w:spacing w:line="360" w:lineRule="auto"/>
        <w:jc w:val="left"/>
        <w:rPr>
          <w:rFonts w:ascii="宋体" w:hAnsi="宋体" w:eastAsia="宋体" w:cs="Times New Roman"/>
          <w:b/>
          <w:color w:val="000000"/>
          <w:szCs w:val="21"/>
        </w:rPr>
      </w:pPr>
    </w:p>
    <w:p w14:paraId="6EDE8A30">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53C6AC53">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B1424E3">
      <w:pPr>
        <w:spacing w:line="312"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目标1.掌握普通话中的语流音变现象，掌握各种文体的朗读技巧，提高学生的普通话水平</w:t>
      </w:r>
      <w:r>
        <w:rPr>
          <w:rFonts w:hint="eastAsia" w:ascii="宋体" w:hAnsi="宋体" w:eastAsia="宋体" w:cs="Times New Roman"/>
          <w:color w:val="000000"/>
          <w:kern w:val="0"/>
          <w:sz w:val="24"/>
          <w:lang w:eastAsia="zh-CN"/>
        </w:rPr>
        <w:t>、</w:t>
      </w:r>
      <w:r>
        <w:rPr>
          <w:rFonts w:hint="eastAsia" w:ascii="宋体" w:hAnsi="宋体" w:eastAsia="宋体" w:cs="Times New Roman"/>
          <w:color w:val="000000"/>
          <w:kern w:val="0"/>
          <w:sz w:val="24"/>
          <w:lang w:val="en-US" w:eastAsia="zh-CN"/>
        </w:rPr>
        <w:t>礼仪标准</w:t>
      </w:r>
      <w:r>
        <w:rPr>
          <w:rFonts w:hint="eastAsia" w:ascii="宋体" w:hAnsi="宋体" w:eastAsia="宋体" w:cs="Times New Roman"/>
          <w:color w:val="000000"/>
          <w:kern w:val="0"/>
          <w:sz w:val="24"/>
        </w:rPr>
        <w:t>和实际应用能力。</w:t>
      </w:r>
    </w:p>
    <w:p w14:paraId="4ED814C5">
      <w:pPr>
        <w:spacing w:line="312" w:lineRule="auto"/>
        <w:ind w:firstLine="480" w:firstLineChars="200"/>
        <w:rPr>
          <w:rFonts w:hint="default" w:ascii="宋体" w:hAnsi="宋体" w:eastAsia="宋体" w:cs="Times New Roman"/>
          <w:color w:val="000000"/>
          <w:kern w:val="0"/>
          <w:sz w:val="24"/>
          <w:lang w:val="en-US" w:eastAsia="zh-CN"/>
        </w:rPr>
      </w:pPr>
      <w:r>
        <w:rPr>
          <w:rFonts w:hint="eastAsia" w:ascii="宋体" w:hAnsi="宋体" w:eastAsia="宋体" w:cs="Times New Roman"/>
          <w:color w:val="000000"/>
          <w:kern w:val="0"/>
          <w:sz w:val="24"/>
        </w:rPr>
        <w:t>目标2.掌握教师教学口语</w:t>
      </w:r>
      <w:r>
        <w:rPr>
          <w:rFonts w:hint="eastAsia" w:ascii="宋体" w:hAnsi="宋体" w:eastAsia="宋体" w:cs="Times New Roman"/>
          <w:color w:val="000000"/>
          <w:kern w:val="0"/>
          <w:sz w:val="24"/>
          <w:lang w:eastAsia="zh-CN"/>
        </w:rPr>
        <w:t>、</w:t>
      </w:r>
      <w:r>
        <w:rPr>
          <w:rFonts w:hint="eastAsia" w:ascii="宋体" w:hAnsi="宋体" w:eastAsia="宋体" w:cs="Times New Roman"/>
          <w:color w:val="000000"/>
          <w:kern w:val="0"/>
          <w:sz w:val="24"/>
          <w:lang w:val="en-US" w:eastAsia="zh-CN"/>
        </w:rPr>
        <w:t>礼仪</w:t>
      </w:r>
      <w:r>
        <w:rPr>
          <w:rFonts w:hint="eastAsia" w:ascii="宋体" w:hAnsi="宋体" w:eastAsia="宋体" w:cs="Times New Roman"/>
          <w:color w:val="000000"/>
          <w:kern w:val="0"/>
          <w:sz w:val="24"/>
        </w:rPr>
        <w:t>的特点，在课堂练习中正确使用各类教学语言</w:t>
      </w:r>
      <w:r>
        <w:rPr>
          <w:rFonts w:hint="eastAsia" w:ascii="宋体" w:hAnsi="宋体" w:eastAsia="宋体" w:cs="Times New Roman"/>
          <w:color w:val="000000"/>
          <w:kern w:val="0"/>
          <w:sz w:val="24"/>
          <w:lang w:val="en-US" w:eastAsia="zh-CN"/>
        </w:rPr>
        <w:t>和礼仪标准。</w:t>
      </w:r>
    </w:p>
    <w:p w14:paraId="52A1B098">
      <w:pPr>
        <w:spacing w:line="312"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目标3.熟知教师教育口语</w:t>
      </w:r>
      <w:r>
        <w:rPr>
          <w:rFonts w:hint="eastAsia" w:ascii="宋体" w:hAnsi="宋体" w:eastAsia="宋体" w:cs="Times New Roman"/>
          <w:color w:val="000000"/>
          <w:kern w:val="0"/>
          <w:sz w:val="24"/>
          <w:lang w:val="en-US" w:eastAsia="zh-CN"/>
        </w:rPr>
        <w:t>和礼仪</w:t>
      </w:r>
      <w:r>
        <w:rPr>
          <w:rFonts w:hint="eastAsia" w:ascii="宋体" w:hAnsi="宋体" w:eastAsia="宋体" w:cs="Times New Roman"/>
          <w:color w:val="000000"/>
          <w:kern w:val="0"/>
          <w:sz w:val="24"/>
        </w:rPr>
        <w:t>的基本特点，能针对不同环境、不同对象使用教育语言</w:t>
      </w:r>
      <w:r>
        <w:rPr>
          <w:rFonts w:hint="eastAsia" w:ascii="宋体" w:hAnsi="宋体" w:eastAsia="宋体" w:cs="Times New Roman"/>
          <w:color w:val="000000"/>
          <w:kern w:val="0"/>
          <w:sz w:val="24"/>
          <w:lang w:val="en-US" w:eastAsia="zh-CN"/>
        </w:rPr>
        <w:t>和行为标准</w:t>
      </w:r>
      <w:r>
        <w:rPr>
          <w:rFonts w:hint="eastAsia" w:ascii="宋体" w:hAnsi="宋体" w:eastAsia="宋体" w:cs="Times New Roman"/>
          <w:color w:val="000000"/>
          <w:kern w:val="0"/>
          <w:sz w:val="24"/>
        </w:rPr>
        <w:t>。</w:t>
      </w:r>
    </w:p>
    <w:p w14:paraId="200087B2">
      <w:pPr>
        <w:spacing w:line="312"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目标4.熟悉教师职业口语</w:t>
      </w:r>
      <w:r>
        <w:rPr>
          <w:rFonts w:hint="eastAsia" w:ascii="宋体" w:hAnsi="宋体" w:eastAsia="宋体" w:cs="Times New Roman"/>
          <w:color w:val="000000"/>
          <w:kern w:val="0"/>
          <w:sz w:val="24"/>
          <w:lang w:eastAsia="zh-CN"/>
        </w:rPr>
        <w:t>、</w:t>
      </w:r>
      <w:r>
        <w:rPr>
          <w:rFonts w:hint="eastAsia" w:ascii="宋体" w:hAnsi="宋体" w:eastAsia="宋体" w:cs="Times New Roman"/>
          <w:color w:val="000000"/>
          <w:kern w:val="0"/>
          <w:sz w:val="24"/>
          <w:lang w:val="en-US" w:eastAsia="zh-CN"/>
        </w:rPr>
        <w:t>礼仪</w:t>
      </w:r>
      <w:r>
        <w:rPr>
          <w:rFonts w:hint="eastAsia" w:ascii="宋体" w:hAnsi="宋体" w:eastAsia="宋体" w:cs="Times New Roman"/>
          <w:color w:val="000000"/>
          <w:kern w:val="0"/>
          <w:sz w:val="24"/>
        </w:rPr>
        <w:t>的特点和类型，提高应变能力。</w:t>
      </w:r>
    </w:p>
    <w:p w14:paraId="01D22852">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8"/>
        <w:gridCol w:w="3398"/>
        <w:gridCol w:w="1191"/>
      </w:tblGrid>
      <w:tr w14:paraId="36D6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0F4594B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3398" w:type="dxa"/>
            <w:vAlign w:val="center"/>
          </w:tcPr>
          <w:p w14:paraId="1B8557E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551783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936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6A640BA8">
            <w:pPr>
              <w:autoSpaceDE w:val="0"/>
              <w:autoSpaceDN w:val="0"/>
              <w:rPr>
                <w:rFonts w:ascii="Times New Roman" w:hAnsi="Times New Roman" w:eastAsia="宋体" w:cs="Times New Roman"/>
                <w:szCs w:val="21"/>
              </w:rPr>
            </w:pPr>
            <w:r>
              <w:rPr>
                <w:rFonts w:hint="eastAsia" w:ascii="宋体" w:hAnsi="宋体" w:cs="宋体"/>
                <w:b/>
                <w:bCs/>
                <w:kern w:val="0"/>
                <w:szCs w:val="21"/>
              </w:rPr>
              <w:t>毕业要求2：</w:t>
            </w:r>
            <w:r>
              <w:rPr>
                <w:rFonts w:hint="eastAsia" w:ascii="宋体" w:hAnsi="宋体" w:cs="宋体"/>
                <w:b/>
                <w:bCs/>
                <w:szCs w:val="21"/>
              </w:rPr>
              <w:t>教育情怀</w:t>
            </w:r>
          </w:p>
        </w:tc>
        <w:tc>
          <w:tcPr>
            <w:tcW w:w="3398" w:type="dxa"/>
            <w:vAlign w:val="center"/>
          </w:tcPr>
          <w:p w14:paraId="634E5222">
            <w:pPr>
              <w:spacing w:line="276" w:lineRule="auto"/>
              <w:jc w:val="left"/>
              <w:rPr>
                <w:rFonts w:hint="eastAsia" w:ascii="宋体" w:hAnsi="宋体" w:cs="宋体"/>
                <w:szCs w:val="21"/>
              </w:rPr>
            </w:pPr>
            <w:r>
              <w:rPr>
                <w:rFonts w:hint="eastAsia" w:ascii="宋体" w:hAnsi="宋体" w:cs="宋体"/>
                <w:szCs w:val="21"/>
              </w:rPr>
              <w:t>指标点2-3：【自身修养良好】具有较好的人文艺术底蕴与科学精神，言行举止符合教师职业标准，情感积极，人格健全，身心健康。</w:t>
            </w:r>
          </w:p>
        </w:tc>
        <w:tc>
          <w:tcPr>
            <w:tcW w:w="1191" w:type="dxa"/>
            <w:vAlign w:val="center"/>
          </w:tcPr>
          <w:p w14:paraId="415730FD">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课程目标1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2、3</w:t>
            </w:r>
          </w:p>
        </w:tc>
      </w:tr>
      <w:tr w14:paraId="3711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632DCFD8">
            <w:pPr>
              <w:autoSpaceDE w:val="0"/>
              <w:autoSpaceDN w:val="0"/>
              <w:rPr>
                <w:rFonts w:hint="eastAsia" w:ascii="宋体" w:hAnsi="宋体" w:cs="宋体"/>
                <w:b/>
                <w:bCs/>
                <w:kern w:val="0"/>
                <w:szCs w:val="21"/>
              </w:rPr>
            </w:pPr>
            <w:r>
              <w:rPr>
                <w:rFonts w:hint="eastAsia" w:ascii="宋体" w:hAnsi="宋体" w:cs="宋体"/>
                <w:b/>
                <w:bCs/>
                <w:szCs w:val="21"/>
              </w:rPr>
              <w:t>毕业要求4：教学能力</w:t>
            </w:r>
          </w:p>
        </w:tc>
        <w:tc>
          <w:tcPr>
            <w:tcW w:w="3398" w:type="dxa"/>
            <w:vAlign w:val="center"/>
          </w:tcPr>
          <w:p w14:paraId="08F1A830">
            <w:pPr>
              <w:spacing w:line="276" w:lineRule="auto"/>
              <w:jc w:val="left"/>
              <w:rPr>
                <w:rFonts w:hint="eastAsia" w:ascii="宋体" w:hAnsi="宋体" w:cs="宋体"/>
                <w:szCs w:val="21"/>
              </w:rPr>
            </w:pPr>
            <w:r>
              <w:rPr>
                <w:rFonts w:hint="eastAsia" w:ascii="宋体" w:hAnsi="宋体" w:cs="宋体"/>
                <w:szCs w:val="21"/>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57397B14">
            <w:pPr>
              <w:spacing w:line="276"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2、3、4</w:t>
            </w:r>
          </w:p>
        </w:tc>
      </w:tr>
      <w:tr w14:paraId="410E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4FBF11FC">
            <w:pPr>
              <w:autoSpaceDE w:val="0"/>
              <w:autoSpaceDN w:val="0"/>
              <w:rPr>
                <w:rFonts w:hint="eastAsia" w:ascii="宋体" w:hAnsi="宋体" w:cs="宋体"/>
                <w:b/>
                <w:bCs/>
                <w:szCs w:val="21"/>
              </w:rPr>
            </w:pPr>
            <w:r>
              <w:rPr>
                <w:rFonts w:hint="eastAsia" w:ascii="宋体" w:hAnsi="宋体" w:cs="宋体"/>
                <w:b/>
                <w:bCs/>
                <w:kern w:val="0"/>
                <w:szCs w:val="21"/>
              </w:rPr>
              <w:t>毕业要求8：</w:t>
            </w:r>
            <w:r>
              <w:rPr>
                <w:rFonts w:hint="eastAsia" w:ascii="宋体" w:hAnsi="宋体" w:cs="宋体"/>
                <w:b/>
                <w:bCs/>
                <w:szCs w:val="21"/>
              </w:rPr>
              <w:t>沟通合作</w:t>
            </w:r>
          </w:p>
        </w:tc>
        <w:tc>
          <w:tcPr>
            <w:tcW w:w="3398" w:type="dxa"/>
            <w:vAlign w:val="center"/>
          </w:tcPr>
          <w:p w14:paraId="04B6F22A">
            <w:pPr>
              <w:spacing w:line="276" w:lineRule="auto"/>
              <w:jc w:val="left"/>
              <w:rPr>
                <w:rFonts w:hint="eastAsia" w:ascii="宋体" w:hAnsi="宋体" w:cs="宋体"/>
                <w:szCs w:val="21"/>
              </w:rPr>
            </w:pPr>
            <w:r>
              <w:rPr>
                <w:rFonts w:hint="eastAsia" w:ascii="宋体" w:hAnsi="宋体" w:cs="宋体"/>
                <w:szCs w:val="21"/>
              </w:rPr>
              <w:t>指标点8-2：【学会沟通交流】掌握人际沟通合作技能与方法，在教育教学实践中，能与学生和家长以及同行、同事、专家进行有效沟通与合作，实现共同发展。</w:t>
            </w:r>
          </w:p>
        </w:tc>
        <w:tc>
          <w:tcPr>
            <w:tcW w:w="1191" w:type="dxa"/>
            <w:vAlign w:val="center"/>
          </w:tcPr>
          <w:p w14:paraId="2A0FFB08">
            <w:pPr>
              <w:spacing w:line="276"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课程目标1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2、4</w:t>
            </w:r>
          </w:p>
        </w:tc>
      </w:tr>
    </w:tbl>
    <w:p w14:paraId="15661895">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51D122DA">
      <w:pPr>
        <w:spacing w:line="360" w:lineRule="auto"/>
        <w:ind w:firstLine="480" w:firstLineChars="200"/>
        <w:jc w:val="left"/>
        <w:rPr>
          <w:rFonts w:ascii="宋体" w:hAnsi="宋体" w:eastAsia="宋体" w:cs="Times New Roman"/>
          <w:b/>
          <w:color w:val="000000"/>
          <w:sz w:val="28"/>
          <w:szCs w:val="28"/>
        </w:rPr>
      </w:pPr>
      <w:r>
        <w:rPr>
          <w:rFonts w:ascii="宋体" w:hAnsi="宋体" w:eastAsia="宋体" w:cs="宋体"/>
          <w:sz w:val="24"/>
          <w:szCs w:val="24"/>
        </w:rPr>
        <w:t>课程坚持以立德树人为根本，将思想政治教育贯穿教学全过程，着力培养具有坚定政治立场、高尚师德修养和强烈社会责任感的未来教师。通过规范语言表达和职业礼仪训练，引导学生深刻理解国家通用语言文字的政治意义和文化价值，增强文化自信与民族认同；注重在语言艺术和礼仪规范中渗透"学高为师、身正为范"的师德传统，培养爱岗敬业、关爱学生的职业精神；在沟通技巧训练中强化诚信、尊重、平等的核心价值观，帮助学生树立正确的教育理念；结合真实教学情境的模拟实践，激发学生教育报国的使命担当，培养服务基层、奉献教育的家国情怀。课程致力于实现专业知识传授、教学能力培养与思想政治教育同向同行，为新时代基础教育培养德才兼备的合格师资。</w:t>
      </w:r>
    </w:p>
    <w:p w14:paraId="206D9018">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691"/>
        <w:gridCol w:w="1111"/>
        <w:gridCol w:w="3190"/>
        <w:gridCol w:w="1517"/>
        <w:gridCol w:w="438"/>
      </w:tblGrid>
      <w:tr w14:paraId="13D9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Align w:val="center"/>
          </w:tcPr>
          <w:p w14:paraId="6D23C2DD">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531C07D5">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691" w:type="dxa"/>
            <w:vAlign w:val="center"/>
          </w:tcPr>
          <w:p w14:paraId="1001FC5D">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11" w:type="dxa"/>
            <w:vAlign w:val="center"/>
          </w:tcPr>
          <w:p w14:paraId="52520E32">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2F6F71A7">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90" w:type="dxa"/>
            <w:vAlign w:val="center"/>
          </w:tcPr>
          <w:p w14:paraId="5EF42C65">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17" w:type="dxa"/>
            <w:vAlign w:val="center"/>
          </w:tcPr>
          <w:p w14:paraId="1EBC5947">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94044E6">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054F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1C4BA826">
            <w:pPr>
              <w:spacing w:line="264" w:lineRule="auto"/>
              <w:jc w:val="center"/>
              <w:rPr>
                <w:rFonts w:ascii="宋体" w:hAnsi="宋体" w:eastAsia="宋体" w:cs="Times New Roman"/>
                <w:color w:val="000000"/>
                <w:sz w:val="21"/>
                <w:szCs w:val="21"/>
              </w:rPr>
            </w:pPr>
            <w:r>
              <w:rPr>
                <w:rFonts w:hint="eastAsia" w:ascii="Times New Roman" w:hAnsi="Times New Roman" w:eastAsia="宋体" w:cs="Times New Roman"/>
                <w:b w:val="0"/>
                <w:bCs/>
                <w:sz w:val="21"/>
                <w:szCs w:val="21"/>
                <w:lang w:val="en-US" w:eastAsia="zh-CN"/>
              </w:rPr>
              <w:t>1</w:t>
            </w:r>
            <w:r>
              <w:rPr>
                <w:rFonts w:ascii="宋体" w:hAnsi="宋体" w:eastAsia="宋体" w:cs="宋体"/>
                <w:sz w:val="21"/>
                <w:szCs w:val="21"/>
              </w:rPr>
              <w:t>教师口语基础与职业定位</w:t>
            </w:r>
          </w:p>
        </w:tc>
        <w:tc>
          <w:tcPr>
            <w:tcW w:w="1691" w:type="dxa"/>
            <w:vAlign w:val="center"/>
          </w:tcPr>
          <w:p w14:paraId="1136387A">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lang w:eastAsia="zh-CN"/>
              </w:rPr>
              <w:t>（</w:t>
            </w:r>
            <w:r>
              <w:rPr>
                <w:rFonts w:hint="eastAsia" w:ascii="宋体" w:hAnsi="宋体" w:eastAsia="宋体" w:cs="Times New Roman"/>
                <w:color w:val="000000"/>
                <w:sz w:val="21"/>
                <w:szCs w:val="21"/>
                <w:lang w:val="en-US" w:eastAsia="zh-CN"/>
              </w:rPr>
              <w:t>1）</w:t>
            </w:r>
            <w:r>
              <w:rPr>
                <w:rFonts w:ascii="宋体" w:hAnsi="宋体" w:eastAsia="宋体" w:cs="Times New Roman"/>
                <w:color w:val="000000"/>
                <w:sz w:val="21"/>
                <w:szCs w:val="21"/>
              </w:rPr>
              <w:t>教师口语的基本特征（教育性、规范性、艺术性）</w:t>
            </w:r>
            <w:r>
              <w:rPr>
                <w:rFonts w:ascii="宋体" w:hAnsi="宋体" w:eastAsia="宋体" w:cs="Times New Roman"/>
                <w:color w:val="000000"/>
                <w:sz w:val="21"/>
                <w:szCs w:val="21"/>
              </w:rPr>
              <w:br w:type="textWrapping"/>
            </w:r>
            <w:r>
              <w:rPr>
                <w:rFonts w:hint="eastAsia" w:ascii="宋体" w:hAnsi="宋体" w:eastAsia="宋体" w:cs="Times New Roman"/>
                <w:color w:val="000000"/>
                <w:sz w:val="21"/>
                <w:szCs w:val="21"/>
                <w:lang w:eastAsia="zh-CN"/>
              </w:rPr>
              <w:t>（</w:t>
            </w:r>
            <w:r>
              <w:rPr>
                <w:rFonts w:hint="eastAsia" w:ascii="宋体" w:hAnsi="宋体" w:eastAsia="宋体" w:cs="Times New Roman"/>
                <w:color w:val="000000"/>
                <w:sz w:val="21"/>
                <w:szCs w:val="21"/>
                <w:lang w:val="en-US" w:eastAsia="zh-CN"/>
              </w:rPr>
              <w:t>2）</w:t>
            </w:r>
            <w:r>
              <w:rPr>
                <w:rFonts w:ascii="宋体" w:hAnsi="宋体" w:eastAsia="宋体" w:cs="Times New Roman"/>
                <w:color w:val="000000"/>
                <w:sz w:val="21"/>
                <w:szCs w:val="21"/>
              </w:rPr>
              <w:t>普通话正音训练（声韵调难点突破）</w:t>
            </w:r>
            <w:r>
              <w:rPr>
                <w:rFonts w:ascii="宋体" w:hAnsi="宋体" w:eastAsia="宋体" w:cs="Times New Roman"/>
                <w:color w:val="000000"/>
                <w:sz w:val="21"/>
                <w:szCs w:val="21"/>
              </w:rPr>
              <w:br w:type="textWrapping"/>
            </w:r>
            <w:r>
              <w:rPr>
                <w:rFonts w:hint="eastAsia" w:ascii="宋体" w:hAnsi="宋体" w:eastAsia="宋体" w:cs="Times New Roman"/>
                <w:color w:val="000000"/>
                <w:sz w:val="21"/>
                <w:szCs w:val="21"/>
                <w:lang w:eastAsia="zh-CN"/>
              </w:rPr>
              <w:t>（</w:t>
            </w:r>
            <w:r>
              <w:rPr>
                <w:rFonts w:hint="eastAsia" w:ascii="宋体" w:hAnsi="宋体" w:eastAsia="宋体" w:cs="Times New Roman"/>
                <w:color w:val="000000"/>
                <w:sz w:val="21"/>
                <w:szCs w:val="21"/>
                <w:lang w:val="en-US" w:eastAsia="zh-CN"/>
              </w:rPr>
              <w:t>3）</w:t>
            </w:r>
            <w:r>
              <w:rPr>
                <w:rFonts w:ascii="宋体" w:hAnsi="宋体" w:eastAsia="宋体" w:cs="Times New Roman"/>
                <w:color w:val="000000"/>
                <w:sz w:val="21"/>
                <w:szCs w:val="21"/>
              </w:rPr>
              <w:t>师职业语言的社会责任与思政要求</w:t>
            </w:r>
          </w:p>
        </w:tc>
        <w:tc>
          <w:tcPr>
            <w:tcW w:w="1111" w:type="dxa"/>
            <w:vAlign w:val="center"/>
          </w:tcPr>
          <w:p w14:paraId="610F446C">
            <w:pPr>
              <w:spacing w:line="269" w:lineRule="auto"/>
              <w:jc w:val="center"/>
              <w:rPr>
                <w:rFonts w:ascii="宋体" w:hAnsi="宋体" w:eastAsia="宋体" w:cs="Times New Roman"/>
                <w:color w:val="000000"/>
                <w:sz w:val="21"/>
                <w:szCs w:val="21"/>
              </w:rPr>
            </w:pPr>
            <w:r>
              <w:rPr>
                <w:rFonts w:ascii="Times New Roman" w:hAnsi="Times New Roman" w:eastAsia="宋体" w:cs="Times New Roman"/>
                <w:sz w:val="21"/>
                <w:szCs w:val="21"/>
              </w:rPr>
              <w:t>课程目标1</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2、</w:t>
            </w:r>
            <w:r>
              <w:rPr>
                <w:rFonts w:ascii="Times New Roman" w:hAnsi="Times New Roman" w:eastAsia="宋体" w:cs="Times New Roman"/>
                <w:sz w:val="21"/>
                <w:szCs w:val="21"/>
              </w:rPr>
              <w:t>3</w:t>
            </w:r>
          </w:p>
        </w:tc>
        <w:tc>
          <w:tcPr>
            <w:tcW w:w="3190" w:type="dxa"/>
            <w:vAlign w:val="center"/>
          </w:tcPr>
          <w:p w14:paraId="7FCFC22E">
            <w:pPr>
              <w:spacing w:line="269" w:lineRule="auto"/>
              <w:jc w:val="left"/>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能准确辨析并纠正常见语音错误</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理解教师语言对学生价值观的塑造作用</w:t>
            </w:r>
          </w:p>
        </w:tc>
        <w:tc>
          <w:tcPr>
            <w:tcW w:w="1517" w:type="dxa"/>
            <w:vAlign w:val="center"/>
          </w:tcPr>
          <w:p w14:paraId="09E477F4">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1.线上学习</w:t>
            </w:r>
          </w:p>
          <w:p w14:paraId="46947513">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2.多媒体教学3.课堂讨论</w:t>
            </w:r>
          </w:p>
          <w:p w14:paraId="2796A50F">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4.单元测验</w:t>
            </w:r>
          </w:p>
        </w:tc>
        <w:tc>
          <w:tcPr>
            <w:tcW w:w="438" w:type="dxa"/>
            <w:vAlign w:val="center"/>
          </w:tcPr>
          <w:p w14:paraId="6C0C2E51">
            <w:pPr>
              <w:spacing w:line="269" w:lineRule="auto"/>
              <w:jc w:val="center"/>
              <w:rPr>
                <w:rFonts w:ascii="宋体" w:hAnsi="宋体" w:eastAsia="宋体" w:cs="Times New Roman"/>
                <w:color w:val="000000"/>
                <w:sz w:val="21"/>
                <w:szCs w:val="21"/>
              </w:rPr>
            </w:pPr>
            <w:r>
              <w:rPr>
                <w:rFonts w:hint="eastAsia" w:ascii="宋体" w:hAnsi="宋体" w:eastAsia="宋体" w:cs="Times New Roman"/>
                <w:color w:val="000000"/>
                <w:sz w:val="21"/>
                <w:szCs w:val="21"/>
              </w:rPr>
              <w:t>2</w:t>
            </w:r>
          </w:p>
        </w:tc>
      </w:tr>
      <w:tr w14:paraId="043C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16CFF220">
            <w:pPr>
              <w:spacing w:line="264" w:lineRule="auto"/>
              <w:jc w:val="center"/>
              <w:rPr>
                <w:rFonts w:ascii="宋体" w:hAnsi="宋体" w:eastAsia="宋体" w:cs="Times New Roman"/>
                <w:color w:val="000000"/>
                <w:sz w:val="21"/>
                <w:szCs w:val="21"/>
              </w:rPr>
            </w:pPr>
          </w:p>
        </w:tc>
        <w:tc>
          <w:tcPr>
            <w:tcW w:w="7947" w:type="dxa"/>
            <w:gridSpan w:val="5"/>
            <w:vAlign w:val="center"/>
          </w:tcPr>
          <w:p w14:paraId="5DAAB837">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5C82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537E9DE9">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2.</w:t>
            </w:r>
            <w:r>
              <w:rPr>
                <w:rFonts w:ascii="宋体" w:hAnsi="宋体" w:eastAsia="宋体" w:cs="宋体"/>
                <w:sz w:val="21"/>
                <w:szCs w:val="21"/>
              </w:rPr>
              <w:t>课堂语言设计与教学感染力</w:t>
            </w:r>
          </w:p>
          <w:p w14:paraId="6DD891FF">
            <w:pPr>
              <w:spacing w:line="264" w:lineRule="auto"/>
              <w:jc w:val="center"/>
              <w:rPr>
                <w:rFonts w:ascii="宋体" w:hAnsi="宋体" w:eastAsia="宋体" w:cs="Times New Roman"/>
                <w:color w:val="000000"/>
                <w:sz w:val="21"/>
                <w:szCs w:val="21"/>
              </w:rPr>
            </w:pPr>
          </w:p>
        </w:tc>
        <w:tc>
          <w:tcPr>
            <w:tcW w:w="1691" w:type="dxa"/>
            <w:vAlign w:val="center"/>
          </w:tcPr>
          <w:p w14:paraId="2B7D8B72">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教学语言的逻辑结构（导入、讲解、提问、反馈）</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语气、节奏、重音的感染力训练</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课程思政元素的自然融入技巧</w:t>
            </w:r>
          </w:p>
          <w:p w14:paraId="29E2489E">
            <w:pPr>
              <w:spacing w:line="269" w:lineRule="auto"/>
              <w:jc w:val="left"/>
              <w:rPr>
                <w:rFonts w:ascii="宋体" w:hAnsi="宋体" w:eastAsia="宋体" w:cs="Times New Roman"/>
                <w:color w:val="000000"/>
                <w:sz w:val="21"/>
                <w:szCs w:val="21"/>
              </w:rPr>
            </w:pPr>
          </w:p>
        </w:tc>
        <w:tc>
          <w:tcPr>
            <w:tcW w:w="1111" w:type="dxa"/>
            <w:vAlign w:val="center"/>
          </w:tcPr>
          <w:p w14:paraId="50E65C0F">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4EA2A640">
            <w:pPr>
              <w:spacing w:line="360" w:lineRule="auto"/>
              <w:rPr>
                <w:rFonts w:ascii="Times New Roman" w:hAnsi="Times New Roman" w:eastAsia="宋体" w:cs="Times New Roman"/>
                <w:color w:val="000000"/>
                <w:sz w:val="21"/>
                <w:szCs w:val="21"/>
              </w:rPr>
            </w:pPr>
            <w:r>
              <w:rPr>
                <w:rFonts w:ascii="Times New Roman" w:hAnsi="Times New Roman" w:eastAsia="宋体" w:cs="Times New Roman"/>
                <w:sz w:val="21"/>
                <w:szCs w:val="21"/>
              </w:rPr>
              <w:t>（1）</w:t>
            </w:r>
            <w:r>
              <w:rPr>
                <w:rFonts w:ascii="宋体" w:hAnsi="宋体" w:eastAsia="宋体" w:cs="宋体"/>
                <w:sz w:val="21"/>
                <w:szCs w:val="21"/>
              </w:rPr>
              <w:t>能设计符合学段特点的教学语言片段</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掌握通过语言传递正向价值观的方法</w:t>
            </w:r>
          </w:p>
          <w:p w14:paraId="4900D434">
            <w:pPr>
              <w:spacing w:line="269" w:lineRule="auto"/>
              <w:jc w:val="left"/>
              <w:rPr>
                <w:rFonts w:ascii="宋体" w:hAnsi="宋体" w:eastAsia="宋体" w:cs="Times New Roman"/>
                <w:color w:val="000000"/>
                <w:sz w:val="21"/>
                <w:szCs w:val="21"/>
              </w:rPr>
            </w:pPr>
          </w:p>
        </w:tc>
        <w:tc>
          <w:tcPr>
            <w:tcW w:w="1517" w:type="dxa"/>
            <w:vAlign w:val="center"/>
          </w:tcPr>
          <w:p w14:paraId="4946C693">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1.线上学习</w:t>
            </w:r>
          </w:p>
          <w:p w14:paraId="1B930CEC">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2.多媒体教学3.课堂讨论</w:t>
            </w:r>
          </w:p>
          <w:p w14:paraId="5B3DDF8E">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4.单元测验</w:t>
            </w:r>
          </w:p>
        </w:tc>
        <w:tc>
          <w:tcPr>
            <w:tcW w:w="438" w:type="dxa"/>
            <w:vAlign w:val="center"/>
          </w:tcPr>
          <w:p w14:paraId="748C7DC2">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2</w:t>
            </w:r>
          </w:p>
        </w:tc>
      </w:tr>
      <w:tr w14:paraId="6612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5456F086">
            <w:pPr>
              <w:spacing w:line="264" w:lineRule="auto"/>
              <w:jc w:val="center"/>
              <w:rPr>
                <w:rFonts w:ascii="宋体" w:hAnsi="宋体" w:eastAsia="宋体" w:cs="Times New Roman"/>
                <w:color w:val="000000"/>
                <w:sz w:val="21"/>
                <w:szCs w:val="21"/>
              </w:rPr>
            </w:pPr>
          </w:p>
        </w:tc>
        <w:tc>
          <w:tcPr>
            <w:tcW w:w="7947" w:type="dxa"/>
            <w:gridSpan w:val="5"/>
            <w:vAlign w:val="center"/>
          </w:tcPr>
          <w:p w14:paraId="62AF24EB">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5353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41A7AC39">
            <w:pPr>
              <w:spacing w:line="360" w:lineRule="auto"/>
              <w:rPr>
                <w:rFonts w:ascii="Times New Roman" w:hAnsi="Times New Roman" w:eastAsia="宋体" w:cs="Times New Roman"/>
                <w:b/>
                <w:sz w:val="21"/>
                <w:szCs w:val="21"/>
              </w:rPr>
            </w:pPr>
            <w:r>
              <w:rPr>
                <w:rFonts w:hint="eastAsia" w:ascii="Times New Roman" w:hAnsi="Times New Roman" w:eastAsia="宋体" w:cs="Times New Roman"/>
                <w:b w:val="0"/>
                <w:bCs/>
                <w:color w:val="000000"/>
                <w:sz w:val="21"/>
                <w:szCs w:val="21"/>
                <w:lang w:val="en-US" w:eastAsia="zh-CN"/>
              </w:rPr>
              <w:t>3.</w:t>
            </w:r>
            <w:r>
              <w:rPr>
                <w:rFonts w:ascii="宋体" w:hAnsi="宋体" w:eastAsia="宋体" w:cs="宋体"/>
                <w:sz w:val="21"/>
                <w:szCs w:val="21"/>
              </w:rPr>
              <w:t>师生沟通艺术与教育伦理</w:t>
            </w:r>
          </w:p>
          <w:p w14:paraId="0D8A06B4">
            <w:pPr>
              <w:spacing w:line="264" w:lineRule="auto"/>
              <w:jc w:val="center"/>
              <w:rPr>
                <w:rFonts w:ascii="宋体" w:hAnsi="宋体" w:eastAsia="宋体" w:cs="Times New Roman"/>
                <w:color w:val="000000"/>
                <w:sz w:val="21"/>
                <w:szCs w:val="21"/>
              </w:rPr>
            </w:pPr>
          </w:p>
        </w:tc>
        <w:tc>
          <w:tcPr>
            <w:tcW w:w="1691" w:type="dxa"/>
            <w:vAlign w:val="center"/>
          </w:tcPr>
          <w:p w14:paraId="7B114A07">
            <w:pPr>
              <w:spacing w:line="360" w:lineRule="auto"/>
              <w:rPr>
                <w:rFonts w:ascii="宋体" w:hAnsi="宋体"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教育场景下的非暴力沟通（观察-感受-需求-请求）</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批评与表扬的语言策略</w:t>
            </w:r>
            <w:r>
              <w:rPr>
                <w:rFonts w:hint="eastAsia" w:ascii="宋体" w:hAnsi="宋体" w:eastAsia="宋体" w:cs="宋体"/>
                <w:sz w:val="21"/>
                <w:szCs w:val="21"/>
                <w:lang w:eastAsia="zh-CN"/>
              </w:rPr>
              <w:t>。</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特殊学生群体的沟通禁忌（如留守儿童、特殊儿童）</w:t>
            </w:r>
          </w:p>
        </w:tc>
        <w:tc>
          <w:tcPr>
            <w:tcW w:w="1111" w:type="dxa"/>
            <w:vAlign w:val="center"/>
          </w:tcPr>
          <w:p w14:paraId="6CB2F34B">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w:t>
            </w:r>
            <w:r>
              <w:rPr>
                <w:rFonts w:hint="eastAsia" w:ascii="宋体" w:hAnsi="宋体" w:eastAsia="宋体" w:cs="Times New Roman"/>
                <w:color w:val="000000"/>
                <w:sz w:val="21"/>
                <w:szCs w:val="21"/>
                <w:lang w:val="en-US" w:eastAsia="zh-CN"/>
              </w:rPr>
              <w:t>1</w:t>
            </w:r>
            <w:r>
              <w:rPr>
                <w:rFonts w:hint="eastAsia" w:ascii="宋体" w:hAnsi="宋体" w:eastAsia="宋体" w:cs="Times New Roman"/>
                <w:color w:val="000000"/>
                <w:sz w:val="21"/>
                <w:szCs w:val="21"/>
              </w:rPr>
              <w:t>、</w:t>
            </w:r>
            <w:r>
              <w:rPr>
                <w:rFonts w:hint="eastAsia" w:ascii="宋体" w:hAnsi="宋体" w:eastAsia="宋体" w:cs="Times New Roman"/>
                <w:color w:val="000000"/>
                <w:sz w:val="21"/>
                <w:szCs w:val="21"/>
                <w:lang w:val="en-US" w:eastAsia="zh-CN"/>
              </w:rPr>
              <w:t>2、3、4</w:t>
            </w:r>
          </w:p>
        </w:tc>
        <w:tc>
          <w:tcPr>
            <w:tcW w:w="3190" w:type="dxa"/>
            <w:vAlign w:val="center"/>
          </w:tcPr>
          <w:p w14:paraId="2CAF00B8">
            <w:pPr>
              <w:spacing w:line="360" w:lineRule="auto"/>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能运用尊重、平等的语言解决师生矛盾案例</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形成保护学生心理健康的沟通意识</w:t>
            </w:r>
          </w:p>
        </w:tc>
        <w:tc>
          <w:tcPr>
            <w:tcW w:w="1517" w:type="dxa"/>
            <w:vAlign w:val="center"/>
          </w:tcPr>
          <w:p w14:paraId="7135357A">
            <w:pPr>
              <w:spacing w:line="269"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0D7B1855">
            <w:pPr>
              <w:spacing w:line="269"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4D43AFE9">
            <w:pPr>
              <w:spacing w:line="269"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591DEAC9">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2</w:t>
            </w:r>
          </w:p>
        </w:tc>
      </w:tr>
      <w:tr w14:paraId="5CAA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085AAD8">
            <w:pPr>
              <w:spacing w:line="264" w:lineRule="auto"/>
              <w:jc w:val="center"/>
              <w:rPr>
                <w:rFonts w:ascii="宋体" w:hAnsi="宋体" w:eastAsia="宋体" w:cs="Times New Roman"/>
                <w:color w:val="000000"/>
                <w:sz w:val="21"/>
                <w:szCs w:val="21"/>
              </w:rPr>
            </w:pPr>
          </w:p>
        </w:tc>
        <w:tc>
          <w:tcPr>
            <w:tcW w:w="7947" w:type="dxa"/>
            <w:gridSpan w:val="5"/>
            <w:vAlign w:val="center"/>
          </w:tcPr>
          <w:p w14:paraId="3B5CC5CA">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7C76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046B7B7E">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4.</w:t>
            </w:r>
            <w:r>
              <w:rPr>
                <w:rFonts w:ascii="宋体" w:hAnsi="宋体" w:eastAsia="宋体" w:cs="宋体"/>
                <w:sz w:val="21"/>
                <w:szCs w:val="21"/>
              </w:rPr>
              <w:t>教师仪态礼仪与职业形象</w:t>
            </w:r>
          </w:p>
          <w:p w14:paraId="58292113">
            <w:pPr>
              <w:spacing w:line="276" w:lineRule="auto"/>
              <w:jc w:val="center"/>
              <w:rPr>
                <w:rFonts w:ascii="宋体" w:hAnsi="宋体" w:eastAsia="宋体" w:cs="Times New Roman"/>
                <w:color w:val="000000"/>
                <w:sz w:val="21"/>
                <w:szCs w:val="21"/>
              </w:rPr>
            </w:pPr>
          </w:p>
        </w:tc>
        <w:tc>
          <w:tcPr>
            <w:tcW w:w="1691" w:type="dxa"/>
            <w:vAlign w:val="center"/>
          </w:tcPr>
          <w:p w14:paraId="4B5692E9">
            <w:pPr>
              <w:spacing w:line="360" w:lineRule="auto"/>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教师着装TPO原则（时间、场合、身份）</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站姿、手势、眼神的得体运用</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线上线下教学场景的仪态差异</w:t>
            </w:r>
          </w:p>
        </w:tc>
        <w:tc>
          <w:tcPr>
            <w:tcW w:w="1111" w:type="dxa"/>
            <w:vAlign w:val="center"/>
          </w:tcPr>
          <w:p w14:paraId="0EEA0338">
            <w:pPr>
              <w:spacing w:line="276" w:lineRule="auto"/>
              <w:jc w:val="center"/>
              <w:rPr>
                <w:rFonts w:ascii="宋体" w:hAnsi="宋体" w:eastAsia="宋体" w:cs="Times New Roman"/>
                <w:color w:val="000000"/>
                <w:sz w:val="21"/>
                <w:szCs w:val="21"/>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w:t>
            </w:r>
            <w:r>
              <w:rPr>
                <w:rFonts w:hint="eastAsia" w:ascii="宋体" w:hAnsi="宋体" w:eastAsia="宋体" w:cs="Times New Roman"/>
                <w:color w:val="000000"/>
                <w:sz w:val="21"/>
                <w:szCs w:val="21"/>
              </w:rPr>
              <w:t>3</w:t>
            </w:r>
          </w:p>
        </w:tc>
        <w:tc>
          <w:tcPr>
            <w:tcW w:w="3190" w:type="dxa"/>
            <w:vAlign w:val="center"/>
          </w:tcPr>
          <w:p w14:paraId="3BBDD256">
            <w:pPr>
              <w:numPr>
                <w:ilvl w:val="0"/>
                <w:numId w:val="0"/>
              </w:numPr>
              <w:spacing w:line="360" w:lineRule="auto"/>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能根据教学场景选择恰当的着装与仪态</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通过微格教学视频完成仪态自评与改进</w:t>
            </w:r>
          </w:p>
        </w:tc>
        <w:tc>
          <w:tcPr>
            <w:tcW w:w="1517" w:type="dxa"/>
            <w:vAlign w:val="center"/>
          </w:tcPr>
          <w:p w14:paraId="70EAA5B2">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215D3373">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09E8F085">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0EA9A14F">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2</w:t>
            </w:r>
          </w:p>
        </w:tc>
      </w:tr>
      <w:tr w14:paraId="2D7D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1F5338AD">
            <w:pPr>
              <w:spacing w:line="276" w:lineRule="auto"/>
              <w:jc w:val="center"/>
              <w:rPr>
                <w:rFonts w:ascii="宋体" w:hAnsi="宋体" w:eastAsia="宋体" w:cs="Times New Roman"/>
                <w:color w:val="000000"/>
                <w:sz w:val="21"/>
                <w:szCs w:val="21"/>
              </w:rPr>
            </w:pPr>
          </w:p>
        </w:tc>
        <w:tc>
          <w:tcPr>
            <w:tcW w:w="7947" w:type="dxa"/>
            <w:gridSpan w:val="5"/>
            <w:vAlign w:val="center"/>
          </w:tcPr>
          <w:p w14:paraId="481BE365">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5C9C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20F9920D">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5.</w:t>
            </w:r>
            <w:r>
              <w:rPr>
                <w:rFonts w:ascii="宋体" w:hAnsi="宋体" w:eastAsia="宋体" w:cs="宋体"/>
                <w:sz w:val="21"/>
                <w:szCs w:val="21"/>
              </w:rPr>
              <w:t>校园礼仪与师德践行</w:t>
            </w:r>
          </w:p>
          <w:p w14:paraId="366BDFF9">
            <w:pPr>
              <w:spacing w:line="276" w:lineRule="auto"/>
              <w:jc w:val="center"/>
              <w:rPr>
                <w:rFonts w:ascii="宋体" w:hAnsi="宋体" w:eastAsia="宋体" w:cs="Times New Roman"/>
                <w:color w:val="000000"/>
                <w:sz w:val="21"/>
                <w:szCs w:val="21"/>
              </w:rPr>
            </w:pPr>
          </w:p>
        </w:tc>
        <w:tc>
          <w:tcPr>
            <w:tcW w:w="1691" w:type="dxa"/>
            <w:vAlign w:val="center"/>
          </w:tcPr>
          <w:p w14:paraId="5E8C4E5A">
            <w:pPr>
              <w:spacing w:line="276" w:lineRule="auto"/>
              <w:jc w:val="left"/>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师生/同事/家长交往礼仪（称呼、握手、座位等）</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教研活动、家长会等场景的礼仪规范</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礼仪背后的师德内涵（尊重、包容、专业性）</w:t>
            </w:r>
          </w:p>
        </w:tc>
        <w:tc>
          <w:tcPr>
            <w:tcW w:w="1111" w:type="dxa"/>
            <w:vAlign w:val="center"/>
          </w:tcPr>
          <w:p w14:paraId="4EF3129C">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037336D8">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能规范完成校园常见礼仪流程演示</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理解礼仪行为对教育关系的促进作用 </w:t>
            </w:r>
          </w:p>
          <w:p w14:paraId="6351733A">
            <w:pPr>
              <w:spacing w:line="276" w:lineRule="auto"/>
              <w:jc w:val="left"/>
              <w:rPr>
                <w:rFonts w:ascii="宋体" w:hAnsi="宋体" w:eastAsia="宋体" w:cs="Times New Roman"/>
                <w:color w:val="000000"/>
                <w:sz w:val="21"/>
                <w:szCs w:val="21"/>
              </w:rPr>
            </w:pPr>
          </w:p>
        </w:tc>
        <w:tc>
          <w:tcPr>
            <w:tcW w:w="1517" w:type="dxa"/>
            <w:vAlign w:val="center"/>
          </w:tcPr>
          <w:p w14:paraId="2A7A6B79">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08D160DF">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5A022B5C">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309EC8CC">
            <w:pPr>
              <w:spacing w:line="276"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5313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765BC67C">
            <w:pPr>
              <w:spacing w:line="276" w:lineRule="auto"/>
              <w:jc w:val="center"/>
              <w:rPr>
                <w:rFonts w:ascii="宋体" w:hAnsi="宋体" w:eastAsia="宋体" w:cs="Times New Roman"/>
                <w:color w:val="000000"/>
                <w:sz w:val="21"/>
                <w:szCs w:val="21"/>
              </w:rPr>
            </w:pPr>
          </w:p>
        </w:tc>
        <w:tc>
          <w:tcPr>
            <w:tcW w:w="7947" w:type="dxa"/>
            <w:gridSpan w:val="5"/>
            <w:vAlign w:val="center"/>
          </w:tcPr>
          <w:p w14:paraId="3A1E9C0A">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3E9C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279A7A29">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6.</w:t>
            </w:r>
            <w:r>
              <w:rPr>
                <w:rFonts w:ascii="宋体" w:hAnsi="宋体" w:eastAsia="宋体" w:cs="宋体"/>
                <w:sz w:val="21"/>
                <w:szCs w:val="21"/>
              </w:rPr>
              <w:t>演讲表达与思政宣讲能力</w:t>
            </w:r>
          </w:p>
          <w:p w14:paraId="06EEB005">
            <w:pPr>
              <w:spacing w:line="276" w:lineRule="auto"/>
              <w:jc w:val="center"/>
              <w:rPr>
                <w:rFonts w:ascii="宋体" w:hAnsi="宋体" w:eastAsia="宋体" w:cs="Times New Roman"/>
                <w:color w:val="000000"/>
                <w:sz w:val="21"/>
                <w:szCs w:val="21"/>
              </w:rPr>
            </w:pPr>
          </w:p>
        </w:tc>
        <w:tc>
          <w:tcPr>
            <w:tcW w:w="1691" w:type="dxa"/>
            <w:vAlign w:val="center"/>
          </w:tcPr>
          <w:p w14:paraId="2E52FEEA">
            <w:pPr>
              <w:spacing w:line="360" w:lineRule="auto"/>
              <w:rPr>
                <w:rFonts w:ascii="Times New Roman" w:hAnsi="Times New Roman" w:eastAsia="宋体" w:cs="Times New Roman"/>
                <w:color w:val="000000"/>
                <w:sz w:val="21"/>
                <w:szCs w:val="21"/>
              </w:rPr>
            </w:pPr>
            <w:r>
              <w:rPr>
                <w:rFonts w:hint="eastAsia" w:ascii="宋体" w:hAnsi="宋体" w:eastAsia="宋体" w:cs="宋体"/>
                <w:sz w:val="21"/>
                <w:szCs w:val="21"/>
                <w:lang w:val="en-US" w:eastAsia="zh-CN"/>
              </w:rPr>
              <w:t>(1)</w:t>
            </w:r>
            <w:r>
              <w:rPr>
                <w:rFonts w:ascii="宋体" w:hAnsi="宋体" w:eastAsia="宋体" w:cs="宋体"/>
                <w:sz w:val="21"/>
                <w:szCs w:val="21"/>
              </w:rPr>
              <w:t>教育主题演讲结构设计（故事化、数据化、共鸣点）</w:t>
            </w:r>
            <w:r>
              <w:rPr>
                <w:rFonts w:ascii="宋体" w:hAnsi="宋体" w:eastAsia="宋体" w:cs="宋体"/>
                <w:sz w:val="21"/>
                <w:szCs w:val="21"/>
              </w:rPr>
              <w:br w:type="textWrapping"/>
            </w:r>
            <w:r>
              <w:rPr>
                <w:rFonts w:hint="eastAsia" w:ascii="宋体" w:hAnsi="宋体" w:eastAsia="宋体" w:cs="宋体"/>
                <w:sz w:val="21"/>
                <w:szCs w:val="21"/>
                <w:lang w:val="en-US" w:eastAsia="zh-CN"/>
              </w:rPr>
              <w:t>(2)</w:t>
            </w:r>
            <w:r>
              <w:rPr>
                <w:rFonts w:ascii="宋体" w:hAnsi="宋体" w:eastAsia="宋体" w:cs="宋体"/>
                <w:sz w:val="21"/>
                <w:szCs w:val="21"/>
              </w:rPr>
              <w:t>国旗下的讲话、主题班会等场景演练</w:t>
            </w:r>
            <w:r>
              <w:rPr>
                <w:rFonts w:ascii="宋体" w:hAnsi="宋体" w:eastAsia="宋体" w:cs="宋体"/>
                <w:sz w:val="21"/>
                <w:szCs w:val="21"/>
              </w:rPr>
              <w:br w:type="textWrapping"/>
            </w:r>
            <w:r>
              <w:rPr>
                <w:rFonts w:hint="eastAsia" w:ascii="宋体" w:hAnsi="宋体" w:eastAsia="宋体" w:cs="宋体"/>
                <w:sz w:val="21"/>
                <w:szCs w:val="21"/>
                <w:lang w:val="en-US" w:eastAsia="zh-CN"/>
              </w:rPr>
              <w:t>(3)</w:t>
            </w:r>
            <w:r>
              <w:rPr>
                <w:rFonts w:ascii="宋体" w:hAnsi="宋体" w:eastAsia="宋体" w:cs="宋体"/>
                <w:sz w:val="21"/>
                <w:szCs w:val="21"/>
              </w:rPr>
              <w:t>将政策语言转化为学生易懂的表达</w:t>
            </w:r>
          </w:p>
          <w:p w14:paraId="23675E5D">
            <w:pPr>
              <w:spacing w:line="276" w:lineRule="auto"/>
              <w:jc w:val="left"/>
              <w:rPr>
                <w:rFonts w:ascii="宋体" w:hAnsi="宋体" w:eastAsia="宋体" w:cs="Times New Roman"/>
                <w:color w:val="000000"/>
                <w:sz w:val="21"/>
                <w:szCs w:val="21"/>
              </w:rPr>
            </w:pPr>
          </w:p>
        </w:tc>
        <w:tc>
          <w:tcPr>
            <w:tcW w:w="1111" w:type="dxa"/>
            <w:vAlign w:val="center"/>
          </w:tcPr>
          <w:p w14:paraId="74362CDA">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0070F4B9">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能完成5分钟具有思政教育意义的即兴演讲</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ascii="宋体" w:hAnsi="宋体" w:eastAsia="宋体" w:cs="宋体"/>
                <w:sz w:val="21"/>
                <w:szCs w:val="21"/>
              </w:rPr>
              <w:t>掌握面向青少年的政治话语转化技巧  </w:t>
            </w:r>
          </w:p>
          <w:p w14:paraId="121959F3">
            <w:pPr>
              <w:spacing w:line="276" w:lineRule="auto"/>
              <w:jc w:val="left"/>
              <w:rPr>
                <w:rFonts w:ascii="宋体" w:hAnsi="宋体" w:eastAsia="宋体" w:cs="Times New Roman"/>
                <w:color w:val="000000"/>
                <w:sz w:val="21"/>
                <w:szCs w:val="21"/>
              </w:rPr>
            </w:pPr>
          </w:p>
        </w:tc>
        <w:tc>
          <w:tcPr>
            <w:tcW w:w="1517" w:type="dxa"/>
            <w:vAlign w:val="center"/>
          </w:tcPr>
          <w:p w14:paraId="372D0CAB">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3688503A">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749A0559">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24B50793">
            <w:pPr>
              <w:spacing w:line="276"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69A1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43C0083D">
            <w:pPr>
              <w:spacing w:line="276" w:lineRule="auto"/>
              <w:jc w:val="center"/>
              <w:rPr>
                <w:rFonts w:ascii="宋体" w:hAnsi="宋体" w:eastAsia="宋体" w:cs="Times New Roman"/>
                <w:color w:val="000000"/>
                <w:sz w:val="21"/>
                <w:szCs w:val="21"/>
              </w:rPr>
            </w:pPr>
          </w:p>
        </w:tc>
        <w:tc>
          <w:tcPr>
            <w:tcW w:w="7947" w:type="dxa"/>
            <w:gridSpan w:val="5"/>
            <w:vAlign w:val="center"/>
          </w:tcPr>
          <w:p w14:paraId="3BD3A453">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2175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1E9ECA12">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7.</w:t>
            </w:r>
            <w:r>
              <w:rPr>
                <w:rFonts w:ascii="宋体" w:hAnsi="宋体" w:eastAsia="宋体" w:cs="宋体"/>
                <w:sz w:val="21"/>
                <w:szCs w:val="21"/>
              </w:rPr>
              <w:t>求职面试语言与职业发展</w:t>
            </w:r>
          </w:p>
          <w:p w14:paraId="4AE881B1">
            <w:pPr>
              <w:spacing w:line="276" w:lineRule="auto"/>
              <w:jc w:val="center"/>
              <w:rPr>
                <w:rFonts w:ascii="宋体" w:hAnsi="宋体" w:eastAsia="宋体" w:cs="Times New Roman"/>
                <w:sz w:val="21"/>
                <w:szCs w:val="21"/>
              </w:rPr>
            </w:pPr>
          </w:p>
        </w:tc>
        <w:tc>
          <w:tcPr>
            <w:tcW w:w="1691" w:type="dxa"/>
            <w:vAlign w:val="center"/>
          </w:tcPr>
          <w:p w14:paraId="1F839C7F">
            <w:pPr>
              <w:spacing w:line="360" w:lineRule="auto"/>
              <w:rPr>
                <w:rFonts w:ascii="宋体" w:hAnsi="宋体" w:eastAsia="宋体" w:cs="Times New Roman"/>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教师招聘面试常见题型解析</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结构化回答技巧（STAR法则运用）</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职业发展规划的语言表达 </w:t>
            </w:r>
          </w:p>
        </w:tc>
        <w:tc>
          <w:tcPr>
            <w:tcW w:w="1111" w:type="dxa"/>
            <w:vAlign w:val="center"/>
          </w:tcPr>
          <w:p w14:paraId="2860EEB5">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3F7BCDCD">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能流畅应对模拟教师招聘面试</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清晰表达个人教育理念与职业追求 </w:t>
            </w:r>
          </w:p>
          <w:p w14:paraId="070F6A51">
            <w:pPr>
              <w:spacing w:line="276" w:lineRule="auto"/>
              <w:jc w:val="left"/>
              <w:rPr>
                <w:rFonts w:ascii="宋体" w:hAnsi="宋体" w:eastAsia="宋体" w:cs="Times New Roman"/>
                <w:color w:val="000000"/>
                <w:sz w:val="21"/>
                <w:szCs w:val="21"/>
              </w:rPr>
            </w:pPr>
          </w:p>
        </w:tc>
        <w:tc>
          <w:tcPr>
            <w:tcW w:w="1517" w:type="dxa"/>
            <w:vAlign w:val="center"/>
          </w:tcPr>
          <w:p w14:paraId="3AED333A">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6CD937CC">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1A349329">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0A18DC09">
            <w:pPr>
              <w:spacing w:line="276"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7904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188F36D5">
            <w:pPr>
              <w:spacing w:line="276" w:lineRule="auto"/>
              <w:jc w:val="center"/>
              <w:rPr>
                <w:rFonts w:ascii="宋体" w:hAnsi="宋体" w:eastAsia="宋体" w:cs="Times New Roman"/>
                <w:color w:val="000000"/>
                <w:sz w:val="21"/>
                <w:szCs w:val="21"/>
              </w:rPr>
            </w:pPr>
          </w:p>
        </w:tc>
        <w:tc>
          <w:tcPr>
            <w:tcW w:w="7947" w:type="dxa"/>
            <w:gridSpan w:val="5"/>
            <w:vAlign w:val="center"/>
          </w:tcPr>
          <w:p w14:paraId="53C8B214">
            <w:pPr>
              <w:spacing w:line="360" w:lineRule="auto"/>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28D4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354D0925">
            <w:pPr>
              <w:spacing w:line="360" w:lineRule="auto"/>
              <w:rPr>
                <w:rFonts w:ascii="Times New Roman" w:hAnsi="Times New Roman" w:eastAsia="宋体" w:cs="Times New Roman"/>
                <w:b/>
                <w:sz w:val="21"/>
                <w:szCs w:val="21"/>
              </w:rPr>
            </w:pPr>
            <w:r>
              <w:rPr>
                <w:rFonts w:hint="eastAsia" w:ascii="Times New Roman" w:hAnsi="Times New Roman" w:eastAsia="宋体" w:cs="Times New Roman"/>
                <w:b w:val="0"/>
                <w:bCs/>
                <w:sz w:val="21"/>
                <w:szCs w:val="21"/>
                <w:lang w:val="en-US" w:eastAsia="zh-CN"/>
              </w:rPr>
              <w:t>8.</w:t>
            </w:r>
            <w:r>
              <w:rPr>
                <w:rFonts w:ascii="宋体" w:hAnsi="宋体" w:eastAsia="宋体" w:cs="宋体"/>
                <w:sz w:val="21"/>
                <w:szCs w:val="21"/>
              </w:rPr>
              <w:t>综合实训与课程思政总结</w:t>
            </w:r>
          </w:p>
          <w:p w14:paraId="1AD1A92E">
            <w:pPr>
              <w:spacing w:line="264" w:lineRule="auto"/>
              <w:jc w:val="center"/>
              <w:rPr>
                <w:rFonts w:ascii="宋体" w:hAnsi="宋体" w:eastAsia="宋体" w:cs="Times New Roman"/>
                <w:color w:val="000000"/>
                <w:sz w:val="21"/>
                <w:szCs w:val="21"/>
              </w:rPr>
            </w:pPr>
          </w:p>
        </w:tc>
        <w:tc>
          <w:tcPr>
            <w:tcW w:w="1691" w:type="dxa"/>
            <w:vAlign w:val="center"/>
          </w:tcPr>
          <w:p w14:paraId="1847C779">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Times New Roman" w:hAnsi="Times New Roman" w:eastAsia="宋体" w:cs="Times New Roman"/>
                <w:sz w:val="21"/>
                <w:szCs w:val="21"/>
              </w:rPr>
              <w:t>能够简单使用Lingo</w:t>
            </w:r>
          </w:p>
          <w:p w14:paraId="14BC369D">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sz w:val="21"/>
                <w:szCs w:val="21"/>
              </w:rPr>
              <w:t>能够简单使用</w:t>
            </w:r>
            <w:r>
              <w:rPr>
                <w:rFonts w:ascii="Times New Roman" w:hAnsi="Times New Roman" w:eastAsia="宋体" w:cs="Times New Roman"/>
                <w:color w:val="000000"/>
                <w:sz w:val="21"/>
                <w:szCs w:val="21"/>
              </w:rPr>
              <w:t>Mathematica</w:t>
            </w:r>
          </w:p>
          <w:p w14:paraId="1387EDB8">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r>
              <w:rPr>
                <w:rFonts w:ascii="Times New Roman" w:hAnsi="Times New Roman" w:eastAsia="宋体" w:cs="Times New Roman"/>
                <w:sz w:val="21"/>
                <w:szCs w:val="21"/>
              </w:rPr>
              <w:t>能够简单使用Matlab</w:t>
            </w:r>
          </w:p>
          <w:p w14:paraId="5E9A0600">
            <w:pPr>
              <w:spacing w:line="264" w:lineRule="auto"/>
              <w:jc w:val="left"/>
              <w:rPr>
                <w:rFonts w:ascii="宋体" w:hAnsi="宋体" w:eastAsia="宋体" w:cs="Times New Roman"/>
                <w:color w:val="000000"/>
                <w:sz w:val="21"/>
                <w:szCs w:val="21"/>
              </w:rPr>
            </w:pPr>
          </w:p>
        </w:tc>
        <w:tc>
          <w:tcPr>
            <w:tcW w:w="1111" w:type="dxa"/>
            <w:vAlign w:val="center"/>
          </w:tcPr>
          <w:p w14:paraId="157AB99E">
            <w:pPr>
              <w:spacing w:line="264"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1650778B">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微课展示（融合语言表达、礼仪、思政元素）</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教育热点事件中的语言与礼仪案例分析</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教师职业认同感提升研讨</w:t>
            </w:r>
          </w:p>
          <w:p w14:paraId="164383D8">
            <w:pPr>
              <w:spacing w:line="264" w:lineRule="auto"/>
              <w:jc w:val="left"/>
              <w:rPr>
                <w:rFonts w:ascii="宋体" w:hAnsi="宋体" w:eastAsia="宋体" w:cs="Times New Roman"/>
                <w:color w:val="000000"/>
                <w:sz w:val="21"/>
                <w:szCs w:val="21"/>
              </w:rPr>
            </w:pPr>
          </w:p>
        </w:tc>
        <w:tc>
          <w:tcPr>
            <w:tcW w:w="1517" w:type="dxa"/>
            <w:vAlign w:val="center"/>
          </w:tcPr>
          <w:p w14:paraId="595B94A2">
            <w:pPr>
              <w:spacing w:line="264"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5B1ABD12">
            <w:pPr>
              <w:spacing w:line="264"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31DBA8A8">
            <w:pPr>
              <w:spacing w:line="264"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1D355CFC">
            <w:pPr>
              <w:spacing w:line="264"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0F8B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4B72A559">
            <w:pPr>
              <w:spacing w:line="264" w:lineRule="auto"/>
              <w:jc w:val="center"/>
              <w:rPr>
                <w:rFonts w:ascii="宋体" w:hAnsi="宋体" w:eastAsia="宋体" w:cs="Times New Roman"/>
                <w:color w:val="000000"/>
                <w:sz w:val="21"/>
                <w:szCs w:val="21"/>
              </w:rPr>
            </w:pPr>
          </w:p>
        </w:tc>
        <w:tc>
          <w:tcPr>
            <w:tcW w:w="7947" w:type="dxa"/>
            <w:gridSpan w:val="5"/>
            <w:vAlign w:val="center"/>
          </w:tcPr>
          <w:p w14:paraId="08682774">
            <w:pPr>
              <w:spacing w:line="360" w:lineRule="auto"/>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bl>
    <w:p w14:paraId="68F72584">
      <w:pPr>
        <w:spacing w:line="360" w:lineRule="auto"/>
        <w:jc w:val="left"/>
        <w:rPr>
          <w:rFonts w:ascii="Times New Roman" w:hAnsi="Times New Roman" w:eastAsia="宋体" w:cs="Times New Roman"/>
          <w:sz w:val="24"/>
          <w:szCs w:val="24"/>
        </w:rPr>
      </w:pPr>
    </w:p>
    <w:p w14:paraId="694AACF2">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41D6035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F60388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C889F1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p w14:paraId="6E7A4128">
      <w:pPr>
        <w:spacing w:line="360" w:lineRule="auto"/>
        <w:jc w:val="center"/>
        <w:rPr>
          <w:rFonts w:ascii="Times New Roman" w:hAnsi="Times New Roman" w:eastAsia="宋体" w:cs="Times New Roman"/>
          <w:b/>
          <w:bCs/>
          <w:szCs w:val="21"/>
        </w:rPr>
      </w:pPr>
    </w:p>
    <w:tbl>
      <w:tblPr>
        <w:tblStyle w:val="14"/>
        <w:tblW w:w="8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981"/>
        <w:gridCol w:w="862"/>
        <w:gridCol w:w="5826"/>
      </w:tblGrid>
      <w:tr w14:paraId="5490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3E023C58">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1843" w:type="dxa"/>
            <w:gridSpan w:val="2"/>
            <w:vAlign w:val="center"/>
          </w:tcPr>
          <w:p w14:paraId="71F7C626">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5826" w:type="dxa"/>
            <w:vMerge w:val="restart"/>
            <w:vAlign w:val="center"/>
          </w:tcPr>
          <w:p w14:paraId="73D4C257">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1447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2767BD17">
            <w:pPr>
              <w:spacing w:line="360" w:lineRule="auto"/>
              <w:jc w:val="center"/>
              <w:rPr>
                <w:rFonts w:ascii="宋体" w:hAnsi="宋体" w:eastAsia="宋体" w:cs="Times New Roman"/>
                <w:szCs w:val="21"/>
              </w:rPr>
            </w:pPr>
          </w:p>
        </w:tc>
        <w:tc>
          <w:tcPr>
            <w:tcW w:w="981" w:type="dxa"/>
            <w:vAlign w:val="center"/>
          </w:tcPr>
          <w:p w14:paraId="440118B3">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862" w:type="dxa"/>
            <w:vAlign w:val="center"/>
          </w:tcPr>
          <w:p w14:paraId="14B29D38">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5826" w:type="dxa"/>
            <w:vMerge w:val="continue"/>
            <w:vAlign w:val="center"/>
          </w:tcPr>
          <w:p w14:paraId="3035569D">
            <w:pPr>
              <w:spacing w:line="360" w:lineRule="auto"/>
              <w:jc w:val="center"/>
              <w:rPr>
                <w:rFonts w:ascii="宋体" w:hAnsi="宋体" w:eastAsia="宋体" w:cs="Times New Roman"/>
                <w:szCs w:val="21"/>
              </w:rPr>
            </w:pPr>
          </w:p>
        </w:tc>
      </w:tr>
      <w:tr w14:paraId="62DC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C4ED345">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981" w:type="dxa"/>
            <w:vAlign w:val="center"/>
          </w:tcPr>
          <w:p w14:paraId="07FEC06D">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862" w:type="dxa"/>
            <w:vAlign w:val="center"/>
          </w:tcPr>
          <w:p w14:paraId="520678D9">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5826" w:type="dxa"/>
            <w:vAlign w:val="center"/>
          </w:tcPr>
          <w:p w14:paraId="424D670A">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394D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7747C5B">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981" w:type="dxa"/>
            <w:vAlign w:val="center"/>
          </w:tcPr>
          <w:p w14:paraId="3D4FD27A">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862" w:type="dxa"/>
            <w:vAlign w:val="center"/>
          </w:tcPr>
          <w:p w14:paraId="11C43678">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15</w:t>
            </w:r>
          </w:p>
        </w:tc>
        <w:tc>
          <w:tcPr>
            <w:tcW w:w="5826" w:type="dxa"/>
            <w:vAlign w:val="center"/>
          </w:tcPr>
          <w:p w14:paraId="587F3166">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r>
      <w:tr w14:paraId="7461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8FDE887">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981" w:type="dxa"/>
            <w:vAlign w:val="center"/>
          </w:tcPr>
          <w:p w14:paraId="7BA80370">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p>
        </w:tc>
        <w:tc>
          <w:tcPr>
            <w:tcW w:w="862" w:type="dxa"/>
            <w:vAlign w:val="center"/>
          </w:tcPr>
          <w:p w14:paraId="7E76A562">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c>
          <w:tcPr>
            <w:tcW w:w="5826" w:type="dxa"/>
            <w:vAlign w:val="center"/>
          </w:tcPr>
          <w:p w14:paraId="70BB03A1">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r>
      <w:tr w14:paraId="435D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D55DA2C">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rPr>
              <w:t>课程目标</w:t>
            </w:r>
            <w:r>
              <w:rPr>
                <w:rFonts w:hint="eastAsia" w:ascii="宋体" w:hAnsi="宋体" w:eastAsia="宋体" w:cs="Times New Roman"/>
                <w:szCs w:val="21"/>
                <w:lang w:val="en-US" w:eastAsia="zh-CN"/>
              </w:rPr>
              <w:t>4</w:t>
            </w:r>
          </w:p>
        </w:tc>
        <w:tc>
          <w:tcPr>
            <w:tcW w:w="981" w:type="dxa"/>
            <w:vAlign w:val="center"/>
          </w:tcPr>
          <w:p w14:paraId="3E1F3518">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p>
        </w:tc>
        <w:tc>
          <w:tcPr>
            <w:tcW w:w="862" w:type="dxa"/>
            <w:vAlign w:val="center"/>
          </w:tcPr>
          <w:p w14:paraId="0ABC0749">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c>
          <w:tcPr>
            <w:tcW w:w="5826" w:type="dxa"/>
            <w:vAlign w:val="center"/>
          </w:tcPr>
          <w:p w14:paraId="7EAF827C">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626D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B613F68">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981" w:type="dxa"/>
            <w:vAlign w:val="center"/>
          </w:tcPr>
          <w:p w14:paraId="092C527A">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c>
          <w:tcPr>
            <w:tcW w:w="862" w:type="dxa"/>
            <w:vAlign w:val="center"/>
          </w:tcPr>
          <w:p w14:paraId="67DE7105">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70</w:t>
            </w:r>
          </w:p>
        </w:tc>
        <w:tc>
          <w:tcPr>
            <w:tcW w:w="5826" w:type="dxa"/>
            <w:vAlign w:val="center"/>
          </w:tcPr>
          <w:p w14:paraId="145391AB">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5C7B793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783967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C0849B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BAC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0618B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F47B5F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06" w:type="dxa"/>
            <w:vAlign w:val="center"/>
          </w:tcPr>
          <w:p w14:paraId="00BF4A1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3BA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01244EF">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52608B77">
            <w:pPr>
              <w:spacing w:line="276" w:lineRule="auto"/>
              <w:rPr>
                <w:rFonts w:ascii="宋体" w:hAnsi="宋体" w:eastAsia="宋体" w:cs="宋体"/>
                <w:szCs w:val="21"/>
              </w:rPr>
            </w:pPr>
            <w:r>
              <w:rPr>
                <w:rFonts w:hint="eastAsia" w:ascii="宋体" w:hAnsi="宋体" w:eastAsia="宋体" w:cs="宋体"/>
                <w:szCs w:val="21"/>
              </w:rPr>
              <w:t>其中课堂考勤占20%，平时作业占80%。</w:t>
            </w:r>
          </w:p>
          <w:p w14:paraId="5CD32A3F">
            <w:pPr>
              <w:spacing w:line="276" w:lineRule="auto"/>
              <w:jc w:val="left"/>
              <w:rPr>
                <w:rFonts w:ascii="宋体" w:hAnsi="宋体" w:eastAsia="宋体" w:cs="宋体"/>
                <w:szCs w:val="21"/>
              </w:rPr>
            </w:pPr>
            <w:r>
              <w:rPr>
                <w:rFonts w:hint="eastAsia" w:ascii="宋体" w:hAnsi="宋体" w:eastAsia="宋体" w:cs="宋体"/>
                <w:szCs w:val="21"/>
              </w:rPr>
              <w:t>课堂考勤：病假和事假一次扣5分，无故缺席一次扣10分，无故缺席累积达5次以上（不含5次）取消课程成绩。</w:t>
            </w:r>
          </w:p>
          <w:p w14:paraId="3B46E4EE">
            <w:pPr>
              <w:spacing w:line="264" w:lineRule="auto"/>
              <w:jc w:val="left"/>
              <w:rPr>
                <w:rFonts w:ascii="Times New Roman" w:hAnsi="Times New Roman" w:eastAsia="宋体" w:cs="Times New Roman"/>
                <w:szCs w:val="21"/>
              </w:rPr>
            </w:pPr>
            <w:r>
              <w:rPr>
                <w:rFonts w:hint="eastAsia" w:ascii="宋体" w:hAnsi="宋体" w:eastAsia="宋体" w:cs="宋体"/>
                <w:szCs w:val="21"/>
              </w:rPr>
              <w:t>平时作业：课后完成3次作业，主要考核学生对每节课知识点的复习、理解和掌握程度，计算全部作业的平均成绩。</w:t>
            </w:r>
          </w:p>
        </w:tc>
        <w:tc>
          <w:tcPr>
            <w:tcW w:w="706" w:type="dxa"/>
            <w:vAlign w:val="center"/>
          </w:tcPr>
          <w:p w14:paraId="1320FEC8">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00A2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4CE271">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7FFC7DA">
            <w:pPr>
              <w:spacing w:line="264" w:lineRule="auto"/>
              <w:jc w:val="left"/>
              <w:rPr>
                <w:rFonts w:ascii="Times New Roman" w:hAnsi="Times New Roman" w:eastAsia="宋体" w:cs="Times New Roman"/>
                <w:szCs w:val="21"/>
              </w:rPr>
            </w:pPr>
            <w:r>
              <w:rPr>
                <w:rFonts w:hint="eastAsia" w:ascii="宋体" w:hAnsi="宋体" w:eastAsia="宋体" w:cs="宋体"/>
                <w:szCs w:val="21"/>
              </w:rPr>
              <w:t>主要考核学生对本课程知识的掌握，并考核其实际运用教师口语的能力。</w:t>
            </w:r>
          </w:p>
        </w:tc>
        <w:tc>
          <w:tcPr>
            <w:tcW w:w="706" w:type="dxa"/>
            <w:vAlign w:val="center"/>
          </w:tcPr>
          <w:p w14:paraId="2F03D856">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06AA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22C5797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5C694158">
            <w:pPr>
              <w:jc w:val="left"/>
              <w:rPr>
                <w:rFonts w:ascii="Times New Roman" w:hAnsi="Times New Roman" w:eastAsia="宋体" w:cs="Times New Roman"/>
                <w:szCs w:val="21"/>
              </w:rPr>
            </w:pPr>
          </w:p>
        </w:tc>
        <w:tc>
          <w:tcPr>
            <w:tcW w:w="706" w:type="dxa"/>
            <w:vAlign w:val="center"/>
          </w:tcPr>
          <w:p w14:paraId="092B2F6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A8525FE">
      <w:pPr>
        <w:numPr>
          <w:ilvl w:val="0"/>
          <w:numId w:val="43"/>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课程目标达成度计算方法</w:t>
      </w:r>
    </w:p>
    <w:p w14:paraId="0E9F80ED">
      <w:pPr>
        <w:spacing w:line="360" w:lineRule="auto"/>
        <w:ind w:firstLine="480"/>
        <w:rPr>
          <w:rFonts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5F10E525">
      <w:pPr>
        <w:spacing w:line="360" w:lineRule="auto"/>
        <w:rPr>
          <w:rFonts w:ascii="Book Antiqua" w:hAnsi="Book Antiqua" w:eastAsia="宋体" w:cs="Times New Roman"/>
          <w:b/>
          <w:sz w:val="24"/>
          <w:szCs w:val="24"/>
        </w:rPr>
      </w:pPr>
      <w:r>
        <w:rPr>
          <w:rFonts w:ascii="宋体" w:hAnsi="宋体" w:eastAsia="宋体" w:cs="Times New Roman"/>
          <w:sz w:val="24"/>
        </w:rPr>
        <w:drawing>
          <wp:inline distT="0" distB="0" distL="0" distR="0">
            <wp:extent cx="5104765" cy="280035"/>
            <wp:effectExtent l="0" t="0" r="635" b="5715"/>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16">
                      <a:extLst>
                        <a:ext uri="{28A0092B-C50C-407E-A947-70E740481C1C}">
                          <a14:useLocalDpi xmlns:a14="http://schemas.microsoft.com/office/drawing/2010/main" val="0"/>
                        </a:ext>
                      </a:extLst>
                    </a:blip>
                    <a:srcRect/>
                    <a:stretch>
                      <a:fillRect/>
                    </a:stretch>
                  </pic:blipFill>
                  <pic:spPr>
                    <a:xfrm>
                      <a:off x="0" y="0"/>
                      <a:ext cx="5260978" cy="289238"/>
                    </a:xfrm>
                    <a:prstGeom prst="rect">
                      <a:avLst/>
                    </a:prstGeom>
                    <a:noFill/>
                    <a:ln>
                      <a:noFill/>
                    </a:ln>
                  </pic:spPr>
                </pic:pic>
              </a:graphicData>
            </a:graphic>
          </wp:inline>
        </w:drawing>
      </w:r>
    </w:p>
    <w:p w14:paraId="51C783EC">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p>
    <w:p w14:paraId="000B8286">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112060C2">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58D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71256755">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36858F81">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519935E7">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00AA737">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705F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1212" w:type="dxa"/>
            <w:vAlign w:val="center"/>
          </w:tcPr>
          <w:p w14:paraId="3A2B05C5">
            <w:pPr>
              <w:adjustRightInd w:val="0"/>
              <w:ind w:firstLine="198" w:firstLineChars="0"/>
              <w:rPr>
                <w:rFonts w:ascii="宋体" w:hAnsi="宋体" w:eastAsia="宋体" w:cs="宋体"/>
                <w:szCs w:val="21"/>
              </w:rPr>
            </w:pPr>
            <w:r>
              <w:rPr>
                <w:rFonts w:hint="eastAsia" w:ascii="宋体" w:hAnsi="宋体" w:eastAsia="宋体" w:cs="宋体"/>
                <w:bCs/>
                <w:szCs w:val="21"/>
              </w:rPr>
              <w:t>普通话语音</w:t>
            </w:r>
            <w:r>
              <w:rPr>
                <w:rFonts w:hint="eastAsia" w:ascii="宋体" w:hAnsi="宋体" w:eastAsia="宋体" w:cs="宋体"/>
                <w:color w:val="000000"/>
                <w:kern w:val="0"/>
                <w:szCs w:val="21"/>
              </w:rPr>
              <w:t>训练</w:t>
            </w:r>
          </w:p>
        </w:tc>
        <w:tc>
          <w:tcPr>
            <w:tcW w:w="3407" w:type="dxa"/>
            <w:vAlign w:val="center"/>
          </w:tcPr>
          <w:p w14:paraId="3C86E012">
            <w:pPr>
              <w:spacing w:line="276" w:lineRule="auto"/>
              <w:ind w:firstLine="210" w:firstLineChars="100"/>
              <w:rPr>
                <w:rFonts w:ascii="宋体" w:hAnsi="宋体" w:eastAsia="宋体" w:cs="宋体"/>
                <w:szCs w:val="21"/>
              </w:rPr>
            </w:pPr>
            <w:r>
              <w:rPr>
                <w:rFonts w:hint="eastAsia" w:ascii="宋体" w:hAnsi="宋体" w:eastAsia="宋体" w:cs="Times New Roman"/>
                <w:bCs/>
                <w:color w:val="000000"/>
                <w:szCs w:val="21"/>
              </w:rPr>
              <w:t>声母、韵母、声调、吐字归音、语流音变等普通话语音基础知识训练。逐步认识和纠正发音、发声中存在的问题，掌握和运用科学的发音、发声方法。</w:t>
            </w:r>
          </w:p>
        </w:tc>
        <w:tc>
          <w:tcPr>
            <w:tcW w:w="740" w:type="dxa"/>
            <w:vAlign w:val="center"/>
          </w:tcPr>
          <w:p w14:paraId="51AC562F">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课程实践作业</w:t>
            </w:r>
          </w:p>
        </w:tc>
        <w:tc>
          <w:tcPr>
            <w:tcW w:w="3160" w:type="dxa"/>
            <w:vAlign w:val="center"/>
          </w:tcPr>
          <w:p w14:paraId="390BB361">
            <w:pPr>
              <w:spacing w:line="276" w:lineRule="auto"/>
              <w:jc w:val="left"/>
              <w:rPr>
                <w:rFonts w:ascii="宋体" w:hAnsi="宋体" w:eastAsia="宋体" w:cs="宋体"/>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r w14:paraId="588E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9644BC3">
            <w:pPr>
              <w:adjustRightInd w:val="0"/>
              <w:ind w:firstLine="198" w:firstLineChars="0"/>
              <w:rPr>
                <w:rFonts w:ascii="宋体" w:hAnsi="宋体" w:eastAsia="宋体" w:cs="宋体"/>
                <w:szCs w:val="21"/>
              </w:rPr>
            </w:pPr>
            <w:r>
              <w:rPr>
                <w:rFonts w:hint="eastAsia" w:ascii="宋体" w:hAnsi="宋体" w:eastAsia="宋体" w:cs="宋体"/>
                <w:szCs w:val="21"/>
              </w:rPr>
              <w:t>教师基本</w:t>
            </w:r>
            <w:r>
              <w:rPr>
                <w:rFonts w:hint="eastAsia" w:ascii="宋体" w:hAnsi="宋体" w:eastAsia="宋体" w:cs="宋体"/>
                <w:szCs w:val="21"/>
                <w:lang w:val="en-US" w:eastAsia="zh-CN"/>
              </w:rPr>
              <w:t>礼仪</w:t>
            </w:r>
            <w:r>
              <w:rPr>
                <w:rFonts w:hint="eastAsia" w:ascii="宋体" w:hAnsi="宋体" w:eastAsia="宋体" w:cs="宋体"/>
                <w:szCs w:val="21"/>
              </w:rPr>
              <w:t>技能的要求</w:t>
            </w:r>
            <w:r>
              <w:rPr>
                <w:rFonts w:hint="eastAsia" w:ascii="宋体" w:hAnsi="宋体" w:eastAsia="宋体" w:cs="宋体"/>
                <w:color w:val="000000"/>
                <w:kern w:val="0"/>
                <w:szCs w:val="21"/>
              </w:rPr>
              <w:t>训练</w:t>
            </w:r>
          </w:p>
        </w:tc>
        <w:tc>
          <w:tcPr>
            <w:tcW w:w="3407" w:type="dxa"/>
            <w:vAlign w:val="center"/>
          </w:tcPr>
          <w:p w14:paraId="09FDDD63">
            <w:pPr>
              <w:widowControl/>
              <w:spacing w:line="276" w:lineRule="auto"/>
              <w:ind w:firstLine="420" w:firstLineChars="200"/>
              <w:jc w:val="left"/>
              <w:rPr>
                <w:rFonts w:ascii="宋体" w:hAnsi="宋体" w:eastAsia="宋体" w:cs="宋体"/>
                <w:szCs w:val="21"/>
              </w:rPr>
            </w:pPr>
            <w:r>
              <w:rPr>
                <w:rFonts w:hint="eastAsia" w:ascii="宋体" w:hAnsi="宋体" w:eastAsia="宋体" w:cs="Times New Roman"/>
                <w:bCs/>
                <w:color w:val="000000"/>
                <w:szCs w:val="21"/>
              </w:rPr>
              <w:t>掌握复述、描述、评述、讲故事、态势语等一些基本技能的要求。通过训练，掌握各种技能、技巧。</w:t>
            </w:r>
            <w:r>
              <w:rPr>
                <w:rFonts w:hint="eastAsia" w:ascii="宋体" w:hAnsi="宋体" w:eastAsia="宋体" w:cs="宋体"/>
                <w:szCs w:val="21"/>
              </w:rPr>
              <w:t>能够熟练自如的运用各种技能。</w:t>
            </w:r>
          </w:p>
        </w:tc>
        <w:tc>
          <w:tcPr>
            <w:tcW w:w="740" w:type="dxa"/>
            <w:vAlign w:val="center"/>
          </w:tcPr>
          <w:p w14:paraId="4D27B6BC">
            <w:pPr>
              <w:spacing w:line="276" w:lineRule="auto"/>
              <w:jc w:val="center"/>
              <w:rPr>
                <w:rFonts w:ascii="宋体" w:hAnsi="宋体" w:eastAsia="宋体" w:cs="宋体"/>
                <w:szCs w:val="21"/>
              </w:rPr>
            </w:pPr>
            <w:r>
              <w:rPr>
                <w:rFonts w:hint="eastAsia" w:ascii="宋体" w:hAnsi="宋体" w:eastAsia="宋体" w:cs="宋体"/>
                <w:szCs w:val="21"/>
                <w:lang w:val="en-US" w:eastAsia="zh-CN"/>
              </w:rPr>
              <w:t>课程实践作业</w:t>
            </w:r>
          </w:p>
        </w:tc>
        <w:tc>
          <w:tcPr>
            <w:tcW w:w="3160" w:type="dxa"/>
            <w:vAlign w:val="center"/>
          </w:tcPr>
          <w:p w14:paraId="2650155B">
            <w:pPr>
              <w:spacing w:line="276" w:lineRule="auto"/>
              <w:jc w:val="left"/>
              <w:rPr>
                <w:rFonts w:ascii="宋体" w:hAnsi="宋体" w:eastAsia="宋体" w:cs="宋体"/>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r w14:paraId="0C94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41C527B">
            <w:pPr>
              <w:adjustRightInd w:val="0"/>
              <w:ind w:firstLine="198" w:firstLineChars="0"/>
              <w:rPr>
                <w:rFonts w:ascii="宋体" w:hAnsi="宋体" w:eastAsia="宋体" w:cs="宋体"/>
                <w:szCs w:val="21"/>
              </w:rPr>
            </w:pPr>
            <w:r>
              <w:rPr>
                <w:rFonts w:hint="eastAsia" w:ascii="宋体" w:hAnsi="宋体" w:eastAsia="宋体" w:cs="宋体"/>
                <w:bCs/>
                <w:szCs w:val="21"/>
              </w:rPr>
              <w:t>教师教学口语训练</w:t>
            </w:r>
          </w:p>
        </w:tc>
        <w:tc>
          <w:tcPr>
            <w:tcW w:w="3407" w:type="dxa"/>
            <w:vAlign w:val="center"/>
          </w:tcPr>
          <w:p w14:paraId="4D29B9D9">
            <w:pPr>
              <w:spacing w:line="276" w:lineRule="auto"/>
              <w:ind w:firstLine="420" w:firstLineChars="200"/>
              <w:rPr>
                <w:rFonts w:ascii="宋体" w:hAnsi="宋体" w:eastAsia="宋体" w:cs="宋体"/>
                <w:szCs w:val="21"/>
              </w:rPr>
            </w:pPr>
            <w:r>
              <w:rPr>
                <w:rFonts w:hint="eastAsia" w:ascii="宋体" w:hAnsi="宋体" w:eastAsia="宋体" w:cs="宋体"/>
                <w:szCs w:val="21"/>
              </w:rPr>
              <w:t>导入语、提问语、过渡语、讲解语、评价语、应变语、小结语等各教学环节的用语技巧。能掌握幼儿教师教学语言的特点，在课堂模拟教学中正确使用各类教学语言。</w:t>
            </w:r>
          </w:p>
        </w:tc>
        <w:tc>
          <w:tcPr>
            <w:tcW w:w="740" w:type="dxa"/>
            <w:vAlign w:val="center"/>
          </w:tcPr>
          <w:p w14:paraId="18CCAC5C">
            <w:pPr>
              <w:spacing w:line="276" w:lineRule="auto"/>
              <w:jc w:val="center"/>
              <w:rPr>
                <w:rFonts w:ascii="宋体" w:hAnsi="宋体" w:eastAsia="宋体" w:cs="宋体"/>
                <w:szCs w:val="21"/>
              </w:rPr>
            </w:pPr>
            <w:r>
              <w:rPr>
                <w:rFonts w:hint="eastAsia" w:ascii="宋体" w:hAnsi="宋体" w:eastAsia="宋体" w:cs="宋体"/>
                <w:szCs w:val="21"/>
              </w:rPr>
              <w:t>课程实践作业</w:t>
            </w:r>
          </w:p>
        </w:tc>
        <w:tc>
          <w:tcPr>
            <w:tcW w:w="3160" w:type="dxa"/>
            <w:vAlign w:val="center"/>
          </w:tcPr>
          <w:p w14:paraId="1E0EA5B2">
            <w:pPr>
              <w:spacing w:line="276" w:lineRule="auto"/>
              <w:jc w:val="left"/>
              <w:rPr>
                <w:rFonts w:ascii="宋体" w:hAnsi="宋体" w:eastAsia="宋体" w:cs="宋体"/>
                <w:b/>
                <w:bCs/>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r w14:paraId="769A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60A21CB2">
            <w:pPr>
              <w:adjustRightInd w:val="0"/>
              <w:ind w:firstLine="198" w:firstLineChars="0"/>
              <w:rPr>
                <w:rFonts w:ascii="宋体" w:hAnsi="宋体" w:eastAsia="宋体" w:cs="宋体"/>
                <w:szCs w:val="21"/>
              </w:rPr>
            </w:pPr>
            <w:r>
              <w:rPr>
                <w:rFonts w:hint="eastAsia" w:ascii="宋体" w:hAnsi="宋体" w:eastAsia="宋体" w:cs="宋体"/>
                <w:bCs/>
                <w:szCs w:val="21"/>
              </w:rPr>
              <w:t>教师教</w:t>
            </w:r>
            <w:r>
              <w:rPr>
                <w:rFonts w:hint="eastAsia" w:ascii="宋体" w:hAnsi="宋体" w:eastAsia="宋体" w:cs="宋体"/>
                <w:bCs/>
                <w:szCs w:val="21"/>
                <w:lang w:val="en-US" w:eastAsia="zh-CN"/>
              </w:rPr>
              <w:t>育</w:t>
            </w:r>
            <w:r>
              <w:rPr>
                <w:rFonts w:hint="eastAsia" w:ascii="宋体" w:hAnsi="宋体" w:eastAsia="宋体" w:cs="宋体"/>
                <w:bCs/>
                <w:szCs w:val="21"/>
              </w:rPr>
              <w:t>口语训练</w:t>
            </w:r>
          </w:p>
        </w:tc>
        <w:tc>
          <w:tcPr>
            <w:tcW w:w="3407" w:type="dxa"/>
            <w:vAlign w:val="center"/>
          </w:tcPr>
          <w:p w14:paraId="677F3585">
            <w:pPr>
              <w:spacing w:line="276" w:lineRule="auto"/>
              <w:ind w:firstLine="420" w:firstLineChars="200"/>
              <w:rPr>
                <w:rFonts w:ascii="宋体" w:hAnsi="宋体" w:eastAsia="宋体" w:cs="宋体"/>
                <w:szCs w:val="21"/>
              </w:rPr>
            </w:pPr>
            <w:r>
              <w:rPr>
                <w:rFonts w:hint="eastAsia" w:ascii="宋体" w:hAnsi="宋体" w:eastAsia="宋体" w:cs="Times New Roman"/>
                <w:bCs/>
                <w:color w:val="000000"/>
                <w:szCs w:val="21"/>
              </w:rPr>
              <w:t>掌握幼儿教育口语的特点、原则和要求。能根据不同教育情境准确、恰当地运用教育口语。</w:t>
            </w:r>
          </w:p>
        </w:tc>
        <w:tc>
          <w:tcPr>
            <w:tcW w:w="740" w:type="dxa"/>
            <w:vAlign w:val="center"/>
          </w:tcPr>
          <w:p w14:paraId="4FC51585">
            <w:pPr>
              <w:spacing w:line="276" w:lineRule="auto"/>
              <w:jc w:val="center"/>
              <w:rPr>
                <w:rFonts w:ascii="宋体" w:hAnsi="宋体" w:eastAsia="宋体" w:cs="宋体"/>
                <w:szCs w:val="21"/>
              </w:rPr>
            </w:pPr>
            <w:r>
              <w:rPr>
                <w:rFonts w:hint="eastAsia" w:ascii="宋体" w:hAnsi="宋体" w:eastAsia="宋体" w:cs="宋体"/>
                <w:szCs w:val="21"/>
                <w:lang w:val="en-US" w:eastAsia="zh-CN"/>
              </w:rPr>
              <w:t>课程实践作业</w:t>
            </w:r>
          </w:p>
        </w:tc>
        <w:tc>
          <w:tcPr>
            <w:tcW w:w="3160" w:type="dxa"/>
            <w:vAlign w:val="center"/>
          </w:tcPr>
          <w:p w14:paraId="17C44032">
            <w:pPr>
              <w:spacing w:line="276" w:lineRule="auto"/>
              <w:jc w:val="left"/>
              <w:rPr>
                <w:rFonts w:ascii="宋体" w:hAnsi="宋体" w:eastAsia="宋体" w:cs="宋体"/>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bl>
    <w:p w14:paraId="708EC871">
      <w:pPr>
        <w:spacing w:line="360" w:lineRule="auto"/>
        <w:ind w:firstLine="551" w:firstLineChars="196"/>
        <w:jc w:val="left"/>
        <w:rPr>
          <w:rFonts w:ascii="宋体" w:hAnsi="宋体" w:eastAsia="宋体" w:cs="Times New Roman"/>
          <w:b/>
          <w:color w:val="000000"/>
          <w:sz w:val="28"/>
          <w:szCs w:val="28"/>
        </w:rPr>
      </w:pPr>
    </w:p>
    <w:p w14:paraId="369AC8C7">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25104EB5">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（一）持续改进</w:t>
      </w:r>
    </w:p>
    <w:p w14:paraId="7DA84600">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本课程根据学生作业、课堂讨论情况和学生、教学督导等方面</w:t>
      </w:r>
      <w:r>
        <w:rPr>
          <w:rFonts w:hint="eastAsia" w:ascii="宋体" w:hAnsi="宋体" w:eastAsia="宋体" w:cs="Times New Roman"/>
          <w:color w:val="000000"/>
          <w:sz w:val="24"/>
        </w:rPr>
        <w:t>的</w:t>
      </w:r>
      <w:r>
        <w:rPr>
          <w:rFonts w:ascii="宋体" w:hAnsi="宋体" w:eastAsia="宋体" w:cs="Times New Roman"/>
          <w:color w:val="000000"/>
          <w:sz w:val="24"/>
        </w:rPr>
        <w:t>反馈意见及时对教学中</w:t>
      </w:r>
      <w:r>
        <w:rPr>
          <w:rFonts w:hint="eastAsia" w:ascii="宋体" w:hAnsi="宋体" w:eastAsia="宋体" w:cs="Times New Roman"/>
          <w:color w:val="000000"/>
          <w:sz w:val="24"/>
        </w:rPr>
        <w:t>的</w:t>
      </w:r>
      <w:r>
        <w:rPr>
          <w:rFonts w:ascii="宋体" w:hAnsi="宋体" w:eastAsia="宋体" w:cs="Times New Roman"/>
          <w:color w:val="000000"/>
          <w:sz w:val="24"/>
        </w:rPr>
        <w:t>不足之处进行改进，并在下一轮课程教学中</w:t>
      </w:r>
      <w:r>
        <w:rPr>
          <w:rFonts w:hint="eastAsia" w:ascii="宋体" w:hAnsi="宋体" w:eastAsia="宋体" w:cs="Times New Roman"/>
          <w:color w:val="000000"/>
          <w:sz w:val="24"/>
        </w:rPr>
        <w:t>整改完善</w:t>
      </w:r>
      <w:r>
        <w:rPr>
          <w:rFonts w:ascii="宋体" w:hAnsi="宋体" w:eastAsia="宋体" w:cs="Times New Roman"/>
          <w:color w:val="000000"/>
          <w:sz w:val="24"/>
        </w:rPr>
        <w:t>，确保相应毕业要求指标点达成。</w:t>
      </w:r>
    </w:p>
    <w:p w14:paraId="3B925C72">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（二）参考书目及学习资料</w:t>
      </w:r>
    </w:p>
    <w:p w14:paraId="78F1515C">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1.教材</w:t>
      </w:r>
    </w:p>
    <w:p w14:paraId="5CCB2F5B">
      <w:pPr>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高林广.教师口语实训教程.北京：高等教育出版社，2016.</w:t>
      </w:r>
    </w:p>
    <w:p w14:paraId="79E4967D">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2.教学参考书</w:t>
      </w:r>
    </w:p>
    <w:p w14:paraId="516E30D8">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陈国安、王海燕.新编教师口语——表达与训练.上海：华东师范大学出版社，</w:t>
      </w:r>
      <w:r>
        <w:rPr>
          <w:rFonts w:ascii="宋体" w:hAnsi="宋体" w:eastAsia="宋体" w:cs="Times New Roman"/>
          <w:color w:val="000000"/>
          <w:sz w:val="24"/>
        </w:rPr>
        <w:t>2007</w:t>
      </w:r>
      <w:r>
        <w:rPr>
          <w:rFonts w:hint="eastAsia" w:ascii="宋体" w:hAnsi="宋体" w:eastAsia="宋体" w:cs="Times New Roman"/>
          <w:color w:val="000000"/>
          <w:sz w:val="24"/>
        </w:rPr>
        <w:t>.</w:t>
      </w:r>
    </w:p>
    <w:p w14:paraId="0B54BCFE">
      <w:pPr>
        <w:spacing w:line="360" w:lineRule="auto"/>
        <w:ind w:firstLine="480" w:firstLineChars="200"/>
        <w:rPr>
          <w:rFonts w:ascii="Book Antiqua" w:hAnsi="Book Antiqua" w:eastAsia="宋体" w:cs="Times New Roman"/>
          <w:sz w:val="24"/>
          <w:szCs w:val="24"/>
        </w:rPr>
      </w:pPr>
      <w:r>
        <w:rPr>
          <w:rFonts w:hint="eastAsia" w:ascii="Book Antiqua" w:hAnsi="Book Antiqua" w:eastAsia="宋体" w:cs="Times New Roman"/>
          <w:sz w:val="24"/>
          <w:szCs w:val="24"/>
        </w:rPr>
        <w:t>江苏省普通话水平测试研究组.普通话水平测试指导用书(最新版）.北京：中国和平音像电子出版社，2013.</w:t>
      </w:r>
    </w:p>
    <w:p w14:paraId="64DAAD57">
      <w:pPr>
        <w:autoSpaceDE w:val="0"/>
        <w:autoSpaceDN w:val="0"/>
        <w:adjustRightInd w:val="0"/>
        <w:spacing w:line="360" w:lineRule="auto"/>
        <w:ind w:firstLine="480" w:firstLineChars="200"/>
        <w:jc w:val="left"/>
        <w:rPr>
          <w:rFonts w:ascii="宋体" w:hAnsi="宋体" w:eastAsia="宋体" w:cs="Times New Roman"/>
          <w:kern w:val="0"/>
          <w:sz w:val="24"/>
          <w:szCs w:val="21"/>
        </w:rPr>
      </w:pPr>
    </w:p>
    <w:p w14:paraId="15666366">
      <w:pPr>
        <w:wordWrap w:val="0"/>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ascii="宋体" w:hAnsi="宋体" w:eastAsia="宋体" w:cs="Times New Roman"/>
          <w:kern w:val="0"/>
          <w:sz w:val="24"/>
          <w:szCs w:val="21"/>
        </w:rPr>
        <w:t>执笔人：</w:t>
      </w:r>
      <w:r>
        <w:rPr>
          <w:rFonts w:hint="eastAsia" w:ascii="宋体" w:hAnsi="宋体" w:eastAsia="宋体" w:cs="Times New Roman"/>
          <w:kern w:val="0"/>
          <w:sz w:val="24"/>
          <w:szCs w:val="21"/>
          <w:lang w:val="en-US" w:eastAsia="zh-CN"/>
        </w:rPr>
        <w:t>李森</w:t>
      </w:r>
      <w:r>
        <w:rPr>
          <w:rFonts w:hint="eastAsia" w:ascii="宋体" w:hAnsi="宋体" w:eastAsia="宋体" w:cs="Times New Roman"/>
          <w:kern w:val="0"/>
          <w:sz w:val="24"/>
          <w:szCs w:val="21"/>
        </w:rPr>
        <w:t xml:space="preserve">  </w:t>
      </w:r>
    </w:p>
    <w:p w14:paraId="1400006C">
      <w:pPr>
        <w:wordWrap w:val="0"/>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审定人：</w:t>
      </w:r>
      <w:r>
        <w:rPr>
          <w:rFonts w:hint="eastAsia" w:ascii="宋体" w:hAnsi="宋体" w:eastAsia="宋体" w:cs="Times New Roman"/>
          <w:kern w:val="0"/>
          <w:sz w:val="24"/>
          <w:szCs w:val="21"/>
          <w:lang w:val="en-US" w:eastAsia="zh-CN"/>
        </w:rPr>
        <w:t>钱峰</w:t>
      </w:r>
      <w:r>
        <w:rPr>
          <w:rFonts w:hint="eastAsia" w:ascii="宋体" w:hAnsi="宋体" w:eastAsia="宋体" w:cs="Times New Roman"/>
          <w:kern w:val="0"/>
          <w:sz w:val="24"/>
          <w:szCs w:val="21"/>
        </w:rPr>
        <w:t xml:space="preserve">  </w:t>
      </w:r>
    </w:p>
    <w:p w14:paraId="5F1CE3D5">
      <w:pPr>
        <w:wordWrap w:val="0"/>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审批人：</w:t>
      </w:r>
      <w:r>
        <w:rPr>
          <w:rFonts w:hint="eastAsia" w:ascii="宋体" w:hAnsi="宋体" w:eastAsia="宋体" w:cs="Times New Roman"/>
          <w:kern w:val="0"/>
          <w:sz w:val="24"/>
          <w:szCs w:val="21"/>
          <w:lang w:val="en-US" w:eastAsia="zh-CN"/>
        </w:rPr>
        <w:t>王献东</w:t>
      </w:r>
      <w:r>
        <w:rPr>
          <w:rFonts w:hint="eastAsia" w:ascii="宋体" w:hAnsi="宋体" w:eastAsia="宋体" w:cs="Times New Roman"/>
          <w:kern w:val="0"/>
          <w:sz w:val="24"/>
          <w:szCs w:val="21"/>
        </w:rPr>
        <w:t xml:space="preserve">  </w:t>
      </w:r>
    </w:p>
    <w:p w14:paraId="725D4FD9">
      <w:pPr>
        <w:autoSpaceDE w:val="0"/>
        <w:autoSpaceDN w:val="0"/>
        <w:adjustRightInd w:val="0"/>
        <w:spacing w:line="360" w:lineRule="auto"/>
        <w:jc w:val="right"/>
        <w:rPr>
          <w:rFonts w:ascii="Calibri" w:hAnsi="Calibri" w:eastAsia="宋体" w:cs="Times New Roman"/>
          <w:kern w:val="0"/>
          <w:sz w:val="24"/>
          <w:szCs w:val="21"/>
        </w:rPr>
      </w:pPr>
      <w:r>
        <w:rPr>
          <w:rFonts w:hint="eastAsia" w:ascii="Calibri" w:hAnsi="Calibri" w:eastAsia="宋体" w:cs="Times New Roman"/>
          <w:kern w:val="0"/>
          <w:sz w:val="24"/>
          <w:szCs w:val="21"/>
        </w:rPr>
        <w:t>批准时间：202</w:t>
      </w:r>
      <w:r>
        <w:rPr>
          <w:rFonts w:hint="eastAsia" w:ascii="Calibri" w:hAnsi="Calibri" w:eastAsia="宋体" w:cs="Times New Roman"/>
          <w:kern w:val="0"/>
          <w:sz w:val="24"/>
          <w:szCs w:val="21"/>
          <w:lang w:val="en-US" w:eastAsia="zh-CN"/>
        </w:rPr>
        <w:t>4</w:t>
      </w:r>
      <w:r>
        <w:rPr>
          <w:rFonts w:hint="eastAsia" w:ascii="Calibri" w:hAnsi="Calibri" w:eastAsia="宋体" w:cs="Times New Roman"/>
          <w:kern w:val="0"/>
          <w:sz w:val="24"/>
          <w:szCs w:val="21"/>
        </w:rPr>
        <w:t>年8月30日</w:t>
      </w:r>
      <w:r>
        <w:rPr>
          <w:rFonts w:ascii="Calibri" w:hAnsi="Calibri" w:eastAsia="宋体" w:cs="Times New Roman"/>
          <w:kern w:val="0"/>
          <w:sz w:val="24"/>
          <w:szCs w:val="21"/>
        </w:rPr>
        <w:t xml:space="preserve"> </w:t>
      </w:r>
    </w:p>
    <w:p w14:paraId="6940476D"/>
    <w:p w14:paraId="437F6EC1"/>
    <w:p w14:paraId="082F4312">
      <w:pPr>
        <w:rPr>
          <w:rFonts w:hint="eastAsia" w:ascii="等线" w:hAnsi="等线" w:eastAsia="等线" w:cs="等线"/>
          <w:bCs/>
          <w:szCs w:val="44"/>
        </w:rPr>
      </w:pPr>
      <w:r>
        <w:rPr>
          <w:rFonts w:hint="eastAsia" w:ascii="等线" w:hAnsi="等线" w:eastAsia="等线" w:cs="等线"/>
          <w:bCs/>
          <w:szCs w:val="44"/>
        </w:rPr>
        <w:br w:type="page"/>
      </w:r>
    </w:p>
    <w:p w14:paraId="2ECD7FDE">
      <w:pPr>
        <w:pStyle w:val="2"/>
      </w:pPr>
      <w:bookmarkStart w:id="126" w:name="_Toc26049"/>
      <w:r>
        <w:rPr>
          <w:rFonts w:hint="eastAsia"/>
        </w:rPr>
        <w:t>《教育统计与测量》课程教学大纲</w:t>
      </w:r>
      <w:bookmarkEnd w:id="125"/>
      <w:bookmarkEnd w:id="126"/>
    </w:p>
    <w:p w14:paraId="1CAF42B0">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Educational Statistics and Measurement</w:t>
      </w:r>
      <w:r>
        <w:rPr>
          <w:rFonts w:ascii="Times New Roman" w:hAnsi="Times New Roman" w:eastAsia="宋体" w:cs="Times New Roman"/>
          <w:b/>
          <w:bCs/>
          <w:sz w:val="28"/>
          <w:szCs w:val="28"/>
        </w:rPr>
        <w:t>）</w:t>
      </w:r>
    </w:p>
    <w:p w14:paraId="0A9E2804">
      <w:pPr>
        <w:spacing w:line="360" w:lineRule="auto"/>
        <w:jc w:val="center"/>
        <w:rPr>
          <w:rFonts w:ascii="Times New Roman" w:hAnsi="Times New Roman" w:eastAsia="宋体" w:cs="Times New Roman"/>
          <w:bCs/>
          <w:sz w:val="30"/>
          <w:szCs w:val="30"/>
        </w:rPr>
      </w:pPr>
    </w:p>
    <w:p w14:paraId="7071DF4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课程名称：教育统计与测量</w:t>
      </w:r>
    </w:p>
    <w:p w14:paraId="5B8F2E4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课程代码：2401015</w:t>
      </w:r>
    </w:p>
    <w:p w14:paraId="1EEF86A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660D903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3162FFED">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3E00EE6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44C7C8CE">
      <w:pPr>
        <w:spacing w:line="360" w:lineRule="auto"/>
        <w:jc w:val="left"/>
        <w:rPr>
          <w:rFonts w:ascii="Times New Roman" w:hAnsi="Times New Roman" w:eastAsia="宋体" w:cs="Times New Roman"/>
          <w:b/>
          <w:sz w:val="24"/>
        </w:rPr>
      </w:pPr>
    </w:p>
    <w:p w14:paraId="3F6F4E51">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2C1C5E35">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选修课。通过本课程的学习，加强学生对教育统计理论的认识；培养学生解决各种教育统计问题的能力；提高学生教育科研的基本能力；培养学生创新精神和实践能力，为后续《教育科学研究方法》等课程和毕业论文等实践环节以及未来分析与解决教育实际问题奠定基础。</w:t>
      </w:r>
    </w:p>
    <w:p w14:paraId="5756D67E">
      <w:pPr>
        <w:spacing w:line="360" w:lineRule="auto"/>
        <w:ind w:firstLine="411" w:firstLineChars="196"/>
        <w:rPr>
          <w:rFonts w:ascii="Times New Roman" w:hAnsi="Times New Roman" w:eastAsia="宋体" w:cs="Times New Roman"/>
          <w:szCs w:val="21"/>
        </w:rPr>
      </w:pPr>
    </w:p>
    <w:p w14:paraId="396F854D">
      <w:pPr>
        <w:spacing w:line="360" w:lineRule="auto"/>
        <w:rPr>
          <w:rFonts w:hint="eastAsia" w:ascii="宋体" w:hAnsi="宋体" w:eastAsia="宋体" w:cs="Times New Roman"/>
          <w:b/>
          <w:sz w:val="24"/>
        </w:rPr>
      </w:pPr>
      <w:r>
        <w:rPr>
          <w:rFonts w:hint="eastAsia" w:ascii="宋体" w:hAnsi="宋体" w:eastAsia="宋体" w:cs="Times New Roman"/>
          <w:b/>
          <w:sz w:val="24"/>
        </w:rPr>
        <w:t>二</w:t>
      </w:r>
      <w:r>
        <w:rPr>
          <w:rFonts w:ascii="宋体" w:hAnsi="宋体" w:eastAsia="宋体" w:cs="Times New Roman"/>
          <w:b/>
          <w:sz w:val="24"/>
        </w:rPr>
        <w:t>、课程目标</w:t>
      </w:r>
    </w:p>
    <w:p w14:paraId="0659B989">
      <w:pPr>
        <w:spacing w:line="360" w:lineRule="auto"/>
        <w:ind w:firstLine="442" w:firstLineChars="200"/>
        <w:rPr>
          <w:rFonts w:hint="eastAsia" w:ascii="宋体" w:hAnsi="宋体" w:eastAsia="宋体" w:cs="Times New Roman"/>
          <w:b/>
          <w:sz w:val="22"/>
          <w:szCs w:val="22"/>
        </w:rPr>
      </w:pPr>
      <w:r>
        <w:rPr>
          <w:rFonts w:hint="eastAsia" w:ascii="宋体" w:hAnsi="宋体" w:eastAsia="宋体" w:cs="Times New Roman"/>
          <w:b/>
          <w:sz w:val="22"/>
          <w:szCs w:val="22"/>
        </w:rPr>
        <w:t>（一）课程具体目标</w:t>
      </w:r>
    </w:p>
    <w:p w14:paraId="3B2F7916">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bCs/>
          <w:szCs w:val="21"/>
        </w:rPr>
        <w:t>形成自然科学的思维品质</w:t>
      </w:r>
      <w:r>
        <w:rPr>
          <w:rFonts w:hint="eastAsia" w:ascii="宋体" w:hAnsi="宋体" w:eastAsia="宋体" w:cs="Times New Roman"/>
          <w:bCs/>
          <w:kern w:val="0"/>
          <w:szCs w:val="20"/>
        </w:rPr>
        <w:t>；</w:t>
      </w:r>
    </w:p>
    <w:p w14:paraId="2745234D">
      <w:pPr>
        <w:spacing w:line="360" w:lineRule="auto"/>
        <w:ind w:firstLine="422" w:firstLineChars="200"/>
        <w:rPr>
          <w:rFonts w:hint="eastAsia" w:ascii="宋体" w:hAnsi="宋体" w:eastAsia="宋体" w:cs="Times New Roman"/>
          <w:kern w:val="0"/>
          <w:szCs w:val="20"/>
        </w:rPr>
      </w:pPr>
      <w:r>
        <w:rPr>
          <w:rFonts w:hint="eastAsia" w:ascii="Times New Roman" w:hAnsi="Times New Roman" w:eastAsia="宋体" w:cs="Times New Roman"/>
          <w:b/>
          <w:szCs w:val="21"/>
        </w:rPr>
        <w:t xml:space="preserve">目标2. </w:t>
      </w:r>
      <w:r>
        <w:rPr>
          <w:rFonts w:hint="eastAsia" w:ascii="宋体" w:hAnsi="宋体" w:eastAsia="宋体" w:cs="Times New Roman"/>
          <w:kern w:val="0"/>
          <w:szCs w:val="20"/>
        </w:rPr>
        <w:t>能运用教育统计分析和解决小学教育实践中的问题，形成一定的教学研究能力；</w:t>
      </w:r>
    </w:p>
    <w:p w14:paraId="22680070">
      <w:pPr>
        <w:spacing w:line="360" w:lineRule="auto"/>
        <w:ind w:firstLine="422" w:firstLineChars="200"/>
        <w:rPr>
          <w:rFonts w:hint="eastAsia" w:ascii="宋体" w:hAnsi="宋体" w:eastAsia="宋体" w:cs="Times New Roman"/>
          <w:kern w:val="0"/>
          <w:szCs w:val="20"/>
        </w:rPr>
      </w:pPr>
      <w:r>
        <w:rPr>
          <w:rFonts w:hint="eastAsia" w:ascii="Times New Roman" w:hAnsi="Times New Roman" w:eastAsia="宋体" w:cs="Times New Roman"/>
          <w:b/>
          <w:szCs w:val="21"/>
        </w:rPr>
        <w:t xml:space="preserve">目标2. </w:t>
      </w:r>
      <w:r>
        <w:rPr>
          <w:rFonts w:hint="eastAsia" w:ascii="宋体" w:hAnsi="宋体" w:eastAsia="宋体" w:cs="Times New Roman"/>
          <w:kern w:val="0"/>
          <w:szCs w:val="20"/>
        </w:rPr>
        <w:t>能通过教育统计与测量的方法，形成一定的教育反思能力与意识。</w:t>
      </w:r>
    </w:p>
    <w:p w14:paraId="0AE59CC3">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（二）课程目标与专业毕业要求的关系</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831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5BB90A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27A9FA4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3EF3C0A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F95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0F4E7031">
            <w:pPr>
              <w:spacing w:line="360" w:lineRule="auto"/>
              <w:jc w:val="left"/>
              <w:rPr>
                <w:rFonts w:hint="eastAsia" w:ascii="宋体" w:hAnsi="宋体" w:eastAsia="宋体" w:cs="Times New Roman"/>
                <w:color w:val="000000"/>
                <w:spacing w:val="-6"/>
                <w:szCs w:val="21"/>
              </w:rPr>
            </w:pPr>
            <w:r>
              <w:rPr>
                <w:rFonts w:hint="eastAsia" w:ascii="宋体" w:hAnsi="宋体" w:eastAsia="宋体" w:cs="Times New Roman"/>
                <w:color w:val="000000"/>
                <w:spacing w:val="-6"/>
                <w:szCs w:val="21"/>
              </w:rPr>
              <w:t>毕业要求3 学科素养</w:t>
            </w:r>
          </w:p>
        </w:tc>
        <w:tc>
          <w:tcPr>
            <w:tcW w:w="5688" w:type="dxa"/>
            <w:vAlign w:val="center"/>
          </w:tcPr>
          <w:p w14:paraId="4F32CB89">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指标点3-1：【通识知识广博】具有小学教育本科专业相应的自然科学和人文社会科学知识素养。</w:t>
            </w:r>
          </w:p>
        </w:tc>
        <w:tc>
          <w:tcPr>
            <w:tcW w:w="1191" w:type="dxa"/>
            <w:shd w:val="clear" w:color="auto" w:fill="auto"/>
            <w:vAlign w:val="center"/>
          </w:tcPr>
          <w:p w14:paraId="6AB72866">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r>
      <w:tr w14:paraId="23AE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7FAF57FC">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pacing w:val="-6"/>
                <w:szCs w:val="21"/>
              </w:rPr>
              <w:t>毕业要求4 教学能力</w:t>
            </w:r>
          </w:p>
        </w:tc>
        <w:tc>
          <w:tcPr>
            <w:tcW w:w="5688" w:type="dxa"/>
            <w:vAlign w:val="center"/>
          </w:tcPr>
          <w:p w14:paraId="04CF53BD">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指标点4-4：【具备教学研究能力】掌握教育研究的基本方法，</w:t>
            </w:r>
          </w:p>
          <w:p w14:paraId="20CC306F">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在教育教学实践中，结合小学教育教学实践进行研究，具有一定的教学研究能力。</w:t>
            </w:r>
          </w:p>
        </w:tc>
        <w:tc>
          <w:tcPr>
            <w:tcW w:w="1191" w:type="dxa"/>
            <w:shd w:val="clear" w:color="auto" w:fill="auto"/>
            <w:vAlign w:val="center"/>
          </w:tcPr>
          <w:p w14:paraId="546AE3B2">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r>
      <w:tr w14:paraId="432F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6643E34">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pacing w:val="-6"/>
                <w:szCs w:val="21"/>
              </w:rPr>
              <w:t>毕业要求7 学会反思</w:t>
            </w:r>
          </w:p>
        </w:tc>
        <w:tc>
          <w:tcPr>
            <w:tcW w:w="5688" w:type="dxa"/>
            <w:vAlign w:val="center"/>
          </w:tcPr>
          <w:p w14:paraId="2EB34182">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思考和见解。</w:t>
            </w:r>
          </w:p>
        </w:tc>
        <w:tc>
          <w:tcPr>
            <w:tcW w:w="1191" w:type="dxa"/>
            <w:vAlign w:val="center"/>
          </w:tcPr>
          <w:p w14:paraId="2DE4F24B">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课程目标3</w:t>
            </w:r>
          </w:p>
        </w:tc>
      </w:tr>
    </w:tbl>
    <w:p w14:paraId="1FCF66E5">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2AB2E8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社会统计软件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2C254BAF">
      <w:pPr>
        <w:spacing w:line="360" w:lineRule="auto"/>
        <w:ind w:firstLine="411" w:firstLineChars="196"/>
        <w:jc w:val="left"/>
        <w:rPr>
          <w:rFonts w:hint="eastAsia" w:ascii="宋体" w:hAnsi="宋体" w:eastAsia="宋体" w:cs="Times New Roman"/>
          <w:color w:val="000000"/>
          <w:szCs w:val="21"/>
        </w:rPr>
      </w:pPr>
    </w:p>
    <w:p w14:paraId="2DD5539D">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518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BF57C1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43A7225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7DDDAAF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BF5930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5715B18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7648874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577A4C3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09CBA8D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4201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D85D3B">
            <w:pPr>
              <w:numPr>
                <w:ilvl w:val="0"/>
                <w:numId w:val="44"/>
              </w:num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绪论</w:t>
            </w:r>
          </w:p>
        </w:tc>
        <w:tc>
          <w:tcPr>
            <w:tcW w:w="1701" w:type="dxa"/>
            <w:vAlign w:val="center"/>
          </w:tcPr>
          <w:p w14:paraId="127D45C0">
            <w:pPr>
              <w:numPr>
                <w:ilvl w:val="0"/>
                <w:numId w:val="45"/>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教育统计与测量的意义、特点与内容</w:t>
            </w:r>
          </w:p>
          <w:p w14:paraId="6AE99BC2">
            <w:pPr>
              <w:numPr>
                <w:ilvl w:val="0"/>
                <w:numId w:val="45"/>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教育统计与测量的基本概念‌‌</w:t>
            </w:r>
          </w:p>
        </w:tc>
        <w:tc>
          <w:tcPr>
            <w:tcW w:w="1134" w:type="dxa"/>
            <w:vAlign w:val="center"/>
          </w:tcPr>
          <w:p w14:paraId="1F09467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41E1B0D4">
            <w:pPr>
              <w:numPr>
                <w:ilvl w:val="0"/>
                <w:numId w:val="46"/>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认识教育统计与测量的意义，形成自觉学习的信箱；</w:t>
            </w:r>
          </w:p>
          <w:p w14:paraId="0A498E2F">
            <w:pPr>
              <w:numPr>
                <w:ilvl w:val="0"/>
                <w:numId w:val="46"/>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把握教育统计与测量的基本内容；</w:t>
            </w:r>
          </w:p>
          <w:p w14:paraId="42E05A6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（2）掌握教育统计与测量的基本概念</w:t>
            </w:r>
          </w:p>
          <w:p w14:paraId="33F8ACCF">
            <w:pPr>
              <w:spacing w:line="269" w:lineRule="auto"/>
              <w:jc w:val="left"/>
              <w:rPr>
                <w:rFonts w:hint="eastAsia" w:ascii="宋体" w:hAnsi="宋体" w:eastAsia="宋体" w:cs="Times New Roman"/>
                <w:color w:val="000000"/>
                <w:szCs w:val="21"/>
              </w:rPr>
            </w:pPr>
          </w:p>
        </w:tc>
        <w:tc>
          <w:tcPr>
            <w:tcW w:w="1560" w:type="dxa"/>
            <w:vAlign w:val="center"/>
          </w:tcPr>
          <w:p w14:paraId="660A4C0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4147A2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2.多媒体教学3.课堂练习</w:t>
            </w:r>
          </w:p>
          <w:p w14:paraId="109FAF9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59202A3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5A2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AB54FF9">
            <w:pPr>
              <w:spacing w:line="264" w:lineRule="auto"/>
              <w:jc w:val="center"/>
              <w:rPr>
                <w:rFonts w:hint="eastAsia" w:ascii="宋体" w:hAnsi="宋体" w:eastAsia="宋体" w:cs="Times New Roman"/>
                <w:color w:val="000000"/>
                <w:szCs w:val="21"/>
              </w:rPr>
            </w:pPr>
          </w:p>
        </w:tc>
        <w:tc>
          <w:tcPr>
            <w:tcW w:w="8093" w:type="dxa"/>
            <w:gridSpan w:val="5"/>
            <w:vAlign w:val="center"/>
          </w:tcPr>
          <w:p w14:paraId="28C9ED55">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尊重科学技术，形成初步的科学技术应用思想。</w:t>
            </w:r>
          </w:p>
        </w:tc>
      </w:tr>
      <w:tr w14:paraId="49A7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B44EE2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2.描述性分析</w:t>
            </w:r>
          </w:p>
        </w:tc>
        <w:tc>
          <w:tcPr>
            <w:tcW w:w="1701" w:type="dxa"/>
            <w:vAlign w:val="center"/>
          </w:tcPr>
          <w:p w14:paraId="0E70F97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（1）频数统计（2）描述统计</w:t>
            </w:r>
          </w:p>
          <w:p w14:paraId="1F1F96B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（3）统计图表</w:t>
            </w:r>
          </w:p>
        </w:tc>
        <w:tc>
          <w:tcPr>
            <w:tcW w:w="1134" w:type="dxa"/>
            <w:vAlign w:val="center"/>
          </w:tcPr>
          <w:p w14:paraId="19E5925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172C05B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（1）把握各类数据的频数分析的统计条件；</w:t>
            </w:r>
          </w:p>
          <w:p w14:paraId="0EE4563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（2）认识集中量数与差异量数的类别及使用条件；</w:t>
            </w:r>
          </w:p>
          <w:p w14:paraId="68CB29F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（3）把握各类统计图表的使用条件与基本特征</w:t>
            </w:r>
          </w:p>
        </w:tc>
        <w:tc>
          <w:tcPr>
            <w:tcW w:w="1560" w:type="dxa"/>
            <w:vAlign w:val="center"/>
          </w:tcPr>
          <w:p w14:paraId="5515708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28A9A5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2.多媒体教学3.课堂练习</w:t>
            </w:r>
          </w:p>
          <w:p w14:paraId="0A4F2D3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1A870A6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26B7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1381F9E">
            <w:pPr>
              <w:spacing w:line="264" w:lineRule="auto"/>
              <w:jc w:val="center"/>
              <w:rPr>
                <w:rFonts w:hint="eastAsia" w:ascii="宋体" w:hAnsi="宋体" w:eastAsia="宋体" w:cs="Times New Roman"/>
                <w:color w:val="000000"/>
                <w:szCs w:val="21"/>
              </w:rPr>
            </w:pPr>
          </w:p>
        </w:tc>
        <w:tc>
          <w:tcPr>
            <w:tcW w:w="8093" w:type="dxa"/>
            <w:gridSpan w:val="5"/>
            <w:vAlign w:val="center"/>
          </w:tcPr>
          <w:p w14:paraId="2121BF60">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认识到人类社会中的不同类型的数据有不同的分布特点；掌握大千世界中一些看似杂乱的数据背后的规律。</w:t>
            </w:r>
          </w:p>
        </w:tc>
      </w:tr>
      <w:tr w14:paraId="6A0F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1205" w:type="dxa"/>
            <w:vAlign w:val="center"/>
          </w:tcPr>
          <w:p w14:paraId="6A4C659F">
            <w:pPr>
              <w:spacing w:line="264" w:lineRule="auto"/>
              <w:rPr>
                <w:rFonts w:hint="eastAsia" w:ascii="宋体" w:hAnsi="宋体" w:eastAsia="宋体" w:cs="Times New Roman"/>
                <w:color w:val="000000"/>
                <w:szCs w:val="21"/>
              </w:rPr>
            </w:pPr>
            <w:r>
              <w:rPr>
                <w:rFonts w:hint="eastAsia" w:ascii="宋体" w:hAnsi="宋体" w:eastAsia="宋体" w:cs="Times New Roman"/>
                <w:color w:val="000000"/>
                <w:szCs w:val="21"/>
              </w:rPr>
              <w:t>3.概率与概率分布</w:t>
            </w:r>
          </w:p>
        </w:tc>
        <w:tc>
          <w:tcPr>
            <w:tcW w:w="1701" w:type="dxa"/>
            <w:vAlign w:val="center"/>
          </w:tcPr>
          <w:p w14:paraId="0FE3696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（1）概率</w:t>
            </w:r>
          </w:p>
          <w:p w14:paraId="224EF8F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（2）概率分布</w:t>
            </w:r>
          </w:p>
        </w:tc>
        <w:tc>
          <w:tcPr>
            <w:tcW w:w="1134" w:type="dxa"/>
            <w:vAlign w:val="center"/>
          </w:tcPr>
          <w:p w14:paraId="4AB3160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36181CE">
            <w:pPr>
              <w:numPr>
                <w:ilvl w:val="0"/>
                <w:numId w:val="47"/>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理解与把握概率的概念</w:t>
            </w:r>
          </w:p>
          <w:p w14:paraId="5EBDA58F">
            <w:pPr>
              <w:numPr>
                <w:ilvl w:val="0"/>
                <w:numId w:val="47"/>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把握各类概率分布的特征</w:t>
            </w:r>
          </w:p>
        </w:tc>
        <w:tc>
          <w:tcPr>
            <w:tcW w:w="1560" w:type="dxa"/>
            <w:vAlign w:val="center"/>
          </w:tcPr>
          <w:p w14:paraId="2C85441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0F927B8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2.多媒体教学3.课堂练习</w:t>
            </w:r>
          </w:p>
          <w:p w14:paraId="0199BAF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01A6762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192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2036263">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4.参数</w:t>
            </w:r>
          </w:p>
          <w:p w14:paraId="56E2307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检验</w:t>
            </w:r>
          </w:p>
        </w:tc>
        <w:tc>
          <w:tcPr>
            <w:tcW w:w="1701" w:type="dxa"/>
            <w:vAlign w:val="center"/>
          </w:tcPr>
          <w:p w14:paraId="3E6AA13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（1）单样本t检验</w:t>
            </w:r>
          </w:p>
          <w:p w14:paraId="1BB7DD9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（2）独立样本t检验</w:t>
            </w:r>
          </w:p>
          <w:p w14:paraId="77BC306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（3）相关样本t检验</w:t>
            </w:r>
          </w:p>
        </w:tc>
        <w:tc>
          <w:tcPr>
            <w:tcW w:w="1134" w:type="dxa"/>
            <w:vAlign w:val="center"/>
          </w:tcPr>
          <w:p w14:paraId="0999139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091689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（1）把握单样本t检验的适用条件；</w:t>
            </w:r>
          </w:p>
          <w:p w14:paraId="75662F6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（2）把握独立样本t检验的适用条件；</w:t>
            </w:r>
          </w:p>
          <w:p w14:paraId="6C36B99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（3）把握相关样本t检验的适用条件</w:t>
            </w:r>
            <w:r>
              <w:rPr>
                <w:rFonts w:ascii="宋体" w:hAnsi="宋体" w:eastAsia="宋体" w:cs="Times New Roman"/>
                <w:color w:val="000000"/>
                <w:szCs w:val="21"/>
              </w:rPr>
              <w:t>。</w:t>
            </w:r>
          </w:p>
        </w:tc>
        <w:tc>
          <w:tcPr>
            <w:tcW w:w="1560" w:type="dxa"/>
            <w:vAlign w:val="center"/>
          </w:tcPr>
          <w:p w14:paraId="0A7A06CF">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663F4EA">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43B773F3">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6FE7FAE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60D5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9331532">
            <w:pPr>
              <w:spacing w:line="264" w:lineRule="auto"/>
              <w:jc w:val="center"/>
              <w:rPr>
                <w:rFonts w:hint="eastAsia" w:ascii="宋体" w:hAnsi="宋体" w:eastAsia="宋体" w:cs="Times New Roman"/>
                <w:color w:val="000000"/>
                <w:szCs w:val="21"/>
              </w:rPr>
            </w:pPr>
          </w:p>
        </w:tc>
        <w:tc>
          <w:tcPr>
            <w:tcW w:w="8093" w:type="dxa"/>
            <w:gridSpan w:val="5"/>
            <w:vAlign w:val="center"/>
          </w:tcPr>
          <w:p w14:paraId="17C0F722">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了解人类社会同一群体所简化为数据背后的内在关联；学会用科学的检验方法去认识教育现象与社会现象。</w:t>
            </w:r>
          </w:p>
        </w:tc>
      </w:tr>
      <w:tr w14:paraId="373A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0C746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5.方差分析</w:t>
            </w:r>
          </w:p>
        </w:tc>
        <w:tc>
          <w:tcPr>
            <w:tcW w:w="1701" w:type="dxa"/>
            <w:vAlign w:val="center"/>
          </w:tcPr>
          <w:p w14:paraId="04DA0B8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（1）实验设计方式</w:t>
            </w:r>
          </w:p>
          <w:p w14:paraId="3BF9F75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（2）单因素完全随机设计的方差分析</w:t>
            </w:r>
          </w:p>
          <w:p w14:paraId="7F938E2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（3）单因素重复测量设计的方差分析</w:t>
            </w:r>
          </w:p>
          <w:p w14:paraId="5AC0CF5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（4）两因素完全随机设计的方差分析</w:t>
            </w:r>
          </w:p>
          <w:p w14:paraId="31E056B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（5）两因素混合设计的方差分析</w:t>
            </w:r>
          </w:p>
        </w:tc>
        <w:tc>
          <w:tcPr>
            <w:tcW w:w="1134" w:type="dxa"/>
            <w:vAlign w:val="center"/>
          </w:tcPr>
          <w:p w14:paraId="066A7C5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E31371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（1）理解并掌握各种实验设计方式；</w:t>
            </w:r>
          </w:p>
          <w:p w14:paraId="011ABE7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（2）把</w:t>
            </w:r>
            <w:r>
              <w:rPr>
                <w:rFonts w:ascii="宋体" w:hAnsi="宋体" w:eastAsia="宋体" w:cs="Times New Roman"/>
                <w:color w:val="000000"/>
                <w:szCs w:val="21"/>
              </w:rPr>
              <w:t>解</w:t>
            </w:r>
            <w:r>
              <w:rPr>
                <w:rFonts w:hint="eastAsia" w:ascii="宋体" w:hAnsi="宋体" w:eastAsia="宋体" w:cs="Times New Roman"/>
                <w:color w:val="000000"/>
                <w:szCs w:val="21"/>
              </w:rPr>
              <w:t>各类实验设计的适用条件。</w:t>
            </w:r>
          </w:p>
        </w:tc>
        <w:tc>
          <w:tcPr>
            <w:tcW w:w="1560" w:type="dxa"/>
            <w:vAlign w:val="center"/>
          </w:tcPr>
          <w:p w14:paraId="7A0926D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C247AA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2E82F911">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7199E02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402F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34A018B">
            <w:pPr>
              <w:spacing w:line="276" w:lineRule="auto"/>
              <w:jc w:val="center"/>
              <w:rPr>
                <w:rFonts w:hint="eastAsia" w:ascii="宋体" w:hAnsi="宋体" w:eastAsia="宋体" w:cs="Times New Roman"/>
                <w:color w:val="000000"/>
                <w:szCs w:val="21"/>
              </w:rPr>
            </w:pPr>
          </w:p>
        </w:tc>
        <w:tc>
          <w:tcPr>
            <w:tcW w:w="8093" w:type="dxa"/>
            <w:gridSpan w:val="5"/>
            <w:vAlign w:val="center"/>
          </w:tcPr>
          <w:p w14:paraId="592A208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认识到任何一种教育结果的发生之前，有众多不同的因素的影响；能用统计学的语言描述教育现象。</w:t>
            </w:r>
          </w:p>
        </w:tc>
      </w:tr>
      <w:tr w14:paraId="57E6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D37007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6.相关分析</w:t>
            </w:r>
          </w:p>
        </w:tc>
        <w:tc>
          <w:tcPr>
            <w:tcW w:w="1701" w:type="dxa"/>
            <w:vAlign w:val="center"/>
          </w:tcPr>
          <w:p w14:paraId="72194DA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（1）积差相关（2）等级相关</w:t>
            </w:r>
          </w:p>
          <w:p w14:paraId="4FC53F6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（3）品质相关</w:t>
            </w:r>
          </w:p>
          <w:p w14:paraId="5D1E721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（4）质与量相关</w:t>
            </w:r>
          </w:p>
          <w:p w14:paraId="740BB91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（5）偏相关</w:t>
            </w:r>
          </w:p>
        </w:tc>
        <w:tc>
          <w:tcPr>
            <w:tcW w:w="1134" w:type="dxa"/>
            <w:vAlign w:val="center"/>
          </w:tcPr>
          <w:p w14:paraId="00C988C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4E91A5F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掌握</w:t>
            </w:r>
            <w:r>
              <w:rPr>
                <w:rFonts w:hint="eastAsia" w:ascii="宋体" w:hAnsi="宋体" w:eastAsia="宋体" w:cs="Times New Roman"/>
                <w:color w:val="000000"/>
                <w:szCs w:val="21"/>
              </w:rPr>
              <w:t>相关的</w:t>
            </w:r>
            <w:r>
              <w:rPr>
                <w:rFonts w:ascii="宋体" w:hAnsi="宋体" w:eastAsia="宋体" w:cs="Times New Roman"/>
                <w:color w:val="000000"/>
                <w:szCs w:val="21"/>
              </w:rPr>
              <w:t>基本概念</w:t>
            </w:r>
            <w:r>
              <w:rPr>
                <w:rFonts w:hint="eastAsia" w:ascii="宋体" w:hAnsi="宋体" w:eastAsia="宋体" w:cs="Times New Roman"/>
                <w:color w:val="000000"/>
                <w:szCs w:val="21"/>
              </w:rPr>
              <w:t>和类型；</w:t>
            </w:r>
          </w:p>
          <w:p w14:paraId="4497F25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（2）把</w:t>
            </w:r>
            <w:r>
              <w:rPr>
                <w:rFonts w:ascii="宋体" w:hAnsi="宋体" w:eastAsia="宋体" w:cs="Times New Roman"/>
                <w:color w:val="000000"/>
                <w:szCs w:val="21"/>
              </w:rPr>
              <w:t>解</w:t>
            </w:r>
            <w:r>
              <w:rPr>
                <w:rFonts w:hint="eastAsia" w:ascii="宋体" w:hAnsi="宋体" w:eastAsia="宋体" w:cs="Times New Roman"/>
                <w:color w:val="000000"/>
                <w:szCs w:val="21"/>
              </w:rPr>
              <w:t>各类相关的适用条件。</w:t>
            </w:r>
          </w:p>
        </w:tc>
        <w:tc>
          <w:tcPr>
            <w:tcW w:w="1560" w:type="dxa"/>
            <w:vAlign w:val="center"/>
          </w:tcPr>
          <w:p w14:paraId="1439704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A94A70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33D9D9C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785179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64F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AE09F05">
            <w:pPr>
              <w:spacing w:line="276" w:lineRule="auto"/>
              <w:jc w:val="center"/>
              <w:rPr>
                <w:rFonts w:hint="eastAsia" w:ascii="宋体" w:hAnsi="宋体" w:eastAsia="宋体" w:cs="Times New Roman"/>
                <w:color w:val="000000"/>
                <w:szCs w:val="21"/>
              </w:rPr>
            </w:pPr>
          </w:p>
        </w:tc>
        <w:tc>
          <w:tcPr>
            <w:tcW w:w="8093" w:type="dxa"/>
            <w:gridSpan w:val="5"/>
            <w:vAlign w:val="center"/>
          </w:tcPr>
          <w:p w14:paraId="2641686C">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了解并学习历史上的统计学家对认识世界的那种孜孜以求的精神；掌握主要的相关分析手段背后所反映的社会现象之间的关系。</w:t>
            </w:r>
          </w:p>
        </w:tc>
      </w:tr>
      <w:tr w14:paraId="0D5F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B15459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7.回归分析</w:t>
            </w:r>
          </w:p>
        </w:tc>
        <w:tc>
          <w:tcPr>
            <w:tcW w:w="1701" w:type="dxa"/>
            <w:vAlign w:val="center"/>
          </w:tcPr>
          <w:p w14:paraId="6A1C7AB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（1）回归分析基本原理</w:t>
            </w:r>
          </w:p>
          <w:p w14:paraId="619CA0C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（2）各类回归分析</w:t>
            </w:r>
          </w:p>
        </w:tc>
        <w:tc>
          <w:tcPr>
            <w:tcW w:w="1134" w:type="dxa"/>
            <w:vAlign w:val="center"/>
          </w:tcPr>
          <w:p w14:paraId="50D124D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027F6CE8">
            <w:pPr>
              <w:numPr>
                <w:ilvl w:val="0"/>
                <w:numId w:val="48"/>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把握回归分析的基本原理</w:t>
            </w:r>
          </w:p>
          <w:p w14:paraId="6D81AC1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（2）掌握各类回归分析的基本方法</w:t>
            </w:r>
          </w:p>
        </w:tc>
        <w:tc>
          <w:tcPr>
            <w:tcW w:w="1560" w:type="dxa"/>
            <w:vAlign w:val="center"/>
          </w:tcPr>
          <w:p w14:paraId="22B4B85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A10D06E">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4218B1E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86CB4C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8AE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A93C417">
            <w:pPr>
              <w:spacing w:line="276" w:lineRule="auto"/>
              <w:jc w:val="center"/>
              <w:rPr>
                <w:rFonts w:hint="eastAsia" w:ascii="宋体" w:hAnsi="宋体" w:eastAsia="宋体" w:cs="Times New Roman"/>
                <w:color w:val="000000"/>
                <w:szCs w:val="21"/>
              </w:rPr>
            </w:pPr>
          </w:p>
        </w:tc>
        <w:tc>
          <w:tcPr>
            <w:tcW w:w="8093" w:type="dxa"/>
            <w:gridSpan w:val="5"/>
            <w:vAlign w:val="center"/>
          </w:tcPr>
          <w:p w14:paraId="01D6635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认识到教育和社会中的现象之间联系的复杂性，树立认识事物的联系观、发展观，形成建模思想。</w:t>
            </w:r>
          </w:p>
        </w:tc>
      </w:tr>
      <w:tr w14:paraId="51DD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B4CDE3A">
            <w:pPr>
              <w:spacing w:line="276" w:lineRule="auto"/>
              <w:jc w:val="center"/>
              <w:rPr>
                <w:rFonts w:hint="eastAsia" w:ascii="宋体" w:hAnsi="宋体" w:eastAsia="宋体" w:cs="Times New Roman"/>
                <w:szCs w:val="21"/>
              </w:rPr>
            </w:pPr>
            <w:r>
              <w:rPr>
                <w:rFonts w:hint="eastAsia" w:ascii="宋体" w:hAnsi="宋体" w:eastAsia="宋体" w:cs="Times New Roman"/>
                <w:szCs w:val="21"/>
              </w:rPr>
              <w:t>8.非参数检验</w:t>
            </w:r>
          </w:p>
        </w:tc>
        <w:tc>
          <w:tcPr>
            <w:tcW w:w="1701" w:type="dxa"/>
            <w:vAlign w:val="center"/>
          </w:tcPr>
          <w:p w14:paraId="7EF64583">
            <w:pPr>
              <w:spacing w:line="276" w:lineRule="auto"/>
              <w:jc w:val="left"/>
              <w:rPr>
                <w:rFonts w:hint="eastAsia" w:ascii="宋体" w:hAnsi="宋体" w:eastAsia="宋体" w:cs="Times New Roman"/>
                <w:szCs w:val="21"/>
              </w:rPr>
            </w:pPr>
            <w:r>
              <w:rPr>
                <w:rFonts w:hint="eastAsia" w:ascii="宋体" w:hAnsi="宋体" w:eastAsia="宋体" w:cs="Times New Roman"/>
                <w:szCs w:val="21"/>
              </w:rPr>
              <w:t>（1）计数数据的卡方分析</w:t>
            </w:r>
          </w:p>
          <w:p w14:paraId="48D5A8E7">
            <w:pPr>
              <w:spacing w:line="276" w:lineRule="auto"/>
              <w:jc w:val="left"/>
              <w:rPr>
                <w:rFonts w:hint="eastAsia" w:ascii="宋体" w:hAnsi="宋体" w:eastAsia="宋体" w:cs="Times New Roman"/>
                <w:szCs w:val="21"/>
              </w:rPr>
            </w:pPr>
            <w:r>
              <w:rPr>
                <w:rFonts w:hint="eastAsia" w:ascii="宋体" w:hAnsi="宋体" w:eastAsia="宋体" w:cs="Times New Roman"/>
                <w:szCs w:val="21"/>
              </w:rPr>
              <w:t>（2）连续数据的独立样本非参数检验</w:t>
            </w:r>
          </w:p>
          <w:p w14:paraId="47BD7890">
            <w:pPr>
              <w:spacing w:line="276" w:lineRule="auto"/>
              <w:jc w:val="left"/>
              <w:rPr>
                <w:rFonts w:hint="eastAsia" w:ascii="宋体" w:hAnsi="宋体" w:eastAsia="宋体" w:cs="Times New Roman"/>
                <w:szCs w:val="21"/>
              </w:rPr>
            </w:pPr>
            <w:r>
              <w:rPr>
                <w:rFonts w:hint="eastAsia" w:ascii="宋体" w:hAnsi="宋体" w:eastAsia="宋体" w:cs="Times New Roman"/>
                <w:szCs w:val="21"/>
              </w:rPr>
              <w:t>（3）连续数据的相关样本非参数检验</w:t>
            </w:r>
          </w:p>
        </w:tc>
        <w:tc>
          <w:tcPr>
            <w:tcW w:w="1134" w:type="dxa"/>
            <w:vAlign w:val="center"/>
          </w:tcPr>
          <w:p w14:paraId="4AC7139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24660B1">
            <w:pPr>
              <w:numPr>
                <w:ilvl w:val="0"/>
                <w:numId w:val="49"/>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掌握卡方分析的适用条件</w:t>
            </w:r>
          </w:p>
          <w:p w14:paraId="70F836E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掌握独立样本非参数检验的适用条件；</w:t>
            </w:r>
          </w:p>
          <w:p w14:paraId="7D5FE6A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掌握相关样本非参数检验的适用条件。</w:t>
            </w:r>
          </w:p>
        </w:tc>
        <w:tc>
          <w:tcPr>
            <w:tcW w:w="1560" w:type="dxa"/>
            <w:vAlign w:val="center"/>
          </w:tcPr>
          <w:p w14:paraId="63209CA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526F34E">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7250F776">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7325B1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A0E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B2744BF">
            <w:pPr>
              <w:spacing w:line="276" w:lineRule="auto"/>
              <w:jc w:val="center"/>
              <w:rPr>
                <w:rFonts w:hint="eastAsia" w:ascii="宋体" w:hAnsi="宋体" w:eastAsia="宋体" w:cs="Times New Roman"/>
                <w:color w:val="000000"/>
                <w:szCs w:val="21"/>
              </w:rPr>
            </w:pPr>
          </w:p>
        </w:tc>
        <w:tc>
          <w:tcPr>
            <w:tcW w:w="8093" w:type="dxa"/>
            <w:gridSpan w:val="5"/>
            <w:vAlign w:val="center"/>
          </w:tcPr>
          <w:p w14:paraId="1C851F4B">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了解人类社会同一群体所简化为数据背后的内在关联；学会用科学的检验方法去认识教育现象与社会现象。</w:t>
            </w:r>
          </w:p>
        </w:tc>
      </w:tr>
      <w:tr w14:paraId="66AA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DE5F1C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9.测验信效度分析</w:t>
            </w:r>
          </w:p>
        </w:tc>
        <w:tc>
          <w:tcPr>
            <w:tcW w:w="1701" w:type="dxa"/>
            <w:vAlign w:val="center"/>
          </w:tcPr>
          <w:p w14:paraId="0978280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（1）测验的信度分析</w:t>
            </w:r>
          </w:p>
          <w:p w14:paraId="61A4166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（2）测验的效度分析</w:t>
            </w:r>
          </w:p>
        </w:tc>
        <w:tc>
          <w:tcPr>
            <w:tcW w:w="1134" w:type="dxa"/>
            <w:vAlign w:val="center"/>
          </w:tcPr>
          <w:p w14:paraId="6EFCCF1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73A1F62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把握测量的信度与效度等测量学指标概念与类别；</w:t>
            </w:r>
          </w:p>
          <w:p w14:paraId="276E258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掌握测量的各类信度和效度检验的适用条件。</w:t>
            </w:r>
          </w:p>
        </w:tc>
        <w:tc>
          <w:tcPr>
            <w:tcW w:w="1560" w:type="dxa"/>
            <w:vAlign w:val="center"/>
          </w:tcPr>
          <w:p w14:paraId="47A30F73">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5949355">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3FE4F494">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D879D4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5902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827B775">
            <w:pPr>
              <w:spacing w:line="264" w:lineRule="auto"/>
              <w:jc w:val="center"/>
              <w:rPr>
                <w:rFonts w:hint="eastAsia" w:ascii="宋体" w:hAnsi="宋体" w:eastAsia="宋体" w:cs="Times New Roman"/>
                <w:color w:val="000000"/>
                <w:szCs w:val="21"/>
              </w:rPr>
            </w:pPr>
          </w:p>
        </w:tc>
        <w:tc>
          <w:tcPr>
            <w:tcW w:w="8093" w:type="dxa"/>
            <w:gridSpan w:val="5"/>
            <w:vAlign w:val="center"/>
          </w:tcPr>
          <w:p w14:paraId="16B5D6E7">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理解认识事物的规律需要依靠可靠的工具，了解判别可靠性的客观化标准。</w:t>
            </w:r>
          </w:p>
        </w:tc>
      </w:tr>
    </w:tbl>
    <w:p w14:paraId="4009BC5F">
      <w:pPr>
        <w:spacing w:line="360" w:lineRule="auto"/>
        <w:jc w:val="left"/>
        <w:rPr>
          <w:rFonts w:ascii="Times New Roman" w:hAnsi="Times New Roman" w:eastAsia="宋体" w:cs="Times New Roman"/>
          <w:sz w:val="24"/>
        </w:rPr>
      </w:pPr>
    </w:p>
    <w:p w14:paraId="508C5CE1">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33D411C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9BC058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D2C988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481"/>
        <w:gridCol w:w="1481"/>
        <w:gridCol w:w="1481"/>
        <w:gridCol w:w="1483"/>
        <w:gridCol w:w="890"/>
      </w:tblGrid>
      <w:tr w14:paraId="53E2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vAlign w:val="center"/>
          </w:tcPr>
          <w:p w14:paraId="62E5663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477" w:type="pct"/>
            <w:gridSpan w:val="4"/>
            <w:vAlign w:val="center"/>
          </w:tcPr>
          <w:p w14:paraId="1590064F">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522" w:type="pct"/>
            <w:vMerge w:val="restart"/>
            <w:vAlign w:val="center"/>
          </w:tcPr>
          <w:p w14:paraId="514EB780">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B53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34B5A831">
            <w:pPr>
              <w:spacing w:line="360" w:lineRule="auto"/>
              <w:jc w:val="center"/>
              <w:rPr>
                <w:rFonts w:hint="eastAsia" w:ascii="宋体" w:hAnsi="宋体" w:eastAsia="宋体" w:cs="Times New Roman"/>
                <w:szCs w:val="21"/>
              </w:rPr>
            </w:pPr>
          </w:p>
        </w:tc>
        <w:tc>
          <w:tcPr>
            <w:tcW w:w="869" w:type="pct"/>
            <w:vAlign w:val="center"/>
          </w:tcPr>
          <w:p w14:paraId="38022AA8">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869" w:type="pct"/>
            <w:vAlign w:val="center"/>
          </w:tcPr>
          <w:p w14:paraId="462B341D">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869" w:type="pct"/>
            <w:vAlign w:val="center"/>
          </w:tcPr>
          <w:p w14:paraId="027B2883">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870" w:type="pct"/>
          </w:tcPr>
          <w:p w14:paraId="49CDD340">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522" w:type="pct"/>
            <w:vMerge w:val="continue"/>
            <w:vAlign w:val="center"/>
          </w:tcPr>
          <w:p w14:paraId="782E17CA">
            <w:pPr>
              <w:spacing w:line="360" w:lineRule="auto"/>
              <w:jc w:val="center"/>
              <w:rPr>
                <w:rFonts w:hint="eastAsia" w:ascii="宋体" w:hAnsi="宋体" w:eastAsia="宋体" w:cs="Times New Roman"/>
                <w:szCs w:val="21"/>
              </w:rPr>
            </w:pPr>
          </w:p>
        </w:tc>
      </w:tr>
      <w:tr w14:paraId="2DC7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705042B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869" w:type="pct"/>
            <w:vAlign w:val="center"/>
          </w:tcPr>
          <w:p w14:paraId="521D478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484E7524">
            <w:pPr>
              <w:spacing w:line="360" w:lineRule="auto"/>
              <w:jc w:val="center"/>
              <w:rPr>
                <w:rFonts w:hint="eastAsia" w:ascii="宋体" w:hAnsi="宋体" w:eastAsia="宋体" w:cs="Times New Roman"/>
                <w:szCs w:val="21"/>
              </w:rPr>
            </w:pPr>
            <w:r>
              <w:rPr>
                <w:rFonts w:hint="eastAsia" w:ascii="宋体" w:hAnsi="宋体" w:eastAsia="宋体" w:cs="Times New Roman"/>
                <w:szCs w:val="21"/>
              </w:rPr>
              <w:sym w:font="Wingdings 2" w:char="F050"/>
            </w:r>
          </w:p>
        </w:tc>
        <w:tc>
          <w:tcPr>
            <w:tcW w:w="869" w:type="pct"/>
            <w:vAlign w:val="center"/>
          </w:tcPr>
          <w:p w14:paraId="04F0B12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70" w:type="pct"/>
          </w:tcPr>
          <w:p w14:paraId="20C9258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22" w:type="pct"/>
            <w:vAlign w:val="center"/>
          </w:tcPr>
          <w:p w14:paraId="5FB13EEC">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2F92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6732CED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869" w:type="pct"/>
            <w:vAlign w:val="center"/>
          </w:tcPr>
          <w:p w14:paraId="2336B8F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0563D7C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62595ED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70" w:type="pct"/>
          </w:tcPr>
          <w:p w14:paraId="1997E90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22" w:type="pct"/>
            <w:vAlign w:val="center"/>
          </w:tcPr>
          <w:p w14:paraId="73D438C3">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4E7A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shd w:val="clear" w:color="auto" w:fill="auto"/>
            <w:vAlign w:val="center"/>
          </w:tcPr>
          <w:p w14:paraId="256B7DD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869" w:type="pct"/>
            <w:shd w:val="clear" w:color="auto" w:fill="auto"/>
            <w:vAlign w:val="center"/>
          </w:tcPr>
          <w:p w14:paraId="27C679B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shd w:val="clear" w:color="auto" w:fill="auto"/>
            <w:vAlign w:val="center"/>
          </w:tcPr>
          <w:p w14:paraId="0438439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shd w:val="clear" w:color="auto" w:fill="auto"/>
            <w:vAlign w:val="center"/>
          </w:tcPr>
          <w:p w14:paraId="7D84BC3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70" w:type="pct"/>
            <w:shd w:val="clear" w:color="auto" w:fill="auto"/>
          </w:tcPr>
          <w:p w14:paraId="68362A3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22" w:type="pct"/>
            <w:shd w:val="clear" w:color="auto" w:fill="auto"/>
            <w:vAlign w:val="center"/>
          </w:tcPr>
          <w:p w14:paraId="00FEEA96">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7400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3EEE4185">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869" w:type="pct"/>
            <w:vAlign w:val="center"/>
          </w:tcPr>
          <w:p w14:paraId="55545FE9">
            <w:pPr>
              <w:spacing w:line="360" w:lineRule="auto"/>
              <w:jc w:val="center"/>
              <w:rPr>
                <w:rFonts w:hint="eastAsia" w:ascii="宋体" w:hAnsi="宋体" w:eastAsia="宋体" w:cs="Times New Roman"/>
                <w:szCs w:val="21"/>
              </w:rPr>
            </w:pPr>
          </w:p>
        </w:tc>
        <w:tc>
          <w:tcPr>
            <w:tcW w:w="869" w:type="pct"/>
            <w:vAlign w:val="center"/>
          </w:tcPr>
          <w:p w14:paraId="20F04A42">
            <w:pPr>
              <w:spacing w:line="360" w:lineRule="auto"/>
              <w:jc w:val="center"/>
              <w:rPr>
                <w:rFonts w:hint="eastAsia" w:ascii="宋体" w:hAnsi="宋体" w:eastAsia="宋体" w:cs="Times New Roman"/>
                <w:szCs w:val="21"/>
              </w:rPr>
            </w:pPr>
          </w:p>
        </w:tc>
        <w:tc>
          <w:tcPr>
            <w:tcW w:w="869" w:type="pct"/>
            <w:vAlign w:val="center"/>
          </w:tcPr>
          <w:p w14:paraId="3D5D8CEF">
            <w:pPr>
              <w:spacing w:line="360" w:lineRule="auto"/>
              <w:jc w:val="center"/>
              <w:rPr>
                <w:rFonts w:hint="eastAsia" w:ascii="宋体" w:hAnsi="宋体" w:eastAsia="宋体" w:cs="Times New Roman"/>
                <w:szCs w:val="21"/>
              </w:rPr>
            </w:pPr>
          </w:p>
        </w:tc>
        <w:tc>
          <w:tcPr>
            <w:tcW w:w="870" w:type="pct"/>
          </w:tcPr>
          <w:p w14:paraId="48F48730">
            <w:pPr>
              <w:spacing w:line="360" w:lineRule="auto"/>
              <w:jc w:val="center"/>
              <w:rPr>
                <w:rFonts w:hint="eastAsia" w:ascii="宋体" w:hAnsi="宋体" w:eastAsia="宋体" w:cs="Times New Roman"/>
                <w:szCs w:val="21"/>
              </w:rPr>
            </w:pPr>
          </w:p>
        </w:tc>
        <w:tc>
          <w:tcPr>
            <w:tcW w:w="522" w:type="pct"/>
            <w:vAlign w:val="center"/>
          </w:tcPr>
          <w:p w14:paraId="67F31886">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95CDE57">
      <w:pPr>
        <w:spacing w:before="156" w:beforeLines="50" w:line="360" w:lineRule="auto"/>
        <w:jc w:val="left"/>
        <w:rPr>
          <w:rFonts w:ascii="Times New Roman" w:hAnsi="Times New Roman" w:eastAsia="宋体" w:cs="Times New Roman"/>
          <w:b/>
          <w:szCs w:val="21"/>
        </w:rPr>
      </w:pPr>
    </w:p>
    <w:p w14:paraId="5ACA892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6FC2C9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347F9D2">
      <w:pPr>
        <w:jc w:val="center"/>
        <w:rPr>
          <w:rFonts w:ascii="Times New Roman" w:hAnsi="Times New Roman" w:eastAsia="宋体" w:cs="Times New Roman"/>
          <w:b/>
          <w:bCs/>
          <w:szCs w:val="21"/>
        </w:rPr>
      </w:pPr>
    </w:p>
    <w:p w14:paraId="6B47BA0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9FF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B8054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3AFDFF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D30F3A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68B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3DE1E35">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B39A6A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平时作业共3次，包括参数检验、方差分析与回归分析等内容。</w:t>
            </w:r>
          </w:p>
        </w:tc>
        <w:tc>
          <w:tcPr>
            <w:tcW w:w="0" w:type="auto"/>
            <w:vAlign w:val="center"/>
          </w:tcPr>
          <w:p w14:paraId="0DBC295F">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05CF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00E4E3">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66599B00">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169C343B">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018C7E2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A9E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9A69E9E">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082012D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517E7015">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725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F24973">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0F88BEE">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操作题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统计基本理论和知识型题目占5</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%；考核学生的统计计算题占5</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0A1D0A6C">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3F2F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5A608B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DA80B27">
            <w:pPr>
              <w:jc w:val="left"/>
              <w:rPr>
                <w:rFonts w:ascii="Times New Roman" w:hAnsi="Times New Roman" w:eastAsia="宋体" w:cs="Times New Roman"/>
                <w:szCs w:val="21"/>
              </w:rPr>
            </w:pPr>
          </w:p>
        </w:tc>
        <w:tc>
          <w:tcPr>
            <w:tcW w:w="0" w:type="auto"/>
            <w:vAlign w:val="center"/>
          </w:tcPr>
          <w:p w14:paraId="52C0880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BD7BF41">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6ED0E1B9">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E70707D">
      <w:pPr>
        <w:spacing w:before="156" w:beforeLines="50" w:line="360" w:lineRule="auto"/>
        <w:ind w:firstLine="420" w:firstLineChars="200"/>
        <w:jc w:val="left"/>
        <w:rPr>
          <w:rFonts w:ascii="Times New Roman" w:hAnsi="Times New Roman" w:eastAsia="宋体" w:cs="Times New Roman"/>
          <w:b/>
          <w:bCs/>
          <w:sz w:val="24"/>
        </w:rPr>
      </w:pPr>
      <w:r>
        <w:rPr>
          <w:rFonts w:ascii="宋体" w:hAnsi="宋体" w:eastAsia="宋体" w:cs="Times New Roman"/>
          <w:color w:val="000000"/>
          <w:szCs w:val="21"/>
        </w:rPr>
        <w:object>
          <v:shape id="_x0000_i1048"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48" DrawAspect="Content" ObjectID="_1468075748" r:id="rId33">
            <o:LockedField>false</o:LockedField>
          </o:OLEObject>
        </w:object>
      </w:r>
      <w:r>
        <w:rPr>
          <w:rFonts w:hint="eastAsia" w:ascii="宋体" w:hAnsi="宋体" w:eastAsia="宋体" w:cs="Times New Roman"/>
          <w:b/>
          <w:color w:val="000000"/>
          <w:sz w:val="24"/>
        </w:rPr>
        <w:t>五、有关说明</w:t>
      </w:r>
    </w:p>
    <w:p w14:paraId="1A98560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61295CF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0ADFD3A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47C6C345">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戴海琦，张峰主编.心理与教育测量（第4版）.广州：暨南大学出版社，2018</w:t>
      </w:r>
      <w:r>
        <w:rPr>
          <w:rFonts w:ascii="Times New Roman" w:hAnsi="Times New Roman" w:eastAsia="宋体" w:cs="Times New Roman"/>
          <w:bCs/>
          <w:color w:val="000000"/>
          <w:szCs w:val="21"/>
        </w:rPr>
        <w:t>.</w:t>
      </w:r>
    </w:p>
    <w:p w14:paraId="2F3E0A9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7A299C4B">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1.张厚粲、徐建平主编.现代心理与教育统计学（第5版）.北京：北京师范大学出版社，2020.</w:t>
      </w:r>
    </w:p>
    <w:p w14:paraId="295DEE18">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2.王孝玲，赵必华主编.新编教育统计学.北京：北京师范大学出版社，2023.</w:t>
      </w:r>
    </w:p>
    <w:p w14:paraId="1383EA82">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执笔人：巫文胜</w:t>
      </w:r>
    </w:p>
    <w:p w14:paraId="46C84442">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 xml:space="preserve">                                                     审定人：王健</w:t>
      </w:r>
    </w:p>
    <w:p w14:paraId="0BEF7950">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审批人：张志欣</w:t>
      </w:r>
    </w:p>
    <w:p w14:paraId="7D0DA3A9">
      <w:pPr>
        <w:spacing w:line="360" w:lineRule="auto"/>
        <w:jc w:val="right"/>
        <w:rPr>
          <w:rFonts w:hint="eastAsia" w:ascii="等线" w:hAnsi="等线" w:eastAsia="等线" w:cs="等线"/>
          <w:b/>
          <w:bCs/>
          <w:sz w:val="44"/>
          <w:szCs w:val="4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0F4C940B">
      <w:pPr>
        <w:pStyle w:val="2"/>
        <w:tabs>
          <w:tab w:val="left" w:pos="720"/>
          <w:tab w:val="left" w:pos="2700"/>
        </w:tabs>
      </w:pPr>
      <w:bookmarkStart w:id="127" w:name="_Toc166164858"/>
      <w:bookmarkStart w:id="128" w:name="_Toc31373"/>
      <w:bookmarkStart w:id="129" w:name="_Toc25624"/>
      <w:bookmarkStart w:id="130" w:name="_Toc57017181"/>
      <w:r>
        <w:rPr>
          <w:rFonts w:hint="eastAsia"/>
        </w:rPr>
        <w:t>《中外基础教育改革热点》</w:t>
      </w:r>
      <w:r>
        <w:t>课程教学大纲</w:t>
      </w:r>
      <w:bookmarkEnd w:id="127"/>
      <w:bookmarkEnd w:id="128"/>
      <w:bookmarkEnd w:id="129"/>
      <w:bookmarkEnd w:id="130"/>
    </w:p>
    <w:p w14:paraId="07D8110A">
      <w:pPr>
        <w:autoSpaceDE w:val="0"/>
        <w:autoSpaceDN w:val="0"/>
        <w:adjustRightInd w:val="0"/>
        <w:spacing w:line="360" w:lineRule="auto"/>
        <w:jc w:val="center"/>
        <w:rPr>
          <w:rFonts w:ascii="Times New Roman" w:hAnsi="Times New Roman" w:eastAsia="黑体" w:cs="Times New Roman"/>
          <w:b/>
          <w:bCs/>
          <w:color w:val="000000"/>
          <w:kern w:val="0"/>
          <w:sz w:val="24"/>
          <w:szCs w:val="28"/>
        </w:rPr>
      </w:pPr>
      <w:r>
        <w:rPr>
          <w:rFonts w:ascii="Times New Roman" w:hAnsi="Times New Roman" w:eastAsia="宋体" w:cs="Times New Roman"/>
          <w:b/>
          <w:bCs/>
          <w:color w:val="000000"/>
          <w:kern w:val="0"/>
          <w:sz w:val="24"/>
          <w:szCs w:val="28"/>
        </w:rPr>
        <w:t>（</w:t>
      </w:r>
      <w:r>
        <w:rPr>
          <w:rFonts w:ascii="Times New Roman" w:hAnsi="Times New Roman" w:eastAsia="黑体" w:cs="Times New Roman"/>
          <w:b/>
          <w:bCs/>
          <w:color w:val="000000"/>
          <w:kern w:val="0"/>
          <w:sz w:val="24"/>
          <w:szCs w:val="28"/>
        </w:rPr>
        <w:t>Focus on Basic Research Reform in China and Foreign Countries</w:t>
      </w:r>
      <w:r>
        <w:rPr>
          <w:rFonts w:ascii="Times New Roman" w:hAnsi="Times New Roman" w:eastAsia="宋体" w:cs="Times New Roman"/>
          <w:b/>
          <w:bCs/>
          <w:color w:val="000000"/>
          <w:kern w:val="0"/>
          <w:sz w:val="24"/>
          <w:szCs w:val="28"/>
        </w:rPr>
        <w:t>）</w:t>
      </w:r>
      <w:bookmarkStart w:id="131" w:name="_Toc27847311"/>
    </w:p>
    <w:p w14:paraId="0712521A">
      <w:pPr>
        <w:spacing w:line="360" w:lineRule="auto"/>
        <w:ind w:firstLine="562" w:firstLineChars="200"/>
        <w:rPr>
          <w:rFonts w:hint="eastAsia" w:ascii="宋体" w:hAnsi="宋体" w:eastAsia="宋体" w:cs="Times New Roman"/>
          <w:b/>
          <w:color w:val="000000"/>
          <w:sz w:val="28"/>
          <w:szCs w:val="28"/>
        </w:rPr>
      </w:pPr>
      <w:r>
        <w:rPr>
          <w:rFonts w:ascii="宋体" w:hAnsi="宋体" w:eastAsia="宋体" w:cs="Times New Roman"/>
          <w:b/>
          <w:color w:val="000000"/>
          <w:sz w:val="28"/>
          <w:szCs w:val="28"/>
        </w:rPr>
        <w:t>一、课程概况</w:t>
      </w:r>
      <w:bookmarkEnd w:id="131"/>
    </w:p>
    <w:p w14:paraId="64E45C07">
      <w:pPr>
        <w:autoSpaceDE w:val="0"/>
        <w:autoSpaceDN w:val="0"/>
        <w:adjustRightInd w:val="0"/>
        <w:spacing w:line="360" w:lineRule="auto"/>
        <w:ind w:firstLine="482" w:firstLineChars="200"/>
        <w:rPr>
          <w:rFonts w:ascii="Times New Roman" w:hAnsi="Times New Roman" w:eastAsia="宋体" w:cs="Times New Roman"/>
          <w:color w:val="000000"/>
          <w:kern w:val="0"/>
          <w:sz w:val="18"/>
          <w:szCs w:val="18"/>
        </w:rPr>
      </w:pPr>
      <w:r>
        <w:rPr>
          <w:rFonts w:ascii="宋体" w:hAnsi="宋体" w:eastAsia="宋体" w:cs="Times New Roman"/>
          <w:b/>
          <w:bCs/>
          <w:color w:val="000000"/>
          <w:kern w:val="0"/>
          <w:sz w:val="24"/>
        </w:rPr>
        <w:t>课程代码</w:t>
      </w:r>
      <w:r>
        <w:rPr>
          <w:rFonts w:ascii="宋体" w:hAnsi="宋体" w:eastAsia="宋体" w:cs="Times New Roman"/>
          <w:b/>
          <w:color w:val="000000"/>
          <w:kern w:val="0"/>
          <w:sz w:val="24"/>
        </w:rPr>
        <w:t>：</w:t>
      </w:r>
      <w:r>
        <w:rPr>
          <w:rFonts w:ascii="宋体" w:hAnsi="宋体" w:eastAsia="宋体" w:cs="Times New Roman"/>
          <w:kern w:val="0"/>
          <w:sz w:val="24"/>
        </w:rPr>
        <w:t>2401016</w:t>
      </w:r>
    </w:p>
    <w:p w14:paraId="27AB554E">
      <w:pPr>
        <w:spacing w:line="360" w:lineRule="auto"/>
        <w:ind w:firstLine="482" w:firstLineChars="200"/>
        <w:rPr>
          <w:rFonts w:hint="eastAsia" w:ascii="宋体" w:hAnsi="宋体" w:eastAsia="宋体" w:cs="Times New Roman"/>
          <w:b/>
          <w:kern w:val="0"/>
          <w:sz w:val="24"/>
        </w:rPr>
      </w:pPr>
      <w:r>
        <w:rPr>
          <w:rFonts w:ascii="宋体" w:hAnsi="宋体" w:eastAsia="宋体" w:cs="Times New Roman"/>
          <w:b/>
          <w:bCs/>
          <w:color w:val="000000"/>
          <w:kern w:val="0"/>
          <w:sz w:val="24"/>
        </w:rPr>
        <w:t>学    分：</w:t>
      </w:r>
      <w:r>
        <w:rPr>
          <w:rFonts w:hint="eastAsia" w:ascii="宋体" w:hAnsi="宋体" w:eastAsia="宋体" w:cs="Times New Roman"/>
          <w:kern w:val="0"/>
          <w:sz w:val="24"/>
        </w:rPr>
        <w:t>2</w:t>
      </w:r>
    </w:p>
    <w:p w14:paraId="72F4663A">
      <w:pPr>
        <w:spacing w:line="360" w:lineRule="auto"/>
        <w:ind w:firstLine="482" w:firstLineChars="200"/>
        <w:rPr>
          <w:rFonts w:hint="eastAsia" w:ascii="宋体" w:hAnsi="宋体" w:eastAsia="宋体" w:cs="Times New Roman"/>
          <w:kern w:val="0"/>
          <w:sz w:val="24"/>
        </w:rPr>
      </w:pPr>
      <w:r>
        <w:rPr>
          <w:rFonts w:ascii="宋体" w:hAnsi="宋体" w:eastAsia="宋体" w:cs="Times New Roman"/>
          <w:b/>
          <w:bCs/>
          <w:color w:val="000000"/>
          <w:kern w:val="0"/>
          <w:sz w:val="24"/>
        </w:rPr>
        <w:t>学    时：</w:t>
      </w:r>
      <w:r>
        <w:rPr>
          <w:rFonts w:hint="eastAsia" w:ascii="宋体" w:hAnsi="宋体" w:eastAsia="宋体" w:cs="Times New Roman"/>
          <w:kern w:val="0"/>
          <w:sz w:val="24"/>
        </w:rPr>
        <w:t>32</w:t>
      </w:r>
      <w:r>
        <w:rPr>
          <w:rFonts w:ascii="宋体" w:hAnsi="宋体" w:eastAsia="宋体" w:cs="Times New Roman"/>
          <w:kern w:val="0"/>
          <w:sz w:val="24"/>
        </w:rPr>
        <w:t xml:space="preserve"> </w:t>
      </w:r>
    </w:p>
    <w:p w14:paraId="2502B78F">
      <w:pPr>
        <w:spacing w:line="360" w:lineRule="auto"/>
        <w:ind w:firstLine="482" w:firstLineChars="200"/>
        <w:jc w:val="left"/>
        <w:rPr>
          <w:rFonts w:hint="eastAsia" w:ascii="宋体" w:hAnsi="宋体" w:eastAsia="宋体" w:cs="Times New Roman"/>
          <w:kern w:val="0"/>
          <w:sz w:val="24"/>
        </w:rPr>
      </w:pPr>
      <w:r>
        <w:rPr>
          <w:rFonts w:ascii="宋体" w:hAnsi="宋体" w:eastAsia="宋体" w:cs="Times New Roman"/>
          <w:b/>
          <w:bCs/>
          <w:color w:val="000000"/>
          <w:kern w:val="0"/>
          <w:sz w:val="24"/>
        </w:rPr>
        <w:t>先修课程：</w:t>
      </w:r>
      <w:r>
        <w:rPr>
          <w:rFonts w:hint="eastAsia" w:ascii="宋体" w:hAnsi="宋体" w:eastAsia="宋体" w:cs="Times New Roman"/>
          <w:sz w:val="24"/>
          <w:lang w:val="zh-CN"/>
        </w:rPr>
        <w:t>教育原理、教育心理学、中外教育史、课程与教学论</w:t>
      </w:r>
    </w:p>
    <w:p w14:paraId="74489F6B">
      <w:pPr>
        <w:spacing w:line="360" w:lineRule="auto"/>
        <w:ind w:firstLine="482" w:firstLineChars="200"/>
        <w:rPr>
          <w:rFonts w:hint="eastAsia" w:ascii="宋体" w:hAnsi="宋体" w:eastAsia="宋体" w:cs="Times New Roman"/>
          <w:kern w:val="0"/>
          <w:sz w:val="24"/>
        </w:rPr>
      </w:pPr>
      <w:r>
        <w:rPr>
          <w:rFonts w:ascii="宋体" w:hAnsi="宋体" w:eastAsia="宋体" w:cs="Times New Roman"/>
          <w:b/>
          <w:bCs/>
          <w:color w:val="000000"/>
          <w:kern w:val="0"/>
          <w:sz w:val="24"/>
        </w:rPr>
        <w:t>适用专业：</w:t>
      </w:r>
      <w:r>
        <w:rPr>
          <w:rFonts w:hint="eastAsia" w:ascii="宋体" w:hAnsi="宋体" w:eastAsia="宋体" w:cs="Times New Roman"/>
          <w:kern w:val="0"/>
          <w:sz w:val="24"/>
        </w:rPr>
        <w:t>小学</w:t>
      </w:r>
      <w:r>
        <w:rPr>
          <w:rFonts w:ascii="宋体" w:hAnsi="宋体" w:eastAsia="宋体" w:cs="Times New Roman"/>
          <w:kern w:val="0"/>
          <w:sz w:val="24"/>
        </w:rPr>
        <w:t>教育</w:t>
      </w:r>
      <w:r>
        <w:rPr>
          <w:rFonts w:hint="eastAsia" w:ascii="宋体" w:hAnsi="宋体" w:eastAsia="宋体" w:cs="Times New Roman"/>
          <w:kern w:val="0"/>
          <w:sz w:val="24"/>
        </w:rPr>
        <w:t>（文）、小学</w:t>
      </w:r>
      <w:r>
        <w:rPr>
          <w:rFonts w:ascii="宋体" w:hAnsi="宋体" w:eastAsia="宋体" w:cs="Times New Roman"/>
          <w:kern w:val="0"/>
          <w:sz w:val="24"/>
        </w:rPr>
        <w:t>教育</w:t>
      </w:r>
      <w:r>
        <w:rPr>
          <w:rFonts w:hint="eastAsia" w:ascii="宋体" w:hAnsi="宋体" w:eastAsia="宋体" w:cs="Times New Roman"/>
          <w:kern w:val="0"/>
          <w:sz w:val="24"/>
        </w:rPr>
        <w:t>（理）</w:t>
      </w:r>
      <w:r>
        <w:rPr>
          <w:rFonts w:ascii="宋体" w:hAnsi="宋体" w:eastAsia="宋体" w:cs="Times New Roman"/>
          <w:kern w:val="0"/>
          <w:sz w:val="24"/>
        </w:rPr>
        <w:t xml:space="preserve">                        </w:t>
      </w:r>
    </w:p>
    <w:p w14:paraId="2118CE19">
      <w:pPr>
        <w:spacing w:line="360" w:lineRule="auto"/>
        <w:ind w:firstLine="482" w:firstLineChars="200"/>
        <w:rPr>
          <w:rFonts w:ascii="Times New Roman" w:hAnsi="Times New Roman" w:eastAsia="宋体" w:cs="Times New Roman"/>
          <w:kern w:val="0"/>
          <w:sz w:val="24"/>
        </w:rPr>
      </w:pPr>
      <w:r>
        <w:rPr>
          <w:rFonts w:hint="eastAsia" w:ascii="宋体" w:hAnsi="宋体" w:eastAsia="宋体" w:cs="Times New Roman"/>
          <w:b/>
          <w:bCs/>
          <w:color w:val="000000"/>
          <w:kern w:val="0"/>
          <w:sz w:val="24"/>
        </w:rPr>
        <w:t>建议</w:t>
      </w:r>
      <w:r>
        <w:rPr>
          <w:rFonts w:ascii="宋体" w:hAnsi="宋体" w:eastAsia="宋体" w:cs="Times New Roman"/>
          <w:b/>
          <w:bCs/>
          <w:color w:val="000000"/>
          <w:kern w:val="0"/>
          <w:sz w:val="24"/>
        </w:rPr>
        <w:t>教材</w:t>
      </w:r>
      <w:r>
        <w:rPr>
          <w:rFonts w:hint="eastAsia" w:ascii="宋体" w:hAnsi="宋体" w:eastAsia="宋体" w:cs="Times New Roman"/>
          <w:b/>
          <w:bCs/>
          <w:color w:val="000000"/>
          <w:kern w:val="0"/>
          <w:sz w:val="24"/>
        </w:rPr>
        <w:t>：1.</w:t>
      </w:r>
      <w:r>
        <w:rPr>
          <w:rFonts w:hint="eastAsia" w:ascii="Times New Roman" w:hAnsi="Times New Roman" w:eastAsia="宋体" w:cs="Times New Roman"/>
          <w:kern w:val="0"/>
          <w:sz w:val="24"/>
        </w:rPr>
        <w:t>《中国基础教育改革概论》，张荣伟， 教育科学出版社，2018.</w:t>
      </w:r>
    </w:p>
    <w:p w14:paraId="4FA7633B">
      <w:pPr>
        <w:spacing w:line="360" w:lineRule="auto"/>
        <w:ind w:firstLine="482" w:firstLineChars="200"/>
        <w:rPr>
          <w:rFonts w:hint="eastAsia" w:ascii="宋体" w:hAnsi="宋体" w:eastAsia="宋体" w:cs="Times New Roman"/>
          <w:color w:val="000000"/>
          <w:sz w:val="24"/>
        </w:rPr>
      </w:pPr>
      <w:r>
        <w:rPr>
          <w:rFonts w:ascii="宋体" w:hAnsi="宋体" w:eastAsia="宋体" w:cs="Times New Roman"/>
          <w:b/>
          <w:bCs/>
          <w:color w:val="000000"/>
          <w:kern w:val="0"/>
          <w:sz w:val="24"/>
        </w:rPr>
        <w:t>课程归口：</w:t>
      </w:r>
      <w:r>
        <w:rPr>
          <w:rFonts w:hint="eastAsia" w:ascii="宋体" w:hAnsi="宋体" w:eastAsia="宋体" w:cs="Times New Roman"/>
          <w:color w:val="000000"/>
          <w:sz w:val="24"/>
        </w:rPr>
        <w:t>师范</w:t>
      </w:r>
      <w:r>
        <w:rPr>
          <w:rFonts w:ascii="宋体" w:hAnsi="宋体" w:eastAsia="宋体" w:cs="Times New Roman"/>
          <w:color w:val="000000"/>
          <w:sz w:val="24"/>
        </w:rPr>
        <w:t>学院</w:t>
      </w:r>
    </w:p>
    <w:p w14:paraId="6396B994">
      <w:pPr>
        <w:autoSpaceDE w:val="0"/>
        <w:autoSpaceDN w:val="0"/>
        <w:adjustRightInd w:val="0"/>
        <w:spacing w:line="360" w:lineRule="auto"/>
        <w:ind w:firstLine="482" w:firstLineChars="200"/>
        <w:jc w:val="left"/>
        <w:rPr>
          <w:rFonts w:ascii="Times New Roman" w:hAnsi="Times New Roman" w:eastAsia="宋体" w:cs="Times New Roman"/>
          <w:sz w:val="24"/>
        </w:rPr>
      </w:pPr>
      <w:r>
        <w:rPr>
          <w:rFonts w:hint="eastAsia" w:ascii="宋体" w:hAnsi="宋体" w:eastAsia="宋体" w:cs="Times New Roman"/>
          <w:b/>
          <w:bCs/>
          <w:color w:val="000000"/>
          <w:kern w:val="0"/>
          <w:sz w:val="24"/>
        </w:rPr>
        <w:t>课程的性质与任务：</w:t>
      </w:r>
      <w:r>
        <w:rPr>
          <w:rFonts w:hint="eastAsia" w:ascii="Times New Roman" w:hAnsi="Times New Roman" w:eastAsia="宋体" w:cs="Times New Roman"/>
          <w:sz w:val="24"/>
        </w:rPr>
        <w:t xml:space="preserve"> 本课程是小学教育本科专业一门专业选修课。课程旨在帮助学生理解基础教育改革现实意义和国内外改革所涉及的热点问题，提高小学教师的反思意识和开阔视野。通过本门课程的学习，学生能够了解世界上主要发达国家基础教育改革的时代背景，理解我国21世纪基础教育深化改革的现实意义；了解当前基础教育改革的主要内容，提高未来小学教师的发现问题、分析问题、研究问题的能力。</w:t>
      </w:r>
    </w:p>
    <w:p w14:paraId="285A593B">
      <w:pPr>
        <w:spacing w:line="360" w:lineRule="auto"/>
        <w:ind w:firstLine="562" w:firstLineChars="200"/>
        <w:rPr>
          <w:rFonts w:hint="eastAsia" w:ascii="宋体" w:hAnsi="宋体" w:eastAsia="宋体" w:cs="Times New Roman"/>
          <w:b/>
          <w:color w:val="000000"/>
          <w:sz w:val="28"/>
          <w:szCs w:val="28"/>
        </w:rPr>
      </w:pPr>
      <w:bookmarkStart w:id="132" w:name="_Toc27847312"/>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bookmarkEnd w:id="132"/>
    </w:p>
    <w:p w14:paraId="2D1DE694">
      <w:pPr>
        <w:spacing w:line="360" w:lineRule="auto"/>
        <w:ind w:firstLine="482" w:firstLineChars="200"/>
        <w:rPr>
          <w:rFonts w:hint="eastAsia" w:ascii="宋体" w:hAnsi="宋体" w:eastAsia="宋体" w:cs="Times New Roman"/>
          <w:color w:val="000000"/>
          <w:sz w:val="24"/>
          <w:szCs w:val="28"/>
        </w:rPr>
      </w:pPr>
      <w:bookmarkStart w:id="133" w:name="_Toc27847313"/>
      <w:r>
        <w:rPr>
          <w:rFonts w:hint="eastAsia" w:ascii="宋体" w:hAnsi="宋体" w:eastAsia="宋体" w:cs="Times New Roman"/>
          <w:b/>
          <w:color w:val="000000"/>
          <w:sz w:val="24"/>
          <w:szCs w:val="28"/>
        </w:rPr>
        <w:t>（一）课程具体目标</w:t>
      </w:r>
      <w:bookmarkEnd w:id="133"/>
    </w:p>
    <w:p w14:paraId="6F2393CE">
      <w:pPr>
        <w:autoSpaceDE w:val="0"/>
        <w:autoSpaceDN w:val="0"/>
        <w:adjustRightInd w:val="0"/>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目标</w:t>
      </w:r>
      <w:r>
        <w:rPr>
          <w:rFonts w:ascii="Times New Roman" w:hAnsi="Times New Roman" w:eastAsia="宋体" w:cs="Times New Roman"/>
          <w:b/>
          <w:sz w:val="24"/>
        </w:rPr>
        <w:t>1.</w:t>
      </w:r>
      <w:r>
        <w:rPr>
          <w:rFonts w:hint="eastAsia" w:ascii="Times New Roman" w:hAnsi="Times New Roman" w:eastAsia="宋体" w:cs="Times New Roman"/>
          <w:sz w:val="24"/>
        </w:rPr>
        <w:t>了解社会转型对教育改革的含义与影响，理解我国21世纪基础教育改革的必要性，掌握基础教育改革研究中的热点问题，增强教育使命感和教师责任感。</w:t>
      </w:r>
    </w:p>
    <w:p w14:paraId="42EA3016">
      <w:pPr>
        <w:autoSpaceDE w:val="0"/>
        <w:autoSpaceDN w:val="0"/>
        <w:adjustRightInd w:val="0"/>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目标2</w:t>
      </w:r>
      <w:r>
        <w:rPr>
          <w:rFonts w:ascii="Times New Roman" w:hAnsi="Times New Roman" w:eastAsia="宋体" w:cs="Times New Roman"/>
          <w:b/>
          <w:sz w:val="24"/>
        </w:rPr>
        <w:t>.</w:t>
      </w:r>
      <w:r>
        <w:rPr>
          <w:rFonts w:hint="eastAsia" w:ascii="Times New Roman" w:hAnsi="Times New Roman" w:eastAsia="宋体" w:cs="Times New Roman"/>
          <w:sz w:val="24"/>
        </w:rPr>
        <w:t>了</w:t>
      </w:r>
      <w:r>
        <w:rPr>
          <w:rFonts w:ascii="Times New Roman" w:hAnsi="Times New Roman" w:eastAsia="宋体" w:cs="Times New Roman"/>
          <w:sz w:val="24"/>
        </w:rPr>
        <w:t>解国际视野中的基础教育改革概况</w:t>
      </w:r>
      <w:r>
        <w:rPr>
          <w:rFonts w:hint="eastAsia" w:ascii="Times New Roman" w:hAnsi="Times New Roman" w:eastAsia="宋体" w:cs="Times New Roman"/>
          <w:sz w:val="24"/>
        </w:rPr>
        <w:t>，基本掌握西方主要国家基础教育改革的动向和发展趋势，牢固树立建设中国特色社会主义教育强国的自信心。</w:t>
      </w:r>
      <w:r>
        <w:rPr>
          <w:rFonts w:ascii="Times New Roman" w:hAnsi="Times New Roman" w:eastAsia="宋体" w:cs="Times New Roman"/>
          <w:sz w:val="24"/>
        </w:rPr>
        <w:t xml:space="preserve"> </w:t>
      </w:r>
    </w:p>
    <w:p w14:paraId="2D438559">
      <w:pPr>
        <w:autoSpaceDE w:val="0"/>
        <w:autoSpaceDN w:val="0"/>
        <w:adjustRightInd w:val="0"/>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目标3</w:t>
      </w:r>
      <w:r>
        <w:rPr>
          <w:rFonts w:ascii="Times New Roman" w:hAnsi="Times New Roman" w:eastAsia="宋体" w:cs="Times New Roman"/>
          <w:b/>
          <w:sz w:val="24"/>
        </w:rPr>
        <w:t xml:space="preserve">. </w:t>
      </w:r>
      <w:r>
        <w:rPr>
          <w:rFonts w:hint="eastAsia" w:ascii="Times New Roman" w:hAnsi="Times New Roman" w:eastAsia="宋体" w:cs="Times New Roman"/>
          <w:sz w:val="24"/>
        </w:rPr>
        <w:t>了解中国基础教育课程与教学改革的潮流、历史演进及政策分析，初步理解我国21世纪基础教育课程与教学改革中的基本问题及解决策略；掌握我国城乡基础教育改革中的主要热点问题及改革思路，增强教育危机意识。</w:t>
      </w:r>
    </w:p>
    <w:p w14:paraId="125F7A81">
      <w:pPr>
        <w:autoSpaceDE w:val="0"/>
        <w:autoSpaceDN w:val="0"/>
        <w:adjustRightInd w:val="0"/>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目标4</w:t>
      </w:r>
      <w:r>
        <w:rPr>
          <w:rFonts w:ascii="Times New Roman" w:hAnsi="Times New Roman" w:eastAsia="宋体" w:cs="Times New Roman"/>
          <w:b/>
          <w:sz w:val="24"/>
        </w:rPr>
        <w:t>.</w:t>
      </w:r>
      <w:r>
        <w:rPr>
          <w:rFonts w:ascii="Times New Roman" w:hAnsi="Times New Roman" w:eastAsia="宋体" w:cs="Times New Roman"/>
          <w:sz w:val="24"/>
        </w:rPr>
        <w:t xml:space="preserve"> 能够通过自主</w:t>
      </w:r>
      <w:r>
        <w:rPr>
          <w:rFonts w:hint="eastAsia" w:ascii="Times New Roman" w:hAnsi="Times New Roman" w:eastAsia="宋体" w:cs="Times New Roman"/>
          <w:sz w:val="24"/>
        </w:rPr>
        <w:t>、</w:t>
      </w:r>
      <w:r>
        <w:rPr>
          <w:rFonts w:ascii="Times New Roman" w:hAnsi="Times New Roman" w:eastAsia="宋体" w:cs="Times New Roman"/>
          <w:sz w:val="24"/>
        </w:rPr>
        <w:t>合作</w:t>
      </w:r>
      <w:r>
        <w:rPr>
          <w:rFonts w:hint="eastAsia" w:ascii="Times New Roman" w:hAnsi="Times New Roman" w:eastAsia="宋体" w:cs="Times New Roman"/>
          <w:sz w:val="24"/>
        </w:rPr>
        <w:t>、</w:t>
      </w:r>
      <w:r>
        <w:rPr>
          <w:rFonts w:ascii="Times New Roman" w:hAnsi="Times New Roman" w:eastAsia="宋体" w:cs="Times New Roman"/>
          <w:sz w:val="24"/>
        </w:rPr>
        <w:t>探究的方式</w:t>
      </w:r>
      <w:r>
        <w:rPr>
          <w:rFonts w:hint="eastAsia" w:ascii="Times New Roman" w:hAnsi="Times New Roman" w:eastAsia="宋体" w:cs="Times New Roman"/>
          <w:sz w:val="24"/>
        </w:rPr>
        <w:t>分析中外主要国家</w:t>
      </w:r>
      <w:r>
        <w:rPr>
          <w:rFonts w:ascii="Times New Roman" w:hAnsi="Times New Roman" w:eastAsia="宋体" w:cs="Times New Roman"/>
          <w:sz w:val="24"/>
        </w:rPr>
        <w:t>基础教育改革的</w:t>
      </w:r>
      <w:r>
        <w:rPr>
          <w:rFonts w:hint="eastAsia" w:ascii="Times New Roman" w:hAnsi="Times New Roman" w:eastAsia="宋体" w:cs="Times New Roman"/>
          <w:sz w:val="24"/>
        </w:rPr>
        <w:t>缺陷，</w:t>
      </w:r>
      <w:r>
        <w:rPr>
          <w:rFonts w:ascii="Times New Roman" w:hAnsi="Times New Roman" w:eastAsia="宋体" w:cs="Times New Roman"/>
          <w:sz w:val="24"/>
        </w:rPr>
        <w:t>形成独立的分析判断能力</w:t>
      </w:r>
      <w:r>
        <w:rPr>
          <w:rFonts w:hint="eastAsia" w:ascii="Times New Roman" w:hAnsi="Times New Roman" w:eastAsia="宋体" w:cs="Times New Roman"/>
          <w:sz w:val="24"/>
        </w:rPr>
        <w:t>和问题研究能力。</w:t>
      </w:r>
    </w:p>
    <w:p w14:paraId="73EB722A">
      <w:pPr>
        <w:spacing w:line="360" w:lineRule="auto"/>
        <w:rPr>
          <w:rFonts w:hint="eastAsia" w:ascii="宋体" w:hAnsi="宋体" w:eastAsia="宋体" w:cs="Times New Roman"/>
          <w:b/>
          <w:sz w:val="24"/>
          <w:szCs w:val="28"/>
        </w:rPr>
      </w:pPr>
      <w:bookmarkStart w:id="134" w:name="_Toc27847314"/>
      <w:r>
        <w:rPr>
          <w:rFonts w:hint="eastAsia" w:ascii="宋体" w:hAnsi="宋体" w:eastAsia="宋体" w:cs="Times New Roman"/>
          <w:b/>
          <w:sz w:val="24"/>
          <w:szCs w:val="28"/>
        </w:rPr>
        <w:t>（二）课程目标与专业毕业要求的关系</w:t>
      </w:r>
      <w:bookmarkEnd w:id="134"/>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2268"/>
        <w:gridCol w:w="5323"/>
      </w:tblGrid>
      <w:tr w14:paraId="4EFD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57" w:type="dxa"/>
            <w:vAlign w:val="center"/>
          </w:tcPr>
          <w:p w14:paraId="2A87A427">
            <w:pPr>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c>
          <w:tcPr>
            <w:tcW w:w="2268" w:type="dxa"/>
            <w:vAlign w:val="center"/>
          </w:tcPr>
          <w:p w14:paraId="30B13F6A">
            <w:pPr>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支撑的毕业要求</w:t>
            </w:r>
          </w:p>
        </w:tc>
        <w:tc>
          <w:tcPr>
            <w:tcW w:w="5323" w:type="dxa"/>
            <w:vAlign w:val="center"/>
          </w:tcPr>
          <w:p w14:paraId="1ADA97C8">
            <w:pPr>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支撑的毕业要求指标点</w:t>
            </w:r>
          </w:p>
        </w:tc>
      </w:tr>
      <w:tr w14:paraId="1DEF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57" w:type="dxa"/>
            <w:vAlign w:val="center"/>
          </w:tcPr>
          <w:p w14:paraId="71BF97CB">
            <w:pPr>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课程目标1</w:t>
            </w:r>
          </w:p>
        </w:tc>
        <w:tc>
          <w:tcPr>
            <w:tcW w:w="2268" w:type="dxa"/>
            <w:vAlign w:val="center"/>
          </w:tcPr>
          <w:p w14:paraId="5E2F3BDC">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毕业要求7：学会反思</w:t>
            </w:r>
          </w:p>
        </w:tc>
        <w:tc>
          <w:tcPr>
            <w:tcW w:w="5323" w:type="dxa"/>
            <w:vAlign w:val="center"/>
          </w:tcPr>
          <w:p w14:paraId="55183D2A">
            <w:pPr>
              <w:autoSpaceDE w:val="0"/>
              <w:autoSpaceDN w:val="0"/>
              <w:adjustRightInd w:val="0"/>
              <w:spacing w:line="276" w:lineRule="auto"/>
              <w:jc w:val="left"/>
              <w:rPr>
                <w:rFonts w:ascii="Times New Roman" w:hAnsi="Times New Roman" w:eastAsia="宋体" w:cs="Times New Roman"/>
                <w:color w:val="000000"/>
                <w:kern w:val="0"/>
                <w:sz w:val="24"/>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7-1：【教育视野开阔】积极关注基础教育领域的国内外交流进展，了解国内外基础教育改革发展的动态，具有宽广的教育视野，能够主动适应新时代和教育发展需求。</w:t>
            </w:r>
          </w:p>
        </w:tc>
      </w:tr>
      <w:tr w14:paraId="68BC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57" w:type="dxa"/>
            <w:vAlign w:val="center"/>
          </w:tcPr>
          <w:p w14:paraId="00F8823B">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课程目标2</w:t>
            </w:r>
          </w:p>
        </w:tc>
        <w:tc>
          <w:tcPr>
            <w:tcW w:w="2268" w:type="dxa"/>
            <w:vAlign w:val="center"/>
          </w:tcPr>
          <w:p w14:paraId="58A8CDAD">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毕业要求7：学会反思</w:t>
            </w:r>
          </w:p>
        </w:tc>
        <w:tc>
          <w:tcPr>
            <w:tcW w:w="5323" w:type="dxa"/>
            <w:vAlign w:val="center"/>
          </w:tcPr>
          <w:p w14:paraId="5EE7412F">
            <w:pPr>
              <w:autoSpaceDE w:val="0"/>
              <w:autoSpaceDN w:val="0"/>
              <w:adjustRightInd w:val="0"/>
              <w:spacing w:line="276" w:lineRule="auto"/>
              <w:jc w:val="left"/>
              <w:rPr>
                <w:rFonts w:ascii="Times New Roman" w:hAnsi="Times New Roman" w:eastAsia="宋体" w:cs="Times New Roman"/>
                <w:color w:val="000000"/>
                <w:kern w:val="0"/>
                <w:sz w:val="24"/>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7-1：【教育视野开阔】积极关注基础教育领域的国内外交流进展，了解国内外基础教育改革发展的动态，具有宽广的教育视野，能够主动适应新时代和教育发展需求。</w:t>
            </w:r>
          </w:p>
        </w:tc>
      </w:tr>
      <w:tr w14:paraId="23F5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57" w:type="dxa"/>
            <w:vAlign w:val="center"/>
          </w:tcPr>
          <w:p w14:paraId="26F29017">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课程目标3</w:t>
            </w:r>
          </w:p>
        </w:tc>
        <w:tc>
          <w:tcPr>
            <w:tcW w:w="2268" w:type="dxa"/>
            <w:vAlign w:val="center"/>
          </w:tcPr>
          <w:p w14:paraId="428E875D">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kern w:val="0"/>
                <w:szCs w:val="21"/>
              </w:rPr>
              <w:t>毕业要求7：学会反思</w:t>
            </w:r>
          </w:p>
        </w:tc>
        <w:tc>
          <w:tcPr>
            <w:tcW w:w="5323" w:type="dxa"/>
          </w:tcPr>
          <w:p w14:paraId="70EBDFC9">
            <w:pPr>
              <w:autoSpaceDE w:val="0"/>
              <w:autoSpaceDN w:val="0"/>
              <w:adjustRightInd w:val="0"/>
              <w:spacing w:line="276" w:lineRule="auto"/>
              <w:rPr>
                <w:rFonts w:hint="eastAsia" w:ascii="Times New Roman" w:hAnsi="宋体" w:eastAsia="宋体" w:cs="Times New Roman"/>
                <w:color w:val="000000"/>
                <w:kern w:val="0"/>
                <w:sz w:val="24"/>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r>
      <w:tr w14:paraId="7074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57" w:type="dxa"/>
            <w:vAlign w:val="center"/>
          </w:tcPr>
          <w:p w14:paraId="0D544049">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 4</w:t>
            </w:r>
          </w:p>
        </w:tc>
        <w:tc>
          <w:tcPr>
            <w:tcW w:w="2268" w:type="dxa"/>
            <w:vAlign w:val="center"/>
          </w:tcPr>
          <w:p w14:paraId="7432F0CE">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毕业要求7：学会反思</w:t>
            </w:r>
          </w:p>
          <w:p w14:paraId="614D0931">
            <w:pPr>
              <w:spacing w:line="276" w:lineRule="auto"/>
              <w:rPr>
                <w:rFonts w:hint="eastAsia" w:ascii="宋体" w:hAnsi="宋体" w:eastAsia="宋体" w:cs="Times New Roman"/>
                <w:b/>
                <w:color w:val="000000"/>
                <w:kern w:val="0"/>
                <w:szCs w:val="21"/>
              </w:rPr>
            </w:pPr>
          </w:p>
        </w:tc>
        <w:tc>
          <w:tcPr>
            <w:tcW w:w="5323" w:type="dxa"/>
          </w:tcPr>
          <w:p w14:paraId="63668E77">
            <w:pPr>
              <w:spacing w:line="276" w:lineRule="auto"/>
              <w:rPr>
                <w:rFonts w:hint="eastAsia" w:ascii="宋体" w:hAnsi="宋体" w:eastAsia="宋体" w:cs="Times New Roman"/>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r>
    </w:tbl>
    <w:p w14:paraId="3AB250DF">
      <w:pPr>
        <w:spacing w:line="360" w:lineRule="auto"/>
        <w:rPr>
          <w:rFonts w:hint="eastAsia" w:ascii="宋体" w:hAnsi="宋体" w:eastAsia="宋体" w:cs="Times New Roman"/>
          <w:b/>
          <w:kern w:val="0"/>
          <w:sz w:val="24"/>
        </w:rPr>
      </w:pPr>
      <w:r>
        <w:rPr>
          <w:rFonts w:hint="eastAsia" w:ascii="宋体" w:hAnsi="宋体" w:eastAsia="宋体" w:cs="Times New Roman"/>
          <w:b/>
          <w:kern w:val="0"/>
          <w:sz w:val="24"/>
        </w:rPr>
        <w:t xml:space="preserve">    </w:t>
      </w:r>
    </w:p>
    <w:p w14:paraId="65D54D5B">
      <w:pPr>
        <w:spacing w:line="360" w:lineRule="auto"/>
        <w:rPr>
          <w:rFonts w:hint="eastAsia" w:ascii="宋体" w:hAnsi="宋体" w:eastAsia="宋体" w:cs="Times New Roman"/>
          <w:b/>
          <w:sz w:val="28"/>
        </w:rPr>
      </w:pPr>
      <w:r>
        <w:rPr>
          <w:rFonts w:hint="eastAsia" w:ascii="宋体" w:hAnsi="宋体" w:eastAsia="宋体" w:cs="Times New Roman"/>
          <w:b/>
          <w:kern w:val="0"/>
          <w:sz w:val="24"/>
        </w:rPr>
        <w:t xml:space="preserve">   </w:t>
      </w:r>
      <w:r>
        <w:rPr>
          <w:rFonts w:hint="eastAsia" w:ascii="宋体" w:hAnsi="宋体" w:eastAsia="宋体" w:cs="Times New Roman"/>
          <w:b/>
          <w:color w:val="FF0000"/>
          <w:kern w:val="0"/>
          <w:sz w:val="28"/>
        </w:rPr>
        <w:t xml:space="preserve"> </w:t>
      </w:r>
      <w:bookmarkStart w:id="135" w:name="_Toc27847315"/>
      <w:r>
        <w:rPr>
          <w:rFonts w:hint="eastAsia" w:ascii="宋体" w:hAnsi="宋体" w:eastAsia="宋体" w:cs="Times New Roman"/>
          <w:b/>
          <w:sz w:val="28"/>
        </w:rPr>
        <w:t>三</w:t>
      </w:r>
      <w:r>
        <w:rPr>
          <w:rFonts w:ascii="宋体" w:hAnsi="宋体" w:eastAsia="宋体" w:cs="Times New Roman"/>
          <w:b/>
          <w:sz w:val="28"/>
        </w:rPr>
        <w:t>、课程内容及要求</w:t>
      </w:r>
      <w:bookmarkEnd w:id="135"/>
    </w:p>
    <w:p w14:paraId="43058DCD">
      <w:pPr>
        <w:spacing w:line="360" w:lineRule="auto"/>
        <w:rPr>
          <w:rFonts w:hint="eastAsia" w:ascii="宋体" w:hAnsi="宋体" w:eastAsia="宋体" w:cs="Times New Roman"/>
          <w:b/>
          <w:color w:val="000000"/>
          <w:sz w:val="24"/>
        </w:rPr>
      </w:pPr>
      <w:bookmarkStart w:id="136" w:name="_Toc27847316"/>
      <w:r>
        <w:rPr>
          <w:rFonts w:hint="eastAsia" w:ascii="宋体" w:hAnsi="宋体" w:eastAsia="宋体" w:cs="Times New Roman"/>
          <w:b/>
          <w:color w:val="000000"/>
          <w:sz w:val="24"/>
        </w:rPr>
        <w:t>（一）</w:t>
      </w:r>
      <w:r>
        <w:rPr>
          <w:rFonts w:hint="eastAsia" w:ascii="Times New Roman" w:hAnsi="Times New Roman" w:eastAsia="宋体" w:cs="Times New Roman"/>
          <w:b/>
          <w:sz w:val="24"/>
        </w:rPr>
        <w:t>社会转型与各国基础教育改革</w:t>
      </w:r>
      <w:r>
        <w:rPr>
          <w:rFonts w:hint="eastAsia" w:ascii="宋体" w:hAnsi="宋体" w:eastAsia="宋体" w:cs="Times New Roman"/>
          <w:b/>
          <w:color w:val="000000"/>
          <w:sz w:val="24"/>
        </w:rPr>
        <w:t>（本模块各知识点的讲授与学习，可以支撑课程目标1）</w:t>
      </w:r>
      <w:bookmarkEnd w:id="136"/>
    </w:p>
    <w:p w14:paraId="471DC0F9">
      <w:pPr>
        <w:autoSpaceDE w:val="0"/>
        <w:autoSpaceDN w:val="0"/>
        <w:adjustRightInd w:val="0"/>
        <w:spacing w:line="360" w:lineRule="auto"/>
        <w:jc w:val="left"/>
        <w:rPr>
          <w:rFonts w:hint="eastAsia" w:ascii="宋体" w:hAnsi="宋体" w:eastAsia="宋体" w:cs="Times New Roman"/>
          <w:b/>
          <w:sz w:val="24"/>
        </w:rPr>
      </w:pPr>
      <w:r>
        <w:rPr>
          <w:rFonts w:hint="eastAsia" w:ascii="宋体" w:hAnsi="宋体" w:eastAsia="宋体" w:cs="Times New Roman"/>
          <w:b/>
          <w:sz w:val="24"/>
        </w:rPr>
        <w:t>1. 教学内容</w:t>
      </w:r>
    </w:p>
    <w:p w14:paraId="5B80DF94">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（1）社会转型的含义与特征</w:t>
      </w:r>
    </w:p>
    <w:p w14:paraId="7A0E29C6">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（2）基础教育改革的必要性及政策分析</w:t>
      </w:r>
    </w:p>
    <w:p w14:paraId="0C65782F">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（3）基础教育改革的问题及策略</w:t>
      </w:r>
    </w:p>
    <w:p w14:paraId="2BC0623E">
      <w:pPr>
        <w:autoSpaceDE w:val="0"/>
        <w:autoSpaceDN w:val="0"/>
        <w:adjustRightInd w:val="0"/>
        <w:spacing w:line="360" w:lineRule="auto"/>
        <w:jc w:val="left"/>
        <w:rPr>
          <w:rFonts w:ascii="Times New Roman" w:hAnsi="Times New Roman" w:eastAsia="宋体" w:cs="Times New Roman"/>
          <w:sz w:val="24"/>
        </w:rPr>
      </w:pPr>
      <w:r>
        <w:rPr>
          <w:rFonts w:hint="eastAsia" w:ascii="宋体" w:hAnsi="宋体" w:eastAsia="宋体" w:cs="Times New Roman"/>
          <w:b/>
          <w:sz w:val="24"/>
        </w:rPr>
        <w:t>2．基本要求</w:t>
      </w:r>
    </w:p>
    <w:p w14:paraId="0E859CB9">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（1）了解社会转型的含义与特征</w:t>
      </w:r>
    </w:p>
    <w:p w14:paraId="36DA2186">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（2）理解社会转型与基础教育改革的关系</w:t>
      </w:r>
    </w:p>
    <w:p w14:paraId="6944F3FC">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（3）掌握基础教育改革的问题及策略</w:t>
      </w:r>
    </w:p>
    <w:p w14:paraId="1550F061">
      <w:pPr>
        <w:autoSpaceDE w:val="0"/>
        <w:autoSpaceDN w:val="0"/>
        <w:adjustRightInd w:val="0"/>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3</w:t>
      </w:r>
      <w:r>
        <w:rPr>
          <w:rFonts w:ascii="Times New Roman" w:hAnsi="Times New Roman" w:eastAsia="宋体" w:cs="Times New Roman"/>
          <w:b/>
          <w:sz w:val="24"/>
        </w:rPr>
        <w:t>.</w:t>
      </w:r>
      <w:r>
        <w:rPr>
          <w:rFonts w:hint="eastAsia" w:ascii="Times New Roman" w:hAnsi="Times New Roman" w:eastAsia="宋体" w:cs="Times New Roman"/>
          <w:b/>
          <w:sz w:val="24"/>
        </w:rPr>
        <w:t>课程</w:t>
      </w:r>
      <w:r>
        <w:rPr>
          <w:rFonts w:ascii="Times New Roman" w:hAnsi="Times New Roman" w:eastAsia="宋体" w:cs="Times New Roman"/>
          <w:b/>
          <w:sz w:val="24"/>
        </w:rPr>
        <w:t>思政</w:t>
      </w:r>
      <w:r>
        <w:rPr>
          <w:rFonts w:hint="eastAsia" w:ascii="Times New Roman" w:hAnsi="Times New Roman" w:eastAsia="宋体" w:cs="Times New Roman"/>
          <w:b/>
          <w:sz w:val="24"/>
        </w:rPr>
        <w:t>育人</w:t>
      </w:r>
      <w:r>
        <w:rPr>
          <w:rFonts w:ascii="Times New Roman" w:hAnsi="Times New Roman" w:eastAsia="宋体" w:cs="Times New Roman"/>
          <w:b/>
          <w:sz w:val="24"/>
        </w:rPr>
        <w:t>目标</w:t>
      </w:r>
    </w:p>
    <w:p w14:paraId="5D2266F1">
      <w:pPr>
        <w:autoSpaceDE w:val="0"/>
        <w:autoSpaceDN w:val="0"/>
        <w:adjustRightInd w:val="0"/>
        <w:spacing w:line="360" w:lineRule="auto"/>
        <w:ind w:firstLine="480" w:firstLineChars="200"/>
        <w:jc w:val="left"/>
        <w:rPr>
          <w:rFonts w:hint="eastAsia" w:ascii="宋体" w:hAnsi="宋体" w:eastAsia="宋体" w:cs="Times New Roman"/>
          <w:b/>
          <w:sz w:val="24"/>
        </w:rPr>
      </w:pPr>
      <w:r>
        <w:rPr>
          <w:rFonts w:ascii="Times New Roman" w:hAnsi="Times New Roman" w:eastAsia="宋体" w:cs="Times New Roman"/>
          <w:sz w:val="24"/>
        </w:rPr>
        <w:t>用马克思主义观点剖析</w:t>
      </w:r>
      <w:r>
        <w:rPr>
          <w:rFonts w:hint="eastAsia" w:ascii="Times New Roman" w:hAnsi="Times New Roman" w:eastAsia="宋体" w:cs="Times New Roman"/>
          <w:sz w:val="24"/>
        </w:rPr>
        <w:t>人类历史发展规律，理解</w:t>
      </w:r>
      <w:r>
        <w:rPr>
          <w:rFonts w:ascii="Times New Roman" w:hAnsi="Times New Roman" w:eastAsia="宋体" w:cs="Times New Roman"/>
          <w:sz w:val="24"/>
        </w:rPr>
        <w:t>我国新时代社会转型及教育</w:t>
      </w:r>
      <w:r>
        <w:rPr>
          <w:rFonts w:hint="eastAsia" w:ascii="Times New Roman" w:hAnsi="Times New Roman" w:eastAsia="宋体" w:cs="Times New Roman"/>
          <w:sz w:val="24"/>
        </w:rPr>
        <w:t>改革</w:t>
      </w:r>
      <w:r>
        <w:rPr>
          <w:rFonts w:ascii="Times New Roman" w:hAnsi="Times New Roman" w:eastAsia="宋体" w:cs="Times New Roman"/>
          <w:sz w:val="24"/>
        </w:rPr>
        <w:t>需求</w:t>
      </w:r>
      <w:r>
        <w:rPr>
          <w:rFonts w:hint="eastAsia" w:ascii="Times New Roman" w:hAnsi="Times New Roman" w:eastAsia="宋体" w:cs="Times New Roman"/>
          <w:sz w:val="24"/>
        </w:rPr>
        <w:t>；</w:t>
      </w:r>
      <w:r>
        <w:rPr>
          <w:rFonts w:ascii="Times New Roman" w:hAnsi="Times New Roman" w:eastAsia="宋体" w:cs="Times New Roman"/>
          <w:sz w:val="24"/>
        </w:rPr>
        <w:t>明确基础教育要以人民为中心</w:t>
      </w:r>
      <w:r>
        <w:rPr>
          <w:rFonts w:hint="eastAsia" w:ascii="Times New Roman" w:hAnsi="Times New Roman" w:eastAsia="宋体" w:cs="Times New Roman"/>
          <w:sz w:val="24"/>
        </w:rPr>
        <w:t>、</w:t>
      </w:r>
      <w:r>
        <w:rPr>
          <w:rFonts w:ascii="Times New Roman" w:hAnsi="Times New Roman" w:eastAsia="宋体" w:cs="Times New Roman"/>
          <w:sz w:val="24"/>
        </w:rPr>
        <w:t>发展教育要促进人的全面发展</w:t>
      </w:r>
      <w:r>
        <w:rPr>
          <w:rFonts w:hint="eastAsia" w:ascii="Times New Roman" w:hAnsi="Times New Roman" w:eastAsia="宋体" w:cs="Times New Roman"/>
          <w:sz w:val="24"/>
        </w:rPr>
        <w:t>等基本治国理念。</w:t>
      </w:r>
    </w:p>
    <w:p w14:paraId="0BD4241D">
      <w:pPr>
        <w:autoSpaceDE w:val="0"/>
        <w:autoSpaceDN w:val="0"/>
        <w:adjustRightInd w:val="0"/>
        <w:spacing w:line="360" w:lineRule="auto"/>
        <w:jc w:val="left"/>
        <w:rPr>
          <w:rFonts w:hint="eastAsia" w:ascii="宋体" w:hAnsi="宋体" w:eastAsia="宋体" w:cs="Times New Roman"/>
          <w:b/>
          <w:sz w:val="24"/>
        </w:rPr>
      </w:pPr>
      <w:r>
        <w:rPr>
          <w:rFonts w:ascii="宋体" w:hAnsi="宋体" w:eastAsia="宋体" w:cs="Times New Roman"/>
          <w:b/>
          <w:sz w:val="24"/>
        </w:rPr>
        <w:t>教学重点</w:t>
      </w:r>
      <w:r>
        <w:rPr>
          <w:rFonts w:hint="eastAsia" w:ascii="宋体" w:hAnsi="宋体" w:eastAsia="宋体" w:cs="Times New Roman"/>
          <w:b/>
          <w:sz w:val="24"/>
        </w:rPr>
        <w:t>：</w:t>
      </w:r>
      <w:r>
        <w:rPr>
          <w:rFonts w:hint="eastAsia" w:ascii="Times New Roman" w:hAnsi="Times New Roman" w:eastAsia="宋体" w:cs="Times New Roman"/>
          <w:sz w:val="24"/>
        </w:rPr>
        <w:t>基础教育改革的必要性</w:t>
      </w:r>
    </w:p>
    <w:p w14:paraId="647A29F9">
      <w:pPr>
        <w:autoSpaceDE w:val="0"/>
        <w:autoSpaceDN w:val="0"/>
        <w:adjustRightInd w:val="0"/>
        <w:spacing w:line="360" w:lineRule="auto"/>
        <w:jc w:val="left"/>
        <w:rPr>
          <w:rFonts w:hint="eastAsia" w:ascii="宋体" w:hAnsi="宋体" w:eastAsia="宋体" w:cs="Times New Roman"/>
          <w:b/>
          <w:sz w:val="24"/>
        </w:rPr>
      </w:pPr>
      <w:r>
        <w:rPr>
          <w:rFonts w:hint="eastAsia" w:ascii="宋体" w:hAnsi="宋体" w:eastAsia="宋体" w:cs="Times New Roman"/>
          <w:b/>
          <w:sz w:val="24"/>
        </w:rPr>
        <w:t>教学难点：</w:t>
      </w:r>
      <w:r>
        <w:rPr>
          <w:rFonts w:hint="eastAsia" w:ascii="Times New Roman" w:hAnsi="Times New Roman" w:eastAsia="宋体" w:cs="Times New Roman"/>
          <w:sz w:val="24"/>
        </w:rPr>
        <w:t>基础教育当下的问题</w:t>
      </w:r>
    </w:p>
    <w:p w14:paraId="3DA93390">
      <w:pPr>
        <w:spacing w:line="360" w:lineRule="auto"/>
        <w:rPr>
          <w:rFonts w:hint="eastAsia" w:ascii="宋体" w:hAnsi="宋体" w:eastAsia="宋体" w:cs="Times New Roman"/>
          <w:b/>
          <w:sz w:val="24"/>
        </w:rPr>
      </w:pPr>
      <w:bookmarkStart w:id="137" w:name="_Toc27847317"/>
      <w:r>
        <w:rPr>
          <w:rFonts w:hint="eastAsia" w:ascii="宋体" w:hAnsi="宋体" w:eastAsia="宋体" w:cs="Times New Roman"/>
          <w:b/>
          <w:color w:val="000000"/>
          <w:sz w:val="24"/>
        </w:rPr>
        <w:t>（二）</w:t>
      </w:r>
      <w:r>
        <w:rPr>
          <w:rFonts w:hint="eastAsia" w:ascii="Times New Roman" w:hAnsi="Times New Roman" w:eastAsia="宋体" w:cs="Times New Roman"/>
          <w:b/>
          <w:sz w:val="24"/>
        </w:rPr>
        <w:t>美国基础教育改革热点</w:t>
      </w:r>
      <w:r>
        <w:rPr>
          <w:rFonts w:hint="eastAsia" w:ascii="宋体" w:hAnsi="宋体" w:eastAsia="宋体" w:cs="Times New Roman"/>
          <w:b/>
          <w:sz w:val="24"/>
        </w:rPr>
        <w:t>（本模块各知识点的讲授与学习，可以支撑课程目标2、</w:t>
      </w:r>
      <w:r>
        <w:rPr>
          <w:rFonts w:hint="eastAsia" w:ascii="宋体" w:hAnsi="宋体" w:eastAsia="宋体" w:cs="Times New Roman"/>
          <w:b/>
          <w:color w:val="000000"/>
          <w:sz w:val="24"/>
        </w:rPr>
        <w:t>课程目标4</w:t>
      </w:r>
      <w:r>
        <w:rPr>
          <w:rFonts w:hint="eastAsia" w:ascii="宋体" w:hAnsi="宋体" w:eastAsia="宋体" w:cs="Times New Roman"/>
          <w:b/>
          <w:sz w:val="24"/>
        </w:rPr>
        <w:t>）</w:t>
      </w:r>
      <w:bookmarkEnd w:id="137"/>
    </w:p>
    <w:p w14:paraId="1F2BE9B1">
      <w:pPr>
        <w:autoSpaceDE w:val="0"/>
        <w:autoSpaceDN w:val="0"/>
        <w:adjustRightInd w:val="0"/>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1．教学内容</w:t>
      </w:r>
    </w:p>
    <w:p w14:paraId="72B0DEA0">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）美国基础教育改革的进程</w:t>
      </w:r>
    </w:p>
    <w:p w14:paraId="06598A3A">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）美国基础教育改革的问题</w:t>
      </w:r>
    </w:p>
    <w:p w14:paraId="34188E57">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w:t>
      </w:r>
      <w:r>
        <w:rPr>
          <w:rFonts w:hint="eastAsia" w:ascii="Times New Roman" w:hAnsi="Times New Roman" w:eastAsia="宋体" w:cs="Times New Roman"/>
          <w:sz w:val="24"/>
        </w:rPr>
        <w:t>）美国基础教育改革的现实意义</w:t>
      </w:r>
    </w:p>
    <w:p w14:paraId="2D196D15">
      <w:pPr>
        <w:autoSpaceDE w:val="0"/>
        <w:autoSpaceDN w:val="0"/>
        <w:adjustRightInd w:val="0"/>
        <w:spacing w:line="360" w:lineRule="auto"/>
        <w:jc w:val="left"/>
        <w:rPr>
          <w:rFonts w:ascii="Times New Roman" w:hAnsi="Times New Roman" w:eastAsia="宋体" w:cs="Times New Roman"/>
          <w:sz w:val="24"/>
        </w:rPr>
      </w:pPr>
      <w:r>
        <w:rPr>
          <w:rFonts w:hint="eastAsia" w:ascii="宋体" w:hAnsi="宋体" w:eastAsia="宋体" w:cs="Times New Roman"/>
          <w:b/>
          <w:sz w:val="24"/>
        </w:rPr>
        <w:t>2．基本要求</w:t>
      </w:r>
    </w:p>
    <w:p w14:paraId="437A916D">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）了解美国基础教育改革的概况</w:t>
      </w:r>
    </w:p>
    <w:p w14:paraId="5029D16C">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（2）掌握美国基础教育的精神实质及对中国的启示</w:t>
      </w:r>
    </w:p>
    <w:p w14:paraId="6F53F95E">
      <w:pPr>
        <w:autoSpaceDE w:val="0"/>
        <w:autoSpaceDN w:val="0"/>
        <w:adjustRightInd w:val="0"/>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课程思政育人目标</w:t>
      </w:r>
    </w:p>
    <w:p w14:paraId="039282E3">
      <w:pPr>
        <w:spacing w:line="360" w:lineRule="auto"/>
        <w:ind w:firstLine="480" w:firstLineChars="200"/>
        <w:rPr>
          <w:rFonts w:hint="eastAsia" w:ascii="宋体" w:hAnsi="宋体" w:eastAsia="宋体" w:cs="Times New Roman"/>
          <w:color w:val="000000"/>
          <w:sz w:val="24"/>
        </w:rPr>
      </w:pPr>
      <w:r>
        <w:rPr>
          <w:rFonts w:hint="eastAsia" w:ascii="宋体" w:hAnsi="宋体" w:eastAsia="宋体" w:cs="Times New Roman"/>
          <w:color w:val="000000"/>
          <w:sz w:val="24"/>
        </w:rPr>
        <w:t xml:space="preserve">用马克思辩证唯物主义的观点全面分析美国基础教育改革的历史背景，以客观开放的心态吸收借鉴国外先进教育改革经验；坚持中国特色社会主义文化自信。 </w:t>
      </w:r>
    </w:p>
    <w:p w14:paraId="26B3FC22">
      <w:pPr>
        <w:spacing w:line="360" w:lineRule="auto"/>
        <w:rPr>
          <w:rFonts w:hint="eastAsia" w:ascii="宋体" w:hAnsi="宋体" w:eastAsia="宋体" w:cs="Times New Roman"/>
          <w:b/>
          <w:color w:val="000000"/>
          <w:sz w:val="24"/>
        </w:rPr>
      </w:pPr>
      <w:bookmarkStart w:id="138" w:name="_Toc27847318"/>
      <w:r>
        <w:rPr>
          <w:rFonts w:hint="eastAsia" w:ascii="宋体" w:hAnsi="宋体" w:eastAsia="宋体" w:cs="Times New Roman"/>
          <w:b/>
          <w:color w:val="000000"/>
          <w:sz w:val="24"/>
        </w:rPr>
        <w:t>教学重点：</w:t>
      </w:r>
      <w:r>
        <w:rPr>
          <w:rFonts w:hint="eastAsia" w:ascii="Times New Roman" w:hAnsi="Times New Roman" w:eastAsia="宋体" w:cs="Times New Roman"/>
          <w:sz w:val="24"/>
        </w:rPr>
        <w:t>美国基础教育改革的概况</w:t>
      </w:r>
      <w:bookmarkEnd w:id="138"/>
    </w:p>
    <w:p w14:paraId="61DC6AA2">
      <w:pPr>
        <w:spacing w:line="360" w:lineRule="auto"/>
        <w:rPr>
          <w:rFonts w:hint="eastAsia" w:ascii="宋体" w:hAnsi="宋体" w:eastAsia="宋体" w:cs="Times New Roman"/>
          <w:b/>
          <w:color w:val="000000"/>
          <w:sz w:val="24"/>
        </w:rPr>
      </w:pPr>
      <w:bookmarkStart w:id="139" w:name="_Toc27847319"/>
      <w:r>
        <w:rPr>
          <w:rFonts w:hint="eastAsia" w:ascii="宋体" w:hAnsi="宋体" w:eastAsia="宋体" w:cs="Times New Roman"/>
          <w:b/>
          <w:color w:val="000000"/>
          <w:sz w:val="24"/>
        </w:rPr>
        <w:t>教学难点：</w:t>
      </w:r>
      <w:r>
        <w:rPr>
          <w:rFonts w:hint="eastAsia" w:ascii="Times New Roman" w:hAnsi="Times New Roman" w:eastAsia="宋体" w:cs="Times New Roman"/>
          <w:sz w:val="24"/>
        </w:rPr>
        <w:t>美国基础教育改革对中国的启示</w:t>
      </w:r>
      <w:bookmarkEnd w:id="139"/>
    </w:p>
    <w:p w14:paraId="5FF3B13A">
      <w:pPr>
        <w:autoSpaceDE w:val="0"/>
        <w:autoSpaceDN w:val="0"/>
        <w:adjustRightInd w:val="0"/>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（三）英国基础教育改革热点</w:t>
      </w:r>
      <w:r>
        <w:rPr>
          <w:rFonts w:hint="eastAsia" w:ascii="宋体" w:hAnsi="宋体" w:eastAsia="宋体" w:cs="Times New Roman"/>
          <w:b/>
          <w:sz w:val="24"/>
        </w:rPr>
        <w:t>（本模块各知识点的讲授与学习，可以支撑课程目标2、</w:t>
      </w:r>
      <w:r>
        <w:rPr>
          <w:rFonts w:hint="eastAsia" w:ascii="宋体" w:hAnsi="宋体" w:eastAsia="宋体" w:cs="Times New Roman"/>
          <w:b/>
          <w:color w:val="000000"/>
          <w:sz w:val="24"/>
        </w:rPr>
        <w:t>课程目标4</w:t>
      </w:r>
      <w:r>
        <w:rPr>
          <w:rFonts w:hint="eastAsia" w:ascii="宋体" w:hAnsi="宋体" w:eastAsia="宋体" w:cs="Times New Roman"/>
          <w:b/>
          <w:sz w:val="24"/>
        </w:rPr>
        <w:t>）</w:t>
      </w:r>
    </w:p>
    <w:p w14:paraId="22E2D8E3">
      <w:pPr>
        <w:autoSpaceDE w:val="0"/>
        <w:autoSpaceDN w:val="0"/>
        <w:adjustRightInd w:val="0"/>
        <w:spacing w:line="360" w:lineRule="auto"/>
        <w:jc w:val="left"/>
        <w:rPr>
          <w:rFonts w:hint="eastAsia" w:ascii="宋体" w:hAnsi="宋体" w:eastAsia="宋体" w:cs="Times New Roman"/>
          <w:b/>
          <w:sz w:val="24"/>
        </w:rPr>
      </w:pPr>
      <w:r>
        <w:rPr>
          <w:rFonts w:ascii="宋体" w:hAnsi="宋体" w:eastAsia="宋体" w:cs="Times New Roman"/>
          <w:b/>
          <w:sz w:val="24"/>
        </w:rPr>
        <w:t>1</w:t>
      </w:r>
      <w:r>
        <w:rPr>
          <w:rFonts w:hint="eastAsia" w:ascii="宋体" w:hAnsi="宋体" w:eastAsia="宋体" w:cs="Times New Roman"/>
          <w:b/>
          <w:sz w:val="24"/>
        </w:rPr>
        <w:t>．教学内容</w:t>
      </w:r>
    </w:p>
    <w:p w14:paraId="73A735A2">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）英国基础教育改革的进程</w:t>
      </w:r>
    </w:p>
    <w:p w14:paraId="70C17864">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（2）英国基础教育改革的问题</w:t>
      </w:r>
    </w:p>
    <w:p w14:paraId="49348DF0">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（3）英国基础教育改革的现实意义</w:t>
      </w:r>
    </w:p>
    <w:p w14:paraId="0036028A">
      <w:pPr>
        <w:autoSpaceDE w:val="0"/>
        <w:autoSpaceDN w:val="0"/>
        <w:adjustRightInd w:val="0"/>
        <w:spacing w:line="360" w:lineRule="auto"/>
        <w:jc w:val="left"/>
        <w:rPr>
          <w:rFonts w:hint="eastAsia" w:ascii="宋体" w:hAnsi="宋体" w:eastAsia="宋体" w:cs="Times New Roman"/>
          <w:b/>
          <w:sz w:val="24"/>
        </w:rPr>
      </w:pPr>
      <w:r>
        <w:rPr>
          <w:rFonts w:hint="eastAsia" w:ascii="宋体" w:hAnsi="宋体" w:eastAsia="宋体" w:cs="Times New Roman"/>
          <w:b/>
          <w:sz w:val="24"/>
        </w:rPr>
        <w:t>2. 基本要求</w:t>
      </w:r>
    </w:p>
    <w:p w14:paraId="330C0D26">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（1）了解英国基础教育改革的概况</w:t>
      </w:r>
    </w:p>
    <w:p w14:paraId="70613A4D">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（2）掌握英国基础教育的精神实质及对中国的启示</w:t>
      </w:r>
    </w:p>
    <w:p w14:paraId="5D069FD8">
      <w:pPr>
        <w:autoSpaceDE w:val="0"/>
        <w:autoSpaceDN w:val="0"/>
        <w:adjustRightInd w:val="0"/>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课程思政育人目标</w:t>
      </w:r>
    </w:p>
    <w:p w14:paraId="622F15AE">
      <w:pPr>
        <w:spacing w:line="360" w:lineRule="auto"/>
        <w:ind w:firstLine="480" w:firstLineChars="200"/>
        <w:rPr>
          <w:rFonts w:hint="eastAsia" w:ascii="宋体" w:hAnsi="宋体" w:eastAsia="宋体" w:cs="Times New Roman"/>
          <w:color w:val="000000"/>
          <w:sz w:val="24"/>
        </w:rPr>
      </w:pPr>
      <w:bookmarkStart w:id="140" w:name="_Toc27847320"/>
      <w:r>
        <w:rPr>
          <w:rFonts w:hint="eastAsia" w:ascii="宋体" w:hAnsi="宋体" w:eastAsia="宋体" w:cs="Times New Roman"/>
          <w:color w:val="000000"/>
          <w:sz w:val="24"/>
        </w:rPr>
        <w:t>用马克思辩证唯物主义的观点全面分析英国基础教育改革的历史背景，以客观开放的心态吸收借鉴国外先进教育改革经验；坚持中国特色社会主义文化自信。</w:t>
      </w:r>
    </w:p>
    <w:p w14:paraId="435FA9D9">
      <w:pPr>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教学重点：</w:t>
      </w:r>
      <w:r>
        <w:rPr>
          <w:rFonts w:hint="eastAsia" w:ascii="Times New Roman" w:hAnsi="Times New Roman" w:eastAsia="宋体" w:cs="Times New Roman"/>
          <w:sz w:val="24"/>
        </w:rPr>
        <w:t>英国基础教育改革的概况</w:t>
      </w:r>
      <w:bookmarkEnd w:id="140"/>
    </w:p>
    <w:p w14:paraId="4803CA6A">
      <w:pPr>
        <w:spacing w:line="360" w:lineRule="auto"/>
        <w:rPr>
          <w:rFonts w:hint="eastAsia" w:ascii="宋体" w:hAnsi="宋体" w:eastAsia="宋体" w:cs="Times New Roman"/>
          <w:b/>
          <w:color w:val="000000"/>
          <w:sz w:val="24"/>
        </w:rPr>
      </w:pPr>
      <w:bookmarkStart w:id="141" w:name="_Toc27847321"/>
      <w:r>
        <w:rPr>
          <w:rFonts w:hint="eastAsia" w:ascii="宋体" w:hAnsi="宋体" w:eastAsia="宋体" w:cs="Times New Roman"/>
          <w:b/>
          <w:color w:val="000000"/>
          <w:sz w:val="24"/>
        </w:rPr>
        <w:t>教学难点：</w:t>
      </w:r>
      <w:r>
        <w:rPr>
          <w:rFonts w:hint="eastAsia" w:ascii="Times New Roman" w:hAnsi="Times New Roman" w:eastAsia="宋体" w:cs="Times New Roman"/>
          <w:sz w:val="24"/>
        </w:rPr>
        <w:t>英国基础教育改革对中国的启示</w:t>
      </w:r>
      <w:bookmarkEnd w:id="141"/>
    </w:p>
    <w:p w14:paraId="54792384">
      <w:pPr>
        <w:autoSpaceDE w:val="0"/>
        <w:autoSpaceDN w:val="0"/>
        <w:adjustRightInd w:val="0"/>
        <w:spacing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（四）</w:t>
      </w:r>
      <w:r>
        <w:rPr>
          <w:rFonts w:hint="eastAsia" w:ascii="Times New Roman" w:hAnsi="Times New Roman" w:eastAsia="宋体" w:cs="Times New Roman"/>
          <w:b/>
          <w:sz w:val="24"/>
        </w:rPr>
        <w:t>日本基础教育改革热点</w:t>
      </w:r>
      <w:r>
        <w:rPr>
          <w:rFonts w:hint="eastAsia" w:ascii="宋体" w:hAnsi="宋体" w:eastAsia="宋体" w:cs="Times New Roman"/>
          <w:b/>
          <w:sz w:val="24"/>
        </w:rPr>
        <w:t>（本模块各知识点的讲授与学习，可以支撑课程目标2、</w:t>
      </w:r>
      <w:r>
        <w:rPr>
          <w:rFonts w:hint="eastAsia" w:ascii="宋体" w:hAnsi="宋体" w:eastAsia="宋体" w:cs="Times New Roman"/>
          <w:b/>
          <w:color w:val="000000"/>
          <w:sz w:val="24"/>
        </w:rPr>
        <w:t>课程目标4</w:t>
      </w:r>
      <w:r>
        <w:rPr>
          <w:rFonts w:hint="eastAsia" w:ascii="宋体" w:hAnsi="宋体" w:eastAsia="宋体" w:cs="Times New Roman"/>
          <w:b/>
          <w:sz w:val="24"/>
        </w:rPr>
        <w:t>）</w:t>
      </w:r>
    </w:p>
    <w:p w14:paraId="46546515">
      <w:pPr>
        <w:autoSpaceDE w:val="0"/>
        <w:autoSpaceDN w:val="0"/>
        <w:adjustRightInd w:val="0"/>
        <w:spacing w:line="360" w:lineRule="auto"/>
        <w:jc w:val="left"/>
        <w:rPr>
          <w:rFonts w:hint="eastAsia" w:ascii="宋体" w:hAnsi="宋体" w:eastAsia="宋体" w:cs="Times New Roman"/>
          <w:b/>
          <w:sz w:val="24"/>
        </w:rPr>
      </w:pPr>
      <w:r>
        <w:rPr>
          <w:rFonts w:ascii="宋体" w:hAnsi="宋体" w:eastAsia="宋体" w:cs="Times New Roman"/>
          <w:b/>
          <w:sz w:val="24"/>
        </w:rPr>
        <w:t>1</w:t>
      </w:r>
      <w:r>
        <w:rPr>
          <w:rFonts w:hint="eastAsia" w:ascii="宋体" w:hAnsi="宋体" w:eastAsia="宋体" w:cs="Times New Roman"/>
          <w:b/>
          <w:sz w:val="24"/>
        </w:rPr>
        <w:t>．教学内容</w:t>
      </w:r>
    </w:p>
    <w:p w14:paraId="2EB6A036">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）日本基础教育改革的进程</w:t>
      </w:r>
    </w:p>
    <w:p w14:paraId="2F2CF955">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（2）日本基础教育改革的问题</w:t>
      </w:r>
    </w:p>
    <w:p w14:paraId="6B65F0D1">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（3）日本基础教育改革的现实意义</w:t>
      </w:r>
    </w:p>
    <w:p w14:paraId="40D471F2">
      <w:pPr>
        <w:autoSpaceDE w:val="0"/>
        <w:autoSpaceDN w:val="0"/>
        <w:adjustRightInd w:val="0"/>
        <w:spacing w:line="360" w:lineRule="auto"/>
        <w:jc w:val="left"/>
        <w:rPr>
          <w:rFonts w:hint="eastAsia" w:ascii="宋体" w:hAnsi="宋体" w:eastAsia="宋体" w:cs="Times New Roman"/>
          <w:b/>
          <w:sz w:val="24"/>
        </w:rPr>
      </w:pPr>
      <w:r>
        <w:rPr>
          <w:rFonts w:hint="eastAsia" w:ascii="宋体" w:hAnsi="宋体" w:eastAsia="宋体" w:cs="Times New Roman"/>
          <w:b/>
          <w:sz w:val="24"/>
        </w:rPr>
        <w:t>2. 基本要求</w:t>
      </w:r>
    </w:p>
    <w:p w14:paraId="312419AC">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（1）了解日本基础教育改革的概况</w:t>
      </w:r>
    </w:p>
    <w:p w14:paraId="50F99D45">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（2）掌握日本基础教育的精神实质及对中国的启示</w:t>
      </w:r>
    </w:p>
    <w:p w14:paraId="13134C57">
      <w:pPr>
        <w:autoSpaceDE w:val="0"/>
        <w:autoSpaceDN w:val="0"/>
        <w:adjustRightInd w:val="0"/>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课程思政育人目标</w:t>
      </w:r>
    </w:p>
    <w:p w14:paraId="66646B23">
      <w:pPr>
        <w:spacing w:line="360" w:lineRule="auto"/>
        <w:ind w:firstLine="480" w:firstLineChars="200"/>
        <w:rPr>
          <w:rFonts w:hint="eastAsia" w:ascii="宋体" w:hAnsi="宋体" w:eastAsia="宋体" w:cs="Times New Roman"/>
          <w:color w:val="000000"/>
          <w:sz w:val="24"/>
        </w:rPr>
      </w:pPr>
      <w:bookmarkStart w:id="142" w:name="_Toc27847322"/>
      <w:r>
        <w:rPr>
          <w:rFonts w:hint="eastAsia" w:ascii="宋体" w:hAnsi="宋体" w:eastAsia="宋体" w:cs="Times New Roman"/>
          <w:color w:val="000000"/>
          <w:sz w:val="24"/>
        </w:rPr>
        <w:t>用马克思辩证唯物主义的观点全面分析日本基础教育改革的历史背景，以客观开放的心态吸收借鉴国外先进教育改革经验；坚持中国特色社会主义文化自信。</w:t>
      </w:r>
    </w:p>
    <w:p w14:paraId="356F0D22">
      <w:pPr>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教学重点：</w:t>
      </w:r>
      <w:r>
        <w:rPr>
          <w:rFonts w:hint="eastAsia" w:ascii="Times New Roman" w:hAnsi="Times New Roman" w:eastAsia="宋体" w:cs="Times New Roman"/>
          <w:sz w:val="24"/>
        </w:rPr>
        <w:t>日本基础教育改革的概况</w:t>
      </w:r>
      <w:bookmarkEnd w:id="142"/>
    </w:p>
    <w:p w14:paraId="0057AF04">
      <w:pPr>
        <w:spacing w:line="360" w:lineRule="auto"/>
        <w:rPr>
          <w:rFonts w:hint="eastAsia" w:ascii="宋体" w:hAnsi="宋体" w:eastAsia="宋体" w:cs="Times New Roman"/>
          <w:b/>
          <w:color w:val="000000"/>
          <w:sz w:val="24"/>
        </w:rPr>
      </w:pPr>
      <w:bookmarkStart w:id="143" w:name="_Toc27847323"/>
      <w:r>
        <w:rPr>
          <w:rFonts w:hint="eastAsia" w:ascii="宋体" w:hAnsi="宋体" w:eastAsia="宋体" w:cs="Times New Roman"/>
          <w:b/>
          <w:color w:val="000000"/>
          <w:sz w:val="24"/>
        </w:rPr>
        <w:t>教学难点：</w:t>
      </w:r>
      <w:r>
        <w:rPr>
          <w:rFonts w:hint="eastAsia" w:ascii="Times New Roman" w:hAnsi="Times New Roman" w:eastAsia="宋体" w:cs="Times New Roman"/>
          <w:sz w:val="24"/>
        </w:rPr>
        <w:t>日本基础教育改革对中国的启示</w:t>
      </w:r>
      <w:bookmarkEnd w:id="143"/>
    </w:p>
    <w:p w14:paraId="3EE1E1E1">
      <w:pPr>
        <w:spacing w:line="360" w:lineRule="auto"/>
        <w:rPr>
          <w:rFonts w:hint="eastAsia" w:ascii="宋体" w:hAnsi="宋体" w:eastAsia="宋体" w:cs="Times New Roman"/>
          <w:b/>
          <w:color w:val="FF0000"/>
          <w:sz w:val="24"/>
        </w:rPr>
      </w:pPr>
      <w:bookmarkStart w:id="144" w:name="_Toc27847324"/>
      <w:r>
        <w:rPr>
          <w:rFonts w:hint="eastAsia" w:ascii="宋体" w:hAnsi="宋体" w:eastAsia="宋体" w:cs="Times New Roman"/>
          <w:b/>
          <w:color w:val="000000"/>
          <w:sz w:val="24"/>
        </w:rPr>
        <w:t>（五）中国</w:t>
      </w:r>
      <w:r>
        <w:rPr>
          <w:rFonts w:hint="eastAsia" w:ascii="Times New Roman" w:hAnsi="Times New Roman" w:eastAsia="宋体" w:cs="Times New Roman"/>
          <w:b/>
          <w:sz w:val="24"/>
        </w:rPr>
        <w:t>基础教育课程改革</w:t>
      </w:r>
      <w:r>
        <w:rPr>
          <w:rFonts w:hint="eastAsia" w:ascii="宋体" w:hAnsi="宋体" w:eastAsia="宋体" w:cs="Times New Roman"/>
          <w:b/>
          <w:color w:val="000000"/>
          <w:sz w:val="24"/>
        </w:rPr>
        <w:t>（本模块各知识点的讲授与学习，可以支撑课程目标3、课程目标4）</w:t>
      </w:r>
      <w:bookmarkEnd w:id="144"/>
    </w:p>
    <w:p w14:paraId="7AA33BC5">
      <w:pPr>
        <w:spacing w:line="360" w:lineRule="auto"/>
        <w:rPr>
          <w:rFonts w:hint="eastAsia" w:ascii="宋体" w:hAnsi="宋体" w:eastAsia="宋体" w:cs="Times New Roman"/>
          <w:b/>
          <w:color w:val="000000"/>
          <w:sz w:val="24"/>
        </w:rPr>
      </w:pPr>
      <w:r>
        <w:rPr>
          <w:rFonts w:ascii="宋体" w:hAnsi="宋体" w:eastAsia="宋体" w:cs="Times New Roman"/>
          <w:b/>
          <w:color w:val="000000"/>
          <w:sz w:val="24"/>
        </w:rPr>
        <w:t>1.教学内容</w:t>
      </w:r>
    </w:p>
    <w:p w14:paraId="6338E448">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）基础教育课程改革的国际潮流</w:t>
      </w:r>
    </w:p>
    <w:p w14:paraId="189A97C5">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）我国基础教育课程改革的历史演进</w:t>
      </w:r>
    </w:p>
    <w:p w14:paraId="7DBD0C79">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w:t>
      </w:r>
      <w:r>
        <w:rPr>
          <w:rFonts w:hint="eastAsia" w:ascii="Times New Roman" w:hAnsi="Times New Roman" w:eastAsia="宋体" w:cs="Times New Roman"/>
          <w:sz w:val="24"/>
        </w:rPr>
        <w:t>）我国基础教育课程改革的政策分析</w:t>
      </w:r>
    </w:p>
    <w:p w14:paraId="589468BB">
      <w:pPr>
        <w:autoSpaceDE w:val="0"/>
        <w:autoSpaceDN w:val="0"/>
        <w:adjustRightInd w:val="0"/>
        <w:spacing w:line="360" w:lineRule="auto"/>
        <w:jc w:val="left"/>
        <w:rPr>
          <w:rFonts w:hint="eastAsia" w:ascii="宋体" w:hAnsi="宋体" w:eastAsia="宋体" w:cs="Times New Roman"/>
          <w:b/>
          <w:color w:val="000000"/>
          <w:sz w:val="24"/>
        </w:rPr>
      </w:pPr>
      <w:r>
        <w:rPr>
          <w:rFonts w:ascii="宋体" w:hAnsi="宋体" w:eastAsia="宋体" w:cs="Times New Roman"/>
          <w:b/>
          <w:color w:val="000000"/>
          <w:sz w:val="24"/>
        </w:rPr>
        <w:t>2</w:t>
      </w:r>
      <w:r>
        <w:rPr>
          <w:rFonts w:hint="eastAsia" w:ascii="宋体" w:hAnsi="宋体" w:eastAsia="宋体" w:cs="Times New Roman"/>
          <w:b/>
          <w:color w:val="000000"/>
          <w:sz w:val="24"/>
        </w:rPr>
        <w:t>.基本要求</w:t>
      </w:r>
    </w:p>
    <w:p w14:paraId="5082A1A1">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（1）了解基础教育课程改革的国际潮流</w:t>
      </w:r>
    </w:p>
    <w:p w14:paraId="3E7F7335">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（2）理解我国基础教育课程改革的历史演进</w:t>
      </w:r>
    </w:p>
    <w:p w14:paraId="3A738A4D">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（3）</w:t>
      </w:r>
      <w:r>
        <w:rPr>
          <w:rFonts w:hint="eastAsia" w:ascii="宋体" w:hAnsi="宋体" w:eastAsia="宋体" w:cs="Times New Roman"/>
          <w:color w:val="000000"/>
          <w:sz w:val="24"/>
        </w:rPr>
        <w:t>掌握</w:t>
      </w:r>
      <w:r>
        <w:rPr>
          <w:rFonts w:hint="eastAsia" w:ascii="Times New Roman" w:hAnsi="Times New Roman" w:eastAsia="宋体" w:cs="Times New Roman"/>
          <w:sz w:val="24"/>
        </w:rPr>
        <w:t>基础教育课程改革的政策及执行</w:t>
      </w:r>
    </w:p>
    <w:p w14:paraId="7D8D81D6">
      <w:pPr>
        <w:autoSpaceDE w:val="0"/>
        <w:autoSpaceDN w:val="0"/>
        <w:adjustRightInd w:val="0"/>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课程思政育人目标</w:t>
      </w:r>
    </w:p>
    <w:p w14:paraId="38BAF517">
      <w:pPr>
        <w:spacing w:line="360" w:lineRule="auto"/>
        <w:ind w:firstLine="480" w:firstLineChars="200"/>
        <w:rPr>
          <w:rFonts w:hint="eastAsia" w:ascii="宋体" w:hAnsi="宋体" w:eastAsia="宋体" w:cs="Times New Roman"/>
          <w:b/>
          <w:color w:val="000000"/>
          <w:sz w:val="24"/>
        </w:rPr>
      </w:pPr>
      <w:r>
        <w:rPr>
          <w:rFonts w:hint="eastAsia" w:ascii="Times New Roman" w:hAnsi="Times New Roman" w:eastAsia="宋体" w:cs="Times New Roman"/>
          <w:sz w:val="24"/>
        </w:rPr>
        <w:t>以历史唯物主义观点全面分析基础教育课程改革的国际动向，坚持把服务中华民族伟大复兴作为我国基础教育改革的重要历史使命；坚持基础教育的社会主义办学方向，培养全面发展的中国人。</w:t>
      </w:r>
    </w:p>
    <w:p w14:paraId="7759410E">
      <w:pPr>
        <w:spacing w:line="360" w:lineRule="auto"/>
        <w:rPr>
          <w:rFonts w:hint="eastAsia" w:ascii="宋体" w:hAnsi="宋体" w:eastAsia="宋体" w:cs="Times New Roman"/>
          <w:color w:val="000000"/>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Times New Roman" w:hAnsi="Times New Roman" w:eastAsia="宋体" w:cs="Times New Roman"/>
          <w:sz w:val="24"/>
        </w:rPr>
        <w:t>基础教育课程改革的政策</w:t>
      </w:r>
    </w:p>
    <w:p w14:paraId="36219DCA">
      <w:pPr>
        <w:spacing w:line="360" w:lineRule="auto"/>
        <w:rPr>
          <w:rFonts w:hint="eastAsia" w:ascii="宋体" w:hAnsi="宋体" w:eastAsia="宋体" w:cs="Times New Roman"/>
          <w:color w:val="000000"/>
          <w:sz w:val="24"/>
        </w:rPr>
      </w:pPr>
      <w:r>
        <w:rPr>
          <w:rFonts w:hint="eastAsia" w:ascii="宋体" w:hAnsi="宋体" w:eastAsia="宋体" w:cs="Times New Roman"/>
          <w:b/>
          <w:sz w:val="24"/>
        </w:rPr>
        <w:t>教学难点</w:t>
      </w:r>
      <w:r>
        <w:rPr>
          <w:rFonts w:ascii="宋体" w:hAnsi="宋体" w:eastAsia="宋体" w:cs="Times New Roman"/>
          <w:b/>
          <w:sz w:val="24"/>
        </w:rPr>
        <w:t>：</w:t>
      </w:r>
      <w:r>
        <w:rPr>
          <w:rFonts w:hint="eastAsia" w:ascii="Times New Roman" w:hAnsi="Times New Roman" w:eastAsia="宋体" w:cs="Times New Roman"/>
          <w:sz w:val="24"/>
        </w:rPr>
        <w:t>当下课程改革中存在的教育立场问题</w:t>
      </w:r>
    </w:p>
    <w:p w14:paraId="42AF10D8">
      <w:pPr>
        <w:spacing w:line="360" w:lineRule="auto"/>
        <w:rPr>
          <w:rFonts w:hint="eastAsia" w:ascii="宋体" w:hAnsi="宋体" w:eastAsia="宋体" w:cs="Times New Roman"/>
          <w:b/>
          <w:color w:val="000000"/>
          <w:sz w:val="24"/>
        </w:rPr>
      </w:pPr>
      <w:bookmarkStart w:id="145" w:name="_Toc27847325"/>
      <w:r>
        <w:rPr>
          <w:rFonts w:hint="eastAsia" w:ascii="宋体" w:hAnsi="宋体" w:eastAsia="宋体" w:cs="Times New Roman"/>
          <w:b/>
          <w:color w:val="000000"/>
          <w:sz w:val="24"/>
        </w:rPr>
        <w:t>（六）中国</w:t>
      </w:r>
      <w:r>
        <w:rPr>
          <w:rFonts w:hint="eastAsia" w:ascii="Times New Roman" w:hAnsi="Times New Roman" w:eastAsia="宋体" w:cs="Times New Roman"/>
          <w:b/>
          <w:sz w:val="24"/>
        </w:rPr>
        <w:t>基础教育课堂教学改革</w:t>
      </w:r>
      <w:r>
        <w:rPr>
          <w:rFonts w:hint="eastAsia" w:ascii="宋体" w:hAnsi="宋体" w:eastAsia="宋体" w:cs="Times New Roman"/>
          <w:b/>
          <w:color w:val="000000"/>
          <w:sz w:val="24"/>
        </w:rPr>
        <w:t>（本模块各知识点的讲授与学习，可以支撑课程目标3、课程目标4）</w:t>
      </w:r>
      <w:bookmarkEnd w:id="145"/>
    </w:p>
    <w:p w14:paraId="51260CBA">
      <w:pPr>
        <w:spacing w:line="360" w:lineRule="auto"/>
        <w:rPr>
          <w:rFonts w:hint="eastAsia" w:ascii="宋体" w:hAnsi="宋体" w:eastAsia="宋体" w:cs="Times New Roman"/>
          <w:b/>
          <w:color w:val="000000"/>
          <w:sz w:val="24"/>
        </w:rPr>
      </w:pPr>
      <w:r>
        <w:rPr>
          <w:rFonts w:ascii="宋体" w:hAnsi="宋体" w:eastAsia="宋体" w:cs="Times New Roman"/>
          <w:b/>
          <w:color w:val="000000"/>
          <w:sz w:val="24"/>
        </w:rPr>
        <w:t>1.教学内容</w:t>
      </w:r>
    </w:p>
    <w:p w14:paraId="3BC328BE">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）基础教育课堂教学目标</w:t>
      </w:r>
    </w:p>
    <w:p w14:paraId="48FECD73">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）基础教育课堂教学过程</w:t>
      </w:r>
    </w:p>
    <w:p w14:paraId="721C991B">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w:t>
      </w:r>
      <w:r>
        <w:rPr>
          <w:rFonts w:hint="eastAsia" w:ascii="Times New Roman" w:hAnsi="Times New Roman" w:eastAsia="宋体" w:cs="Times New Roman"/>
          <w:sz w:val="24"/>
        </w:rPr>
        <w:t>）基础教育课堂师生关系</w:t>
      </w:r>
    </w:p>
    <w:p w14:paraId="4E2A82F7">
      <w:pPr>
        <w:autoSpaceDE w:val="0"/>
        <w:autoSpaceDN w:val="0"/>
        <w:adjustRightInd w:val="0"/>
        <w:spacing w:line="360" w:lineRule="auto"/>
        <w:jc w:val="left"/>
        <w:rPr>
          <w:rFonts w:hint="eastAsia" w:ascii="宋体" w:hAnsi="宋体" w:eastAsia="宋体" w:cs="Times New Roman"/>
          <w:b/>
          <w:color w:val="000000"/>
          <w:sz w:val="24"/>
        </w:rPr>
      </w:pPr>
      <w:r>
        <w:rPr>
          <w:rFonts w:ascii="宋体" w:hAnsi="宋体" w:eastAsia="宋体" w:cs="Times New Roman"/>
          <w:b/>
          <w:color w:val="000000"/>
          <w:sz w:val="24"/>
        </w:rPr>
        <w:t>2</w:t>
      </w:r>
      <w:r>
        <w:rPr>
          <w:rFonts w:hint="eastAsia" w:ascii="宋体" w:hAnsi="宋体" w:eastAsia="宋体" w:cs="Times New Roman"/>
          <w:b/>
          <w:color w:val="000000"/>
          <w:sz w:val="24"/>
        </w:rPr>
        <w:t>.基本要求</w:t>
      </w:r>
    </w:p>
    <w:p w14:paraId="4FEF15C5">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（1）理解基础教育课堂教学的目标的选择和过程，树立正确的师生观</w:t>
      </w:r>
    </w:p>
    <w:p w14:paraId="222310D1">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（2）掌握教学过程的设计</w:t>
      </w:r>
    </w:p>
    <w:p w14:paraId="3648EB22">
      <w:pPr>
        <w:autoSpaceDE w:val="0"/>
        <w:autoSpaceDN w:val="0"/>
        <w:adjustRightInd w:val="0"/>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课程思政育人目标</w:t>
      </w:r>
    </w:p>
    <w:p w14:paraId="26713C96">
      <w:pPr>
        <w:autoSpaceDE w:val="0"/>
        <w:autoSpaceDN w:val="0"/>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树立课堂是育人第一阵地的观念，始终坚持“上好每一堂课”的好老师的标准。</w:t>
      </w:r>
    </w:p>
    <w:p w14:paraId="612E1A09">
      <w:pPr>
        <w:spacing w:line="360" w:lineRule="auto"/>
        <w:rPr>
          <w:rFonts w:hint="eastAsia" w:ascii="宋体" w:hAnsi="宋体" w:eastAsia="宋体" w:cs="Times New Roman"/>
          <w:color w:val="000000"/>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Times New Roman" w:hAnsi="Times New Roman" w:eastAsia="宋体" w:cs="Times New Roman"/>
          <w:sz w:val="24"/>
        </w:rPr>
        <w:t>教学目标的设定</w:t>
      </w:r>
    </w:p>
    <w:p w14:paraId="40A9B96A">
      <w:pPr>
        <w:spacing w:line="360" w:lineRule="auto"/>
        <w:rPr>
          <w:rFonts w:ascii="Times New Roman" w:hAnsi="Times New Roman" w:eastAsia="宋体" w:cs="Times New Roman"/>
          <w:sz w:val="24"/>
        </w:rPr>
      </w:pPr>
      <w:r>
        <w:rPr>
          <w:rFonts w:hint="eastAsia" w:ascii="宋体" w:hAnsi="宋体" w:eastAsia="宋体" w:cs="Times New Roman"/>
          <w:b/>
          <w:sz w:val="24"/>
        </w:rPr>
        <w:t>教学难点：</w:t>
      </w:r>
      <w:r>
        <w:rPr>
          <w:rFonts w:hint="eastAsia" w:ascii="Times New Roman" w:hAnsi="Times New Roman" w:eastAsia="宋体" w:cs="Times New Roman"/>
          <w:sz w:val="24"/>
        </w:rPr>
        <w:t>教学过程的创生与意义</w:t>
      </w:r>
    </w:p>
    <w:p w14:paraId="4A3AF1CC">
      <w:pPr>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（七）中国</w:t>
      </w:r>
      <w:r>
        <w:rPr>
          <w:rFonts w:hint="eastAsia" w:ascii="Times New Roman" w:hAnsi="Times New Roman" w:eastAsia="宋体" w:cs="Times New Roman"/>
          <w:b/>
          <w:sz w:val="24"/>
        </w:rPr>
        <w:t>基础教育教材改革</w:t>
      </w:r>
      <w:r>
        <w:rPr>
          <w:rFonts w:hint="eastAsia" w:ascii="宋体" w:hAnsi="宋体" w:eastAsia="宋体" w:cs="Times New Roman"/>
          <w:b/>
          <w:color w:val="000000"/>
          <w:sz w:val="24"/>
        </w:rPr>
        <w:t>（本模块各知识点的讲授与学习，可以支撑课程目标4）</w:t>
      </w:r>
    </w:p>
    <w:p w14:paraId="525AF43A">
      <w:pPr>
        <w:spacing w:line="360" w:lineRule="auto"/>
        <w:rPr>
          <w:rFonts w:hint="eastAsia" w:ascii="宋体" w:hAnsi="宋体" w:eastAsia="宋体" w:cs="Times New Roman"/>
          <w:b/>
          <w:color w:val="000000"/>
          <w:sz w:val="24"/>
        </w:rPr>
      </w:pPr>
      <w:r>
        <w:rPr>
          <w:rFonts w:ascii="宋体" w:hAnsi="宋体" w:eastAsia="宋体" w:cs="Times New Roman"/>
          <w:b/>
          <w:color w:val="000000"/>
          <w:sz w:val="24"/>
        </w:rPr>
        <w:t>1.教学内容</w:t>
      </w:r>
    </w:p>
    <w:p w14:paraId="06583C1A">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）基础教育教材改革历程</w:t>
      </w:r>
    </w:p>
    <w:p w14:paraId="02065B8F">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）基础教育教材改革中的问题分析</w:t>
      </w:r>
    </w:p>
    <w:p w14:paraId="48F33392">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w:t>
      </w:r>
      <w:r>
        <w:rPr>
          <w:rFonts w:hint="eastAsia" w:ascii="Times New Roman" w:hAnsi="Times New Roman" w:eastAsia="宋体" w:cs="Times New Roman"/>
          <w:sz w:val="24"/>
        </w:rPr>
        <w:t>）未来基础教育教材改革的趋势</w:t>
      </w:r>
    </w:p>
    <w:p w14:paraId="350E51D7">
      <w:pPr>
        <w:autoSpaceDE w:val="0"/>
        <w:autoSpaceDN w:val="0"/>
        <w:adjustRightInd w:val="0"/>
        <w:spacing w:line="360" w:lineRule="auto"/>
        <w:jc w:val="left"/>
        <w:rPr>
          <w:rFonts w:hint="eastAsia" w:ascii="宋体" w:hAnsi="宋体" w:eastAsia="宋体" w:cs="Times New Roman"/>
          <w:b/>
          <w:color w:val="000000"/>
          <w:sz w:val="24"/>
        </w:rPr>
      </w:pPr>
      <w:r>
        <w:rPr>
          <w:rFonts w:ascii="宋体" w:hAnsi="宋体" w:eastAsia="宋体" w:cs="Times New Roman"/>
          <w:b/>
          <w:color w:val="000000"/>
          <w:sz w:val="24"/>
        </w:rPr>
        <w:t>2</w:t>
      </w:r>
      <w:r>
        <w:rPr>
          <w:rFonts w:hint="eastAsia" w:ascii="宋体" w:hAnsi="宋体" w:eastAsia="宋体" w:cs="Times New Roman"/>
          <w:b/>
          <w:color w:val="000000"/>
          <w:sz w:val="24"/>
        </w:rPr>
        <w:t>.基本要求</w:t>
      </w:r>
    </w:p>
    <w:p w14:paraId="016681DF">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（1）理解基础教育教材改革中的教育价值观选择</w:t>
      </w:r>
    </w:p>
    <w:p w14:paraId="5490F68B">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（2）掌握中外基础教育教材改革中的互鉴</w:t>
      </w:r>
    </w:p>
    <w:p w14:paraId="584F049E">
      <w:pPr>
        <w:autoSpaceDE w:val="0"/>
        <w:autoSpaceDN w:val="0"/>
        <w:adjustRightInd w:val="0"/>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课程思政育人目标</w:t>
      </w:r>
    </w:p>
    <w:p w14:paraId="6A7109B2">
      <w:pPr>
        <w:autoSpaceDE w:val="0"/>
        <w:autoSpaceDN w:val="0"/>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树立教材是课程与教学重要桥梁的理念，坚持中国基础教育教材改革中的中国特色与中国标准。</w:t>
      </w:r>
    </w:p>
    <w:p w14:paraId="0D8DEBE0">
      <w:pPr>
        <w:spacing w:line="360" w:lineRule="auto"/>
        <w:rPr>
          <w:rFonts w:hint="eastAsia" w:ascii="宋体" w:hAnsi="宋体" w:eastAsia="宋体" w:cs="Times New Roman"/>
          <w:color w:val="000000"/>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Times New Roman" w:hAnsi="Times New Roman" w:eastAsia="宋体" w:cs="Times New Roman"/>
          <w:sz w:val="24"/>
        </w:rPr>
        <w:t>教材中的教育价值观</w:t>
      </w:r>
    </w:p>
    <w:p w14:paraId="189EADAB">
      <w:pPr>
        <w:spacing w:line="360" w:lineRule="auto"/>
        <w:rPr>
          <w:rFonts w:ascii="Times New Roman" w:hAnsi="Times New Roman" w:eastAsia="宋体" w:cs="Times New Roman"/>
          <w:sz w:val="24"/>
        </w:rPr>
      </w:pPr>
      <w:r>
        <w:rPr>
          <w:rFonts w:hint="eastAsia" w:ascii="宋体" w:hAnsi="宋体" w:eastAsia="宋体" w:cs="Times New Roman"/>
          <w:b/>
          <w:sz w:val="24"/>
        </w:rPr>
        <w:t>教学难点：</w:t>
      </w:r>
      <w:r>
        <w:rPr>
          <w:rFonts w:hint="eastAsia" w:ascii="Times New Roman" w:hAnsi="Times New Roman" w:eastAsia="宋体" w:cs="Times New Roman"/>
          <w:sz w:val="24"/>
        </w:rPr>
        <w:t>国外基础教育教材查阅</w:t>
      </w:r>
    </w:p>
    <w:p w14:paraId="1A7942EE">
      <w:pPr>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（八）中国</w:t>
      </w:r>
      <w:r>
        <w:rPr>
          <w:rFonts w:hint="eastAsia" w:ascii="Times New Roman" w:hAnsi="Times New Roman" w:eastAsia="宋体" w:cs="Times New Roman"/>
          <w:b/>
          <w:sz w:val="24"/>
        </w:rPr>
        <w:t>基础教育教师队伍改革</w:t>
      </w:r>
      <w:r>
        <w:rPr>
          <w:rFonts w:hint="eastAsia" w:ascii="宋体" w:hAnsi="宋体" w:eastAsia="宋体" w:cs="Times New Roman"/>
          <w:b/>
          <w:color w:val="000000"/>
          <w:sz w:val="24"/>
        </w:rPr>
        <w:t>（本模块各知识点的讲授与学习，可以支撑课程目标1）</w:t>
      </w:r>
    </w:p>
    <w:p w14:paraId="390954B7">
      <w:pPr>
        <w:spacing w:line="360" w:lineRule="auto"/>
        <w:rPr>
          <w:rFonts w:hint="eastAsia" w:ascii="宋体" w:hAnsi="宋体" w:eastAsia="宋体" w:cs="Times New Roman"/>
          <w:b/>
          <w:color w:val="000000"/>
          <w:sz w:val="24"/>
        </w:rPr>
      </w:pPr>
      <w:r>
        <w:rPr>
          <w:rFonts w:ascii="宋体" w:hAnsi="宋体" w:eastAsia="宋体" w:cs="Times New Roman"/>
          <w:b/>
          <w:color w:val="000000"/>
          <w:sz w:val="24"/>
        </w:rPr>
        <w:t>1.教学内容</w:t>
      </w:r>
    </w:p>
    <w:p w14:paraId="3603C96C">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）基础教育教师队伍建设历程</w:t>
      </w:r>
    </w:p>
    <w:p w14:paraId="4A52FF03">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）教师队伍建设中的问题</w:t>
      </w:r>
    </w:p>
    <w:p w14:paraId="6D0DFA91">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w:t>
      </w:r>
      <w:r>
        <w:rPr>
          <w:rFonts w:hint="eastAsia" w:ascii="Times New Roman" w:hAnsi="Times New Roman" w:eastAsia="宋体" w:cs="Times New Roman"/>
          <w:sz w:val="24"/>
        </w:rPr>
        <w:t>）教师队伍建设的未来趋势</w:t>
      </w:r>
    </w:p>
    <w:p w14:paraId="4C527CC5">
      <w:pPr>
        <w:autoSpaceDE w:val="0"/>
        <w:autoSpaceDN w:val="0"/>
        <w:adjustRightInd w:val="0"/>
        <w:spacing w:line="360" w:lineRule="auto"/>
        <w:jc w:val="left"/>
        <w:rPr>
          <w:rFonts w:hint="eastAsia" w:ascii="宋体" w:hAnsi="宋体" w:eastAsia="宋体" w:cs="Times New Roman"/>
          <w:b/>
          <w:color w:val="000000"/>
          <w:sz w:val="24"/>
        </w:rPr>
      </w:pPr>
      <w:r>
        <w:rPr>
          <w:rFonts w:ascii="宋体" w:hAnsi="宋体" w:eastAsia="宋体" w:cs="Times New Roman"/>
          <w:b/>
          <w:color w:val="000000"/>
          <w:sz w:val="24"/>
        </w:rPr>
        <w:t>2</w:t>
      </w:r>
      <w:r>
        <w:rPr>
          <w:rFonts w:hint="eastAsia" w:ascii="宋体" w:hAnsi="宋体" w:eastAsia="宋体" w:cs="Times New Roman"/>
          <w:b/>
          <w:color w:val="000000"/>
          <w:sz w:val="24"/>
        </w:rPr>
        <w:t>.基本要求</w:t>
      </w:r>
    </w:p>
    <w:p w14:paraId="13896138">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（1）理解基础教育教师质量的重要性，树立正确的教师职业观。</w:t>
      </w:r>
    </w:p>
    <w:p w14:paraId="1863580B">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（2）了解国家有关教师队伍建设的政策</w:t>
      </w:r>
    </w:p>
    <w:p w14:paraId="36356867">
      <w:pPr>
        <w:autoSpaceDE w:val="0"/>
        <w:autoSpaceDN w:val="0"/>
        <w:adjustRightInd w:val="0"/>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课程思政育人目标</w:t>
      </w:r>
    </w:p>
    <w:p w14:paraId="39F2F90E">
      <w:pPr>
        <w:autoSpaceDE w:val="0"/>
        <w:autoSpaceDN w:val="0"/>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树立教师工作的本质是塑造灵魂、塑造生命、塑造人的理念，牢固树立“四有”好老师的标准。</w:t>
      </w:r>
    </w:p>
    <w:p w14:paraId="39496C6C">
      <w:pPr>
        <w:spacing w:line="360" w:lineRule="auto"/>
        <w:rPr>
          <w:rFonts w:hint="eastAsia" w:ascii="宋体" w:hAnsi="宋体" w:eastAsia="宋体" w:cs="Times New Roman"/>
          <w:color w:val="000000"/>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Times New Roman" w:hAnsi="Times New Roman" w:eastAsia="宋体" w:cs="Times New Roman"/>
          <w:sz w:val="24"/>
        </w:rPr>
        <w:t>基础教育教师队伍改革的政策走向</w:t>
      </w:r>
    </w:p>
    <w:p w14:paraId="50D13902">
      <w:pPr>
        <w:spacing w:line="360" w:lineRule="auto"/>
        <w:rPr>
          <w:rFonts w:ascii="Times New Roman" w:hAnsi="Times New Roman" w:eastAsia="宋体" w:cs="Times New Roman"/>
          <w:sz w:val="24"/>
        </w:rPr>
      </w:pPr>
      <w:r>
        <w:rPr>
          <w:rFonts w:hint="eastAsia" w:ascii="宋体" w:hAnsi="宋体" w:eastAsia="宋体" w:cs="Times New Roman"/>
          <w:b/>
          <w:sz w:val="24"/>
        </w:rPr>
        <w:t>教学难点：</w:t>
      </w:r>
      <w:r>
        <w:rPr>
          <w:rFonts w:hint="eastAsia" w:ascii="Times New Roman" w:hAnsi="Times New Roman" w:eastAsia="宋体" w:cs="Times New Roman"/>
          <w:sz w:val="24"/>
        </w:rPr>
        <w:t>教师队伍建设的现实障碍</w:t>
      </w:r>
    </w:p>
    <w:p w14:paraId="0584F066">
      <w:pPr>
        <w:spacing w:line="360" w:lineRule="auto"/>
        <w:rPr>
          <w:rFonts w:hint="eastAsia" w:ascii="宋体" w:hAnsi="宋体" w:eastAsia="宋体" w:cs="Times New Roman"/>
          <w:b/>
          <w:color w:val="000000"/>
          <w:sz w:val="24"/>
        </w:rPr>
      </w:pPr>
      <w:bookmarkStart w:id="146" w:name="_Toc27847326"/>
      <w:r>
        <w:rPr>
          <w:rFonts w:hint="eastAsia" w:ascii="宋体" w:hAnsi="宋体" w:eastAsia="宋体" w:cs="Times New Roman"/>
          <w:b/>
          <w:color w:val="000000"/>
          <w:sz w:val="24"/>
        </w:rPr>
        <w:t>（九）中国农村基础教育改革的问题与走向（本模块各知识点的讲授与学习，可以支撑课程目标1、课程目标3）</w:t>
      </w:r>
      <w:bookmarkEnd w:id="146"/>
    </w:p>
    <w:p w14:paraId="58073765">
      <w:pPr>
        <w:spacing w:line="360" w:lineRule="auto"/>
        <w:rPr>
          <w:rFonts w:hint="eastAsia" w:ascii="宋体" w:hAnsi="宋体" w:eastAsia="宋体" w:cs="Times New Roman"/>
          <w:b/>
          <w:color w:val="000000"/>
          <w:sz w:val="24"/>
        </w:rPr>
      </w:pPr>
      <w:r>
        <w:rPr>
          <w:rFonts w:ascii="宋体" w:hAnsi="宋体" w:eastAsia="宋体" w:cs="Times New Roman"/>
          <w:b/>
          <w:color w:val="000000"/>
          <w:sz w:val="24"/>
        </w:rPr>
        <w:t>1.教学内容</w:t>
      </w:r>
    </w:p>
    <w:p w14:paraId="27E4FC54">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）农村基础教育改革中存在的问题</w:t>
      </w:r>
    </w:p>
    <w:p w14:paraId="16B0E5CE">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）农村基础教育改革中存在问题的原因分析</w:t>
      </w:r>
    </w:p>
    <w:p w14:paraId="1B6CC7A9">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w:t>
      </w:r>
      <w:r>
        <w:rPr>
          <w:rFonts w:hint="eastAsia" w:ascii="Times New Roman" w:hAnsi="Times New Roman" w:eastAsia="宋体" w:cs="Times New Roman"/>
          <w:sz w:val="24"/>
        </w:rPr>
        <w:t>）农村基础教育改革的推进策略</w:t>
      </w:r>
    </w:p>
    <w:p w14:paraId="37345E3C">
      <w:pPr>
        <w:autoSpaceDE w:val="0"/>
        <w:autoSpaceDN w:val="0"/>
        <w:adjustRightInd w:val="0"/>
        <w:spacing w:line="360" w:lineRule="auto"/>
        <w:jc w:val="left"/>
        <w:rPr>
          <w:rFonts w:hint="eastAsia" w:ascii="宋体" w:hAnsi="宋体" w:eastAsia="宋体" w:cs="Times New Roman"/>
          <w:b/>
          <w:color w:val="000000"/>
          <w:sz w:val="24"/>
        </w:rPr>
      </w:pPr>
      <w:r>
        <w:rPr>
          <w:rFonts w:ascii="宋体" w:hAnsi="宋体" w:eastAsia="宋体" w:cs="Times New Roman"/>
          <w:b/>
          <w:color w:val="000000"/>
          <w:sz w:val="24"/>
        </w:rPr>
        <w:t>2</w:t>
      </w:r>
      <w:r>
        <w:rPr>
          <w:rFonts w:hint="eastAsia" w:ascii="宋体" w:hAnsi="宋体" w:eastAsia="宋体" w:cs="Times New Roman"/>
          <w:b/>
          <w:color w:val="000000"/>
          <w:sz w:val="24"/>
        </w:rPr>
        <w:t>.基本要求</w:t>
      </w:r>
    </w:p>
    <w:p w14:paraId="6F0FF458">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（1）了解我国农村基础教育改革的的地位和作用</w:t>
      </w:r>
    </w:p>
    <w:p w14:paraId="521DB7EC">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（2）正确分析农村基础教育改革的问题</w:t>
      </w:r>
    </w:p>
    <w:p w14:paraId="5925BE90">
      <w:pPr>
        <w:autoSpaceDE w:val="0"/>
        <w:autoSpaceDN w:val="0"/>
        <w:adjustRightInd w:val="0"/>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课程思政育人目标</w:t>
      </w:r>
    </w:p>
    <w:p w14:paraId="180C6E63">
      <w:pPr>
        <w:autoSpaceDE w:val="0"/>
        <w:autoSpaceDN w:val="0"/>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用马克思主义观点正确分析我国农村基础教育改革中存在的问题及原因，坚持教育的人民立场，树立以教育公平促进社会公平正义的信念。</w:t>
      </w:r>
    </w:p>
    <w:p w14:paraId="2FF377CD">
      <w:pPr>
        <w:spacing w:line="360" w:lineRule="auto"/>
        <w:rPr>
          <w:rFonts w:hint="eastAsia" w:ascii="宋体" w:hAnsi="宋体" w:eastAsia="宋体" w:cs="Times New Roman"/>
          <w:color w:val="000000"/>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Times New Roman" w:hAnsi="Times New Roman" w:eastAsia="宋体" w:cs="Times New Roman"/>
          <w:sz w:val="24"/>
        </w:rPr>
        <w:t>农村基础教育改革的问题</w:t>
      </w:r>
    </w:p>
    <w:p w14:paraId="2A47B0EA">
      <w:pPr>
        <w:spacing w:line="360" w:lineRule="auto"/>
        <w:rPr>
          <w:rFonts w:ascii="Times New Roman" w:hAnsi="Times New Roman" w:eastAsia="宋体" w:cs="Times New Roman"/>
          <w:sz w:val="24"/>
        </w:rPr>
      </w:pPr>
      <w:r>
        <w:rPr>
          <w:rFonts w:hint="eastAsia" w:ascii="宋体" w:hAnsi="宋体" w:eastAsia="宋体" w:cs="Times New Roman"/>
          <w:b/>
          <w:sz w:val="24"/>
        </w:rPr>
        <w:t>教学难点：</w:t>
      </w:r>
      <w:r>
        <w:rPr>
          <w:rFonts w:hint="eastAsia" w:ascii="Times New Roman" w:hAnsi="Times New Roman" w:eastAsia="宋体" w:cs="Times New Roman"/>
          <w:sz w:val="24"/>
        </w:rPr>
        <w:t>农村基础教育改革的思路</w:t>
      </w:r>
    </w:p>
    <w:p w14:paraId="1B5AD8C0">
      <w:pPr>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（十）中外基础教育改革研究热点（本模块各知识点的讲授与学习，可以支撑课程目标3、课程目标4）</w:t>
      </w:r>
    </w:p>
    <w:p w14:paraId="073A0C21">
      <w:pPr>
        <w:spacing w:line="360" w:lineRule="auto"/>
        <w:rPr>
          <w:rFonts w:hint="eastAsia" w:ascii="宋体" w:hAnsi="宋体" w:eastAsia="宋体" w:cs="Times New Roman"/>
          <w:b/>
          <w:color w:val="000000"/>
          <w:sz w:val="24"/>
        </w:rPr>
      </w:pPr>
      <w:r>
        <w:rPr>
          <w:rFonts w:ascii="宋体" w:hAnsi="宋体" w:eastAsia="宋体" w:cs="Times New Roman"/>
          <w:b/>
          <w:color w:val="000000"/>
          <w:sz w:val="24"/>
        </w:rPr>
        <w:t>1.教学内容</w:t>
      </w:r>
    </w:p>
    <w:p w14:paraId="58F00150">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）国外基础教育改革研究热点</w:t>
      </w:r>
    </w:p>
    <w:p w14:paraId="0A6F442A">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）中国基础教育改革研究热点</w:t>
      </w:r>
    </w:p>
    <w:p w14:paraId="6996BA86">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w:t>
      </w:r>
      <w:r>
        <w:rPr>
          <w:rFonts w:hint="eastAsia" w:ascii="Times New Roman" w:hAnsi="Times New Roman" w:eastAsia="宋体" w:cs="Times New Roman"/>
          <w:sz w:val="24"/>
        </w:rPr>
        <w:t>）学术研究发展趋势</w:t>
      </w:r>
    </w:p>
    <w:p w14:paraId="567E9A85">
      <w:pPr>
        <w:autoSpaceDE w:val="0"/>
        <w:autoSpaceDN w:val="0"/>
        <w:adjustRightInd w:val="0"/>
        <w:spacing w:line="360" w:lineRule="auto"/>
        <w:jc w:val="left"/>
        <w:rPr>
          <w:rFonts w:hint="eastAsia" w:ascii="宋体" w:hAnsi="宋体" w:eastAsia="宋体" w:cs="Times New Roman"/>
          <w:b/>
          <w:color w:val="000000"/>
          <w:sz w:val="24"/>
        </w:rPr>
      </w:pPr>
      <w:r>
        <w:rPr>
          <w:rFonts w:ascii="宋体" w:hAnsi="宋体" w:eastAsia="宋体" w:cs="Times New Roman"/>
          <w:b/>
          <w:color w:val="000000"/>
          <w:sz w:val="24"/>
        </w:rPr>
        <w:t>2</w:t>
      </w:r>
      <w:r>
        <w:rPr>
          <w:rFonts w:hint="eastAsia" w:ascii="宋体" w:hAnsi="宋体" w:eastAsia="宋体" w:cs="Times New Roman"/>
          <w:b/>
          <w:color w:val="000000"/>
          <w:sz w:val="24"/>
        </w:rPr>
        <w:t>.基本要求</w:t>
      </w:r>
    </w:p>
    <w:p w14:paraId="51FAB31D">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（1）了解中外基础教育改革研究中热点</w:t>
      </w:r>
    </w:p>
    <w:p w14:paraId="19B62E5D">
      <w:pPr>
        <w:autoSpaceDE w:val="0"/>
        <w:autoSpaceDN w:val="0"/>
        <w:adjustRightInd w:val="0"/>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（2）探索自己基础教育改革研究的选题</w:t>
      </w:r>
    </w:p>
    <w:p w14:paraId="7D1D5C8E">
      <w:pPr>
        <w:autoSpaceDE w:val="0"/>
        <w:autoSpaceDN w:val="0"/>
        <w:adjustRightInd w:val="0"/>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课程思政育人目标</w:t>
      </w:r>
    </w:p>
    <w:p w14:paraId="6A74AB52">
      <w:pPr>
        <w:autoSpaceDE w:val="0"/>
        <w:autoSpaceDN w:val="0"/>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用马克思主义的立场分析基础教育改革研究中的中国问题意识，坚持为建设基础教育强国做贡献的信念。</w:t>
      </w:r>
    </w:p>
    <w:p w14:paraId="18DD4CD2">
      <w:pPr>
        <w:spacing w:line="360" w:lineRule="auto"/>
        <w:rPr>
          <w:rFonts w:hint="eastAsia" w:ascii="宋体" w:hAnsi="宋体" w:eastAsia="宋体" w:cs="Times New Roman"/>
          <w:color w:val="000000"/>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Times New Roman" w:hAnsi="Times New Roman" w:eastAsia="宋体" w:cs="Times New Roman"/>
          <w:sz w:val="24"/>
        </w:rPr>
        <w:t>基础教育改革研究中的问题意识</w:t>
      </w:r>
    </w:p>
    <w:p w14:paraId="7CD8DA92">
      <w:pPr>
        <w:spacing w:line="360" w:lineRule="auto"/>
        <w:rPr>
          <w:rFonts w:hint="eastAsia" w:ascii="宋体" w:hAnsi="宋体" w:eastAsia="宋体" w:cs="Times New Roman"/>
          <w:color w:val="000000"/>
          <w:sz w:val="24"/>
        </w:rPr>
      </w:pPr>
      <w:r>
        <w:rPr>
          <w:rFonts w:hint="eastAsia" w:ascii="宋体" w:hAnsi="宋体" w:eastAsia="宋体" w:cs="Times New Roman"/>
          <w:b/>
          <w:sz w:val="24"/>
        </w:rPr>
        <w:t>教学难点：</w:t>
      </w:r>
      <w:r>
        <w:rPr>
          <w:rFonts w:hint="eastAsia" w:ascii="Times New Roman" w:hAnsi="Times New Roman" w:eastAsia="宋体" w:cs="Times New Roman"/>
          <w:sz w:val="24"/>
        </w:rPr>
        <w:t>国外基础教育改革研究的趋势</w:t>
      </w:r>
    </w:p>
    <w:p w14:paraId="2645FB6B">
      <w:pPr>
        <w:spacing w:line="360" w:lineRule="auto"/>
        <w:rPr>
          <w:rFonts w:hint="eastAsia" w:ascii="宋体" w:hAnsi="宋体" w:eastAsia="宋体" w:cs="Times New Roman"/>
          <w:b/>
          <w:sz w:val="24"/>
        </w:rPr>
      </w:pPr>
      <w:r>
        <w:rPr>
          <w:rFonts w:hint="eastAsia" w:ascii="宋体" w:hAnsi="宋体" w:eastAsia="宋体" w:cs="Times New Roman"/>
          <w:b/>
          <w:sz w:val="24"/>
        </w:rPr>
        <w:t>教学内容与</w:t>
      </w:r>
      <w:r>
        <w:rPr>
          <w:rFonts w:ascii="宋体" w:hAnsi="宋体" w:eastAsia="宋体" w:cs="Times New Roman"/>
          <w:b/>
          <w:sz w:val="24"/>
        </w:rPr>
        <w:t>课程目标的</w:t>
      </w:r>
      <w:r>
        <w:rPr>
          <w:rFonts w:hint="eastAsia" w:ascii="宋体" w:hAnsi="宋体" w:eastAsia="宋体" w:cs="Times New Roman"/>
          <w:b/>
          <w:sz w:val="24"/>
        </w:rPr>
        <w:t>对应关系及</w:t>
      </w:r>
      <w:r>
        <w:rPr>
          <w:rFonts w:ascii="宋体" w:hAnsi="宋体" w:eastAsia="宋体" w:cs="Times New Roman"/>
          <w:b/>
          <w:sz w:val="24"/>
        </w:rPr>
        <w:t>学时分配</w:t>
      </w:r>
      <w:r>
        <w:rPr>
          <w:rFonts w:hint="eastAsia" w:ascii="宋体" w:hAnsi="宋体" w:eastAsia="宋体" w:cs="Times New Roman"/>
          <w:b/>
          <w:sz w:val="24"/>
        </w:rPr>
        <w:t>如表所示：</w:t>
      </w:r>
    </w:p>
    <w:tbl>
      <w:tblPr>
        <w:tblStyle w:val="13"/>
        <w:tblW w:w="851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3868"/>
        <w:gridCol w:w="1167"/>
        <w:gridCol w:w="1644"/>
        <w:gridCol w:w="8"/>
        <w:gridCol w:w="647"/>
        <w:gridCol w:w="655"/>
      </w:tblGrid>
      <w:tr w14:paraId="612A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24" w:type="dxa"/>
            <w:vAlign w:val="center"/>
          </w:tcPr>
          <w:p w14:paraId="65CAEC65">
            <w:pPr>
              <w:spacing w:line="276" w:lineRule="auto"/>
              <w:jc w:val="center"/>
              <w:rPr>
                <w:rFonts w:hint="eastAsia" w:ascii="宋体" w:hAnsi="宋体" w:eastAsia="宋体" w:cs="Times New Roman"/>
                <w:szCs w:val="21"/>
              </w:rPr>
            </w:pPr>
            <w:r>
              <w:rPr>
                <w:rFonts w:hint="eastAsia" w:ascii="宋体" w:hAnsi="宋体" w:eastAsia="宋体" w:cs="Times New Roman"/>
                <w:b/>
                <w:szCs w:val="21"/>
              </w:rPr>
              <w:t>序号</w:t>
            </w:r>
          </w:p>
        </w:tc>
        <w:tc>
          <w:tcPr>
            <w:tcW w:w="3868" w:type="dxa"/>
            <w:vAlign w:val="center"/>
          </w:tcPr>
          <w:p w14:paraId="34DBC532">
            <w:pPr>
              <w:widowControl/>
              <w:snapToGrid w:val="0"/>
              <w:spacing w:line="276" w:lineRule="auto"/>
              <w:jc w:val="center"/>
              <w:rPr>
                <w:rFonts w:hint="eastAsia" w:ascii="宋体" w:hAnsi="宋体" w:eastAsia="宋体" w:cs="宋体"/>
                <w:color w:val="000000"/>
                <w:kern w:val="0"/>
                <w:szCs w:val="21"/>
              </w:rPr>
            </w:pPr>
            <w:r>
              <w:rPr>
                <w:rFonts w:ascii="宋体" w:hAnsi="宋体" w:eastAsia="宋体" w:cs="Times New Roman"/>
                <w:b/>
                <w:szCs w:val="21"/>
              </w:rPr>
              <w:t>教学内容</w:t>
            </w:r>
          </w:p>
        </w:tc>
        <w:tc>
          <w:tcPr>
            <w:tcW w:w="1167" w:type="dxa"/>
            <w:vAlign w:val="center"/>
          </w:tcPr>
          <w:p w14:paraId="6E28D538">
            <w:pPr>
              <w:spacing w:line="276" w:lineRule="auto"/>
              <w:jc w:val="center"/>
              <w:rPr>
                <w:rFonts w:hint="eastAsia" w:ascii="宋体" w:hAnsi="宋体" w:eastAsia="宋体" w:cs="Times New Roman"/>
                <w:kern w:val="0"/>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课程目标</w:t>
            </w:r>
          </w:p>
        </w:tc>
        <w:tc>
          <w:tcPr>
            <w:tcW w:w="1644" w:type="dxa"/>
            <w:vAlign w:val="center"/>
          </w:tcPr>
          <w:p w14:paraId="2F88BF2E">
            <w:pPr>
              <w:spacing w:line="276" w:lineRule="auto"/>
              <w:jc w:val="center"/>
              <w:rPr>
                <w:rFonts w:hint="eastAsia" w:ascii="宋体" w:hAnsi="宋体" w:eastAsia="宋体" w:cs="Times New Roman"/>
                <w:kern w:val="0"/>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毕业要求指标点</w:t>
            </w:r>
          </w:p>
        </w:tc>
        <w:tc>
          <w:tcPr>
            <w:tcW w:w="655" w:type="dxa"/>
            <w:gridSpan w:val="2"/>
            <w:vAlign w:val="center"/>
          </w:tcPr>
          <w:p w14:paraId="2C1B08AD">
            <w:pPr>
              <w:spacing w:line="276" w:lineRule="auto"/>
              <w:jc w:val="center"/>
              <w:rPr>
                <w:rFonts w:hint="eastAsia" w:ascii="宋体" w:hAnsi="宋体" w:eastAsia="宋体" w:cs="Times New Roman"/>
                <w:kern w:val="0"/>
                <w:szCs w:val="21"/>
              </w:rPr>
            </w:pPr>
            <w:r>
              <w:rPr>
                <w:rFonts w:ascii="宋体" w:hAnsi="宋体" w:eastAsia="宋体" w:cs="Times New Roman"/>
                <w:b/>
                <w:szCs w:val="21"/>
              </w:rPr>
              <w:t>讲</w:t>
            </w:r>
            <w:r>
              <w:rPr>
                <w:rFonts w:hint="eastAsia" w:ascii="宋体" w:hAnsi="宋体" w:eastAsia="宋体" w:cs="Times New Roman"/>
                <w:b/>
                <w:szCs w:val="21"/>
              </w:rPr>
              <w:t>授</w:t>
            </w:r>
            <w:r>
              <w:rPr>
                <w:rFonts w:ascii="宋体" w:hAnsi="宋体" w:eastAsia="宋体" w:cs="Times New Roman"/>
                <w:b/>
                <w:szCs w:val="21"/>
              </w:rPr>
              <w:t>学时</w:t>
            </w:r>
          </w:p>
        </w:tc>
        <w:tc>
          <w:tcPr>
            <w:tcW w:w="655" w:type="dxa"/>
            <w:vAlign w:val="center"/>
          </w:tcPr>
          <w:p w14:paraId="24289AD5">
            <w:pPr>
              <w:spacing w:line="276" w:lineRule="auto"/>
              <w:jc w:val="center"/>
              <w:rPr>
                <w:rFonts w:hint="eastAsia" w:ascii="宋体" w:hAnsi="宋体" w:eastAsia="宋体" w:cs="Times New Roman"/>
                <w:b/>
                <w:szCs w:val="21"/>
              </w:rPr>
            </w:pPr>
            <w:r>
              <w:rPr>
                <w:rFonts w:ascii="宋体" w:hAnsi="宋体" w:eastAsia="宋体" w:cs="Times New Roman"/>
                <w:b/>
                <w:szCs w:val="21"/>
              </w:rPr>
              <w:t>实验</w:t>
            </w:r>
          </w:p>
          <w:p w14:paraId="44C8A9E1">
            <w:pPr>
              <w:spacing w:line="276" w:lineRule="auto"/>
              <w:rPr>
                <w:rFonts w:hint="eastAsia" w:ascii="宋体" w:hAnsi="宋体" w:eastAsia="宋体" w:cs="Times New Roman"/>
                <w:kern w:val="0"/>
                <w:szCs w:val="21"/>
              </w:rPr>
            </w:pPr>
            <w:r>
              <w:rPr>
                <w:rFonts w:ascii="宋体" w:hAnsi="宋体" w:eastAsia="宋体" w:cs="Times New Roman"/>
                <w:b/>
                <w:szCs w:val="21"/>
              </w:rPr>
              <w:t>学时</w:t>
            </w:r>
          </w:p>
        </w:tc>
      </w:tr>
      <w:tr w14:paraId="14BD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24" w:type="dxa"/>
            <w:vAlign w:val="center"/>
          </w:tcPr>
          <w:p w14:paraId="24831F4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c>
          <w:tcPr>
            <w:tcW w:w="3868" w:type="dxa"/>
            <w:vAlign w:val="center"/>
          </w:tcPr>
          <w:p w14:paraId="5554CB9A">
            <w:pPr>
              <w:spacing w:line="276" w:lineRule="auto"/>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社会转型与各国基础教育改革</w:t>
            </w:r>
          </w:p>
        </w:tc>
        <w:tc>
          <w:tcPr>
            <w:tcW w:w="1167" w:type="dxa"/>
            <w:vAlign w:val="center"/>
          </w:tcPr>
          <w:p w14:paraId="3113ABBD">
            <w:pPr>
              <w:spacing w:line="276" w:lineRule="auto"/>
              <w:jc w:val="center"/>
              <w:rPr>
                <w:rFonts w:hint="eastAsia" w:ascii="宋体" w:hAnsi="宋体" w:eastAsia="宋体" w:cs="Times New Roman"/>
                <w:color w:val="000000"/>
                <w:szCs w:val="21"/>
              </w:rPr>
            </w:pPr>
            <w:r>
              <w:rPr>
                <w:rFonts w:hint="eastAsia" w:ascii="宋体" w:hAnsi="宋体" w:eastAsia="宋体" w:cs="Times New Roman"/>
                <w:kern w:val="0"/>
                <w:szCs w:val="21"/>
              </w:rPr>
              <w:t>目标1</w:t>
            </w:r>
          </w:p>
        </w:tc>
        <w:tc>
          <w:tcPr>
            <w:tcW w:w="1644" w:type="dxa"/>
            <w:vAlign w:val="center"/>
          </w:tcPr>
          <w:p w14:paraId="5AB02E80">
            <w:pPr>
              <w:spacing w:line="276" w:lineRule="auto"/>
              <w:jc w:val="center"/>
              <w:rPr>
                <w:rFonts w:hint="eastAsia" w:ascii="宋体" w:hAnsi="宋体" w:eastAsia="宋体" w:cs="Times New Roman"/>
                <w:color w:val="000000"/>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1、7-1</w:t>
            </w:r>
          </w:p>
        </w:tc>
        <w:tc>
          <w:tcPr>
            <w:tcW w:w="655" w:type="dxa"/>
            <w:gridSpan w:val="2"/>
            <w:vAlign w:val="center"/>
          </w:tcPr>
          <w:p w14:paraId="33F4D139">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655" w:type="dxa"/>
            <w:vAlign w:val="center"/>
          </w:tcPr>
          <w:p w14:paraId="520B40B0">
            <w:pPr>
              <w:spacing w:line="276" w:lineRule="auto"/>
              <w:jc w:val="center"/>
              <w:rPr>
                <w:rFonts w:hint="eastAsia" w:ascii="宋体" w:hAnsi="宋体" w:eastAsia="宋体" w:cs="Times New Roman"/>
                <w:kern w:val="0"/>
                <w:szCs w:val="21"/>
              </w:rPr>
            </w:pPr>
          </w:p>
        </w:tc>
      </w:tr>
      <w:tr w14:paraId="6646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24" w:type="dxa"/>
            <w:vAlign w:val="center"/>
          </w:tcPr>
          <w:p w14:paraId="437CDE66">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c>
          <w:tcPr>
            <w:tcW w:w="3868" w:type="dxa"/>
            <w:vAlign w:val="center"/>
          </w:tcPr>
          <w:p w14:paraId="286CB5B7">
            <w:pPr>
              <w:spacing w:line="276" w:lineRule="auto"/>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美国基础教育改革热点</w:t>
            </w:r>
          </w:p>
        </w:tc>
        <w:tc>
          <w:tcPr>
            <w:tcW w:w="1167" w:type="dxa"/>
            <w:vAlign w:val="center"/>
          </w:tcPr>
          <w:p w14:paraId="6D83EBF8">
            <w:pPr>
              <w:spacing w:line="276" w:lineRule="auto"/>
              <w:jc w:val="center"/>
              <w:rPr>
                <w:rFonts w:hint="eastAsia" w:ascii="宋体" w:hAnsi="宋体" w:eastAsia="宋体" w:cs="Times New Roman"/>
                <w:color w:val="000000"/>
                <w:szCs w:val="21"/>
              </w:rPr>
            </w:pPr>
            <w:r>
              <w:rPr>
                <w:rFonts w:hint="eastAsia" w:ascii="宋体" w:hAnsi="宋体" w:eastAsia="宋体" w:cs="Times New Roman"/>
                <w:kern w:val="0"/>
                <w:szCs w:val="21"/>
              </w:rPr>
              <w:t>目标2、4</w:t>
            </w:r>
          </w:p>
        </w:tc>
        <w:tc>
          <w:tcPr>
            <w:tcW w:w="1644" w:type="dxa"/>
            <w:vAlign w:val="center"/>
          </w:tcPr>
          <w:p w14:paraId="790075A9">
            <w:pPr>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1、7-3、8-</w:t>
            </w:r>
            <w:r>
              <w:rPr>
                <w:rFonts w:ascii="宋体" w:hAnsi="宋体" w:eastAsia="宋体" w:cs="Times New Roman"/>
                <w:kern w:val="0"/>
                <w:szCs w:val="21"/>
              </w:rPr>
              <w:t>3</w:t>
            </w:r>
          </w:p>
        </w:tc>
        <w:tc>
          <w:tcPr>
            <w:tcW w:w="655" w:type="dxa"/>
            <w:gridSpan w:val="2"/>
            <w:vAlign w:val="center"/>
          </w:tcPr>
          <w:p w14:paraId="21AEDC3E">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w:t>
            </w:r>
          </w:p>
        </w:tc>
        <w:tc>
          <w:tcPr>
            <w:tcW w:w="655" w:type="dxa"/>
            <w:vAlign w:val="center"/>
          </w:tcPr>
          <w:p w14:paraId="4C43F623">
            <w:pPr>
              <w:spacing w:line="276" w:lineRule="auto"/>
              <w:jc w:val="center"/>
              <w:rPr>
                <w:rFonts w:hint="eastAsia" w:ascii="宋体" w:hAnsi="宋体" w:eastAsia="宋体" w:cs="Times New Roman"/>
                <w:kern w:val="0"/>
                <w:szCs w:val="21"/>
              </w:rPr>
            </w:pPr>
          </w:p>
        </w:tc>
      </w:tr>
      <w:tr w14:paraId="76FA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24" w:type="dxa"/>
            <w:vAlign w:val="center"/>
          </w:tcPr>
          <w:p w14:paraId="39784929">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c>
          <w:tcPr>
            <w:tcW w:w="3868" w:type="dxa"/>
            <w:vAlign w:val="center"/>
          </w:tcPr>
          <w:p w14:paraId="569B8E72">
            <w:pPr>
              <w:spacing w:line="276" w:lineRule="auto"/>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英国基础教育改革热点</w:t>
            </w:r>
          </w:p>
        </w:tc>
        <w:tc>
          <w:tcPr>
            <w:tcW w:w="1167" w:type="dxa"/>
            <w:vAlign w:val="center"/>
          </w:tcPr>
          <w:p w14:paraId="28B4A27A">
            <w:pPr>
              <w:spacing w:line="276" w:lineRule="auto"/>
              <w:jc w:val="center"/>
              <w:rPr>
                <w:rFonts w:hint="eastAsia" w:ascii="宋体" w:hAnsi="宋体" w:eastAsia="宋体" w:cs="Times New Roman"/>
                <w:color w:val="000000"/>
                <w:szCs w:val="21"/>
              </w:rPr>
            </w:pPr>
            <w:r>
              <w:rPr>
                <w:rFonts w:hint="eastAsia" w:ascii="宋体" w:hAnsi="宋体" w:eastAsia="宋体" w:cs="Times New Roman"/>
                <w:kern w:val="0"/>
                <w:szCs w:val="21"/>
              </w:rPr>
              <w:t>目标2、4</w:t>
            </w:r>
          </w:p>
        </w:tc>
        <w:tc>
          <w:tcPr>
            <w:tcW w:w="1644" w:type="dxa"/>
            <w:vAlign w:val="center"/>
          </w:tcPr>
          <w:p w14:paraId="34C9EDD9">
            <w:pPr>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1、7-3、8-</w:t>
            </w:r>
            <w:r>
              <w:rPr>
                <w:rFonts w:ascii="宋体" w:hAnsi="宋体" w:eastAsia="宋体" w:cs="Times New Roman"/>
                <w:kern w:val="0"/>
                <w:szCs w:val="21"/>
              </w:rPr>
              <w:t>3</w:t>
            </w:r>
          </w:p>
        </w:tc>
        <w:tc>
          <w:tcPr>
            <w:tcW w:w="655" w:type="dxa"/>
            <w:gridSpan w:val="2"/>
            <w:vAlign w:val="center"/>
          </w:tcPr>
          <w:p w14:paraId="41B67B45">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655" w:type="dxa"/>
            <w:vAlign w:val="center"/>
          </w:tcPr>
          <w:p w14:paraId="10A3CCF4">
            <w:pPr>
              <w:spacing w:line="276" w:lineRule="auto"/>
              <w:rPr>
                <w:rFonts w:hint="eastAsia" w:ascii="宋体" w:hAnsi="宋体" w:eastAsia="宋体" w:cs="Times New Roman"/>
                <w:kern w:val="0"/>
                <w:szCs w:val="21"/>
              </w:rPr>
            </w:pPr>
          </w:p>
        </w:tc>
      </w:tr>
      <w:tr w14:paraId="0C80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24" w:type="dxa"/>
            <w:vAlign w:val="center"/>
          </w:tcPr>
          <w:p w14:paraId="7D4EFBB0">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c>
          <w:tcPr>
            <w:tcW w:w="3868" w:type="dxa"/>
            <w:vAlign w:val="center"/>
          </w:tcPr>
          <w:p w14:paraId="5A1A97D5">
            <w:pPr>
              <w:spacing w:line="276" w:lineRule="auto"/>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日本基础教育改革热点</w:t>
            </w:r>
          </w:p>
        </w:tc>
        <w:tc>
          <w:tcPr>
            <w:tcW w:w="1167" w:type="dxa"/>
            <w:vAlign w:val="center"/>
          </w:tcPr>
          <w:p w14:paraId="493F9AD3">
            <w:pPr>
              <w:spacing w:line="276" w:lineRule="auto"/>
              <w:jc w:val="center"/>
              <w:rPr>
                <w:rFonts w:hint="eastAsia" w:ascii="宋体" w:hAnsi="宋体" w:eastAsia="宋体" w:cs="Times New Roman"/>
                <w:color w:val="000000"/>
                <w:szCs w:val="21"/>
              </w:rPr>
            </w:pPr>
            <w:r>
              <w:rPr>
                <w:rFonts w:hint="eastAsia" w:ascii="宋体" w:hAnsi="宋体" w:eastAsia="宋体" w:cs="Times New Roman"/>
                <w:kern w:val="0"/>
                <w:szCs w:val="21"/>
              </w:rPr>
              <w:t>目标2、4</w:t>
            </w:r>
          </w:p>
        </w:tc>
        <w:tc>
          <w:tcPr>
            <w:tcW w:w="1644" w:type="dxa"/>
            <w:vAlign w:val="center"/>
          </w:tcPr>
          <w:p w14:paraId="28235F54">
            <w:pPr>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1、7-3、8-</w:t>
            </w:r>
            <w:r>
              <w:rPr>
                <w:rFonts w:ascii="宋体" w:hAnsi="宋体" w:eastAsia="宋体" w:cs="Times New Roman"/>
                <w:kern w:val="0"/>
                <w:szCs w:val="21"/>
              </w:rPr>
              <w:t>3</w:t>
            </w:r>
          </w:p>
        </w:tc>
        <w:tc>
          <w:tcPr>
            <w:tcW w:w="655" w:type="dxa"/>
            <w:gridSpan w:val="2"/>
            <w:vAlign w:val="center"/>
          </w:tcPr>
          <w:p w14:paraId="700CE8B6">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w:t>
            </w:r>
          </w:p>
        </w:tc>
        <w:tc>
          <w:tcPr>
            <w:tcW w:w="655" w:type="dxa"/>
            <w:vAlign w:val="center"/>
          </w:tcPr>
          <w:p w14:paraId="3A488E18">
            <w:pPr>
              <w:spacing w:line="276" w:lineRule="auto"/>
              <w:rPr>
                <w:rFonts w:hint="eastAsia" w:ascii="宋体" w:hAnsi="宋体" w:eastAsia="宋体" w:cs="Times New Roman"/>
                <w:kern w:val="0"/>
                <w:szCs w:val="21"/>
              </w:rPr>
            </w:pPr>
          </w:p>
        </w:tc>
      </w:tr>
      <w:tr w14:paraId="5B73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24" w:type="dxa"/>
            <w:vAlign w:val="center"/>
          </w:tcPr>
          <w:p w14:paraId="28399796">
            <w:pPr>
              <w:spacing w:line="276"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3868" w:type="dxa"/>
            <w:vAlign w:val="center"/>
          </w:tcPr>
          <w:p w14:paraId="44792298">
            <w:pPr>
              <w:spacing w:line="276" w:lineRule="auto"/>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中国基础教育课程改革</w:t>
            </w:r>
          </w:p>
        </w:tc>
        <w:tc>
          <w:tcPr>
            <w:tcW w:w="1167" w:type="dxa"/>
            <w:vAlign w:val="center"/>
          </w:tcPr>
          <w:p w14:paraId="7630F788">
            <w:pPr>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目标3、4</w:t>
            </w:r>
          </w:p>
        </w:tc>
        <w:tc>
          <w:tcPr>
            <w:tcW w:w="1644" w:type="dxa"/>
            <w:vAlign w:val="center"/>
          </w:tcPr>
          <w:p w14:paraId="4F95263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w:t>
            </w:r>
          </w:p>
        </w:tc>
        <w:tc>
          <w:tcPr>
            <w:tcW w:w="655" w:type="dxa"/>
            <w:gridSpan w:val="2"/>
            <w:vAlign w:val="center"/>
          </w:tcPr>
          <w:p w14:paraId="27E74DDE">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w:t>
            </w:r>
          </w:p>
        </w:tc>
        <w:tc>
          <w:tcPr>
            <w:tcW w:w="655" w:type="dxa"/>
            <w:vAlign w:val="center"/>
          </w:tcPr>
          <w:p w14:paraId="6FA3013B">
            <w:pPr>
              <w:spacing w:line="276" w:lineRule="auto"/>
              <w:jc w:val="center"/>
              <w:rPr>
                <w:rFonts w:hint="eastAsia" w:ascii="宋体" w:hAnsi="宋体" w:eastAsia="宋体" w:cs="Times New Roman"/>
                <w:kern w:val="0"/>
                <w:szCs w:val="21"/>
              </w:rPr>
            </w:pPr>
          </w:p>
        </w:tc>
      </w:tr>
      <w:tr w14:paraId="4431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6CCB6D90">
            <w:pPr>
              <w:spacing w:line="276" w:lineRule="auto"/>
              <w:jc w:val="center"/>
              <w:rPr>
                <w:rFonts w:hint="eastAsia" w:ascii="宋体" w:hAnsi="宋体" w:eastAsia="宋体" w:cs="Times New Roman"/>
                <w:szCs w:val="21"/>
              </w:rPr>
            </w:pPr>
            <w:r>
              <w:rPr>
                <w:rFonts w:hint="eastAsia" w:ascii="宋体" w:hAnsi="宋体" w:eastAsia="宋体" w:cs="Times New Roman"/>
                <w:szCs w:val="21"/>
              </w:rPr>
              <w:t>6</w:t>
            </w:r>
          </w:p>
        </w:tc>
        <w:tc>
          <w:tcPr>
            <w:tcW w:w="3868" w:type="dxa"/>
            <w:vAlign w:val="center"/>
          </w:tcPr>
          <w:p w14:paraId="53372CB1">
            <w:pPr>
              <w:spacing w:line="276" w:lineRule="auto"/>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中国基础教育课堂教学改革</w:t>
            </w:r>
          </w:p>
        </w:tc>
        <w:tc>
          <w:tcPr>
            <w:tcW w:w="1167" w:type="dxa"/>
            <w:vAlign w:val="center"/>
          </w:tcPr>
          <w:p w14:paraId="06BA540D">
            <w:pPr>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目标4</w:t>
            </w:r>
          </w:p>
        </w:tc>
        <w:tc>
          <w:tcPr>
            <w:tcW w:w="1644" w:type="dxa"/>
            <w:vAlign w:val="center"/>
          </w:tcPr>
          <w:p w14:paraId="353730B8">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w:t>
            </w:r>
            <w:r>
              <w:rPr>
                <w:rFonts w:ascii="宋体" w:hAnsi="宋体" w:eastAsia="宋体" w:cs="Times New Roman"/>
                <w:kern w:val="0"/>
                <w:szCs w:val="21"/>
              </w:rPr>
              <w:t>-</w:t>
            </w:r>
            <w:r>
              <w:rPr>
                <w:rFonts w:hint="eastAsia" w:ascii="宋体" w:hAnsi="宋体" w:eastAsia="宋体" w:cs="Times New Roman"/>
                <w:kern w:val="0"/>
                <w:szCs w:val="21"/>
              </w:rPr>
              <w:t>1</w:t>
            </w:r>
          </w:p>
        </w:tc>
        <w:tc>
          <w:tcPr>
            <w:tcW w:w="655" w:type="dxa"/>
            <w:gridSpan w:val="2"/>
            <w:vAlign w:val="center"/>
          </w:tcPr>
          <w:p w14:paraId="2154CCF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w:t>
            </w:r>
          </w:p>
        </w:tc>
        <w:tc>
          <w:tcPr>
            <w:tcW w:w="655" w:type="dxa"/>
            <w:vAlign w:val="center"/>
          </w:tcPr>
          <w:p w14:paraId="4D475267">
            <w:pPr>
              <w:spacing w:line="276" w:lineRule="auto"/>
              <w:jc w:val="center"/>
              <w:rPr>
                <w:rFonts w:hint="eastAsia" w:ascii="宋体" w:hAnsi="宋体" w:eastAsia="宋体" w:cs="Times New Roman"/>
                <w:kern w:val="0"/>
                <w:szCs w:val="21"/>
              </w:rPr>
            </w:pPr>
          </w:p>
        </w:tc>
      </w:tr>
      <w:tr w14:paraId="630D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2CE17870">
            <w:pPr>
              <w:spacing w:line="276" w:lineRule="auto"/>
              <w:jc w:val="center"/>
              <w:rPr>
                <w:rFonts w:hint="eastAsia" w:ascii="宋体" w:hAnsi="宋体" w:eastAsia="宋体" w:cs="Times New Roman"/>
                <w:szCs w:val="21"/>
              </w:rPr>
            </w:pPr>
            <w:r>
              <w:rPr>
                <w:rFonts w:hint="eastAsia" w:ascii="宋体" w:hAnsi="宋体" w:eastAsia="宋体" w:cs="Times New Roman"/>
                <w:szCs w:val="21"/>
              </w:rPr>
              <w:t>7</w:t>
            </w:r>
          </w:p>
        </w:tc>
        <w:tc>
          <w:tcPr>
            <w:tcW w:w="3868" w:type="dxa"/>
            <w:vAlign w:val="center"/>
          </w:tcPr>
          <w:p w14:paraId="60D63714">
            <w:pPr>
              <w:spacing w:line="276" w:lineRule="auto"/>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中国基础教育教材改革</w:t>
            </w:r>
          </w:p>
        </w:tc>
        <w:tc>
          <w:tcPr>
            <w:tcW w:w="1167" w:type="dxa"/>
            <w:vAlign w:val="center"/>
          </w:tcPr>
          <w:p w14:paraId="150BE4AB">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目标3</w:t>
            </w:r>
          </w:p>
        </w:tc>
        <w:tc>
          <w:tcPr>
            <w:tcW w:w="1644" w:type="dxa"/>
            <w:vAlign w:val="center"/>
          </w:tcPr>
          <w:p w14:paraId="045024E7">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7-3、8-</w:t>
            </w:r>
            <w:r>
              <w:rPr>
                <w:rFonts w:ascii="宋体" w:hAnsi="宋体" w:eastAsia="宋体" w:cs="Times New Roman"/>
                <w:kern w:val="0"/>
                <w:szCs w:val="21"/>
              </w:rPr>
              <w:t>3</w:t>
            </w:r>
          </w:p>
        </w:tc>
        <w:tc>
          <w:tcPr>
            <w:tcW w:w="655" w:type="dxa"/>
            <w:gridSpan w:val="2"/>
            <w:vAlign w:val="center"/>
          </w:tcPr>
          <w:p w14:paraId="11A46EEA">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w:t>
            </w:r>
          </w:p>
        </w:tc>
        <w:tc>
          <w:tcPr>
            <w:tcW w:w="655" w:type="dxa"/>
            <w:vAlign w:val="center"/>
          </w:tcPr>
          <w:p w14:paraId="6C3FB4F0">
            <w:pPr>
              <w:spacing w:line="276" w:lineRule="auto"/>
              <w:jc w:val="center"/>
              <w:rPr>
                <w:rFonts w:hint="eastAsia" w:ascii="宋体" w:hAnsi="宋体" w:eastAsia="宋体" w:cs="Times New Roman"/>
                <w:kern w:val="0"/>
                <w:szCs w:val="21"/>
              </w:rPr>
            </w:pPr>
          </w:p>
        </w:tc>
      </w:tr>
      <w:tr w14:paraId="15B9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0EB4E854">
            <w:pPr>
              <w:spacing w:line="276" w:lineRule="auto"/>
              <w:jc w:val="center"/>
              <w:rPr>
                <w:rFonts w:hint="eastAsia" w:ascii="宋体" w:hAnsi="宋体" w:eastAsia="宋体" w:cs="Times New Roman"/>
                <w:szCs w:val="21"/>
              </w:rPr>
            </w:pPr>
            <w:r>
              <w:rPr>
                <w:rFonts w:hint="eastAsia" w:ascii="宋体" w:hAnsi="宋体" w:eastAsia="宋体" w:cs="Times New Roman"/>
                <w:szCs w:val="21"/>
              </w:rPr>
              <w:t>8</w:t>
            </w:r>
          </w:p>
        </w:tc>
        <w:tc>
          <w:tcPr>
            <w:tcW w:w="3868" w:type="dxa"/>
            <w:vAlign w:val="center"/>
          </w:tcPr>
          <w:p w14:paraId="4D419104">
            <w:pPr>
              <w:spacing w:line="276" w:lineRule="auto"/>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中国基础教育教师队伍改革</w:t>
            </w:r>
          </w:p>
        </w:tc>
        <w:tc>
          <w:tcPr>
            <w:tcW w:w="1167" w:type="dxa"/>
            <w:vAlign w:val="center"/>
          </w:tcPr>
          <w:p w14:paraId="676530A0">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目标1</w:t>
            </w:r>
          </w:p>
        </w:tc>
        <w:tc>
          <w:tcPr>
            <w:tcW w:w="1644" w:type="dxa"/>
            <w:vAlign w:val="center"/>
          </w:tcPr>
          <w:p w14:paraId="300752BA">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w:t>
            </w:r>
          </w:p>
        </w:tc>
        <w:tc>
          <w:tcPr>
            <w:tcW w:w="655" w:type="dxa"/>
            <w:gridSpan w:val="2"/>
            <w:vAlign w:val="center"/>
          </w:tcPr>
          <w:p w14:paraId="23FD72ED">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w:t>
            </w:r>
          </w:p>
        </w:tc>
        <w:tc>
          <w:tcPr>
            <w:tcW w:w="655" w:type="dxa"/>
            <w:vAlign w:val="center"/>
          </w:tcPr>
          <w:p w14:paraId="4D2EC145">
            <w:pPr>
              <w:spacing w:line="276" w:lineRule="auto"/>
              <w:jc w:val="center"/>
              <w:rPr>
                <w:rFonts w:hint="eastAsia" w:ascii="宋体" w:hAnsi="宋体" w:eastAsia="宋体" w:cs="Times New Roman"/>
                <w:kern w:val="0"/>
                <w:szCs w:val="21"/>
              </w:rPr>
            </w:pPr>
          </w:p>
        </w:tc>
      </w:tr>
      <w:tr w14:paraId="11ED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7EC0E80A">
            <w:pPr>
              <w:spacing w:line="276" w:lineRule="auto"/>
              <w:jc w:val="center"/>
              <w:rPr>
                <w:rFonts w:hint="eastAsia" w:ascii="宋体" w:hAnsi="宋体" w:eastAsia="宋体" w:cs="Times New Roman"/>
                <w:szCs w:val="21"/>
              </w:rPr>
            </w:pPr>
            <w:r>
              <w:rPr>
                <w:rFonts w:hint="eastAsia" w:ascii="宋体" w:hAnsi="宋体" w:eastAsia="宋体" w:cs="Times New Roman"/>
                <w:szCs w:val="21"/>
              </w:rPr>
              <w:t>9</w:t>
            </w:r>
          </w:p>
        </w:tc>
        <w:tc>
          <w:tcPr>
            <w:tcW w:w="3868" w:type="dxa"/>
            <w:shd w:val="clear" w:color="auto" w:fill="auto"/>
            <w:vAlign w:val="center"/>
          </w:tcPr>
          <w:p w14:paraId="4992C13E">
            <w:pPr>
              <w:spacing w:line="276" w:lineRule="auto"/>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中国农村基础教育改革的问题与走向</w:t>
            </w:r>
          </w:p>
        </w:tc>
        <w:tc>
          <w:tcPr>
            <w:tcW w:w="1167" w:type="dxa"/>
            <w:shd w:val="clear" w:color="auto" w:fill="auto"/>
            <w:vAlign w:val="center"/>
          </w:tcPr>
          <w:p w14:paraId="1E0C39DF">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目标1</w:t>
            </w:r>
          </w:p>
        </w:tc>
        <w:tc>
          <w:tcPr>
            <w:tcW w:w="1644" w:type="dxa"/>
            <w:shd w:val="clear" w:color="auto" w:fill="auto"/>
            <w:vAlign w:val="center"/>
          </w:tcPr>
          <w:p w14:paraId="5614EB6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w:t>
            </w:r>
          </w:p>
        </w:tc>
        <w:tc>
          <w:tcPr>
            <w:tcW w:w="655" w:type="dxa"/>
            <w:gridSpan w:val="2"/>
            <w:shd w:val="clear" w:color="auto" w:fill="auto"/>
            <w:vAlign w:val="center"/>
          </w:tcPr>
          <w:p w14:paraId="7B972AD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655" w:type="dxa"/>
            <w:vAlign w:val="center"/>
          </w:tcPr>
          <w:p w14:paraId="7152D623">
            <w:pPr>
              <w:spacing w:line="276" w:lineRule="auto"/>
              <w:jc w:val="center"/>
              <w:rPr>
                <w:rFonts w:hint="eastAsia" w:ascii="宋体" w:hAnsi="宋体" w:eastAsia="宋体" w:cs="Times New Roman"/>
                <w:kern w:val="0"/>
                <w:szCs w:val="21"/>
              </w:rPr>
            </w:pPr>
          </w:p>
        </w:tc>
      </w:tr>
      <w:tr w14:paraId="3E78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70F8A188">
            <w:pPr>
              <w:spacing w:line="276"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3868" w:type="dxa"/>
            <w:shd w:val="clear" w:color="auto" w:fill="auto"/>
            <w:vAlign w:val="center"/>
          </w:tcPr>
          <w:p w14:paraId="0D59CAC2">
            <w:pPr>
              <w:spacing w:line="276" w:lineRule="auto"/>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中外基础教育改革研究热点</w:t>
            </w:r>
          </w:p>
        </w:tc>
        <w:tc>
          <w:tcPr>
            <w:tcW w:w="1167" w:type="dxa"/>
            <w:shd w:val="clear" w:color="auto" w:fill="auto"/>
            <w:vAlign w:val="center"/>
          </w:tcPr>
          <w:p w14:paraId="48C41AC4">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目标3、4</w:t>
            </w:r>
          </w:p>
        </w:tc>
        <w:tc>
          <w:tcPr>
            <w:tcW w:w="1644" w:type="dxa"/>
            <w:shd w:val="clear" w:color="auto" w:fill="auto"/>
            <w:vAlign w:val="center"/>
          </w:tcPr>
          <w:p w14:paraId="2643A41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w:t>
            </w:r>
          </w:p>
        </w:tc>
        <w:tc>
          <w:tcPr>
            <w:tcW w:w="655" w:type="dxa"/>
            <w:gridSpan w:val="2"/>
            <w:shd w:val="clear" w:color="auto" w:fill="auto"/>
            <w:vAlign w:val="center"/>
          </w:tcPr>
          <w:p w14:paraId="0BFA42B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655" w:type="dxa"/>
            <w:vAlign w:val="center"/>
          </w:tcPr>
          <w:p w14:paraId="1ADD7FAE">
            <w:pPr>
              <w:spacing w:line="276" w:lineRule="auto"/>
              <w:jc w:val="center"/>
              <w:rPr>
                <w:rFonts w:hint="eastAsia" w:ascii="宋体" w:hAnsi="宋体" w:eastAsia="宋体" w:cs="Times New Roman"/>
                <w:kern w:val="0"/>
                <w:szCs w:val="21"/>
              </w:rPr>
            </w:pPr>
          </w:p>
        </w:tc>
      </w:tr>
      <w:tr w14:paraId="6313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211" w:type="dxa"/>
            <w:gridSpan w:val="5"/>
            <w:vAlign w:val="center"/>
          </w:tcPr>
          <w:p w14:paraId="1DD6225D">
            <w:pPr>
              <w:spacing w:line="276" w:lineRule="auto"/>
              <w:jc w:val="center"/>
              <w:rPr>
                <w:rFonts w:hint="eastAsia" w:ascii="宋体" w:hAnsi="宋体" w:eastAsia="宋体" w:cs="Times New Roman"/>
                <w:szCs w:val="21"/>
              </w:rPr>
            </w:pPr>
            <w:r>
              <w:rPr>
                <w:rFonts w:ascii="宋体" w:hAnsi="宋体" w:eastAsia="宋体" w:cs="Times New Roman"/>
                <w:szCs w:val="21"/>
              </w:rPr>
              <w:t>合计</w:t>
            </w:r>
          </w:p>
        </w:tc>
        <w:tc>
          <w:tcPr>
            <w:tcW w:w="647" w:type="dxa"/>
            <w:vAlign w:val="center"/>
          </w:tcPr>
          <w:p w14:paraId="3AF113E4">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32</w:t>
            </w:r>
          </w:p>
        </w:tc>
        <w:tc>
          <w:tcPr>
            <w:tcW w:w="655" w:type="dxa"/>
            <w:vAlign w:val="center"/>
          </w:tcPr>
          <w:p w14:paraId="4D94DDF4">
            <w:pPr>
              <w:spacing w:line="276" w:lineRule="auto"/>
              <w:jc w:val="center"/>
              <w:rPr>
                <w:rFonts w:hint="eastAsia" w:ascii="宋体" w:hAnsi="宋体" w:eastAsia="宋体" w:cs="Times New Roman"/>
                <w:kern w:val="0"/>
                <w:szCs w:val="21"/>
              </w:rPr>
            </w:pPr>
          </w:p>
        </w:tc>
      </w:tr>
    </w:tbl>
    <w:p w14:paraId="08FE2326">
      <w:pPr>
        <w:spacing w:before="156" w:beforeLines="50" w:line="360" w:lineRule="auto"/>
        <w:rPr>
          <w:rFonts w:hint="eastAsia" w:ascii="宋体" w:hAnsi="宋体" w:eastAsia="宋体" w:cs="Times New Roman"/>
          <w:b/>
          <w:sz w:val="28"/>
          <w:szCs w:val="28"/>
        </w:rPr>
      </w:pPr>
      <w:r>
        <w:rPr>
          <w:rFonts w:hint="eastAsia" w:ascii="宋体" w:hAnsi="宋体" w:eastAsia="宋体" w:cs="Times New Roman"/>
          <w:b/>
          <w:sz w:val="28"/>
          <w:szCs w:val="28"/>
        </w:rPr>
        <w:t xml:space="preserve">    </w:t>
      </w:r>
      <w:bookmarkStart w:id="147" w:name="_Toc27847327"/>
      <w:r>
        <w:rPr>
          <w:rFonts w:hint="eastAsia" w:ascii="宋体" w:hAnsi="宋体" w:eastAsia="宋体" w:cs="Times New Roman"/>
          <w:b/>
          <w:sz w:val="28"/>
          <w:szCs w:val="28"/>
        </w:rPr>
        <w:t>四、课程实施</w:t>
      </w:r>
      <w:bookmarkEnd w:id="147"/>
    </w:p>
    <w:p w14:paraId="189718D6">
      <w:pPr>
        <w:spacing w:line="360" w:lineRule="auto"/>
        <w:rPr>
          <w:rFonts w:hint="eastAsia" w:ascii="宋体" w:hAnsi="宋体" w:eastAsia="宋体" w:cs="Times New Roman"/>
          <w:color w:val="000000"/>
          <w:sz w:val="24"/>
        </w:rPr>
      </w:pPr>
      <w:r>
        <w:rPr>
          <w:rFonts w:hint="eastAsia" w:ascii="宋体" w:hAnsi="宋体" w:eastAsia="宋体" w:cs="Times New Roman"/>
          <w:sz w:val="24"/>
        </w:rPr>
        <w:t>（一）</w:t>
      </w:r>
      <w:r>
        <w:rPr>
          <w:rFonts w:hint="eastAsia" w:ascii="宋体" w:hAnsi="宋体" w:eastAsia="宋体" w:cs="Times New Roman"/>
          <w:color w:val="000000"/>
          <w:sz w:val="24"/>
        </w:rPr>
        <w:t>积极进行课堂教学改革，主要教学方式包括讲授法、案例分析、讨论法、翻转课堂等。充分利用现代化教学手段，提高教学的针对性和实效性。</w:t>
      </w:r>
    </w:p>
    <w:p w14:paraId="77A08DC6">
      <w:pPr>
        <w:spacing w:line="360" w:lineRule="auto"/>
        <w:rPr>
          <w:rFonts w:hint="eastAsia" w:ascii="宋体" w:hAnsi="宋体" w:eastAsia="宋体" w:cs="Times New Roman"/>
          <w:color w:val="000000"/>
          <w:sz w:val="24"/>
        </w:rPr>
      </w:pPr>
      <w:r>
        <w:rPr>
          <w:rFonts w:hint="eastAsia" w:ascii="宋体" w:hAnsi="宋体" w:eastAsia="宋体" w:cs="Times New Roman"/>
          <w:sz w:val="24"/>
        </w:rPr>
        <w:t>（二）采用小组合作学习方式，</w:t>
      </w:r>
      <w:r>
        <w:rPr>
          <w:rFonts w:hint="eastAsia" w:ascii="宋体" w:hAnsi="宋体" w:eastAsia="宋体" w:cs="Times New Roman"/>
          <w:kern w:val="0"/>
          <w:sz w:val="24"/>
        </w:rPr>
        <w:t>学生在小组合作学习过程中完成基础教育改革的文献调查，培养学生团队协作精神</w:t>
      </w:r>
      <w:r>
        <w:rPr>
          <w:rFonts w:ascii="宋体" w:hAnsi="宋体" w:eastAsia="宋体" w:cs="Times New Roman"/>
          <w:kern w:val="0"/>
          <w:sz w:val="24"/>
        </w:rPr>
        <w:t>。</w:t>
      </w:r>
    </w:p>
    <w:p w14:paraId="656BE26F">
      <w:pPr>
        <w:spacing w:line="360" w:lineRule="auto"/>
        <w:rPr>
          <w:rFonts w:hint="eastAsia" w:ascii="宋体" w:hAnsi="宋体" w:eastAsia="宋体" w:cs="Times New Roman"/>
          <w:color w:val="000000"/>
          <w:sz w:val="24"/>
        </w:rPr>
      </w:pPr>
      <w:r>
        <w:rPr>
          <w:rFonts w:hint="eastAsia" w:ascii="宋体" w:hAnsi="宋体" w:eastAsia="宋体" w:cs="Times New Roman"/>
          <w:sz w:val="24"/>
        </w:rPr>
        <w:t>（四）</w:t>
      </w:r>
      <w:r>
        <w:rPr>
          <w:rFonts w:hint="eastAsia" w:ascii="宋体" w:hAnsi="宋体" w:eastAsia="宋体" w:cs="Times New Roman"/>
          <w:color w:val="000000"/>
          <w:sz w:val="24"/>
        </w:rPr>
        <w:t>紧密结合本课程的最新研究成果，及时调整和补充学科前沿知识。</w:t>
      </w:r>
    </w:p>
    <w:p w14:paraId="76DA9FC0">
      <w:pPr>
        <w:spacing w:line="360" w:lineRule="auto"/>
        <w:rPr>
          <w:rFonts w:hint="eastAsia" w:ascii="宋体" w:hAnsi="宋体" w:eastAsia="宋体" w:cs="Times New Roman"/>
          <w:b/>
          <w:bCs/>
          <w:sz w:val="24"/>
        </w:rPr>
      </w:pPr>
      <w:r>
        <w:rPr>
          <w:rFonts w:ascii="宋体" w:hAnsi="宋体" w:eastAsia="宋体" w:cs="Times New Roman"/>
          <w:b/>
          <w:bCs/>
          <w:sz w:val="24"/>
        </w:rPr>
        <w:t>主要教学环节的质量要求如表所示</w:t>
      </w:r>
      <w:r>
        <w:rPr>
          <w:rFonts w:hint="eastAsia" w:ascii="宋体" w:hAnsi="宋体" w:eastAsia="宋体" w:cs="Times New Roman"/>
          <w:b/>
          <w:bCs/>
          <w:sz w:val="24"/>
        </w:rPr>
        <w:t>：</w:t>
      </w:r>
    </w:p>
    <w:tbl>
      <w:tblPr>
        <w:tblStyle w:val="13"/>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508E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3C2F8A60">
            <w:pPr>
              <w:spacing w:line="276" w:lineRule="auto"/>
              <w:jc w:val="center"/>
              <w:rPr>
                <w:rFonts w:hint="eastAsia" w:ascii="宋体" w:hAnsi="宋体" w:eastAsia="宋体" w:cs="Times New Roman"/>
                <w:b/>
                <w:szCs w:val="21"/>
              </w:rPr>
            </w:pPr>
            <w:r>
              <w:rPr>
                <w:rFonts w:ascii="宋体" w:hAnsi="宋体" w:eastAsia="宋体" w:cs="Times New Roman"/>
                <w:b/>
                <w:bCs/>
                <w:szCs w:val="21"/>
              </w:rPr>
              <w:t>主要教学环节</w:t>
            </w:r>
          </w:p>
        </w:tc>
        <w:tc>
          <w:tcPr>
            <w:tcW w:w="7525" w:type="dxa"/>
            <w:tcBorders>
              <w:top w:val="single" w:color="auto" w:sz="8" w:space="0"/>
              <w:left w:val="single" w:color="auto" w:sz="8" w:space="0"/>
              <w:right w:val="single" w:color="auto" w:sz="8" w:space="0"/>
            </w:tcBorders>
            <w:vAlign w:val="center"/>
          </w:tcPr>
          <w:p w14:paraId="06DC6802">
            <w:pPr>
              <w:spacing w:line="276" w:lineRule="auto"/>
              <w:jc w:val="center"/>
              <w:rPr>
                <w:rFonts w:hint="eastAsia"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0B6D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vAlign w:val="center"/>
          </w:tcPr>
          <w:p w14:paraId="126C5001">
            <w:pPr>
              <w:spacing w:line="276" w:lineRule="auto"/>
              <w:jc w:val="center"/>
              <w:rPr>
                <w:rFonts w:hint="eastAsia" w:ascii="宋体" w:hAnsi="宋体" w:eastAsia="宋体" w:cs="Times New Roman"/>
                <w:szCs w:val="21"/>
              </w:rPr>
            </w:pPr>
            <w:r>
              <w:rPr>
                <w:rFonts w:ascii="宋体" w:hAnsi="宋体" w:eastAsia="宋体" w:cs="Times New Roman"/>
                <w:szCs w:val="21"/>
              </w:rPr>
              <w:t>1</w:t>
            </w:r>
          </w:p>
        </w:tc>
        <w:tc>
          <w:tcPr>
            <w:tcW w:w="993" w:type="dxa"/>
            <w:tcMar>
              <w:left w:w="28" w:type="dxa"/>
              <w:right w:w="28" w:type="dxa"/>
            </w:tcMar>
            <w:vAlign w:val="center"/>
          </w:tcPr>
          <w:p w14:paraId="6045E651">
            <w:pPr>
              <w:spacing w:line="276" w:lineRule="auto"/>
              <w:jc w:val="center"/>
              <w:rPr>
                <w:rFonts w:hint="eastAsia" w:ascii="宋体" w:hAnsi="宋体" w:eastAsia="宋体" w:cs="Times New Roman"/>
                <w:szCs w:val="21"/>
              </w:rPr>
            </w:pPr>
            <w:r>
              <w:rPr>
                <w:rFonts w:ascii="宋体" w:hAnsi="宋体" w:eastAsia="宋体" w:cs="Times New Roman"/>
                <w:szCs w:val="21"/>
              </w:rPr>
              <w:t>备课</w:t>
            </w:r>
          </w:p>
        </w:tc>
        <w:tc>
          <w:tcPr>
            <w:tcW w:w="7525" w:type="dxa"/>
            <w:tcBorders>
              <w:right w:val="single" w:color="auto" w:sz="8" w:space="0"/>
            </w:tcBorders>
            <w:vAlign w:val="center"/>
          </w:tcPr>
          <w:p w14:paraId="74A194D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（1）掌握课程教学大纲内容，严格按照教学大纲要求进行课程教学内容的组织。</w:t>
            </w:r>
          </w:p>
          <w:p w14:paraId="75D870D1">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（2）悉心了解学生的现有水平和最新发展区水平，深透钻研教材内容，广泛阅读相关文献资料，精心选择教学方法、组织形式</w:t>
            </w:r>
            <w:r>
              <w:rPr>
                <w:rFonts w:hint="eastAsia" w:ascii="宋体" w:hAnsi="宋体" w:eastAsia="宋体" w:cs="Times New Roman"/>
                <w:color w:val="000000"/>
                <w:szCs w:val="21"/>
              </w:rPr>
              <w:t>和教学手段，认真</w:t>
            </w:r>
            <w:r>
              <w:rPr>
                <w:rFonts w:ascii="宋体" w:hAnsi="宋体" w:eastAsia="宋体" w:cs="Times New Roman"/>
                <w:color w:val="000000"/>
                <w:szCs w:val="21"/>
              </w:rPr>
              <w:t>编写授课计划。授课教案内容包括章节标题、教学目标、教学准备、教学方法、课堂类型、时间分配、授课内容、课后作业、教学效果分析等方面。</w:t>
            </w:r>
          </w:p>
        </w:tc>
      </w:tr>
      <w:tr w14:paraId="6B1B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82" w:type="dxa"/>
            <w:tcBorders>
              <w:left w:val="single" w:color="auto" w:sz="8" w:space="0"/>
            </w:tcBorders>
            <w:vAlign w:val="center"/>
          </w:tcPr>
          <w:p w14:paraId="715BEDB2">
            <w:pPr>
              <w:spacing w:line="276" w:lineRule="auto"/>
              <w:jc w:val="center"/>
              <w:rPr>
                <w:rFonts w:hint="eastAsia" w:ascii="宋体" w:hAnsi="宋体" w:eastAsia="宋体" w:cs="Times New Roman"/>
                <w:szCs w:val="21"/>
              </w:rPr>
            </w:pPr>
            <w:r>
              <w:rPr>
                <w:rFonts w:ascii="宋体" w:hAnsi="宋体" w:eastAsia="宋体" w:cs="Times New Roman"/>
                <w:szCs w:val="21"/>
              </w:rPr>
              <w:t>2</w:t>
            </w:r>
          </w:p>
        </w:tc>
        <w:tc>
          <w:tcPr>
            <w:tcW w:w="993" w:type="dxa"/>
            <w:tcMar>
              <w:left w:w="28" w:type="dxa"/>
              <w:right w:w="28" w:type="dxa"/>
            </w:tcMar>
            <w:vAlign w:val="center"/>
          </w:tcPr>
          <w:p w14:paraId="6EBAC018">
            <w:pPr>
              <w:spacing w:line="276" w:lineRule="auto"/>
              <w:jc w:val="center"/>
              <w:rPr>
                <w:rFonts w:hint="eastAsia" w:ascii="宋体" w:hAnsi="宋体" w:eastAsia="宋体" w:cs="Times New Roman"/>
                <w:szCs w:val="21"/>
              </w:rPr>
            </w:pPr>
            <w:r>
              <w:rPr>
                <w:rFonts w:ascii="宋体" w:hAnsi="宋体" w:eastAsia="宋体" w:cs="Times New Roman"/>
                <w:szCs w:val="21"/>
              </w:rPr>
              <w:t>讲授</w:t>
            </w:r>
          </w:p>
        </w:tc>
        <w:tc>
          <w:tcPr>
            <w:tcW w:w="7525" w:type="dxa"/>
            <w:tcBorders>
              <w:right w:val="single" w:color="auto" w:sz="8" w:space="0"/>
            </w:tcBorders>
            <w:vAlign w:val="center"/>
          </w:tcPr>
          <w:p w14:paraId="0D68516F">
            <w:pPr>
              <w:spacing w:line="276" w:lineRule="auto"/>
              <w:rPr>
                <w:rFonts w:hint="eastAsia" w:ascii="宋体" w:hAnsi="宋体" w:eastAsia="宋体" w:cs="Times New Roman"/>
                <w:color w:val="000000"/>
              </w:rPr>
            </w:pPr>
            <w:r>
              <w:rPr>
                <w:rFonts w:ascii="宋体" w:hAnsi="宋体" w:eastAsia="宋体" w:cs="Times New Roman"/>
                <w:color w:val="000000"/>
                <w:szCs w:val="21"/>
              </w:rPr>
              <w:t>（1）</w:t>
            </w:r>
            <w:r>
              <w:rPr>
                <w:rFonts w:hint="eastAsia" w:ascii="宋体" w:hAnsi="宋体" w:eastAsia="宋体" w:cs="Times New Roman"/>
                <w:color w:val="000000"/>
              </w:rPr>
              <w:t>教师仪表端庄，情绪情感要饱满；</w:t>
            </w:r>
          </w:p>
          <w:p w14:paraId="7608B469">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rPr>
              <w:t>教学准备充分，熟悉教学内容；</w:t>
            </w:r>
          </w:p>
          <w:p w14:paraId="46FE1CF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rPr>
              <w:t>教学内容充实，不断充实最新研究成果；</w:t>
            </w:r>
          </w:p>
          <w:p w14:paraId="1DAA6DF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rPr>
              <w:t>严格执行计划，教学进度适宜；</w:t>
            </w:r>
          </w:p>
          <w:p w14:paraId="2E49CA6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（5）</w:t>
            </w:r>
            <w:r>
              <w:rPr>
                <w:rFonts w:hint="eastAsia" w:ascii="宋体" w:hAnsi="宋体" w:eastAsia="宋体" w:cs="Times New Roman"/>
                <w:color w:val="000000"/>
              </w:rPr>
              <w:t>课堂教学信息充分，注重理论联系实际；</w:t>
            </w:r>
          </w:p>
          <w:p w14:paraId="5FE71FFE">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（6）</w:t>
            </w:r>
            <w:r>
              <w:rPr>
                <w:rFonts w:hint="eastAsia" w:ascii="宋体" w:hAnsi="宋体" w:eastAsia="宋体" w:cs="Times New Roman"/>
                <w:color w:val="000000"/>
              </w:rPr>
              <w:t>注重启发学生思维，培养学生的教学能力；</w:t>
            </w:r>
          </w:p>
          <w:p w14:paraId="40C34B29">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（7）</w:t>
            </w:r>
            <w:r>
              <w:rPr>
                <w:rFonts w:hint="eastAsia" w:ascii="宋体" w:hAnsi="宋体" w:eastAsia="宋体" w:cs="Times New Roman"/>
                <w:color w:val="000000"/>
              </w:rPr>
              <w:t>面向全体基础上因材施教，灵活运用多种教学方法；</w:t>
            </w:r>
          </w:p>
          <w:p w14:paraId="1F272F5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w:t>
            </w:r>
            <w:r>
              <w:rPr>
                <w:rFonts w:hint="eastAsia" w:ascii="宋体" w:hAnsi="宋体" w:eastAsia="宋体" w:cs="Times New Roman"/>
                <w:color w:val="000000"/>
              </w:rPr>
              <w:t>教学语言规范，为学生教育教学做好表率；</w:t>
            </w:r>
          </w:p>
          <w:p w14:paraId="3D503FCD">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（9）</w:t>
            </w:r>
            <w:r>
              <w:rPr>
                <w:rFonts w:hint="eastAsia" w:ascii="宋体" w:hAnsi="宋体" w:eastAsia="宋体" w:cs="Times New Roman"/>
                <w:color w:val="000000"/>
              </w:rPr>
              <w:t>教学条理清楚，教学思路逻辑严密；</w:t>
            </w:r>
          </w:p>
          <w:p w14:paraId="4AAC667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rPr>
              <w:t>充分运用现代化教学手段，教学技术熟练；</w:t>
            </w:r>
          </w:p>
          <w:p w14:paraId="52E42957">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（11）</w:t>
            </w:r>
            <w:r>
              <w:rPr>
                <w:rFonts w:hint="eastAsia" w:ascii="宋体" w:hAnsi="宋体" w:eastAsia="宋体" w:cs="Times New Roman"/>
                <w:color w:val="000000"/>
              </w:rPr>
              <w:t>课堂教学要重点突出，难点突破；</w:t>
            </w:r>
          </w:p>
          <w:p w14:paraId="1612D257">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（12）</w:t>
            </w:r>
            <w:r>
              <w:rPr>
                <w:rFonts w:hint="eastAsia" w:ascii="宋体" w:hAnsi="宋体" w:eastAsia="宋体" w:cs="Times New Roman"/>
                <w:color w:val="000000"/>
              </w:rPr>
              <w:t>注重师生互动，形成良好的课堂氛围。</w:t>
            </w:r>
          </w:p>
        </w:tc>
      </w:tr>
      <w:tr w14:paraId="469F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vAlign w:val="center"/>
          </w:tcPr>
          <w:p w14:paraId="2BECB1F3">
            <w:pPr>
              <w:spacing w:line="276" w:lineRule="auto"/>
              <w:jc w:val="center"/>
              <w:rPr>
                <w:rFonts w:hint="eastAsia" w:ascii="宋体" w:hAnsi="宋体" w:eastAsia="宋体" w:cs="Times New Roman"/>
                <w:szCs w:val="21"/>
              </w:rPr>
            </w:pPr>
            <w:r>
              <w:rPr>
                <w:rFonts w:ascii="宋体" w:hAnsi="宋体" w:eastAsia="宋体" w:cs="Times New Roman"/>
                <w:szCs w:val="21"/>
              </w:rPr>
              <w:t>3</w:t>
            </w:r>
          </w:p>
        </w:tc>
        <w:tc>
          <w:tcPr>
            <w:tcW w:w="993" w:type="dxa"/>
            <w:tcMar>
              <w:left w:w="28" w:type="dxa"/>
              <w:right w:w="28" w:type="dxa"/>
            </w:tcMar>
            <w:vAlign w:val="center"/>
          </w:tcPr>
          <w:p w14:paraId="327390AB">
            <w:pPr>
              <w:spacing w:line="276" w:lineRule="auto"/>
              <w:jc w:val="center"/>
              <w:rPr>
                <w:rFonts w:hint="eastAsia" w:ascii="宋体" w:hAnsi="宋体" w:eastAsia="宋体" w:cs="Times New Roman"/>
                <w:szCs w:val="21"/>
              </w:rPr>
            </w:pPr>
            <w:r>
              <w:rPr>
                <w:rFonts w:ascii="宋体" w:hAnsi="宋体" w:eastAsia="宋体" w:cs="Times New Roman"/>
                <w:szCs w:val="21"/>
              </w:rPr>
              <w:t>作业布置与批改</w:t>
            </w:r>
          </w:p>
        </w:tc>
        <w:tc>
          <w:tcPr>
            <w:tcW w:w="7525" w:type="dxa"/>
            <w:tcBorders>
              <w:right w:val="single" w:color="auto" w:sz="8" w:space="0"/>
            </w:tcBorders>
            <w:vAlign w:val="center"/>
          </w:tcPr>
          <w:p w14:paraId="1681BE59">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学生必须完成</w:t>
            </w:r>
            <w:r>
              <w:rPr>
                <w:rFonts w:hint="eastAsia" w:ascii="宋体" w:hAnsi="宋体" w:eastAsia="宋体" w:cs="Times New Roman"/>
                <w:color w:val="000000"/>
                <w:szCs w:val="21"/>
              </w:rPr>
              <w:t>规定</w:t>
            </w:r>
            <w:r>
              <w:rPr>
                <w:rFonts w:ascii="宋体" w:hAnsi="宋体" w:eastAsia="宋体" w:cs="Times New Roman"/>
                <w:color w:val="000000"/>
                <w:szCs w:val="21"/>
              </w:rPr>
              <w:t>数量的作业</w:t>
            </w:r>
            <w:r>
              <w:rPr>
                <w:rFonts w:hint="eastAsia" w:ascii="宋体" w:hAnsi="宋体" w:eastAsia="宋体" w:cs="Times New Roman"/>
                <w:color w:val="000000"/>
                <w:szCs w:val="21"/>
              </w:rPr>
              <w:t>，</w:t>
            </w:r>
            <w:r>
              <w:rPr>
                <w:rFonts w:ascii="宋体" w:hAnsi="宋体" w:eastAsia="宋体" w:cs="Times New Roman"/>
                <w:color w:val="000000"/>
                <w:szCs w:val="21"/>
              </w:rPr>
              <w:t>作业必须达到以下基本要求：</w:t>
            </w:r>
          </w:p>
          <w:p w14:paraId="0A70281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按时按量完成作业，不缺交，不抄袭</w:t>
            </w:r>
            <w:r>
              <w:rPr>
                <w:rFonts w:hint="eastAsia" w:ascii="宋体" w:hAnsi="宋体" w:eastAsia="宋体" w:cs="Times New Roman"/>
                <w:color w:val="000000"/>
                <w:szCs w:val="21"/>
              </w:rPr>
              <w:t>。</w:t>
            </w:r>
          </w:p>
          <w:p w14:paraId="0BBE9FF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（2）书写</w:t>
            </w:r>
            <w:r>
              <w:rPr>
                <w:rFonts w:ascii="宋体" w:hAnsi="宋体" w:eastAsia="宋体" w:cs="Times New Roman"/>
                <w:color w:val="000000"/>
                <w:szCs w:val="21"/>
              </w:rPr>
              <w:t>规范</w:t>
            </w:r>
            <w:r>
              <w:rPr>
                <w:rFonts w:hint="eastAsia" w:ascii="宋体" w:hAnsi="宋体" w:eastAsia="宋体" w:cs="Times New Roman"/>
                <w:color w:val="000000"/>
                <w:szCs w:val="21"/>
              </w:rPr>
              <w:t>、字迹工整。</w:t>
            </w:r>
          </w:p>
          <w:p w14:paraId="2B0BCDF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（3）有独立见解</w:t>
            </w:r>
            <w:r>
              <w:rPr>
                <w:rFonts w:ascii="宋体" w:hAnsi="宋体" w:eastAsia="宋体" w:cs="Times New Roman"/>
                <w:color w:val="000000"/>
                <w:szCs w:val="21"/>
              </w:rPr>
              <w:t>。</w:t>
            </w:r>
          </w:p>
          <w:p w14:paraId="7EE9C456">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讲评作业要求如下：</w:t>
            </w:r>
          </w:p>
          <w:p w14:paraId="691E133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学生的作业要</w:t>
            </w:r>
            <w:r>
              <w:rPr>
                <w:rFonts w:hint="eastAsia" w:ascii="宋体" w:hAnsi="宋体" w:eastAsia="宋体" w:cs="Times New Roman"/>
                <w:color w:val="000000"/>
                <w:szCs w:val="21"/>
              </w:rPr>
              <w:t>按时</w:t>
            </w:r>
            <w:r>
              <w:rPr>
                <w:rFonts w:ascii="宋体" w:hAnsi="宋体" w:eastAsia="宋体" w:cs="Times New Roman"/>
                <w:color w:val="000000"/>
                <w:szCs w:val="21"/>
              </w:rPr>
              <w:t>全</w:t>
            </w:r>
            <w:r>
              <w:rPr>
                <w:rFonts w:hint="eastAsia" w:ascii="宋体" w:hAnsi="宋体" w:eastAsia="宋体" w:cs="Times New Roman"/>
                <w:color w:val="000000"/>
                <w:szCs w:val="21"/>
              </w:rPr>
              <w:t>部</w:t>
            </w:r>
            <w:r>
              <w:rPr>
                <w:rFonts w:ascii="宋体" w:hAnsi="宋体" w:eastAsia="宋体" w:cs="Times New Roman"/>
                <w:color w:val="000000"/>
                <w:szCs w:val="21"/>
              </w:rPr>
              <w:t>批改，并</w:t>
            </w:r>
            <w:r>
              <w:rPr>
                <w:rFonts w:hint="eastAsia" w:ascii="宋体" w:hAnsi="宋体" w:eastAsia="宋体" w:cs="Times New Roman"/>
                <w:color w:val="000000"/>
                <w:szCs w:val="21"/>
              </w:rPr>
              <w:t>及时进行</w:t>
            </w:r>
            <w:r>
              <w:rPr>
                <w:rFonts w:ascii="宋体" w:hAnsi="宋体" w:eastAsia="宋体" w:cs="Times New Roman"/>
                <w:color w:val="000000"/>
                <w:szCs w:val="21"/>
              </w:rPr>
              <w:t>讲评</w:t>
            </w:r>
            <w:r>
              <w:rPr>
                <w:rFonts w:hint="eastAsia" w:ascii="宋体" w:hAnsi="宋体" w:eastAsia="宋体" w:cs="Times New Roman"/>
                <w:color w:val="000000"/>
                <w:szCs w:val="21"/>
              </w:rPr>
              <w:t>。</w:t>
            </w:r>
          </w:p>
          <w:p w14:paraId="41D5496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讲评作业要认真、细致，按百分制评定成绩并写明日期</w:t>
            </w:r>
            <w:r>
              <w:rPr>
                <w:rFonts w:hint="eastAsia" w:ascii="宋体" w:hAnsi="宋体" w:eastAsia="宋体" w:cs="Times New Roman"/>
                <w:color w:val="000000"/>
                <w:szCs w:val="21"/>
              </w:rPr>
              <w:t>。</w:t>
            </w:r>
          </w:p>
          <w:p w14:paraId="2E6DD56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学生作业平均成绩</w:t>
            </w:r>
            <w:r>
              <w:rPr>
                <w:rFonts w:hint="eastAsia" w:ascii="宋体" w:hAnsi="宋体" w:eastAsia="宋体" w:cs="Times New Roman"/>
                <w:color w:val="000000"/>
                <w:szCs w:val="21"/>
              </w:rPr>
              <w:t>应</w:t>
            </w:r>
            <w:r>
              <w:rPr>
                <w:rFonts w:ascii="宋体" w:hAnsi="宋体" w:eastAsia="宋体" w:cs="Times New Roman"/>
                <w:color w:val="000000"/>
                <w:szCs w:val="21"/>
              </w:rPr>
              <w:t>作为本课程总评成绩中平时成绩的重要组成部分。</w:t>
            </w:r>
          </w:p>
        </w:tc>
      </w:tr>
      <w:tr w14:paraId="4D4E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vAlign w:val="center"/>
          </w:tcPr>
          <w:p w14:paraId="74B1844E">
            <w:pPr>
              <w:spacing w:line="276" w:lineRule="auto"/>
              <w:jc w:val="center"/>
              <w:rPr>
                <w:rFonts w:hint="eastAsia" w:ascii="宋体" w:hAnsi="宋体" w:eastAsia="宋体" w:cs="Times New Roman"/>
                <w:szCs w:val="21"/>
              </w:rPr>
            </w:pPr>
            <w:r>
              <w:rPr>
                <w:rFonts w:ascii="宋体" w:hAnsi="宋体" w:eastAsia="宋体" w:cs="Times New Roman"/>
                <w:szCs w:val="21"/>
              </w:rPr>
              <w:t>4</w:t>
            </w:r>
          </w:p>
        </w:tc>
        <w:tc>
          <w:tcPr>
            <w:tcW w:w="993" w:type="dxa"/>
            <w:tcMar>
              <w:left w:w="28" w:type="dxa"/>
              <w:right w:w="28" w:type="dxa"/>
            </w:tcMar>
            <w:vAlign w:val="center"/>
          </w:tcPr>
          <w:p w14:paraId="592D9627">
            <w:pPr>
              <w:spacing w:line="276" w:lineRule="auto"/>
              <w:jc w:val="center"/>
              <w:rPr>
                <w:rFonts w:hint="eastAsia" w:ascii="宋体" w:hAnsi="宋体" w:eastAsia="宋体" w:cs="Times New Roman"/>
                <w:szCs w:val="21"/>
              </w:rPr>
            </w:pPr>
            <w:r>
              <w:rPr>
                <w:rFonts w:ascii="宋体" w:hAnsi="宋体" w:eastAsia="宋体" w:cs="Times New Roman"/>
                <w:szCs w:val="21"/>
              </w:rPr>
              <w:t>课外答疑</w:t>
            </w:r>
          </w:p>
        </w:tc>
        <w:tc>
          <w:tcPr>
            <w:tcW w:w="7525" w:type="dxa"/>
            <w:tcBorders>
              <w:right w:val="single" w:color="auto" w:sz="8" w:space="0"/>
            </w:tcBorders>
            <w:vAlign w:val="center"/>
          </w:tcPr>
          <w:p w14:paraId="44E62CB6">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为了解学生的学习情况，帮助学生</w:t>
            </w:r>
            <w:r>
              <w:rPr>
                <w:rFonts w:hint="eastAsia" w:ascii="宋体" w:hAnsi="宋体" w:eastAsia="宋体" w:cs="Times New Roman"/>
                <w:color w:val="000000"/>
                <w:szCs w:val="21"/>
              </w:rPr>
              <w:t>更好地</w:t>
            </w:r>
            <w:r>
              <w:rPr>
                <w:rFonts w:ascii="宋体" w:hAnsi="宋体" w:eastAsia="宋体" w:cs="Times New Roman"/>
                <w:color w:val="000000"/>
                <w:szCs w:val="21"/>
              </w:rPr>
              <w:t>理解和消化所学知识、改进学习方法和思维方式，培养其独立的</w:t>
            </w:r>
            <w:r>
              <w:rPr>
                <w:rFonts w:hint="eastAsia" w:ascii="宋体" w:hAnsi="宋体" w:eastAsia="宋体" w:cs="Times New Roman"/>
                <w:color w:val="000000"/>
                <w:szCs w:val="21"/>
              </w:rPr>
              <w:t>学习、分析</w:t>
            </w:r>
            <w:r>
              <w:rPr>
                <w:rFonts w:ascii="宋体" w:hAnsi="宋体" w:eastAsia="宋体" w:cs="Times New Roman"/>
                <w:color w:val="000000"/>
                <w:szCs w:val="21"/>
              </w:rPr>
              <w:t>与评价能力，任课教师</w:t>
            </w:r>
            <w:r>
              <w:rPr>
                <w:rFonts w:hint="eastAsia" w:ascii="宋体" w:hAnsi="宋体" w:eastAsia="宋体" w:cs="Times New Roman"/>
                <w:color w:val="000000"/>
                <w:szCs w:val="21"/>
              </w:rPr>
              <w:t>根据需要安排一定的课外答疑。</w:t>
            </w:r>
          </w:p>
        </w:tc>
      </w:tr>
      <w:tr w14:paraId="75F1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vAlign w:val="center"/>
          </w:tcPr>
          <w:p w14:paraId="47658541">
            <w:pPr>
              <w:spacing w:line="276" w:lineRule="auto"/>
              <w:jc w:val="center"/>
              <w:rPr>
                <w:rFonts w:hint="eastAsia" w:ascii="宋体" w:hAnsi="宋体" w:eastAsia="宋体" w:cs="Times New Roman"/>
                <w:szCs w:val="21"/>
              </w:rPr>
            </w:pPr>
            <w:r>
              <w:rPr>
                <w:rFonts w:ascii="宋体" w:hAnsi="宋体" w:eastAsia="宋体" w:cs="Times New Roman"/>
                <w:szCs w:val="21"/>
              </w:rPr>
              <w:t>5</w:t>
            </w:r>
          </w:p>
        </w:tc>
        <w:tc>
          <w:tcPr>
            <w:tcW w:w="993" w:type="dxa"/>
            <w:tcMar>
              <w:left w:w="28" w:type="dxa"/>
              <w:right w:w="28" w:type="dxa"/>
            </w:tcMar>
            <w:vAlign w:val="center"/>
          </w:tcPr>
          <w:p w14:paraId="1CB5F2B8">
            <w:pPr>
              <w:spacing w:line="276" w:lineRule="auto"/>
              <w:jc w:val="center"/>
              <w:rPr>
                <w:rFonts w:hint="eastAsia" w:ascii="宋体" w:hAnsi="宋体" w:eastAsia="宋体" w:cs="Times New Roman"/>
                <w:szCs w:val="21"/>
              </w:rPr>
            </w:pPr>
            <w:r>
              <w:rPr>
                <w:rFonts w:ascii="宋体" w:hAnsi="宋体" w:eastAsia="宋体" w:cs="Times New Roman"/>
                <w:szCs w:val="21"/>
              </w:rPr>
              <w:t>成绩考核</w:t>
            </w:r>
          </w:p>
        </w:tc>
        <w:tc>
          <w:tcPr>
            <w:tcW w:w="7525" w:type="dxa"/>
            <w:tcBorders>
              <w:right w:val="single" w:color="auto" w:sz="8" w:space="0"/>
            </w:tcBorders>
            <w:vAlign w:val="center"/>
          </w:tcPr>
          <w:p w14:paraId="0B2D4A19">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本课程考核的方式</w:t>
            </w:r>
            <w:r>
              <w:rPr>
                <w:rFonts w:hint="eastAsia" w:ascii="宋体" w:hAnsi="宋体" w:eastAsia="宋体" w:cs="Times New Roman"/>
                <w:color w:val="000000"/>
                <w:szCs w:val="21"/>
              </w:rPr>
              <w:t>为开卷笔试</w:t>
            </w:r>
            <w:r>
              <w:rPr>
                <w:rFonts w:ascii="宋体" w:hAnsi="宋体" w:eastAsia="宋体" w:cs="Times New Roman"/>
                <w:color w:val="000000"/>
                <w:szCs w:val="21"/>
              </w:rPr>
              <w:t>。考试采取教考分离，监考</w:t>
            </w:r>
            <w:r>
              <w:rPr>
                <w:rFonts w:hint="eastAsia" w:ascii="宋体" w:hAnsi="宋体" w:eastAsia="宋体" w:cs="Times New Roman"/>
                <w:color w:val="000000"/>
                <w:szCs w:val="21"/>
              </w:rPr>
              <w:t>由学院</w:t>
            </w:r>
            <w:r>
              <w:rPr>
                <w:rFonts w:ascii="宋体" w:hAnsi="宋体" w:eastAsia="宋体" w:cs="Times New Roman"/>
                <w:color w:val="000000"/>
                <w:szCs w:val="21"/>
              </w:rPr>
              <w:t>统一安排。有下列情况之一者，总评成绩为不及格：</w:t>
            </w:r>
          </w:p>
          <w:p w14:paraId="63805EF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缺交作业者</w:t>
            </w:r>
            <w:r>
              <w:rPr>
                <w:rFonts w:hint="eastAsia" w:ascii="宋体" w:hAnsi="宋体" w:eastAsia="宋体" w:cs="Times New Roman"/>
                <w:color w:val="000000"/>
                <w:szCs w:val="21"/>
              </w:rPr>
              <w:t>。</w:t>
            </w:r>
          </w:p>
          <w:p w14:paraId="4EC851A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缺课次数</w:t>
            </w:r>
            <w:r>
              <w:rPr>
                <w:rFonts w:hint="eastAsia" w:ascii="宋体" w:hAnsi="宋体" w:eastAsia="宋体" w:cs="Times New Roman"/>
                <w:color w:val="000000"/>
                <w:szCs w:val="21"/>
              </w:rPr>
              <w:t>较多</w:t>
            </w:r>
            <w:r>
              <w:rPr>
                <w:rFonts w:ascii="宋体" w:hAnsi="宋体" w:eastAsia="宋体" w:cs="Times New Roman"/>
                <w:color w:val="000000"/>
                <w:szCs w:val="21"/>
              </w:rPr>
              <w:t>者</w:t>
            </w:r>
            <w:r>
              <w:rPr>
                <w:rFonts w:hint="eastAsia" w:ascii="宋体" w:hAnsi="宋体" w:eastAsia="宋体" w:cs="Times New Roman"/>
                <w:color w:val="000000"/>
                <w:szCs w:val="21"/>
              </w:rPr>
              <w:t>。</w:t>
            </w:r>
          </w:p>
        </w:tc>
      </w:tr>
    </w:tbl>
    <w:p w14:paraId="3A0B2694">
      <w:pPr>
        <w:spacing w:line="360" w:lineRule="auto"/>
        <w:rPr>
          <w:rFonts w:hint="eastAsia" w:ascii="宋体" w:hAnsi="宋体" w:eastAsia="宋体" w:cs="Times New Roman"/>
          <w:b/>
          <w:sz w:val="28"/>
          <w:szCs w:val="28"/>
        </w:rPr>
      </w:pPr>
      <w:r>
        <w:rPr>
          <w:rFonts w:hint="eastAsia" w:ascii="宋体" w:hAnsi="宋体" w:eastAsia="宋体" w:cs="Times New Roman"/>
          <w:b/>
          <w:sz w:val="28"/>
          <w:szCs w:val="28"/>
        </w:rPr>
        <w:t>五、课程</w:t>
      </w:r>
      <w:r>
        <w:rPr>
          <w:rFonts w:ascii="宋体" w:hAnsi="宋体" w:eastAsia="宋体" w:cs="Times New Roman"/>
          <w:b/>
          <w:sz w:val="28"/>
          <w:szCs w:val="28"/>
        </w:rPr>
        <w:t>考核</w:t>
      </w:r>
    </w:p>
    <w:p w14:paraId="58D3D0CF">
      <w:pPr>
        <w:spacing w:line="360" w:lineRule="auto"/>
        <w:rPr>
          <w:rFonts w:hint="eastAsia" w:ascii="宋体" w:hAnsi="宋体" w:eastAsia="宋体" w:cs="Times New Roman"/>
          <w:sz w:val="24"/>
        </w:rPr>
      </w:pPr>
      <w:r>
        <w:rPr>
          <w:rFonts w:hint="eastAsia" w:ascii="宋体" w:hAnsi="宋体" w:eastAsia="宋体" w:cs="Times New Roman"/>
          <w:sz w:val="24"/>
        </w:rPr>
        <w:t>（一）</w:t>
      </w:r>
      <w:r>
        <w:rPr>
          <w:rFonts w:ascii="宋体" w:hAnsi="宋体" w:eastAsia="宋体" w:cs="Times New Roman"/>
          <w:sz w:val="24"/>
        </w:rPr>
        <w:t>课程考核包括期末考试、平时及作业考核，期</w:t>
      </w:r>
      <w:r>
        <w:rPr>
          <w:rFonts w:hint="eastAsia" w:ascii="宋体" w:hAnsi="宋体" w:eastAsia="宋体" w:cs="Times New Roman"/>
          <w:sz w:val="24"/>
        </w:rPr>
        <w:t>末</w:t>
      </w:r>
      <w:r>
        <w:rPr>
          <w:rFonts w:ascii="宋体" w:hAnsi="宋体" w:eastAsia="宋体" w:cs="Times New Roman"/>
          <w:sz w:val="24"/>
        </w:rPr>
        <w:t>考试采用</w:t>
      </w:r>
      <w:r>
        <w:rPr>
          <w:rFonts w:hint="eastAsia" w:ascii="宋体" w:hAnsi="宋体" w:eastAsia="宋体" w:cs="Times New Roman"/>
          <w:sz w:val="24"/>
        </w:rPr>
        <w:t>开卷笔试方式</w:t>
      </w:r>
      <w:r>
        <w:rPr>
          <w:rFonts w:ascii="宋体" w:hAnsi="宋体" w:eastAsia="宋体" w:cs="Times New Roman"/>
          <w:sz w:val="24"/>
        </w:rPr>
        <w:t>。</w:t>
      </w:r>
    </w:p>
    <w:p w14:paraId="50FE7542">
      <w:pPr>
        <w:spacing w:line="360" w:lineRule="auto"/>
        <w:rPr>
          <w:rFonts w:hint="eastAsia" w:ascii="宋体" w:hAnsi="宋体" w:eastAsia="宋体" w:cs="Times New Roman"/>
          <w:sz w:val="24"/>
        </w:rPr>
      </w:pPr>
      <w:r>
        <w:rPr>
          <w:rFonts w:hint="eastAsia" w:ascii="宋体" w:hAnsi="宋体" w:eastAsia="宋体" w:cs="Times New Roman"/>
          <w:sz w:val="24"/>
        </w:rPr>
        <w:t>（二）</w:t>
      </w: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成绩=平时成绩×</w:t>
      </w:r>
      <w:r>
        <w:rPr>
          <w:rFonts w:hint="eastAsia" w:ascii="宋体" w:hAnsi="宋体" w:eastAsia="宋体" w:cs="Times New Roman"/>
          <w:sz w:val="24"/>
        </w:rPr>
        <w:t>40</w:t>
      </w:r>
      <w:r>
        <w:rPr>
          <w:rFonts w:ascii="宋体" w:hAnsi="宋体" w:eastAsia="宋体" w:cs="Times New Roman"/>
          <w:sz w:val="24"/>
        </w:rPr>
        <w:t>% +期末考试成绩×</w:t>
      </w:r>
      <w:r>
        <w:rPr>
          <w:rFonts w:hint="eastAsia" w:ascii="宋体" w:hAnsi="宋体" w:eastAsia="宋体" w:cs="Times New Roman"/>
          <w:sz w:val="24"/>
        </w:rPr>
        <w:t>60</w:t>
      </w:r>
      <w:r>
        <w:rPr>
          <w:rFonts w:ascii="宋体" w:hAnsi="宋体" w:eastAsia="宋体" w:cs="Times New Roman"/>
          <w:sz w:val="24"/>
        </w:rPr>
        <w:t>%。</w:t>
      </w:r>
    </w:p>
    <w:p w14:paraId="4CE53992">
      <w:pPr>
        <w:spacing w:line="360" w:lineRule="auto"/>
        <w:rPr>
          <w:rFonts w:hint="eastAsia" w:ascii="宋体" w:hAnsi="宋体" w:eastAsia="宋体" w:cs="Times New Roman"/>
          <w:b/>
          <w:sz w:val="24"/>
        </w:rPr>
      </w:pPr>
      <w:r>
        <w:rPr>
          <w:rFonts w:ascii="宋体" w:hAnsi="宋体" w:eastAsia="宋体" w:cs="Times New Roman"/>
          <w:b/>
          <w:sz w:val="24"/>
        </w:rPr>
        <w:t>具体内容和比例</w:t>
      </w:r>
      <w:r>
        <w:rPr>
          <w:rFonts w:hint="eastAsia" w:ascii="宋体" w:hAnsi="宋体" w:eastAsia="宋体" w:cs="Times New Roman"/>
          <w:b/>
          <w:sz w:val="24"/>
        </w:rPr>
        <w:t>如表所示：</w:t>
      </w:r>
    </w:p>
    <w:tbl>
      <w:tblPr>
        <w:tblStyle w:val="13"/>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61AE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tcMar>
              <w:left w:w="57" w:type="dxa"/>
              <w:right w:w="57" w:type="dxa"/>
            </w:tcMar>
            <w:vAlign w:val="center"/>
          </w:tcPr>
          <w:p w14:paraId="10DE72A7">
            <w:pPr>
              <w:jc w:val="center"/>
              <w:rPr>
                <w:rFonts w:hint="eastAsia" w:ascii="宋体" w:hAnsi="宋体" w:eastAsia="宋体" w:cs="Times New Roman"/>
                <w:b/>
              </w:rPr>
            </w:pPr>
            <w:r>
              <w:rPr>
                <w:rFonts w:ascii="宋体" w:hAnsi="宋体" w:eastAsia="宋体" w:cs="Times New Roman"/>
                <w:b/>
              </w:rPr>
              <w:t>成绩组成</w:t>
            </w:r>
          </w:p>
        </w:tc>
        <w:tc>
          <w:tcPr>
            <w:tcW w:w="1134" w:type="dxa"/>
            <w:shd w:val="clear" w:color="auto" w:fill="FFFFFF"/>
            <w:vAlign w:val="center"/>
          </w:tcPr>
          <w:p w14:paraId="40E137A0">
            <w:pPr>
              <w:jc w:val="center"/>
              <w:rPr>
                <w:rFonts w:hint="eastAsia" w:ascii="宋体" w:hAnsi="宋体" w:eastAsia="宋体" w:cs="Times New Roman"/>
                <w:b/>
              </w:rPr>
            </w:pPr>
            <w:r>
              <w:rPr>
                <w:rFonts w:ascii="宋体" w:hAnsi="宋体" w:eastAsia="宋体" w:cs="Times New Roman"/>
                <w:b/>
              </w:rPr>
              <w:t>考核/</w:t>
            </w:r>
          </w:p>
          <w:p w14:paraId="1B1FCF7E">
            <w:pPr>
              <w:jc w:val="center"/>
              <w:rPr>
                <w:rFonts w:hint="eastAsia" w:ascii="宋体" w:hAnsi="宋体" w:eastAsia="宋体" w:cs="Times New Roman"/>
                <w:b/>
              </w:rPr>
            </w:pPr>
            <w:r>
              <w:rPr>
                <w:rFonts w:ascii="宋体" w:hAnsi="宋体" w:eastAsia="宋体" w:cs="Times New Roman"/>
                <w:b/>
              </w:rPr>
              <w:t>评价环节</w:t>
            </w:r>
          </w:p>
        </w:tc>
        <w:tc>
          <w:tcPr>
            <w:tcW w:w="709" w:type="dxa"/>
            <w:shd w:val="clear" w:color="auto" w:fill="FFFFFF"/>
            <w:vAlign w:val="center"/>
          </w:tcPr>
          <w:p w14:paraId="2E67CA80">
            <w:pPr>
              <w:jc w:val="center"/>
              <w:rPr>
                <w:rFonts w:hint="eastAsia" w:ascii="宋体" w:hAnsi="宋体" w:eastAsia="宋体" w:cs="Times New Roman"/>
                <w:b/>
              </w:rPr>
            </w:pPr>
            <w:r>
              <w:rPr>
                <w:rFonts w:hint="eastAsia" w:ascii="宋体" w:hAnsi="宋体" w:eastAsia="宋体" w:cs="Times New Roman"/>
                <w:b/>
              </w:rPr>
              <w:t>权重</w:t>
            </w:r>
          </w:p>
        </w:tc>
        <w:tc>
          <w:tcPr>
            <w:tcW w:w="2693" w:type="dxa"/>
            <w:shd w:val="clear" w:color="auto" w:fill="FFFFFF"/>
            <w:vAlign w:val="center"/>
          </w:tcPr>
          <w:p w14:paraId="5ED04D0A">
            <w:pPr>
              <w:jc w:val="center"/>
              <w:rPr>
                <w:rFonts w:hint="eastAsia" w:ascii="宋体" w:hAnsi="宋体" w:eastAsia="宋体" w:cs="Times New Roman"/>
                <w:b/>
              </w:rPr>
            </w:pPr>
            <w:r>
              <w:rPr>
                <w:rFonts w:ascii="宋体" w:hAnsi="宋体" w:eastAsia="宋体" w:cs="Times New Roman"/>
                <w:b/>
              </w:rPr>
              <w:t>考核/评价细则</w:t>
            </w:r>
          </w:p>
        </w:tc>
        <w:tc>
          <w:tcPr>
            <w:tcW w:w="1276" w:type="dxa"/>
            <w:shd w:val="clear" w:color="auto" w:fill="FFFFFF"/>
          </w:tcPr>
          <w:p w14:paraId="78286FD7">
            <w:pPr>
              <w:rPr>
                <w:rFonts w:hint="eastAsia" w:ascii="宋体" w:hAnsi="宋体" w:eastAsia="宋体" w:cs="Times New Roman"/>
                <w:b/>
              </w:rPr>
            </w:pPr>
            <w:r>
              <w:rPr>
                <w:rFonts w:hint="eastAsia" w:ascii="宋体" w:hAnsi="宋体" w:eastAsia="宋体" w:cs="Times New Roman"/>
                <w:b/>
              </w:rPr>
              <w:t>课程</w:t>
            </w:r>
          </w:p>
          <w:p w14:paraId="42578AEF">
            <w:pPr>
              <w:jc w:val="center"/>
              <w:rPr>
                <w:rFonts w:hint="eastAsia" w:ascii="宋体" w:hAnsi="宋体" w:eastAsia="宋体" w:cs="Times New Roman"/>
                <w:b/>
              </w:rPr>
            </w:pPr>
            <w:r>
              <w:rPr>
                <w:rFonts w:hint="eastAsia" w:ascii="宋体" w:hAnsi="宋体" w:eastAsia="宋体" w:cs="Times New Roman"/>
                <w:b/>
              </w:rPr>
              <w:t>目标</w:t>
            </w:r>
          </w:p>
        </w:tc>
        <w:tc>
          <w:tcPr>
            <w:tcW w:w="1276" w:type="dxa"/>
            <w:shd w:val="clear" w:color="auto" w:fill="FFFFFF"/>
          </w:tcPr>
          <w:p w14:paraId="3379C82B">
            <w:pPr>
              <w:jc w:val="center"/>
              <w:rPr>
                <w:rFonts w:hint="eastAsia" w:ascii="宋体" w:hAnsi="宋体" w:eastAsia="宋体" w:cs="Times New Roman"/>
                <w:b/>
              </w:rPr>
            </w:pPr>
            <w:r>
              <w:rPr>
                <w:rFonts w:hint="eastAsia" w:ascii="宋体" w:hAnsi="宋体" w:eastAsia="宋体" w:cs="Times New Roman"/>
                <w:b/>
              </w:rPr>
              <w:t>考核</w:t>
            </w:r>
          </w:p>
          <w:p w14:paraId="6200EF30">
            <w:pPr>
              <w:jc w:val="center"/>
              <w:rPr>
                <w:rFonts w:hint="eastAsia" w:ascii="宋体" w:hAnsi="宋体" w:eastAsia="宋体" w:cs="Times New Roman"/>
                <w:b/>
              </w:rPr>
            </w:pPr>
            <w:r>
              <w:rPr>
                <w:rFonts w:ascii="宋体" w:hAnsi="宋体" w:eastAsia="宋体" w:cs="Times New Roman"/>
                <w:b/>
              </w:rPr>
              <w:t>内容</w:t>
            </w:r>
          </w:p>
        </w:tc>
        <w:tc>
          <w:tcPr>
            <w:tcW w:w="1276" w:type="dxa"/>
            <w:shd w:val="clear" w:color="auto" w:fill="FFFFFF"/>
            <w:vAlign w:val="center"/>
          </w:tcPr>
          <w:p w14:paraId="58E4EEE9">
            <w:pPr>
              <w:jc w:val="center"/>
              <w:rPr>
                <w:rFonts w:hint="eastAsia" w:ascii="宋体" w:hAnsi="宋体" w:eastAsia="宋体" w:cs="Times New Roman"/>
                <w:b/>
              </w:rPr>
            </w:pPr>
            <w:r>
              <w:rPr>
                <w:rFonts w:ascii="宋体" w:hAnsi="宋体" w:eastAsia="宋体" w:cs="Times New Roman"/>
                <w:b/>
              </w:rPr>
              <w:t>对应的毕业要求指标点</w:t>
            </w:r>
          </w:p>
        </w:tc>
      </w:tr>
      <w:tr w14:paraId="1BCF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0" w:hRule="atLeast"/>
        </w:trPr>
        <w:tc>
          <w:tcPr>
            <w:tcW w:w="624" w:type="dxa"/>
            <w:tcMar>
              <w:left w:w="57" w:type="dxa"/>
              <w:right w:w="57" w:type="dxa"/>
            </w:tcMar>
            <w:vAlign w:val="center"/>
          </w:tcPr>
          <w:p w14:paraId="74AA5158">
            <w:pPr>
              <w:jc w:val="center"/>
              <w:rPr>
                <w:rFonts w:hint="eastAsia" w:ascii="宋体" w:hAnsi="宋体" w:eastAsia="宋体" w:cs="Times New Roman"/>
              </w:rPr>
            </w:pPr>
            <w:r>
              <w:rPr>
                <w:rFonts w:ascii="宋体" w:hAnsi="宋体" w:eastAsia="宋体" w:cs="Times New Roman"/>
              </w:rPr>
              <w:t>平时成绩</w:t>
            </w:r>
          </w:p>
        </w:tc>
        <w:tc>
          <w:tcPr>
            <w:tcW w:w="1134" w:type="dxa"/>
            <w:vAlign w:val="center"/>
          </w:tcPr>
          <w:p w14:paraId="44FF9800">
            <w:pPr>
              <w:jc w:val="center"/>
              <w:rPr>
                <w:rFonts w:hint="eastAsia" w:ascii="宋体" w:hAnsi="宋体" w:eastAsia="宋体" w:cs="Times New Roman"/>
              </w:rPr>
            </w:pPr>
            <w:r>
              <w:rPr>
                <w:rFonts w:hint="eastAsia" w:ascii="宋体" w:hAnsi="宋体" w:eastAsia="宋体" w:cs="Times New Roman"/>
              </w:rPr>
              <w:t>课堂参与及</w:t>
            </w:r>
          </w:p>
          <w:p w14:paraId="1C771BBB">
            <w:pPr>
              <w:jc w:val="center"/>
              <w:rPr>
                <w:rFonts w:hint="eastAsia" w:ascii="宋体" w:hAnsi="宋体" w:eastAsia="宋体" w:cs="Times New Roman"/>
              </w:rPr>
            </w:pPr>
            <w:r>
              <w:rPr>
                <w:rFonts w:ascii="宋体" w:hAnsi="宋体" w:eastAsia="宋体" w:cs="Times New Roman"/>
              </w:rPr>
              <w:t>平时作业</w:t>
            </w:r>
          </w:p>
        </w:tc>
        <w:tc>
          <w:tcPr>
            <w:tcW w:w="709" w:type="dxa"/>
            <w:vAlign w:val="center"/>
          </w:tcPr>
          <w:p w14:paraId="206FA5B5">
            <w:pPr>
              <w:jc w:val="center"/>
              <w:rPr>
                <w:rFonts w:hint="eastAsia" w:ascii="宋体" w:hAnsi="宋体" w:eastAsia="宋体" w:cs="Times New Roman"/>
              </w:rPr>
            </w:pPr>
            <w:r>
              <w:rPr>
                <w:rFonts w:hint="eastAsia" w:ascii="宋体" w:hAnsi="宋体" w:eastAsia="宋体" w:cs="Times New Roman"/>
              </w:rPr>
              <w:t>4</w:t>
            </w:r>
            <w:r>
              <w:rPr>
                <w:rFonts w:ascii="宋体" w:hAnsi="宋体" w:eastAsia="宋体" w:cs="Times New Roman"/>
              </w:rPr>
              <w:t>0%</w:t>
            </w:r>
          </w:p>
        </w:tc>
        <w:tc>
          <w:tcPr>
            <w:tcW w:w="2693" w:type="dxa"/>
            <w:vAlign w:val="center"/>
          </w:tcPr>
          <w:p w14:paraId="7634E33F">
            <w:pPr>
              <w:jc w:val="left"/>
              <w:rPr>
                <w:rFonts w:hint="eastAsia" w:ascii="宋体" w:hAnsi="宋体" w:eastAsia="宋体" w:cs="Times New Roman"/>
              </w:rPr>
            </w:pPr>
            <w:r>
              <w:rPr>
                <w:rFonts w:hint="eastAsia" w:ascii="宋体" w:hAnsi="宋体" w:eastAsia="宋体" w:cs="Times New Roman"/>
              </w:rPr>
              <w:t>其中课堂参与包括考勤占20%，平时作业占80%。</w:t>
            </w:r>
          </w:p>
          <w:p w14:paraId="65FEE790">
            <w:pPr>
              <w:jc w:val="left"/>
              <w:rPr>
                <w:rFonts w:hint="eastAsia" w:ascii="宋体" w:hAnsi="宋体" w:eastAsia="宋体" w:cs="Times New Roman"/>
                <w:szCs w:val="21"/>
              </w:rPr>
            </w:pPr>
            <w:r>
              <w:rPr>
                <w:rFonts w:hint="eastAsia" w:ascii="宋体" w:hAnsi="宋体" w:eastAsia="宋体" w:cs="Times New Roman"/>
                <w:szCs w:val="21"/>
              </w:rPr>
              <w:t>课堂考勤：无故缺席或迟到一次扣1分，无故缺席累积达5次以上（不含5次）取消课程成绩。</w:t>
            </w:r>
          </w:p>
          <w:p w14:paraId="7F066CEE">
            <w:pPr>
              <w:jc w:val="left"/>
              <w:rPr>
                <w:rFonts w:hint="eastAsia" w:ascii="宋体" w:hAnsi="宋体" w:eastAsia="宋体" w:cs="Times New Roman"/>
                <w:color w:val="0070C0"/>
              </w:rPr>
            </w:pPr>
            <w:r>
              <w:rPr>
                <w:rFonts w:hint="eastAsia" w:ascii="宋体" w:hAnsi="宋体" w:eastAsia="宋体" w:cs="Times New Roman"/>
              </w:rPr>
              <w:t>平时作业：</w:t>
            </w:r>
            <w:r>
              <w:rPr>
                <w:rFonts w:ascii="宋体" w:hAnsi="宋体" w:eastAsia="宋体" w:cs="Times New Roman"/>
              </w:rPr>
              <w:t>课后完成</w:t>
            </w:r>
            <w:r>
              <w:rPr>
                <w:rFonts w:hint="eastAsia" w:ascii="宋体" w:hAnsi="宋体" w:eastAsia="宋体" w:cs="Times New Roman"/>
              </w:rPr>
              <w:t>2次作业</w:t>
            </w:r>
            <w:r>
              <w:rPr>
                <w:rFonts w:ascii="宋体" w:hAnsi="宋体" w:eastAsia="宋体" w:cs="Times New Roman"/>
              </w:rPr>
              <w:t>，主要考核学生对</w:t>
            </w:r>
            <w:r>
              <w:rPr>
                <w:rFonts w:hint="eastAsia" w:ascii="宋体" w:hAnsi="宋体" w:eastAsia="宋体" w:cs="Times New Roman"/>
              </w:rPr>
              <w:t>基本</w:t>
            </w:r>
            <w:r>
              <w:rPr>
                <w:rFonts w:ascii="宋体" w:hAnsi="宋体" w:eastAsia="宋体" w:cs="Times New Roman"/>
              </w:rPr>
              <w:t>理论的理解和掌握程度，计算全部作业的平均成绩。</w:t>
            </w:r>
          </w:p>
        </w:tc>
        <w:tc>
          <w:tcPr>
            <w:tcW w:w="1276" w:type="dxa"/>
            <w:vAlign w:val="center"/>
          </w:tcPr>
          <w:p w14:paraId="348DDCB3">
            <w:pPr>
              <w:jc w:val="center"/>
              <w:rPr>
                <w:rFonts w:hint="eastAsia" w:ascii="宋体" w:hAnsi="宋体" w:eastAsia="宋体" w:cs="Times New Roman"/>
              </w:rPr>
            </w:pPr>
            <w:r>
              <w:rPr>
                <w:rFonts w:hint="eastAsia" w:ascii="宋体" w:hAnsi="宋体" w:eastAsia="宋体" w:cs="Times New Roman"/>
              </w:rPr>
              <w:t>课程目标1</w:t>
            </w:r>
            <w:r>
              <w:rPr>
                <w:rFonts w:ascii="宋体" w:hAnsi="宋体" w:eastAsia="宋体" w:cs="Times New Roman"/>
              </w:rPr>
              <w:t>课程目标</w:t>
            </w:r>
            <w:r>
              <w:rPr>
                <w:rFonts w:hint="eastAsia" w:ascii="宋体" w:hAnsi="宋体" w:eastAsia="宋体" w:cs="Times New Roman"/>
              </w:rPr>
              <w:t>2</w:t>
            </w:r>
          </w:p>
          <w:p w14:paraId="41588AC8">
            <w:pPr>
              <w:jc w:val="center"/>
              <w:rPr>
                <w:rFonts w:hint="eastAsia" w:ascii="宋体" w:hAnsi="宋体" w:eastAsia="宋体" w:cs="Times New Roman"/>
              </w:rPr>
            </w:pPr>
            <w:r>
              <w:rPr>
                <w:rFonts w:ascii="宋体" w:hAnsi="宋体" w:eastAsia="宋体" w:cs="Times New Roman"/>
              </w:rPr>
              <w:t>课程目标</w:t>
            </w:r>
            <w:r>
              <w:rPr>
                <w:rFonts w:hint="eastAsia" w:ascii="宋体" w:hAnsi="宋体" w:eastAsia="宋体" w:cs="Times New Roman"/>
              </w:rPr>
              <w:t>3</w:t>
            </w:r>
          </w:p>
          <w:p w14:paraId="7CD0E6A1">
            <w:pPr>
              <w:jc w:val="center"/>
              <w:rPr>
                <w:rFonts w:hint="eastAsia" w:ascii="宋体" w:hAnsi="宋体" w:eastAsia="宋体" w:cs="Times New Roman"/>
              </w:rPr>
            </w:pPr>
            <w:r>
              <w:rPr>
                <w:rFonts w:ascii="宋体" w:hAnsi="宋体" w:eastAsia="宋体" w:cs="Times New Roman"/>
              </w:rPr>
              <w:t>课程目标</w:t>
            </w:r>
            <w:r>
              <w:rPr>
                <w:rFonts w:hint="eastAsia" w:ascii="宋体" w:hAnsi="宋体" w:eastAsia="宋体" w:cs="Times New Roman"/>
              </w:rPr>
              <w:t>4</w:t>
            </w:r>
          </w:p>
        </w:tc>
        <w:tc>
          <w:tcPr>
            <w:tcW w:w="1276" w:type="dxa"/>
            <w:vAlign w:val="center"/>
          </w:tcPr>
          <w:p w14:paraId="752CB5BB">
            <w:pPr>
              <w:jc w:val="left"/>
              <w:rPr>
                <w:rFonts w:hint="eastAsia" w:ascii="宋体" w:hAnsi="宋体" w:eastAsia="宋体" w:cs="Times New Roman"/>
                <w:color w:val="000000"/>
              </w:rPr>
            </w:pPr>
            <w:r>
              <w:rPr>
                <w:rFonts w:hint="eastAsia" w:ascii="宋体" w:hAnsi="宋体" w:eastAsia="宋体" w:cs="Times New Roman"/>
                <w:color w:val="000000"/>
              </w:rPr>
              <w:t>我国基础教育改革热点问题及改革路径</w:t>
            </w:r>
          </w:p>
        </w:tc>
        <w:tc>
          <w:tcPr>
            <w:tcW w:w="1276" w:type="dxa"/>
            <w:vAlign w:val="center"/>
          </w:tcPr>
          <w:p w14:paraId="4F44C1E4">
            <w:pPr>
              <w:jc w:val="center"/>
              <w:rPr>
                <w:rFonts w:hint="eastAsia" w:ascii="宋体" w:hAnsi="宋体" w:eastAsia="宋体" w:cs="Times New Roman"/>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1、7-1、7-3、</w:t>
            </w:r>
            <w:r>
              <w:rPr>
                <w:rFonts w:hint="eastAsia" w:ascii="宋体" w:hAnsi="宋体" w:eastAsia="宋体" w:cs="Times New Roman"/>
                <w:color w:val="000000"/>
                <w:szCs w:val="21"/>
              </w:rPr>
              <w:t>8-</w:t>
            </w:r>
            <w:r>
              <w:rPr>
                <w:rFonts w:ascii="宋体" w:hAnsi="宋体" w:eastAsia="宋体" w:cs="Times New Roman"/>
                <w:color w:val="000000"/>
                <w:szCs w:val="21"/>
              </w:rPr>
              <w:t>3</w:t>
            </w:r>
          </w:p>
        </w:tc>
      </w:tr>
      <w:tr w14:paraId="7C3F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624" w:type="dxa"/>
            <w:tcMar>
              <w:left w:w="57" w:type="dxa"/>
              <w:right w:w="57" w:type="dxa"/>
            </w:tcMar>
            <w:vAlign w:val="center"/>
          </w:tcPr>
          <w:p w14:paraId="74B8A9E0">
            <w:pPr>
              <w:jc w:val="center"/>
              <w:rPr>
                <w:rFonts w:hint="eastAsia" w:ascii="宋体" w:hAnsi="宋体" w:eastAsia="宋体" w:cs="Times New Roman"/>
              </w:rPr>
            </w:pPr>
            <w:r>
              <w:rPr>
                <w:rFonts w:ascii="宋体" w:hAnsi="宋体" w:eastAsia="宋体" w:cs="Times New Roman"/>
              </w:rPr>
              <w:t>期末考试</w:t>
            </w:r>
          </w:p>
        </w:tc>
        <w:tc>
          <w:tcPr>
            <w:tcW w:w="1134" w:type="dxa"/>
            <w:vAlign w:val="center"/>
          </w:tcPr>
          <w:p w14:paraId="6B59F2FA">
            <w:pPr>
              <w:jc w:val="center"/>
              <w:rPr>
                <w:rFonts w:hint="eastAsia" w:ascii="宋体" w:hAnsi="宋体" w:eastAsia="宋体" w:cs="Times New Roman"/>
              </w:rPr>
            </w:pPr>
            <w:r>
              <w:rPr>
                <w:rFonts w:ascii="宋体" w:hAnsi="宋体" w:eastAsia="宋体" w:cs="Times New Roman"/>
              </w:rPr>
              <w:t>期末考试</w:t>
            </w:r>
          </w:p>
          <w:p w14:paraId="74CB63B8">
            <w:pPr>
              <w:jc w:val="center"/>
              <w:rPr>
                <w:rFonts w:hint="eastAsia" w:ascii="宋体" w:hAnsi="宋体" w:eastAsia="宋体" w:cs="Times New Roman"/>
              </w:rPr>
            </w:pPr>
            <w:r>
              <w:rPr>
                <w:rFonts w:hint="eastAsia" w:ascii="宋体" w:hAnsi="宋体" w:eastAsia="宋体" w:cs="Times New Roman"/>
              </w:rPr>
              <w:t>卷面</w:t>
            </w:r>
            <w:r>
              <w:rPr>
                <w:rFonts w:ascii="宋体" w:hAnsi="宋体" w:eastAsia="宋体" w:cs="Times New Roman"/>
              </w:rPr>
              <w:t>成绩</w:t>
            </w:r>
          </w:p>
        </w:tc>
        <w:tc>
          <w:tcPr>
            <w:tcW w:w="709" w:type="dxa"/>
            <w:vAlign w:val="center"/>
          </w:tcPr>
          <w:p w14:paraId="39BD7045">
            <w:pPr>
              <w:jc w:val="center"/>
              <w:rPr>
                <w:rFonts w:hint="eastAsia" w:ascii="宋体" w:hAnsi="宋体" w:eastAsia="宋体" w:cs="Times New Roman"/>
              </w:rPr>
            </w:pPr>
            <w:r>
              <w:rPr>
                <w:rFonts w:hint="eastAsia" w:ascii="宋体" w:hAnsi="宋体" w:eastAsia="宋体" w:cs="Times New Roman"/>
              </w:rPr>
              <w:t>6</w:t>
            </w:r>
            <w:r>
              <w:rPr>
                <w:rFonts w:ascii="宋体" w:hAnsi="宋体" w:eastAsia="宋体" w:cs="Times New Roman"/>
              </w:rPr>
              <w:t>0%</w:t>
            </w:r>
          </w:p>
        </w:tc>
        <w:tc>
          <w:tcPr>
            <w:tcW w:w="2693" w:type="dxa"/>
            <w:vAlign w:val="center"/>
          </w:tcPr>
          <w:p w14:paraId="3388EC98">
            <w:pPr>
              <w:jc w:val="left"/>
              <w:rPr>
                <w:rFonts w:hint="eastAsia" w:ascii="宋体" w:hAnsi="宋体" w:eastAsia="宋体" w:cs="Times New Roman"/>
                <w:szCs w:val="21"/>
              </w:rPr>
            </w:pPr>
            <w:r>
              <w:rPr>
                <w:rFonts w:hint="eastAsia" w:ascii="宋体" w:hAnsi="宋体" w:eastAsia="宋体" w:cs="Times New Roman"/>
                <w:szCs w:val="21"/>
              </w:rPr>
              <w:t>开卷</w:t>
            </w:r>
            <w:r>
              <w:rPr>
                <w:rFonts w:ascii="宋体" w:hAnsi="宋体" w:eastAsia="宋体" w:cs="Times New Roman"/>
                <w:szCs w:val="21"/>
              </w:rPr>
              <w:t>题型包括</w:t>
            </w:r>
            <w:r>
              <w:rPr>
                <w:rFonts w:hint="eastAsia" w:ascii="宋体" w:hAnsi="宋体" w:eastAsia="宋体" w:cs="Times New Roman"/>
                <w:szCs w:val="21"/>
              </w:rPr>
              <w:t>论述题</w:t>
            </w:r>
            <w:r>
              <w:rPr>
                <w:rFonts w:ascii="宋体" w:hAnsi="宋体" w:eastAsia="宋体" w:cs="Times New Roman"/>
                <w:szCs w:val="21"/>
              </w:rPr>
              <w:t>和</w:t>
            </w:r>
            <w:r>
              <w:rPr>
                <w:rFonts w:hint="eastAsia" w:ascii="宋体" w:hAnsi="宋体" w:eastAsia="宋体" w:cs="Times New Roman"/>
                <w:szCs w:val="21"/>
              </w:rPr>
              <w:t>案例分析题</w:t>
            </w:r>
            <w:r>
              <w:rPr>
                <w:rFonts w:ascii="宋体" w:hAnsi="宋体" w:eastAsia="宋体" w:cs="Times New Roman"/>
                <w:szCs w:val="21"/>
              </w:rPr>
              <w:t>，以卷面成绩的</w:t>
            </w:r>
            <w:r>
              <w:rPr>
                <w:rFonts w:hint="eastAsia" w:ascii="宋体" w:hAnsi="宋体" w:eastAsia="宋体" w:cs="Times New Roman"/>
                <w:szCs w:val="21"/>
              </w:rPr>
              <w:t>6</w:t>
            </w:r>
            <w:r>
              <w:rPr>
                <w:rFonts w:ascii="宋体" w:hAnsi="宋体" w:eastAsia="宋体" w:cs="Times New Roman"/>
                <w:szCs w:val="21"/>
              </w:rPr>
              <w:t>0%计入课程总成绩。</w:t>
            </w:r>
          </w:p>
        </w:tc>
        <w:tc>
          <w:tcPr>
            <w:tcW w:w="1276" w:type="dxa"/>
            <w:vAlign w:val="center"/>
          </w:tcPr>
          <w:p w14:paraId="26E961C8">
            <w:pPr>
              <w:jc w:val="center"/>
              <w:rPr>
                <w:rFonts w:hint="eastAsia" w:ascii="宋体" w:hAnsi="宋体" w:eastAsia="宋体" w:cs="Times New Roman"/>
              </w:rPr>
            </w:pPr>
            <w:r>
              <w:rPr>
                <w:rFonts w:hint="eastAsia" w:ascii="宋体" w:hAnsi="宋体" w:eastAsia="宋体" w:cs="Times New Roman"/>
              </w:rPr>
              <w:t>课程目标1</w:t>
            </w:r>
            <w:r>
              <w:rPr>
                <w:rFonts w:ascii="宋体" w:hAnsi="宋体" w:eastAsia="宋体" w:cs="Times New Roman"/>
              </w:rPr>
              <w:t>课程目标</w:t>
            </w:r>
            <w:r>
              <w:rPr>
                <w:rFonts w:hint="eastAsia" w:ascii="宋体" w:hAnsi="宋体" w:eastAsia="宋体" w:cs="Times New Roman"/>
              </w:rPr>
              <w:t>2</w:t>
            </w:r>
          </w:p>
          <w:p w14:paraId="6258F1F9">
            <w:pPr>
              <w:jc w:val="center"/>
              <w:rPr>
                <w:rFonts w:hint="eastAsia" w:ascii="宋体" w:hAnsi="宋体" w:eastAsia="宋体" w:cs="Times New Roman"/>
              </w:rPr>
            </w:pPr>
            <w:r>
              <w:rPr>
                <w:rFonts w:ascii="宋体" w:hAnsi="宋体" w:eastAsia="宋体" w:cs="Times New Roman"/>
              </w:rPr>
              <w:t>课程目标</w:t>
            </w:r>
            <w:r>
              <w:rPr>
                <w:rFonts w:hint="eastAsia" w:ascii="宋体" w:hAnsi="宋体" w:eastAsia="宋体" w:cs="Times New Roman"/>
              </w:rPr>
              <w:t>3</w:t>
            </w:r>
          </w:p>
        </w:tc>
        <w:tc>
          <w:tcPr>
            <w:tcW w:w="1276" w:type="dxa"/>
            <w:vAlign w:val="center"/>
          </w:tcPr>
          <w:p w14:paraId="0947BFC4">
            <w:pPr>
              <w:jc w:val="left"/>
              <w:rPr>
                <w:rFonts w:hint="eastAsia" w:ascii="宋体" w:hAnsi="宋体" w:eastAsia="宋体" w:cs="Times New Roman"/>
                <w:color w:val="000000"/>
                <w:szCs w:val="21"/>
              </w:rPr>
            </w:pPr>
            <w:r>
              <w:rPr>
                <w:rFonts w:hint="eastAsia" w:ascii="宋体" w:hAnsi="宋体" w:eastAsia="宋体" w:cs="Times New Roman"/>
                <w:color w:val="000000"/>
                <w:szCs w:val="21"/>
              </w:rPr>
              <w:t>国内外基础教育改革现状及发展趋势</w:t>
            </w:r>
          </w:p>
        </w:tc>
        <w:tc>
          <w:tcPr>
            <w:tcW w:w="1276" w:type="dxa"/>
            <w:vAlign w:val="center"/>
          </w:tcPr>
          <w:p w14:paraId="209481AB">
            <w:pPr>
              <w:jc w:val="center"/>
              <w:rPr>
                <w:rFonts w:hint="eastAsia" w:ascii="宋体" w:hAnsi="宋体" w:eastAsia="宋体" w:cs="Times New Roman"/>
                <w:color w:val="000000"/>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1、7-1、7-3</w:t>
            </w:r>
          </w:p>
        </w:tc>
      </w:tr>
    </w:tbl>
    <w:p w14:paraId="241A9700">
      <w:pPr>
        <w:spacing w:line="360" w:lineRule="auto"/>
        <w:rPr>
          <w:rFonts w:hint="eastAsia"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（三）</w:t>
      </w:r>
      <w:r>
        <w:rPr>
          <w:rFonts w:hint="eastAsia" w:ascii="宋体" w:hAnsi="宋体" w:eastAsia="宋体" w:cs="Times New Roman"/>
          <w:sz w:val="24"/>
        </w:rPr>
        <w:t>课程目标及考核方式权重分配表</w:t>
      </w:r>
    </w:p>
    <w:tbl>
      <w:tblPr>
        <w:tblStyle w:val="13"/>
        <w:tblW w:w="904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993"/>
        <w:gridCol w:w="1768"/>
        <w:gridCol w:w="1806"/>
        <w:gridCol w:w="2402"/>
        <w:gridCol w:w="1071"/>
      </w:tblGrid>
      <w:tr w14:paraId="65ACEA0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3761" w:type="dxa"/>
            <w:gridSpan w:val="2"/>
            <w:shd w:val="clear" w:color="auto" w:fill="auto"/>
            <w:vAlign w:val="center"/>
          </w:tcPr>
          <w:p w14:paraId="2B1F9885">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课程目标及权重</w:t>
            </w:r>
          </w:p>
        </w:tc>
        <w:tc>
          <w:tcPr>
            <w:tcW w:w="5279" w:type="dxa"/>
            <w:gridSpan w:val="3"/>
            <w:shd w:val="clear" w:color="auto" w:fill="auto"/>
            <w:vAlign w:val="center"/>
          </w:tcPr>
          <w:p w14:paraId="762ADEA9">
            <w:pPr>
              <w:widowControl/>
              <w:ind w:right="-391" w:rightChars="-186"/>
              <w:jc w:val="center"/>
              <w:rPr>
                <w:rFonts w:hint="eastAsia" w:ascii="宋体" w:hAnsi="宋体" w:eastAsia="宋体" w:cs="Times New Roman"/>
                <w:kern w:val="0"/>
                <w:szCs w:val="21"/>
              </w:rPr>
            </w:pPr>
            <w:r>
              <w:rPr>
                <w:rFonts w:hint="eastAsia" w:ascii="宋体" w:hAnsi="宋体" w:eastAsia="宋体" w:cs="Times New Roman"/>
                <w:kern w:val="0"/>
                <w:szCs w:val="21"/>
              </w:rPr>
              <w:t>考核方式及权重</w:t>
            </w:r>
          </w:p>
        </w:tc>
      </w:tr>
      <w:tr w14:paraId="72D144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1993" w:type="dxa"/>
            <w:shd w:val="clear" w:color="auto" w:fill="auto"/>
            <w:vAlign w:val="center"/>
          </w:tcPr>
          <w:p w14:paraId="359A4F3B">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项目</w:t>
            </w:r>
          </w:p>
        </w:tc>
        <w:tc>
          <w:tcPr>
            <w:tcW w:w="1768" w:type="dxa"/>
            <w:shd w:val="clear" w:color="auto" w:fill="auto"/>
            <w:vAlign w:val="center"/>
          </w:tcPr>
          <w:p w14:paraId="7BDE519D">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806" w:type="dxa"/>
            <w:shd w:val="clear" w:color="auto" w:fill="auto"/>
            <w:vAlign w:val="center"/>
          </w:tcPr>
          <w:p w14:paraId="1AEDE34E">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评价依据</w:t>
            </w:r>
          </w:p>
        </w:tc>
        <w:tc>
          <w:tcPr>
            <w:tcW w:w="2402" w:type="dxa"/>
            <w:shd w:val="clear" w:color="auto" w:fill="auto"/>
            <w:vAlign w:val="center"/>
          </w:tcPr>
          <w:p w14:paraId="3335F723">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1070" w:type="dxa"/>
          </w:tcPr>
          <w:p w14:paraId="3856BE5A">
            <w:pPr>
              <w:widowControl/>
              <w:rPr>
                <w:rFonts w:hint="eastAsia" w:ascii="宋体" w:hAnsi="宋体" w:eastAsia="宋体" w:cs="Times New Roman"/>
                <w:color w:val="FF0000"/>
                <w:kern w:val="0"/>
                <w:szCs w:val="21"/>
              </w:rPr>
            </w:pPr>
            <w:r>
              <w:rPr>
                <w:rFonts w:hint="eastAsia" w:ascii="宋体" w:hAnsi="宋体" w:eastAsia="宋体" w:cs="Times New Roman"/>
                <w:kern w:val="0"/>
                <w:szCs w:val="21"/>
              </w:rPr>
              <w:t>考核方式权重合计</w:t>
            </w:r>
          </w:p>
        </w:tc>
      </w:tr>
      <w:tr w14:paraId="5C45DF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614B6E4F">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768" w:type="dxa"/>
            <w:vMerge w:val="restart"/>
            <w:shd w:val="clear" w:color="auto" w:fill="auto"/>
            <w:vAlign w:val="center"/>
          </w:tcPr>
          <w:p w14:paraId="25D3A424">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20%</w:t>
            </w:r>
          </w:p>
        </w:tc>
        <w:tc>
          <w:tcPr>
            <w:tcW w:w="1806" w:type="dxa"/>
            <w:shd w:val="clear" w:color="auto" w:fill="auto"/>
            <w:vAlign w:val="center"/>
          </w:tcPr>
          <w:p w14:paraId="434CD1F1">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751EF4B9">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070" w:type="dxa"/>
            <w:vMerge w:val="restart"/>
            <w:vAlign w:val="center"/>
          </w:tcPr>
          <w:p w14:paraId="3F9F45CF">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5A9F31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993" w:type="dxa"/>
            <w:vMerge w:val="continue"/>
            <w:shd w:val="clear" w:color="auto" w:fill="auto"/>
            <w:vAlign w:val="center"/>
          </w:tcPr>
          <w:p w14:paraId="7F9E1DC1">
            <w:pPr>
              <w:widowControl/>
              <w:jc w:val="left"/>
              <w:rPr>
                <w:rFonts w:hint="eastAsia" w:ascii="宋体" w:hAnsi="宋体" w:eastAsia="宋体" w:cs="Times New Roman"/>
                <w:kern w:val="0"/>
                <w:szCs w:val="21"/>
              </w:rPr>
            </w:pPr>
          </w:p>
        </w:tc>
        <w:tc>
          <w:tcPr>
            <w:tcW w:w="1768" w:type="dxa"/>
            <w:vMerge w:val="continue"/>
            <w:shd w:val="clear" w:color="auto" w:fill="auto"/>
            <w:vAlign w:val="center"/>
          </w:tcPr>
          <w:p w14:paraId="6FE866C7">
            <w:pPr>
              <w:widowControl/>
              <w:jc w:val="left"/>
              <w:rPr>
                <w:rFonts w:hint="eastAsia" w:ascii="宋体" w:hAnsi="宋体" w:eastAsia="宋体" w:cs="Times New Roman"/>
                <w:kern w:val="0"/>
                <w:szCs w:val="21"/>
              </w:rPr>
            </w:pPr>
          </w:p>
        </w:tc>
        <w:tc>
          <w:tcPr>
            <w:tcW w:w="1806" w:type="dxa"/>
            <w:shd w:val="clear" w:color="auto" w:fill="auto"/>
            <w:vAlign w:val="center"/>
          </w:tcPr>
          <w:p w14:paraId="41BBCF43">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2402" w:type="dxa"/>
            <w:shd w:val="clear" w:color="auto" w:fill="auto"/>
            <w:vAlign w:val="center"/>
          </w:tcPr>
          <w:p w14:paraId="5D0B17A1">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30%</w:t>
            </w:r>
          </w:p>
        </w:tc>
        <w:tc>
          <w:tcPr>
            <w:tcW w:w="1070" w:type="dxa"/>
            <w:vMerge w:val="continue"/>
          </w:tcPr>
          <w:p w14:paraId="0D96509C">
            <w:pPr>
              <w:widowControl/>
              <w:jc w:val="center"/>
              <w:rPr>
                <w:rFonts w:hint="eastAsia" w:ascii="宋体" w:hAnsi="宋体" w:eastAsia="宋体" w:cs="Times New Roman"/>
                <w:kern w:val="0"/>
                <w:szCs w:val="21"/>
              </w:rPr>
            </w:pPr>
          </w:p>
        </w:tc>
      </w:tr>
      <w:tr w14:paraId="0276575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283480B8">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768" w:type="dxa"/>
            <w:vMerge w:val="restart"/>
            <w:shd w:val="clear" w:color="auto" w:fill="auto"/>
            <w:vAlign w:val="center"/>
          </w:tcPr>
          <w:p w14:paraId="013AC978">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20%</w:t>
            </w:r>
          </w:p>
        </w:tc>
        <w:tc>
          <w:tcPr>
            <w:tcW w:w="1806" w:type="dxa"/>
            <w:shd w:val="clear" w:color="auto" w:fill="auto"/>
            <w:vAlign w:val="center"/>
          </w:tcPr>
          <w:p w14:paraId="474FC407">
            <w:pPr>
              <w:widowControl/>
              <w:ind w:firstLine="630" w:firstLineChars="300"/>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5A202CAA">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070" w:type="dxa"/>
            <w:vMerge w:val="restart"/>
            <w:vAlign w:val="center"/>
          </w:tcPr>
          <w:p w14:paraId="1F5E5F2F">
            <w:pPr>
              <w:jc w:val="center"/>
              <w:rPr>
                <w:rFonts w:ascii="Times New Roman" w:hAnsi="Times New Roman" w:eastAsia="宋体" w:cs="Times New Roman"/>
              </w:rPr>
            </w:pPr>
            <w:r>
              <w:rPr>
                <w:rFonts w:hint="eastAsia" w:ascii="宋体" w:hAnsi="宋体" w:eastAsia="宋体" w:cs="Times New Roman"/>
                <w:kern w:val="0"/>
                <w:szCs w:val="21"/>
              </w:rPr>
              <w:t>100%</w:t>
            </w:r>
          </w:p>
        </w:tc>
      </w:tr>
      <w:tr w14:paraId="45FD9A3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continue"/>
            <w:shd w:val="clear" w:color="auto" w:fill="auto"/>
            <w:vAlign w:val="center"/>
          </w:tcPr>
          <w:p w14:paraId="11020A44">
            <w:pPr>
              <w:widowControl/>
              <w:jc w:val="left"/>
              <w:rPr>
                <w:rFonts w:hint="eastAsia" w:ascii="宋体" w:hAnsi="宋体" w:eastAsia="宋体" w:cs="Times New Roman"/>
                <w:kern w:val="0"/>
                <w:szCs w:val="21"/>
              </w:rPr>
            </w:pPr>
          </w:p>
        </w:tc>
        <w:tc>
          <w:tcPr>
            <w:tcW w:w="1768" w:type="dxa"/>
            <w:vMerge w:val="continue"/>
            <w:shd w:val="clear" w:color="auto" w:fill="auto"/>
            <w:vAlign w:val="center"/>
          </w:tcPr>
          <w:p w14:paraId="16507BC5">
            <w:pPr>
              <w:widowControl/>
              <w:jc w:val="left"/>
              <w:rPr>
                <w:rFonts w:hint="eastAsia" w:ascii="宋体" w:hAnsi="宋体" w:eastAsia="宋体" w:cs="Times New Roman"/>
                <w:kern w:val="0"/>
                <w:szCs w:val="21"/>
              </w:rPr>
            </w:pPr>
          </w:p>
        </w:tc>
        <w:tc>
          <w:tcPr>
            <w:tcW w:w="1806" w:type="dxa"/>
            <w:shd w:val="clear" w:color="auto" w:fill="auto"/>
            <w:vAlign w:val="center"/>
          </w:tcPr>
          <w:p w14:paraId="28A8ED5D">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作业2</w:t>
            </w:r>
          </w:p>
        </w:tc>
        <w:tc>
          <w:tcPr>
            <w:tcW w:w="2402" w:type="dxa"/>
            <w:shd w:val="clear" w:color="auto" w:fill="auto"/>
            <w:vAlign w:val="center"/>
          </w:tcPr>
          <w:p w14:paraId="73A6D67C">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30%</w:t>
            </w:r>
          </w:p>
        </w:tc>
        <w:tc>
          <w:tcPr>
            <w:tcW w:w="1070" w:type="dxa"/>
            <w:vMerge w:val="continue"/>
            <w:vAlign w:val="center"/>
          </w:tcPr>
          <w:p w14:paraId="627F3ABF">
            <w:pPr>
              <w:widowControl/>
              <w:jc w:val="center"/>
              <w:rPr>
                <w:rFonts w:hint="eastAsia" w:ascii="宋体" w:hAnsi="宋体" w:eastAsia="宋体" w:cs="Times New Roman"/>
                <w:kern w:val="0"/>
                <w:szCs w:val="21"/>
              </w:rPr>
            </w:pPr>
          </w:p>
        </w:tc>
      </w:tr>
      <w:tr w14:paraId="380CDF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2D11E7E1">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768" w:type="dxa"/>
            <w:vMerge w:val="restart"/>
            <w:shd w:val="clear" w:color="auto" w:fill="auto"/>
            <w:vAlign w:val="center"/>
          </w:tcPr>
          <w:p w14:paraId="22F9698C">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40%</w:t>
            </w:r>
          </w:p>
        </w:tc>
        <w:tc>
          <w:tcPr>
            <w:tcW w:w="1806" w:type="dxa"/>
            <w:shd w:val="clear" w:color="auto" w:fill="auto"/>
            <w:vAlign w:val="center"/>
          </w:tcPr>
          <w:p w14:paraId="5552EC49">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693F90D9">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70%</w:t>
            </w:r>
          </w:p>
        </w:tc>
        <w:tc>
          <w:tcPr>
            <w:tcW w:w="1070" w:type="dxa"/>
            <w:vMerge w:val="restart"/>
            <w:vAlign w:val="center"/>
          </w:tcPr>
          <w:p w14:paraId="46A4B6FD">
            <w:pPr>
              <w:jc w:val="center"/>
              <w:rPr>
                <w:rFonts w:ascii="Times New Roman" w:hAnsi="Times New Roman" w:eastAsia="宋体" w:cs="Times New Roman"/>
              </w:rPr>
            </w:pPr>
            <w:r>
              <w:rPr>
                <w:rFonts w:hint="eastAsia" w:ascii="宋体" w:hAnsi="宋体" w:eastAsia="宋体" w:cs="Times New Roman"/>
                <w:kern w:val="0"/>
                <w:szCs w:val="21"/>
              </w:rPr>
              <w:t>100%</w:t>
            </w:r>
          </w:p>
        </w:tc>
      </w:tr>
      <w:tr w14:paraId="65258F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continue"/>
            <w:shd w:val="clear" w:color="auto" w:fill="auto"/>
            <w:vAlign w:val="center"/>
          </w:tcPr>
          <w:p w14:paraId="60F297C8">
            <w:pPr>
              <w:widowControl/>
              <w:jc w:val="left"/>
              <w:rPr>
                <w:rFonts w:hint="eastAsia" w:ascii="宋体" w:hAnsi="宋体" w:eastAsia="宋体" w:cs="Times New Roman"/>
                <w:kern w:val="0"/>
                <w:szCs w:val="21"/>
              </w:rPr>
            </w:pPr>
          </w:p>
        </w:tc>
        <w:tc>
          <w:tcPr>
            <w:tcW w:w="1768" w:type="dxa"/>
            <w:vMerge w:val="continue"/>
            <w:shd w:val="clear" w:color="auto" w:fill="auto"/>
            <w:vAlign w:val="center"/>
          </w:tcPr>
          <w:p w14:paraId="55B5CB77">
            <w:pPr>
              <w:widowControl/>
              <w:jc w:val="left"/>
              <w:rPr>
                <w:rFonts w:hint="eastAsia" w:ascii="宋体" w:hAnsi="宋体" w:eastAsia="宋体" w:cs="Times New Roman"/>
                <w:kern w:val="0"/>
                <w:szCs w:val="21"/>
              </w:rPr>
            </w:pPr>
          </w:p>
        </w:tc>
        <w:tc>
          <w:tcPr>
            <w:tcW w:w="1806" w:type="dxa"/>
            <w:shd w:val="clear" w:color="auto" w:fill="auto"/>
            <w:vAlign w:val="center"/>
          </w:tcPr>
          <w:p w14:paraId="3A4B7F14">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作业3</w:t>
            </w:r>
          </w:p>
        </w:tc>
        <w:tc>
          <w:tcPr>
            <w:tcW w:w="2402" w:type="dxa"/>
            <w:shd w:val="clear" w:color="auto" w:fill="auto"/>
            <w:vAlign w:val="center"/>
          </w:tcPr>
          <w:p w14:paraId="7D56FCDA">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30%</w:t>
            </w:r>
          </w:p>
        </w:tc>
        <w:tc>
          <w:tcPr>
            <w:tcW w:w="1070" w:type="dxa"/>
            <w:vMerge w:val="continue"/>
            <w:vAlign w:val="center"/>
          </w:tcPr>
          <w:p w14:paraId="0D2F2831">
            <w:pPr>
              <w:widowControl/>
              <w:jc w:val="center"/>
              <w:rPr>
                <w:rFonts w:hint="eastAsia" w:ascii="宋体" w:hAnsi="宋体" w:eastAsia="宋体" w:cs="Times New Roman"/>
                <w:kern w:val="0"/>
                <w:szCs w:val="21"/>
              </w:rPr>
            </w:pPr>
          </w:p>
        </w:tc>
      </w:tr>
      <w:tr w14:paraId="07C663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6D116227">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768" w:type="dxa"/>
            <w:vMerge w:val="restart"/>
            <w:shd w:val="clear" w:color="auto" w:fill="auto"/>
            <w:vAlign w:val="center"/>
          </w:tcPr>
          <w:p w14:paraId="4EEF676E">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20%</w:t>
            </w:r>
          </w:p>
        </w:tc>
        <w:tc>
          <w:tcPr>
            <w:tcW w:w="1806" w:type="dxa"/>
            <w:shd w:val="clear" w:color="auto" w:fill="auto"/>
            <w:vAlign w:val="center"/>
          </w:tcPr>
          <w:p w14:paraId="515FCB24">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6300F84C">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70%</w:t>
            </w:r>
          </w:p>
        </w:tc>
        <w:tc>
          <w:tcPr>
            <w:tcW w:w="1070" w:type="dxa"/>
            <w:vMerge w:val="restart"/>
            <w:vAlign w:val="center"/>
          </w:tcPr>
          <w:p w14:paraId="37425BBE">
            <w:pPr>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20646A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continue"/>
            <w:shd w:val="clear" w:color="auto" w:fill="auto"/>
            <w:vAlign w:val="center"/>
          </w:tcPr>
          <w:p w14:paraId="60E749FB">
            <w:pPr>
              <w:widowControl/>
              <w:jc w:val="left"/>
              <w:rPr>
                <w:rFonts w:hint="eastAsia" w:ascii="宋体" w:hAnsi="宋体" w:eastAsia="宋体" w:cs="Times New Roman"/>
                <w:kern w:val="0"/>
                <w:szCs w:val="21"/>
              </w:rPr>
            </w:pPr>
          </w:p>
        </w:tc>
        <w:tc>
          <w:tcPr>
            <w:tcW w:w="1768" w:type="dxa"/>
            <w:vMerge w:val="continue"/>
            <w:shd w:val="clear" w:color="auto" w:fill="auto"/>
            <w:vAlign w:val="center"/>
          </w:tcPr>
          <w:p w14:paraId="240E0FE1">
            <w:pPr>
              <w:widowControl/>
              <w:jc w:val="left"/>
              <w:rPr>
                <w:rFonts w:hint="eastAsia" w:ascii="宋体" w:hAnsi="宋体" w:eastAsia="宋体" w:cs="Times New Roman"/>
                <w:kern w:val="0"/>
                <w:szCs w:val="21"/>
              </w:rPr>
            </w:pPr>
          </w:p>
        </w:tc>
        <w:tc>
          <w:tcPr>
            <w:tcW w:w="1806" w:type="dxa"/>
            <w:shd w:val="clear" w:color="auto" w:fill="auto"/>
            <w:vAlign w:val="center"/>
          </w:tcPr>
          <w:p w14:paraId="4A840194">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作业3</w:t>
            </w:r>
          </w:p>
        </w:tc>
        <w:tc>
          <w:tcPr>
            <w:tcW w:w="2402" w:type="dxa"/>
            <w:shd w:val="clear" w:color="auto" w:fill="auto"/>
            <w:vAlign w:val="center"/>
          </w:tcPr>
          <w:p w14:paraId="453D789C">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070" w:type="dxa"/>
            <w:vMerge w:val="continue"/>
          </w:tcPr>
          <w:p w14:paraId="6248DD73">
            <w:pPr>
              <w:widowControl/>
              <w:jc w:val="center"/>
              <w:rPr>
                <w:rFonts w:hint="eastAsia" w:ascii="宋体" w:hAnsi="宋体" w:eastAsia="宋体" w:cs="Times New Roman"/>
                <w:kern w:val="0"/>
                <w:szCs w:val="21"/>
              </w:rPr>
            </w:pPr>
          </w:p>
        </w:tc>
      </w:tr>
      <w:tr w14:paraId="77BB34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1993" w:type="dxa"/>
            <w:shd w:val="clear" w:color="auto" w:fill="auto"/>
            <w:vAlign w:val="center"/>
          </w:tcPr>
          <w:p w14:paraId="4751F0C4">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课程目标权重合计</w:t>
            </w:r>
          </w:p>
        </w:tc>
        <w:tc>
          <w:tcPr>
            <w:tcW w:w="1768" w:type="dxa"/>
            <w:shd w:val="clear" w:color="auto" w:fill="auto"/>
            <w:vAlign w:val="center"/>
          </w:tcPr>
          <w:p w14:paraId="2D8E6DC4">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c>
          <w:tcPr>
            <w:tcW w:w="5279" w:type="dxa"/>
            <w:gridSpan w:val="3"/>
            <w:shd w:val="clear" w:color="auto" w:fill="auto"/>
            <w:vAlign w:val="center"/>
          </w:tcPr>
          <w:p w14:paraId="4C15B485">
            <w:pPr>
              <w:widowControl/>
              <w:jc w:val="center"/>
              <w:rPr>
                <w:rFonts w:hint="eastAsia" w:ascii="宋体" w:hAnsi="宋体" w:eastAsia="宋体" w:cs="Times New Roman"/>
                <w:kern w:val="0"/>
                <w:szCs w:val="21"/>
              </w:rPr>
            </w:pPr>
          </w:p>
        </w:tc>
      </w:tr>
    </w:tbl>
    <w:p w14:paraId="63DE9D96">
      <w:pPr>
        <w:spacing w:line="360" w:lineRule="auto"/>
        <w:rPr>
          <w:rFonts w:hint="eastAsia" w:ascii="宋体" w:hAnsi="宋体" w:eastAsia="宋体" w:cs="Times New Roman"/>
          <w:sz w:val="24"/>
        </w:rPr>
      </w:pPr>
      <w:r>
        <w:rPr>
          <w:rFonts w:hint="eastAsia" w:ascii="宋体" w:hAnsi="宋体" w:eastAsia="宋体" w:cs="Times New Roman"/>
          <w:sz w:val="24"/>
        </w:rPr>
        <w:t>（四）</w:t>
      </w:r>
      <w:r>
        <w:rPr>
          <w:rFonts w:ascii="宋体" w:hAnsi="宋体" w:eastAsia="宋体" w:cs="Times New Roman"/>
          <w:sz w:val="24"/>
        </w:rPr>
        <w:t>课程目标达成度计算方法</w:t>
      </w:r>
    </w:p>
    <w:p w14:paraId="6E507DFF">
      <w:pPr>
        <w:spacing w:line="360" w:lineRule="auto"/>
        <w:rPr>
          <w:rFonts w:hint="eastAsia"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20FE9F2B">
      <w:pPr>
        <w:spacing w:line="360" w:lineRule="auto"/>
        <w:rPr>
          <w:rFonts w:hint="eastAsia" w:ascii="宋体" w:hAnsi="宋体" w:eastAsia="宋体" w:cs="Times New Roman"/>
          <w:sz w:val="24"/>
        </w:rPr>
      </w:pPr>
      <w:r>
        <w:rPr>
          <w:rFonts w:ascii="宋体" w:hAnsi="宋体" w:eastAsia="宋体" w:cs="Times New Roman"/>
          <w:sz w:val="24"/>
        </w:rPr>
        <w:drawing>
          <wp:inline distT="0" distB="0" distL="0" distR="0">
            <wp:extent cx="5274310" cy="33718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632CEE17">
      <w:pPr>
        <w:spacing w:line="360" w:lineRule="auto"/>
        <w:rPr>
          <w:rFonts w:hint="eastAsia" w:ascii="宋体" w:hAnsi="宋体" w:eastAsia="宋体" w:cs="Times New Roman"/>
          <w:b/>
          <w:sz w:val="24"/>
        </w:rPr>
      </w:pPr>
    </w:p>
    <w:p w14:paraId="4DB6CE68">
      <w:pPr>
        <w:spacing w:line="360" w:lineRule="auto"/>
        <w:ind w:firstLine="562" w:firstLineChars="200"/>
        <w:rPr>
          <w:rFonts w:hint="eastAsia" w:ascii="宋体" w:hAnsi="宋体" w:eastAsia="宋体" w:cs="Times New Roman"/>
          <w:b/>
          <w:sz w:val="28"/>
          <w:szCs w:val="28"/>
        </w:rPr>
      </w:pPr>
      <w:r>
        <w:rPr>
          <w:rFonts w:hint="eastAsia" w:ascii="宋体" w:hAnsi="宋体" w:eastAsia="宋体" w:cs="Times New Roman"/>
          <w:b/>
          <w:sz w:val="28"/>
          <w:szCs w:val="28"/>
        </w:rPr>
        <w:t>六</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791954C1">
      <w:pPr>
        <w:spacing w:line="360" w:lineRule="auto"/>
        <w:ind w:firstLine="482" w:firstLineChars="200"/>
        <w:rPr>
          <w:rFonts w:hint="eastAsia" w:ascii="宋体" w:hAnsi="宋体" w:eastAsia="宋体" w:cs="Times New Roman"/>
          <w:b/>
          <w:sz w:val="24"/>
        </w:rPr>
      </w:pPr>
      <w:bookmarkStart w:id="148" w:name="_Toc27847328"/>
      <w:r>
        <w:rPr>
          <w:rFonts w:hint="eastAsia" w:ascii="宋体" w:hAnsi="宋体" w:eastAsia="宋体" w:cs="Times New Roman"/>
          <w:b/>
          <w:sz w:val="24"/>
        </w:rPr>
        <w:t>（一）持续改进</w:t>
      </w:r>
      <w:bookmarkEnd w:id="148"/>
    </w:p>
    <w:p w14:paraId="5BD55C4F">
      <w:pPr>
        <w:spacing w:line="360" w:lineRule="auto"/>
        <w:rPr>
          <w:rFonts w:ascii="Times New Roman" w:hAnsi="Times New Roman" w:eastAsia="宋体" w:cs="Times New Roman"/>
          <w:sz w:val="24"/>
        </w:rPr>
      </w:pPr>
      <w:r>
        <w:rPr>
          <w:rFonts w:ascii="Times New Roman" w:hAnsi="Times New Roman" w:eastAsia="宋体" w:cs="Times New Roman"/>
          <w:sz w:val="24"/>
        </w:rPr>
        <w:t>1. 提倡改革教学方法，强调应用现代化教学手段，如课件、互联网教学和网络答疑。</w:t>
      </w:r>
    </w:p>
    <w:p w14:paraId="234327A1">
      <w:pPr>
        <w:spacing w:line="360" w:lineRule="auto"/>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合理安排教学课时，加强课堂提问、小组讨论</w:t>
      </w:r>
      <w:r>
        <w:rPr>
          <w:rFonts w:hint="eastAsia" w:ascii="Times New Roman" w:hAnsi="Times New Roman" w:eastAsia="宋体" w:cs="Times New Roman"/>
          <w:sz w:val="24"/>
        </w:rPr>
        <w:t>、</w:t>
      </w:r>
      <w:r>
        <w:rPr>
          <w:rFonts w:ascii="Times New Roman" w:hAnsi="Times New Roman" w:eastAsia="宋体" w:cs="Times New Roman"/>
          <w:sz w:val="24"/>
        </w:rPr>
        <w:t>社会调查环节</w:t>
      </w:r>
      <w:r>
        <w:rPr>
          <w:rFonts w:hint="eastAsia" w:ascii="Times New Roman" w:hAnsi="Times New Roman" w:eastAsia="宋体" w:cs="Times New Roman"/>
          <w:sz w:val="24"/>
        </w:rPr>
        <w:t>，</w:t>
      </w:r>
      <w:r>
        <w:rPr>
          <w:rFonts w:ascii="Times New Roman" w:hAnsi="Times New Roman" w:eastAsia="宋体" w:cs="Times New Roman"/>
          <w:sz w:val="24"/>
        </w:rPr>
        <w:t>旨在</w:t>
      </w:r>
      <w:r>
        <w:rPr>
          <w:rFonts w:hint="eastAsia" w:ascii="Times New Roman" w:hAnsi="Times New Roman" w:eastAsia="宋体" w:cs="Times New Roman"/>
          <w:sz w:val="24"/>
        </w:rPr>
        <w:t>促进</w:t>
      </w:r>
      <w:r>
        <w:rPr>
          <w:rFonts w:ascii="Times New Roman" w:hAnsi="Times New Roman" w:eastAsia="宋体" w:cs="Times New Roman"/>
          <w:sz w:val="24"/>
        </w:rPr>
        <w:t>学生</w:t>
      </w:r>
      <w:r>
        <w:rPr>
          <w:rFonts w:hint="eastAsia" w:ascii="Times New Roman" w:hAnsi="Times New Roman" w:eastAsia="宋体" w:cs="Times New Roman"/>
          <w:sz w:val="24"/>
        </w:rPr>
        <w:t>反思基础教育改革热点问题，培养批判性思维能力。</w:t>
      </w:r>
    </w:p>
    <w:p w14:paraId="625418AA">
      <w:pPr>
        <w:spacing w:line="360" w:lineRule="auto"/>
        <w:rPr>
          <w:rFonts w:hint="eastAsia" w:ascii="宋体" w:hAnsi="宋体" w:eastAsia="宋体" w:cs="Times New Roman"/>
          <w:sz w:val="24"/>
        </w:rPr>
      </w:pPr>
      <w:r>
        <w:rPr>
          <w:rFonts w:ascii="Times New Roman" w:hAnsi="Times New Roman" w:eastAsia="宋体" w:cs="Times New Roman"/>
          <w:sz w:val="24"/>
        </w:rPr>
        <w:t>3．教学内容密切联系</w:t>
      </w:r>
      <w:r>
        <w:rPr>
          <w:rFonts w:hint="eastAsia" w:ascii="Times New Roman" w:hAnsi="Times New Roman" w:eastAsia="宋体" w:cs="Times New Roman"/>
          <w:sz w:val="24"/>
        </w:rPr>
        <w:t>当前</w:t>
      </w:r>
      <w:r>
        <w:rPr>
          <w:rFonts w:ascii="Times New Roman" w:hAnsi="Times New Roman" w:eastAsia="宋体" w:cs="Times New Roman"/>
          <w:sz w:val="24"/>
        </w:rPr>
        <w:t>的社会热点。</w:t>
      </w:r>
    </w:p>
    <w:p w14:paraId="4F430F0B">
      <w:pPr>
        <w:spacing w:line="360" w:lineRule="auto"/>
        <w:ind w:firstLine="482" w:firstLineChars="200"/>
        <w:rPr>
          <w:rFonts w:hint="eastAsia" w:ascii="宋体" w:hAnsi="宋体" w:eastAsia="宋体" w:cs="Times New Roman"/>
          <w:b/>
          <w:sz w:val="24"/>
        </w:rPr>
      </w:pPr>
      <w:bookmarkStart w:id="149" w:name="_Toc27847329"/>
      <w:r>
        <w:rPr>
          <w:rFonts w:hint="eastAsia" w:ascii="宋体" w:hAnsi="宋体" w:eastAsia="宋体" w:cs="Times New Roman"/>
          <w:b/>
          <w:sz w:val="24"/>
        </w:rPr>
        <w:t>（二）</w:t>
      </w:r>
      <w:r>
        <w:rPr>
          <w:rFonts w:ascii="宋体" w:hAnsi="宋体" w:eastAsia="宋体" w:cs="Times New Roman"/>
          <w:b/>
          <w:sz w:val="24"/>
        </w:rPr>
        <w:t>参考书目及学习资料</w:t>
      </w:r>
      <w:bookmarkEnd w:id="149"/>
    </w:p>
    <w:p w14:paraId="5AA4F84E">
      <w:pPr>
        <w:spacing w:line="360" w:lineRule="auto"/>
        <w:rPr>
          <w:rFonts w:hint="eastAsia" w:ascii="宋体" w:hAnsi="宋体" w:eastAsia="宋体" w:cs="Times New Roman"/>
          <w:sz w:val="24"/>
        </w:rPr>
      </w:pPr>
      <w:r>
        <w:rPr>
          <w:rFonts w:hint="eastAsia" w:ascii="宋体" w:hAnsi="宋体" w:eastAsia="宋体" w:cs="Times New Roman"/>
          <w:sz w:val="24"/>
        </w:rPr>
        <w:t>1．参考教材</w:t>
      </w:r>
    </w:p>
    <w:p w14:paraId="05D6A3FA">
      <w:pPr>
        <w:spacing w:line="360" w:lineRule="auto"/>
        <w:rPr>
          <w:rFonts w:ascii="Times New Roman" w:hAnsi="Times New Roman" w:eastAsia="宋体" w:cs="Times New Roman"/>
          <w:kern w:val="0"/>
          <w:sz w:val="24"/>
        </w:rPr>
      </w:pPr>
      <w:r>
        <w:rPr>
          <w:rFonts w:hint="eastAsia" w:ascii="Times New Roman" w:hAnsi="Times New Roman" w:eastAsia="宋体" w:cs="Times New Roman"/>
          <w:kern w:val="0"/>
          <w:sz w:val="24"/>
        </w:rPr>
        <w:t>张荣伟. 我们需要怎样的教育——中国基础教育改革概论.</w:t>
      </w:r>
      <w:r>
        <w:rPr>
          <w:rFonts w:ascii="Times New Roman" w:hAnsi="Times New Roman" w:eastAsia="宋体" w:cs="Times New Roman"/>
          <w:kern w:val="0"/>
          <w:sz w:val="24"/>
        </w:rPr>
        <w:t xml:space="preserve"> </w:t>
      </w:r>
      <w:r>
        <w:rPr>
          <w:rFonts w:hint="eastAsia" w:ascii="Times New Roman" w:hAnsi="Times New Roman" w:eastAsia="宋体" w:cs="Times New Roman"/>
          <w:kern w:val="0"/>
          <w:sz w:val="24"/>
        </w:rPr>
        <w:t>北京： 教育科学出版社</w:t>
      </w:r>
      <w:r>
        <w:rPr>
          <w:rFonts w:hint="eastAsia" w:ascii="宋体" w:hAnsi="宋体" w:eastAsia="宋体" w:cs="Times New Roman"/>
          <w:sz w:val="24"/>
        </w:rPr>
        <w:t>.</w:t>
      </w:r>
      <w:r>
        <w:rPr>
          <w:rFonts w:ascii="Times New Roman" w:hAnsi="Times New Roman" w:eastAsia="宋体" w:cs="Times New Roman"/>
          <w:kern w:val="0"/>
          <w:sz w:val="24"/>
        </w:rPr>
        <w:t>20</w:t>
      </w:r>
      <w:r>
        <w:rPr>
          <w:rFonts w:hint="eastAsia" w:ascii="Times New Roman" w:hAnsi="Times New Roman" w:eastAsia="宋体" w:cs="Times New Roman"/>
          <w:kern w:val="0"/>
          <w:sz w:val="24"/>
        </w:rPr>
        <w:t>18.</w:t>
      </w:r>
    </w:p>
    <w:p w14:paraId="165D66EB">
      <w:pPr>
        <w:spacing w:line="360" w:lineRule="auto"/>
        <w:rPr>
          <w:rFonts w:hint="eastAsia" w:ascii="宋体" w:hAnsi="宋体" w:eastAsia="宋体" w:cs="Times New Roman"/>
          <w:sz w:val="24"/>
        </w:rPr>
      </w:pPr>
      <w:bookmarkStart w:id="150" w:name="_Toc27847330"/>
      <w:r>
        <w:rPr>
          <w:rFonts w:hint="eastAsia" w:ascii="宋体" w:hAnsi="宋体" w:eastAsia="宋体" w:cs="Times New Roman"/>
          <w:sz w:val="24"/>
        </w:rPr>
        <w:t>2．其他教学参考书</w:t>
      </w:r>
      <w:bookmarkEnd w:id="150"/>
    </w:p>
    <w:p w14:paraId="18420896">
      <w:pPr>
        <w:spacing w:line="360" w:lineRule="auto"/>
        <w:rPr>
          <w:rFonts w:hint="eastAsia" w:ascii="宋体" w:hAnsi="宋体" w:eastAsia="宋体" w:cs="Times New Roman"/>
          <w:sz w:val="24"/>
        </w:rPr>
      </w:pPr>
      <w:r>
        <w:fldChar w:fldCharType="begin"/>
      </w:r>
      <w:r>
        <w:instrText xml:space="preserve"> HYPERLINK "https://book.jd.com/writer/%E5%AE%8B%E4%B9%83%E5%BA%86_1.html" \t "_blank" </w:instrText>
      </w:r>
      <w:r>
        <w:fldChar w:fldCharType="separate"/>
      </w:r>
      <w:bookmarkStart w:id="151" w:name="_Toc27847331"/>
      <w:r>
        <w:rPr>
          <w:rFonts w:ascii="宋体" w:hAnsi="宋体" w:eastAsia="宋体" w:cs="Times New Roman"/>
          <w:sz w:val="24"/>
        </w:rPr>
        <w:t>宋乃庆</w:t>
      </w:r>
      <w:r>
        <w:rPr>
          <w:rFonts w:ascii="宋体" w:hAnsi="宋体" w:eastAsia="宋体" w:cs="Times New Roman"/>
          <w:sz w:val="24"/>
        </w:rPr>
        <w:fldChar w:fldCharType="end"/>
      </w:r>
      <w:r>
        <w:rPr>
          <w:rFonts w:ascii="宋体" w:hAnsi="宋体" w:eastAsia="宋体" w:cs="Times New Roman"/>
          <w:sz w:val="24"/>
        </w:rPr>
        <w:t>，</w:t>
      </w:r>
      <w:r>
        <w:fldChar w:fldCharType="begin"/>
      </w:r>
      <w:r>
        <w:instrText xml:space="preserve"> HYPERLINK "https://book.jd.com/writer/%E6%9D%8E%E6%A3%AE_1.html" \t "_blank" </w:instrText>
      </w:r>
      <w:r>
        <w:fldChar w:fldCharType="separate"/>
      </w:r>
      <w:r>
        <w:rPr>
          <w:rFonts w:ascii="宋体" w:hAnsi="宋体" w:eastAsia="宋体" w:cs="Times New Roman"/>
          <w:sz w:val="24"/>
        </w:rPr>
        <w:t>李森</w:t>
      </w:r>
      <w:r>
        <w:rPr>
          <w:rFonts w:ascii="宋体" w:hAnsi="宋体" w:eastAsia="宋体" w:cs="Times New Roman"/>
          <w:sz w:val="24"/>
        </w:rPr>
        <w:fldChar w:fldCharType="end"/>
      </w:r>
      <w:r>
        <w:rPr>
          <w:rFonts w:ascii="宋体" w:hAnsi="宋体" w:eastAsia="宋体" w:cs="Times New Roman"/>
          <w:sz w:val="24"/>
        </w:rPr>
        <w:t>，</w:t>
      </w:r>
      <w:r>
        <w:fldChar w:fldCharType="begin"/>
      </w:r>
      <w:r>
        <w:instrText xml:space="preserve"> HYPERLINK "https://book.jd.com/writer/%E6%9C%B1%E5%BE%B7%E5%85%A8_1.html" \t "_blank" </w:instrText>
      </w:r>
      <w:r>
        <w:fldChar w:fldCharType="separate"/>
      </w:r>
      <w:r>
        <w:rPr>
          <w:rFonts w:ascii="宋体" w:hAnsi="宋体" w:eastAsia="宋体" w:cs="Times New Roman"/>
          <w:sz w:val="24"/>
        </w:rPr>
        <w:t>朱德全</w:t>
      </w:r>
      <w:r>
        <w:rPr>
          <w:rFonts w:ascii="宋体" w:hAnsi="宋体" w:eastAsia="宋体" w:cs="Times New Roman"/>
          <w:sz w:val="24"/>
        </w:rPr>
        <w:fldChar w:fldCharType="end"/>
      </w:r>
      <w:r>
        <w:rPr>
          <w:rFonts w:hint="eastAsia" w:ascii="Times New Roman" w:hAnsi="Times New Roman" w:eastAsia="宋体" w:cs="Times New Roman"/>
          <w:sz w:val="24"/>
        </w:rPr>
        <w:t>.</w:t>
      </w:r>
      <w:r>
        <w:rPr>
          <w:rFonts w:ascii="宋体" w:hAnsi="宋体" w:eastAsia="宋体" w:cs="Times New Roman"/>
          <w:sz w:val="24"/>
        </w:rPr>
        <w:t>中国基础教育改革与发展</w:t>
      </w:r>
      <w:r>
        <w:rPr>
          <w:rFonts w:hint="eastAsia" w:ascii="Times New Roman" w:hAnsi="Times New Roman" w:eastAsia="宋体" w:cs="Times New Roman"/>
          <w:sz w:val="24"/>
        </w:rPr>
        <w:t>.</w:t>
      </w:r>
      <w:r>
        <w:rPr>
          <w:rFonts w:ascii="宋体" w:hAnsi="宋体" w:eastAsia="宋体" w:cs="Times New Roman"/>
          <w:sz w:val="24"/>
        </w:rPr>
        <w:t>高等教育出版社</w:t>
      </w:r>
      <w:r>
        <w:rPr>
          <w:rFonts w:hint="eastAsia" w:ascii="宋体" w:hAnsi="宋体" w:eastAsia="宋体" w:cs="Times New Roman"/>
          <w:sz w:val="24"/>
        </w:rPr>
        <w:t>.2018.</w:t>
      </w:r>
      <w:bookmarkEnd w:id="151"/>
    </w:p>
    <w:p w14:paraId="38501359">
      <w:pPr>
        <w:shd w:val="clear" w:color="auto" w:fill="FFFFFF"/>
        <w:spacing w:line="360" w:lineRule="auto"/>
        <w:rPr>
          <w:rFonts w:hint="eastAsia" w:ascii="宋体" w:hAnsi="宋体" w:eastAsia="宋体" w:cs="Times New Roman"/>
          <w:sz w:val="24"/>
        </w:rPr>
      </w:pPr>
      <w:r>
        <w:rPr>
          <w:rFonts w:hint="eastAsia" w:ascii="宋体" w:hAnsi="宋体" w:eastAsia="宋体" w:cs="Times New Roman"/>
          <w:sz w:val="24"/>
        </w:rPr>
        <w:t>王晓辉、赵莉.</w:t>
      </w:r>
      <w:r>
        <w:rPr>
          <w:rFonts w:ascii="宋体" w:hAnsi="宋体" w:eastAsia="宋体" w:cs="Times New Roman"/>
          <w:sz w:val="24"/>
        </w:rPr>
        <w:t>中</w:t>
      </w:r>
      <w:r>
        <w:rPr>
          <w:rFonts w:hint="eastAsia" w:ascii="宋体" w:hAnsi="宋体" w:eastAsia="宋体" w:cs="Times New Roman"/>
          <w:sz w:val="24"/>
        </w:rPr>
        <w:t>外</w:t>
      </w:r>
      <w:r>
        <w:rPr>
          <w:rFonts w:ascii="宋体" w:hAnsi="宋体" w:eastAsia="宋体" w:cs="Times New Roman"/>
          <w:sz w:val="24"/>
        </w:rPr>
        <w:t>基础教育改革与发展</w:t>
      </w:r>
      <w:r>
        <w:rPr>
          <w:rFonts w:hint="eastAsia" w:ascii="宋体" w:hAnsi="宋体" w:eastAsia="宋体" w:cs="Times New Roman"/>
          <w:sz w:val="24"/>
        </w:rPr>
        <w:t>.中央广播电视大学出版社.2017.</w:t>
      </w:r>
    </w:p>
    <w:p w14:paraId="7303014A">
      <w:pPr>
        <w:spacing w:line="360" w:lineRule="auto"/>
        <w:rPr>
          <w:rFonts w:hint="eastAsia" w:ascii="宋体" w:hAnsi="宋体" w:eastAsia="宋体" w:cs="Times New Roman"/>
          <w:sz w:val="24"/>
        </w:rPr>
      </w:pPr>
    </w:p>
    <w:p w14:paraId="55556A6B">
      <w:pPr>
        <w:spacing w:line="360" w:lineRule="auto"/>
        <w:rPr>
          <w:rFonts w:hint="eastAsia" w:ascii="宋体" w:hAnsi="宋体" w:eastAsia="宋体" w:cs="Times New Roman"/>
          <w:sz w:val="24"/>
        </w:rPr>
      </w:pPr>
    </w:p>
    <w:p w14:paraId="48E0727F">
      <w:pPr>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执笔人：</w:t>
      </w:r>
      <w:r>
        <w:rPr>
          <w:rFonts w:hint="eastAsia" w:ascii="宋体" w:hAnsi="宋体" w:eastAsia="宋体" w:cs="Times New Roman"/>
          <w:kern w:val="0"/>
          <w:sz w:val="24"/>
          <w:szCs w:val="21"/>
        </w:rPr>
        <w:t>赵振杰</w:t>
      </w:r>
    </w:p>
    <w:p w14:paraId="659553FE">
      <w:pPr>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审定人：王  健</w:t>
      </w:r>
    </w:p>
    <w:p w14:paraId="2CC419A8">
      <w:pPr>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审批人：张志欣</w:t>
      </w:r>
    </w:p>
    <w:p w14:paraId="7A190876">
      <w:pPr>
        <w:autoSpaceDE w:val="0"/>
        <w:autoSpaceDN w:val="0"/>
        <w:adjustRightInd w:val="0"/>
        <w:spacing w:line="360" w:lineRule="auto"/>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批准时间：2024年8月20日</w:t>
      </w:r>
    </w:p>
    <w:p w14:paraId="2D668D2E">
      <w:pPr>
        <w:rPr>
          <w:rFonts w:hint="eastAsia" w:ascii="等线" w:hAnsi="等线" w:eastAsia="等线" w:cs="等线"/>
          <w:b/>
          <w:bCs/>
          <w:sz w:val="44"/>
          <w:szCs w:val="44"/>
        </w:rPr>
      </w:pPr>
      <w:r>
        <w:rPr>
          <w:rFonts w:hint="eastAsia" w:ascii="等线" w:hAnsi="等线" w:eastAsia="等线" w:cs="等线"/>
          <w:b/>
          <w:bCs/>
          <w:sz w:val="44"/>
          <w:szCs w:val="44"/>
        </w:rPr>
        <w:br w:type="page"/>
      </w:r>
    </w:p>
    <w:p w14:paraId="5242F05B">
      <w:pPr>
        <w:pStyle w:val="2"/>
      </w:pPr>
      <w:bookmarkStart w:id="152" w:name="_Toc11950"/>
      <w:bookmarkStart w:id="153" w:name="_Toc9472"/>
      <w:bookmarkStart w:id="154" w:name="_Toc57017183"/>
      <w:r>
        <w:rPr>
          <w:rFonts w:hint="eastAsia"/>
        </w:rPr>
        <w:t>《教育哲学》课程教学大纲</w:t>
      </w:r>
      <w:bookmarkEnd w:id="152"/>
      <w:bookmarkEnd w:id="153"/>
    </w:p>
    <w:p w14:paraId="6D0BBA4F">
      <w:pPr>
        <w:spacing w:line="360" w:lineRule="auto"/>
        <w:jc w:val="center"/>
        <w:rPr>
          <w:rFonts w:ascii="Times New Roman" w:hAnsi="Times New Roman"/>
          <w:b/>
          <w:bCs/>
          <w:sz w:val="28"/>
        </w:rPr>
      </w:pPr>
      <w:r>
        <w:rPr>
          <w:rFonts w:hint="eastAsia" w:ascii="Times New Roman" w:hAnsi="Times New Roman"/>
          <w:b/>
          <w:bCs/>
          <w:sz w:val="28"/>
        </w:rPr>
        <w:t>（</w:t>
      </w:r>
      <w:r>
        <w:rPr>
          <w:rFonts w:ascii="Times New Roman" w:hAnsi="Times New Roman"/>
          <w:b/>
          <w:bCs/>
          <w:sz w:val="28"/>
        </w:rPr>
        <w:t>Philosophy of Education</w:t>
      </w:r>
      <w:r>
        <w:rPr>
          <w:rFonts w:hint="eastAsia" w:ascii="Times New Roman" w:hAnsi="Times New Roman"/>
          <w:b/>
          <w:bCs/>
          <w:sz w:val="28"/>
        </w:rPr>
        <w:t>）</w:t>
      </w:r>
    </w:p>
    <w:p w14:paraId="75F74E13">
      <w:pPr>
        <w:spacing w:line="360" w:lineRule="auto"/>
        <w:rPr>
          <w:rFonts w:ascii="宋体"/>
          <w:b/>
          <w:sz w:val="28"/>
        </w:rPr>
      </w:pPr>
      <w:r>
        <w:rPr>
          <w:rFonts w:hint="eastAsia" w:ascii="宋体" w:hAnsi="宋体"/>
          <w:b/>
          <w:sz w:val="28"/>
        </w:rPr>
        <w:t>一、课程概况</w:t>
      </w:r>
    </w:p>
    <w:p w14:paraId="2B7B25F7">
      <w:pPr>
        <w:spacing w:line="360" w:lineRule="auto"/>
        <w:ind w:firstLine="422" w:firstLineChars="200"/>
        <w:rPr>
          <w:rFonts w:hint="eastAsia" w:ascii="宋体" w:hAnsi="宋体"/>
        </w:rPr>
      </w:pPr>
      <w:r>
        <w:rPr>
          <w:rFonts w:hint="eastAsia" w:ascii="宋体" w:hAnsi="宋体"/>
          <w:b/>
        </w:rPr>
        <w:t>课程代码</w:t>
      </w:r>
      <w:r>
        <w:rPr>
          <w:rFonts w:hint="eastAsia" w:ascii="宋体" w:hAnsi="宋体"/>
        </w:rPr>
        <w:t>：</w:t>
      </w:r>
      <w:r>
        <w:rPr>
          <w:rFonts w:ascii="宋体" w:hAnsi="宋体"/>
        </w:rPr>
        <w:t>2401017</w:t>
      </w:r>
    </w:p>
    <w:p w14:paraId="2E6C4056">
      <w:pPr>
        <w:spacing w:line="360" w:lineRule="auto"/>
        <w:ind w:firstLine="422" w:firstLineChars="200"/>
        <w:rPr>
          <w:rFonts w:hint="eastAsia" w:ascii="宋体" w:hAnsi="宋体"/>
        </w:rPr>
      </w:pPr>
      <w:r>
        <w:rPr>
          <w:rFonts w:hint="eastAsia" w:ascii="宋体" w:hAnsi="宋体"/>
          <w:b/>
        </w:rPr>
        <w:t>学分</w:t>
      </w:r>
      <w:r>
        <w:rPr>
          <w:rFonts w:hint="eastAsia" w:ascii="宋体" w:hAnsi="宋体"/>
        </w:rPr>
        <w:t>：</w:t>
      </w:r>
      <w:r>
        <w:rPr>
          <w:rFonts w:ascii="宋体" w:hAnsi="宋体"/>
        </w:rPr>
        <w:t>2</w:t>
      </w:r>
    </w:p>
    <w:p w14:paraId="09ECE149">
      <w:pPr>
        <w:spacing w:line="360" w:lineRule="auto"/>
        <w:ind w:firstLine="422" w:firstLineChars="200"/>
        <w:rPr>
          <w:rFonts w:hint="eastAsia" w:ascii="宋体" w:hAnsi="宋体"/>
        </w:rPr>
      </w:pPr>
      <w:r>
        <w:rPr>
          <w:rFonts w:hint="eastAsia" w:ascii="宋体" w:hAnsi="宋体"/>
          <w:b/>
        </w:rPr>
        <w:t>学时</w:t>
      </w:r>
      <w:r>
        <w:rPr>
          <w:rFonts w:hint="eastAsia" w:ascii="宋体" w:hAnsi="宋体"/>
        </w:rPr>
        <w:t>：</w:t>
      </w:r>
      <w:r>
        <w:rPr>
          <w:rFonts w:ascii="宋体" w:hAnsi="宋体"/>
        </w:rPr>
        <w:t>32</w:t>
      </w:r>
    </w:p>
    <w:p w14:paraId="5F8B7047">
      <w:pPr>
        <w:spacing w:line="360" w:lineRule="auto"/>
        <w:ind w:firstLine="422" w:firstLineChars="200"/>
        <w:rPr>
          <w:rFonts w:ascii="宋体"/>
        </w:rPr>
      </w:pPr>
      <w:r>
        <w:rPr>
          <w:rFonts w:hint="eastAsia" w:ascii="宋体" w:hAnsi="宋体"/>
          <w:b/>
        </w:rPr>
        <w:t>先修课程</w:t>
      </w:r>
      <w:r>
        <w:rPr>
          <w:rFonts w:hint="eastAsia" w:ascii="宋体" w:hAnsi="宋体"/>
        </w:rPr>
        <w:t>：中外教育史、教育原理</w:t>
      </w:r>
    </w:p>
    <w:p w14:paraId="035F4DEE">
      <w:pPr>
        <w:spacing w:line="360" w:lineRule="auto"/>
        <w:ind w:firstLine="422" w:firstLineChars="200"/>
        <w:rPr>
          <w:rFonts w:ascii="宋体"/>
        </w:rPr>
      </w:pPr>
      <w:r>
        <w:rPr>
          <w:rFonts w:hint="eastAsia" w:ascii="宋体" w:hAnsi="宋体"/>
          <w:b/>
        </w:rPr>
        <w:t>适用专业</w:t>
      </w:r>
      <w:r>
        <w:rPr>
          <w:rFonts w:hint="eastAsia" w:ascii="宋体" w:hAnsi="宋体"/>
        </w:rPr>
        <w:t>：小学教育（文）、小学教育（理）</w:t>
      </w:r>
    </w:p>
    <w:p w14:paraId="7A3D59C8">
      <w:pPr>
        <w:spacing w:line="360" w:lineRule="auto"/>
        <w:ind w:firstLine="422" w:firstLineChars="200"/>
        <w:rPr>
          <w:rFonts w:hint="eastAsia" w:ascii="宋体" w:hAnsi="宋体"/>
        </w:rPr>
      </w:pPr>
      <w:r>
        <w:rPr>
          <w:rFonts w:hint="eastAsia" w:ascii="宋体" w:hAnsi="宋体"/>
          <w:b/>
        </w:rPr>
        <w:t>建议教材</w:t>
      </w:r>
      <w:r>
        <w:rPr>
          <w:rFonts w:hint="eastAsia" w:ascii="宋体" w:hAnsi="宋体"/>
        </w:rPr>
        <w:t>：《教育哲学》，石中英，高等教育出版社，</w:t>
      </w:r>
      <w:r>
        <w:rPr>
          <w:rFonts w:ascii="宋体" w:hAnsi="宋体"/>
        </w:rPr>
        <w:t>2019.</w:t>
      </w:r>
    </w:p>
    <w:p w14:paraId="1EAA41F3">
      <w:pPr>
        <w:spacing w:line="360" w:lineRule="auto"/>
        <w:ind w:firstLine="422" w:firstLineChars="200"/>
        <w:rPr>
          <w:rFonts w:hint="eastAsia" w:ascii="宋体" w:hAnsi="宋体"/>
        </w:rPr>
      </w:pPr>
      <w:r>
        <w:rPr>
          <w:rFonts w:hint="eastAsia" w:ascii="宋体" w:hAnsi="宋体"/>
          <w:b/>
        </w:rPr>
        <w:t>课程归口</w:t>
      </w:r>
      <w:r>
        <w:rPr>
          <w:rFonts w:hint="eastAsia" w:ascii="宋体" w:hAnsi="宋体"/>
        </w:rPr>
        <w:t>：师范学院</w:t>
      </w:r>
    </w:p>
    <w:p w14:paraId="04B0B729">
      <w:pPr>
        <w:spacing w:line="360" w:lineRule="auto"/>
        <w:rPr>
          <w:rFonts w:hint="eastAsia" w:ascii="宋体" w:hAnsi="宋体"/>
          <w:b/>
          <w:sz w:val="28"/>
          <w:szCs w:val="28"/>
        </w:rPr>
      </w:pPr>
      <w:r>
        <w:rPr>
          <w:rFonts w:hint="eastAsia" w:ascii="宋体" w:hAnsi="宋体"/>
          <w:b/>
          <w:sz w:val="28"/>
          <w:szCs w:val="28"/>
        </w:rPr>
        <w:t>二、课程简介</w:t>
      </w:r>
    </w:p>
    <w:p w14:paraId="0A6F55FF">
      <w:pPr>
        <w:spacing w:line="360" w:lineRule="auto"/>
        <w:ind w:firstLine="480" w:firstLineChars="200"/>
        <w:rPr>
          <w:rFonts w:hint="eastAsia" w:ascii="宋体" w:hAnsi="宋体"/>
          <w:sz w:val="24"/>
        </w:rPr>
      </w:pPr>
      <w:r>
        <w:rPr>
          <w:rFonts w:hint="eastAsia" w:ascii="宋体" w:hAnsi="宋体"/>
          <w:sz w:val="24"/>
        </w:rPr>
        <w:t>本课程是小学教育专业选修课程，是运用哲学的观念、思维方法分析、阐释教育问题的专业基础课。课程从教育实践出发以培养教师的教育人格与教育智慧为宗旨，通过本课程的学习，使学生初步掌握哲学的思维方法分析教育现象的能力，提高教育哲学作为人文学科对教师自身素质发展的价值与意义，尤其是批判性思维的意识，进而更好的处理教育理想与教育行动的关系、教师职业和日常生活的关系。</w:t>
      </w:r>
    </w:p>
    <w:p w14:paraId="6C42D0A8">
      <w:pPr>
        <w:spacing w:line="360" w:lineRule="auto"/>
        <w:rPr>
          <w:rFonts w:ascii="宋体"/>
          <w:b/>
          <w:sz w:val="28"/>
          <w:szCs w:val="28"/>
        </w:rPr>
      </w:pPr>
      <w:r>
        <w:rPr>
          <w:rFonts w:hint="eastAsia" w:ascii="宋体" w:hAnsi="宋体"/>
          <w:b/>
          <w:sz w:val="28"/>
          <w:szCs w:val="28"/>
        </w:rPr>
        <w:t>三、课程目标</w:t>
      </w:r>
    </w:p>
    <w:p w14:paraId="5A4B9FA3">
      <w:pPr>
        <w:adjustRightInd w:val="0"/>
        <w:snapToGrid w:val="0"/>
        <w:spacing w:line="360" w:lineRule="auto"/>
        <w:ind w:firstLine="361" w:firstLineChars="150"/>
        <w:rPr>
          <w:rFonts w:ascii="宋体"/>
          <w:b/>
          <w:sz w:val="24"/>
        </w:rPr>
      </w:pPr>
      <w:r>
        <w:rPr>
          <w:rFonts w:hint="eastAsia" w:ascii="宋体" w:hAnsi="宋体"/>
          <w:b/>
          <w:sz w:val="24"/>
        </w:rPr>
        <w:t>（一）课程具体目标</w:t>
      </w:r>
    </w:p>
    <w:p w14:paraId="22380B8E">
      <w:pPr>
        <w:adjustRightInd w:val="0"/>
        <w:snapToGrid w:val="0"/>
        <w:spacing w:line="360" w:lineRule="auto"/>
        <w:ind w:firstLine="480" w:firstLineChars="200"/>
        <w:rPr>
          <w:rFonts w:hint="eastAsia" w:ascii="宋体" w:hAnsi="宋体"/>
          <w:sz w:val="24"/>
        </w:rPr>
      </w:pPr>
      <w:r>
        <w:rPr>
          <w:rFonts w:hint="eastAsia" w:ascii="宋体" w:hAnsi="宋体"/>
          <w:sz w:val="24"/>
        </w:rPr>
        <w:t>目标</w:t>
      </w:r>
      <w:r>
        <w:rPr>
          <w:rFonts w:ascii="宋体" w:hAnsi="宋体"/>
          <w:sz w:val="24"/>
        </w:rPr>
        <w:t>1.</w:t>
      </w:r>
      <w:r>
        <w:rPr>
          <w:rFonts w:hint="eastAsia" w:ascii="宋体" w:hAnsi="宋体"/>
          <w:sz w:val="24"/>
        </w:rPr>
        <w:t>全面系统地了解教育哲学基本知识，深入理解教育哲学特别是建构教育哲学的基本理论观点，初步掌握教育哲学的理论方法。</w:t>
      </w:r>
    </w:p>
    <w:p w14:paraId="5B200A2C">
      <w:pPr>
        <w:adjustRightInd w:val="0"/>
        <w:snapToGrid w:val="0"/>
        <w:spacing w:line="360" w:lineRule="auto"/>
        <w:ind w:firstLine="480" w:firstLineChars="200"/>
        <w:rPr>
          <w:rFonts w:ascii="宋体"/>
          <w:sz w:val="24"/>
        </w:rPr>
      </w:pPr>
      <w:r>
        <w:rPr>
          <w:rFonts w:hint="eastAsia" w:ascii="宋体" w:hAnsi="宋体"/>
          <w:sz w:val="24"/>
        </w:rPr>
        <w:t>目标2</w:t>
      </w:r>
      <w:r>
        <w:rPr>
          <w:rFonts w:ascii="宋体" w:hAnsi="宋体"/>
          <w:sz w:val="24"/>
        </w:rPr>
        <w:t>.</w:t>
      </w:r>
      <w:r>
        <w:rPr>
          <w:rFonts w:hint="eastAsia" w:ascii="宋体" w:hAnsi="宋体"/>
          <w:sz w:val="24"/>
        </w:rPr>
        <w:t>引导师范生思考教育的根本目的与价值、反思教育实践问题，认识学生、认识教师专业，引导师范生树立正确的教育观、教师观和学生观。</w:t>
      </w:r>
    </w:p>
    <w:p w14:paraId="77330DAD">
      <w:pPr>
        <w:adjustRightInd w:val="0"/>
        <w:snapToGrid w:val="0"/>
        <w:spacing w:line="360" w:lineRule="auto"/>
        <w:ind w:firstLine="480" w:firstLineChars="200"/>
        <w:rPr>
          <w:rFonts w:ascii="宋体"/>
          <w:sz w:val="24"/>
        </w:rPr>
      </w:pPr>
      <w:r>
        <w:rPr>
          <w:rFonts w:hint="eastAsia" w:ascii="宋体" w:hAnsi="宋体"/>
          <w:sz w:val="24"/>
        </w:rPr>
        <w:t>目标</w:t>
      </w:r>
      <w:r>
        <w:rPr>
          <w:rFonts w:ascii="宋体" w:hAnsi="宋体"/>
          <w:sz w:val="24"/>
        </w:rPr>
        <w:t>3.</w:t>
      </w:r>
      <w:r>
        <w:rPr>
          <w:rFonts w:hint="eastAsia" w:ascii="宋体" w:hAnsi="宋体"/>
          <w:sz w:val="24"/>
        </w:rPr>
        <w:t>针对日常教育教学活动和过程的分析与审视，养成师范生反思、乐思、善思的思维品质和思维习惯，提升他们的教育反思意识与能力。</w:t>
      </w:r>
    </w:p>
    <w:p w14:paraId="7CA0A1ED">
      <w:pPr>
        <w:adjustRightInd w:val="0"/>
        <w:snapToGrid w:val="0"/>
        <w:spacing w:line="360" w:lineRule="auto"/>
        <w:ind w:firstLine="480" w:firstLineChars="200"/>
        <w:rPr>
          <w:rFonts w:hint="eastAsia" w:ascii="宋体" w:hAnsi="宋体"/>
          <w:sz w:val="24"/>
        </w:rPr>
      </w:pPr>
      <w:r>
        <w:rPr>
          <w:rFonts w:hint="eastAsia" w:ascii="宋体" w:hAnsi="宋体"/>
          <w:sz w:val="24"/>
        </w:rPr>
        <w:t>目标</w:t>
      </w:r>
      <w:r>
        <w:rPr>
          <w:rFonts w:ascii="宋体" w:hAnsi="宋体"/>
          <w:sz w:val="24"/>
        </w:rPr>
        <w:t>4</w:t>
      </w:r>
      <w:r>
        <w:rPr>
          <w:rFonts w:ascii="宋体"/>
          <w:sz w:val="24"/>
        </w:rPr>
        <w:t>.</w:t>
      </w:r>
      <w:r>
        <w:rPr>
          <w:rFonts w:hint="eastAsia" w:ascii="宋体" w:hAnsi="宋体"/>
          <w:sz w:val="24"/>
        </w:rPr>
        <w:t>形成对教育教学科学合理的理念和价值观，形成和发展优秀的教育人格和卓越的教师品质，逐步成长为研究型、智慧型教师。</w:t>
      </w:r>
    </w:p>
    <w:p w14:paraId="3970F982">
      <w:pPr>
        <w:spacing w:before="156" w:beforeLines="50" w:after="156" w:afterLines="50" w:line="360" w:lineRule="auto"/>
        <w:jc w:val="left"/>
        <w:rPr>
          <w:rFonts w:ascii="Times New Roman" w:hAnsi="Times New Roman"/>
          <w:b/>
          <w:bCs/>
          <w:sz w:val="24"/>
        </w:rPr>
      </w:pPr>
      <w:r>
        <w:rPr>
          <w:rFonts w:hint="eastAsia" w:ascii="Times New Roman" w:hAnsi="Times New Roman"/>
          <w:b/>
          <w:bCs/>
          <w:sz w:val="24"/>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410"/>
        <w:gridCol w:w="1469"/>
      </w:tblGrid>
      <w:tr w14:paraId="5731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E20C62B">
            <w:pPr>
              <w:spacing w:line="360" w:lineRule="auto"/>
              <w:jc w:val="center"/>
              <w:rPr>
                <w:rFonts w:ascii="Times New Roman" w:hAnsi="Times New Roman"/>
                <w:b/>
                <w:bCs/>
                <w:kern w:val="0"/>
                <w:sz w:val="24"/>
              </w:rPr>
            </w:pPr>
            <w:r>
              <w:rPr>
                <w:rFonts w:hint="eastAsia" w:ascii="Times New Roman" w:hAnsi="Times New Roman"/>
                <w:b/>
                <w:bCs/>
                <w:kern w:val="0"/>
                <w:sz w:val="24"/>
              </w:rPr>
              <w:t>毕业要求</w:t>
            </w:r>
          </w:p>
        </w:tc>
        <w:tc>
          <w:tcPr>
            <w:tcW w:w="5410" w:type="dxa"/>
            <w:vAlign w:val="center"/>
          </w:tcPr>
          <w:p w14:paraId="0A5F4693">
            <w:pPr>
              <w:spacing w:line="360" w:lineRule="auto"/>
              <w:jc w:val="center"/>
              <w:rPr>
                <w:rFonts w:ascii="Times New Roman" w:hAnsi="Times New Roman"/>
                <w:b/>
                <w:bCs/>
                <w:kern w:val="0"/>
                <w:sz w:val="24"/>
              </w:rPr>
            </w:pPr>
            <w:r>
              <w:rPr>
                <w:rFonts w:hint="eastAsia" w:ascii="Times New Roman" w:hAnsi="Times New Roman"/>
                <w:b/>
                <w:bCs/>
                <w:kern w:val="0"/>
                <w:sz w:val="24"/>
              </w:rPr>
              <w:t>毕业要求指标点</w:t>
            </w:r>
          </w:p>
        </w:tc>
        <w:tc>
          <w:tcPr>
            <w:tcW w:w="1469" w:type="dxa"/>
            <w:vAlign w:val="center"/>
          </w:tcPr>
          <w:p w14:paraId="04233EE9">
            <w:pPr>
              <w:spacing w:line="360" w:lineRule="auto"/>
              <w:jc w:val="center"/>
              <w:rPr>
                <w:rFonts w:ascii="Times New Roman" w:hAnsi="Times New Roman"/>
                <w:b/>
                <w:bCs/>
                <w:kern w:val="0"/>
                <w:sz w:val="24"/>
              </w:rPr>
            </w:pPr>
            <w:r>
              <w:rPr>
                <w:rFonts w:hint="eastAsia" w:ascii="Times New Roman" w:hAnsi="Times New Roman"/>
                <w:b/>
                <w:bCs/>
                <w:kern w:val="0"/>
                <w:sz w:val="24"/>
              </w:rPr>
              <w:t>课程目标</w:t>
            </w:r>
          </w:p>
        </w:tc>
      </w:tr>
      <w:tr w14:paraId="134C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45A5E64">
            <w:pPr>
              <w:spacing w:line="276" w:lineRule="auto"/>
              <w:jc w:val="left"/>
              <w:rPr>
                <w:rFonts w:ascii="Times New Roman" w:hAnsi="Times New Roman"/>
                <w:kern w:val="0"/>
                <w:sz w:val="24"/>
              </w:rPr>
            </w:pPr>
            <w:r>
              <w:rPr>
                <w:rFonts w:hint="eastAsia" w:ascii="Times New Roman" w:hAnsi="Times New Roman"/>
                <w:kern w:val="0"/>
                <w:sz w:val="24"/>
              </w:rPr>
              <w:t>毕业要求1师德规范</w:t>
            </w:r>
          </w:p>
        </w:tc>
        <w:tc>
          <w:tcPr>
            <w:tcW w:w="5410" w:type="dxa"/>
            <w:vAlign w:val="center"/>
          </w:tcPr>
          <w:p w14:paraId="69E3EB9B">
            <w:pPr>
              <w:spacing w:line="276" w:lineRule="auto"/>
              <w:jc w:val="left"/>
              <w:rPr>
                <w:rFonts w:ascii="Times New Roman" w:hAnsi="Times New Roman"/>
                <w:kern w:val="0"/>
                <w:sz w:val="24"/>
              </w:rPr>
            </w:pPr>
            <w:r>
              <w:rPr>
                <w:rFonts w:hint="eastAsia" w:ascii="Times New Roman" w:hAnsi="Times New Roman"/>
                <w:kern w:val="0"/>
                <w:sz w:val="24"/>
              </w:rPr>
              <w:t>指标点</w:t>
            </w:r>
            <w:r>
              <w:rPr>
                <w:rFonts w:ascii="Times New Roman" w:hAnsi="Times New Roman"/>
                <w:kern w:val="0"/>
                <w:sz w:val="24"/>
              </w:rPr>
              <w:t>1-1：【理想信念坚定】了解我国国情及国际局势，深刻理解新时代中国特色社会主义思想内涵；认同中国特色社会主义，贯彻党的教育方针，自觉践行社会主义核心价值观；认同教师劳动的价值，树立职业理想，立志成为有理想信念、有道德情操、有扎实学识、有仁爱之心受学生爱戴的好老师。</w:t>
            </w:r>
          </w:p>
        </w:tc>
        <w:tc>
          <w:tcPr>
            <w:tcW w:w="1469" w:type="dxa"/>
            <w:vAlign w:val="center"/>
          </w:tcPr>
          <w:p w14:paraId="67D28BDF">
            <w:pPr>
              <w:spacing w:line="276" w:lineRule="auto"/>
              <w:jc w:val="left"/>
              <w:rPr>
                <w:rFonts w:ascii="Times New Roman" w:hAnsi="Times New Roman"/>
                <w:kern w:val="0"/>
                <w:sz w:val="24"/>
              </w:rPr>
            </w:pPr>
            <w:r>
              <w:rPr>
                <w:rFonts w:hint="eastAsia" w:ascii="Times New Roman" w:hAnsi="Times New Roman"/>
                <w:kern w:val="0"/>
                <w:sz w:val="24"/>
              </w:rPr>
              <w:t>课程目标2</w:t>
            </w:r>
          </w:p>
        </w:tc>
      </w:tr>
      <w:tr w14:paraId="4566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73283A2">
            <w:pPr>
              <w:spacing w:line="276" w:lineRule="auto"/>
              <w:jc w:val="left"/>
              <w:rPr>
                <w:rFonts w:ascii="Times New Roman" w:hAnsi="Times New Roman"/>
                <w:kern w:val="0"/>
                <w:sz w:val="24"/>
              </w:rPr>
            </w:pPr>
            <w:r>
              <w:rPr>
                <w:rFonts w:hint="eastAsia" w:ascii="Times New Roman" w:hAnsi="Times New Roman"/>
                <w:kern w:val="0"/>
                <w:sz w:val="24"/>
              </w:rPr>
              <w:t>毕业要求2教育情怀</w:t>
            </w:r>
          </w:p>
        </w:tc>
        <w:tc>
          <w:tcPr>
            <w:tcW w:w="5410" w:type="dxa"/>
            <w:vAlign w:val="center"/>
          </w:tcPr>
          <w:p w14:paraId="37F08E42">
            <w:pPr>
              <w:spacing w:line="276" w:lineRule="auto"/>
              <w:jc w:val="left"/>
              <w:rPr>
                <w:rFonts w:ascii="Times New Roman" w:hAnsi="Times New Roman"/>
                <w:kern w:val="0"/>
                <w:sz w:val="24"/>
              </w:rPr>
            </w:pPr>
            <w:r>
              <w:rPr>
                <w:rFonts w:hint="eastAsia" w:ascii="宋体" w:hAnsi="宋体"/>
                <w:color w:val="000000"/>
                <w:spacing w:val="2"/>
                <w:kern w:val="0"/>
                <w:sz w:val="24"/>
              </w:rPr>
              <w:t>指标点</w:t>
            </w:r>
            <w:r>
              <w:rPr>
                <w:rFonts w:ascii="宋体" w:hAnsi="宋体"/>
                <w:color w:val="000000"/>
                <w:spacing w:val="2"/>
                <w:kern w:val="0"/>
                <w:sz w:val="24"/>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469" w:type="dxa"/>
            <w:vAlign w:val="center"/>
          </w:tcPr>
          <w:p w14:paraId="228E3A7E">
            <w:pPr>
              <w:spacing w:line="276" w:lineRule="auto"/>
              <w:jc w:val="left"/>
              <w:rPr>
                <w:rFonts w:ascii="Times New Roman" w:hAnsi="Times New Roman"/>
                <w:kern w:val="0"/>
                <w:sz w:val="24"/>
              </w:rPr>
            </w:pPr>
            <w:r>
              <w:rPr>
                <w:rFonts w:hint="eastAsia" w:ascii="Times New Roman" w:hAnsi="Times New Roman"/>
                <w:kern w:val="0"/>
                <w:sz w:val="24"/>
              </w:rPr>
              <w:t>课程目标4</w:t>
            </w:r>
          </w:p>
        </w:tc>
      </w:tr>
      <w:tr w14:paraId="52B6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06CD9EE">
            <w:pPr>
              <w:spacing w:line="276" w:lineRule="auto"/>
              <w:jc w:val="left"/>
              <w:rPr>
                <w:rFonts w:ascii="Times New Roman" w:hAnsi="Times New Roman"/>
                <w:kern w:val="0"/>
                <w:sz w:val="24"/>
              </w:rPr>
            </w:pPr>
            <w:r>
              <w:rPr>
                <w:rFonts w:hint="eastAsia" w:ascii="Times New Roman" w:hAnsi="Times New Roman"/>
                <w:kern w:val="0"/>
                <w:sz w:val="24"/>
              </w:rPr>
              <w:t>毕业要求4：教学能力</w:t>
            </w:r>
          </w:p>
        </w:tc>
        <w:tc>
          <w:tcPr>
            <w:tcW w:w="5410" w:type="dxa"/>
            <w:vAlign w:val="center"/>
          </w:tcPr>
          <w:p w14:paraId="3AF14226">
            <w:pPr>
              <w:spacing w:line="276" w:lineRule="auto"/>
              <w:jc w:val="left"/>
              <w:rPr>
                <w:rFonts w:ascii="Times New Roman" w:hAnsi="Times New Roman"/>
                <w:kern w:val="0"/>
                <w:sz w:val="24"/>
              </w:rPr>
            </w:pPr>
            <w:r>
              <w:rPr>
                <w:rFonts w:hint="eastAsia" w:ascii="宋体" w:hAnsi="宋体"/>
                <w:color w:val="000000"/>
                <w:spacing w:val="2"/>
                <w:kern w:val="0"/>
                <w:sz w:val="24"/>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469" w:type="dxa"/>
            <w:vAlign w:val="center"/>
          </w:tcPr>
          <w:p w14:paraId="5483789B">
            <w:pPr>
              <w:spacing w:line="276" w:lineRule="auto"/>
              <w:jc w:val="left"/>
              <w:rPr>
                <w:rFonts w:ascii="Times New Roman" w:hAnsi="Times New Roman"/>
                <w:kern w:val="0"/>
                <w:sz w:val="24"/>
              </w:rPr>
            </w:pPr>
            <w:r>
              <w:rPr>
                <w:rFonts w:hint="eastAsia" w:ascii="Times New Roman" w:hAnsi="Times New Roman"/>
                <w:kern w:val="0"/>
                <w:sz w:val="24"/>
              </w:rPr>
              <w:t>课程目标1</w:t>
            </w:r>
          </w:p>
        </w:tc>
      </w:tr>
      <w:tr w14:paraId="36E8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6025373">
            <w:pPr>
              <w:spacing w:line="276" w:lineRule="auto"/>
              <w:jc w:val="left"/>
              <w:rPr>
                <w:rFonts w:ascii="Times New Roman" w:hAnsi="Times New Roman"/>
                <w:kern w:val="0"/>
                <w:sz w:val="24"/>
              </w:rPr>
            </w:pPr>
            <w:r>
              <w:rPr>
                <w:rFonts w:hint="eastAsia" w:ascii="Times New Roman" w:hAnsi="Times New Roman"/>
                <w:kern w:val="0"/>
                <w:sz w:val="24"/>
              </w:rPr>
              <w:t>毕业要求7学会反思</w:t>
            </w:r>
          </w:p>
        </w:tc>
        <w:tc>
          <w:tcPr>
            <w:tcW w:w="5410" w:type="dxa"/>
            <w:vAlign w:val="center"/>
          </w:tcPr>
          <w:p w14:paraId="62483C8A">
            <w:pPr>
              <w:spacing w:line="276" w:lineRule="auto"/>
              <w:jc w:val="left"/>
              <w:rPr>
                <w:rFonts w:ascii="Times New Roman" w:hAnsi="Times New Roman"/>
                <w:kern w:val="0"/>
                <w:sz w:val="24"/>
              </w:rPr>
            </w:pPr>
            <w:r>
              <w:rPr>
                <w:rFonts w:hint="eastAsia" w:ascii="宋体" w:hAnsi="宋体"/>
                <w:color w:val="000000"/>
                <w:kern w:val="0"/>
                <w:sz w:val="24"/>
              </w:rPr>
              <w:t>指标点</w:t>
            </w:r>
            <w:r>
              <w:rPr>
                <w:rFonts w:ascii="宋体" w:hAnsi="宋体"/>
                <w:color w:val="000000"/>
                <w:kern w:val="0"/>
                <w:sz w:val="24"/>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469" w:type="dxa"/>
            <w:vAlign w:val="center"/>
          </w:tcPr>
          <w:p w14:paraId="08476B34">
            <w:pPr>
              <w:spacing w:line="276" w:lineRule="auto"/>
              <w:jc w:val="left"/>
              <w:rPr>
                <w:rFonts w:ascii="Times New Roman" w:hAnsi="Times New Roman"/>
                <w:kern w:val="0"/>
                <w:sz w:val="24"/>
              </w:rPr>
            </w:pPr>
            <w:r>
              <w:rPr>
                <w:rFonts w:hint="eastAsia" w:ascii="Times New Roman" w:hAnsi="Times New Roman"/>
                <w:kern w:val="0"/>
                <w:sz w:val="24"/>
              </w:rPr>
              <w:t>课程目标3</w:t>
            </w:r>
          </w:p>
        </w:tc>
      </w:tr>
    </w:tbl>
    <w:p w14:paraId="0BDF8A7D">
      <w:pPr>
        <w:spacing w:before="156" w:beforeLines="50" w:line="360" w:lineRule="auto"/>
        <w:jc w:val="left"/>
        <w:rPr>
          <w:rFonts w:hint="eastAsia" w:ascii="宋体" w:hAnsi="宋体"/>
          <w:b/>
          <w:color w:val="000000"/>
          <w:sz w:val="24"/>
        </w:rPr>
      </w:pPr>
      <w:r>
        <w:rPr>
          <w:rFonts w:hint="eastAsia" w:ascii="宋体" w:hAnsi="宋体"/>
          <w:b/>
          <w:color w:val="000000"/>
          <w:sz w:val="24"/>
        </w:rPr>
        <w:t>（三）课程思政目标</w:t>
      </w:r>
    </w:p>
    <w:p w14:paraId="19D08653">
      <w:pPr>
        <w:spacing w:line="360" w:lineRule="auto"/>
        <w:ind w:firstLine="480" w:firstLineChars="200"/>
        <w:rPr>
          <w:rFonts w:ascii="宋体"/>
          <w:sz w:val="24"/>
        </w:rPr>
      </w:pPr>
      <w:r>
        <w:rPr>
          <w:rFonts w:hint="eastAsia" w:ascii="宋体"/>
          <w:sz w:val="24"/>
        </w:rPr>
        <w:t>遵循师范培养目标和新时代教师需求，通过学生对教育哲学的学习，全面系统地掌握教育哲学基本知识、观点和方法，并能够指导学生认识学生、认识教师专业，引导师范生树立正确的教育观、教师观和学生观进而培养学生形成和发展优秀的教育人格和卓越的教师品质</w:t>
      </w:r>
    </w:p>
    <w:p w14:paraId="6FBDD85E">
      <w:pPr>
        <w:spacing w:line="360" w:lineRule="auto"/>
        <w:jc w:val="left"/>
        <w:rPr>
          <w:rFonts w:hint="eastAsia" w:ascii="宋体" w:hAnsi="宋体"/>
          <w:b/>
          <w:color w:val="000000"/>
          <w:sz w:val="28"/>
          <w:szCs w:val="28"/>
        </w:rPr>
      </w:pPr>
      <w:r>
        <w:rPr>
          <w:rFonts w:hint="eastAsia" w:ascii="宋体" w:hAnsi="宋体"/>
          <w:b/>
          <w:color w:val="000000"/>
          <w:sz w:val="28"/>
          <w:szCs w:val="28"/>
        </w:rPr>
        <w:t>四、教学内容与预期学习成效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619"/>
        <w:gridCol w:w="79"/>
        <w:gridCol w:w="1063"/>
        <w:gridCol w:w="69"/>
        <w:gridCol w:w="3050"/>
        <w:gridCol w:w="142"/>
        <w:gridCol w:w="1559"/>
        <w:gridCol w:w="142"/>
        <w:gridCol w:w="372"/>
      </w:tblGrid>
      <w:tr w14:paraId="2136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Align w:val="center"/>
          </w:tcPr>
          <w:p w14:paraId="61229385">
            <w:pPr>
              <w:jc w:val="center"/>
              <w:rPr>
                <w:rFonts w:hint="eastAsia" w:ascii="宋体" w:hAnsi="宋体"/>
                <w:b/>
                <w:color w:val="000000"/>
                <w:kern w:val="0"/>
                <w:sz w:val="24"/>
              </w:rPr>
            </w:pPr>
            <w:r>
              <w:rPr>
                <w:rFonts w:hint="eastAsia" w:ascii="宋体" w:hAnsi="宋体"/>
                <w:b/>
                <w:color w:val="000000"/>
                <w:kern w:val="0"/>
                <w:sz w:val="24"/>
              </w:rPr>
              <w:t>知识</w:t>
            </w:r>
          </w:p>
          <w:p w14:paraId="06823B73">
            <w:pPr>
              <w:jc w:val="center"/>
              <w:rPr>
                <w:rFonts w:hint="eastAsia" w:ascii="宋体" w:hAnsi="宋体"/>
                <w:b/>
                <w:color w:val="000000"/>
                <w:kern w:val="0"/>
                <w:sz w:val="24"/>
              </w:rPr>
            </w:pPr>
            <w:r>
              <w:rPr>
                <w:rFonts w:hint="eastAsia" w:ascii="宋体" w:hAnsi="宋体"/>
                <w:b/>
                <w:color w:val="000000"/>
                <w:kern w:val="0"/>
                <w:sz w:val="24"/>
              </w:rPr>
              <w:t>单元</w:t>
            </w:r>
          </w:p>
        </w:tc>
        <w:tc>
          <w:tcPr>
            <w:tcW w:w="1698" w:type="dxa"/>
            <w:gridSpan w:val="2"/>
            <w:vAlign w:val="center"/>
          </w:tcPr>
          <w:p w14:paraId="4D2F4DFE">
            <w:pPr>
              <w:jc w:val="center"/>
              <w:rPr>
                <w:rFonts w:hint="eastAsia" w:ascii="宋体" w:hAnsi="宋体"/>
                <w:b/>
                <w:color w:val="000000"/>
                <w:kern w:val="0"/>
                <w:sz w:val="24"/>
              </w:rPr>
            </w:pPr>
            <w:r>
              <w:rPr>
                <w:rFonts w:hint="eastAsia" w:ascii="宋体" w:hAnsi="宋体"/>
                <w:b/>
                <w:color w:val="000000"/>
                <w:kern w:val="0"/>
                <w:sz w:val="24"/>
              </w:rPr>
              <w:t>知识点</w:t>
            </w:r>
          </w:p>
        </w:tc>
        <w:tc>
          <w:tcPr>
            <w:tcW w:w="1132" w:type="dxa"/>
            <w:gridSpan w:val="2"/>
            <w:vAlign w:val="center"/>
          </w:tcPr>
          <w:p w14:paraId="2ACFF15A">
            <w:pPr>
              <w:jc w:val="center"/>
              <w:rPr>
                <w:rFonts w:hint="eastAsia" w:ascii="宋体" w:hAnsi="宋体"/>
                <w:b/>
                <w:color w:val="000000"/>
                <w:kern w:val="0"/>
                <w:sz w:val="24"/>
              </w:rPr>
            </w:pPr>
            <w:r>
              <w:rPr>
                <w:rFonts w:hint="eastAsia" w:ascii="宋体" w:hAnsi="宋体"/>
                <w:b/>
                <w:color w:val="000000"/>
                <w:kern w:val="0"/>
                <w:sz w:val="24"/>
              </w:rPr>
              <w:t>对应</w:t>
            </w:r>
          </w:p>
          <w:p w14:paraId="066AC8A4">
            <w:pPr>
              <w:jc w:val="center"/>
              <w:rPr>
                <w:rFonts w:hint="eastAsia" w:ascii="宋体" w:hAnsi="宋体"/>
                <w:b/>
                <w:color w:val="000000"/>
                <w:kern w:val="0"/>
                <w:sz w:val="24"/>
              </w:rPr>
            </w:pPr>
            <w:r>
              <w:rPr>
                <w:rFonts w:hint="eastAsia" w:ascii="宋体" w:hAnsi="宋体"/>
                <w:b/>
                <w:color w:val="000000"/>
                <w:kern w:val="0"/>
                <w:sz w:val="24"/>
              </w:rPr>
              <w:t>课程目标</w:t>
            </w:r>
          </w:p>
        </w:tc>
        <w:tc>
          <w:tcPr>
            <w:tcW w:w="3050" w:type="dxa"/>
            <w:vAlign w:val="center"/>
          </w:tcPr>
          <w:p w14:paraId="499FDEDE">
            <w:pPr>
              <w:jc w:val="center"/>
              <w:rPr>
                <w:rFonts w:hint="eastAsia" w:ascii="宋体" w:hAnsi="宋体"/>
                <w:b/>
                <w:color w:val="000000"/>
                <w:kern w:val="0"/>
                <w:sz w:val="24"/>
              </w:rPr>
            </w:pPr>
            <w:r>
              <w:rPr>
                <w:rFonts w:hint="eastAsia" w:ascii="宋体" w:hAnsi="宋体"/>
                <w:b/>
                <w:color w:val="000000"/>
                <w:kern w:val="0"/>
                <w:sz w:val="24"/>
              </w:rPr>
              <w:t>预期学习成效</w:t>
            </w:r>
          </w:p>
        </w:tc>
        <w:tc>
          <w:tcPr>
            <w:tcW w:w="1701" w:type="dxa"/>
            <w:gridSpan w:val="2"/>
            <w:vAlign w:val="center"/>
          </w:tcPr>
          <w:p w14:paraId="1535D9B2">
            <w:pPr>
              <w:jc w:val="center"/>
              <w:rPr>
                <w:rFonts w:hint="eastAsia" w:ascii="宋体" w:hAnsi="宋体"/>
                <w:b/>
                <w:color w:val="000000"/>
                <w:kern w:val="0"/>
                <w:sz w:val="24"/>
              </w:rPr>
            </w:pPr>
            <w:r>
              <w:rPr>
                <w:rFonts w:hint="eastAsia" w:ascii="宋体" w:hAnsi="宋体"/>
                <w:b/>
                <w:color w:val="000000"/>
                <w:kern w:val="0"/>
                <w:sz w:val="24"/>
              </w:rPr>
              <w:t>实现环节</w:t>
            </w:r>
          </w:p>
        </w:tc>
        <w:tc>
          <w:tcPr>
            <w:tcW w:w="514" w:type="dxa"/>
            <w:gridSpan w:val="2"/>
            <w:vAlign w:val="center"/>
          </w:tcPr>
          <w:p w14:paraId="4DED3C7B">
            <w:pPr>
              <w:jc w:val="center"/>
              <w:rPr>
                <w:rFonts w:hint="eastAsia" w:ascii="宋体" w:hAnsi="宋体"/>
                <w:b/>
                <w:color w:val="000000"/>
                <w:kern w:val="0"/>
                <w:sz w:val="24"/>
              </w:rPr>
            </w:pPr>
            <w:r>
              <w:rPr>
                <w:rFonts w:hint="eastAsia" w:ascii="宋体" w:hAnsi="宋体"/>
                <w:b/>
                <w:color w:val="000000"/>
                <w:kern w:val="0"/>
                <w:sz w:val="24"/>
              </w:rPr>
              <w:t>学时</w:t>
            </w:r>
          </w:p>
        </w:tc>
      </w:tr>
      <w:tr w14:paraId="4008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361F636D">
            <w:pPr>
              <w:spacing w:line="264" w:lineRule="auto"/>
              <w:jc w:val="center"/>
              <w:rPr>
                <w:rFonts w:hint="eastAsia" w:ascii="宋体" w:hAnsi="宋体"/>
                <w:color w:val="000000"/>
                <w:kern w:val="0"/>
                <w:sz w:val="24"/>
              </w:rPr>
            </w:pPr>
            <w:r>
              <w:rPr>
                <w:rFonts w:hint="eastAsia" w:ascii="宋体" w:hAnsi="宋体"/>
                <w:color w:val="000000"/>
                <w:kern w:val="0"/>
                <w:sz w:val="24"/>
              </w:rPr>
              <w:t>1.</w:t>
            </w:r>
            <w:r>
              <w:rPr>
                <w:rFonts w:hint="eastAsia"/>
                <w:kern w:val="0"/>
                <w:sz w:val="24"/>
              </w:rPr>
              <w:t xml:space="preserve"> </w:t>
            </w:r>
            <w:r>
              <w:rPr>
                <w:rFonts w:hint="eastAsia" w:ascii="宋体" w:hAnsi="宋体"/>
                <w:color w:val="000000"/>
                <w:kern w:val="0"/>
                <w:sz w:val="24"/>
              </w:rPr>
              <w:t>绪论</w:t>
            </w:r>
          </w:p>
        </w:tc>
        <w:tc>
          <w:tcPr>
            <w:tcW w:w="1698" w:type="dxa"/>
            <w:gridSpan w:val="2"/>
            <w:vAlign w:val="center"/>
          </w:tcPr>
          <w:p w14:paraId="6D36192C">
            <w:pPr>
              <w:spacing w:line="269" w:lineRule="auto"/>
              <w:jc w:val="left"/>
              <w:rPr>
                <w:rFonts w:hint="eastAsia" w:ascii="宋体" w:hAnsi="宋体"/>
                <w:color w:val="000000"/>
                <w:kern w:val="0"/>
                <w:sz w:val="24"/>
              </w:rPr>
            </w:pPr>
            <w:r>
              <w:rPr>
                <w:rFonts w:hint="eastAsia" w:ascii="宋体" w:hAnsi="宋体"/>
                <w:color w:val="000000"/>
                <w:kern w:val="0"/>
                <w:sz w:val="24"/>
              </w:rPr>
              <w:t>（1）教育哲学的研究对象与性质</w:t>
            </w:r>
          </w:p>
          <w:p w14:paraId="4F709F40">
            <w:pPr>
              <w:spacing w:line="269" w:lineRule="auto"/>
              <w:jc w:val="left"/>
              <w:rPr>
                <w:rFonts w:hint="eastAsia" w:ascii="宋体" w:hAnsi="宋体"/>
                <w:color w:val="000000"/>
                <w:kern w:val="0"/>
                <w:sz w:val="24"/>
              </w:rPr>
            </w:pPr>
            <w:r>
              <w:rPr>
                <w:rFonts w:hint="eastAsia" w:ascii="宋体" w:hAnsi="宋体"/>
                <w:color w:val="000000"/>
                <w:kern w:val="0"/>
                <w:sz w:val="24"/>
              </w:rPr>
              <w:t>（2）教育哲学的价值</w:t>
            </w:r>
          </w:p>
          <w:p w14:paraId="2E9A343E">
            <w:pPr>
              <w:spacing w:line="269" w:lineRule="auto"/>
              <w:jc w:val="left"/>
              <w:rPr>
                <w:rFonts w:hint="eastAsia" w:ascii="宋体" w:hAnsi="宋体"/>
                <w:color w:val="000000"/>
                <w:kern w:val="0"/>
                <w:sz w:val="24"/>
              </w:rPr>
            </w:pPr>
            <w:r>
              <w:rPr>
                <w:rFonts w:hint="eastAsia" w:ascii="宋体" w:hAnsi="宋体"/>
                <w:color w:val="000000"/>
                <w:kern w:val="0"/>
                <w:sz w:val="24"/>
              </w:rPr>
              <w:t>（3）教育哲学的研究与教学方法</w:t>
            </w:r>
          </w:p>
        </w:tc>
        <w:tc>
          <w:tcPr>
            <w:tcW w:w="1132" w:type="dxa"/>
            <w:gridSpan w:val="2"/>
            <w:vAlign w:val="center"/>
          </w:tcPr>
          <w:p w14:paraId="6CD2E7C4">
            <w:pPr>
              <w:spacing w:line="269" w:lineRule="auto"/>
              <w:jc w:val="center"/>
              <w:rPr>
                <w:rFonts w:hint="eastAsia" w:ascii="宋体" w:hAnsi="宋体"/>
                <w:color w:val="000000"/>
                <w:kern w:val="0"/>
                <w:sz w:val="24"/>
              </w:rPr>
            </w:pPr>
            <w:r>
              <w:rPr>
                <w:rFonts w:hint="eastAsia" w:ascii="宋体" w:hAnsi="宋体"/>
                <w:color w:val="000000"/>
                <w:kern w:val="0"/>
                <w:sz w:val="24"/>
              </w:rPr>
              <w:t>课程目标1</w:t>
            </w:r>
          </w:p>
        </w:tc>
        <w:tc>
          <w:tcPr>
            <w:tcW w:w="3050" w:type="dxa"/>
            <w:vAlign w:val="center"/>
          </w:tcPr>
          <w:p w14:paraId="721241B6">
            <w:pPr>
              <w:spacing w:line="269" w:lineRule="auto"/>
              <w:jc w:val="left"/>
              <w:rPr>
                <w:rFonts w:hint="eastAsia" w:ascii="宋体" w:hAnsi="宋体"/>
                <w:color w:val="000000"/>
                <w:kern w:val="0"/>
                <w:sz w:val="24"/>
              </w:rPr>
            </w:pPr>
            <w:r>
              <w:rPr>
                <w:rFonts w:hint="eastAsia" w:ascii="宋体" w:hAnsi="宋体"/>
                <w:color w:val="000000"/>
                <w:kern w:val="0"/>
                <w:sz w:val="24"/>
              </w:rPr>
              <w:t>（1）了解教育哲学课程的性质、目标与学习要求；</w:t>
            </w:r>
          </w:p>
          <w:p w14:paraId="416FD888">
            <w:pPr>
              <w:spacing w:line="269" w:lineRule="auto"/>
              <w:jc w:val="left"/>
              <w:rPr>
                <w:rFonts w:hint="eastAsia" w:ascii="宋体" w:hAnsi="宋体"/>
                <w:color w:val="000000"/>
                <w:kern w:val="0"/>
                <w:sz w:val="24"/>
              </w:rPr>
            </w:pPr>
            <w:r>
              <w:rPr>
                <w:rFonts w:hint="eastAsia" w:ascii="宋体" w:hAnsi="宋体"/>
                <w:color w:val="000000"/>
                <w:kern w:val="0"/>
                <w:sz w:val="24"/>
              </w:rPr>
              <w:t>（2）辨识教育哲学的研究对象，理解教育哲学的四种基本性质；</w:t>
            </w:r>
          </w:p>
          <w:p w14:paraId="7AD2A528">
            <w:pPr>
              <w:spacing w:line="269" w:lineRule="auto"/>
              <w:jc w:val="left"/>
              <w:rPr>
                <w:rFonts w:hint="eastAsia" w:ascii="宋体" w:hAnsi="宋体"/>
                <w:color w:val="000000"/>
                <w:kern w:val="0"/>
                <w:sz w:val="24"/>
              </w:rPr>
            </w:pPr>
            <w:r>
              <w:rPr>
                <w:rFonts w:hint="eastAsia" w:ascii="宋体" w:hAnsi="宋体"/>
                <w:color w:val="000000"/>
                <w:kern w:val="0"/>
                <w:sz w:val="24"/>
              </w:rPr>
              <w:t>（3）理解教育哲学的教育实践价值、政策价值和研究价值；</w:t>
            </w:r>
          </w:p>
          <w:p w14:paraId="7E16E1DE">
            <w:pPr>
              <w:spacing w:line="269" w:lineRule="auto"/>
              <w:jc w:val="left"/>
              <w:rPr>
                <w:rFonts w:hint="eastAsia" w:ascii="宋体" w:hAnsi="宋体"/>
                <w:color w:val="000000"/>
                <w:kern w:val="0"/>
                <w:sz w:val="24"/>
              </w:rPr>
            </w:pPr>
            <w:r>
              <w:rPr>
                <w:rFonts w:hint="eastAsia" w:ascii="宋体" w:hAnsi="宋体"/>
                <w:color w:val="000000"/>
                <w:kern w:val="0"/>
                <w:sz w:val="24"/>
              </w:rPr>
              <w:t>（4）理解中国教育哲学的研究和教学为什么要以马克思主义为指导以及如何以马克思主义为指导</w:t>
            </w:r>
          </w:p>
          <w:p w14:paraId="4EE4090B">
            <w:pPr>
              <w:spacing w:line="269" w:lineRule="auto"/>
              <w:jc w:val="left"/>
              <w:rPr>
                <w:rFonts w:hint="eastAsia" w:ascii="宋体" w:hAnsi="宋体"/>
                <w:color w:val="000000"/>
                <w:kern w:val="0"/>
                <w:sz w:val="24"/>
              </w:rPr>
            </w:pPr>
            <w:r>
              <w:rPr>
                <w:rFonts w:hint="eastAsia" w:ascii="宋体" w:hAnsi="宋体"/>
                <w:color w:val="000000"/>
                <w:kern w:val="0"/>
                <w:sz w:val="24"/>
              </w:rPr>
              <w:t>（5）培养初步的对于教育哲学学科的积极态度和价值认同教学重点：认识教育哲学的学科属性</w:t>
            </w:r>
          </w:p>
        </w:tc>
        <w:tc>
          <w:tcPr>
            <w:tcW w:w="1701" w:type="dxa"/>
            <w:gridSpan w:val="2"/>
            <w:vAlign w:val="center"/>
          </w:tcPr>
          <w:p w14:paraId="1D3BCD87">
            <w:pPr>
              <w:spacing w:line="269" w:lineRule="auto"/>
              <w:jc w:val="left"/>
              <w:rPr>
                <w:rFonts w:hint="eastAsia" w:ascii="宋体" w:hAnsi="宋体"/>
                <w:color w:val="000000"/>
                <w:kern w:val="0"/>
                <w:sz w:val="24"/>
              </w:rPr>
            </w:pPr>
            <w:r>
              <w:rPr>
                <w:rFonts w:hint="eastAsia" w:ascii="宋体" w:hAnsi="宋体"/>
                <w:color w:val="000000"/>
                <w:kern w:val="0"/>
                <w:sz w:val="24"/>
              </w:rPr>
              <w:t>1.自主学习</w:t>
            </w:r>
          </w:p>
          <w:p w14:paraId="1A48886A">
            <w:pPr>
              <w:spacing w:line="269" w:lineRule="auto"/>
              <w:jc w:val="left"/>
              <w:rPr>
                <w:rFonts w:hint="eastAsia" w:ascii="宋体" w:hAnsi="宋体"/>
                <w:color w:val="000000"/>
                <w:kern w:val="0"/>
                <w:sz w:val="24"/>
              </w:rPr>
            </w:pPr>
            <w:r>
              <w:rPr>
                <w:rFonts w:hint="eastAsia" w:ascii="宋体" w:hAnsi="宋体"/>
                <w:color w:val="000000"/>
                <w:kern w:val="0"/>
                <w:sz w:val="24"/>
              </w:rPr>
              <w:t>2.多媒体教学</w:t>
            </w:r>
          </w:p>
          <w:p w14:paraId="6BA61236">
            <w:pPr>
              <w:spacing w:line="269" w:lineRule="auto"/>
              <w:jc w:val="left"/>
              <w:rPr>
                <w:rFonts w:hint="eastAsia" w:ascii="宋体" w:hAnsi="宋体"/>
                <w:color w:val="000000"/>
                <w:kern w:val="0"/>
                <w:sz w:val="24"/>
              </w:rPr>
            </w:pPr>
            <w:r>
              <w:rPr>
                <w:rFonts w:hint="eastAsia" w:ascii="宋体" w:hAnsi="宋体"/>
                <w:color w:val="000000"/>
                <w:kern w:val="0"/>
                <w:sz w:val="24"/>
              </w:rPr>
              <w:t>3.课堂讨论</w:t>
            </w:r>
          </w:p>
          <w:p w14:paraId="5D159B4D">
            <w:pPr>
              <w:spacing w:line="269" w:lineRule="auto"/>
              <w:jc w:val="left"/>
              <w:rPr>
                <w:rFonts w:hint="eastAsia" w:ascii="宋体" w:hAnsi="宋体"/>
                <w:color w:val="000000"/>
                <w:kern w:val="0"/>
                <w:sz w:val="24"/>
              </w:rPr>
            </w:pPr>
          </w:p>
        </w:tc>
        <w:tc>
          <w:tcPr>
            <w:tcW w:w="514" w:type="dxa"/>
            <w:gridSpan w:val="2"/>
            <w:vAlign w:val="center"/>
          </w:tcPr>
          <w:p w14:paraId="20F3B237">
            <w:pPr>
              <w:spacing w:line="269" w:lineRule="auto"/>
              <w:jc w:val="center"/>
              <w:rPr>
                <w:rFonts w:hint="eastAsia" w:ascii="宋体" w:hAnsi="宋体"/>
                <w:color w:val="000000"/>
                <w:kern w:val="0"/>
                <w:sz w:val="24"/>
              </w:rPr>
            </w:pPr>
            <w:r>
              <w:rPr>
                <w:rFonts w:hint="eastAsia" w:ascii="宋体" w:hAnsi="宋体"/>
                <w:color w:val="000000"/>
                <w:kern w:val="0"/>
                <w:sz w:val="24"/>
              </w:rPr>
              <w:t>2</w:t>
            </w:r>
          </w:p>
        </w:tc>
      </w:tr>
      <w:tr w14:paraId="2134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272C3310">
            <w:pPr>
              <w:spacing w:line="264" w:lineRule="auto"/>
              <w:jc w:val="center"/>
              <w:rPr>
                <w:rFonts w:hint="eastAsia" w:ascii="宋体" w:hAnsi="宋体"/>
                <w:color w:val="000000"/>
                <w:kern w:val="0"/>
                <w:sz w:val="24"/>
              </w:rPr>
            </w:pPr>
          </w:p>
        </w:tc>
        <w:tc>
          <w:tcPr>
            <w:tcW w:w="8095" w:type="dxa"/>
            <w:gridSpan w:val="9"/>
            <w:vAlign w:val="center"/>
          </w:tcPr>
          <w:p w14:paraId="65AFB80A">
            <w:pPr>
              <w:spacing w:line="269" w:lineRule="auto"/>
              <w:jc w:val="left"/>
              <w:rPr>
                <w:rFonts w:hint="eastAsia" w:ascii="宋体" w:hAnsi="宋体"/>
                <w:color w:val="000000"/>
                <w:kern w:val="0"/>
                <w:sz w:val="24"/>
              </w:rPr>
            </w:pPr>
            <w:r>
              <w:rPr>
                <w:rFonts w:hint="eastAsia" w:ascii="宋体" w:hAnsi="宋体"/>
                <w:b/>
                <w:color w:val="000000"/>
                <w:kern w:val="0"/>
                <w:sz w:val="24"/>
              </w:rPr>
              <w:t>课程思政目标：</w:t>
            </w:r>
            <w:r>
              <w:rPr>
                <w:rFonts w:hint="eastAsia" w:ascii="宋体" w:hAnsi="宋体"/>
                <w:color w:val="000000"/>
                <w:kern w:val="0"/>
                <w:sz w:val="24"/>
              </w:rPr>
              <w:t>把马克思主义哲学中的辩证唯物主义和历史唯物主义基本观点融入教育哲学概念和基本理论中，弥补学生哲学素养的不足，并对“哲学是时代精神的精华”做出新时代背景下的阐释。</w:t>
            </w:r>
          </w:p>
        </w:tc>
      </w:tr>
      <w:tr w14:paraId="6EA9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6C772850">
            <w:pPr>
              <w:spacing w:line="264" w:lineRule="auto"/>
              <w:jc w:val="center"/>
              <w:rPr>
                <w:rFonts w:hint="eastAsia" w:ascii="宋体" w:hAnsi="宋体"/>
                <w:color w:val="000000"/>
                <w:kern w:val="0"/>
                <w:sz w:val="24"/>
              </w:rPr>
            </w:pPr>
            <w:r>
              <w:rPr>
                <w:rFonts w:hint="eastAsia" w:ascii="宋体" w:hAnsi="宋体"/>
                <w:color w:val="000000"/>
                <w:kern w:val="0"/>
                <w:sz w:val="24"/>
              </w:rPr>
              <w:t>2.</w:t>
            </w:r>
            <w:r>
              <w:rPr>
                <w:rFonts w:hint="eastAsia"/>
                <w:kern w:val="0"/>
                <w:sz w:val="24"/>
              </w:rPr>
              <w:t xml:space="preserve"> </w:t>
            </w:r>
            <w:r>
              <w:rPr>
                <w:rFonts w:hint="eastAsia" w:ascii="宋体" w:hAnsi="宋体"/>
                <w:color w:val="000000"/>
                <w:kern w:val="0"/>
                <w:sz w:val="24"/>
              </w:rPr>
              <w:t>教育哲学的历史发展</w:t>
            </w:r>
          </w:p>
        </w:tc>
        <w:tc>
          <w:tcPr>
            <w:tcW w:w="1698" w:type="dxa"/>
            <w:gridSpan w:val="2"/>
            <w:vAlign w:val="center"/>
          </w:tcPr>
          <w:p w14:paraId="32527D53">
            <w:pPr>
              <w:spacing w:line="269" w:lineRule="auto"/>
              <w:jc w:val="left"/>
              <w:rPr>
                <w:rFonts w:hint="eastAsia" w:ascii="宋体" w:hAnsi="宋体"/>
                <w:color w:val="000000"/>
                <w:kern w:val="0"/>
                <w:sz w:val="24"/>
              </w:rPr>
            </w:pPr>
            <w:r>
              <w:rPr>
                <w:rFonts w:hint="eastAsia" w:ascii="宋体" w:hAnsi="宋体"/>
                <w:color w:val="000000"/>
                <w:kern w:val="0"/>
                <w:sz w:val="24"/>
              </w:rPr>
              <w:t>（1）中国教育哲学的历史发展</w:t>
            </w:r>
          </w:p>
          <w:p w14:paraId="219EA129">
            <w:pPr>
              <w:spacing w:line="269" w:lineRule="auto"/>
              <w:jc w:val="left"/>
              <w:rPr>
                <w:rFonts w:hint="eastAsia" w:ascii="宋体" w:hAnsi="宋体"/>
                <w:color w:val="000000"/>
                <w:kern w:val="0"/>
                <w:sz w:val="24"/>
              </w:rPr>
            </w:pPr>
            <w:r>
              <w:rPr>
                <w:rFonts w:hint="eastAsia" w:ascii="宋体" w:hAnsi="宋体"/>
                <w:color w:val="000000"/>
                <w:kern w:val="0"/>
                <w:sz w:val="24"/>
              </w:rPr>
              <w:t>（2）西方教育哲学的历史发展</w:t>
            </w:r>
          </w:p>
          <w:p w14:paraId="5D996AB9">
            <w:pPr>
              <w:spacing w:line="269" w:lineRule="auto"/>
              <w:jc w:val="left"/>
              <w:rPr>
                <w:rFonts w:hint="eastAsia" w:ascii="宋体" w:hAnsi="宋体"/>
                <w:color w:val="000000"/>
                <w:kern w:val="0"/>
                <w:sz w:val="24"/>
              </w:rPr>
            </w:pPr>
            <w:r>
              <w:rPr>
                <w:rFonts w:hint="eastAsia" w:ascii="宋体" w:hAnsi="宋体"/>
                <w:color w:val="000000"/>
                <w:kern w:val="0"/>
                <w:sz w:val="24"/>
              </w:rPr>
              <w:t>（3）马克思主义哲学的形成与发展</w:t>
            </w:r>
          </w:p>
        </w:tc>
        <w:tc>
          <w:tcPr>
            <w:tcW w:w="1132" w:type="dxa"/>
            <w:gridSpan w:val="2"/>
            <w:vAlign w:val="center"/>
          </w:tcPr>
          <w:p w14:paraId="61A02A53">
            <w:pPr>
              <w:spacing w:line="269" w:lineRule="auto"/>
              <w:jc w:val="center"/>
              <w:rPr>
                <w:rFonts w:hint="eastAsia" w:ascii="宋体" w:hAnsi="宋体"/>
                <w:color w:val="000000"/>
                <w:kern w:val="0"/>
                <w:sz w:val="24"/>
              </w:rPr>
            </w:pPr>
            <w:r>
              <w:rPr>
                <w:rFonts w:hint="eastAsia" w:ascii="宋体" w:hAnsi="宋体"/>
                <w:color w:val="000000"/>
                <w:kern w:val="0"/>
                <w:sz w:val="24"/>
              </w:rPr>
              <w:t>课程目标1</w:t>
            </w:r>
          </w:p>
        </w:tc>
        <w:tc>
          <w:tcPr>
            <w:tcW w:w="3050" w:type="dxa"/>
            <w:vAlign w:val="center"/>
          </w:tcPr>
          <w:p w14:paraId="58849A4D">
            <w:pPr>
              <w:spacing w:line="269" w:lineRule="auto"/>
              <w:jc w:val="left"/>
              <w:rPr>
                <w:rFonts w:hint="eastAsia" w:ascii="宋体" w:hAnsi="宋体"/>
                <w:color w:val="000000"/>
                <w:kern w:val="0"/>
                <w:sz w:val="24"/>
              </w:rPr>
            </w:pPr>
            <w:r>
              <w:rPr>
                <w:rFonts w:hint="eastAsia" w:ascii="宋体" w:hAnsi="宋体"/>
                <w:color w:val="000000"/>
                <w:kern w:val="0"/>
                <w:sz w:val="24"/>
              </w:rPr>
              <w:t>（1）了解中国教育哲学历史发展的主要脉络，初步理解我国古代几种主要的教育哲学传统；</w:t>
            </w:r>
          </w:p>
          <w:p w14:paraId="7220683E">
            <w:pPr>
              <w:spacing w:line="269" w:lineRule="auto"/>
              <w:jc w:val="left"/>
              <w:rPr>
                <w:rFonts w:hint="eastAsia" w:ascii="宋体" w:hAnsi="宋体"/>
                <w:color w:val="000000"/>
                <w:kern w:val="0"/>
                <w:sz w:val="24"/>
              </w:rPr>
            </w:pPr>
            <w:r>
              <w:rPr>
                <w:rFonts w:hint="eastAsia" w:ascii="宋体" w:hAnsi="宋体"/>
                <w:color w:val="000000"/>
                <w:kern w:val="0"/>
                <w:sz w:val="24"/>
              </w:rPr>
              <w:t>（2）了解西方教育哲学历史发展的主要脉络，批判性地认识实用主义教育哲学、存在主义教育哲学、分析教育哲学及后现代教育哲学思潮产生的社会背景、主要观点、学术影响和理论局限；</w:t>
            </w:r>
          </w:p>
          <w:p w14:paraId="604BFE6B">
            <w:pPr>
              <w:spacing w:line="269" w:lineRule="auto"/>
              <w:jc w:val="left"/>
              <w:rPr>
                <w:rFonts w:hint="eastAsia" w:ascii="宋体" w:hAnsi="宋体"/>
                <w:color w:val="000000"/>
                <w:kern w:val="0"/>
                <w:sz w:val="24"/>
              </w:rPr>
            </w:pPr>
            <w:r>
              <w:rPr>
                <w:rFonts w:hint="eastAsia" w:ascii="宋体" w:hAnsi="宋体"/>
                <w:color w:val="000000"/>
                <w:kern w:val="0"/>
                <w:sz w:val="24"/>
              </w:rPr>
              <w:t>（3）系统了解马克思主义经典作家有关教育问题的重要哲学论述，理解马克思主义教育哲学思想在西方、苏联和我国的传播与发展。</w:t>
            </w:r>
          </w:p>
          <w:p w14:paraId="5E6C3E4A">
            <w:pPr>
              <w:spacing w:line="269" w:lineRule="auto"/>
              <w:jc w:val="left"/>
              <w:rPr>
                <w:rFonts w:hint="eastAsia" w:ascii="宋体" w:hAnsi="宋体"/>
                <w:color w:val="000000"/>
                <w:kern w:val="0"/>
                <w:sz w:val="24"/>
              </w:rPr>
            </w:pPr>
            <w:r>
              <w:rPr>
                <w:rFonts w:hint="eastAsia" w:ascii="宋体" w:hAnsi="宋体"/>
                <w:color w:val="000000"/>
                <w:kern w:val="0"/>
                <w:sz w:val="24"/>
              </w:rPr>
              <w:t>（4）重点理解十八大以来习近平总书记有关教育问题的重要论述，深度思考如何进一步继承和发展马克思主义教育哲学思想，构建中国特色、中国风格和中国气派的教育哲学体系。</w:t>
            </w:r>
          </w:p>
        </w:tc>
        <w:tc>
          <w:tcPr>
            <w:tcW w:w="1701" w:type="dxa"/>
            <w:gridSpan w:val="2"/>
            <w:vAlign w:val="center"/>
          </w:tcPr>
          <w:p w14:paraId="799E7A8A">
            <w:pPr>
              <w:spacing w:line="269" w:lineRule="auto"/>
              <w:jc w:val="left"/>
              <w:rPr>
                <w:rFonts w:hint="eastAsia" w:ascii="宋体" w:hAnsi="宋体"/>
                <w:color w:val="000000"/>
                <w:kern w:val="0"/>
                <w:sz w:val="24"/>
              </w:rPr>
            </w:pPr>
            <w:r>
              <w:rPr>
                <w:rFonts w:hint="eastAsia" w:ascii="宋体" w:hAnsi="宋体"/>
                <w:color w:val="000000"/>
                <w:kern w:val="0"/>
                <w:sz w:val="24"/>
              </w:rPr>
              <w:t>1.自主学习</w:t>
            </w:r>
          </w:p>
          <w:p w14:paraId="4FD00248">
            <w:pPr>
              <w:spacing w:line="269" w:lineRule="auto"/>
              <w:jc w:val="left"/>
              <w:rPr>
                <w:rFonts w:hint="eastAsia" w:ascii="宋体" w:hAnsi="宋体"/>
                <w:color w:val="000000"/>
                <w:kern w:val="0"/>
                <w:sz w:val="24"/>
              </w:rPr>
            </w:pPr>
            <w:r>
              <w:rPr>
                <w:rFonts w:hint="eastAsia" w:ascii="宋体" w:hAnsi="宋体"/>
                <w:color w:val="000000"/>
                <w:kern w:val="0"/>
                <w:sz w:val="24"/>
              </w:rPr>
              <w:t>2.多媒体教学</w:t>
            </w:r>
          </w:p>
          <w:p w14:paraId="79F471A0">
            <w:pPr>
              <w:spacing w:line="269" w:lineRule="auto"/>
              <w:jc w:val="left"/>
              <w:rPr>
                <w:rFonts w:hint="eastAsia" w:ascii="宋体" w:hAnsi="宋体"/>
                <w:color w:val="000000"/>
                <w:kern w:val="0"/>
                <w:sz w:val="24"/>
              </w:rPr>
            </w:pPr>
            <w:r>
              <w:rPr>
                <w:rFonts w:hint="eastAsia" w:ascii="宋体" w:hAnsi="宋体"/>
                <w:color w:val="000000"/>
                <w:kern w:val="0"/>
                <w:sz w:val="24"/>
              </w:rPr>
              <w:t>3.课堂讨论</w:t>
            </w:r>
          </w:p>
          <w:p w14:paraId="31B7EF6D">
            <w:pPr>
              <w:spacing w:line="269" w:lineRule="auto"/>
              <w:jc w:val="left"/>
              <w:rPr>
                <w:rFonts w:hint="eastAsia" w:ascii="宋体" w:hAnsi="宋体"/>
                <w:color w:val="000000"/>
                <w:kern w:val="0"/>
                <w:sz w:val="24"/>
              </w:rPr>
            </w:pPr>
          </w:p>
        </w:tc>
        <w:tc>
          <w:tcPr>
            <w:tcW w:w="514" w:type="dxa"/>
            <w:gridSpan w:val="2"/>
            <w:vAlign w:val="center"/>
          </w:tcPr>
          <w:p w14:paraId="7868FC70">
            <w:pPr>
              <w:spacing w:line="269" w:lineRule="auto"/>
              <w:jc w:val="center"/>
              <w:rPr>
                <w:rFonts w:hint="eastAsia" w:ascii="宋体" w:hAnsi="宋体"/>
                <w:color w:val="000000"/>
                <w:kern w:val="0"/>
                <w:sz w:val="24"/>
              </w:rPr>
            </w:pPr>
            <w:r>
              <w:rPr>
                <w:rFonts w:hint="eastAsia" w:ascii="宋体" w:hAnsi="宋体"/>
                <w:color w:val="000000"/>
                <w:kern w:val="0"/>
                <w:sz w:val="24"/>
              </w:rPr>
              <w:t>2</w:t>
            </w:r>
          </w:p>
        </w:tc>
      </w:tr>
      <w:tr w14:paraId="7E56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72A30FB5">
            <w:pPr>
              <w:spacing w:line="264" w:lineRule="auto"/>
              <w:jc w:val="center"/>
              <w:rPr>
                <w:rFonts w:hint="eastAsia" w:ascii="宋体" w:hAnsi="宋体"/>
                <w:color w:val="000000"/>
                <w:kern w:val="0"/>
                <w:sz w:val="24"/>
              </w:rPr>
            </w:pPr>
          </w:p>
        </w:tc>
        <w:tc>
          <w:tcPr>
            <w:tcW w:w="8095" w:type="dxa"/>
            <w:gridSpan w:val="9"/>
            <w:vAlign w:val="center"/>
          </w:tcPr>
          <w:p w14:paraId="749E7761">
            <w:pPr>
              <w:spacing w:line="269" w:lineRule="auto"/>
              <w:jc w:val="left"/>
              <w:rPr>
                <w:rFonts w:hint="eastAsia" w:ascii="宋体" w:hAnsi="宋体"/>
                <w:color w:val="000000"/>
                <w:kern w:val="0"/>
                <w:sz w:val="24"/>
              </w:rPr>
            </w:pPr>
            <w:r>
              <w:rPr>
                <w:rFonts w:hint="eastAsia" w:ascii="宋体" w:hAnsi="宋体"/>
                <w:b/>
                <w:color w:val="000000"/>
                <w:kern w:val="0"/>
                <w:sz w:val="24"/>
              </w:rPr>
              <w:t>课程思政目标：</w:t>
            </w:r>
            <w:r>
              <w:rPr>
                <w:rFonts w:hint="eastAsia" w:ascii="宋体" w:hAnsi="宋体"/>
                <w:color w:val="000000"/>
                <w:kern w:val="0"/>
                <w:sz w:val="24"/>
              </w:rPr>
              <w:t>通过研究和阐发中国教育哲学蕴含的中国智慧，增强文化自信；通过理解十八大以来习近平总书记有关教育问题的重要论述，深度思考如何进一步继承和发展马克思主义教育哲学思想，构建中国特色、中国风格和中国气派的教育哲学。</w:t>
            </w:r>
          </w:p>
        </w:tc>
      </w:tr>
      <w:tr w14:paraId="71E9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616A786B">
            <w:pPr>
              <w:spacing w:line="264" w:lineRule="auto"/>
              <w:jc w:val="center"/>
              <w:rPr>
                <w:rFonts w:hint="eastAsia" w:ascii="宋体" w:hAnsi="宋体"/>
                <w:color w:val="000000"/>
                <w:kern w:val="0"/>
                <w:sz w:val="24"/>
              </w:rPr>
            </w:pPr>
            <w:r>
              <w:rPr>
                <w:rFonts w:hint="eastAsia" w:ascii="宋体" w:hAnsi="宋体"/>
                <w:color w:val="000000"/>
                <w:kern w:val="0"/>
                <w:sz w:val="24"/>
              </w:rPr>
              <w:t>3.</w:t>
            </w:r>
            <w:r>
              <w:rPr>
                <w:rFonts w:hint="eastAsia"/>
                <w:kern w:val="0"/>
                <w:sz w:val="24"/>
              </w:rPr>
              <w:t xml:space="preserve"> </w:t>
            </w:r>
            <w:r>
              <w:rPr>
                <w:rFonts w:hint="eastAsia" w:ascii="宋体" w:hAnsi="宋体"/>
                <w:color w:val="000000"/>
                <w:kern w:val="0"/>
                <w:sz w:val="24"/>
              </w:rPr>
              <w:t>教育的本质</w:t>
            </w:r>
          </w:p>
        </w:tc>
        <w:tc>
          <w:tcPr>
            <w:tcW w:w="1698" w:type="dxa"/>
            <w:gridSpan w:val="2"/>
            <w:vAlign w:val="center"/>
          </w:tcPr>
          <w:p w14:paraId="4C9A819A">
            <w:pPr>
              <w:spacing w:line="269" w:lineRule="auto"/>
              <w:jc w:val="left"/>
              <w:rPr>
                <w:rFonts w:hint="eastAsia" w:ascii="宋体" w:hAnsi="宋体"/>
                <w:color w:val="000000"/>
                <w:kern w:val="0"/>
                <w:sz w:val="24"/>
              </w:rPr>
            </w:pPr>
            <w:r>
              <w:rPr>
                <w:rFonts w:hint="eastAsia" w:ascii="宋体" w:hAnsi="宋体"/>
                <w:color w:val="000000"/>
                <w:kern w:val="0"/>
                <w:sz w:val="24"/>
              </w:rPr>
              <w:t>（1）教育概念的语言分析</w:t>
            </w:r>
          </w:p>
          <w:p w14:paraId="5E6ADDE4">
            <w:pPr>
              <w:spacing w:line="269" w:lineRule="auto"/>
              <w:jc w:val="left"/>
              <w:rPr>
                <w:rFonts w:hint="eastAsia" w:ascii="宋体" w:hAnsi="宋体"/>
                <w:color w:val="000000"/>
                <w:kern w:val="0"/>
                <w:sz w:val="24"/>
              </w:rPr>
            </w:pPr>
            <w:r>
              <w:rPr>
                <w:rFonts w:hint="eastAsia" w:ascii="宋体" w:hAnsi="宋体"/>
                <w:color w:val="000000"/>
                <w:kern w:val="0"/>
                <w:sz w:val="24"/>
              </w:rPr>
              <w:t>（2）教育与相关概念的辨析</w:t>
            </w:r>
          </w:p>
          <w:p w14:paraId="44CF51B7">
            <w:pPr>
              <w:spacing w:line="269" w:lineRule="auto"/>
              <w:jc w:val="left"/>
              <w:rPr>
                <w:rFonts w:hint="eastAsia" w:ascii="宋体" w:hAnsi="宋体"/>
                <w:color w:val="000000"/>
                <w:kern w:val="0"/>
                <w:sz w:val="24"/>
              </w:rPr>
            </w:pPr>
            <w:r>
              <w:rPr>
                <w:rFonts w:hint="eastAsia" w:ascii="宋体" w:hAnsi="宋体"/>
                <w:color w:val="000000"/>
                <w:kern w:val="0"/>
                <w:sz w:val="24"/>
              </w:rPr>
              <w:t>（3）教育的本质与理想</w:t>
            </w:r>
          </w:p>
        </w:tc>
        <w:tc>
          <w:tcPr>
            <w:tcW w:w="1132" w:type="dxa"/>
            <w:gridSpan w:val="2"/>
            <w:vAlign w:val="center"/>
          </w:tcPr>
          <w:p w14:paraId="607EA3CF">
            <w:pPr>
              <w:spacing w:line="269" w:lineRule="auto"/>
              <w:jc w:val="center"/>
              <w:rPr>
                <w:rFonts w:hint="eastAsia" w:ascii="宋体" w:hAnsi="宋体"/>
                <w:color w:val="000000"/>
                <w:kern w:val="0"/>
                <w:sz w:val="24"/>
              </w:rPr>
            </w:pPr>
            <w:r>
              <w:rPr>
                <w:rFonts w:hint="eastAsia" w:ascii="宋体" w:hAnsi="宋体"/>
                <w:color w:val="000000"/>
                <w:kern w:val="0"/>
                <w:sz w:val="24"/>
              </w:rPr>
              <w:t>课程目标1、2、4</w:t>
            </w:r>
          </w:p>
        </w:tc>
        <w:tc>
          <w:tcPr>
            <w:tcW w:w="3050" w:type="dxa"/>
            <w:vAlign w:val="center"/>
          </w:tcPr>
          <w:p w14:paraId="755F1D3A">
            <w:pPr>
              <w:spacing w:line="269" w:lineRule="auto"/>
              <w:jc w:val="left"/>
              <w:rPr>
                <w:rFonts w:hint="eastAsia" w:ascii="宋体" w:hAnsi="宋体"/>
                <w:color w:val="000000"/>
                <w:kern w:val="0"/>
                <w:sz w:val="24"/>
              </w:rPr>
            </w:pPr>
            <w:r>
              <w:rPr>
                <w:rFonts w:hint="eastAsia" w:ascii="宋体" w:hAnsi="宋体"/>
                <w:color w:val="000000"/>
                <w:kern w:val="0"/>
                <w:sz w:val="24"/>
              </w:rPr>
              <w:t>（1）了解教育概念的日常意义、定义类型以及主要的隐喻；</w:t>
            </w:r>
          </w:p>
          <w:p w14:paraId="5CF142E3">
            <w:pPr>
              <w:spacing w:line="269" w:lineRule="auto"/>
              <w:jc w:val="left"/>
              <w:rPr>
                <w:rFonts w:hint="eastAsia" w:ascii="宋体" w:hAnsi="宋体"/>
                <w:color w:val="000000"/>
                <w:kern w:val="0"/>
                <w:sz w:val="24"/>
              </w:rPr>
            </w:pPr>
            <w:r>
              <w:rPr>
                <w:rFonts w:hint="eastAsia" w:ascii="宋体" w:hAnsi="宋体"/>
                <w:color w:val="000000"/>
                <w:kern w:val="0"/>
                <w:sz w:val="24"/>
              </w:rPr>
              <w:t>（2）从理论上和实践上能够把握教育概念与教学、学习、训练、宣传等的区别与联系；</w:t>
            </w:r>
          </w:p>
          <w:p w14:paraId="2E9FF261">
            <w:pPr>
              <w:spacing w:line="269" w:lineRule="auto"/>
              <w:jc w:val="left"/>
              <w:rPr>
                <w:rFonts w:hint="eastAsia" w:ascii="宋体" w:hAnsi="宋体"/>
                <w:color w:val="000000"/>
                <w:kern w:val="0"/>
                <w:sz w:val="24"/>
              </w:rPr>
            </w:pPr>
            <w:r>
              <w:rPr>
                <w:rFonts w:hint="eastAsia" w:ascii="宋体" w:hAnsi="宋体"/>
                <w:color w:val="000000"/>
                <w:kern w:val="0"/>
                <w:sz w:val="24"/>
              </w:rPr>
              <w:t>（3）理解教育本质认识的社会性和历史性，重点掌握习近平总书记有关教育一般本质和中国特色社会主义教育本质的重要论述；</w:t>
            </w:r>
          </w:p>
          <w:p w14:paraId="49224D01">
            <w:pPr>
              <w:spacing w:line="269" w:lineRule="auto"/>
              <w:jc w:val="left"/>
              <w:rPr>
                <w:rFonts w:hint="eastAsia" w:ascii="宋体" w:hAnsi="宋体"/>
                <w:color w:val="000000"/>
                <w:kern w:val="0"/>
                <w:sz w:val="24"/>
              </w:rPr>
            </w:pPr>
            <w:r>
              <w:rPr>
                <w:rFonts w:hint="eastAsia" w:ascii="宋体" w:hAnsi="宋体"/>
                <w:color w:val="000000"/>
                <w:kern w:val="0"/>
                <w:sz w:val="24"/>
              </w:rPr>
              <w:t>（4）掌握新时代中国特色社会主义良好教育的标准，理解教育的理想是人的自由全面发展。</w:t>
            </w:r>
          </w:p>
        </w:tc>
        <w:tc>
          <w:tcPr>
            <w:tcW w:w="1701" w:type="dxa"/>
            <w:gridSpan w:val="2"/>
            <w:vAlign w:val="center"/>
          </w:tcPr>
          <w:p w14:paraId="43F0EA11">
            <w:pPr>
              <w:spacing w:line="269" w:lineRule="auto"/>
              <w:jc w:val="left"/>
              <w:rPr>
                <w:rFonts w:hint="eastAsia" w:ascii="宋体" w:hAnsi="宋体"/>
                <w:color w:val="000000"/>
                <w:kern w:val="0"/>
                <w:sz w:val="24"/>
              </w:rPr>
            </w:pPr>
            <w:r>
              <w:rPr>
                <w:rFonts w:ascii="宋体" w:hAnsi="宋体"/>
                <w:color w:val="000000"/>
                <w:kern w:val="0"/>
                <w:sz w:val="24"/>
              </w:rPr>
              <w:t>1.</w:t>
            </w:r>
            <w:r>
              <w:rPr>
                <w:rFonts w:hint="eastAsia" w:ascii="宋体" w:hAnsi="宋体"/>
                <w:color w:val="000000"/>
                <w:kern w:val="0"/>
                <w:sz w:val="24"/>
              </w:rPr>
              <w:t>自主</w:t>
            </w:r>
            <w:r>
              <w:rPr>
                <w:rFonts w:ascii="宋体" w:hAnsi="宋体"/>
                <w:color w:val="000000"/>
                <w:kern w:val="0"/>
                <w:sz w:val="24"/>
              </w:rPr>
              <w:t>学习</w:t>
            </w:r>
          </w:p>
          <w:p w14:paraId="0C506BB1">
            <w:pPr>
              <w:spacing w:line="269" w:lineRule="auto"/>
              <w:jc w:val="left"/>
              <w:rPr>
                <w:rFonts w:hint="eastAsia" w:ascii="宋体" w:hAnsi="宋体"/>
                <w:color w:val="000000"/>
                <w:kern w:val="0"/>
                <w:sz w:val="24"/>
              </w:rPr>
            </w:pPr>
            <w:r>
              <w:rPr>
                <w:rFonts w:ascii="宋体" w:hAnsi="宋体"/>
                <w:color w:val="000000"/>
                <w:kern w:val="0"/>
                <w:sz w:val="24"/>
              </w:rPr>
              <w:t>2.多媒体教学</w:t>
            </w:r>
          </w:p>
          <w:p w14:paraId="04400CCB">
            <w:pPr>
              <w:spacing w:line="269" w:lineRule="auto"/>
              <w:jc w:val="left"/>
              <w:rPr>
                <w:rFonts w:hint="eastAsia" w:ascii="宋体" w:hAnsi="宋体"/>
                <w:color w:val="000000"/>
                <w:kern w:val="0"/>
                <w:sz w:val="24"/>
              </w:rPr>
            </w:pPr>
            <w:r>
              <w:rPr>
                <w:rFonts w:ascii="宋体" w:hAnsi="宋体"/>
                <w:color w:val="000000"/>
                <w:kern w:val="0"/>
                <w:sz w:val="24"/>
              </w:rPr>
              <w:t>3.课堂讨论</w:t>
            </w:r>
          </w:p>
        </w:tc>
        <w:tc>
          <w:tcPr>
            <w:tcW w:w="514" w:type="dxa"/>
            <w:gridSpan w:val="2"/>
            <w:vAlign w:val="center"/>
          </w:tcPr>
          <w:p w14:paraId="283770A9">
            <w:pPr>
              <w:spacing w:line="269" w:lineRule="auto"/>
              <w:jc w:val="center"/>
              <w:rPr>
                <w:rFonts w:hint="eastAsia" w:ascii="宋体" w:hAnsi="宋体"/>
                <w:color w:val="000000"/>
                <w:kern w:val="0"/>
                <w:sz w:val="24"/>
              </w:rPr>
            </w:pPr>
            <w:r>
              <w:rPr>
                <w:rFonts w:hint="eastAsia" w:ascii="宋体" w:hAnsi="宋体"/>
                <w:color w:val="000000"/>
                <w:kern w:val="0"/>
                <w:sz w:val="24"/>
              </w:rPr>
              <w:t>2</w:t>
            </w:r>
          </w:p>
        </w:tc>
      </w:tr>
      <w:tr w14:paraId="7D3D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2F1C0F0C">
            <w:pPr>
              <w:spacing w:line="264" w:lineRule="auto"/>
              <w:jc w:val="center"/>
              <w:rPr>
                <w:rFonts w:hint="eastAsia" w:ascii="宋体" w:hAnsi="宋体"/>
                <w:color w:val="000000"/>
                <w:kern w:val="0"/>
                <w:sz w:val="24"/>
              </w:rPr>
            </w:pPr>
          </w:p>
        </w:tc>
        <w:tc>
          <w:tcPr>
            <w:tcW w:w="8095" w:type="dxa"/>
            <w:gridSpan w:val="9"/>
            <w:vAlign w:val="center"/>
          </w:tcPr>
          <w:p w14:paraId="6279FF1F">
            <w:pPr>
              <w:spacing w:line="269" w:lineRule="auto"/>
              <w:jc w:val="left"/>
              <w:rPr>
                <w:rFonts w:hint="eastAsia" w:ascii="宋体" w:hAnsi="宋体"/>
                <w:color w:val="000000"/>
                <w:kern w:val="0"/>
                <w:sz w:val="24"/>
              </w:rPr>
            </w:pPr>
            <w:r>
              <w:rPr>
                <w:rFonts w:hint="eastAsia" w:ascii="宋体" w:hAnsi="宋体"/>
                <w:b/>
                <w:color w:val="000000"/>
                <w:kern w:val="0"/>
                <w:sz w:val="24"/>
              </w:rPr>
              <w:t>课程思政目标：</w:t>
            </w:r>
            <w:r>
              <w:rPr>
                <w:rFonts w:hint="eastAsia" w:ascii="宋体" w:hAnsi="宋体"/>
                <w:color w:val="000000"/>
                <w:kern w:val="0"/>
                <w:sz w:val="24"/>
              </w:rPr>
              <w:t>用习近平总书记关于教育重要论述中关于“立德树人”思想分析中外历史上对教育本质的不同理解差异，以及新时代对教育本质理解所发生的变化，使学生通过对比深入思考哲学视域内的教育内涵。使学生从更深的意义上思考师范生所承担的育人使命，增强职业敬畏感和神圣感。</w:t>
            </w:r>
          </w:p>
        </w:tc>
      </w:tr>
      <w:tr w14:paraId="616A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30A20AF8">
            <w:pPr>
              <w:spacing w:line="276" w:lineRule="auto"/>
              <w:jc w:val="center"/>
              <w:rPr>
                <w:rFonts w:hint="eastAsia" w:ascii="宋体" w:hAnsi="宋体"/>
                <w:color w:val="000000"/>
                <w:kern w:val="0"/>
                <w:sz w:val="24"/>
              </w:rPr>
            </w:pPr>
            <w:r>
              <w:rPr>
                <w:rFonts w:hint="eastAsia" w:ascii="宋体" w:hAnsi="宋体"/>
                <w:color w:val="000000"/>
                <w:kern w:val="0"/>
                <w:sz w:val="24"/>
              </w:rPr>
              <w:t>4.</w:t>
            </w:r>
            <w:r>
              <w:rPr>
                <w:rFonts w:hint="eastAsia"/>
                <w:kern w:val="0"/>
                <w:sz w:val="24"/>
              </w:rPr>
              <w:t xml:space="preserve"> </w:t>
            </w:r>
            <w:r>
              <w:rPr>
                <w:rFonts w:hint="eastAsia" w:ascii="宋体" w:hAnsi="宋体"/>
                <w:color w:val="000000"/>
                <w:kern w:val="0"/>
                <w:sz w:val="24"/>
              </w:rPr>
              <w:t>人性论与教育</w:t>
            </w:r>
          </w:p>
        </w:tc>
        <w:tc>
          <w:tcPr>
            <w:tcW w:w="1698" w:type="dxa"/>
            <w:gridSpan w:val="2"/>
            <w:vAlign w:val="center"/>
          </w:tcPr>
          <w:p w14:paraId="538B8B1C">
            <w:pPr>
              <w:spacing w:line="276" w:lineRule="auto"/>
              <w:jc w:val="left"/>
              <w:rPr>
                <w:rFonts w:hint="eastAsia" w:ascii="宋体" w:hAnsi="宋体"/>
                <w:color w:val="000000"/>
                <w:kern w:val="0"/>
                <w:sz w:val="24"/>
              </w:rPr>
            </w:pPr>
            <w:r>
              <w:rPr>
                <w:rFonts w:hint="eastAsia" w:ascii="宋体" w:hAnsi="宋体"/>
                <w:color w:val="000000"/>
                <w:kern w:val="0"/>
                <w:sz w:val="24"/>
              </w:rPr>
              <w:t>（1）人性论概述</w:t>
            </w:r>
          </w:p>
          <w:p w14:paraId="2B6481CC">
            <w:pPr>
              <w:spacing w:line="276" w:lineRule="auto"/>
              <w:jc w:val="left"/>
              <w:rPr>
                <w:rFonts w:hint="eastAsia" w:ascii="宋体" w:hAnsi="宋体"/>
                <w:color w:val="000000"/>
                <w:kern w:val="0"/>
                <w:sz w:val="24"/>
              </w:rPr>
            </w:pPr>
            <w:r>
              <w:rPr>
                <w:rFonts w:hint="eastAsia" w:ascii="宋体" w:hAnsi="宋体"/>
                <w:color w:val="000000"/>
                <w:kern w:val="0"/>
                <w:sz w:val="24"/>
              </w:rPr>
              <w:t>（2）人性论与教育的关系</w:t>
            </w:r>
          </w:p>
          <w:p w14:paraId="49D433AB">
            <w:pPr>
              <w:spacing w:line="276" w:lineRule="auto"/>
              <w:jc w:val="left"/>
              <w:rPr>
                <w:rFonts w:hint="eastAsia" w:ascii="宋体" w:hAnsi="宋体"/>
                <w:color w:val="000000"/>
                <w:kern w:val="0"/>
                <w:sz w:val="24"/>
              </w:rPr>
            </w:pPr>
            <w:r>
              <w:rPr>
                <w:rFonts w:hint="eastAsia" w:ascii="宋体" w:hAnsi="宋体"/>
                <w:color w:val="000000"/>
                <w:kern w:val="0"/>
                <w:sz w:val="24"/>
              </w:rPr>
              <w:t>（3）当代教育中的人性问题与责任</w:t>
            </w:r>
          </w:p>
        </w:tc>
        <w:tc>
          <w:tcPr>
            <w:tcW w:w="1132" w:type="dxa"/>
            <w:gridSpan w:val="2"/>
            <w:vAlign w:val="center"/>
          </w:tcPr>
          <w:p w14:paraId="6CCF08AD">
            <w:pPr>
              <w:spacing w:line="276" w:lineRule="auto"/>
              <w:jc w:val="center"/>
              <w:rPr>
                <w:rFonts w:hint="eastAsia" w:ascii="宋体" w:hAnsi="宋体"/>
                <w:color w:val="000000"/>
                <w:kern w:val="0"/>
                <w:sz w:val="24"/>
              </w:rPr>
            </w:pPr>
            <w:r>
              <w:rPr>
                <w:rFonts w:hint="eastAsia" w:ascii="宋体" w:hAnsi="宋体"/>
                <w:color w:val="000000"/>
                <w:kern w:val="0"/>
                <w:sz w:val="24"/>
              </w:rPr>
              <w:t>课程目标1、2、3</w:t>
            </w:r>
          </w:p>
        </w:tc>
        <w:tc>
          <w:tcPr>
            <w:tcW w:w="3050" w:type="dxa"/>
            <w:vAlign w:val="center"/>
          </w:tcPr>
          <w:p w14:paraId="5D8CC1B8">
            <w:pPr>
              <w:spacing w:line="276" w:lineRule="auto"/>
              <w:jc w:val="left"/>
              <w:rPr>
                <w:rFonts w:hint="eastAsia" w:ascii="宋体" w:hAnsi="宋体"/>
                <w:color w:val="000000"/>
                <w:kern w:val="0"/>
                <w:sz w:val="24"/>
              </w:rPr>
            </w:pPr>
            <w:r>
              <w:rPr>
                <w:rFonts w:hint="eastAsia" w:ascii="宋体" w:hAnsi="宋体"/>
                <w:color w:val="000000"/>
                <w:kern w:val="0"/>
                <w:sz w:val="24"/>
              </w:rPr>
              <w:t>（1）了解中外历史上的人性论主张，掌握马克思主义在人性问题上的基本立场、观点和方法，理解它们之间的联系与本质差别；</w:t>
            </w:r>
          </w:p>
          <w:p w14:paraId="7BF086D5">
            <w:pPr>
              <w:spacing w:line="276" w:lineRule="auto"/>
              <w:jc w:val="left"/>
              <w:rPr>
                <w:rFonts w:hint="eastAsia" w:ascii="宋体" w:hAnsi="宋体"/>
                <w:color w:val="000000"/>
                <w:kern w:val="0"/>
                <w:sz w:val="24"/>
              </w:rPr>
            </w:pPr>
            <w:r>
              <w:rPr>
                <w:rFonts w:hint="eastAsia" w:ascii="宋体" w:hAnsi="宋体"/>
                <w:color w:val="000000"/>
                <w:kern w:val="0"/>
                <w:sz w:val="24"/>
              </w:rPr>
              <w:t>（2）理解不同的人性论假设与儿童观、教育方法和教育管理实践之间的内在关联，并辩证地看待不同人性论对教育实践的影响；</w:t>
            </w:r>
          </w:p>
          <w:p w14:paraId="55719529">
            <w:pPr>
              <w:spacing w:line="276" w:lineRule="auto"/>
              <w:jc w:val="left"/>
              <w:rPr>
                <w:rFonts w:hint="eastAsia" w:ascii="宋体" w:hAnsi="宋体"/>
                <w:color w:val="000000"/>
                <w:kern w:val="0"/>
                <w:sz w:val="24"/>
              </w:rPr>
            </w:pPr>
            <w:r>
              <w:rPr>
                <w:rFonts w:hint="eastAsia" w:ascii="宋体" w:hAnsi="宋体"/>
                <w:color w:val="000000"/>
                <w:kern w:val="0"/>
                <w:sz w:val="24"/>
              </w:rPr>
              <w:t>（3）从实际出发，分析当代教育实践中存在的人性论问题，理解“以人为本”的内涵以及现代教育的人性关怀。</w:t>
            </w:r>
          </w:p>
        </w:tc>
        <w:tc>
          <w:tcPr>
            <w:tcW w:w="1701" w:type="dxa"/>
            <w:gridSpan w:val="2"/>
            <w:vAlign w:val="center"/>
          </w:tcPr>
          <w:p w14:paraId="0174226F">
            <w:pPr>
              <w:spacing w:line="276" w:lineRule="auto"/>
              <w:jc w:val="left"/>
              <w:rPr>
                <w:rFonts w:hint="eastAsia" w:ascii="宋体" w:hAnsi="宋体"/>
                <w:color w:val="000000"/>
                <w:kern w:val="0"/>
                <w:sz w:val="24"/>
              </w:rPr>
            </w:pPr>
            <w:r>
              <w:rPr>
                <w:rFonts w:ascii="宋体" w:hAnsi="宋体"/>
                <w:color w:val="000000"/>
                <w:kern w:val="0"/>
                <w:sz w:val="24"/>
              </w:rPr>
              <w:t>1.</w:t>
            </w:r>
            <w:r>
              <w:rPr>
                <w:rFonts w:hint="eastAsia" w:ascii="宋体" w:hAnsi="宋体"/>
                <w:color w:val="000000"/>
                <w:kern w:val="0"/>
                <w:sz w:val="24"/>
              </w:rPr>
              <w:t>自主</w:t>
            </w:r>
            <w:r>
              <w:rPr>
                <w:rFonts w:ascii="宋体" w:hAnsi="宋体"/>
                <w:color w:val="000000"/>
                <w:kern w:val="0"/>
                <w:sz w:val="24"/>
              </w:rPr>
              <w:t>学习</w:t>
            </w:r>
          </w:p>
          <w:p w14:paraId="5F59BC50">
            <w:pPr>
              <w:spacing w:line="276" w:lineRule="auto"/>
              <w:jc w:val="left"/>
              <w:rPr>
                <w:rFonts w:hint="eastAsia" w:ascii="宋体" w:hAnsi="宋体"/>
                <w:color w:val="000000"/>
                <w:kern w:val="0"/>
                <w:sz w:val="24"/>
              </w:rPr>
            </w:pPr>
            <w:r>
              <w:rPr>
                <w:rFonts w:ascii="宋体" w:hAnsi="宋体"/>
                <w:color w:val="000000"/>
                <w:kern w:val="0"/>
                <w:sz w:val="24"/>
              </w:rPr>
              <w:t>2.多媒体教学</w:t>
            </w:r>
          </w:p>
          <w:p w14:paraId="109A278D">
            <w:pPr>
              <w:spacing w:line="276" w:lineRule="auto"/>
              <w:jc w:val="left"/>
              <w:rPr>
                <w:rFonts w:hint="eastAsia" w:ascii="宋体" w:hAnsi="宋体"/>
                <w:color w:val="000000"/>
                <w:kern w:val="0"/>
                <w:sz w:val="24"/>
              </w:rPr>
            </w:pPr>
            <w:r>
              <w:rPr>
                <w:rFonts w:ascii="宋体" w:hAnsi="宋体"/>
                <w:color w:val="000000"/>
                <w:kern w:val="0"/>
                <w:sz w:val="24"/>
              </w:rPr>
              <w:t>3.课堂讨论</w:t>
            </w:r>
          </w:p>
          <w:p w14:paraId="04EC0D0A">
            <w:pPr>
              <w:spacing w:line="276" w:lineRule="auto"/>
              <w:jc w:val="left"/>
              <w:rPr>
                <w:rFonts w:hint="eastAsia" w:ascii="宋体" w:hAnsi="宋体"/>
                <w:color w:val="000000"/>
                <w:kern w:val="0"/>
                <w:sz w:val="24"/>
              </w:rPr>
            </w:pPr>
            <w:r>
              <w:rPr>
                <w:rFonts w:ascii="宋体" w:hAnsi="宋体"/>
                <w:color w:val="000000"/>
                <w:kern w:val="0"/>
                <w:sz w:val="24"/>
              </w:rPr>
              <w:t>4.</w:t>
            </w:r>
            <w:r>
              <w:rPr>
                <w:rFonts w:hint="eastAsia" w:ascii="宋体" w:hAnsi="宋体"/>
                <w:color w:val="000000"/>
                <w:kern w:val="0"/>
                <w:sz w:val="24"/>
              </w:rPr>
              <w:t>小组合作与汇报</w:t>
            </w:r>
          </w:p>
        </w:tc>
        <w:tc>
          <w:tcPr>
            <w:tcW w:w="514" w:type="dxa"/>
            <w:gridSpan w:val="2"/>
            <w:vAlign w:val="center"/>
          </w:tcPr>
          <w:p w14:paraId="6EBCF0AD">
            <w:pPr>
              <w:spacing w:line="276" w:lineRule="auto"/>
              <w:jc w:val="center"/>
              <w:rPr>
                <w:rFonts w:hint="eastAsia" w:ascii="宋体" w:hAnsi="宋体"/>
                <w:color w:val="000000"/>
                <w:kern w:val="0"/>
                <w:sz w:val="24"/>
              </w:rPr>
            </w:pPr>
            <w:r>
              <w:rPr>
                <w:rFonts w:hint="eastAsia" w:ascii="宋体" w:hAnsi="宋体"/>
                <w:color w:val="000000"/>
                <w:kern w:val="0"/>
                <w:sz w:val="24"/>
              </w:rPr>
              <w:t>4</w:t>
            </w:r>
          </w:p>
        </w:tc>
      </w:tr>
      <w:tr w14:paraId="3FAA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3E25D644">
            <w:pPr>
              <w:spacing w:line="276" w:lineRule="auto"/>
              <w:jc w:val="center"/>
              <w:rPr>
                <w:rFonts w:hint="eastAsia" w:ascii="宋体" w:hAnsi="宋体"/>
                <w:color w:val="000000"/>
                <w:kern w:val="0"/>
                <w:sz w:val="24"/>
              </w:rPr>
            </w:pPr>
          </w:p>
        </w:tc>
        <w:tc>
          <w:tcPr>
            <w:tcW w:w="8095" w:type="dxa"/>
            <w:gridSpan w:val="9"/>
            <w:vAlign w:val="center"/>
          </w:tcPr>
          <w:p w14:paraId="4C99B463">
            <w:pPr>
              <w:spacing w:line="276" w:lineRule="auto"/>
              <w:jc w:val="left"/>
              <w:rPr>
                <w:rFonts w:hint="eastAsia" w:ascii="宋体" w:hAnsi="宋体"/>
                <w:color w:val="000000"/>
                <w:kern w:val="0"/>
                <w:sz w:val="24"/>
              </w:rPr>
            </w:pPr>
            <w:r>
              <w:rPr>
                <w:rFonts w:hint="eastAsia" w:ascii="宋体" w:hAnsi="宋体"/>
                <w:b/>
                <w:color w:val="000000"/>
                <w:kern w:val="0"/>
                <w:sz w:val="24"/>
              </w:rPr>
              <w:t>课程思政目标：</w:t>
            </w:r>
            <w:r>
              <w:rPr>
                <w:rFonts w:hint="eastAsia" w:ascii="宋体" w:hAnsi="宋体"/>
                <w:color w:val="000000"/>
                <w:kern w:val="0"/>
                <w:sz w:val="24"/>
              </w:rPr>
              <w:t>通过对人本身问题的追问和反思，深入理解人性论与教育活动的内在联系，坚持以人为本的原则，树立正确的学生观，促进每一个学生健康、和谐与可持续发展。</w:t>
            </w:r>
          </w:p>
        </w:tc>
      </w:tr>
      <w:tr w14:paraId="18E2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A595C6B">
            <w:pPr>
              <w:spacing w:line="276" w:lineRule="auto"/>
              <w:jc w:val="center"/>
              <w:rPr>
                <w:rFonts w:hint="eastAsia" w:ascii="宋体" w:hAnsi="宋体"/>
                <w:color w:val="000000"/>
                <w:kern w:val="0"/>
                <w:sz w:val="24"/>
              </w:rPr>
            </w:pPr>
            <w:r>
              <w:rPr>
                <w:rFonts w:hint="eastAsia" w:ascii="宋体" w:hAnsi="宋体"/>
                <w:color w:val="000000"/>
                <w:kern w:val="0"/>
                <w:sz w:val="24"/>
              </w:rPr>
              <w:t>5.</w:t>
            </w:r>
            <w:r>
              <w:rPr>
                <w:rFonts w:hint="eastAsia"/>
                <w:kern w:val="0"/>
                <w:sz w:val="24"/>
              </w:rPr>
              <w:t xml:space="preserve"> </w:t>
            </w:r>
            <w:r>
              <w:rPr>
                <w:rFonts w:hint="eastAsia" w:ascii="宋体" w:hAnsi="宋体"/>
                <w:color w:val="000000"/>
                <w:kern w:val="0"/>
                <w:sz w:val="24"/>
              </w:rPr>
              <w:t>认识论与教育</w:t>
            </w:r>
          </w:p>
        </w:tc>
        <w:tc>
          <w:tcPr>
            <w:tcW w:w="1698" w:type="dxa"/>
            <w:gridSpan w:val="2"/>
            <w:vAlign w:val="center"/>
          </w:tcPr>
          <w:p w14:paraId="513B77C5">
            <w:pPr>
              <w:spacing w:line="276" w:lineRule="auto"/>
              <w:jc w:val="left"/>
              <w:rPr>
                <w:rFonts w:hint="eastAsia" w:ascii="宋体" w:hAnsi="宋体"/>
                <w:color w:val="000000"/>
                <w:kern w:val="0"/>
                <w:sz w:val="24"/>
              </w:rPr>
            </w:pPr>
            <w:r>
              <w:rPr>
                <w:rFonts w:hint="eastAsia" w:ascii="宋体" w:hAnsi="宋体"/>
                <w:color w:val="000000"/>
                <w:kern w:val="0"/>
                <w:sz w:val="24"/>
              </w:rPr>
              <w:t>（1）认识论概述</w:t>
            </w:r>
          </w:p>
          <w:p w14:paraId="716EA6FE">
            <w:pPr>
              <w:spacing w:line="276" w:lineRule="auto"/>
              <w:jc w:val="left"/>
              <w:rPr>
                <w:rFonts w:hint="eastAsia" w:ascii="宋体" w:hAnsi="宋体"/>
                <w:color w:val="000000"/>
                <w:kern w:val="0"/>
                <w:sz w:val="24"/>
              </w:rPr>
            </w:pPr>
            <w:r>
              <w:rPr>
                <w:rFonts w:hint="eastAsia" w:ascii="宋体" w:hAnsi="宋体"/>
                <w:color w:val="000000"/>
                <w:kern w:val="0"/>
                <w:sz w:val="24"/>
              </w:rPr>
              <w:t>（2）知识的性质、类型与课程</w:t>
            </w:r>
          </w:p>
          <w:p w14:paraId="3D0943BA">
            <w:pPr>
              <w:spacing w:line="276" w:lineRule="auto"/>
              <w:jc w:val="left"/>
              <w:rPr>
                <w:rFonts w:hint="eastAsia" w:ascii="宋体" w:hAnsi="宋体"/>
                <w:color w:val="000000"/>
                <w:kern w:val="0"/>
                <w:sz w:val="24"/>
              </w:rPr>
            </w:pPr>
            <w:r>
              <w:rPr>
                <w:rFonts w:hint="eastAsia" w:ascii="宋体" w:hAnsi="宋体"/>
                <w:color w:val="000000"/>
                <w:kern w:val="0"/>
                <w:sz w:val="24"/>
              </w:rPr>
              <w:t>（3）教育中的批判性思维</w:t>
            </w:r>
          </w:p>
        </w:tc>
        <w:tc>
          <w:tcPr>
            <w:tcW w:w="1132" w:type="dxa"/>
            <w:gridSpan w:val="2"/>
            <w:vAlign w:val="center"/>
          </w:tcPr>
          <w:p w14:paraId="27780E50">
            <w:pPr>
              <w:spacing w:line="276" w:lineRule="auto"/>
              <w:jc w:val="center"/>
              <w:rPr>
                <w:rFonts w:hint="eastAsia" w:ascii="宋体" w:hAnsi="宋体"/>
                <w:color w:val="000000"/>
                <w:kern w:val="0"/>
                <w:sz w:val="24"/>
              </w:rPr>
            </w:pPr>
            <w:r>
              <w:rPr>
                <w:rFonts w:hint="eastAsia" w:ascii="宋体" w:hAnsi="宋体"/>
                <w:color w:val="000000"/>
                <w:kern w:val="0"/>
                <w:sz w:val="24"/>
              </w:rPr>
              <w:t>课程目标1、3、4</w:t>
            </w:r>
          </w:p>
        </w:tc>
        <w:tc>
          <w:tcPr>
            <w:tcW w:w="3050" w:type="dxa"/>
            <w:vAlign w:val="center"/>
          </w:tcPr>
          <w:p w14:paraId="43C9E170">
            <w:pPr>
              <w:spacing w:line="276" w:lineRule="auto"/>
              <w:jc w:val="left"/>
              <w:rPr>
                <w:rFonts w:hint="eastAsia" w:ascii="宋体" w:hAnsi="宋体"/>
                <w:color w:val="000000"/>
                <w:kern w:val="0"/>
                <w:sz w:val="24"/>
              </w:rPr>
            </w:pPr>
            <w:r>
              <w:rPr>
                <w:rFonts w:hint="eastAsia" w:ascii="宋体" w:hAnsi="宋体"/>
                <w:color w:val="000000"/>
                <w:kern w:val="0"/>
                <w:sz w:val="24"/>
              </w:rPr>
              <w:t>（1）了解和评析中国传统和西方认识论，深入理解马克思主义认识论；</w:t>
            </w:r>
          </w:p>
          <w:p w14:paraId="32DA5F61">
            <w:pPr>
              <w:spacing w:line="276" w:lineRule="auto"/>
              <w:jc w:val="left"/>
              <w:rPr>
                <w:rFonts w:hint="eastAsia" w:ascii="宋体" w:hAnsi="宋体"/>
                <w:color w:val="000000"/>
                <w:kern w:val="0"/>
                <w:sz w:val="24"/>
              </w:rPr>
            </w:pPr>
            <w:r>
              <w:rPr>
                <w:rFonts w:hint="eastAsia" w:ascii="宋体" w:hAnsi="宋体"/>
                <w:color w:val="000000"/>
                <w:kern w:val="0"/>
                <w:sz w:val="24"/>
              </w:rPr>
              <w:t>（2）了解知识的性质与学科性质，掌握知识类型与课程建构的规律，理解课程建构和教育教学中的知识选择；</w:t>
            </w:r>
          </w:p>
          <w:p w14:paraId="7E89CFF8">
            <w:pPr>
              <w:spacing w:line="276" w:lineRule="auto"/>
              <w:jc w:val="left"/>
              <w:rPr>
                <w:rFonts w:hint="eastAsia" w:ascii="宋体" w:hAnsi="宋体"/>
                <w:color w:val="000000"/>
                <w:kern w:val="0"/>
                <w:sz w:val="24"/>
              </w:rPr>
            </w:pPr>
            <w:r>
              <w:rPr>
                <w:rFonts w:hint="eastAsia" w:ascii="宋体" w:hAnsi="宋体"/>
                <w:color w:val="000000"/>
                <w:kern w:val="0"/>
                <w:sz w:val="24"/>
              </w:rPr>
              <w:t>（3）理解批判性思维的概念及其与创造力培养的关系，把握批判性思维的教与学的原则要求；</w:t>
            </w:r>
          </w:p>
          <w:p w14:paraId="07FC6518">
            <w:pPr>
              <w:spacing w:line="276" w:lineRule="auto"/>
              <w:jc w:val="left"/>
              <w:rPr>
                <w:rFonts w:hint="eastAsia" w:ascii="宋体" w:hAnsi="宋体"/>
                <w:color w:val="000000"/>
                <w:kern w:val="0"/>
                <w:sz w:val="24"/>
              </w:rPr>
            </w:pPr>
            <w:r>
              <w:rPr>
                <w:rFonts w:hint="eastAsia" w:ascii="宋体" w:hAnsi="宋体"/>
                <w:color w:val="000000"/>
                <w:kern w:val="0"/>
                <w:sz w:val="24"/>
              </w:rPr>
              <w:t>（4）能够就当前我国课程与教学改革中的若干问题从认识论视角进行分析。</w:t>
            </w:r>
          </w:p>
        </w:tc>
        <w:tc>
          <w:tcPr>
            <w:tcW w:w="1701" w:type="dxa"/>
            <w:gridSpan w:val="2"/>
            <w:vAlign w:val="center"/>
          </w:tcPr>
          <w:p w14:paraId="78BEF0E7">
            <w:pPr>
              <w:spacing w:line="276" w:lineRule="auto"/>
              <w:jc w:val="left"/>
              <w:rPr>
                <w:rFonts w:hint="eastAsia" w:ascii="宋体" w:hAnsi="宋体"/>
                <w:color w:val="000000"/>
                <w:kern w:val="0"/>
                <w:sz w:val="24"/>
              </w:rPr>
            </w:pPr>
            <w:r>
              <w:rPr>
                <w:rFonts w:ascii="宋体" w:hAnsi="宋体"/>
                <w:color w:val="000000"/>
                <w:kern w:val="0"/>
                <w:sz w:val="24"/>
              </w:rPr>
              <w:t>1.</w:t>
            </w:r>
            <w:r>
              <w:rPr>
                <w:rFonts w:hint="eastAsia" w:ascii="宋体" w:hAnsi="宋体"/>
                <w:color w:val="000000"/>
                <w:kern w:val="0"/>
                <w:sz w:val="24"/>
              </w:rPr>
              <w:t>自主</w:t>
            </w:r>
            <w:r>
              <w:rPr>
                <w:rFonts w:ascii="宋体" w:hAnsi="宋体"/>
                <w:color w:val="000000"/>
                <w:kern w:val="0"/>
                <w:sz w:val="24"/>
              </w:rPr>
              <w:t>学习</w:t>
            </w:r>
          </w:p>
          <w:p w14:paraId="502CCE0B">
            <w:pPr>
              <w:spacing w:line="276" w:lineRule="auto"/>
              <w:jc w:val="left"/>
              <w:rPr>
                <w:rFonts w:hint="eastAsia" w:ascii="宋体" w:hAnsi="宋体"/>
                <w:color w:val="000000"/>
                <w:kern w:val="0"/>
                <w:sz w:val="24"/>
              </w:rPr>
            </w:pPr>
            <w:r>
              <w:rPr>
                <w:rFonts w:ascii="宋体" w:hAnsi="宋体"/>
                <w:color w:val="000000"/>
                <w:kern w:val="0"/>
                <w:sz w:val="24"/>
              </w:rPr>
              <w:t>2.多媒体教学</w:t>
            </w:r>
          </w:p>
          <w:p w14:paraId="61E96D36">
            <w:pPr>
              <w:spacing w:line="276" w:lineRule="auto"/>
              <w:jc w:val="left"/>
              <w:rPr>
                <w:rFonts w:hint="eastAsia" w:ascii="宋体" w:hAnsi="宋体"/>
                <w:color w:val="000000"/>
                <w:kern w:val="0"/>
                <w:sz w:val="24"/>
              </w:rPr>
            </w:pPr>
            <w:r>
              <w:rPr>
                <w:rFonts w:ascii="宋体" w:hAnsi="宋体"/>
                <w:color w:val="000000"/>
                <w:kern w:val="0"/>
                <w:sz w:val="24"/>
              </w:rPr>
              <w:t>3.课堂讨论</w:t>
            </w:r>
          </w:p>
        </w:tc>
        <w:tc>
          <w:tcPr>
            <w:tcW w:w="514" w:type="dxa"/>
            <w:gridSpan w:val="2"/>
            <w:vAlign w:val="center"/>
          </w:tcPr>
          <w:p w14:paraId="530F9C10">
            <w:pPr>
              <w:spacing w:line="276" w:lineRule="auto"/>
              <w:jc w:val="center"/>
              <w:rPr>
                <w:rFonts w:hint="eastAsia" w:ascii="宋体" w:hAnsi="宋体"/>
                <w:color w:val="000000"/>
                <w:kern w:val="0"/>
                <w:sz w:val="24"/>
              </w:rPr>
            </w:pPr>
            <w:r>
              <w:rPr>
                <w:rFonts w:hint="eastAsia" w:ascii="宋体" w:hAnsi="宋体"/>
                <w:color w:val="000000"/>
                <w:kern w:val="0"/>
                <w:sz w:val="24"/>
              </w:rPr>
              <w:t>3</w:t>
            </w:r>
          </w:p>
        </w:tc>
      </w:tr>
      <w:tr w14:paraId="477F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572ED80B">
            <w:pPr>
              <w:spacing w:line="276" w:lineRule="auto"/>
              <w:jc w:val="center"/>
              <w:rPr>
                <w:rFonts w:hint="eastAsia" w:ascii="宋体" w:hAnsi="宋体"/>
                <w:color w:val="000000"/>
                <w:kern w:val="0"/>
                <w:sz w:val="24"/>
              </w:rPr>
            </w:pPr>
          </w:p>
        </w:tc>
        <w:tc>
          <w:tcPr>
            <w:tcW w:w="8095" w:type="dxa"/>
            <w:gridSpan w:val="9"/>
            <w:vAlign w:val="center"/>
          </w:tcPr>
          <w:p w14:paraId="3B22F789">
            <w:pPr>
              <w:spacing w:line="276" w:lineRule="auto"/>
              <w:jc w:val="left"/>
              <w:rPr>
                <w:rFonts w:hint="eastAsia" w:ascii="宋体" w:hAnsi="宋体"/>
                <w:color w:val="000000"/>
                <w:kern w:val="0"/>
                <w:sz w:val="24"/>
              </w:rPr>
            </w:pPr>
            <w:r>
              <w:rPr>
                <w:rFonts w:hint="eastAsia" w:ascii="宋体" w:hAnsi="宋体"/>
                <w:b/>
                <w:color w:val="000000"/>
                <w:kern w:val="0"/>
                <w:sz w:val="24"/>
              </w:rPr>
              <w:t>课程思政目标：</w:t>
            </w:r>
            <w:r>
              <w:rPr>
                <w:rFonts w:hint="eastAsia" w:ascii="宋体" w:hAnsi="宋体"/>
                <w:color w:val="000000"/>
                <w:kern w:val="0"/>
                <w:sz w:val="24"/>
              </w:rPr>
              <w:t>使师范生从唯物主义出发，辩证地、历史地按照事物本身去认识事物，并进行主动的、持续的和审慎的思考，养成批判性思维。同时，使学生在理解知识真正内涵的基础上进一步把握知识的承载者所具有的国家性质和民族意义，增强学生掌握知识服务人类、服务国家、服务社会的伦理自觉性。</w:t>
            </w:r>
          </w:p>
        </w:tc>
      </w:tr>
      <w:tr w14:paraId="2F9D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2D27A55">
            <w:pPr>
              <w:spacing w:line="276" w:lineRule="auto"/>
              <w:jc w:val="center"/>
              <w:rPr>
                <w:rFonts w:hint="eastAsia" w:ascii="宋体" w:hAnsi="宋体"/>
                <w:color w:val="000000"/>
                <w:kern w:val="0"/>
                <w:sz w:val="24"/>
              </w:rPr>
            </w:pPr>
            <w:r>
              <w:rPr>
                <w:rFonts w:hint="eastAsia" w:ascii="宋体" w:hAnsi="宋体"/>
                <w:color w:val="000000"/>
                <w:kern w:val="0"/>
                <w:sz w:val="24"/>
              </w:rPr>
              <w:t>6.</w:t>
            </w:r>
            <w:r>
              <w:rPr>
                <w:rFonts w:hint="eastAsia"/>
                <w:kern w:val="0"/>
                <w:sz w:val="24"/>
              </w:rPr>
              <w:t xml:space="preserve"> </w:t>
            </w:r>
            <w:r>
              <w:rPr>
                <w:rFonts w:hint="eastAsia" w:ascii="宋体" w:hAnsi="宋体"/>
                <w:color w:val="000000"/>
                <w:kern w:val="0"/>
                <w:sz w:val="24"/>
              </w:rPr>
              <w:t>价值论与教育</w:t>
            </w:r>
          </w:p>
        </w:tc>
        <w:tc>
          <w:tcPr>
            <w:tcW w:w="1698" w:type="dxa"/>
            <w:gridSpan w:val="2"/>
            <w:vAlign w:val="center"/>
          </w:tcPr>
          <w:p w14:paraId="0FAC01F9">
            <w:pPr>
              <w:spacing w:line="276" w:lineRule="auto"/>
              <w:jc w:val="left"/>
              <w:rPr>
                <w:rFonts w:hint="eastAsia" w:ascii="宋体" w:hAnsi="宋体"/>
                <w:color w:val="000000"/>
                <w:kern w:val="0"/>
                <w:sz w:val="24"/>
              </w:rPr>
            </w:pPr>
            <w:r>
              <w:rPr>
                <w:rFonts w:hint="eastAsia" w:ascii="宋体" w:hAnsi="宋体"/>
                <w:color w:val="000000"/>
                <w:kern w:val="0"/>
                <w:sz w:val="24"/>
              </w:rPr>
              <w:t>（1）价值论概述</w:t>
            </w:r>
          </w:p>
          <w:p w14:paraId="54D460EF">
            <w:pPr>
              <w:spacing w:line="276" w:lineRule="auto"/>
              <w:jc w:val="left"/>
              <w:rPr>
                <w:rFonts w:hint="eastAsia" w:ascii="宋体" w:hAnsi="宋体"/>
                <w:color w:val="000000"/>
                <w:kern w:val="0"/>
                <w:sz w:val="24"/>
              </w:rPr>
            </w:pPr>
            <w:r>
              <w:rPr>
                <w:rFonts w:hint="eastAsia" w:ascii="宋体" w:hAnsi="宋体"/>
                <w:color w:val="000000"/>
                <w:kern w:val="0"/>
                <w:sz w:val="24"/>
              </w:rPr>
              <w:t>（2）教育价值</w:t>
            </w:r>
          </w:p>
          <w:p w14:paraId="7297827E">
            <w:pPr>
              <w:spacing w:line="276" w:lineRule="auto"/>
              <w:jc w:val="left"/>
              <w:rPr>
                <w:rFonts w:hint="eastAsia" w:ascii="宋体" w:hAnsi="宋体"/>
                <w:color w:val="000000"/>
                <w:kern w:val="0"/>
                <w:sz w:val="24"/>
              </w:rPr>
            </w:pPr>
            <w:r>
              <w:rPr>
                <w:rFonts w:hint="eastAsia" w:ascii="宋体" w:hAnsi="宋体"/>
                <w:color w:val="000000"/>
                <w:kern w:val="0"/>
                <w:sz w:val="24"/>
              </w:rPr>
              <w:t>（3）价值教育的理论与实践</w:t>
            </w:r>
          </w:p>
        </w:tc>
        <w:tc>
          <w:tcPr>
            <w:tcW w:w="1132" w:type="dxa"/>
            <w:gridSpan w:val="2"/>
            <w:vAlign w:val="center"/>
          </w:tcPr>
          <w:p w14:paraId="39761B87">
            <w:pPr>
              <w:spacing w:line="276" w:lineRule="auto"/>
              <w:jc w:val="center"/>
              <w:rPr>
                <w:rFonts w:hint="eastAsia" w:ascii="宋体" w:hAnsi="宋体"/>
                <w:color w:val="000000"/>
                <w:kern w:val="0"/>
                <w:sz w:val="24"/>
              </w:rPr>
            </w:pPr>
            <w:r>
              <w:rPr>
                <w:rFonts w:hint="eastAsia" w:ascii="宋体" w:hAnsi="宋体"/>
                <w:color w:val="000000"/>
                <w:kern w:val="0"/>
                <w:sz w:val="24"/>
              </w:rPr>
              <w:t>课程目标1、2、3</w:t>
            </w:r>
          </w:p>
        </w:tc>
        <w:tc>
          <w:tcPr>
            <w:tcW w:w="3050" w:type="dxa"/>
            <w:vAlign w:val="center"/>
          </w:tcPr>
          <w:p w14:paraId="030AD859">
            <w:pPr>
              <w:spacing w:line="276" w:lineRule="auto"/>
              <w:jc w:val="left"/>
              <w:rPr>
                <w:rFonts w:hint="eastAsia" w:ascii="宋体" w:hAnsi="宋体"/>
                <w:color w:val="000000"/>
                <w:kern w:val="0"/>
                <w:sz w:val="24"/>
              </w:rPr>
            </w:pPr>
            <w:r>
              <w:rPr>
                <w:rFonts w:hint="eastAsia" w:ascii="宋体" w:hAnsi="宋体"/>
                <w:color w:val="000000"/>
                <w:kern w:val="0"/>
                <w:sz w:val="24"/>
              </w:rPr>
              <w:t>（1）了解价值和价值论的基本概念；</w:t>
            </w:r>
          </w:p>
          <w:p w14:paraId="521A7AB0">
            <w:pPr>
              <w:spacing w:line="276" w:lineRule="auto"/>
              <w:jc w:val="left"/>
              <w:rPr>
                <w:rFonts w:hint="eastAsia" w:ascii="宋体" w:hAnsi="宋体"/>
                <w:color w:val="000000"/>
                <w:kern w:val="0"/>
                <w:sz w:val="24"/>
              </w:rPr>
            </w:pPr>
            <w:r>
              <w:rPr>
                <w:rFonts w:hint="eastAsia" w:ascii="宋体" w:hAnsi="宋体"/>
                <w:color w:val="000000"/>
                <w:kern w:val="0"/>
                <w:sz w:val="24"/>
              </w:rPr>
              <w:t>（2）理解中国传统价值论、西方主要的价值思潮，重点学习和掌握马克思主义价值思想；</w:t>
            </w:r>
          </w:p>
          <w:p w14:paraId="5CE1A028">
            <w:pPr>
              <w:spacing w:line="276" w:lineRule="auto"/>
              <w:jc w:val="left"/>
              <w:rPr>
                <w:rFonts w:hint="eastAsia" w:ascii="宋体" w:hAnsi="宋体"/>
                <w:color w:val="000000"/>
                <w:kern w:val="0"/>
                <w:sz w:val="24"/>
              </w:rPr>
            </w:pPr>
            <w:r>
              <w:rPr>
                <w:rFonts w:hint="eastAsia" w:ascii="宋体" w:hAnsi="宋体"/>
                <w:color w:val="000000"/>
                <w:kern w:val="0"/>
                <w:sz w:val="24"/>
              </w:rPr>
              <w:t>（3）理解教育价值的概念、类型和秩序，能够结合实际理解教育价值冲突的本质是教育价值排序的不同，把握当代中国教育改革的基本价值取向；</w:t>
            </w:r>
          </w:p>
          <w:p w14:paraId="56CA16CA">
            <w:pPr>
              <w:spacing w:line="276" w:lineRule="auto"/>
              <w:jc w:val="left"/>
              <w:rPr>
                <w:rFonts w:hint="eastAsia" w:ascii="宋体" w:hAnsi="宋体"/>
                <w:color w:val="000000"/>
                <w:kern w:val="0"/>
                <w:sz w:val="24"/>
              </w:rPr>
            </w:pPr>
            <w:r>
              <w:rPr>
                <w:rFonts w:hint="eastAsia" w:ascii="宋体" w:hAnsi="宋体"/>
                <w:color w:val="000000"/>
                <w:kern w:val="0"/>
                <w:sz w:val="24"/>
              </w:rPr>
              <w:t>（4）理解价值教育的概念及在人的全面自由发展中的作用，批判性地看待20世纪英美主要的价值教育思想，重点掌握新时代我国社会主义核心价值观教育的主要内容和途径。</w:t>
            </w:r>
          </w:p>
        </w:tc>
        <w:tc>
          <w:tcPr>
            <w:tcW w:w="1701" w:type="dxa"/>
            <w:gridSpan w:val="2"/>
            <w:vAlign w:val="center"/>
          </w:tcPr>
          <w:p w14:paraId="21D931AE">
            <w:pPr>
              <w:spacing w:line="276" w:lineRule="auto"/>
              <w:jc w:val="left"/>
              <w:rPr>
                <w:rFonts w:hint="eastAsia" w:ascii="宋体" w:hAnsi="宋体"/>
                <w:color w:val="000000"/>
                <w:kern w:val="0"/>
                <w:sz w:val="24"/>
              </w:rPr>
            </w:pPr>
            <w:r>
              <w:rPr>
                <w:rFonts w:ascii="宋体" w:hAnsi="宋体"/>
                <w:color w:val="000000"/>
                <w:kern w:val="0"/>
                <w:sz w:val="24"/>
              </w:rPr>
              <w:t>1.</w:t>
            </w:r>
            <w:r>
              <w:rPr>
                <w:rFonts w:hint="eastAsia" w:ascii="宋体" w:hAnsi="宋体"/>
                <w:color w:val="000000"/>
                <w:kern w:val="0"/>
                <w:sz w:val="24"/>
              </w:rPr>
              <w:t>自主</w:t>
            </w:r>
            <w:r>
              <w:rPr>
                <w:rFonts w:ascii="宋体" w:hAnsi="宋体"/>
                <w:color w:val="000000"/>
                <w:kern w:val="0"/>
                <w:sz w:val="24"/>
              </w:rPr>
              <w:t>学习</w:t>
            </w:r>
          </w:p>
          <w:p w14:paraId="2453A213">
            <w:pPr>
              <w:spacing w:line="276" w:lineRule="auto"/>
              <w:jc w:val="left"/>
              <w:rPr>
                <w:rFonts w:hint="eastAsia" w:ascii="宋体" w:hAnsi="宋体"/>
                <w:color w:val="000000"/>
                <w:kern w:val="0"/>
                <w:sz w:val="24"/>
              </w:rPr>
            </w:pPr>
            <w:r>
              <w:rPr>
                <w:rFonts w:ascii="宋体" w:hAnsi="宋体"/>
                <w:color w:val="000000"/>
                <w:kern w:val="0"/>
                <w:sz w:val="24"/>
              </w:rPr>
              <w:t>2.多媒体教学</w:t>
            </w:r>
          </w:p>
          <w:p w14:paraId="377D7FC8">
            <w:pPr>
              <w:spacing w:line="276" w:lineRule="auto"/>
              <w:jc w:val="left"/>
              <w:rPr>
                <w:rFonts w:hint="eastAsia" w:ascii="宋体" w:hAnsi="宋体"/>
                <w:color w:val="000000"/>
                <w:kern w:val="0"/>
                <w:sz w:val="24"/>
              </w:rPr>
            </w:pPr>
            <w:r>
              <w:rPr>
                <w:rFonts w:ascii="宋体" w:hAnsi="宋体"/>
                <w:color w:val="000000"/>
                <w:kern w:val="0"/>
                <w:sz w:val="24"/>
              </w:rPr>
              <w:t>3.课堂讨论</w:t>
            </w:r>
          </w:p>
          <w:p w14:paraId="649BDD11">
            <w:pPr>
              <w:spacing w:line="276" w:lineRule="auto"/>
              <w:jc w:val="left"/>
              <w:rPr>
                <w:rFonts w:hint="eastAsia" w:ascii="宋体" w:hAnsi="宋体"/>
                <w:color w:val="000000"/>
                <w:kern w:val="0"/>
                <w:sz w:val="24"/>
              </w:rPr>
            </w:pPr>
          </w:p>
        </w:tc>
        <w:tc>
          <w:tcPr>
            <w:tcW w:w="514" w:type="dxa"/>
            <w:gridSpan w:val="2"/>
            <w:vAlign w:val="center"/>
          </w:tcPr>
          <w:p w14:paraId="4A7CC4F8">
            <w:pPr>
              <w:spacing w:line="276" w:lineRule="auto"/>
              <w:jc w:val="center"/>
              <w:rPr>
                <w:rFonts w:hint="eastAsia" w:ascii="宋体" w:hAnsi="宋体"/>
                <w:color w:val="000000"/>
                <w:kern w:val="0"/>
                <w:sz w:val="24"/>
              </w:rPr>
            </w:pPr>
            <w:r>
              <w:rPr>
                <w:rFonts w:hint="eastAsia" w:ascii="宋体" w:hAnsi="宋体"/>
                <w:color w:val="000000"/>
                <w:kern w:val="0"/>
                <w:sz w:val="24"/>
              </w:rPr>
              <w:t>3</w:t>
            </w:r>
          </w:p>
        </w:tc>
      </w:tr>
      <w:tr w14:paraId="7320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3D831CFB">
            <w:pPr>
              <w:spacing w:line="276" w:lineRule="auto"/>
              <w:jc w:val="center"/>
              <w:rPr>
                <w:rFonts w:hint="eastAsia" w:ascii="宋体" w:hAnsi="宋体"/>
                <w:color w:val="000000"/>
                <w:kern w:val="0"/>
                <w:sz w:val="24"/>
              </w:rPr>
            </w:pPr>
          </w:p>
        </w:tc>
        <w:tc>
          <w:tcPr>
            <w:tcW w:w="8095" w:type="dxa"/>
            <w:gridSpan w:val="9"/>
            <w:vAlign w:val="center"/>
          </w:tcPr>
          <w:p w14:paraId="69FB9216">
            <w:pPr>
              <w:spacing w:line="276" w:lineRule="auto"/>
              <w:jc w:val="left"/>
              <w:rPr>
                <w:rFonts w:hint="eastAsia" w:ascii="宋体" w:hAnsi="宋体"/>
                <w:color w:val="000000"/>
                <w:kern w:val="0"/>
                <w:sz w:val="24"/>
              </w:rPr>
            </w:pPr>
            <w:r>
              <w:rPr>
                <w:rFonts w:hint="eastAsia" w:ascii="宋体" w:hAnsi="宋体"/>
                <w:b/>
                <w:color w:val="000000"/>
                <w:kern w:val="0"/>
                <w:sz w:val="24"/>
              </w:rPr>
              <w:t>课程思政目标：</w:t>
            </w:r>
            <w:r>
              <w:rPr>
                <w:rFonts w:hint="eastAsia" w:ascii="宋体" w:hAnsi="宋体"/>
                <w:color w:val="000000"/>
                <w:kern w:val="0"/>
                <w:sz w:val="24"/>
              </w:rPr>
              <w:t>通过把握当代中国教育改革的基本价值取向，使师范生在未来的教育教学实践中推进价值教育实践，更好地完成立德树人根本任务。同时加强对师范生的核心主义价值观教育，为其扣好第一粒扣子。</w:t>
            </w:r>
          </w:p>
        </w:tc>
      </w:tr>
      <w:tr w14:paraId="2255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39137F4C">
            <w:pPr>
              <w:spacing w:line="276" w:lineRule="auto"/>
              <w:jc w:val="center"/>
              <w:rPr>
                <w:rFonts w:hint="eastAsia" w:ascii="宋体" w:hAnsi="宋体"/>
                <w:kern w:val="0"/>
                <w:sz w:val="24"/>
              </w:rPr>
            </w:pPr>
            <w:r>
              <w:rPr>
                <w:rFonts w:hint="eastAsia" w:ascii="宋体" w:hAnsi="宋体"/>
                <w:kern w:val="0"/>
                <w:sz w:val="24"/>
              </w:rPr>
              <w:t>7.</w:t>
            </w:r>
            <w:r>
              <w:rPr>
                <w:rFonts w:hint="eastAsia"/>
                <w:kern w:val="0"/>
                <w:sz w:val="24"/>
              </w:rPr>
              <w:t xml:space="preserve"> </w:t>
            </w:r>
            <w:r>
              <w:rPr>
                <w:rFonts w:hint="eastAsia" w:ascii="宋体" w:hAnsi="宋体"/>
                <w:kern w:val="0"/>
                <w:sz w:val="24"/>
              </w:rPr>
              <w:t>伦理学与教育</w:t>
            </w:r>
          </w:p>
        </w:tc>
        <w:tc>
          <w:tcPr>
            <w:tcW w:w="1698" w:type="dxa"/>
            <w:gridSpan w:val="2"/>
            <w:vAlign w:val="center"/>
          </w:tcPr>
          <w:p w14:paraId="3C074CF8">
            <w:pPr>
              <w:spacing w:line="276" w:lineRule="auto"/>
              <w:jc w:val="left"/>
              <w:rPr>
                <w:rFonts w:hint="eastAsia" w:ascii="宋体" w:hAnsi="宋体"/>
                <w:kern w:val="0"/>
                <w:sz w:val="24"/>
              </w:rPr>
            </w:pPr>
            <w:r>
              <w:rPr>
                <w:rFonts w:hint="eastAsia" w:ascii="宋体" w:hAnsi="宋体"/>
                <w:kern w:val="0"/>
                <w:sz w:val="24"/>
              </w:rPr>
              <w:t>（1）伦理学概述</w:t>
            </w:r>
          </w:p>
          <w:p w14:paraId="7F208F12">
            <w:pPr>
              <w:spacing w:line="276" w:lineRule="auto"/>
              <w:jc w:val="left"/>
              <w:rPr>
                <w:rFonts w:hint="eastAsia" w:ascii="宋体" w:hAnsi="宋体"/>
                <w:kern w:val="0"/>
                <w:sz w:val="24"/>
              </w:rPr>
            </w:pPr>
            <w:r>
              <w:rPr>
                <w:rFonts w:hint="eastAsia" w:ascii="宋体" w:hAnsi="宋体"/>
                <w:kern w:val="0"/>
                <w:sz w:val="24"/>
              </w:rPr>
              <w:t>（2）道德教育的伦理学基础</w:t>
            </w:r>
          </w:p>
          <w:p w14:paraId="1F1DA299">
            <w:pPr>
              <w:spacing w:line="276" w:lineRule="auto"/>
              <w:jc w:val="left"/>
              <w:rPr>
                <w:rFonts w:hint="eastAsia" w:ascii="宋体" w:hAnsi="宋体"/>
                <w:kern w:val="0"/>
                <w:sz w:val="24"/>
              </w:rPr>
            </w:pPr>
            <w:r>
              <w:rPr>
                <w:rFonts w:hint="eastAsia" w:ascii="宋体" w:hAnsi="宋体"/>
                <w:kern w:val="0"/>
                <w:sz w:val="24"/>
              </w:rPr>
              <w:t>（3）教育活动中的伦理问题</w:t>
            </w:r>
          </w:p>
        </w:tc>
        <w:tc>
          <w:tcPr>
            <w:tcW w:w="1132" w:type="dxa"/>
            <w:gridSpan w:val="2"/>
            <w:vAlign w:val="center"/>
          </w:tcPr>
          <w:p w14:paraId="4EF38134">
            <w:pPr>
              <w:spacing w:line="276" w:lineRule="auto"/>
              <w:jc w:val="center"/>
              <w:rPr>
                <w:rFonts w:hint="eastAsia" w:ascii="宋体" w:hAnsi="宋体"/>
                <w:color w:val="000000"/>
                <w:kern w:val="0"/>
                <w:sz w:val="24"/>
              </w:rPr>
            </w:pPr>
            <w:r>
              <w:rPr>
                <w:rFonts w:hint="eastAsia" w:ascii="宋体" w:hAnsi="宋体"/>
                <w:color w:val="000000"/>
                <w:kern w:val="0"/>
                <w:sz w:val="24"/>
              </w:rPr>
              <w:t>课程目标1、2、3</w:t>
            </w:r>
          </w:p>
        </w:tc>
        <w:tc>
          <w:tcPr>
            <w:tcW w:w="3050" w:type="dxa"/>
            <w:vAlign w:val="center"/>
          </w:tcPr>
          <w:p w14:paraId="6EB07584">
            <w:pPr>
              <w:spacing w:line="276" w:lineRule="auto"/>
              <w:jc w:val="left"/>
              <w:rPr>
                <w:rFonts w:hint="eastAsia" w:ascii="宋体" w:hAnsi="宋体"/>
                <w:color w:val="000000"/>
                <w:kern w:val="0"/>
                <w:sz w:val="24"/>
              </w:rPr>
            </w:pPr>
            <w:r>
              <w:rPr>
                <w:rFonts w:hint="eastAsia" w:ascii="宋体" w:hAnsi="宋体"/>
                <w:color w:val="000000"/>
                <w:kern w:val="0"/>
                <w:sz w:val="24"/>
              </w:rPr>
              <w:t>（1）了解中国传统的伦理学、西方伦理学的主要流派，重点学习和掌握马克思主义伦理学；</w:t>
            </w:r>
          </w:p>
          <w:p w14:paraId="029929B1">
            <w:pPr>
              <w:spacing w:line="276" w:lineRule="auto"/>
              <w:jc w:val="left"/>
              <w:rPr>
                <w:rFonts w:hint="eastAsia" w:ascii="宋体" w:hAnsi="宋体"/>
                <w:color w:val="000000"/>
                <w:kern w:val="0"/>
                <w:sz w:val="24"/>
              </w:rPr>
            </w:pPr>
            <w:r>
              <w:rPr>
                <w:rFonts w:hint="eastAsia" w:ascii="宋体" w:hAnsi="宋体"/>
                <w:color w:val="000000"/>
                <w:kern w:val="0"/>
                <w:sz w:val="24"/>
              </w:rPr>
              <w:t>（2）理解道德教育的伦理学基础，包括德性伦理学、功利主义伦理学、义务论伦理学、元伦理学；</w:t>
            </w:r>
          </w:p>
          <w:p w14:paraId="48E10B98">
            <w:pPr>
              <w:spacing w:line="276" w:lineRule="auto"/>
              <w:jc w:val="left"/>
              <w:rPr>
                <w:rFonts w:hint="eastAsia" w:ascii="宋体" w:hAnsi="宋体"/>
                <w:color w:val="000000"/>
                <w:kern w:val="0"/>
                <w:sz w:val="24"/>
              </w:rPr>
            </w:pPr>
            <w:r>
              <w:rPr>
                <w:rFonts w:hint="eastAsia" w:ascii="宋体" w:hAnsi="宋体"/>
                <w:color w:val="000000"/>
                <w:kern w:val="0"/>
                <w:sz w:val="24"/>
              </w:rPr>
              <w:t>（3）能够结合实际分析教育活动中的伦理问题。</w:t>
            </w:r>
          </w:p>
        </w:tc>
        <w:tc>
          <w:tcPr>
            <w:tcW w:w="1701" w:type="dxa"/>
            <w:gridSpan w:val="2"/>
            <w:vAlign w:val="center"/>
          </w:tcPr>
          <w:p w14:paraId="7C86AB12">
            <w:pPr>
              <w:spacing w:line="276" w:lineRule="auto"/>
              <w:jc w:val="left"/>
              <w:rPr>
                <w:rFonts w:hint="eastAsia" w:ascii="宋体" w:hAnsi="宋体"/>
                <w:color w:val="000000"/>
                <w:kern w:val="0"/>
                <w:sz w:val="24"/>
              </w:rPr>
            </w:pPr>
            <w:r>
              <w:rPr>
                <w:rFonts w:ascii="宋体" w:hAnsi="宋体"/>
                <w:color w:val="000000"/>
                <w:kern w:val="0"/>
                <w:sz w:val="24"/>
              </w:rPr>
              <w:t>1.</w:t>
            </w:r>
            <w:r>
              <w:rPr>
                <w:rFonts w:hint="eastAsia" w:ascii="宋体" w:hAnsi="宋体"/>
                <w:color w:val="000000"/>
                <w:kern w:val="0"/>
                <w:sz w:val="24"/>
              </w:rPr>
              <w:t>自主</w:t>
            </w:r>
            <w:r>
              <w:rPr>
                <w:rFonts w:ascii="宋体" w:hAnsi="宋体"/>
                <w:color w:val="000000"/>
                <w:kern w:val="0"/>
                <w:sz w:val="24"/>
              </w:rPr>
              <w:t>学习</w:t>
            </w:r>
          </w:p>
          <w:p w14:paraId="555DD51D">
            <w:pPr>
              <w:spacing w:line="276" w:lineRule="auto"/>
              <w:jc w:val="left"/>
              <w:rPr>
                <w:rFonts w:hint="eastAsia" w:ascii="宋体" w:hAnsi="宋体"/>
                <w:color w:val="000000"/>
                <w:kern w:val="0"/>
                <w:sz w:val="24"/>
              </w:rPr>
            </w:pPr>
            <w:r>
              <w:rPr>
                <w:rFonts w:ascii="宋体" w:hAnsi="宋体"/>
                <w:color w:val="000000"/>
                <w:kern w:val="0"/>
                <w:sz w:val="24"/>
              </w:rPr>
              <w:t>2.多媒体教学</w:t>
            </w:r>
          </w:p>
          <w:p w14:paraId="0BC591E1">
            <w:pPr>
              <w:spacing w:line="276" w:lineRule="auto"/>
              <w:jc w:val="left"/>
              <w:rPr>
                <w:rFonts w:hint="eastAsia" w:ascii="宋体" w:hAnsi="宋体"/>
                <w:color w:val="000000"/>
                <w:kern w:val="0"/>
                <w:sz w:val="24"/>
              </w:rPr>
            </w:pPr>
            <w:r>
              <w:rPr>
                <w:rFonts w:ascii="宋体" w:hAnsi="宋体"/>
                <w:color w:val="000000"/>
                <w:kern w:val="0"/>
                <w:sz w:val="24"/>
              </w:rPr>
              <w:t>3.课堂讨论</w:t>
            </w:r>
          </w:p>
          <w:p w14:paraId="357A1E22">
            <w:pPr>
              <w:spacing w:line="276" w:lineRule="auto"/>
              <w:jc w:val="left"/>
              <w:rPr>
                <w:rFonts w:hint="eastAsia" w:ascii="宋体" w:hAnsi="宋体"/>
                <w:color w:val="000000"/>
                <w:kern w:val="0"/>
                <w:sz w:val="24"/>
              </w:rPr>
            </w:pPr>
            <w:r>
              <w:rPr>
                <w:rFonts w:ascii="宋体" w:hAnsi="宋体"/>
                <w:color w:val="000000"/>
                <w:kern w:val="0"/>
                <w:sz w:val="24"/>
              </w:rPr>
              <w:t>4.</w:t>
            </w:r>
            <w:r>
              <w:rPr>
                <w:rFonts w:hint="eastAsia" w:ascii="宋体" w:hAnsi="宋体"/>
                <w:color w:val="000000"/>
                <w:kern w:val="0"/>
                <w:sz w:val="24"/>
              </w:rPr>
              <w:t>小组合作与汇报</w:t>
            </w:r>
          </w:p>
        </w:tc>
        <w:tc>
          <w:tcPr>
            <w:tcW w:w="514" w:type="dxa"/>
            <w:gridSpan w:val="2"/>
            <w:vAlign w:val="center"/>
          </w:tcPr>
          <w:p w14:paraId="28E2DD70">
            <w:pPr>
              <w:spacing w:line="276" w:lineRule="auto"/>
              <w:jc w:val="center"/>
              <w:rPr>
                <w:rFonts w:hint="eastAsia" w:ascii="宋体" w:hAnsi="宋体"/>
                <w:color w:val="000000"/>
                <w:kern w:val="0"/>
                <w:sz w:val="24"/>
              </w:rPr>
            </w:pPr>
            <w:r>
              <w:rPr>
                <w:rFonts w:hint="eastAsia" w:ascii="宋体" w:hAnsi="宋体"/>
                <w:color w:val="000000"/>
                <w:kern w:val="0"/>
                <w:sz w:val="24"/>
              </w:rPr>
              <w:t>3</w:t>
            </w:r>
          </w:p>
        </w:tc>
      </w:tr>
      <w:tr w14:paraId="4D1D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525C6CB1">
            <w:pPr>
              <w:spacing w:line="276" w:lineRule="auto"/>
              <w:jc w:val="center"/>
              <w:rPr>
                <w:rFonts w:hint="eastAsia" w:ascii="宋体" w:hAnsi="宋体"/>
                <w:color w:val="000000"/>
                <w:kern w:val="0"/>
                <w:sz w:val="24"/>
              </w:rPr>
            </w:pPr>
          </w:p>
        </w:tc>
        <w:tc>
          <w:tcPr>
            <w:tcW w:w="8095" w:type="dxa"/>
            <w:gridSpan w:val="9"/>
            <w:vAlign w:val="center"/>
          </w:tcPr>
          <w:p w14:paraId="3EC2AAC0">
            <w:pPr>
              <w:spacing w:line="276" w:lineRule="auto"/>
              <w:jc w:val="left"/>
              <w:rPr>
                <w:rFonts w:hint="eastAsia" w:ascii="宋体" w:hAnsi="宋体"/>
                <w:color w:val="000000"/>
                <w:kern w:val="0"/>
                <w:sz w:val="24"/>
              </w:rPr>
            </w:pPr>
            <w:r>
              <w:rPr>
                <w:rFonts w:hint="eastAsia" w:ascii="宋体" w:hAnsi="宋体"/>
                <w:b/>
                <w:color w:val="000000"/>
                <w:kern w:val="0"/>
                <w:sz w:val="24"/>
              </w:rPr>
              <w:t>课程思政目标：</w:t>
            </w:r>
            <w:r>
              <w:rPr>
                <w:rFonts w:hint="eastAsia" w:ascii="宋体" w:hAnsi="宋体"/>
                <w:color w:val="000000"/>
                <w:kern w:val="0"/>
                <w:sz w:val="24"/>
              </w:rPr>
              <w:t>引导师范生对教育活动进行全面的伦理审视，保障教师专业操守，提升教育专业自信。</w:t>
            </w:r>
          </w:p>
        </w:tc>
      </w:tr>
      <w:tr w14:paraId="04BF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C6661D1">
            <w:pPr>
              <w:spacing w:line="264" w:lineRule="auto"/>
              <w:jc w:val="center"/>
              <w:rPr>
                <w:rFonts w:hint="eastAsia" w:ascii="宋体" w:hAnsi="宋体"/>
                <w:color w:val="000000"/>
                <w:kern w:val="0"/>
                <w:sz w:val="24"/>
              </w:rPr>
            </w:pPr>
            <w:r>
              <w:rPr>
                <w:rFonts w:hint="eastAsia" w:ascii="宋体" w:hAnsi="宋体"/>
                <w:color w:val="000000"/>
                <w:kern w:val="0"/>
                <w:sz w:val="24"/>
              </w:rPr>
              <w:t>8.</w:t>
            </w:r>
            <w:r>
              <w:rPr>
                <w:rFonts w:hint="eastAsia"/>
                <w:kern w:val="0"/>
                <w:sz w:val="24"/>
              </w:rPr>
              <w:t xml:space="preserve"> </w:t>
            </w:r>
            <w:r>
              <w:rPr>
                <w:rFonts w:hint="eastAsia" w:ascii="宋体" w:hAnsi="宋体"/>
                <w:color w:val="000000"/>
                <w:kern w:val="0"/>
                <w:sz w:val="24"/>
              </w:rPr>
              <w:t>美学与教育</w:t>
            </w:r>
          </w:p>
        </w:tc>
        <w:tc>
          <w:tcPr>
            <w:tcW w:w="1698" w:type="dxa"/>
            <w:gridSpan w:val="2"/>
            <w:vAlign w:val="center"/>
          </w:tcPr>
          <w:p w14:paraId="7EC37FD7">
            <w:pPr>
              <w:spacing w:line="264" w:lineRule="auto"/>
              <w:jc w:val="left"/>
              <w:rPr>
                <w:rFonts w:hint="eastAsia" w:ascii="宋体" w:hAnsi="宋体"/>
                <w:color w:val="000000"/>
                <w:kern w:val="0"/>
                <w:sz w:val="24"/>
              </w:rPr>
            </w:pPr>
            <w:r>
              <w:rPr>
                <w:rFonts w:hint="eastAsia" w:ascii="宋体" w:hAnsi="宋体"/>
                <w:color w:val="000000"/>
                <w:kern w:val="0"/>
                <w:sz w:val="24"/>
              </w:rPr>
              <w:t>（1）美学概述</w:t>
            </w:r>
          </w:p>
          <w:p w14:paraId="2D0C511E">
            <w:pPr>
              <w:spacing w:line="264" w:lineRule="auto"/>
              <w:jc w:val="left"/>
              <w:rPr>
                <w:rFonts w:hint="eastAsia" w:ascii="宋体" w:hAnsi="宋体"/>
                <w:color w:val="000000"/>
                <w:kern w:val="0"/>
                <w:sz w:val="24"/>
              </w:rPr>
            </w:pPr>
            <w:r>
              <w:rPr>
                <w:rFonts w:hint="eastAsia" w:ascii="宋体" w:hAnsi="宋体"/>
                <w:color w:val="000000"/>
                <w:kern w:val="0"/>
                <w:sz w:val="24"/>
              </w:rPr>
              <w:t>（2）美育的美学基础</w:t>
            </w:r>
          </w:p>
          <w:p w14:paraId="4C90C909">
            <w:pPr>
              <w:spacing w:line="264" w:lineRule="auto"/>
              <w:jc w:val="left"/>
              <w:rPr>
                <w:rFonts w:hint="eastAsia" w:ascii="宋体" w:hAnsi="宋体"/>
                <w:color w:val="000000"/>
                <w:kern w:val="0"/>
                <w:sz w:val="24"/>
              </w:rPr>
            </w:pPr>
            <w:r>
              <w:rPr>
                <w:rFonts w:hint="eastAsia" w:ascii="宋体" w:hAnsi="宋体"/>
                <w:color w:val="000000"/>
                <w:kern w:val="0"/>
                <w:sz w:val="24"/>
              </w:rPr>
              <w:t>（3）美育与人的创造性培养</w:t>
            </w:r>
          </w:p>
        </w:tc>
        <w:tc>
          <w:tcPr>
            <w:tcW w:w="1132" w:type="dxa"/>
            <w:gridSpan w:val="2"/>
            <w:vAlign w:val="center"/>
          </w:tcPr>
          <w:p w14:paraId="697D2FA4">
            <w:pPr>
              <w:spacing w:line="264" w:lineRule="auto"/>
              <w:jc w:val="center"/>
              <w:rPr>
                <w:rFonts w:hint="eastAsia" w:ascii="宋体" w:hAnsi="宋体"/>
                <w:color w:val="000000"/>
                <w:kern w:val="0"/>
                <w:sz w:val="24"/>
              </w:rPr>
            </w:pPr>
            <w:r>
              <w:rPr>
                <w:rFonts w:hint="eastAsia" w:ascii="宋体" w:hAnsi="宋体"/>
                <w:color w:val="000000"/>
                <w:kern w:val="0"/>
                <w:sz w:val="24"/>
              </w:rPr>
              <w:t>课程目标1、3</w:t>
            </w:r>
          </w:p>
        </w:tc>
        <w:tc>
          <w:tcPr>
            <w:tcW w:w="3050" w:type="dxa"/>
            <w:vAlign w:val="center"/>
          </w:tcPr>
          <w:p w14:paraId="02998A76">
            <w:pPr>
              <w:spacing w:line="264" w:lineRule="auto"/>
              <w:jc w:val="left"/>
              <w:rPr>
                <w:rFonts w:hint="eastAsia" w:ascii="宋体" w:hAnsi="宋体"/>
                <w:color w:val="000000"/>
                <w:kern w:val="0"/>
                <w:sz w:val="24"/>
              </w:rPr>
            </w:pPr>
            <w:r>
              <w:rPr>
                <w:rFonts w:hint="eastAsia" w:ascii="宋体" w:hAnsi="宋体"/>
                <w:color w:val="000000"/>
                <w:kern w:val="0"/>
                <w:sz w:val="24"/>
              </w:rPr>
              <w:t>（1）了解中国传统的美学思想、西方主要的美学思想以及马克思主义的美学思想，理解美的多样性以及美学理论的丰富性；</w:t>
            </w:r>
          </w:p>
          <w:p w14:paraId="57618936">
            <w:pPr>
              <w:spacing w:line="264" w:lineRule="auto"/>
              <w:jc w:val="left"/>
              <w:rPr>
                <w:rFonts w:hint="eastAsia" w:ascii="宋体" w:hAnsi="宋体"/>
                <w:color w:val="000000"/>
                <w:kern w:val="0"/>
                <w:sz w:val="24"/>
              </w:rPr>
            </w:pPr>
            <w:r>
              <w:rPr>
                <w:rFonts w:hint="eastAsia" w:ascii="宋体" w:hAnsi="宋体"/>
                <w:color w:val="000000"/>
                <w:kern w:val="0"/>
                <w:sz w:val="24"/>
              </w:rPr>
              <w:t>（2）理解美育的美学基础，包括美的需要与美育的必要性、美的特性与美育的特性以及美与美育的多样性等；</w:t>
            </w:r>
          </w:p>
          <w:p w14:paraId="53D9CD3C">
            <w:pPr>
              <w:spacing w:line="264" w:lineRule="auto"/>
              <w:jc w:val="left"/>
              <w:rPr>
                <w:rFonts w:hint="eastAsia" w:ascii="宋体" w:hAnsi="宋体"/>
                <w:color w:val="000000"/>
                <w:kern w:val="0"/>
                <w:sz w:val="24"/>
              </w:rPr>
            </w:pPr>
            <w:r>
              <w:rPr>
                <w:rFonts w:hint="eastAsia" w:ascii="宋体" w:hAnsi="宋体"/>
                <w:color w:val="000000"/>
                <w:kern w:val="0"/>
                <w:sz w:val="24"/>
              </w:rPr>
              <w:t>（3）理解审美素养与人的创造性之间的内在关联，学会用美的眼光来审视教育实践活动</w:t>
            </w:r>
            <w:r>
              <w:rPr>
                <w:rFonts w:ascii="宋体" w:hAnsi="宋体"/>
                <w:color w:val="000000"/>
                <w:kern w:val="0"/>
                <w:sz w:val="24"/>
              </w:rPr>
              <w:t>。</w:t>
            </w:r>
          </w:p>
        </w:tc>
        <w:tc>
          <w:tcPr>
            <w:tcW w:w="1701" w:type="dxa"/>
            <w:gridSpan w:val="2"/>
            <w:vAlign w:val="center"/>
          </w:tcPr>
          <w:p w14:paraId="65A367DD">
            <w:pPr>
              <w:spacing w:line="264" w:lineRule="auto"/>
              <w:jc w:val="left"/>
              <w:rPr>
                <w:rFonts w:hint="eastAsia" w:ascii="宋体" w:hAnsi="宋体"/>
                <w:color w:val="000000"/>
                <w:kern w:val="0"/>
                <w:sz w:val="24"/>
              </w:rPr>
            </w:pPr>
            <w:r>
              <w:rPr>
                <w:rFonts w:ascii="宋体" w:hAnsi="宋体"/>
                <w:color w:val="000000"/>
                <w:kern w:val="0"/>
                <w:sz w:val="24"/>
              </w:rPr>
              <w:t>1.</w:t>
            </w:r>
            <w:bookmarkStart w:id="155" w:name="OLE_LINK7"/>
            <w:r>
              <w:rPr>
                <w:rFonts w:hint="eastAsia" w:ascii="宋体" w:hAnsi="宋体"/>
                <w:color w:val="000000"/>
                <w:kern w:val="0"/>
                <w:sz w:val="24"/>
              </w:rPr>
              <w:t>自主</w:t>
            </w:r>
            <w:bookmarkEnd w:id="155"/>
            <w:r>
              <w:rPr>
                <w:rFonts w:ascii="宋体" w:hAnsi="宋体"/>
                <w:color w:val="000000"/>
                <w:kern w:val="0"/>
                <w:sz w:val="24"/>
              </w:rPr>
              <w:t>学习</w:t>
            </w:r>
          </w:p>
          <w:p w14:paraId="48D466CC">
            <w:pPr>
              <w:spacing w:line="264" w:lineRule="auto"/>
              <w:jc w:val="left"/>
              <w:rPr>
                <w:rFonts w:hint="eastAsia" w:ascii="宋体" w:hAnsi="宋体"/>
                <w:color w:val="000000"/>
                <w:kern w:val="0"/>
                <w:sz w:val="24"/>
              </w:rPr>
            </w:pPr>
            <w:r>
              <w:rPr>
                <w:rFonts w:ascii="宋体" w:hAnsi="宋体"/>
                <w:color w:val="000000"/>
                <w:kern w:val="0"/>
                <w:sz w:val="24"/>
              </w:rPr>
              <w:t>2.多媒体教学</w:t>
            </w:r>
          </w:p>
          <w:p w14:paraId="17786DF6">
            <w:pPr>
              <w:spacing w:line="264" w:lineRule="auto"/>
              <w:jc w:val="left"/>
              <w:rPr>
                <w:rFonts w:hint="eastAsia" w:ascii="宋体" w:hAnsi="宋体"/>
                <w:color w:val="000000"/>
                <w:kern w:val="0"/>
                <w:sz w:val="24"/>
              </w:rPr>
            </w:pPr>
            <w:r>
              <w:rPr>
                <w:rFonts w:ascii="宋体" w:hAnsi="宋体"/>
                <w:color w:val="000000"/>
                <w:kern w:val="0"/>
                <w:sz w:val="24"/>
              </w:rPr>
              <w:t>3.课堂讨论</w:t>
            </w:r>
          </w:p>
        </w:tc>
        <w:tc>
          <w:tcPr>
            <w:tcW w:w="514" w:type="dxa"/>
            <w:gridSpan w:val="2"/>
            <w:vAlign w:val="center"/>
          </w:tcPr>
          <w:p w14:paraId="021F45A5">
            <w:pPr>
              <w:spacing w:line="264" w:lineRule="auto"/>
              <w:jc w:val="center"/>
              <w:rPr>
                <w:rFonts w:hint="eastAsia" w:ascii="宋体" w:hAnsi="宋体"/>
                <w:color w:val="000000"/>
                <w:kern w:val="0"/>
                <w:sz w:val="24"/>
              </w:rPr>
            </w:pPr>
            <w:r>
              <w:rPr>
                <w:rFonts w:hint="eastAsia" w:ascii="宋体" w:hAnsi="宋体"/>
                <w:color w:val="000000"/>
                <w:kern w:val="0"/>
                <w:sz w:val="24"/>
              </w:rPr>
              <w:t>3</w:t>
            </w:r>
          </w:p>
        </w:tc>
      </w:tr>
      <w:tr w14:paraId="6B25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426454E8">
            <w:pPr>
              <w:spacing w:line="264" w:lineRule="auto"/>
              <w:jc w:val="center"/>
              <w:rPr>
                <w:rFonts w:hint="eastAsia" w:ascii="宋体" w:hAnsi="宋体"/>
                <w:color w:val="000000"/>
                <w:kern w:val="0"/>
                <w:sz w:val="24"/>
              </w:rPr>
            </w:pPr>
          </w:p>
        </w:tc>
        <w:tc>
          <w:tcPr>
            <w:tcW w:w="8095" w:type="dxa"/>
            <w:gridSpan w:val="9"/>
            <w:vAlign w:val="center"/>
          </w:tcPr>
          <w:p w14:paraId="1E1A1F0B">
            <w:pPr>
              <w:spacing w:line="264" w:lineRule="auto"/>
              <w:jc w:val="left"/>
              <w:rPr>
                <w:rFonts w:hint="eastAsia" w:ascii="宋体" w:hAnsi="宋体"/>
                <w:color w:val="000000"/>
                <w:kern w:val="0"/>
                <w:sz w:val="24"/>
              </w:rPr>
            </w:pPr>
            <w:r>
              <w:rPr>
                <w:rFonts w:hint="eastAsia" w:ascii="宋体" w:hAnsi="宋体"/>
                <w:b/>
                <w:color w:val="000000"/>
                <w:kern w:val="0"/>
                <w:sz w:val="24"/>
              </w:rPr>
              <w:t>课程思政目标：</w:t>
            </w:r>
            <w:r>
              <w:rPr>
                <w:rFonts w:hint="eastAsia" w:ascii="宋体" w:hAnsi="宋体"/>
                <w:color w:val="000000"/>
                <w:kern w:val="0"/>
                <w:sz w:val="24"/>
              </w:rPr>
              <w:t>通过对美的沉思以及美育问题的讨论，提升师范生的审美素养与创造力，同时传播中国美学精神，从而促进师范生的全面发展和健全人格的养成。</w:t>
            </w:r>
          </w:p>
        </w:tc>
      </w:tr>
      <w:tr w14:paraId="6F09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1C9A6383">
            <w:pPr>
              <w:spacing w:line="264" w:lineRule="auto"/>
              <w:jc w:val="center"/>
              <w:rPr>
                <w:rFonts w:hint="eastAsia" w:ascii="宋体" w:hAnsi="宋体"/>
                <w:color w:val="000000"/>
                <w:kern w:val="0"/>
                <w:sz w:val="24"/>
              </w:rPr>
            </w:pPr>
            <w:r>
              <w:rPr>
                <w:rFonts w:hint="eastAsia" w:ascii="宋体" w:hAnsi="宋体"/>
                <w:color w:val="000000"/>
                <w:kern w:val="0"/>
                <w:sz w:val="24"/>
              </w:rPr>
              <w:t>9.</w:t>
            </w:r>
            <w:r>
              <w:rPr>
                <w:rFonts w:hint="eastAsia"/>
                <w:kern w:val="0"/>
                <w:sz w:val="24"/>
              </w:rPr>
              <w:t xml:space="preserve"> </w:t>
            </w:r>
            <w:r>
              <w:rPr>
                <w:rFonts w:hint="eastAsia" w:ascii="宋体" w:hAnsi="宋体"/>
                <w:color w:val="000000"/>
                <w:kern w:val="0"/>
                <w:sz w:val="24"/>
              </w:rPr>
              <w:t>社会哲学与教育</w:t>
            </w:r>
          </w:p>
        </w:tc>
        <w:tc>
          <w:tcPr>
            <w:tcW w:w="1698" w:type="dxa"/>
            <w:gridSpan w:val="2"/>
            <w:vAlign w:val="center"/>
          </w:tcPr>
          <w:p w14:paraId="69E85428">
            <w:pPr>
              <w:spacing w:line="264" w:lineRule="auto"/>
              <w:jc w:val="left"/>
              <w:rPr>
                <w:rFonts w:hint="eastAsia" w:ascii="宋体" w:hAnsi="宋体"/>
                <w:color w:val="000000"/>
                <w:kern w:val="0"/>
                <w:sz w:val="24"/>
              </w:rPr>
            </w:pPr>
            <w:r>
              <w:rPr>
                <w:rFonts w:hint="eastAsia" w:ascii="宋体" w:hAnsi="宋体"/>
                <w:color w:val="000000"/>
                <w:kern w:val="0"/>
                <w:sz w:val="24"/>
              </w:rPr>
              <w:t>（1）社会哲学概述</w:t>
            </w:r>
          </w:p>
          <w:p w14:paraId="10F16BE2">
            <w:pPr>
              <w:spacing w:line="264" w:lineRule="auto"/>
              <w:jc w:val="left"/>
              <w:rPr>
                <w:rFonts w:hint="eastAsia" w:ascii="宋体" w:hAnsi="宋体"/>
                <w:color w:val="000000"/>
                <w:kern w:val="0"/>
                <w:sz w:val="24"/>
              </w:rPr>
            </w:pPr>
            <w:r>
              <w:rPr>
                <w:rFonts w:hint="eastAsia" w:ascii="宋体" w:hAnsi="宋体"/>
                <w:color w:val="000000"/>
                <w:kern w:val="0"/>
                <w:sz w:val="24"/>
              </w:rPr>
              <w:t>（2）良好的社会秩序与教育</w:t>
            </w:r>
          </w:p>
          <w:p w14:paraId="18C47F6A">
            <w:pPr>
              <w:spacing w:line="264" w:lineRule="auto"/>
              <w:jc w:val="left"/>
              <w:rPr>
                <w:rFonts w:hint="eastAsia" w:ascii="宋体" w:hAnsi="宋体"/>
                <w:color w:val="000000"/>
                <w:kern w:val="0"/>
                <w:sz w:val="24"/>
              </w:rPr>
            </w:pPr>
            <w:r>
              <w:rPr>
                <w:rFonts w:hint="eastAsia" w:ascii="宋体" w:hAnsi="宋体"/>
                <w:color w:val="000000"/>
                <w:kern w:val="0"/>
                <w:sz w:val="24"/>
              </w:rPr>
              <w:t>（3）公民意识与公民教育</w:t>
            </w:r>
          </w:p>
        </w:tc>
        <w:tc>
          <w:tcPr>
            <w:tcW w:w="1132" w:type="dxa"/>
            <w:gridSpan w:val="2"/>
            <w:vAlign w:val="center"/>
          </w:tcPr>
          <w:p w14:paraId="4558D5D5">
            <w:pPr>
              <w:spacing w:line="264" w:lineRule="auto"/>
              <w:jc w:val="center"/>
              <w:rPr>
                <w:rFonts w:hint="eastAsia" w:ascii="宋体" w:hAnsi="宋体"/>
                <w:color w:val="000000"/>
                <w:kern w:val="0"/>
                <w:sz w:val="24"/>
              </w:rPr>
            </w:pPr>
            <w:r>
              <w:rPr>
                <w:rFonts w:hint="eastAsia" w:ascii="宋体" w:hAnsi="宋体"/>
                <w:color w:val="000000"/>
                <w:kern w:val="0"/>
                <w:sz w:val="24"/>
              </w:rPr>
              <w:t>课程目标1、3、4</w:t>
            </w:r>
          </w:p>
        </w:tc>
        <w:tc>
          <w:tcPr>
            <w:tcW w:w="3050" w:type="dxa"/>
            <w:vAlign w:val="center"/>
          </w:tcPr>
          <w:p w14:paraId="7C101B6D">
            <w:pPr>
              <w:spacing w:line="264" w:lineRule="auto"/>
              <w:jc w:val="left"/>
              <w:rPr>
                <w:rFonts w:hint="eastAsia" w:ascii="宋体" w:hAnsi="宋体"/>
                <w:color w:val="000000"/>
                <w:kern w:val="0"/>
                <w:sz w:val="24"/>
              </w:rPr>
            </w:pPr>
            <w:r>
              <w:rPr>
                <w:rFonts w:hint="eastAsia" w:ascii="宋体" w:hAnsi="宋体"/>
                <w:color w:val="000000"/>
                <w:kern w:val="0"/>
                <w:sz w:val="24"/>
              </w:rPr>
              <w:t>（1）继承和弘扬中国传统的社会哲学思想，在了解和借鉴西方社会哲学思想的基础上，确立马克思主义的历史唯物主义社会哲学思想；</w:t>
            </w:r>
          </w:p>
          <w:p w14:paraId="10F916A4">
            <w:pPr>
              <w:spacing w:line="264" w:lineRule="auto"/>
              <w:jc w:val="left"/>
              <w:rPr>
                <w:rFonts w:hint="eastAsia" w:ascii="宋体" w:hAnsi="宋体"/>
                <w:color w:val="000000"/>
                <w:kern w:val="0"/>
                <w:sz w:val="24"/>
              </w:rPr>
            </w:pPr>
            <w:r>
              <w:rPr>
                <w:rFonts w:hint="eastAsia" w:ascii="宋体" w:hAnsi="宋体"/>
                <w:color w:val="000000"/>
                <w:kern w:val="0"/>
                <w:sz w:val="24"/>
              </w:rPr>
              <w:t>（2）辩证理解个人自由与社会秩序的关系，以及我国良好社会秩序建设的思想基础和价值追求，自觉而有效地开展促进良好社会秩序的教育；</w:t>
            </w:r>
          </w:p>
          <w:p w14:paraId="3EE656BD">
            <w:pPr>
              <w:spacing w:line="264" w:lineRule="auto"/>
              <w:jc w:val="left"/>
              <w:rPr>
                <w:rFonts w:hint="eastAsia" w:ascii="宋体" w:hAnsi="宋体"/>
                <w:color w:val="000000"/>
                <w:kern w:val="0"/>
                <w:sz w:val="24"/>
              </w:rPr>
            </w:pPr>
            <w:r>
              <w:rPr>
                <w:rFonts w:hint="eastAsia" w:ascii="宋体" w:hAnsi="宋体"/>
                <w:color w:val="000000"/>
                <w:kern w:val="0"/>
                <w:sz w:val="24"/>
              </w:rPr>
              <w:t>（3）立足于我国建设民主法治的社会主义国家，开展社会主义公民教育，培养社会主义的合格公民，成为社会主义的建设者和接班人。</w:t>
            </w:r>
          </w:p>
        </w:tc>
        <w:tc>
          <w:tcPr>
            <w:tcW w:w="1701" w:type="dxa"/>
            <w:gridSpan w:val="2"/>
            <w:vAlign w:val="center"/>
          </w:tcPr>
          <w:p w14:paraId="259A5D3D">
            <w:pPr>
              <w:spacing w:line="264" w:lineRule="auto"/>
              <w:jc w:val="left"/>
              <w:rPr>
                <w:rFonts w:hint="eastAsia" w:ascii="宋体" w:hAnsi="宋体"/>
                <w:color w:val="000000"/>
                <w:kern w:val="0"/>
                <w:sz w:val="24"/>
              </w:rPr>
            </w:pPr>
            <w:r>
              <w:rPr>
                <w:rFonts w:ascii="宋体" w:hAnsi="宋体"/>
                <w:color w:val="000000"/>
                <w:kern w:val="0"/>
                <w:sz w:val="24"/>
              </w:rPr>
              <w:t>1.</w:t>
            </w:r>
            <w:r>
              <w:rPr>
                <w:rFonts w:hint="eastAsia" w:ascii="宋体" w:hAnsi="宋体"/>
                <w:color w:val="000000"/>
                <w:kern w:val="0"/>
                <w:sz w:val="24"/>
              </w:rPr>
              <w:t>自主</w:t>
            </w:r>
            <w:r>
              <w:rPr>
                <w:rFonts w:ascii="宋体" w:hAnsi="宋体"/>
                <w:color w:val="000000"/>
                <w:kern w:val="0"/>
                <w:sz w:val="24"/>
              </w:rPr>
              <w:t>学习</w:t>
            </w:r>
          </w:p>
          <w:p w14:paraId="2DF7B910">
            <w:pPr>
              <w:spacing w:line="264" w:lineRule="auto"/>
              <w:jc w:val="left"/>
              <w:rPr>
                <w:rFonts w:hint="eastAsia" w:ascii="宋体" w:hAnsi="宋体"/>
                <w:color w:val="000000"/>
                <w:kern w:val="0"/>
                <w:sz w:val="24"/>
              </w:rPr>
            </w:pPr>
            <w:r>
              <w:rPr>
                <w:rFonts w:ascii="宋体" w:hAnsi="宋体"/>
                <w:color w:val="000000"/>
                <w:kern w:val="0"/>
                <w:sz w:val="24"/>
              </w:rPr>
              <w:t>2.多媒体教学</w:t>
            </w:r>
          </w:p>
          <w:p w14:paraId="138374BB">
            <w:pPr>
              <w:spacing w:line="264" w:lineRule="auto"/>
              <w:jc w:val="left"/>
              <w:rPr>
                <w:rFonts w:hint="eastAsia" w:ascii="宋体" w:hAnsi="宋体"/>
                <w:color w:val="000000"/>
                <w:kern w:val="0"/>
                <w:sz w:val="24"/>
              </w:rPr>
            </w:pPr>
            <w:r>
              <w:rPr>
                <w:rFonts w:ascii="宋体" w:hAnsi="宋体"/>
                <w:color w:val="000000"/>
                <w:kern w:val="0"/>
                <w:sz w:val="24"/>
              </w:rPr>
              <w:t>3.课堂讨论</w:t>
            </w:r>
          </w:p>
        </w:tc>
        <w:tc>
          <w:tcPr>
            <w:tcW w:w="514" w:type="dxa"/>
            <w:gridSpan w:val="2"/>
            <w:vAlign w:val="center"/>
          </w:tcPr>
          <w:p w14:paraId="3521DC36">
            <w:pPr>
              <w:spacing w:line="264" w:lineRule="auto"/>
              <w:jc w:val="center"/>
              <w:rPr>
                <w:rFonts w:hint="eastAsia" w:ascii="宋体" w:hAnsi="宋体"/>
                <w:color w:val="000000"/>
                <w:kern w:val="0"/>
                <w:sz w:val="24"/>
              </w:rPr>
            </w:pPr>
            <w:r>
              <w:rPr>
                <w:rFonts w:hint="eastAsia" w:ascii="宋体" w:hAnsi="宋体"/>
                <w:color w:val="000000"/>
                <w:kern w:val="0"/>
                <w:sz w:val="24"/>
              </w:rPr>
              <w:t>3</w:t>
            </w:r>
          </w:p>
        </w:tc>
      </w:tr>
      <w:tr w14:paraId="70A4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67D24B10">
            <w:pPr>
              <w:spacing w:line="264" w:lineRule="auto"/>
              <w:jc w:val="center"/>
              <w:rPr>
                <w:rFonts w:hint="eastAsia" w:ascii="宋体" w:hAnsi="宋体"/>
                <w:color w:val="000000"/>
                <w:kern w:val="0"/>
                <w:sz w:val="24"/>
              </w:rPr>
            </w:pPr>
          </w:p>
        </w:tc>
        <w:tc>
          <w:tcPr>
            <w:tcW w:w="8095" w:type="dxa"/>
            <w:gridSpan w:val="9"/>
            <w:vAlign w:val="center"/>
          </w:tcPr>
          <w:p w14:paraId="0996937C">
            <w:pPr>
              <w:spacing w:line="264" w:lineRule="auto"/>
              <w:jc w:val="left"/>
              <w:rPr>
                <w:rFonts w:hint="eastAsia" w:ascii="宋体" w:hAnsi="宋体"/>
                <w:color w:val="000000"/>
                <w:kern w:val="0"/>
                <w:sz w:val="24"/>
              </w:rPr>
            </w:pPr>
            <w:r>
              <w:rPr>
                <w:rFonts w:hint="eastAsia" w:ascii="宋体" w:hAnsi="宋体"/>
                <w:b/>
                <w:color w:val="000000"/>
                <w:kern w:val="0"/>
                <w:sz w:val="24"/>
              </w:rPr>
              <w:t>课程思政目标：</w:t>
            </w:r>
            <w:r>
              <w:rPr>
                <w:rFonts w:hint="eastAsia" w:ascii="宋体" w:hAnsi="宋体"/>
                <w:color w:val="000000"/>
                <w:kern w:val="0"/>
                <w:sz w:val="24"/>
              </w:rPr>
              <w:t>使师范生在继承和弘扬中国传统的社会哲学思想，在了解和借鉴西方社会哲学思想的基础上，确立马克思主义的历史唯物主义社会哲学思想；理解我国良好社会秩序建设的思想基础和价值追求，自觉而有效地开展促进良好社会秩序的教育，培养社会主义的合格公民，成为社会主义的建设者和接班人。</w:t>
            </w:r>
          </w:p>
        </w:tc>
      </w:tr>
      <w:tr w14:paraId="26DD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A8F4699">
            <w:pPr>
              <w:spacing w:line="264" w:lineRule="auto"/>
              <w:jc w:val="center"/>
              <w:rPr>
                <w:rFonts w:hint="eastAsia" w:ascii="宋体" w:hAnsi="宋体"/>
                <w:color w:val="000000"/>
                <w:kern w:val="0"/>
                <w:sz w:val="24"/>
              </w:rPr>
            </w:pPr>
            <w:r>
              <w:rPr>
                <w:rFonts w:hint="eastAsia" w:ascii="宋体" w:hAnsi="宋体"/>
                <w:color w:val="000000"/>
                <w:kern w:val="0"/>
                <w:sz w:val="24"/>
              </w:rPr>
              <w:t>10.</w:t>
            </w:r>
            <w:r>
              <w:rPr>
                <w:rFonts w:hint="eastAsia"/>
                <w:kern w:val="0"/>
                <w:sz w:val="24"/>
              </w:rPr>
              <w:t xml:space="preserve"> </w:t>
            </w:r>
            <w:r>
              <w:rPr>
                <w:rFonts w:hint="eastAsia" w:ascii="宋体" w:hAnsi="宋体"/>
                <w:color w:val="000000"/>
                <w:kern w:val="0"/>
                <w:sz w:val="24"/>
              </w:rPr>
              <w:t>文化哲学与教育</w:t>
            </w:r>
          </w:p>
        </w:tc>
        <w:tc>
          <w:tcPr>
            <w:tcW w:w="1698" w:type="dxa"/>
            <w:gridSpan w:val="2"/>
            <w:vAlign w:val="center"/>
          </w:tcPr>
          <w:p w14:paraId="6594454E">
            <w:pPr>
              <w:spacing w:line="264" w:lineRule="auto"/>
              <w:jc w:val="left"/>
              <w:rPr>
                <w:rFonts w:hint="eastAsia" w:ascii="宋体" w:hAnsi="宋体"/>
                <w:color w:val="000000"/>
                <w:kern w:val="0"/>
                <w:sz w:val="24"/>
              </w:rPr>
            </w:pPr>
            <w:r>
              <w:rPr>
                <w:rFonts w:hint="eastAsia" w:ascii="宋体" w:hAnsi="宋体"/>
                <w:color w:val="000000"/>
                <w:kern w:val="0"/>
                <w:sz w:val="24"/>
              </w:rPr>
              <w:t>（1）文化哲学概述</w:t>
            </w:r>
          </w:p>
          <w:p w14:paraId="0433A691">
            <w:pPr>
              <w:spacing w:line="264" w:lineRule="auto"/>
              <w:jc w:val="left"/>
              <w:rPr>
                <w:rFonts w:hint="eastAsia" w:ascii="宋体" w:hAnsi="宋体"/>
                <w:color w:val="000000"/>
                <w:kern w:val="0"/>
                <w:sz w:val="24"/>
              </w:rPr>
            </w:pPr>
            <w:r>
              <w:rPr>
                <w:rFonts w:hint="eastAsia" w:ascii="宋体" w:hAnsi="宋体"/>
                <w:color w:val="000000"/>
                <w:kern w:val="0"/>
                <w:sz w:val="24"/>
              </w:rPr>
              <w:t>（2）教育的文化基础与责任</w:t>
            </w:r>
          </w:p>
          <w:p w14:paraId="4C89CB5D">
            <w:pPr>
              <w:spacing w:line="264" w:lineRule="auto"/>
              <w:jc w:val="left"/>
              <w:rPr>
                <w:rFonts w:hint="eastAsia" w:ascii="宋体" w:hAnsi="宋体"/>
                <w:color w:val="000000"/>
                <w:kern w:val="0"/>
                <w:sz w:val="24"/>
              </w:rPr>
            </w:pPr>
            <w:r>
              <w:rPr>
                <w:rFonts w:hint="eastAsia" w:ascii="宋体" w:hAnsi="宋体"/>
                <w:color w:val="000000"/>
                <w:kern w:val="0"/>
                <w:sz w:val="24"/>
              </w:rPr>
              <w:t>（3）全球化背景下的文化多样性教育</w:t>
            </w:r>
          </w:p>
        </w:tc>
        <w:tc>
          <w:tcPr>
            <w:tcW w:w="1132" w:type="dxa"/>
            <w:gridSpan w:val="2"/>
            <w:vAlign w:val="center"/>
          </w:tcPr>
          <w:p w14:paraId="5D4B7B96">
            <w:pPr>
              <w:spacing w:line="264" w:lineRule="auto"/>
              <w:jc w:val="center"/>
              <w:rPr>
                <w:rFonts w:hint="eastAsia" w:ascii="宋体" w:hAnsi="宋体"/>
                <w:color w:val="000000"/>
                <w:kern w:val="0"/>
                <w:sz w:val="24"/>
              </w:rPr>
            </w:pPr>
            <w:r>
              <w:rPr>
                <w:rFonts w:hint="eastAsia" w:ascii="宋体" w:hAnsi="宋体"/>
                <w:color w:val="000000"/>
                <w:kern w:val="0"/>
                <w:sz w:val="24"/>
              </w:rPr>
              <w:t>课程目标1、2、3</w:t>
            </w:r>
          </w:p>
          <w:p w14:paraId="33D10A4D">
            <w:pPr>
              <w:spacing w:line="264" w:lineRule="auto"/>
              <w:jc w:val="center"/>
              <w:rPr>
                <w:rFonts w:hint="eastAsia" w:ascii="宋体" w:hAnsi="宋体"/>
                <w:color w:val="000000"/>
                <w:kern w:val="0"/>
                <w:sz w:val="24"/>
              </w:rPr>
            </w:pPr>
          </w:p>
        </w:tc>
        <w:tc>
          <w:tcPr>
            <w:tcW w:w="3050" w:type="dxa"/>
            <w:vAlign w:val="center"/>
          </w:tcPr>
          <w:p w14:paraId="7584F985">
            <w:pPr>
              <w:spacing w:line="264" w:lineRule="auto"/>
              <w:jc w:val="left"/>
              <w:rPr>
                <w:rFonts w:hint="eastAsia" w:ascii="宋体" w:hAnsi="宋体"/>
                <w:color w:val="000000"/>
                <w:kern w:val="0"/>
                <w:sz w:val="24"/>
              </w:rPr>
            </w:pPr>
            <w:r>
              <w:rPr>
                <w:rFonts w:hint="eastAsia" w:ascii="宋体" w:hAnsi="宋体"/>
                <w:color w:val="000000"/>
                <w:kern w:val="0"/>
                <w:sz w:val="24"/>
              </w:rPr>
              <w:t>（1）了解中国古代、西方的文化哲学思想，理解马克思主义文化哲学；</w:t>
            </w:r>
          </w:p>
          <w:p w14:paraId="09656373">
            <w:pPr>
              <w:spacing w:line="264" w:lineRule="auto"/>
              <w:jc w:val="left"/>
              <w:rPr>
                <w:rFonts w:hint="eastAsia" w:ascii="宋体" w:hAnsi="宋体"/>
                <w:color w:val="000000"/>
                <w:kern w:val="0"/>
                <w:sz w:val="24"/>
              </w:rPr>
            </w:pPr>
            <w:r>
              <w:rPr>
                <w:rFonts w:hint="eastAsia" w:ascii="宋体" w:hAnsi="宋体"/>
                <w:color w:val="000000"/>
                <w:kern w:val="0"/>
                <w:sz w:val="24"/>
              </w:rPr>
              <w:t>（2）理解教育的文化基础与责任，特别关注如何通过教育促进文化传统的继承与弘扬；</w:t>
            </w:r>
          </w:p>
          <w:p w14:paraId="11A4D745">
            <w:pPr>
              <w:spacing w:line="264" w:lineRule="auto"/>
              <w:jc w:val="left"/>
              <w:rPr>
                <w:rFonts w:hint="eastAsia" w:ascii="宋体" w:hAnsi="宋体"/>
                <w:color w:val="000000"/>
                <w:kern w:val="0"/>
                <w:sz w:val="24"/>
              </w:rPr>
            </w:pPr>
            <w:r>
              <w:rPr>
                <w:rFonts w:hint="eastAsia" w:ascii="宋体" w:hAnsi="宋体"/>
                <w:color w:val="000000"/>
                <w:kern w:val="0"/>
                <w:sz w:val="24"/>
              </w:rPr>
              <w:t>（3）理解多元文化背景下民族文化认同遭遇的挑战及其教育行动要点；</w:t>
            </w:r>
          </w:p>
          <w:p w14:paraId="7BE33726">
            <w:pPr>
              <w:spacing w:line="264" w:lineRule="auto"/>
              <w:jc w:val="left"/>
              <w:rPr>
                <w:rFonts w:hint="eastAsia" w:ascii="宋体" w:hAnsi="宋体"/>
                <w:color w:val="000000"/>
                <w:kern w:val="0"/>
                <w:sz w:val="24"/>
              </w:rPr>
            </w:pPr>
            <w:r>
              <w:rPr>
                <w:rFonts w:hint="eastAsia" w:ascii="宋体" w:hAnsi="宋体"/>
                <w:color w:val="000000"/>
                <w:kern w:val="0"/>
                <w:sz w:val="24"/>
              </w:rPr>
              <w:t>（4）树立文化多样性以及文化交流、文化对话的态度和价值观念。</w:t>
            </w:r>
          </w:p>
        </w:tc>
        <w:tc>
          <w:tcPr>
            <w:tcW w:w="1701" w:type="dxa"/>
            <w:gridSpan w:val="2"/>
            <w:vAlign w:val="center"/>
          </w:tcPr>
          <w:p w14:paraId="56C798C6">
            <w:pPr>
              <w:spacing w:line="264" w:lineRule="auto"/>
              <w:jc w:val="left"/>
              <w:rPr>
                <w:rFonts w:hint="eastAsia" w:ascii="宋体" w:hAnsi="宋体"/>
                <w:color w:val="000000"/>
                <w:kern w:val="0"/>
                <w:sz w:val="24"/>
              </w:rPr>
            </w:pPr>
            <w:bookmarkStart w:id="156" w:name="OLE_LINK6"/>
            <w:r>
              <w:rPr>
                <w:rFonts w:ascii="宋体" w:hAnsi="宋体"/>
                <w:color w:val="000000"/>
                <w:kern w:val="0"/>
                <w:sz w:val="24"/>
              </w:rPr>
              <w:t>1.</w:t>
            </w:r>
            <w:r>
              <w:rPr>
                <w:rFonts w:hint="eastAsia" w:ascii="宋体" w:hAnsi="宋体"/>
                <w:color w:val="000000"/>
                <w:kern w:val="0"/>
                <w:sz w:val="24"/>
              </w:rPr>
              <w:t>自主</w:t>
            </w:r>
            <w:r>
              <w:rPr>
                <w:rFonts w:ascii="宋体" w:hAnsi="宋体"/>
                <w:color w:val="000000"/>
                <w:kern w:val="0"/>
                <w:sz w:val="24"/>
              </w:rPr>
              <w:t>学习</w:t>
            </w:r>
          </w:p>
          <w:p w14:paraId="423CDA64">
            <w:pPr>
              <w:spacing w:line="264" w:lineRule="auto"/>
              <w:jc w:val="left"/>
              <w:rPr>
                <w:rFonts w:hint="eastAsia" w:ascii="宋体" w:hAnsi="宋体"/>
                <w:color w:val="000000"/>
                <w:kern w:val="0"/>
                <w:sz w:val="24"/>
              </w:rPr>
            </w:pPr>
            <w:r>
              <w:rPr>
                <w:rFonts w:ascii="宋体" w:hAnsi="宋体"/>
                <w:color w:val="000000"/>
                <w:kern w:val="0"/>
                <w:sz w:val="24"/>
              </w:rPr>
              <w:t>2.多媒体教学</w:t>
            </w:r>
          </w:p>
          <w:p w14:paraId="33930ED6">
            <w:pPr>
              <w:spacing w:line="264" w:lineRule="auto"/>
              <w:jc w:val="left"/>
              <w:rPr>
                <w:rFonts w:hint="eastAsia" w:ascii="宋体" w:hAnsi="宋体"/>
                <w:color w:val="000000"/>
                <w:kern w:val="0"/>
                <w:sz w:val="24"/>
              </w:rPr>
            </w:pPr>
            <w:r>
              <w:rPr>
                <w:rFonts w:ascii="宋体" w:hAnsi="宋体"/>
                <w:color w:val="000000"/>
                <w:kern w:val="0"/>
                <w:sz w:val="24"/>
              </w:rPr>
              <w:t>3.课堂讨论</w:t>
            </w:r>
            <w:bookmarkEnd w:id="156"/>
          </w:p>
        </w:tc>
        <w:tc>
          <w:tcPr>
            <w:tcW w:w="514" w:type="dxa"/>
            <w:gridSpan w:val="2"/>
            <w:vAlign w:val="center"/>
          </w:tcPr>
          <w:p w14:paraId="2BACFFC9">
            <w:pPr>
              <w:spacing w:line="264" w:lineRule="auto"/>
              <w:jc w:val="center"/>
              <w:rPr>
                <w:rFonts w:hint="eastAsia" w:ascii="宋体" w:hAnsi="宋体"/>
                <w:color w:val="000000"/>
                <w:kern w:val="0"/>
                <w:sz w:val="24"/>
              </w:rPr>
            </w:pPr>
            <w:r>
              <w:rPr>
                <w:rFonts w:hint="eastAsia" w:ascii="宋体" w:hAnsi="宋体"/>
                <w:color w:val="000000"/>
                <w:kern w:val="0"/>
                <w:sz w:val="24"/>
              </w:rPr>
              <w:t>3</w:t>
            </w:r>
          </w:p>
        </w:tc>
      </w:tr>
      <w:tr w14:paraId="3A41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1B66DE7D">
            <w:pPr>
              <w:spacing w:line="264" w:lineRule="auto"/>
              <w:jc w:val="center"/>
              <w:rPr>
                <w:rFonts w:hint="eastAsia" w:ascii="宋体" w:hAnsi="宋体"/>
                <w:color w:val="000000"/>
                <w:kern w:val="0"/>
                <w:sz w:val="24"/>
              </w:rPr>
            </w:pPr>
          </w:p>
        </w:tc>
        <w:tc>
          <w:tcPr>
            <w:tcW w:w="8095" w:type="dxa"/>
            <w:gridSpan w:val="9"/>
            <w:vAlign w:val="center"/>
          </w:tcPr>
          <w:p w14:paraId="547226A5">
            <w:pPr>
              <w:spacing w:line="264" w:lineRule="auto"/>
              <w:jc w:val="left"/>
              <w:rPr>
                <w:rFonts w:hint="eastAsia" w:ascii="宋体" w:hAnsi="宋体"/>
                <w:color w:val="000000"/>
                <w:kern w:val="0"/>
                <w:sz w:val="24"/>
              </w:rPr>
            </w:pPr>
            <w:r>
              <w:rPr>
                <w:rFonts w:hint="eastAsia" w:ascii="宋体" w:hAnsi="宋体"/>
                <w:b/>
                <w:color w:val="000000"/>
                <w:kern w:val="0"/>
                <w:sz w:val="24"/>
              </w:rPr>
              <w:t>课程思政目标：</w:t>
            </w:r>
            <w:r>
              <w:rPr>
                <w:rFonts w:hint="eastAsia" w:ascii="宋体" w:hAnsi="宋体"/>
                <w:color w:val="000000"/>
                <w:kern w:val="0"/>
                <w:sz w:val="24"/>
              </w:rPr>
              <w:t>传承和弘扬中国优秀文化传统，培养具有传统文化素养的人，通过教育变革培养青年一代的文化自信和文化自觉，为中华民族文化保留优秀的基因，培育新的文化生命力。</w:t>
            </w:r>
          </w:p>
        </w:tc>
      </w:tr>
      <w:tr w14:paraId="56FB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203" w:type="dxa"/>
            <w:vMerge w:val="restart"/>
            <w:vAlign w:val="center"/>
          </w:tcPr>
          <w:p w14:paraId="785F9230">
            <w:pPr>
              <w:spacing w:line="264" w:lineRule="auto"/>
              <w:jc w:val="center"/>
              <w:rPr>
                <w:rFonts w:hint="eastAsia" w:ascii="宋体" w:hAnsi="宋体"/>
                <w:color w:val="000000"/>
                <w:kern w:val="0"/>
                <w:sz w:val="24"/>
              </w:rPr>
            </w:pPr>
            <w:r>
              <w:rPr>
                <w:rFonts w:hint="eastAsia" w:ascii="宋体" w:hAnsi="宋体"/>
                <w:color w:val="000000"/>
                <w:kern w:val="0"/>
                <w:sz w:val="24"/>
              </w:rPr>
              <w:t>11.</w:t>
            </w:r>
            <w:r>
              <w:rPr>
                <w:rFonts w:hint="eastAsia"/>
                <w:kern w:val="0"/>
                <w:sz w:val="24"/>
              </w:rPr>
              <w:t xml:space="preserve"> </w:t>
            </w:r>
            <w:r>
              <w:rPr>
                <w:rFonts w:hint="eastAsia" w:ascii="宋体" w:hAnsi="宋体"/>
                <w:color w:val="000000"/>
                <w:kern w:val="0"/>
                <w:sz w:val="24"/>
              </w:rPr>
              <w:t>教育哲学与教师发展</w:t>
            </w:r>
          </w:p>
        </w:tc>
        <w:tc>
          <w:tcPr>
            <w:tcW w:w="1619" w:type="dxa"/>
            <w:vAlign w:val="center"/>
          </w:tcPr>
          <w:p w14:paraId="05783C18">
            <w:pPr>
              <w:spacing w:line="264" w:lineRule="auto"/>
              <w:jc w:val="left"/>
              <w:rPr>
                <w:rFonts w:hint="eastAsia" w:ascii="宋体" w:hAnsi="宋体"/>
                <w:color w:val="000000"/>
                <w:kern w:val="0"/>
                <w:sz w:val="24"/>
              </w:rPr>
            </w:pPr>
            <w:r>
              <w:rPr>
                <w:rFonts w:hint="eastAsia" w:ascii="宋体" w:hAnsi="宋体"/>
                <w:color w:val="000000"/>
                <w:kern w:val="0"/>
                <w:sz w:val="24"/>
              </w:rPr>
              <w:t>（1）卓越教师的教育哲学</w:t>
            </w:r>
          </w:p>
          <w:p w14:paraId="70A6138C">
            <w:pPr>
              <w:spacing w:line="264" w:lineRule="auto"/>
              <w:jc w:val="left"/>
              <w:rPr>
                <w:rFonts w:hint="eastAsia" w:ascii="宋体" w:hAnsi="宋体"/>
                <w:color w:val="000000"/>
                <w:kern w:val="0"/>
                <w:sz w:val="24"/>
              </w:rPr>
            </w:pPr>
            <w:r>
              <w:rPr>
                <w:rFonts w:hint="eastAsia" w:ascii="宋体" w:hAnsi="宋体"/>
                <w:color w:val="000000"/>
                <w:kern w:val="0"/>
                <w:sz w:val="24"/>
              </w:rPr>
              <w:t>（2）教育哲学与教师专业发展</w:t>
            </w:r>
          </w:p>
          <w:p w14:paraId="2E48CFDB">
            <w:pPr>
              <w:spacing w:line="264" w:lineRule="auto"/>
              <w:jc w:val="left"/>
              <w:rPr>
                <w:rFonts w:hint="eastAsia" w:ascii="宋体" w:hAnsi="宋体"/>
                <w:b/>
                <w:color w:val="000000"/>
                <w:kern w:val="0"/>
                <w:sz w:val="24"/>
              </w:rPr>
            </w:pPr>
            <w:r>
              <w:rPr>
                <w:rFonts w:hint="eastAsia" w:ascii="宋体" w:hAnsi="宋体"/>
                <w:color w:val="000000"/>
                <w:kern w:val="0"/>
                <w:sz w:val="24"/>
              </w:rPr>
              <w:t>（3）建构教师个人教育哲学</w:t>
            </w:r>
          </w:p>
        </w:tc>
        <w:tc>
          <w:tcPr>
            <w:tcW w:w="1142" w:type="dxa"/>
            <w:gridSpan w:val="2"/>
            <w:vAlign w:val="center"/>
          </w:tcPr>
          <w:p w14:paraId="3A5AD0E9">
            <w:pPr>
              <w:spacing w:line="264" w:lineRule="auto"/>
              <w:jc w:val="left"/>
              <w:rPr>
                <w:rFonts w:hint="eastAsia" w:ascii="宋体" w:hAnsi="宋体"/>
                <w:bCs/>
                <w:color w:val="000000"/>
                <w:kern w:val="0"/>
                <w:sz w:val="24"/>
              </w:rPr>
            </w:pPr>
            <w:r>
              <w:rPr>
                <w:rFonts w:hint="eastAsia" w:ascii="宋体" w:hAnsi="宋体"/>
                <w:bCs/>
                <w:color w:val="000000"/>
                <w:kern w:val="0"/>
                <w:sz w:val="24"/>
              </w:rPr>
              <w:t>课程目标2、3、4</w:t>
            </w:r>
          </w:p>
        </w:tc>
        <w:tc>
          <w:tcPr>
            <w:tcW w:w="3261" w:type="dxa"/>
            <w:gridSpan w:val="3"/>
            <w:vAlign w:val="center"/>
          </w:tcPr>
          <w:p w14:paraId="490D5801">
            <w:pPr>
              <w:spacing w:line="264" w:lineRule="auto"/>
              <w:jc w:val="left"/>
              <w:rPr>
                <w:rFonts w:hint="eastAsia" w:ascii="宋体" w:hAnsi="宋体"/>
                <w:color w:val="000000"/>
                <w:kern w:val="0"/>
                <w:sz w:val="24"/>
              </w:rPr>
            </w:pPr>
            <w:r>
              <w:rPr>
                <w:rFonts w:hint="eastAsia" w:ascii="宋体" w:hAnsi="宋体"/>
                <w:bCs/>
                <w:color w:val="000000"/>
                <w:kern w:val="0"/>
                <w:sz w:val="24"/>
              </w:rPr>
              <w:t>（</w:t>
            </w:r>
            <w:r>
              <w:rPr>
                <w:rFonts w:hint="eastAsia" w:ascii="宋体" w:hAnsi="宋体"/>
                <w:color w:val="000000"/>
                <w:kern w:val="0"/>
                <w:sz w:val="24"/>
              </w:rPr>
              <w:t>1）理解教育哲学作为一种实践哲学，只有与教育实践的主体（教师）相结合，才能发挥实践作用；</w:t>
            </w:r>
          </w:p>
          <w:p w14:paraId="1FF604A5">
            <w:pPr>
              <w:spacing w:line="264" w:lineRule="auto"/>
              <w:jc w:val="left"/>
              <w:rPr>
                <w:rFonts w:hint="eastAsia" w:ascii="宋体" w:hAnsi="宋体"/>
                <w:b/>
                <w:color w:val="000000"/>
                <w:kern w:val="0"/>
                <w:sz w:val="24"/>
              </w:rPr>
            </w:pPr>
            <w:r>
              <w:rPr>
                <w:rFonts w:hint="eastAsia" w:ascii="宋体" w:hAnsi="宋体"/>
                <w:color w:val="000000"/>
                <w:kern w:val="0"/>
                <w:sz w:val="24"/>
              </w:rPr>
              <w:t>（2）理解教师成长与哲学之思的内在联系，理解教育哲学的实践意义在于让教师拥有反思实践的理论态度；</w:t>
            </w:r>
          </w:p>
        </w:tc>
        <w:tc>
          <w:tcPr>
            <w:tcW w:w="1701" w:type="dxa"/>
            <w:gridSpan w:val="2"/>
            <w:vAlign w:val="center"/>
          </w:tcPr>
          <w:p w14:paraId="3C1CDF18">
            <w:pPr>
              <w:spacing w:line="264" w:lineRule="auto"/>
              <w:jc w:val="left"/>
              <w:rPr>
                <w:rFonts w:hint="eastAsia" w:ascii="宋体" w:hAnsi="宋体"/>
                <w:bCs/>
                <w:color w:val="000000"/>
                <w:kern w:val="0"/>
                <w:sz w:val="24"/>
              </w:rPr>
            </w:pPr>
            <w:r>
              <w:rPr>
                <w:rFonts w:hint="eastAsia" w:ascii="宋体" w:hAnsi="宋体"/>
                <w:bCs/>
                <w:color w:val="000000"/>
                <w:kern w:val="0"/>
                <w:sz w:val="24"/>
              </w:rPr>
              <w:t>1.自主学习</w:t>
            </w:r>
          </w:p>
          <w:p w14:paraId="3AA77B8D">
            <w:pPr>
              <w:spacing w:line="264" w:lineRule="auto"/>
              <w:jc w:val="left"/>
              <w:rPr>
                <w:rFonts w:hint="eastAsia" w:ascii="宋体" w:hAnsi="宋体"/>
                <w:bCs/>
                <w:color w:val="000000"/>
                <w:kern w:val="0"/>
                <w:sz w:val="24"/>
              </w:rPr>
            </w:pPr>
            <w:r>
              <w:rPr>
                <w:rFonts w:hint="eastAsia" w:ascii="宋体" w:hAnsi="宋体"/>
                <w:bCs/>
                <w:color w:val="000000"/>
                <w:kern w:val="0"/>
                <w:sz w:val="24"/>
              </w:rPr>
              <w:t>2.多媒体教学</w:t>
            </w:r>
          </w:p>
          <w:p w14:paraId="463BB646">
            <w:pPr>
              <w:spacing w:line="264" w:lineRule="auto"/>
              <w:jc w:val="left"/>
              <w:rPr>
                <w:rFonts w:hint="eastAsia" w:ascii="宋体" w:hAnsi="宋体"/>
                <w:bCs/>
                <w:color w:val="000000"/>
                <w:kern w:val="0"/>
                <w:sz w:val="24"/>
              </w:rPr>
            </w:pPr>
            <w:r>
              <w:rPr>
                <w:rFonts w:hint="eastAsia" w:ascii="宋体" w:hAnsi="宋体"/>
                <w:bCs/>
                <w:color w:val="000000"/>
                <w:kern w:val="0"/>
                <w:sz w:val="24"/>
              </w:rPr>
              <w:t>3.课堂讨论</w:t>
            </w:r>
          </w:p>
          <w:p w14:paraId="7BCC8467">
            <w:pPr>
              <w:spacing w:line="264" w:lineRule="auto"/>
              <w:jc w:val="left"/>
              <w:rPr>
                <w:rFonts w:hint="eastAsia" w:ascii="宋体" w:hAnsi="宋体"/>
                <w:b/>
                <w:color w:val="000000"/>
                <w:kern w:val="0"/>
                <w:sz w:val="24"/>
              </w:rPr>
            </w:pPr>
            <w:r>
              <w:rPr>
                <w:rFonts w:hint="eastAsia" w:ascii="宋体" w:hAnsi="宋体"/>
                <w:bCs/>
                <w:color w:val="000000"/>
                <w:kern w:val="0"/>
                <w:sz w:val="24"/>
              </w:rPr>
              <w:t>4.小组合作</w:t>
            </w:r>
          </w:p>
        </w:tc>
        <w:tc>
          <w:tcPr>
            <w:tcW w:w="372" w:type="dxa"/>
            <w:vAlign w:val="center"/>
          </w:tcPr>
          <w:p w14:paraId="70004F9D">
            <w:pPr>
              <w:spacing w:line="264" w:lineRule="auto"/>
              <w:jc w:val="left"/>
              <w:rPr>
                <w:rFonts w:hint="eastAsia" w:ascii="宋体" w:hAnsi="宋体"/>
                <w:b/>
                <w:color w:val="000000"/>
                <w:kern w:val="0"/>
                <w:sz w:val="24"/>
              </w:rPr>
            </w:pPr>
            <w:r>
              <w:rPr>
                <w:rFonts w:hint="eastAsia" w:ascii="宋体" w:hAnsi="宋体"/>
                <w:b/>
                <w:color w:val="000000"/>
                <w:kern w:val="0"/>
                <w:sz w:val="24"/>
              </w:rPr>
              <w:t>4</w:t>
            </w:r>
          </w:p>
        </w:tc>
      </w:tr>
      <w:tr w14:paraId="6C9D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203" w:type="dxa"/>
            <w:vMerge w:val="continue"/>
            <w:vAlign w:val="center"/>
          </w:tcPr>
          <w:p w14:paraId="7ADFB6FA">
            <w:pPr>
              <w:spacing w:line="264" w:lineRule="auto"/>
              <w:jc w:val="center"/>
              <w:rPr>
                <w:rFonts w:hint="eastAsia" w:ascii="宋体" w:hAnsi="宋体"/>
                <w:color w:val="000000"/>
                <w:kern w:val="0"/>
                <w:sz w:val="24"/>
              </w:rPr>
            </w:pPr>
          </w:p>
        </w:tc>
        <w:tc>
          <w:tcPr>
            <w:tcW w:w="7723" w:type="dxa"/>
            <w:gridSpan w:val="8"/>
            <w:vAlign w:val="center"/>
          </w:tcPr>
          <w:p w14:paraId="737B9F6F">
            <w:pPr>
              <w:spacing w:line="264" w:lineRule="auto"/>
              <w:jc w:val="left"/>
              <w:rPr>
                <w:rFonts w:hint="eastAsia" w:ascii="宋体" w:hAnsi="宋体"/>
                <w:b/>
                <w:color w:val="000000"/>
                <w:kern w:val="0"/>
                <w:sz w:val="24"/>
              </w:rPr>
            </w:pPr>
            <w:r>
              <w:rPr>
                <w:rFonts w:hint="eastAsia" w:ascii="宋体" w:hAnsi="宋体"/>
                <w:b/>
                <w:color w:val="000000"/>
                <w:kern w:val="0"/>
                <w:sz w:val="24"/>
              </w:rPr>
              <w:t>课程思政目标：</w:t>
            </w:r>
            <w:r>
              <w:rPr>
                <w:rFonts w:hint="eastAsia" w:ascii="宋体" w:hAnsi="宋体"/>
                <w:color w:val="000000"/>
                <w:kern w:val="0"/>
                <w:sz w:val="24"/>
              </w:rPr>
              <w:t>指导师范生学会以哲学方式思考教师的境遇与相关问题，拥有反思实践的能力（哲学态度）。增强其对专业的热爱和坚持，从而深刻认识教师所承担的国家使命、社会期待和民族重托，立志成为“四有”好老师。</w:t>
            </w:r>
          </w:p>
        </w:tc>
        <w:tc>
          <w:tcPr>
            <w:tcW w:w="372" w:type="dxa"/>
            <w:vAlign w:val="center"/>
          </w:tcPr>
          <w:p w14:paraId="68A06706">
            <w:pPr>
              <w:spacing w:line="264" w:lineRule="auto"/>
              <w:jc w:val="left"/>
              <w:rPr>
                <w:rFonts w:hint="eastAsia" w:ascii="宋体" w:hAnsi="宋体"/>
                <w:b/>
                <w:color w:val="000000"/>
                <w:kern w:val="0"/>
                <w:sz w:val="24"/>
              </w:rPr>
            </w:pPr>
          </w:p>
        </w:tc>
      </w:tr>
    </w:tbl>
    <w:p w14:paraId="66F5148D">
      <w:pPr>
        <w:spacing w:line="360" w:lineRule="auto"/>
        <w:jc w:val="left"/>
        <w:rPr>
          <w:rFonts w:ascii="Times New Roman" w:hAnsi="Times New Roman"/>
          <w:sz w:val="24"/>
        </w:rPr>
      </w:pPr>
    </w:p>
    <w:p w14:paraId="63225D55">
      <w:pPr>
        <w:adjustRightInd w:val="0"/>
        <w:snapToGrid w:val="0"/>
        <w:spacing w:line="360" w:lineRule="auto"/>
        <w:ind w:firstLine="480" w:firstLineChars="200"/>
        <w:rPr>
          <w:rFonts w:hint="eastAsia" w:ascii="宋体" w:hAnsi="宋体"/>
          <w:sz w:val="24"/>
        </w:rPr>
      </w:pPr>
    </w:p>
    <w:p w14:paraId="3863663D">
      <w:pPr>
        <w:widowControl/>
        <w:jc w:val="left"/>
        <w:rPr>
          <w:rFonts w:ascii="Times New Roman" w:hAnsi="Times New Roman"/>
          <w:sz w:val="28"/>
          <w:szCs w:val="28"/>
        </w:rPr>
      </w:pPr>
      <w:r>
        <w:rPr>
          <w:rFonts w:hint="eastAsia" w:ascii="宋体" w:hAnsi="宋体"/>
          <w:b/>
          <w:color w:val="000000"/>
          <w:sz w:val="28"/>
          <w:szCs w:val="28"/>
        </w:rPr>
        <w:t>五、目标评价与成绩评定</w:t>
      </w:r>
    </w:p>
    <w:p w14:paraId="5855FC43">
      <w:pPr>
        <w:spacing w:line="360" w:lineRule="auto"/>
        <w:jc w:val="left"/>
        <w:rPr>
          <w:rFonts w:ascii="Times New Roman" w:hAnsi="Times New Roman"/>
          <w:b/>
          <w:sz w:val="24"/>
        </w:rPr>
      </w:pPr>
      <w:r>
        <w:rPr>
          <w:rFonts w:hint="eastAsia" w:ascii="Times New Roman" w:hAnsi="Times New Roman"/>
          <w:b/>
          <w:sz w:val="24"/>
        </w:rPr>
        <w:t>（一）课程目标评价方式</w:t>
      </w:r>
    </w:p>
    <w:p w14:paraId="75BB88D4">
      <w:pPr>
        <w:spacing w:line="360" w:lineRule="auto"/>
        <w:ind w:firstLine="480" w:firstLineChars="200"/>
        <w:jc w:val="left"/>
        <w:rPr>
          <w:rFonts w:ascii="Times New Roman" w:hAnsi="Times New Roman"/>
          <w:sz w:val="24"/>
        </w:rPr>
      </w:pPr>
      <w:r>
        <w:rPr>
          <w:rFonts w:hint="eastAsia" w:ascii="Times New Roman" w:hAnsi="Times New Roman"/>
          <w:sz w:val="24"/>
        </w:rPr>
        <w:t>根据总体设计，用于评价各课程目标的评价方式如表3</w:t>
      </w:r>
      <w:r>
        <w:rPr>
          <w:rFonts w:ascii="Times New Roman" w:hAnsi="Times New Roman"/>
          <w:sz w:val="24"/>
        </w:rPr>
        <w:t>所示。</w:t>
      </w:r>
    </w:p>
    <w:p w14:paraId="367D1BD6">
      <w:pPr>
        <w:spacing w:line="360" w:lineRule="auto"/>
        <w:jc w:val="center"/>
        <w:rPr>
          <w:rFonts w:ascii="Times New Roman" w:hAnsi="Times New Roman"/>
          <w:b/>
          <w:bCs/>
          <w:sz w:val="24"/>
        </w:rPr>
      </w:pPr>
      <w:r>
        <w:rPr>
          <w:rFonts w:hint="eastAsia" w:ascii="Times New Roman" w:hAnsi="Times New Roman"/>
          <w:b/>
          <w:bCs/>
          <w:sz w:val="24"/>
        </w:rPr>
        <w:t>表3</w:t>
      </w:r>
      <w:r>
        <w:rPr>
          <w:rFonts w:ascii="Times New Roman" w:hAnsi="Times New Roman"/>
          <w:b/>
          <w:bCs/>
          <w:sz w:val="24"/>
        </w:rPr>
        <w:t>课程教学评价设计总表</w:t>
      </w:r>
    </w:p>
    <w:tbl>
      <w:tblPr>
        <w:tblStyle w:val="14"/>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62"/>
        <w:gridCol w:w="1062"/>
        <w:gridCol w:w="1668"/>
        <w:gridCol w:w="1062"/>
        <w:gridCol w:w="1440"/>
        <w:gridCol w:w="851"/>
      </w:tblGrid>
      <w:tr w14:paraId="7E46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78A1AD17">
            <w:pPr>
              <w:spacing w:line="360" w:lineRule="auto"/>
              <w:jc w:val="center"/>
              <w:rPr>
                <w:rFonts w:hint="eastAsia" w:ascii="宋体" w:hAnsi="宋体"/>
                <w:kern w:val="0"/>
                <w:sz w:val="24"/>
              </w:rPr>
            </w:pPr>
            <w:r>
              <w:rPr>
                <w:rFonts w:hint="eastAsia" w:ascii="宋体" w:hAnsi="宋体"/>
                <w:kern w:val="0"/>
                <w:sz w:val="24"/>
              </w:rPr>
              <w:t>课程目标</w:t>
            </w:r>
          </w:p>
        </w:tc>
        <w:tc>
          <w:tcPr>
            <w:tcW w:w="6294" w:type="dxa"/>
            <w:gridSpan w:val="5"/>
            <w:vAlign w:val="center"/>
          </w:tcPr>
          <w:p w14:paraId="6D7A4F14">
            <w:pPr>
              <w:spacing w:line="360" w:lineRule="auto"/>
              <w:jc w:val="center"/>
              <w:rPr>
                <w:rFonts w:hint="eastAsia" w:ascii="宋体" w:hAnsi="宋体"/>
                <w:kern w:val="0"/>
                <w:sz w:val="24"/>
              </w:rPr>
            </w:pPr>
            <w:r>
              <w:rPr>
                <w:rFonts w:hint="eastAsia" w:ascii="宋体" w:hAnsi="宋体"/>
                <w:kern w:val="0"/>
                <w:sz w:val="24"/>
              </w:rPr>
              <w:t>评价与成绩评定方法</w:t>
            </w:r>
          </w:p>
        </w:tc>
        <w:tc>
          <w:tcPr>
            <w:tcW w:w="851" w:type="dxa"/>
            <w:vMerge w:val="restart"/>
            <w:vAlign w:val="center"/>
          </w:tcPr>
          <w:p w14:paraId="083898B2">
            <w:pPr>
              <w:spacing w:line="360" w:lineRule="auto"/>
              <w:jc w:val="center"/>
              <w:rPr>
                <w:rFonts w:hint="eastAsia" w:ascii="宋体" w:hAnsi="宋体"/>
                <w:kern w:val="0"/>
                <w:sz w:val="24"/>
              </w:rPr>
            </w:pPr>
            <w:r>
              <w:rPr>
                <w:rFonts w:hint="eastAsia" w:ascii="宋体" w:hAnsi="宋体"/>
                <w:kern w:val="0"/>
                <w:sz w:val="24"/>
              </w:rPr>
              <w:t>分值</w:t>
            </w:r>
          </w:p>
        </w:tc>
      </w:tr>
      <w:tr w14:paraId="2EC5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707DA92">
            <w:pPr>
              <w:spacing w:line="360" w:lineRule="auto"/>
              <w:jc w:val="center"/>
              <w:rPr>
                <w:rFonts w:hint="eastAsia" w:ascii="宋体" w:hAnsi="宋体"/>
                <w:kern w:val="0"/>
                <w:sz w:val="24"/>
              </w:rPr>
            </w:pPr>
          </w:p>
        </w:tc>
        <w:tc>
          <w:tcPr>
            <w:tcW w:w="0" w:type="auto"/>
            <w:vAlign w:val="center"/>
          </w:tcPr>
          <w:p w14:paraId="03591C3D">
            <w:pPr>
              <w:spacing w:line="360" w:lineRule="auto"/>
              <w:jc w:val="center"/>
              <w:rPr>
                <w:rFonts w:hint="eastAsia" w:ascii="宋体" w:hAnsi="宋体"/>
                <w:kern w:val="0"/>
                <w:sz w:val="24"/>
              </w:rPr>
            </w:pPr>
            <w:r>
              <w:rPr>
                <w:rFonts w:hint="eastAsia" w:ascii="宋体" w:hAnsi="宋体"/>
                <w:kern w:val="0"/>
                <w:sz w:val="24"/>
              </w:rPr>
              <w:t>平时作业</w:t>
            </w:r>
          </w:p>
        </w:tc>
        <w:tc>
          <w:tcPr>
            <w:tcW w:w="0" w:type="auto"/>
            <w:vAlign w:val="center"/>
          </w:tcPr>
          <w:p w14:paraId="0C9CF3C1">
            <w:pPr>
              <w:spacing w:line="360" w:lineRule="auto"/>
              <w:jc w:val="center"/>
              <w:rPr>
                <w:rFonts w:hint="eastAsia" w:ascii="宋体" w:hAnsi="宋体"/>
                <w:kern w:val="0"/>
                <w:sz w:val="24"/>
              </w:rPr>
            </w:pPr>
            <w:r>
              <w:rPr>
                <w:rFonts w:hint="eastAsia" w:ascii="宋体" w:hAnsi="宋体"/>
                <w:kern w:val="0"/>
                <w:sz w:val="24"/>
              </w:rPr>
              <w:t>课堂表现</w:t>
            </w:r>
          </w:p>
        </w:tc>
        <w:tc>
          <w:tcPr>
            <w:tcW w:w="0" w:type="auto"/>
            <w:vAlign w:val="center"/>
          </w:tcPr>
          <w:p w14:paraId="7C3FF14D">
            <w:pPr>
              <w:spacing w:line="360" w:lineRule="auto"/>
              <w:jc w:val="center"/>
              <w:rPr>
                <w:rFonts w:hint="eastAsia" w:ascii="宋体" w:hAnsi="宋体"/>
                <w:kern w:val="0"/>
                <w:sz w:val="24"/>
              </w:rPr>
            </w:pPr>
            <w:r>
              <w:rPr>
                <w:rFonts w:hint="eastAsia" w:ascii="宋体" w:hAnsi="宋体"/>
                <w:kern w:val="0"/>
                <w:sz w:val="24"/>
              </w:rPr>
              <w:t>小组讨论与汇报</w:t>
            </w:r>
          </w:p>
        </w:tc>
        <w:tc>
          <w:tcPr>
            <w:tcW w:w="0" w:type="auto"/>
            <w:vAlign w:val="center"/>
          </w:tcPr>
          <w:p w14:paraId="3C190E09">
            <w:pPr>
              <w:spacing w:line="360" w:lineRule="auto"/>
              <w:jc w:val="center"/>
              <w:rPr>
                <w:rFonts w:hint="eastAsia" w:ascii="宋体" w:hAnsi="宋体"/>
                <w:kern w:val="0"/>
                <w:sz w:val="24"/>
              </w:rPr>
            </w:pPr>
            <w:r>
              <w:rPr>
                <w:rFonts w:hint="eastAsia" w:ascii="宋体" w:hAnsi="宋体"/>
                <w:kern w:val="0"/>
                <w:sz w:val="24"/>
              </w:rPr>
              <w:t>期末考试</w:t>
            </w:r>
          </w:p>
        </w:tc>
        <w:tc>
          <w:tcPr>
            <w:tcW w:w="1440" w:type="dxa"/>
          </w:tcPr>
          <w:p w14:paraId="283C3AE0">
            <w:pPr>
              <w:spacing w:line="360" w:lineRule="auto"/>
              <w:jc w:val="center"/>
              <w:rPr>
                <w:rFonts w:hint="eastAsia" w:ascii="宋体" w:hAnsi="宋体"/>
                <w:kern w:val="0"/>
                <w:sz w:val="24"/>
              </w:rPr>
            </w:pPr>
            <w:r>
              <w:rPr>
                <w:rFonts w:hint="eastAsia" w:ascii="宋体" w:hAnsi="宋体"/>
                <w:kern w:val="0"/>
                <w:sz w:val="24"/>
              </w:rPr>
              <w:t>自主学习</w:t>
            </w:r>
          </w:p>
        </w:tc>
        <w:tc>
          <w:tcPr>
            <w:tcW w:w="851" w:type="dxa"/>
            <w:vMerge w:val="continue"/>
            <w:vAlign w:val="center"/>
          </w:tcPr>
          <w:p w14:paraId="29AB616B">
            <w:pPr>
              <w:spacing w:line="360" w:lineRule="auto"/>
              <w:jc w:val="center"/>
              <w:rPr>
                <w:rFonts w:hint="eastAsia" w:ascii="宋体" w:hAnsi="宋体"/>
                <w:kern w:val="0"/>
                <w:sz w:val="24"/>
              </w:rPr>
            </w:pPr>
          </w:p>
        </w:tc>
      </w:tr>
      <w:tr w14:paraId="6E93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7E9029F">
            <w:pPr>
              <w:spacing w:line="360" w:lineRule="auto"/>
              <w:jc w:val="center"/>
              <w:rPr>
                <w:rFonts w:hint="eastAsia" w:ascii="宋体" w:hAnsi="宋体"/>
                <w:kern w:val="0"/>
                <w:sz w:val="24"/>
              </w:rPr>
            </w:pPr>
            <w:r>
              <w:rPr>
                <w:rFonts w:hint="eastAsia" w:ascii="宋体" w:hAnsi="宋体"/>
                <w:kern w:val="0"/>
                <w:sz w:val="24"/>
              </w:rPr>
              <w:t>课程目标1</w:t>
            </w:r>
          </w:p>
        </w:tc>
        <w:tc>
          <w:tcPr>
            <w:tcW w:w="0" w:type="auto"/>
            <w:vAlign w:val="center"/>
          </w:tcPr>
          <w:p w14:paraId="21166A73">
            <w:pPr>
              <w:spacing w:line="360" w:lineRule="auto"/>
              <w:jc w:val="center"/>
              <w:rPr>
                <w:rFonts w:hint="eastAsia" w:ascii="宋体" w:hAnsi="宋体"/>
                <w:kern w:val="0"/>
                <w:sz w:val="24"/>
              </w:rPr>
            </w:pPr>
            <w:r>
              <w:rPr>
                <w:rFonts w:ascii="宋体" w:hAnsi="宋体"/>
                <w:kern w:val="0"/>
                <w:sz w:val="24"/>
              </w:rPr>
              <w:sym w:font="Wingdings 2" w:char="F050"/>
            </w:r>
          </w:p>
        </w:tc>
        <w:tc>
          <w:tcPr>
            <w:tcW w:w="0" w:type="auto"/>
            <w:vAlign w:val="center"/>
          </w:tcPr>
          <w:p w14:paraId="73FE8BB3">
            <w:pPr>
              <w:spacing w:line="360" w:lineRule="auto"/>
              <w:jc w:val="center"/>
              <w:rPr>
                <w:rFonts w:hint="eastAsia" w:ascii="宋体" w:hAnsi="宋体"/>
                <w:kern w:val="0"/>
                <w:sz w:val="24"/>
              </w:rPr>
            </w:pPr>
            <w:r>
              <w:rPr>
                <w:rFonts w:ascii="宋体" w:hAnsi="宋体"/>
                <w:kern w:val="0"/>
                <w:sz w:val="24"/>
              </w:rPr>
              <w:sym w:font="Wingdings 2" w:char="F050"/>
            </w:r>
          </w:p>
        </w:tc>
        <w:tc>
          <w:tcPr>
            <w:tcW w:w="0" w:type="auto"/>
            <w:vAlign w:val="center"/>
          </w:tcPr>
          <w:p w14:paraId="07424EA3">
            <w:pPr>
              <w:spacing w:line="360" w:lineRule="auto"/>
              <w:jc w:val="center"/>
              <w:rPr>
                <w:rFonts w:hint="eastAsia" w:ascii="宋体" w:hAnsi="宋体"/>
                <w:kern w:val="0"/>
                <w:sz w:val="24"/>
              </w:rPr>
            </w:pPr>
          </w:p>
        </w:tc>
        <w:tc>
          <w:tcPr>
            <w:tcW w:w="0" w:type="auto"/>
            <w:vAlign w:val="center"/>
          </w:tcPr>
          <w:p w14:paraId="15CF7964">
            <w:pPr>
              <w:spacing w:line="360" w:lineRule="auto"/>
              <w:jc w:val="center"/>
              <w:rPr>
                <w:rFonts w:hint="eastAsia" w:ascii="宋体" w:hAnsi="宋体"/>
                <w:kern w:val="0"/>
                <w:sz w:val="24"/>
              </w:rPr>
            </w:pPr>
            <w:r>
              <w:rPr>
                <w:rFonts w:ascii="宋体" w:hAnsi="宋体"/>
                <w:kern w:val="0"/>
                <w:sz w:val="24"/>
              </w:rPr>
              <w:sym w:font="Wingdings 2" w:char="F050"/>
            </w:r>
          </w:p>
        </w:tc>
        <w:tc>
          <w:tcPr>
            <w:tcW w:w="1440" w:type="dxa"/>
          </w:tcPr>
          <w:p w14:paraId="5370B151">
            <w:pPr>
              <w:spacing w:line="360" w:lineRule="auto"/>
              <w:jc w:val="center"/>
              <w:rPr>
                <w:rFonts w:hint="eastAsia" w:ascii="宋体" w:hAnsi="宋体"/>
                <w:kern w:val="0"/>
                <w:sz w:val="24"/>
              </w:rPr>
            </w:pPr>
            <w:r>
              <w:rPr>
                <w:rFonts w:ascii="宋体" w:hAnsi="宋体"/>
                <w:kern w:val="0"/>
                <w:sz w:val="24"/>
              </w:rPr>
              <w:sym w:font="Wingdings 2" w:char="F050"/>
            </w:r>
          </w:p>
        </w:tc>
        <w:tc>
          <w:tcPr>
            <w:tcW w:w="851" w:type="dxa"/>
            <w:vAlign w:val="center"/>
          </w:tcPr>
          <w:p w14:paraId="254F4EEA">
            <w:pPr>
              <w:spacing w:line="360" w:lineRule="auto"/>
              <w:jc w:val="center"/>
              <w:rPr>
                <w:rFonts w:hint="eastAsia" w:ascii="宋体" w:hAnsi="宋体"/>
                <w:kern w:val="0"/>
                <w:sz w:val="24"/>
              </w:rPr>
            </w:pPr>
            <w:r>
              <w:rPr>
                <w:rFonts w:hint="eastAsia" w:ascii="宋体" w:hAnsi="宋体"/>
                <w:kern w:val="0"/>
                <w:sz w:val="24"/>
              </w:rPr>
              <w:t>25</w:t>
            </w:r>
          </w:p>
        </w:tc>
      </w:tr>
      <w:tr w14:paraId="2C2A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CB3B57D">
            <w:pPr>
              <w:spacing w:line="360" w:lineRule="auto"/>
              <w:jc w:val="center"/>
              <w:rPr>
                <w:rFonts w:hint="eastAsia" w:ascii="宋体" w:hAnsi="宋体"/>
                <w:kern w:val="0"/>
                <w:sz w:val="24"/>
              </w:rPr>
            </w:pPr>
            <w:r>
              <w:rPr>
                <w:rFonts w:hint="eastAsia" w:ascii="宋体" w:hAnsi="宋体"/>
                <w:kern w:val="0"/>
                <w:sz w:val="24"/>
              </w:rPr>
              <w:t>课程目标2</w:t>
            </w:r>
          </w:p>
        </w:tc>
        <w:tc>
          <w:tcPr>
            <w:tcW w:w="0" w:type="auto"/>
            <w:vAlign w:val="center"/>
          </w:tcPr>
          <w:p w14:paraId="35463B93">
            <w:pPr>
              <w:spacing w:line="360" w:lineRule="auto"/>
              <w:jc w:val="center"/>
              <w:rPr>
                <w:rFonts w:hint="eastAsia" w:ascii="宋体" w:hAnsi="宋体"/>
                <w:kern w:val="0"/>
                <w:sz w:val="24"/>
              </w:rPr>
            </w:pPr>
            <w:r>
              <w:rPr>
                <w:rFonts w:ascii="宋体" w:hAnsi="宋体"/>
                <w:kern w:val="0"/>
                <w:sz w:val="24"/>
              </w:rPr>
              <w:sym w:font="Wingdings 2" w:char="F050"/>
            </w:r>
          </w:p>
        </w:tc>
        <w:tc>
          <w:tcPr>
            <w:tcW w:w="0" w:type="auto"/>
            <w:vAlign w:val="center"/>
          </w:tcPr>
          <w:p w14:paraId="626854F6">
            <w:pPr>
              <w:spacing w:line="360" w:lineRule="auto"/>
              <w:jc w:val="center"/>
              <w:rPr>
                <w:rFonts w:hint="eastAsia" w:ascii="宋体" w:hAnsi="宋体"/>
                <w:kern w:val="0"/>
                <w:sz w:val="24"/>
              </w:rPr>
            </w:pPr>
            <w:r>
              <w:rPr>
                <w:rFonts w:ascii="宋体" w:hAnsi="宋体"/>
                <w:kern w:val="0"/>
                <w:sz w:val="24"/>
              </w:rPr>
              <w:sym w:font="Wingdings 2" w:char="F050"/>
            </w:r>
          </w:p>
        </w:tc>
        <w:tc>
          <w:tcPr>
            <w:tcW w:w="0" w:type="auto"/>
            <w:vAlign w:val="center"/>
          </w:tcPr>
          <w:p w14:paraId="5790440C">
            <w:pPr>
              <w:spacing w:line="360" w:lineRule="auto"/>
              <w:jc w:val="center"/>
              <w:rPr>
                <w:rFonts w:hint="eastAsia" w:ascii="宋体" w:hAnsi="宋体"/>
                <w:kern w:val="0"/>
                <w:sz w:val="24"/>
              </w:rPr>
            </w:pPr>
          </w:p>
        </w:tc>
        <w:tc>
          <w:tcPr>
            <w:tcW w:w="0" w:type="auto"/>
            <w:vAlign w:val="center"/>
          </w:tcPr>
          <w:p w14:paraId="548F62AA">
            <w:pPr>
              <w:spacing w:line="360" w:lineRule="auto"/>
              <w:jc w:val="center"/>
              <w:rPr>
                <w:rFonts w:hint="eastAsia" w:ascii="宋体" w:hAnsi="宋体"/>
                <w:kern w:val="0"/>
                <w:sz w:val="24"/>
              </w:rPr>
            </w:pPr>
            <w:r>
              <w:rPr>
                <w:rFonts w:ascii="宋体" w:hAnsi="宋体"/>
                <w:kern w:val="0"/>
                <w:sz w:val="24"/>
              </w:rPr>
              <w:sym w:font="Wingdings 2" w:char="F050"/>
            </w:r>
          </w:p>
        </w:tc>
        <w:tc>
          <w:tcPr>
            <w:tcW w:w="1440" w:type="dxa"/>
          </w:tcPr>
          <w:p w14:paraId="1BC8F997">
            <w:pPr>
              <w:spacing w:line="360" w:lineRule="auto"/>
              <w:jc w:val="center"/>
              <w:rPr>
                <w:rFonts w:hint="eastAsia" w:ascii="宋体" w:hAnsi="宋体"/>
                <w:kern w:val="0"/>
                <w:sz w:val="24"/>
              </w:rPr>
            </w:pPr>
            <w:r>
              <w:rPr>
                <w:rFonts w:ascii="宋体" w:hAnsi="宋体"/>
                <w:kern w:val="0"/>
                <w:sz w:val="24"/>
              </w:rPr>
              <w:sym w:font="Wingdings 2" w:char="F050"/>
            </w:r>
          </w:p>
        </w:tc>
        <w:tc>
          <w:tcPr>
            <w:tcW w:w="851" w:type="dxa"/>
            <w:vAlign w:val="center"/>
          </w:tcPr>
          <w:p w14:paraId="081BC391">
            <w:pPr>
              <w:spacing w:line="360" w:lineRule="auto"/>
              <w:jc w:val="center"/>
              <w:rPr>
                <w:rFonts w:hint="eastAsia" w:ascii="宋体" w:hAnsi="宋体"/>
                <w:kern w:val="0"/>
                <w:sz w:val="24"/>
              </w:rPr>
            </w:pPr>
            <w:r>
              <w:rPr>
                <w:rFonts w:hint="eastAsia" w:ascii="宋体" w:hAnsi="宋体"/>
                <w:kern w:val="0"/>
                <w:sz w:val="24"/>
              </w:rPr>
              <w:t>25</w:t>
            </w:r>
          </w:p>
        </w:tc>
      </w:tr>
      <w:tr w14:paraId="2431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868807">
            <w:pPr>
              <w:spacing w:line="360" w:lineRule="auto"/>
              <w:jc w:val="center"/>
              <w:rPr>
                <w:rFonts w:hint="eastAsia" w:ascii="宋体" w:hAnsi="宋体"/>
                <w:kern w:val="0"/>
                <w:sz w:val="24"/>
              </w:rPr>
            </w:pPr>
            <w:r>
              <w:rPr>
                <w:rFonts w:hint="eastAsia" w:ascii="宋体" w:hAnsi="宋体"/>
                <w:kern w:val="0"/>
                <w:sz w:val="24"/>
              </w:rPr>
              <w:t>课程目标3</w:t>
            </w:r>
          </w:p>
        </w:tc>
        <w:tc>
          <w:tcPr>
            <w:tcW w:w="0" w:type="auto"/>
            <w:vAlign w:val="center"/>
          </w:tcPr>
          <w:p w14:paraId="231D72A6">
            <w:pPr>
              <w:spacing w:line="360" w:lineRule="auto"/>
              <w:jc w:val="center"/>
              <w:rPr>
                <w:rFonts w:hint="eastAsia" w:ascii="宋体" w:hAnsi="宋体"/>
                <w:kern w:val="0"/>
                <w:sz w:val="24"/>
              </w:rPr>
            </w:pPr>
            <w:r>
              <w:rPr>
                <w:rFonts w:ascii="宋体" w:hAnsi="宋体"/>
                <w:kern w:val="0"/>
                <w:sz w:val="24"/>
              </w:rPr>
              <w:sym w:font="Wingdings 2" w:char="F050"/>
            </w:r>
          </w:p>
        </w:tc>
        <w:tc>
          <w:tcPr>
            <w:tcW w:w="0" w:type="auto"/>
            <w:vAlign w:val="center"/>
          </w:tcPr>
          <w:p w14:paraId="3BC418C1">
            <w:pPr>
              <w:spacing w:line="360" w:lineRule="auto"/>
              <w:jc w:val="center"/>
              <w:rPr>
                <w:rFonts w:hint="eastAsia" w:ascii="宋体" w:hAnsi="宋体"/>
                <w:kern w:val="0"/>
                <w:sz w:val="24"/>
              </w:rPr>
            </w:pPr>
            <w:r>
              <w:rPr>
                <w:rFonts w:ascii="宋体" w:hAnsi="宋体"/>
                <w:kern w:val="0"/>
                <w:sz w:val="24"/>
              </w:rPr>
              <w:sym w:font="Wingdings 2" w:char="F050"/>
            </w:r>
          </w:p>
        </w:tc>
        <w:tc>
          <w:tcPr>
            <w:tcW w:w="0" w:type="auto"/>
            <w:vAlign w:val="center"/>
          </w:tcPr>
          <w:p w14:paraId="6CF684C5">
            <w:pPr>
              <w:spacing w:line="360" w:lineRule="auto"/>
              <w:jc w:val="center"/>
              <w:rPr>
                <w:rFonts w:hint="eastAsia" w:ascii="宋体" w:hAnsi="宋体"/>
                <w:kern w:val="0"/>
                <w:sz w:val="24"/>
              </w:rPr>
            </w:pPr>
            <w:r>
              <w:rPr>
                <w:rFonts w:ascii="宋体" w:hAnsi="宋体"/>
                <w:kern w:val="0"/>
                <w:sz w:val="24"/>
              </w:rPr>
              <w:sym w:font="Wingdings 2" w:char="F050"/>
            </w:r>
          </w:p>
        </w:tc>
        <w:tc>
          <w:tcPr>
            <w:tcW w:w="0" w:type="auto"/>
            <w:vAlign w:val="center"/>
          </w:tcPr>
          <w:p w14:paraId="48505F8B">
            <w:pPr>
              <w:spacing w:line="360" w:lineRule="auto"/>
              <w:jc w:val="center"/>
              <w:rPr>
                <w:rFonts w:hint="eastAsia" w:ascii="宋体" w:hAnsi="宋体"/>
                <w:kern w:val="0"/>
                <w:sz w:val="24"/>
              </w:rPr>
            </w:pPr>
            <w:r>
              <w:rPr>
                <w:rFonts w:ascii="宋体" w:hAnsi="宋体"/>
                <w:kern w:val="0"/>
                <w:sz w:val="24"/>
              </w:rPr>
              <w:sym w:font="Wingdings 2" w:char="F050"/>
            </w:r>
          </w:p>
        </w:tc>
        <w:tc>
          <w:tcPr>
            <w:tcW w:w="1440" w:type="dxa"/>
          </w:tcPr>
          <w:p w14:paraId="4E6E3994">
            <w:pPr>
              <w:spacing w:line="360" w:lineRule="auto"/>
              <w:jc w:val="center"/>
              <w:rPr>
                <w:rFonts w:hint="eastAsia" w:ascii="宋体" w:hAnsi="宋体"/>
                <w:kern w:val="0"/>
                <w:sz w:val="24"/>
              </w:rPr>
            </w:pPr>
          </w:p>
        </w:tc>
        <w:tc>
          <w:tcPr>
            <w:tcW w:w="851" w:type="dxa"/>
            <w:vAlign w:val="center"/>
          </w:tcPr>
          <w:p w14:paraId="75A3B3AF">
            <w:pPr>
              <w:spacing w:line="360" w:lineRule="auto"/>
              <w:jc w:val="center"/>
              <w:rPr>
                <w:rFonts w:hint="eastAsia" w:ascii="宋体" w:hAnsi="宋体"/>
                <w:kern w:val="0"/>
                <w:sz w:val="24"/>
              </w:rPr>
            </w:pPr>
            <w:r>
              <w:rPr>
                <w:rFonts w:hint="eastAsia" w:ascii="宋体" w:hAnsi="宋体"/>
                <w:kern w:val="0"/>
                <w:sz w:val="24"/>
              </w:rPr>
              <w:t>25</w:t>
            </w:r>
          </w:p>
        </w:tc>
      </w:tr>
      <w:tr w14:paraId="7720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18BD8AA">
            <w:pPr>
              <w:spacing w:line="360" w:lineRule="auto"/>
              <w:jc w:val="center"/>
              <w:rPr>
                <w:rFonts w:hint="eastAsia" w:ascii="宋体" w:hAnsi="宋体"/>
                <w:kern w:val="0"/>
                <w:sz w:val="24"/>
              </w:rPr>
            </w:pPr>
            <w:r>
              <w:rPr>
                <w:rFonts w:hint="eastAsia" w:ascii="宋体" w:hAnsi="宋体"/>
                <w:kern w:val="0"/>
                <w:sz w:val="24"/>
              </w:rPr>
              <w:t>课程目标4</w:t>
            </w:r>
          </w:p>
        </w:tc>
        <w:tc>
          <w:tcPr>
            <w:tcW w:w="0" w:type="auto"/>
            <w:vAlign w:val="center"/>
          </w:tcPr>
          <w:p w14:paraId="3D039A5F">
            <w:pPr>
              <w:spacing w:line="360" w:lineRule="auto"/>
              <w:jc w:val="center"/>
              <w:rPr>
                <w:rFonts w:hint="eastAsia" w:ascii="宋体" w:hAnsi="宋体"/>
                <w:kern w:val="0"/>
                <w:sz w:val="24"/>
              </w:rPr>
            </w:pPr>
            <w:r>
              <w:rPr>
                <w:rFonts w:ascii="宋体" w:hAnsi="宋体"/>
                <w:kern w:val="0"/>
                <w:sz w:val="24"/>
              </w:rPr>
              <w:sym w:font="Wingdings 2" w:char="F050"/>
            </w:r>
          </w:p>
        </w:tc>
        <w:tc>
          <w:tcPr>
            <w:tcW w:w="0" w:type="auto"/>
            <w:vAlign w:val="center"/>
          </w:tcPr>
          <w:p w14:paraId="4E45F338">
            <w:pPr>
              <w:spacing w:line="360" w:lineRule="auto"/>
              <w:jc w:val="center"/>
              <w:rPr>
                <w:rFonts w:hint="eastAsia" w:ascii="宋体" w:hAnsi="宋体"/>
                <w:kern w:val="0"/>
                <w:sz w:val="24"/>
              </w:rPr>
            </w:pPr>
            <w:r>
              <w:rPr>
                <w:rFonts w:ascii="宋体" w:hAnsi="宋体"/>
                <w:kern w:val="0"/>
                <w:sz w:val="24"/>
              </w:rPr>
              <w:sym w:font="Wingdings 2" w:char="F050"/>
            </w:r>
          </w:p>
        </w:tc>
        <w:tc>
          <w:tcPr>
            <w:tcW w:w="0" w:type="auto"/>
            <w:vAlign w:val="center"/>
          </w:tcPr>
          <w:p w14:paraId="6C909AD6">
            <w:pPr>
              <w:spacing w:line="360" w:lineRule="auto"/>
              <w:jc w:val="center"/>
              <w:rPr>
                <w:rFonts w:hint="eastAsia" w:ascii="宋体" w:hAnsi="宋体"/>
                <w:kern w:val="0"/>
                <w:sz w:val="24"/>
              </w:rPr>
            </w:pPr>
            <w:r>
              <w:rPr>
                <w:rFonts w:ascii="宋体" w:hAnsi="宋体"/>
                <w:kern w:val="0"/>
                <w:sz w:val="24"/>
              </w:rPr>
              <w:sym w:font="Wingdings 2" w:char="F050"/>
            </w:r>
          </w:p>
        </w:tc>
        <w:tc>
          <w:tcPr>
            <w:tcW w:w="0" w:type="auto"/>
            <w:vAlign w:val="center"/>
          </w:tcPr>
          <w:p w14:paraId="0290E860">
            <w:pPr>
              <w:spacing w:line="360" w:lineRule="auto"/>
              <w:jc w:val="center"/>
              <w:rPr>
                <w:rFonts w:hint="eastAsia" w:ascii="宋体" w:hAnsi="宋体"/>
                <w:kern w:val="0"/>
                <w:sz w:val="24"/>
              </w:rPr>
            </w:pPr>
            <w:r>
              <w:rPr>
                <w:rFonts w:hint="eastAsia" w:ascii="宋体" w:hAnsi="宋体"/>
                <w:kern w:val="0"/>
                <w:sz w:val="24"/>
              </w:rPr>
              <w:sym w:font="Wingdings 2" w:char="F050"/>
            </w:r>
          </w:p>
        </w:tc>
        <w:tc>
          <w:tcPr>
            <w:tcW w:w="1440" w:type="dxa"/>
          </w:tcPr>
          <w:p w14:paraId="0C2F5C42">
            <w:pPr>
              <w:spacing w:line="360" w:lineRule="auto"/>
              <w:jc w:val="center"/>
              <w:rPr>
                <w:rFonts w:hint="eastAsia" w:ascii="宋体" w:hAnsi="宋体"/>
                <w:kern w:val="0"/>
                <w:sz w:val="24"/>
              </w:rPr>
            </w:pPr>
            <w:r>
              <w:rPr>
                <w:rFonts w:ascii="宋体" w:hAnsi="宋体"/>
                <w:kern w:val="0"/>
                <w:sz w:val="24"/>
              </w:rPr>
              <w:sym w:font="Wingdings 2" w:char="F050"/>
            </w:r>
          </w:p>
        </w:tc>
        <w:tc>
          <w:tcPr>
            <w:tcW w:w="851" w:type="dxa"/>
            <w:vAlign w:val="center"/>
          </w:tcPr>
          <w:p w14:paraId="0FF2F7FE">
            <w:pPr>
              <w:spacing w:line="360" w:lineRule="auto"/>
              <w:jc w:val="center"/>
              <w:rPr>
                <w:rFonts w:hint="eastAsia" w:ascii="宋体" w:hAnsi="宋体"/>
                <w:kern w:val="0"/>
                <w:sz w:val="24"/>
              </w:rPr>
            </w:pPr>
            <w:r>
              <w:rPr>
                <w:rFonts w:hint="eastAsia" w:ascii="宋体" w:hAnsi="宋体"/>
                <w:kern w:val="0"/>
                <w:sz w:val="24"/>
              </w:rPr>
              <w:t>25</w:t>
            </w:r>
          </w:p>
        </w:tc>
      </w:tr>
      <w:tr w14:paraId="32D9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17BA01">
            <w:pPr>
              <w:spacing w:line="360" w:lineRule="auto"/>
              <w:jc w:val="center"/>
              <w:rPr>
                <w:rFonts w:hint="eastAsia" w:ascii="宋体" w:hAnsi="宋体"/>
                <w:kern w:val="0"/>
                <w:sz w:val="24"/>
              </w:rPr>
            </w:pPr>
            <w:r>
              <w:rPr>
                <w:rFonts w:hint="eastAsia" w:ascii="宋体" w:hAnsi="宋体"/>
                <w:kern w:val="0"/>
                <w:sz w:val="24"/>
              </w:rPr>
              <w:t>合计</w:t>
            </w:r>
          </w:p>
        </w:tc>
        <w:tc>
          <w:tcPr>
            <w:tcW w:w="0" w:type="auto"/>
            <w:vAlign w:val="center"/>
          </w:tcPr>
          <w:p w14:paraId="01478911">
            <w:pPr>
              <w:spacing w:line="360" w:lineRule="auto"/>
              <w:jc w:val="center"/>
              <w:rPr>
                <w:rFonts w:hint="eastAsia" w:ascii="宋体" w:hAnsi="宋体"/>
                <w:kern w:val="0"/>
                <w:sz w:val="24"/>
              </w:rPr>
            </w:pPr>
          </w:p>
        </w:tc>
        <w:tc>
          <w:tcPr>
            <w:tcW w:w="0" w:type="auto"/>
            <w:vAlign w:val="center"/>
          </w:tcPr>
          <w:p w14:paraId="3061F657">
            <w:pPr>
              <w:spacing w:line="360" w:lineRule="auto"/>
              <w:jc w:val="center"/>
              <w:rPr>
                <w:rFonts w:hint="eastAsia" w:ascii="宋体" w:hAnsi="宋体"/>
                <w:kern w:val="0"/>
                <w:sz w:val="24"/>
              </w:rPr>
            </w:pPr>
          </w:p>
        </w:tc>
        <w:tc>
          <w:tcPr>
            <w:tcW w:w="0" w:type="auto"/>
            <w:vAlign w:val="center"/>
          </w:tcPr>
          <w:p w14:paraId="3934450B">
            <w:pPr>
              <w:spacing w:line="360" w:lineRule="auto"/>
              <w:jc w:val="center"/>
              <w:rPr>
                <w:rFonts w:hint="eastAsia" w:ascii="宋体" w:hAnsi="宋体"/>
                <w:kern w:val="0"/>
                <w:sz w:val="24"/>
              </w:rPr>
            </w:pPr>
          </w:p>
        </w:tc>
        <w:tc>
          <w:tcPr>
            <w:tcW w:w="0" w:type="auto"/>
            <w:vAlign w:val="center"/>
          </w:tcPr>
          <w:p w14:paraId="25498962">
            <w:pPr>
              <w:spacing w:line="360" w:lineRule="auto"/>
              <w:jc w:val="center"/>
              <w:rPr>
                <w:rFonts w:hint="eastAsia" w:ascii="宋体" w:hAnsi="宋体"/>
                <w:kern w:val="0"/>
                <w:sz w:val="24"/>
              </w:rPr>
            </w:pPr>
          </w:p>
        </w:tc>
        <w:tc>
          <w:tcPr>
            <w:tcW w:w="1440" w:type="dxa"/>
          </w:tcPr>
          <w:p w14:paraId="1128303F">
            <w:pPr>
              <w:spacing w:line="360" w:lineRule="auto"/>
              <w:jc w:val="center"/>
              <w:rPr>
                <w:rFonts w:hint="eastAsia" w:ascii="宋体" w:hAnsi="宋体"/>
                <w:kern w:val="0"/>
                <w:sz w:val="24"/>
              </w:rPr>
            </w:pPr>
          </w:p>
        </w:tc>
        <w:tc>
          <w:tcPr>
            <w:tcW w:w="851" w:type="dxa"/>
            <w:vAlign w:val="center"/>
          </w:tcPr>
          <w:p w14:paraId="4DCFAAD7">
            <w:pPr>
              <w:spacing w:line="360" w:lineRule="auto"/>
              <w:jc w:val="center"/>
              <w:rPr>
                <w:rFonts w:hint="eastAsia" w:ascii="宋体" w:hAnsi="宋体"/>
                <w:kern w:val="0"/>
                <w:sz w:val="24"/>
              </w:rPr>
            </w:pPr>
            <w:r>
              <w:rPr>
                <w:rFonts w:hint="eastAsia" w:ascii="宋体" w:hAnsi="宋体"/>
                <w:kern w:val="0"/>
                <w:sz w:val="24"/>
              </w:rPr>
              <w:t>100</w:t>
            </w:r>
          </w:p>
        </w:tc>
      </w:tr>
    </w:tbl>
    <w:p w14:paraId="6B3FCA17">
      <w:pPr>
        <w:spacing w:before="156" w:beforeLines="50" w:line="360" w:lineRule="auto"/>
        <w:jc w:val="left"/>
        <w:rPr>
          <w:rFonts w:ascii="Times New Roman" w:hAnsi="Times New Roman"/>
          <w:b/>
          <w:sz w:val="24"/>
        </w:rPr>
      </w:pPr>
      <w:r>
        <w:rPr>
          <w:rFonts w:hint="eastAsia" w:ascii="Times New Roman" w:hAnsi="Times New Roman"/>
          <w:b/>
          <w:sz w:val="24"/>
        </w:rPr>
        <w:t>（二）成绩评定细则</w:t>
      </w:r>
    </w:p>
    <w:p w14:paraId="0938C640">
      <w:pPr>
        <w:spacing w:line="360" w:lineRule="auto"/>
        <w:ind w:firstLine="480" w:firstLineChars="200"/>
        <w:jc w:val="left"/>
        <w:rPr>
          <w:rFonts w:ascii="Times New Roman" w:hAnsi="Times New Roman"/>
          <w:sz w:val="24"/>
        </w:rPr>
      </w:pPr>
      <w:r>
        <w:rPr>
          <w:rFonts w:hint="eastAsia" w:ascii="Times New Roman" w:hAnsi="Times New Roman"/>
          <w:sz w:val="24"/>
        </w:rPr>
        <w:t>各部分的评价方式和成绩评定的细则如表4所示：</w:t>
      </w:r>
    </w:p>
    <w:p w14:paraId="621A3C52">
      <w:pPr>
        <w:jc w:val="center"/>
        <w:rPr>
          <w:rFonts w:ascii="Times New Roman" w:hAnsi="Times New Roman"/>
          <w:b/>
          <w:bCs/>
          <w:sz w:val="24"/>
        </w:rPr>
      </w:pPr>
      <w:r>
        <w:rPr>
          <w:rFonts w:hint="eastAsia" w:ascii="Times New Roman" w:hAnsi="Times New Roman"/>
          <w:b/>
          <w:bCs/>
          <w:sz w:val="24"/>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6924"/>
        <w:gridCol w:w="776"/>
      </w:tblGrid>
      <w:tr w14:paraId="66F7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3890309">
            <w:pPr>
              <w:jc w:val="center"/>
              <w:rPr>
                <w:rFonts w:ascii="Times New Roman" w:hAnsi="Times New Roman"/>
                <w:b/>
                <w:bCs/>
                <w:kern w:val="0"/>
                <w:sz w:val="24"/>
              </w:rPr>
            </w:pPr>
            <w:r>
              <w:rPr>
                <w:rFonts w:hint="eastAsia" w:ascii="Times New Roman" w:hAnsi="Times New Roman"/>
                <w:b/>
                <w:bCs/>
                <w:kern w:val="0"/>
                <w:sz w:val="24"/>
              </w:rPr>
              <w:t>评价方式</w:t>
            </w:r>
          </w:p>
        </w:tc>
        <w:tc>
          <w:tcPr>
            <w:tcW w:w="6924" w:type="dxa"/>
            <w:vAlign w:val="center"/>
          </w:tcPr>
          <w:p w14:paraId="5A4643AA">
            <w:pPr>
              <w:jc w:val="center"/>
              <w:rPr>
                <w:rFonts w:ascii="Times New Roman" w:hAnsi="Times New Roman"/>
                <w:b/>
                <w:bCs/>
                <w:kern w:val="0"/>
                <w:sz w:val="24"/>
              </w:rPr>
            </w:pPr>
            <w:r>
              <w:rPr>
                <w:rFonts w:hint="eastAsia" w:ascii="Times New Roman" w:hAnsi="Times New Roman"/>
                <w:b/>
                <w:bCs/>
                <w:kern w:val="0"/>
                <w:sz w:val="24"/>
              </w:rPr>
              <w:t>评定细则</w:t>
            </w:r>
          </w:p>
        </w:tc>
        <w:tc>
          <w:tcPr>
            <w:tcW w:w="0" w:type="auto"/>
            <w:vAlign w:val="center"/>
          </w:tcPr>
          <w:p w14:paraId="549EB0F7">
            <w:pPr>
              <w:jc w:val="center"/>
              <w:rPr>
                <w:rFonts w:ascii="Times New Roman" w:hAnsi="Times New Roman"/>
                <w:b/>
                <w:bCs/>
                <w:kern w:val="0"/>
                <w:sz w:val="24"/>
              </w:rPr>
            </w:pPr>
            <w:r>
              <w:rPr>
                <w:rFonts w:hint="eastAsia" w:ascii="Times New Roman" w:hAnsi="Times New Roman"/>
                <w:b/>
                <w:bCs/>
                <w:kern w:val="0"/>
                <w:sz w:val="24"/>
              </w:rPr>
              <w:t>占比</w:t>
            </w:r>
          </w:p>
        </w:tc>
      </w:tr>
      <w:tr w14:paraId="107A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CE39CB5">
            <w:pPr>
              <w:rPr>
                <w:rFonts w:ascii="Times New Roman" w:hAnsi="Times New Roman"/>
                <w:kern w:val="0"/>
                <w:sz w:val="24"/>
              </w:rPr>
            </w:pPr>
            <w:r>
              <w:rPr>
                <w:rFonts w:hint="eastAsia" w:ascii="Times New Roman" w:hAnsi="Times New Roman"/>
                <w:kern w:val="0"/>
                <w:sz w:val="24"/>
              </w:rPr>
              <w:t>平时作业</w:t>
            </w:r>
          </w:p>
        </w:tc>
        <w:tc>
          <w:tcPr>
            <w:tcW w:w="6924" w:type="dxa"/>
            <w:vAlign w:val="center"/>
          </w:tcPr>
          <w:p w14:paraId="52FFB9D3">
            <w:pPr>
              <w:spacing w:line="264" w:lineRule="auto"/>
              <w:jc w:val="left"/>
              <w:rPr>
                <w:rFonts w:ascii="Times New Roman" w:hAnsi="Times New Roman"/>
                <w:kern w:val="0"/>
                <w:sz w:val="24"/>
              </w:rPr>
            </w:pPr>
            <w:r>
              <w:rPr>
                <w:rFonts w:hint="eastAsia" w:ascii="Times New Roman" w:hAnsi="Times New Roman"/>
                <w:kern w:val="0"/>
                <w:sz w:val="24"/>
              </w:rPr>
              <w:t>平时作业共3次，一为教育自传，学期初即提供《教育自传》参考资料和要求，要求每位学生以自己成长史为基点，反思自身受教育过程的特点，反思优点与不足，深化自身教育价值观，书写内容、反思深度情况将作为评分的主要依据。二为两次小论文，以小论文的规范性、逻辑性、创新性及整洁性为评分的主要依据。</w:t>
            </w:r>
          </w:p>
        </w:tc>
        <w:tc>
          <w:tcPr>
            <w:tcW w:w="0" w:type="auto"/>
            <w:vAlign w:val="center"/>
          </w:tcPr>
          <w:p w14:paraId="3788A6F9">
            <w:pPr>
              <w:jc w:val="center"/>
              <w:rPr>
                <w:rFonts w:ascii="Times New Roman" w:hAnsi="Times New Roman"/>
                <w:kern w:val="0"/>
                <w:sz w:val="24"/>
              </w:rPr>
            </w:pPr>
            <w:r>
              <w:rPr>
                <w:rFonts w:hint="eastAsia" w:ascii="Times New Roman" w:hAnsi="Times New Roman"/>
                <w:kern w:val="0"/>
                <w:sz w:val="24"/>
              </w:rPr>
              <w:t>20%</w:t>
            </w:r>
          </w:p>
        </w:tc>
      </w:tr>
      <w:tr w14:paraId="5B8B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54ECE51">
            <w:pPr>
              <w:rPr>
                <w:rFonts w:ascii="Times New Roman" w:hAnsi="Times New Roman"/>
                <w:kern w:val="0"/>
                <w:sz w:val="24"/>
              </w:rPr>
            </w:pPr>
            <w:r>
              <w:rPr>
                <w:rFonts w:hint="eastAsia" w:ascii="Times New Roman" w:hAnsi="Times New Roman"/>
                <w:kern w:val="0"/>
                <w:sz w:val="24"/>
              </w:rPr>
              <w:t>课堂表现</w:t>
            </w:r>
          </w:p>
        </w:tc>
        <w:tc>
          <w:tcPr>
            <w:tcW w:w="6924" w:type="dxa"/>
            <w:vAlign w:val="center"/>
          </w:tcPr>
          <w:p w14:paraId="7B4DCD6B">
            <w:pPr>
              <w:widowControl/>
              <w:spacing w:line="264" w:lineRule="auto"/>
              <w:jc w:val="left"/>
              <w:rPr>
                <w:rFonts w:ascii="Times New Roman" w:hAnsi="Times New Roman"/>
                <w:kern w:val="0"/>
                <w:sz w:val="24"/>
              </w:rPr>
            </w:pPr>
            <w:r>
              <w:rPr>
                <w:rFonts w:hint="eastAsia" w:ascii="宋体" w:hAnsi="宋体" w:cs="宋体"/>
                <w:color w:val="000000"/>
                <w:kern w:val="0"/>
                <w:sz w:val="24"/>
                <w:lang w:bidi="ar"/>
              </w:rPr>
              <w:t>一是课题考勤情况</w:t>
            </w:r>
            <w:r>
              <w:rPr>
                <w:rFonts w:ascii="宋体" w:hAnsi="宋体" w:cs="宋体"/>
                <w:color w:val="000000"/>
                <w:kern w:val="0"/>
                <w:sz w:val="24"/>
                <w:lang w:bidi="ar"/>
              </w:rPr>
              <w:t>。</w:t>
            </w:r>
            <w:r>
              <w:rPr>
                <w:rFonts w:hint="eastAsia" w:ascii="Times New Roman" w:hAnsi="Times New Roman"/>
                <w:kern w:val="0"/>
                <w:sz w:val="24"/>
              </w:rPr>
              <w:t>迟到一次扣2分，无故缺席一次扣5分，累计达</w:t>
            </w:r>
            <w:r>
              <w:rPr>
                <w:rFonts w:ascii="Times New Roman" w:hAnsi="Times New Roman"/>
                <w:kern w:val="0"/>
                <w:sz w:val="24"/>
              </w:rPr>
              <w:t>3</w:t>
            </w:r>
            <w:r>
              <w:rPr>
                <w:rFonts w:hint="eastAsia" w:ascii="Times New Roman" w:hAnsi="Times New Roman"/>
                <w:kern w:val="0"/>
                <w:sz w:val="24"/>
              </w:rPr>
              <w:t>次以上（不含</w:t>
            </w:r>
            <w:r>
              <w:rPr>
                <w:rFonts w:ascii="Times New Roman" w:hAnsi="Times New Roman"/>
                <w:kern w:val="0"/>
                <w:sz w:val="24"/>
              </w:rPr>
              <w:t>3</w:t>
            </w:r>
            <w:r>
              <w:rPr>
                <w:rFonts w:hint="eastAsia" w:ascii="Times New Roman" w:hAnsi="Times New Roman"/>
                <w:kern w:val="0"/>
                <w:sz w:val="24"/>
              </w:rPr>
              <w:t>次）取消课程成绩。</w:t>
            </w:r>
          </w:p>
          <w:p w14:paraId="72CE7376">
            <w:pPr>
              <w:widowControl/>
              <w:spacing w:line="264" w:lineRule="auto"/>
              <w:jc w:val="left"/>
              <w:rPr>
                <w:rFonts w:ascii="Times New Roman" w:hAnsi="Times New Roman"/>
                <w:kern w:val="0"/>
                <w:sz w:val="24"/>
              </w:rPr>
            </w:pPr>
            <w:r>
              <w:rPr>
                <w:rFonts w:hint="eastAsia" w:ascii="Times New Roman" w:hAnsi="Times New Roman"/>
                <w:kern w:val="0"/>
                <w:sz w:val="24"/>
              </w:rPr>
              <w:t>二是</w:t>
            </w:r>
            <w:r>
              <w:rPr>
                <w:rFonts w:ascii="宋体" w:hAnsi="宋体" w:cs="宋体"/>
                <w:color w:val="000000"/>
                <w:kern w:val="0"/>
                <w:sz w:val="24"/>
                <w:lang w:bidi="ar"/>
              </w:rPr>
              <w:t>课堂参与</w:t>
            </w:r>
            <w:r>
              <w:rPr>
                <w:rFonts w:hint="eastAsia" w:ascii="宋体" w:hAnsi="宋体" w:cs="宋体"/>
                <w:color w:val="000000"/>
                <w:kern w:val="0"/>
                <w:sz w:val="24"/>
                <w:lang w:bidi="ar"/>
              </w:rPr>
              <w:t>情况。</w:t>
            </w:r>
            <w:r>
              <w:rPr>
                <w:rFonts w:ascii="宋体" w:hAnsi="宋体" w:cs="宋体"/>
                <w:color w:val="000000"/>
                <w:kern w:val="0"/>
                <w:sz w:val="24"/>
                <w:lang w:bidi="ar"/>
              </w:rPr>
              <w:t>主要指课上教师随机提问、组织课堂讨论等，观察学生参与程度</w:t>
            </w:r>
            <w:r>
              <w:rPr>
                <w:rFonts w:hint="eastAsia" w:ascii="宋体" w:hAnsi="宋体" w:cs="宋体"/>
                <w:color w:val="000000"/>
                <w:kern w:val="0"/>
                <w:sz w:val="24"/>
                <w:lang w:bidi="ar"/>
              </w:rPr>
              <w:t>，</w:t>
            </w:r>
            <w:r>
              <w:rPr>
                <w:rFonts w:ascii="宋体" w:hAnsi="宋体" w:cs="宋体"/>
                <w:color w:val="000000"/>
                <w:kern w:val="0"/>
                <w:sz w:val="24"/>
                <w:lang w:bidi="ar"/>
              </w:rPr>
              <w:t>表现良好，按照对应的课程目标及权重给予评定</w:t>
            </w:r>
            <w:r>
              <w:rPr>
                <w:rFonts w:hint="eastAsia" w:ascii="宋体" w:hAnsi="宋体" w:cs="宋体"/>
                <w:color w:val="000000"/>
                <w:kern w:val="0"/>
                <w:sz w:val="24"/>
                <w:lang w:bidi="ar"/>
              </w:rPr>
              <w:t>。</w:t>
            </w:r>
          </w:p>
        </w:tc>
        <w:tc>
          <w:tcPr>
            <w:tcW w:w="0" w:type="auto"/>
            <w:vAlign w:val="center"/>
          </w:tcPr>
          <w:p w14:paraId="75305DCA">
            <w:pPr>
              <w:jc w:val="center"/>
              <w:rPr>
                <w:rFonts w:ascii="Times New Roman" w:hAnsi="Times New Roman"/>
                <w:kern w:val="0"/>
                <w:sz w:val="24"/>
              </w:rPr>
            </w:pPr>
            <w:r>
              <w:rPr>
                <w:rFonts w:hint="eastAsia" w:ascii="Times New Roman" w:hAnsi="Times New Roman"/>
                <w:kern w:val="0"/>
                <w:sz w:val="24"/>
              </w:rPr>
              <w:t>10%</w:t>
            </w:r>
          </w:p>
        </w:tc>
      </w:tr>
      <w:tr w14:paraId="2CAB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05F6662">
            <w:pPr>
              <w:rPr>
                <w:rFonts w:ascii="Times New Roman" w:hAnsi="Times New Roman"/>
                <w:kern w:val="0"/>
                <w:sz w:val="24"/>
              </w:rPr>
            </w:pPr>
            <w:r>
              <w:rPr>
                <w:rFonts w:hint="eastAsia" w:ascii="Times New Roman" w:hAnsi="Times New Roman"/>
                <w:kern w:val="0"/>
                <w:sz w:val="24"/>
              </w:rPr>
              <w:t>小组讨论与汇报</w:t>
            </w:r>
          </w:p>
        </w:tc>
        <w:tc>
          <w:tcPr>
            <w:tcW w:w="6924" w:type="dxa"/>
            <w:vAlign w:val="center"/>
          </w:tcPr>
          <w:p w14:paraId="66E76204">
            <w:pPr>
              <w:widowControl/>
              <w:spacing w:line="264" w:lineRule="auto"/>
              <w:jc w:val="left"/>
              <w:rPr>
                <w:rFonts w:hint="eastAsia" w:ascii="宋体" w:hAnsi="宋体" w:cs="宋体"/>
                <w:color w:val="000000"/>
                <w:kern w:val="0"/>
                <w:sz w:val="24"/>
                <w:lang w:bidi="ar"/>
              </w:rPr>
            </w:pPr>
            <w:r>
              <w:rPr>
                <w:rFonts w:hint="eastAsia" w:ascii="宋体" w:hAnsi="宋体" w:cs="宋体"/>
                <w:color w:val="000000"/>
                <w:kern w:val="0"/>
                <w:sz w:val="24"/>
                <w:lang w:bidi="ar"/>
              </w:rPr>
              <w:t>小组讨论与回报主要包括人性论与教育、伦理学与教育、哲学教师专业发展等内容以小组形式回报，评定主要以、内容、PPT制作、个人参与度、小组合作度、演讲水平等作为成绩评定标准。</w:t>
            </w:r>
          </w:p>
        </w:tc>
        <w:tc>
          <w:tcPr>
            <w:tcW w:w="0" w:type="auto"/>
            <w:vAlign w:val="center"/>
          </w:tcPr>
          <w:p w14:paraId="55A817EF">
            <w:pPr>
              <w:jc w:val="center"/>
              <w:rPr>
                <w:rFonts w:ascii="Times New Roman" w:hAnsi="Times New Roman"/>
                <w:kern w:val="0"/>
                <w:sz w:val="24"/>
              </w:rPr>
            </w:pPr>
            <w:r>
              <w:rPr>
                <w:rFonts w:hint="eastAsia" w:ascii="Times New Roman" w:hAnsi="Times New Roman"/>
                <w:kern w:val="0"/>
                <w:sz w:val="24"/>
              </w:rPr>
              <w:t>10%</w:t>
            </w:r>
          </w:p>
        </w:tc>
      </w:tr>
      <w:tr w14:paraId="4907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7C2FF68">
            <w:pPr>
              <w:rPr>
                <w:rFonts w:ascii="Times New Roman" w:hAnsi="Times New Roman"/>
                <w:kern w:val="0"/>
                <w:sz w:val="24"/>
              </w:rPr>
            </w:pPr>
            <w:r>
              <w:rPr>
                <w:rFonts w:hint="eastAsia" w:ascii="Times New Roman" w:hAnsi="Times New Roman"/>
                <w:kern w:val="0"/>
                <w:sz w:val="24"/>
              </w:rPr>
              <w:t>自主学习</w:t>
            </w:r>
          </w:p>
        </w:tc>
        <w:tc>
          <w:tcPr>
            <w:tcW w:w="6924" w:type="dxa"/>
            <w:vAlign w:val="center"/>
          </w:tcPr>
          <w:p w14:paraId="4ECCFDDD">
            <w:pPr>
              <w:spacing w:line="264" w:lineRule="auto"/>
              <w:jc w:val="left"/>
              <w:rPr>
                <w:rFonts w:ascii="Times New Roman" w:hAnsi="Times New Roman"/>
                <w:kern w:val="0"/>
                <w:sz w:val="24"/>
              </w:rPr>
            </w:pPr>
            <w:r>
              <w:rPr>
                <w:rFonts w:hint="eastAsia" w:ascii="Times New Roman" w:hAnsi="Times New Roman"/>
                <w:kern w:val="0"/>
                <w:sz w:val="24"/>
              </w:rPr>
              <w:t>学生在在线开放课程中完成课前自主学习，系统记录其学习经历，主要包括学习通参与讨论的数量、资料阅读的情况等行为。期末收集所有学生的学习数据，以完成所有要求的学习项目为满分，按比例折算出学生的得分。</w:t>
            </w:r>
          </w:p>
        </w:tc>
        <w:tc>
          <w:tcPr>
            <w:tcW w:w="0" w:type="auto"/>
            <w:vAlign w:val="center"/>
          </w:tcPr>
          <w:p w14:paraId="2933F342">
            <w:pPr>
              <w:jc w:val="center"/>
              <w:rPr>
                <w:rFonts w:ascii="Times New Roman" w:hAnsi="Times New Roman"/>
                <w:kern w:val="0"/>
                <w:sz w:val="24"/>
              </w:rPr>
            </w:pPr>
            <w:r>
              <w:rPr>
                <w:rFonts w:hint="eastAsia" w:ascii="Times New Roman" w:hAnsi="Times New Roman"/>
                <w:kern w:val="0"/>
                <w:sz w:val="24"/>
              </w:rPr>
              <w:t>10%</w:t>
            </w:r>
          </w:p>
        </w:tc>
      </w:tr>
      <w:tr w14:paraId="3022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235088A">
            <w:pPr>
              <w:rPr>
                <w:rFonts w:ascii="Times New Roman" w:hAnsi="Times New Roman"/>
                <w:kern w:val="0"/>
                <w:sz w:val="24"/>
              </w:rPr>
            </w:pPr>
            <w:r>
              <w:rPr>
                <w:rFonts w:hint="eastAsia" w:ascii="Times New Roman" w:hAnsi="Times New Roman"/>
                <w:kern w:val="0"/>
                <w:sz w:val="24"/>
              </w:rPr>
              <w:t>期末考试</w:t>
            </w:r>
          </w:p>
        </w:tc>
        <w:tc>
          <w:tcPr>
            <w:tcW w:w="6924" w:type="dxa"/>
            <w:vAlign w:val="center"/>
          </w:tcPr>
          <w:p w14:paraId="5795724B">
            <w:pPr>
              <w:spacing w:line="264" w:lineRule="auto"/>
              <w:jc w:val="left"/>
              <w:rPr>
                <w:rFonts w:ascii="Times New Roman" w:hAnsi="Times New Roman"/>
                <w:color w:val="000000"/>
                <w:kern w:val="0"/>
                <w:sz w:val="24"/>
              </w:rPr>
            </w:pPr>
            <w:r>
              <w:rPr>
                <w:rFonts w:ascii="Times New Roman" w:hAnsi="Times New Roman"/>
                <w:color w:val="000000"/>
                <w:kern w:val="0"/>
                <w:sz w:val="24"/>
              </w:rPr>
              <w:t>试卷题型包括</w:t>
            </w:r>
            <w:r>
              <w:rPr>
                <w:rFonts w:hint="eastAsia" w:ascii="Times New Roman" w:hAnsi="Times New Roman"/>
                <w:color w:val="000000"/>
                <w:kern w:val="0"/>
                <w:sz w:val="24"/>
              </w:rPr>
              <w:t>论述题</w:t>
            </w:r>
            <w:r>
              <w:rPr>
                <w:rFonts w:ascii="Times New Roman" w:hAnsi="Times New Roman"/>
                <w:color w:val="000000"/>
                <w:kern w:val="0"/>
                <w:sz w:val="24"/>
              </w:rPr>
              <w:t>等，以卷面成绩的50%计入课程总成绩。</w:t>
            </w:r>
            <w:r>
              <w:rPr>
                <w:rFonts w:hint="eastAsia" w:ascii="Times New Roman" w:hAnsi="Times New Roman"/>
                <w:color w:val="000000"/>
                <w:kern w:val="0"/>
                <w:sz w:val="24"/>
              </w:rPr>
              <w:t>开卷，题考核学生对基本理论知识的掌握自己运用基本理论知识进行综合分析的能力。基本理论知识占50%，运用基本论知识进行综合分析占50%。</w:t>
            </w:r>
          </w:p>
        </w:tc>
        <w:tc>
          <w:tcPr>
            <w:tcW w:w="0" w:type="auto"/>
            <w:vAlign w:val="center"/>
          </w:tcPr>
          <w:p w14:paraId="1B4E911F">
            <w:pPr>
              <w:jc w:val="center"/>
              <w:rPr>
                <w:rFonts w:ascii="Times New Roman" w:hAnsi="Times New Roman"/>
                <w:kern w:val="0"/>
                <w:sz w:val="24"/>
              </w:rPr>
            </w:pPr>
            <w:r>
              <w:rPr>
                <w:rFonts w:hint="eastAsia" w:ascii="Times New Roman" w:hAnsi="Times New Roman"/>
                <w:kern w:val="0"/>
                <w:sz w:val="24"/>
              </w:rPr>
              <w:t>50%</w:t>
            </w:r>
          </w:p>
        </w:tc>
      </w:tr>
      <w:tr w14:paraId="2445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80BA9C0">
            <w:pPr>
              <w:jc w:val="center"/>
              <w:rPr>
                <w:rFonts w:ascii="Times New Roman" w:hAnsi="Times New Roman"/>
                <w:b/>
                <w:bCs/>
                <w:kern w:val="0"/>
                <w:sz w:val="24"/>
              </w:rPr>
            </w:pPr>
            <w:r>
              <w:rPr>
                <w:rFonts w:hint="eastAsia" w:ascii="Times New Roman" w:hAnsi="Times New Roman"/>
                <w:b/>
                <w:bCs/>
                <w:kern w:val="0"/>
                <w:sz w:val="24"/>
              </w:rPr>
              <w:t>合计</w:t>
            </w:r>
          </w:p>
        </w:tc>
        <w:tc>
          <w:tcPr>
            <w:tcW w:w="0" w:type="auto"/>
            <w:vAlign w:val="center"/>
          </w:tcPr>
          <w:p w14:paraId="627BFC6C">
            <w:pPr>
              <w:jc w:val="left"/>
              <w:rPr>
                <w:rFonts w:ascii="Times New Roman" w:hAnsi="Times New Roman"/>
                <w:kern w:val="0"/>
                <w:sz w:val="24"/>
              </w:rPr>
            </w:pPr>
          </w:p>
        </w:tc>
        <w:tc>
          <w:tcPr>
            <w:tcW w:w="0" w:type="auto"/>
            <w:vAlign w:val="center"/>
          </w:tcPr>
          <w:p w14:paraId="498F94A0">
            <w:pPr>
              <w:jc w:val="center"/>
              <w:rPr>
                <w:rFonts w:ascii="Times New Roman" w:hAnsi="Times New Roman"/>
                <w:kern w:val="0"/>
                <w:sz w:val="24"/>
              </w:rPr>
            </w:pPr>
            <w:r>
              <w:rPr>
                <w:rFonts w:hint="eastAsia" w:ascii="Times New Roman" w:hAnsi="Times New Roman"/>
                <w:kern w:val="0"/>
                <w:sz w:val="24"/>
              </w:rPr>
              <w:t>100%</w:t>
            </w:r>
          </w:p>
        </w:tc>
      </w:tr>
    </w:tbl>
    <w:p w14:paraId="1B262473">
      <w:pPr>
        <w:spacing w:before="156" w:beforeLines="50" w:line="360" w:lineRule="auto"/>
        <w:jc w:val="left"/>
        <w:rPr>
          <w:rFonts w:ascii="Times New Roman" w:hAnsi="Times New Roman"/>
          <w:b/>
          <w:sz w:val="24"/>
        </w:rPr>
      </w:pPr>
      <w:r>
        <w:rPr>
          <w:rFonts w:hint="eastAsia" w:ascii="Times New Roman" w:hAnsi="Times New Roman"/>
          <w:b/>
          <w:sz w:val="24"/>
        </w:rPr>
        <w:t>（三）课程目标达成度计算方法</w:t>
      </w:r>
    </w:p>
    <w:p w14:paraId="21511BC2">
      <w:pPr>
        <w:spacing w:line="360" w:lineRule="auto"/>
        <w:ind w:firstLine="470" w:firstLineChars="196"/>
        <w:jc w:val="left"/>
        <w:rPr>
          <w:rFonts w:hint="eastAsia" w:ascii="宋体" w:hAnsi="宋体"/>
          <w:color w:val="000000"/>
          <w:sz w:val="24"/>
        </w:rPr>
      </w:pPr>
      <w:r>
        <w:rPr>
          <w:rFonts w:hint="eastAsia" w:ascii="宋体" w:hAnsi="宋体"/>
          <w:color w:val="000000"/>
          <w:sz w:val="24"/>
        </w:rPr>
        <w:t>所有课程目标均需大于等于</w:t>
      </w:r>
      <w:r>
        <w:rPr>
          <w:rFonts w:ascii="宋体" w:hAnsi="宋体"/>
          <w:color w:val="000000"/>
          <w:sz w:val="24"/>
        </w:rPr>
        <w:t>0.6，否则总评成绩不及格，需要补考或重修。每门课程目标总体达成度计算方法如下：</w:t>
      </w:r>
    </w:p>
    <w:p w14:paraId="3FA29BFF">
      <w:pPr>
        <w:spacing w:line="360" w:lineRule="auto"/>
        <w:rPr>
          <w:rFonts w:hint="eastAsia" w:ascii="宋体" w:hAnsi="宋体"/>
          <w:b/>
          <w:sz w:val="24"/>
        </w:rPr>
      </w:pPr>
      <w:r>
        <w:rPr>
          <w:rFonts w:ascii="宋体" w:hAnsi="宋体"/>
          <w:color w:val="000000"/>
          <w:sz w:val="24"/>
        </w:rPr>
        <w:object>
          <v:shape id="_x0000_i1049"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49" DrawAspect="Content" ObjectID="_1468075749" r:id="rId34">
            <o:LockedField>false</o:LockedField>
          </o:OLEObject>
        </w:object>
      </w:r>
    </w:p>
    <w:p w14:paraId="5C475A28">
      <w:pPr>
        <w:spacing w:line="360" w:lineRule="auto"/>
        <w:jc w:val="left"/>
        <w:rPr>
          <w:rFonts w:hint="eastAsia" w:ascii="宋体" w:hAnsi="宋体"/>
          <w:b/>
          <w:color w:val="000000"/>
          <w:sz w:val="28"/>
          <w:szCs w:val="28"/>
        </w:rPr>
      </w:pPr>
      <w:r>
        <w:rPr>
          <w:rFonts w:hint="eastAsia" w:ascii="宋体" w:hAnsi="宋体"/>
          <w:b/>
          <w:color w:val="000000"/>
          <w:sz w:val="28"/>
          <w:szCs w:val="28"/>
        </w:rPr>
        <w:t>六、有关说明</w:t>
      </w:r>
    </w:p>
    <w:p w14:paraId="385A862D">
      <w:pPr>
        <w:spacing w:before="156" w:beforeLines="50" w:line="360" w:lineRule="auto"/>
        <w:jc w:val="left"/>
        <w:rPr>
          <w:rFonts w:ascii="Times New Roman" w:hAnsi="Times New Roman"/>
          <w:b/>
          <w:sz w:val="24"/>
        </w:rPr>
      </w:pPr>
      <w:r>
        <w:rPr>
          <w:rFonts w:hint="eastAsia" w:ascii="Times New Roman" w:hAnsi="Times New Roman"/>
          <w:b/>
          <w:sz w:val="24"/>
        </w:rPr>
        <w:t>（一）持续改进</w:t>
      </w:r>
    </w:p>
    <w:p w14:paraId="03DA376E">
      <w:pPr>
        <w:spacing w:line="300" w:lineRule="auto"/>
        <w:ind w:firstLine="480" w:firstLineChars="200"/>
        <w:rPr>
          <w:rFonts w:ascii="Calibri" w:hAnsi="Calibri"/>
          <w:sz w:val="24"/>
        </w:rPr>
      </w:pPr>
      <w:r>
        <w:rPr>
          <w:rFonts w:hint="eastAsia" w:ascii="Calibri" w:hAnsi="Calibri"/>
          <w:sz w:val="24"/>
        </w:rPr>
        <w:t>本课程根据学生作业、课堂讨论、教学环节、平时考核情况和学生、教学督导等的反馈，及时对教学中的不足之处进行改进，并在下一轮课程教学中整改完善，确保相应毕业要求指标点达成。</w:t>
      </w:r>
    </w:p>
    <w:p w14:paraId="658D2A96">
      <w:pPr>
        <w:spacing w:before="156" w:beforeLines="50" w:line="360" w:lineRule="auto"/>
        <w:jc w:val="left"/>
        <w:rPr>
          <w:rFonts w:ascii="Times New Roman" w:hAnsi="Times New Roman"/>
          <w:b/>
          <w:sz w:val="24"/>
        </w:rPr>
      </w:pPr>
      <w:r>
        <w:rPr>
          <w:rFonts w:hint="eastAsia" w:ascii="Times New Roman" w:hAnsi="Times New Roman"/>
          <w:b/>
          <w:sz w:val="24"/>
        </w:rPr>
        <w:t>（二）参考书目及学习资料</w:t>
      </w:r>
    </w:p>
    <w:p w14:paraId="73A79C19">
      <w:pPr>
        <w:spacing w:line="360" w:lineRule="auto"/>
        <w:ind w:firstLine="470" w:firstLineChars="196"/>
        <w:jc w:val="left"/>
        <w:rPr>
          <w:rFonts w:hint="eastAsia" w:ascii="宋体" w:hAnsi="宋体"/>
          <w:color w:val="000000"/>
          <w:sz w:val="24"/>
        </w:rPr>
      </w:pPr>
      <w:r>
        <w:rPr>
          <w:rFonts w:ascii="宋体" w:hAnsi="宋体"/>
          <w:color w:val="000000"/>
          <w:sz w:val="24"/>
        </w:rPr>
        <w:t>1.</w:t>
      </w:r>
      <w:r>
        <w:rPr>
          <w:rFonts w:hint="eastAsia" w:ascii="宋体" w:hAnsi="宋体"/>
          <w:color w:val="000000"/>
          <w:sz w:val="24"/>
        </w:rPr>
        <w:t>教材</w:t>
      </w:r>
    </w:p>
    <w:p w14:paraId="001C6299">
      <w:pPr>
        <w:spacing w:line="360" w:lineRule="auto"/>
        <w:ind w:firstLine="470" w:firstLineChars="196"/>
        <w:jc w:val="left"/>
        <w:rPr>
          <w:rFonts w:hint="eastAsia" w:ascii="宋体" w:hAnsi="宋体"/>
          <w:color w:val="000000"/>
          <w:sz w:val="24"/>
        </w:rPr>
      </w:pPr>
      <w:r>
        <w:rPr>
          <w:rFonts w:hint="eastAsia" w:ascii="宋体" w:hAnsi="宋体"/>
          <w:color w:val="000000"/>
          <w:sz w:val="24"/>
        </w:rPr>
        <w:t>石中英</w:t>
      </w:r>
      <w:r>
        <w:rPr>
          <w:rFonts w:ascii="宋体" w:hAnsi="宋体"/>
          <w:color w:val="000000"/>
          <w:sz w:val="24"/>
        </w:rPr>
        <w:t>.</w:t>
      </w:r>
      <w:r>
        <w:rPr>
          <w:rFonts w:hint="eastAsia" w:ascii="宋体" w:hAnsi="宋体"/>
          <w:color w:val="000000"/>
          <w:sz w:val="24"/>
        </w:rPr>
        <w:t>教育哲学</w:t>
      </w:r>
      <w:r>
        <w:rPr>
          <w:rFonts w:ascii="宋体" w:hAnsi="宋体"/>
          <w:color w:val="000000"/>
          <w:sz w:val="24"/>
        </w:rPr>
        <w:t>.</w:t>
      </w:r>
      <w:r>
        <w:rPr>
          <w:rFonts w:hint="eastAsia" w:ascii="宋体" w:hAnsi="宋体"/>
          <w:color w:val="000000"/>
          <w:sz w:val="24"/>
        </w:rPr>
        <w:t>高等教育出版社，</w:t>
      </w:r>
      <w:r>
        <w:rPr>
          <w:rFonts w:ascii="宋体" w:hAnsi="宋体"/>
          <w:color w:val="000000"/>
          <w:sz w:val="24"/>
        </w:rPr>
        <w:t>2019.</w:t>
      </w:r>
      <w:r>
        <w:rPr>
          <w:rFonts w:hint="eastAsia" w:ascii="宋体" w:hAnsi="宋体"/>
          <w:color w:val="000000"/>
          <w:sz w:val="24"/>
        </w:rPr>
        <w:t>（马工程教材）</w:t>
      </w:r>
    </w:p>
    <w:p w14:paraId="5BFF3044">
      <w:pPr>
        <w:spacing w:line="360" w:lineRule="auto"/>
        <w:ind w:firstLine="470" w:firstLineChars="196"/>
        <w:jc w:val="left"/>
        <w:rPr>
          <w:rFonts w:hint="eastAsia" w:ascii="宋体" w:hAnsi="宋体"/>
          <w:color w:val="000000"/>
          <w:sz w:val="24"/>
        </w:rPr>
      </w:pPr>
      <w:r>
        <w:rPr>
          <w:rFonts w:ascii="宋体" w:hAnsi="宋体"/>
          <w:color w:val="000000"/>
          <w:sz w:val="24"/>
        </w:rPr>
        <w:t>2.</w:t>
      </w:r>
      <w:r>
        <w:rPr>
          <w:rFonts w:hint="eastAsia" w:ascii="宋体" w:hAnsi="宋体"/>
          <w:color w:val="000000"/>
          <w:sz w:val="24"/>
        </w:rPr>
        <w:t>教学参考书</w:t>
      </w:r>
    </w:p>
    <w:p w14:paraId="67EB92BE">
      <w:pPr>
        <w:spacing w:line="360" w:lineRule="auto"/>
        <w:ind w:firstLine="470" w:firstLineChars="196"/>
        <w:jc w:val="left"/>
        <w:rPr>
          <w:rFonts w:hint="eastAsia" w:ascii="宋体" w:hAnsi="宋体"/>
          <w:color w:val="000000"/>
          <w:sz w:val="24"/>
        </w:rPr>
      </w:pPr>
      <w:r>
        <w:rPr>
          <w:rFonts w:hint="eastAsia" w:ascii="宋体" w:hAnsi="宋体"/>
          <w:color w:val="000000"/>
          <w:sz w:val="24"/>
        </w:rPr>
        <w:t>于伟</w:t>
      </w:r>
      <w:r>
        <w:rPr>
          <w:rFonts w:ascii="宋体" w:hAnsi="宋体"/>
          <w:color w:val="000000"/>
          <w:sz w:val="24"/>
        </w:rPr>
        <w:t>.</w:t>
      </w:r>
      <w:r>
        <w:rPr>
          <w:rFonts w:hint="eastAsia" w:ascii="宋体" w:hAnsi="宋体"/>
          <w:color w:val="000000"/>
          <w:sz w:val="24"/>
        </w:rPr>
        <w:t>教育哲学</w:t>
      </w:r>
      <w:r>
        <w:rPr>
          <w:rFonts w:ascii="宋体" w:hAnsi="宋体"/>
          <w:color w:val="000000"/>
          <w:sz w:val="24"/>
        </w:rPr>
        <w:t>.</w:t>
      </w:r>
      <w:r>
        <w:rPr>
          <w:rFonts w:hint="eastAsia" w:ascii="宋体" w:hAnsi="宋体"/>
          <w:color w:val="000000"/>
          <w:sz w:val="24"/>
        </w:rPr>
        <w:t>北京师范大学出版社，</w:t>
      </w:r>
      <w:r>
        <w:rPr>
          <w:rFonts w:ascii="宋体" w:hAnsi="宋体"/>
          <w:color w:val="000000"/>
          <w:sz w:val="24"/>
        </w:rPr>
        <w:t>2016.</w:t>
      </w:r>
    </w:p>
    <w:p w14:paraId="53697CC8">
      <w:pPr>
        <w:spacing w:line="360" w:lineRule="auto"/>
        <w:ind w:firstLine="470" w:firstLineChars="196"/>
        <w:jc w:val="left"/>
        <w:rPr>
          <w:rFonts w:hint="eastAsia" w:ascii="宋体" w:hAnsi="宋体"/>
          <w:color w:val="000000"/>
          <w:sz w:val="24"/>
        </w:rPr>
      </w:pPr>
      <w:r>
        <w:rPr>
          <w:rFonts w:hint="eastAsia" w:ascii="宋体" w:hAnsi="宋体"/>
          <w:color w:val="000000"/>
          <w:sz w:val="24"/>
        </w:rPr>
        <w:t>郝文武</w:t>
      </w:r>
      <w:r>
        <w:rPr>
          <w:rFonts w:ascii="宋体" w:hAnsi="宋体"/>
          <w:color w:val="000000"/>
          <w:sz w:val="24"/>
        </w:rPr>
        <w:t>.</w:t>
      </w:r>
      <w:r>
        <w:rPr>
          <w:rFonts w:hint="eastAsia" w:ascii="宋体" w:hAnsi="宋体"/>
          <w:color w:val="000000"/>
          <w:sz w:val="24"/>
        </w:rPr>
        <w:t>教育哲学</w:t>
      </w:r>
      <w:r>
        <w:rPr>
          <w:rFonts w:ascii="宋体" w:hAnsi="宋体"/>
          <w:color w:val="000000"/>
          <w:sz w:val="24"/>
        </w:rPr>
        <w:t>.</w:t>
      </w:r>
      <w:r>
        <w:rPr>
          <w:rFonts w:hint="eastAsia" w:ascii="宋体" w:hAnsi="宋体"/>
          <w:color w:val="000000"/>
          <w:sz w:val="24"/>
        </w:rPr>
        <w:t>人民教育出版社，</w:t>
      </w:r>
      <w:r>
        <w:rPr>
          <w:rFonts w:ascii="宋体" w:hAnsi="宋体"/>
          <w:color w:val="000000"/>
          <w:sz w:val="24"/>
        </w:rPr>
        <w:t>2011.</w:t>
      </w:r>
    </w:p>
    <w:p w14:paraId="10E4E4DE">
      <w:pPr>
        <w:spacing w:line="360" w:lineRule="auto"/>
        <w:ind w:firstLine="470" w:firstLineChars="196"/>
        <w:jc w:val="left"/>
        <w:rPr>
          <w:rFonts w:hint="eastAsia" w:ascii="宋体" w:hAnsi="宋体"/>
          <w:color w:val="000000"/>
          <w:sz w:val="24"/>
        </w:rPr>
      </w:pPr>
      <w:r>
        <w:rPr>
          <w:rFonts w:hint="eastAsia" w:ascii="宋体" w:hAnsi="宋体"/>
          <w:color w:val="000000"/>
          <w:sz w:val="24"/>
        </w:rPr>
        <w:t xml:space="preserve">刘铁芳.什么是好的教育-学校教育的哲学阐释.高等教育出版社，2014. </w:t>
      </w:r>
    </w:p>
    <w:p w14:paraId="382CD4D1">
      <w:pPr>
        <w:spacing w:line="360" w:lineRule="auto"/>
        <w:ind w:firstLine="470" w:firstLineChars="196"/>
        <w:jc w:val="left"/>
        <w:rPr>
          <w:rFonts w:hint="eastAsia" w:ascii="宋体" w:hAnsi="宋体"/>
          <w:color w:val="000000"/>
          <w:sz w:val="24"/>
        </w:rPr>
      </w:pPr>
      <w:r>
        <w:rPr>
          <w:rFonts w:hint="eastAsia" w:ascii="宋体" w:hAnsi="宋体"/>
          <w:color w:val="000000"/>
          <w:sz w:val="24"/>
        </w:rPr>
        <w:t>黄济.教育哲学通论.山西教育出版社,1998.</w:t>
      </w:r>
    </w:p>
    <w:p w14:paraId="2AED2A4C">
      <w:pPr>
        <w:spacing w:line="360" w:lineRule="auto"/>
        <w:ind w:firstLine="470" w:firstLineChars="196"/>
        <w:jc w:val="left"/>
        <w:rPr>
          <w:rFonts w:hint="eastAsia" w:ascii="宋体" w:hAnsi="宋体"/>
          <w:color w:val="000000"/>
          <w:sz w:val="24"/>
        </w:rPr>
      </w:pPr>
      <w:r>
        <w:rPr>
          <w:rFonts w:hint="eastAsia" w:ascii="宋体" w:hAnsi="宋体"/>
          <w:color w:val="000000"/>
          <w:sz w:val="24"/>
        </w:rPr>
        <w:t>陆有铨.现代西方教育哲学.北京大学出版社,2012.</w:t>
      </w:r>
    </w:p>
    <w:p w14:paraId="677C6D50">
      <w:pPr>
        <w:spacing w:line="360" w:lineRule="auto"/>
        <w:ind w:firstLine="470" w:firstLineChars="196"/>
        <w:jc w:val="left"/>
        <w:rPr>
          <w:rFonts w:hint="eastAsia" w:ascii="宋体" w:hAnsi="宋体"/>
          <w:color w:val="000000"/>
          <w:sz w:val="24"/>
        </w:rPr>
      </w:pPr>
      <w:r>
        <w:rPr>
          <w:rFonts w:hint="eastAsia" w:ascii="宋体" w:hAnsi="宋体"/>
          <w:color w:val="000000"/>
          <w:sz w:val="24"/>
        </w:rPr>
        <w:t>张楚廷.教育哲学[M].教育科学出版社,2006.</w:t>
      </w:r>
    </w:p>
    <w:p w14:paraId="2B7A8FBF">
      <w:pPr>
        <w:spacing w:line="360" w:lineRule="auto"/>
        <w:ind w:firstLine="470" w:firstLineChars="196"/>
        <w:jc w:val="left"/>
        <w:rPr>
          <w:rFonts w:hint="eastAsia" w:ascii="宋体" w:hAnsi="宋体"/>
          <w:color w:val="000000"/>
          <w:sz w:val="24"/>
        </w:rPr>
      </w:pPr>
      <w:r>
        <w:rPr>
          <w:rFonts w:hint="eastAsia" w:ascii="宋体" w:hAnsi="宋体"/>
          <w:color w:val="000000"/>
          <w:sz w:val="24"/>
        </w:rPr>
        <w:t>王坤庆.教育哲学——一种哲学价值论视角的研究.华中师大学出版社,2006.</w:t>
      </w:r>
    </w:p>
    <w:p w14:paraId="17E96BA1">
      <w:pPr>
        <w:spacing w:line="360" w:lineRule="auto"/>
        <w:ind w:firstLine="470" w:firstLineChars="196"/>
        <w:jc w:val="left"/>
        <w:rPr>
          <w:rFonts w:hint="eastAsia" w:ascii="宋体" w:hAnsi="宋体"/>
          <w:color w:val="000000"/>
          <w:sz w:val="24"/>
        </w:rPr>
      </w:pPr>
      <w:r>
        <w:rPr>
          <w:rFonts w:hint="eastAsia" w:ascii="宋体" w:hAnsi="宋体"/>
          <w:color w:val="000000"/>
          <w:sz w:val="24"/>
        </w:rPr>
        <w:t>萨瓦特尔.教育的价值.北京大学出版社,2012.</w:t>
      </w:r>
    </w:p>
    <w:p w14:paraId="70D2BFC6">
      <w:pPr>
        <w:spacing w:line="360" w:lineRule="auto"/>
        <w:ind w:firstLine="470" w:firstLineChars="196"/>
        <w:jc w:val="left"/>
        <w:rPr>
          <w:rFonts w:hint="eastAsia" w:ascii="宋体" w:hAnsi="宋体"/>
          <w:color w:val="000000"/>
          <w:sz w:val="24"/>
        </w:rPr>
      </w:pPr>
      <w:r>
        <w:rPr>
          <w:rFonts w:hint="eastAsia" w:ascii="宋体" w:hAnsi="宋体"/>
          <w:color w:val="000000"/>
          <w:sz w:val="24"/>
        </w:rPr>
        <w:t>冯建军等.教育哲学[M].武汉大学出版社,2011.</w:t>
      </w:r>
    </w:p>
    <w:p w14:paraId="60140949">
      <w:pPr>
        <w:spacing w:line="300" w:lineRule="auto"/>
        <w:rPr>
          <w:rFonts w:ascii="宋体"/>
          <w:sz w:val="24"/>
        </w:rPr>
      </w:pPr>
    </w:p>
    <w:p w14:paraId="7BB5272F">
      <w:pPr>
        <w:autoSpaceDE w:val="0"/>
        <w:autoSpaceDN w:val="0"/>
        <w:adjustRightInd w:val="0"/>
        <w:spacing w:line="300" w:lineRule="auto"/>
        <w:ind w:firstLine="5280" w:firstLineChars="2200"/>
        <w:jc w:val="left"/>
        <w:rPr>
          <w:rFonts w:ascii="宋体"/>
          <w:color w:val="000000"/>
          <w:kern w:val="0"/>
          <w:sz w:val="24"/>
        </w:rPr>
      </w:pPr>
      <w:r>
        <w:rPr>
          <w:rFonts w:hint="eastAsia" w:ascii="宋体" w:hAnsi="宋体"/>
          <w:color w:val="000000"/>
          <w:kern w:val="0"/>
          <w:sz w:val="24"/>
        </w:rPr>
        <w:t>执笔人：刘丽</w:t>
      </w:r>
    </w:p>
    <w:p w14:paraId="6FAD24F7">
      <w:pPr>
        <w:autoSpaceDE w:val="0"/>
        <w:autoSpaceDN w:val="0"/>
        <w:adjustRightInd w:val="0"/>
        <w:spacing w:line="300" w:lineRule="auto"/>
        <w:ind w:firstLine="5280" w:firstLineChars="2200"/>
        <w:jc w:val="left"/>
        <w:rPr>
          <w:rFonts w:ascii="宋体"/>
          <w:color w:val="000000"/>
          <w:kern w:val="0"/>
          <w:sz w:val="24"/>
        </w:rPr>
      </w:pPr>
      <w:r>
        <w:rPr>
          <w:rFonts w:hint="eastAsia" w:ascii="宋体" w:hAnsi="宋体"/>
          <w:color w:val="000000"/>
          <w:kern w:val="0"/>
          <w:sz w:val="24"/>
        </w:rPr>
        <w:t>审定人：王健</w:t>
      </w:r>
    </w:p>
    <w:p w14:paraId="60701156">
      <w:pPr>
        <w:autoSpaceDE w:val="0"/>
        <w:autoSpaceDN w:val="0"/>
        <w:adjustRightInd w:val="0"/>
        <w:spacing w:line="300" w:lineRule="auto"/>
        <w:ind w:firstLine="5280" w:firstLineChars="2200"/>
        <w:jc w:val="left"/>
        <w:rPr>
          <w:rFonts w:hint="eastAsia" w:ascii="宋体" w:hAnsi="宋体"/>
          <w:color w:val="000000"/>
          <w:kern w:val="0"/>
          <w:sz w:val="24"/>
        </w:rPr>
      </w:pPr>
      <w:r>
        <w:rPr>
          <w:rFonts w:hint="eastAsia" w:ascii="宋体" w:hAnsi="宋体"/>
          <w:color w:val="000000"/>
          <w:kern w:val="0"/>
          <w:sz w:val="24"/>
        </w:rPr>
        <w:t>审批人：张志欣</w:t>
      </w:r>
    </w:p>
    <w:p w14:paraId="465608F4">
      <w:pPr>
        <w:autoSpaceDE w:val="0"/>
        <w:autoSpaceDN w:val="0"/>
        <w:adjustRightInd w:val="0"/>
        <w:spacing w:line="300" w:lineRule="auto"/>
        <w:ind w:firstLine="5280" w:firstLineChars="2200"/>
        <w:jc w:val="left"/>
        <w:rPr>
          <w:rFonts w:hint="eastAsia" w:ascii="宋体" w:hAnsi="宋体"/>
          <w:color w:val="000000"/>
          <w:kern w:val="0"/>
          <w:sz w:val="24"/>
        </w:rPr>
      </w:pPr>
      <w:r>
        <w:rPr>
          <w:rFonts w:hint="eastAsia" w:ascii="宋体" w:hAnsi="宋体"/>
          <w:color w:val="000000"/>
          <w:kern w:val="0"/>
          <w:sz w:val="24"/>
        </w:rPr>
        <w:t>批准时间：</w:t>
      </w:r>
      <w:r>
        <w:rPr>
          <w:rFonts w:ascii="宋体" w:hAnsi="宋体"/>
          <w:color w:val="000000"/>
          <w:kern w:val="0"/>
          <w:sz w:val="24"/>
        </w:rPr>
        <w:t>20</w:t>
      </w:r>
      <w:r>
        <w:rPr>
          <w:rFonts w:hint="eastAsia" w:ascii="宋体" w:hAnsi="宋体"/>
          <w:color w:val="000000"/>
          <w:kern w:val="0"/>
          <w:sz w:val="24"/>
        </w:rPr>
        <w:t>24年</w:t>
      </w:r>
      <w:r>
        <w:rPr>
          <w:rFonts w:ascii="宋体" w:hAnsi="宋体"/>
          <w:color w:val="000000"/>
          <w:kern w:val="0"/>
          <w:sz w:val="24"/>
        </w:rPr>
        <w:t>8</w:t>
      </w:r>
      <w:r>
        <w:rPr>
          <w:rFonts w:hint="eastAsia" w:ascii="宋体" w:hAnsi="宋体"/>
          <w:color w:val="000000"/>
          <w:kern w:val="0"/>
          <w:sz w:val="24"/>
        </w:rPr>
        <w:t>月</w:t>
      </w:r>
      <w:r>
        <w:rPr>
          <w:rFonts w:ascii="宋体" w:hAnsi="宋体"/>
          <w:color w:val="000000"/>
          <w:kern w:val="0"/>
          <w:sz w:val="24"/>
        </w:rPr>
        <w:t>30</w:t>
      </w:r>
      <w:r>
        <w:rPr>
          <w:rFonts w:hint="eastAsia" w:ascii="宋体" w:hAnsi="宋体"/>
          <w:color w:val="000000"/>
          <w:kern w:val="0"/>
          <w:sz w:val="24"/>
        </w:rPr>
        <w:t>日</w:t>
      </w:r>
    </w:p>
    <w:p w14:paraId="6DA24404">
      <w:pPr>
        <w:rPr>
          <w:rFonts w:hint="eastAsia" w:ascii="宋体" w:hAnsi="宋体"/>
          <w:color w:val="000000"/>
          <w:kern w:val="0"/>
          <w:sz w:val="24"/>
        </w:rPr>
      </w:pPr>
      <w:r>
        <w:rPr>
          <w:rFonts w:hint="eastAsia" w:ascii="宋体" w:hAnsi="宋体"/>
          <w:color w:val="000000"/>
          <w:kern w:val="0"/>
          <w:sz w:val="24"/>
        </w:rPr>
        <w:br w:type="page"/>
      </w:r>
    </w:p>
    <w:p w14:paraId="05184352">
      <w:pPr>
        <w:autoSpaceDE w:val="0"/>
        <w:autoSpaceDN w:val="0"/>
        <w:adjustRightInd w:val="0"/>
        <w:spacing w:line="300" w:lineRule="auto"/>
        <w:ind w:firstLine="5280" w:firstLineChars="2200"/>
        <w:jc w:val="left"/>
        <w:rPr>
          <w:rFonts w:hint="eastAsia" w:ascii="宋体" w:hAnsi="宋体"/>
          <w:color w:val="000000"/>
          <w:kern w:val="0"/>
          <w:sz w:val="24"/>
        </w:rPr>
      </w:pPr>
    </w:p>
    <w:bookmarkEnd w:id="154"/>
    <w:p w14:paraId="0EDB49A1">
      <w:pPr>
        <w:pStyle w:val="2"/>
      </w:pPr>
      <w:bookmarkStart w:id="157" w:name="_Toc14955"/>
      <w:bookmarkStart w:id="158" w:name="_Toc12557"/>
      <w:bookmarkStart w:id="159" w:name="_Toc29380667"/>
      <w:r>
        <w:rPr>
          <w:rFonts w:hint="eastAsia"/>
        </w:rPr>
        <w:t>《教育社会学》课程与教学大纲</w:t>
      </w:r>
      <w:bookmarkEnd w:id="157"/>
      <w:bookmarkEnd w:id="158"/>
      <w:bookmarkEnd w:id="159"/>
    </w:p>
    <w:p w14:paraId="0DA458BE">
      <w:pPr>
        <w:spacing w:line="360" w:lineRule="auto"/>
        <w:jc w:val="center"/>
        <w:rPr>
          <w:rFonts w:ascii="Times New Roman" w:hAnsi="Times New Roman" w:eastAsia="宋体" w:cs="Times New Roman"/>
          <w:b/>
          <w:sz w:val="44"/>
          <w:szCs w:val="44"/>
        </w:rPr>
      </w:pPr>
      <w:r>
        <w:rPr>
          <w:rFonts w:ascii="Times New Roman" w:hAnsi="Times New Roman" w:eastAsia="宋体" w:cs="Times New Roman"/>
          <w:b/>
          <w:sz w:val="44"/>
          <w:szCs w:val="44"/>
        </w:rPr>
        <w:t>(sociology of education</w:t>
      </w:r>
      <w:r>
        <w:rPr>
          <w:rFonts w:hint="eastAsia" w:ascii="Times New Roman" w:hAnsi="Times New Roman" w:eastAsia="宋体" w:cs="Times New Roman"/>
          <w:b/>
          <w:sz w:val="44"/>
          <w:szCs w:val="44"/>
        </w:rPr>
        <w:t>)</w:t>
      </w:r>
    </w:p>
    <w:p w14:paraId="74ED2DCA">
      <w:pPr>
        <w:spacing w:line="360" w:lineRule="auto"/>
        <w:ind w:firstLine="482" w:firstLineChars="200"/>
        <w:jc w:val="left"/>
        <w:rPr>
          <w:rFonts w:ascii="Times New Roman" w:hAnsi="Times New Roman" w:eastAsia="宋体" w:cs="Times New Roman"/>
          <w:b/>
          <w:sz w:val="24"/>
        </w:rPr>
      </w:pPr>
    </w:p>
    <w:p w14:paraId="4A028423">
      <w:pPr>
        <w:spacing w:line="360" w:lineRule="auto"/>
        <w:ind w:firstLine="482" w:firstLineChars="200"/>
        <w:jc w:val="left"/>
        <w:rPr>
          <w:rFonts w:ascii="Times New Roman" w:hAnsi="Times New Roman" w:eastAsia="宋体" w:cs="Times New Roman"/>
          <w:b/>
          <w:sz w:val="24"/>
        </w:rPr>
      </w:pPr>
    </w:p>
    <w:p w14:paraId="5D93FFF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ascii="Times New Roman" w:hAnsi="Times New Roman" w:eastAsia="宋体" w:cs="Times New Roman"/>
          <w:b/>
          <w:sz w:val="24"/>
        </w:rPr>
        <w:t xml:space="preserve"> </w:t>
      </w:r>
      <w:r>
        <w:rPr>
          <w:rFonts w:hint="eastAsia" w:ascii="Times New Roman" w:hAnsi="Times New Roman" w:eastAsia="宋体" w:cs="Times New Roman"/>
          <w:b/>
          <w:sz w:val="24"/>
        </w:rPr>
        <w:t>《教育社会学》</w:t>
      </w:r>
    </w:p>
    <w:p w14:paraId="11CF8AF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课程代码：2401018</w:t>
      </w:r>
    </w:p>
    <w:p w14:paraId="6213C0B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2AD5C84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66725AA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先修课程：小学教育专业导论与职业发展</w:t>
      </w:r>
    </w:p>
    <w:p w14:paraId="4C0BF42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01A3882B">
      <w:pPr>
        <w:spacing w:line="360" w:lineRule="auto"/>
        <w:ind w:firstLine="482" w:firstLineChars="200"/>
        <w:jc w:val="left"/>
        <w:rPr>
          <w:rFonts w:ascii="Times New Roman" w:hAnsi="Times New Roman" w:eastAsia="宋体" w:cs="Times New Roman"/>
          <w:b/>
          <w:sz w:val="24"/>
        </w:rPr>
      </w:pPr>
    </w:p>
    <w:p w14:paraId="79AB8BF8">
      <w:pPr>
        <w:numPr>
          <w:ilvl w:val="0"/>
          <w:numId w:val="50"/>
        </w:num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课程简介</w:t>
      </w:r>
    </w:p>
    <w:p w14:paraId="4525ABB2">
      <w:pPr>
        <w:spacing w:line="360" w:lineRule="auto"/>
        <w:jc w:val="left"/>
        <w:rPr>
          <w:rFonts w:hint="eastAsia" w:ascii="宋体" w:hAnsi="宋体" w:eastAsia="宋体" w:cs="Times New Roman"/>
          <w:bCs/>
          <w:color w:val="000000"/>
          <w:szCs w:val="21"/>
        </w:rPr>
      </w:pPr>
      <w:r>
        <w:rPr>
          <w:rFonts w:hint="eastAsia" w:ascii="Times New Roman" w:hAnsi="Times New Roman" w:eastAsia="宋体" w:cs="Times New Roman"/>
          <w:b/>
          <w:sz w:val="24"/>
        </w:rPr>
        <w:t xml:space="preserve">    </w:t>
      </w:r>
      <w:r>
        <w:rPr>
          <w:rFonts w:hint="eastAsia" w:ascii="Times New Roman" w:hAnsi="Times New Roman" w:eastAsia="宋体" w:cs="Times New Roman"/>
          <w:bCs/>
          <w:sz w:val="24"/>
        </w:rPr>
        <w:t>本课程是小学教育专业选修课程。课程的主要任务是通过展示社会学的独特研究视角与经典研究成果，培养学生分析社会问题和社会现象的学科意识，提高其作为教师的综合人文社科素养，以及对人类一般社会活动的认知能力。</w:t>
      </w:r>
    </w:p>
    <w:p w14:paraId="5138A1C2">
      <w:pPr>
        <w:spacing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04A25E01">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3FD0DA0">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color w:val="000000"/>
          <w:sz w:val="24"/>
        </w:rPr>
        <w:t>掌握教育社会学的学科性质、研究对象、基本概念，建立教育社会学的研究视角和学科意识。</w:t>
      </w:r>
    </w:p>
    <w:p w14:paraId="7E0094FA">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w:t>
      </w:r>
      <w:r>
        <w:rPr>
          <w:rFonts w:hint="eastAsia" w:ascii="宋体" w:hAnsi="宋体" w:eastAsia="宋体" w:cs="Times New Roman"/>
          <w:color w:val="000000"/>
          <w:sz w:val="24"/>
        </w:rPr>
        <w:t>理解社会系统的运行规则，掌握分析社会问题的教育社会学理论。</w:t>
      </w:r>
    </w:p>
    <w:p w14:paraId="77604390">
      <w:pPr>
        <w:spacing w:line="360" w:lineRule="auto"/>
        <w:ind w:firstLine="422" w:firstLineChars="200"/>
        <w:jc w:val="left"/>
        <w:rPr>
          <w:rFonts w:hint="eastAsia" w:ascii="宋体" w:hAnsi="宋体" w:eastAsia="宋体" w:cs="Times New Roman"/>
          <w:color w:val="000000"/>
          <w:sz w:val="24"/>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ascii="Times New Roman" w:hAnsi="Times New Roman" w:eastAsia="宋体" w:cs="Times New Roman"/>
          <w:szCs w:val="21"/>
        </w:rPr>
        <w:t xml:space="preserve"> </w:t>
      </w:r>
      <w:r>
        <w:rPr>
          <w:rFonts w:hint="eastAsia" w:ascii="宋体" w:hAnsi="宋体" w:eastAsia="宋体" w:cs="Times New Roman"/>
          <w:color w:val="000000"/>
          <w:sz w:val="24"/>
        </w:rPr>
        <w:t>理解社会化、社会角色、社会群体等社会良性运动规律的微观分析，理解个体在社会中的作用，建立分析问题的教育社会学视角和意识。</w:t>
      </w:r>
    </w:p>
    <w:p w14:paraId="430CD82F">
      <w:pPr>
        <w:spacing w:line="360" w:lineRule="auto"/>
        <w:ind w:firstLine="422" w:firstLineChars="200"/>
        <w:rPr>
          <w:rFonts w:hint="eastAsia" w:ascii="宋体" w:hAnsi="等线" w:eastAsia="宋体" w:cs="Times New Roman"/>
          <w:color w:val="000000"/>
          <w:sz w:val="24"/>
        </w:rPr>
      </w:pPr>
      <w:r>
        <w:rPr>
          <w:rFonts w:hint="eastAsia" w:ascii="宋体" w:hAnsi="宋体" w:eastAsia="宋体" w:cs="Times New Roman"/>
          <w:b/>
          <w:bCs/>
          <w:color w:val="000000"/>
          <w:szCs w:val="21"/>
        </w:rPr>
        <w:t>目标</w:t>
      </w:r>
      <w:r>
        <w:rPr>
          <w:rFonts w:ascii="宋体" w:hAnsi="宋体" w:eastAsia="宋体" w:cs="Times New Roman"/>
          <w:b/>
          <w:bCs/>
          <w:color w:val="000000"/>
          <w:szCs w:val="21"/>
        </w:rPr>
        <w:t>4.</w:t>
      </w:r>
      <w:r>
        <w:rPr>
          <w:rFonts w:hint="eastAsia" w:ascii="宋体" w:hAnsi="宋体" w:eastAsia="宋体" w:cs="Times New Roman"/>
          <w:color w:val="000000"/>
          <w:sz w:val="24"/>
        </w:rPr>
        <w:t>理解宏观范围内的社会组织、社会分层、社会流动等教育社会学基础问题，掌握使用教育社会学方法分析思考一般社会现象的基本能力。</w:t>
      </w:r>
    </w:p>
    <w:p w14:paraId="5ECE5A10">
      <w:pPr>
        <w:spacing w:line="360" w:lineRule="auto"/>
        <w:ind w:firstLine="422" w:firstLineChars="200"/>
        <w:rPr>
          <w:rFonts w:hint="eastAsia" w:ascii="宋体" w:hAnsi="等线" w:eastAsia="宋体" w:cs="Times New Roman"/>
          <w:color w:val="000000"/>
          <w:sz w:val="24"/>
        </w:rPr>
      </w:pPr>
      <w:r>
        <w:rPr>
          <w:rFonts w:hint="eastAsia" w:ascii="宋体" w:hAnsi="宋体" w:eastAsia="宋体" w:cs="Times New Roman"/>
          <w:b/>
          <w:bCs/>
          <w:color w:val="000000"/>
          <w:szCs w:val="21"/>
        </w:rPr>
        <w:t>目标</w:t>
      </w:r>
      <w:r>
        <w:rPr>
          <w:rFonts w:ascii="宋体" w:hAnsi="宋体" w:eastAsia="宋体" w:cs="Times New Roman"/>
          <w:b/>
          <w:bCs/>
          <w:color w:val="000000"/>
          <w:szCs w:val="21"/>
        </w:rPr>
        <w:t>5.</w:t>
      </w:r>
      <w:r>
        <w:rPr>
          <w:rFonts w:hint="eastAsia" w:ascii="宋体" w:hAnsi="宋体" w:eastAsia="宋体" w:cs="Times New Roman"/>
          <w:color w:val="000000"/>
          <w:sz w:val="24"/>
        </w:rPr>
        <w:t>理解社会良性运行规律的反向研究教育社会学问题，掌握使用教育社会学方法分析和思考社会问题、社会控制等教育现象的能力。</w:t>
      </w:r>
    </w:p>
    <w:p w14:paraId="2D621398">
      <w:pPr>
        <w:spacing w:line="360" w:lineRule="auto"/>
        <w:ind w:firstLine="422" w:firstLineChars="200"/>
        <w:rPr>
          <w:rFonts w:hint="eastAsia" w:ascii="宋体" w:hAnsi="宋体" w:eastAsia="宋体" w:cs="Times New Roman"/>
          <w:color w:val="000000"/>
          <w:sz w:val="24"/>
        </w:rPr>
      </w:pPr>
      <w:r>
        <w:rPr>
          <w:rFonts w:hint="eastAsia" w:ascii="宋体" w:hAnsi="宋体" w:eastAsia="宋体" w:cs="Times New Roman"/>
          <w:b/>
          <w:bCs/>
          <w:color w:val="000000"/>
          <w:szCs w:val="21"/>
        </w:rPr>
        <w:t>目标</w:t>
      </w:r>
      <w:r>
        <w:rPr>
          <w:rFonts w:ascii="宋体" w:hAnsi="宋体" w:eastAsia="宋体" w:cs="Times New Roman"/>
          <w:b/>
          <w:bCs/>
          <w:color w:val="000000"/>
          <w:szCs w:val="21"/>
        </w:rPr>
        <w:t>6.</w:t>
      </w:r>
      <w:r>
        <w:rPr>
          <w:rFonts w:hint="eastAsia" w:ascii="宋体" w:hAnsi="宋体" w:eastAsia="宋体" w:cs="Times New Roman"/>
          <w:color w:val="000000"/>
          <w:sz w:val="24"/>
        </w:rPr>
        <w:t>了解研究社会运行的常用手段，掌握教育社会学调查和社会问题研究的方法。</w:t>
      </w:r>
    </w:p>
    <w:p w14:paraId="26968AC2">
      <w:pPr>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3"/>
        <w:gridCol w:w="5463"/>
        <w:gridCol w:w="1281"/>
      </w:tblGrid>
      <w:tr w14:paraId="11F8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14:paraId="7855F47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463" w:type="dxa"/>
            <w:vAlign w:val="center"/>
          </w:tcPr>
          <w:p w14:paraId="149057B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281" w:type="dxa"/>
            <w:vAlign w:val="center"/>
          </w:tcPr>
          <w:p w14:paraId="0081E34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869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14:paraId="087CC16B">
            <w:pPr>
              <w:spacing w:line="276" w:lineRule="auto"/>
              <w:ind w:left="210" w:hanging="210" w:hangingChars="100"/>
              <w:jc w:val="left"/>
              <w:rPr>
                <w:rFonts w:ascii="Times New Roman" w:hAnsi="Times New Roman" w:eastAsia="宋体" w:cs="Times New Roman"/>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1</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师德师范</w:t>
            </w:r>
          </w:p>
        </w:tc>
        <w:tc>
          <w:tcPr>
            <w:tcW w:w="5463" w:type="dxa"/>
            <w:vAlign w:val="center"/>
          </w:tcPr>
          <w:p w14:paraId="3514E2FA">
            <w:pPr>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指标点</w:t>
            </w:r>
            <w:r>
              <w:rPr>
                <w:rFonts w:ascii="宋体" w:hAnsi="宋体" w:eastAsia="宋体" w:cs="Times New Roman"/>
                <w:color w:val="000000"/>
                <w:szCs w:val="21"/>
              </w:rPr>
              <w:t>1-1</w:t>
            </w:r>
            <w:r>
              <w:rPr>
                <w:rFonts w:hint="eastAsia" w:ascii="宋体" w:hAnsi="宋体" w:eastAsia="宋体" w:cs="Times New Roman"/>
                <w:color w:val="000000"/>
                <w:szCs w:val="21"/>
              </w:rPr>
              <w:t>：</w:t>
            </w:r>
            <w:r>
              <w:rPr>
                <w:rFonts w:hint="eastAsia" w:ascii="Calibri" w:hAnsi="Calibri" w:eastAsia="宋体" w:cs="Times New Roman"/>
                <w:color w:val="000000"/>
                <w:szCs w:val="23"/>
              </w:rPr>
              <w:t>认同中国特色社会主义，践行社会主义核心价值观，以立德树人为己任。</w:t>
            </w:r>
          </w:p>
        </w:tc>
        <w:tc>
          <w:tcPr>
            <w:tcW w:w="1281" w:type="dxa"/>
            <w:vAlign w:val="center"/>
          </w:tcPr>
          <w:p w14:paraId="7D545C62">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bCs/>
                <w:color w:val="000000"/>
                <w:szCs w:val="21"/>
              </w:rPr>
              <w:t>课程目标</w:t>
            </w:r>
            <w:r>
              <w:rPr>
                <w:rFonts w:ascii="宋体" w:hAnsi="宋体" w:eastAsia="宋体" w:cs="宋体"/>
                <w:bCs/>
                <w:color w:val="000000"/>
                <w:szCs w:val="21"/>
              </w:rPr>
              <w:t>1</w:t>
            </w:r>
          </w:p>
        </w:tc>
      </w:tr>
      <w:tr w14:paraId="2C42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14:paraId="618C446E">
            <w:pPr>
              <w:adjustRightInd w:val="0"/>
              <w:snapToGrid w:val="0"/>
              <w:spacing w:line="276" w:lineRule="auto"/>
              <w:rPr>
                <w:rFonts w:ascii="Times New Roman" w:hAnsi="Times New Roman" w:eastAsia="宋体" w:cs="Times New Roman"/>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w:t>
            </w:r>
            <w:r>
              <w:rPr>
                <w:rFonts w:hint="eastAsia" w:ascii="宋体" w:hAnsi="宋体" w:eastAsia="宋体" w:cs="Times New Roman"/>
                <w:color w:val="000000"/>
                <w:kern w:val="0"/>
                <w:szCs w:val="21"/>
              </w:rPr>
              <w:t>教育情怀</w:t>
            </w:r>
          </w:p>
        </w:tc>
        <w:tc>
          <w:tcPr>
            <w:tcW w:w="5463" w:type="dxa"/>
            <w:vAlign w:val="center"/>
          </w:tcPr>
          <w:p w14:paraId="5D2A1A35">
            <w:pPr>
              <w:adjustRightInd w:val="0"/>
              <w:snapToGrid w:val="0"/>
              <w:spacing w:line="276" w:lineRule="auto"/>
              <w:jc w:val="left"/>
              <w:rPr>
                <w:rFonts w:ascii="Times New Roman" w:hAnsi="Times New Roman" w:eastAsia="宋体" w:cs="Times New Roman"/>
                <w:szCs w:val="21"/>
              </w:rPr>
            </w:pPr>
            <w:r>
              <w:rPr>
                <w:rFonts w:hint="eastAsia" w:ascii="宋体" w:hAnsi="宋体" w:eastAsia="宋体" w:cs="Times New Roman"/>
                <w:szCs w:val="21"/>
              </w:rPr>
              <w:t>指标点</w:t>
            </w:r>
            <w:r>
              <w:rPr>
                <w:rFonts w:ascii="宋体" w:hAnsi="宋体" w:eastAsia="宋体" w:cs="Times New Roman"/>
                <w:szCs w:val="21"/>
              </w:rPr>
              <w:t>2-3</w:t>
            </w:r>
            <w:r>
              <w:rPr>
                <w:rFonts w:hint="eastAsia" w:ascii="宋体" w:hAnsi="宋体" w:eastAsia="宋体" w:cs="Times New Roman"/>
                <w:szCs w:val="21"/>
              </w:rPr>
              <w:t>：具有较好的人文底蕴和科学精神，人格健全，心理健康，情感丰富，为人师表。</w:t>
            </w:r>
          </w:p>
        </w:tc>
        <w:tc>
          <w:tcPr>
            <w:tcW w:w="1281" w:type="dxa"/>
            <w:vAlign w:val="center"/>
          </w:tcPr>
          <w:p w14:paraId="333C52D3">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color w:val="000000"/>
                <w:szCs w:val="21"/>
              </w:rPr>
              <w:t>课程目标</w:t>
            </w:r>
            <w:r>
              <w:rPr>
                <w:rFonts w:ascii="宋体" w:hAnsi="宋体" w:eastAsia="宋体" w:cs="宋体"/>
                <w:color w:val="000000"/>
                <w:szCs w:val="21"/>
              </w:rPr>
              <w:t>2</w:t>
            </w:r>
          </w:p>
        </w:tc>
      </w:tr>
      <w:tr w14:paraId="2B26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restart"/>
            <w:vAlign w:val="center"/>
          </w:tcPr>
          <w:p w14:paraId="01E73104">
            <w:pPr>
              <w:adjustRightInd w:val="0"/>
              <w:snapToGrid w:val="0"/>
              <w:spacing w:line="276" w:lineRule="auto"/>
              <w:rPr>
                <w:rFonts w:ascii="Times New Roman" w:hAnsi="Times New Roman" w:eastAsia="宋体" w:cs="Times New Roman"/>
                <w:szCs w:val="21"/>
              </w:rPr>
            </w:pPr>
            <w:r>
              <w:rPr>
                <w:rFonts w:hint="eastAsia" w:ascii="宋体" w:hAnsi="宋体" w:eastAsia="宋体" w:cs="Times New Roman"/>
                <w:color w:val="000000"/>
                <w:spacing w:val="2"/>
                <w:kern w:val="0"/>
                <w:szCs w:val="21"/>
              </w:rPr>
              <w:t>毕业要求</w:t>
            </w:r>
            <w:r>
              <w:rPr>
                <w:rFonts w:ascii="宋体" w:hAnsi="宋体" w:eastAsia="宋体" w:cs="Times New Roman"/>
                <w:color w:val="000000"/>
                <w:spacing w:val="2"/>
                <w:kern w:val="0"/>
                <w:szCs w:val="21"/>
              </w:rPr>
              <w:t>3</w:t>
            </w:r>
            <w:r>
              <w:rPr>
                <w:rFonts w:ascii="宋体" w:hAnsi="Calibri" w:eastAsia="宋体" w:cs="Times New Roman"/>
                <w:color w:val="000000"/>
                <w:spacing w:val="2"/>
                <w:kern w:val="0"/>
                <w:szCs w:val="21"/>
              </w:rPr>
              <w:t>.</w:t>
            </w:r>
            <w:r>
              <w:rPr>
                <w:rFonts w:hint="eastAsia" w:ascii="宋体" w:hAnsi="宋体" w:eastAsia="宋体" w:cs="Times New Roman"/>
                <w:color w:val="000000"/>
                <w:spacing w:val="2"/>
                <w:kern w:val="0"/>
                <w:szCs w:val="21"/>
              </w:rPr>
              <w:t>学科素养</w:t>
            </w:r>
          </w:p>
        </w:tc>
        <w:tc>
          <w:tcPr>
            <w:tcW w:w="5463" w:type="dxa"/>
            <w:vAlign w:val="center"/>
          </w:tcPr>
          <w:p w14:paraId="1D5007E0">
            <w:pPr>
              <w:adjustRightInd w:val="0"/>
              <w:snapToGrid w:val="0"/>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指标点</w:t>
            </w:r>
            <w:r>
              <w:rPr>
                <w:rFonts w:ascii="宋体" w:hAnsi="宋体" w:eastAsia="宋体" w:cs="Times New Roman"/>
                <w:color w:val="000000"/>
                <w:szCs w:val="21"/>
              </w:rPr>
              <w:t>3-1</w:t>
            </w:r>
            <w:r>
              <w:rPr>
                <w:rFonts w:hint="eastAsia" w:ascii="宋体" w:hAnsi="宋体" w:eastAsia="宋体" w:cs="Times New Roman"/>
                <w:color w:val="000000"/>
                <w:szCs w:val="21"/>
              </w:rPr>
              <w:t>：具有一定的人文社会与科学素养。</w:t>
            </w:r>
          </w:p>
        </w:tc>
        <w:tc>
          <w:tcPr>
            <w:tcW w:w="1281" w:type="dxa"/>
            <w:vAlign w:val="center"/>
          </w:tcPr>
          <w:p w14:paraId="224AD04E">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r>
      <w:tr w14:paraId="52B9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continue"/>
            <w:vAlign w:val="center"/>
          </w:tcPr>
          <w:p w14:paraId="6CC4A4AD">
            <w:pPr>
              <w:adjustRightInd w:val="0"/>
              <w:snapToGrid w:val="0"/>
              <w:spacing w:line="276" w:lineRule="auto"/>
              <w:rPr>
                <w:rFonts w:ascii="Times New Roman" w:hAnsi="Times New Roman" w:eastAsia="宋体" w:cs="Times New Roman"/>
                <w:szCs w:val="21"/>
              </w:rPr>
            </w:pPr>
          </w:p>
        </w:tc>
        <w:tc>
          <w:tcPr>
            <w:tcW w:w="5463" w:type="dxa"/>
            <w:vAlign w:val="center"/>
          </w:tcPr>
          <w:p w14:paraId="4EEE7882">
            <w:pPr>
              <w:shd w:val="clear" w:color="auto" w:fill="FFFFFF"/>
              <w:adjustRightInd w:val="0"/>
              <w:snapToGrid w:val="0"/>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指标点</w:t>
            </w:r>
            <w:r>
              <w:rPr>
                <w:rFonts w:ascii="宋体" w:hAnsi="宋体" w:eastAsia="宋体" w:cs="Times New Roman"/>
                <w:color w:val="000000"/>
                <w:szCs w:val="21"/>
              </w:rPr>
              <w:t>3-3</w:t>
            </w:r>
            <w:r>
              <w:rPr>
                <w:rFonts w:hint="eastAsia" w:ascii="宋体" w:hAnsi="宋体" w:eastAsia="宋体" w:cs="Times New Roman"/>
                <w:color w:val="000000"/>
                <w:szCs w:val="21"/>
              </w:rPr>
              <w:t>：掌握兼教学科的基本知识、原理和技能，理解兼教学科的知识体系。</w:t>
            </w:r>
          </w:p>
        </w:tc>
        <w:tc>
          <w:tcPr>
            <w:tcW w:w="1281" w:type="dxa"/>
            <w:vAlign w:val="center"/>
          </w:tcPr>
          <w:p w14:paraId="2D91F037">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color w:val="000000"/>
                <w:szCs w:val="21"/>
              </w:rPr>
              <w:t>课程目标</w:t>
            </w:r>
            <w:r>
              <w:rPr>
                <w:rFonts w:ascii="宋体" w:hAnsi="宋体" w:eastAsia="宋体" w:cs="宋体"/>
                <w:color w:val="000000"/>
                <w:szCs w:val="21"/>
              </w:rPr>
              <w:t xml:space="preserve"> 4</w:t>
            </w:r>
          </w:p>
        </w:tc>
      </w:tr>
      <w:tr w14:paraId="0AE1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14:paraId="25A99BA2">
            <w:pPr>
              <w:adjustRightInd w:val="0"/>
              <w:snapToGrid w:val="0"/>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6</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综合育人</w:t>
            </w:r>
          </w:p>
        </w:tc>
        <w:tc>
          <w:tcPr>
            <w:tcW w:w="5463" w:type="dxa"/>
            <w:vAlign w:val="center"/>
          </w:tcPr>
          <w:p w14:paraId="76C44D72">
            <w:pPr>
              <w:shd w:val="clear" w:color="auto" w:fill="FFFFFF"/>
              <w:adjustRightInd w:val="0"/>
              <w:snapToGrid w:val="0"/>
              <w:spacing w:line="276" w:lineRule="auto"/>
              <w:jc w:val="left"/>
              <w:rPr>
                <w:rFonts w:hint="eastAsia" w:ascii="宋体" w:hAnsi="宋体" w:eastAsia="宋体" w:cs="Times New Roman"/>
                <w:color w:val="000000"/>
                <w:szCs w:val="21"/>
              </w:rPr>
            </w:pPr>
            <w:r>
              <w:rPr>
                <w:rFonts w:hint="eastAsia" w:ascii="宋体" w:hAnsi="Calibri" w:eastAsia="宋体" w:cs="Times New Roman"/>
                <w:color w:val="000000"/>
                <w:szCs w:val="21"/>
              </w:rPr>
              <w:t>指标点</w:t>
            </w:r>
            <w:r>
              <w:rPr>
                <w:rFonts w:ascii="宋体" w:hAnsi="Calibri" w:eastAsia="宋体" w:cs="Times New Roman"/>
                <w:color w:val="000000"/>
                <w:szCs w:val="21"/>
              </w:rPr>
              <w:t>6-2</w:t>
            </w:r>
            <w:r>
              <w:rPr>
                <w:rFonts w:hint="eastAsia" w:ascii="宋体" w:hAnsi="Calibri" w:eastAsia="宋体" w:cs="Times New Roman"/>
                <w:color w:val="000000"/>
                <w:szCs w:val="21"/>
              </w:rPr>
              <w:t>：具备结合学科教学进行育人的意识与能力。</w:t>
            </w:r>
          </w:p>
        </w:tc>
        <w:tc>
          <w:tcPr>
            <w:tcW w:w="1281" w:type="dxa"/>
            <w:vAlign w:val="center"/>
          </w:tcPr>
          <w:p w14:paraId="63DC0613">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color w:val="000000"/>
                <w:szCs w:val="21"/>
              </w:rPr>
              <w:t>课程目标</w:t>
            </w:r>
            <w:r>
              <w:rPr>
                <w:rFonts w:ascii="宋体" w:hAnsi="宋体" w:eastAsia="宋体" w:cs="宋体"/>
                <w:color w:val="000000"/>
                <w:szCs w:val="21"/>
              </w:rPr>
              <w:t>5</w:t>
            </w:r>
          </w:p>
        </w:tc>
      </w:tr>
      <w:tr w14:paraId="316F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14:paraId="16F06544">
            <w:pPr>
              <w:adjustRightInd w:val="0"/>
              <w:snapToGrid w:val="0"/>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7</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学会反思</w:t>
            </w:r>
          </w:p>
        </w:tc>
        <w:tc>
          <w:tcPr>
            <w:tcW w:w="5463" w:type="dxa"/>
            <w:vAlign w:val="center"/>
          </w:tcPr>
          <w:p w14:paraId="1F69A777">
            <w:pPr>
              <w:shd w:val="clear" w:color="auto" w:fill="FFFFFF"/>
              <w:adjustRightInd w:val="0"/>
              <w:snapToGrid w:val="0"/>
              <w:spacing w:line="276" w:lineRule="auto"/>
              <w:jc w:val="left"/>
              <w:rPr>
                <w:rFonts w:ascii="宋体" w:hAnsi="Calibri" w:eastAsia="宋体" w:cs="Times New Roman"/>
                <w:color w:val="000000"/>
                <w:szCs w:val="21"/>
              </w:rPr>
            </w:pPr>
            <w:r>
              <w:rPr>
                <w:rFonts w:hint="eastAsia" w:ascii="宋体" w:hAnsi="宋体" w:eastAsia="宋体" w:cs="Times New Roman"/>
                <w:color w:val="000000"/>
                <w:szCs w:val="21"/>
              </w:rPr>
              <w:t>指标点</w:t>
            </w:r>
            <w:r>
              <w:rPr>
                <w:rFonts w:ascii="宋体" w:hAnsi="宋体" w:eastAsia="宋体" w:cs="Times New Roman"/>
                <w:color w:val="000000"/>
                <w:szCs w:val="21"/>
              </w:rPr>
              <w:t>7-2</w:t>
            </w:r>
            <w:r>
              <w:rPr>
                <w:rFonts w:hint="eastAsia" w:ascii="宋体" w:hAnsi="宋体" w:eastAsia="宋体" w:cs="Times New Roman"/>
                <w:color w:val="000000"/>
                <w:szCs w:val="21"/>
              </w:rPr>
              <w:t>：具有终身学习和专业发展意识，能适应时代和教育发展需求，进行职业生涯规划和自主学习。</w:t>
            </w:r>
          </w:p>
          <w:p w14:paraId="334A37D4">
            <w:pPr>
              <w:shd w:val="clear" w:color="auto" w:fill="FFFFFF"/>
              <w:adjustRightInd w:val="0"/>
              <w:snapToGrid w:val="0"/>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w:t>
            </w:r>
            <w:r>
              <w:rPr>
                <w:rFonts w:ascii="宋体" w:hAnsi="宋体" w:eastAsia="宋体" w:cs="Times New Roman"/>
                <w:color w:val="000000"/>
                <w:szCs w:val="21"/>
              </w:rPr>
              <w:t>7</w:t>
            </w:r>
            <w:r>
              <w:rPr>
                <w:rFonts w:ascii="宋体" w:hAnsi="Calibri"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：初步掌握反思方法和技能，具有一定创新意识，运用批判性思维方法，学会发现、分析和解决小学教育实践中的问题。</w:t>
            </w:r>
          </w:p>
        </w:tc>
        <w:tc>
          <w:tcPr>
            <w:tcW w:w="1281" w:type="dxa"/>
            <w:vAlign w:val="center"/>
          </w:tcPr>
          <w:p w14:paraId="414C9150">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color w:val="000000"/>
                <w:szCs w:val="21"/>
              </w:rPr>
              <w:t>课程目标</w:t>
            </w:r>
            <w:r>
              <w:rPr>
                <w:rFonts w:ascii="宋体" w:hAnsi="宋体" w:eastAsia="宋体" w:cs="宋体"/>
                <w:color w:val="000000"/>
                <w:szCs w:val="21"/>
              </w:rPr>
              <w:t>6</w:t>
            </w:r>
          </w:p>
        </w:tc>
      </w:tr>
    </w:tbl>
    <w:p w14:paraId="1E99E14A">
      <w:pPr>
        <w:spacing w:before="156" w:beforeLines="50" w:line="360" w:lineRule="auto"/>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10649DC4">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在系统了解教育社会学的学科知识基础上，学习掌握对现实教育问题的社会学观察视角和思想理念，深入了解教育对个人成长的重要意义，理解教育公平与社会正义的重要性；增进自身专业使命感与社会责任感，关注并参与解决现实社会中存在的各种教育不平等问题；弘扬社会主义核心价值观，通过教育促进社会和谐与进步；培养国际视野，理解全球化背景下的教育交流与合作，增进中华民族文化自信。</w:t>
      </w:r>
    </w:p>
    <w:p w14:paraId="7F051F6C">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178"/>
        <w:gridCol w:w="828"/>
        <w:gridCol w:w="3089"/>
        <w:gridCol w:w="1560"/>
        <w:gridCol w:w="438"/>
      </w:tblGrid>
      <w:tr w14:paraId="0FA0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2936D6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CD96D0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178" w:type="dxa"/>
            <w:vAlign w:val="center"/>
          </w:tcPr>
          <w:p w14:paraId="6C38602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828" w:type="dxa"/>
            <w:vAlign w:val="center"/>
          </w:tcPr>
          <w:p w14:paraId="49CD114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5B1CC6A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089" w:type="dxa"/>
            <w:vAlign w:val="center"/>
          </w:tcPr>
          <w:p w14:paraId="79FDEA2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1D0CD32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00E4CA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3BCA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FD0DE2">
            <w:pPr>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第一章</w:t>
            </w:r>
          </w:p>
          <w:p w14:paraId="6E0A5C08">
            <w:pPr>
              <w:spacing w:line="276" w:lineRule="auto"/>
              <w:jc w:val="left"/>
              <w:rPr>
                <w:rFonts w:hint="eastAsia" w:ascii="宋体" w:hAnsi="宋体" w:eastAsia="宋体" w:cs="Times New Roman"/>
                <w:color w:val="000000"/>
                <w:szCs w:val="21"/>
              </w:rPr>
            </w:pPr>
            <w:r>
              <w:rPr>
                <w:rFonts w:hint="eastAsia" w:ascii="宋体" w:hAnsi="宋体" w:eastAsia="宋体" w:cs="宋体"/>
                <w:color w:val="000000"/>
                <w:kern w:val="0"/>
                <w:szCs w:val="21"/>
              </w:rPr>
              <w:t>教育社会学概论</w:t>
            </w:r>
          </w:p>
        </w:tc>
        <w:tc>
          <w:tcPr>
            <w:tcW w:w="2178" w:type="dxa"/>
            <w:vAlign w:val="center"/>
          </w:tcPr>
          <w:p w14:paraId="1E79A34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1.教育社会学的学科性质、研究对象、学科功能和学科边界；</w:t>
            </w:r>
          </w:p>
          <w:p w14:paraId="3B7ABFAD">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2.教育社会学的概念、教育社会学研究的方法论；</w:t>
            </w:r>
          </w:p>
          <w:p w14:paraId="6F182F9A">
            <w:pPr>
              <w:spacing w:line="269" w:lineRule="auto"/>
              <w:jc w:val="left"/>
              <w:rPr>
                <w:rFonts w:hint="eastAsia" w:ascii="宋体" w:hAnsi="宋体" w:eastAsia="宋体" w:cs="Times New Roman"/>
                <w:color w:val="000000"/>
                <w:szCs w:val="21"/>
              </w:rPr>
            </w:pPr>
            <w:r>
              <w:rPr>
                <w:rFonts w:hint="eastAsia" w:ascii="宋体" w:hAnsi="宋体" w:eastAsia="宋体" w:cs="宋体"/>
                <w:color w:val="000000"/>
                <w:kern w:val="0"/>
                <w:sz w:val="24"/>
              </w:rPr>
              <w:t>3.教育社会学的研究视角和学科意识。</w:t>
            </w:r>
          </w:p>
        </w:tc>
        <w:tc>
          <w:tcPr>
            <w:tcW w:w="828" w:type="dxa"/>
            <w:vAlign w:val="center"/>
          </w:tcPr>
          <w:p w14:paraId="0DE72C6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089" w:type="dxa"/>
            <w:vAlign w:val="center"/>
          </w:tcPr>
          <w:p w14:paraId="789EE57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1.了解教育社会学的学科性质、研究对象、学科功能和学科边界；</w:t>
            </w:r>
          </w:p>
          <w:p w14:paraId="02D72BE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2.理解教育社会学的概念、教育社会学研究的方法论；</w:t>
            </w:r>
          </w:p>
          <w:p w14:paraId="13BD076E">
            <w:pPr>
              <w:widowControl/>
              <w:adjustRightInd w:val="0"/>
              <w:snapToGrid w:val="0"/>
              <w:spacing w:line="360" w:lineRule="auto"/>
              <w:jc w:val="left"/>
              <w:rPr>
                <w:rFonts w:hint="eastAsia" w:ascii="宋体" w:hAnsi="宋体" w:eastAsia="宋体" w:cs="Times New Roman"/>
                <w:color w:val="000000"/>
                <w:szCs w:val="21"/>
              </w:rPr>
            </w:pPr>
            <w:r>
              <w:rPr>
                <w:rFonts w:hint="eastAsia" w:ascii="宋体" w:hAnsi="宋体" w:eastAsia="宋体" w:cs="宋体"/>
                <w:color w:val="000000"/>
                <w:kern w:val="0"/>
                <w:sz w:val="24"/>
              </w:rPr>
              <w:t>3.掌握教育社会学的研究视角和学科意识。</w:t>
            </w:r>
          </w:p>
        </w:tc>
        <w:tc>
          <w:tcPr>
            <w:tcW w:w="1560" w:type="dxa"/>
            <w:vAlign w:val="center"/>
          </w:tcPr>
          <w:p w14:paraId="55D2C2C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1186550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课堂讨论</w:t>
            </w:r>
          </w:p>
        </w:tc>
        <w:tc>
          <w:tcPr>
            <w:tcW w:w="438" w:type="dxa"/>
            <w:vAlign w:val="center"/>
          </w:tcPr>
          <w:p w14:paraId="697800F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970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A32458">
            <w:pPr>
              <w:spacing w:line="264" w:lineRule="auto"/>
              <w:jc w:val="center"/>
              <w:rPr>
                <w:rFonts w:hint="eastAsia" w:ascii="宋体" w:hAnsi="宋体" w:eastAsia="宋体" w:cs="Times New Roman"/>
                <w:color w:val="000000"/>
                <w:szCs w:val="21"/>
              </w:rPr>
            </w:pPr>
          </w:p>
        </w:tc>
        <w:tc>
          <w:tcPr>
            <w:tcW w:w="8093" w:type="dxa"/>
            <w:gridSpan w:val="5"/>
            <w:vAlign w:val="center"/>
          </w:tcPr>
          <w:p w14:paraId="11B61798">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11B3CA9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增进自身专业使命感与社会责任感，运用社会学视角审视教育问题，关注并乐于参与解决现实社会中存在的各种教育不平等问题。</w:t>
            </w:r>
          </w:p>
        </w:tc>
      </w:tr>
      <w:tr w14:paraId="08C9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9E487D1">
            <w:pPr>
              <w:widowControl/>
              <w:snapToGrid w:val="0"/>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第二章 </w:t>
            </w:r>
          </w:p>
          <w:p w14:paraId="3F3B1A11">
            <w:pPr>
              <w:widowControl/>
              <w:snapToGrid w:val="0"/>
              <w:spacing w:line="276" w:lineRule="auto"/>
              <w:jc w:val="left"/>
              <w:rPr>
                <w:rFonts w:hint="eastAsia" w:ascii="宋体" w:hAnsi="宋体" w:eastAsia="宋体" w:cs="Times New Roman"/>
                <w:color w:val="000000"/>
                <w:szCs w:val="21"/>
              </w:rPr>
            </w:pPr>
            <w:r>
              <w:rPr>
                <w:rFonts w:hint="eastAsia" w:ascii="宋体" w:hAnsi="宋体" w:eastAsia="宋体" w:cs="宋体"/>
                <w:color w:val="000000"/>
                <w:kern w:val="0"/>
                <w:szCs w:val="21"/>
              </w:rPr>
              <w:t>教育社会学的历史与发展</w:t>
            </w:r>
          </w:p>
        </w:tc>
        <w:tc>
          <w:tcPr>
            <w:tcW w:w="2178" w:type="dxa"/>
            <w:vAlign w:val="center"/>
          </w:tcPr>
          <w:p w14:paraId="5963E06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1.中外教育社会学的产生和发展历程；</w:t>
            </w:r>
          </w:p>
          <w:p w14:paraId="67A4D4A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2.我国教育社会学所面临的理论创新困境与突破路径；</w:t>
            </w:r>
          </w:p>
          <w:p w14:paraId="397E6FC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3.迪尔凯姆与教育社会学创建的相关内容。</w:t>
            </w:r>
          </w:p>
        </w:tc>
        <w:tc>
          <w:tcPr>
            <w:tcW w:w="828" w:type="dxa"/>
            <w:vAlign w:val="center"/>
          </w:tcPr>
          <w:p w14:paraId="4292AA6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089" w:type="dxa"/>
            <w:vAlign w:val="center"/>
          </w:tcPr>
          <w:p w14:paraId="0F9F7F4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1.了解中外教育社会学的产生和发展历程；</w:t>
            </w:r>
          </w:p>
          <w:p w14:paraId="74E3263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2.理解我国教育社会学所面临的理论创新困境与突破路径；</w:t>
            </w:r>
          </w:p>
          <w:p w14:paraId="493E71E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3.掌握迪尔凯姆与教育社会学创建的相关内容。</w:t>
            </w:r>
          </w:p>
          <w:p w14:paraId="7BA5C931">
            <w:pPr>
              <w:widowControl/>
              <w:adjustRightInd w:val="0"/>
              <w:snapToGrid w:val="0"/>
              <w:spacing w:line="360" w:lineRule="auto"/>
              <w:jc w:val="left"/>
              <w:rPr>
                <w:rFonts w:hint="eastAsia" w:ascii="宋体" w:hAnsi="宋体" w:eastAsia="宋体" w:cs="Times New Roman"/>
                <w:color w:val="000000"/>
                <w:szCs w:val="21"/>
              </w:rPr>
            </w:pPr>
          </w:p>
        </w:tc>
        <w:tc>
          <w:tcPr>
            <w:tcW w:w="1560" w:type="dxa"/>
            <w:vAlign w:val="center"/>
          </w:tcPr>
          <w:p w14:paraId="2224682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69BD0DC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小组分享</w:t>
            </w:r>
          </w:p>
        </w:tc>
        <w:tc>
          <w:tcPr>
            <w:tcW w:w="438" w:type="dxa"/>
            <w:vAlign w:val="center"/>
          </w:tcPr>
          <w:p w14:paraId="14C5F15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93E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5ACFD7F">
            <w:pPr>
              <w:spacing w:line="264" w:lineRule="auto"/>
              <w:jc w:val="center"/>
              <w:rPr>
                <w:rFonts w:hint="eastAsia" w:ascii="宋体" w:hAnsi="宋体" w:eastAsia="宋体" w:cs="Times New Roman"/>
                <w:color w:val="000000"/>
                <w:szCs w:val="21"/>
              </w:rPr>
            </w:pPr>
          </w:p>
        </w:tc>
        <w:tc>
          <w:tcPr>
            <w:tcW w:w="8093" w:type="dxa"/>
            <w:gridSpan w:val="5"/>
            <w:vAlign w:val="center"/>
          </w:tcPr>
          <w:p w14:paraId="4885BBFD">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4D89C45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拥有国际视野，关注中国教育现实，树立中华文化自信。</w:t>
            </w:r>
          </w:p>
        </w:tc>
      </w:tr>
      <w:tr w14:paraId="46F1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7CCD9E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第三章 教育社会学的理论流派</w:t>
            </w:r>
          </w:p>
        </w:tc>
        <w:tc>
          <w:tcPr>
            <w:tcW w:w="2178" w:type="dxa"/>
            <w:vAlign w:val="center"/>
          </w:tcPr>
          <w:p w14:paraId="48D1590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1.互动论教育社会学理论的基本主张、代表人物及经典研究；</w:t>
            </w:r>
          </w:p>
          <w:p w14:paraId="2250312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2.功能论教育社会学理论的基本主张、代表人物及经典研究；</w:t>
            </w:r>
          </w:p>
          <w:p w14:paraId="797ADBC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3.冲突论教育社会学理论的基本主张、代表人物及经典研究。</w:t>
            </w:r>
          </w:p>
        </w:tc>
        <w:tc>
          <w:tcPr>
            <w:tcW w:w="828" w:type="dxa"/>
            <w:vAlign w:val="center"/>
          </w:tcPr>
          <w:p w14:paraId="794DE14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课程目标3</w:t>
            </w:r>
          </w:p>
        </w:tc>
        <w:tc>
          <w:tcPr>
            <w:tcW w:w="3089" w:type="dxa"/>
            <w:vAlign w:val="center"/>
          </w:tcPr>
          <w:p w14:paraId="3BC8D416">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1.了解互动论教育社会学理论的基本主张、代表人物及经典研究；</w:t>
            </w:r>
          </w:p>
          <w:p w14:paraId="227D21B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2.理解功能论教育社会学理论的基本主张、代表人物及经典研究；</w:t>
            </w:r>
          </w:p>
          <w:p w14:paraId="3584300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3.掌握冲突论教育社会学理论的基本主张、代表人物及经典研究。</w:t>
            </w:r>
          </w:p>
          <w:p w14:paraId="2B32F9EC">
            <w:pPr>
              <w:widowControl/>
              <w:adjustRightInd w:val="0"/>
              <w:snapToGrid w:val="0"/>
              <w:spacing w:line="360" w:lineRule="auto"/>
              <w:jc w:val="left"/>
              <w:rPr>
                <w:rFonts w:hint="eastAsia" w:ascii="宋体" w:hAnsi="宋体" w:eastAsia="宋体" w:cs="Times New Roman"/>
                <w:color w:val="000000"/>
                <w:szCs w:val="21"/>
              </w:rPr>
            </w:pPr>
          </w:p>
        </w:tc>
        <w:tc>
          <w:tcPr>
            <w:tcW w:w="1560" w:type="dxa"/>
            <w:vAlign w:val="center"/>
          </w:tcPr>
          <w:p w14:paraId="5DAA9ED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759D4CB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小组分享</w:t>
            </w:r>
          </w:p>
        </w:tc>
        <w:tc>
          <w:tcPr>
            <w:tcW w:w="438" w:type="dxa"/>
            <w:vAlign w:val="center"/>
          </w:tcPr>
          <w:p w14:paraId="2E95E14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DBE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B0622ED">
            <w:pPr>
              <w:spacing w:line="264" w:lineRule="auto"/>
              <w:jc w:val="center"/>
              <w:rPr>
                <w:rFonts w:hint="eastAsia" w:ascii="宋体" w:hAnsi="宋体" w:eastAsia="宋体" w:cs="Times New Roman"/>
                <w:color w:val="000000"/>
                <w:szCs w:val="21"/>
              </w:rPr>
            </w:pPr>
          </w:p>
        </w:tc>
        <w:tc>
          <w:tcPr>
            <w:tcW w:w="8093" w:type="dxa"/>
            <w:gridSpan w:val="5"/>
            <w:vAlign w:val="center"/>
          </w:tcPr>
          <w:p w14:paraId="2576AD00">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54D796B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放眼世界，拓展国际视野，关注人类共同体所共同关注的教育公平；形成理性分析的社会学思维。</w:t>
            </w:r>
          </w:p>
        </w:tc>
      </w:tr>
      <w:tr w14:paraId="47CE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A7C95A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第四章 教育与个体社会化</w:t>
            </w:r>
          </w:p>
        </w:tc>
        <w:tc>
          <w:tcPr>
            <w:tcW w:w="2178" w:type="dxa"/>
            <w:vAlign w:val="center"/>
          </w:tcPr>
          <w:p w14:paraId="288735E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1.个体社会学的基本类型与主要理论；</w:t>
            </w:r>
          </w:p>
          <w:p w14:paraId="662C1597">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2.个体社会化的主要内容；</w:t>
            </w:r>
          </w:p>
          <w:p w14:paraId="44453BE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3.教育在个体社会化中的作用。</w:t>
            </w:r>
          </w:p>
        </w:tc>
        <w:tc>
          <w:tcPr>
            <w:tcW w:w="828" w:type="dxa"/>
            <w:vAlign w:val="center"/>
          </w:tcPr>
          <w:p w14:paraId="2F1855B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课程目标3</w:t>
            </w:r>
          </w:p>
        </w:tc>
        <w:tc>
          <w:tcPr>
            <w:tcW w:w="3089" w:type="dxa"/>
            <w:vAlign w:val="center"/>
          </w:tcPr>
          <w:p w14:paraId="539D929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1.了解个体社会学的基本类型与主要理论；</w:t>
            </w:r>
          </w:p>
          <w:p w14:paraId="5F0E8D4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2.理解个体社会化的主要内容；</w:t>
            </w:r>
          </w:p>
          <w:p w14:paraId="4C4E49B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3.掌握教育在个体社会化中的作用。</w:t>
            </w:r>
          </w:p>
        </w:tc>
        <w:tc>
          <w:tcPr>
            <w:tcW w:w="1560" w:type="dxa"/>
            <w:vAlign w:val="center"/>
          </w:tcPr>
          <w:p w14:paraId="726DB28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75681F0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小组分享</w:t>
            </w:r>
          </w:p>
        </w:tc>
        <w:tc>
          <w:tcPr>
            <w:tcW w:w="438" w:type="dxa"/>
            <w:vAlign w:val="center"/>
          </w:tcPr>
          <w:p w14:paraId="367BD60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15C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DEF48C7">
            <w:pPr>
              <w:spacing w:line="276" w:lineRule="auto"/>
              <w:jc w:val="center"/>
              <w:rPr>
                <w:rFonts w:hint="eastAsia" w:ascii="宋体" w:hAnsi="宋体" w:eastAsia="宋体" w:cs="Times New Roman"/>
                <w:color w:val="000000"/>
                <w:szCs w:val="21"/>
              </w:rPr>
            </w:pPr>
          </w:p>
        </w:tc>
        <w:tc>
          <w:tcPr>
            <w:tcW w:w="8093" w:type="dxa"/>
            <w:gridSpan w:val="5"/>
            <w:vAlign w:val="center"/>
          </w:tcPr>
          <w:p w14:paraId="6FC7D793">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60A6281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以社会主义核心价值观中的</w:t>
            </w:r>
            <w:r>
              <w:rPr>
                <w:rFonts w:ascii="宋体" w:hAnsi="宋体" w:eastAsia="宋体" w:cs="Times New Roman"/>
                <w:color w:val="000000"/>
                <w:szCs w:val="21"/>
              </w:rPr>
              <w:t>爱国、敬业、诚信、友善</w:t>
            </w:r>
            <w:r>
              <w:rPr>
                <w:rFonts w:hint="eastAsia" w:ascii="宋体" w:hAnsi="宋体" w:eastAsia="宋体" w:cs="Times New Roman"/>
                <w:color w:val="000000"/>
                <w:szCs w:val="21"/>
              </w:rPr>
              <w:t>来作为</w:t>
            </w:r>
            <w:r>
              <w:rPr>
                <w:rFonts w:ascii="宋体" w:hAnsi="宋体" w:eastAsia="宋体" w:cs="Times New Roman"/>
                <w:color w:val="000000"/>
                <w:szCs w:val="21"/>
              </w:rPr>
              <w:t>公民个人层面的价值准则</w:t>
            </w:r>
            <w:r>
              <w:rPr>
                <w:rFonts w:hint="eastAsia" w:ascii="宋体" w:hAnsi="宋体" w:eastAsia="宋体" w:cs="Times New Roman"/>
                <w:color w:val="000000"/>
                <w:szCs w:val="21"/>
              </w:rPr>
              <w:t>，提升公民素养，为国育才，为党育人。</w:t>
            </w:r>
          </w:p>
        </w:tc>
      </w:tr>
      <w:tr w14:paraId="6392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A8B599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第五章 教育与社会民主</w:t>
            </w:r>
          </w:p>
        </w:tc>
        <w:tc>
          <w:tcPr>
            <w:tcW w:w="2178" w:type="dxa"/>
            <w:vAlign w:val="center"/>
          </w:tcPr>
          <w:p w14:paraId="3EF8DF6E">
            <w:pPr>
              <w:widowControl/>
              <w:adjustRightInd w:val="0"/>
              <w:snapToGrid w:val="0"/>
              <w:spacing w:line="360"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1.民主的概念和历史发展；</w:t>
            </w:r>
          </w:p>
          <w:p w14:paraId="6CA0562D">
            <w:pPr>
              <w:widowControl/>
              <w:adjustRightInd w:val="0"/>
              <w:snapToGrid w:val="0"/>
              <w:spacing w:line="360"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2.民主教育与教育民主；</w:t>
            </w:r>
          </w:p>
          <w:p w14:paraId="5E16E6AB">
            <w:pPr>
              <w:widowControl/>
              <w:adjustRightInd w:val="0"/>
              <w:snapToGrid w:val="0"/>
              <w:spacing w:line="360"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3.民主教育与民主素质研究的两种理论视角；</w:t>
            </w:r>
          </w:p>
          <w:p w14:paraId="2F9C24BC">
            <w:pPr>
              <w:widowControl/>
              <w:adjustRightInd w:val="0"/>
              <w:snapToGrid w:val="0"/>
              <w:spacing w:line="360"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4.我国高中生民主素质与学校民主教育的现状。</w:t>
            </w:r>
          </w:p>
        </w:tc>
        <w:tc>
          <w:tcPr>
            <w:tcW w:w="828" w:type="dxa"/>
            <w:vAlign w:val="center"/>
          </w:tcPr>
          <w:p w14:paraId="143A086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 xml:space="preserve">     课程目标3/4</w:t>
            </w:r>
          </w:p>
        </w:tc>
        <w:tc>
          <w:tcPr>
            <w:tcW w:w="3089" w:type="dxa"/>
            <w:vAlign w:val="center"/>
          </w:tcPr>
          <w:p w14:paraId="1160410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1.了解民主的概念和历史发展；</w:t>
            </w:r>
          </w:p>
          <w:p w14:paraId="34ABE14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2.区分民主教育与教育民主；</w:t>
            </w:r>
          </w:p>
          <w:p w14:paraId="40EDD63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3.理解民主教育与民主素质研究的两种理论视角；</w:t>
            </w:r>
          </w:p>
          <w:p w14:paraId="7F4057D1">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4.掌握我国高中生民主素质与学校民主教育的现状。</w:t>
            </w:r>
          </w:p>
          <w:p w14:paraId="6275EA94">
            <w:pPr>
              <w:widowControl/>
              <w:adjustRightInd w:val="0"/>
              <w:snapToGrid w:val="0"/>
              <w:spacing w:line="360" w:lineRule="auto"/>
              <w:jc w:val="left"/>
              <w:rPr>
                <w:rFonts w:hint="eastAsia" w:ascii="宋体" w:hAnsi="宋体" w:eastAsia="宋体" w:cs="宋体"/>
                <w:color w:val="000000"/>
                <w:kern w:val="0"/>
                <w:sz w:val="24"/>
              </w:rPr>
            </w:pPr>
          </w:p>
        </w:tc>
        <w:tc>
          <w:tcPr>
            <w:tcW w:w="1560" w:type="dxa"/>
            <w:vAlign w:val="center"/>
          </w:tcPr>
          <w:p w14:paraId="60B5212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1FC4E86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小组模拟</w:t>
            </w:r>
          </w:p>
        </w:tc>
        <w:tc>
          <w:tcPr>
            <w:tcW w:w="438" w:type="dxa"/>
            <w:vAlign w:val="center"/>
          </w:tcPr>
          <w:p w14:paraId="6013683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587A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526AD1C">
            <w:pPr>
              <w:spacing w:line="276" w:lineRule="auto"/>
              <w:jc w:val="center"/>
              <w:rPr>
                <w:rFonts w:hint="eastAsia" w:ascii="宋体" w:hAnsi="宋体" w:eastAsia="宋体" w:cs="Times New Roman"/>
                <w:color w:val="000000"/>
                <w:szCs w:val="21"/>
              </w:rPr>
            </w:pPr>
          </w:p>
        </w:tc>
        <w:tc>
          <w:tcPr>
            <w:tcW w:w="8093" w:type="dxa"/>
            <w:gridSpan w:val="5"/>
            <w:vAlign w:val="center"/>
          </w:tcPr>
          <w:p w14:paraId="07CBBE20">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2E4998E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践行社会主义核心价值观，强化提升公民民主素养的意识,立志发展素质教育。</w:t>
            </w:r>
          </w:p>
        </w:tc>
      </w:tr>
      <w:tr w14:paraId="2321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DD5736B">
            <w:pPr>
              <w:widowControl/>
              <w:snapToGrid w:val="0"/>
              <w:spacing w:line="276" w:lineRule="auto"/>
              <w:jc w:val="left"/>
              <w:rPr>
                <w:rFonts w:hint="eastAsia" w:ascii="宋体" w:hAnsi="宋体" w:eastAsia="宋体" w:cs="Times New Roman"/>
                <w:color w:val="000000"/>
                <w:szCs w:val="21"/>
              </w:rPr>
            </w:pPr>
            <w:r>
              <w:rPr>
                <w:rFonts w:hint="eastAsia" w:ascii="宋体" w:hAnsi="宋体" w:eastAsia="宋体" w:cs="宋体"/>
                <w:color w:val="000000"/>
                <w:kern w:val="0"/>
                <w:szCs w:val="21"/>
              </w:rPr>
              <w:t>第六章 教育与社会分层、社会流动</w:t>
            </w:r>
          </w:p>
        </w:tc>
        <w:tc>
          <w:tcPr>
            <w:tcW w:w="2178" w:type="dxa"/>
            <w:vAlign w:val="center"/>
          </w:tcPr>
          <w:p w14:paraId="00B9DAA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1.社会流动与教育的关系；</w:t>
            </w:r>
          </w:p>
          <w:p w14:paraId="75058856">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2.社会分层理论以及两种类型的教育机会均等概念；</w:t>
            </w:r>
          </w:p>
          <w:p w14:paraId="704C456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3.社会分层与教育机会均等的经典研究。</w:t>
            </w:r>
          </w:p>
        </w:tc>
        <w:tc>
          <w:tcPr>
            <w:tcW w:w="828" w:type="dxa"/>
            <w:vAlign w:val="center"/>
          </w:tcPr>
          <w:p w14:paraId="390E5C1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课程目标4</w:t>
            </w:r>
          </w:p>
        </w:tc>
        <w:tc>
          <w:tcPr>
            <w:tcW w:w="3089" w:type="dxa"/>
            <w:vAlign w:val="center"/>
          </w:tcPr>
          <w:p w14:paraId="76F01E6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1.了解社会流动与教育的关系；</w:t>
            </w:r>
          </w:p>
          <w:p w14:paraId="74CAF76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2.理解社会分层理论以及两种类型的教育机会均等概念；</w:t>
            </w:r>
          </w:p>
          <w:p w14:paraId="29834926">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3.掌握社会分层与教育机会均等的经典研究。</w:t>
            </w:r>
          </w:p>
          <w:p w14:paraId="2C99F8F8">
            <w:pPr>
              <w:widowControl/>
              <w:adjustRightInd w:val="0"/>
              <w:snapToGrid w:val="0"/>
              <w:spacing w:line="360" w:lineRule="auto"/>
              <w:jc w:val="left"/>
              <w:rPr>
                <w:rFonts w:hint="eastAsia" w:ascii="宋体" w:hAnsi="宋体" w:eastAsia="宋体" w:cs="Times New Roman"/>
                <w:color w:val="000000"/>
                <w:szCs w:val="21"/>
              </w:rPr>
            </w:pPr>
          </w:p>
        </w:tc>
        <w:tc>
          <w:tcPr>
            <w:tcW w:w="1560" w:type="dxa"/>
            <w:vAlign w:val="center"/>
          </w:tcPr>
          <w:p w14:paraId="29F1047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1E45B9F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案例分析</w:t>
            </w:r>
          </w:p>
          <w:p w14:paraId="73FC76B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37646FC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2261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883676B">
            <w:pPr>
              <w:spacing w:line="276" w:lineRule="auto"/>
              <w:jc w:val="center"/>
              <w:rPr>
                <w:rFonts w:hint="eastAsia" w:ascii="宋体" w:hAnsi="宋体" w:eastAsia="宋体" w:cs="Times New Roman"/>
                <w:color w:val="000000"/>
                <w:szCs w:val="21"/>
              </w:rPr>
            </w:pPr>
          </w:p>
        </w:tc>
        <w:tc>
          <w:tcPr>
            <w:tcW w:w="8093" w:type="dxa"/>
            <w:gridSpan w:val="5"/>
            <w:vAlign w:val="center"/>
          </w:tcPr>
          <w:p w14:paraId="14236C22">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2DF81C4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理性看待教育不平等不均衡现象；端正教育观，平等地对待来自不同家庭的每一位学生；关心关注城乡教育差距下的教育不平衡问题；积极帮助弱势群体子女公平普惠地接受教育指导或教育服务。</w:t>
            </w:r>
          </w:p>
        </w:tc>
      </w:tr>
      <w:tr w14:paraId="1569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F9D227B">
            <w:pPr>
              <w:spacing w:line="276" w:lineRule="auto"/>
              <w:jc w:val="left"/>
              <w:rPr>
                <w:rFonts w:hint="eastAsia" w:ascii="宋体" w:hAnsi="宋体" w:eastAsia="宋体" w:cs="Times New Roman"/>
                <w:szCs w:val="21"/>
              </w:rPr>
            </w:pPr>
            <w:r>
              <w:rPr>
                <w:rFonts w:hint="eastAsia" w:ascii="宋体" w:hAnsi="宋体" w:eastAsia="宋体" w:cs="Times New Roman"/>
                <w:color w:val="000000"/>
                <w:szCs w:val="21"/>
              </w:rPr>
              <w:t>第七章 学校的社会学分析</w:t>
            </w:r>
          </w:p>
        </w:tc>
        <w:tc>
          <w:tcPr>
            <w:tcW w:w="2178" w:type="dxa"/>
            <w:vAlign w:val="center"/>
          </w:tcPr>
          <w:p w14:paraId="6A408A1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1.学校是一种制度化的社会组织；</w:t>
            </w:r>
          </w:p>
          <w:p w14:paraId="48FEAA8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2.学校组织文化以及学校组织中的各种亚文化；</w:t>
            </w:r>
          </w:p>
          <w:p w14:paraId="6CE03DBA">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3.学生越轨行为的表现、成因与对策。</w:t>
            </w:r>
          </w:p>
        </w:tc>
        <w:tc>
          <w:tcPr>
            <w:tcW w:w="828" w:type="dxa"/>
            <w:vAlign w:val="center"/>
          </w:tcPr>
          <w:p w14:paraId="71ACF61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课程目标4</w:t>
            </w:r>
          </w:p>
        </w:tc>
        <w:tc>
          <w:tcPr>
            <w:tcW w:w="3089" w:type="dxa"/>
            <w:vAlign w:val="center"/>
          </w:tcPr>
          <w:p w14:paraId="136AA5F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1.了解学校是一种制度化的社会组织；</w:t>
            </w:r>
          </w:p>
          <w:p w14:paraId="7D6D5F5F">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2.理解学校组织文化以及学校组织中的各种亚文化；</w:t>
            </w:r>
          </w:p>
          <w:p w14:paraId="67F0C8A1">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3.掌握学生越轨行为的表现、成因与对策。</w:t>
            </w:r>
          </w:p>
        </w:tc>
        <w:tc>
          <w:tcPr>
            <w:tcW w:w="1560" w:type="dxa"/>
            <w:vAlign w:val="center"/>
          </w:tcPr>
          <w:p w14:paraId="1B4DB1EA">
            <w:pPr>
              <w:spacing w:line="276" w:lineRule="auto"/>
              <w:jc w:val="left"/>
              <w:rPr>
                <w:rFonts w:hint="eastAsia" w:ascii="宋体" w:hAnsi="宋体" w:eastAsia="宋体" w:cs="Times New Roman"/>
                <w:color w:val="000000"/>
                <w:szCs w:val="21"/>
              </w:rPr>
            </w:pPr>
          </w:p>
          <w:p w14:paraId="0EAF274B">
            <w:pPr>
              <w:spacing w:line="276" w:lineRule="auto"/>
              <w:jc w:val="left"/>
              <w:rPr>
                <w:rFonts w:hint="eastAsia" w:ascii="宋体" w:hAnsi="宋体" w:eastAsia="宋体" w:cs="Times New Roman"/>
                <w:color w:val="000000"/>
                <w:szCs w:val="21"/>
              </w:rPr>
            </w:pPr>
          </w:p>
          <w:p w14:paraId="70830E15">
            <w:pPr>
              <w:spacing w:line="276" w:lineRule="auto"/>
              <w:jc w:val="left"/>
              <w:rPr>
                <w:rFonts w:hint="eastAsia" w:ascii="宋体" w:hAnsi="宋体" w:eastAsia="宋体" w:cs="Times New Roman"/>
                <w:color w:val="000000"/>
                <w:szCs w:val="21"/>
              </w:rPr>
            </w:pPr>
          </w:p>
          <w:p w14:paraId="6EC0316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5E349E0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案例分析</w:t>
            </w:r>
          </w:p>
          <w:p w14:paraId="239F496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小组分享</w:t>
            </w:r>
          </w:p>
        </w:tc>
        <w:tc>
          <w:tcPr>
            <w:tcW w:w="438" w:type="dxa"/>
            <w:vAlign w:val="center"/>
          </w:tcPr>
          <w:p w14:paraId="30CF227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201D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4CFC168">
            <w:pPr>
              <w:spacing w:line="276" w:lineRule="auto"/>
              <w:jc w:val="center"/>
              <w:rPr>
                <w:rFonts w:hint="eastAsia" w:ascii="宋体" w:hAnsi="宋体" w:eastAsia="宋体" w:cs="Times New Roman"/>
                <w:color w:val="000000"/>
                <w:szCs w:val="21"/>
              </w:rPr>
            </w:pPr>
          </w:p>
        </w:tc>
        <w:tc>
          <w:tcPr>
            <w:tcW w:w="8093" w:type="dxa"/>
            <w:gridSpan w:val="5"/>
            <w:vAlign w:val="center"/>
          </w:tcPr>
          <w:p w14:paraId="313B71F2">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508F2F7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理性看待学生行为失范（包括越轨和违法），倡导我国社会中主流价值观，引导学生健康成长，符合我国社会及新时代的期待和要求。</w:t>
            </w:r>
          </w:p>
        </w:tc>
      </w:tr>
      <w:tr w14:paraId="776F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720AA8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第八章 </w:t>
            </w:r>
          </w:p>
          <w:p w14:paraId="5B3A962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班级的社会学分析</w:t>
            </w:r>
          </w:p>
        </w:tc>
        <w:tc>
          <w:tcPr>
            <w:tcW w:w="2178" w:type="dxa"/>
            <w:vAlign w:val="center"/>
          </w:tcPr>
          <w:p w14:paraId="719EDD8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1.班级的社会属性；</w:t>
            </w:r>
          </w:p>
          <w:p w14:paraId="76A4BCC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2.班级群体的定位分析以及对班级进行组织分析的不足；</w:t>
            </w:r>
          </w:p>
          <w:p w14:paraId="28EB4EE7">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3.班集体组织与建设的相关理论与对策。</w:t>
            </w:r>
          </w:p>
        </w:tc>
        <w:tc>
          <w:tcPr>
            <w:tcW w:w="828" w:type="dxa"/>
            <w:vAlign w:val="center"/>
          </w:tcPr>
          <w:p w14:paraId="663EAC5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课程目标5</w:t>
            </w:r>
          </w:p>
        </w:tc>
        <w:tc>
          <w:tcPr>
            <w:tcW w:w="3089" w:type="dxa"/>
            <w:vAlign w:val="center"/>
          </w:tcPr>
          <w:p w14:paraId="0D6656D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1.了解班级的社会属性；</w:t>
            </w:r>
          </w:p>
          <w:p w14:paraId="2A1DD8F6">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2.理解班级群体的定位分析以及对班级进行组织分析的不足；</w:t>
            </w:r>
          </w:p>
          <w:p w14:paraId="561915F4">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3.掌握班集体组织与建设的相关理论与对策。</w:t>
            </w:r>
          </w:p>
          <w:p w14:paraId="1B6C2183">
            <w:pPr>
              <w:widowControl/>
              <w:adjustRightInd w:val="0"/>
              <w:snapToGrid w:val="0"/>
              <w:spacing w:line="360" w:lineRule="auto"/>
              <w:jc w:val="left"/>
              <w:rPr>
                <w:rFonts w:hint="eastAsia" w:ascii="宋体" w:hAnsi="宋体" w:eastAsia="宋体" w:cs="宋体"/>
                <w:color w:val="000000"/>
                <w:kern w:val="0"/>
                <w:sz w:val="24"/>
              </w:rPr>
            </w:pPr>
          </w:p>
          <w:p w14:paraId="1E4E5956">
            <w:pPr>
              <w:spacing w:line="264" w:lineRule="auto"/>
              <w:jc w:val="left"/>
              <w:rPr>
                <w:rFonts w:hint="eastAsia" w:ascii="宋体" w:hAnsi="宋体" w:eastAsia="宋体" w:cs="Times New Roman"/>
                <w:color w:val="000000"/>
                <w:szCs w:val="21"/>
              </w:rPr>
            </w:pPr>
          </w:p>
        </w:tc>
        <w:tc>
          <w:tcPr>
            <w:tcW w:w="1560" w:type="dxa"/>
            <w:vAlign w:val="center"/>
          </w:tcPr>
          <w:p w14:paraId="3EC5FB4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4C46A89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案例分析</w:t>
            </w:r>
          </w:p>
          <w:p w14:paraId="4DBF819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46DBC05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4A66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5D8AAE4">
            <w:pPr>
              <w:spacing w:line="264" w:lineRule="auto"/>
              <w:jc w:val="center"/>
              <w:rPr>
                <w:rFonts w:hint="eastAsia" w:ascii="宋体" w:hAnsi="宋体" w:eastAsia="宋体" w:cs="Times New Roman"/>
                <w:color w:val="000000"/>
                <w:szCs w:val="21"/>
              </w:rPr>
            </w:pPr>
          </w:p>
        </w:tc>
        <w:tc>
          <w:tcPr>
            <w:tcW w:w="8093" w:type="dxa"/>
            <w:gridSpan w:val="5"/>
            <w:vAlign w:val="center"/>
          </w:tcPr>
          <w:p w14:paraId="3420AD7E">
            <w:pPr>
              <w:spacing w:line="264"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p>
          <w:p w14:paraId="64AC8B3F">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 树立社会学视角审视班级、班级组织与建设；引导学生通过不同职务体验民主管理并建设班集体；强化通过优良班风文化建设引导非正式组织、非正式结构等的健康发展。</w:t>
            </w:r>
          </w:p>
        </w:tc>
      </w:tr>
      <w:tr w14:paraId="1089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4CE70CF">
            <w:pPr>
              <w:spacing w:line="276" w:lineRule="auto"/>
              <w:jc w:val="left"/>
              <w:rPr>
                <w:rFonts w:hint="eastAsia" w:ascii="宋体" w:hAnsi="宋体" w:eastAsia="宋体" w:cs="Times New Roman"/>
                <w:color w:val="000000"/>
                <w:szCs w:val="21"/>
              </w:rPr>
            </w:pPr>
            <w:bookmarkStart w:id="160" w:name="_Hlk184664434"/>
            <w:r>
              <w:rPr>
                <w:rFonts w:hint="eastAsia" w:ascii="宋体" w:hAnsi="宋体" w:eastAsia="宋体" w:cs="Times New Roman"/>
                <w:color w:val="000000"/>
                <w:szCs w:val="21"/>
              </w:rPr>
              <w:t>第九章</w:t>
            </w:r>
          </w:p>
          <w:p w14:paraId="5ECAA15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课程的社会学分析</w:t>
            </w:r>
          </w:p>
        </w:tc>
        <w:tc>
          <w:tcPr>
            <w:tcW w:w="2178" w:type="dxa"/>
            <w:vAlign w:val="center"/>
          </w:tcPr>
          <w:p w14:paraId="1E9BA4C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1.课程类型与课程社会学的产生与发展历程；</w:t>
            </w:r>
          </w:p>
          <w:p w14:paraId="540C2B0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2.课程研究的社会学范式；</w:t>
            </w:r>
          </w:p>
          <w:p w14:paraId="71DC4845">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3.后现代课程观的特征价值与理论缺陷。</w:t>
            </w:r>
          </w:p>
        </w:tc>
        <w:tc>
          <w:tcPr>
            <w:tcW w:w="828" w:type="dxa"/>
            <w:vAlign w:val="center"/>
          </w:tcPr>
          <w:p w14:paraId="2ACD61E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课程目标6</w:t>
            </w:r>
          </w:p>
        </w:tc>
        <w:tc>
          <w:tcPr>
            <w:tcW w:w="3089" w:type="dxa"/>
            <w:vAlign w:val="center"/>
          </w:tcPr>
          <w:p w14:paraId="24317E83">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1.了解课程类型与课程社会学的产生与发展历程；</w:t>
            </w:r>
          </w:p>
          <w:p w14:paraId="19CF25C8">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2.理解课程研究的社会学范式；</w:t>
            </w:r>
          </w:p>
          <w:p w14:paraId="3AE93A5B">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3.掌握后现代课程观的特征价值与理论缺陷。</w:t>
            </w:r>
          </w:p>
          <w:p w14:paraId="20708097">
            <w:pPr>
              <w:widowControl/>
              <w:adjustRightInd w:val="0"/>
              <w:snapToGrid w:val="0"/>
              <w:spacing w:line="360" w:lineRule="auto"/>
              <w:jc w:val="left"/>
              <w:rPr>
                <w:rFonts w:hint="eastAsia" w:ascii="宋体" w:hAnsi="宋体" w:eastAsia="宋体" w:cs="Times New Roman"/>
                <w:color w:val="000000"/>
                <w:szCs w:val="21"/>
              </w:rPr>
            </w:pPr>
          </w:p>
        </w:tc>
        <w:tc>
          <w:tcPr>
            <w:tcW w:w="1560" w:type="dxa"/>
            <w:vAlign w:val="center"/>
          </w:tcPr>
          <w:p w14:paraId="1701D7E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3CC58C58">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案例分析</w:t>
            </w:r>
          </w:p>
          <w:p w14:paraId="01A5DF5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5376D2F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17F2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BEE8AAA">
            <w:pPr>
              <w:spacing w:line="264" w:lineRule="auto"/>
              <w:jc w:val="center"/>
              <w:rPr>
                <w:rFonts w:hint="eastAsia" w:ascii="宋体" w:hAnsi="宋体" w:eastAsia="宋体" w:cs="Times New Roman"/>
                <w:color w:val="000000"/>
                <w:szCs w:val="21"/>
              </w:rPr>
            </w:pPr>
          </w:p>
        </w:tc>
        <w:tc>
          <w:tcPr>
            <w:tcW w:w="8093" w:type="dxa"/>
            <w:gridSpan w:val="5"/>
            <w:vAlign w:val="center"/>
          </w:tcPr>
          <w:p w14:paraId="094AA82D">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1022891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能够辩证地理解课程的社会本质，理解课程在现代社会的重要价值，增进教师和学生对于课程的适应性，积极迎接新课程。</w:t>
            </w:r>
          </w:p>
        </w:tc>
      </w:tr>
      <w:bookmarkEnd w:id="160"/>
      <w:tr w14:paraId="7A19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8605C3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第十章 </w:t>
            </w:r>
          </w:p>
          <w:p w14:paraId="03BF5E1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教学的社会学分析</w:t>
            </w:r>
          </w:p>
        </w:tc>
        <w:tc>
          <w:tcPr>
            <w:tcW w:w="2178" w:type="dxa"/>
            <w:vAlign w:val="center"/>
          </w:tcPr>
          <w:p w14:paraId="5F89483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1.教学的职业地位与影响因素；</w:t>
            </w:r>
          </w:p>
          <w:p w14:paraId="30A50242">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2.教学中教师角色，包括教师权威和教师专业化、教师压力与职业倦怠等；</w:t>
            </w:r>
          </w:p>
          <w:p w14:paraId="45547D5C">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3.教学中的学生角色；</w:t>
            </w:r>
          </w:p>
          <w:p w14:paraId="555A1507">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4.影响教学效果的社会因素。</w:t>
            </w:r>
          </w:p>
        </w:tc>
        <w:tc>
          <w:tcPr>
            <w:tcW w:w="828" w:type="dxa"/>
            <w:vAlign w:val="center"/>
          </w:tcPr>
          <w:p w14:paraId="7BE588E1">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课程目标6</w:t>
            </w:r>
          </w:p>
        </w:tc>
        <w:tc>
          <w:tcPr>
            <w:tcW w:w="3089" w:type="dxa"/>
            <w:vAlign w:val="center"/>
          </w:tcPr>
          <w:p w14:paraId="2FC109B0">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1.了解教学的职业地位与影响因素；</w:t>
            </w:r>
          </w:p>
          <w:p w14:paraId="1B9D78C9">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2.理解教学中教师角色，包括教师权威和教师专业化、教师压力与职业倦怠等；</w:t>
            </w:r>
          </w:p>
          <w:p w14:paraId="032F7451">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3.理解教学中的学生角色；</w:t>
            </w:r>
          </w:p>
          <w:p w14:paraId="4E8DEADE">
            <w:pPr>
              <w:widowControl/>
              <w:adjustRightInd w:val="0"/>
              <w:snapToGri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4.掌握影响教学效果的社会因素。</w:t>
            </w:r>
          </w:p>
          <w:p w14:paraId="35781D45">
            <w:pPr>
              <w:widowControl/>
              <w:adjustRightInd w:val="0"/>
              <w:snapToGrid w:val="0"/>
              <w:spacing w:line="360" w:lineRule="auto"/>
              <w:jc w:val="left"/>
              <w:rPr>
                <w:rFonts w:hint="eastAsia" w:ascii="宋体" w:hAnsi="宋体" w:eastAsia="宋体" w:cs="Times New Roman"/>
                <w:color w:val="000000"/>
                <w:szCs w:val="21"/>
              </w:rPr>
            </w:pPr>
          </w:p>
        </w:tc>
        <w:tc>
          <w:tcPr>
            <w:tcW w:w="1560" w:type="dxa"/>
            <w:vAlign w:val="center"/>
          </w:tcPr>
          <w:p w14:paraId="5C07A9A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案例分析</w:t>
            </w:r>
          </w:p>
          <w:p w14:paraId="2D04070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0E8E09C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2134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118DE09">
            <w:pPr>
              <w:spacing w:line="264" w:lineRule="auto"/>
              <w:jc w:val="center"/>
              <w:rPr>
                <w:rFonts w:hint="eastAsia" w:ascii="宋体" w:hAnsi="宋体" w:eastAsia="宋体" w:cs="Times New Roman"/>
                <w:color w:val="000000"/>
                <w:szCs w:val="21"/>
              </w:rPr>
            </w:pPr>
          </w:p>
        </w:tc>
        <w:tc>
          <w:tcPr>
            <w:tcW w:w="8093" w:type="dxa"/>
            <w:gridSpan w:val="5"/>
            <w:vAlign w:val="center"/>
          </w:tcPr>
          <w:p w14:paraId="220ABA3E">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10978E21">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努力提升</w:t>
            </w:r>
            <w:r>
              <w:rPr>
                <w:rFonts w:ascii="宋体" w:hAnsi="宋体" w:eastAsia="宋体" w:cs="Times New Roman"/>
                <w:color w:val="000000"/>
                <w:szCs w:val="21"/>
              </w:rPr>
              <w:t>作为学生个体社会化承担者的</w:t>
            </w:r>
            <w:r>
              <w:rPr>
                <w:rFonts w:hint="eastAsia" w:ascii="宋体" w:hAnsi="宋体" w:eastAsia="宋体" w:cs="Times New Roman"/>
                <w:color w:val="000000"/>
                <w:szCs w:val="21"/>
              </w:rPr>
              <w:t>专业</w:t>
            </w:r>
            <w:r>
              <w:rPr>
                <w:rFonts w:ascii="宋体" w:hAnsi="宋体" w:eastAsia="宋体" w:cs="Times New Roman"/>
                <w:color w:val="000000"/>
                <w:szCs w:val="21"/>
              </w:rPr>
              <w:t>素质</w:t>
            </w:r>
            <w:r>
              <w:rPr>
                <w:rFonts w:hint="eastAsia" w:ascii="宋体" w:hAnsi="宋体" w:eastAsia="宋体" w:cs="Times New Roman"/>
                <w:color w:val="000000"/>
                <w:szCs w:val="21"/>
              </w:rPr>
              <w:t>；增强教师的权能、提高待遇和尊重，减轻教师非教学负担，努力形成优秀人才争相从教、教师人人尽展其才、好老师不断涌现的良好局面。</w:t>
            </w:r>
          </w:p>
        </w:tc>
      </w:tr>
    </w:tbl>
    <w:p w14:paraId="6D44459B">
      <w:pPr>
        <w:spacing w:line="360" w:lineRule="auto"/>
        <w:jc w:val="left"/>
        <w:rPr>
          <w:rFonts w:hint="eastAsia" w:ascii="宋体" w:hAnsi="宋体" w:eastAsia="宋体" w:cs="Times New Roman"/>
          <w:b/>
          <w:color w:val="000000"/>
          <w:sz w:val="24"/>
        </w:rPr>
      </w:pPr>
    </w:p>
    <w:p w14:paraId="6F2F3687">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014BD68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5729C4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8E29E26">
      <w:pPr>
        <w:spacing w:line="360" w:lineRule="auto"/>
        <w:ind w:firstLine="420" w:firstLineChars="200"/>
        <w:jc w:val="left"/>
        <w:rPr>
          <w:rFonts w:ascii="Times New Roman" w:hAnsi="Times New Roman" w:eastAsia="宋体" w:cs="Times New Roman"/>
          <w:szCs w:val="21"/>
        </w:rPr>
      </w:pPr>
    </w:p>
    <w:p w14:paraId="18D9DFE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148"/>
        <w:gridCol w:w="1122"/>
        <w:gridCol w:w="1056"/>
        <w:gridCol w:w="1056"/>
        <w:gridCol w:w="1056"/>
        <w:gridCol w:w="1056"/>
        <w:gridCol w:w="636"/>
      </w:tblGrid>
      <w:tr w14:paraId="76B4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796ED74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2C451057">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636" w:type="dxa"/>
            <w:vMerge w:val="restart"/>
            <w:vAlign w:val="center"/>
          </w:tcPr>
          <w:p w14:paraId="70909BC4">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2B0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90FE616">
            <w:pPr>
              <w:spacing w:line="360" w:lineRule="auto"/>
              <w:jc w:val="center"/>
              <w:rPr>
                <w:rFonts w:hint="eastAsia" w:ascii="宋体" w:hAnsi="宋体" w:eastAsia="宋体" w:cs="Times New Roman"/>
                <w:szCs w:val="21"/>
              </w:rPr>
            </w:pPr>
          </w:p>
        </w:tc>
        <w:tc>
          <w:tcPr>
            <w:tcW w:w="1148" w:type="dxa"/>
            <w:vAlign w:val="center"/>
          </w:tcPr>
          <w:p w14:paraId="41FA8C92">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122" w:type="dxa"/>
            <w:vAlign w:val="center"/>
          </w:tcPr>
          <w:p w14:paraId="43EF87D1">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573A4167">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70EBFC82">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2842FD3E">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2CF9EA4C">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636" w:type="dxa"/>
            <w:vMerge w:val="continue"/>
            <w:vAlign w:val="center"/>
          </w:tcPr>
          <w:p w14:paraId="0A9E36FC">
            <w:pPr>
              <w:spacing w:line="360" w:lineRule="auto"/>
              <w:jc w:val="center"/>
              <w:rPr>
                <w:rFonts w:hint="eastAsia" w:ascii="宋体" w:hAnsi="宋体" w:eastAsia="宋体" w:cs="Times New Roman"/>
                <w:szCs w:val="21"/>
              </w:rPr>
            </w:pPr>
          </w:p>
        </w:tc>
      </w:tr>
      <w:tr w14:paraId="0804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9A4878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148" w:type="dxa"/>
            <w:vAlign w:val="center"/>
          </w:tcPr>
          <w:p w14:paraId="67EFE9EE">
            <w:pPr>
              <w:adjustRightInd w:val="0"/>
              <w:snapToGrid w:val="0"/>
              <w:spacing w:line="276" w:lineRule="auto"/>
              <w:rPr>
                <w:rFonts w:hint="eastAsia" w:ascii="宋体" w:hAnsi="宋体" w:eastAsia="宋体" w:cs="Times New Roman"/>
                <w:szCs w:val="21"/>
              </w:rPr>
            </w:pPr>
            <w:r>
              <w:rPr>
                <w:rFonts w:hint="eastAsia" w:ascii="宋体" w:hAnsi="宋体" w:eastAsia="宋体" w:cs="Times New Roman"/>
                <w:szCs w:val="21"/>
              </w:rPr>
              <w:t xml:space="preserve">    √</w:t>
            </w:r>
          </w:p>
        </w:tc>
        <w:tc>
          <w:tcPr>
            <w:tcW w:w="1122" w:type="dxa"/>
            <w:vAlign w:val="center"/>
          </w:tcPr>
          <w:p w14:paraId="79EE4FE3">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vAlign w:val="center"/>
          </w:tcPr>
          <w:p w14:paraId="467B9E0B">
            <w:pPr>
              <w:adjustRightInd w:val="0"/>
              <w:snapToGrid w:val="0"/>
              <w:spacing w:line="276" w:lineRule="auto"/>
              <w:jc w:val="center"/>
              <w:rPr>
                <w:rFonts w:hint="eastAsia" w:ascii="宋体" w:hAnsi="宋体" w:eastAsia="宋体" w:cs="Times New Roman"/>
                <w:szCs w:val="21"/>
              </w:rPr>
            </w:pPr>
          </w:p>
        </w:tc>
        <w:tc>
          <w:tcPr>
            <w:tcW w:w="1056" w:type="dxa"/>
            <w:vAlign w:val="center"/>
          </w:tcPr>
          <w:p w14:paraId="0F6AD91A">
            <w:pPr>
              <w:adjustRightInd w:val="0"/>
              <w:snapToGrid w:val="0"/>
              <w:spacing w:line="276" w:lineRule="auto"/>
              <w:jc w:val="center"/>
              <w:rPr>
                <w:rFonts w:hint="eastAsia" w:ascii="宋体" w:hAnsi="宋体" w:eastAsia="宋体" w:cs="Times New Roman"/>
                <w:szCs w:val="21"/>
              </w:rPr>
            </w:pPr>
          </w:p>
        </w:tc>
        <w:tc>
          <w:tcPr>
            <w:tcW w:w="1056" w:type="dxa"/>
            <w:vAlign w:val="center"/>
          </w:tcPr>
          <w:p w14:paraId="11176A67">
            <w:pPr>
              <w:adjustRightInd w:val="0"/>
              <w:snapToGrid w:val="0"/>
              <w:spacing w:line="276" w:lineRule="auto"/>
              <w:jc w:val="center"/>
              <w:rPr>
                <w:rFonts w:hint="eastAsia" w:ascii="宋体" w:hAnsi="宋体" w:eastAsia="宋体" w:cs="Times New Roman"/>
                <w:szCs w:val="21"/>
              </w:rPr>
            </w:pPr>
          </w:p>
        </w:tc>
        <w:tc>
          <w:tcPr>
            <w:tcW w:w="0" w:type="auto"/>
          </w:tcPr>
          <w:p w14:paraId="4A59AE7C">
            <w:pPr>
              <w:spacing w:line="360" w:lineRule="auto"/>
              <w:jc w:val="center"/>
              <w:rPr>
                <w:rFonts w:hint="eastAsia" w:ascii="宋体" w:hAnsi="宋体" w:eastAsia="宋体" w:cs="Times New Roman"/>
                <w:szCs w:val="21"/>
              </w:rPr>
            </w:pPr>
          </w:p>
        </w:tc>
        <w:tc>
          <w:tcPr>
            <w:tcW w:w="636" w:type="dxa"/>
            <w:vAlign w:val="center"/>
          </w:tcPr>
          <w:p w14:paraId="6D87A64F">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3B0A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DA7761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148" w:type="dxa"/>
            <w:vAlign w:val="center"/>
          </w:tcPr>
          <w:p w14:paraId="3C6A9FC2">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122" w:type="dxa"/>
            <w:vAlign w:val="center"/>
          </w:tcPr>
          <w:p w14:paraId="617FA6EC">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79339694">
            <w:pPr>
              <w:spacing w:line="360" w:lineRule="auto"/>
              <w:jc w:val="center"/>
              <w:rPr>
                <w:rFonts w:hint="eastAsia" w:ascii="宋体" w:hAnsi="宋体" w:eastAsia="宋体" w:cs="Times New Roman"/>
                <w:szCs w:val="21"/>
              </w:rPr>
            </w:pPr>
          </w:p>
        </w:tc>
        <w:tc>
          <w:tcPr>
            <w:tcW w:w="0" w:type="auto"/>
            <w:vAlign w:val="center"/>
          </w:tcPr>
          <w:p w14:paraId="4B24ACB8">
            <w:pPr>
              <w:spacing w:line="360" w:lineRule="auto"/>
              <w:jc w:val="center"/>
              <w:rPr>
                <w:rFonts w:hint="eastAsia" w:ascii="宋体" w:hAnsi="宋体" w:eastAsia="宋体" w:cs="Times New Roman"/>
                <w:szCs w:val="21"/>
              </w:rPr>
            </w:pPr>
          </w:p>
        </w:tc>
        <w:tc>
          <w:tcPr>
            <w:tcW w:w="0" w:type="auto"/>
            <w:vAlign w:val="center"/>
          </w:tcPr>
          <w:p w14:paraId="5902D98C">
            <w:pPr>
              <w:spacing w:line="360" w:lineRule="auto"/>
              <w:jc w:val="center"/>
              <w:rPr>
                <w:rFonts w:hint="eastAsia" w:ascii="宋体" w:hAnsi="宋体" w:eastAsia="宋体" w:cs="Times New Roman"/>
                <w:szCs w:val="21"/>
              </w:rPr>
            </w:pPr>
          </w:p>
        </w:tc>
        <w:tc>
          <w:tcPr>
            <w:tcW w:w="0" w:type="auto"/>
          </w:tcPr>
          <w:p w14:paraId="5D60AD5E">
            <w:pPr>
              <w:spacing w:line="360" w:lineRule="auto"/>
              <w:jc w:val="center"/>
              <w:rPr>
                <w:rFonts w:hint="eastAsia" w:ascii="宋体" w:hAnsi="宋体" w:eastAsia="宋体" w:cs="Times New Roman"/>
                <w:szCs w:val="21"/>
              </w:rPr>
            </w:pPr>
          </w:p>
        </w:tc>
        <w:tc>
          <w:tcPr>
            <w:tcW w:w="636" w:type="dxa"/>
            <w:vAlign w:val="center"/>
          </w:tcPr>
          <w:p w14:paraId="60E7E35C">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4490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1C8BE0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148" w:type="dxa"/>
            <w:vAlign w:val="center"/>
          </w:tcPr>
          <w:p w14:paraId="5D2F17EA">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122" w:type="dxa"/>
            <w:vAlign w:val="center"/>
          </w:tcPr>
          <w:p w14:paraId="72B55222">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311CD24C">
            <w:pPr>
              <w:spacing w:line="360" w:lineRule="auto"/>
              <w:jc w:val="center"/>
              <w:rPr>
                <w:rFonts w:hint="eastAsia" w:ascii="宋体" w:hAnsi="宋体" w:eastAsia="宋体" w:cs="Times New Roman"/>
                <w:szCs w:val="21"/>
              </w:rPr>
            </w:pPr>
          </w:p>
        </w:tc>
        <w:tc>
          <w:tcPr>
            <w:tcW w:w="0" w:type="auto"/>
            <w:vAlign w:val="center"/>
          </w:tcPr>
          <w:p w14:paraId="39BC6F79">
            <w:pPr>
              <w:spacing w:line="360" w:lineRule="auto"/>
              <w:jc w:val="center"/>
              <w:rPr>
                <w:rFonts w:hint="eastAsia" w:ascii="宋体" w:hAnsi="宋体" w:eastAsia="宋体" w:cs="Times New Roman"/>
                <w:szCs w:val="21"/>
              </w:rPr>
            </w:pPr>
          </w:p>
        </w:tc>
        <w:tc>
          <w:tcPr>
            <w:tcW w:w="0" w:type="auto"/>
            <w:vAlign w:val="center"/>
          </w:tcPr>
          <w:p w14:paraId="0D0D41D6">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50A37027">
            <w:pPr>
              <w:spacing w:line="360" w:lineRule="auto"/>
              <w:jc w:val="center"/>
              <w:rPr>
                <w:rFonts w:hint="eastAsia" w:ascii="宋体" w:hAnsi="宋体" w:eastAsia="宋体" w:cs="Times New Roman"/>
                <w:szCs w:val="21"/>
              </w:rPr>
            </w:pPr>
          </w:p>
        </w:tc>
        <w:tc>
          <w:tcPr>
            <w:tcW w:w="636" w:type="dxa"/>
            <w:vAlign w:val="center"/>
          </w:tcPr>
          <w:p w14:paraId="291277F6">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2</w:t>
            </w:r>
            <w:r>
              <w:rPr>
                <w:rFonts w:ascii="宋体" w:hAnsi="宋体" w:eastAsia="宋体" w:cs="Times New Roman"/>
                <w:kern w:val="0"/>
                <w:szCs w:val="21"/>
              </w:rPr>
              <w:t>0</w:t>
            </w:r>
          </w:p>
        </w:tc>
      </w:tr>
      <w:tr w14:paraId="2735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7B42C6A">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148" w:type="dxa"/>
            <w:vAlign w:val="center"/>
          </w:tcPr>
          <w:p w14:paraId="2618810D">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122" w:type="dxa"/>
            <w:vAlign w:val="center"/>
          </w:tcPr>
          <w:p w14:paraId="151B9F73">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5FC0BC71">
            <w:pPr>
              <w:spacing w:line="360" w:lineRule="auto"/>
              <w:jc w:val="center"/>
              <w:rPr>
                <w:rFonts w:hint="eastAsia" w:ascii="宋体" w:hAnsi="宋体" w:eastAsia="宋体" w:cs="Times New Roman"/>
                <w:szCs w:val="21"/>
              </w:rPr>
            </w:pPr>
          </w:p>
        </w:tc>
        <w:tc>
          <w:tcPr>
            <w:tcW w:w="0" w:type="auto"/>
            <w:vAlign w:val="center"/>
          </w:tcPr>
          <w:p w14:paraId="000A27B3">
            <w:pPr>
              <w:spacing w:line="360" w:lineRule="auto"/>
              <w:jc w:val="center"/>
              <w:rPr>
                <w:rFonts w:hint="eastAsia" w:ascii="宋体" w:hAnsi="宋体" w:eastAsia="宋体" w:cs="Times New Roman"/>
                <w:szCs w:val="21"/>
              </w:rPr>
            </w:pPr>
          </w:p>
        </w:tc>
        <w:tc>
          <w:tcPr>
            <w:tcW w:w="0" w:type="auto"/>
            <w:vAlign w:val="center"/>
          </w:tcPr>
          <w:p w14:paraId="20A1C00B">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78511A72">
            <w:pPr>
              <w:spacing w:line="360" w:lineRule="auto"/>
              <w:jc w:val="center"/>
              <w:rPr>
                <w:rFonts w:hint="eastAsia" w:ascii="宋体" w:hAnsi="宋体" w:eastAsia="宋体" w:cs="Times New Roman"/>
                <w:szCs w:val="21"/>
              </w:rPr>
            </w:pPr>
          </w:p>
        </w:tc>
        <w:tc>
          <w:tcPr>
            <w:tcW w:w="636" w:type="dxa"/>
            <w:vAlign w:val="center"/>
          </w:tcPr>
          <w:p w14:paraId="5A707495">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25</w:t>
            </w:r>
          </w:p>
        </w:tc>
      </w:tr>
      <w:tr w14:paraId="6A85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47567D92">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5</w:t>
            </w:r>
          </w:p>
        </w:tc>
        <w:tc>
          <w:tcPr>
            <w:tcW w:w="1148" w:type="dxa"/>
            <w:vAlign w:val="center"/>
          </w:tcPr>
          <w:p w14:paraId="5C1C2813">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w:t>
            </w:r>
          </w:p>
        </w:tc>
        <w:tc>
          <w:tcPr>
            <w:tcW w:w="1122" w:type="dxa"/>
            <w:vAlign w:val="center"/>
          </w:tcPr>
          <w:p w14:paraId="3F3A392B">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37AFFF69">
            <w:pPr>
              <w:spacing w:line="360" w:lineRule="auto"/>
              <w:jc w:val="center"/>
              <w:rPr>
                <w:rFonts w:hint="eastAsia" w:ascii="宋体" w:hAnsi="宋体" w:eastAsia="宋体" w:cs="Times New Roman"/>
                <w:szCs w:val="21"/>
              </w:rPr>
            </w:pPr>
          </w:p>
        </w:tc>
        <w:tc>
          <w:tcPr>
            <w:tcW w:w="0" w:type="auto"/>
            <w:vAlign w:val="center"/>
          </w:tcPr>
          <w:p w14:paraId="75E64259">
            <w:pPr>
              <w:spacing w:line="360" w:lineRule="auto"/>
              <w:jc w:val="center"/>
              <w:rPr>
                <w:rFonts w:hint="eastAsia" w:ascii="宋体" w:hAnsi="宋体" w:eastAsia="宋体" w:cs="Times New Roman"/>
                <w:szCs w:val="21"/>
              </w:rPr>
            </w:pPr>
          </w:p>
        </w:tc>
        <w:tc>
          <w:tcPr>
            <w:tcW w:w="0" w:type="auto"/>
            <w:vAlign w:val="center"/>
          </w:tcPr>
          <w:p w14:paraId="1D8C3D0E">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280F0B25">
            <w:pPr>
              <w:spacing w:line="360" w:lineRule="auto"/>
              <w:jc w:val="center"/>
              <w:rPr>
                <w:rFonts w:hint="eastAsia" w:ascii="宋体" w:hAnsi="宋体" w:eastAsia="宋体" w:cs="Times New Roman"/>
                <w:szCs w:val="21"/>
              </w:rPr>
            </w:pPr>
          </w:p>
        </w:tc>
        <w:tc>
          <w:tcPr>
            <w:tcW w:w="636" w:type="dxa"/>
            <w:vAlign w:val="center"/>
          </w:tcPr>
          <w:p w14:paraId="642B41BD">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25</w:t>
            </w:r>
          </w:p>
        </w:tc>
      </w:tr>
      <w:tr w14:paraId="0DEE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9DAC1D0">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6</w:t>
            </w:r>
          </w:p>
        </w:tc>
        <w:tc>
          <w:tcPr>
            <w:tcW w:w="1148" w:type="dxa"/>
            <w:vAlign w:val="center"/>
          </w:tcPr>
          <w:p w14:paraId="484A0388">
            <w:pPr>
              <w:spacing w:line="360" w:lineRule="auto"/>
              <w:rPr>
                <w:rFonts w:hint="eastAsia" w:ascii="宋体" w:hAnsi="宋体" w:eastAsia="宋体" w:cs="Times New Roman"/>
                <w:szCs w:val="21"/>
              </w:rPr>
            </w:pPr>
            <w:r>
              <w:rPr>
                <w:rFonts w:hint="eastAsia" w:ascii="宋体" w:hAnsi="宋体" w:eastAsia="宋体" w:cs="Times New Roman"/>
                <w:szCs w:val="21"/>
              </w:rPr>
              <w:t xml:space="preserve">    √</w:t>
            </w:r>
          </w:p>
        </w:tc>
        <w:tc>
          <w:tcPr>
            <w:tcW w:w="1122" w:type="dxa"/>
            <w:vAlign w:val="center"/>
          </w:tcPr>
          <w:p w14:paraId="5A76505F">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07F62FCC">
            <w:pPr>
              <w:spacing w:line="360" w:lineRule="auto"/>
              <w:jc w:val="center"/>
              <w:rPr>
                <w:rFonts w:hint="eastAsia" w:ascii="宋体" w:hAnsi="宋体" w:eastAsia="宋体" w:cs="Times New Roman"/>
                <w:szCs w:val="21"/>
              </w:rPr>
            </w:pPr>
          </w:p>
        </w:tc>
        <w:tc>
          <w:tcPr>
            <w:tcW w:w="0" w:type="auto"/>
            <w:vAlign w:val="center"/>
          </w:tcPr>
          <w:p w14:paraId="0A944C13">
            <w:pPr>
              <w:spacing w:line="360" w:lineRule="auto"/>
              <w:jc w:val="center"/>
              <w:rPr>
                <w:rFonts w:hint="eastAsia" w:ascii="宋体" w:hAnsi="宋体" w:eastAsia="宋体" w:cs="Times New Roman"/>
                <w:szCs w:val="21"/>
              </w:rPr>
            </w:pPr>
          </w:p>
        </w:tc>
        <w:tc>
          <w:tcPr>
            <w:tcW w:w="0" w:type="auto"/>
            <w:vAlign w:val="center"/>
          </w:tcPr>
          <w:p w14:paraId="763739C2">
            <w:pPr>
              <w:spacing w:line="360" w:lineRule="auto"/>
              <w:jc w:val="center"/>
              <w:rPr>
                <w:rFonts w:hint="eastAsia" w:ascii="宋体" w:hAnsi="宋体" w:eastAsia="宋体" w:cs="Times New Roman"/>
                <w:szCs w:val="21"/>
              </w:rPr>
            </w:pPr>
          </w:p>
        </w:tc>
        <w:tc>
          <w:tcPr>
            <w:tcW w:w="0" w:type="auto"/>
          </w:tcPr>
          <w:p w14:paraId="3FAFC4E8">
            <w:pPr>
              <w:spacing w:line="360" w:lineRule="auto"/>
              <w:jc w:val="center"/>
              <w:rPr>
                <w:rFonts w:hint="eastAsia" w:ascii="宋体" w:hAnsi="宋体" w:eastAsia="宋体" w:cs="Times New Roman"/>
                <w:szCs w:val="21"/>
              </w:rPr>
            </w:pPr>
          </w:p>
        </w:tc>
        <w:tc>
          <w:tcPr>
            <w:tcW w:w="636" w:type="dxa"/>
            <w:vAlign w:val="center"/>
          </w:tcPr>
          <w:p w14:paraId="5521D4D1">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5096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78B4E48">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148" w:type="dxa"/>
            <w:vAlign w:val="center"/>
          </w:tcPr>
          <w:p w14:paraId="0646D582">
            <w:pPr>
              <w:spacing w:line="360" w:lineRule="auto"/>
              <w:jc w:val="center"/>
              <w:rPr>
                <w:rFonts w:hint="eastAsia" w:ascii="宋体" w:hAnsi="宋体" w:eastAsia="宋体" w:cs="Times New Roman"/>
                <w:szCs w:val="21"/>
              </w:rPr>
            </w:pPr>
          </w:p>
        </w:tc>
        <w:tc>
          <w:tcPr>
            <w:tcW w:w="1122" w:type="dxa"/>
            <w:vAlign w:val="center"/>
          </w:tcPr>
          <w:p w14:paraId="66799C4A">
            <w:pPr>
              <w:spacing w:line="360" w:lineRule="auto"/>
              <w:jc w:val="center"/>
              <w:rPr>
                <w:rFonts w:hint="eastAsia" w:ascii="宋体" w:hAnsi="宋体" w:eastAsia="宋体" w:cs="Times New Roman"/>
                <w:szCs w:val="21"/>
              </w:rPr>
            </w:pPr>
          </w:p>
        </w:tc>
        <w:tc>
          <w:tcPr>
            <w:tcW w:w="0" w:type="auto"/>
            <w:vAlign w:val="center"/>
          </w:tcPr>
          <w:p w14:paraId="626DA855">
            <w:pPr>
              <w:spacing w:line="360" w:lineRule="auto"/>
              <w:jc w:val="center"/>
              <w:rPr>
                <w:rFonts w:hint="eastAsia" w:ascii="宋体" w:hAnsi="宋体" w:eastAsia="宋体" w:cs="Times New Roman"/>
                <w:szCs w:val="21"/>
              </w:rPr>
            </w:pPr>
          </w:p>
        </w:tc>
        <w:tc>
          <w:tcPr>
            <w:tcW w:w="0" w:type="auto"/>
            <w:vAlign w:val="center"/>
          </w:tcPr>
          <w:p w14:paraId="23DFC2D6">
            <w:pPr>
              <w:spacing w:line="360" w:lineRule="auto"/>
              <w:jc w:val="center"/>
              <w:rPr>
                <w:rFonts w:hint="eastAsia" w:ascii="宋体" w:hAnsi="宋体" w:eastAsia="宋体" w:cs="Times New Roman"/>
                <w:szCs w:val="21"/>
              </w:rPr>
            </w:pPr>
          </w:p>
        </w:tc>
        <w:tc>
          <w:tcPr>
            <w:tcW w:w="0" w:type="auto"/>
            <w:vAlign w:val="center"/>
          </w:tcPr>
          <w:p w14:paraId="5A424C2E">
            <w:pPr>
              <w:spacing w:line="360" w:lineRule="auto"/>
              <w:jc w:val="center"/>
              <w:rPr>
                <w:rFonts w:hint="eastAsia" w:ascii="宋体" w:hAnsi="宋体" w:eastAsia="宋体" w:cs="Times New Roman"/>
                <w:szCs w:val="21"/>
              </w:rPr>
            </w:pPr>
          </w:p>
        </w:tc>
        <w:tc>
          <w:tcPr>
            <w:tcW w:w="0" w:type="auto"/>
          </w:tcPr>
          <w:p w14:paraId="3C7162A5">
            <w:pPr>
              <w:spacing w:line="360" w:lineRule="auto"/>
              <w:jc w:val="center"/>
              <w:rPr>
                <w:rFonts w:hint="eastAsia" w:ascii="宋体" w:hAnsi="宋体" w:eastAsia="宋体" w:cs="Times New Roman"/>
                <w:szCs w:val="21"/>
              </w:rPr>
            </w:pPr>
          </w:p>
        </w:tc>
        <w:tc>
          <w:tcPr>
            <w:tcW w:w="636" w:type="dxa"/>
            <w:vAlign w:val="center"/>
          </w:tcPr>
          <w:p w14:paraId="64E216ED">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58AFE41">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048D2A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4C68F6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38"/>
      </w:tblGrid>
      <w:tr w14:paraId="410A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07980B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04B11B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tcBorders>
              <w:bottom w:val="single" w:color="auto" w:sz="4" w:space="0"/>
            </w:tcBorders>
            <w:vAlign w:val="center"/>
          </w:tcPr>
          <w:p w14:paraId="6AF4812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9BD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D7AEEBF">
            <w:pPr>
              <w:spacing w:line="400" w:lineRule="exact"/>
              <w:rPr>
                <w:rFonts w:hint="eastAsia" w:ascii="宋体" w:hAnsi="宋体" w:eastAsia="宋体" w:cs="Times New Roman"/>
                <w:szCs w:val="21"/>
              </w:rPr>
            </w:pPr>
            <w:r>
              <w:rPr>
                <w:rFonts w:hint="eastAsia" w:ascii="宋体" w:hAnsi="宋体" w:eastAsia="宋体" w:cs="Times New Roman"/>
                <w:szCs w:val="21"/>
              </w:rPr>
              <w:t>课堂考勤</w:t>
            </w:r>
          </w:p>
        </w:tc>
        <w:tc>
          <w:tcPr>
            <w:tcW w:w="7141" w:type="dxa"/>
            <w:tcBorders>
              <w:right w:val="single" w:color="auto" w:sz="4" w:space="0"/>
            </w:tcBorders>
            <w:vAlign w:val="center"/>
          </w:tcPr>
          <w:p w14:paraId="5025FFA2">
            <w:pPr>
              <w:widowControl/>
              <w:adjustRightInd w:val="0"/>
              <w:snapToGrid w:val="0"/>
              <w:spacing w:line="400" w:lineRule="exact"/>
              <w:jc w:val="left"/>
              <w:rPr>
                <w:rFonts w:hint="eastAsia" w:ascii="宋体" w:hAnsi="宋体" w:eastAsia="宋体" w:cs="宋体"/>
                <w:kern w:val="0"/>
                <w:szCs w:val="21"/>
              </w:rPr>
            </w:pPr>
            <w:r>
              <w:rPr>
                <w:rFonts w:hint="eastAsia" w:ascii="宋体" w:hAnsi="宋体" w:eastAsia="宋体" w:cs="宋体"/>
                <w:kern w:val="0"/>
                <w:szCs w:val="21"/>
              </w:rPr>
              <w:t>病假和事假一次扣</w:t>
            </w:r>
            <w:r>
              <w:rPr>
                <w:rFonts w:ascii="宋体" w:hAnsi="宋体" w:eastAsia="宋体" w:cs="宋体"/>
                <w:kern w:val="0"/>
                <w:szCs w:val="21"/>
              </w:rPr>
              <w:t>3</w:t>
            </w:r>
            <w:r>
              <w:rPr>
                <w:rFonts w:hint="eastAsia" w:ascii="宋体" w:hAnsi="宋体" w:eastAsia="宋体" w:cs="宋体"/>
                <w:kern w:val="0"/>
                <w:szCs w:val="21"/>
              </w:rPr>
              <w:t>分，无故缺席一次扣</w:t>
            </w:r>
            <w:r>
              <w:rPr>
                <w:rFonts w:ascii="宋体" w:hAnsi="宋体" w:eastAsia="宋体" w:cs="宋体"/>
                <w:kern w:val="0"/>
                <w:szCs w:val="21"/>
              </w:rPr>
              <w:t>5</w:t>
            </w:r>
            <w:r>
              <w:rPr>
                <w:rFonts w:hint="eastAsia" w:ascii="宋体" w:hAnsi="宋体" w:eastAsia="宋体" w:cs="宋体"/>
                <w:kern w:val="0"/>
                <w:szCs w:val="21"/>
              </w:rPr>
              <w:t>分，无辜缺席累计达</w:t>
            </w:r>
            <w:r>
              <w:rPr>
                <w:rFonts w:ascii="宋体" w:hAnsi="宋体" w:eastAsia="宋体" w:cs="宋体"/>
                <w:kern w:val="0"/>
                <w:szCs w:val="21"/>
              </w:rPr>
              <w:t>3</w:t>
            </w:r>
            <w:r>
              <w:rPr>
                <w:rFonts w:hint="eastAsia" w:ascii="宋体" w:hAnsi="宋体" w:eastAsia="宋体" w:cs="宋体"/>
                <w:kern w:val="0"/>
                <w:szCs w:val="21"/>
              </w:rPr>
              <w:t>次以上</w:t>
            </w:r>
            <w:r>
              <w:rPr>
                <w:rFonts w:ascii="宋体" w:hAnsi="宋体" w:eastAsia="宋体" w:cs="宋体"/>
                <w:kern w:val="0"/>
                <w:szCs w:val="21"/>
              </w:rPr>
              <w:t>(</w:t>
            </w:r>
            <w:r>
              <w:rPr>
                <w:rFonts w:hint="eastAsia" w:ascii="宋体" w:hAnsi="宋体" w:eastAsia="宋体" w:cs="宋体"/>
                <w:kern w:val="0"/>
                <w:szCs w:val="21"/>
              </w:rPr>
              <w:t>不含</w:t>
            </w:r>
            <w:r>
              <w:rPr>
                <w:rFonts w:ascii="宋体" w:hAnsi="宋体" w:eastAsia="宋体" w:cs="宋体"/>
                <w:kern w:val="0"/>
                <w:szCs w:val="21"/>
              </w:rPr>
              <w:t>3</w:t>
            </w:r>
            <w:r>
              <w:rPr>
                <w:rFonts w:hint="eastAsia" w:ascii="宋体" w:hAnsi="宋体" w:eastAsia="宋体" w:cs="宋体"/>
                <w:kern w:val="0"/>
                <w:szCs w:val="21"/>
              </w:rPr>
              <w:t>次</w:t>
            </w:r>
            <w:r>
              <w:rPr>
                <w:rFonts w:ascii="宋体" w:hAnsi="宋体" w:eastAsia="宋体" w:cs="宋体"/>
                <w:kern w:val="0"/>
                <w:szCs w:val="21"/>
              </w:rPr>
              <w:t>)</w:t>
            </w:r>
            <w:r>
              <w:rPr>
                <w:rFonts w:hint="eastAsia" w:ascii="宋体" w:hAnsi="宋体" w:eastAsia="宋体" w:cs="宋体"/>
                <w:kern w:val="0"/>
                <w:szCs w:val="21"/>
              </w:rPr>
              <w:t>取消课程成绩。</w:t>
            </w:r>
          </w:p>
        </w:tc>
        <w:tc>
          <w:tcPr>
            <w:tcW w:w="0" w:type="auto"/>
            <w:tcBorders>
              <w:left w:val="single" w:color="auto" w:sz="4" w:space="0"/>
              <w:bottom w:val="single" w:color="auto" w:sz="4" w:space="0"/>
              <w:right w:val="single" w:color="auto" w:sz="4" w:space="0"/>
            </w:tcBorders>
            <w:shd w:val="clear" w:color="auto" w:fill="FFFFFF" w:themeFill="background1"/>
            <w:vAlign w:val="center"/>
          </w:tcPr>
          <w:p w14:paraId="5CCCD96B">
            <w:pPr>
              <w:spacing w:line="400" w:lineRule="exact"/>
              <w:jc w:val="center"/>
              <w:rPr>
                <w:rFonts w:hint="eastAsia" w:ascii="宋体" w:hAnsi="宋体" w:eastAsia="宋体" w:cs="Times New Roman"/>
                <w:szCs w:val="21"/>
              </w:rPr>
            </w:pPr>
            <w:r>
              <w:rPr>
                <w:rFonts w:hint="eastAsia" w:ascii="宋体" w:hAnsi="宋体" w:eastAsia="宋体" w:cs="Times New Roman"/>
                <w:szCs w:val="21"/>
              </w:rPr>
              <w:t>10%</w:t>
            </w:r>
          </w:p>
        </w:tc>
      </w:tr>
      <w:tr w14:paraId="1DC8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E6D424">
            <w:pPr>
              <w:spacing w:line="400" w:lineRule="exact"/>
              <w:rPr>
                <w:rFonts w:hint="eastAsia" w:ascii="宋体" w:hAnsi="宋体" w:eastAsia="宋体" w:cs="Times New Roman"/>
              </w:rPr>
            </w:pPr>
            <w:r>
              <w:rPr>
                <w:rFonts w:hint="eastAsia" w:ascii="宋体" w:hAnsi="宋体" w:eastAsia="宋体" w:cs="宋体"/>
                <w:kern w:val="0"/>
                <w:szCs w:val="21"/>
              </w:rPr>
              <w:t>课堂表现</w:t>
            </w:r>
          </w:p>
        </w:tc>
        <w:tc>
          <w:tcPr>
            <w:tcW w:w="7141" w:type="dxa"/>
            <w:tcBorders>
              <w:right w:val="single" w:color="auto" w:sz="4" w:space="0"/>
            </w:tcBorders>
            <w:vAlign w:val="center"/>
          </w:tcPr>
          <w:p w14:paraId="726530DB">
            <w:pPr>
              <w:widowControl/>
              <w:adjustRightInd w:val="0"/>
              <w:snapToGrid w:val="0"/>
              <w:spacing w:line="400" w:lineRule="exact"/>
              <w:jc w:val="left"/>
              <w:rPr>
                <w:rFonts w:hint="eastAsia" w:ascii="宋体" w:hAnsi="宋体" w:eastAsia="宋体" w:cs="宋体"/>
                <w:kern w:val="0"/>
                <w:szCs w:val="21"/>
              </w:rPr>
            </w:pPr>
            <w:r>
              <w:rPr>
                <w:rFonts w:hint="eastAsia" w:ascii="宋体" w:hAnsi="宋体" w:eastAsia="宋体" w:cs="宋体"/>
                <w:kern w:val="0"/>
                <w:szCs w:val="21"/>
              </w:rPr>
              <w:t>每章</w:t>
            </w:r>
            <w:r>
              <w:rPr>
                <w:rFonts w:hint="eastAsia" w:ascii="宋体" w:hAnsi="宋体" w:eastAsia="宋体" w:cs="宋体"/>
                <w:color w:val="000000"/>
                <w:kern w:val="0"/>
                <w:szCs w:val="21"/>
              </w:rPr>
              <w:t>组织进行</w:t>
            </w:r>
            <w:r>
              <w:rPr>
                <w:rFonts w:ascii="宋体" w:hAnsi="宋体" w:eastAsia="宋体" w:cs="宋体"/>
                <w:color w:val="000000"/>
                <w:kern w:val="0"/>
                <w:szCs w:val="21"/>
              </w:rPr>
              <w:t>1-3</w:t>
            </w:r>
            <w:r>
              <w:rPr>
                <w:rFonts w:hint="eastAsia" w:ascii="宋体" w:hAnsi="宋体" w:eastAsia="宋体" w:cs="宋体"/>
                <w:color w:val="000000"/>
                <w:kern w:val="0"/>
                <w:szCs w:val="21"/>
              </w:rPr>
              <w:t>次讨论，主要考核学生对知识的理解与思考情况。根据回答给出相应分数。</w:t>
            </w:r>
          </w:p>
        </w:tc>
        <w:tc>
          <w:tcPr>
            <w:tcW w:w="0" w:type="auto"/>
            <w:tcBorders>
              <w:left w:val="single" w:color="auto" w:sz="4" w:space="0"/>
              <w:bottom w:val="single" w:color="auto" w:sz="4" w:space="0"/>
              <w:right w:val="single" w:color="auto" w:sz="4" w:space="0"/>
            </w:tcBorders>
            <w:shd w:val="clear" w:color="auto" w:fill="FFFFFF" w:themeFill="background1"/>
            <w:vAlign w:val="center"/>
          </w:tcPr>
          <w:p w14:paraId="2F104236">
            <w:pPr>
              <w:spacing w:line="400" w:lineRule="exact"/>
              <w:jc w:val="center"/>
              <w:rPr>
                <w:rFonts w:hint="eastAsia" w:ascii="宋体" w:hAnsi="宋体" w:eastAsia="宋体" w:cs="Times New Roman"/>
                <w:szCs w:val="21"/>
              </w:rPr>
            </w:pPr>
            <w:r>
              <w:rPr>
                <w:rFonts w:hint="eastAsia" w:ascii="宋体" w:hAnsi="宋体" w:eastAsia="宋体" w:cs="Times New Roman"/>
                <w:szCs w:val="21"/>
              </w:rPr>
              <w:t>10%</w:t>
            </w:r>
          </w:p>
        </w:tc>
      </w:tr>
      <w:tr w14:paraId="4E44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F4B8132">
            <w:pPr>
              <w:spacing w:line="400" w:lineRule="exact"/>
              <w:rPr>
                <w:rFonts w:hint="eastAsia" w:ascii="宋体" w:hAnsi="宋体" w:eastAsia="宋体" w:cs="Times New Roman"/>
              </w:rPr>
            </w:pPr>
            <w:r>
              <w:rPr>
                <w:rFonts w:hint="eastAsia" w:ascii="宋体" w:hAnsi="宋体" w:eastAsia="宋体" w:cs="Times New Roman"/>
              </w:rPr>
              <w:t>平时作业</w:t>
            </w:r>
          </w:p>
        </w:tc>
        <w:tc>
          <w:tcPr>
            <w:tcW w:w="7141" w:type="dxa"/>
            <w:tcBorders>
              <w:right w:val="single" w:color="auto" w:sz="4" w:space="0"/>
            </w:tcBorders>
            <w:vAlign w:val="center"/>
          </w:tcPr>
          <w:p w14:paraId="4EA82784">
            <w:pPr>
              <w:widowControl/>
              <w:adjustRightInd w:val="0"/>
              <w:snapToGrid w:val="0"/>
              <w:spacing w:line="400" w:lineRule="exact"/>
              <w:jc w:val="left"/>
              <w:rPr>
                <w:rFonts w:hint="eastAsia" w:ascii="宋体" w:hAnsi="宋体" w:eastAsia="宋体" w:cs="宋体"/>
                <w:kern w:val="0"/>
                <w:szCs w:val="21"/>
              </w:rPr>
            </w:pPr>
            <w:r>
              <w:rPr>
                <w:rFonts w:ascii="宋体" w:hAnsi="宋体" w:eastAsia="宋体" w:cs="Times New Roman"/>
                <w:szCs w:val="21"/>
              </w:rPr>
              <w:t>3</w:t>
            </w:r>
            <w:r>
              <w:rPr>
                <w:rFonts w:hint="eastAsia" w:ascii="宋体" w:hAnsi="宋体" w:eastAsia="宋体" w:cs="Times New Roman"/>
                <w:szCs w:val="21"/>
              </w:rPr>
              <w:t>次书面作业，主要考核学生运用社会学理论分析问题的能力。</w:t>
            </w:r>
          </w:p>
        </w:tc>
        <w:tc>
          <w:tcPr>
            <w:tcW w:w="0" w:type="auto"/>
            <w:tcBorders>
              <w:left w:val="single" w:color="auto" w:sz="4" w:space="0"/>
              <w:bottom w:val="single" w:color="auto" w:sz="4" w:space="0"/>
              <w:right w:val="single" w:color="auto" w:sz="4" w:space="0"/>
            </w:tcBorders>
            <w:shd w:val="clear" w:color="auto" w:fill="FFFFFF" w:themeFill="background1"/>
            <w:vAlign w:val="center"/>
          </w:tcPr>
          <w:p w14:paraId="2400D051">
            <w:pPr>
              <w:spacing w:line="400" w:lineRule="exact"/>
              <w:jc w:val="center"/>
              <w:rPr>
                <w:rFonts w:hint="eastAsia" w:ascii="宋体" w:hAnsi="宋体" w:eastAsia="宋体" w:cs="Times New Roman"/>
                <w:szCs w:val="21"/>
              </w:rPr>
            </w:pPr>
            <w:r>
              <w:rPr>
                <w:rFonts w:hint="eastAsia" w:ascii="宋体" w:hAnsi="宋体" w:eastAsia="宋体" w:cs="Times New Roman"/>
                <w:szCs w:val="21"/>
              </w:rPr>
              <w:t>20%</w:t>
            </w:r>
          </w:p>
        </w:tc>
      </w:tr>
      <w:tr w14:paraId="1892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09A81F">
            <w:pPr>
              <w:adjustRightInd w:val="0"/>
              <w:snapToGrid w:val="0"/>
              <w:spacing w:line="400" w:lineRule="exact"/>
              <w:jc w:val="center"/>
              <w:rPr>
                <w:rFonts w:hint="eastAsia" w:ascii="宋体" w:hAnsi="宋体" w:eastAsia="宋体" w:cs="Times New Roman"/>
              </w:rPr>
            </w:pPr>
            <w:r>
              <w:rPr>
                <w:rFonts w:hint="eastAsia" w:ascii="宋体" w:hAnsi="宋体" w:eastAsia="宋体" w:cs="Times New Roman"/>
              </w:rPr>
              <w:t>期末考试</w:t>
            </w:r>
          </w:p>
          <w:p w14:paraId="14838D19">
            <w:pPr>
              <w:spacing w:line="400" w:lineRule="exact"/>
              <w:rPr>
                <w:rFonts w:hint="eastAsia" w:ascii="宋体" w:hAnsi="宋体" w:eastAsia="宋体" w:cs="Times New Roman"/>
                <w:szCs w:val="21"/>
              </w:rPr>
            </w:pPr>
          </w:p>
        </w:tc>
        <w:tc>
          <w:tcPr>
            <w:tcW w:w="7141" w:type="dxa"/>
            <w:vAlign w:val="center"/>
          </w:tcPr>
          <w:p w14:paraId="15C8B7C6">
            <w:pPr>
              <w:adjustRightInd w:val="0"/>
              <w:snapToGrid w:val="0"/>
              <w:spacing w:line="400" w:lineRule="exact"/>
              <w:rPr>
                <w:rFonts w:hint="eastAsia" w:ascii="宋体" w:hAnsi="宋体" w:eastAsia="宋体" w:cs="宋体"/>
                <w:color w:val="000000"/>
                <w:kern w:val="0"/>
                <w:szCs w:val="21"/>
                <w:lang w:bidi="ar"/>
              </w:rPr>
            </w:pPr>
            <w:r>
              <w:rPr>
                <w:rFonts w:hint="eastAsia" w:ascii="宋体" w:hAnsi="宋体" w:eastAsia="宋体" w:cs="Times New Roman"/>
                <w:color w:val="000000"/>
                <w:szCs w:val="21"/>
              </w:rPr>
              <w:t>试卷题型包括填空题、简答题、论述题，以卷面成绩的</w:t>
            </w:r>
            <w:r>
              <w:rPr>
                <w:rFonts w:ascii="宋体" w:hAnsi="宋体" w:eastAsia="宋体" w:cs="Times New Roman"/>
                <w:color w:val="000000"/>
                <w:szCs w:val="21"/>
              </w:rPr>
              <w:t>60%</w:t>
            </w:r>
            <w:r>
              <w:rPr>
                <w:rFonts w:hint="eastAsia" w:ascii="宋体" w:hAnsi="宋体" w:eastAsia="宋体" w:cs="Times New Roman"/>
                <w:color w:val="000000"/>
                <w:szCs w:val="21"/>
              </w:rPr>
              <w:t>计入课程总成绩。其中：考核基本概念知识型题目占</w:t>
            </w:r>
            <w:r>
              <w:rPr>
                <w:rFonts w:ascii="宋体" w:hAnsi="宋体" w:eastAsia="宋体" w:cs="Times New Roman"/>
                <w:color w:val="000000"/>
                <w:szCs w:val="21"/>
              </w:rPr>
              <w:t>30%</w:t>
            </w:r>
            <w:r>
              <w:rPr>
                <w:rFonts w:hint="eastAsia" w:ascii="宋体" w:hAnsi="宋体" w:eastAsia="宋体" w:cs="Times New Roman"/>
                <w:color w:val="000000"/>
                <w:szCs w:val="21"/>
              </w:rPr>
              <w:t>；考核基本知识理解占</w:t>
            </w:r>
            <w:r>
              <w:rPr>
                <w:rFonts w:ascii="宋体" w:hAnsi="宋体" w:eastAsia="宋体" w:cs="Times New Roman"/>
                <w:color w:val="000000"/>
                <w:szCs w:val="21"/>
              </w:rPr>
              <w:t>30%</w:t>
            </w:r>
            <w:r>
              <w:rPr>
                <w:rFonts w:hint="eastAsia" w:ascii="宋体" w:hAnsi="宋体" w:eastAsia="宋体" w:cs="Times New Roman"/>
                <w:color w:val="000000"/>
                <w:szCs w:val="21"/>
              </w:rPr>
              <w:t>；考核综合运用能力占</w:t>
            </w:r>
            <w:r>
              <w:rPr>
                <w:rFonts w:ascii="宋体" w:hAnsi="宋体" w:eastAsia="宋体" w:cs="Times New Roman"/>
                <w:color w:val="000000"/>
                <w:szCs w:val="21"/>
              </w:rPr>
              <w:t>40%</w:t>
            </w:r>
            <w:r>
              <w:rPr>
                <w:rFonts w:hint="eastAsia" w:ascii="宋体" w:hAnsi="宋体" w:eastAsia="宋体" w:cs="Times New Roman"/>
                <w:color w:val="000000"/>
                <w:szCs w:val="21"/>
              </w:rPr>
              <w:t>。</w:t>
            </w:r>
          </w:p>
        </w:tc>
        <w:tc>
          <w:tcPr>
            <w:tcW w:w="0" w:type="auto"/>
            <w:tcBorders>
              <w:top w:val="single" w:color="auto" w:sz="4" w:space="0"/>
            </w:tcBorders>
            <w:vAlign w:val="center"/>
          </w:tcPr>
          <w:p w14:paraId="503EE98A">
            <w:pPr>
              <w:spacing w:line="400" w:lineRule="exact"/>
              <w:jc w:val="center"/>
              <w:rPr>
                <w:rFonts w:hint="eastAsia" w:ascii="宋体" w:hAnsi="宋体" w:eastAsia="宋体" w:cs="Times New Roman"/>
                <w:szCs w:val="21"/>
              </w:rPr>
            </w:pPr>
            <w:r>
              <w:rPr>
                <w:rFonts w:ascii="宋体" w:hAnsi="宋体" w:eastAsia="宋体" w:cs="Times New Roman"/>
              </w:rPr>
              <w:t>60%</w:t>
            </w:r>
          </w:p>
        </w:tc>
      </w:tr>
      <w:tr w14:paraId="4B51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D945E72">
            <w:pPr>
              <w:spacing w:line="400" w:lineRule="exact"/>
              <w:jc w:val="center"/>
              <w:rPr>
                <w:rFonts w:hint="eastAsia" w:ascii="宋体" w:hAnsi="宋体" w:eastAsia="宋体" w:cs="Times New Roman"/>
                <w:b/>
                <w:bCs/>
                <w:szCs w:val="21"/>
              </w:rPr>
            </w:pPr>
            <w:r>
              <w:rPr>
                <w:rFonts w:hint="eastAsia" w:ascii="宋体" w:hAnsi="宋体" w:eastAsia="宋体" w:cs="Times New Roman"/>
                <w:b/>
                <w:bCs/>
                <w:szCs w:val="21"/>
              </w:rPr>
              <w:t>合计</w:t>
            </w:r>
          </w:p>
        </w:tc>
        <w:tc>
          <w:tcPr>
            <w:tcW w:w="0" w:type="auto"/>
            <w:vAlign w:val="center"/>
          </w:tcPr>
          <w:p w14:paraId="7FF80896">
            <w:pPr>
              <w:spacing w:line="400" w:lineRule="exact"/>
              <w:jc w:val="left"/>
              <w:rPr>
                <w:rFonts w:hint="eastAsia" w:ascii="宋体" w:hAnsi="宋体" w:eastAsia="宋体" w:cs="Times New Roman"/>
                <w:szCs w:val="21"/>
              </w:rPr>
            </w:pPr>
          </w:p>
        </w:tc>
        <w:tc>
          <w:tcPr>
            <w:tcW w:w="0" w:type="auto"/>
            <w:vAlign w:val="center"/>
          </w:tcPr>
          <w:p w14:paraId="696E6624">
            <w:pPr>
              <w:spacing w:line="400" w:lineRule="exact"/>
              <w:jc w:val="center"/>
              <w:rPr>
                <w:rFonts w:hint="eastAsia" w:ascii="宋体" w:hAnsi="宋体" w:eastAsia="宋体" w:cs="Times New Roman"/>
                <w:szCs w:val="21"/>
              </w:rPr>
            </w:pPr>
            <w:r>
              <w:rPr>
                <w:rFonts w:hint="eastAsia" w:ascii="宋体" w:hAnsi="宋体" w:eastAsia="宋体" w:cs="Times New Roman"/>
                <w:szCs w:val="21"/>
              </w:rPr>
              <w:t>100%</w:t>
            </w:r>
          </w:p>
        </w:tc>
      </w:tr>
    </w:tbl>
    <w:p w14:paraId="09D55B7A">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9230C4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09B8332">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50"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50" DrawAspect="Content" ObjectID="_1468075750" r:id="rId35">
            <o:LockedField>false</o:LockedField>
          </o:OLEObject>
        </w:object>
      </w:r>
    </w:p>
    <w:p w14:paraId="5904E8DC">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2C6615A4">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6359069F">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B93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95FFDFE">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29FD942">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695E869A">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6A5EA2AD">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4485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C6550A1">
            <w:pPr>
              <w:spacing w:line="276" w:lineRule="auto"/>
              <w:jc w:val="left"/>
              <w:rPr>
                <w:rFonts w:hint="eastAsia" w:ascii="宋体" w:hAnsi="宋体" w:eastAsia="宋体" w:cs="宋体"/>
                <w:szCs w:val="21"/>
              </w:rPr>
            </w:pPr>
            <w:r>
              <w:rPr>
                <w:rFonts w:hint="eastAsia" w:ascii="宋体" w:hAnsi="宋体" w:eastAsia="宋体" w:cs="宋体"/>
                <w:szCs w:val="21"/>
              </w:rPr>
              <w:t>班干部的选举方法</w:t>
            </w:r>
          </w:p>
        </w:tc>
        <w:tc>
          <w:tcPr>
            <w:tcW w:w="3407" w:type="dxa"/>
            <w:vAlign w:val="center"/>
          </w:tcPr>
          <w:p w14:paraId="55D3212E">
            <w:pPr>
              <w:spacing w:line="276" w:lineRule="auto"/>
              <w:jc w:val="left"/>
              <w:rPr>
                <w:rFonts w:hint="eastAsia" w:ascii="宋体" w:hAnsi="宋体" w:eastAsia="宋体" w:cs="宋体"/>
                <w:szCs w:val="21"/>
              </w:rPr>
            </w:pPr>
            <w:r>
              <w:rPr>
                <w:rFonts w:hint="eastAsia" w:ascii="宋体" w:hAnsi="宋体" w:eastAsia="宋体" w:cs="宋体"/>
                <w:szCs w:val="21"/>
              </w:rPr>
              <w:t>讨论班级民主管理</w:t>
            </w:r>
          </w:p>
        </w:tc>
        <w:tc>
          <w:tcPr>
            <w:tcW w:w="740" w:type="dxa"/>
            <w:vAlign w:val="center"/>
          </w:tcPr>
          <w:p w14:paraId="1FACC2BF">
            <w:pPr>
              <w:spacing w:line="276" w:lineRule="auto"/>
              <w:jc w:val="center"/>
              <w:rPr>
                <w:rFonts w:hint="eastAsia" w:ascii="宋体" w:hAnsi="宋体" w:eastAsia="宋体" w:cs="宋体"/>
                <w:szCs w:val="21"/>
              </w:rPr>
            </w:pPr>
            <w:r>
              <w:rPr>
                <w:rFonts w:hint="eastAsia" w:ascii="宋体" w:hAnsi="宋体" w:eastAsia="宋体" w:cs="宋体"/>
                <w:szCs w:val="21"/>
              </w:rPr>
              <w:t>班会活动</w:t>
            </w:r>
          </w:p>
        </w:tc>
        <w:tc>
          <w:tcPr>
            <w:tcW w:w="3160" w:type="dxa"/>
            <w:vAlign w:val="center"/>
          </w:tcPr>
          <w:p w14:paraId="41B7D57B">
            <w:pPr>
              <w:spacing w:line="276" w:lineRule="auto"/>
              <w:jc w:val="left"/>
              <w:rPr>
                <w:rFonts w:hint="eastAsia" w:ascii="宋体" w:hAnsi="宋体" w:eastAsia="宋体" w:cs="宋体"/>
                <w:szCs w:val="21"/>
              </w:rPr>
            </w:pPr>
            <w:r>
              <w:rPr>
                <w:rFonts w:hint="eastAsia" w:ascii="宋体" w:hAnsi="宋体" w:eastAsia="宋体" w:cs="宋体"/>
                <w:szCs w:val="21"/>
              </w:rPr>
              <w:t>置身真实情景、亲身体验班级民主管理</w:t>
            </w:r>
          </w:p>
        </w:tc>
      </w:tr>
      <w:tr w14:paraId="425C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54E820D2">
            <w:pPr>
              <w:spacing w:line="276" w:lineRule="auto"/>
              <w:jc w:val="left"/>
              <w:rPr>
                <w:rFonts w:hint="eastAsia" w:ascii="宋体" w:hAnsi="宋体" w:eastAsia="宋体" w:cs="宋体"/>
                <w:szCs w:val="21"/>
              </w:rPr>
            </w:pPr>
            <w:r>
              <w:rPr>
                <w:rFonts w:hint="eastAsia" w:ascii="宋体" w:hAnsi="宋体" w:eastAsia="宋体" w:cs="宋体"/>
                <w:szCs w:val="21"/>
              </w:rPr>
              <w:t>教师工作压力观察</w:t>
            </w:r>
          </w:p>
        </w:tc>
        <w:tc>
          <w:tcPr>
            <w:tcW w:w="3407" w:type="dxa"/>
            <w:vAlign w:val="center"/>
          </w:tcPr>
          <w:p w14:paraId="683FEB3C">
            <w:pPr>
              <w:spacing w:line="276" w:lineRule="auto"/>
              <w:jc w:val="left"/>
              <w:rPr>
                <w:rFonts w:hint="eastAsia" w:ascii="宋体" w:hAnsi="宋体" w:eastAsia="宋体" w:cs="宋体"/>
                <w:szCs w:val="21"/>
              </w:rPr>
            </w:pPr>
            <w:r>
              <w:rPr>
                <w:rFonts w:hint="eastAsia" w:ascii="宋体" w:hAnsi="宋体" w:eastAsia="宋体" w:cs="宋体"/>
                <w:szCs w:val="21"/>
              </w:rPr>
              <w:t>利用见习等事件观察一线教师的工作压力状况及其应对</w:t>
            </w:r>
          </w:p>
        </w:tc>
        <w:tc>
          <w:tcPr>
            <w:tcW w:w="740" w:type="dxa"/>
            <w:vAlign w:val="center"/>
          </w:tcPr>
          <w:p w14:paraId="7730398E">
            <w:pPr>
              <w:spacing w:line="276" w:lineRule="auto"/>
              <w:jc w:val="center"/>
              <w:rPr>
                <w:rFonts w:hint="eastAsia" w:ascii="宋体" w:hAnsi="宋体" w:eastAsia="宋体" w:cs="宋体"/>
                <w:szCs w:val="21"/>
              </w:rPr>
            </w:pPr>
            <w:r>
              <w:rPr>
                <w:rFonts w:hint="eastAsia" w:ascii="宋体" w:hAnsi="宋体" w:eastAsia="宋体" w:cs="宋体"/>
                <w:szCs w:val="21"/>
              </w:rPr>
              <w:t>课外调查</w:t>
            </w:r>
          </w:p>
        </w:tc>
        <w:tc>
          <w:tcPr>
            <w:tcW w:w="3160" w:type="dxa"/>
            <w:vAlign w:val="center"/>
          </w:tcPr>
          <w:p w14:paraId="101CF7D9">
            <w:pPr>
              <w:spacing w:line="276" w:lineRule="auto"/>
              <w:jc w:val="left"/>
              <w:rPr>
                <w:rFonts w:hint="eastAsia" w:ascii="宋体" w:hAnsi="宋体" w:eastAsia="宋体" w:cs="宋体"/>
                <w:szCs w:val="21"/>
              </w:rPr>
            </w:pPr>
            <w:r>
              <w:rPr>
                <w:rFonts w:hint="eastAsia" w:ascii="宋体" w:hAnsi="宋体" w:eastAsia="宋体" w:cs="宋体"/>
                <w:szCs w:val="21"/>
              </w:rPr>
              <w:t>体验教师文化，感受尊师崇教、竞相从师的社会文化氛围的得来不易。</w:t>
            </w:r>
          </w:p>
        </w:tc>
      </w:tr>
    </w:tbl>
    <w:p w14:paraId="01C9BC91">
      <w:pPr>
        <w:spacing w:line="360" w:lineRule="auto"/>
        <w:ind w:firstLine="551" w:firstLineChars="196"/>
        <w:jc w:val="left"/>
        <w:rPr>
          <w:rFonts w:hint="eastAsia" w:ascii="宋体" w:hAnsi="宋体" w:eastAsia="宋体" w:cs="Times New Roman"/>
          <w:b/>
          <w:color w:val="000000"/>
          <w:sz w:val="28"/>
          <w:szCs w:val="28"/>
        </w:rPr>
      </w:pPr>
    </w:p>
    <w:p w14:paraId="3353B80E">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2DC8BF7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9660290">
      <w:pPr>
        <w:adjustRightInd w:val="0"/>
        <w:snapToGrid w:val="0"/>
        <w:spacing w:line="360" w:lineRule="auto"/>
        <w:ind w:firstLine="480" w:firstLineChars="200"/>
        <w:rPr>
          <w:rFonts w:ascii="Times New Roman" w:hAnsi="Times New Roman" w:eastAsia="宋体" w:cs="Times New Roman"/>
          <w:b/>
          <w:szCs w:val="21"/>
        </w:rPr>
      </w:pPr>
      <w:r>
        <w:rPr>
          <w:rFonts w:hint="eastAsia" w:ascii="Calibri" w:hAnsi="Calibri" w:eastAsia="宋体" w:cs="Times New Roman"/>
          <w:sz w:val="24"/>
        </w:rPr>
        <w:t>本课程根据学生作业、课堂讨论、教学环节、平时考核情况和学生、教学督导等的反馈，及时对教学中的不足之处进行改进，并在下一轮课程教学中整改完善，确保相应毕业要求指标点达成。</w:t>
      </w:r>
    </w:p>
    <w:p w14:paraId="297D08F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CCE67A4">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马和民，教育社会学基础，中国人民大学出版社，2022.</w:t>
      </w:r>
    </w:p>
    <w:p w14:paraId="556ACBFA">
      <w:pPr>
        <w:spacing w:line="360" w:lineRule="auto"/>
        <w:jc w:val="left"/>
        <w:rPr>
          <w:szCs w:val="21"/>
        </w:rPr>
      </w:pPr>
      <w:r>
        <w:rPr>
          <w:rFonts w:hint="eastAsia" w:ascii="Times New Roman" w:hAnsi="Times New Roman" w:eastAsia="宋体" w:cs="Times New Roman"/>
          <w:b/>
          <w:szCs w:val="21"/>
        </w:rPr>
        <w:t>（三）参考书目</w:t>
      </w:r>
    </w:p>
    <w:p w14:paraId="7D202802">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1.吴康宁，教育社会学，人民教育出版社，2021</w:t>
      </w:r>
    </w:p>
    <w:p w14:paraId="55ABCE09">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2.钱民辉，教育社会学概论（第四版），北京大学出版社，2021.</w:t>
      </w:r>
    </w:p>
    <w:p w14:paraId="3B0C0C1B">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3.雷通群.</w:t>
      </w:r>
      <w:r>
        <w:rPr>
          <w:rFonts w:hint="eastAsia"/>
          <w:szCs w:val="21"/>
        </w:rPr>
        <w:t xml:space="preserve"> </w:t>
      </w:r>
      <w:r>
        <w:rPr>
          <w:rFonts w:hint="eastAsia" w:ascii="宋体" w:hAnsi="宋体" w:eastAsia="宋体" w:cs="Times New Roman"/>
          <w:szCs w:val="21"/>
        </w:rPr>
        <w:t>教育社会学，厦门大学出版社，2021.</w:t>
      </w:r>
    </w:p>
    <w:p w14:paraId="583943AB">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4.许瑞、刘惠珍，教育社会学，北京师范大学出版社，2010</w:t>
      </w:r>
    </w:p>
    <w:p w14:paraId="27E5EB7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5.珍妮•H•巴兰坦、弗洛伊德•M•哈马克、詹妮•斯图伯，教育社会学——一种系统分析的方法，商务印书馆，2017</w:t>
      </w:r>
    </w:p>
    <w:p w14:paraId="3A87D142">
      <w:pPr>
        <w:spacing w:line="360" w:lineRule="auto"/>
        <w:ind w:left="420" w:leftChars="200"/>
        <w:rPr>
          <w:rFonts w:hint="eastAsia" w:ascii="宋体" w:hAnsi="宋体" w:eastAsia="宋体" w:cs="Times New Roman"/>
          <w:szCs w:val="21"/>
        </w:rPr>
      </w:pPr>
      <w:r>
        <w:rPr>
          <w:rFonts w:hint="eastAsia" w:ascii="宋体" w:hAnsi="宋体" w:eastAsia="宋体" w:cs="Times New Roman"/>
          <w:szCs w:val="21"/>
        </w:rPr>
        <w:t>6.丹尼尔•U•莱文、瑞依娜•F•莱文，教育社会学，中国人民大学出版社，2016.</w:t>
      </w:r>
    </w:p>
    <w:p w14:paraId="0773A952">
      <w:pPr>
        <w:spacing w:line="360" w:lineRule="auto"/>
        <w:ind w:left="420" w:leftChars="200"/>
        <w:rPr>
          <w:rFonts w:ascii="Times New Roman" w:hAnsi="Times New Roman" w:eastAsia="宋体" w:cs="Times New Roman"/>
          <w:bCs/>
          <w:szCs w:val="21"/>
        </w:rPr>
      </w:pPr>
      <w:r>
        <w:rPr>
          <w:rFonts w:hint="eastAsia" w:ascii="宋体" w:hAnsi="宋体" w:eastAsia="宋体" w:cs="Times New Roman"/>
          <w:szCs w:val="21"/>
        </w:rPr>
        <w:t>7.郑杭生</w:t>
      </w:r>
      <w:r>
        <w:rPr>
          <w:rFonts w:ascii="宋体" w:hAnsi="等线" w:eastAsia="宋体" w:cs="Times New Roman"/>
          <w:szCs w:val="21"/>
        </w:rPr>
        <w:t>.</w:t>
      </w:r>
      <w:r>
        <w:rPr>
          <w:rFonts w:hint="eastAsia" w:ascii="宋体" w:hAnsi="宋体" w:eastAsia="宋体" w:cs="Times New Roman"/>
          <w:szCs w:val="21"/>
        </w:rPr>
        <w:t>社会学概论新修</w:t>
      </w:r>
      <w:r>
        <w:rPr>
          <w:rFonts w:ascii="宋体" w:hAnsi="宋体" w:eastAsia="宋体" w:cs="Times New Roman"/>
          <w:szCs w:val="21"/>
        </w:rPr>
        <w:t>[M].</w:t>
      </w:r>
      <w:r>
        <w:rPr>
          <w:rFonts w:hint="eastAsia" w:ascii="宋体" w:hAnsi="宋体" w:eastAsia="宋体" w:cs="Times New Roman"/>
          <w:szCs w:val="21"/>
        </w:rPr>
        <w:t>北京：中国人民大学出版社，</w:t>
      </w:r>
      <w:r>
        <w:rPr>
          <w:rFonts w:ascii="宋体" w:hAnsi="宋体" w:eastAsia="宋体" w:cs="Times New Roman"/>
          <w:szCs w:val="21"/>
        </w:rPr>
        <w:t>2016</w:t>
      </w:r>
      <w:r>
        <w:rPr>
          <w:rFonts w:ascii="宋体" w:hAnsi="等线" w:eastAsia="宋体" w:cs="Times New Roman"/>
          <w:szCs w:val="21"/>
        </w:rPr>
        <w:t>.</w:t>
      </w:r>
    </w:p>
    <w:p w14:paraId="7B33682E">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美</w:t>
      </w:r>
      <w:r>
        <w:rPr>
          <w:rFonts w:ascii="宋体" w:hAnsi="宋体" w:eastAsia="宋体" w:cs="Times New Roman"/>
          <w:szCs w:val="21"/>
        </w:rPr>
        <w:t>]</w:t>
      </w:r>
      <w:r>
        <w:rPr>
          <w:rFonts w:hint="eastAsia" w:ascii="宋体" w:hAnsi="宋体" w:eastAsia="宋体" w:cs="Times New Roman"/>
          <w:szCs w:val="21"/>
        </w:rPr>
        <w:t>戴维·波普诺</w:t>
      </w:r>
      <w:r>
        <w:rPr>
          <w:rFonts w:ascii="宋体" w:hAnsi="等线" w:eastAsia="宋体" w:cs="Times New Roman"/>
          <w:szCs w:val="21"/>
        </w:rPr>
        <w:t>.</w:t>
      </w:r>
      <w:r>
        <w:rPr>
          <w:rFonts w:hint="eastAsia" w:ascii="宋体" w:hAnsi="宋体" w:eastAsia="宋体" w:cs="Times New Roman"/>
          <w:szCs w:val="21"/>
        </w:rPr>
        <w:t>社会学（第十一版）</w:t>
      </w:r>
      <w:r>
        <w:rPr>
          <w:rFonts w:ascii="宋体" w:hAnsi="宋体" w:eastAsia="宋体" w:cs="Times New Roman"/>
          <w:szCs w:val="21"/>
        </w:rPr>
        <w:t xml:space="preserve"> [M].</w:t>
      </w:r>
      <w:r>
        <w:rPr>
          <w:rFonts w:hint="eastAsia" w:ascii="宋体" w:hAnsi="宋体" w:eastAsia="宋体" w:cs="Times New Roman"/>
          <w:szCs w:val="21"/>
        </w:rPr>
        <w:t>李强等译，北京：中国人民大学出版社，</w:t>
      </w:r>
      <w:r>
        <w:rPr>
          <w:rFonts w:ascii="宋体" w:hAnsi="宋体" w:eastAsia="宋体" w:cs="Times New Roman"/>
          <w:szCs w:val="21"/>
        </w:rPr>
        <w:t>2007.</w:t>
      </w:r>
    </w:p>
    <w:p w14:paraId="7E30B228">
      <w:pPr>
        <w:spacing w:line="360" w:lineRule="auto"/>
        <w:ind w:left="239" w:leftChars="114" w:firstLine="210" w:firstLineChars="100"/>
        <w:rPr>
          <w:rFonts w:hint="eastAsia" w:ascii="宋体" w:hAnsi="宋体" w:eastAsia="宋体" w:cs="Times New Roman"/>
          <w:szCs w:val="21"/>
        </w:rPr>
      </w:pPr>
      <w:r>
        <w:rPr>
          <w:rFonts w:hint="eastAsia" w:ascii="宋体" w:hAnsi="等线" w:eastAsia="宋体" w:cs="Times New Roman"/>
          <w:szCs w:val="21"/>
        </w:rPr>
        <w:t>9.[美]理查德</w:t>
      </w:r>
      <w:r>
        <w:rPr>
          <w:rFonts w:hint="eastAsia" w:ascii="宋体" w:hAnsi="宋体" w:eastAsia="宋体" w:cs="Times New Roman"/>
          <w:szCs w:val="21"/>
        </w:rPr>
        <w:t>·拉赫曼.历史社会学概论 [M].赵莉妍译, 北京：商务印书馆，2017.</w:t>
      </w:r>
    </w:p>
    <w:p w14:paraId="2D2F95B4">
      <w:pPr>
        <w:spacing w:line="360" w:lineRule="auto"/>
        <w:ind w:left="239" w:leftChars="114" w:firstLine="210" w:firstLineChars="100"/>
        <w:rPr>
          <w:rFonts w:hint="eastAsia" w:ascii="宋体" w:hAnsi="宋体" w:eastAsia="宋体" w:cs="Times New Roman"/>
          <w:szCs w:val="21"/>
        </w:rPr>
      </w:pPr>
      <w:r>
        <w:rPr>
          <w:rFonts w:hint="eastAsia" w:ascii="宋体" w:hAnsi="宋体" w:eastAsia="宋体" w:cs="Times New Roman"/>
          <w:szCs w:val="21"/>
        </w:rPr>
        <w:t>10.王永起.社会学研究方法新探，北京：中国书籍出版社，2016.11</w:t>
      </w:r>
    </w:p>
    <w:p w14:paraId="158EE6E5">
      <w:pPr>
        <w:spacing w:line="360" w:lineRule="auto"/>
        <w:ind w:left="239" w:leftChars="114" w:firstLine="210" w:firstLineChars="100"/>
        <w:rPr>
          <w:rFonts w:hint="eastAsia" w:ascii="宋体" w:hAnsi="宋体" w:eastAsia="宋体" w:cs="Times New Roman"/>
          <w:szCs w:val="21"/>
        </w:rPr>
      </w:pPr>
      <w:r>
        <w:rPr>
          <w:rFonts w:hint="eastAsia" w:ascii="宋体" w:hAnsi="宋体" w:eastAsia="宋体" w:cs="Times New Roman"/>
          <w:szCs w:val="21"/>
        </w:rPr>
        <w:t>11.徐祥运，刘杰编著.社会学概论（第4版），大连：东北财经大学出版社，2015.02</w:t>
      </w:r>
    </w:p>
    <w:p w14:paraId="263CA421">
      <w:pPr>
        <w:tabs>
          <w:tab w:val="left" w:pos="2767"/>
        </w:tabs>
      </w:pPr>
    </w:p>
    <w:p w14:paraId="7F713DA8"/>
    <w:p w14:paraId="365754A9">
      <w:pPr>
        <w:spacing w:line="360" w:lineRule="auto"/>
        <w:ind w:right="1920"/>
        <w:jc w:val="right"/>
        <w:rPr>
          <w:rFonts w:ascii="Times New Roman" w:hAnsi="Times New Roman" w:eastAsia="宋体" w:cs="Times New Roman"/>
          <w:sz w:val="24"/>
        </w:rPr>
      </w:pPr>
      <w:r>
        <w:rPr>
          <w:rFonts w:hint="eastAsia" w:ascii="Times New Roman" w:hAnsi="Times New Roman" w:eastAsia="宋体" w:cs="Times New Roman"/>
          <w:sz w:val="24"/>
        </w:rPr>
        <w:t xml:space="preserve">            执 笔 人：</w:t>
      </w:r>
      <w:r>
        <w:rPr>
          <w:rFonts w:ascii="Times New Roman" w:hAnsi="Times New Roman" w:eastAsia="宋体" w:cs="Times New Roman"/>
          <w:sz w:val="24"/>
        </w:rPr>
        <w:t xml:space="preserve"> </w:t>
      </w:r>
      <w:r>
        <w:rPr>
          <w:rFonts w:hint="eastAsia" w:ascii="Times New Roman" w:hAnsi="Times New Roman" w:eastAsia="宋体" w:cs="Times New Roman"/>
          <w:sz w:val="24"/>
        </w:rPr>
        <w:t>张文娟</w:t>
      </w:r>
    </w:p>
    <w:p w14:paraId="4F57B055">
      <w:pPr>
        <w:wordWrap w:val="0"/>
        <w:spacing w:line="360" w:lineRule="auto"/>
        <w:ind w:right="2160"/>
        <w:jc w:val="right"/>
        <w:rPr>
          <w:rFonts w:ascii="Times New Roman" w:hAnsi="Times New Roman" w:eastAsia="宋体" w:cs="Times New Roman"/>
          <w:sz w:val="24"/>
        </w:rPr>
      </w:pPr>
      <w:r>
        <w:rPr>
          <w:rFonts w:hint="eastAsia" w:ascii="Times New Roman" w:hAnsi="Times New Roman" w:eastAsia="宋体" w:cs="Times New Roman"/>
          <w:sz w:val="24"/>
        </w:rPr>
        <w:t>审 定 人：</w:t>
      </w:r>
      <w:r>
        <w:rPr>
          <w:rFonts w:ascii="Times New Roman" w:hAnsi="Times New Roman" w:eastAsia="宋体" w:cs="Times New Roman"/>
          <w:sz w:val="24"/>
        </w:rPr>
        <w:t xml:space="preserve"> </w:t>
      </w:r>
      <w:r>
        <w:rPr>
          <w:rFonts w:hint="eastAsia" w:ascii="Times New Roman" w:hAnsi="Times New Roman" w:eastAsia="宋体" w:cs="Times New Roman"/>
          <w:sz w:val="24"/>
        </w:rPr>
        <w:t>王健</w:t>
      </w:r>
    </w:p>
    <w:p w14:paraId="72149E05">
      <w:pPr>
        <w:spacing w:line="360" w:lineRule="auto"/>
        <w:ind w:right="1920"/>
        <w:jc w:val="right"/>
        <w:rPr>
          <w:rFonts w:ascii="Times New Roman" w:hAnsi="Times New Roman" w:eastAsia="宋体" w:cs="Times New Roman"/>
          <w:sz w:val="24"/>
        </w:rPr>
      </w:pPr>
      <w:r>
        <w:rPr>
          <w:rFonts w:hint="eastAsia" w:ascii="Times New Roman" w:hAnsi="Times New Roman" w:eastAsia="宋体" w:cs="Times New Roman"/>
          <w:sz w:val="24"/>
        </w:rPr>
        <w:t xml:space="preserve"> 审 批 人：张志欣</w:t>
      </w:r>
    </w:p>
    <w:p w14:paraId="1BFF0A4C">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 xml:space="preserve">                           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223ACF6A">
      <w:pPr>
        <w:rPr>
          <w:rFonts w:ascii="Times New Roman" w:hAnsi="Times New Roman" w:eastAsia="宋体" w:cs="Times New Roman"/>
          <w:sz w:val="24"/>
        </w:rPr>
      </w:pPr>
      <w:r>
        <w:rPr>
          <w:rFonts w:ascii="Times New Roman" w:hAnsi="Times New Roman" w:eastAsia="宋体" w:cs="Times New Roman"/>
          <w:sz w:val="24"/>
        </w:rPr>
        <w:br w:type="page"/>
      </w:r>
    </w:p>
    <w:p w14:paraId="4533EC20">
      <w:pPr>
        <w:pStyle w:val="2"/>
        <w:tabs>
          <w:tab w:val="left" w:pos="720"/>
          <w:tab w:val="left" w:pos="2700"/>
        </w:tabs>
      </w:pPr>
      <w:bookmarkStart w:id="161" w:name="_Toc25064592"/>
      <w:bookmarkStart w:id="162" w:name="_Toc14249"/>
      <w:bookmarkStart w:id="163" w:name="_Toc22758"/>
      <w:r>
        <w:rPr>
          <w:rFonts w:hint="eastAsia"/>
        </w:rPr>
        <w:t>《家校社协同</w:t>
      </w:r>
      <w:bookmarkEnd w:id="161"/>
      <w:r>
        <w:rPr>
          <w:rFonts w:hint="eastAsia"/>
        </w:rPr>
        <w:t>育人》课程教学大纲</w:t>
      </w:r>
      <w:bookmarkEnd w:id="162"/>
      <w:bookmarkEnd w:id="163"/>
    </w:p>
    <w:p w14:paraId="73F66090">
      <w:pPr>
        <w:spacing w:line="360" w:lineRule="auto"/>
        <w:jc w:val="center"/>
        <w:rPr>
          <w:rFonts w:hint="eastAsia" w:ascii="宋体" w:hAnsi="宋体" w:eastAsia="宋体" w:cs="Times New Roman"/>
          <w:b/>
          <w:sz w:val="44"/>
          <w:szCs w:val="44"/>
        </w:rPr>
      </w:pPr>
      <w:r>
        <w:rPr>
          <w:rFonts w:ascii="Times New Roman" w:hAnsi="Times New Roman" w:eastAsia="宋体" w:cs="Times New Roman"/>
          <w:b/>
          <w:sz w:val="28"/>
          <w:szCs w:val="28"/>
        </w:rPr>
        <w:t>（Family and Community Education）</w:t>
      </w:r>
    </w:p>
    <w:p w14:paraId="4DE36574">
      <w:pPr>
        <w:spacing w:line="360" w:lineRule="auto"/>
        <w:jc w:val="center"/>
        <w:rPr>
          <w:rFonts w:hint="eastAsia" w:ascii="宋体" w:hAnsi="宋体" w:eastAsia="宋体" w:cs="Times New Roman"/>
          <w:b/>
          <w:sz w:val="30"/>
          <w:szCs w:val="30"/>
        </w:rPr>
      </w:pPr>
    </w:p>
    <w:p w14:paraId="27B7F7C5">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ascii="Times New Roman" w:hAnsi="Times New Roman" w:eastAsia="宋体" w:cs="Times New Roman"/>
          <w:b/>
          <w:sz w:val="24"/>
        </w:rPr>
        <w:t xml:space="preserve"> </w:t>
      </w:r>
      <w:r>
        <w:rPr>
          <w:rFonts w:hint="eastAsia" w:ascii="宋体" w:hAnsi="宋体" w:eastAsia="宋体" w:cs="Times New Roman"/>
          <w:b/>
          <w:color w:val="000000"/>
          <w:sz w:val="24"/>
        </w:rPr>
        <w:t>《家校社协同育人》</w:t>
      </w:r>
    </w:p>
    <w:p w14:paraId="57A9183B">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color w:val="000000"/>
          <w:sz w:val="24"/>
        </w:rPr>
        <w:t>2401061</w:t>
      </w:r>
    </w:p>
    <w:p w14:paraId="0D137D35">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hint="eastAsia" w:ascii="宋体" w:hAnsi="宋体" w:eastAsia="宋体" w:cs="Times New Roman"/>
          <w:b/>
          <w:color w:val="000000"/>
          <w:sz w:val="24"/>
        </w:rPr>
        <w:t>2</w:t>
      </w:r>
      <w:r>
        <w:rPr>
          <w:rFonts w:ascii="宋体" w:hAnsi="宋体" w:eastAsia="宋体" w:cs="Times New Roman"/>
          <w:b/>
          <w:color w:val="000000"/>
          <w:sz w:val="24"/>
        </w:rPr>
        <w:t>.0</w:t>
      </w:r>
      <w:r>
        <w:rPr>
          <w:rFonts w:hint="eastAsia" w:ascii="宋体" w:hAnsi="宋体" w:eastAsia="宋体" w:cs="Times New Roman"/>
          <w:b/>
          <w:color w:val="000000"/>
          <w:sz w:val="24"/>
        </w:rPr>
        <w:t>学分</w:t>
      </w:r>
    </w:p>
    <w:p w14:paraId="3FB711B4">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宋体" w:hAnsi="宋体" w:eastAsia="宋体" w:cs="Times New Roman"/>
          <w:b/>
          <w:color w:val="000000"/>
          <w:sz w:val="24"/>
        </w:rPr>
        <w:t>3</w:t>
      </w:r>
      <w:r>
        <w:rPr>
          <w:rFonts w:ascii="宋体" w:hAnsi="宋体" w:eastAsia="宋体" w:cs="Times New Roman"/>
          <w:b/>
          <w:color w:val="000000"/>
          <w:sz w:val="24"/>
        </w:rPr>
        <w:t>2</w:t>
      </w:r>
      <w:r>
        <w:rPr>
          <w:rFonts w:hint="eastAsia" w:ascii="宋体" w:hAnsi="宋体" w:eastAsia="宋体" w:cs="Times New Roman"/>
          <w:b/>
          <w:color w:val="000000"/>
          <w:sz w:val="24"/>
        </w:rPr>
        <w:t>学时</w:t>
      </w:r>
    </w:p>
    <w:p w14:paraId="6D2EE9C0">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先修课程：</w:t>
      </w:r>
      <w:r>
        <w:rPr>
          <w:rFonts w:hint="eastAsia" w:ascii="宋体" w:hAnsi="宋体" w:eastAsia="宋体" w:cs="Times New Roman"/>
          <w:b/>
          <w:color w:val="000000"/>
          <w:sz w:val="24"/>
        </w:rPr>
        <w:t>教育原理、教育心理学</w:t>
      </w:r>
    </w:p>
    <w:p w14:paraId="3BCA4FE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5B683326">
      <w:pPr>
        <w:spacing w:line="360" w:lineRule="auto"/>
        <w:jc w:val="left"/>
        <w:rPr>
          <w:rFonts w:ascii="Times New Roman" w:hAnsi="Times New Roman" w:eastAsia="宋体" w:cs="Times New Roman"/>
          <w:b/>
          <w:sz w:val="24"/>
        </w:rPr>
      </w:pPr>
    </w:p>
    <w:p w14:paraId="477F17AA">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71BBACF2">
      <w:pPr>
        <w:snapToGrid w:val="0"/>
        <w:spacing w:line="360" w:lineRule="auto"/>
        <w:ind w:firstLine="411" w:firstLineChars="196"/>
        <w:rPr>
          <w:rFonts w:hint="eastAsia" w:ascii="宋体" w:hAnsi="宋体" w:eastAsia="宋体" w:cs="Times New Roman"/>
          <w:szCs w:val="21"/>
        </w:rPr>
      </w:pPr>
      <w:r>
        <w:rPr>
          <w:rFonts w:hint="eastAsia" w:ascii="宋体" w:hAnsi="宋体" w:eastAsia="宋体" w:cs="Times New Roman"/>
          <w:color w:val="000000"/>
          <w:szCs w:val="21"/>
        </w:rPr>
        <w:t>《家校社协同育人》是小学教育专业的一门专业选修课，是一门实践性和理论性并重的基础课程，该课程主要涉及家庭与社区教育的一些基本概念和基本理论，</w:t>
      </w:r>
      <w:r>
        <w:rPr>
          <w:rFonts w:hint="eastAsia" w:ascii="宋体" w:hAnsi="宋体" w:eastAsia="宋体" w:cs="Times New Roman"/>
          <w:szCs w:val="21"/>
        </w:rPr>
        <w:t>立足中国儿童家庭与社区教育发展的实际，关注</w:t>
      </w:r>
      <w:r>
        <w:rPr>
          <w:rFonts w:ascii="宋体" w:hAnsi="宋体" w:eastAsia="宋体" w:cs="Times New Roman"/>
          <w:szCs w:val="21"/>
        </w:rPr>
        <w:t>当前家庭教育发展的具体情况，总结近些年中国家庭教育的发展历程与经验启示，介绍中国家庭教育的现状、父母教育理念的更新、家庭教育的立法进程、</w:t>
      </w:r>
      <w:r>
        <w:rPr>
          <w:rFonts w:hint="eastAsia" w:ascii="宋体" w:hAnsi="宋体" w:eastAsia="宋体" w:cs="Times New Roman"/>
          <w:szCs w:val="21"/>
        </w:rPr>
        <w:t>“</w:t>
      </w:r>
      <w:r>
        <w:rPr>
          <w:rFonts w:ascii="宋体" w:hAnsi="宋体" w:eastAsia="宋体" w:cs="Times New Roman"/>
          <w:szCs w:val="21"/>
        </w:rPr>
        <w:t>二孩时代</w:t>
      </w:r>
      <w:r>
        <w:rPr>
          <w:rFonts w:hint="eastAsia" w:ascii="宋体" w:hAnsi="宋体" w:eastAsia="宋体" w:cs="Times New Roman"/>
          <w:szCs w:val="21"/>
        </w:rPr>
        <w:t>”的</w:t>
      </w:r>
      <w:r>
        <w:rPr>
          <w:rFonts w:ascii="宋体" w:hAnsi="宋体" w:eastAsia="宋体" w:cs="Times New Roman"/>
          <w:szCs w:val="21"/>
        </w:rPr>
        <w:t>隔代教养</w:t>
      </w:r>
      <w:r>
        <w:rPr>
          <w:rFonts w:hint="eastAsia" w:ascii="宋体" w:hAnsi="宋体" w:eastAsia="宋体" w:cs="Times New Roman"/>
          <w:szCs w:val="21"/>
        </w:rPr>
        <w:t>等</w:t>
      </w:r>
      <w:r>
        <w:rPr>
          <w:rFonts w:ascii="宋体" w:hAnsi="宋体" w:eastAsia="宋体" w:cs="Times New Roman"/>
          <w:szCs w:val="21"/>
        </w:rPr>
        <w:t>诸多现象、家风家训与中国传统优秀家教文化的弘扬等内容，为</w:t>
      </w:r>
      <w:r>
        <w:rPr>
          <w:rFonts w:hint="eastAsia" w:ascii="宋体" w:hAnsi="宋体" w:eastAsia="宋体" w:cs="Times New Roman"/>
          <w:szCs w:val="21"/>
        </w:rPr>
        <w:t>小学</w:t>
      </w:r>
      <w:r>
        <w:rPr>
          <w:rFonts w:ascii="宋体" w:hAnsi="宋体" w:eastAsia="宋体" w:cs="Times New Roman"/>
          <w:szCs w:val="21"/>
        </w:rPr>
        <w:t>教育专业学生掌握</w:t>
      </w:r>
      <w:r>
        <w:rPr>
          <w:rFonts w:hint="eastAsia" w:ascii="宋体" w:hAnsi="宋体" w:eastAsia="宋体" w:cs="Times New Roman"/>
          <w:szCs w:val="21"/>
        </w:rPr>
        <w:t>、理解</w:t>
      </w:r>
      <w:r>
        <w:rPr>
          <w:rFonts w:ascii="宋体" w:hAnsi="宋体" w:eastAsia="宋体" w:cs="Times New Roman"/>
          <w:szCs w:val="21"/>
        </w:rPr>
        <w:t>和开展家庭与社区教育提供理论学习</w:t>
      </w:r>
      <w:r>
        <w:rPr>
          <w:rFonts w:hint="eastAsia" w:ascii="宋体" w:hAnsi="宋体" w:eastAsia="宋体" w:cs="Times New Roman"/>
          <w:szCs w:val="21"/>
        </w:rPr>
        <w:t>帮助。</w:t>
      </w:r>
    </w:p>
    <w:p w14:paraId="47E6B819">
      <w:pPr>
        <w:spacing w:line="360" w:lineRule="auto"/>
        <w:jc w:val="left"/>
        <w:rPr>
          <w:rFonts w:hint="eastAsia" w:ascii="宋体" w:hAnsi="宋体" w:eastAsia="宋体" w:cs="Times New Roman"/>
          <w:b/>
          <w:color w:val="000000"/>
          <w:szCs w:val="21"/>
        </w:rPr>
      </w:pPr>
    </w:p>
    <w:p w14:paraId="79317E68">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7ACB4820">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39AE6A3">
      <w:pPr>
        <w:snapToGrid w:val="0"/>
        <w:spacing w:line="360" w:lineRule="auto"/>
        <w:ind w:firstLine="413" w:firstLineChars="196"/>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szCs w:val="21"/>
        </w:rPr>
        <w:t>了解本课程以及家庭教育的理论知识及实践，了解中国在家庭教育方面的优秀传统文化及当前面临的育人现实问题。</w:t>
      </w:r>
    </w:p>
    <w:p w14:paraId="488EF486">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w:t>
      </w:r>
      <w:r>
        <w:rPr>
          <w:rFonts w:hint="eastAsia" w:ascii="宋体" w:hAnsi="宋体" w:eastAsia="宋体" w:cs="Times New Roman"/>
          <w:szCs w:val="21"/>
        </w:rPr>
        <w:t>树立科学的儿童观、具备保护儿童权利的意识；树立家校社协同育人的思想观念；树立家庭教育的法制观念和职业职责意识。</w:t>
      </w:r>
    </w:p>
    <w:p w14:paraId="2F479571">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宋体" w:hAnsi="宋体" w:eastAsia="宋体" w:cs="Times New Roman"/>
          <w:szCs w:val="21"/>
        </w:rPr>
        <w:t>具备了解儿童，具备家校社协同育人的知识、能力和技巧。</w:t>
      </w:r>
      <w:r>
        <w:rPr>
          <w:rFonts w:ascii="Times New Roman" w:hAnsi="Times New Roman" w:eastAsia="宋体" w:cs="Times New Roman"/>
          <w:szCs w:val="21"/>
        </w:rPr>
        <w:t xml:space="preserve"> </w:t>
      </w:r>
    </w:p>
    <w:p w14:paraId="683CE4F1">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532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327EA0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2D4A381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13573FA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8E5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F91258E">
            <w:pPr>
              <w:spacing w:line="276" w:lineRule="auto"/>
              <w:jc w:val="left"/>
              <w:rPr>
                <w:rFonts w:ascii="Times New Roman" w:hAnsi="Times New Roman" w:eastAsia="宋体" w:cs="Times New Roman"/>
                <w:szCs w:val="21"/>
              </w:rPr>
            </w:pPr>
            <w:r>
              <w:rPr>
                <w:rFonts w:ascii="宋体" w:hAnsi="宋体" w:eastAsia="宋体" w:cs="Times New Roman"/>
                <w:color w:val="000000"/>
                <w:szCs w:val="21"/>
              </w:rPr>
              <w:t>毕业要求5：班级管理</w:t>
            </w:r>
          </w:p>
        </w:tc>
        <w:tc>
          <w:tcPr>
            <w:tcW w:w="5688" w:type="dxa"/>
            <w:vAlign w:val="center"/>
          </w:tcPr>
          <w:p w14:paraId="0E5A91C1">
            <w:pPr>
              <w:spacing w:line="276" w:lineRule="auto"/>
              <w:jc w:val="left"/>
              <w:rPr>
                <w:rFonts w:ascii="Times New Roman" w:hAnsi="Times New Roman" w:eastAsia="宋体" w:cs="Times New Roman"/>
                <w:szCs w:val="21"/>
              </w:rPr>
            </w:pPr>
            <w:r>
              <w:rPr>
                <w:rFonts w:ascii="宋体" w:hAnsi="宋体" w:eastAsia="宋体" w:cs="Times New Roman"/>
                <w:color w:val="000000"/>
                <w:szCs w:val="21"/>
              </w:rPr>
              <w:t>指标点5-2：</w:t>
            </w:r>
            <w:r>
              <w:rPr>
                <w:rFonts w:hint="eastAsia" w:ascii="宋体" w:hAnsi="宋体" w:eastAsia="宋体" w:cs="Times New Roman"/>
                <w:color w:val="000000"/>
                <w:szCs w:val="21"/>
              </w:rPr>
              <w:t>【重视心理健康教育】了解小学生身体、情感发展的特性和差异性，</w:t>
            </w:r>
            <w:r>
              <w:rPr>
                <w:rFonts w:ascii="宋体" w:hAnsi="宋体" w:eastAsia="宋体" w:cs="Times New Roman"/>
                <w:color w:val="000000"/>
                <w:szCs w:val="21"/>
              </w:rPr>
              <w:t>获得小学心理健康教育指导体验，参与组织与指导对小学生心理健康教育的科普宣传及心理辅导，掌握小学心理健康教育的基本方法。</w:t>
            </w:r>
          </w:p>
        </w:tc>
        <w:tc>
          <w:tcPr>
            <w:tcW w:w="1191" w:type="dxa"/>
            <w:vAlign w:val="center"/>
          </w:tcPr>
          <w:p w14:paraId="4396526F">
            <w:pPr>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课程目标1</w:t>
            </w:r>
          </w:p>
        </w:tc>
      </w:tr>
      <w:tr w14:paraId="32D0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E7F6DE8">
            <w:pPr>
              <w:spacing w:line="276" w:lineRule="auto"/>
              <w:jc w:val="left"/>
              <w:rPr>
                <w:rFonts w:ascii="Times New Roman" w:hAnsi="Times New Roman" w:eastAsia="宋体" w:cs="Times New Roman"/>
                <w:szCs w:val="21"/>
              </w:rPr>
            </w:pPr>
            <w:r>
              <w:rPr>
                <w:rFonts w:ascii="宋体" w:hAnsi="宋体" w:eastAsia="宋体" w:cs="Times New Roman"/>
                <w:color w:val="000000"/>
                <w:szCs w:val="21"/>
              </w:rPr>
              <w:t>毕业要求6：综合育人</w:t>
            </w:r>
          </w:p>
        </w:tc>
        <w:tc>
          <w:tcPr>
            <w:tcW w:w="5688" w:type="dxa"/>
            <w:vAlign w:val="center"/>
          </w:tcPr>
          <w:p w14:paraId="49A82271">
            <w:pPr>
              <w:spacing w:line="276" w:lineRule="auto"/>
              <w:jc w:val="left"/>
              <w:rPr>
                <w:rFonts w:ascii="Times New Roman" w:hAnsi="Times New Roman" w:eastAsia="宋体" w:cs="Times New Roman"/>
                <w:szCs w:val="21"/>
              </w:rPr>
            </w:pPr>
            <w:r>
              <w:rPr>
                <w:rFonts w:ascii="宋体" w:hAnsi="宋体" w:eastAsia="宋体" w:cs="Times New Roman"/>
                <w:color w:val="000000"/>
                <w:szCs w:val="21"/>
              </w:rPr>
              <w:t>指标点6-3：</w:t>
            </w:r>
            <w:r>
              <w:rPr>
                <w:rFonts w:hint="eastAsia" w:ascii="宋体" w:hAnsi="宋体" w:eastAsia="宋体" w:cs="Times New Roman"/>
                <w:color w:val="000000"/>
                <w:szCs w:val="21"/>
              </w:rPr>
              <w:t>【善于文化与活动育人】了解课外活动组织和管理知识，掌握学校文化和各类课外教育活动的育人内涵和方法，参与组织主题教育、少先队活动和社团活动，促进小学生全面、健康发展</w:t>
            </w:r>
          </w:p>
        </w:tc>
        <w:tc>
          <w:tcPr>
            <w:tcW w:w="1191" w:type="dxa"/>
            <w:vAlign w:val="center"/>
          </w:tcPr>
          <w:p w14:paraId="523E15A0">
            <w:pPr>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课程目标2</w:t>
            </w:r>
          </w:p>
        </w:tc>
      </w:tr>
      <w:tr w14:paraId="2EC5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Merge w:val="restart"/>
            <w:vAlign w:val="center"/>
          </w:tcPr>
          <w:p w14:paraId="05CD0F3F">
            <w:pPr>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毕业要求8</w:t>
            </w:r>
            <w:r>
              <w:rPr>
                <w:rFonts w:ascii="宋体" w:hAnsi="宋体" w:eastAsia="宋体" w:cs="Times New Roman"/>
                <w:color w:val="000000"/>
                <w:szCs w:val="21"/>
              </w:rPr>
              <w:t>.</w:t>
            </w:r>
            <w:r>
              <w:rPr>
                <w:rFonts w:hint="eastAsia" w:ascii="宋体" w:hAnsi="宋体" w:eastAsia="宋体" w:cs="Times New Roman"/>
                <w:color w:val="000000"/>
                <w:szCs w:val="21"/>
              </w:rPr>
              <w:t>沟通合作</w:t>
            </w:r>
          </w:p>
        </w:tc>
        <w:tc>
          <w:tcPr>
            <w:tcW w:w="5688" w:type="dxa"/>
            <w:shd w:val="clear" w:color="auto" w:fill="auto"/>
            <w:vAlign w:val="center"/>
          </w:tcPr>
          <w:p w14:paraId="26CE962A">
            <w:pPr>
              <w:snapToGrid w:val="0"/>
              <w:spacing w:line="288" w:lineRule="auto"/>
              <w:ind w:firstLine="411" w:firstLineChars="196"/>
              <w:rPr>
                <w:rFonts w:hint="eastAsia" w:ascii="宋体" w:hAnsi="宋体" w:eastAsia="宋体" w:cs="Times New Roman"/>
                <w:color w:val="000000"/>
                <w:szCs w:val="21"/>
              </w:rPr>
            </w:pPr>
            <w:r>
              <w:rPr>
                <w:rFonts w:ascii="宋体" w:hAnsi="宋体" w:eastAsia="宋体" w:cs="Times New Roman"/>
                <w:color w:val="000000"/>
                <w:szCs w:val="21"/>
              </w:rPr>
              <w:t>指标点8-1：</w:t>
            </w:r>
            <w:r>
              <w:rPr>
                <w:rFonts w:hint="eastAsia" w:ascii="宋体" w:hAnsi="宋体" w:eastAsia="宋体" w:cs="Times New Roman"/>
                <w:color w:val="000000"/>
                <w:szCs w:val="21"/>
              </w:rPr>
              <w:t>【善于团队合作】理解学习共同体的本质和价值，掌握团队协作的基本策略，在课堂学习与教育实践中获得合作学习体验，形成团队协作精神。</w:t>
            </w:r>
          </w:p>
        </w:tc>
        <w:tc>
          <w:tcPr>
            <w:tcW w:w="1191" w:type="dxa"/>
            <w:vMerge w:val="restart"/>
            <w:vAlign w:val="center"/>
          </w:tcPr>
          <w:p w14:paraId="5E639E86">
            <w:pPr>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3</w:t>
            </w:r>
          </w:p>
        </w:tc>
      </w:tr>
      <w:tr w14:paraId="5F00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Merge w:val="continue"/>
            <w:vAlign w:val="center"/>
          </w:tcPr>
          <w:p w14:paraId="6758D52C">
            <w:pPr>
              <w:spacing w:line="276" w:lineRule="auto"/>
              <w:jc w:val="left"/>
              <w:rPr>
                <w:rFonts w:ascii="Times New Roman" w:hAnsi="Times New Roman" w:eastAsia="宋体" w:cs="Times New Roman"/>
                <w:szCs w:val="21"/>
              </w:rPr>
            </w:pPr>
          </w:p>
        </w:tc>
        <w:tc>
          <w:tcPr>
            <w:tcW w:w="5688" w:type="dxa"/>
            <w:shd w:val="clear" w:color="auto" w:fill="auto"/>
            <w:vAlign w:val="center"/>
          </w:tcPr>
          <w:p w14:paraId="55F6D6B8">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指标点8-2：</w:t>
            </w:r>
            <w:r>
              <w:rPr>
                <w:rFonts w:hint="eastAsia" w:ascii="宋体" w:hAnsi="宋体" w:eastAsia="宋体" w:cs="Times New Roman"/>
                <w:color w:val="000000"/>
                <w:szCs w:val="21"/>
              </w:rPr>
              <w:t>【学会沟通交流】掌握人际沟通合作技能与方法，能与学生和家长以及同行、同事、专家进行有效沟通与合作，实现共同发展。</w:t>
            </w:r>
          </w:p>
        </w:tc>
        <w:tc>
          <w:tcPr>
            <w:tcW w:w="1191" w:type="dxa"/>
            <w:vMerge w:val="continue"/>
            <w:vAlign w:val="center"/>
          </w:tcPr>
          <w:p w14:paraId="79983399">
            <w:pPr>
              <w:spacing w:line="276" w:lineRule="auto"/>
              <w:jc w:val="left"/>
              <w:rPr>
                <w:rFonts w:ascii="Times New Roman" w:hAnsi="Times New Roman" w:eastAsia="宋体" w:cs="Times New Roman"/>
                <w:szCs w:val="21"/>
              </w:rPr>
            </w:pPr>
          </w:p>
        </w:tc>
      </w:tr>
    </w:tbl>
    <w:p w14:paraId="2C1D7C57">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0237F106">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引导学生树立关心现实教育需求、关怀儿童的理念；弘扬师德师爱，增强儿童权益保护意识；强化儿童教育的法制观念，认识到教师自身专业职责，做家庭教育政策的贯彻着和践行者；厚植中华优秀传统文化，宣传优良家教家风家训等文化；立足人口政策现实，积极为家庭提供教育指导服务。</w:t>
      </w:r>
    </w:p>
    <w:p w14:paraId="3726175F">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290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B5B671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0C8EA41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5739CBD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5F4CD30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2147FBE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6196756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6423A12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45EA24B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0EE1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837446D">
            <w:pPr>
              <w:spacing w:line="264" w:lineRule="auto"/>
              <w:jc w:val="center"/>
              <w:rPr>
                <w:rFonts w:hint="eastAsia" w:ascii="宋体" w:hAnsi="宋体" w:eastAsia="宋体" w:cs="Times New Roman"/>
                <w:color w:val="000000"/>
                <w:szCs w:val="21"/>
              </w:rPr>
            </w:pPr>
          </w:p>
          <w:p w14:paraId="3B48CADC">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1.“家校社合作共育”概述</w:t>
            </w:r>
          </w:p>
          <w:p w14:paraId="729B3BC7">
            <w:pPr>
              <w:spacing w:line="264" w:lineRule="auto"/>
              <w:jc w:val="center"/>
              <w:rPr>
                <w:rFonts w:hint="eastAsia" w:ascii="宋体" w:hAnsi="宋体" w:eastAsia="宋体" w:cs="Times New Roman"/>
                <w:color w:val="000000"/>
                <w:szCs w:val="21"/>
              </w:rPr>
            </w:pPr>
          </w:p>
          <w:p w14:paraId="485123AC">
            <w:pPr>
              <w:spacing w:line="264" w:lineRule="auto"/>
              <w:jc w:val="center"/>
              <w:rPr>
                <w:rFonts w:hint="eastAsia" w:ascii="宋体" w:hAnsi="宋体" w:eastAsia="宋体" w:cs="Times New Roman"/>
                <w:color w:val="000000"/>
                <w:szCs w:val="21"/>
              </w:rPr>
            </w:pPr>
          </w:p>
        </w:tc>
        <w:tc>
          <w:tcPr>
            <w:tcW w:w="1701" w:type="dxa"/>
            <w:vAlign w:val="center"/>
          </w:tcPr>
          <w:p w14:paraId="6BD26A5A">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（1）“家校社合作共育”课程介绍</w:t>
            </w:r>
          </w:p>
          <w:p w14:paraId="0246FBFB">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（2）学习“家校社合作共育”的意义和方法</w:t>
            </w:r>
          </w:p>
        </w:tc>
        <w:tc>
          <w:tcPr>
            <w:tcW w:w="1134" w:type="dxa"/>
            <w:vAlign w:val="center"/>
          </w:tcPr>
          <w:p w14:paraId="783D7444">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、6、8</w:t>
            </w:r>
          </w:p>
        </w:tc>
        <w:tc>
          <w:tcPr>
            <w:tcW w:w="3260" w:type="dxa"/>
            <w:vAlign w:val="center"/>
          </w:tcPr>
          <w:p w14:paraId="68A25BB9">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了解“家校社合作共育”这门课程的学科归属</w:t>
            </w:r>
          </w:p>
          <w:p w14:paraId="37A5C543">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能够理解“家校社合作共育”的意义、掌握其方法</w:t>
            </w:r>
          </w:p>
          <w:p w14:paraId="6D8D7B3F">
            <w:pPr>
              <w:spacing w:line="269" w:lineRule="auto"/>
              <w:jc w:val="left"/>
              <w:rPr>
                <w:rFonts w:hint="eastAsia" w:ascii="宋体" w:hAnsi="宋体" w:eastAsia="宋体" w:cs="Times New Roman"/>
                <w:color w:val="000000"/>
                <w:szCs w:val="21"/>
              </w:rPr>
            </w:pPr>
          </w:p>
        </w:tc>
        <w:tc>
          <w:tcPr>
            <w:tcW w:w="1560" w:type="dxa"/>
            <w:vAlign w:val="center"/>
          </w:tcPr>
          <w:p w14:paraId="67BE0CE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课堂讲授</w:t>
            </w:r>
          </w:p>
          <w:p w14:paraId="0102053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学生分享</w:t>
            </w:r>
          </w:p>
        </w:tc>
        <w:tc>
          <w:tcPr>
            <w:tcW w:w="438" w:type="dxa"/>
            <w:vAlign w:val="center"/>
          </w:tcPr>
          <w:p w14:paraId="458EB5C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325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A4ABFAD">
            <w:pPr>
              <w:spacing w:line="264" w:lineRule="auto"/>
              <w:jc w:val="center"/>
              <w:rPr>
                <w:rFonts w:hint="eastAsia" w:ascii="宋体" w:hAnsi="宋体" w:eastAsia="宋体" w:cs="Times New Roman"/>
                <w:color w:val="000000"/>
                <w:szCs w:val="21"/>
              </w:rPr>
            </w:pPr>
          </w:p>
        </w:tc>
        <w:tc>
          <w:tcPr>
            <w:tcW w:w="8093" w:type="dxa"/>
            <w:gridSpan w:val="5"/>
            <w:vAlign w:val="center"/>
          </w:tcPr>
          <w:p w14:paraId="50A849D5">
            <w:pPr>
              <w:snapToGrid w:val="0"/>
              <w:spacing w:line="360" w:lineRule="auto"/>
              <w:ind w:firstLine="413" w:firstLineChars="196"/>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家校社合作育人是社会主义教育价值观念的具体表现和集中反映，能够树立宏观的家校社合作育人的理念。 </w:t>
            </w:r>
          </w:p>
        </w:tc>
      </w:tr>
      <w:tr w14:paraId="3CBE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6F3AB28">
            <w:pPr>
              <w:spacing w:line="264" w:lineRule="auto"/>
              <w:jc w:val="center"/>
              <w:rPr>
                <w:rFonts w:hint="eastAsia" w:ascii="宋体" w:hAnsi="宋体" w:eastAsia="宋体" w:cs="Times New Roman"/>
                <w:color w:val="000000"/>
                <w:szCs w:val="21"/>
              </w:rPr>
            </w:pPr>
          </w:p>
          <w:p w14:paraId="6CF9F306">
            <w:pPr>
              <w:spacing w:line="264" w:lineRule="auto"/>
              <w:jc w:val="center"/>
              <w:rPr>
                <w:rFonts w:hint="eastAsia" w:ascii="宋体" w:hAnsi="宋体" w:eastAsia="宋体" w:cs="Times New Roman"/>
                <w:color w:val="000000"/>
                <w:szCs w:val="21"/>
              </w:rPr>
            </w:pPr>
          </w:p>
          <w:p w14:paraId="4BED10AF">
            <w:pPr>
              <w:snapToGrid w:val="0"/>
              <w:spacing w:line="360" w:lineRule="auto"/>
              <w:ind w:firstLine="411" w:firstLineChars="196"/>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中国家庭教育的现状与特点</w:t>
            </w:r>
          </w:p>
          <w:p w14:paraId="60A5EBCE">
            <w:pPr>
              <w:spacing w:line="264" w:lineRule="auto"/>
              <w:jc w:val="center"/>
              <w:rPr>
                <w:rFonts w:hint="eastAsia" w:ascii="宋体" w:hAnsi="宋体" w:eastAsia="宋体" w:cs="Times New Roman"/>
                <w:color w:val="000000"/>
                <w:szCs w:val="21"/>
              </w:rPr>
            </w:pPr>
          </w:p>
          <w:p w14:paraId="58541CB2">
            <w:pPr>
              <w:spacing w:line="264" w:lineRule="auto"/>
              <w:jc w:val="center"/>
              <w:rPr>
                <w:rFonts w:hint="eastAsia" w:ascii="宋体" w:hAnsi="宋体" w:eastAsia="宋体" w:cs="Times New Roman"/>
                <w:color w:val="000000"/>
                <w:szCs w:val="21"/>
              </w:rPr>
            </w:pPr>
          </w:p>
        </w:tc>
        <w:tc>
          <w:tcPr>
            <w:tcW w:w="1701" w:type="dxa"/>
            <w:vAlign w:val="center"/>
          </w:tcPr>
          <w:p w14:paraId="2DDDB0D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中国家庭教育的现状及特点：</w:t>
            </w:r>
            <w:r>
              <w:rPr>
                <w:rFonts w:ascii="宋体" w:hAnsi="宋体" w:eastAsia="宋体" w:cs="Times New Roman"/>
                <w:color w:val="000000"/>
                <w:szCs w:val="21"/>
              </w:rPr>
              <w:t>政府主导力度越来越大</w:t>
            </w:r>
            <w:r>
              <w:rPr>
                <w:rFonts w:hint="eastAsia" w:ascii="宋体" w:hAnsi="宋体" w:eastAsia="宋体" w:cs="Times New Roman"/>
                <w:color w:val="000000"/>
                <w:szCs w:val="21"/>
              </w:rPr>
              <w:t>；</w:t>
            </w:r>
            <w:r>
              <w:rPr>
                <w:rFonts w:ascii="宋体" w:hAnsi="宋体" w:eastAsia="宋体" w:cs="Times New Roman"/>
                <w:color w:val="000000"/>
                <w:szCs w:val="21"/>
              </w:rPr>
              <w:t>社会各方支持力度日趋加大</w:t>
            </w:r>
            <w:r>
              <w:rPr>
                <w:rFonts w:hint="eastAsia" w:ascii="宋体" w:hAnsi="宋体" w:eastAsia="宋体" w:cs="Times New Roman"/>
                <w:color w:val="000000"/>
                <w:szCs w:val="21"/>
              </w:rPr>
              <w:t>；</w:t>
            </w:r>
            <w:r>
              <w:rPr>
                <w:rFonts w:ascii="宋体" w:hAnsi="宋体" w:eastAsia="宋体" w:cs="Times New Roman"/>
                <w:color w:val="000000"/>
                <w:szCs w:val="21"/>
              </w:rPr>
              <w:t>家校社合作成为普遍追求</w:t>
            </w:r>
            <w:r>
              <w:rPr>
                <w:rFonts w:hint="eastAsia" w:ascii="宋体" w:hAnsi="宋体" w:eastAsia="宋体" w:cs="Times New Roman"/>
                <w:color w:val="000000"/>
                <w:szCs w:val="21"/>
              </w:rPr>
              <w:t>；</w:t>
            </w:r>
            <w:r>
              <w:rPr>
                <w:rFonts w:ascii="宋体" w:hAnsi="宋体" w:eastAsia="宋体" w:cs="Times New Roman"/>
                <w:color w:val="000000"/>
                <w:szCs w:val="21"/>
              </w:rPr>
              <w:t>家庭教育立法进入加速期</w:t>
            </w:r>
            <w:r>
              <w:rPr>
                <w:rFonts w:hint="eastAsia" w:ascii="宋体" w:hAnsi="宋体" w:eastAsia="宋体" w:cs="Times New Roman"/>
                <w:color w:val="000000"/>
                <w:szCs w:val="21"/>
              </w:rPr>
              <w:t>；</w:t>
            </w:r>
            <w:r>
              <w:rPr>
                <w:rFonts w:ascii="宋体" w:hAnsi="宋体" w:eastAsia="宋体" w:cs="Times New Roman"/>
                <w:color w:val="000000"/>
                <w:szCs w:val="21"/>
              </w:rPr>
              <w:t>强化父母的主体责任</w:t>
            </w:r>
            <w:r>
              <w:rPr>
                <w:rFonts w:hint="eastAsia" w:ascii="宋体" w:hAnsi="宋体" w:eastAsia="宋体" w:cs="Times New Roman"/>
                <w:color w:val="000000"/>
                <w:szCs w:val="21"/>
              </w:rPr>
              <w:t>；家</w:t>
            </w:r>
            <w:r>
              <w:rPr>
                <w:rFonts w:ascii="宋体" w:hAnsi="宋体" w:eastAsia="宋体" w:cs="Times New Roman"/>
                <w:color w:val="000000"/>
                <w:szCs w:val="21"/>
              </w:rPr>
              <w:t>庭教育指导进入新媒体时代</w:t>
            </w:r>
            <w:r>
              <w:rPr>
                <w:rFonts w:hint="eastAsia" w:ascii="宋体" w:hAnsi="宋体" w:eastAsia="宋体" w:cs="Times New Roman"/>
                <w:color w:val="000000"/>
                <w:szCs w:val="21"/>
              </w:rPr>
              <w:t>；</w:t>
            </w:r>
            <w:r>
              <w:rPr>
                <w:rFonts w:ascii="宋体" w:hAnsi="宋体" w:eastAsia="宋体" w:cs="Times New Roman"/>
                <w:color w:val="000000"/>
                <w:szCs w:val="21"/>
              </w:rPr>
              <w:t>家文化开始复兴</w:t>
            </w:r>
            <w:r>
              <w:rPr>
                <w:rFonts w:hint="eastAsia" w:ascii="宋体" w:hAnsi="宋体" w:eastAsia="宋体" w:cs="Times New Roman"/>
                <w:color w:val="000000"/>
                <w:szCs w:val="21"/>
              </w:rPr>
              <w:t>。</w:t>
            </w:r>
          </w:p>
        </w:tc>
        <w:tc>
          <w:tcPr>
            <w:tcW w:w="1134" w:type="dxa"/>
            <w:vAlign w:val="center"/>
          </w:tcPr>
          <w:p w14:paraId="2CD69362">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3EE0D79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了解中国现阶段家庭教育的现状，领会家庭教育特点。</w:t>
            </w:r>
          </w:p>
        </w:tc>
        <w:tc>
          <w:tcPr>
            <w:tcW w:w="1560" w:type="dxa"/>
            <w:vAlign w:val="center"/>
          </w:tcPr>
          <w:p w14:paraId="52BA9BA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案例观摩</w:t>
            </w:r>
          </w:p>
          <w:p w14:paraId="5BF26EE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小组讨论</w:t>
            </w:r>
          </w:p>
        </w:tc>
        <w:tc>
          <w:tcPr>
            <w:tcW w:w="438" w:type="dxa"/>
            <w:vAlign w:val="center"/>
          </w:tcPr>
          <w:p w14:paraId="7E95327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5408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D5CC4C0">
            <w:pPr>
              <w:spacing w:line="264" w:lineRule="auto"/>
              <w:jc w:val="center"/>
              <w:rPr>
                <w:rFonts w:hint="eastAsia" w:ascii="宋体" w:hAnsi="宋体" w:eastAsia="宋体" w:cs="Times New Roman"/>
                <w:color w:val="000000"/>
                <w:szCs w:val="21"/>
              </w:rPr>
            </w:pPr>
          </w:p>
        </w:tc>
        <w:tc>
          <w:tcPr>
            <w:tcW w:w="8093" w:type="dxa"/>
            <w:gridSpan w:val="5"/>
            <w:vAlign w:val="center"/>
          </w:tcPr>
          <w:p w14:paraId="6AF4FFDF">
            <w:pPr>
              <w:snapToGrid w:val="0"/>
              <w:spacing w:line="360" w:lineRule="auto"/>
              <w:ind w:firstLine="413" w:firstLineChars="196"/>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树立关心现实教育需求、关怀儿童的教育理念，形成调查研究的教学与研究习惯，基于事实能够科学地开展自己的教育教学工作。</w:t>
            </w:r>
          </w:p>
        </w:tc>
      </w:tr>
      <w:tr w14:paraId="3CF3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5825EA1">
            <w:pPr>
              <w:spacing w:line="264" w:lineRule="auto"/>
              <w:jc w:val="center"/>
              <w:rPr>
                <w:rFonts w:hint="eastAsia" w:ascii="宋体" w:hAnsi="宋体" w:eastAsia="宋体" w:cs="Times New Roman"/>
                <w:color w:val="000000"/>
                <w:szCs w:val="21"/>
              </w:rPr>
            </w:pPr>
          </w:p>
          <w:p w14:paraId="2575310A">
            <w:pPr>
              <w:snapToGrid w:val="0"/>
              <w:spacing w:line="360" w:lineRule="auto"/>
              <w:rPr>
                <w:rFonts w:hint="eastAsia" w:ascii="宋体" w:hAnsi="宋体" w:eastAsia="宋体" w:cs="Times New Roman"/>
                <w:color w:val="000000"/>
                <w:sz w:val="24"/>
              </w:rPr>
            </w:pPr>
            <w:r>
              <w:rPr>
                <w:rFonts w:hint="eastAsia" w:ascii="宋体" w:hAnsi="宋体" w:eastAsia="宋体" w:cs="Times New Roman"/>
                <w:color w:val="000000"/>
                <w:szCs w:val="21"/>
              </w:rPr>
              <w:t>3.</w:t>
            </w:r>
            <w:r>
              <w:rPr>
                <w:rFonts w:ascii="宋体" w:hAnsi="宋体" w:eastAsia="宋体" w:cs="Times New Roman"/>
                <w:color w:val="000000"/>
                <w:szCs w:val="21"/>
              </w:rPr>
              <w:t>家庭教育理论的发展与创新</w:t>
            </w:r>
          </w:p>
          <w:p w14:paraId="1BE70B80">
            <w:pPr>
              <w:spacing w:line="264" w:lineRule="auto"/>
              <w:jc w:val="center"/>
              <w:rPr>
                <w:rFonts w:hint="eastAsia" w:ascii="宋体" w:hAnsi="宋体" w:eastAsia="宋体" w:cs="Times New Roman"/>
                <w:color w:val="000000"/>
                <w:szCs w:val="21"/>
              </w:rPr>
            </w:pPr>
          </w:p>
          <w:p w14:paraId="09B0F031">
            <w:pPr>
              <w:spacing w:line="264" w:lineRule="auto"/>
              <w:jc w:val="center"/>
              <w:rPr>
                <w:rFonts w:hint="eastAsia" w:ascii="宋体" w:hAnsi="宋体" w:eastAsia="宋体" w:cs="Times New Roman"/>
                <w:color w:val="000000"/>
                <w:szCs w:val="21"/>
              </w:rPr>
            </w:pPr>
          </w:p>
          <w:p w14:paraId="63FB2E3D">
            <w:pPr>
              <w:spacing w:line="264" w:lineRule="auto"/>
              <w:jc w:val="center"/>
              <w:rPr>
                <w:rFonts w:hint="eastAsia" w:ascii="宋体" w:hAnsi="宋体" w:eastAsia="宋体" w:cs="Times New Roman"/>
                <w:color w:val="000000"/>
                <w:szCs w:val="21"/>
              </w:rPr>
            </w:pPr>
          </w:p>
        </w:tc>
        <w:tc>
          <w:tcPr>
            <w:tcW w:w="1701" w:type="dxa"/>
            <w:vAlign w:val="center"/>
          </w:tcPr>
          <w:p w14:paraId="3629BAF8">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家庭教育理论中的核心概念与基本内容</w:t>
            </w:r>
          </w:p>
          <w:p w14:paraId="79F689A4">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不同阶段的家庭教育理论发展</w:t>
            </w:r>
          </w:p>
          <w:p w14:paraId="020B58B6">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当代家庭教育理论的新发展</w:t>
            </w:r>
          </w:p>
          <w:p w14:paraId="0856E29C">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家庭教育理论发展存在的主要问题</w:t>
            </w:r>
          </w:p>
          <w:p w14:paraId="08403FC3">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家庭教育理论的研究趋势</w:t>
            </w:r>
          </w:p>
        </w:tc>
        <w:tc>
          <w:tcPr>
            <w:tcW w:w="1134" w:type="dxa"/>
            <w:vAlign w:val="center"/>
          </w:tcPr>
          <w:p w14:paraId="23DAD215">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1CBA2755">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（1）掌握</w:t>
            </w:r>
            <w:r>
              <w:rPr>
                <w:rFonts w:ascii="宋体" w:hAnsi="宋体" w:eastAsia="宋体" w:cs="Times New Roman"/>
                <w:color w:val="000000"/>
                <w:szCs w:val="21"/>
              </w:rPr>
              <w:t>家庭教育理论中的核心概念与基本内容</w:t>
            </w:r>
          </w:p>
          <w:p w14:paraId="2C83A133">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（2）理解</w:t>
            </w:r>
            <w:r>
              <w:rPr>
                <w:rFonts w:ascii="宋体" w:hAnsi="宋体" w:eastAsia="宋体" w:cs="Times New Roman"/>
                <w:color w:val="000000"/>
                <w:szCs w:val="21"/>
              </w:rPr>
              <w:t>不同阶段的家庭教育理论发展</w:t>
            </w:r>
          </w:p>
          <w:p w14:paraId="50CBF9A4">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（3）了解</w:t>
            </w:r>
            <w:r>
              <w:rPr>
                <w:rFonts w:ascii="宋体" w:hAnsi="宋体" w:eastAsia="宋体" w:cs="Times New Roman"/>
                <w:color w:val="000000"/>
                <w:szCs w:val="21"/>
              </w:rPr>
              <w:t>当代家庭教育理论的新发展</w:t>
            </w:r>
          </w:p>
          <w:p w14:paraId="3C34F9CC">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（4）了解</w:t>
            </w:r>
            <w:r>
              <w:rPr>
                <w:rFonts w:ascii="宋体" w:hAnsi="宋体" w:eastAsia="宋体" w:cs="Times New Roman"/>
                <w:color w:val="000000"/>
                <w:szCs w:val="21"/>
              </w:rPr>
              <w:t>家庭教育理论发展存在的主要问题</w:t>
            </w:r>
          </w:p>
          <w:p w14:paraId="575FCC3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（5）了解</w:t>
            </w:r>
            <w:r>
              <w:rPr>
                <w:rFonts w:ascii="宋体" w:hAnsi="宋体" w:eastAsia="宋体" w:cs="Times New Roman"/>
                <w:color w:val="000000"/>
                <w:szCs w:val="21"/>
              </w:rPr>
              <w:t>家庭教育理论的研究趋势</w:t>
            </w:r>
          </w:p>
        </w:tc>
        <w:tc>
          <w:tcPr>
            <w:tcW w:w="1560" w:type="dxa"/>
            <w:vAlign w:val="center"/>
          </w:tcPr>
          <w:p w14:paraId="11295FC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课堂讲授</w:t>
            </w:r>
          </w:p>
          <w:p w14:paraId="7B4BFEF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学生分享</w:t>
            </w:r>
          </w:p>
        </w:tc>
        <w:tc>
          <w:tcPr>
            <w:tcW w:w="438" w:type="dxa"/>
            <w:vAlign w:val="center"/>
          </w:tcPr>
          <w:p w14:paraId="2D80B02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4B0E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BD824C1">
            <w:pPr>
              <w:spacing w:line="264" w:lineRule="auto"/>
              <w:jc w:val="center"/>
              <w:rPr>
                <w:rFonts w:hint="eastAsia" w:ascii="宋体" w:hAnsi="宋体" w:eastAsia="宋体" w:cs="Times New Roman"/>
                <w:color w:val="000000"/>
                <w:szCs w:val="21"/>
              </w:rPr>
            </w:pPr>
          </w:p>
        </w:tc>
        <w:tc>
          <w:tcPr>
            <w:tcW w:w="8093" w:type="dxa"/>
            <w:gridSpan w:val="5"/>
            <w:vAlign w:val="center"/>
          </w:tcPr>
          <w:p w14:paraId="5E06EF15">
            <w:pPr>
              <w:snapToGrid w:val="0"/>
              <w:spacing w:line="360" w:lineRule="auto"/>
              <w:ind w:firstLine="413" w:firstLineChars="196"/>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胸怀家国、关注中国现实，形成调查研究的教学与研究习惯，基于事实能够科学地开展自己的教育教学工作。</w:t>
            </w:r>
          </w:p>
        </w:tc>
      </w:tr>
      <w:tr w14:paraId="5F13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BE567E">
            <w:pPr>
              <w:snapToGrid w:val="0"/>
              <w:spacing w:line="360" w:lineRule="auto"/>
              <w:rPr>
                <w:rFonts w:hint="eastAsia" w:ascii="宋体" w:hAnsi="宋体" w:eastAsia="宋体" w:cs="Times New Roman"/>
                <w:b/>
                <w:bCs/>
                <w:color w:val="000000"/>
                <w:sz w:val="24"/>
              </w:rPr>
            </w:pPr>
            <w:r>
              <w:rPr>
                <w:rFonts w:hint="eastAsia" w:ascii="宋体" w:hAnsi="宋体" w:eastAsia="宋体" w:cs="Times New Roman"/>
                <w:color w:val="000000"/>
                <w:szCs w:val="21"/>
              </w:rPr>
              <w:t>4.</w:t>
            </w:r>
            <w:r>
              <w:rPr>
                <w:rFonts w:ascii="宋体" w:hAnsi="宋体" w:eastAsia="宋体" w:cs="Times New Roman"/>
                <w:color w:val="000000"/>
                <w:szCs w:val="21"/>
              </w:rPr>
              <w:t>家庭教育的立法进程</w:t>
            </w:r>
          </w:p>
          <w:p w14:paraId="2B08E070">
            <w:pPr>
              <w:spacing w:line="276" w:lineRule="auto"/>
              <w:jc w:val="center"/>
              <w:rPr>
                <w:rFonts w:hint="eastAsia" w:ascii="宋体" w:hAnsi="宋体" w:eastAsia="宋体" w:cs="Times New Roman"/>
                <w:color w:val="000000"/>
                <w:szCs w:val="21"/>
              </w:rPr>
            </w:pPr>
          </w:p>
        </w:tc>
        <w:tc>
          <w:tcPr>
            <w:tcW w:w="1701" w:type="dxa"/>
            <w:vAlign w:val="center"/>
          </w:tcPr>
          <w:p w14:paraId="0E96F92A">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家庭教育法的背景和意义</w:t>
            </w:r>
          </w:p>
          <w:p w14:paraId="50E176E1">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家庭教育立法的现状与进展</w:t>
            </w:r>
          </w:p>
          <w:p w14:paraId="749A7F89">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制定家庭教育法的思路与重点</w:t>
            </w:r>
          </w:p>
        </w:tc>
        <w:tc>
          <w:tcPr>
            <w:tcW w:w="1134" w:type="dxa"/>
            <w:vAlign w:val="center"/>
          </w:tcPr>
          <w:p w14:paraId="661B96E4">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4B7886DD">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了解《</w:t>
            </w:r>
            <w:r>
              <w:rPr>
                <w:rFonts w:ascii="宋体" w:hAnsi="宋体" w:eastAsia="宋体" w:cs="Times New Roman"/>
                <w:color w:val="000000"/>
                <w:szCs w:val="21"/>
              </w:rPr>
              <w:t>家庭教育</w:t>
            </w:r>
            <w:r>
              <w:rPr>
                <w:rFonts w:hint="eastAsia" w:ascii="宋体" w:hAnsi="宋体" w:eastAsia="宋体" w:cs="Times New Roman"/>
                <w:color w:val="000000"/>
                <w:szCs w:val="21"/>
              </w:rPr>
              <w:t>促进</w:t>
            </w:r>
            <w:r>
              <w:rPr>
                <w:rFonts w:ascii="宋体" w:hAnsi="宋体" w:eastAsia="宋体" w:cs="Times New Roman"/>
                <w:color w:val="000000"/>
                <w:szCs w:val="21"/>
              </w:rPr>
              <w:t>法</w:t>
            </w:r>
            <w:r>
              <w:rPr>
                <w:rFonts w:hint="eastAsia" w:ascii="宋体" w:hAnsi="宋体" w:eastAsia="宋体" w:cs="Times New Roman"/>
                <w:color w:val="000000"/>
                <w:szCs w:val="21"/>
              </w:rPr>
              <w:t>》等国家立法</w:t>
            </w:r>
            <w:r>
              <w:rPr>
                <w:rFonts w:ascii="宋体" w:hAnsi="宋体" w:eastAsia="宋体" w:cs="Times New Roman"/>
                <w:color w:val="000000"/>
                <w:szCs w:val="21"/>
              </w:rPr>
              <w:t>背景和意义</w:t>
            </w:r>
          </w:p>
          <w:p w14:paraId="69DAA48C">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明确我国</w:t>
            </w:r>
            <w:r>
              <w:rPr>
                <w:rFonts w:ascii="宋体" w:hAnsi="宋体" w:eastAsia="宋体" w:cs="Times New Roman"/>
                <w:color w:val="000000"/>
                <w:szCs w:val="21"/>
              </w:rPr>
              <w:t>家庭教育立法的现状与进展</w:t>
            </w:r>
          </w:p>
          <w:p w14:paraId="03E78E04">
            <w:pPr>
              <w:snapToGrid w:val="0"/>
              <w:spacing w:line="360" w:lineRule="auto"/>
              <w:rPr>
                <w:rFonts w:hint="eastAsia" w:ascii="宋体" w:hAnsi="宋体" w:eastAsia="宋体" w:cs="Times New Roman"/>
                <w:color w:val="000000"/>
                <w:sz w:val="24"/>
              </w:rPr>
            </w:pPr>
            <w:r>
              <w:rPr>
                <w:rFonts w:ascii="宋体" w:hAnsi="宋体" w:eastAsia="宋体" w:cs="Times New Roman"/>
                <w:color w:val="000000"/>
                <w:szCs w:val="21"/>
              </w:rPr>
              <w:t>（</w:t>
            </w: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理解我国</w:t>
            </w:r>
            <w:r>
              <w:rPr>
                <w:rFonts w:ascii="宋体" w:hAnsi="宋体" w:eastAsia="宋体" w:cs="Times New Roman"/>
                <w:color w:val="000000"/>
                <w:szCs w:val="21"/>
              </w:rPr>
              <w:t>制定家庭教育法的思路与重点</w:t>
            </w:r>
          </w:p>
          <w:p w14:paraId="653FEC4B">
            <w:pPr>
              <w:spacing w:line="276" w:lineRule="auto"/>
              <w:jc w:val="left"/>
              <w:rPr>
                <w:rFonts w:hint="eastAsia" w:ascii="宋体" w:hAnsi="宋体" w:eastAsia="宋体" w:cs="Times New Roman"/>
                <w:color w:val="000000"/>
                <w:szCs w:val="21"/>
              </w:rPr>
            </w:pPr>
          </w:p>
        </w:tc>
        <w:tc>
          <w:tcPr>
            <w:tcW w:w="1560" w:type="dxa"/>
            <w:vAlign w:val="center"/>
          </w:tcPr>
          <w:p w14:paraId="6058E5F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自我学习</w:t>
            </w:r>
          </w:p>
          <w:p w14:paraId="4D7B241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课堂分享</w:t>
            </w:r>
          </w:p>
        </w:tc>
        <w:tc>
          <w:tcPr>
            <w:tcW w:w="438" w:type="dxa"/>
            <w:vAlign w:val="center"/>
          </w:tcPr>
          <w:p w14:paraId="0823C39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ADC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9DA7EA6">
            <w:pPr>
              <w:spacing w:line="276" w:lineRule="auto"/>
              <w:jc w:val="center"/>
              <w:rPr>
                <w:rFonts w:hint="eastAsia" w:ascii="宋体" w:hAnsi="宋体" w:eastAsia="宋体" w:cs="Times New Roman"/>
                <w:color w:val="000000"/>
                <w:szCs w:val="21"/>
              </w:rPr>
            </w:pPr>
          </w:p>
        </w:tc>
        <w:tc>
          <w:tcPr>
            <w:tcW w:w="8093" w:type="dxa"/>
            <w:gridSpan w:val="5"/>
            <w:vAlign w:val="center"/>
          </w:tcPr>
          <w:p w14:paraId="1E3964CC">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树立儿童教育法制观念，明确自身教师家庭教育指导的责任，能够成为国家家庭教育政策的贯彻者和践行者。 </w:t>
            </w:r>
          </w:p>
        </w:tc>
      </w:tr>
      <w:tr w14:paraId="7B45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ECB80D6">
            <w:pPr>
              <w:snapToGrid w:val="0"/>
              <w:spacing w:line="360" w:lineRule="auto"/>
              <w:ind w:firstLine="621" w:firstLineChars="296"/>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中国家庭教育中的儿童权利保护</w:t>
            </w:r>
          </w:p>
          <w:p w14:paraId="001A4A51">
            <w:pPr>
              <w:spacing w:line="276" w:lineRule="auto"/>
              <w:jc w:val="center"/>
              <w:rPr>
                <w:rFonts w:hint="eastAsia" w:ascii="宋体" w:hAnsi="宋体" w:eastAsia="宋体" w:cs="Times New Roman"/>
                <w:color w:val="000000"/>
                <w:szCs w:val="21"/>
              </w:rPr>
            </w:pPr>
          </w:p>
        </w:tc>
        <w:tc>
          <w:tcPr>
            <w:tcW w:w="1701" w:type="dxa"/>
            <w:vAlign w:val="center"/>
          </w:tcPr>
          <w:p w14:paraId="0BA1BE3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中国儿童权利及其家庭教育中的权利保护</w:t>
            </w:r>
          </w:p>
        </w:tc>
        <w:tc>
          <w:tcPr>
            <w:tcW w:w="1134" w:type="dxa"/>
            <w:vAlign w:val="center"/>
          </w:tcPr>
          <w:p w14:paraId="570B5E68">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6A31B1DB">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（1）明确我国</w:t>
            </w:r>
            <w:r>
              <w:rPr>
                <w:rFonts w:ascii="宋体" w:hAnsi="宋体" w:eastAsia="宋体" w:cs="Times New Roman"/>
                <w:color w:val="000000"/>
                <w:szCs w:val="21"/>
              </w:rPr>
              <w:t>政策和法规</w:t>
            </w:r>
            <w:r>
              <w:rPr>
                <w:rFonts w:hint="eastAsia" w:ascii="宋体" w:hAnsi="宋体" w:eastAsia="宋体" w:cs="Times New Roman"/>
                <w:color w:val="000000"/>
                <w:szCs w:val="21"/>
              </w:rPr>
              <w:t>规定的儿童权利及其教师责任</w:t>
            </w:r>
          </w:p>
          <w:p w14:paraId="0F8119AB">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（2）能够通过自身行动贯彻落实我国儿童权利保护</w:t>
            </w:r>
          </w:p>
          <w:p w14:paraId="66C2794E">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）学会指导</w:t>
            </w:r>
            <w:r>
              <w:rPr>
                <w:rFonts w:ascii="宋体" w:hAnsi="宋体" w:eastAsia="宋体" w:cs="Times New Roman"/>
                <w:color w:val="000000"/>
                <w:szCs w:val="21"/>
              </w:rPr>
              <w:t>家庭教育中的儿童权利保护</w:t>
            </w:r>
          </w:p>
        </w:tc>
        <w:tc>
          <w:tcPr>
            <w:tcW w:w="1560" w:type="dxa"/>
            <w:vAlign w:val="center"/>
          </w:tcPr>
          <w:p w14:paraId="4DB48A6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案例观摩</w:t>
            </w:r>
          </w:p>
        </w:tc>
        <w:tc>
          <w:tcPr>
            <w:tcW w:w="438" w:type="dxa"/>
            <w:vAlign w:val="center"/>
          </w:tcPr>
          <w:p w14:paraId="222EDF9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2461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ADCDDE5">
            <w:pPr>
              <w:spacing w:line="276" w:lineRule="auto"/>
              <w:jc w:val="center"/>
              <w:rPr>
                <w:rFonts w:hint="eastAsia" w:ascii="宋体" w:hAnsi="宋体" w:eastAsia="宋体" w:cs="Times New Roman"/>
                <w:color w:val="000000"/>
                <w:szCs w:val="21"/>
              </w:rPr>
            </w:pPr>
          </w:p>
        </w:tc>
        <w:tc>
          <w:tcPr>
            <w:tcW w:w="8093" w:type="dxa"/>
            <w:gridSpan w:val="5"/>
            <w:vAlign w:val="center"/>
          </w:tcPr>
          <w:p w14:paraId="46396EEF">
            <w:pPr>
              <w:snapToGrid w:val="0"/>
              <w:spacing w:line="36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树立正确的儿童观，树立儿童权利保护意识、教育法律观念，强化教师职业信念，弘扬师德、师爱，爱护儿童，帮助儿童健康快乐成长。</w:t>
            </w:r>
          </w:p>
        </w:tc>
      </w:tr>
      <w:tr w14:paraId="3DAE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2DE6E97">
            <w:pPr>
              <w:snapToGrid w:val="0"/>
              <w:spacing w:line="360" w:lineRule="auto"/>
              <w:rPr>
                <w:rFonts w:hint="eastAsia" w:ascii="宋体" w:hAnsi="宋体" w:eastAsia="宋体" w:cs="Times New Roman"/>
                <w:b/>
                <w:bCs/>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独生子女和二孩政策</w:t>
            </w:r>
            <w:r>
              <w:rPr>
                <w:rFonts w:hint="eastAsia" w:ascii="宋体" w:hAnsi="宋体" w:eastAsia="宋体" w:cs="Times New Roman"/>
                <w:color w:val="000000"/>
                <w:szCs w:val="21"/>
              </w:rPr>
              <w:t>及其对</w:t>
            </w:r>
            <w:r>
              <w:rPr>
                <w:rFonts w:ascii="宋体" w:hAnsi="宋体" w:eastAsia="宋体" w:cs="Times New Roman"/>
                <w:color w:val="000000"/>
                <w:szCs w:val="21"/>
              </w:rPr>
              <w:t>家庭教育的影响</w:t>
            </w:r>
          </w:p>
          <w:p w14:paraId="3A4571F8">
            <w:pPr>
              <w:spacing w:line="276" w:lineRule="auto"/>
              <w:jc w:val="center"/>
              <w:rPr>
                <w:rFonts w:hint="eastAsia" w:ascii="宋体" w:hAnsi="宋体" w:eastAsia="宋体" w:cs="Times New Roman"/>
                <w:color w:val="000000"/>
                <w:szCs w:val="21"/>
              </w:rPr>
            </w:pPr>
          </w:p>
        </w:tc>
        <w:tc>
          <w:tcPr>
            <w:tcW w:w="1701" w:type="dxa"/>
            <w:vAlign w:val="center"/>
          </w:tcPr>
          <w:p w14:paraId="15320C24">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（1）家庭的结构类型</w:t>
            </w:r>
          </w:p>
          <w:p w14:paraId="3C087AC6">
            <w:pPr>
              <w:snapToGrid w:val="0"/>
              <w:spacing w:line="360" w:lineRule="auto"/>
              <w:rPr>
                <w:rFonts w:hint="eastAsia" w:ascii="宋体" w:hAnsi="宋体" w:eastAsia="宋体" w:cs="Times New Roman"/>
                <w:color w:val="000000"/>
                <w:sz w:val="24"/>
              </w:rPr>
            </w:pPr>
            <w:r>
              <w:rPr>
                <w:rFonts w:hint="eastAsia" w:ascii="宋体" w:hAnsi="宋体" w:eastAsia="宋体" w:cs="Times New Roman"/>
                <w:color w:val="000000"/>
                <w:szCs w:val="21"/>
              </w:rPr>
              <w:t>（2）现阶段少子化时代的家庭教育现状</w:t>
            </w:r>
          </w:p>
        </w:tc>
        <w:tc>
          <w:tcPr>
            <w:tcW w:w="1134" w:type="dxa"/>
            <w:vAlign w:val="center"/>
          </w:tcPr>
          <w:p w14:paraId="2C5AD286">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334B3B4B">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（1）掌握家庭的结构类型</w:t>
            </w:r>
          </w:p>
          <w:p w14:paraId="682E7333">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（2）了解现阶段少子化时代特点：独生子女和二孩政策</w:t>
            </w:r>
          </w:p>
          <w:p w14:paraId="59066C41">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（3）家庭教育的结构动力学分析及思考</w:t>
            </w:r>
          </w:p>
        </w:tc>
        <w:tc>
          <w:tcPr>
            <w:tcW w:w="1560" w:type="dxa"/>
            <w:vAlign w:val="center"/>
          </w:tcPr>
          <w:p w14:paraId="6673D5B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学生分享</w:t>
            </w:r>
          </w:p>
        </w:tc>
        <w:tc>
          <w:tcPr>
            <w:tcW w:w="438" w:type="dxa"/>
            <w:vAlign w:val="center"/>
          </w:tcPr>
          <w:p w14:paraId="04DA16F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EB3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F3062F2">
            <w:pPr>
              <w:spacing w:line="276" w:lineRule="auto"/>
              <w:jc w:val="center"/>
              <w:rPr>
                <w:rFonts w:hint="eastAsia" w:ascii="宋体" w:hAnsi="宋体" w:eastAsia="宋体" w:cs="Times New Roman"/>
                <w:color w:val="000000"/>
                <w:szCs w:val="21"/>
              </w:rPr>
            </w:pPr>
          </w:p>
        </w:tc>
        <w:tc>
          <w:tcPr>
            <w:tcW w:w="8093" w:type="dxa"/>
            <w:gridSpan w:val="5"/>
            <w:vAlign w:val="center"/>
          </w:tcPr>
          <w:p w14:paraId="2E50D979">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胸怀家国、关注现实，责任担当，能够认识到自身的教师社会责任。</w:t>
            </w:r>
          </w:p>
        </w:tc>
      </w:tr>
      <w:tr w14:paraId="7BCC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0A65315">
            <w:pPr>
              <w:snapToGrid w:val="0"/>
              <w:spacing w:line="360" w:lineRule="auto"/>
              <w:rPr>
                <w:rFonts w:hint="eastAsia" w:ascii="宋体" w:hAnsi="宋体" w:eastAsia="宋体" w:cs="Times New Roman"/>
                <w:color w:val="000000"/>
                <w:szCs w:val="21"/>
              </w:rPr>
            </w:pPr>
            <w:r>
              <w:rPr>
                <w:rFonts w:hint="eastAsia" w:ascii="宋体" w:hAnsi="宋体" w:eastAsia="宋体" w:cs="Times New Roman"/>
                <w:szCs w:val="21"/>
              </w:rPr>
              <w:t>7.</w:t>
            </w:r>
            <w:r>
              <w:rPr>
                <w:rFonts w:ascii="宋体" w:hAnsi="宋体" w:eastAsia="宋体" w:cs="Times New Roman"/>
                <w:color w:val="000000"/>
                <w:szCs w:val="21"/>
              </w:rPr>
              <w:t>家庭中祖辈参与教养的现状与特点</w:t>
            </w:r>
          </w:p>
          <w:p w14:paraId="07CDFF82">
            <w:pPr>
              <w:spacing w:line="276" w:lineRule="auto"/>
              <w:jc w:val="center"/>
              <w:rPr>
                <w:rFonts w:hint="eastAsia" w:ascii="宋体" w:hAnsi="宋体" w:eastAsia="宋体" w:cs="Times New Roman"/>
                <w:szCs w:val="21"/>
              </w:rPr>
            </w:pPr>
          </w:p>
        </w:tc>
        <w:tc>
          <w:tcPr>
            <w:tcW w:w="1701" w:type="dxa"/>
            <w:vAlign w:val="center"/>
          </w:tcPr>
          <w:p w14:paraId="04CFDE85">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家庭中常见的家庭教养模式</w:t>
            </w:r>
          </w:p>
          <w:p w14:paraId="35984D73">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家庭教养中祖辈参与</w:t>
            </w:r>
            <w:r>
              <w:rPr>
                <w:rFonts w:hint="eastAsia" w:ascii="宋体" w:hAnsi="宋体" w:eastAsia="宋体" w:cs="Times New Roman"/>
                <w:color w:val="000000"/>
                <w:szCs w:val="21"/>
              </w:rPr>
              <w:t>教养的意义、现状、问题及建议</w:t>
            </w:r>
          </w:p>
        </w:tc>
        <w:tc>
          <w:tcPr>
            <w:tcW w:w="1134" w:type="dxa"/>
            <w:vAlign w:val="center"/>
          </w:tcPr>
          <w:p w14:paraId="2EE00EA8">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649F04F7">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掌握</w:t>
            </w:r>
            <w:r>
              <w:rPr>
                <w:rFonts w:ascii="宋体" w:hAnsi="宋体" w:eastAsia="宋体" w:cs="Times New Roman"/>
                <w:color w:val="000000"/>
                <w:szCs w:val="21"/>
              </w:rPr>
              <w:t>家庭中常见的家庭教养模式</w:t>
            </w:r>
          </w:p>
          <w:p w14:paraId="438E71F0">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理解</w:t>
            </w:r>
            <w:r>
              <w:rPr>
                <w:rFonts w:ascii="宋体" w:hAnsi="宋体" w:eastAsia="宋体" w:cs="Times New Roman"/>
                <w:color w:val="000000"/>
                <w:szCs w:val="21"/>
              </w:rPr>
              <w:t>中国家庭教养中祖辈参与教养的</w:t>
            </w:r>
            <w:r>
              <w:rPr>
                <w:rFonts w:hint="eastAsia" w:ascii="宋体" w:hAnsi="宋体" w:eastAsia="宋体" w:cs="Times New Roman"/>
                <w:color w:val="000000"/>
                <w:szCs w:val="21"/>
              </w:rPr>
              <w:t>意义、</w:t>
            </w:r>
            <w:r>
              <w:rPr>
                <w:rFonts w:ascii="宋体" w:hAnsi="宋体" w:eastAsia="宋体" w:cs="Times New Roman"/>
                <w:color w:val="000000"/>
                <w:szCs w:val="21"/>
              </w:rPr>
              <w:t>现状、问题及建议</w:t>
            </w:r>
          </w:p>
        </w:tc>
        <w:tc>
          <w:tcPr>
            <w:tcW w:w="1560" w:type="dxa"/>
            <w:vAlign w:val="center"/>
          </w:tcPr>
          <w:p w14:paraId="4AB5E7D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学生分享</w:t>
            </w:r>
          </w:p>
        </w:tc>
        <w:tc>
          <w:tcPr>
            <w:tcW w:w="438" w:type="dxa"/>
            <w:vAlign w:val="center"/>
          </w:tcPr>
          <w:p w14:paraId="3F8C134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52E0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02144C">
            <w:pPr>
              <w:spacing w:line="276" w:lineRule="auto"/>
              <w:jc w:val="center"/>
              <w:rPr>
                <w:rFonts w:hint="eastAsia" w:ascii="宋体" w:hAnsi="宋体" w:eastAsia="宋体" w:cs="Times New Roman"/>
                <w:color w:val="000000"/>
                <w:szCs w:val="21"/>
              </w:rPr>
            </w:pPr>
          </w:p>
        </w:tc>
        <w:tc>
          <w:tcPr>
            <w:tcW w:w="8093" w:type="dxa"/>
            <w:gridSpan w:val="5"/>
            <w:vAlign w:val="center"/>
          </w:tcPr>
          <w:p w14:paraId="1BD198D4">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r>
              <w:rPr>
                <w:rFonts w:ascii="宋体" w:hAnsi="宋体" w:eastAsia="宋体" w:cs="Times New Roman"/>
                <w:color w:val="000000"/>
                <w:szCs w:val="21"/>
              </w:rPr>
              <w:t>胸怀家国、</w:t>
            </w:r>
            <w:r>
              <w:rPr>
                <w:rFonts w:hint="eastAsia" w:ascii="宋体" w:hAnsi="宋体" w:eastAsia="宋体" w:cs="Times New Roman"/>
                <w:color w:val="000000"/>
                <w:szCs w:val="21"/>
              </w:rPr>
              <w:t>关注现实，责任担当，能够认识到自身作为教师的社会责任。</w:t>
            </w:r>
          </w:p>
        </w:tc>
      </w:tr>
      <w:tr w14:paraId="3B8A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83250F">
            <w:pPr>
              <w:snapToGrid w:val="0"/>
              <w:spacing w:line="360" w:lineRule="auto"/>
              <w:rPr>
                <w:rFonts w:hint="eastAsia" w:ascii="宋体" w:hAnsi="宋体" w:eastAsia="宋体" w:cs="Times New Roman"/>
                <w:b/>
                <w:bCs/>
                <w:color w:val="000000"/>
                <w:sz w:val="24"/>
              </w:rPr>
            </w:pPr>
            <w:r>
              <w:rPr>
                <w:rFonts w:hint="eastAsia" w:ascii="宋体" w:hAnsi="宋体" w:eastAsia="宋体" w:cs="Times New Roman"/>
                <w:color w:val="000000"/>
                <w:szCs w:val="21"/>
              </w:rPr>
              <w:t>8.</w:t>
            </w:r>
            <w:r>
              <w:rPr>
                <w:rFonts w:ascii="宋体" w:hAnsi="宋体" w:eastAsia="宋体" w:cs="Times New Roman"/>
                <w:color w:val="000000"/>
                <w:szCs w:val="21"/>
              </w:rPr>
              <w:t>家风家训与中国传统家教文化的弘扬</w:t>
            </w:r>
          </w:p>
          <w:p w14:paraId="29315A1C">
            <w:pPr>
              <w:spacing w:line="264" w:lineRule="auto"/>
              <w:jc w:val="center"/>
              <w:rPr>
                <w:rFonts w:hint="eastAsia" w:ascii="宋体" w:hAnsi="宋体" w:eastAsia="宋体" w:cs="Times New Roman"/>
                <w:color w:val="000000"/>
                <w:szCs w:val="21"/>
              </w:rPr>
            </w:pPr>
          </w:p>
        </w:tc>
        <w:tc>
          <w:tcPr>
            <w:tcW w:w="1701" w:type="dxa"/>
            <w:vAlign w:val="center"/>
          </w:tcPr>
          <w:p w14:paraId="655ABDB6">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（1）中国传统家训文化及其研究进展</w:t>
            </w:r>
          </w:p>
          <w:p w14:paraId="652CCB47">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（2）中国优秀家风及其建设研究</w:t>
            </w:r>
          </w:p>
        </w:tc>
        <w:tc>
          <w:tcPr>
            <w:tcW w:w="1134" w:type="dxa"/>
            <w:vAlign w:val="center"/>
          </w:tcPr>
          <w:p w14:paraId="027F4CAC">
            <w:pPr>
              <w:spacing w:line="264"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68AD08D8">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理解中国传统家训文化及其研究进展</w:t>
            </w:r>
          </w:p>
          <w:p w14:paraId="513946AC">
            <w:pPr>
              <w:snapToGrid w:val="0"/>
              <w:spacing w:line="360" w:lineRule="auto"/>
              <w:rPr>
                <w:rFonts w:hint="eastAsia" w:ascii="宋体" w:hAnsi="宋体" w:eastAsia="宋体" w:cs="Times New Roman"/>
                <w:color w:val="000000"/>
                <w:sz w:val="24"/>
              </w:rPr>
            </w:pPr>
            <w:r>
              <w:rPr>
                <w:rFonts w:ascii="宋体" w:hAnsi="宋体" w:eastAsia="宋体" w:cs="Times New Roman"/>
                <w:color w:val="000000"/>
                <w:szCs w:val="21"/>
              </w:rPr>
              <w:t>（</w:t>
            </w:r>
            <w:r>
              <w:rPr>
                <w:rFonts w:hint="eastAsia" w:ascii="宋体" w:hAnsi="宋体" w:eastAsia="宋体" w:cs="Times New Roman"/>
                <w:color w:val="000000"/>
                <w:szCs w:val="21"/>
              </w:rPr>
              <w:t>2）理解中国优秀家风及其建设研究</w:t>
            </w:r>
          </w:p>
        </w:tc>
        <w:tc>
          <w:tcPr>
            <w:tcW w:w="1560" w:type="dxa"/>
            <w:vAlign w:val="center"/>
          </w:tcPr>
          <w:p w14:paraId="1D591D2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案例观摩</w:t>
            </w:r>
          </w:p>
          <w:p w14:paraId="7EC07E37">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39B6F96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2FA0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715D864">
            <w:pPr>
              <w:spacing w:line="264" w:lineRule="auto"/>
              <w:jc w:val="center"/>
              <w:rPr>
                <w:rFonts w:hint="eastAsia" w:ascii="宋体" w:hAnsi="宋体" w:eastAsia="宋体" w:cs="Times New Roman"/>
                <w:color w:val="000000"/>
                <w:szCs w:val="21"/>
              </w:rPr>
            </w:pPr>
          </w:p>
        </w:tc>
        <w:tc>
          <w:tcPr>
            <w:tcW w:w="8093" w:type="dxa"/>
            <w:gridSpan w:val="5"/>
            <w:vAlign w:val="center"/>
          </w:tcPr>
          <w:p w14:paraId="2C1B5536">
            <w:pPr>
              <w:snapToGrid w:val="0"/>
              <w:spacing w:line="36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植根中华优秀传统文化，厚植爱国主义情怀，传承中华优秀传统文化尤其是家教家风，为国育人、为党育人。</w:t>
            </w:r>
          </w:p>
        </w:tc>
      </w:tr>
      <w:tr w14:paraId="7963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6EA8D5C">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 w:val="18"/>
                <w:szCs w:val="18"/>
              </w:rPr>
              <w:t>9.</w:t>
            </w:r>
            <w:r>
              <w:rPr>
                <w:rFonts w:ascii="宋体" w:hAnsi="宋体" w:eastAsia="宋体" w:cs="Times New Roman"/>
                <w:color w:val="000000"/>
                <w:sz w:val="18"/>
                <w:szCs w:val="18"/>
              </w:rPr>
              <w:t>亲子共读实践</w:t>
            </w:r>
          </w:p>
        </w:tc>
        <w:tc>
          <w:tcPr>
            <w:tcW w:w="1701" w:type="dxa"/>
            <w:vAlign w:val="center"/>
          </w:tcPr>
          <w:p w14:paraId="2F3DCD80">
            <w:pPr>
              <w:snapToGrid w:val="0"/>
              <w:spacing w:line="360" w:lineRule="auto"/>
              <w:rPr>
                <w:rFonts w:hint="eastAsia" w:ascii="宋体" w:hAnsi="宋体" w:eastAsia="宋体" w:cs="Times New Roman"/>
                <w:color w:val="000000"/>
                <w:szCs w:val="21"/>
              </w:rPr>
            </w:pPr>
            <w:bookmarkStart w:id="164" w:name="_Hlk151567357"/>
            <w:r>
              <w:rPr>
                <w:rFonts w:hint="eastAsia" w:ascii="宋体" w:hAnsi="宋体" w:eastAsia="宋体" w:cs="Times New Roman"/>
                <w:color w:val="000000"/>
                <w:szCs w:val="21"/>
              </w:rPr>
              <w:t>（1）</w:t>
            </w:r>
            <w:r>
              <w:rPr>
                <w:rFonts w:ascii="宋体" w:hAnsi="宋体" w:eastAsia="宋体" w:cs="Times New Roman"/>
                <w:color w:val="000000"/>
                <w:szCs w:val="21"/>
              </w:rPr>
              <w:t>亲子共读的特点</w:t>
            </w:r>
            <w:r>
              <w:rPr>
                <w:rFonts w:hint="eastAsia" w:ascii="宋体" w:hAnsi="宋体" w:eastAsia="宋体" w:cs="Times New Roman"/>
                <w:color w:val="000000"/>
                <w:szCs w:val="21"/>
              </w:rPr>
              <w:t>、方式</w:t>
            </w:r>
          </w:p>
          <w:p w14:paraId="7101817C">
            <w:pPr>
              <w:snapToGrid w:val="0"/>
              <w:spacing w:line="360" w:lineRule="auto"/>
              <w:rPr>
                <w:rFonts w:hint="eastAsia" w:ascii="宋体" w:hAnsi="宋体" w:eastAsia="宋体" w:cs="Times New Roman"/>
                <w:color w:val="000000"/>
                <w:sz w:val="24"/>
              </w:rPr>
            </w:pPr>
            <w:r>
              <w:rPr>
                <w:rFonts w:hint="eastAsia" w:ascii="宋体" w:hAnsi="宋体" w:eastAsia="宋体" w:cs="Times New Roman"/>
                <w:color w:val="000000"/>
                <w:szCs w:val="21"/>
              </w:rPr>
              <w:t>（2）亲子共读的现存问题及社会探索</w:t>
            </w:r>
            <w:bookmarkEnd w:id="164"/>
          </w:p>
        </w:tc>
        <w:tc>
          <w:tcPr>
            <w:tcW w:w="1134" w:type="dxa"/>
            <w:vAlign w:val="center"/>
          </w:tcPr>
          <w:p w14:paraId="61D17804">
            <w:pPr>
              <w:spacing w:line="264"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3BF628F7">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（1）掌握</w:t>
            </w:r>
            <w:r>
              <w:rPr>
                <w:rFonts w:ascii="宋体" w:hAnsi="宋体" w:eastAsia="宋体" w:cs="Times New Roman"/>
                <w:color w:val="000000"/>
                <w:szCs w:val="21"/>
              </w:rPr>
              <w:t>亲子共读的特点</w:t>
            </w:r>
            <w:r>
              <w:rPr>
                <w:rFonts w:hint="eastAsia" w:ascii="宋体" w:hAnsi="宋体" w:eastAsia="宋体" w:cs="Times New Roman"/>
                <w:color w:val="000000"/>
                <w:szCs w:val="21"/>
              </w:rPr>
              <w:t>、方式</w:t>
            </w:r>
          </w:p>
          <w:p w14:paraId="6D8E5AB4">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（2）了解亲子共读的现存问题及社会探索</w:t>
            </w:r>
          </w:p>
          <w:p w14:paraId="093A9678">
            <w:pPr>
              <w:spacing w:line="264" w:lineRule="auto"/>
              <w:jc w:val="left"/>
              <w:rPr>
                <w:rFonts w:hint="eastAsia" w:ascii="宋体" w:hAnsi="宋体" w:eastAsia="宋体" w:cs="Times New Roman"/>
                <w:color w:val="000000"/>
                <w:szCs w:val="21"/>
              </w:rPr>
            </w:pPr>
          </w:p>
        </w:tc>
        <w:tc>
          <w:tcPr>
            <w:tcW w:w="1560" w:type="dxa"/>
            <w:vAlign w:val="center"/>
          </w:tcPr>
          <w:p w14:paraId="27AB1C7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学生调查</w:t>
            </w:r>
          </w:p>
          <w:p w14:paraId="6A6EB9E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34DF664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2687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205" w:type="dxa"/>
            <w:vMerge w:val="continue"/>
            <w:vAlign w:val="center"/>
          </w:tcPr>
          <w:p w14:paraId="7DFB9479">
            <w:pPr>
              <w:spacing w:line="264" w:lineRule="auto"/>
              <w:jc w:val="center"/>
              <w:rPr>
                <w:rFonts w:hint="eastAsia" w:ascii="宋体" w:hAnsi="宋体" w:eastAsia="宋体" w:cs="Times New Roman"/>
                <w:color w:val="000000"/>
                <w:szCs w:val="21"/>
              </w:rPr>
            </w:pPr>
          </w:p>
        </w:tc>
        <w:tc>
          <w:tcPr>
            <w:tcW w:w="8093" w:type="dxa"/>
            <w:gridSpan w:val="5"/>
            <w:vAlign w:val="center"/>
          </w:tcPr>
          <w:p w14:paraId="377BE184">
            <w:pPr>
              <w:snapToGrid w:val="0"/>
              <w:spacing w:line="36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关心教育现实、立足社会实践，积极投身儿童教育事业，积极为家庭提供教育指导服务。</w:t>
            </w:r>
          </w:p>
        </w:tc>
      </w:tr>
    </w:tbl>
    <w:p w14:paraId="2F94C2B7">
      <w:pPr>
        <w:spacing w:line="360" w:lineRule="auto"/>
        <w:jc w:val="left"/>
        <w:rPr>
          <w:rFonts w:ascii="Times New Roman" w:hAnsi="Times New Roman" w:eastAsia="宋体" w:cs="Times New Roman"/>
          <w:sz w:val="24"/>
        </w:rPr>
      </w:pPr>
    </w:p>
    <w:p w14:paraId="78FEBFB8">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600DDC7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ED0C84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7AA04B51">
      <w:pPr>
        <w:spacing w:line="360" w:lineRule="auto"/>
        <w:ind w:firstLine="420" w:firstLineChars="200"/>
        <w:jc w:val="left"/>
        <w:rPr>
          <w:rFonts w:ascii="Times New Roman" w:hAnsi="Times New Roman" w:eastAsia="宋体" w:cs="Times New Roman"/>
          <w:szCs w:val="21"/>
        </w:rPr>
      </w:pPr>
    </w:p>
    <w:p w14:paraId="7276687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67DD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392C22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702EFDB3">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55C7AA52">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ED7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8E70A54">
            <w:pPr>
              <w:spacing w:line="360" w:lineRule="auto"/>
              <w:jc w:val="center"/>
              <w:rPr>
                <w:rFonts w:hint="eastAsia" w:ascii="宋体" w:hAnsi="宋体" w:eastAsia="宋体" w:cs="Times New Roman"/>
                <w:szCs w:val="21"/>
              </w:rPr>
            </w:pPr>
          </w:p>
        </w:tc>
        <w:tc>
          <w:tcPr>
            <w:tcW w:w="0" w:type="auto"/>
            <w:vAlign w:val="center"/>
          </w:tcPr>
          <w:p w14:paraId="6284204A">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056" w:type="dxa"/>
            <w:vAlign w:val="center"/>
          </w:tcPr>
          <w:p w14:paraId="01D7A6AE">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056" w:type="dxa"/>
            <w:vAlign w:val="center"/>
          </w:tcPr>
          <w:p w14:paraId="492214FC">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3B8BF518">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034679A2">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41B4DC25">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526E5C4C">
            <w:pPr>
              <w:spacing w:line="360" w:lineRule="auto"/>
              <w:jc w:val="center"/>
              <w:rPr>
                <w:rFonts w:hint="eastAsia" w:ascii="宋体" w:hAnsi="宋体" w:eastAsia="宋体" w:cs="Times New Roman"/>
                <w:szCs w:val="21"/>
              </w:rPr>
            </w:pPr>
          </w:p>
        </w:tc>
      </w:tr>
      <w:tr w14:paraId="5A32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30DCCA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23701C53">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tcPr>
          <w:p w14:paraId="1EFB5BD8">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vAlign w:val="center"/>
          </w:tcPr>
          <w:p w14:paraId="2BFF3015">
            <w:pPr>
              <w:spacing w:line="360" w:lineRule="auto"/>
              <w:jc w:val="center"/>
              <w:rPr>
                <w:rFonts w:hint="eastAsia" w:ascii="宋体" w:hAnsi="宋体" w:eastAsia="宋体" w:cs="Times New Roman"/>
                <w:szCs w:val="21"/>
              </w:rPr>
            </w:pPr>
          </w:p>
        </w:tc>
        <w:tc>
          <w:tcPr>
            <w:tcW w:w="0" w:type="auto"/>
            <w:vAlign w:val="center"/>
          </w:tcPr>
          <w:p w14:paraId="77E45B76">
            <w:pPr>
              <w:spacing w:line="360" w:lineRule="auto"/>
              <w:jc w:val="center"/>
              <w:rPr>
                <w:rFonts w:hint="eastAsia" w:ascii="宋体" w:hAnsi="宋体" w:eastAsia="宋体" w:cs="Times New Roman"/>
                <w:szCs w:val="21"/>
              </w:rPr>
            </w:pPr>
          </w:p>
        </w:tc>
        <w:tc>
          <w:tcPr>
            <w:tcW w:w="0" w:type="auto"/>
            <w:vAlign w:val="center"/>
          </w:tcPr>
          <w:p w14:paraId="0E95A2CD">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1D93395D">
            <w:pPr>
              <w:spacing w:line="360" w:lineRule="auto"/>
              <w:jc w:val="center"/>
              <w:rPr>
                <w:rFonts w:hint="eastAsia" w:ascii="宋体" w:hAnsi="宋体" w:eastAsia="宋体" w:cs="Times New Roman"/>
                <w:szCs w:val="21"/>
              </w:rPr>
            </w:pPr>
          </w:p>
        </w:tc>
        <w:tc>
          <w:tcPr>
            <w:tcW w:w="0" w:type="auto"/>
            <w:vAlign w:val="center"/>
          </w:tcPr>
          <w:p w14:paraId="340C62AD">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0324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9E7CF4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D07D918">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tcPr>
          <w:p w14:paraId="212042B1">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vAlign w:val="center"/>
          </w:tcPr>
          <w:p w14:paraId="6DAB3306">
            <w:pPr>
              <w:spacing w:line="360" w:lineRule="auto"/>
              <w:jc w:val="center"/>
              <w:rPr>
                <w:rFonts w:hint="eastAsia" w:ascii="宋体" w:hAnsi="宋体" w:eastAsia="宋体" w:cs="Times New Roman"/>
                <w:szCs w:val="21"/>
              </w:rPr>
            </w:pPr>
          </w:p>
        </w:tc>
        <w:tc>
          <w:tcPr>
            <w:tcW w:w="0" w:type="auto"/>
            <w:vAlign w:val="center"/>
          </w:tcPr>
          <w:p w14:paraId="5BD16C42">
            <w:pPr>
              <w:spacing w:line="360" w:lineRule="auto"/>
              <w:jc w:val="center"/>
              <w:rPr>
                <w:rFonts w:hint="eastAsia" w:ascii="宋体" w:hAnsi="宋体" w:eastAsia="宋体" w:cs="Times New Roman"/>
                <w:szCs w:val="21"/>
              </w:rPr>
            </w:pPr>
          </w:p>
        </w:tc>
        <w:tc>
          <w:tcPr>
            <w:tcW w:w="0" w:type="auto"/>
            <w:vAlign w:val="center"/>
          </w:tcPr>
          <w:p w14:paraId="0C32FC37">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1B029476">
            <w:pPr>
              <w:spacing w:line="360" w:lineRule="auto"/>
              <w:jc w:val="center"/>
              <w:rPr>
                <w:rFonts w:hint="eastAsia" w:ascii="宋体" w:hAnsi="宋体" w:eastAsia="宋体" w:cs="Times New Roman"/>
                <w:szCs w:val="21"/>
              </w:rPr>
            </w:pPr>
          </w:p>
        </w:tc>
        <w:tc>
          <w:tcPr>
            <w:tcW w:w="0" w:type="auto"/>
            <w:vAlign w:val="center"/>
          </w:tcPr>
          <w:p w14:paraId="4D063B79">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226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730452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01D91481">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tcPr>
          <w:p w14:paraId="7FF45999">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vAlign w:val="center"/>
          </w:tcPr>
          <w:p w14:paraId="5C1E4063">
            <w:pPr>
              <w:spacing w:line="360" w:lineRule="auto"/>
              <w:jc w:val="center"/>
              <w:rPr>
                <w:rFonts w:hint="eastAsia" w:ascii="宋体" w:hAnsi="宋体" w:eastAsia="宋体" w:cs="Times New Roman"/>
                <w:szCs w:val="21"/>
              </w:rPr>
            </w:pPr>
          </w:p>
        </w:tc>
        <w:tc>
          <w:tcPr>
            <w:tcW w:w="0" w:type="auto"/>
            <w:vAlign w:val="center"/>
          </w:tcPr>
          <w:p w14:paraId="0F9905D6">
            <w:pPr>
              <w:spacing w:line="360" w:lineRule="auto"/>
              <w:jc w:val="center"/>
              <w:rPr>
                <w:rFonts w:hint="eastAsia" w:ascii="宋体" w:hAnsi="宋体" w:eastAsia="宋体" w:cs="Times New Roman"/>
                <w:szCs w:val="21"/>
              </w:rPr>
            </w:pPr>
          </w:p>
        </w:tc>
        <w:tc>
          <w:tcPr>
            <w:tcW w:w="0" w:type="auto"/>
            <w:vAlign w:val="center"/>
          </w:tcPr>
          <w:p w14:paraId="7C819D7C">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13838779">
            <w:pPr>
              <w:spacing w:line="360" w:lineRule="auto"/>
              <w:jc w:val="center"/>
              <w:rPr>
                <w:rFonts w:hint="eastAsia" w:ascii="宋体" w:hAnsi="宋体" w:eastAsia="宋体" w:cs="Times New Roman"/>
                <w:szCs w:val="21"/>
              </w:rPr>
            </w:pPr>
          </w:p>
        </w:tc>
        <w:tc>
          <w:tcPr>
            <w:tcW w:w="0" w:type="auto"/>
            <w:vAlign w:val="center"/>
          </w:tcPr>
          <w:p w14:paraId="37F0F650">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5233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DC87F19">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0FC0D0FB">
            <w:pPr>
              <w:spacing w:line="360" w:lineRule="auto"/>
              <w:jc w:val="center"/>
              <w:rPr>
                <w:rFonts w:hint="eastAsia" w:ascii="宋体" w:hAnsi="宋体" w:eastAsia="宋体" w:cs="Times New Roman"/>
                <w:szCs w:val="21"/>
              </w:rPr>
            </w:pPr>
          </w:p>
        </w:tc>
        <w:tc>
          <w:tcPr>
            <w:tcW w:w="1056" w:type="dxa"/>
            <w:vAlign w:val="center"/>
          </w:tcPr>
          <w:p w14:paraId="731DDA10">
            <w:pPr>
              <w:spacing w:line="360" w:lineRule="auto"/>
              <w:jc w:val="center"/>
              <w:rPr>
                <w:rFonts w:hint="eastAsia" w:ascii="宋体" w:hAnsi="宋体" w:eastAsia="宋体" w:cs="Times New Roman"/>
                <w:szCs w:val="21"/>
              </w:rPr>
            </w:pPr>
          </w:p>
        </w:tc>
        <w:tc>
          <w:tcPr>
            <w:tcW w:w="1056" w:type="dxa"/>
            <w:vAlign w:val="center"/>
          </w:tcPr>
          <w:p w14:paraId="5B439072">
            <w:pPr>
              <w:spacing w:line="360" w:lineRule="auto"/>
              <w:jc w:val="center"/>
              <w:rPr>
                <w:rFonts w:hint="eastAsia" w:ascii="宋体" w:hAnsi="宋体" w:eastAsia="宋体" w:cs="Times New Roman"/>
                <w:szCs w:val="21"/>
              </w:rPr>
            </w:pPr>
          </w:p>
        </w:tc>
        <w:tc>
          <w:tcPr>
            <w:tcW w:w="0" w:type="auto"/>
            <w:vAlign w:val="center"/>
          </w:tcPr>
          <w:p w14:paraId="4A095056">
            <w:pPr>
              <w:spacing w:line="360" w:lineRule="auto"/>
              <w:jc w:val="center"/>
              <w:rPr>
                <w:rFonts w:hint="eastAsia" w:ascii="宋体" w:hAnsi="宋体" w:eastAsia="宋体" w:cs="Times New Roman"/>
                <w:szCs w:val="21"/>
              </w:rPr>
            </w:pPr>
          </w:p>
        </w:tc>
        <w:tc>
          <w:tcPr>
            <w:tcW w:w="0" w:type="auto"/>
            <w:vAlign w:val="center"/>
          </w:tcPr>
          <w:p w14:paraId="625BD4CC">
            <w:pPr>
              <w:spacing w:line="360" w:lineRule="auto"/>
              <w:jc w:val="center"/>
              <w:rPr>
                <w:rFonts w:hint="eastAsia" w:ascii="宋体" w:hAnsi="宋体" w:eastAsia="宋体" w:cs="Times New Roman"/>
                <w:szCs w:val="21"/>
              </w:rPr>
            </w:pPr>
          </w:p>
        </w:tc>
        <w:tc>
          <w:tcPr>
            <w:tcW w:w="0" w:type="auto"/>
          </w:tcPr>
          <w:p w14:paraId="77FF82FA">
            <w:pPr>
              <w:spacing w:line="360" w:lineRule="auto"/>
              <w:jc w:val="center"/>
              <w:rPr>
                <w:rFonts w:hint="eastAsia" w:ascii="宋体" w:hAnsi="宋体" w:eastAsia="宋体" w:cs="Times New Roman"/>
                <w:szCs w:val="21"/>
              </w:rPr>
            </w:pPr>
          </w:p>
        </w:tc>
        <w:tc>
          <w:tcPr>
            <w:tcW w:w="0" w:type="auto"/>
            <w:vAlign w:val="center"/>
          </w:tcPr>
          <w:p w14:paraId="2050AE1A">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CA0D6D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15F28D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AAD6F3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516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A900E3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37DEBC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0CC34E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B5D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E62E11">
            <w:pPr>
              <w:snapToGrid w:val="0"/>
              <w:spacing w:line="288" w:lineRule="auto"/>
              <w:rPr>
                <w:rFonts w:ascii="Times New Roman" w:hAnsi="Times New Roman" w:eastAsia="宋体" w:cs="Times New Roman"/>
                <w:szCs w:val="21"/>
              </w:rPr>
            </w:pPr>
            <w:r>
              <w:rPr>
                <w:rFonts w:hint="eastAsia" w:ascii="宋体" w:hAnsi="宋体" w:eastAsia="宋体" w:cs="Times New Roman"/>
                <w:color w:val="000000"/>
                <w:szCs w:val="21"/>
              </w:rPr>
              <w:t>课堂表现及</w:t>
            </w:r>
            <w:r>
              <w:rPr>
                <w:rFonts w:ascii="宋体" w:hAnsi="宋体" w:eastAsia="宋体" w:cs="Times New Roman"/>
                <w:color w:val="000000"/>
                <w:szCs w:val="21"/>
              </w:rPr>
              <w:t>平时作业</w:t>
            </w:r>
          </w:p>
        </w:tc>
        <w:tc>
          <w:tcPr>
            <w:tcW w:w="7141" w:type="dxa"/>
            <w:vAlign w:val="center"/>
          </w:tcPr>
          <w:p w14:paraId="2282090F">
            <w:pPr>
              <w:snapToGrid w:val="0"/>
              <w:spacing w:line="288" w:lineRule="auto"/>
              <w:rPr>
                <w:rFonts w:hint="eastAsia" w:ascii="宋体" w:hAnsi="宋体" w:eastAsia="宋体" w:cs="Times New Roman"/>
                <w:color w:val="000000"/>
                <w:szCs w:val="21"/>
              </w:rPr>
            </w:pPr>
            <w:r>
              <w:rPr>
                <w:rFonts w:hint="eastAsia" w:ascii="宋体" w:hAnsi="宋体" w:eastAsia="宋体" w:cs="Times New Roman"/>
                <w:color w:val="000000"/>
                <w:szCs w:val="21"/>
              </w:rPr>
              <w:t>课堂表现占</w:t>
            </w:r>
            <w:r>
              <w:rPr>
                <w:rFonts w:ascii="宋体" w:hAnsi="宋体" w:eastAsia="宋体" w:cs="Times New Roman"/>
                <w:color w:val="000000"/>
                <w:szCs w:val="21"/>
              </w:rPr>
              <w:t>4</w:t>
            </w:r>
            <w:r>
              <w:rPr>
                <w:rFonts w:hint="eastAsia" w:ascii="宋体" w:hAnsi="宋体" w:eastAsia="宋体" w:cs="Times New Roman"/>
                <w:color w:val="000000"/>
                <w:szCs w:val="21"/>
              </w:rPr>
              <w:t>0%，平时作业占</w:t>
            </w:r>
            <w:r>
              <w:rPr>
                <w:rFonts w:ascii="宋体" w:hAnsi="宋体" w:eastAsia="宋体" w:cs="Times New Roman"/>
                <w:color w:val="000000"/>
                <w:szCs w:val="21"/>
              </w:rPr>
              <w:t>6</w:t>
            </w:r>
            <w:r>
              <w:rPr>
                <w:rFonts w:hint="eastAsia" w:ascii="宋体" w:hAnsi="宋体" w:eastAsia="宋体" w:cs="Times New Roman"/>
                <w:color w:val="000000"/>
                <w:szCs w:val="21"/>
              </w:rPr>
              <w:t>0%。</w:t>
            </w:r>
          </w:p>
          <w:p w14:paraId="71A257D7">
            <w:pPr>
              <w:snapToGrid w:val="0"/>
              <w:spacing w:line="288" w:lineRule="auto"/>
              <w:rPr>
                <w:rFonts w:hint="eastAsia" w:ascii="宋体" w:hAnsi="宋体" w:eastAsia="宋体" w:cs="Times New Roman"/>
                <w:color w:val="000000"/>
                <w:szCs w:val="21"/>
              </w:rPr>
            </w:pPr>
            <w:r>
              <w:rPr>
                <w:rFonts w:hint="eastAsia" w:ascii="宋体" w:hAnsi="宋体" w:eastAsia="宋体" w:cs="Times New Roman"/>
                <w:color w:val="000000"/>
                <w:szCs w:val="21"/>
              </w:rPr>
              <w:t>课堂表现：课堂考勤和课上表现。</w:t>
            </w:r>
          </w:p>
          <w:p w14:paraId="7C10D9AC">
            <w:pPr>
              <w:spacing w:line="264" w:lineRule="auto"/>
              <w:jc w:val="left"/>
              <w:rPr>
                <w:rFonts w:ascii="Times New Roman" w:hAnsi="Times New Roman" w:eastAsia="宋体" w:cs="Times New Roman"/>
                <w:szCs w:val="21"/>
              </w:rPr>
            </w:pPr>
            <w:r>
              <w:rPr>
                <w:rFonts w:hint="eastAsia" w:ascii="宋体" w:hAnsi="宋体" w:eastAsia="宋体" w:cs="Times New Roman"/>
                <w:color w:val="000000"/>
                <w:szCs w:val="21"/>
              </w:rPr>
              <w:t>平时作业：</w:t>
            </w:r>
            <w:r>
              <w:rPr>
                <w:rFonts w:ascii="宋体" w:hAnsi="宋体" w:eastAsia="宋体" w:cs="Times New Roman"/>
                <w:color w:val="000000"/>
                <w:szCs w:val="21"/>
              </w:rPr>
              <w:t>主要考核学生对知识点的理解和</w:t>
            </w:r>
            <w:r>
              <w:rPr>
                <w:rFonts w:hint="eastAsia" w:ascii="宋体" w:hAnsi="宋体" w:eastAsia="宋体" w:cs="Times New Roman"/>
                <w:color w:val="000000"/>
                <w:szCs w:val="21"/>
              </w:rPr>
              <w:t>应用</w:t>
            </w:r>
            <w:r>
              <w:rPr>
                <w:rFonts w:ascii="宋体" w:hAnsi="宋体" w:eastAsia="宋体" w:cs="Times New Roman"/>
                <w:color w:val="000000"/>
                <w:szCs w:val="21"/>
              </w:rPr>
              <w:t>。</w:t>
            </w:r>
          </w:p>
        </w:tc>
        <w:tc>
          <w:tcPr>
            <w:tcW w:w="0" w:type="auto"/>
            <w:vAlign w:val="center"/>
          </w:tcPr>
          <w:p w14:paraId="2D7BA461">
            <w:pPr>
              <w:jc w:val="center"/>
              <w:rPr>
                <w:rFonts w:ascii="Times New Roman" w:hAnsi="Times New Roman" w:eastAsia="宋体" w:cs="Times New Roman"/>
                <w:szCs w:val="21"/>
              </w:rPr>
            </w:pPr>
            <w:r>
              <w:rPr>
                <w:rFonts w:ascii="宋体" w:hAnsi="宋体" w:eastAsia="宋体" w:cs="Times New Roman"/>
                <w:color w:val="000000"/>
                <w:szCs w:val="21"/>
              </w:rPr>
              <w:t>40%</w:t>
            </w:r>
          </w:p>
        </w:tc>
      </w:tr>
      <w:tr w14:paraId="423A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E0D953F">
            <w:pPr>
              <w:snapToGrid w:val="0"/>
              <w:spacing w:line="288" w:lineRule="auto"/>
              <w:rPr>
                <w:rFonts w:hint="eastAsia" w:ascii="宋体" w:hAnsi="宋体" w:eastAsia="宋体" w:cs="Times New Roman"/>
                <w:color w:val="000000"/>
                <w:szCs w:val="21"/>
              </w:rPr>
            </w:pPr>
            <w:r>
              <w:rPr>
                <w:rFonts w:ascii="宋体" w:hAnsi="宋体" w:eastAsia="宋体" w:cs="Times New Roman"/>
                <w:color w:val="000000"/>
                <w:szCs w:val="21"/>
              </w:rPr>
              <w:t>期末考试</w:t>
            </w:r>
          </w:p>
          <w:p w14:paraId="4A238799">
            <w:pPr>
              <w:rPr>
                <w:rFonts w:ascii="Times New Roman" w:hAnsi="Times New Roman" w:eastAsia="宋体" w:cs="Times New Roman"/>
                <w:szCs w:val="21"/>
              </w:rPr>
            </w:pPr>
            <w:r>
              <w:rPr>
                <w:rFonts w:hint="eastAsia" w:ascii="宋体" w:hAnsi="宋体" w:eastAsia="宋体" w:cs="Times New Roman"/>
                <w:color w:val="000000"/>
                <w:szCs w:val="21"/>
              </w:rPr>
              <w:t>卷面</w:t>
            </w:r>
            <w:r>
              <w:rPr>
                <w:rFonts w:ascii="宋体" w:hAnsi="宋体" w:eastAsia="宋体" w:cs="Times New Roman"/>
                <w:color w:val="000000"/>
                <w:szCs w:val="21"/>
              </w:rPr>
              <w:t>成绩</w:t>
            </w:r>
          </w:p>
        </w:tc>
        <w:tc>
          <w:tcPr>
            <w:tcW w:w="7141" w:type="dxa"/>
            <w:vAlign w:val="center"/>
          </w:tcPr>
          <w:p w14:paraId="5015E022">
            <w:pPr>
              <w:widowControl/>
              <w:spacing w:line="264" w:lineRule="auto"/>
              <w:jc w:val="left"/>
              <w:rPr>
                <w:rFonts w:ascii="Times New Roman" w:hAnsi="Times New Roman" w:eastAsia="宋体" w:cs="Times New Roman"/>
                <w:szCs w:val="21"/>
              </w:rPr>
            </w:pPr>
            <w:r>
              <w:rPr>
                <w:rFonts w:hint="eastAsia" w:ascii="宋体" w:hAnsi="宋体" w:eastAsia="宋体" w:cs="Times New Roman"/>
                <w:color w:val="000000"/>
                <w:szCs w:val="21"/>
              </w:rPr>
              <w:t>开卷</w:t>
            </w:r>
            <w:r>
              <w:rPr>
                <w:rFonts w:ascii="宋体" w:hAnsi="宋体" w:eastAsia="宋体" w:cs="Times New Roman"/>
                <w:color w:val="000000"/>
                <w:szCs w:val="21"/>
              </w:rPr>
              <w:t>题型包括</w:t>
            </w:r>
            <w:r>
              <w:rPr>
                <w:rFonts w:hint="eastAsia" w:ascii="宋体" w:hAnsi="宋体" w:eastAsia="宋体" w:cs="Times New Roman"/>
                <w:color w:val="000000"/>
                <w:szCs w:val="21"/>
              </w:rPr>
              <w:t>材料</w:t>
            </w:r>
            <w:r>
              <w:rPr>
                <w:rFonts w:ascii="宋体" w:hAnsi="宋体" w:eastAsia="宋体" w:cs="Times New Roman"/>
                <w:color w:val="000000"/>
                <w:szCs w:val="21"/>
              </w:rPr>
              <w:t>分析题</w:t>
            </w:r>
            <w:r>
              <w:rPr>
                <w:rFonts w:hint="eastAsia" w:ascii="宋体" w:hAnsi="宋体" w:eastAsia="宋体" w:cs="Times New Roman"/>
                <w:color w:val="000000"/>
                <w:szCs w:val="21"/>
              </w:rPr>
              <w:t>、论述题</w:t>
            </w:r>
            <w:r>
              <w:rPr>
                <w:rFonts w:ascii="宋体" w:hAnsi="宋体" w:eastAsia="宋体" w:cs="Times New Roman"/>
                <w:color w:val="000000"/>
                <w:szCs w:val="21"/>
              </w:rPr>
              <w:t>等，以卷面成绩的60%计入课程总成绩。</w:t>
            </w:r>
          </w:p>
        </w:tc>
        <w:tc>
          <w:tcPr>
            <w:tcW w:w="0" w:type="auto"/>
            <w:vAlign w:val="center"/>
          </w:tcPr>
          <w:p w14:paraId="7244533D">
            <w:pPr>
              <w:jc w:val="center"/>
              <w:rPr>
                <w:rFonts w:ascii="Times New Roman" w:hAnsi="Times New Roman" w:eastAsia="宋体" w:cs="Times New Roman"/>
                <w:szCs w:val="21"/>
              </w:rPr>
            </w:pPr>
            <w:r>
              <w:rPr>
                <w:rFonts w:ascii="宋体" w:hAnsi="宋体" w:eastAsia="宋体" w:cs="Times New Roman"/>
                <w:color w:val="000000"/>
                <w:szCs w:val="21"/>
              </w:rPr>
              <w:t>60%</w:t>
            </w:r>
          </w:p>
        </w:tc>
      </w:tr>
      <w:tr w14:paraId="16DD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D900CD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A488166">
            <w:pPr>
              <w:jc w:val="left"/>
              <w:rPr>
                <w:rFonts w:ascii="Times New Roman" w:hAnsi="Times New Roman" w:eastAsia="宋体" w:cs="Times New Roman"/>
                <w:szCs w:val="21"/>
              </w:rPr>
            </w:pPr>
          </w:p>
        </w:tc>
        <w:tc>
          <w:tcPr>
            <w:tcW w:w="0" w:type="auto"/>
            <w:vAlign w:val="center"/>
          </w:tcPr>
          <w:p w14:paraId="3A98E6DE">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1DE6131">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B437F59">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7795E69">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51"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51" DrawAspect="Content" ObjectID="_1468075751" r:id="rId36">
            <o:LockedField>false</o:LockedField>
          </o:OLEObject>
        </w:object>
      </w:r>
    </w:p>
    <w:p w14:paraId="1627BD43">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0D946206">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108139E1">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43F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48961AF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419578B5">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1E447EB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44BDE67B">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3F0F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06BE078">
            <w:pPr>
              <w:spacing w:line="276" w:lineRule="auto"/>
              <w:jc w:val="left"/>
              <w:rPr>
                <w:rFonts w:hint="eastAsia" w:ascii="宋体" w:hAnsi="宋体" w:eastAsia="宋体" w:cs="宋体"/>
                <w:szCs w:val="21"/>
              </w:rPr>
            </w:pPr>
            <w:r>
              <w:rPr>
                <w:rFonts w:hint="eastAsia" w:ascii="宋体" w:hAnsi="宋体" w:eastAsia="宋体" w:cs="宋体"/>
                <w:szCs w:val="21"/>
              </w:rPr>
              <w:t>不同类型家庭及其家庭教育现状观察</w:t>
            </w:r>
          </w:p>
        </w:tc>
        <w:tc>
          <w:tcPr>
            <w:tcW w:w="3407" w:type="dxa"/>
            <w:vAlign w:val="center"/>
          </w:tcPr>
          <w:p w14:paraId="258F52CE">
            <w:pPr>
              <w:spacing w:line="276" w:lineRule="auto"/>
              <w:jc w:val="left"/>
              <w:rPr>
                <w:rFonts w:hint="eastAsia" w:ascii="宋体" w:hAnsi="宋体" w:eastAsia="宋体" w:cs="宋体"/>
                <w:szCs w:val="21"/>
              </w:rPr>
            </w:pPr>
            <w:r>
              <w:rPr>
                <w:rFonts w:hint="eastAsia" w:ascii="宋体" w:hAnsi="宋体" w:eastAsia="宋体" w:cs="宋体"/>
                <w:szCs w:val="21"/>
              </w:rPr>
              <w:t>观察了解中小学生的家庭类型、家长教育需求；观察了解现实中的中小学生所遭遇到的儿童权利保护不当或不完善之处的种种表现。</w:t>
            </w:r>
          </w:p>
        </w:tc>
        <w:tc>
          <w:tcPr>
            <w:tcW w:w="740" w:type="dxa"/>
            <w:vAlign w:val="center"/>
          </w:tcPr>
          <w:p w14:paraId="0668824E">
            <w:pPr>
              <w:spacing w:line="276" w:lineRule="auto"/>
              <w:jc w:val="center"/>
              <w:rPr>
                <w:rFonts w:hint="eastAsia" w:ascii="宋体" w:hAnsi="宋体" w:eastAsia="宋体" w:cs="宋体"/>
                <w:szCs w:val="21"/>
              </w:rPr>
            </w:pPr>
            <w:r>
              <w:rPr>
                <w:rFonts w:hint="eastAsia" w:ascii="宋体" w:hAnsi="宋体" w:eastAsia="宋体" w:cs="宋体"/>
                <w:szCs w:val="21"/>
              </w:rPr>
              <w:t>实践观察</w:t>
            </w:r>
          </w:p>
        </w:tc>
        <w:tc>
          <w:tcPr>
            <w:tcW w:w="3160" w:type="dxa"/>
            <w:vAlign w:val="center"/>
          </w:tcPr>
          <w:p w14:paraId="725B992A">
            <w:pPr>
              <w:spacing w:line="276" w:lineRule="auto"/>
              <w:jc w:val="left"/>
              <w:rPr>
                <w:rFonts w:hint="eastAsia" w:ascii="宋体" w:hAnsi="宋体" w:eastAsia="宋体" w:cs="宋体"/>
                <w:szCs w:val="21"/>
              </w:rPr>
            </w:pPr>
            <w:r>
              <w:rPr>
                <w:rFonts w:hint="eastAsia" w:ascii="宋体" w:hAnsi="宋体" w:eastAsia="宋体" w:cs="宋体"/>
                <w:szCs w:val="21"/>
              </w:rPr>
              <w:t>关心关注教育现实，提升专业责任感及家庭教育法制责任意识，积极投身儿童教育事业，愿意为家庭提供教育指导服务。</w:t>
            </w:r>
          </w:p>
        </w:tc>
      </w:tr>
      <w:tr w14:paraId="4DA0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5C685FF7">
            <w:pPr>
              <w:spacing w:line="276" w:lineRule="auto"/>
              <w:jc w:val="left"/>
              <w:rPr>
                <w:rFonts w:hint="eastAsia" w:ascii="宋体" w:hAnsi="宋体" w:eastAsia="宋体" w:cs="宋体"/>
                <w:szCs w:val="21"/>
              </w:rPr>
            </w:pPr>
            <w:r>
              <w:rPr>
                <w:rFonts w:hint="eastAsia" w:ascii="宋体" w:hAnsi="宋体" w:eastAsia="宋体" w:cs="宋体"/>
                <w:szCs w:val="21"/>
              </w:rPr>
              <w:t>家乡所在地的优秀家教家书家风家训</w:t>
            </w:r>
          </w:p>
        </w:tc>
        <w:tc>
          <w:tcPr>
            <w:tcW w:w="3407" w:type="dxa"/>
            <w:vAlign w:val="center"/>
          </w:tcPr>
          <w:p w14:paraId="2B366418">
            <w:pPr>
              <w:spacing w:line="276" w:lineRule="auto"/>
              <w:jc w:val="left"/>
              <w:rPr>
                <w:rFonts w:hint="eastAsia" w:ascii="宋体" w:hAnsi="宋体" w:eastAsia="宋体" w:cs="宋体"/>
                <w:szCs w:val="21"/>
              </w:rPr>
            </w:pPr>
            <w:r>
              <w:rPr>
                <w:rFonts w:hint="eastAsia" w:ascii="宋体" w:hAnsi="宋体" w:eastAsia="宋体" w:cs="宋体"/>
                <w:szCs w:val="21"/>
              </w:rPr>
              <w:t>搜集并学习家乡所在地的红色家书；讲述家乡所在地涌现出的优秀家教、家风、家训等优秀典型；观察小学校园中的儿童有关有中华优秀传统文化类的读本情况</w:t>
            </w:r>
          </w:p>
        </w:tc>
        <w:tc>
          <w:tcPr>
            <w:tcW w:w="740" w:type="dxa"/>
            <w:vAlign w:val="center"/>
          </w:tcPr>
          <w:p w14:paraId="60AAACA2">
            <w:pPr>
              <w:spacing w:line="276" w:lineRule="auto"/>
              <w:jc w:val="center"/>
              <w:rPr>
                <w:rFonts w:hint="eastAsia" w:ascii="宋体" w:hAnsi="宋体" w:eastAsia="宋体" w:cs="宋体"/>
                <w:szCs w:val="21"/>
              </w:rPr>
            </w:pPr>
            <w:r>
              <w:rPr>
                <w:rFonts w:hint="eastAsia" w:ascii="宋体" w:hAnsi="宋体" w:eastAsia="宋体" w:cs="宋体"/>
                <w:szCs w:val="21"/>
              </w:rPr>
              <w:t>案例观摩</w:t>
            </w:r>
          </w:p>
          <w:p w14:paraId="0EAD9A5F">
            <w:pPr>
              <w:spacing w:line="276" w:lineRule="auto"/>
              <w:jc w:val="center"/>
              <w:rPr>
                <w:rFonts w:hint="eastAsia" w:ascii="宋体" w:hAnsi="宋体" w:eastAsia="宋体" w:cs="宋体"/>
                <w:szCs w:val="21"/>
              </w:rPr>
            </w:pPr>
          </w:p>
          <w:p w14:paraId="3507E7FC">
            <w:pPr>
              <w:spacing w:line="276" w:lineRule="auto"/>
              <w:jc w:val="center"/>
              <w:rPr>
                <w:rFonts w:hint="eastAsia" w:ascii="宋体" w:hAnsi="宋体" w:eastAsia="宋体" w:cs="宋体"/>
                <w:szCs w:val="21"/>
              </w:rPr>
            </w:pPr>
            <w:r>
              <w:rPr>
                <w:rFonts w:hint="eastAsia" w:ascii="宋体" w:hAnsi="宋体" w:eastAsia="宋体" w:cs="宋体"/>
                <w:szCs w:val="21"/>
              </w:rPr>
              <w:t>学生分享</w:t>
            </w:r>
          </w:p>
        </w:tc>
        <w:tc>
          <w:tcPr>
            <w:tcW w:w="3160" w:type="dxa"/>
            <w:vAlign w:val="center"/>
          </w:tcPr>
          <w:p w14:paraId="0B5B6E3D">
            <w:pPr>
              <w:spacing w:line="276" w:lineRule="auto"/>
              <w:jc w:val="left"/>
              <w:rPr>
                <w:rFonts w:hint="eastAsia" w:ascii="宋体" w:hAnsi="宋体" w:eastAsia="宋体" w:cs="宋体"/>
                <w:szCs w:val="21"/>
              </w:rPr>
            </w:pPr>
            <w:r>
              <w:rPr>
                <w:rFonts w:hint="eastAsia" w:ascii="宋体" w:hAnsi="宋体" w:eastAsia="宋体" w:cs="宋体"/>
                <w:szCs w:val="21"/>
              </w:rPr>
              <w:t>传承并弘扬中华优秀传统文化中的责任担当、孝行义举等文化基因或红色文化基因</w:t>
            </w:r>
          </w:p>
        </w:tc>
      </w:tr>
    </w:tbl>
    <w:p w14:paraId="2F425DC4">
      <w:pPr>
        <w:spacing w:line="360" w:lineRule="auto"/>
        <w:ind w:firstLine="551" w:firstLineChars="196"/>
        <w:jc w:val="left"/>
        <w:rPr>
          <w:rFonts w:hint="eastAsia" w:ascii="宋体" w:hAnsi="宋体" w:eastAsia="宋体" w:cs="Times New Roman"/>
          <w:b/>
          <w:color w:val="000000"/>
          <w:sz w:val="28"/>
          <w:szCs w:val="28"/>
        </w:rPr>
      </w:pPr>
    </w:p>
    <w:p w14:paraId="2013E6C5">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3688E0BE">
      <w:pPr>
        <w:snapToGrid w:val="0"/>
        <w:spacing w:line="360" w:lineRule="auto"/>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3C22B64F">
      <w:pPr>
        <w:snapToGrid w:val="0"/>
        <w:spacing w:line="360" w:lineRule="auto"/>
        <w:ind w:firstLine="411" w:firstLineChars="196"/>
        <w:rPr>
          <w:rFonts w:ascii="Times New Roman" w:hAnsi="Times New Roman" w:eastAsia="宋体" w:cs="Times New Roman"/>
          <w:b/>
          <w:szCs w:val="21"/>
        </w:rPr>
      </w:pPr>
      <w:r>
        <w:rPr>
          <w:rFonts w:ascii="宋体" w:hAnsi="宋体" w:eastAsia="宋体" w:cs="Times New Roman"/>
          <w:color w:val="000000"/>
          <w:szCs w:val="21"/>
        </w:rPr>
        <w:t>本课程根据学生作业、课堂讨论、平时考核情况和学生、教学督导等</w:t>
      </w:r>
      <w:r>
        <w:rPr>
          <w:rFonts w:hint="eastAsia" w:ascii="宋体" w:hAnsi="宋体" w:eastAsia="宋体" w:cs="Times New Roman"/>
          <w:color w:val="000000"/>
          <w:szCs w:val="21"/>
        </w:rPr>
        <w:t>的</w:t>
      </w:r>
      <w:r>
        <w:rPr>
          <w:rFonts w:ascii="宋体" w:hAnsi="宋体" w:eastAsia="宋体" w:cs="Times New Roman"/>
          <w:color w:val="000000"/>
          <w:szCs w:val="21"/>
        </w:rPr>
        <w:t>反馈，及时对教学中</w:t>
      </w:r>
      <w:r>
        <w:rPr>
          <w:rFonts w:hint="eastAsia" w:ascii="宋体" w:hAnsi="宋体" w:eastAsia="宋体" w:cs="Times New Roman"/>
          <w:color w:val="000000"/>
          <w:szCs w:val="21"/>
        </w:rPr>
        <w:t>的</w:t>
      </w:r>
      <w:r>
        <w:rPr>
          <w:rFonts w:ascii="宋体" w:hAnsi="宋体" w:eastAsia="宋体" w:cs="Times New Roman"/>
          <w:color w:val="000000"/>
          <w:szCs w:val="21"/>
        </w:rPr>
        <w:t>不足之处进行改进，并在下一轮课程教学中</w:t>
      </w:r>
      <w:r>
        <w:rPr>
          <w:rFonts w:hint="eastAsia" w:ascii="宋体" w:hAnsi="宋体" w:eastAsia="宋体" w:cs="Times New Roman"/>
          <w:color w:val="000000"/>
          <w:szCs w:val="21"/>
        </w:rPr>
        <w:t>整改完善</w:t>
      </w:r>
      <w:r>
        <w:rPr>
          <w:rFonts w:ascii="宋体" w:hAnsi="宋体" w:eastAsia="宋体" w:cs="Times New Roman"/>
          <w:color w:val="000000"/>
          <w:szCs w:val="21"/>
        </w:rPr>
        <w:t>，确保相应毕业要求指标点达成。</w:t>
      </w:r>
    </w:p>
    <w:p w14:paraId="1AB8D403">
      <w:pPr>
        <w:snapToGrid w:val="0"/>
        <w:spacing w:line="360" w:lineRule="auto"/>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FAA2C5D">
      <w:pPr>
        <w:snapToGrid w:val="0"/>
        <w:spacing w:line="360" w:lineRule="auto"/>
        <w:ind w:firstLine="420" w:firstLineChars="200"/>
        <w:rPr>
          <w:rFonts w:ascii="Times New Roman" w:hAnsi="Times New Roman" w:eastAsia="宋体" w:cs="Times New Roman"/>
          <w:bCs/>
          <w:color w:val="000000"/>
          <w:szCs w:val="21"/>
        </w:rPr>
      </w:pPr>
      <w:r>
        <w:rPr>
          <w:rFonts w:hint="eastAsia" w:ascii="宋体" w:hAnsi="宋体" w:eastAsia="宋体" w:cs="Times New Roman"/>
          <w:color w:val="000000"/>
          <w:szCs w:val="21"/>
        </w:rPr>
        <w:t>孙云晓，</w:t>
      </w:r>
      <w:r>
        <w:rPr>
          <w:rFonts w:ascii="宋体" w:hAnsi="宋体" w:eastAsia="宋体" w:cs="Times New Roman"/>
          <w:color w:val="000000"/>
          <w:szCs w:val="21"/>
        </w:rPr>
        <w:t>家校合作共育：中国家庭教育的新趋势</w:t>
      </w:r>
      <w:r>
        <w:rPr>
          <w:rFonts w:hint="eastAsia" w:ascii="宋体" w:hAnsi="宋体" w:eastAsia="宋体" w:cs="Times New Roman"/>
          <w:color w:val="000000"/>
          <w:szCs w:val="21"/>
        </w:rPr>
        <w:t>，北京：中国人民大学出版社，20</w:t>
      </w:r>
      <w:r>
        <w:rPr>
          <w:rFonts w:ascii="宋体" w:hAnsi="宋体" w:eastAsia="宋体" w:cs="Times New Roman"/>
          <w:color w:val="000000"/>
          <w:szCs w:val="21"/>
        </w:rPr>
        <w:t>20</w:t>
      </w:r>
      <w:r>
        <w:rPr>
          <w:rFonts w:hint="eastAsia" w:ascii="宋体" w:hAnsi="宋体" w:eastAsia="宋体" w:cs="Times New Roman"/>
          <w:color w:val="000000"/>
          <w:szCs w:val="21"/>
        </w:rPr>
        <w:t>.</w:t>
      </w:r>
      <w:r>
        <w:rPr>
          <w:rFonts w:ascii="宋体" w:hAnsi="宋体" w:eastAsia="宋体" w:cs="Times New Roman"/>
          <w:color w:val="000000"/>
          <w:szCs w:val="21"/>
        </w:rPr>
        <w:t>10.</w:t>
      </w:r>
    </w:p>
    <w:p w14:paraId="7E74CB3E">
      <w:pPr>
        <w:numPr>
          <w:ilvl w:val="0"/>
          <w:numId w:val="51"/>
        </w:numPr>
        <w:spacing w:line="360" w:lineRule="auto"/>
        <w:jc w:val="left"/>
        <w:rPr>
          <w:rFonts w:hint="eastAsia" w:ascii="宋体" w:hAnsi="宋体" w:eastAsia="宋体" w:cs="Times New Roman"/>
          <w:b/>
          <w:szCs w:val="21"/>
        </w:rPr>
      </w:pPr>
      <w:r>
        <w:rPr>
          <w:rFonts w:hint="eastAsia" w:ascii="宋体" w:hAnsi="宋体" w:eastAsia="宋体" w:cs="Times New Roman"/>
          <w:b/>
          <w:szCs w:val="21"/>
        </w:rPr>
        <w:t>参考书目</w:t>
      </w:r>
    </w:p>
    <w:p w14:paraId="61A5F318">
      <w:pPr>
        <w:spacing w:line="360" w:lineRule="auto"/>
        <w:rPr>
          <w:rFonts w:hint="eastAsia" w:ascii="宋体" w:hAnsi="宋体" w:eastAsia="宋体"/>
        </w:rPr>
      </w:pPr>
      <w:bookmarkStart w:id="165" w:name="_Hlk151829643"/>
      <w:r>
        <w:rPr>
          <w:rFonts w:hint="eastAsia" w:ascii="宋体" w:hAnsi="宋体" w:eastAsia="宋体"/>
        </w:rPr>
        <w:t>1.李家成，学校家庭社区协同育人研究，国家开放大学出版社，2023.</w:t>
      </w:r>
    </w:p>
    <w:p w14:paraId="366BDD60">
      <w:pPr>
        <w:spacing w:line="360" w:lineRule="auto"/>
        <w:rPr>
          <w:rFonts w:hint="eastAsia" w:ascii="宋体" w:hAnsi="宋体" w:eastAsia="宋体"/>
        </w:rPr>
      </w:pPr>
      <w:r>
        <w:rPr>
          <w:rFonts w:hint="eastAsia" w:ascii="宋体" w:hAnsi="宋体" w:eastAsia="宋体"/>
        </w:rPr>
        <w:t>2.张竹林，教师家庭教育制导能力建设论，上海：华东师范大学出版社，2</w:t>
      </w:r>
      <w:r>
        <w:rPr>
          <w:rFonts w:ascii="宋体" w:hAnsi="宋体" w:eastAsia="宋体"/>
        </w:rPr>
        <w:t>021.</w:t>
      </w:r>
    </w:p>
    <w:p w14:paraId="631876CD">
      <w:pPr>
        <w:spacing w:line="360" w:lineRule="auto"/>
        <w:rPr>
          <w:rFonts w:hint="eastAsia" w:ascii="宋体" w:hAnsi="宋体" w:eastAsia="宋体"/>
        </w:rPr>
      </w:pPr>
      <w:r>
        <w:rPr>
          <w:rFonts w:hint="eastAsia" w:ascii="宋体" w:hAnsi="宋体" w:eastAsia="宋体"/>
        </w:rPr>
        <w:t>3.</w:t>
      </w:r>
      <w:r>
        <w:rPr>
          <w:rFonts w:ascii="宋体" w:hAnsi="宋体" w:eastAsia="宋体"/>
        </w:rPr>
        <w:t>吴重涵，王梅雾，张俊</w:t>
      </w:r>
      <w:r>
        <w:rPr>
          <w:rFonts w:hint="eastAsia" w:ascii="宋体" w:hAnsi="宋体" w:eastAsia="宋体"/>
        </w:rPr>
        <w:t>，</w:t>
      </w:r>
      <w:bookmarkEnd w:id="165"/>
      <w:r>
        <w:rPr>
          <w:rFonts w:hint="eastAsia" w:ascii="宋体" w:hAnsi="宋体" w:eastAsia="宋体"/>
        </w:rPr>
        <w:t>国际视野与本土行动：家校合作的经验和行动指南，</w:t>
      </w:r>
      <w:bookmarkStart w:id="166" w:name="_Hlk151829651"/>
      <w:r>
        <w:rPr>
          <w:rFonts w:hint="eastAsia" w:ascii="宋体" w:hAnsi="宋体" w:eastAsia="宋体"/>
        </w:rPr>
        <w:t>江西教育出版社，2</w:t>
      </w:r>
      <w:r>
        <w:rPr>
          <w:rFonts w:ascii="宋体" w:hAnsi="宋体" w:eastAsia="宋体"/>
        </w:rPr>
        <w:t>012</w:t>
      </w:r>
      <w:bookmarkEnd w:id="166"/>
      <w:r>
        <w:rPr>
          <w:rFonts w:hint="eastAsia" w:ascii="宋体" w:hAnsi="宋体" w:eastAsia="宋体"/>
        </w:rPr>
        <w:t>.</w:t>
      </w:r>
    </w:p>
    <w:p w14:paraId="3C9288E4">
      <w:pPr>
        <w:spacing w:line="360" w:lineRule="auto"/>
        <w:rPr>
          <w:rFonts w:hint="eastAsia" w:ascii="宋体" w:hAnsi="宋体" w:eastAsia="宋体"/>
        </w:rPr>
      </w:pPr>
      <w:r>
        <w:rPr>
          <w:rFonts w:hint="eastAsia" w:ascii="宋体" w:hAnsi="宋体" w:eastAsia="宋体"/>
        </w:rPr>
        <w:t>4．</w:t>
      </w:r>
      <w:r>
        <w:rPr>
          <w:rFonts w:ascii="宋体" w:hAnsi="宋体" w:eastAsia="宋体"/>
        </w:rPr>
        <w:t>吴重涵，王梅雾，张俊，</w:t>
      </w:r>
      <w:r>
        <w:rPr>
          <w:rFonts w:hint="eastAsia" w:ascii="宋体" w:hAnsi="宋体" w:eastAsia="宋体"/>
        </w:rPr>
        <w:t>家校合作：理论、经验与行动，江西教育出版社，2</w:t>
      </w:r>
      <w:r>
        <w:rPr>
          <w:rFonts w:ascii="宋体" w:hAnsi="宋体" w:eastAsia="宋体"/>
        </w:rPr>
        <w:t>013</w:t>
      </w:r>
      <w:r>
        <w:rPr>
          <w:rFonts w:hint="eastAsia" w:ascii="宋体" w:hAnsi="宋体" w:eastAsia="宋体"/>
        </w:rPr>
        <w:t>.</w:t>
      </w:r>
    </w:p>
    <w:p w14:paraId="5C9A5450">
      <w:pPr>
        <w:spacing w:line="360" w:lineRule="auto"/>
        <w:rPr>
          <w:rFonts w:hint="eastAsia" w:ascii="宋体" w:hAnsi="宋体" w:eastAsia="宋体"/>
        </w:rPr>
      </w:pPr>
      <w:r>
        <w:rPr>
          <w:rFonts w:hint="eastAsia" w:ascii="宋体" w:hAnsi="宋体" w:eastAsia="宋体"/>
        </w:rPr>
        <w:t>5.</w:t>
      </w:r>
      <w:r>
        <w:rPr>
          <w:rFonts w:ascii="宋体" w:hAnsi="宋体" w:eastAsia="宋体"/>
        </w:rPr>
        <w:t>Joyce L. Epstein; Mavis G. Sanders; Steven B. Sheldon</w:t>
      </w:r>
      <w:r>
        <w:rPr>
          <w:rFonts w:hint="eastAsia" w:ascii="宋体" w:hAnsi="宋体" w:eastAsia="宋体"/>
        </w:rPr>
        <w:t>，学校、家庭和社区合作伙伴：行动手册，江西教育出版社，2</w:t>
      </w:r>
      <w:r>
        <w:rPr>
          <w:rFonts w:ascii="宋体" w:hAnsi="宋体" w:eastAsia="宋体"/>
        </w:rPr>
        <w:t>012</w:t>
      </w:r>
      <w:r>
        <w:rPr>
          <w:rFonts w:hint="eastAsia" w:ascii="宋体" w:hAnsi="宋体" w:eastAsia="宋体"/>
        </w:rPr>
        <w:t>。</w:t>
      </w:r>
    </w:p>
    <w:p w14:paraId="27A177D3">
      <w:pPr>
        <w:spacing w:line="360" w:lineRule="auto"/>
        <w:ind w:firstLine="422" w:firstLineChars="200"/>
        <w:rPr>
          <w:rFonts w:hint="eastAsia" w:ascii="宋体" w:hAnsi="宋体" w:eastAsia="宋体"/>
          <w:b/>
          <w:bCs/>
        </w:rPr>
      </w:pPr>
      <w:r>
        <w:rPr>
          <w:rFonts w:hint="eastAsia" w:ascii="宋体" w:hAnsi="宋体" w:eastAsia="宋体"/>
          <w:b/>
          <w:bCs/>
        </w:rPr>
        <w:t>国家新近政策</w:t>
      </w:r>
    </w:p>
    <w:p w14:paraId="787EAFAB">
      <w:pPr>
        <w:spacing w:line="360" w:lineRule="auto"/>
        <w:rPr>
          <w:rFonts w:hint="eastAsia" w:ascii="宋体" w:hAnsi="宋体" w:eastAsia="宋体"/>
        </w:rPr>
      </w:pPr>
      <w:r>
        <w:rPr>
          <w:rFonts w:hint="eastAsia" w:ascii="宋体" w:hAnsi="宋体" w:eastAsia="宋体"/>
        </w:rPr>
        <w:t>1.教育部，加快推动“教联体”建设 凝聚全社会育人合力，http://www.moe.gov.cn/jyb_xwfb/s5148/202411/t20241101_1160298.html</w:t>
      </w:r>
    </w:p>
    <w:p w14:paraId="2F26210B">
      <w:pPr>
        <w:spacing w:line="360" w:lineRule="auto"/>
        <w:rPr>
          <w:rFonts w:hint="eastAsia" w:ascii="宋体" w:hAnsi="宋体" w:eastAsia="宋体"/>
        </w:rPr>
      </w:pPr>
      <w:r>
        <w:rPr>
          <w:rFonts w:hint="eastAsia" w:ascii="宋体" w:hAnsi="宋体" w:eastAsia="宋体"/>
        </w:rPr>
        <w:t>2.教育部等联合印发《家校社协同育人“教联体”工作方案》2024年.</w:t>
      </w:r>
    </w:p>
    <w:p w14:paraId="64CE6874">
      <w:pPr>
        <w:spacing w:line="360" w:lineRule="auto"/>
        <w:rPr>
          <w:rFonts w:hint="eastAsia" w:ascii="宋体" w:hAnsi="宋体" w:eastAsia="宋体"/>
        </w:rPr>
      </w:pPr>
      <w:r>
        <w:rPr>
          <w:rFonts w:hint="eastAsia" w:ascii="宋体" w:hAnsi="宋体" w:eastAsia="宋体"/>
        </w:rPr>
        <w:t>3.</w:t>
      </w:r>
      <w:r>
        <w:fldChar w:fldCharType="begin"/>
      </w:r>
      <w:r>
        <w:instrText xml:space="preserve"> HYPERLINK "http://www.moe.gov.cn/jyb_xwfb/s5148/202411/t20241102_1160413.html" </w:instrText>
      </w:r>
      <w:r>
        <w:fldChar w:fldCharType="separate"/>
      </w:r>
      <w:r>
        <w:rPr>
          <w:rStyle w:val="17"/>
          <w:rFonts w:ascii="宋体" w:hAnsi="宋体" w:eastAsia="宋体"/>
          <w:color w:val="auto"/>
          <w:u w:val="none"/>
        </w:rPr>
        <w:t>构建协同育人“教联体” 共画学生成长“同心圆”——专家解读《家校社协同育人“教联体”工作方案》 - 中华人民共和国教育部政府门户网站</w:t>
      </w:r>
      <w:r>
        <w:rPr>
          <w:rStyle w:val="17"/>
          <w:rFonts w:ascii="宋体" w:hAnsi="宋体" w:eastAsia="宋体"/>
          <w:color w:val="auto"/>
          <w:u w:val="none"/>
        </w:rPr>
        <w:fldChar w:fldCharType="end"/>
      </w:r>
      <w:r>
        <w:rPr>
          <w:rFonts w:hint="eastAsia" w:ascii="宋体" w:hAnsi="宋体" w:eastAsia="宋体"/>
        </w:rPr>
        <w:t>http://www.moe.gov.cn/jyb_xwfb/s5148/202411/t20241102_1160413.html</w:t>
      </w:r>
    </w:p>
    <w:p w14:paraId="5D8A1297">
      <w:pPr>
        <w:spacing w:line="360" w:lineRule="auto"/>
        <w:rPr>
          <w:rFonts w:hint="eastAsia" w:ascii="宋体" w:hAnsi="宋体" w:eastAsia="宋体"/>
        </w:rPr>
      </w:pPr>
      <w:r>
        <w:rPr>
          <w:rFonts w:hint="eastAsia" w:ascii="宋体" w:hAnsi="宋体" w:eastAsia="宋体"/>
        </w:rPr>
        <w:t>4.</w:t>
      </w:r>
      <w:r>
        <w:fldChar w:fldCharType="begin"/>
      </w:r>
      <w:r>
        <w:instrText xml:space="preserve"> HYPERLINK "http://www.moe.gov.cn/jyb_sjzl/sjzl_zcfg/zcfg_qtxgfl/202110/t20211025_574749.html" </w:instrText>
      </w:r>
      <w:r>
        <w:fldChar w:fldCharType="separate"/>
      </w:r>
      <w:r>
        <w:rPr>
          <w:rStyle w:val="17"/>
          <w:rFonts w:ascii="宋体" w:hAnsi="宋体" w:eastAsia="宋体"/>
          <w:color w:val="auto"/>
          <w:u w:val="none"/>
        </w:rPr>
        <w:t>中华人民共和国家庭教育促进法 - 中华人民共和国教育部政府门户网站</w:t>
      </w:r>
      <w:r>
        <w:rPr>
          <w:rStyle w:val="17"/>
          <w:rFonts w:ascii="宋体" w:hAnsi="宋体" w:eastAsia="宋体"/>
          <w:color w:val="auto"/>
          <w:u w:val="none"/>
        </w:rPr>
        <w:fldChar w:fldCharType="end"/>
      </w:r>
      <w:r>
        <w:fldChar w:fldCharType="begin"/>
      </w:r>
      <w:r>
        <w:instrText xml:space="preserve"> HYPERLINK "http://www.moe.gov.cn/jyb_sjzl/sjzl_zcfg/zcfg_qtxgfl/202110/t20211025_574749.html" </w:instrText>
      </w:r>
      <w:r>
        <w:fldChar w:fldCharType="separate"/>
      </w:r>
      <w:r>
        <w:rPr>
          <w:rStyle w:val="17"/>
          <w:rFonts w:hint="eastAsia" w:ascii="宋体" w:hAnsi="宋体" w:eastAsia="宋体"/>
          <w:color w:val="auto"/>
          <w:u w:val="none"/>
        </w:rPr>
        <w:t>http://www.moe.gov.cn/jyb_sjzl/sjzl_zcfg/zcfg_qtxgfl/202110/t20211025_574749.html</w:t>
      </w:r>
      <w:r>
        <w:rPr>
          <w:rStyle w:val="17"/>
          <w:rFonts w:hint="eastAsia" w:ascii="宋体" w:hAnsi="宋体" w:eastAsia="宋体"/>
          <w:color w:val="auto"/>
          <w:u w:val="none"/>
        </w:rPr>
        <w:fldChar w:fldCharType="end"/>
      </w:r>
    </w:p>
    <w:p w14:paraId="14F80CA4">
      <w:pPr>
        <w:spacing w:line="360" w:lineRule="auto"/>
        <w:rPr>
          <w:rFonts w:hint="eastAsia" w:ascii="宋体" w:hAnsi="宋体" w:eastAsia="宋体"/>
        </w:rPr>
      </w:pPr>
      <w:r>
        <w:rPr>
          <w:rFonts w:hint="eastAsia" w:ascii="宋体" w:hAnsi="宋体" w:eastAsia="宋体"/>
        </w:rPr>
        <w:t>5.</w:t>
      </w:r>
      <w:r>
        <w:fldChar w:fldCharType="begin"/>
      </w:r>
      <w:r>
        <w:instrText xml:space="preserve"> HYPERLINK "http://www.moe.gov.cn/jyb_sjzl/sjzl_zcfg/zcfg_qtxgfl/202110/t20211025_574798.html" </w:instrText>
      </w:r>
      <w:r>
        <w:fldChar w:fldCharType="separate"/>
      </w:r>
      <w:r>
        <w:rPr>
          <w:rStyle w:val="17"/>
          <w:rFonts w:ascii="宋体" w:hAnsi="宋体" w:eastAsia="宋体"/>
          <w:color w:val="auto"/>
          <w:u w:val="none"/>
        </w:rPr>
        <w:t>中华人民共和国未成年人保护法 - 中华人民共和国教育部政府门户网站</w:t>
      </w:r>
      <w:r>
        <w:rPr>
          <w:rStyle w:val="17"/>
          <w:rFonts w:ascii="宋体" w:hAnsi="宋体" w:eastAsia="宋体"/>
          <w:color w:val="auto"/>
          <w:u w:val="none"/>
        </w:rPr>
        <w:fldChar w:fldCharType="end"/>
      </w:r>
      <w:r>
        <w:rPr>
          <w:rFonts w:hint="eastAsia" w:ascii="宋体" w:hAnsi="宋体" w:eastAsia="宋体"/>
        </w:rPr>
        <w:t>http://www.moe.gov.cn/jyb_sjzl/sjzl_zcfg/zcfg_qtxgfl/202110/t20211025_574798.html</w:t>
      </w:r>
    </w:p>
    <w:p w14:paraId="0B09A4A2"/>
    <w:p w14:paraId="0BFD7F0C"/>
    <w:p w14:paraId="16FF9893"/>
    <w:p w14:paraId="668CEF21"/>
    <w:p w14:paraId="47BEB9E0"/>
    <w:p w14:paraId="7AEDADFF"/>
    <w:p w14:paraId="0B3917DC"/>
    <w:p w14:paraId="28550F17"/>
    <w:p w14:paraId="6230B9B9"/>
    <w:p w14:paraId="0251DC48"/>
    <w:p w14:paraId="197C631E"/>
    <w:p w14:paraId="53F328C7">
      <w:pPr>
        <w:snapToGrid w:val="0"/>
        <w:spacing w:line="360" w:lineRule="auto"/>
        <w:ind w:firstLine="5520" w:firstLineChars="2300"/>
        <w:rPr>
          <w:rFonts w:ascii="Times New Roman" w:hAnsi="Times New Roman" w:eastAsia="宋体" w:cs="Times New Roman"/>
          <w:sz w:val="24"/>
        </w:rPr>
      </w:pPr>
      <w:r>
        <w:rPr>
          <w:rFonts w:hint="eastAsia" w:ascii="Times New Roman" w:hAnsi="Times New Roman" w:eastAsia="宋体" w:cs="Times New Roman"/>
          <w:sz w:val="24"/>
        </w:rPr>
        <w:t>执 笔 人：</w:t>
      </w:r>
      <w:r>
        <w:rPr>
          <w:rFonts w:ascii="Times New Roman" w:hAnsi="Times New Roman" w:eastAsia="宋体" w:cs="Times New Roman"/>
          <w:sz w:val="24"/>
        </w:rPr>
        <w:t xml:space="preserve"> </w:t>
      </w:r>
      <w:r>
        <w:rPr>
          <w:rFonts w:hint="eastAsia" w:ascii="宋体" w:hAnsi="宋体" w:eastAsia="宋体" w:cs="Times New Roman"/>
          <w:color w:val="000000"/>
          <w:sz w:val="24"/>
        </w:rPr>
        <w:t>张文娟</w:t>
      </w:r>
    </w:p>
    <w:p w14:paraId="32703196">
      <w:pPr>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                                              审 定 人：</w:t>
      </w:r>
      <w:r>
        <w:rPr>
          <w:rFonts w:ascii="Times New Roman" w:hAnsi="Times New Roman" w:eastAsia="宋体" w:cs="Times New Roman"/>
          <w:sz w:val="24"/>
        </w:rPr>
        <w:t xml:space="preserve"> </w:t>
      </w:r>
      <w:r>
        <w:rPr>
          <w:rFonts w:hint="eastAsia" w:ascii="宋体" w:hAnsi="宋体" w:eastAsia="宋体" w:cs="Times New Roman"/>
          <w:color w:val="000000"/>
          <w:sz w:val="24"/>
        </w:rPr>
        <w:t>张志欣</w:t>
      </w:r>
    </w:p>
    <w:p w14:paraId="152B126C">
      <w:pPr>
        <w:snapToGrid w:val="0"/>
        <w:spacing w:line="360" w:lineRule="auto"/>
        <w:ind w:firstLine="5520" w:firstLineChars="2300"/>
        <w:rPr>
          <w:rFonts w:ascii="Times New Roman" w:hAnsi="Times New Roman" w:eastAsia="宋体" w:cs="Times New Roman"/>
          <w:sz w:val="24"/>
        </w:rPr>
      </w:pPr>
      <w:r>
        <w:rPr>
          <w:rFonts w:hint="eastAsia" w:ascii="Times New Roman" w:hAnsi="Times New Roman" w:eastAsia="宋体" w:cs="Times New Roman"/>
          <w:sz w:val="24"/>
        </w:rPr>
        <w:t>审 批 人：</w:t>
      </w:r>
      <w:r>
        <w:rPr>
          <w:rFonts w:hint="eastAsia" w:ascii="宋体" w:hAnsi="宋体" w:eastAsia="宋体" w:cs="Times New Roman"/>
          <w:color w:val="000000"/>
          <w:sz w:val="24"/>
        </w:rPr>
        <w:t>崔涛</w:t>
      </w:r>
      <w:r>
        <w:rPr>
          <w:rFonts w:ascii="Times New Roman" w:hAnsi="Times New Roman" w:eastAsia="宋体" w:cs="Times New Roman"/>
          <w:sz w:val="24"/>
        </w:rPr>
        <w:t xml:space="preserve"> </w:t>
      </w:r>
    </w:p>
    <w:p w14:paraId="306E854A">
      <w:pPr>
        <w:snapToGrid w:val="0"/>
        <w:spacing w:line="360" w:lineRule="auto"/>
        <w:ind w:firstLine="4800" w:firstLineChars="2000"/>
        <w:rPr>
          <w:rFonts w:hint="eastAsia" w:ascii="宋体" w:hAnsi="宋体" w:eastAsia="宋体" w:cs="Times New Roman"/>
          <w:color w:val="000000"/>
          <w:sz w:val="24"/>
        </w:rPr>
      </w:pPr>
      <w:r>
        <w:rPr>
          <w:rFonts w:hint="eastAsia" w:ascii="Times New Roman" w:hAnsi="Times New Roman" w:eastAsia="宋体" w:cs="Times New Roman"/>
          <w:sz w:val="24"/>
        </w:rPr>
        <w:t xml:space="preserve">批准时间： </w:t>
      </w:r>
      <w:r>
        <w:rPr>
          <w:rFonts w:hint="eastAsia" w:ascii="宋体" w:hAnsi="宋体" w:eastAsia="宋体" w:cs="Times New Roman"/>
          <w:color w:val="000000"/>
          <w:sz w:val="24"/>
        </w:rPr>
        <w:t>2024年</w:t>
      </w:r>
      <w:r>
        <w:rPr>
          <w:rFonts w:ascii="宋体" w:hAnsi="宋体" w:eastAsia="宋体" w:cs="Times New Roman"/>
          <w:color w:val="000000"/>
          <w:sz w:val="24"/>
        </w:rPr>
        <w:t>8</w:t>
      </w:r>
      <w:r>
        <w:rPr>
          <w:rFonts w:hint="eastAsia" w:ascii="宋体" w:hAnsi="宋体" w:eastAsia="宋体" w:cs="Times New Roman"/>
          <w:color w:val="000000"/>
          <w:sz w:val="24"/>
        </w:rPr>
        <w:t>月20日</w:t>
      </w:r>
    </w:p>
    <w:p w14:paraId="1AFC295F">
      <w:pPr>
        <w:rPr>
          <w:rFonts w:hint="eastAsia" w:ascii="宋体" w:hAnsi="宋体" w:eastAsia="宋体" w:cs="Times New Roman"/>
          <w:color w:val="000000"/>
          <w:sz w:val="24"/>
        </w:rPr>
      </w:pPr>
      <w:r>
        <w:rPr>
          <w:rFonts w:hint="eastAsia" w:ascii="宋体" w:hAnsi="宋体" w:eastAsia="宋体" w:cs="Times New Roman"/>
          <w:color w:val="000000"/>
          <w:sz w:val="24"/>
        </w:rPr>
        <w:br w:type="page"/>
      </w:r>
    </w:p>
    <w:p w14:paraId="56CBF1E9">
      <w:pPr>
        <w:pStyle w:val="2"/>
      </w:pPr>
      <w:bookmarkStart w:id="167" w:name="_Toc17845"/>
      <w:bookmarkStart w:id="168" w:name="_Toc29390"/>
      <w:bookmarkStart w:id="169" w:name="_Toc57017185"/>
      <w:r>
        <w:rPr>
          <w:rFonts w:hint="eastAsia"/>
        </w:rPr>
        <w:t>《中外教育名著导读》课程教学大纲</w:t>
      </w:r>
      <w:bookmarkEnd w:id="167"/>
      <w:bookmarkEnd w:id="168"/>
      <w:bookmarkEnd w:id="169"/>
    </w:p>
    <w:p w14:paraId="690C4DA9">
      <w:pPr>
        <w:spacing w:line="360" w:lineRule="auto"/>
        <w:jc w:val="center"/>
        <w:rPr>
          <w:rFonts w:ascii="Times New Roman" w:hAnsi="Times New Roman" w:eastAsia="宋体" w:cs="Times New Roman"/>
          <w:b/>
          <w:bCs/>
          <w:sz w:val="28"/>
          <w:szCs w:val="30"/>
        </w:rPr>
      </w:pPr>
      <w:r>
        <w:rPr>
          <w:rFonts w:ascii="Times New Roman" w:hAnsi="Times New Roman" w:eastAsia="宋体" w:cs="Times New Roman"/>
          <w:b/>
          <w:bCs/>
          <w:sz w:val="28"/>
          <w:szCs w:val="30"/>
        </w:rPr>
        <w:t>（Introduction to Chinese and Foreign Educational Classics）</w:t>
      </w:r>
    </w:p>
    <w:p w14:paraId="180C3A51">
      <w:pPr>
        <w:spacing w:line="360" w:lineRule="auto"/>
        <w:ind w:firstLine="482" w:firstLineChars="200"/>
        <w:jc w:val="left"/>
        <w:rPr>
          <w:rFonts w:ascii="Times New Roman" w:hAnsi="Times New Roman" w:eastAsia="宋体" w:cs="Times New Roman"/>
          <w:b/>
          <w:sz w:val="24"/>
        </w:rPr>
      </w:pPr>
    </w:p>
    <w:p w14:paraId="2825FAD0">
      <w:pPr>
        <w:spacing w:line="360" w:lineRule="auto"/>
        <w:ind w:firstLine="562" w:firstLineChars="20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一、课程概况</w:t>
      </w:r>
    </w:p>
    <w:p w14:paraId="5413B8AE">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sz w:val="24"/>
        </w:rPr>
        <w:t>2401020</w:t>
      </w:r>
    </w:p>
    <w:p w14:paraId="13A0D11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hint="eastAsia" w:ascii="Times New Roman" w:hAnsi="Times New Roman" w:eastAsia="宋体" w:cs="Times New Roman"/>
          <w:sz w:val="24"/>
        </w:rPr>
        <w:t>2</w:t>
      </w:r>
    </w:p>
    <w:p w14:paraId="1B83209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Times New Roman" w:hAnsi="Times New Roman" w:eastAsia="宋体" w:cs="Times New Roman"/>
          <w:sz w:val="24"/>
        </w:rPr>
        <w:t>32</w:t>
      </w:r>
    </w:p>
    <w:p w14:paraId="1085757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hint="eastAsia" w:ascii="Times New Roman" w:hAnsi="Times New Roman" w:eastAsia="宋体" w:cs="Times New Roman"/>
          <w:bCs/>
          <w:sz w:val="24"/>
        </w:rPr>
        <w:t>教育原理、中国教育史、外国教育史</w:t>
      </w:r>
    </w:p>
    <w:p w14:paraId="6AF8AD7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w:t>
      </w:r>
      <w:r>
        <w:rPr>
          <w:rFonts w:hint="eastAsia" w:ascii="Times New Roman" w:hAnsi="Times New Roman" w:eastAsia="宋体" w:cs="Times New Roman"/>
          <w:sz w:val="24"/>
        </w:rPr>
        <w:t>小学教育</w:t>
      </w:r>
    </w:p>
    <w:p w14:paraId="6124DBB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建议教材：</w:t>
      </w:r>
      <w:r>
        <w:rPr>
          <w:rFonts w:hint="eastAsia" w:ascii="Times New Roman" w:hAnsi="Times New Roman" w:eastAsia="宋体" w:cs="Times New Roman"/>
          <w:sz w:val="24"/>
        </w:rPr>
        <w:t>《中外教育名著选读》，肖朗，高等教育出版社，20</w:t>
      </w:r>
      <w:r>
        <w:rPr>
          <w:rFonts w:ascii="Times New Roman" w:hAnsi="Times New Roman" w:eastAsia="宋体" w:cs="Times New Roman"/>
          <w:sz w:val="24"/>
        </w:rPr>
        <w:t>09.</w:t>
      </w:r>
    </w:p>
    <w:p w14:paraId="5E0E01F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课程归口：</w:t>
      </w:r>
      <w:r>
        <w:rPr>
          <w:rFonts w:hint="eastAsia" w:ascii="Times New Roman" w:hAnsi="Times New Roman" w:eastAsia="宋体" w:cs="Times New Roman"/>
          <w:sz w:val="24"/>
        </w:rPr>
        <w:t>师范学院</w:t>
      </w:r>
    </w:p>
    <w:p w14:paraId="5A6EAF62">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课程的性质与任务：</w:t>
      </w:r>
      <w:r>
        <w:rPr>
          <w:rFonts w:hint="eastAsia" w:ascii="Times New Roman" w:hAnsi="Times New Roman" w:eastAsia="宋体" w:cs="Times New Roman"/>
          <w:sz w:val="24"/>
        </w:rPr>
        <w:t>本课程是小学教育专业的一门专业基础选修课。开设本课程，旨在促使学生通过阅读一些中外教育名著，更真实清晰地了解教育史上的重要教育思想，理解其思想实质和教育家们思考问题的立场、方法及时代背景；能运用马克思主义的思想观点、立场、方法来分析历史上中外教育家们的教育思想，取其精华，去其糟粕。学生在掌握中外教育名著理论精华和特色的基础上，能把传统思想精华与现代教育改革有机结合，丰富中国特色现代教育理论和实践。牢固学生专业思想，养成热爱祖国，热爱教育事业的情操。</w:t>
      </w:r>
    </w:p>
    <w:p w14:paraId="634B1B17">
      <w:pPr>
        <w:spacing w:line="360"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二、课程目标</w:t>
      </w:r>
    </w:p>
    <w:p w14:paraId="535B2F0D">
      <w:pPr>
        <w:spacing w:line="360"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（一）课程具体目标</w:t>
      </w:r>
    </w:p>
    <w:p w14:paraId="6C28DC90">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目标1</w:t>
      </w:r>
      <w:r>
        <w:rPr>
          <w:rFonts w:ascii="Times New Roman" w:hAnsi="Times New Roman" w:eastAsia="宋体" w:cs="Times New Roman"/>
          <w:sz w:val="24"/>
        </w:rPr>
        <w:t xml:space="preserve">. </w:t>
      </w:r>
      <w:r>
        <w:rPr>
          <w:rFonts w:hint="eastAsia" w:ascii="Times New Roman" w:hAnsi="Times New Roman" w:eastAsia="宋体" w:cs="Times New Roman"/>
          <w:sz w:val="24"/>
        </w:rPr>
        <w:t>掌握中外著名教育家的主要教育思想及代表性作品。</w:t>
      </w:r>
    </w:p>
    <w:p w14:paraId="76A26E28">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目标2</w:t>
      </w:r>
      <w:r>
        <w:rPr>
          <w:rFonts w:ascii="Times New Roman" w:hAnsi="Times New Roman" w:eastAsia="宋体" w:cs="Times New Roman"/>
          <w:sz w:val="24"/>
        </w:rPr>
        <w:t xml:space="preserve">. </w:t>
      </w:r>
      <w:r>
        <w:rPr>
          <w:rFonts w:hint="eastAsia" w:ascii="Times New Roman" w:hAnsi="Times New Roman" w:eastAsia="宋体" w:cs="Times New Roman"/>
          <w:sz w:val="24"/>
        </w:rPr>
        <w:t>了解中外教育名著的写作背景，把握其思想实质和教育家们分析问题的立场、方法，自觉树立科学的教育理念</w:t>
      </w:r>
    </w:p>
    <w:p w14:paraId="5068D976">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 xml:space="preserve">3. </w:t>
      </w:r>
      <w:r>
        <w:rPr>
          <w:rFonts w:hint="eastAsia" w:ascii="Times New Roman" w:hAnsi="Times New Roman" w:eastAsia="宋体" w:cs="Times New Roman"/>
          <w:sz w:val="24"/>
        </w:rPr>
        <w:t>了解古今中外教育家教育思想的现实意义，通过知古识今，洋为中用，更好地分析和思考当前我国教育改革的实际问题，增强教育的革新意识</w:t>
      </w:r>
    </w:p>
    <w:p w14:paraId="616B511E">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 xml:space="preserve">4. </w:t>
      </w:r>
      <w:r>
        <w:rPr>
          <w:rFonts w:hint="eastAsia" w:ascii="Times New Roman" w:hAnsi="Times New Roman" w:eastAsia="宋体" w:cs="Times New Roman"/>
          <w:sz w:val="24"/>
        </w:rPr>
        <w:t>掌握一定的阅读方法，养成良好的阅读习惯，增强分析、批判和创新能力。</w:t>
      </w:r>
    </w:p>
    <w:p w14:paraId="6D13D026">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7C3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C25435B">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w:t>
            </w:r>
          </w:p>
        </w:tc>
        <w:tc>
          <w:tcPr>
            <w:tcW w:w="5688" w:type="dxa"/>
            <w:vAlign w:val="center"/>
          </w:tcPr>
          <w:p w14:paraId="2C95D626">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毕业要求指标点</w:t>
            </w:r>
          </w:p>
        </w:tc>
        <w:tc>
          <w:tcPr>
            <w:tcW w:w="1191" w:type="dxa"/>
            <w:vAlign w:val="center"/>
          </w:tcPr>
          <w:p w14:paraId="0B452C5A">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课程目标</w:t>
            </w:r>
          </w:p>
        </w:tc>
      </w:tr>
      <w:tr w14:paraId="6A18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429752E">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毕业要求2教育情怀</w:t>
            </w:r>
          </w:p>
        </w:tc>
        <w:tc>
          <w:tcPr>
            <w:tcW w:w="5688" w:type="dxa"/>
            <w:vAlign w:val="center"/>
          </w:tcPr>
          <w:p w14:paraId="158114B2">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指标点2-3：【自身修养良好】具有较好的人文艺术底蕴与科学精神，言行举止符合教师职业标准，情感积极，人格健全，身心健康。</w:t>
            </w:r>
          </w:p>
        </w:tc>
        <w:tc>
          <w:tcPr>
            <w:tcW w:w="1191" w:type="dxa"/>
            <w:vAlign w:val="center"/>
          </w:tcPr>
          <w:p w14:paraId="14039FDF">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课程目标1、4</w:t>
            </w:r>
          </w:p>
        </w:tc>
      </w:tr>
      <w:tr w14:paraId="26F8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A0D6D5F">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毕业要求3学科素养</w:t>
            </w:r>
          </w:p>
        </w:tc>
        <w:tc>
          <w:tcPr>
            <w:tcW w:w="5688" w:type="dxa"/>
            <w:vAlign w:val="center"/>
          </w:tcPr>
          <w:p w14:paraId="5029B4BF">
            <w:pPr>
              <w:spacing w:line="276" w:lineRule="auto"/>
              <w:jc w:val="left"/>
              <w:rPr>
                <w:rFonts w:ascii="Times New Roman" w:hAnsi="Times New Roman" w:eastAsia="宋体" w:cs="Times New Roman"/>
                <w:kern w:val="0"/>
                <w:sz w:val="20"/>
                <w:szCs w:val="21"/>
              </w:rPr>
            </w:pPr>
            <w:r>
              <w:rPr>
                <w:rFonts w:hint="eastAsia" w:ascii="宋体" w:hAnsi="宋体" w:eastAsia="宋体" w:cs="Times New Roman"/>
                <w:color w:val="000000"/>
                <w:spacing w:val="2"/>
                <w:kern w:val="0"/>
                <w:sz w:val="20"/>
                <w:szCs w:val="21"/>
              </w:rPr>
              <w:t>指标点3-1：【通识知识广博】具有小学教育本科专业相应的自然科学和人文社会科学知识素养。</w:t>
            </w:r>
          </w:p>
        </w:tc>
        <w:tc>
          <w:tcPr>
            <w:tcW w:w="1191" w:type="dxa"/>
            <w:vAlign w:val="center"/>
          </w:tcPr>
          <w:p w14:paraId="6B07D80E">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课程目标1、2</w:t>
            </w:r>
          </w:p>
        </w:tc>
      </w:tr>
      <w:tr w14:paraId="0481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4A08709">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毕业要求7学会反思</w:t>
            </w:r>
          </w:p>
        </w:tc>
        <w:tc>
          <w:tcPr>
            <w:tcW w:w="5688" w:type="dxa"/>
            <w:vAlign w:val="center"/>
          </w:tcPr>
          <w:p w14:paraId="3D691F9D">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指标点</w:t>
            </w:r>
            <w:r>
              <w:rPr>
                <w:rFonts w:hint="eastAsia" w:ascii="宋体" w:hAnsi="宋体" w:eastAsia="宋体" w:cs="Times New Roman"/>
                <w:color w:val="000000"/>
                <w:kern w:val="0"/>
                <w:sz w:val="20"/>
                <w:szCs w:val="21"/>
              </w:rPr>
              <w:t>7</w:t>
            </w:r>
            <w:r>
              <w:rPr>
                <w:rFonts w:ascii="宋体" w:hAnsi="宋体" w:eastAsia="宋体" w:cs="Times New Roman"/>
                <w:color w:val="000000"/>
                <w:kern w:val="0"/>
                <w:sz w:val="20"/>
                <w:szCs w:val="21"/>
              </w:rPr>
              <w:t>-1：</w:t>
            </w:r>
            <w:r>
              <w:rPr>
                <w:rFonts w:hint="eastAsia" w:ascii="宋体" w:hAnsi="宋体" w:eastAsia="宋体" w:cs="Times New Roman"/>
                <w:color w:val="000000"/>
                <w:kern w:val="0"/>
                <w:sz w:val="20"/>
                <w:szCs w:val="21"/>
              </w:rPr>
              <w:t>【教育视野开阔】积极参加基础教育领域的国内外交流，了解国内外基础教育改革发展的动态，具有宽广的教育视野，能够主动适应新时代和教育发展需求。</w:t>
            </w:r>
          </w:p>
          <w:p w14:paraId="04EE9E7C">
            <w:pPr>
              <w:spacing w:line="276" w:lineRule="auto"/>
              <w:jc w:val="left"/>
              <w:rPr>
                <w:rFonts w:ascii="Times New Roman" w:hAnsi="Times New Roman" w:eastAsia="宋体" w:cs="Times New Roman"/>
                <w:kern w:val="0"/>
                <w:sz w:val="20"/>
                <w:szCs w:val="21"/>
              </w:rPr>
            </w:pPr>
          </w:p>
        </w:tc>
        <w:tc>
          <w:tcPr>
            <w:tcW w:w="1191" w:type="dxa"/>
            <w:vAlign w:val="center"/>
          </w:tcPr>
          <w:p w14:paraId="5142A35C">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课程目标3</w:t>
            </w:r>
          </w:p>
        </w:tc>
      </w:tr>
    </w:tbl>
    <w:p w14:paraId="0306E061">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042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9DAA601">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w:t>
            </w:r>
          </w:p>
          <w:p w14:paraId="141F5A1F">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单元</w:t>
            </w:r>
          </w:p>
        </w:tc>
        <w:tc>
          <w:tcPr>
            <w:tcW w:w="1701" w:type="dxa"/>
            <w:vAlign w:val="center"/>
          </w:tcPr>
          <w:p w14:paraId="11D11501">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知识点</w:t>
            </w:r>
          </w:p>
        </w:tc>
        <w:tc>
          <w:tcPr>
            <w:tcW w:w="1134" w:type="dxa"/>
            <w:vAlign w:val="center"/>
          </w:tcPr>
          <w:p w14:paraId="1D1F949E">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对应</w:t>
            </w:r>
          </w:p>
          <w:p w14:paraId="5F952F4A">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课程目标</w:t>
            </w:r>
          </w:p>
        </w:tc>
        <w:tc>
          <w:tcPr>
            <w:tcW w:w="3260" w:type="dxa"/>
            <w:vAlign w:val="center"/>
          </w:tcPr>
          <w:p w14:paraId="79440511">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预期学习成效</w:t>
            </w:r>
          </w:p>
        </w:tc>
        <w:tc>
          <w:tcPr>
            <w:tcW w:w="1560" w:type="dxa"/>
            <w:vAlign w:val="center"/>
          </w:tcPr>
          <w:p w14:paraId="41835F8D">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实现环节</w:t>
            </w:r>
          </w:p>
        </w:tc>
        <w:tc>
          <w:tcPr>
            <w:tcW w:w="438" w:type="dxa"/>
            <w:vAlign w:val="center"/>
          </w:tcPr>
          <w:p w14:paraId="67F58028">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学时</w:t>
            </w:r>
          </w:p>
        </w:tc>
      </w:tr>
      <w:tr w14:paraId="332A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149EC61">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导读概述</w:t>
            </w:r>
          </w:p>
        </w:tc>
        <w:tc>
          <w:tcPr>
            <w:tcW w:w="1701" w:type="dxa"/>
            <w:vAlign w:val="center"/>
          </w:tcPr>
          <w:p w14:paraId="2BFDF79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（1）什么是教育经典名著</w:t>
            </w:r>
          </w:p>
          <w:p w14:paraId="4910381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（2）阅读教育经典名著的方法</w:t>
            </w:r>
          </w:p>
        </w:tc>
        <w:tc>
          <w:tcPr>
            <w:tcW w:w="1134" w:type="dxa"/>
            <w:vAlign w:val="center"/>
          </w:tcPr>
          <w:p w14:paraId="0E44BB33">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课程目标1、4</w:t>
            </w:r>
          </w:p>
        </w:tc>
        <w:tc>
          <w:tcPr>
            <w:tcW w:w="3260" w:type="dxa"/>
            <w:vAlign w:val="center"/>
          </w:tcPr>
          <w:p w14:paraId="7DCE5C2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（1）了解什么是教育经典名著</w:t>
            </w:r>
          </w:p>
          <w:p w14:paraId="70B15E9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（2）明确阅读教育经典名著的意义</w:t>
            </w:r>
          </w:p>
          <w:p w14:paraId="5F85AED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（3）掌握教育经典名著的方法</w:t>
            </w:r>
          </w:p>
        </w:tc>
        <w:tc>
          <w:tcPr>
            <w:tcW w:w="1560" w:type="dxa"/>
            <w:vAlign w:val="center"/>
          </w:tcPr>
          <w:p w14:paraId="2690BFE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1.线上学习</w:t>
            </w:r>
          </w:p>
          <w:p w14:paraId="1A1DCB7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2.多媒体教学3.课堂讨论</w:t>
            </w:r>
          </w:p>
          <w:p w14:paraId="04128A7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4.单元测验</w:t>
            </w:r>
          </w:p>
        </w:tc>
        <w:tc>
          <w:tcPr>
            <w:tcW w:w="438" w:type="dxa"/>
            <w:vAlign w:val="center"/>
          </w:tcPr>
          <w:p w14:paraId="5655C31A">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p>
        </w:tc>
      </w:tr>
      <w:tr w14:paraId="1CDC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5C2A9F4">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17FE966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把马克思主义经典理论和习近平新时代中国特色社会主义思想等马克思主义中国化的最新理论成果融入课程内容，树牢“四个意识”，坚定“四个自信”，坚决做到“两个维护”，立志肩负起民族复兴的时代重任。</w:t>
            </w:r>
          </w:p>
        </w:tc>
      </w:tr>
      <w:tr w14:paraId="4E7F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24112C3">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中国古代教育名著导读</w:t>
            </w:r>
          </w:p>
        </w:tc>
        <w:tc>
          <w:tcPr>
            <w:tcW w:w="1701" w:type="dxa"/>
            <w:vAlign w:val="center"/>
          </w:tcPr>
          <w:p w14:paraId="5579A67E">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（1）《论语》导读</w:t>
            </w:r>
          </w:p>
          <w:p w14:paraId="36F51FF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（2）《学记》导读</w:t>
            </w:r>
          </w:p>
          <w:p w14:paraId="74D7372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（3）《勉学》导读</w:t>
            </w:r>
          </w:p>
          <w:p w14:paraId="7F6C458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（4）《师说》导读</w:t>
            </w:r>
          </w:p>
        </w:tc>
        <w:tc>
          <w:tcPr>
            <w:tcW w:w="1134" w:type="dxa"/>
            <w:vAlign w:val="center"/>
          </w:tcPr>
          <w:p w14:paraId="77B5702A">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069CE6C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（1）了解《论语》《学记》《勉学》《师说》的内容和孔子、颜之推、韩愈的教育思想</w:t>
            </w:r>
          </w:p>
          <w:p w14:paraId="4C4E534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（2）理解《论语》《学记》《勉学》《师说》中的教育观和它们的历史地位</w:t>
            </w:r>
          </w:p>
          <w:p w14:paraId="73DED09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（3）掌握其思想精髓</w:t>
            </w:r>
          </w:p>
          <w:p w14:paraId="45F446D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（4）能联系实际，探寻教育思想的现代意义</w:t>
            </w:r>
          </w:p>
        </w:tc>
        <w:tc>
          <w:tcPr>
            <w:tcW w:w="1560" w:type="dxa"/>
            <w:vAlign w:val="center"/>
          </w:tcPr>
          <w:p w14:paraId="474E327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1.线上学习</w:t>
            </w:r>
          </w:p>
          <w:p w14:paraId="1DF2FE5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2.多媒体教学3.课堂讨论</w:t>
            </w:r>
          </w:p>
          <w:p w14:paraId="0E12F8F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4.单元测验</w:t>
            </w:r>
          </w:p>
        </w:tc>
        <w:tc>
          <w:tcPr>
            <w:tcW w:w="438" w:type="dxa"/>
            <w:vAlign w:val="center"/>
          </w:tcPr>
          <w:p w14:paraId="08E4D9AB">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8</w:t>
            </w:r>
          </w:p>
        </w:tc>
      </w:tr>
      <w:tr w14:paraId="7A8B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26FE2CA">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195C072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以教育家为榜样，忠诚人民教育事业，进一步巩固专业思想，乐于从事“太阳底下最光辉的事业”，把青春和智慧献给教育事业。</w:t>
            </w:r>
          </w:p>
        </w:tc>
      </w:tr>
      <w:tr w14:paraId="4A29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44757AA">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中国近现代教育名著导读</w:t>
            </w:r>
          </w:p>
        </w:tc>
        <w:tc>
          <w:tcPr>
            <w:tcW w:w="1701" w:type="dxa"/>
            <w:vAlign w:val="center"/>
          </w:tcPr>
          <w:p w14:paraId="1FFB129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（1）《就任北京大学校长之演说》导读</w:t>
            </w:r>
          </w:p>
          <w:p w14:paraId="7E03F72D">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（2）《大学一解》导读</w:t>
            </w:r>
          </w:p>
          <w:p w14:paraId="792E638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（3）《创造的教育》导读</w:t>
            </w:r>
          </w:p>
          <w:p w14:paraId="03ACCDF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（4）《为什么读书》导读</w:t>
            </w:r>
          </w:p>
        </w:tc>
        <w:tc>
          <w:tcPr>
            <w:tcW w:w="1134" w:type="dxa"/>
            <w:vAlign w:val="center"/>
          </w:tcPr>
          <w:p w14:paraId="176759AD">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72E7F18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（1）了解蔡元培、梅贻琦、陶行知、胡适的教育思想</w:t>
            </w:r>
          </w:p>
          <w:p w14:paraId="4728A96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（2）理解《就任北京大学校长之演说》《大学一解》《创造的教育》《为什么读书》中的教育观</w:t>
            </w:r>
          </w:p>
          <w:p w14:paraId="7DF859B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（3）掌握其思想精髓</w:t>
            </w:r>
          </w:p>
          <w:p w14:paraId="3B95C3C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（4）能联系实际，探寻其教育思想的现代意义</w:t>
            </w:r>
          </w:p>
        </w:tc>
        <w:tc>
          <w:tcPr>
            <w:tcW w:w="1560" w:type="dxa"/>
            <w:vAlign w:val="center"/>
          </w:tcPr>
          <w:p w14:paraId="7B837EAE">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7E9FC28E">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51F7D0C6">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2B111A44">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8</w:t>
            </w:r>
          </w:p>
        </w:tc>
      </w:tr>
      <w:tr w14:paraId="49DB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2CCE6FE">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79C65C9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继承祖国优秀教育遗产，增强民族自尊心和自信心。厚植爱国主义情怀，传承中华优秀传统文化，弘扬以爱国主义为核心的民族精神和以改革创新为核心的时代精神。</w:t>
            </w:r>
          </w:p>
        </w:tc>
      </w:tr>
      <w:tr w14:paraId="7928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10776D9">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西方古代教育名著导读</w:t>
            </w:r>
          </w:p>
        </w:tc>
        <w:tc>
          <w:tcPr>
            <w:tcW w:w="1701" w:type="dxa"/>
            <w:vAlign w:val="center"/>
          </w:tcPr>
          <w:p w14:paraId="6667219F">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（1）《大教学论》导读</w:t>
            </w:r>
          </w:p>
          <w:p w14:paraId="1D81B2D8">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（2）《教育漫话》导读</w:t>
            </w:r>
          </w:p>
          <w:p w14:paraId="13B6D965">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（3）《爱弥儿》导读</w:t>
            </w:r>
          </w:p>
          <w:p w14:paraId="68BEB1C2">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（4）《普通教育学》导读</w:t>
            </w:r>
          </w:p>
        </w:tc>
        <w:tc>
          <w:tcPr>
            <w:tcW w:w="1134" w:type="dxa"/>
            <w:vAlign w:val="center"/>
          </w:tcPr>
          <w:p w14:paraId="76B656E9">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4C311703">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（1）了解夸美纽斯、洛克、卢梭、赫尔巴特的教育思想</w:t>
            </w:r>
          </w:p>
          <w:p w14:paraId="124CBD5D">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（2）理解《大教学论》《教育漫话》《爱弥儿》《普通教育学》中的教育观</w:t>
            </w:r>
          </w:p>
          <w:p w14:paraId="2509422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（3）掌握其思想精髓</w:t>
            </w:r>
          </w:p>
          <w:p w14:paraId="6F3B6978">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（4）能联系实际，探寻教育思想的现代意义</w:t>
            </w:r>
          </w:p>
        </w:tc>
        <w:tc>
          <w:tcPr>
            <w:tcW w:w="1560" w:type="dxa"/>
            <w:vAlign w:val="center"/>
          </w:tcPr>
          <w:p w14:paraId="554A0D3D">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14EAC5B0">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0DAEB354">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02224E73">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8</w:t>
            </w:r>
          </w:p>
        </w:tc>
      </w:tr>
      <w:tr w14:paraId="3DC4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6B99A07">
            <w:pPr>
              <w:spacing w:line="276" w:lineRule="auto"/>
              <w:jc w:val="center"/>
              <w:rPr>
                <w:rFonts w:hint="eastAsia" w:ascii="宋体" w:hAnsi="宋体" w:eastAsia="宋体" w:cs="Times New Roman"/>
                <w:color w:val="000000"/>
                <w:kern w:val="0"/>
                <w:sz w:val="20"/>
                <w:szCs w:val="21"/>
              </w:rPr>
            </w:pPr>
          </w:p>
        </w:tc>
        <w:tc>
          <w:tcPr>
            <w:tcW w:w="8093" w:type="dxa"/>
            <w:gridSpan w:val="5"/>
            <w:vAlign w:val="center"/>
          </w:tcPr>
          <w:p w14:paraId="6956B0AB">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践行教育家精神，学习其乐思、善思的精神树立经师与人师统一的大先生。</w:t>
            </w:r>
          </w:p>
        </w:tc>
      </w:tr>
      <w:tr w14:paraId="7C4A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61B91C5">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西方近现代教育名著导读</w:t>
            </w:r>
          </w:p>
        </w:tc>
        <w:tc>
          <w:tcPr>
            <w:tcW w:w="1701" w:type="dxa"/>
            <w:vAlign w:val="center"/>
          </w:tcPr>
          <w:p w14:paraId="5AB3FA0C">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（1）《民主主义与教育》导读</w:t>
            </w:r>
          </w:p>
          <w:p w14:paraId="458C8323">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（2）《静悄悄的革命》导读</w:t>
            </w:r>
          </w:p>
          <w:p w14:paraId="3A8FBB51">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（3）《学会生存——教育世界的今天和明天》导读</w:t>
            </w:r>
          </w:p>
        </w:tc>
        <w:tc>
          <w:tcPr>
            <w:tcW w:w="1134" w:type="dxa"/>
            <w:vAlign w:val="center"/>
          </w:tcPr>
          <w:p w14:paraId="3711F7F4">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w:t>
            </w:r>
          </w:p>
        </w:tc>
        <w:tc>
          <w:tcPr>
            <w:tcW w:w="3260" w:type="dxa"/>
            <w:vAlign w:val="center"/>
          </w:tcPr>
          <w:p w14:paraId="47622A33">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（1）了解杜威、佐藤学、埃德加·富尔的教育思想</w:t>
            </w:r>
          </w:p>
          <w:p w14:paraId="1BF9C93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（2）理解《民主主义与教育》《静悄悄的革命》《学会生存》中的教育观</w:t>
            </w:r>
          </w:p>
          <w:p w14:paraId="58A8D88F">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（3）掌握其思想精髓</w:t>
            </w:r>
          </w:p>
          <w:p w14:paraId="6088CBC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（4）能联系实际，探寻教育思想的现代意义</w:t>
            </w:r>
          </w:p>
        </w:tc>
        <w:tc>
          <w:tcPr>
            <w:tcW w:w="1560" w:type="dxa"/>
            <w:vAlign w:val="center"/>
          </w:tcPr>
          <w:p w14:paraId="7AFE655C">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0C8372FC">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29DEEB11">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67ECA385">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7</w:t>
            </w:r>
          </w:p>
        </w:tc>
      </w:tr>
      <w:tr w14:paraId="2B93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1384BE3">
            <w:pPr>
              <w:spacing w:line="276" w:lineRule="auto"/>
              <w:jc w:val="center"/>
              <w:rPr>
                <w:rFonts w:hint="eastAsia" w:ascii="宋体" w:hAnsi="宋体" w:eastAsia="宋体" w:cs="Times New Roman"/>
                <w:color w:val="000000"/>
                <w:kern w:val="0"/>
                <w:sz w:val="20"/>
                <w:szCs w:val="21"/>
              </w:rPr>
            </w:pPr>
          </w:p>
        </w:tc>
        <w:tc>
          <w:tcPr>
            <w:tcW w:w="8093" w:type="dxa"/>
            <w:gridSpan w:val="5"/>
            <w:vAlign w:val="center"/>
          </w:tcPr>
          <w:p w14:paraId="27C42A31">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bCs/>
                <w:color w:val="000000"/>
                <w:kern w:val="0"/>
                <w:sz w:val="20"/>
                <w:szCs w:val="21"/>
              </w:rPr>
              <w:t>学习教育家与践行教育家精神，树立楷模先知的四有好教师。</w:t>
            </w:r>
          </w:p>
        </w:tc>
      </w:tr>
    </w:tbl>
    <w:p w14:paraId="52F34A4F">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5A76A10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40B50D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129522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664"/>
        <w:gridCol w:w="1134"/>
        <w:gridCol w:w="1418"/>
        <w:gridCol w:w="1134"/>
        <w:gridCol w:w="1276"/>
        <w:gridCol w:w="992"/>
      </w:tblGrid>
      <w:tr w14:paraId="3CCE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79405F6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626" w:type="dxa"/>
            <w:gridSpan w:val="5"/>
            <w:vAlign w:val="center"/>
          </w:tcPr>
          <w:p w14:paraId="3599D59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992" w:type="dxa"/>
            <w:vMerge w:val="restart"/>
            <w:vAlign w:val="center"/>
          </w:tcPr>
          <w:p w14:paraId="69A367B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109F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2B426E2">
            <w:pPr>
              <w:spacing w:line="360" w:lineRule="auto"/>
              <w:jc w:val="center"/>
              <w:rPr>
                <w:rFonts w:hint="eastAsia" w:ascii="宋体" w:hAnsi="宋体" w:eastAsia="宋体" w:cs="Times New Roman"/>
                <w:kern w:val="0"/>
                <w:sz w:val="20"/>
                <w:szCs w:val="21"/>
              </w:rPr>
            </w:pPr>
          </w:p>
        </w:tc>
        <w:tc>
          <w:tcPr>
            <w:tcW w:w="1664" w:type="dxa"/>
            <w:vAlign w:val="center"/>
          </w:tcPr>
          <w:p w14:paraId="64449C31">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平时作业</w:t>
            </w:r>
          </w:p>
        </w:tc>
        <w:tc>
          <w:tcPr>
            <w:tcW w:w="1134" w:type="dxa"/>
            <w:vAlign w:val="center"/>
          </w:tcPr>
          <w:p w14:paraId="3728F9D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课堂表现</w:t>
            </w:r>
          </w:p>
        </w:tc>
        <w:tc>
          <w:tcPr>
            <w:tcW w:w="1418" w:type="dxa"/>
            <w:vAlign w:val="center"/>
          </w:tcPr>
          <w:p w14:paraId="3A047DA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单元测验</w:t>
            </w:r>
          </w:p>
        </w:tc>
        <w:tc>
          <w:tcPr>
            <w:tcW w:w="1134" w:type="dxa"/>
            <w:vAlign w:val="center"/>
          </w:tcPr>
          <w:p w14:paraId="59542D8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自主学习</w:t>
            </w:r>
          </w:p>
        </w:tc>
        <w:tc>
          <w:tcPr>
            <w:tcW w:w="1276" w:type="dxa"/>
            <w:vAlign w:val="center"/>
          </w:tcPr>
          <w:p w14:paraId="0D637C0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992" w:type="dxa"/>
            <w:vMerge w:val="continue"/>
            <w:vAlign w:val="center"/>
          </w:tcPr>
          <w:p w14:paraId="3C9A9055">
            <w:pPr>
              <w:spacing w:line="360" w:lineRule="auto"/>
              <w:jc w:val="center"/>
              <w:rPr>
                <w:rFonts w:hint="eastAsia" w:ascii="宋体" w:hAnsi="宋体" w:eastAsia="宋体" w:cs="Times New Roman"/>
                <w:kern w:val="0"/>
                <w:sz w:val="20"/>
                <w:szCs w:val="21"/>
              </w:rPr>
            </w:pPr>
          </w:p>
        </w:tc>
      </w:tr>
      <w:tr w14:paraId="78D1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F94275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664" w:type="dxa"/>
            <w:vAlign w:val="center"/>
          </w:tcPr>
          <w:p w14:paraId="51B5F2F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4C360C8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8" w:type="dxa"/>
            <w:vAlign w:val="center"/>
          </w:tcPr>
          <w:p w14:paraId="508C408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2F93996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4C71375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w:t>
            </w:r>
            <w:r>
              <w:rPr>
                <w:rFonts w:ascii="宋体" w:hAnsi="宋体" w:eastAsia="宋体" w:cs="Times New Roman"/>
                <w:kern w:val="0"/>
                <w:sz w:val="20"/>
                <w:szCs w:val="21"/>
              </w:rPr>
              <w:sym w:font="Wingdings 2" w:char="F050"/>
            </w:r>
          </w:p>
        </w:tc>
        <w:tc>
          <w:tcPr>
            <w:tcW w:w="992" w:type="dxa"/>
            <w:vAlign w:val="center"/>
          </w:tcPr>
          <w:p w14:paraId="2E6521E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6835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BDBA3FB">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664" w:type="dxa"/>
            <w:vAlign w:val="center"/>
          </w:tcPr>
          <w:p w14:paraId="542E9A6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1AE5CFB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8" w:type="dxa"/>
            <w:vAlign w:val="center"/>
          </w:tcPr>
          <w:p w14:paraId="7D5F3E3A">
            <w:pPr>
              <w:spacing w:line="360" w:lineRule="auto"/>
              <w:jc w:val="center"/>
              <w:rPr>
                <w:rFonts w:hint="eastAsia" w:ascii="宋体" w:hAnsi="宋体" w:eastAsia="宋体" w:cs="Times New Roman"/>
                <w:kern w:val="0"/>
                <w:sz w:val="20"/>
                <w:szCs w:val="21"/>
              </w:rPr>
            </w:pPr>
          </w:p>
        </w:tc>
        <w:tc>
          <w:tcPr>
            <w:tcW w:w="1134" w:type="dxa"/>
            <w:vAlign w:val="center"/>
          </w:tcPr>
          <w:p w14:paraId="49E33C9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2D98611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992" w:type="dxa"/>
            <w:vAlign w:val="center"/>
          </w:tcPr>
          <w:p w14:paraId="49D0BED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397D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705F47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664" w:type="dxa"/>
            <w:vAlign w:val="center"/>
          </w:tcPr>
          <w:p w14:paraId="1A7FC5E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32D81EDD">
            <w:pPr>
              <w:spacing w:line="360" w:lineRule="auto"/>
              <w:jc w:val="center"/>
              <w:rPr>
                <w:rFonts w:hint="eastAsia" w:ascii="宋体" w:hAnsi="宋体" w:eastAsia="宋体" w:cs="Times New Roman"/>
                <w:kern w:val="0"/>
                <w:sz w:val="20"/>
                <w:szCs w:val="21"/>
              </w:rPr>
            </w:pPr>
          </w:p>
        </w:tc>
        <w:tc>
          <w:tcPr>
            <w:tcW w:w="1418" w:type="dxa"/>
            <w:vAlign w:val="center"/>
          </w:tcPr>
          <w:p w14:paraId="2824C60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25CCACF1">
            <w:pPr>
              <w:spacing w:line="360" w:lineRule="auto"/>
              <w:jc w:val="center"/>
              <w:rPr>
                <w:rFonts w:hint="eastAsia" w:ascii="宋体" w:hAnsi="宋体" w:eastAsia="宋体" w:cs="Times New Roman"/>
                <w:kern w:val="0"/>
                <w:sz w:val="20"/>
                <w:szCs w:val="21"/>
              </w:rPr>
            </w:pPr>
          </w:p>
        </w:tc>
        <w:tc>
          <w:tcPr>
            <w:tcW w:w="1276" w:type="dxa"/>
            <w:vAlign w:val="center"/>
          </w:tcPr>
          <w:p w14:paraId="3813633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992" w:type="dxa"/>
            <w:vAlign w:val="center"/>
          </w:tcPr>
          <w:p w14:paraId="5AD1B0EF">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3F32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3BCF0C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664" w:type="dxa"/>
            <w:vAlign w:val="center"/>
          </w:tcPr>
          <w:p w14:paraId="226D07A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4BCAC4C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8" w:type="dxa"/>
            <w:vAlign w:val="center"/>
          </w:tcPr>
          <w:p w14:paraId="3CEC6BA6">
            <w:pPr>
              <w:spacing w:line="360" w:lineRule="auto"/>
              <w:jc w:val="center"/>
              <w:rPr>
                <w:rFonts w:hint="eastAsia" w:ascii="宋体" w:hAnsi="宋体" w:eastAsia="宋体" w:cs="Times New Roman"/>
                <w:kern w:val="0"/>
                <w:sz w:val="20"/>
                <w:szCs w:val="21"/>
              </w:rPr>
            </w:pPr>
          </w:p>
        </w:tc>
        <w:tc>
          <w:tcPr>
            <w:tcW w:w="1134" w:type="dxa"/>
            <w:vAlign w:val="center"/>
          </w:tcPr>
          <w:p w14:paraId="54EA993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4704D1F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992" w:type="dxa"/>
            <w:vAlign w:val="center"/>
          </w:tcPr>
          <w:p w14:paraId="1EF885D1">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1D7F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D3A104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664" w:type="dxa"/>
            <w:vAlign w:val="center"/>
          </w:tcPr>
          <w:p w14:paraId="078F2B2B">
            <w:pPr>
              <w:spacing w:line="360" w:lineRule="auto"/>
              <w:jc w:val="center"/>
              <w:rPr>
                <w:rFonts w:hint="eastAsia" w:ascii="宋体" w:hAnsi="宋体" w:eastAsia="宋体" w:cs="Times New Roman"/>
                <w:kern w:val="0"/>
                <w:sz w:val="20"/>
                <w:szCs w:val="21"/>
              </w:rPr>
            </w:pPr>
          </w:p>
        </w:tc>
        <w:tc>
          <w:tcPr>
            <w:tcW w:w="1134" w:type="dxa"/>
            <w:vAlign w:val="center"/>
          </w:tcPr>
          <w:p w14:paraId="1A77CD04">
            <w:pPr>
              <w:spacing w:line="360" w:lineRule="auto"/>
              <w:jc w:val="center"/>
              <w:rPr>
                <w:rFonts w:hint="eastAsia" w:ascii="宋体" w:hAnsi="宋体" w:eastAsia="宋体" w:cs="Times New Roman"/>
                <w:kern w:val="0"/>
                <w:sz w:val="20"/>
                <w:szCs w:val="21"/>
              </w:rPr>
            </w:pPr>
          </w:p>
        </w:tc>
        <w:tc>
          <w:tcPr>
            <w:tcW w:w="1418" w:type="dxa"/>
            <w:vAlign w:val="center"/>
          </w:tcPr>
          <w:p w14:paraId="0100D55E">
            <w:pPr>
              <w:spacing w:line="360" w:lineRule="auto"/>
              <w:jc w:val="center"/>
              <w:rPr>
                <w:rFonts w:hint="eastAsia" w:ascii="宋体" w:hAnsi="宋体" w:eastAsia="宋体" w:cs="Times New Roman"/>
                <w:kern w:val="0"/>
                <w:sz w:val="20"/>
                <w:szCs w:val="21"/>
              </w:rPr>
            </w:pPr>
          </w:p>
        </w:tc>
        <w:tc>
          <w:tcPr>
            <w:tcW w:w="1134" w:type="dxa"/>
            <w:vAlign w:val="center"/>
          </w:tcPr>
          <w:p w14:paraId="1806327F">
            <w:pPr>
              <w:spacing w:line="360" w:lineRule="auto"/>
              <w:jc w:val="center"/>
              <w:rPr>
                <w:rFonts w:hint="eastAsia" w:ascii="宋体" w:hAnsi="宋体" w:eastAsia="宋体" w:cs="Times New Roman"/>
                <w:kern w:val="0"/>
                <w:sz w:val="20"/>
                <w:szCs w:val="21"/>
              </w:rPr>
            </w:pPr>
          </w:p>
        </w:tc>
        <w:tc>
          <w:tcPr>
            <w:tcW w:w="1276" w:type="dxa"/>
            <w:vAlign w:val="center"/>
          </w:tcPr>
          <w:p w14:paraId="40CBE038">
            <w:pPr>
              <w:spacing w:line="360" w:lineRule="auto"/>
              <w:jc w:val="center"/>
              <w:rPr>
                <w:rFonts w:hint="eastAsia" w:ascii="宋体" w:hAnsi="宋体" w:eastAsia="宋体" w:cs="Times New Roman"/>
                <w:kern w:val="0"/>
                <w:sz w:val="20"/>
                <w:szCs w:val="21"/>
              </w:rPr>
            </w:pPr>
          </w:p>
        </w:tc>
        <w:tc>
          <w:tcPr>
            <w:tcW w:w="992" w:type="dxa"/>
            <w:vAlign w:val="center"/>
          </w:tcPr>
          <w:p w14:paraId="68659E8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33B2DF5A">
      <w:pPr>
        <w:spacing w:before="156" w:beforeLines="50" w:line="360" w:lineRule="auto"/>
        <w:jc w:val="left"/>
        <w:rPr>
          <w:rFonts w:ascii="Times New Roman" w:hAnsi="Times New Roman" w:eastAsia="宋体" w:cs="Times New Roman"/>
          <w:b/>
          <w:szCs w:val="21"/>
        </w:rPr>
      </w:pPr>
      <w:bookmarkStart w:id="170" w:name="OLE_LINK1"/>
      <w:r>
        <w:rPr>
          <w:rFonts w:hint="eastAsia" w:ascii="Times New Roman" w:hAnsi="Times New Roman" w:eastAsia="宋体" w:cs="Times New Roman"/>
          <w:b/>
          <w:szCs w:val="21"/>
        </w:rPr>
        <w:t>（二）成绩评定细则</w:t>
      </w:r>
    </w:p>
    <w:p w14:paraId="702F3E7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bookmarkEnd w:id="170"/>
    <w:p w14:paraId="5F7CFD2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6946"/>
        <w:gridCol w:w="683"/>
      </w:tblGrid>
      <w:tr w14:paraId="0E28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907ABFC">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6946" w:type="dxa"/>
            <w:vAlign w:val="center"/>
          </w:tcPr>
          <w:p w14:paraId="165DC9F3">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27193C3B">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4D25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3FBCF63C">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w:t>
            </w:r>
          </w:p>
        </w:tc>
        <w:tc>
          <w:tcPr>
            <w:tcW w:w="6946" w:type="dxa"/>
            <w:vAlign w:val="center"/>
          </w:tcPr>
          <w:p w14:paraId="4F3F364F">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共3次，一为读书笔记，学期初即提供阅读书目，要求每位学生至少选择一本认真阅读并作读书笔记，读书笔记完成情况将作为评分的主要依据。二为小组汇报，三为小论文，以小论文的规范性、逻辑性、创新性及整洁性为评分的主要依据。</w:t>
            </w:r>
          </w:p>
        </w:tc>
        <w:tc>
          <w:tcPr>
            <w:tcW w:w="0" w:type="auto"/>
            <w:vAlign w:val="center"/>
          </w:tcPr>
          <w:p w14:paraId="47135EB9">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w:t>
            </w:r>
          </w:p>
        </w:tc>
      </w:tr>
      <w:tr w14:paraId="6BB9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3B58719C">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课堂表现</w:t>
            </w:r>
          </w:p>
        </w:tc>
        <w:tc>
          <w:tcPr>
            <w:tcW w:w="6946" w:type="dxa"/>
            <w:vAlign w:val="center"/>
          </w:tcPr>
          <w:p w14:paraId="4B0B4018">
            <w:pPr>
              <w:widowControl/>
              <w:spacing w:line="264" w:lineRule="auto"/>
              <w:jc w:val="left"/>
              <w:rPr>
                <w:rFonts w:ascii="Times New Roman" w:hAnsi="Times New Roman" w:eastAsia="宋体" w:cs="Times New Roman"/>
                <w:kern w:val="0"/>
                <w:sz w:val="20"/>
                <w:szCs w:val="21"/>
              </w:rPr>
            </w:pPr>
            <w:r>
              <w:rPr>
                <w:rFonts w:hint="eastAsia" w:ascii="宋体" w:hAnsi="宋体" w:eastAsia="宋体" w:cs="宋体"/>
                <w:color w:val="000000"/>
                <w:kern w:val="0"/>
                <w:sz w:val="20"/>
                <w:szCs w:val="21"/>
                <w:lang w:bidi="ar"/>
              </w:rPr>
              <w:t>一是课题考勤情况</w:t>
            </w:r>
            <w:r>
              <w:rPr>
                <w:rFonts w:ascii="宋体" w:hAnsi="宋体" w:eastAsia="宋体" w:cs="宋体"/>
                <w:color w:val="000000"/>
                <w:kern w:val="0"/>
                <w:sz w:val="20"/>
                <w:szCs w:val="21"/>
                <w:lang w:bidi="ar"/>
              </w:rPr>
              <w:t>。</w:t>
            </w:r>
            <w:r>
              <w:rPr>
                <w:rFonts w:hint="eastAsia" w:ascii="Times New Roman" w:hAnsi="Times New Roman" w:eastAsia="宋体" w:cs="Times New Roman"/>
                <w:kern w:val="0"/>
                <w:sz w:val="20"/>
                <w:szCs w:val="21"/>
              </w:rPr>
              <w:t>迟到一次扣2分，无故缺席一次扣5分，累计达</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次以上（不含</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次）取消课程成绩。</w:t>
            </w:r>
          </w:p>
          <w:p w14:paraId="09A6AB12">
            <w:pPr>
              <w:widowControl/>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二是</w:t>
            </w:r>
            <w:r>
              <w:rPr>
                <w:rFonts w:ascii="宋体" w:hAnsi="宋体" w:eastAsia="宋体" w:cs="宋体"/>
                <w:color w:val="000000"/>
                <w:kern w:val="0"/>
                <w:sz w:val="20"/>
                <w:szCs w:val="21"/>
                <w:lang w:bidi="ar"/>
              </w:rPr>
              <w:t>课堂参与</w:t>
            </w:r>
            <w:r>
              <w:rPr>
                <w:rFonts w:hint="eastAsia" w:ascii="宋体" w:hAnsi="宋体" w:eastAsia="宋体" w:cs="宋体"/>
                <w:color w:val="000000"/>
                <w:kern w:val="0"/>
                <w:sz w:val="20"/>
                <w:szCs w:val="21"/>
                <w:lang w:bidi="ar"/>
              </w:rPr>
              <w:t>情况。</w:t>
            </w:r>
            <w:r>
              <w:rPr>
                <w:rFonts w:ascii="宋体" w:hAnsi="宋体" w:eastAsia="宋体" w:cs="宋体"/>
                <w:color w:val="000000"/>
                <w:kern w:val="0"/>
                <w:sz w:val="20"/>
                <w:szCs w:val="21"/>
                <w:lang w:bidi="ar"/>
              </w:rPr>
              <w:t>主要指课上教师随机提问、组织课堂讨论等，观察学生参与程度</w:t>
            </w:r>
            <w:r>
              <w:rPr>
                <w:rFonts w:hint="eastAsia" w:ascii="宋体" w:hAnsi="宋体" w:eastAsia="宋体" w:cs="宋体"/>
                <w:color w:val="000000"/>
                <w:kern w:val="0"/>
                <w:sz w:val="20"/>
                <w:szCs w:val="21"/>
                <w:lang w:bidi="ar"/>
              </w:rPr>
              <w:t>，</w:t>
            </w:r>
            <w:r>
              <w:rPr>
                <w:rFonts w:ascii="宋体" w:hAnsi="宋体" w:eastAsia="宋体" w:cs="宋体"/>
                <w:color w:val="000000"/>
                <w:kern w:val="0"/>
                <w:sz w:val="20"/>
                <w:szCs w:val="21"/>
                <w:lang w:bidi="ar"/>
              </w:rPr>
              <w:t>表现良好，按照对应的课程目标及权重给予评定</w:t>
            </w:r>
            <w:r>
              <w:rPr>
                <w:rFonts w:hint="eastAsia" w:ascii="宋体" w:hAnsi="宋体" w:eastAsia="宋体" w:cs="宋体"/>
                <w:color w:val="000000"/>
                <w:kern w:val="0"/>
                <w:sz w:val="20"/>
                <w:szCs w:val="21"/>
                <w:lang w:bidi="ar"/>
              </w:rPr>
              <w:t>。</w:t>
            </w:r>
          </w:p>
        </w:tc>
        <w:tc>
          <w:tcPr>
            <w:tcW w:w="0" w:type="auto"/>
            <w:vAlign w:val="center"/>
          </w:tcPr>
          <w:p w14:paraId="59FD768D">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325E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7FC1C1E">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单元测验</w:t>
            </w:r>
          </w:p>
        </w:tc>
        <w:tc>
          <w:tcPr>
            <w:tcW w:w="6946" w:type="dxa"/>
            <w:vAlign w:val="center"/>
          </w:tcPr>
          <w:p w14:paraId="7DCF7D8A">
            <w:pPr>
              <w:widowControl/>
              <w:spacing w:line="264" w:lineRule="auto"/>
              <w:jc w:val="left"/>
              <w:rPr>
                <w:rFonts w:hint="eastAsia" w:ascii="宋体" w:hAnsi="宋体" w:eastAsia="宋体" w:cs="宋体"/>
                <w:color w:val="000000"/>
                <w:kern w:val="0"/>
                <w:sz w:val="20"/>
                <w:szCs w:val="21"/>
                <w:lang w:bidi="ar"/>
              </w:rPr>
            </w:pPr>
            <w:r>
              <w:rPr>
                <w:rFonts w:hint="eastAsia" w:ascii="宋体" w:hAnsi="宋体" w:eastAsia="宋体" w:cs="宋体"/>
                <w:color w:val="000000"/>
                <w:kern w:val="0"/>
                <w:sz w:val="20"/>
                <w:szCs w:val="21"/>
                <w:lang w:bidi="ar"/>
              </w:rPr>
              <w:t>每单元在线上进行测验，主要考查基础知识和基本理论的掌握，以题目的正确率为得分依据。</w:t>
            </w:r>
          </w:p>
        </w:tc>
        <w:tc>
          <w:tcPr>
            <w:tcW w:w="0" w:type="auto"/>
            <w:vAlign w:val="center"/>
          </w:tcPr>
          <w:p w14:paraId="1C1024C0">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089E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21D2791">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自主学习</w:t>
            </w:r>
          </w:p>
        </w:tc>
        <w:tc>
          <w:tcPr>
            <w:tcW w:w="6946" w:type="dxa"/>
            <w:vAlign w:val="center"/>
          </w:tcPr>
          <w:p w14:paraId="6383C85B">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51AA2D70">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22D6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329E7AFF">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期末考试</w:t>
            </w:r>
          </w:p>
        </w:tc>
        <w:tc>
          <w:tcPr>
            <w:tcW w:w="6946" w:type="dxa"/>
            <w:vAlign w:val="center"/>
          </w:tcPr>
          <w:p w14:paraId="04E15B36">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color w:val="000000"/>
                <w:kern w:val="0"/>
                <w:sz w:val="20"/>
                <w:szCs w:val="21"/>
              </w:rPr>
              <w:t>以课程论文方式进行，主要测查学生对于中外教育名著的了解程度和理解程度占50%；对当代中国教育教学改革的关注意识、反思能力和创新精神占50%。</w:t>
            </w:r>
          </w:p>
        </w:tc>
        <w:tc>
          <w:tcPr>
            <w:tcW w:w="0" w:type="auto"/>
            <w:vAlign w:val="center"/>
          </w:tcPr>
          <w:p w14:paraId="5474E089">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50%</w:t>
            </w:r>
          </w:p>
        </w:tc>
      </w:tr>
      <w:tr w14:paraId="045D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6271451">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合计</w:t>
            </w:r>
          </w:p>
        </w:tc>
        <w:tc>
          <w:tcPr>
            <w:tcW w:w="0" w:type="auto"/>
            <w:vAlign w:val="center"/>
          </w:tcPr>
          <w:p w14:paraId="44432F82">
            <w:pPr>
              <w:jc w:val="left"/>
              <w:rPr>
                <w:rFonts w:ascii="Times New Roman" w:hAnsi="Times New Roman" w:eastAsia="宋体" w:cs="Times New Roman"/>
                <w:kern w:val="0"/>
                <w:sz w:val="20"/>
                <w:szCs w:val="21"/>
              </w:rPr>
            </w:pPr>
          </w:p>
        </w:tc>
        <w:tc>
          <w:tcPr>
            <w:tcW w:w="0" w:type="auto"/>
            <w:vAlign w:val="center"/>
          </w:tcPr>
          <w:p w14:paraId="60825E06">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w:t>
            </w:r>
          </w:p>
        </w:tc>
      </w:tr>
    </w:tbl>
    <w:p w14:paraId="23E061E0">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21790C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D196022">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52"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52" DrawAspect="Content" ObjectID="_1468075752" r:id="rId37">
            <o:LockedField>false</o:LockedField>
          </o:OLEObject>
        </w:object>
      </w:r>
    </w:p>
    <w:p w14:paraId="2189C35B">
      <w:pPr>
        <w:spacing w:line="360" w:lineRule="auto"/>
        <w:ind w:firstLine="562" w:firstLineChars="200"/>
        <w:rPr>
          <w:rFonts w:hint="eastAsia" w:ascii="宋体" w:hAnsi="宋体" w:eastAsia="宋体" w:cs="Times New Roman"/>
          <w:b/>
          <w:sz w:val="28"/>
          <w:szCs w:val="28"/>
        </w:rPr>
      </w:pPr>
      <w:r>
        <w:rPr>
          <w:rFonts w:hint="eastAsia" w:ascii="宋体" w:hAnsi="宋体" w:eastAsia="宋体" w:cs="Times New Roman"/>
          <w:b/>
          <w:sz w:val="28"/>
          <w:szCs w:val="28"/>
        </w:rPr>
        <w:t>六</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3D184D14">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（一）持续改进</w:t>
      </w:r>
    </w:p>
    <w:p w14:paraId="6851DBFE">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本课程根据学生作业、课堂讨论、考核情况和学生、教学督导等</w:t>
      </w:r>
      <w:r>
        <w:rPr>
          <w:rFonts w:hint="eastAsia" w:ascii="宋体" w:hAnsi="宋体" w:eastAsia="宋体" w:cs="Times New Roman"/>
          <w:sz w:val="24"/>
        </w:rPr>
        <w:t>的</w:t>
      </w:r>
      <w:r>
        <w:rPr>
          <w:rFonts w:ascii="宋体" w:hAnsi="宋体" w:eastAsia="宋体" w:cs="Times New Roman"/>
          <w:sz w:val="24"/>
        </w:rPr>
        <w:t>反馈，及时对教学中</w:t>
      </w:r>
      <w:r>
        <w:rPr>
          <w:rFonts w:hint="eastAsia" w:ascii="宋体" w:hAnsi="宋体" w:eastAsia="宋体" w:cs="Times New Roman"/>
          <w:sz w:val="24"/>
        </w:rPr>
        <w:t>的</w:t>
      </w:r>
      <w:r>
        <w:rPr>
          <w:rFonts w:ascii="宋体" w:hAnsi="宋体" w:eastAsia="宋体" w:cs="Times New Roman"/>
          <w:sz w:val="24"/>
        </w:rPr>
        <w:t>不足之处进行改进，并在下一轮课程教学中</w:t>
      </w:r>
      <w:r>
        <w:rPr>
          <w:rFonts w:hint="eastAsia" w:ascii="宋体" w:hAnsi="宋体" w:eastAsia="宋体" w:cs="Times New Roman"/>
          <w:sz w:val="24"/>
        </w:rPr>
        <w:t>整改完善</w:t>
      </w:r>
      <w:r>
        <w:rPr>
          <w:rFonts w:ascii="宋体" w:hAnsi="宋体" w:eastAsia="宋体" w:cs="Times New Roman"/>
          <w:sz w:val="24"/>
        </w:rPr>
        <w:t>，确保相应毕业要求指标点达成。</w:t>
      </w:r>
    </w:p>
    <w:p w14:paraId="27719669">
      <w:pPr>
        <w:spacing w:line="360" w:lineRule="auto"/>
        <w:ind w:firstLine="482" w:firstLineChars="200"/>
        <w:rPr>
          <w:rFonts w:hint="eastAsia" w:ascii="宋体" w:hAnsi="宋体" w:eastAsia="宋体" w:cs="Times New Roman"/>
          <w:b/>
          <w:sz w:val="24"/>
        </w:rPr>
      </w:pPr>
      <w:bookmarkStart w:id="171" w:name="_Toc27847345"/>
      <w:r>
        <w:rPr>
          <w:rFonts w:hint="eastAsia" w:ascii="宋体" w:hAnsi="宋体" w:eastAsia="宋体" w:cs="Times New Roman"/>
          <w:b/>
          <w:sz w:val="24"/>
        </w:rPr>
        <w:t>（二）</w:t>
      </w:r>
      <w:r>
        <w:rPr>
          <w:rFonts w:ascii="宋体" w:hAnsi="宋体" w:eastAsia="宋体" w:cs="Times New Roman"/>
          <w:b/>
          <w:sz w:val="24"/>
        </w:rPr>
        <w:t>参考书目及学习资料</w:t>
      </w:r>
      <w:bookmarkEnd w:id="171"/>
    </w:p>
    <w:p w14:paraId="4BA40CA4">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1</w:t>
      </w:r>
      <w:r>
        <w:rPr>
          <w:rFonts w:ascii="宋体" w:hAnsi="宋体" w:eastAsia="宋体" w:cs="Times New Roman"/>
          <w:b/>
          <w:bCs/>
          <w:sz w:val="24"/>
        </w:rPr>
        <w:t>.</w:t>
      </w:r>
      <w:r>
        <w:rPr>
          <w:rFonts w:hint="eastAsia" w:ascii="宋体" w:hAnsi="宋体" w:eastAsia="宋体" w:cs="Times New Roman"/>
          <w:b/>
          <w:bCs/>
          <w:sz w:val="24"/>
        </w:rPr>
        <w:t>教材</w:t>
      </w:r>
    </w:p>
    <w:p w14:paraId="6F85C8E4">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肖朗.中外教育名著选读.</w:t>
      </w:r>
      <w:r>
        <w:rPr>
          <w:rFonts w:ascii="Times New Roman" w:hAnsi="Times New Roman" w:eastAsia="宋体" w:cs="Times New Roman"/>
          <w:sz w:val="24"/>
        </w:rPr>
        <w:t xml:space="preserve"> </w:t>
      </w:r>
      <w:r>
        <w:rPr>
          <w:rFonts w:hint="eastAsia" w:ascii="Times New Roman" w:hAnsi="Times New Roman" w:eastAsia="宋体" w:cs="Times New Roman"/>
          <w:sz w:val="24"/>
        </w:rPr>
        <w:t>北京：高等教育出版社，20</w:t>
      </w:r>
      <w:r>
        <w:rPr>
          <w:rFonts w:ascii="Times New Roman" w:hAnsi="Times New Roman" w:eastAsia="宋体" w:cs="Times New Roman"/>
          <w:sz w:val="24"/>
        </w:rPr>
        <w:t>09.</w:t>
      </w:r>
    </w:p>
    <w:p w14:paraId="7A78C072">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2</w:t>
      </w:r>
      <w:r>
        <w:rPr>
          <w:rFonts w:ascii="宋体" w:hAnsi="宋体" w:eastAsia="宋体" w:cs="Times New Roman"/>
          <w:b/>
          <w:bCs/>
          <w:sz w:val="24"/>
        </w:rPr>
        <w:t>.</w:t>
      </w:r>
      <w:r>
        <w:rPr>
          <w:rFonts w:hint="eastAsia" w:ascii="宋体" w:hAnsi="宋体" w:eastAsia="宋体" w:cs="Times New Roman"/>
          <w:b/>
          <w:bCs/>
          <w:sz w:val="24"/>
        </w:rPr>
        <w:t>教学参考书</w:t>
      </w:r>
    </w:p>
    <w:p w14:paraId="057BCBBB">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周洪宇.教育经典导读.华中科技大学出版社,2013.</w:t>
      </w:r>
    </w:p>
    <w:p w14:paraId="79437137">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华东师范大学教育系</w:t>
      </w:r>
      <w:r>
        <w:rPr>
          <w:rFonts w:ascii="宋体" w:hAnsi="宋体" w:eastAsia="宋体" w:cs="Times New Roman"/>
          <w:sz w:val="24"/>
        </w:rPr>
        <w:t xml:space="preserve">. </w:t>
      </w:r>
      <w:r>
        <w:rPr>
          <w:rFonts w:hint="eastAsia" w:ascii="宋体" w:hAnsi="宋体" w:eastAsia="宋体" w:cs="Times New Roman"/>
          <w:sz w:val="24"/>
        </w:rPr>
        <w:t>教育文选</w:t>
      </w:r>
      <w:r>
        <w:rPr>
          <w:rFonts w:ascii="宋体" w:hAnsi="宋体" w:eastAsia="宋体" w:cs="Times New Roman"/>
          <w:sz w:val="24"/>
        </w:rPr>
        <w:t xml:space="preserve">. </w:t>
      </w:r>
      <w:r>
        <w:rPr>
          <w:rFonts w:hint="eastAsia" w:ascii="宋体" w:hAnsi="宋体" w:eastAsia="宋体" w:cs="Times New Roman"/>
          <w:sz w:val="24"/>
        </w:rPr>
        <w:t>北京</w:t>
      </w:r>
      <w:r>
        <w:rPr>
          <w:rFonts w:ascii="宋体" w:hAnsi="宋体" w:eastAsia="宋体" w:cs="Times New Roman"/>
          <w:sz w:val="24"/>
        </w:rPr>
        <w:t xml:space="preserve">: </w:t>
      </w:r>
      <w:r>
        <w:rPr>
          <w:rFonts w:hint="eastAsia" w:ascii="宋体" w:hAnsi="宋体" w:eastAsia="宋体" w:cs="Times New Roman"/>
          <w:sz w:val="24"/>
        </w:rPr>
        <w:t>人民教育出版社</w:t>
      </w:r>
      <w:r>
        <w:rPr>
          <w:rFonts w:ascii="宋体" w:hAnsi="宋体" w:eastAsia="宋体" w:cs="Times New Roman"/>
          <w:sz w:val="24"/>
        </w:rPr>
        <w:t>, 2007.</w:t>
      </w:r>
    </w:p>
    <w:p w14:paraId="2B5B323C">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褚慧芳</w:t>
      </w:r>
      <w:r>
        <w:rPr>
          <w:rFonts w:ascii="宋体" w:hAnsi="宋体" w:eastAsia="宋体" w:cs="Times New Roman"/>
          <w:sz w:val="24"/>
        </w:rPr>
        <w:t>.</w:t>
      </w:r>
      <w:r>
        <w:rPr>
          <w:rFonts w:hint="eastAsia" w:ascii="宋体" w:hAnsi="宋体" w:eastAsia="宋体" w:cs="Times New Roman"/>
          <w:sz w:val="24"/>
        </w:rPr>
        <w:t>外国教育名著导读</w:t>
      </w:r>
      <w:r>
        <w:rPr>
          <w:rFonts w:ascii="宋体" w:hAnsi="宋体" w:eastAsia="宋体" w:cs="Times New Roman"/>
          <w:sz w:val="24"/>
        </w:rPr>
        <w:t>.</w:t>
      </w:r>
      <w:r>
        <w:rPr>
          <w:rFonts w:hint="eastAsia" w:ascii="宋体" w:hAnsi="宋体" w:eastAsia="宋体" w:cs="Times New Roman"/>
          <w:sz w:val="24"/>
        </w:rPr>
        <w:t>北京：人民教育出版社</w:t>
      </w:r>
      <w:r>
        <w:rPr>
          <w:rFonts w:ascii="宋体" w:hAnsi="宋体" w:eastAsia="宋体" w:cs="Times New Roman"/>
          <w:sz w:val="24"/>
        </w:rPr>
        <w:t>，2009.</w:t>
      </w:r>
    </w:p>
    <w:p w14:paraId="64A2E6F6">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张瑞璠，王承绪</w:t>
      </w:r>
      <w:r>
        <w:rPr>
          <w:rFonts w:ascii="宋体" w:hAnsi="宋体" w:eastAsia="宋体" w:cs="Times New Roman"/>
          <w:sz w:val="24"/>
        </w:rPr>
        <w:t>.</w:t>
      </w:r>
      <w:r>
        <w:rPr>
          <w:rFonts w:hint="eastAsia" w:ascii="宋体" w:hAnsi="宋体" w:eastAsia="宋体" w:cs="Times New Roman"/>
          <w:sz w:val="24"/>
        </w:rPr>
        <w:t>中外教育比较史纲</w:t>
      </w:r>
      <w:r>
        <w:rPr>
          <w:rFonts w:ascii="宋体" w:hAnsi="宋体" w:eastAsia="宋体" w:cs="Times New Roman"/>
          <w:sz w:val="24"/>
        </w:rPr>
        <w:t>.</w:t>
      </w:r>
      <w:r>
        <w:rPr>
          <w:rFonts w:hint="eastAsia" w:ascii="宋体" w:hAnsi="宋体" w:eastAsia="宋体" w:cs="Times New Roman"/>
          <w:sz w:val="24"/>
        </w:rPr>
        <w:t>济南：山东教育出版社</w:t>
      </w:r>
      <w:r>
        <w:rPr>
          <w:rFonts w:ascii="宋体" w:hAnsi="宋体" w:eastAsia="宋体" w:cs="Times New Roman"/>
          <w:sz w:val="24"/>
        </w:rPr>
        <w:t>，2001.</w:t>
      </w:r>
    </w:p>
    <w:p w14:paraId="588349ED">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刘丽</w:t>
      </w:r>
    </w:p>
    <w:p w14:paraId="3FB7EBC7">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审定人：王  健</w:t>
      </w:r>
    </w:p>
    <w:p w14:paraId="0DDD139A">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7545BA68">
      <w:pPr>
        <w:ind w:firstLine="4800" w:firstLineChars="2000"/>
        <w:rPr>
          <w:rFonts w:eastAsia="宋体"/>
        </w:rPr>
      </w:pPr>
      <w:r>
        <w:rPr>
          <w:rFonts w:hint="eastAsia" w:ascii="宋体" w:hAnsi="宋体" w:eastAsia="宋体" w:cs="Times New Roman"/>
          <w:kern w:val="0"/>
          <w:sz w:val="24"/>
          <w:szCs w:val="21"/>
        </w:rPr>
        <w:t>批准时间：2024年8月30日</w:t>
      </w:r>
    </w:p>
    <w:p w14:paraId="0F0D2238">
      <w:pPr>
        <w:widowControl/>
        <w:jc w:val="left"/>
        <w:rPr>
          <w:rFonts w:ascii="Calibri" w:hAnsi="Calibri" w:eastAsia="宋体" w:cs="Times New Roman"/>
        </w:rPr>
      </w:pPr>
      <w:r>
        <w:rPr>
          <w:rFonts w:ascii="Calibri" w:hAnsi="Calibri" w:eastAsia="宋体" w:cs="Times New Roman"/>
        </w:rPr>
        <w:br w:type="page"/>
      </w:r>
    </w:p>
    <w:p w14:paraId="05E66A55">
      <w:pPr>
        <w:snapToGrid w:val="0"/>
        <w:spacing w:line="360" w:lineRule="auto"/>
        <w:ind w:firstLine="4800" w:firstLineChars="2000"/>
        <w:rPr>
          <w:rFonts w:hint="eastAsia" w:ascii="宋体" w:hAnsi="宋体" w:eastAsia="宋体" w:cs="Times New Roman"/>
          <w:color w:val="000000"/>
          <w:sz w:val="24"/>
        </w:rPr>
      </w:pPr>
    </w:p>
    <w:p w14:paraId="7389E3E4">
      <w:pPr>
        <w:pStyle w:val="2"/>
      </w:pPr>
      <w:bookmarkStart w:id="172" w:name="_Toc20587"/>
      <w:bookmarkStart w:id="173" w:name="_Toc26795"/>
      <w:r>
        <w:rPr>
          <w:rFonts w:hint="eastAsia"/>
        </w:rPr>
        <w:t>《课堂观察与模拟教学》课程教学大纲</w:t>
      </w:r>
      <w:bookmarkEnd w:id="172"/>
      <w:bookmarkEnd w:id="173"/>
    </w:p>
    <w:p w14:paraId="0BF897B2">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（Classroom Observation and Simulation Teaching）</w:t>
      </w:r>
    </w:p>
    <w:p w14:paraId="5AE03080">
      <w:pPr>
        <w:spacing w:line="360" w:lineRule="auto"/>
        <w:jc w:val="center"/>
        <w:rPr>
          <w:rFonts w:ascii="Times New Roman" w:hAnsi="Times New Roman" w:eastAsia="宋体" w:cs="Times New Roman"/>
          <w:bCs/>
          <w:sz w:val="30"/>
          <w:szCs w:val="30"/>
        </w:rPr>
      </w:pPr>
    </w:p>
    <w:p w14:paraId="65B1781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课程名称：课堂观察与模拟教学</w:t>
      </w:r>
    </w:p>
    <w:p w14:paraId="6459D3A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2401021</w:t>
      </w:r>
    </w:p>
    <w:p w14:paraId="651A068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分：2</w:t>
      </w:r>
    </w:p>
    <w:p w14:paraId="32789CB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时：32 （其中：讲授学时16， 实践学时16）</w:t>
      </w:r>
    </w:p>
    <w:p w14:paraId="5820089E">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先修课程：教育心理学、课程与教学论、小学语文/数学课程标准与教材分析、小学语文/数学教学设计与实施</w:t>
      </w:r>
    </w:p>
    <w:p w14:paraId="5FF778D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适用专业：小学教育（文）、小学教育（理）</w:t>
      </w:r>
    </w:p>
    <w:p w14:paraId="33E33848">
      <w:pPr>
        <w:spacing w:line="360" w:lineRule="auto"/>
        <w:jc w:val="left"/>
        <w:rPr>
          <w:rFonts w:ascii="Times New Roman" w:hAnsi="Times New Roman" w:eastAsia="宋体" w:cs="Times New Roman"/>
          <w:b/>
          <w:sz w:val="24"/>
        </w:rPr>
      </w:pPr>
    </w:p>
    <w:p w14:paraId="2EF2DEC6">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365929B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必修课程。通过本课程的学习，学生能熟练掌握课程观察的方法和技能，能够从课堂观察中借鉴他人的课堂教学与管理经验；掌握模拟教学的一般原理和基本技能，具备较强的模拟教学能力，为将来从事小学教学工作做好准备。</w:t>
      </w:r>
    </w:p>
    <w:p w14:paraId="15A359BC">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36B63081">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066F88F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1. 理解课堂观察的内涵</w:t>
      </w:r>
      <w:r>
        <w:rPr>
          <w:rFonts w:hint="eastAsia" w:ascii="Times New Roman" w:hAnsi="Times New Roman" w:eastAsia="宋体" w:cs="Times New Roman"/>
          <w:szCs w:val="21"/>
        </w:rPr>
        <w:t>和</w:t>
      </w:r>
      <w:r>
        <w:rPr>
          <w:rFonts w:ascii="Times New Roman" w:hAnsi="Times New Roman" w:eastAsia="宋体" w:cs="Times New Roman"/>
          <w:szCs w:val="21"/>
        </w:rPr>
        <w:t>意义，了解课堂观察的类型与方法，掌握课堂观察的基本技能，能够运用科学的方法深入现场进行全方位的课堂观察，能够撰写规范的课堂观察报告，能够从课堂观察中吸取经验教训，</w:t>
      </w:r>
      <w:r>
        <w:rPr>
          <w:rFonts w:hint="eastAsia" w:ascii="Times New Roman" w:hAnsi="Times New Roman" w:eastAsia="宋体" w:cs="Times New Roman"/>
          <w:szCs w:val="21"/>
        </w:rPr>
        <w:t>为</w:t>
      </w:r>
      <w:r>
        <w:rPr>
          <w:rFonts w:ascii="Times New Roman" w:hAnsi="Times New Roman" w:eastAsia="宋体" w:cs="Times New Roman"/>
          <w:szCs w:val="21"/>
        </w:rPr>
        <w:t>自己</w:t>
      </w:r>
      <w:r>
        <w:rPr>
          <w:rFonts w:hint="eastAsia" w:ascii="Times New Roman" w:hAnsi="Times New Roman" w:eastAsia="宋体" w:cs="Times New Roman"/>
          <w:szCs w:val="21"/>
        </w:rPr>
        <w:t>今后</w:t>
      </w:r>
      <w:r>
        <w:rPr>
          <w:rFonts w:ascii="Times New Roman" w:hAnsi="Times New Roman" w:eastAsia="宋体" w:cs="Times New Roman"/>
          <w:szCs w:val="21"/>
        </w:rPr>
        <w:t>课堂教学</w:t>
      </w:r>
      <w:r>
        <w:rPr>
          <w:rFonts w:hint="eastAsia" w:ascii="Times New Roman" w:hAnsi="Times New Roman" w:eastAsia="宋体" w:cs="Times New Roman"/>
          <w:szCs w:val="21"/>
        </w:rPr>
        <w:t>提供借鉴</w:t>
      </w:r>
      <w:r>
        <w:rPr>
          <w:rFonts w:ascii="Times New Roman" w:hAnsi="Times New Roman" w:eastAsia="宋体" w:cs="Times New Roman"/>
          <w:szCs w:val="21"/>
        </w:rPr>
        <w:t>。</w:t>
      </w:r>
    </w:p>
    <w:p w14:paraId="7FE6969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2.理解模拟教学的内涵，理解模拟教学对于师范生专业发展的意义，</w:t>
      </w:r>
      <w:r>
        <w:rPr>
          <w:rFonts w:hint="eastAsia" w:ascii="Times New Roman" w:hAnsi="Times New Roman" w:eastAsia="宋体" w:cs="Times New Roman"/>
          <w:szCs w:val="21"/>
        </w:rPr>
        <w:t>理解</w:t>
      </w:r>
      <w:r>
        <w:rPr>
          <w:rFonts w:ascii="Times New Roman" w:hAnsi="Times New Roman" w:eastAsia="宋体" w:cs="Times New Roman"/>
          <w:szCs w:val="21"/>
        </w:rPr>
        <w:t>模拟教学的原则，掌握模拟教学的方法，了解模拟教学的一般流程，能够运用现代教学理念开展模拟教学，具有较强的模拟教学能力，能对自己的模拟教学进行正确的评价并作出相应的改进。</w:t>
      </w:r>
    </w:p>
    <w:p w14:paraId="4C2B17E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3.具有较强的研究能力和反思能力。</w:t>
      </w:r>
      <w:r>
        <w:rPr>
          <w:rFonts w:hint="eastAsia" w:ascii="Times New Roman" w:hAnsi="Times New Roman" w:eastAsia="宋体" w:cs="Times New Roman"/>
          <w:szCs w:val="21"/>
        </w:rPr>
        <w:t>养成</w:t>
      </w:r>
      <w:r>
        <w:rPr>
          <w:rFonts w:ascii="Times New Roman" w:hAnsi="Times New Roman" w:eastAsia="宋体" w:cs="Times New Roman"/>
          <w:szCs w:val="21"/>
        </w:rPr>
        <w:t>严谨、踏实的学习和教学态度</w:t>
      </w:r>
      <w:r>
        <w:rPr>
          <w:rFonts w:hint="eastAsia" w:ascii="Times New Roman" w:hAnsi="Times New Roman" w:eastAsia="宋体" w:cs="Times New Roman"/>
          <w:szCs w:val="21"/>
        </w:rPr>
        <w:t>；</w:t>
      </w:r>
      <w:r>
        <w:rPr>
          <w:rFonts w:ascii="Times New Roman" w:hAnsi="Times New Roman" w:eastAsia="宋体" w:cs="Times New Roman"/>
          <w:szCs w:val="21"/>
        </w:rPr>
        <w:t>愿意与他人分享自己的课堂观察和模拟教学经验，能够主动寻求同学和老师的帮助，具有强烈的团队合作意识。</w:t>
      </w:r>
    </w:p>
    <w:p w14:paraId="2C411A64">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42"/>
        <w:gridCol w:w="6095"/>
        <w:gridCol w:w="1327"/>
      </w:tblGrid>
      <w:tr w14:paraId="7FF0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589E328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237" w:type="dxa"/>
            <w:gridSpan w:val="2"/>
            <w:vAlign w:val="center"/>
          </w:tcPr>
          <w:p w14:paraId="4804B0A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76FA6B3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491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Merge w:val="restart"/>
            <w:vAlign w:val="center"/>
          </w:tcPr>
          <w:p w14:paraId="4FE3653D">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4</w:t>
            </w:r>
            <w:r>
              <w:rPr>
                <w:rFonts w:hint="eastAsia" w:ascii="Times New Roman" w:hAnsi="Times New Roman" w:eastAsia="宋体" w:cs="Times New Roman"/>
                <w:szCs w:val="21"/>
              </w:rPr>
              <w:t>：</w:t>
            </w:r>
            <w:r>
              <w:rPr>
                <w:rFonts w:ascii="Times New Roman" w:hAnsi="Times New Roman" w:eastAsia="宋体" w:cs="Times New Roman"/>
                <w:szCs w:val="21"/>
              </w:rPr>
              <w:t xml:space="preserve"> 教学能力</w:t>
            </w:r>
          </w:p>
        </w:tc>
        <w:tc>
          <w:tcPr>
            <w:tcW w:w="6095" w:type="dxa"/>
            <w:vAlign w:val="center"/>
          </w:tcPr>
          <w:p w14:paraId="61AFB0CC">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2C1E619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tc>
      </w:tr>
      <w:tr w14:paraId="691D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Merge w:val="continue"/>
            <w:vAlign w:val="center"/>
          </w:tcPr>
          <w:p w14:paraId="0B7B2B78">
            <w:pPr>
              <w:spacing w:line="276" w:lineRule="auto"/>
              <w:jc w:val="center"/>
              <w:rPr>
                <w:rFonts w:ascii="Times New Roman" w:hAnsi="Times New Roman" w:eastAsia="宋体" w:cs="Times New Roman"/>
                <w:szCs w:val="21"/>
              </w:rPr>
            </w:pPr>
          </w:p>
        </w:tc>
        <w:tc>
          <w:tcPr>
            <w:tcW w:w="6095" w:type="dxa"/>
            <w:vAlign w:val="center"/>
          </w:tcPr>
          <w:p w14:paraId="0F3F5E8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4-4：【具备教学研究能力】掌握教育研究的基本方法，在教育教学实践中，结合小学教育教学实践进行研究，具有一定的教学研究能力。</w:t>
            </w:r>
          </w:p>
        </w:tc>
        <w:tc>
          <w:tcPr>
            <w:tcW w:w="1327" w:type="dxa"/>
            <w:vAlign w:val="center"/>
          </w:tcPr>
          <w:p w14:paraId="0D1B3DC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1</w:t>
            </w:r>
          </w:p>
        </w:tc>
      </w:tr>
      <w:tr w14:paraId="459F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1DD2BE9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7</w:t>
            </w:r>
            <w:r>
              <w:rPr>
                <w:rFonts w:hint="eastAsia" w:ascii="Times New Roman" w:hAnsi="Times New Roman" w:eastAsia="宋体" w:cs="Times New Roman"/>
                <w:szCs w:val="21"/>
              </w:rPr>
              <w:t>：</w:t>
            </w:r>
            <w:r>
              <w:rPr>
                <w:rFonts w:ascii="Times New Roman" w:hAnsi="Times New Roman" w:eastAsia="宋体" w:cs="Times New Roman"/>
                <w:szCs w:val="21"/>
              </w:rPr>
              <w:t>学会反思</w:t>
            </w:r>
          </w:p>
        </w:tc>
        <w:tc>
          <w:tcPr>
            <w:tcW w:w="6095" w:type="dxa"/>
            <w:vAlign w:val="center"/>
          </w:tcPr>
          <w:p w14:paraId="38E55E93">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5269F31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bl>
    <w:p w14:paraId="0FB1BDF8">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0D18945">
      <w:pPr>
        <w:spacing w:line="360" w:lineRule="auto"/>
        <w:ind w:firstLine="411" w:firstLineChars="196"/>
        <w:jc w:val="left"/>
        <w:rPr>
          <w:rFonts w:hint="eastAsia" w:ascii="宋体" w:hAnsi="宋体" w:eastAsia="宋体" w:cs="Times New Roman"/>
          <w:color w:val="000000"/>
          <w:szCs w:val="21"/>
        </w:rPr>
      </w:pPr>
      <w:r>
        <w:rPr>
          <w:rFonts w:ascii="宋体" w:hAnsi="宋体" w:eastAsia="宋体" w:cs="Times New Roman"/>
          <w:color w:val="000000"/>
          <w:szCs w:val="21"/>
        </w:rPr>
        <w:t>以“四有”好老师的标准要求自己，进一步巩固专业思想</w:t>
      </w:r>
      <w:r>
        <w:rPr>
          <w:rFonts w:hint="eastAsia" w:ascii="宋体" w:hAnsi="宋体" w:eastAsia="宋体" w:cs="Times New Roman"/>
          <w:color w:val="000000"/>
          <w:szCs w:val="21"/>
        </w:rPr>
        <w:t>，</w:t>
      </w:r>
      <w:r>
        <w:rPr>
          <w:rFonts w:ascii="宋体" w:hAnsi="宋体" w:eastAsia="宋体" w:cs="Times New Roman"/>
          <w:color w:val="000000"/>
          <w:szCs w:val="21"/>
        </w:rPr>
        <w:t>体会数学的严谨性，养成严谨治学的态度</w:t>
      </w:r>
      <w:r>
        <w:rPr>
          <w:rFonts w:hint="eastAsia" w:ascii="宋体" w:hAnsi="宋体" w:eastAsia="宋体" w:cs="Times New Roman"/>
          <w:color w:val="000000"/>
          <w:szCs w:val="21"/>
        </w:rPr>
        <w:t>，</w:t>
      </w:r>
      <w:r>
        <w:rPr>
          <w:rFonts w:ascii="宋体" w:hAnsi="宋体" w:eastAsia="宋体" w:cs="Times New Roman"/>
          <w:color w:val="000000"/>
          <w:szCs w:val="21"/>
        </w:rPr>
        <w:t>掌握科学、严谨的学习方法</w:t>
      </w:r>
      <w:r>
        <w:rPr>
          <w:rFonts w:hint="eastAsia" w:ascii="宋体" w:hAnsi="宋体" w:eastAsia="宋体" w:cs="Times New Roman"/>
          <w:color w:val="000000"/>
          <w:szCs w:val="21"/>
        </w:rPr>
        <w:t>，</w:t>
      </w:r>
      <w:r>
        <w:rPr>
          <w:rFonts w:ascii="宋体" w:hAnsi="宋体" w:eastAsia="宋体" w:cs="Times New Roman"/>
          <w:color w:val="000000"/>
          <w:szCs w:val="21"/>
        </w:rPr>
        <w:t>强化学习意识，注重创新精神和实践能力的提升</w:t>
      </w:r>
      <w:r>
        <w:rPr>
          <w:rFonts w:hint="eastAsia" w:ascii="宋体" w:hAnsi="宋体" w:eastAsia="宋体" w:cs="Times New Roman"/>
          <w:color w:val="000000"/>
          <w:szCs w:val="21"/>
        </w:rPr>
        <w:t>，</w:t>
      </w:r>
      <w:r>
        <w:rPr>
          <w:rFonts w:ascii="宋体" w:hAnsi="宋体" w:eastAsia="宋体" w:cs="Times New Roman"/>
          <w:color w:val="000000"/>
          <w:szCs w:val="21"/>
        </w:rPr>
        <w:t>树立全面的评价理念</w:t>
      </w:r>
      <w:r>
        <w:rPr>
          <w:rFonts w:hint="eastAsia" w:ascii="宋体" w:hAnsi="宋体" w:eastAsia="宋体" w:cs="Times New Roman"/>
          <w:color w:val="000000"/>
          <w:szCs w:val="21"/>
        </w:rPr>
        <w:t>，</w:t>
      </w:r>
      <w:r>
        <w:rPr>
          <w:rFonts w:ascii="宋体" w:hAnsi="宋体" w:eastAsia="宋体" w:cs="Times New Roman"/>
          <w:color w:val="000000"/>
          <w:szCs w:val="21"/>
        </w:rPr>
        <w:t>增强团队合作的意识，争做“四有”好老师。</w:t>
      </w:r>
    </w:p>
    <w:p w14:paraId="718BDC0D">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704"/>
        <w:gridCol w:w="1135"/>
        <w:gridCol w:w="3266"/>
        <w:gridCol w:w="1563"/>
        <w:gridCol w:w="442"/>
      </w:tblGrid>
      <w:tr w14:paraId="4CCC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1D85E39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347833D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4" w:type="dxa"/>
            <w:vAlign w:val="center"/>
          </w:tcPr>
          <w:p w14:paraId="0269130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5" w:type="dxa"/>
            <w:vAlign w:val="center"/>
          </w:tcPr>
          <w:p w14:paraId="140C94B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41B1224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6" w:type="dxa"/>
            <w:vAlign w:val="center"/>
          </w:tcPr>
          <w:p w14:paraId="437C84F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3" w:type="dxa"/>
            <w:vAlign w:val="center"/>
          </w:tcPr>
          <w:p w14:paraId="1B06A22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40" w:type="dxa"/>
            <w:vAlign w:val="center"/>
          </w:tcPr>
          <w:p w14:paraId="688837A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294C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5A4297F4">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课堂观察与模拟教学概述</w:t>
            </w:r>
          </w:p>
        </w:tc>
        <w:tc>
          <w:tcPr>
            <w:tcW w:w="1704" w:type="dxa"/>
            <w:vAlign w:val="center"/>
          </w:tcPr>
          <w:p w14:paraId="47CC482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⑴课堂观察与模拟教学的内涵</w:t>
            </w:r>
          </w:p>
          <w:p w14:paraId="02F9CCB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⑵课堂观察与模拟教学的意义</w:t>
            </w:r>
          </w:p>
          <w:p w14:paraId="442ECD8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⑶课堂观察与模拟教学的任务</w:t>
            </w:r>
          </w:p>
        </w:tc>
        <w:tc>
          <w:tcPr>
            <w:tcW w:w="1135" w:type="dxa"/>
            <w:vAlign w:val="center"/>
          </w:tcPr>
          <w:p w14:paraId="528EF64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518BE56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1）理解课堂观察与模拟教学的内涵</w:t>
            </w:r>
          </w:p>
          <w:p w14:paraId="7EEC7CC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2）明确课堂观察与模拟教学的意义</w:t>
            </w:r>
          </w:p>
          <w:p w14:paraId="517CC34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3）了解课堂观察的任务</w:t>
            </w:r>
          </w:p>
        </w:tc>
        <w:tc>
          <w:tcPr>
            <w:tcW w:w="1563" w:type="dxa"/>
            <w:vAlign w:val="center"/>
          </w:tcPr>
          <w:p w14:paraId="3A5B54F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5CD7D5C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5F314720">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0" w:type="dxa"/>
            <w:vAlign w:val="center"/>
          </w:tcPr>
          <w:p w14:paraId="00827EEE">
            <w:pPr>
              <w:spacing w:line="269"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p>
        </w:tc>
      </w:tr>
      <w:tr w14:paraId="796D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68258A34">
            <w:pPr>
              <w:spacing w:line="264" w:lineRule="auto"/>
              <w:jc w:val="center"/>
              <w:rPr>
                <w:rFonts w:hint="eastAsia" w:ascii="宋体" w:hAnsi="宋体" w:eastAsia="宋体" w:cs="Times New Roman"/>
                <w:color w:val="000000"/>
                <w:szCs w:val="21"/>
              </w:rPr>
            </w:pPr>
          </w:p>
        </w:tc>
        <w:tc>
          <w:tcPr>
            <w:tcW w:w="8110" w:type="dxa"/>
            <w:gridSpan w:val="5"/>
            <w:vAlign w:val="center"/>
          </w:tcPr>
          <w:p w14:paraId="0333E890">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体会数学的严谨性，养成严谨治学的态度</w:t>
            </w:r>
            <w:r>
              <w:rPr>
                <w:rFonts w:hint="eastAsia" w:ascii="宋体" w:hAnsi="宋体" w:eastAsia="宋体" w:cs="Times New Roman"/>
                <w:color w:val="000000"/>
                <w:szCs w:val="21"/>
              </w:rPr>
              <w:t>，</w:t>
            </w:r>
            <w:r>
              <w:rPr>
                <w:rFonts w:ascii="宋体" w:hAnsi="宋体" w:eastAsia="宋体" w:cs="Times New Roman"/>
                <w:color w:val="000000"/>
                <w:szCs w:val="21"/>
              </w:rPr>
              <w:t>争做“四有”好老师。</w:t>
            </w:r>
          </w:p>
        </w:tc>
      </w:tr>
      <w:tr w14:paraId="64D2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7CE9D644">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课堂观察的类型与方法</w:t>
            </w:r>
          </w:p>
        </w:tc>
        <w:tc>
          <w:tcPr>
            <w:tcW w:w="1704" w:type="dxa"/>
            <w:vAlign w:val="center"/>
          </w:tcPr>
          <w:p w14:paraId="31CDF4C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⑴课堂观察的类型</w:t>
            </w:r>
          </w:p>
          <w:p w14:paraId="453341F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⑵课堂观察的方法</w:t>
            </w:r>
          </w:p>
        </w:tc>
        <w:tc>
          <w:tcPr>
            <w:tcW w:w="1135" w:type="dxa"/>
            <w:vAlign w:val="center"/>
          </w:tcPr>
          <w:p w14:paraId="5A758C5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266" w:type="dxa"/>
            <w:vAlign w:val="center"/>
          </w:tcPr>
          <w:p w14:paraId="6A96FFD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1）了解课堂观察的基本类型及特点</w:t>
            </w:r>
          </w:p>
          <w:p w14:paraId="3DE1A11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2）掌握常用的课堂观察方法</w:t>
            </w:r>
          </w:p>
        </w:tc>
        <w:tc>
          <w:tcPr>
            <w:tcW w:w="1563" w:type="dxa"/>
            <w:vAlign w:val="center"/>
          </w:tcPr>
          <w:p w14:paraId="13EDBBD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224CABD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7269CE97">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0" w:type="dxa"/>
            <w:vAlign w:val="center"/>
          </w:tcPr>
          <w:p w14:paraId="6027757C">
            <w:pPr>
              <w:spacing w:line="269"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p>
        </w:tc>
      </w:tr>
      <w:tr w14:paraId="4E3A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continue"/>
            <w:vAlign w:val="center"/>
          </w:tcPr>
          <w:p w14:paraId="0B272AB1">
            <w:pPr>
              <w:spacing w:line="264" w:lineRule="auto"/>
              <w:jc w:val="center"/>
              <w:rPr>
                <w:rFonts w:hint="eastAsia" w:ascii="宋体" w:hAnsi="宋体" w:eastAsia="宋体" w:cs="Times New Roman"/>
                <w:color w:val="000000"/>
                <w:szCs w:val="21"/>
              </w:rPr>
            </w:pPr>
          </w:p>
        </w:tc>
        <w:tc>
          <w:tcPr>
            <w:tcW w:w="8110" w:type="dxa"/>
            <w:gridSpan w:val="5"/>
            <w:vAlign w:val="center"/>
          </w:tcPr>
          <w:p w14:paraId="789D866A">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1）掌握科学、严谨的学习方法。</w:t>
            </w: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养成</w:t>
            </w:r>
            <w:r>
              <w:rPr>
                <w:rFonts w:ascii="宋体" w:hAnsi="宋体" w:eastAsia="宋体" w:cs="Times New Roman"/>
                <w:color w:val="000000"/>
                <w:szCs w:val="21"/>
              </w:rPr>
              <w:t>学习他人先进理念和教学经验的意识。</w:t>
            </w:r>
          </w:p>
        </w:tc>
      </w:tr>
      <w:tr w14:paraId="7B88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3564639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课堂观察的实施</w:t>
            </w:r>
          </w:p>
        </w:tc>
        <w:tc>
          <w:tcPr>
            <w:tcW w:w="1704" w:type="dxa"/>
            <w:vAlign w:val="center"/>
          </w:tcPr>
          <w:p w14:paraId="674D9B4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⑴课堂观察的准备</w:t>
            </w:r>
          </w:p>
          <w:p w14:paraId="274AE39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⑵课堂观察的具体实施</w:t>
            </w:r>
          </w:p>
          <w:p w14:paraId="7F08CCF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⑶课堂观察报告的撰写</w:t>
            </w:r>
          </w:p>
        </w:tc>
        <w:tc>
          <w:tcPr>
            <w:tcW w:w="1135" w:type="dxa"/>
            <w:vAlign w:val="center"/>
          </w:tcPr>
          <w:p w14:paraId="0FAB649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r>
              <w:rPr>
                <w:rFonts w:hint="eastAsia" w:ascii="宋体" w:hAnsi="宋体" w:eastAsia="宋体" w:cs="Times New Roman"/>
                <w:color w:val="000000"/>
                <w:szCs w:val="21"/>
              </w:rPr>
              <w:t>、3</w:t>
            </w:r>
          </w:p>
        </w:tc>
        <w:tc>
          <w:tcPr>
            <w:tcW w:w="3266" w:type="dxa"/>
            <w:vAlign w:val="center"/>
          </w:tcPr>
          <w:p w14:paraId="3D3FA8E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1）知道如何做好课堂观察的准备</w:t>
            </w:r>
          </w:p>
          <w:p w14:paraId="4E3EDBB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2）能够运用科学的方法开展课堂观察</w:t>
            </w:r>
          </w:p>
          <w:p w14:paraId="5C80C23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3）能够撰写较为全面课堂观察报告</w:t>
            </w:r>
          </w:p>
        </w:tc>
        <w:tc>
          <w:tcPr>
            <w:tcW w:w="1563" w:type="dxa"/>
            <w:vAlign w:val="center"/>
          </w:tcPr>
          <w:p w14:paraId="52A8A38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2A967E8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6A811759">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.观察实践</w:t>
            </w:r>
          </w:p>
          <w:p w14:paraId="7569996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0" w:type="dxa"/>
            <w:vAlign w:val="center"/>
          </w:tcPr>
          <w:p w14:paraId="6F2F1015">
            <w:pPr>
              <w:spacing w:line="269" w:lineRule="auto"/>
              <w:jc w:val="center"/>
              <w:rPr>
                <w:rFonts w:hint="eastAsia" w:ascii="宋体" w:hAnsi="宋体" w:eastAsia="宋体" w:cs="Times New Roman"/>
                <w:color w:val="000000"/>
                <w:szCs w:val="21"/>
              </w:rPr>
            </w:pPr>
            <w:r>
              <w:rPr>
                <w:rFonts w:ascii="宋体" w:hAnsi="宋体" w:eastAsia="宋体" w:cs="Times New Roman"/>
                <w:color w:val="000000"/>
                <w:szCs w:val="21"/>
              </w:rPr>
              <w:t>12</w:t>
            </w:r>
          </w:p>
        </w:tc>
      </w:tr>
      <w:tr w14:paraId="005D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4DDEDA0F">
            <w:pPr>
              <w:spacing w:line="264" w:lineRule="auto"/>
              <w:jc w:val="center"/>
              <w:rPr>
                <w:rFonts w:hint="eastAsia" w:ascii="宋体" w:hAnsi="宋体" w:eastAsia="宋体" w:cs="Times New Roman"/>
                <w:color w:val="000000"/>
                <w:szCs w:val="21"/>
              </w:rPr>
            </w:pPr>
          </w:p>
        </w:tc>
        <w:tc>
          <w:tcPr>
            <w:tcW w:w="8110" w:type="dxa"/>
            <w:gridSpan w:val="5"/>
            <w:vAlign w:val="center"/>
          </w:tcPr>
          <w:p w14:paraId="796059AC">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1）学习优秀教师的教学经验和专业情怀。</w:t>
            </w:r>
            <w:r>
              <w:rPr>
                <w:rFonts w:hint="eastAsia" w:ascii="宋体" w:hAnsi="宋体" w:eastAsia="宋体" w:cs="Times New Roman"/>
                <w:color w:val="000000"/>
                <w:szCs w:val="21"/>
              </w:rPr>
              <w:t>（</w:t>
            </w:r>
            <w:r>
              <w:rPr>
                <w:rFonts w:ascii="宋体" w:hAnsi="宋体" w:eastAsia="宋体" w:cs="Times New Roman"/>
                <w:color w:val="000000"/>
                <w:szCs w:val="21"/>
              </w:rPr>
              <w:t>2）养成踏实、严谨的学习习惯。</w:t>
            </w:r>
          </w:p>
        </w:tc>
      </w:tr>
      <w:tr w14:paraId="71FA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06" w:type="dxa"/>
            <w:vMerge w:val="restart"/>
            <w:vAlign w:val="center"/>
          </w:tcPr>
          <w:p w14:paraId="0D0AB72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模拟教学的原则</w:t>
            </w:r>
          </w:p>
        </w:tc>
        <w:tc>
          <w:tcPr>
            <w:tcW w:w="1704" w:type="dxa"/>
            <w:vAlign w:val="center"/>
          </w:tcPr>
          <w:p w14:paraId="6F206AB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⑴影响模拟教学的主要因素</w:t>
            </w:r>
          </w:p>
          <w:p w14:paraId="49AAF51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⑵模拟教学的一般原则</w:t>
            </w:r>
          </w:p>
        </w:tc>
        <w:tc>
          <w:tcPr>
            <w:tcW w:w="1135" w:type="dxa"/>
            <w:vAlign w:val="center"/>
          </w:tcPr>
          <w:p w14:paraId="3E8A5A3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6" w:type="dxa"/>
            <w:vAlign w:val="center"/>
          </w:tcPr>
          <w:p w14:paraId="5CB2B88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1）了解影响模拟教学的主要因素</w:t>
            </w:r>
          </w:p>
          <w:p w14:paraId="4F5F069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2）理解模拟教学应遵循的一般原则</w:t>
            </w:r>
          </w:p>
          <w:p w14:paraId="0B8D858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3）明确模拟教学的基本要求</w:t>
            </w:r>
          </w:p>
        </w:tc>
        <w:tc>
          <w:tcPr>
            <w:tcW w:w="1563" w:type="dxa"/>
            <w:vAlign w:val="center"/>
          </w:tcPr>
          <w:p w14:paraId="4F47A93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0B33666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4DECDCA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12D8EA7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0" w:type="dxa"/>
            <w:vAlign w:val="center"/>
          </w:tcPr>
          <w:p w14:paraId="26A70F14">
            <w:pPr>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p>
        </w:tc>
      </w:tr>
      <w:tr w14:paraId="0862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24FC9665">
            <w:pPr>
              <w:spacing w:line="276" w:lineRule="auto"/>
              <w:jc w:val="center"/>
              <w:rPr>
                <w:rFonts w:hint="eastAsia" w:ascii="宋体" w:hAnsi="宋体" w:eastAsia="宋体" w:cs="Times New Roman"/>
                <w:color w:val="000000"/>
                <w:szCs w:val="21"/>
              </w:rPr>
            </w:pPr>
          </w:p>
        </w:tc>
        <w:tc>
          <w:tcPr>
            <w:tcW w:w="8110" w:type="dxa"/>
            <w:gridSpan w:val="5"/>
            <w:vAlign w:val="center"/>
          </w:tcPr>
          <w:p w14:paraId="09226AA6">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1）强化学习意识，注重创新精神和实践能力的提升。</w:t>
            </w:r>
            <w:r>
              <w:rPr>
                <w:rFonts w:hint="eastAsia" w:ascii="宋体" w:hAnsi="宋体" w:eastAsia="宋体" w:cs="Times New Roman"/>
                <w:color w:val="000000"/>
                <w:szCs w:val="21"/>
              </w:rPr>
              <w:t>（</w:t>
            </w:r>
            <w:r>
              <w:rPr>
                <w:rFonts w:ascii="宋体" w:hAnsi="宋体" w:eastAsia="宋体" w:cs="Times New Roman"/>
                <w:color w:val="000000"/>
                <w:szCs w:val="21"/>
              </w:rPr>
              <w:t>2）提高专业学习的严谨性。</w:t>
            </w:r>
          </w:p>
        </w:tc>
      </w:tr>
      <w:tr w14:paraId="30AE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206" w:type="dxa"/>
            <w:vMerge w:val="restart"/>
            <w:vAlign w:val="center"/>
          </w:tcPr>
          <w:p w14:paraId="378578D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模拟教学的流程</w:t>
            </w:r>
          </w:p>
        </w:tc>
        <w:tc>
          <w:tcPr>
            <w:tcW w:w="1704" w:type="dxa"/>
            <w:vAlign w:val="center"/>
          </w:tcPr>
          <w:p w14:paraId="1679754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⑴模拟教学的一般流程</w:t>
            </w:r>
          </w:p>
          <w:p w14:paraId="4C94B58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⑵模拟教学案例分析</w:t>
            </w:r>
          </w:p>
        </w:tc>
        <w:tc>
          <w:tcPr>
            <w:tcW w:w="1135" w:type="dxa"/>
            <w:vAlign w:val="center"/>
          </w:tcPr>
          <w:p w14:paraId="0003DCC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6" w:type="dxa"/>
            <w:vAlign w:val="center"/>
          </w:tcPr>
          <w:p w14:paraId="2F385EC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1）了解模拟教学的一般流程</w:t>
            </w:r>
          </w:p>
          <w:p w14:paraId="2098FED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2）知道如何进行有效的模拟教学</w:t>
            </w:r>
          </w:p>
          <w:p w14:paraId="287654A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3）能较好地进行模拟教学</w:t>
            </w:r>
          </w:p>
        </w:tc>
        <w:tc>
          <w:tcPr>
            <w:tcW w:w="1563" w:type="dxa"/>
            <w:vAlign w:val="center"/>
          </w:tcPr>
          <w:p w14:paraId="5E99EC6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5210402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5479971E">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57A7454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0" w:type="dxa"/>
            <w:vAlign w:val="center"/>
          </w:tcPr>
          <w:p w14:paraId="47194D12">
            <w:pPr>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p>
        </w:tc>
      </w:tr>
      <w:tr w14:paraId="2214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316535BD">
            <w:pPr>
              <w:spacing w:line="276" w:lineRule="auto"/>
              <w:jc w:val="center"/>
              <w:rPr>
                <w:rFonts w:hint="eastAsia" w:ascii="宋体" w:hAnsi="宋体" w:eastAsia="宋体" w:cs="Times New Roman"/>
                <w:color w:val="000000"/>
                <w:szCs w:val="21"/>
              </w:rPr>
            </w:pPr>
          </w:p>
        </w:tc>
        <w:tc>
          <w:tcPr>
            <w:tcW w:w="8110" w:type="dxa"/>
            <w:gridSpan w:val="5"/>
            <w:vAlign w:val="center"/>
          </w:tcPr>
          <w:p w14:paraId="12CB7359">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1）增强团队合作意识与沟通表达能力。</w:t>
            </w:r>
            <w:r>
              <w:rPr>
                <w:rFonts w:hint="eastAsia" w:ascii="宋体" w:hAnsi="宋体" w:eastAsia="宋体" w:cs="Times New Roman"/>
                <w:color w:val="000000"/>
                <w:szCs w:val="21"/>
              </w:rPr>
              <w:t>（</w:t>
            </w:r>
            <w:r>
              <w:rPr>
                <w:rFonts w:ascii="宋体" w:hAnsi="宋体" w:eastAsia="宋体" w:cs="Times New Roman"/>
                <w:color w:val="000000"/>
                <w:szCs w:val="21"/>
              </w:rPr>
              <w:t>2）养成虚心学习和不断进取的意识。</w:t>
            </w:r>
          </w:p>
        </w:tc>
      </w:tr>
      <w:tr w14:paraId="119A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1206" w:type="dxa"/>
            <w:vMerge w:val="restart"/>
            <w:vAlign w:val="center"/>
          </w:tcPr>
          <w:p w14:paraId="135949D9">
            <w:pPr>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6.</w:t>
            </w:r>
            <w:r>
              <w:rPr>
                <w:rFonts w:hint="eastAsia"/>
              </w:rPr>
              <w:t xml:space="preserve"> 模拟教学的训练与指导</w:t>
            </w:r>
          </w:p>
        </w:tc>
        <w:tc>
          <w:tcPr>
            <w:tcW w:w="1704" w:type="dxa"/>
            <w:vAlign w:val="center"/>
          </w:tcPr>
          <w:p w14:paraId="6372CEE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⑴模拟教学训练</w:t>
            </w:r>
          </w:p>
          <w:p w14:paraId="4678D2F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⑵模拟教学指导</w:t>
            </w:r>
          </w:p>
        </w:tc>
        <w:tc>
          <w:tcPr>
            <w:tcW w:w="1135" w:type="dxa"/>
            <w:vAlign w:val="center"/>
          </w:tcPr>
          <w:p w14:paraId="2442B73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6" w:type="dxa"/>
            <w:vAlign w:val="center"/>
          </w:tcPr>
          <w:p w14:paraId="2E7B45C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1）能够在理论的指导下开展经常性的模拟教学训练</w:t>
            </w:r>
          </w:p>
          <w:p w14:paraId="4A3158E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2）较为熟练地掌握模拟教学的技能</w:t>
            </w:r>
          </w:p>
          <w:p w14:paraId="622CA62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3）能虚心听取老师和同学们的建议</w:t>
            </w:r>
          </w:p>
        </w:tc>
        <w:tc>
          <w:tcPr>
            <w:tcW w:w="1563" w:type="dxa"/>
            <w:vAlign w:val="center"/>
          </w:tcPr>
          <w:p w14:paraId="65EF194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20A8D2D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07AC6D9A">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7CF55FF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0" w:type="dxa"/>
            <w:vAlign w:val="center"/>
          </w:tcPr>
          <w:p w14:paraId="6C6FA1AE">
            <w:pPr>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10</w:t>
            </w:r>
          </w:p>
        </w:tc>
      </w:tr>
      <w:tr w14:paraId="709E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6F869C91">
            <w:pPr>
              <w:spacing w:line="276" w:lineRule="auto"/>
              <w:jc w:val="center"/>
              <w:rPr>
                <w:rFonts w:hint="eastAsia" w:ascii="宋体" w:hAnsi="宋体" w:eastAsia="宋体" w:cs="Times New Roman"/>
                <w:color w:val="000000"/>
                <w:szCs w:val="21"/>
              </w:rPr>
            </w:pPr>
          </w:p>
        </w:tc>
        <w:tc>
          <w:tcPr>
            <w:tcW w:w="8110" w:type="dxa"/>
            <w:gridSpan w:val="5"/>
            <w:vAlign w:val="center"/>
          </w:tcPr>
          <w:p w14:paraId="1A314E87">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1）增强团队合作意识。</w:t>
            </w:r>
            <w:r>
              <w:rPr>
                <w:rFonts w:hint="eastAsia" w:ascii="宋体" w:hAnsi="宋体" w:eastAsia="宋体" w:cs="Times New Roman"/>
                <w:color w:val="000000"/>
                <w:szCs w:val="21"/>
              </w:rPr>
              <w:t>（</w:t>
            </w:r>
            <w:r>
              <w:rPr>
                <w:rFonts w:ascii="宋体" w:hAnsi="宋体" w:eastAsia="宋体" w:cs="Times New Roman"/>
                <w:color w:val="000000"/>
                <w:szCs w:val="21"/>
              </w:rPr>
              <w:t>2）养成坚持不懈的意志品质，进一步巩固专业思想。</w:t>
            </w:r>
          </w:p>
        </w:tc>
      </w:tr>
      <w:tr w14:paraId="0432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1206" w:type="dxa"/>
            <w:vMerge w:val="restart"/>
            <w:vAlign w:val="center"/>
          </w:tcPr>
          <w:p w14:paraId="0712C1D0">
            <w:pPr>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7.</w:t>
            </w:r>
            <w:r>
              <w:rPr>
                <w:rFonts w:hint="eastAsia"/>
              </w:rPr>
              <w:t xml:space="preserve"> </w:t>
            </w:r>
            <w:r>
              <w:rPr>
                <w:rFonts w:hint="eastAsia" w:ascii="宋体" w:hAnsi="宋体" w:eastAsia="宋体" w:cs="Times New Roman"/>
                <w:color w:val="000000"/>
                <w:szCs w:val="21"/>
              </w:rPr>
              <w:t>模拟教学的评价</w:t>
            </w:r>
          </w:p>
        </w:tc>
        <w:tc>
          <w:tcPr>
            <w:tcW w:w="1704" w:type="dxa"/>
            <w:vAlign w:val="center"/>
          </w:tcPr>
          <w:p w14:paraId="75A2080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⑴模拟教学的评价标准</w:t>
            </w:r>
          </w:p>
          <w:p w14:paraId="641AC89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⑵模拟教学的评价方法</w:t>
            </w:r>
          </w:p>
        </w:tc>
        <w:tc>
          <w:tcPr>
            <w:tcW w:w="1135" w:type="dxa"/>
            <w:vAlign w:val="center"/>
          </w:tcPr>
          <w:p w14:paraId="728F016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6" w:type="dxa"/>
            <w:vAlign w:val="center"/>
          </w:tcPr>
          <w:p w14:paraId="7334D7F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1）明确模拟教学的评价标准</w:t>
            </w:r>
          </w:p>
          <w:p w14:paraId="4D4E87D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2）知道如何开展模拟教学评价</w:t>
            </w:r>
          </w:p>
          <w:p w14:paraId="58BDD38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3）能在全面评价的基础上进一步改进模拟教学</w:t>
            </w:r>
          </w:p>
        </w:tc>
        <w:tc>
          <w:tcPr>
            <w:tcW w:w="1563" w:type="dxa"/>
            <w:vAlign w:val="center"/>
          </w:tcPr>
          <w:p w14:paraId="0568405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0B78940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2BD3D59E">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78B6D8A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0" w:type="dxa"/>
            <w:vAlign w:val="center"/>
          </w:tcPr>
          <w:p w14:paraId="19A258BC">
            <w:pPr>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p>
        </w:tc>
      </w:tr>
      <w:tr w14:paraId="7B36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06" w:type="dxa"/>
            <w:vMerge w:val="continue"/>
            <w:vAlign w:val="center"/>
          </w:tcPr>
          <w:p w14:paraId="2F7B025C">
            <w:pPr>
              <w:spacing w:line="276" w:lineRule="auto"/>
              <w:jc w:val="center"/>
              <w:rPr>
                <w:rFonts w:hint="eastAsia" w:ascii="宋体" w:hAnsi="宋体" w:eastAsia="宋体" w:cs="Times New Roman"/>
                <w:color w:val="000000"/>
                <w:szCs w:val="21"/>
              </w:rPr>
            </w:pPr>
          </w:p>
        </w:tc>
        <w:tc>
          <w:tcPr>
            <w:tcW w:w="8110" w:type="dxa"/>
            <w:gridSpan w:val="5"/>
            <w:vAlign w:val="center"/>
          </w:tcPr>
          <w:p w14:paraId="1D164A88">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1）树立全面的评价理念。</w:t>
            </w:r>
            <w:r>
              <w:rPr>
                <w:rFonts w:hint="eastAsia" w:ascii="宋体" w:hAnsi="宋体" w:eastAsia="宋体" w:cs="Times New Roman"/>
                <w:color w:val="000000"/>
                <w:szCs w:val="21"/>
              </w:rPr>
              <w:t>（</w:t>
            </w:r>
            <w:r>
              <w:rPr>
                <w:rFonts w:ascii="宋体" w:hAnsi="宋体" w:eastAsia="宋体" w:cs="Times New Roman"/>
                <w:color w:val="000000"/>
                <w:szCs w:val="21"/>
              </w:rPr>
              <w:t>2）增强团队合作的意识。</w:t>
            </w:r>
          </w:p>
        </w:tc>
      </w:tr>
    </w:tbl>
    <w:p w14:paraId="6277D4D0">
      <w:pPr>
        <w:spacing w:line="360" w:lineRule="auto"/>
        <w:jc w:val="left"/>
        <w:rPr>
          <w:rFonts w:ascii="Times New Roman" w:hAnsi="Times New Roman" w:eastAsia="宋体" w:cs="Times New Roman"/>
          <w:sz w:val="24"/>
        </w:rPr>
      </w:pPr>
    </w:p>
    <w:p w14:paraId="2A2C134B">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77ECF50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880935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7A03D7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53A9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0" w:type="auto"/>
            <w:vMerge w:val="restart"/>
            <w:vAlign w:val="center"/>
          </w:tcPr>
          <w:p w14:paraId="3962595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0D0B36E8">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24607E6">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46C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31C7566D">
            <w:pPr>
              <w:spacing w:line="360" w:lineRule="auto"/>
              <w:jc w:val="center"/>
              <w:rPr>
                <w:rFonts w:hint="eastAsia" w:ascii="宋体" w:hAnsi="宋体" w:eastAsia="宋体" w:cs="Times New Roman"/>
                <w:szCs w:val="21"/>
              </w:rPr>
            </w:pPr>
          </w:p>
        </w:tc>
        <w:tc>
          <w:tcPr>
            <w:tcW w:w="0" w:type="auto"/>
            <w:vAlign w:val="center"/>
          </w:tcPr>
          <w:p w14:paraId="474B59E1">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w:t>
            </w:r>
            <w:r>
              <w:rPr>
                <w:rFonts w:ascii="宋体" w:hAnsi="宋体" w:eastAsia="宋体" w:cs="Times New Roman"/>
                <w:szCs w:val="21"/>
              </w:rPr>
              <w:t>+考勤</w:t>
            </w:r>
          </w:p>
        </w:tc>
        <w:tc>
          <w:tcPr>
            <w:tcW w:w="0" w:type="auto"/>
            <w:vAlign w:val="center"/>
          </w:tcPr>
          <w:p w14:paraId="30C3F51D">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689F3459">
            <w:pPr>
              <w:spacing w:line="360" w:lineRule="auto"/>
              <w:jc w:val="center"/>
              <w:rPr>
                <w:rFonts w:hint="eastAsia" w:ascii="宋体" w:hAnsi="宋体" w:eastAsia="宋体" w:cs="Times New Roman"/>
                <w:szCs w:val="21"/>
              </w:rPr>
            </w:pPr>
            <w:r>
              <w:rPr>
                <w:rFonts w:hint="eastAsia" w:ascii="宋体" w:hAnsi="宋体" w:eastAsia="宋体" w:cs="Times New Roman"/>
                <w:szCs w:val="21"/>
              </w:rPr>
              <w:t>课内实践</w:t>
            </w:r>
          </w:p>
        </w:tc>
        <w:tc>
          <w:tcPr>
            <w:tcW w:w="0" w:type="auto"/>
            <w:vAlign w:val="center"/>
          </w:tcPr>
          <w:p w14:paraId="3EA819DE">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51F523D4">
            <w:pPr>
              <w:spacing w:line="360" w:lineRule="auto"/>
              <w:jc w:val="center"/>
              <w:rPr>
                <w:rFonts w:hint="eastAsia" w:ascii="宋体" w:hAnsi="宋体" w:eastAsia="宋体" w:cs="Times New Roman"/>
                <w:szCs w:val="21"/>
              </w:rPr>
            </w:pPr>
          </w:p>
        </w:tc>
      </w:tr>
      <w:tr w14:paraId="024F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0A23CFE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1AEA6AA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E0ACEA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FA5CC4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69ABF2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9A4CCBB">
            <w:pPr>
              <w:spacing w:line="360" w:lineRule="auto"/>
              <w:jc w:val="center"/>
              <w:rPr>
                <w:rFonts w:hint="eastAsia" w:ascii="宋体" w:hAnsi="宋体" w:eastAsia="宋体" w:cs="Times New Roman"/>
                <w:szCs w:val="21"/>
              </w:rPr>
            </w:pPr>
            <w:r>
              <w:rPr>
                <w:rFonts w:ascii="宋体" w:hAnsi="宋体" w:eastAsia="宋体" w:cs="Times New Roman"/>
                <w:szCs w:val="21"/>
              </w:rPr>
              <w:t>25</w:t>
            </w:r>
          </w:p>
        </w:tc>
      </w:tr>
      <w:tr w14:paraId="7A0D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2C17C15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66165D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18C2F1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9F82EB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1262C9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08A05CE">
            <w:pPr>
              <w:spacing w:line="360" w:lineRule="auto"/>
              <w:jc w:val="center"/>
              <w:rPr>
                <w:rFonts w:hint="eastAsia" w:ascii="宋体" w:hAnsi="宋体" w:eastAsia="宋体" w:cs="Times New Roman"/>
                <w:szCs w:val="21"/>
              </w:rPr>
            </w:pPr>
            <w:r>
              <w:rPr>
                <w:rFonts w:ascii="宋体" w:hAnsi="宋体" w:eastAsia="宋体" w:cs="Times New Roman"/>
                <w:szCs w:val="21"/>
              </w:rPr>
              <w:t>50</w:t>
            </w:r>
          </w:p>
        </w:tc>
      </w:tr>
      <w:tr w14:paraId="16AB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788C33C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35AC007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2998EB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80608D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A8EA0B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CB92AC7">
            <w:pPr>
              <w:spacing w:line="360" w:lineRule="auto"/>
              <w:jc w:val="center"/>
              <w:rPr>
                <w:rFonts w:hint="eastAsia" w:ascii="宋体" w:hAnsi="宋体" w:eastAsia="宋体" w:cs="Times New Roman"/>
                <w:szCs w:val="21"/>
              </w:rPr>
            </w:pPr>
            <w:r>
              <w:rPr>
                <w:rFonts w:ascii="宋体" w:hAnsi="宋体" w:eastAsia="宋体" w:cs="Times New Roman"/>
                <w:szCs w:val="21"/>
              </w:rPr>
              <w:t>25</w:t>
            </w:r>
          </w:p>
        </w:tc>
      </w:tr>
      <w:tr w14:paraId="6FA0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3C85FA93">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7AEABEDA">
            <w:pPr>
              <w:spacing w:line="360" w:lineRule="auto"/>
              <w:jc w:val="center"/>
              <w:rPr>
                <w:rFonts w:hint="eastAsia" w:ascii="宋体" w:hAnsi="宋体" w:eastAsia="宋体" w:cs="Times New Roman"/>
                <w:szCs w:val="21"/>
              </w:rPr>
            </w:pPr>
            <w:r>
              <w:rPr>
                <w:rFonts w:ascii="宋体" w:hAnsi="宋体" w:eastAsia="宋体" w:cs="Times New Roman"/>
                <w:szCs w:val="21"/>
              </w:rPr>
              <w:t>20</w:t>
            </w:r>
          </w:p>
        </w:tc>
        <w:tc>
          <w:tcPr>
            <w:tcW w:w="0" w:type="auto"/>
            <w:vAlign w:val="center"/>
          </w:tcPr>
          <w:p w14:paraId="1AA8AF27">
            <w:pPr>
              <w:spacing w:line="360"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p>
        </w:tc>
        <w:tc>
          <w:tcPr>
            <w:tcW w:w="0" w:type="auto"/>
            <w:vAlign w:val="center"/>
          </w:tcPr>
          <w:p w14:paraId="54542BAE">
            <w:pPr>
              <w:spacing w:line="360" w:lineRule="auto"/>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0" w:type="auto"/>
            <w:vAlign w:val="center"/>
          </w:tcPr>
          <w:p w14:paraId="3C1C9B1C">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0</w:t>
            </w:r>
          </w:p>
        </w:tc>
        <w:tc>
          <w:tcPr>
            <w:tcW w:w="0" w:type="auto"/>
            <w:vAlign w:val="center"/>
          </w:tcPr>
          <w:p w14:paraId="3077666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71C8189B">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464F98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0C6912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6522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CBC6E5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4" w:type="dxa"/>
            <w:vAlign w:val="center"/>
          </w:tcPr>
          <w:p w14:paraId="13E12D1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08C659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7BF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913625C">
            <w:pPr>
              <w:rPr>
                <w:rFonts w:ascii="Times New Roman" w:hAnsi="Times New Roman" w:eastAsia="宋体" w:cs="Times New Roman"/>
                <w:szCs w:val="21"/>
              </w:rPr>
            </w:pPr>
            <w:r>
              <w:rPr>
                <w:rFonts w:hint="eastAsia" w:ascii="Times New Roman" w:hAnsi="Times New Roman" w:eastAsia="宋体" w:cs="Times New Roman"/>
                <w:szCs w:val="21"/>
              </w:rPr>
              <w:t>作业</w:t>
            </w:r>
            <w:r>
              <w:rPr>
                <w:rFonts w:ascii="Times New Roman" w:hAnsi="Times New Roman" w:eastAsia="宋体" w:cs="Times New Roman"/>
                <w:szCs w:val="21"/>
              </w:rPr>
              <w:t>+考勤</w:t>
            </w:r>
          </w:p>
        </w:tc>
        <w:tc>
          <w:tcPr>
            <w:tcW w:w="6924" w:type="dxa"/>
            <w:vAlign w:val="center"/>
          </w:tcPr>
          <w:p w14:paraId="47B10E4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平时作业共3次，平时总评</w:t>
            </w:r>
            <w:r>
              <w:rPr>
                <w:rFonts w:ascii="Times New Roman" w:hAnsi="Times New Roman" w:eastAsia="宋体" w:cs="Times New Roman"/>
                <w:szCs w:val="21"/>
              </w:rPr>
              <w:t>=作业平均—考勤扣分，旷课1次扣5分，事假一次扣2分，迟到1次扣1分，病假不扣分（但病假次数达本学期总授课学时的1/3以上者不得参加考核）。</w:t>
            </w:r>
          </w:p>
        </w:tc>
        <w:tc>
          <w:tcPr>
            <w:tcW w:w="0" w:type="auto"/>
            <w:vAlign w:val="center"/>
          </w:tcPr>
          <w:p w14:paraId="6E7DB619">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787D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2D056ED">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924" w:type="dxa"/>
            <w:vAlign w:val="center"/>
          </w:tcPr>
          <w:p w14:paraId="4DA38AC7">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课堂表现。</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按照对应的课程目标及权重给予评定</w:t>
            </w:r>
            <w:r>
              <w:rPr>
                <w:rFonts w:hint="eastAsia" w:ascii="宋体" w:hAnsi="宋体" w:eastAsia="宋体" w:cs="宋体"/>
                <w:color w:val="000000"/>
                <w:kern w:val="0"/>
                <w:szCs w:val="21"/>
                <w:lang w:bidi="ar"/>
              </w:rPr>
              <w:t>。</w:t>
            </w:r>
          </w:p>
        </w:tc>
        <w:tc>
          <w:tcPr>
            <w:tcW w:w="0" w:type="auto"/>
            <w:vAlign w:val="center"/>
          </w:tcPr>
          <w:p w14:paraId="160FD57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7E9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FBF08DA">
            <w:pP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6924" w:type="dxa"/>
            <w:vAlign w:val="center"/>
          </w:tcPr>
          <w:p w14:paraId="5EC38635">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认真完成</w:t>
            </w:r>
            <w:r>
              <w:rPr>
                <w:rFonts w:ascii="宋体" w:hAnsi="宋体" w:eastAsia="宋体" w:cs="宋体"/>
                <w:color w:val="000000"/>
                <w:kern w:val="0"/>
                <w:szCs w:val="21"/>
                <w:lang w:bidi="ar"/>
              </w:rPr>
              <w:t>5个项目的课内实践，</w:t>
            </w:r>
            <w:r>
              <w:rPr>
                <w:rFonts w:hint="eastAsia" w:ascii="宋体" w:hAnsi="宋体" w:eastAsia="宋体" w:cs="宋体"/>
                <w:color w:val="000000"/>
                <w:kern w:val="0"/>
                <w:szCs w:val="21"/>
                <w:lang w:bidi="ar"/>
              </w:rPr>
              <w:t>在充分观摩学习的基础上</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开展全面的课堂观察和持续的模拟教学训练</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实行组内互评与教师评价相结合的方式。</w:t>
            </w:r>
            <w:r>
              <w:rPr>
                <w:rFonts w:ascii="宋体" w:hAnsi="宋体" w:eastAsia="宋体" w:cs="宋体"/>
                <w:color w:val="000000"/>
                <w:kern w:val="0"/>
                <w:szCs w:val="21"/>
                <w:lang w:bidi="ar"/>
              </w:rPr>
              <w:t>4个项目成绩取平均分作为课内实践分。</w:t>
            </w:r>
          </w:p>
        </w:tc>
        <w:tc>
          <w:tcPr>
            <w:tcW w:w="0" w:type="auto"/>
            <w:vAlign w:val="center"/>
          </w:tcPr>
          <w:p w14:paraId="0E009891">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5ACF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A0812C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924" w:type="dxa"/>
            <w:vAlign w:val="center"/>
          </w:tcPr>
          <w:p w14:paraId="52C5EE3B">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利用教育实习的机会，完成一份课堂观察报告；选择一个小学数学教学内容，提交一份小学数学模拟教学视频</w:t>
            </w:r>
            <w:r>
              <w:rPr>
                <w:rFonts w:ascii="Times New Roman" w:hAnsi="Times New Roman" w:eastAsia="宋体" w:cs="Times New Roman"/>
                <w:color w:val="000000"/>
                <w:szCs w:val="21"/>
              </w:rPr>
              <w:t>。</w:t>
            </w:r>
          </w:p>
        </w:tc>
        <w:tc>
          <w:tcPr>
            <w:tcW w:w="0" w:type="auto"/>
            <w:vAlign w:val="center"/>
          </w:tcPr>
          <w:p w14:paraId="0E512A46">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7EE3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3C59C7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F103814">
            <w:pPr>
              <w:jc w:val="left"/>
              <w:rPr>
                <w:rFonts w:ascii="Times New Roman" w:hAnsi="Times New Roman" w:eastAsia="宋体" w:cs="Times New Roman"/>
                <w:szCs w:val="21"/>
              </w:rPr>
            </w:pPr>
          </w:p>
        </w:tc>
        <w:tc>
          <w:tcPr>
            <w:tcW w:w="0" w:type="auto"/>
            <w:vAlign w:val="center"/>
          </w:tcPr>
          <w:p w14:paraId="1C442F9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C44C442">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252A052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8144F4E">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53"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53" DrawAspect="Content" ObjectID="_1468075753" r:id="rId38">
            <o:LockedField>false</o:LockedField>
          </o:OLEObject>
        </w:object>
      </w:r>
    </w:p>
    <w:p w14:paraId="1E334EA3">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课内实践</w:t>
      </w:r>
    </w:p>
    <w:p w14:paraId="315C7AE3">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本课程在理论教学的基础上，安排了4个课内实践项目（共</w:t>
      </w:r>
      <w:r>
        <w:rPr>
          <w:rFonts w:ascii="宋体" w:hAnsi="宋体" w:eastAsia="宋体"/>
          <w:szCs w:val="21"/>
        </w:rPr>
        <w:t>16</w:t>
      </w:r>
      <w:r>
        <w:rPr>
          <w:rFonts w:hint="eastAsia" w:ascii="宋体" w:hAnsi="宋体" w:eastAsia="宋体"/>
          <w:szCs w:val="21"/>
        </w:rPr>
        <w:t>学时），体现了理论与实践的结合，强化对学生的课程思政。</w:t>
      </w:r>
    </w:p>
    <w:p w14:paraId="43E32EBB">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0C9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7D8494B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624A6069">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5A6188DD">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6ACC75A0">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4D5C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C145CB3">
            <w:pPr>
              <w:rPr>
                <w:rFonts w:hint="eastAsia" w:ascii="宋体" w:hAnsi="宋体" w:eastAsia="宋体" w:cs="Times New Roman"/>
                <w:szCs w:val="21"/>
              </w:rPr>
            </w:pPr>
            <w:r>
              <w:rPr>
                <w:rFonts w:hint="eastAsia" w:ascii="宋体" w:hAnsi="宋体" w:eastAsia="宋体" w:cs="Times New Roman"/>
                <w:szCs w:val="21"/>
              </w:rPr>
              <w:t>设计课堂</w:t>
            </w:r>
            <w:r>
              <w:rPr>
                <w:rFonts w:ascii="宋体" w:hAnsi="宋体" w:eastAsia="宋体" w:cs="Times New Roman"/>
                <w:szCs w:val="21"/>
              </w:rPr>
              <w:t>观察记录表</w:t>
            </w:r>
          </w:p>
        </w:tc>
        <w:tc>
          <w:tcPr>
            <w:tcW w:w="3407" w:type="dxa"/>
            <w:vAlign w:val="center"/>
          </w:tcPr>
          <w:p w14:paraId="0434E64B">
            <w:pPr>
              <w:rPr>
                <w:rFonts w:hint="eastAsia" w:ascii="宋体" w:hAnsi="宋体" w:eastAsia="宋体" w:cs="Times New Roman"/>
                <w:szCs w:val="21"/>
              </w:rPr>
            </w:pPr>
            <w:r>
              <w:rPr>
                <w:rFonts w:hint="eastAsia" w:ascii="宋体" w:hAnsi="宋体" w:eastAsia="宋体" w:cs="Times New Roman"/>
                <w:szCs w:val="21"/>
              </w:rPr>
              <w:t>确定3</w:t>
            </w:r>
            <w:r>
              <w:rPr>
                <w:rFonts w:ascii="宋体" w:hAnsi="宋体" w:eastAsia="宋体" w:cs="Times New Roman"/>
                <w:szCs w:val="21"/>
              </w:rPr>
              <w:t>-4</w:t>
            </w:r>
            <w:r>
              <w:rPr>
                <w:rFonts w:hint="eastAsia" w:ascii="宋体" w:hAnsi="宋体" w:eastAsia="宋体" w:cs="Times New Roman"/>
                <w:szCs w:val="21"/>
              </w:rPr>
              <w:t>个</w:t>
            </w:r>
            <w:r>
              <w:rPr>
                <w:rFonts w:ascii="宋体" w:hAnsi="宋体" w:eastAsia="宋体" w:cs="Times New Roman"/>
                <w:szCs w:val="21"/>
              </w:rPr>
              <w:t>课堂观察主题，以小组为单位，设计课堂观察记录表。</w:t>
            </w:r>
          </w:p>
        </w:tc>
        <w:tc>
          <w:tcPr>
            <w:tcW w:w="740" w:type="dxa"/>
            <w:vAlign w:val="center"/>
          </w:tcPr>
          <w:p w14:paraId="7C73859D">
            <w:pPr>
              <w:spacing w:line="276" w:lineRule="auto"/>
              <w:jc w:val="center"/>
              <w:rPr>
                <w:rFonts w:hint="eastAsia" w:ascii="宋体" w:hAnsi="宋体" w:eastAsia="宋体" w:cs="宋体"/>
                <w:szCs w:val="21"/>
              </w:rPr>
            </w:pPr>
            <w:r>
              <w:rPr>
                <w:rFonts w:hint="eastAsia" w:ascii="宋体" w:hAnsi="宋体" w:eastAsia="宋体" w:cs="宋体"/>
                <w:szCs w:val="21"/>
              </w:rPr>
              <w:t>研讨</w:t>
            </w:r>
          </w:p>
          <w:p w14:paraId="76D9C4FA">
            <w:pPr>
              <w:spacing w:line="276" w:lineRule="auto"/>
              <w:jc w:val="center"/>
              <w:rPr>
                <w:rFonts w:hint="eastAsia" w:ascii="宋体" w:hAnsi="宋体" w:eastAsia="宋体" w:cs="宋体"/>
                <w:szCs w:val="21"/>
              </w:rPr>
            </w:pPr>
            <w:r>
              <w:rPr>
                <w:rFonts w:hint="eastAsia" w:ascii="宋体" w:hAnsi="宋体" w:eastAsia="宋体" w:cs="宋体"/>
                <w:szCs w:val="21"/>
              </w:rPr>
              <w:t>设计</w:t>
            </w:r>
          </w:p>
        </w:tc>
        <w:tc>
          <w:tcPr>
            <w:tcW w:w="3160" w:type="dxa"/>
            <w:vAlign w:val="center"/>
          </w:tcPr>
          <w:p w14:paraId="1B66AF39">
            <w:pPr>
              <w:rPr>
                <w:rFonts w:hint="eastAsia" w:ascii="宋体" w:hAnsi="宋体" w:eastAsia="宋体" w:cs="Times New Roman"/>
                <w:szCs w:val="21"/>
              </w:rPr>
            </w:pPr>
            <w:r>
              <w:rPr>
                <w:rFonts w:hint="eastAsia" w:ascii="宋体" w:hAnsi="宋体" w:eastAsia="宋体" w:cs="Times New Roman"/>
                <w:szCs w:val="21"/>
              </w:rPr>
              <w:t>体会数学的严谨性，养成严谨治学的态度，争做“四有”好老师。</w:t>
            </w:r>
          </w:p>
        </w:tc>
      </w:tr>
      <w:tr w14:paraId="1938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C984C54">
            <w:pPr>
              <w:rPr>
                <w:rFonts w:hint="eastAsia" w:ascii="宋体" w:hAnsi="宋体" w:eastAsia="宋体" w:cs="Times New Roman"/>
                <w:szCs w:val="21"/>
              </w:rPr>
            </w:pPr>
            <w:r>
              <w:rPr>
                <w:rFonts w:hint="eastAsia" w:ascii="宋体" w:hAnsi="宋体" w:eastAsia="宋体" w:cs="Times New Roman"/>
                <w:szCs w:val="21"/>
              </w:rPr>
              <w:t>课堂观察</w:t>
            </w:r>
            <w:r>
              <w:rPr>
                <w:rFonts w:ascii="宋体" w:hAnsi="宋体" w:eastAsia="宋体" w:cs="Times New Roman"/>
                <w:szCs w:val="21"/>
              </w:rPr>
              <w:t>实施</w:t>
            </w:r>
          </w:p>
        </w:tc>
        <w:tc>
          <w:tcPr>
            <w:tcW w:w="3407" w:type="dxa"/>
            <w:vAlign w:val="center"/>
          </w:tcPr>
          <w:p w14:paraId="79B537F6">
            <w:pPr>
              <w:rPr>
                <w:rFonts w:hint="eastAsia" w:ascii="宋体" w:hAnsi="宋体" w:eastAsia="宋体" w:cs="Times New Roman"/>
                <w:szCs w:val="21"/>
              </w:rPr>
            </w:pPr>
            <w:r>
              <w:rPr>
                <w:rFonts w:hint="eastAsia" w:ascii="宋体" w:hAnsi="宋体" w:eastAsia="宋体" w:cs="Times New Roman"/>
                <w:szCs w:val="21"/>
              </w:rPr>
              <w:t>在</w:t>
            </w:r>
            <w:r>
              <w:rPr>
                <w:rFonts w:ascii="宋体" w:hAnsi="宋体" w:eastAsia="宋体" w:cs="Times New Roman"/>
                <w:szCs w:val="21"/>
              </w:rPr>
              <w:t>充分准备</w:t>
            </w:r>
            <w:r>
              <w:rPr>
                <w:rFonts w:hint="eastAsia" w:ascii="宋体" w:hAnsi="宋体" w:eastAsia="宋体" w:cs="Times New Roman"/>
                <w:szCs w:val="21"/>
              </w:rPr>
              <w:t>的</w:t>
            </w:r>
            <w:r>
              <w:rPr>
                <w:rFonts w:ascii="宋体" w:hAnsi="宋体" w:eastAsia="宋体" w:cs="Times New Roman"/>
                <w:szCs w:val="21"/>
              </w:rPr>
              <w:t>基础上，</w:t>
            </w:r>
            <w:r>
              <w:rPr>
                <w:rFonts w:hint="eastAsia" w:ascii="宋体" w:hAnsi="宋体" w:eastAsia="宋体" w:cs="Times New Roman"/>
                <w:szCs w:val="21"/>
              </w:rPr>
              <w:t>深入小学</w:t>
            </w:r>
            <w:r>
              <w:rPr>
                <w:rFonts w:ascii="宋体" w:hAnsi="宋体" w:eastAsia="宋体" w:cs="Times New Roman"/>
                <w:szCs w:val="21"/>
              </w:rPr>
              <w:t>课堂</w:t>
            </w:r>
            <w:r>
              <w:rPr>
                <w:rFonts w:hint="eastAsia" w:ascii="宋体" w:hAnsi="宋体" w:eastAsia="宋体" w:cs="Times New Roman"/>
                <w:szCs w:val="21"/>
              </w:rPr>
              <w:t>进行</w:t>
            </w:r>
            <w:r>
              <w:rPr>
                <w:rFonts w:ascii="宋体" w:hAnsi="宋体" w:eastAsia="宋体" w:cs="Times New Roman"/>
                <w:szCs w:val="21"/>
              </w:rPr>
              <w:t>课堂观察</w:t>
            </w:r>
            <w:r>
              <w:rPr>
                <w:rFonts w:hint="eastAsia" w:ascii="宋体" w:hAnsi="宋体" w:eastAsia="宋体" w:cs="Times New Roman"/>
                <w:szCs w:val="21"/>
              </w:rPr>
              <w:t>，做好</w:t>
            </w:r>
            <w:r>
              <w:rPr>
                <w:rFonts w:ascii="宋体" w:hAnsi="宋体" w:eastAsia="宋体" w:cs="Times New Roman"/>
                <w:szCs w:val="21"/>
              </w:rPr>
              <w:t>观察记录，并提交</w:t>
            </w:r>
            <w:r>
              <w:rPr>
                <w:rFonts w:hint="eastAsia" w:ascii="宋体" w:hAnsi="宋体" w:eastAsia="宋体" w:cs="Times New Roman"/>
                <w:szCs w:val="21"/>
              </w:rPr>
              <w:t>3-4个</w:t>
            </w:r>
            <w:r>
              <w:rPr>
                <w:rFonts w:ascii="宋体" w:hAnsi="宋体" w:eastAsia="宋体" w:cs="Times New Roman"/>
                <w:szCs w:val="21"/>
              </w:rPr>
              <w:t>相应的课堂观察报告。</w:t>
            </w:r>
          </w:p>
        </w:tc>
        <w:tc>
          <w:tcPr>
            <w:tcW w:w="740" w:type="dxa"/>
            <w:vAlign w:val="center"/>
          </w:tcPr>
          <w:p w14:paraId="3830C58A">
            <w:pPr>
              <w:spacing w:line="276" w:lineRule="auto"/>
              <w:jc w:val="center"/>
              <w:rPr>
                <w:rFonts w:hint="eastAsia" w:ascii="宋体" w:hAnsi="宋体" w:eastAsia="宋体" w:cs="宋体"/>
                <w:szCs w:val="21"/>
              </w:rPr>
            </w:pPr>
            <w:r>
              <w:rPr>
                <w:rFonts w:hint="eastAsia" w:ascii="宋体" w:hAnsi="宋体" w:eastAsia="宋体" w:cs="宋体"/>
                <w:szCs w:val="21"/>
              </w:rPr>
              <w:t>研讨</w:t>
            </w:r>
          </w:p>
          <w:p w14:paraId="42170BA3">
            <w:pPr>
              <w:spacing w:line="276" w:lineRule="auto"/>
              <w:jc w:val="center"/>
              <w:rPr>
                <w:rFonts w:hint="eastAsia" w:ascii="宋体" w:hAnsi="宋体" w:eastAsia="宋体" w:cs="宋体"/>
                <w:szCs w:val="21"/>
              </w:rPr>
            </w:pPr>
            <w:r>
              <w:rPr>
                <w:rFonts w:hint="eastAsia" w:ascii="宋体" w:hAnsi="宋体" w:eastAsia="宋体" w:cs="宋体"/>
                <w:szCs w:val="21"/>
              </w:rPr>
              <w:t>观察</w:t>
            </w:r>
          </w:p>
        </w:tc>
        <w:tc>
          <w:tcPr>
            <w:tcW w:w="3160" w:type="dxa"/>
            <w:vAlign w:val="center"/>
          </w:tcPr>
          <w:p w14:paraId="09263127">
            <w:pPr>
              <w:rPr>
                <w:rFonts w:hint="eastAsia" w:ascii="宋体" w:hAnsi="宋体" w:eastAsia="宋体" w:cs="Times New Roman"/>
                <w:szCs w:val="21"/>
              </w:rPr>
            </w:pPr>
            <w:r>
              <w:rPr>
                <w:rFonts w:ascii="宋体" w:hAnsi="宋体" w:eastAsia="宋体" w:cs="Times New Roman"/>
                <w:szCs w:val="21"/>
              </w:rPr>
              <w:t>掌握科学、严谨的学习方法</w:t>
            </w:r>
            <w:r>
              <w:rPr>
                <w:rFonts w:hint="eastAsia" w:ascii="宋体" w:hAnsi="宋体" w:eastAsia="宋体" w:cs="Times New Roman"/>
                <w:szCs w:val="21"/>
              </w:rPr>
              <w:t>,</w:t>
            </w:r>
            <w:r>
              <w:rPr>
                <w:rFonts w:ascii="宋体" w:hAnsi="宋体" w:eastAsia="宋体" w:cs="Times New Roman"/>
                <w:szCs w:val="21"/>
              </w:rPr>
              <w:t>养成学习他人先进理念和教学经验的意识。</w:t>
            </w:r>
          </w:p>
        </w:tc>
      </w:tr>
      <w:tr w14:paraId="609C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24E7C60">
            <w:pPr>
              <w:rPr>
                <w:rFonts w:hint="eastAsia" w:ascii="宋体" w:hAnsi="宋体" w:eastAsia="宋体" w:cs="Times New Roman"/>
                <w:szCs w:val="21"/>
              </w:rPr>
            </w:pPr>
            <w:r>
              <w:rPr>
                <w:rFonts w:hint="eastAsia" w:ascii="宋体" w:hAnsi="宋体" w:eastAsia="宋体" w:cs="Times New Roman"/>
                <w:szCs w:val="21"/>
              </w:rPr>
              <w:t>课堂观察</w:t>
            </w:r>
            <w:r>
              <w:rPr>
                <w:rFonts w:ascii="宋体" w:hAnsi="宋体" w:eastAsia="宋体" w:cs="Times New Roman"/>
                <w:szCs w:val="21"/>
              </w:rPr>
              <w:t>交流</w:t>
            </w:r>
          </w:p>
        </w:tc>
        <w:tc>
          <w:tcPr>
            <w:tcW w:w="3407" w:type="dxa"/>
            <w:vAlign w:val="center"/>
          </w:tcPr>
          <w:p w14:paraId="3806214D">
            <w:pPr>
              <w:rPr>
                <w:rFonts w:hint="eastAsia" w:ascii="宋体" w:hAnsi="宋体" w:eastAsia="宋体" w:cs="Times New Roman"/>
                <w:szCs w:val="21"/>
              </w:rPr>
            </w:pPr>
            <w:r>
              <w:rPr>
                <w:rFonts w:hint="eastAsia" w:ascii="宋体" w:hAnsi="宋体" w:eastAsia="宋体" w:cs="Times New Roman"/>
                <w:szCs w:val="21"/>
              </w:rPr>
              <w:t>围绕课堂</w:t>
            </w:r>
            <w:r>
              <w:rPr>
                <w:rFonts w:ascii="宋体" w:hAnsi="宋体" w:eastAsia="宋体" w:cs="Times New Roman"/>
                <w:szCs w:val="21"/>
              </w:rPr>
              <w:t>观察的实际情况进行研讨、交流，分享观察体会，</w:t>
            </w:r>
            <w:r>
              <w:rPr>
                <w:rFonts w:hint="eastAsia" w:ascii="宋体" w:hAnsi="宋体" w:eastAsia="宋体" w:cs="Times New Roman"/>
                <w:szCs w:val="21"/>
              </w:rPr>
              <w:t>探讨课堂</w:t>
            </w:r>
            <w:r>
              <w:rPr>
                <w:rFonts w:ascii="宋体" w:hAnsi="宋体" w:eastAsia="宋体" w:cs="Times New Roman"/>
                <w:szCs w:val="21"/>
              </w:rPr>
              <w:t>教学经验</w:t>
            </w:r>
            <w:r>
              <w:rPr>
                <w:rFonts w:hint="eastAsia" w:ascii="宋体" w:hAnsi="宋体" w:eastAsia="宋体" w:cs="Times New Roman"/>
                <w:szCs w:val="21"/>
              </w:rPr>
              <w:t>。</w:t>
            </w:r>
          </w:p>
        </w:tc>
        <w:tc>
          <w:tcPr>
            <w:tcW w:w="740" w:type="dxa"/>
            <w:vAlign w:val="center"/>
          </w:tcPr>
          <w:p w14:paraId="5E386A2D">
            <w:pPr>
              <w:spacing w:line="276" w:lineRule="auto"/>
              <w:jc w:val="center"/>
              <w:rPr>
                <w:rFonts w:hint="eastAsia" w:ascii="宋体" w:hAnsi="宋体" w:eastAsia="宋体" w:cs="宋体"/>
                <w:szCs w:val="21"/>
              </w:rPr>
            </w:pPr>
            <w:r>
              <w:rPr>
                <w:rFonts w:hint="eastAsia" w:ascii="宋体" w:hAnsi="宋体" w:eastAsia="宋体" w:cs="宋体"/>
                <w:szCs w:val="21"/>
              </w:rPr>
              <w:t>研讨</w:t>
            </w:r>
          </w:p>
          <w:p w14:paraId="354E2D12">
            <w:pPr>
              <w:spacing w:line="276" w:lineRule="auto"/>
              <w:jc w:val="center"/>
              <w:rPr>
                <w:rFonts w:hint="eastAsia" w:ascii="宋体" w:hAnsi="宋体" w:eastAsia="宋体" w:cs="宋体"/>
                <w:szCs w:val="21"/>
              </w:rPr>
            </w:pPr>
            <w:r>
              <w:rPr>
                <w:rFonts w:hint="eastAsia" w:ascii="宋体" w:hAnsi="宋体" w:eastAsia="宋体" w:cs="宋体"/>
                <w:szCs w:val="21"/>
              </w:rPr>
              <w:t>交流</w:t>
            </w:r>
          </w:p>
        </w:tc>
        <w:tc>
          <w:tcPr>
            <w:tcW w:w="3160" w:type="dxa"/>
            <w:vAlign w:val="center"/>
          </w:tcPr>
          <w:p w14:paraId="1323D486">
            <w:pPr>
              <w:rPr>
                <w:rFonts w:hint="eastAsia" w:ascii="宋体" w:hAnsi="宋体" w:eastAsia="宋体" w:cs="Times New Roman"/>
                <w:szCs w:val="21"/>
              </w:rPr>
            </w:pPr>
            <w:r>
              <w:rPr>
                <w:rFonts w:ascii="宋体" w:hAnsi="宋体" w:eastAsia="宋体" w:cs="Times New Roman"/>
                <w:szCs w:val="21"/>
              </w:rPr>
              <w:t>增强团队合作意识与沟通表达能力</w:t>
            </w:r>
            <w:r>
              <w:rPr>
                <w:rFonts w:hint="eastAsia" w:ascii="宋体" w:hAnsi="宋体" w:eastAsia="宋体" w:cs="Times New Roman"/>
                <w:szCs w:val="21"/>
              </w:rPr>
              <w:t>,</w:t>
            </w:r>
            <w:r>
              <w:rPr>
                <w:rFonts w:ascii="宋体" w:hAnsi="宋体" w:eastAsia="宋体" w:cs="Times New Roman"/>
                <w:szCs w:val="21"/>
              </w:rPr>
              <w:t>养成虚心学习和不断进取的意识。</w:t>
            </w:r>
          </w:p>
        </w:tc>
      </w:tr>
      <w:tr w14:paraId="31F6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79D831A2">
            <w:pPr>
              <w:rPr>
                <w:rFonts w:hint="eastAsia" w:ascii="宋体" w:hAnsi="宋体" w:eastAsia="宋体" w:cs="Times New Roman"/>
                <w:szCs w:val="21"/>
              </w:rPr>
            </w:pPr>
            <w:r>
              <w:rPr>
                <w:rFonts w:hint="eastAsia" w:ascii="宋体" w:hAnsi="宋体" w:eastAsia="宋体" w:cs="Times New Roman"/>
                <w:szCs w:val="21"/>
              </w:rPr>
              <w:t>模拟教学训练</w:t>
            </w:r>
          </w:p>
        </w:tc>
        <w:tc>
          <w:tcPr>
            <w:tcW w:w="3407" w:type="dxa"/>
            <w:vAlign w:val="center"/>
          </w:tcPr>
          <w:p w14:paraId="75F500DF">
            <w:pPr>
              <w:rPr>
                <w:rFonts w:hint="eastAsia" w:ascii="宋体" w:hAnsi="宋体" w:eastAsia="宋体" w:cs="Times New Roman"/>
                <w:szCs w:val="21"/>
              </w:rPr>
            </w:pPr>
            <w:r>
              <w:rPr>
                <w:rFonts w:hint="eastAsia" w:ascii="宋体" w:hAnsi="宋体" w:eastAsia="宋体" w:cs="Times New Roman"/>
                <w:szCs w:val="21"/>
              </w:rPr>
              <w:t>选择</w:t>
            </w:r>
            <w:r>
              <w:rPr>
                <w:rFonts w:ascii="宋体" w:hAnsi="宋体" w:eastAsia="宋体" w:cs="Times New Roman"/>
                <w:szCs w:val="21"/>
              </w:rPr>
              <w:t>3-5</w:t>
            </w:r>
            <w:r>
              <w:rPr>
                <w:rFonts w:hint="eastAsia" w:ascii="宋体" w:hAnsi="宋体" w:eastAsia="宋体" w:cs="Times New Roman"/>
                <w:szCs w:val="21"/>
              </w:rPr>
              <w:t>个</w:t>
            </w:r>
            <w:r>
              <w:rPr>
                <w:rFonts w:ascii="宋体" w:hAnsi="宋体" w:eastAsia="宋体" w:cs="Times New Roman"/>
                <w:szCs w:val="21"/>
              </w:rPr>
              <w:t>小学教学内容</w:t>
            </w:r>
            <w:r>
              <w:rPr>
                <w:rFonts w:hint="eastAsia" w:ascii="宋体" w:hAnsi="宋体" w:eastAsia="宋体" w:cs="Times New Roman"/>
                <w:szCs w:val="21"/>
              </w:rPr>
              <w:t>，</w:t>
            </w:r>
            <w:r>
              <w:rPr>
                <w:rFonts w:ascii="宋体" w:hAnsi="宋体" w:eastAsia="宋体" w:cs="Times New Roman"/>
                <w:szCs w:val="21"/>
              </w:rPr>
              <w:t>先</w:t>
            </w:r>
            <w:r>
              <w:rPr>
                <w:rFonts w:hint="eastAsia" w:ascii="宋体" w:hAnsi="宋体" w:eastAsia="宋体" w:cs="Times New Roman"/>
                <w:szCs w:val="21"/>
              </w:rPr>
              <w:t>进行教学设计，然后</w:t>
            </w:r>
            <w:r>
              <w:rPr>
                <w:rFonts w:ascii="宋体" w:hAnsi="宋体" w:eastAsia="宋体" w:cs="Times New Roman"/>
                <w:szCs w:val="21"/>
              </w:rPr>
              <w:t>模拟教学</w:t>
            </w:r>
            <w:r>
              <w:rPr>
                <w:rFonts w:hint="eastAsia" w:ascii="宋体" w:hAnsi="宋体" w:eastAsia="宋体" w:cs="Times New Roman"/>
                <w:szCs w:val="21"/>
              </w:rPr>
              <w:t>。</w:t>
            </w:r>
          </w:p>
        </w:tc>
        <w:tc>
          <w:tcPr>
            <w:tcW w:w="740" w:type="dxa"/>
            <w:vAlign w:val="center"/>
          </w:tcPr>
          <w:p w14:paraId="532F4FF0">
            <w:pPr>
              <w:spacing w:line="276" w:lineRule="auto"/>
              <w:jc w:val="center"/>
              <w:rPr>
                <w:rFonts w:hint="eastAsia" w:ascii="宋体" w:hAnsi="宋体" w:eastAsia="宋体" w:cs="宋体"/>
                <w:szCs w:val="21"/>
              </w:rPr>
            </w:pPr>
            <w:r>
              <w:rPr>
                <w:rFonts w:hint="eastAsia" w:ascii="宋体" w:hAnsi="宋体" w:eastAsia="宋体" w:cs="宋体"/>
                <w:szCs w:val="21"/>
              </w:rPr>
              <w:t>设计</w:t>
            </w:r>
          </w:p>
          <w:p w14:paraId="591A9DCD">
            <w:pPr>
              <w:spacing w:line="276" w:lineRule="auto"/>
              <w:jc w:val="center"/>
              <w:rPr>
                <w:rFonts w:hint="eastAsia" w:ascii="宋体" w:hAnsi="宋体" w:eastAsia="宋体" w:cs="宋体"/>
                <w:szCs w:val="21"/>
              </w:rPr>
            </w:pPr>
            <w:r>
              <w:rPr>
                <w:rFonts w:hint="eastAsia" w:ascii="宋体" w:hAnsi="宋体" w:eastAsia="宋体" w:cs="宋体"/>
                <w:szCs w:val="21"/>
              </w:rPr>
              <w:t>训练</w:t>
            </w:r>
          </w:p>
        </w:tc>
        <w:tc>
          <w:tcPr>
            <w:tcW w:w="3160" w:type="dxa"/>
            <w:vAlign w:val="center"/>
          </w:tcPr>
          <w:p w14:paraId="6D24A5B9">
            <w:pPr>
              <w:rPr>
                <w:rFonts w:hint="eastAsia" w:ascii="宋体" w:hAnsi="宋体" w:eastAsia="宋体" w:cs="Times New Roman"/>
                <w:szCs w:val="21"/>
              </w:rPr>
            </w:pPr>
            <w:r>
              <w:rPr>
                <w:rFonts w:ascii="宋体" w:hAnsi="宋体" w:eastAsia="宋体" w:cs="Times New Roman"/>
                <w:szCs w:val="21"/>
              </w:rPr>
              <w:t>增强团队合作意识</w:t>
            </w:r>
            <w:r>
              <w:rPr>
                <w:rFonts w:hint="eastAsia" w:ascii="宋体" w:hAnsi="宋体" w:eastAsia="宋体" w:cs="Times New Roman"/>
                <w:szCs w:val="21"/>
              </w:rPr>
              <w:t>,</w:t>
            </w:r>
            <w:r>
              <w:rPr>
                <w:rFonts w:ascii="宋体" w:hAnsi="宋体" w:eastAsia="宋体" w:cs="Times New Roman"/>
                <w:szCs w:val="21"/>
              </w:rPr>
              <w:t>养成坚持不懈的意志品质，进一步巩固专业思想</w:t>
            </w:r>
            <w:r>
              <w:rPr>
                <w:rFonts w:hint="eastAsia" w:ascii="宋体" w:hAnsi="宋体" w:eastAsia="宋体" w:cs="Times New Roman"/>
                <w:szCs w:val="21"/>
              </w:rPr>
              <w:t>,增强专业自信心。</w:t>
            </w:r>
          </w:p>
        </w:tc>
      </w:tr>
      <w:tr w14:paraId="1BC7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5F280D90">
            <w:pPr>
              <w:rPr>
                <w:rFonts w:hint="eastAsia" w:ascii="宋体" w:hAnsi="宋体" w:eastAsia="宋体" w:cs="Times New Roman"/>
                <w:szCs w:val="21"/>
              </w:rPr>
            </w:pPr>
            <w:r>
              <w:rPr>
                <w:rFonts w:hint="eastAsia" w:ascii="宋体" w:hAnsi="宋体" w:eastAsia="宋体" w:cs="Times New Roman"/>
                <w:szCs w:val="21"/>
              </w:rPr>
              <w:t>模拟</w:t>
            </w:r>
            <w:r>
              <w:rPr>
                <w:rFonts w:ascii="宋体" w:hAnsi="宋体" w:eastAsia="宋体" w:cs="Times New Roman"/>
                <w:szCs w:val="21"/>
              </w:rPr>
              <w:t>教学交流</w:t>
            </w:r>
          </w:p>
        </w:tc>
        <w:tc>
          <w:tcPr>
            <w:tcW w:w="3407" w:type="dxa"/>
            <w:vAlign w:val="center"/>
          </w:tcPr>
          <w:p w14:paraId="1E9D3038">
            <w:pPr>
              <w:rPr>
                <w:rFonts w:hint="eastAsia" w:ascii="宋体" w:hAnsi="宋体" w:eastAsia="宋体" w:cs="Times New Roman"/>
                <w:szCs w:val="21"/>
              </w:rPr>
            </w:pPr>
            <w:r>
              <w:rPr>
                <w:rFonts w:hint="eastAsia" w:ascii="宋体" w:hAnsi="宋体" w:eastAsia="宋体" w:cs="Times New Roman"/>
                <w:szCs w:val="21"/>
              </w:rPr>
              <w:t>围绕自己</w:t>
            </w:r>
            <w:r>
              <w:rPr>
                <w:rFonts w:ascii="宋体" w:hAnsi="宋体" w:eastAsia="宋体" w:cs="Times New Roman"/>
                <w:szCs w:val="21"/>
              </w:rPr>
              <w:t>和其他同学的模拟教学进行</w:t>
            </w:r>
            <w:r>
              <w:rPr>
                <w:rFonts w:hint="eastAsia" w:ascii="宋体" w:hAnsi="宋体" w:eastAsia="宋体" w:cs="Times New Roman"/>
                <w:szCs w:val="21"/>
              </w:rPr>
              <w:t>研讨</w:t>
            </w:r>
            <w:r>
              <w:rPr>
                <w:rFonts w:ascii="宋体" w:hAnsi="宋体" w:eastAsia="宋体" w:cs="Times New Roman"/>
                <w:szCs w:val="21"/>
              </w:rPr>
              <w:t>、交流，</w:t>
            </w:r>
            <w:r>
              <w:rPr>
                <w:rFonts w:hint="eastAsia" w:ascii="宋体" w:hAnsi="宋体" w:eastAsia="宋体" w:cs="Times New Roman"/>
                <w:szCs w:val="21"/>
              </w:rPr>
              <w:t>从而</w:t>
            </w:r>
            <w:r>
              <w:rPr>
                <w:rFonts w:ascii="宋体" w:hAnsi="宋体" w:eastAsia="宋体" w:cs="Times New Roman"/>
                <w:szCs w:val="21"/>
              </w:rPr>
              <w:t>进一步</w:t>
            </w:r>
            <w:r>
              <w:rPr>
                <w:rFonts w:hint="eastAsia" w:ascii="宋体" w:hAnsi="宋体" w:eastAsia="宋体" w:cs="Times New Roman"/>
                <w:szCs w:val="21"/>
              </w:rPr>
              <w:t>提高</w:t>
            </w:r>
            <w:r>
              <w:rPr>
                <w:rFonts w:ascii="宋体" w:hAnsi="宋体" w:eastAsia="宋体" w:cs="Times New Roman"/>
                <w:szCs w:val="21"/>
              </w:rPr>
              <w:t>教学能力</w:t>
            </w:r>
            <w:r>
              <w:rPr>
                <w:rFonts w:hint="eastAsia" w:ascii="宋体" w:hAnsi="宋体" w:eastAsia="宋体" w:cs="Times New Roman"/>
                <w:szCs w:val="21"/>
              </w:rPr>
              <w:t>。</w:t>
            </w:r>
          </w:p>
        </w:tc>
        <w:tc>
          <w:tcPr>
            <w:tcW w:w="740" w:type="dxa"/>
            <w:vAlign w:val="center"/>
          </w:tcPr>
          <w:p w14:paraId="0F4FA532">
            <w:pPr>
              <w:spacing w:line="276" w:lineRule="auto"/>
              <w:jc w:val="center"/>
              <w:rPr>
                <w:rFonts w:hint="eastAsia" w:ascii="宋体" w:hAnsi="宋体" w:eastAsia="宋体" w:cs="宋体"/>
                <w:szCs w:val="21"/>
              </w:rPr>
            </w:pPr>
            <w:r>
              <w:rPr>
                <w:rFonts w:hint="eastAsia" w:ascii="宋体" w:hAnsi="宋体" w:eastAsia="宋体" w:cs="宋体"/>
                <w:szCs w:val="21"/>
              </w:rPr>
              <w:t>研讨</w:t>
            </w:r>
          </w:p>
          <w:p w14:paraId="7D812243">
            <w:pPr>
              <w:spacing w:line="276" w:lineRule="auto"/>
              <w:jc w:val="center"/>
              <w:rPr>
                <w:rFonts w:hint="eastAsia" w:ascii="宋体" w:hAnsi="宋体" w:eastAsia="宋体" w:cs="宋体"/>
                <w:szCs w:val="21"/>
              </w:rPr>
            </w:pPr>
            <w:r>
              <w:rPr>
                <w:rFonts w:hint="eastAsia" w:ascii="宋体" w:hAnsi="宋体" w:eastAsia="宋体" w:cs="宋体"/>
                <w:szCs w:val="21"/>
              </w:rPr>
              <w:t>交流</w:t>
            </w:r>
          </w:p>
        </w:tc>
        <w:tc>
          <w:tcPr>
            <w:tcW w:w="3160" w:type="dxa"/>
            <w:vAlign w:val="center"/>
          </w:tcPr>
          <w:p w14:paraId="5E0C5FE5">
            <w:pPr>
              <w:rPr>
                <w:rFonts w:hint="eastAsia" w:ascii="宋体" w:hAnsi="宋体" w:eastAsia="宋体" w:cs="Times New Roman"/>
                <w:szCs w:val="21"/>
              </w:rPr>
            </w:pPr>
            <w:r>
              <w:rPr>
                <w:rFonts w:ascii="宋体" w:hAnsi="宋体" w:eastAsia="宋体" w:cs="Times New Roman"/>
                <w:szCs w:val="21"/>
              </w:rPr>
              <w:t>树立全面的评价理念</w:t>
            </w:r>
            <w:r>
              <w:rPr>
                <w:rFonts w:hint="eastAsia" w:ascii="宋体" w:hAnsi="宋体" w:eastAsia="宋体" w:cs="Times New Roman"/>
                <w:szCs w:val="21"/>
              </w:rPr>
              <w:t>,</w:t>
            </w:r>
            <w:r>
              <w:rPr>
                <w:rFonts w:ascii="宋体" w:hAnsi="宋体" w:eastAsia="宋体" w:cs="Times New Roman"/>
                <w:szCs w:val="21"/>
              </w:rPr>
              <w:t>增强团队合作的意识。</w:t>
            </w:r>
          </w:p>
        </w:tc>
      </w:tr>
    </w:tbl>
    <w:p w14:paraId="597457A9">
      <w:pPr>
        <w:spacing w:line="360" w:lineRule="auto"/>
        <w:ind w:firstLine="551" w:firstLineChars="196"/>
        <w:jc w:val="left"/>
        <w:rPr>
          <w:rFonts w:hint="eastAsia" w:ascii="宋体" w:hAnsi="宋体" w:eastAsia="宋体" w:cs="Times New Roman"/>
          <w:b/>
          <w:color w:val="000000"/>
          <w:sz w:val="28"/>
          <w:szCs w:val="28"/>
        </w:rPr>
      </w:pPr>
    </w:p>
    <w:p w14:paraId="5F53C7A2">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2C1E788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2801C0DC">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本课程根据学生作业、课堂讨论、实践环节和学生、教学督导等的反馈，及时对教学中的不足之处进行改进，并在下一轮课程教学中整改完善，确保相应毕业要求指标点达成。</w:t>
      </w:r>
    </w:p>
    <w:p w14:paraId="66508326">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9C430BB">
      <w:pPr>
        <w:spacing w:line="360" w:lineRule="auto"/>
        <w:ind w:firstLine="525" w:firstLineChars="250"/>
        <w:jc w:val="left"/>
        <w:rPr>
          <w:rFonts w:ascii="Times New Roman" w:hAnsi="Times New Roman" w:eastAsia="宋体" w:cs="Times New Roman"/>
          <w:bCs/>
          <w:color w:val="000000"/>
          <w:szCs w:val="21"/>
        </w:rPr>
      </w:pPr>
      <w:r>
        <w:rPr>
          <w:rFonts w:hint="eastAsia" w:ascii="宋体" w:hAnsi="宋体" w:eastAsia="宋体" w:cs="Times New Roman"/>
          <w:szCs w:val="21"/>
        </w:rPr>
        <w:t>沈毅，崔允漷</w:t>
      </w:r>
      <w:r>
        <w:rPr>
          <w:rFonts w:ascii="宋体" w:hAnsi="宋体" w:eastAsia="宋体" w:cs="Times New Roman"/>
          <w:szCs w:val="21"/>
        </w:rPr>
        <w:t>.课堂观察：走向专业的听评课.上海：华东师范大学大学出版社.2008.</w:t>
      </w:r>
    </w:p>
    <w:p w14:paraId="368E4D4D">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C3854DF">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教育部.义务教育</w:t>
      </w:r>
      <w:r>
        <w:rPr>
          <w:rFonts w:ascii="宋体" w:hAnsi="宋体" w:eastAsia="宋体" w:cs="Times New Roman"/>
          <w:szCs w:val="21"/>
        </w:rPr>
        <w:t>数学课程标准</w:t>
      </w:r>
      <w:r>
        <w:rPr>
          <w:rFonts w:hint="eastAsia" w:ascii="宋体" w:hAnsi="宋体" w:eastAsia="宋体" w:cs="Times New Roman"/>
          <w:szCs w:val="21"/>
        </w:rPr>
        <w:t>（20</w:t>
      </w:r>
      <w:r>
        <w:rPr>
          <w:rFonts w:ascii="宋体" w:hAnsi="宋体" w:eastAsia="宋体" w:cs="Times New Roman"/>
          <w:szCs w:val="21"/>
        </w:rPr>
        <w:t>22</w:t>
      </w:r>
      <w:r>
        <w:rPr>
          <w:rFonts w:hint="eastAsia" w:ascii="宋体" w:hAnsi="宋体" w:eastAsia="宋体" w:cs="Times New Roman"/>
          <w:szCs w:val="21"/>
        </w:rPr>
        <w:t>年</w:t>
      </w:r>
      <w:r>
        <w:rPr>
          <w:rFonts w:ascii="宋体" w:hAnsi="宋体" w:eastAsia="宋体" w:cs="Times New Roman"/>
          <w:szCs w:val="21"/>
        </w:rPr>
        <w:t>版）</w:t>
      </w:r>
      <w:r>
        <w:rPr>
          <w:rFonts w:hint="eastAsia" w:ascii="宋体" w:hAnsi="宋体" w:eastAsia="宋体" w:cs="Times New Roman"/>
          <w:szCs w:val="21"/>
        </w:rPr>
        <w:t>.北京：北京师范</w:t>
      </w:r>
      <w:r>
        <w:rPr>
          <w:rFonts w:ascii="宋体" w:hAnsi="宋体" w:eastAsia="宋体" w:cs="Times New Roman"/>
          <w:szCs w:val="21"/>
        </w:rPr>
        <w:t>大学</w:t>
      </w:r>
      <w:r>
        <w:rPr>
          <w:rFonts w:hint="eastAsia" w:ascii="宋体" w:hAnsi="宋体" w:eastAsia="宋体" w:cs="Times New Roman"/>
          <w:szCs w:val="21"/>
        </w:rPr>
        <w:t>大学出版社.20</w:t>
      </w:r>
      <w:r>
        <w:rPr>
          <w:rFonts w:ascii="宋体" w:hAnsi="宋体" w:eastAsia="宋体" w:cs="Times New Roman"/>
          <w:szCs w:val="21"/>
        </w:rPr>
        <w:t>22</w:t>
      </w:r>
      <w:r>
        <w:rPr>
          <w:rFonts w:hint="eastAsia" w:ascii="宋体" w:hAnsi="宋体" w:eastAsia="宋体" w:cs="Times New Roman"/>
          <w:szCs w:val="21"/>
        </w:rPr>
        <w:t>.</w:t>
      </w:r>
    </w:p>
    <w:p w14:paraId="681CB6F1">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Times New Roman" w:hAnsi="Times New Roman" w:eastAsia="宋体" w:cs="Times New Roman"/>
          <w:bCs/>
          <w:color w:val="000000"/>
          <w:szCs w:val="21"/>
        </w:rPr>
        <w:t xml:space="preserve"> 陈瑶</w:t>
      </w:r>
      <w:r>
        <w:rPr>
          <w:rFonts w:ascii="Times New Roman" w:hAnsi="Times New Roman" w:eastAsia="宋体" w:cs="Times New Roman"/>
          <w:bCs/>
          <w:color w:val="000000"/>
          <w:szCs w:val="21"/>
        </w:rPr>
        <w:t>.课堂观察指导.北京：教育科学出版社，</w:t>
      </w:r>
      <w:r>
        <w:rPr>
          <w:rFonts w:hint="eastAsia" w:ascii="Times New Roman" w:hAnsi="Times New Roman" w:eastAsia="宋体" w:cs="Times New Roman"/>
          <w:bCs/>
          <w:color w:val="000000"/>
          <w:szCs w:val="21"/>
        </w:rPr>
        <w:t>2</w:t>
      </w:r>
      <w:r>
        <w:rPr>
          <w:rFonts w:ascii="Times New Roman" w:hAnsi="Times New Roman" w:eastAsia="宋体" w:cs="Times New Roman"/>
          <w:bCs/>
          <w:color w:val="000000"/>
          <w:szCs w:val="21"/>
        </w:rPr>
        <w:t>003.</w:t>
      </w:r>
    </w:p>
    <w:p w14:paraId="30A323C7">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3.[加]F.迈克尔•康纳利，D.琼•克兰迪宁.教师成为课程研究者——经验叙事.刘良华，等译.杭州：浙江教育出版社，2004.</w:t>
      </w:r>
    </w:p>
    <w:p w14:paraId="7DA0562A">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4.[美]Renee Campoy.课堂问题分析与解决——成为反思型教师。赵清梅，等译.北京:中国轻工业出版社,2007.</w:t>
      </w:r>
    </w:p>
    <w:p w14:paraId="0B169766"/>
    <w:p w14:paraId="7CBAED8E"/>
    <w:p w14:paraId="2A38680F"/>
    <w:p w14:paraId="50FCCA82">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执 笔 人：谢国忠</w:t>
      </w:r>
    </w:p>
    <w:p w14:paraId="0CF1CCE0">
      <w:pPr>
        <w:wordWrap w:val="0"/>
        <w:spacing w:line="360" w:lineRule="auto"/>
        <w:ind w:right="144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定 人：王 健</w:t>
      </w:r>
    </w:p>
    <w:p w14:paraId="334D5337">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387E3468">
      <w:pPr>
        <w:spacing w:line="360" w:lineRule="auto"/>
        <w:ind w:firstLine="4800" w:firstLineChars="2000"/>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5CAD41F0"/>
    <w:p w14:paraId="7DC76AF3"/>
    <w:p w14:paraId="665EF984">
      <w:pPr>
        <w:widowControl/>
        <w:jc w:val="left"/>
        <w:rPr>
          <w:rFonts w:hint="eastAsia" w:ascii="宋体" w:hAnsi="宋体" w:eastAsia="宋体" w:cs="Times New Roman"/>
          <w:kern w:val="0"/>
          <w:sz w:val="24"/>
          <w:szCs w:val="21"/>
        </w:rPr>
      </w:pPr>
      <w:r>
        <w:rPr>
          <w:rFonts w:ascii="宋体" w:hAnsi="宋体" w:eastAsia="宋体" w:cs="Times New Roman"/>
          <w:kern w:val="0"/>
          <w:sz w:val="24"/>
          <w:szCs w:val="21"/>
        </w:rPr>
        <w:br w:type="page"/>
      </w:r>
    </w:p>
    <w:p w14:paraId="649725ED">
      <w:pPr>
        <w:rPr>
          <w:rFonts w:ascii="Calibri" w:hAnsi="Calibri" w:eastAsia="宋体" w:cs="Times New Roman"/>
        </w:rPr>
      </w:pPr>
    </w:p>
    <w:p w14:paraId="1596E14C">
      <w:pPr>
        <w:pStyle w:val="2"/>
        <w:rPr>
          <w:rFonts w:ascii="Times New Roman" w:hAnsi="Times New Roman" w:eastAsia="宋体" w:cs="Times New Roman"/>
          <w:szCs w:val="44"/>
        </w:rPr>
      </w:pPr>
      <w:bookmarkStart w:id="174" w:name="_Toc22153"/>
      <w:bookmarkStart w:id="175" w:name="_Toc15677"/>
      <w:r>
        <w:rPr>
          <w:rFonts w:hint="eastAsia"/>
        </w:rPr>
        <w:t>《校本课程开发》课程教学大纲</w:t>
      </w:r>
      <w:bookmarkEnd w:id="174"/>
      <w:bookmarkEnd w:id="175"/>
    </w:p>
    <w:p w14:paraId="584DDF2C">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（Development of School-based Curriculum）</w:t>
      </w:r>
    </w:p>
    <w:p w14:paraId="3E778E86">
      <w:pPr>
        <w:spacing w:line="360" w:lineRule="auto"/>
        <w:jc w:val="center"/>
        <w:rPr>
          <w:rFonts w:ascii="Times New Roman" w:hAnsi="Times New Roman" w:eastAsia="宋体" w:cs="Times New Roman"/>
          <w:bCs/>
          <w:sz w:val="30"/>
          <w:szCs w:val="30"/>
        </w:rPr>
      </w:pPr>
    </w:p>
    <w:p w14:paraId="0BA387F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hint="eastAsia" w:ascii="Times New Roman" w:hAnsi="Times New Roman" w:eastAsia="宋体" w:cs="Times New Roman"/>
          <w:bCs/>
          <w:sz w:val="24"/>
        </w:rPr>
        <w:t>校本课程开发</w:t>
      </w:r>
      <w:r>
        <w:rPr>
          <w:rFonts w:ascii="Times New Roman" w:hAnsi="Times New Roman" w:eastAsia="宋体" w:cs="Times New Roman"/>
          <w:bCs/>
          <w:sz w:val="24"/>
        </w:rPr>
        <w:t xml:space="preserve"> </w:t>
      </w:r>
    </w:p>
    <w:p w14:paraId="1BA3EE0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hint="eastAsia" w:ascii="Times New Roman" w:hAnsi="Times New Roman" w:eastAsia="宋体" w:cs="Times New Roman"/>
          <w:bCs/>
          <w:sz w:val="24"/>
        </w:rPr>
        <w:t>2401022</w:t>
      </w:r>
    </w:p>
    <w:p w14:paraId="7AEFD14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hint="eastAsia" w:ascii="Times New Roman" w:hAnsi="Times New Roman" w:eastAsia="宋体" w:cs="Times New Roman"/>
          <w:bCs/>
          <w:sz w:val="24"/>
        </w:rPr>
        <w:t>2</w:t>
      </w:r>
    </w:p>
    <w:p w14:paraId="5D3C238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Times New Roman" w:hAnsi="Times New Roman" w:eastAsia="宋体" w:cs="Times New Roman"/>
          <w:bCs/>
          <w:sz w:val="24"/>
        </w:rPr>
        <w:t>32</w:t>
      </w:r>
    </w:p>
    <w:p w14:paraId="672BB567">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hint="eastAsia" w:ascii="Times New Roman" w:hAnsi="Times New Roman" w:eastAsia="宋体" w:cs="Times New Roman"/>
          <w:bCs/>
          <w:sz w:val="24"/>
        </w:rPr>
        <w:t>教育原理、课程与教学论</w:t>
      </w:r>
    </w:p>
    <w:p w14:paraId="12DB1593">
      <w:pPr>
        <w:spacing w:line="360" w:lineRule="auto"/>
        <w:ind w:firstLine="482" w:firstLineChars="200"/>
        <w:jc w:val="left"/>
        <w:rPr>
          <w:rFonts w:ascii="Times New Roman" w:hAnsi="Times New Roman" w:eastAsia="宋体" w:cs="Times New Roman"/>
          <w:bCs/>
          <w:sz w:val="24"/>
        </w:rPr>
      </w:pPr>
      <w:r>
        <w:rPr>
          <w:rFonts w:hint="eastAsia" w:ascii="Times New Roman" w:hAnsi="Times New Roman" w:eastAsia="宋体" w:cs="Times New Roman"/>
          <w:b/>
          <w:sz w:val="24"/>
        </w:rPr>
        <w:t>适用专业：</w:t>
      </w:r>
      <w:r>
        <w:rPr>
          <w:rFonts w:hint="eastAsia" w:ascii="Times New Roman" w:hAnsi="Times New Roman" w:eastAsia="宋体" w:cs="Times New Roman"/>
          <w:bCs/>
          <w:sz w:val="24"/>
        </w:rPr>
        <w:t>师范学院</w:t>
      </w:r>
    </w:p>
    <w:p w14:paraId="79D7641E">
      <w:pPr>
        <w:spacing w:line="360" w:lineRule="auto"/>
        <w:jc w:val="left"/>
        <w:rPr>
          <w:rFonts w:ascii="Times New Roman" w:hAnsi="Times New Roman" w:eastAsia="宋体" w:cs="Times New Roman"/>
          <w:b/>
          <w:sz w:val="24"/>
        </w:rPr>
      </w:pPr>
    </w:p>
    <w:p w14:paraId="5728CA2F">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52E14D8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选修课。通过本课程的学习使学生了解校本课程的基本理念，国内外校本课程开发的经验，掌握校本课程开发中的相关理论问题和具体实践操作的步骤和方法，明确校本课程资源开发的一般原理和具体做法，并从校本课程开发中对教师专业发展的要求来寻找自己的不足，从而为在教学实践中能有效地进行校本课程开发打下理论和实践基础。</w:t>
      </w:r>
    </w:p>
    <w:p w14:paraId="2867454D">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1CDA62FB">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01140005">
      <w:pPr>
        <w:spacing w:line="360" w:lineRule="auto"/>
        <w:ind w:firstLine="482"/>
        <w:jc w:val="left"/>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b/>
          <w:bCs/>
          <w:szCs w:val="21"/>
        </w:rPr>
        <w:t>目标1.</w:t>
      </w:r>
      <w:r>
        <w:rPr>
          <w:rFonts w:hint="eastAsia" w:ascii="Times New Roman" w:hAnsi="Times New Roman" w:eastAsia="宋体" w:cs="Times New Roman"/>
          <w:szCs w:val="21"/>
        </w:rPr>
        <w:t xml:space="preserve"> 掌握校本课程开发的理论基础知识，了解校本课程开发的国内外经验，增强本课程学习所需的知识基础。</w:t>
      </w:r>
    </w:p>
    <w:p w14:paraId="77516235">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 xml:space="preserve">目标2. </w:t>
      </w:r>
      <w:r>
        <w:rPr>
          <w:rFonts w:hint="eastAsia" w:ascii="Times New Roman" w:hAnsi="Times New Roman" w:eastAsia="宋体" w:cs="Times New Roman"/>
          <w:szCs w:val="21"/>
        </w:rPr>
        <w:t>学生能够立足实践，领悟校本课程开发所应树立的崭新课程与教育教学理念，掌握科学的校本课程开发方法（研制、开发、实施、管理与评价等），培养和锻炼学生的实践能力和创新能力。</w:t>
      </w:r>
    </w:p>
    <w:p w14:paraId="08317369">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目标3.</w:t>
      </w:r>
      <w:r>
        <w:rPr>
          <w:rFonts w:hint="eastAsia" w:ascii="Times New Roman" w:hAnsi="Times New Roman" w:eastAsia="宋体" w:cs="Times New Roman"/>
          <w:szCs w:val="21"/>
        </w:rPr>
        <w:t xml:space="preserve"> 让学生亲身感受和体验校本课程开发对我国基础教育的影响，从而培养他们积极地学习态度和学习方法。同时进一步夯实他们的专业思想，是他们热爱小学教师这个职业，对小学教育事业产生深厚的情感，并愿意为教育事业奋斗终身。</w:t>
      </w:r>
    </w:p>
    <w:p w14:paraId="6C252E3A">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目标4.</w:t>
      </w:r>
      <w:r>
        <w:rPr>
          <w:rFonts w:hint="eastAsia" w:ascii="Times New Roman" w:hAnsi="Times New Roman" w:eastAsia="宋体" w:cs="Times New Roman"/>
          <w:szCs w:val="21"/>
        </w:rPr>
        <w:t xml:space="preserve"> 能明确校本课程管理和评价的一般原理和具体做法，能够在管理和评价中学会反思，运用批判的思维分析和解决问题。</w:t>
      </w:r>
    </w:p>
    <w:p w14:paraId="696B51EA">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 xml:space="preserve">目标5. </w:t>
      </w:r>
      <w:r>
        <w:rPr>
          <w:rFonts w:hint="eastAsia" w:ascii="Times New Roman" w:hAnsi="Times New Roman" w:eastAsia="宋体" w:cs="Times New Roman"/>
          <w:szCs w:val="21"/>
        </w:rPr>
        <w:t>明确校本课程开发对教师的意义和要求，并能从校本课程开发中对教师专业发展的要求来寻找自己的不足，从而为在教学实践中能有效地进行校本课程开发打下理论和实践基础。</w:t>
      </w:r>
    </w:p>
    <w:p w14:paraId="55327F1C">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5688"/>
        <w:gridCol w:w="1191"/>
      </w:tblGrid>
      <w:tr w14:paraId="409F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4" w:type="dxa"/>
            <w:vAlign w:val="center"/>
          </w:tcPr>
          <w:p w14:paraId="0D432DB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653E79F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28D9A51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C6A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4" w:type="dxa"/>
            <w:vAlign w:val="center"/>
          </w:tcPr>
          <w:p w14:paraId="354997E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63543D5F">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rPr>
              <w:t>1</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【通识知识广博】具有小学教育本科专业相应的自然科学和人文社会科学知识素养。</w:t>
            </w:r>
          </w:p>
        </w:tc>
        <w:tc>
          <w:tcPr>
            <w:tcW w:w="1191" w:type="dxa"/>
            <w:vAlign w:val="center"/>
          </w:tcPr>
          <w:p w14:paraId="31C34CE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课程目标1、3</w:t>
            </w:r>
          </w:p>
        </w:tc>
      </w:tr>
      <w:tr w14:paraId="1D47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4" w:type="dxa"/>
            <w:vAlign w:val="center"/>
          </w:tcPr>
          <w:p w14:paraId="0BD59AC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毕业要求4</w:t>
            </w:r>
          </w:p>
          <w:p w14:paraId="1C9E7D1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教学能力</w:t>
            </w:r>
          </w:p>
          <w:p w14:paraId="073082F7">
            <w:pPr>
              <w:spacing w:line="276" w:lineRule="auto"/>
              <w:jc w:val="left"/>
              <w:rPr>
                <w:rFonts w:ascii="Times New Roman" w:hAnsi="Times New Roman" w:eastAsia="宋体" w:cs="Times New Roman"/>
                <w:szCs w:val="21"/>
              </w:rPr>
            </w:pPr>
          </w:p>
        </w:tc>
        <w:tc>
          <w:tcPr>
            <w:tcW w:w="5688" w:type="dxa"/>
            <w:vAlign w:val="center"/>
          </w:tcPr>
          <w:p w14:paraId="6B1D0163">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spacing w:val="2"/>
                <w:kern w:val="0"/>
                <w:szCs w:val="21"/>
              </w:rPr>
              <w:t>指</w:t>
            </w:r>
            <w:r>
              <w:rPr>
                <w:rFonts w:ascii="宋体" w:hAnsi="宋体" w:eastAsia="宋体" w:cs="Times New Roman"/>
                <w:spacing w:val="2"/>
                <w:kern w:val="0"/>
                <w:szCs w:val="21"/>
              </w:rPr>
              <w:t>标</w:t>
            </w:r>
            <w:r>
              <w:rPr>
                <w:rFonts w:ascii="宋体" w:hAnsi="宋体" w:eastAsia="宋体" w:cs="Times New Roman"/>
                <w:color w:val="000000"/>
                <w:spacing w:val="2"/>
                <w:kern w:val="0"/>
                <w:szCs w:val="21"/>
              </w:rPr>
              <w:t xml:space="preserve">点4-2：【教学设计恰当】能针对小学生已有的知识水平、 学习经验和兴趣特点，依据课标确定恰当的学习目标和学习重 点，设计学习活动。能依据单元内容进行整体设计，科学合理地 依据教学目标及内容设计作业。 </w:t>
            </w:r>
          </w:p>
          <w:p w14:paraId="52CB33FE">
            <w:pPr>
              <w:spacing w:line="276" w:lineRule="auto"/>
              <w:jc w:val="left"/>
              <w:rPr>
                <w:rFonts w:hint="eastAsia" w:ascii="宋体" w:hAnsi="宋体" w:eastAsia="宋体" w:cs="Times New Roman"/>
                <w:color w:val="000000"/>
                <w:spacing w:val="2"/>
                <w:kern w:val="0"/>
                <w:szCs w:val="21"/>
              </w:rPr>
            </w:pPr>
            <w:r>
              <w:rPr>
                <w:rFonts w:ascii="宋体" w:hAnsi="宋体" w:eastAsia="宋体" w:cs="Times New Roman"/>
                <w:color w:val="000000"/>
                <w:spacing w:val="2"/>
                <w:kern w:val="0"/>
                <w:szCs w:val="21"/>
              </w:rPr>
              <w:t>指标点4-3：【教学实施与评价科学】掌握小学教师基本功技能， 包括书写技能、沟通与表达技能、信息技术运用技能等。获得全 面的小学教学体验，掌握学科教学的基本方法与策略，能独立进 行教学实施和评价。</w:t>
            </w:r>
          </w:p>
        </w:tc>
        <w:tc>
          <w:tcPr>
            <w:tcW w:w="1191" w:type="dxa"/>
            <w:vAlign w:val="center"/>
          </w:tcPr>
          <w:p w14:paraId="5896690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课程目标2、4</w:t>
            </w:r>
          </w:p>
        </w:tc>
      </w:tr>
      <w:tr w14:paraId="1412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4" w:type="dxa"/>
            <w:vAlign w:val="center"/>
          </w:tcPr>
          <w:p w14:paraId="6564197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毕业要求7学会反思</w:t>
            </w:r>
          </w:p>
        </w:tc>
        <w:tc>
          <w:tcPr>
            <w:tcW w:w="5688" w:type="dxa"/>
            <w:vAlign w:val="center"/>
          </w:tcPr>
          <w:p w14:paraId="4C314344">
            <w:pPr>
              <w:spacing w:line="276" w:lineRule="auto"/>
              <w:jc w:val="left"/>
              <w:rPr>
                <w:rFonts w:hint="eastAsia" w:ascii="宋体" w:hAnsi="宋体" w:eastAsia="宋体" w:cs="Times New Roman"/>
                <w:kern w:val="0"/>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rPr>
              <w:t>7</w:t>
            </w:r>
            <w:r>
              <w:rPr>
                <w:rFonts w:ascii="宋体" w:hAnsi="宋体" w:eastAsia="宋体" w:cs="Times New Roman"/>
                <w:color w:val="000000"/>
                <w:kern w:val="0"/>
                <w:szCs w:val="21"/>
              </w:rPr>
              <w:t>-1：</w:t>
            </w:r>
            <w:r>
              <w:rPr>
                <w:rFonts w:hint="eastAsia" w:ascii="宋体" w:hAnsi="宋体" w:eastAsia="宋体" w:cs="Times New Roman"/>
                <w:color w:val="000000"/>
                <w:kern w:val="0"/>
                <w:szCs w:val="21"/>
              </w:rPr>
              <w:t>【教育视野开阔】积极参加基础教育领域的国内外交流，了解国内外基础教育改革发展的动态，具有宽广的教育</w:t>
            </w:r>
            <w:r>
              <w:rPr>
                <w:rFonts w:hint="eastAsia" w:ascii="宋体" w:hAnsi="宋体" w:eastAsia="宋体" w:cs="Times New Roman"/>
                <w:kern w:val="0"/>
                <w:szCs w:val="21"/>
              </w:rPr>
              <w:t>视野，能够主动适应新时代和教育发展需求。</w:t>
            </w:r>
          </w:p>
          <w:p w14:paraId="18EE7686">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指标点7-2：</w:t>
            </w:r>
            <w:r>
              <w:rPr>
                <w:rFonts w:ascii="宋体" w:hAnsi="宋体" w:eastAsia="宋体" w:cs="Times New Roman"/>
                <w:kern w:val="0"/>
                <w:szCs w:val="21"/>
              </w:rPr>
              <w:t>【职业规划合理】了解教师专业发展的要求，形成 终身学习的意识和习惯，注重自身的专业发展，根据基础教育课程改革的动态和发展情况，进行职业生涯规划和自主学习。</w:t>
            </w:r>
          </w:p>
          <w:p w14:paraId="0F45BEF6">
            <w:pPr>
              <w:spacing w:line="276" w:lineRule="auto"/>
              <w:jc w:val="left"/>
              <w:rPr>
                <w:rFonts w:ascii="Times New Roman" w:hAnsi="Times New Roman" w:eastAsia="宋体" w:cs="Times New Roman"/>
                <w:szCs w:val="21"/>
              </w:rPr>
            </w:pPr>
            <w:r>
              <w:rPr>
                <w:rFonts w:hint="eastAsia" w:ascii="宋体" w:hAnsi="宋体" w:eastAsia="宋体" w:cs="Times New Roman"/>
                <w:kern w:val="0"/>
                <w:szCs w:val="21"/>
              </w:rPr>
              <w:t>指标点</w:t>
            </w:r>
            <w:r>
              <w:rPr>
                <w:rFonts w:ascii="宋体" w:hAnsi="宋体" w:eastAsia="宋体" w:cs="Times New Roman"/>
                <w:kern w:val="0"/>
                <w:szCs w:val="21"/>
              </w:rPr>
              <w:t>7-3：【</w:t>
            </w:r>
            <w:r>
              <w:rPr>
                <w:rFonts w:ascii="宋体" w:hAnsi="宋体" w:eastAsia="宋体" w:cs="Times New Roman"/>
                <w:color w:val="000000"/>
                <w:kern w:val="0"/>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vAlign w:val="center"/>
          </w:tcPr>
          <w:p w14:paraId="01BB936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课程目标3、4、5</w:t>
            </w:r>
          </w:p>
        </w:tc>
      </w:tr>
    </w:tbl>
    <w:p w14:paraId="22FC6D80">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49019B7F">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继承中华优秀教师文化、彰显时代教育要求、发扬工匠精神，充分挖掘地方资源优势并将其融入校本课程，传承并弘扬中华优秀传统文化，增强运用课程积极发挥课程育人作用的思想意识，努力成为新时代高素质专业化教师队伍中的一员，为国育才，为党育人。关心关注本土本地的课程改革的新要求、新进展，用笃行创新的躬耕态度做好教书育人工作，唤醒并不断增强课程开发及课程领导意识，通过实际行动积极践行新课改与新课标中的新任务新要求。</w:t>
      </w:r>
    </w:p>
    <w:p w14:paraId="5DB7225D">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701"/>
        <w:gridCol w:w="1134"/>
        <w:gridCol w:w="3260"/>
        <w:gridCol w:w="1560"/>
        <w:gridCol w:w="438"/>
      </w:tblGrid>
      <w:tr w14:paraId="6576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55AE31B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16B5EA7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5BF168F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5753D3D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45F2EDB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1395928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6C239FE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DBA771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10F8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1E96E32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导论：校本课程开发概述</w:t>
            </w:r>
          </w:p>
        </w:tc>
        <w:tc>
          <w:tcPr>
            <w:tcW w:w="1701" w:type="dxa"/>
            <w:vAlign w:val="center"/>
          </w:tcPr>
          <w:p w14:paraId="1D96249E">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（1）校本课程开发的兴起</w:t>
            </w:r>
          </w:p>
          <w:p w14:paraId="24079120">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（2）校本课程开发的涵义</w:t>
            </w:r>
          </w:p>
          <w:p w14:paraId="5157364A">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（3）校本课程开发的意义</w:t>
            </w:r>
          </w:p>
          <w:p w14:paraId="19CAA188">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（4）校本课程开发的现状</w:t>
            </w:r>
          </w:p>
        </w:tc>
        <w:tc>
          <w:tcPr>
            <w:tcW w:w="1134" w:type="dxa"/>
            <w:vAlign w:val="center"/>
          </w:tcPr>
          <w:p w14:paraId="0DA3A06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594E03AF">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（1）理解校本课程开发的涵义。</w:t>
            </w:r>
          </w:p>
          <w:p w14:paraId="20F0301C">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（2）了解校本课程开发的兴起、发展与现状。</w:t>
            </w:r>
          </w:p>
          <w:p w14:paraId="39726C5A">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（3）掌握校本课程开发的意义。</w:t>
            </w:r>
          </w:p>
          <w:p w14:paraId="75B38BCA">
            <w:pPr>
              <w:spacing w:line="269" w:lineRule="auto"/>
              <w:jc w:val="left"/>
              <w:rPr>
                <w:rFonts w:hint="eastAsia" w:ascii="宋体" w:hAnsi="宋体" w:eastAsia="宋体" w:cs="Times New Roman"/>
                <w:color w:val="000000"/>
                <w:szCs w:val="21"/>
              </w:rPr>
            </w:pPr>
          </w:p>
        </w:tc>
        <w:tc>
          <w:tcPr>
            <w:tcW w:w="1560" w:type="dxa"/>
            <w:vAlign w:val="center"/>
          </w:tcPr>
          <w:p w14:paraId="0406AF1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0F77854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课堂讨论</w:t>
            </w:r>
          </w:p>
        </w:tc>
        <w:tc>
          <w:tcPr>
            <w:tcW w:w="438" w:type="dxa"/>
            <w:vAlign w:val="center"/>
          </w:tcPr>
          <w:p w14:paraId="7740EE0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72E2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2261B456">
            <w:pPr>
              <w:spacing w:line="264" w:lineRule="auto"/>
              <w:jc w:val="center"/>
              <w:rPr>
                <w:rFonts w:hint="eastAsia" w:ascii="宋体" w:hAnsi="宋体" w:eastAsia="宋体" w:cs="Times New Roman"/>
                <w:color w:val="000000"/>
                <w:szCs w:val="21"/>
              </w:rPr>
            </w:pPr>
          </w:p>
        </w:tc>
        <w:tc>
          <w:tcPr>
            <w:tcW w:w="8093" w:type="dxa"/>
            <w:gridSpan w:val="5"/>
            <w:vAlign w:val="center"/>
          </w:tcPr>
          <w:p w14:paraId="194FF99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2C27187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明确课程政策要求，增强运用课程积极发挥课程育人作用的思想意识，为国育才，为党育人。</w:t>
            </w:r>
          </w:p>
        </w:tc>
      </w:tr>
      <w:tr w14:paraId="7DC6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64CC2E27">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课程管理体制的变革</w:t>
            </w:r>
          </w:p>
        </w:tc>
        <w:tc>
          <w:tcPr>
            <w:tcW w:w="1701" w:type="dxa"/>
            <w:vAlign w:val="center"/>
          </w:tcPr>
          <w:p w14:paraId="08136876">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1.教学内容</w:t>
            </w:r>
          </w:p>
          <w:p w14:paraId="6B9B259F">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（1）外国课程管理体制的经验</w:t>
            </w:r>
          </w:p>
          <w:p w14:paraId="39FF2BCA">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（2）中国课程管理体制的经验</w:t>
            </w:r>
          </w:p>
        </w:tc>
        <w:tc>
          <w:tcPr>
            <w:tcW w:w="1134" w:type="dxa"/>
            <w:vAlign w:val="center"/>
          </w:tcPr>
          <w:p w14:paraId="0D3FB4E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600CF26A">
            <w:pPr>
              <w:spacing w:line="269" w:lineRule="auto"/>
              <w:jc w:val="left"/>
              <w:rPr>
                <w:rFonts w:ascii="Times New Roman" w:hAnsi="Times New Roman" w:eastAsia="宋体" w:cs="Times New Roman"/>
                <w:bCs/>
                <w:szCs w:val="21"/>
              </w:rPr>
            </w:pPr>
            <w:r>
              <w:rPr>
                <w:rFonts w:hint="eastAsia" w:ascii="Times New Roman" w:hAnsi="Times New Roman" w:eastAsia="宋体" w:cs="Times New Roman"/>
                <w:bCs/>
                <w:szCs w:val="21"/>
              </w:rPr>
              <w:t>（1）了解国外课程管理体制的基本经验。</w:t>
            </w:r>
          </w:p>
          <w:p w14:paraId="6BBCB22F">
            <w:pPr>
              <w:spacing w:line="269" w:lineRule="auto"/>
              <w:jc w:val="left"/>
              <w:rPr>
                <w:rFonts w:ascii="Times New Roman" w:hAnsi="Times New Roman" w:eastAsia="宋体" w:cs="Times New Roman"/>
                <w:bCs/>
                <w:szCs w:val="21"/>
              </w:rPr>
            </w:pPr>
            <w:r>
              <w:rPr>
                <w:rFonts w:hint="eastAsia" w:ascii="Times New Roman" w:hAnsi="Times New Roman" w:eastAsia="宋体" w:cs="Times New Roman"/>
                <w:bCs/>
                <w:szCs w:val="21"/>
              </w:rPr>
              <w:t>（2）了解中国课程管理体制的经验和弊端。</w:t>
            </w:r>
          </w:p>
          <w:p w14:paraId="410CA192">
            <w:pPr>
              <w:spacing w:line="269" w:lineRule="auto"/>
              <w:jc w:val="left"/>
              <w:rPr>
                <w:rFonts w:ascii="Times New Roman" w:hAnsi="Times New Roman" w:eastAsia="宋体" w:cs="Times New Roman"/>
                <w:bCs/>
                <w:szCs w:val="21"/>
              </w:rPr>
            </w:pPr>
            <w:r>
              <w:rPr>
                <w:rFonts w:hint="eastAsia" w:ascii="Times New Roman" w:hAnsi="Times New Roman" w:eastAsia="宋体" w:cs="Times New Roman"/>
                <w:bCs/>
                <w:szCs w:val="21"/>
              </w:rPr>
              <w:t>（3）理解三级课程管理体制及其价值。</w:t>
            </w:r>
          </w:p>
        </w:tc>
        <w:tc>
          <w:tcPr>
            <w:tcW w:w="1560" w:type="dxa"/>
            <w:vAlign w:val="center"/>
          </w:tcPr>
          <w:p w14:paraId="1C9F387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分组查阅</w:t>
            </w:r>
          </w:p>
          <w:p w14:paraId="2346836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课堂分享</w:t>
            </w:r>
          </w:p>
        </w:tc>
        <w:tc>
          <w:tcPr>
            <w:tcW w:w="438" w:type="dxa"/>
            <w:vAlign w:val="center"/>
          </w:tcPr>
          <w:p w14:paraId="632AD8A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582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47732F57">
            <w:pPr>
              <w:spacing w:line="264" w:lineRule="auto"/>
              <w:jc w:val="center"/>
              <w:rPr>
                <w:rFonts w:hint="eastAsia" w:ascii="宋体" w:hAnsi="宋体" w:eastAsia="宋体" w:cs="Times New Roman"/>
                <w:color w:val="000000"/>
                <w:szCs w:val="21"/>
              </w:rPr>
            </w:pPr>
          </w:p>
        </w:tc>
        <w:tc>
          <w:tcPr>
            <w:tcW w:w="8093" w:type="dxa"/>
            <w:gridSpan w:val="5"/>
            <w:vAlign w:val="center"/>
          </w:tcPr>
          <w:p w14:paraId="28EC03A2">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01542E5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增强社会责任感与课程主体意识，既具有国际视野，也进一步增强我国课程文化自信。</w:t>
            </w:r>
          </w:p>
        </w:tc>
      </w:tr>
      <w:tr w14:paraId="5A9B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37BF3F84">
            <w:pPr>
              <w:spacing w:line="264" w:lineRule="auto"/>
              <w:rPr>
                <w:rFonts w:hint="eastAsia" w:ascii="宋体" w:hAnsi="宋体" w:eastAsia="宋体" w:cs="Times New Roman"/>
                <w:color w:val="000000"/>
                <w:szCs w:val="21"/>
              </w:rPr>
            </w:pPr>
            <w:r>
              <w:rPr>
                <w:rFonts w:hint="eastAsia" w:ascii="宋体" w:hAnsi="宋体" w:eastAsia="宋体" w:cs="Times New Roman"/>
                <w:color w:val="000000"/>
                <w:szCs w:val="21"/>
              </w:rPr>
              <w:t>校本课程开发的特征</w:t>
            </w:r>
          </w:p>
        </w:tc>
        <w:tc>
          <w:tcPr>
            <w:tcW w:w="1701" w:type="dxa"/>
            <w:vAlign w:val="center"/>
          </w:tcPr>
          <w:p w14:paraId="3EF47C37">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（1）校本课程开发的特点</w:t>
            </w:r>
          </w:p>
          <w:p w14:paraId="444E1043">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（2）校本课程开发的关键要素</w:t>
            </w:r>
          </w:p>
          <w:p w14:paraId="01D2C2B8">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（3）校本课程开发的独特价值</w:t>
            </w:r>
          </w:p>
        </w:tc>
        <w:tc>
          <w:tcPr>
            <w:tcW w:w="1134" w:type="dxa"/>
            <w:vAlign w:val="center"/>
          </w:tcPr>
          <w:p w14:paraId="0D84C14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38F839C8">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（1）理解校本课程开发的特征。</w:t>
            </w:r>
          </w:p>
          <w:p w14:paraId="25CD8ED7">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（2）了解校本课程开发的独特价值。</w:t>
            </w:r>
          </w:p>
          <w:p w14:paraId="59ED9822">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（3）掌握校本课程开发的关键要素。</w:t>
            </w:r>
          </w:p>
        </w:tc>
        <w:tc>
          <w:tcPr>
            <w:tcW w:w="1560" w:type="dxa"/>
            <w:vAlign w:val="center"/>
          </w:tcPr>
          <w:p w14:paraId="0AF23BE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案例观摩</w:t>
            </w:r>
          </w:p>
          <w:p w14:paraId="09EFCCF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4F96788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1EC6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11E902CA">
            <w:pPr>
              <w:spacing w:line="264" w:lineRule="auto"/>
              <w:jc w:val="center"/>
              <w:rPr>
                <w:rFonts w:hint="eastAsia" w:ascii="宋体" w:hAnsi="宋体" w:eastAsia="宋体" w:cs="Times New Roman"/>
                <w:color w:val="000000"/>
                <w:szCs w:val="21"/>
              </w:rPr>
            </w:pPr>
          </w:p>
        </w:tc>
        <w:tc>
          <w:tcPr>
            <w:tcW w:w="8093" w:type="dxa"/>
            <w:gridSpan w:val="5"/>
            <w:vAlign w:val="center"/>
          </w:tcPr>
          <w:p w14:paraId="331CAE4A">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6E571B7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乐于关注我国基础教育课程改革新动态，愿意学习我国各地各校的校本课程开发的中国经验。</w:t>
            </w:r>
          </w:p>
        </w:tc>
      </w:tr>
      <w:tr w14:paraId="494F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339D7D88">
            <w:pPr>
              <w:spacing w:line="276" w:lineRule="auto"/>
              <w:jc w:val="center"/>
              <w:rPr>
                <w:rFonts w:hint="eastAsia" w:ascii="宋体" w:hAnsi="宋体" w:eastAsia="宋体" w:cs="Times New Roman"/>
                <w:color w:val="000000"/>
                <w:szCs w:val="21"/>
              </w:rPr>
            </w:pPr>
            <w:r>
              <w:rPr>
                <w:rFonts w:hint="eastAsia" w:ascii="Times New Roman" w:hAnsi="Times New Roman" w:eastAsia="宋体" w:cs="Times New Roman"/>
                <w:color w:val="000000"/>
                <w:szCs w:val="21"/>
              </w:rPr>
              <w:t>校本课程开发的模式</w:t>
            </w:r>
          </w:p>
        </w:tc>
        <w:tc>
          <w:tcPr>
            <w:tcW w:w="1701" w:type="dxa"/>
            <w:vAlign w:val="center"/>
          </w:tcPr>
          <w:p w14:paraId="3BE586CD">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（1）校本课程开发的可能形态</w:t>
            </w:r>
          </w:p>
          <w:p w14:paraId="6F712962">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（2）校本课程开发的具体方式</w:t>
            </w:r>
          </w:p>
          <w:p w14:paraId="634D764E">
            <w:pPr>
              <w:spacing w:line="276" w:lineRule="auto"/>
              <w:jc w:val="left"/>
              <w:rPr>
                <w:rFonts w:hint="eastAsia" w:ascii="宋体" w:hAnsi="宋体" w:eastAsia="宋体" w:cs="Times New Roman"/>
                <w:color w:val="000000"/>
                <w:szCs w:val="21"/>
              </w:rPr>
            </w:pPr>
          </w:p>
        </w:tc>
        <w:tc>
          <w:tcPr>
            <w:tcW w:w="1134" w:type="dxa"/>
            <w:vAlign w:val="center"/>
          </w:tcPr>
          <w:p w14:paraId="2DC0892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4E5A1F1E">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（1）了解课程开发的多元分类标准和不同类型。</w:t>
            </w:r>
          </w:p>
          <w:p w14:paraId="72689118">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（2）掌握课程选择、课程整合、课程创编等三种开发活动的实践样式，并能在实践中自由运用。</w:t>
            </w:r>
          </w:p>
        </w:tc>
        <w:tc>
          <w:tcPr>
            <w:tcW w:w="1560" w:type="dxa"/>
            <w:vAlign w:val="center"/>
          </w:tcPr>
          <w:p w14:paraId="309345B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1CE5A0C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案例观摩</w:t>
            </w:r>
          </w:p>
          <w:p w14:paraId="3056718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7F4D089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579E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164237C6">
            <w:pPr>
              <w:spacing w:line="276" w:lineRule="auto"/>
              <w:jc w:val="center"/>
              <w:rPr>
                <w:rFonts w:hint="eastAsia" w:ascii="宋体" w:hAnsi="宋体" w:eastAsia="宋体" w:cs="Times New Roman"/>
                <w:color w:val="000000"/>
                <w:szCs w:val="21"/>
              </w:rPr>
            </w:pPr>
          </w:p>
        </w:tc>
        <w:tc>
          <w:tcPr>
            <w:tcW w:w="8093" w:type="dxa"/>
            <w:gridSpan w:val="5"/>
            <w:vAlign w:val="center"/>
          </w:tcPr>
          <w:p w14:paraId="05625BD5">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2969B6F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体验教师校本课程开发中不断创新的工匠精神，传承并弘扬中国教育家精神。</w:t>
            </w:r>
          </w:p>
        </w:tc>
      </w:tr>
      <w:tr w14:paraId="54CE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6A1C337B">
            <w:pPr>
              <w:spacing w:line="276" w:lineRule="auto"/>
              <w:jc w:val="center"/>
              <w:rPr>
                <w:rFonts w:hint="eastAsia" w:ascii="宋体" w:hAnsi="宋体" w:eastAsia="宋体" w:cs="Times New Roman"/>
                <w:color w:val="000000"/>
                <w:szCs w:val="21"/>
              </w:rPr>
            </w:pPr>
            <w:r>
              <w:rPr>
                <w:rFonts w:hint="eastAsia" w:ascii="Times New Roman" w:hAnsi="Times New Roman" w:eastAsia="宋体" w:cs="Times New Roman"/>
                <w:color w:val="000000"/>
                <w:szCs w:val="21"/>
              </w:rPr>
              <w:t>校本课程开发的条件</w:t>
            </w:r>
          </w:p>
        </w:tc>
        <w:tc>
          <w:tcPr>
            <w:tcW w:w="1701" w:type="dxa"/>
            <w:vAlign w:val="center"/>
          </w:tcPr>
          <w:p w14:paraId="56EFF19D">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（1）校本课程开发的影响因素</w:t>
            </w:r>
          </w:p>
          <w:p w14:paraId="4E14FE82">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（2）校长与学校教育哲学</w:t>
            </w:r>
          </w:p>
          <w:p w14:paraId="16749F57">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（3）教师与个人教育信念</w:t>
            </w:r>
          </w:p>
        </w:tc>
        <w:tc>
          <w:tcPr>
            <w:tcW w:w="1134" w:type="dxa"/>
            <w:vAlign w:val="center"/>
          </w:tcPr>
          <w:p w14:paraId="1311857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223A6DFE">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（1）理解影响校本课程开发的因素。</w:t>
            </w:r>
          </w:p>
          <w:p w14:paraId="369A667E">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（2）了解校长在校本课程开发中的重要性。</w:t>
            </w:r>
          </w:p>
          <w:p w14:paraId="5C5AB29C">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（4）掌握教师参与校本课程开发的条件。</w:t>
            </w:r>
          </w:p>
        </w:tc>
        <w:tc>
          <w:tcPr>
            <w:tcW w:w="1560" w:type="dxa"/>
            <w:vAlign w:val="center"/>
          </w:tcPr>
          <w:p w14:paraId="1E82E56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案例观摩</w:t>
            </w:r>
          </w:p>
          <w:p w14:paraId="1EA7C5B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小组辩论</w:t>
            </w:r>
          </w:p>
        </w:tc>
        <w:tc>
          <w:tcPr>
            <w:tcW w:w="438" w:type="dxa"/>
            <w:vAlign w:val="center"/>
          </w:tcPr>
          <w:p w14:paraId="2558A56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006D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1C8BAB14">
            <w:pPr>
              <w:spacing w:line="276" w:lineRule="auto"/>
              <w:jc w:val="center"/>
              <w:rPr>
                <w:rFonts w:hint="eastAsia" w:ascii="宋体" w:hAnsi="宋体" w:eastAsia="宋体" w:cs="Times New Roman"/>
                <w:color w:val="000000"/>
                <w:szCs w:val="21"/>
              </w:rPr>
            </w:pPr>
          </w:p>
        </w:tc>
        <w:tc>
          <w:tcPr>
            <w:tcW w:w="8093" w:type="dxa"/>
            <w:gridSpan w:val="5"/>
            <w:vAlign w:val="center"/>
          </w:tcPr>
          <w:p w14:paraId="352ED929">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614DCAE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强化课程开发的主体意识，自觉借助课程弘扬中华优秀传统文化，文化自信。</w:t>
            </w:r>
          </w:p>
        </w:tc>
      </w:tr>
      <w:tr w14:paraId="6A8B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0210C864">
            <w:pPr>
              <w:spacing w:line="276" w:lineRule="auto"/>
              <w:jc w:val="center"/>
              <w:rPr>
                <w:rFonts w:hint="eastAsia" w:ascii="宋体" w:hAnsi="宋体" w:eastAsia="宋体" w:cs="Times New Roman"/>
                <w:color w:val="000000"/>
                <w:szCs w:val="21"/>
              </w:rPr>
            </w:pPr>
            <w:r>
              <w:rPr>
                <w:rFonts w:hint="eastAsia" w:ascii="Times New Roman" w:hAnsi="Times New Roman" w:eastAsia="宋体" w:cs="Times New Roman"/>
                <w:color w:val="000000"/>
                <w:szCs w:val="21"/>
              </w:rPr>
              <w:t>校本课程开发的资源</w:t>
            </w:r>
          </w:p>
        </w:tc>
        <w:tc>
          <w:tcPr>
            <w:tcW w:w="1701" w:type="dxa"/>
            <w:vAlign w:val="center"/>
          </w:tcPr>
          <w:p w14:paraId="58E44658">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（1）课程资源的类型与选择</w:t>
            </w:r>
          </w:p>
          <w:p w14:paraId="486B9524">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（2）物质课程资源的开发与利用</w:t>
            </w:r>
          </w:p>
          <w:p w14:paraId="62455846">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（3）人力资源的开发与利用</w:t>
            </w:r>
          </w:p>
          <w:p w14:paraId="1958593D">
            <w:pPr>
              <w:spacing w:line="276" w:lineRule="auto"/>
              <w:jc w:val="left"/>
              <w:rPr>
                <w:rFonts w:hint="eastAsia" w:ascii="宋体" w:hAnsi="宋体" w:eastAsia="宋体" w:cs="Times New Roman"/>
                <w:color w:val="000000"/>
                <w:szCs w:val="21"/>
              </w:rPr>
            </w:pPr>
          </w:p>
        </w:tc>
        <w:tc>
          <w:tcPr>
            <w:tcW w:w="1134" w:type="dxa"/>
            <w:vAlign w:val="center"/>
          </w:tcPr>
          <w:p w14:paraId="6D642A8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36C0BE82">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（1）了解课程资源的类型以及课程资源选择的原则与路径。</w:t>
            </w:r>
          </w:p>
          <w:p w14:paraId="1B595B11">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（2）明确校本课程开发中有哪些物质和人力资源可以利用，掌握物质和人力资源开发和利用中应注意的一些问题，并结合案例明确如何在各学科教学课程与教学中选择和使用物质、人力资源。</w:t>
            </w:r>
          </w:p>
        </w:tc>
        <w:tc>
          <w:tcPr>
            <w:tcW w:w="1560" w:type="dxa"/>
            <w:vAlign w:val="center"/>
          </w:tcPr>
          <w:p w14:paraId="4E076CD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实践观察</w:t>
            </w:r>
          </w:p>
          <w:p w14:paraId="0DE79A3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课堂讨论</w:t>
            </w:r>
          </w:p>
        </w:tc>
        <w:tc>
          <w:tcPr>
            <w:tcW w:w="438" w:type="dxa"/>
            <w:vAlign w:val="center"/>
          </w:tcPr>
          <w:p w14:paraId="09144AF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3DFC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0483BFBF">
            <w:pPr>
              <w:spacing w:line="276" w:lineRule="auto"/>
              <w:jc w:val="center"/>
              <w:rPr>
                <w:rFonts w:hint="eastAsia" w:ascii="宋体" w:hAnsi="宋体" w:eastAsia="宋体" w:cs="Times New Roman"/>
                <w:color w:val="000000"/>
                <w:szCs w:val="21"/>
              </w:rPr>
            </w:pPr>
          </w:p>
        </w:tc>
        <w:tc>
          <w:tcPr>
            <w:tcW w:w="8093" w:type="dxa"/>
            <w:gridSpan w:val="5"/>
            <w:vAlign w:val="center"/>
          </w:tcPr>
          <w:p w14:paraId="4D5FBCE8">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6CDEE4C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增进文化自信，充分挖掘地方资源优势并将其融入校本课程，实现课程育人的宗旨。</w:t>
            </w:r>
          </w:p>
        </w:tc>
      </w:tr>
      <w:tr w14:paraId="4484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164CE40E">
            <w:pPr>
              <w:spacing w:line="276" w:lineRule="auto"/>
              <w:jc w:val="center"/>
              <w:rPr>
                <w:rFonts w:hint="eastAsia" w:ascii="宋体" w:hAnsi="宋体" w:eastAsia="宋体" w:cs="Times New Roman"/>
                <w:szCs w:val="21"/>
              </w:rPr>
            </w:pPr>
            <w:r>
              <w:rPr>
                <w:rFonts w:hint="eastAsia" w:ascii="宋体" w:hAnsi="宋体" w:eastAsia="宋体" w:cs="Times New Roman"/>
                <w:szCs w:val="21"/>
              </w:rPr>
              <w:t>开发校本课程的操作策略</w:t>
            </w:r>
          </w:p>
        </w:tc>
        <w:tc>
          <w:tcPr>
            <w:tcW w:w="1701" w:type="dxa"/>
            <w:vAlign w:val="center"/>
          </w:tcPr>
          <w:p w14:paraId="1ED5A7AF">
            <w:pPr>
              <w:spacing w:line="276" w:lineRule="auto"/>
              <w:jc w:val="left"/>
              <w:rPr>
                <w:rFonts w:hint="eastAsia" w:ascii="宋体" w:hAnsi="宋体" w:eastAsia="宋体" w:cs="Times New Roman"/>
                <w:bCs/>
                <w:szCs w:val="21"/>
              </w:rPr>
            </w:pPr>
            <w:r>
              <w:rPr>
                <w:rFonts w:hint="eastAsia" w:ascii="宋体" w:hAnsi="宋体" w:eastAsia="宋体" w:cs="Times New Roman"/>
                <w:bCs/>
                <w:szCs w:val="21"/>
              </w:rPr>
              <w:t>（1）校本课程开发的流程</w:t>
            </w:r>
          </w:p>
          <w:p w14:paraId="058E99B4">
            <w:pPr>
              <w:spacing w:line="276" w:lineRule="auto"/>
              <w:jc w:val="left"/>
              <w:rPr>
                <w:rFonts w:hint="eastAsia" w:ascii="宋体" w:hAnsi="宋体" w:eastAsia="宋体" w:cs="Times New Roman"/>
                <w:bCs/>
                <w:szCs w:val="21"/>
              </w:rPr>
            </w:pPr>
            <w:r>
              <w:rPr>
                <w:rFonts w:hint="eastAsia" w:ascii="宋体" w:hAnsi="宋体" w:eastAsia="宋体" w:cs="Times New Roman"/>
                <w:bCs/>
                <w:szCs w:val="21"/>
              </w:rPr>
              <w:t>（2）校本课程开发的三种取向</w:t>
            </w:r>
          </w:p>
          <w:p w14:paraId="4AAB398D">
            <w:pPr>
              <w:spacing w:line="276" w:lineRule="auto"/>
              <w:jc w:val="left"/>
              <w:rPr>
                <w:rFonts w:hint="eastAsia" w:ascii="宋体" w:hAnsi="宋体" w:eastAsia="宋体" w:cs="Times New Roman"/>
                <w:szCs w:val="21"/>
              </w:rPr>
            </w:pPr>
          </w:p>
        </w:tc>
        <w:tc>
          <w:tcPr>
            <w:tcW w:w="1134" w:type="dxa"/>
            <w:vAlign w:val="center"/>
          </w:tcPr>
          <w:p w14:paraId="25CBA1A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260" w:type="dxa"/>
            <w:vAlign w:val="center"/>
          </w:tcPr>
          <w:p w14:paraId="10064051">
            <w:pPr>
              <w:spacing w:line="276" w:lineRule="auto"/>
              <w:jc w:val="left"/>
              <w:rPr>
                <w:rFonts w:hint="eastAsia" w:ascii="宋体" w:hAnsi="宋体" w:eastAsia="宋体" w:cs="Times New Roman"/>
                <w:bCs/>
                <w:szCs w:val="21"/>
              </w:rPr>
            </w:pPr>
            <w:r>
              <w:rPr>
                <w:rFonts w:hint="eastAsia" w:ascii="宋体" w:hAnsi="宋体" w:eastAsia="宋体" w:cs="Times New Roman"/>
                <w:bCs/>
                <w:szCs w:val="21"/>
              </w:rPr>
              <w:t>（1）掌握校本课程开发的流程，尤其是校本课程方案的制定和设计的基本途径，为未来校本课程开发实践打下基础。</w:t>
            </w:r>
          </w:p>
          <w:p w14:paraId="5ADE2E6D">
            <w:pPr>
              <w:spacing w:line="276" w:lineRule="auto"/>
              <w:jc w:val="left"/>
              <w:rPr>
                <w:rFonts w:hint="eastAsia" w:ascii="宋体" w:hAnsi="宋体" w:eastAsia="宋体" w:cs="Times New Roman"/>
                <w:bCs/>
                <w:szCs w:val="21"/>
              </w:rPr>
            </w:pPr>
            <w:r>
              <w:rPr>
                <w:rFonts w:hint="eastAsia" w:ascii="宋体" w:hAnsi="宋体" w:eastAsia="宋体" w:cs="Times New Roman"/>
                <w:bCs/>
                <w:szCs w:val="21"/>
              </w:rPr>
              <w:t>（2）深刻理解校本课程开发的三种取向，实践中能根据实际情况灵活运用。</w:t>
            </w:r>
          </w:p>
        </w:tc>
        <w:tc>
          <w:tcPr>
            <w:tcW w:w="1560" w:type="dxa"/>
            <w:vAlign w:val="center"/>
          </w:tcPr>
          <w:p w14:paraId="18A804F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00D3F4E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小组合作</w:t>
            </w:r>
          </w:p>
        </w:tc>
        <w:tc>
          <w:tcPr>
            <w:tcW w:w="438" w:type="dxa"/>
            <w:vAlign w:val="center"/>
          </w:tcPr>
          <w:p w14:paraId="5E6785C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40E6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1B38E8F3">
            <w:pPr>
              <w:spacing w:line="276" w:lineRule="auto"/>
              <w:jc w:val="center"/>
              <w:rPr>
                <w:rFonts w:hint="eastAsia" w:ascii="宋体" w:hAnsi="宋体" w:eastAsia="宋体" w:cs="Times New Roman"/>
                <w:color w:val="000000"/>
                <w:szCs w:val="21"/>
              </w:rPr>
            </w:pPr>
          </w:p>
        </w:tc>
        <w:tc>
          <w:tcPr>
            <w:tcW w:w="8093" w:type="dxa"/>
            <w:gridSpan w:val="5"/>
            <w:vAlign w:val="center"/>
          </w:tcPr>
          <w:p w14:paraId="714D7184">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4308BA7B">
            <w:pPr>
              <w:spacing w:line="276" w:lineRule="auto"/>
              <w:jc w:val="left"/>
              <w:rPr>
                <w:rFonts w:hint="eastAsia" w:ascii="宋体" w:hAnsi="宋体" w:eastAsia="宋体" w:cs="Times New Roman"/>
                <w:color w:val="000000"/>
                <w:szCs w:val="21"/>
              </w:rPr>
            </w:pPr>
            <w:bookmarkStart w:id="176" w:name="_Hlk184661792"/>
            <w:r>
              <w:rPr>
                <w:rFonts w:hint="eastAsia" w:ascii="宋体" w:hAnsi="宋体" w:eastAsia="宋体" w:cs="Times New Roman"/>
                <w:color w:val="000000"/>
                <w:szCs w:val="21"/>
              </w:rPr>
              <w:t>用工匠精神做好立德树人工作，用笃行创新的躬耕态度做好教书育人工作。</w:t>
            </w:r>
            <w:bookmarkEnd w:id="176"/>
          </w:p>
        </w:tc>
      </w:tr>
      <w:tr w14:paraId="0D81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74121012">
            <w:pPr>
              <w:spacing w:line="264" w:lineRule="auto"/>
              <w:jc w:val="center"/>
              <w:rPr>
                <w:rFonts w:hint="eastAsia" w:ascii="宋体" w:hAnsi="宋体" w:eastAsia="宋体" w:cs="Times New Roman"/>
                <w:color w:val="000000"/>
                <w:szCs w:val="21"/>
              </w:rPr>
            </w:pPr>
            <w:r>
              <w:rPr>
                <w:rFonts w:hint="eastAsia" w:ascii="Times New Roman" w:hAnsi="Times New Roman" w:eastAsia="宋体" w:cs="Times New Roman"/>
                <w:color w:val="000000"/>
                <w:szCs w:val="21"/>
              </w:rPr>
              <w:t>校本课程的管理与评价</w:t>
            </w:r>
          </w:p>
        </w:tc>
        <w:tc>
          <w:tcPr>
            <w:tcW w:w="1701" w:type="dxa"/>
            <w:vAlign w:val="center"/>
          </w:tcPr>
          <w:p w14:paraId="73FF8716">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（1）校本课程的管理</w:t>
            </w:r>
          </w:p>
          <w:p w14:paraId="2CEE3D45">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（2）校本课程的评价</w:t>
            </w:r>
          </w:p>
          <w:p w14:paraId="4AB157A8">
            <w:pPr>
              <w:spacing w:line="264" w:lineRule="auto"/>
              <w:jc w:val="left"/>
              <w:rPr>
                <w:rFonts w:hint="eastAsia" w:ascii="宋体" w:hAnsi="宋体" w:eastAsia="宋体" w:cs="Times New Roman"/>
                <w:color w:val="000000"/>
                <w:szCs w:val="21"/>
              </w:rPr>
            </w:pPr>
          </w:p>
        </w:tc>
        <w:tc>
          <w:tcPr>
            <w:tcW w:w="1134" w:type="dxa"/>
            <w:vAlign w:val="center"/>
          </w:tcPr>
          <w:p w14:paraId="107CAED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课程目标4</w:t>
            </w:r>
          </w:p>
        </w:tc>
        <w:tc>
          <w:tcPr>
            <w:tcW w:w="3260" w:type="dxa"/>
            <w:vAlign w:val="center"/>
          </w:tcPr>
          <w:p w14:paraId="1A4C0350">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（1）了解校本课程管理与评价的价值观、主要内容、取向和模式。</w:t>
            </w:r>
          </w:p>
          <w:p w14:paraId="7127D70C">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（2）掌握校本课程管理和评价的具体方法、原则，为在实践中有效管理和评价校本课程提供理论和实践指导。</w:t>
            </w:r>
          </w:p>
        </w:tc>
        <w:tc>
          <w:tcPr>
            <w:tcW w:w="1560" w:type="dxa"/>
            <w:vAlign w:val="center"/>
          </w:tcPr>
          <w:p w14:paraId="2071D00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课堂学习</w:t>
            </w:r>
          </w:p>
          <w:p w14:paraId="4946B9A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课例观察</w:t>
            </w:r>
          </w:p>
          <w:p w14:paraId="394DAB24">
            <w:pPr>
              <w:spacing w:line="264" w:lineRule="auto"/>
              <w:jc w:val="left"/>
              <w:rPr>
                <w:rFonts w:hint="eastAsia" w:ascii="宋体" w:hAnsi="宋体" w:eastAsia="宋体" w:cs="Times New Roman"/>
                <w:color w:val="000000"/>
                <w:szCs w:val="21"/>
              </w:rPr>
            </w:pPr>
          </w:p>
        </w:tc>
        <w:tc>
          <w:tcPr>
            <w:tcW w:w="438" w:type="dxa"/>
            <w:vAlign w:val="center"/>
          </w:tcPr>
          <w:p w14:paraId="73AB4BA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51D5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39EFDC37">
            <w:pPr>
              <w:spacing w:line="264" w:lineRule="auto"/>
              <w:jc w:val="center"/>
              <w:rPr>
                <w:rFonts w:hint="eastAsia" w:ascii="宋体" w:hAnsi="宋体" w:eastAsia="宋体" w:cs="Times New Roman"/>
                <w:color w:val="000000"/>
                <w:szCs w:val="21"/>
              </w:rPr>
            </w:pPr>
          </w:p>
        </w:tc>
        <w:tc>
          <w:tcPr>
            <w:tcW w:w="8093" w:type="dxa"/>
            <w:gridSpan w:val="5"/>
            <w:vAlign w:val="center"/>
          </w:tcPr>
          <w:p w14:paraId="41DFF775">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4825164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以评促教，以评促学，以评促改，以评促优，树立构建教育新生态的课程意识。</w:t>
            </w:r>
          </w:p>
        </w:tc>
      </w:tr>
      <w:tr w14:paraId="496B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006FAD4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校本课程开发中的教师专业发展</w:t>
            </w:r>
          </w:p>
        </w:tc>
        <w:tc>
          <w:tcPr>
            <w:tcW w:w="1701" w:type="dxa"/>
            <w:vAlign w:val="center"/>
          </w:tcPr>
          <w:p w14:paraId="57561B42">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（1）校本课程开发对教师的意义和对教师的要求</w:t>
            </w:r>
          </w:p>
          <w:p w14:paraId="1D6096DC">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（2）教师参与校本课程开发的影响因素和提高途径</w:t>
            </w:r>
          </w:p>
        </w:tc>
        <w:tc>
          <w:tcPr>
            <w:tcW w:w="1134" w:type="dxa"/>
            <w:vAlign w:val="center"/>
          </w:tcPr>
          <w:p w14:paraId="1D8839BC">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课程目标5</w:t>
            </w:r>
          </w:p>
        </w:tc>
        <w:tc>
          <w:tcPr>
            <w:tcW w:w="3260" w:type="dxa"/>
            <w:vAlign w:val="center"/>
          </w:tcPr>
          <w:p w14:paraId="0E1BA389">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（1）了解校本课程开发对教师的意义和对教师的要求。</w:t>
            </w:r>
          </w:p>
          <w:p w14:paraId="555D8820">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（2）掌握影响教师参与校本课程开发的因素。</w:t>
            </w:r>
          </w:p>
          <w:p w14:paraId="003C06CD">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（3）明确要实现有效的校本课程开发，就必须从教师培训、教育教学研究及校本教研入手来促进教师的专业发展。</w:t>
            </w:r>
          </w:p>
        </w:tc>
        <w:tc>
          <w:tcPr>
            <w:tcW w:w="1560" w:type="dxa"/>
            <w:vAlign w:val="center"/>
          </w:tcPr>
          <w:p w14:paraId="19DD8B6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课堂讨论</w:t>
            </w:r>
          </w:p>
        </w:tc>
        <w:tc>
          <w:tcPr>
            <w:tcW w:w="438" w:type="dxa"/>
            <w:vAlign w:val="center"/>
          </w:tcPr>
          <w:p w14:paraId="633A2A0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70DE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41627D3B">
            <w:pPr>
              <w:spacing w:line="264" w:lineRule="auto"/>
              <w:jc w:val="center"/>
              <w:rPr>
                <w:rFonts w:hint="eastAsia" w:ascii="宋体" w:hAnsi="宋体" w:eastAsia="宋体" w:cs="Times New Roman"/>
                <w:color w:val="000000"/>
                <w:szCs w:val="21"/>
              </w:rPr>
            </w:pPr>
          </w:p>
        </w:tc>
        <w:tc>
          <w:tcPr>
            <w:tcW w:w="8093" w:type="dxa"/>
            <w:gridSpan w:val="5"/>
            <w:vAlign w:val="center"/>
          </w:tcPr>
          <w:p w14:paraId="7A6B1600">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7937E878">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继承中华优秀教师文化、彰显时代教育要求，不断从“四有”好老师，到“四个引路人”和“四个相统一”，到“经师”和“人师”相统一的“大先生”，再到“中国特有的教育家精神”，自觉提升自我，成为新时代高素质专业化教师队伍中的一员。</w:t>
            </w:r>
          </w:p>
        </w:tc>
      </w:tr>
    </w:tbl>
    <w:p w14:paraId="1A82735C">
      <w:pPr>
        <w:spacing w:line="360" w:lineRule="auto"/>
        <w:jc w:val="left"/>
        <w:rPr>
          <w:rFonts w:ascii="Times New Roman" w:hAnsi="Times New Roman" w:eastAsia="宋体" w:cs="Times New Roman"/>
          <w:sz w:val="24"/>
        </w:rPr>
      </w:pPr>
    </w:p>
    <w:p w14:paraId="199041A7">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4E33641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49441B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6AAD90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74E3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3540A6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0A1FE1BF">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4240514">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8F5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5229A23">
            <w:pPr>
              <w:spacing w:line="360" w:lineRule="auto"/>
              <w:jc w:val="center"/>
              <w:rPr>
                <w:rFonts w:hint="eastAsia" w:ascii="宋体" w:hAnsi="宋体" w:eastAsia="宋体" w:cs="Times New Roman"/>
                <w:szCs w:val="21"/>
              </w:rPr>
            </w:pPr>
          </w:p>
        </w:tc>
        <w:tc>
          <w:tcPr>
            <w:tcW w:w="0" w:type="auto"/>
            <w:vAlign w:val="center"/>
          </w:tcPr>
          <w:p w14:paraId="2B8015CB">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6BD0E7DB">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485BB7F7">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01AD5EDE">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731D1FD8">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3F5BA053">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39226E7D">
            <w:pPr>
              <w:spacing w:line="360" w:lineRule="auto"/>
              <w:jc w:val="center"/>
              <w:rPr>
                <w:rFonts w:hint="eastAsia" w:ascii="宋体" w:hAnsi="宋体" w:eastAsia="宋体" w:cs="Times New Roman"/>
                <w:szCs w:val="21"/>
              </w:rPr>
            </w:pPr>
          </w:p>
        </w:tc>
      </w:tr>
      <w:tr w14:paraId="5EEF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D1D1CB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60E489CD">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3A876327">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76F3954C">
            <w:pPr>
              <w:spacing w:line="360" w:lineRule="auto"/>
              <w:jc w:val="center"/>
              <w:rPr>
                <w:rFonts w:hint="eastAsia" w:ascii="宋体" w:hAnsi="宋体" w:eastAsia="宋体" w:cs="Times New Roman"/>
                <w:szCs w:val="21"/>
              </w:rPr>
            </w:pPr>
          </w:p>
        </w:tc>
        <w:tc>
          <w:tcPr>
            <w:tcW w:w="0" w:type="auto"/>
            <w:vAlign w:val="center"/>
          </w:tcPr>
          <w:p w14:paraId="79B38568">
            <w:pPr>
              <w:spacing w:line="360" w:lineRule="auto"/>
              <w:jc w:val="center"/>
              <w:rPr>
                <w:rFonts w:hint="eastAsia" w:ascii="宋体" w:hAnsi="宋体" w:eastAsia="宋体" w:cs="Times New Roman"/>
                <w:szCs w:val="21"/>
              </w:rPr>
            </w:pPr>
          </w:p>
        </w:tc>
        <w:tc>
          <w:tcPr>
            <w:tcW w:w="0" w:type="auto"/>
            <w:vAlign w:val="center"/>
          </w:tcPr>
          <w:p w14:paraId="7711F046">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063B9343">
            <w:pPr>
              <w:spacing w:line="360" w:lineRule="auto"/>
              <w:jc w:val="center"/>
              <w:rPr>
                <w:rFonts w:hint="eastAsia" w:ascii="宋体" w:hAnsi="宋体" w:eastAsia="宋体" w:cs="Times New Roman"/>
                <w:szCs w:val="21"/>
              </w:rPr>
            </w:pPr>
          </w:p>
        </w:tc>
        <w:tc>
          <w:tcPr>
            <w:tcW w:w="0" w:type="auto"/>
            <w:vAlign w:val="center"/>
          </w:tcPr>
          <w:p w14:paraId="368D1F1F">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5656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EDC524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554D6C45">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163F8449">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1DC2A99B">
            <w:pPr>
              <w:spacing w:line="360" w:lineRule="auto"/>
              <w:jc w:val="center"/>
              <w:rPr>
                <w:rFonts w:hint="eastAsia" w:ascii="宋体" w:hAnsi="宋体" w:eastAsia="宋体" w:cs="Times New Roman"/>
                <w:szCs w:val="21"/>
              </w:rPr>
            </w:pPr>
          </w:p>
        </w:tc>
        <w:tc>
          <w:tcPr>
            <w:tcW w:w="0" w:type="auto"/>
            <w:vAlign w:val="center"/>
          </w:tcPr>
          <w:p w14:paraId="4FF164EB">
            <w:pPr>
              <w:spacing w:line="360" w:lineRule="auto"/>
              <w:jc w:val="center"/>
              <w:rPr>
                <w:rFonts w:hint="eastAsia" w:ascii="宋体" w:hAnsi="宋体" w:eastAsia="宋体" w:cs="Times New Roman"/>
                <w:szCs w:val="21"/>
              </w:rPr>
            </w:pPr>
          </w:p>
        </w:tc>
        <w:tc>
          <w:tcPr>
            <w:tcW w:w="0" w:type="auto"/>
            <w:vAlign w:val="center"/>
          </w:tcPr>
          <w:p w14:paraId="7AB95B64">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33F40B3B">
            <w:pPr>
              <w:spacing w:line="360" w:lineRule="auto"/>
              <w:jc w:val="center"/>
              <w:rPr>
                <w:rFonts w:hint="eastAsia" w:ascii="宋体" w:hAnsi="宋体" w:eastAsia="宋体" w:cs="Times New Roman"/>
                <w:szCs w:val="21"/>
              </w:rPr>
            </w:pPr>
          </w:p>
        </w:tc>
        <w:tc>
          <w:tcPr>
            <w:tcW w:w="0" w:type="auto"/>
            <w:vAlign w:val="center"/>
          </w:tcPr>
          <w:p w14:paraId="345FB2AC">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5371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520DE5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18FE6375">
            <w:pPr>
              <w:spacing w:line="360" w:lineRule="auto"/>
              <w:jc w:val="center"/>
              <w:rPr>
                <w:rFonts w:hint="eastAsia" w:ascii="宋体" w:hAnsi="宋体" w:eastAsia="宋体" w:cs="Times New Roman"/>
                <w:szCs w:val="21"/>
              </w:rPr>
            </w:pPr>
          </w:p>
        </w:tc>
        <w:tc>
          <w:tcPr>
            <w:tcW w:w="0" w:type="auto"/>
            <w:vAlign w:val="center"/>
          </w:tcPr>
          <w:p w14:paraId="723A4DA7">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41C1EAD1">
            <w:pPr>
              <w:spacing w:line="360" w:lineRule="auto"/>
              <w:jc w:val="center"/>
              <w:rPr>
                <w:rFonts w:hint="eastAsia" w:ascii="宋体" w:hAnsi="宋体" w:eastAsia="宋体" w:cs="Times New Roman"/>
                <w:szCs w:val="21"/>
              </w:rPr>
            </w:pPr>
          </w:p>
        </w:tc>
        <w:tc>
          <w:tcPr>
            <w:tcW w:w="0" w:type="auto"/>
            <w:vAlign w:val="center"/>
          </w:tcPr>
          <w:p w14:paraId="475A242D">
            <w:pPr>
              <w:spacing w:line="360" w:lineRule="auto"/>
              <w:jc w:val="center"/>
              <w:rPr>
                <w:rFonts w:hint="eastAsia" w:ascii="宋体" w:hAnsi="宋体" w:eastAsia="宋体" w:cs="Times New Roman"/>
                <w:szCs w:val="21"/>
              </w:rPr>
            </w:pPr>
          </w:p>
        </w:tc>
        <w:tc>
          <w:tcPr>
            <w:tcW w:w="0" w:type="auto"/>
            <w:vAlign w:val="center"/>
          </w:tcPr>
          <w:p w14:paraId="682A9A6D">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45733DC2">
            <w:pPr>
              <w:spacing w:line="360" w:lineRule="auto"/>
              <w:jc w:val="center"/>
              <w:rPr>
                <w:rFonts w:hint="eastAsia" w:ascii="宋体" w:hAnsi="宋体" w:eastAsia="宋体" w:cs="Times New Roman"/>
                <w:szCs w:val="21"/>
              </w:rPr>
            </w:pPr>
          </w:p>
        </w:tc>
        <w:tc>
          <w:tcPr>
            <w:tcW w:w="0" w:type="auto"/>
            <w:vAlign w:val="center"/>
          </w:tcPr>
          <w:p w14:paraId="71152679">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79E8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18ACF8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0" w:type="auto"/>
            <w:vAlign w:val="center"/>
          </w:tcPr>
          <w:p w14:paraId="55478C7C">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34E55E38">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5E5C56C5">
            <w:pPr>
              <w:spacing w:line="360" w:lineRule="auto"/>
              <w:jc w:val="center"/>
              <w:rPr>
                <w:rFonts w:hint="eastAsia" w:ascii="宋体" w:hAnsi="宋体" w:eastAsia="宋体" w:cs="Times New Roman"/>
                <w:szCs w:val="21"/>
              </w:rPr>
            </w:pPr>
          </w:p>
        </w:tc>
        <w:tc>
          <w:tcPr>
            <w:tcW w:w="0" w:type="auto"/>
            <w:vAlign w:val="center"/>
          </w:tcPr>
          <w:p w14:paraId="1779A7E6">
            <w:pPr>
              <w:spacing w:line="360" w:lineRule="auto"/>
              <w:jc w:val="center"/>
              <w:rPr>
                <w:rFonts w:hint="eastAsia" w:ascii="宋体" w:hAnsi="宋体" w:eastAsia="宋体" w:cs="Times New Roman"/>
                <w:szCs w:val="21"/>
              </w:rPr>
            </w:pPr>
          </w:p>
        </w:tc>
        <w:tc>
          <w:tcPr>
            <w:tcW w:w="0" w:type="auto"/>
            <w:vAlign w:val="center"/>
          </w:tcPr>
          <w:p w14:paraId="312ADE59">
            <w:pPr>
              <w:spacing w:line="360" w:lineRule="auto"/>
              <w:jc w:val="center"/>
              <w:rPr>
                <w:rFonts w:hint="eastAsia" w:ascii="宋体" w:hAnsi="宋体" w:eastAsia="宋体" w:cs="Times New Roman"/>
                <w:szCs w:val="21"/>
              </w:rPr>
            </w:pPr>
          </w:p>
        </w:tc>
        <w:tc>
          <w:tcPr>
            <w:tcW w:w="0" w:type="auto"/>
          </w:tcPr>
          <w:p w14:paraId="54A0D439">
            <w:pPr>
              <w:spacing w:line="360" w:lineRule="auto"/>
              <w:jc w:val="center"/>
              <w:rPr>
                <w:rFonts w:hint="eastAsia" w:ascii="宋体" w:hAnsi="宋体" w:eastAsia="宋体" w:cs="Times New Roman"/>
                <w:szCs w:val="21"/>
              </w:rPr>
            </w:pPr>
          </w:p>
        </w:tc>
        <w:tc>
          <w:tcPr>
            <w:tcW w:w="0" w:type="auto"/>
            <w:vAlign w:val="center"/>
          </w:tcPr>
          <w:p w14:paraId="38FA6B05">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25B9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527A53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0" w:type="auto"/>
            <w:vAlign w:val="center"/>
          </w:tcPr>
          <w:p w14:paraId="3CF8FD2D">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37157FEA">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4ED9024F">
            <w:pPr>
              <w:spacing w:line="360" w:lineRule="auto"/>
              <w:jc w:val="center"/>
              <w:rPr>
                <w:rFonts w:hint="eastAsia" w:ascii="宋体" w:hAnsi="宋体" w:eastAsia="宋体" w:cs="Times New Roman"/>
                <w:szCs w:val="21"/>
              </w:rPr>
            </w:pPr>
          </w:p>
        </w:tc>
        <w:tc>
          <w:tcPr>
            <w:tcW w:w="0" w:type="auto"/>
            <w:vAlign w:val="center"/>
          </w:tcPr>
          <w:p w14:paraId="763A636B">
            <w:pPr>
              <w:spacing w:line="360" w:lineRule="auto"/>
              <w:jc w:val="center"/>
              <w:rPr>
                <w:rFonts w:hint="eastAsia" w:ascii="宋体" w:hAnsi="宋体" w:eastAsia="宋体" w:cs="Times New Roman"/>
                <w:szCs w:val="21"/>
              </w:rPr>
            </w:pPr>
          </w:p>
        </w:tc>
        <w:tc>
          <w:tcPr>
            <w:tcW w:w="0" w:type="auto"/>
            <w:vAlign w:val="center"/>
          </w:tcPr>
          <w:p w14:paraId="3904EE17">
            <w:pPr>
              <w:spacing w:line="360" w:lineRule="auto"/>
              <w:jc w:val="center"/>
              <w:rPr>
                <w:rFonts w:hint="eastAsia" w:ascii="宋体" w:hAnsi="宋体" w:eastAsia="宋体" w:cs="Times New Roman"/>
                <w:szCs w:val="21"/>
              </w:rPr>
            </w:pPr>
          </w:p>
        </w:tc>
        <w:tc>
          <w:tcPr>
            <w:tcW w:w="0" w:type="auto"/>
          </w:tcPr>
          <w:p w14:paraId="0D2EC9B1">
            <w:pPr>
              <w:spacing w:line="360" w:lineRule="auto"/>
              <w:jc w:val="center"/>
              <w:rPr>
                <w:rFonts w:hint="eastAsia" w:ascii="宋体" w:hAnsi="宋体" w:eastAsia="宋体" w:cs="Times New Roman"/>
                <w:szCs w:val="21"/>
              </w:rPr>
            </w:pPr>
          </w:p>
        </w:tc>
        <w:tc>
          <w:tcPr>
            <w:tcW w:w="0" w:type="auto"/>
            <w:vAlign w:val="center"/>
          </w:tcPr>
          <w:p w14:paraId="56FC3CE7">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2CD4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0D36ADA">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59B7186B">
            <w:pPr>
              <w:spacing w:line="360" w:lineRule="auto"/>
              <w:jc w:val="center"/>
              <w:rPr>
                <w:rFonts w:hint="eastAsia" w:ascii="宋体" w:hAnsi="宋体" w:eastAsia="宋体" w:cs="Times New Roman"/>
                <w:szCs w:val="21"/>
              </w:rPr>
            </w:pPr>
          </w:p>
        </w:tc>
        <w:tc>
          <w:tcPr>
            <w:tcW w:w="0" w:type="auto"/>
            <w:vAlign w:val="center"/>
          </w:tcPr>
          <w:p w14:paraId="603097F0">
            <w:pPr>
              <w:spacing w:line="360" w:lineRule="auto"/>
              <w:jc w:val="center"/>
              <w:rPr>
                <w:rFonts w:hint="eastAsia" w:ascii="宋体" w:hAnsi="宋体" w:eastAsia="宋体" w:cs="Times New Roman"/>
                <w:szCs w:val="21"/>
              </w:rPr>
            </w:pPr>
          </w:p>
        </w:tc>
        <w:tc>
          <w:tcPr>
            <w:tcW w:w="0" w:type="auto"/>
            <w:vAlign w:val="center"/>
          </w:tcPr>
          <w:p w14:paraId="4341AE93">
            <w:pPr>
              <w:spacing w:line="360" w:lineRule="auto"/>
              <w:jc w:val="center"/>
              <w:rPr>
                <w:rFonts w:hint="eastAsia" w:ascii="宋体" w:hAnsi="宋体" w:eastAsia="宋体" w:cs="Times New Roman"/>
                <w:szCs w:val="21"/>
              </w:rPr>
            </w:pPr>
          </w:p>
        </w:tc>
        <w:tc>
          <w:tcPr>
            <w:tcW w:w="0" w:type="auto"/>
            <w:vAlign w:val="center"/>
          </w:tcPr>
          <w:p w14:paraId="49D315D1">
            <w:pPr>
              <w:spacing w:line="360" w:lineRule="auto"/>
              <w:jc w:val="center"/>
              <w:rPr>
                <w:rFonts w:hint="eastAsia" w:ascii="宋体" w:hAnsi="宋体" w:eastAsia="宋体" w:cs="Times New Roman"/>
                <w:szCs w:val="21"/>
              </w:rPr>
            </w:pPr>
          </w:p>
        </w:tc>
        <w:tc>
          <w:tcPr>
            <w:tcW w:w="0" w:type="auto"/>
            <w:vAlign w:val="center"/>
          </w:tcPr>
          <w:p w14:paraId="41F8D9A7">
            <w:pPr>
              <w:spacing w:line="360" w:lineRule="auto"/>
              <w:jc w:val="center"/>
              <w:rPr>
                <w:rFonts w:hint="eastAsia" w:ascii="宋体" w:hAnsi="宋体" w:eastAsia="宋体" w:cs="Times New Roman"/>
                <w:szCs w:val="21"/>
              </w:rPr>
            </w:pPr>
          </w:p>
        </w:tc>
        <w:tc>
          <w:tcPr>
            <w:tcW w:w="0" w:type="auto"/>
          </w:tcPr>
          <w:p w14:paraId="02C2B6A3">
            <w:pPr>
              <w:spacing w:line="360" w:lineRule="auto"/>
              <w:jc w:val="center"/>
              <w:rPr>
                <w:rFonts w:hint="eastAsia" w:ascii="宋体" w:hAnsi="宋体" w:eastAsia="宋体" w:cs="Times New Roman"/>
                <w:szCs w:val="21"/>
              </w:rPr>
            </w:pPr>
          </w:p>
        </w:tc>
        <w:tc>
          <w:tcPr>
            <w:tcW w:w="0" w:type="auto"/>
            <w:vAlign w:val="center"/>
          </w:tcPr>
          <w:p w14:paraId="02E52BF6">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567212D">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070B4A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ECF6DC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3"/>
        <w:tblW w:w="7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701"/>
        <w:gridCol w:w="824"/>
      </w:tblGrid>
      <w:tr w14:paraId="118B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shd w:val="clear" w:color="auto" w:fill="FFFFFF"/>
            <w:vAlign w:val="center"/>
          </w:tcPr>
          <w:p w14:paraId="36B3D9A4">
            <w:pPr>
              <w:jc w:val="center"/>
              <w:rPr>
                <w:rFonts w:ascii="Times New Roman" w:hAnsi="Times New Roman" w:eastAsia="宋体" w:cs="Times New Roman"/>
                <w:b/>
                <w:bCs/>
              </w:rPr>
            </w:pPr>
            <w:r>
              <w:rPr>
                <w:rFonts w:ascii="Times New Roman" w:hAnsi="Times New Roman" w:eastAsia="宋体" w:cs="Times New Roman"/>
                <w:b/>
                <w:bCs/>
              </w:rPr>
              <w:t>评</w:t>
            </w:r>
            <w:r>
              <w:rPr>
                <w:rFonts w:hint="eastAsia" w:ascii="Times New Roman" w:hAnsi="Times New Roman" w:eastAsia="宋体" w:cs="Times New Roman"/>
                <w:b/>
                <w:bCs/>
              </w:rPr>
              <w:t>定方式</w:t>
            </w:r>
          </w:p>
        </w:tc>
        <w:tc>
          <w:tcPr>
            <w:tcW w:w="5701" w:type="dxa"/>
            <w:shd w:val="clear" w:color="auto" w:fill="FFFFFF"/>
            <w:vAlign w:val="center"/>
          </w:tcPr>
          <w:p w14:paraId="2CB13AB3">
            <w:pPr>
              <w:jc w:val="center"/>
              <w:rPr>
                <w:rFonts w:ascii="Times New Roman" w:hAnsi="Times New Roman" w:eastAsia="宋体" w:cs="Times New Roman"/>
                <w:b/>
                <w:bCs/>
              </w:rPr>
            </w:pPr>
            <w:r>
              <w:rPr>
                <w:rFonts w:ascii="Times New Roman" w:hAnsi="Times New Roman" w:eastAsia="宋体" w:cs="Times New Roman"/>
                <w:b/>
                <w:bCs/>
              </w:rPr>
              <w:t>评</w:t>
            </w:r>
            <w:r>
              <w:rPr>
                <w:rFonts w:hint="eastAsia" w:ascii="Times New Roman" w:hAnsi="Times New Roman" w:eastAsia="宋体" w:cs="Times New Roman"/>
                <w:b/>
                <w:bCs/>
              </w:rPr>
              <w:t>定</w:t>
            </w:r>
            <w:r>
              <w:rPr>
                <w:rFonts w:ascii="Times New Roman" w:hAnsi="Times New Roman" w:eastAsia="宋体" w:cs="Times New Roman"/>
                <w:b/>
                <w:bCs/>
              </w:rPr>
              <w:t>细则</w:t>
            </w:r>
          </w:p>
        </w:tc>
        <w:tc>
          <w:tcPr>
            <w:tcW w:w="824" w:type="dxa"/>
            <w:shd w:val="clear" w:color="auto" w:fill="FFFFFF"/>
            <w:vAlign w:val="center"/>
          </w:tcPr>
          <w:p w14:paraId="2625C1DE">
            <w:pPr>
              <w:jc w:val="center"/>
              <w:rPr>
                <w:rFonts w:ascii="Times New Roman" w:hAnsi="Times New Roman" w:eastAsia="宋体" w:cs="Times New Roman"/>
                <w:b/>
                <w:bCs/>
              </w:rPr>
            </w:pPr>
            <w:r>
              <w:rPr>
                <w:rFonts w:hint="eastAsia" w:ascii="Times New Roman" w:hAnsi="Times New Roman" w:eastAsia="宋体" w:cs="Times New Roman"/>
                <w:b/>
                <w:bCs/>
              </w:rPr>
              <w:t>权重</w:t>
            </w:r>
          </w:p>
        </w:tc>
      </w:tr>
      <w:tr w14:paraId="4F57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419" w:type="dxa"/>
            <w:vAlign w:val="center"/>
          </w:tcPr>
          <w:p w14:paraId="2003DACF">
            <w:pPr>
              <w:jc w:val="center"/>
              <w:rPr>
                <w:rFonts w:ascii="Times New Roman" w:hAnsi="Times New Roman" w:eastAsia="宋体" w:cs="Times New Roman"/>
              </w:rPr>
            </w:pPr>
            <w:r>
              <w:rPr>
                <w:rFonts w:ascii="Times New Roman" w:hAnsi="Times New Roman" w:eastAsia="宋体" w:cs="Times New Roman"/>
              </w:rPr>
              <w:t>平时作业</w:t>
            </w:r>
          </w:p>
        </w:tc>
        <w:tc>
          <w:tcPr>
            <w:tcW w:w="5701" w:type="dxa"/>
            <w:vAlign w:val="center"/>
          </w:tcPr>
          <w:p w14:paraId="4EEDEE0C">
            <w:pPr>
              <w:rPr>
                <w:rFonts w:ascii="Times New Roman" w:hAnsi="Times New Roman" w:eastAsia="宋体" w:cs="Times New Roman"/>
              </w:rPr>
            </w:pPr>
            <w:r>
              <w:rPr>
                <w:rFonts w:hint="eastAsia" w:ascii="Times New Roman" w:hAnsi="Times New Roman" w:eastAsia="宋体" w:cs="Times New Roman"/>
              </w:rPr>
              <w:t>三次书面作业，主要考察学生对所学知识的理解和应用</w:t>
            </w:r>
            <w:r>
              <w:rPr>
                <w:rFonts w:ascii="Times New Roman" w:hAnsi="Times New Roman" w:eastAsia="宋体" w:cs="Times New Roman"/>
              </w:rPr>
              <w:t>，计算全部作业的平均成绩再按</w:t>
            </w:r>
            <w:r>
              <w:rPr>
                <w:rFonts w:hint="eastAsia" w:ascii="Times New Roman" w:hAnsi="Times New Roman" w:eastAsia="宋体" w:cs="Times New Roman"/>
              </w:rPr>
              <w:t>2</w:t>
            </w:r>
            <w:r>
              <w:rPr>
                <w:rFonts w:ascii="Times New Roman" w:hAnsi="Times New Roman" w:eastAsia="宋体" w:cs="Times New Roman"/>
              </w:rPr>
              <w:t>0%计入总成绩。</w:t>
            </w:r>
          </w:p>
        </w:tc>
        <w:tc>
          <w:tcPr>
            <w:tcW w:w="824" w:type="dxa"/>
            <w:vAlign w:val="center"/>
          </w:tcPr>
          <w:p w14:paraId="18D21AB4">
            <w:pP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0%</w:t>
            </w:r>
          </w:p>
        </w:tc>
      </w:tr>
      <w:tr w14:paraId="7C21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1419" w:type="dxa"/>
            <w:vAlign w:val="center"/>
          </w:tcPr>
          <w:p w14:paraId="5D2B121A">
            <w:pPr>
              <w:jc w:val="center"/>
              <w:rPr>
                <w:rFonts w:ascii="Times New Roman" w:hAnsi="Times New Roman" w:eastAsia="宋体" w:cs="Times New Roman"/>
              </w:rPr>
            </w:pPr>
            <w:r>
              <w:rPr>
                <w:rFonts w:hint="eastAsia" w:ascii="Times New Roman" w:hAnsi="Times New Roman" w:eastAsia="宋体" w:cs="Times New Roman"/>
              </w:rPr>
              <w:t>考勤</w:t>
            </w:r>
            <w:r>
              <w:rPr>
                <w:rFonts w:ascii="Times New Roman" w:hAnsi="Times New Roman" w:eastAsia="宋体" w:cs="Times New Roman"/>
              </w:rPr>
              <w:t>及</w:t>
            </w:r>
          </w:p>
          <w:p w14:paraId="58625C8A">
            <w:pPr>
              <w:jc w:val="center"/>
              <w:rPr>
                <w:rFonts w:ascii="Times New Roman" w:hAnsi="Times New Roman" w:eastAsia="宋体" w:cs="Times New Roman"/>
              </w:rPr>
            </w:pPr>
            <w:r>
              <w:rPr>
                <w:rFonts w:ascii="Times New Roman" w:hAnsi="Times New Roman" w:eastAsia="宋体" w:cs="Times New Roman"/>
              </w:rPr>
              <w:t>课堂练习</w:t>
            </w:r>
          </w:p>
        </w:tc>
        <w:tc>
          <w:tcPr>
            <w:tcW w:w="5701" w:type="dxa"/>
            <w:vAlign w:val="center"/>
          </w:tcPr>
          <w:p w14:paraId="508505F4">
            <w:pPr>
              <w:rPr>
                <w:rFonts w:ascii="Times New Roman" w:hAnsi="Times New Roman" w:eastAsia="宋体" w:cs="Times New Roman"/>
                <w:szCs w:val="21"/>
              </w:rPr>
            </w:pPr>
            <w:r>
              <w:rPr>
                <w:rFonts w:hint="eastAsia" w:ascii="Times New Roman" w:hAnsi="Times New Roman" w:eastAsia="宋体" w:cs="Times New Roman"/>
                <w:szCs w:val="21"/>
              </w:rPr>
              <w:t>在教学过程中，提问每位同学，根据回答问题情况给出相应分数，同时课堂组织小组讨论，根据每组同学表现给分，再</w:t>
            </w:r>
            <w:r>
              <w:rPr>
                <w:rFonts w:ascii="Times New Roman" w:hAnsi="Times New Roman" w:eastAsia="宋体" w:cs="Times New Roman"/>
                <w:szCs w:val="21"/>
              </w:rPr>
              <w:t>结合平时</w:t>
            </w:r>
            <w:r>
              <w:rPr>
                <w:rFonts w:hint="eastAsia" w:ascii="Times New Roman" w:hAnsi="Times New Roman" w:eastAsia="宋体" w:cs="Times New Roman"/>
                <w:szCs w:val="21"/>
              </w:rPr>
              <w:t>考勤</w:t>
            </w:r>
            <w:r>
              <w:rPr>
                <w:rFonts w:ascii="Times New Roman" w:hAnsi="Times New Roman" w:eastAsia="宋体" w:cs="Times New Roman"/>
                <w:szCs w:val="21"/>
              </w:rPr>
              <w:t>，最后按</w:t>
            </w:r>
            <w:r>
              <w:rPr>
                <w:rFonts w:hint="eastAsia" w:ascii="Times New Roman" w:hAnsi="Times New Roman" w:eastAsia="宋体" w:cs="Times New Roman"/>
                <w:szCs w:val="21"/>
              </w:rPr>
              <w:t>2</w:t>
            </w:r>
            <w:r>
              <w:rPr>
                <w:rFonts w:ascii="Times New Roman" w:hAnsi="Times New Roman" w:eastAsia="宋体" w:cs="Times New Roman"/>
                <w:szCs w:val="21"/>
              </w:rPr>
              <w:t>0%计入课程总成绩。</w:t>
            </w:r>
          </w:p>
        </w:tc>
        <w:tc>
          <w:tcPr>
            <w:tcW w:w="824" w:type="dxa"/>
            <w:vAlign w:val="center"/>
          </w:tcPr>
          <w:p w14:paraId="1A424A18">
            <w:pPr>
              <w:rPr>
                <w:rFonts w:ascii="Times New Roman" w:hAnsi="Times New Roman" w:eastAsia="宋体" w:cs="Times New Roman"/>
                <w:szCs w:val="21"/>
              </w:rPr>
            </w:pPr>
            <w:r>
              <w:rPr>
                <w:rFonts w:hint="eastAsia" w:ascii="Times New Roman" w:hAnsi="Times New Roman" w:eastAsia="宋体" w:cs="Times New Roman"/>
              </w:rPr>
              <w:t>2</w:t>
            </w:r>
            <w:r>
              <w:rPr>
                <w:rFonts w:ascii="Times New Roman" w:hAnsi="Times New Roman" w:eastAsia="宋体" w:cs="Times New Roman"/>
              </w:rPr>
              <w:t>0%</w:t>
            </w:r>
          </w:p>
        </w:tc>
      </w:tr>
      <w:tr w14:paraId="3854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19" w:type="dxa"/>
            <w:vAlign w:val="center"/>
          </w:tcPr>
          <w:p w14:paraId="2126B821">
            <w:pPr>
              <w:jc w:val="center"/>
              <w:rPr>
                <w:rFonts w:ascii="Times New Roman" w:hAnsi="Times New Roman" w:eastAsia="宋体" w:cs="Times New Roman"/>
              </w:rPr>
            </w:pPr>
            <w:r>
              <w:rPr>
                <w:rFonts w:ascii="Times New Roman" w:hAnsi="Times New Roman" w:eastAsia="宋体" w:cs="Times New Roman"/>
              </w:rPr>
              <w:t>期末考试</w:t>
            </w:r>
          </w:p>
          <w:p w14:paraId="6572948A">
            <w:pPr>
              <w:jc w:val="center"/>
              <w:rPr>
                <w:rFonts w:ascii="Times New Roman" w:hAnsi="Times New Roman" w:eastAsia="宋体" w:cs="Times New Roman"/>
              </w:rPr>
            </w:pPr>
            <w:r>
              <w:rPr>
                <w:rFonts w:hint="eastAsia" w:ascii="Times New Roman" w:hAnsi="Times New Roman" w:eastAsia="宋体" w:cs="Times New Roman"/>
              </w:rPr>
              <w:t>卷面</w:t>
            </w:r>
            <w:r>
              <w:rPr>
                <w:rFonts w:ascii="Times New Roman" w:hAnsi="Times New Roman" w:eastAsia="宋体" w:cs="Times New Roman"/>
              </w:rPr>
              <w:t>成绩</w:t>
            </w:r>
          </w:p>
        </w:tc>
        <w:tc>
          <w:tcPr>
            <w:tcW w:w="5701" w:type="dxa"/>
            <w:vAlign w:val="center"/>
          </w:tcPr>
          <w:p w14:paraId="77B96811">
            <w:pPr>
              <w:rPr>
                <w:rFonts w:ascii="Times New Roman" w:hAnsi="Times New Roman" w:eastAsia="宋体" w:cs="Times New Roman"/>
                <w:color w:val="000000"/>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名词解释</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等，以卷面成绩的60%计入课程总成绩。</w:t>
            </w:r>
          </w:p>
        </w:tc>
        <w:tc>
          <w:tcPr>
            <w:tcW w:w="824" w:type="dxa"/>
            <w:vAlign w:val="center"/>
          </w:tcPr>
          <w:p w14:paraId="1EDA50A2">
            <w:pPr>
              <w:rPr>
                <w:rFonts w:ascii="Times New Roman" w:hAnsi="Times New Roman" w:eastAsia="宋体" w:cs="Times New Roman"/>
                <w:color w:val="000000"/>
                <w:szCs w:val="21"/>
              </w:rPr>
            </w:pPr>
            <w:r>
              <w:rPr>
                <w:rFonts w:ascii="Times New Roman" w:hAnsi="Times New Roman" w:eastAsia="宋体" w:cs="Times New Roman"/>
              </w:rPr>
              <w:t>60%</w:t>
            </w:r>
          </w:p>
        </w:tc>
      </w:tr>
      <w:tr w14:paraId="2109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419" w:type="dxa"/>
            <w:vAlign w:val="center"/>
          </w:tcPr>
          <w:p w14:paraId="0F2D9B60">
            <w:pPr>
              <w:jc w:val="center"/>
              <w:rPr>
                <w:rFonts w:ascii="Times New Roman" w:hAnsi="Times New Roman" w:eastAsia="宋体" w:cs="Times New Roman"/>
                <w:b/>
                <w:bCs/>
              </w:rPr>
            </w:pPr>
            <w:r>
              <w:rPr>
                <w:rFonts w:hint="eastAsia" w:ascii="Times New Roman" w:hAnsi="Times New Roman" w:eastAsia="宋体" w:cs="Times New Roman"/>
                <w:b/>
                <w:bCs/>
              </w:rPr>
              <w:t>合计</w:t>
            </w:r>
          </w:p>
        </w:tc>
        <w:tc>
          <w:tcPr>
            <w:tcW w:w="5701" w:type="dxa"/>
            <w:vAlign w:val="center"/>
          </w:tcPr>
          <w:p w14:paraId="63AE693F">
            <w:pPr>
              <w:rPr>
                <w:rFonts w:ascii="Times New Roman" w:hAnsi="Times New Roman" w:eastAsia="宋体" w:cs="Times New Roman"/>
                <w:color w:val="000000"/>
                <w:szCs w:val="21"/>
              </w:rPr>
            </w:pPr>
          </w:p>
        </w:tc>
        <w:tc>
          <w:tcPr>
            <w:tcW w:w="824" w:type="dxa"/>
            <w:vAlign w:val="center"/>
          </w:tcPr>
          <w:p w14:paraId="350878A5">
            <w:pPr>
              <w:rPr>
                <w:rFonts w:ascii="Times New Roman" w:hAnsi="Times New Roman" w:eastAsia="宋体" w:cs="Times New Roman"/>
              </w:rPr>
            </w:pPr>
            <w:r>
              <w:rPr>
                <w:rFonts w:hint="eastAsia" w:ascii="Times New Roman" w:hAnsi="Times New Roman" w:eastAsia="宋体" w:cs="Times New Roman"/>
              </w:rPr>
              <w:t>100%</w:t>
            </w:r>
          </w:p>
        </w:tc>
      </w:tr>
    </w:tbl>
    <w:p w14:paraId="7471D0E6">
      <w:pPr>
        <w:jc w:val="center"/>
        <w:rPr>
          <w:rFonts w:ascii="Times New Roman" w:hAnsi="Times New Roman" w:eastAsia="宋体" w:cs="Times New Roman"/>
          <w:b/>
          <w:bCs/>
          <w:szCs w:val="21"/>
        </w:rPr>
      </w:pPr>
    </w:p>
    <w:p w14:paraId="4D68025D">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2A2F7889">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A2FF5EF">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54"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54" DrawAspect="Content" ObjectID="_1468075754" r:id="rId39">
            <o:LockedField>false</o:LockedField>
          </o:OLEObject>
        </w:object>
      </w:r>
    </w:p>
    <w:p w14:paraId="1CFACDAF">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5CB16FCA">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1E1A8196">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9E7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79EA0BDD">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2D61C3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0B05386F">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6252B49E">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4944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309FFE1">
            <w:pPr>
              <w:spacing w:line="276" w:lineRule="auto"/>
              <w:jc w:val="left"/>
              <w:rPr>
                <w:rFonts w:hint="eastAsia" w:ascii="宋体" w:hAnsi="宋体" w:eastAsia="宋体" w:cs="宋体"/>
                <w:szCs w:val="21"/>
              </w:rPr>
            </w:pPr>
            <w:r>
              <w:rPr>
                <w:rFonts w:hint="eastAsia" w:ascii="宋体" w:hAnsi="宋体" w:eastAsia="宋体" w:cs="宋体"/>
                <w:szCs w:val="21"/>
              </w:rPr>
              <w:t>小学校本课程发现</w:t>
            </w:r>
          </w:p>
        </w:tc>
        <w:tc>
          <w:tcPr>
            <w:tcW w:w="3407" w:type="dxa"/>
            <w:vAlign w:val="center"/>
          </w:tcPr>
          <w:p w14:paraId="61AA4B0E">
            <w:pPr>
              <w:spacing w:line="276" w:lineRule="auto"/>
              <w:jc w:val="left"/>
              <w:rPr>
                <w:rFonts w:hint="eastAsia" w:ascii="宋体" w:hAnsi="宋体" w:eastAsia="宋体" w:cs="宋体"/>
                <w:szCs w:val="21"/>
              </w:rPr>
            </w:pPr>
            <w:r>
              <w:rPr>
                <w:rFonts w:hint="eastAsia" w:ascii="宋体" w:hAnsi="宋体" w:eastAsia="宋体" w:cs="宋体"/>
                <w:szCs w:val="21"/>
              </w:rPr>
              <w:t>借助教育见习之机或日常观察，了解家乡所在地区的小学的校本课程</w:t>
            </w:r>
          </w:p>
        </w:tc>
        <w:tc>
          <w:tcPr>
            <w:tcW w:w="740" w:type="dxa"/>
            <w:vAlign w:val="center"/>
          </w:tcPr>
          <w:p w14:paraId="5D0E3CB7">
            <w:pPr>
              <w:spacing w:line="276" w:lineRule="auto"/>
              <w:jc w:val="center"/>
              <w:rPr>
                <w:rFonts w:hint="eastAsia" w:ascii="宋体" w:hAnsi="宋体" w:eastAsia="宋体" w:cs="宋体"/>
                <w:szCs w:val="21"/>
              </w:rPr>
            </w:pPr>
            <w:r>
              <w:rPr>
                <w:rFonts w:hint="eastAsia" w:ascii="宋体" w:hAnsi="宋体" w:eastAsia="宋体" w:cs="宋体"/>
                <w:szCs w:val="21"/>
              </w:rPr>
              <w:t>调查报告</w:t>
            </w:r>
          </w:p>
        </w:tc>
        <w:tc>
          <w:tcPr>
            <w:tcW w:w="3160" w:type="dxa"/>
            <w:vAlign w:val="center"/>
          </w:tcPr>
          <w:p w14:paraId="063C1027">
            <w:pPr>
              <w:spacing w:line="276" w:lineRule="auto"/>
              <w:jc w:val="left"/>
              <w:rPr>
                <w:rFonts w:hint="eastAsia" w:ascii="宋体" w:hAnsi="宋体" w:eastAsia="宋体" w:cs="宋体"/>
                <w:szCs w:val="21"/>
              </w:rPr>
            </w:pPr>
            <w:r>
              <w:rPr>
                <w:rFonts w:hint="eastAsia" w:ascii="宋体" w:hAnsi="宋体" w:eastAsia="宋体" w:cs="宋体"/>
                <w:szCs w:val="21"/>
              </w:rPr>
              <w:t>关心关注本土本地的课程改革的新要求、新进展</w:t>
            </w:r>
          </w:p>
        </w:tc>
      </w:tr>
      <w:tr w14:paraId="01D9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5BB97A6D">
            <w:pPr>
              <w:spacing w:line="276" w:lineRule="auto"/>
              <w:jc w:val="left"/>
              <w:rPr>
                <w:rFonts w:hint="eastAsia" w:ascii="宋体" w:hAnsi="宋体" w:eastAsia="宋体" w:cs="宋体"/>
                <w:szCs w:val="21"/>
              </w:rPr>
            </w:pPr>
            <w:r>
              <w:rPr>
                <w:rFonts w:hint="eastAsia" w:ascii="宋体" w:hAnsi="宋体" w:eastAsia="宋体" w:cs="宋体"/>
                <w:szCs w:val="21"/>
              </w:rPr>
              <w:t>教师的校本课程开发个案</w:t>
            </w:r>
          </w:p>
        </w:tc>
        <w:tc>
          <w:tcPr>
            <w:tcW w:w="3407" w:type="dxa"/>
            <w:vAlign w:val="center"/>
          </w:tcPr>
          <w:p w14:paraId="759A9152">
            <w:pPr>
              <w:spacing w:line="276" w:lineRule="auto"/>
              <w:jc w:val="left"/>
              <w:rPr>
                <w:rFonts w:hint="eastAsia" w:ascii="宋体" w:hAnsi="宋体" w:eastAsia="宋体" w:cs="宋体"/>
                <w:szCs w:val="21"/>
              </w:rPr>
            </w:pPr>
            <w:r>
              <w:rPr>
                <w:rFonts w:hint="eastAsia" w:ascii="宋体" w:hAnsi="宋体" w:eastAsia="宋体" w:cs="宋体"/>
                <w:szCs w:val="21"/>
              </w:rPr>
              <w:t>观察记录小学学科教师的校本课程理解及开发情况</w:t>
            </w:r>
          </w:p>
        </w:tc>
        <w:tc>
          <w:tcPr>
            <w:tcW w:w="740" w:type="dxa"/>
            <w:vAlign w:val="center"/>
          </w:tcPr>
          <w:p w14:paraId="45C5DBF1">
            <w:pPr>
              <w:spacing w:line="276" w:lineRule="auto"/>
              <w:jc w:val="center"/>
              <w:rPr>
                <w:rFonts w:hint="eastAsia" w:ascii="宋体" w:hAnsi="宋体" w:eastAsia="宋体" w:cs="宋体"/>
                <w:szCs w:val="21"/>
              </w:rPr>
            </w:pPr>
            <w:r>
              <w:rPr>
                <w:rFonts w:hint="eastAsia" w:ascii="宋体" w:hAnsi="宋体" w:eastAsia="宋体" w:cs="宋体"/>
                <w:szCs w:val="21"/>
              </w:rPr>
              <w:t>观察记录</w:t>
            </w:r>
          </w:p>
        </w:tc>
        <w:tc>
          <w:tcPr>
            <w:tcW w:w="3160" w:type="dxa"/>
            <w:vAlign w:val="center"/>
          </w:tcPr>
          <w:p w14:paraId="52938EC8">
            <w:pPr>
              <w:spacing w:line="276" w:lineRule="auto"/>
              <w:jc w:val="left"/>
              <w:rPr>
                <w:rFonts w:hint="eastAsia" w:ascii="宋体" w:hAnsi="宋体" w:eastAsia="宋体" w:cs="宋体"/>
                <w:szCs w:val="21"/>
              </w:rPr>
            </w:pPr>
            <w:r>
              <w:rPr>
                <w:rFonts w:hint="eastAsia" w:ascii="宋体" w:hAnsi="宋体" w:eastAsia="宋体" w:cs="宋体"/>
                <w:szCs w:val="21"/>
              </w:rPr>
              <w:t>唤醒课程开发及课程领导意识，通过实际行动积极践行新课改与新课标。</w:t>
            </w:r>
          </w:p>
        </w:tc>
      </w:tr>
    </w:tbl>
    <w:p w14:paraId="0D4B3926">
      <w:pPr>
        <w:spacing w:line="360" w:lineRule="auto"/>
        <w:ind w:firstLine="551" w:firstLineChars="196"/>
        <w:jc w:val="left"/>
        <w:rPr>
          <w:rFonts w:hint="eastAsia" w:ascii="宋体" w:hAnsi="宋体" w:eastAsia="宋体" w:cs="Times New Roman"/>
          <w:b/>
          <w:color w:val="000000"/>
          <w:sz w:val="28"/>
          <w:szCs w:val="28"/>
        </w:rPr>
      </w:pPr>
    </w:p>
    <w:p w14:paraId="19DC1245">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2AB592A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12C8316E">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本课程根据学生作业、课堂讨论、平时考核情况和学生、教学督导等</w:t>
      </w:r>
      <w:r>
        <w:rPr>
          <w:rFonts w:hint="eastAsia" w:ascii="Times New Roman" w:hAnsi="Times New Roman" w:eastAsia="宋体" w:cs="Times New Roman"/>
          <w:sz w:val="24"/>
        </w:rPr>
        <w:t>的</w:t>
      </w:r>
      <w:r>
        <w:rPr>
          <w:rFonts w:ascii="Times New Roman" w:hAnsi="Times New Roman" w:eastAsia="宋体" w:cs="Times New Roman"/>
          <w:sz w:val="24"/>
        </w:rPr>
        <w:t>反馈，及时对教学中</w:t>
      </w:r>
      <w:r>
        <w:rPr>
          <w:rFonts w:hint="eastAsia" w:ascii="Times New Roman" w:hAnsi="Times New Roman" w:eastAsia="宋体" w:cs="Times New Roman"/>
          <w:sz w:val="24"/>
        </w:rPr>
        <w:t>的</w:t>
      </w:r>
      <w:r>
        <w:rPr>
          <w:rFonts w:ascii="Times New Roman" w:hAnsi="Times New Roman" w:eastAsia="宋体" w:cs="Times New Roman"/>
          <w:sz w:val="24"/>
        </w:rPr>
        <w:t>不足之处进行改进，并在下一轮课程教学中</w:t>
      </w:r>
      <w:r>
        <w:rPr>
          <w:rFonts w:hint="eastAsia" w:ascii="Times New Roman" w:hAnsi="Times New Roman" w:eastAsia="宋体" w:cs="Times New Roman"/>
          <w:sz w:val="24"/>
        </w:rPr>
        <w:t>整改完善</w:t>
      </w:r>
      <w:r>
        <w:rPr>
          <w:rFonts w:ascii="Times New Roman" w:hAnsi="Times New Roman" w:eastAsia="宋体" w:cs="Times New Roman"/>
          <w:sz w:val="24"/>
        </w:rPr>
        <w:t>，确保相应毕业要求指标点达成。</w:t>
      </w:r>
    </w:p>
    <w:p w14:paraId="251D047E">
      <w:pPr>
        <w:spacing w:line="360" w:lineRule="auto"/>
        <w:jc w:val="left"/>
        <w:rPr>
          <w:rFonts w:hint="eastAsia" w:ascii="宋体" w:hAnsi="宋体" w:eastAsia="宋体" w:cs="Times New Roman"/>
          <w:b/>
          <w:szCs w:val="21"/>
        </w:rPr>
      </w:pPr>
      <w:r>
        <w:rPr>
          <w:rFonts w:hint="eastAsia" w:ascii="宋体" w:hAnsi="宋体" w:eastAsia="宋体" w:cs="Times New Roman"/>
          <w:b/>
          <w:szCs w:val="21"/>
        </w:rPr>
        <w:t>（二）建议教材</w:t>
      </w:r>
    </w:p>
    <w:p w14:paraId="65422874">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高慎英，《小学</w:t>
      </w:r>
      <w:bookmarkStart w:id="177" w:name="_Hlk184559674"/>
      <w:r>
        <w:rPr>
          <w:rFonts w:hint="eastAsia" w:ascii="宋体" w:hAnsi="宋体" w:eastAsia="宋体" w:cs="Times New Roman"/>
          <w:bCs/>
          <w:szCs w:val="21"/>
        </w:rPr>
        <w:t>校本课程开发</w:t>
      </w:r>
      <w:bookmarkEnd w:id="177"/>
      <w:r>
        <w:rPr>
          <w:rFonts w:hint="eastAsia" w:ascii="宋体" w:hAnsi="宋体" w:eastAsia="宋体" w:cs="Times New Roman"/>
          <w:bCs/>
          <w:szCs w:val="21"/>
        </w:rPr>
        <w:t>》，高等教育出版社，2017.6.</w:t>
      </w:r>
    </w:p>
    <w:p w14:paraId="3616E80F">
      <w:pPr>
        <w:spacing w:line="360" w:lineRule="auto"/>
        <w:jc w:val="left"/>
        <w:rPr>
          <w:rFonts w:hint="eastAsia" w:ascii="宋体" w:hAnsi="宋体" w:eastAsia="宋体" w:cs="Times New Roman"/>
          <w:b/>
          <w:szCs w:val="21"/>
        </w:rPr>
      </w:pPr>
      <w:r>
        <w:rPr>
          <w:rFonts w:hint="eastAsia" w:ascii="宋体" w:hAnsi="宋体" w:eastAsia="宋体" w:cs="Times New Roman"/>
          <w:b/>
          <w:szCs w:val="21"/>
        </w:rPr>
        <w:t>（三）参考书目</w:t>
      </w:r>
    </w:p>
    <w:p w14:paraId="27D157A0">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1.罗生全、艾兴，中小学校本课程开发，西南大学出版社，2023.</w:t>
      </w:r>
    </w:p>
    <w:p w14:paraId="251B563D">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2.李臣之，校本课程开发，北京师范大学出版社，2015.8.</w:t>
      </w:r>
    </w:p>
    <w:p w14:paraId="24C83615">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3.张华著，《课程与教学论》，上海教育出版社，2014.</w:t>
      </w:r>
    </w:p>
    <w:p w14:paraId="2FCF87E4">
      <w:pPr>
        <w:ind w:firstLine="420" w:firstLineChars="200"/>
        <w:rPr>
          <w:rFonts w:hint="eastAsia" w:ascii="宋体" w:hAnsi="宋体" w:eastAsia="宋体"/>
          <w:szCs w:val="21"/>
        </w:rPr>
      </w:pPr>
      <w:r>
        <w:rPr>
          <w:rFonts w:hint="eastAsia" w:ascii="宋体" w:hAnsi="宋体" w:eastAsia="宋体"/>
          <w:szCs w:val="21"/>
        </w:rPr>
        <w:t>4.</w:t>
      </w:r>
      <w:r>
        <w:rPr>
          <w:rFonts w:ascii="宋体" w:hAnsi="宋体" w:eastAsia="宋体"/>
          <w:szCs w:val="21"/>
        </w:rPr>
        <w:t>项家庆</w:t>
      </w:r>
      <w:r>
        <w:rPr>
          <w:rFonts w:hint="eastAsia" w:ascii="宋体" w:hAnsi="宋体" w:eastAsia="宋体"/>
          <w:szCs w:val="21"/>
        </w:rPr>
        <w:t>，</w:t>
      </w:r>
      <w:r>
        <w:rPr>
          <w:rFonts w:ascii="宋体" w:hAnsi="宋体" w:eastAsia="宋体"/>
          <w:szCs w:val="21"/>
        </w:rPr>
        <w:t>教你开发校本课程</w:t>
      </w:r>
      <w:r>
        <w:rPr>
          <w:rFonts w:hint="eastAsia" w:ascii="宋体" w:hAnsi="宋体" w:eastAsia="宋体"/>
          <w:szCs w:val="21"/>
        </w:rPr>
        <w:t>，</w:t>
      </w:r>
      <w:r>
        <w:rPr>
          <w:rFonts w:ascii="宋体" w:hAnsi="宋体" w:eastAsia="宋体"/>
          <w:szCs w:val="21"/>
        </w:rPr>
        <w:t>世界图书出版广东有限公司</w:t>
      </w:r>
      <w:r>
        <w:rPr>
          <w:rFonts w:hint="eastAsia" w:ascii="宋体" w:hAnsi="宋体" w:eastAsia="宋体"/>
          <w:szCs w:val="21"/>
        </w:rPr>
        <w:t>，</w:t>
      </w:r>
      <w:r>
        <w:rPr>
          <w:rFonts w:ascii="宋体" w:hAnsi="宋体" w:eastAsia="宋体"/>
          <w:szCs w:val="21"/>
        </w:rPr>
        <w:t>2012</w:t>
      </w:r>
      <w:r>
        <w:rPr>
          <w:rFonts w:hint="eastAsia" w:ascii="宋体" w:hAnsi="宋体" w:eastAsia="宋体"/>
          <w:szCs w:val="21"/>
        </w:rPr>
        <w:t>.</w:t>
      </w:r>
    </w:p>
    <w:p w14:paraId="479CFB83">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5.钟启泉主编，《新课程的理念与创新——师范生读本》（第二版），高等教育出版社，2008.</w:t>
      </w:r>
    </w:p>
    <w:p w14:paraId="6C69A794">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6.崔允漷，《校本课程开发：课程故事》，华东师范大学出版社，2007.</w:t>
      </w:r>
    </w:p>
    <w:p w14:paraId="2C4ED48C">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7.施良方著，《课程理论》，教育科学出版社，1996.</w:t>
      </w:r>
    </w:p>
    <w:p w14:paraId="673CDB65">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8.吴刚平著，《校本课程开发》，四川教育出版社，2002.</w:t>
      </w:r>
    </w:p>
    <w:p w14:paraId="24B9980C">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9.[美]泰勒著，《课程与教学的基本原理》，中国轻工业出版社，2008.</w:t>
      </w:r>
    </w:p>
    <w:p w14:paraId="7F0ABC7A">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10.中小学校校本课程资源开发研究与实验课题组编著,《校本课程资源开发指南》，人民教育出版社，2004</w:t>
      </w:r>
      <w:r>
        <w:rPr>
          <w:rFonts w:ascii="宋体" w:hAnsi="宋体" w:eastAsia="宋体" w:cs="Times New Roman"/>
          <w:bCs/>
          <w:szCs w:val="21"/>
        </w:rPr>
        <w:t> </w:t>
      </w:r>
    </w:p>
    <w:p w14:paraId="59ED9665">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11.王一军</w:t>
      </w:r>
      <w:r>
        <w:rPr>
          <w:rFonts w:ascii="宋体" w:hAnsi="宋体" w:eastAsia="宋体" w:cs="Times New Roman"/>
          <w:bCs/>
          <w:szCs w:val="21"/>
        </w:rPr>
        <w:t> 吕林海著</w:t>
      </w:r>
      <w:r>
        <w:rPr>
          <w:rFonts w:hint="eastAsia" w:ascii="宋体" w:hAnsi="宋体" w:eastAsia="宋体" w:cs="Times New Roman"/>
          <w:bCs/>
          <w:szCs w:val="21"/>
        </w:rPr>
        <w:t>,《校本课程开发：小学案例》,华东师范大学出版社，2009.</w:t>
      </w:r>
    </w:p>
    <w:p w14:paraId="0AAF871F">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12，本书编写组,</w:t>
      </w:r>
      <w:r>
        <w:rPr>
          <w:rFonts w:ascii="宋体" w:hAnsi="宋体" w:eastAsia="宋体" w:cs="Times New Roman"/>
          <w:bCs/>
          <w:szCs w:val="21"/>
        </w:rPr>
        <w:t>《新课改校本研究与课程新设计</w:t>
      </w:r>
      <w:r>
        <w:rPr>
          <w:rFonts w:hint="eastAsia" w:ascii="宋体" w:hAnsi="宋体" w:eastAsia="宋体" w:cs="Times New Roman"/>
          <w:bCs/>
          <w:szCs w:val="21"/>
        </w:rPr>
        <w:t>：校本课程开发案例</w:t>
      </w:r>
      <w:r>
        <w:rPr>
          <w:rFonts w:ascii="宋体" w:hAnsi="宋体" w:eastAsia="宋体" w:cs="Times New Roman"/>
          <w:bCs/>
          <w:szCs w:val="21"/>
        </w:rPr>
        <w:t>》</w:t>
      </w:r>
      <w:r>
        <w:rPr>
          <w:rFonts w:hint="eastAsia" w:ascii="宋体" w:hAnsi="宋体" w:eastAsia="宋体" w:cs="Times New Roman"/>
          <w:bCs/>
          <w:szCs w:val="21"/>
        </w:rPr>
        <w:t>，</w:t>
      </w:r>
      <w:r>
        <w:rPr>
          <w:rFonts w:ascii="宋体" w:hAnsi="宋体" w:eastAsia="宋体" w:cs="Times New Roman"/>
          <w:bCs/>
          <w:szCs w:val="21"/>
        </w:rPr>
        <w:t>人民日报出版社</w:t>
      </w:r>
      <w:r>
        <w:rPr>
          <w:rFonts w:hint="eastAsia" w:ascii="宋体" w:hAnsi="宋体" w:eastAsia="宋体" w:cs="Times New Roman"/>
          <w:bCs/>
          <w:szCs w:val="21"/>
        </w:rPr>
        <w:t>，2004.</w:t>
      </w:r>
    </w:p>
    <w:p w14:paraId="0ADF6F5B">
      <w:pPr>
        <w:rPr>
          <w:rFonts w:hint="eastAsia" w:ascii="宋体" w:hAnsi="宋体" w:eastAsia="宋体"/>
          <w:sz w:val="24"/>
        </w:rPr>
      </w:pPr>
    </w:p>
    <w:p w14:paraId="38BFA74A">
      <w:pPr>
        <w:rPr>
          <w:rFonts w:hint="eastAsia" w:ascii="宋体" w:hAnsi="宋体" w:eastAsia="宋体"/>
          <w:sz w:val="24"/>
        </w:rPr>
      </w:pPr>
    </w:p>
    <w:p w14:paraId="2B818253">
      <w:pPr>
        <w:rPr>
          <w:rFonts w:hint="eastAsia" w:ascii="宋体" w:hAnsi="宋体" w:eastAsia="宋体"/>
          <w:sz w:val="24"/>
        </w:rPr>
      </w:pPr>
    </w:p>
    <w:p w14:paraId="227165B9">
      <w:pPr>
        <w:rPr>
          <w:rFonts w:hint="eastAsia" w:ascii="宋体" w:hAnsi="宋体" w:eastAsia="宋体"/>
          <w:sz w:val="24"/>
        </w:rPr>
      </w:pPr>
    </w:p>
    <w:p w14:paraId="73582D31">
      <w:pPr>
        <w:rPr>
          <w:rFonts w:hint="eastAsia" w:ascii="宋体" w:hAnsi="宋体" w:eastAsia="宋体"/>
          <w:sz w:val="24"/>
        </w:rPr>
      </w:pPr>
    </w:p>
    <w:p w14:paraId="18CA997A">
      <w:pPr>
        <w:rPr>
          <w:rFonts w:hint="eastAsia" w:ascii="宋体" w:hAnsi="宋体" w:eastAsia="宋体"/>
          <w:sz w:val="24"/>
        </w:rPr>
      </w:pPr>
    </w:p>
    <w:p w14:paraId="2F6EADB8"/>
    <w:p w14:paraId="440B41DD">
      <w:pPr>
        <w:spacing w:line="360" w:lineRule="auto"/>
        <w:ind w:right="1680"/>
        <w:jc w:val="right"/>
        <w:rPr>
          <w:rFonts w:ascii="Times New Roman" w:hAnsi="Times New Roman" w:eastAsia="宋体" w:cs="Times New Roman"/>
          <w:sz w:val="24"/>
        </w:rPr>
      </w:pPr>
      <w:r>
        <w:rPr>
          <w:rFonts w:hint="eastAsia" w:ascii="Times New Roman" w:hAnsi="Times New Roman" w:eastAsia="宋体" w:cs="Times New Roman"/>
          <w:sz w:val="24"/>
        </w:rPr>
        <w:t>执 笔 人：张文娟</w:t>
      </w:r>
      <w:r>
        <w:rPr>
          <w:rFonts w:ascii="Times New Roman" w:hAnsi="Times New Roman" w:eastAsia="宋体" w:cs="Times New Roman"/>
          <w:sz w:val="24"/>
        </w:rPr>
        <w:t xml:space="preserve"> </w:t>
      </w:r>
    </w:p>
    <w:p w14:paraId="7EEA82D7">
      <w:pPr>
        <w:wordWrap w:val="0"/>
        <w:spacing w:line="360" w:lineRule="auto"/>
        <w:ind w:right="1800"/>
        <w:jc w:val="right"/>
        <w:rPr>
          <w:rFonts w:ascii="Times New Roman" w:hAnsi="Times New Roman" w:eastAsia="宋体" w:cs="Times New Roman"/>
          <w:sz w:val="24"/>
        </w:rPr>
      </w:pPr>
      <w:r>
        <w:rPr>
          <w:rFonts w:hint="eastAsia" w:ascii="Times New Roman" w:hAnsi="Times New Roman" w:eastAsia="宋体" w:cs="Times New Roman"/>
          <w:sz w:val="24"/>
        </w:rPr>
        <w:t>审 定 人：王健</w:t>
      </w:r>
    </w:p>
    <w:p w14:paraId="05AA5DDB">
      <w:pPr>
        <w:spacing w:line="360" w:lineRule="auto"/>
        <w:ind w:right="1680"/>
        <w:jc w:val="right"/>
        <w:rPr>
          <w:rFonts w:ascii="Times New Roman" w:hAnsi="Times New Roman" w:eastAsia="宋体" w:cs="Times New Roman"/>
          <w:sz w:val="24"/>
        </w:rPr>
      </w:pPr>
      <w:r>
        <w:rPr>
          <w:rFonts w:hint="eastAsia" w:ascii="Times New Roman" w:hAnsi="Times New Roman" w:eastAsia="宋体" w:cs="Times New Roman"/>
          <w:sz w:val="24"/>
        </w:rPr>
        <w:t>审 批 人：张志欣</w:t>
      </w:r>
    </w:p>
    <w:p w14:paraId="73DF55D3">
      <w:pPr>
        <w:spacing w:line="360" w:lineRule="auto"/>
        <w:ind w:right="480"/>
        <w:jc w:val="center"/>
        <w:rPr>
          <w:rFonts w:ascii="Times New Roman" w:hAnsi="Times New Roman" w:eastAsia="宋体" w:cs="Times New Roman"/>
          <w:sz w:val="24"/>
        </w:rPr>
      </w:pPr>
      <w:r>
        <w:rPr>
          <w:rFonts w:hint="eastAsia" w:ascii="Times New Roman" w:hAnsi="Times New Roman" w:eastAsia="宋体" w:cs="Times New Roman"/>
          <w:sz w:val="24"/>
        </w:rPr>
        <w:t xml:space="preserve">                   批准时间：</w:t>
      </w:r>
      <w:r>
        <w:rPr>
          <w:rFonts w:ascii="Times New Roman" w:hAnsi="Times New Roman" w:eastAsia="宋体" w:cs="Times New Roman"/>
          <w:sz w:val="24"/>
        </w:rPr>
        <w:t xml:space="preserve"> </w:t>
      </w:r>
      <w:r>
        <w:rPr>
          <w:rFonts w:hint="eastAsia" w:ascii="Times New Roman" w:hAnsi="Times New Roman" w:eastAsia="宋体" w:cs="Times New Roman"/>
          <w:sz w:val="24"/>
        </w:rPr>
        <w:t>2024年8月30日</w:t>
      </w:r>
    </w:p>
    <w:p w14:paraId="59EC737E">
      <w:pPr>
        <w:rPr>
          <w:rFonts w:ascii="Times New Roman" w:hAnsi="Times New Roman" w:eastAsia="宋体" w:cs="Times New Roman"/>
          <w:sz w:val="24"/>
        </w:rPr>
      </w:pPr>
      <w:r>
        <w:rPr>
          <w:rFonts w:hint="eastAsia" w:ascii="Times New Roman" w:hAnsi="Times New Roman" w:eastAsia="宋体" w:cs="Times New Roman"/>
          <w:sz w:val="24"/>
        </w:rPr>
        <w:br w:type="page"/>
      </w:r>
    </w:p>
    <w:p w14:paraId="5F177BB8">
      <w:pPr>
        <w:spacing w:line="312" w:lineRule="auto"/>
        <w:jc w:val="center"/>
        <w:outlineLvl w:val="0"/>
        <w:rPr>
          <w:rStyle w:val="29"/>
        </w:rPr>
      </w:pPr>
      <w:bookmarkStart w:id="178" w:name="_Toc88340335"/>
      <w:bookmarkStart w:id="179" w:name="_Toc17535"/>
      <w:bookmarkStart w:id="180" w:name="_Toc6937"/>
      <w:r>
        <w:rPr>
          <w:rStyle w:val="29"/>
          <w:rFonts w:hint="eastAsia"/>
        </w:rPr>
        <w:t>《小学生心理辅导》课程教学大纲</w:t>
      </w:r>
      <w:bookmarkEnd w:id="178"/>
      <w:bookmarkEnd w:id="179"/>
      <w:bookmarkEnd w:id="180"/>
    </w:p>
    <w:p w14:paraId="22F21E9B">
      <w:pPr>
        <w:spacing w:line="312" w:lineRule="auto"/>
        <w:jc w:val="center"/>
        <w:rPr>
          <w:rFonts w:ascii="Times New Roman" w:hAnsi="Times New Roman" w:eastAsia="宋体" w:cs="Times New Roman"/>
          <w:b/>
          <w:bCs/>
          <w:sz w:val="30"/>
        </w:rPr>
      </w:pPr>
      <w:r>
        <w:rPr>
          <w:rFonts w:ascii="Times New Roman" w:hAnsi="Times New Roman" w:eastAsia="宋体" w:cs="Times New Roman"/>
          <w:b/>
          <w:bCs/>
          <w:sz w:val="30"/>
        </w:rPr>
        <w:t>（Psychological counseling for primary school students）</w:t>
      </w:r>
    </w:p>
    <w:p w14:paraId="3D8CF534">
      <w:pPr>
        <w:spacing w:line="312" w:lineRule="auto"/>
        <w:jc w:val="center"/>
        <w:rPr>
          <w:rFonts w:ascii="Calibri" w:hAnsi="Calibri" w:eastAsia="黑体" w:cs="Times New Roman"/>
          <w:bCs/>
          <w:sz w:val="30"/>
        </w:rPr>
      </w:pPr>
    </w:p>
    <w:p w14:paraId="63A79E03">
      <w:pPr>
        <w:spacing w:line="360" w:lineRule="auto"/>
        <w:rPr>
          <w:rFonts w:ascii="Calibri" w:hAnsi="Calibri" w:eastAsia="宋体" w:cs="Times New Roman"/>
          <w:b/>
          <w:sz w:val="28"/>
          <w:szCs w:val="28"/>
        </w:rPr>
      </w:pPr>
      <w:r>
        <w:rPr>
          <w:rFonts w:hint="eastAsia" w:ascii="Calibri" w:hAnsi="Calibri" w:eastAsia="宋体" w:cs="Times New Roman"/>
          <w:b/>
          <w:sz w:val="28"/>
          <w:szCs w:val="28"/>
        </w:rPr>
        <w:t>一、课程概况</w:t>
      </w:r>
    </w:p>
    <w:p w14:paraId="3065B5ED">
      <w:pPr>
        <w:spacing w:line="360" w:lineRule="auto"/>
        <w:rPr>
          <w:rFonts w:ascii="Times New Roman" w:hAnsi="Times New Roman" w:eastAsia="宋体" w:cs="Times New Roman"/>
          <w:b/>
          <w:sz w:val="28"/>
          <w:szCs w:val="28"/>
        </w:rPr>
      </w:pPr>
      <w:r>
        <w:rPr>
          <w:rFonts w:ascii="Times New Roman" w:hAnsi="Times New Roman" w:eastAsia="宋体" w:cs="Times New Roman"/>
          <w:b/>
          <w:bCs/>
          <w:kern w:val="0"/>
          <w:sz w:val="24"/>
        </w:rPr>
        <w:t>课程代码</w:t>
      </w:r>
      <w:r>
        <w:rPr>
          <w:rFonts w:ascii="Times New Roman" w:hAnsi="Times New Roman" w:eastAsia="宋体" w:cs="Times New Roman"/>
          <w:b/>
          <w:kern w:val="0"/>
          <w:sz w:val="24"/>
        </w:rPr>
        <w:t>：</w:t>
      </w:r>
      <w:r>
        <w:rPr>
          <w:rFonts w:ascii="Times New Roman" w:hAnsi="Times New Roman" w:eastAsia="宋体" w:cs="Times New Roman"/>
          <w:bCs/>
          <w:kern w:val="0"/>
          <w:sz w:val="24"/>
        </w:rPr>
        <w:t>2401023</w:t>
      </w:r>
    </w:p>
    <w:p w14:paraId="490120F6">
      <w:pPr>
        <w:spacing w:line="360" w:lineRule="auto"/>
        <w:rPr>
          <w:rFonts w:ascii="Times New Roman" w:hAnsi="Times New Roman" w:eastAsia="宋体" w:cs="Times New Roman"/>
          <w:kern w:val="0"/>
          <w:sz w:val="24"/>
        </w:rPr>
      </w:pPr>
      <w:r>
        <w:rPr>
          <w:rFonts w:ascii="Times New Roman" w:hAnsi="Times New Roman" w:eastAsia="宋体" w:cs="Times New Roman"/>
          <w:b/>
          <w:bCs/>
          <w:kern w:val="0"/>
          <w:sz w:val="24"/>
        </w:rPr>
        <w:t>学    分</w:t>
      </w:r>
      <w:r>
        <w:rPr>
          <w:rFonts w:ascii="Times New Roman" w:hAnsi="Times New Roman" w:eastAsia="宋体" w:cs="Times New Roman"/>
          <w:b/>
          <w:kern w:val="0"/>
          <w:sz w:val="24"/>
        </w:rPr>
        <w:t>：</w:t>
      </w:r>
      <w:r>
        <w:rPr>
          <w:rFonts w:ascii="Times New Roman" w:hAnsi="Times New Roman" w:eastAsia="宋体" w:cs="Times New Roman"/>
          <w:kern w:val="0"/>
          <w:sz w:val="24"/>
        </w:rPr>
        <w:t>2</w:t>
      </w:r>
    </w:p>
    <w:p w14:paraId="4B5A4B5E">
      <w:pPr>
        <w:spacing w:line="360" w:lineRule="auto"/>
        <w:rPr>
          <w:rFonts w:ascii="Times New Roman" w:hAnsi="Times New Roman" w:eastAsia="宋体" w:cs="Times New Roman"/>
          <w:kern w:val="0"/>
          <w:sz w:val="24"/>
        </w:rPr>
      </w:pPr>
      <w:r>
        <w:rPr>
          <w:rFonts w:ascii="Times New Roman" w:hAnsi="Times New Roman" w:eastAsia="宋体" w:cs="Times New Roman"/>
          <w:b/>
          <w:bCs/>
          <w:kern w:val="0"/>
          <w:sz w:val="24"/>
        </w:rPr>
        <w:t>学    时</w:t>
      </w:r>
      <w:r>
        <w:rPr>
          <w:rFonts w:ascii="Times New Roman" w:hAnsi="Times New Roman" w:eastAsia="宋体" w:cs="Times New Roman"/>
          <w:b/>
          <w:kern w:val="0"/>
          <w:sz w:val="24"/>
        </w:rPr>
        <w:t>：</w:t>
      </w:r>
      <w:r>
        <w:rPr>
          <w:rFonts w:ascii="Times New Roman" w:hAnsi="Times New Roman" w:eastAsia="宋体" w:cs="Times New Roman"/>
          <w:kern w:val="0"/>
          <w:sz w:val="24"/>
        </w:rPr>
        <w:t>32（其中：讲授学时24，课内实践学时8）</w:t>
      </w:r>
    </w:p>
    <w:p w14:paraId="620A325C">
      <w:pPr>
        <w:spacing w:line="360" w:lineRule="auto"/>
        <w:rPr>
          <w:rFonts w:ascii="Calibri" w:hAnsi="Calibri" w:eastAsia="宋体" w:cs="Times New Roman"/>
          <w:kern w:val="0"/>
          <w:sz w:val="24"/>
        </w:rPr>
      </w:pPr>
      <w:r>
        <w:rPr>
          <w:rFonts w:hint="eastAsia" w:ascii="Calibri" w:hAnsi="Calibri" w:eastAsia="宋体" w:cs="Times New Roman"/>
          <w:b/>
          <w:bCs/>
          <w:kern w:val="0"/>
          <w:sz w:val="24"/>
        </w:rPr>
        <w:t>适用专业</w:t>
      </w:r>
      <w:r>
        <w:rPr>
          <w:rFonts w:hint="eastAsia" w:ascii="Calibri" w:hAnsi="Calibri" w:eastAsia="宋体" w:cs="Times New Roman"/>
          <w:b/>
          <w:kern w:val="0"/>
          <w:sz w:val="24"/>
        </w:rPr>
        <w:t>：</w:t>
      </w:r>
      <w:r>
        <w:rPr>
          <w:rFonts w:hint="eastAsia" w:ascii="Calibri" w:hAnsi="Calibri" w:eastAsia="宋体" w:cs="Times New Roman"/>
          <w:sz w:val="24"/>
        </w:rPr>
        <w:t>小学教育（文）、小学教育（理）</w:t>
      </w:r>
    </w:p>
    <w:p w14:paraId="3C3ACBC3">
      <w:pPr>
        <w:spacing w:line="360" w:lineRule="auto"/>
      </w:pPr>
      <w:r>
        <w:rPr>
          <w:rFonts w:hint="eastAsia" w:ascii="Calibri" w:hAnsi="Calibri" w:eastAsia="宋体" w:cs="Times New Roman"/>
          <w:b/>
          <w:bCs/>
          <w:kern w:val="0"/>
          <w:sz w:val="24"/>
        </w:rPr>
        <w:t>建议教材</w:t>
      </w:r>
      <w:r>
        <w:rPr>
          <w:rFonts w:hint="eastAsia" w:ascii="Calibri" w:hAnsi="Calibri" w:eastAsia="宋体" w:cs="Times New Roman"/>
          <w:b/>
          <w:kern w:val="0"/>
          <w:sz w:val="24"/>
        </w:rPr>
        <w:t>：</w:t>
      </w:r>
      <w:r>
        <w:rPr>
          <w:rFonts w:hint="eastAsia" w:ascii="Times New Roman" w:hAnsi="Times New Roman" w:eastAsia="宋体" w:cs="Times New Roman"/>
          <w:bCs/>
          <w:kern w:val="0"/>
          <w:sz w:val="24"/>
        </w:rPr>
        <w:t>邹萍</w:t>
      </w:r>
      <w:r>
        <w:rPr>
          <w:rFonts w:ascii="Times New Roman" w:hAnsi="Times New Roman" w:eastAsia="宋体" w:cs="Times New Roman"/>
          <w:bCs/>
          <w:kern w:val="0"/>
          <w:sz w:val="24"/>
        </w:rPr>
        <w:t>著，小学生心理辅导，华东师范大学出版社，</w:t>
      </w:r>
      <w:r>
        <w:rPr>
          <w:rFonts w:hint="eastAsia" w:ascii="Times New Roman" w:hAnsi="Times New Roman" w:eastAsia="宋体" w:cs="Times New Roman"/>
          <w:bCs/>
          <w:kern w:val="0"/>
          <w:sz w:val="24"/>
        </w:rPr>
        <w:t>2014.</w:t>
      </w:r>
    </w:p>
    <w:p w14:paraId="36A7D799">
      <w:pPr>
        <w:spacing w:line="360" w:lineRule="auto"/>
        <w:ind w:firstLine="1200" w:firstLineChars="500"/>
        <w:rPr>
          <w:rFonts w:ascii="Calibri" w:hAnsi="Calibri" w:eastAsia="宋体" w:cs="Times New Roman"/>
          <w:b/>
          <w:kern w:val="0"/>
          <w:sz w:val="24"/>
        </w:rPr>
      </w:pPr>
      <w:r>
        <w:rPr>
          <w:rFonts w:hint="eastAsia" w:ascii="Times New Roman" w:hAnsi="Times New Roman" w:eastAsia="宋体" w:cs="Times New Roman"/>
          <w:bCs/>
          <w:kern w:val="0"/>
          <w:sz w:val="24"/>
        </w:rPr>
        <w:t>彭小虎著，小学生心理辅导，华东师范大学出版社，2012</w:t>
      </w:r>
    </w:p>
    <w:p w14:paraId="6006E7AA">
      <w:pPr>
        <w:spacing w:line="360" w:lineRule="auto"/>
        <w:rPr>
          <w:rFonts w:ascii="Calibri" w:hAnsi="Calibri" w:eastAsia="宋体" w:cs="Times New Roman"/>
          <w:kern w:val="0"/>
          <w:sz w:val="24"/>
        </w:rPr>
      </w:pPr>
      <w:r>
        <w:rPr>
          <w:rFonts w:hint="eastAsia" w:ascii="Calibri" w:hAnsi="Calibri" w:eastAsia="宋体" w:cs="Times New Roman"/>
          <w:b/>
          <w:bCs/>
          <w:kern w:val="0"/>
          <w:sz w:val="24"/>
        </w:rPr>
        <w:t>课程归口：</w:t>
      </w:r>
      <w:r>
        <w:rPr>
          <w:rFonts w:hint="eastAsia" w:ascii="宋体" w:hAnsi="宋体" w:eastAsia="宋体" w:cs="Times New Roman"/>
          <w:bCs/>
          <w:kern w:val="0"/>
          <w:sz w:val="24"/>
        </w:rPr>
        <w:t>师范</w:t>
      </w:r>
      <w:r>
        <w:rPr>
          <w:rFonts w:hint="eastAsia" w:ascii="Calibri" w:hAnsi="Calibri" w:eastAsia="宋体" w:cs="Times New Roman"/>
          <w:kern w:val="0"/>
          <w:sz w:val="24"/>
        </w:rPr>
        <w:t>学院</w:t>
      </w:r>
    </w:p>
    <w:p w14:paraId="03F251DB">
      <w:pPr>
        <w:spacing w:line="360" w:lineRule="auto"/>
        <w:rPr>
          <w:rFonts w:ascii="Calibri" w:hAnsi="Calibri" w:eastAsia="宋体" w:cs="Times New Roman"/>
          <w:b/>
          <w:bCs/>
          <w:kern w:val="0"/>
          <w:sz w:val="24"/>
        </w:rPr>
      </w:pPr>
      <w:r>
        <w:rPr>
          <w:rFonts w:hint="eastAsia" w:ascii="Calibri" w:hAnsi="Calibri" w:eastAsia="宋体" w:cs="Times New Roman"/>
          <w:b/>
          <w:bCs/>
          <w:kern w:val="0"/>
          <w:sz w:val="24"/>
        </w:rPr>
        <w:t>一、课程简介</w:t>
      </w:r>
    </w:p>
    <w:p w14:paraId="023B0405">
      <w:pPr>
        <w:spacing w:line="360" w:lineRule="auto"/>
        <w:ind w:firstLine="480" w:firstLineChars="200"/>
        <w:rPr>
          <w:rFonts w:ascii="Calibri" w:hAnsi="Calibri" w:eastAsia="宋体" w:cs="Times New Roman"/>
          <w:kern w:val="0"/>
          <w:sz w:val="24"/>
        </w:rPr>
      </w:pPr>
      <w:r>
        <w:rPr>
          <w:rFonts w:hint="eastAsia" w:ascii="Calibri" w:hAnsi="Calibri" w:eastAsia="宋体" w:cs="Times New Roman"/>
          <w:kern w:val="0"/>
          <w:sz w:val="24"/>
        </w:rPr>
        <w:t>小学生心理辅导是小学教育专业的专业选修课程。课程通过对心理辅导技术的学习，结合小学生发展存在问题的研究，提高本专业学生的心理辅导的能力和操作技能。本课程的任务是掌握小学生心理辅导的基本概念和理论，学会心理辅导的基本方法，树立科学的心理辅导观，熟练运用小学生心理辅导规律和技术对小学生进行心理辅导。提高自己在生活和工作中的适应能力，能解决工作和生活中的各种心理健康问题。</w:t>
      </w:r>
    </w:p>
    <w:p w14:paraId="2D15F5E8">
      <w:pPr>
        <w:spacing w:line="360" w:lineRule="auto"/>
        <w:rPr>
          <w:rFonts w:ascii="Calibri" w:hAnsi="Calibri" w:eastAsia="宋体" w:cs="Times New Roman"/>
          <w:b/>
          <w:sz w:val="28"/>
          <w:szCs w:val="28"/>
        </w:rPr>
      </w:pPr>
      <w:r>
        <w:rPr>
          <w:rFonts w:hint="eastAsia" w:ascii="Calibri" w:hAnsi="Calibri" w:eastAsia="宋体" w:cs="Times New Roman"/>
          <w:b/>
          <w:sz w:val="28"/>
          <w:szCs w:val="28"/>
        </w:rPr>
        <w:t>二、课程目标</w:t>
      </w:r>
    </w:p>
    <w:p w14:paraId="3E8780B4">
      <w:pPr>
        <w:spacing w:line="360" w:lineRule="auto"/>
        <w:rPr>
          <w:rFonts w:ascii="Calibri" w:hAnsi="Calibri" w:eastAsia="宋体" w:cs="Times New Roman"/>
          <w:b/>
          <w:sz w:val="24"/>
        </w:rPr>
      </w:pPr>
      <w:r>
        <w:rPr>
          <w:rFonts w:hint="eastAsia" w:ascii="Calibri" w:hAnsi="Calibri" w:eastAsia="宋体" w:cs="Times New Roman"/>
          <w:b/>
          <w:sz w:val="24"/>
        </w:rPr>
        <w:t>（一）课程具体目标</w:t>
      </w:r>
    </w:p>
    <w:p w14:paraId="6F614571">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目标1.阐释小学生心理辅导的目标和价值，形成以儿童发展为中心的辅导理念，分析小学儿童发展心理的规律，思政目标在于强化教师职业理念中的儿童中心思想，提高师范生的职业信念。</w:t>
      </w:r>
    </w:p>
    <w:p w14:paraId="01B1E7E8">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目标2.尝试运用小学生心理辅导的理论，结合小学生心理辅导的主要技术，学会在小学生班队管理中设计团体辅导活动，思政目标是强化科学发展观，用学科发展的历史及对学科的流派的梳理培养科学精神。</w:t>
      </w:r>
    </w:p>
    <w:p w14:paraId="211A5978">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目标3.学会分析小学生常见的心理问题，运用个别辅导技术设计辅导方案，在课内实践中验证方案的可行性</w:t>
      </w:r>
      <w:r>
        <w:rPr>
          <w:rFonts w:hint="eastAsia" w:ascii="Times New Roman" w:hAnsi="Times New Roman" w:eastAsia="宋体" w:cs="Times New Roman"/>
          <w:sz w:val="24"/>
        </w:rPr>
        <w:t>。</w:t>
      </w:r>
      <w:r>
        <w:rPr>
          <w:rFonts w:ascii="Times New Roman" w:hAnsi="Times New Roman" w:eastAsia="宋体" w:cs="Times New Roman"/>
          <w:sz w:val="24"/>
        </w:rPr>
        <w:t>思政目标是进一步提升教师职业素养，提高因材施教的能力。</w:t>
      </w:r>
    </w:p>
    <w:p w14:paraId="0AE70E31">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目标4.在课内实践过程中选择相应的小组活动形式，练习心理辅导的技能，获得团队活动体验，习得与学生、同伴和家长沟通的技能，思政目标是强调教育的生态观，师范生在活动中提升人际协调的能力和体验。</w:t>
      </w:r>
    </w:p>
    <w:p w14:paraId="5D181DC1">
      <w:pPr>
        <w:spacing w:line="360" w:lineRule="auto"/>
        <w:rPr>
          <w:rFonts w:hint="eastAsia" w:ascii="宋体" w:hAnsi="宋体" w:eastAsia="宋体" w:cs="Times New Roman"/>
          <w:b/>
          <w:color w:val="000000"/>
          <w:sz w:val="24"/>
        </w:rPr>
      </w:pPr>
      <w:r>
        <w:rPr>
          <w:rFonts w:hint="eastAsia" w:ascii="宋体" w:hAnsi="宋体" w:eastAsia="宋体" w:cs="Times New Roman"/>
          <w:b/>
          <w:color w:val="000000"/>
          <w:sz w:val="24"/>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343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13A588C">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w:t>
            </w:r>
          </w:p>
        </w:tc>
        <w:tc>
          <w:tcPr>
            <w:tcW w:w="5688" w:type="dxa"/>
            <w:vAlign w:val="center"/>
          </w:tcPr>
          <w:p w14:paraId="3663A7C2">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毕业要求指标点</w:t>
            </w:r>
          </w:p>
        </w:tc>
        <w:tc>
          <w:tcPr>
            <w:tcW w:w="1191" w:type="dxa"/>
            <w:vAlign w:val="center"/>
          </w:tcPr>
          <w:p w14:paraId="2827A076">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课程目标</w:t>
            </w:r>
          </w:p>
        </w:tc>
      </w:tr>
      <w:tr w14:paraId="7E0D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1566B59">
            <w:pPr>
              <w:spacing w:line="276"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毕业要求5：班级管理</w:t>
            </w:r>
          </w:p>
        </w:tc>
        <w:tc>
          <w:tcPr>
            <w:tcW w:w="5688" w:type="dxa"/>
            <w:vAlign w:val="center"/>
          </w:tcPr>
          <w:p w14:paraId="0B60FA32">
            <w:pPr>
              <w:spacing w:line="276"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指标点5-2：【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191" w:type="dxa"/>
            <w:vAlign w:val="center"/>
          </w:tcPr>
          <w:p w14:paraId="226B00DF">
            <w:pPr>
              <w:spacing w:line="276"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课程目标2、3</w:t>
            </w:r>
          </w:p>
        </w:tc>
      </w:tr>
      <w:tr w14:paraId="456F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8B92EAF">
            <w:pPr>
              <w:spacing w:line="276"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毕业要求6：综合育人</w:t>
            </w:r>
          </w:p>
        </w:tc>
        <w:tc>
          <w:tcPr>
            <w:tcW w:w="5688" w:type="dxa"/>
            <w:vAlign w:val="center"/>
          </w:tcPr>
          <w:p w14:paraId="5340D64D">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指标点6-1：【遵循身心规律】了解不同年龄以及有特殊需要的小学生的身心发展特点和规律、不同年龄小学生学习的特点，掌握小学生良好行为习惯养成的知识。</w:t>
            </w:r>
          </w:p>
          <w:p w14:paraId="796A22EF">
            <w:pPr>
              <w:spacing w:line="276"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指标点6-3：【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77CB184B">
            <w:pPr>
              <w:spacing w:line="276"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课程目标1、4</w:t>
            </w:r>
          </w:p>
        </w:tc>
      </w:tr>
    </w:tbl>
    <w:p w14:paraId="6F95F7A6">
      <w:pPr>
        <w:spacing w:line="360" w:lineRule="auto"/>
        <w:jc w:val="left"/>
        <w:rPr>
          <w:rFonts w:hint="eastAsia" w:ascii="宋体" w:hAnsi="宋体" w:eastAsia="宋体" w:cs="Times New Roman"/>
          <w:b/>
          <w:color w:val="000000"/>
          <w:sz w:val="24"/>
        </w:rPr>
      </w:pPr>
    </w:p>
    <w:p w14:paraId="674A81CE">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66"/>
        <w:gridCol w:w="1068"/>
        <w:gridCol w:w="66"/>
        <w:gridCol w:w="3168"/>
        <w:gridCol w:w="26"/>
        <w:gridCol w:w="1484"/>
        <w:gridCol w:w="76"/>
        <w:gridCol w:w="438"/>
      </w:tblGrid>
      <w:tr w14:paraId="120B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062A842">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w:t>
            </w:r>
          </w:p>
          <w:p w14:paraId="53DDBF72">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单元</w:t>
            </w:r>
          </w:p>
        </w:tc>
        <w:tc>
          <w:tcPr>
            <w:tcW w:w="1701" w:type="dxa"/>
            <w:vAlign w:val="center"/>
          </w:tcPr>
          <w:p w14:paraId="7D065F96">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知识点</w:t>
            </w:r>
          </w:p>
        </w:tc>
        <w:tc>
          <w:tcPr>
            <w:tcW w:w="1134" w:type="dxa"/>
            <w:gridSpan w:val="2"/>
            <w:vAlign w:val="center"/>
          </w:tcPr>
          <w:p w14:paraId="788E0243">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对应</w:t>
            </w:r>
          </w:p>
          <w:p w14:paraId="7AF9BF72">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课程目标</w:t>
            </w:r>
          </w:p>
        </w:tc>
        <w:tc>
          <w:tcPr>
            <w:tcW w:w="3260" w:type="dxa"/>
            <w:gridSpan w:val="3"/>
            <w:vAlign w:val="center"/>
          </w:tcPr>
          <w:p w14:paraId="5A326309">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预期学习成效</w:t>
            </w:r>
          </w:p>
        </w:tc>
        <w:tc>
          <w:tcPr>
            <w:tcW w:w="1560" w:type="dxa"/>
            <w:gridSpan w:val="2"/>
            <w:vAlign w:val="center"/>
          </w:tcPr>
          <w:p w14:paraId="5A0E3C64">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实现环节</w:t>
            </w:r>
          </w:p>
        </w:tc>
        <w:tc>
          <w:tcPr>
            <w:tcW w:w="438" w:type="dxa"/>
            <w:vAlign w:val="center"/>
          </w:tcPr>
          <w:p w14:paraId="6F2FA649">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学时</w:t>
            </w:r>
          </w:p>
        </w:tc>
      </w:tr>
      <w:tr w14:paraId="3007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32A5FB2">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1.小学生心理辅导概述</w:t>
            </w:r>
          </w:p>
        </w:tc>
        <w:tc>
          <w:tcPr>
            <w:tcW w:w="1701" w:type="dxa"/>
            <w:vAlign w:val="center"/>
          </w:tcPr>
          <w:p w14:paraId="1BA61977">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（1）小学生心理辅导的意义</w:t>
            </w:r>
          </w:p>
          <w:p w14:paraId="4E2BAFFD">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（2）小学生心理辅导的内涵</w:t>
            </w:r>
          </w:p>
          <w:p w14:paraId="7D0B5ADE">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（3）小学生心理辅导的目标</w:t>
            </w:r>
          </w:p>
          <w:p w14:paraId="37A9EE4F">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（4）小学生心理辅导的对象与内容</w:t>
            </w:r>
          </w:p>
          <w:p w14:paraId="0D2829B0">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（5）小学生心理辅导的原则</w:t>
            </w:r>
          </w:p>
        </w:tc>
        <w:tc>
          <w:tcPr>
            <w:tcW w:w="1134" w:type="dxa"/>
            <w:gridSpan w:val="2"/>
            <w:vAlign w:val="center"/>
          </w:tcPr>
          <w:p w14:paraId="58D4085F">
            <w:pPr>
              <w:spacing w:line="269"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课程目标1</w:t>
            </w:r>
          </w:p>
        </w:tc>
        <w:tc>
          <w:tcPr>
            <w:tcW w:w="3260" w:type="dxa"/>
            <w:gridSpan w:val="3"/>
            <w:vAlign w:val="center"/>
          </w:tcPr>
          <w:p w14:paraId="595210A2">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（1）了解小学生心理辅导的意义，掌握小学生心理辅导的目标与对象；</w:t>
            </w:r>
          </w:p>
          <w:p w14:paraId="3C54F4D0">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（2）理解小学生心理辅导的原则和内涵，形成正确的小学生心理辅导理念。</w:t>
            </w:r>
          </w:p>
        </w:tc>
        <w:tc>
          <w:tcPr>
            <w:tcW w:w="1560" w:type="dxa"/>
            <w:gridSpan w:val="2"/>
            <w:vAlign w:val="center"/>
          </w:tcPr>
          <w:p w14:paraId="2240A0DD">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1.线上学习</w:t>
            </w:r>
          </w:p>
          <w:p w14:paraId="2467F4D6">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2.多媒体教学3.课堂讨论</w:t>
            </w:r>
          </w:p>
          <w:p w14:paraId="43287236">
            <w:pPr>
              <w:spacing w:line="269" w:lineRule="auto"/>
              <w:jc w:val="left"/>
              <w:rPr>
                <w:rFonts w:hint="eastAsia" w:ascii="宋体" w:hAnsi="宋体" w:eastAsia="宋体" w:cs="Times New Roman"/>
                <w:color w:val="000000"/>
                <w:kern w:val="0"/>
                <w:szCs w:val="21"/>
              </w:rPr>
            </w:pPr>
          </w:p>
        </w:tc>
        <w:tc>
          <w:tcPr>
            <w:tcW w:w="438" w:type="dxa"/>
            <w:vAlign w:val="center"/>
          </w:tcPr>
          <w:p w14:paraId="01B24B80">
            <w:pPr>
              <w:spacing w:line="269"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w:t>
            </w:r>
          </w:p>
        </w:tc>
      </w:tr>
      <w:tr w14:paraId="667C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D18A208">
            <w:pPr>
              <w:spacing w:line="264" w:lineRule="auto"/>
              <w:jc w:val="center"/>
              <w:rPr>
                <w:rFonts w:hint="eastAsia" w:ascii="宋体" w:hAnsi="宋体" w:eastAsia="宋体" w:cs="Times New Roman"/>
                <w:color w:val="000000"/>
                <w:kern w:val="0"/>
                <w:szCs w:val="21"/>
              </w:rPr>
            </w:pPr>
          </w:p>
        </w:tc>
        <w:tc>
          <w:tcPr>
            <w:tcW w:w="8093" w:type="dxa"/>
            <w:gridSpan w:val="9"/>
            <w:vAlign w:val="center"/>
          </w:tcPr>
          <w:p w14:paraId="550CC8B3">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b/>
                <w:color w:val="000000"/>
                <w:kern w:val="0"/>
                <w:szCs w:val="21"/>
              </w:rPr>
              <w:t>课程思政目标：</w:t>
            </w:r>
            <w:r>
              <w:rPr>
                <w:rFonts w:hint="eastAsia" w:ascii="宋体" w:hAnsi="宋体" w:eastAsia="宋体" w:cs="Times New Roman"/>
                <w:color w:val="000000"/>
                <w:kern w:val="0"/>
                <w:szCs w:val="21"/>
              </w:rPr>
              <w:t>建立“以人为本、立德树人”的教育价值观，并融入小学生心理辅导个案中。</w:t>
            </w:r>
          </w:p>
        </w:tc>
      </w:tr>
      <w:tr w14:paraId="0873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A85DDAF">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w:t>
            </w:r>
            <w:r>
              <w:rPr>
                <w:rFonts w:hint="eastAsia" w:ascii="Times New Roman" w:hAnsi="Times New Roman" w:eastAsia="宋体" w:cs="Times New Roman"/>
                <w:kern w:val="0"/>
                <w:szCs w:val="21"/>
              </w:rPr>
              <w:t xml:space="preserve"> </w:t>
            </w:r>
            <w:r>
              <w:rPr>
                <w:rFonts w:hint="eastAsia" w:ascii="宋体" w:hAnsi="宋体" w:eastAsia="宋体" w:cs="Times New Roman"/>
                <w:color w:val="000000"/>
                <w:kern w:val="0"/>
                <w:szCs w:val="21"/>
              </w:rPr>
              <w:t>小学生心理辅导的基本理论</w:t>
            </w:r>
          </w:p>
        </w:tc>
        <w:tc>
          <w:tcPr>
            <w:tcW w:w="1701" w:type="dxa"/>
            <w:vAlign w:val="center"/>
          </w:tcPr>
          <w:p w14:paraId="0C965406">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（1）精神分析理论</w:t>
            </w:r>
          </w:p>
          <w:p w14:paraId="7E222EA9">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（2）行为主义理论</w:t>
            </w:r>
          </w:p>
          <w:p w14:paraId="00650A5A">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（3）理性情绪咨询理论</w:t>
            </w:r>
          </w:p>
          <w:p w14:paraId="3F4AC309">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（4）以人为中心的咨询理论</w:t>
            </w:r>
          </w:p>
          <w:p w14:paraId="32290DC8">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（5）群体动力理论</w:t>
            </w:r>
          </w:p>
        </w:tc>
        <w:tc>
          <w:tcPr>
            <w:tcW w:w="1134" w:type="dxa"/>
            <w:gridSpan w:val="2"/>
            <w:vAlign w:val="center"/>
          </w:tcPr>
          <w:p w14:paraId="6C028DE4">
            <w:pPr>
              <w:spacing w:line="269"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课程目标2、3</w:t>
            </w:r>
          </w:p>
        </w:tc>
        <w:tc>
          <w:tcPr>
            <w:tcW w:w="3260" w:type="dxa"/>
            <w:gridSpan w:val="3"/>
            <w:vAlign w:val="center"/>
          </w:tcPr>
          <w:p w14:paraId="390A54AC">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（1）了解群体动力理论，理解各理论流派在小学生心理辅导中的适用性；</w:t>
            </w:r>
          </w:p>
          <w:p w14:paraId="5C5F133D">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（2）掌握行为主义理论和理性情绪理论，能设计与相关理论相应的小学生心理辅导活动。</w:t>
            </w:r>
          </w:p>
        </w:tc>
        <w:tc>
          <w:tcPr>
            <w:tcW w:w="1560" w:type="dxa"/>
            <w:gridSpan w:val="2"/>
            <w:vAlign w:val="center"/>
          </w:tcPr>
          <w:p w14:paraId="4671F34F">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1.线上学习</w:t>
            </w:r>
          </w:p>
          <w:p w14:paraId="1C9009F9">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2.多媒体教学3.课堂讨论</w:t>
            </w:r>
          </w:p>
          <w:p w14:paraId="5CDB5AFD">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4.课内实践</w:t>
            </w:r>
          </w:p>
        </w:tc>
        <w:tc>
          <w:tcPr>
            <w:tcW w:w="438" w:type="dxa"/>
            <w:vAlign w:val="center"/>
          </w:tcPr>
          <w:p w14:paraId="663E8B54">
            <w:pPr>
              <w:spacing w:line="269"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w:t>
            </w:r>
          </w:p>
        </w:tc>
      </w:tr>
      <w:tr w14:paraId="47A4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344E122">
            <w:pPr>
              <w:spacing w:line="264" w:lineRule="auto"/>
              <w:jc w:val="center"/>
              <w:rPr>
                <w:rFonts w:hint="eastAsia" w:ascii="宋体" w:hAnsi="宋体" w:eastAsia="宋体" w:cs="Times New Roman"/>
                <w:color w:val="000000"/>
                <w:kern w:val="0"/>
                <w:szCs w:val="21"/>
              </w:rPr>
            </w:pPr>
          </w:p>
        </w:tc>
        <w:tc>
          <w:tcPr>
            <w:tcW w:w="8093" w:type="dxa"/>
            <w:gridSpan w:val="9"/>
            <w:vAlign w:val="center"/>
          </w:tcPr>
          <w:p w14:paraId="647DC2BF">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b/>
                <w:color w:val="000000"/>
                <w:kern w:val="0"/>
                <w:szCs w:val="21"/>
              </w:rPr>
              <w:t>课程思政目标：</w:t>
            </w:r>
            <w:r>
              <w:rPr>
                <w:rFonts w:hint="eastAsia" w:ascii="宋体" w:hAnsi="宋体" w:eastAsia="宋体" w:cs="Times New Roman"/>
                <w:color w:val="000000"/>
                <w:kern w:val="0"/>
                <w:szCs w:val="21"/>
              </w:rPr>
              <w:t>以全人的视角分析理论学习对小学生辅导的价值，进而形成正确的学生观、教育观。</w:t>
            </w:r>
          </w:p>
        </w:tc>
      </w:tr>
      <w:tr w14:paraId="59A9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F333CD0">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w:t>
            </w:r>
            <w:r>
              <w:rPr>
                <w:rFonts w:hint="eastAsia" w:ascii="Times New Roman" w:hAnsi="Times New Roman" w:eastAsia="宋体" w:cs="Times New Roman"/>
                <w:kern w:val="0"/>
                <w:szCs w:val="21"/>
              </w:rPr>
              <w:t xml:space="preserve"> </w:t>
            </w:r>
            <w:r>
              <w:rPr>
                <w:rFonts w:hint="eastAsia" w:ascii="宋体" w:hAnsi="宋体" w:eastAsia="宋体" w:cs="Times New Roman"/>
                <w:color w:val="000000"/>
                <w:kern w:val="0"/>
                <w:szCs w:val="21"/>
              </w:rPr>
              <w:t>小学生心理辅导的基本技术</w:t>
            </w:r>
          </w:p>
        </w:tc>
        <w:tc>
          <w:tcPr>
            <w:tcW w:w="1701" w:type="dxa"/>
            <w:vAlign w:val="center"/>
          </w:tcPr>
          <w:p w14:paraId="0BB0B47C">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（1）心理辅导关系建立技术</w:t>
            </w:r>
          </w:p>
          <w:p w14:paraId="1508A003">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（2）晤谈技术</w:t>
            </w:r>
          </w:p>
          <w:p w14:paraId="06EF57F4">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（3）心理评估技术</w:t>
            </w:r>
          </w:p>
        </w:tc>
        <w:tc>
          <w:tcPr>
            <w:tcW w:w="1134" w:type="dxa"/>
            <w:gridSpan w:val="2"/>
            <w:vAlign w:val="center"/>
          </w:tcPr>
          <w:p w14:paraId="270DDC59">
            <w:pPr>
              <w:spacing w:line="269"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课程目标3、4</w:t>
            </w:r>
          </w:p>
        </w:tc>
        <w:tc>
          <w:tcPr>
            <w:tcW w:w="3260" w:type="dxa"/>
            <w:gridSpan w:val="3"/>
            <w:vAlign w:val="center"/>
          </w:tcPr>
          <w:p w14:paraId="59CAF85B">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（1）了解上小学生心理辅导的基本技术的构成，理解心理辅导技术的流程；</w:t>
            </w:r>
          </w:p>
          <w:p w14:paraId="5AA69379">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（2）掌握心理辅导关系的建立、晤谈技术的基本要点，能运用心理评估技术对小学生进行初步的心理评估。</w:t>
            </w:r>
          </w:p>
        </w:tc>
        <w:tc>
          <w:tcPr>
            <w:tcW w:w="1560" w:type="dxa"/>
            <w:gridSpan w:val="2"/>
            <w:vAlign w:val="center"/>
          </w:tcPr>
          <w:p w14:paraId="43746FAF">
            <w:pPr>
              <w:spacing w:line="269"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1.线上学习</w:t>
            </w:r>
          </w:p>
          <w:p w14:paraId="64ED6789">
            <w:pPr>
              <w:spacing w:line="269"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2.多媒体教学3.课堂讨论</w:t>
            </w:r>
          </w:p>
          <w:p w14:paraId="02A9E03E">
            <w:pPr>
              <w:spacing w:line="269"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4.</w:t>
            </w:r>
            <w:r>
              <w:rPr>
                <w:rFonts w:hint="eastAsia" w:ascii="宋体" w:hAnsi="宋体" w:eastAsia="宋体" w:cs="Times New Roman"/>
                <w:color w:val="000000"/>
                <w:kern w:val="0"/>
                <w:szCs w:val="21"/>
              </w:rPr>
              <w:t>课内实践</w:t>
            </w:r>
          </w:p>
        </w:tc>
        <w:tc>
          <w:tcPr>
            <w:tcW w:w="438" w:type="dxa"/>
            <w:vAlign w:val="center"/>
          </w:tcPr>
          <w:p w14:paraId="4A0C6C76">
            <w:pPr>
              <w:spacing w:line="269"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w:t>
            </w:r>
          </w:p>
        </w:tc>
      </w:tr>
      <w:tr w14:paraId="0BF2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00646C6">
            <w:pPr>
              <w:spacing w:line="264" w:lineRule="auto"/>
              <w:jc w:val="center"/>
              <w:rPr>
                <w:rFonts w:hint="eastAsia" w:ascii="宋体" w:hAnsi="宋体" w:eastAsia="宋体" w:cs="Times New Roman"/>
                <w:color w:val="000000"/>
                <w:kern w:val="0"/>
                <w:szCs w:val="21"/>
              </w:rPr>
            </w:pPr>
          </w:p>
        </w:tc>
        <w:tc>
          <w:tcPr>
            <w:tcW w:w="8093" w:type="dxa"/>
            <w:gridSpan w:val="9"/>
            <w:vAlign w:val="center"/>
          </w:tcPr>
          <w:p w14:paraId="6BD60107">
            <w:pPr>
              <w:spacing w:line="269" w:lineRule="auto"/>
              <w:jc w:val="left"/>
              <w:rPr>
                <w:rFonts w:hint="eastAsia" w:ascii="宋体" w:hAnsi="宋体" w:eastAsia="宋体" w:cs="Times New Roman"/>
                <w:color w:val="000000"/>
                <w:kern w:val="0"/>
                <w:szCs w:val="21"/>
              </w:rPr>
            </w:pPr>
            <w:r>
              <w:rPr>
                <w:rFonts w:hint="eastAsia" w:ascii="宋体" w:hAnsi="宋体" w:eastAsia="宋体" w:cs="Times New Roman"/>
                <w:b/>
                <w:color w:val="000000"/>
                <w:kern w:val="0"/>
                <w:szCs w:val="21"/>
              </w:rPr>
              <w:t>课程思政目标：</w:t>
            </w:r>
            <w:r>
              <w:rPr>
                <w:rFonts w:hint="eastAsia" w:ascii="宋体" w:hAnsi="宋体" w:eastAsia="宋体" w:cs="Times New Roman"/>
                <w:color w:val="000000"/>
                <w:kern w:val="0"/>
                <w:szCs w:val="21"/>
              </w:rPr>
              <w:t>了解小学生心理辅导的基本技术和流程，建立“民主、平等”的师生关系，培养德智体美劳全面发展的人。</w:t>
            </w:r>
          </w:p>
        </w:tc>
      </w:tr>
      <w:tr w14:paraId="2BC4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D739A45">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w:t>
            </w:r>
            <w:r>
              <w:rPr>
                <w:rFonts w:hint="eastAsia" w:ascii="Times New Roman" w:hAnsi="Times New Roman" w:eastAsia="宋体" w:cs="Times New Roman"/>
                <w:kern w:val="0"/>
                <w:szCs w:val="21"/>
              </w:rPr>
              <w:t xml:space="preserve"> </w:t>
            </w:r>
            <w:r>
              <w:rPr>
                <w:rFonts w:hint="eastAsia" w:ascii="宋体" w:hAnsi="宋体" w:eastAsia="宋体" w:cs="Times New Roman"/>
                <w:color w:val="000000"/>
                <w:kern w:val="0"/>
                <w:szCs w:val="21"/>
              </w:rPr>
              <w:t>小学生常见的心理问题及其辅导</w:t>
            </w:r>
          </w:p>
        </w:tc>
        <w:tc>
          <w:tcPr>
            <w:tcW w:w="1701" w:type="dxa"/>
            <w:vAlign w:val="center"/>
          </w:tcPr>
          <w:p w14:paraId="06F23A36">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（1）小学生认知心理问题及其辅导</w:t>
            </w:r>
          </w:p>
          <w:p w14:paraId="15AFE7E3">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（2）小学生学习心理问题及其辅导</w:t>
            </w:r>
          </w:p>
          <w:p w14:paraId="185FA0C5">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（3）小学生人际交往心理问题及其辅导</w:t>
            </w:r>
          </w:p>
          <w:p w14:paraId="27A76CFA">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（4）小学生情绪、意志心理问题及其辅导</w:t>
            </w:r>
          </w:p>
        </w:tc>
        <w:tc>
          <w:tcPr>
            <w:tcW w:w="1134" w:type="dxa"/>
            <w:gridSpan w:val="2"/>
            <w:vAlign w:val="center"/>
          </w:tcPr>
          <w:p w14:paraId="5D0C6A44">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课程目标3</w:t>
            </w:r>
          </w:p>
        </w:tc>
        <w:tc>
          <w:tcPr>
            <w:tcW w:w="3260" w:type="dxa"/>
            <w:gridSpan w:val="3"/>
            <w:vAlign w:val="center"/>
          </w:tcPr>
          <w:p w14:paraId="40559C6D">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（1）了解小学生常见的各类心理问题的表现，学会分析影响小学生心理问题的各类因素，并能提出辅导建议；</w:t>
            </w:r>
          </w:p>
          <w:p w14:paraId="2F5EE6C1">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（2）掌握小学生各类心理问题的辅导方法，能设计小学生心理问题辅导的方案并能加以实施。</w:t>
            </w:r>
          </w:p>
        </w:tc>
        <w:tc>
          <w:tcPr>
            <w:tcW w:w="1560" w:type="dxa"/>
            <w:gridSpan w:val="2"/>
            <w:vAlign w:val="center"/>
          </w:tcPr>
          <w:p w14:paraId="66C735D4">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1.线上学习</w:t>
            </w:r>
          </w:p>
          <w:p w14:paraId="0368FD4E">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2.多媒体教学3.课堂讨论</w:t>
            </w:r>
          </w:p>
          <w:p w14:paraId="6DCA5367">
            <w:pPr>
              <w:spacing w:line="276" w:lineRule="auto"/>
              <w:jc w:val="left"/>
              <w:rPr>
                <w:rFonts w:hint="eastAsia" w:ascii="宋体" w:hAnsi="宋体" w:eastAsia="宋体" w:cs="Times New Roman"/>
                <w:color w:val="000000"/>
                <w:kern w:val="0"/>
                <w:szCs w:val="21"/>
              </w:rPr>
            </w:pPr>
          </w:p>
        </w:tc>
        <w:tc>
          <w:tcPr>
            <w:tcW w:w="438" w:type="dxa"/>
            <w:vAlign w:val="center"/>
          </w:tcPr>
          <w:p w14:paraId="05EE8DDC">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w:t>
            </w:r>
          </w:p>
        </w:tc>
      </w:tr>
      <w:tr w14:paraId="012D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8D48D40">
            <w:pPr>
              <w:spacing w:line="276" w:lineRule="auto"/>
              <w:jc w:val="center"/>
              <w:rPr>
                <w:rFonts w:hint="eastAsia" w:ascii="宋体" w:hAnsi="宋体" w:eastAsia="宋体" w:cs="Times New Roman"/>
                <w:color w:val="000000"/>
                <w:kern w:val="0"/>
                <w:szCs w:val="21"/>
              </w:rPr>
            </w:pPr>
          </w:p>
        </w:tc>
        <w:tc>
          <w:tcPr>
            <w:tcW w:w="8093" w:type="dxa"/>
            <w:gridSpan w:val="9"/>
            <w:vAlign w:val="center"/>
          </w:tcPr>
          <w:p w14:paraId="4D3B90C3">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b/>
                <w:color w:val="000000"/>
                <w:kern w:val="0"/>
                <w:szCs w:val="21"/>
              </w:rPr>
              <w:t>课程思政目标：</w:t>
            </w:r>
            <w:r>
              <w:rPr>
                <w:rFonts w:hint="eastAsia" w:ascii="宋体" w:hAnsi="宋体" w:eastAsia="宋体" w:cs="Times New Roman"/>
                <w:color w:val="000000"/>
                <w:kern w:val="0"/>
                <w:szCs w:val="21"/>
              </w:rPr>
              <w:t>通过了解小学生常见的心理问题，培养学生热爱教育事业和学生的情感，增强从事教育事业的责任感和使命感。</w:t>
            </w:r>
          </w:p>
        </w:tc>
      </w:tr>
      <w:tr w14:paraId="6F81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77144E3">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5.</w:t>
            </w:r>
            <w:r>
              <w:rPr>
                <w:rFonts w:hint="eastAsia" w:ascii="Times New Roman" w:hAnsi="Times New Roman" w:eastAsia="宋体" w:cs="Times New Roman"/>
                <w:kern w:val="0"/>
                <w:szCs w:val="21"/>
              </w:rPr>
              <w:t xml:space="preserve"> </w:t>
            </w:r>
            <w:r>
              <w:rPr>
                <w:rFonts w:hint="eastAsia" w:ascii="宋体" w:hAnsi="宋体" w:eastAsia="宋体" w:cs="Times New Roman"/>
                <w:color w:val="000000"/>
                <w:kern w:val="0"/>
                <w:szCs w:val="21"/>
              </w:rPr>
              <w:t>小学生问题行为的甄别与干预</w:t>
            </w:r>
          </w:p>
        </w:tc>
        <w:tc>
          <w:tcPr>
            <w:tcW w:w="1701" w:type="dxa"/>
            <w:vAlign w:val="center"/>
          </w:tcPr>
          <w:p w14:paraId="5F6CA184">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（1）问题行为的概述</w:t>
            </w:r>
          </w:p>
          <w:p w14:paraId="657D1D37">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（2）品行问题的甄别与干预</w:t>
            </w:r>
          </w:p>
          <w:p w14:paraId="0BD6C623">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（3）不良行为习惯的甄别与干预</w:t>
            </w:r>
          </w:p>
          <w:p w14:paraId="497BE98E">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（4）退缩行为的甄别与干预（4）素质教育创新人才培养</w:t>
            </w:r>
          </w:p>
        </w:tc>
        <w:tc>
          <w:tcPr>
            <w:tcW w:w="1134" w:type="dxa"/>
            <w:gridSpan w:val="2"/>
            <w:vAlign w:val="center"/>
          </w:tcPr>
          <w:p w14:paraId="31BBD94F">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课程目标3</w:t>
            </w:r>
          </w:p>
        </w:tc>
        <w:tc>
          <w:tcPr>
            <w:tcW w:w="3260" w:type="dxa"/>
            <w:gridSpan w:val="3"/>
            <w:vAlign w:val="center"/>
          </w:tcPr>
          <w:p w14:paraId="0E8C74AF">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（1）理解问题行为的涵义和分类，掌握各类问题行为的特征；</w:t>
            </w:r>
          </w:p>
          <w:p w14:paraId="3D650DE7">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（2）了解小学生问题各类问题行为的甄别方法，能针对不同的问题行为提出辅导建议。</w:t>
            </w:r>
          </w:p>
        </w:tc>
        <w:tc>
          <w:tcPr>
            <w:tcW w:w="1560" w:type="dxa"/>
            <w:gridSpan w:val="2"/>
            <w:vAlign w:val="center"/>
          </w:tcPr>
          <w:p w14:paraId="68D336D3">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1.线上学习</w:t>
            </w:r>
          </w:p>
          <w:p w14:paraId="09EB29AD">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2.多媒体教学3.课堂讨论</w:t>
            </w:r>
          </w:p>
          <w:p w14:paraId="1DAA9057">
            <w:pPr>
              <w:spacing w:line="276" w:lineRule="auto"/>
              <w:jc w:val="left"/>
              <w:rPr>
                <w:rFonts w:hint="eastAsia" w:ascii="宋体" w:hAnsi="宋体" w:eastAsia="宋体" w:cs="Times New Roman"/>
                <w:color w:val="000000"/>
                <w:kern w:val="0"/>
                <w:szCs w:val="21"/>
              </w:rPr>
            </w:pPr>
          </w:p>
        </w:tc>
        <w:tc>
          <w:tcPr>
            <w:tcW w:w="438" w:type="dxa"/>
            <w:vAlign w:val="center"/>
          </w:tcPr>
          <w:p w14:paraId="33701FD0">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w:t>
            </w:r>
          </w:p>
        </w:tc>
      </w:tr>
      <w:tr w14:paraId="5247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EE5BC07">
            <w:pPr>
              <w:spacing w:line="276" w:lineRule="auto"/>
              <w:jc w:val="center"/>
              <w:rPr>
                <w:rFonts w:hint="eastAsia" w:ascii="宋体" w:hAnsi="宋体" w:eastAsia="宋体" w:cs="Times New Roman"/>
                <w:color w:val="000000"/>
                <w:kern w:val="0"/>
                <w:szCs w:val="21"/>
              </w:rPr>
            </w:pPr>
          </w:p>
        </w:tc>
        <w:tc>
          <w:tcPr>
            <w:tcW w:w="8093" w:type="dxa"/>
            <w:gridSpan w:val="9"/>
            <w:vAlign w:val="center"/>
          </w:tcPr>
          <w:p w14:paraId="5E6B37C6">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b/>
                <w:color w:val="000000"/>
                <w:kern w:val="0"/>
                <w:szCs w:val="21"/>
              </w:rPr>
              <w:t>课程思政目标：</w:t>
            </w:r>
            <w:r>
              <w:rPr>
                <w:rFonts w:hint="eastAsia" w:ascii="宋体" w:hAnsi="宋体" w:eastAsia="宋体" w:cs="Times New Roman"/>
                <w:color w:val="000000"/>
                <w:kern w:val="0"/>
                <w:szCs w:val="21"/>
              </w:rPr>
              <w:t>通过对小学生问题行为的甄别与干预能够用整体观看待小学生问题行为与干预。</w:t>
            </w:r>
          </w:p>
        </w:tc>
      </w:tr>
      <w:tr w14:paraId="48DA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11D3DF3">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6.</w:t>
            </w:r>
            <w:r>
              <w:rPr>
                <w:rFonts w:hint="eastAsia" w:ascii="Times New Roman" w:hAnsi="Times New Roman" w:eastAsia="宋体" w:cs="Times New Roman"/>
                <w:kern w:val="0"/>
                <w:szCs w:val="21"/>
              </w:rPr>
              <w:t xml:space="preserve"> </w:t>
            </w:r>
            <w:r>
              <w:rPr>
                <w:rFonts w:hint="eastAsia" w:ascii="宋体" w:hAnsi="宋体" w:eastAsia="宋体" w:cs="Times New Roman"/>
                <w:color w:val="000000"/>
                <w:kern w:val="0"/>
                <w:szCs w:val="21"/>
              </w:rPr>
              <w:t>小学生心理障碍的甄别与干预</w:t>
            </w:r>
          </w:p>
        </w:tc>
        <w:tc>
          <w:tcPr>
            <w:tcW w:w="1701" w:type="dxa"/>
            <w:vAlign w:val="center"/>
          </w:tcPr>
          <w:p w14:paraId="79DE561C">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（1）注意缺陷多动障碍的甄别与干预；</w:t>
            </w:r>
          </w:p>
          <w:p w14:paraId="619A7146">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（2）品行障碍的甄别与干预；</w:t>
            </w:r>
          </w:p>
          <w:p w14:paraId="7CF86311">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（3）小学生情感障碍的甄别与干预。</w:t>
            </w:r>
          </w:p>
          <w:p w14:paraId="5FFD7ECE">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（4）学习和交流障碍的甄别与干预；</w:t>
            </w:r>
          </w:p>
          <w:p w14:paraId="1AF699F4">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（5）精神发育迟滞的甄别与干预；</w:t>
            </w:r>
          </w:p>
          <w:p w14:paraId="017CD573">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（6）自闭症的甄别。</w:t>
            </w:r>
          </w:p>
        </w:tc>
        <w:tc>
          <w:tcPr>
            <w:tcW w:w="1134" w:type="dxa"/>
            <w:gridSpan w:val="2"/>
            <w:vAlign w:val="center"/>
          </w:tcPr>
          <w:p w14:paraId="2D154BE9">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课程目标3</w:t>
            </w:r>
          </w:p>
        </w:tc>
        <w:tc>
          <w:tcPr>
            <w:tcW w:w="3260" w:type="dxa"/>
            <w:gridSpan w:val="3"/>
            <w:vAlign w:val="center"/>
          </w:tcPr>
          <w:p w14:paraId="250DE6CA">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（1）掌握小学生常见的心理障碍分类及基本的甄别方法，并具有简单的干预能力；</w:t>
            </w:r>
          </w:p>
          <w:p w14:paraId="215B9AC1">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（2）了解各类心理障碍的表现和影响因素，具备基本的心理干预意识。</w:t>
            </w:r>
          </w:p>
        </w:tc>
        <w:tc>
          <w:tcPr>
            <w:tcW w:w="1560" w:type="dxa"/>
            <w:gridSpan w:val="2"/>
            <w:vAlign w:val="center"/>
          </w:tcPr>
          <w:p w14:paraId="524CA542">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1.线上学习</w:t>
            </w:r>
          </w:p>
          <w:p w14:paraId="616CAD94">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2.多媒体教学3.课堂讨论</w:t>
            </w:r>
          </w:p>
          <w:p w14:paraId="214BEBC5">
            <w:pPr>
              <w:spacing w:line="276" w:lineRule="auto"/>
              <w:jc w:val="left"/>
              <w:rPr>
                <w:rFonts w:hint="eastAsia" w:ascii="宋体" w:hAnsi="宋体" w:eastAsia="宋体" w:cs="Times New Roman"/>
                <w:color w:val="000000"/>
                <w:kern w:val="0"/>
                <w:szCs w:val="21"/>
              </w:rPr>
            </w:pPr>
          </w:p>
        </w:tc>
        <w:tc>
          <w:tcPr>
            <w:tcW w:w="438" w:type="dxa"/>
            <w:vAlign w:val="center"/>
          </w:tcPr>
          <w:p w14:paraId="78A0B8B5">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w:t>
            </w:r>
          </w:p>
        </w:tc>
      </w:tr>
      <w:tr w14:paraId="6DF8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34D64FE">
            <w:pPr>
              <w:spacing w:line="276" w:lineRule="auto"/>
              <w:jc w:val="center"/>
              <w:rPr>
                <w:rFonts w:hint="eastAsia" w:ascii="宋体" w:hAnsi="宋体" w:eastAsia="宋体" w:cs="Times New Roman"/>
                <w:color w:val="000000"/>
                <w:kern w:val="0"/>
                <w:szCs w:val="21"/>
              </w:rPr>
            </w:pPr>
          </w:p>
        </w:tc>
        <w:tc>
          <w:tcPr>
            <w:tcW w:w="8093" w:type="dxa"/>
            <w:gridSpan w:val="9"/>
            <w:vAlign w:val="center"/>
          </w:tcPr>
          <w:p w14:paraId="1B2823F7">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b/>
                <w:color w:val="000000"/>
                <w:kern w:val="0"/>
                <w:szCs w:val="21"/>
              </w:rPr>
              <w:t>课程思政目标：</w:t>
            </w:r>
            <w:r>
              <w:rPr>
                <w:rFonts w:hint="eastAsia" w:ascii="宋体" w:hAnsi="宋体" w:eastAsia="宋体" w:cs="Times New Roman"/>
                <w:color w:val="000000"/>
                <w:kern w:val="0"/>
                <w:szCs w:val="21"/>
              </w:rPr>
              <w:t>通过对小学生心理障碍的甄别与干预的学习，形成全面发展的教育观，确立从教信念。</w:t>
            </w:r>
          </w:p>
        </w:tc>
      </w:tr>
      <w:tr w14:paraId="420C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0ED5ECD">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7小学生游戏辅导</w:t>
            </w:r>
          </w:p>
        </w:tc>
        <w:tc>
          <w:tcPr>
            <w:tcW w:w="1701" w:type="dxa"/>
            <w:vAlign w:val="center"/>
          </w:tcPr>
          <w:p w14:paraId="5D5AC366">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（1）游戏辅导的意义和主要理论</w:t>
            </w:r>
          </w:p>
          <w:p w14:paraId="7E0713AA">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（2）游戏辅导实施</w:t>
            </w:r>
          </w:p>
          <w:p w14:paraId="708A6B5F">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（3）沙盘游戏辅导</w:t>
            </w:r>
          </w:p>
        </w:tc>
        <w:tc>
          <w:tcPr>
            <w:tcW w:w="1134" w:type="dxa"/>
            <w:gridSpan w:val="2"/>
            <w:vAlign w:val="center"/>
          </w:tcPr>
          <w:p w14:paraId="09461D37">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课程目标1、2、3</w:t>
            </w:r>
          </w:p>
        </w:tc>
        <w:tc>
          <w:tcPr>
            <w:tcW w:w="3260" w:type="dxa"/>
            <w:gridSpan w:val="3"/>
            <w:vAlign w:val="center"/>
          </w:tcPr>
          <w:p w14:paraId="61DB8AA4">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（1）了解游戏辅导的意义和主要的游戏辅导理论，掌握游戏辅导的涵义和分类；</w:t>
            </w:r>
          </w:p>
          <w:p w14:paraId="3E62903E">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（2）掌握几种主要的心理游戏辅导活动，能进行游戏设计和实施。</w:t>
            </w:r>
          </w:p>
        </w:tc>
        <w:tc>
          <w:tcPr>
            <w:tcW w:w="1560" w:type="dxa"/>
            <w:gridSpan w:val="2"/>
            <w:vAlign w:val="center"/>
          </w:tcPr>
          <w:p w14:paraId="66446C1E">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1.线上学习</w:t>
            </w:r>
          </w:p>
          <w:p w14:paraId="69F4B3AE">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2.多媒体教学3.课堂讨论</w:t>
            </w:r>
          </w:p>
          <w:p w14:paraId="6B9E12EB">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4.</w:t>
            </w:r>
            <w:r>
              <w:rPr>
                <w:rFonts w:hint="eastAsia" w:ascii="宋体" w:hAnsi="宋体" w:eastAsia="宋体" w:cs="Times New Roman"/>
                <w:color w:val="000000"/>
                <w:kern w:val="0"/>
                <w:szCs w:val="21"/>
              </w:rPr>
              <w:t>课内实践</w:t>
            </w:r>
          </w:p>
        </w:tc>
        <w:tc>
          <w:tcPr>
            <w:tcW w:w="438" w:type="dxa"/>
            <w:vAlign w:val="center"/>
          </w:tcPr>
          <w:p w14:paraId="2A48B31D">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w:t>
            </w:r>
          </w:p>
        </w:tc>
      </w:tr>
      <w:tr w14:paraId="36D2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87AFB22">
            <w:pPr>
              <w:spacing w:line="276" w:lineRule="auto"/>
              <w:jc w:val="center"/>
              <w:rPr>
                <w:rFonts w:hint="eastAsia" w:ascii="宋体" w:hAnsi="宋体" w:eastAsia="宋体" w:cs="Times New Roman"/>
                <w:color w:val="000000"/>
                <w:kern w:val="0"/>
                <w:szCs w:val="21"/>
              </w:rPr>
            </w:pPr>
          </w:p>
        </w:tc>
        <w:tc>
          <w:tcPr>
            <w:tcW w:w="8093" w:type="dxa"/>
            <w:gridSpan w:val="9"/>
            <w:vAlign w:val="center"/>
          </w:tcPr>
          <w:p w14:paraId="5101381E">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b/>
                <w:color w:val="000000"/>
                <w:kern w:val="0"/>
                <w:szCs w:val="21"/>
              </w:rPr>
              <w:t>课程思政目标：</w:t>
            </w:r>
            <w:r>
              <w:rPr>
                <w:rFonts w:hint="eastAsia" w:ascii="宋体" w:hAnsi="宋体" w:eastAsia="宋体" w:cs="Times New Roman"/>
                <w:color w:val="000000"/>
                <w:kern w:val="0"/>
                <w:szCs w:val="21"/>
              </w:rPr>
              <w:t>了解小学生游戏辅导，用发展眼光看待学生的发展潜能。</w:t>
            </w:r>
          </w:p>
        </w:tc>
      </w:tr>
      <w:tr w14:paraId="46C6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DF25BE4">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8.</w:t>
            </w:r>
            <w:r>
              <w:rPr>
                <w:rFonts w:hint="eastAsia" w:ascii="Times New Roman" w:hAnsi="Times New Roman" w:eastAsia="宋体" w:cs="Times New Roman"/>
                <w:kern w:val="0"/>
                <w:szCs w:val="21"/>
              </w:rPr>
              <w:t xml:space="preserve"> </w:t>
            </w:r>
            <w:r>
              <w:rPr>
                <w:rFonts w:hint="eastAsia" w:ascii="宋体" w:hAnsi="宋体" w:eastAsia="宋体" w:cs="Times New Roman"/>
                <w:color w:val="000000"/>
                <w:kern w:val="0"/>
                <w:szCs w:val="21"/>
              </w:rPr>
              <w:t>小学生心理剧辅导</w:t>
            </w:r>
          </w:p>
        </w:tc>
        <w:tc>
          <w:tcPr>
            <w:tcW w:w="1701" w:type="dxa"/>
            <w:vAlign w:val="center"/>
          </w:tcPr>
          <w:p w14:paraId="65BC079A">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（1）心理剧辅导的概述</w:t>
            </w:r>
          </w:p>
          <w:p w14:paraId="797C8D9C">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（2）小学生心理剧辅导的理论</w:t>
            </w:r>
          </w:p>
          <w:p w14:paraId="3A51A4BD">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（3）小学生心理剧辅导的组织与实施</w:t>
            </w:r>
          </w:p>
        </w:tc>
        <w:tc>
          <w:tcPr>
            <w:tcW w:w="1134" w:type="dxa"/>
            <w:gridSpan w:val="2"/>
            <w:vAlign w:val="center"/>
          </w:tcPr>
          <w:p w14:paraId="6929C54B">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课程目标1、3、4</w:t>
            </w:r>
          </w:p>
        </w:tc>
        <w:tc>
          <w:tcPr>
            <w:tcW w:w="3260" w:type="dxa"/>
            <w:gridSpan w:val="3"/>
            <w:vAlign w:val="center"/>
          </w:tcPr>
          <w:p w14:paraId="0282B7E6">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（1）了解小学生心理剧辅导的理论，理解心理剧辅导的涵义和类型；</w:t>
            </w:r>
          </w:p>
          <w:p w14:paraId="6BD5AA60">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（2）掌握小学生心理剧辅导的组织和实施过程，能在团队活动中组织开展心理剧活动。</w:t>
            </w:r>
          </w:p>
        </w:tc>
        <w:tc>
          <w:tcPr>
            <w:tcW w:w="1560" w:type="dxa"/>
            <w:gridSpan w:val="2"/>
            <w:vAlign w:val="center"/>
          </w:tcPr>
          <w:p w14:paraId="7EF60B13">
            <w:pPr>
              <w:spacing w:line="264"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1.线上学习</w:t>
            </w:r>
          </w:p>
          <w:p w14:paraId="4013E5E4">
            <w:pPr>
              <w:spacing w:line="264"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2.多媒体教学3.课堂讨论</w:t>
            </w:r>
          </w:p>
          <w:p w14:paraId="56673DC2">
            <w:pPr>
              <w:spacing w:line="264"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4.</w:t>
            </w:r>
            <w:r>
              <w:rPr>
                <w:rFonts w:hint="eastAsia" w:ascii="宋体" w:hAnsi="宋体" w:eastAsia="宋体" w:cs="Times New Roman"/>
                <w:color w:val="000000"/>
                <w:kern w:val="0"/>
                <w:szCs w:val="21"/>
              </w:rPr>
              <w:t>课内实践</w:t>
            </w:r>
          </w:p>
        </w:tc>
        <w:tc>
          <w:tcPr>
            <w:tcW w:w="438" w:type="dxa"/>
            <w:vAlign w:val="center"/>
          </w:tcPr>
          <w:p w14:paraId="51B924D3">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w:t>
            </w:r>
          </w:p>
        </w:tc>
      </w:tr>
      <w:tr w14:paraId="16B0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C41B5D7">
            <w:pPr>
              <w:spacing w:line="264" w:lineRule="auto"/>
              <w:jc w:val="center"/>
              <w:rPr>
                <w:rFonts w:hint="eastAsia" w:ascii="宋体" w:hAnsi="宋体" w:eastAsia="宋体" w:cs="Times New Roman"/>
                <w:color w:val="000000"/>
                <w:kern w:val="0"/>
                <w:szCs w:val="21"/>
              </w:rPr>
            </w:pPr>
          </w:p>
        </w:tc>
        <w:tc>
          <w:tcPr>
            <w:tcW w:w="8093" w:type="dxa"/>
            <w:gridSpan w:val="9"/>
            <w:vAlign w:val="center"/>
          </w:tcPr>
          <w:p w14:paraId="0FE9C828">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b/>
                <w:color w:val="000000"/>
                <w:kern w:val="0"/>
                <w:szCs w:val="21"/>
              </w:rPr>
              <w:t>课程思政目标：</w:t>
            </w:r>
            <w:r>
              <w:rPr>
                <w:rFonts w:hint="eastAsia" w:ascii="宋体" w:hAnsi="宋体" w:eastAsia="宋体" w:cs="Times New Roman"/>
                <w:color w:val="000000"/>
                <w:kern w:val="0"/>
                <w:szCs w:val="21"/>
              </w:rPr>
              <w:t>鼓励用积极关注方法来展示小学生心理辅导。</w:t>
            </w:r>
          </w:p>
        </w:tc>
      </w:tr>
      <w:tr w14:paraId="459E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A1A46A1">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9.</w:t>
            </w:r>
            <w:r>
              <w:rPr>
                <w:rFonts w:hint="eastAsia" w:ascii="Times New Roman" w:hAnsi="Times New Roman" w:eastAsia="宋体" w:cs="Times New Roman"/>
                <w:kern w:val="0"/>
                <w:szCs w:val="21"/>
              </w:rPr>
              <w:t xml:space="preserve"> </w:t>
            </w:r>
            <w:r>
              <w:rPr>
                <w:rFonts w:hint="eastAsia" w:ascii="宋体" w:hAnsi="宋体" w:eastAsia="宋体" w:cs="Times New Roman"/>
                <w:color w:val="000000"/>
                <w:kern w:val="0"/>
                <w:szCs w:val="21"/>
              </w:rPr>
              <w:t>小学生图文作品辅导</w:t>
            </w:r>
          </w:p>
        </w:tc>
        <w:tc>
          <w:tcPr>
            <w:tcW w:w="1701" w:type="dxa"/>
            <w:vAlign w:val="center"/>
          </w:tcPr>
          <w:p w14:paraId="2D144D21">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（1）图文作品辅导的概述</w:t>
            </w:r>
          </w:p>
          <w:p w14:paraId="7EDFBF21">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（2）小学生绘画心理辅导</w:t>
            </w:r>
          </w:p>
          <w:p w14:paraId="68B45484">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（3）小学生写作心理辅导</w:t>
            </w:r>
          </w:p>
          <w:p w14:paraId="691B2BC9">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（4）小学生阅读心理辅导</w:t>
            </w:r>
          </w:p>
        </w:tc>
        <w:tc>
          <w:tcPr>
            <w:tcW w:w="1134" w:type="dxa"/>
            <w:gridSpan w:val="2"/>
            <w:vAlign w:val="center"/>
          </w:tcPr>
          <w:p w14:paraId="526BA412">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课程目标3</w:t>
            </w:r>
          </w:p>
        </w:tc>
        <w:tc>
          <w:tcPr>
            <w:tcW w:w="3260" w:type="dxa"/>
            <w:gridSpan w:val="3"/>
            <w:vAlign w:val="center"/>
          </w:tcPr>
          <w:p w14:paraId="06822F84">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（1）了解小学生图文作品辅导的理论基础，掌握图文作品辅导的范围；</w:t>
            </w:r>
          </w:p>
          <w:p w14:paraId="4B65A0C9">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（2）能结合小学生的心理特点开展小学生的绘画、写作和阅读心理辅导。</w:t>
            </w:r>
          </w:p>
        </w:tc>
        <w:tc>
          <w:tcPr>
            <w:tcW w:w="1560" w:type="dxa"/>
            <w:gridSpan w:val="2"/>
            <w:vAlign w:val="center"/>
          </w:tcPr>
          <w:p w14:paraId="14D623F3">
            <w:pPr>
              <w:spacing w:line="264"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1.线上学习</w:t>
            </w:r>
          </w:p>
          <w:p w14:paraId="762DEE73">
            <w:pPr>
              <w:spacing w:line="264"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2.多媒体教学3.课堂讨论</w:t>
            </w:r>
          </w:p>
          <w:p w14:paraId="5B21B56D">
            <w:pPr>
              <w:spacing w:line="264" w:lineRule="auto"/>
              <w:jc w:val="left"/>
              <w:rPr>
                <w:rFonts w:hint="eastAsia" w:ascii="宋体" w:hAnsi="宋体" w:eastAsia="宋体" w:cs="Times New Roman"/>
                <w:color w:val="000000"/>
                <w:kern w:val="0"/>
                <w:szCs w:val="21"/>
              </w:rPr>
            </w:pPr>
          </w:p>
        </w:tc>
        <w:tc>
          <w:tcPr>
            <w:tcW w:w="438" w:type="dxa"/>
            <w:vAlign w:val="center"/>
          </w:tcPr>
          <w:p w14:paraId="3739F5FB">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w:t>
            </w:r>
          </w:p>
        </w:tc>
      </w:tr>
      <w:tr w14:paraId="36DC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CBFA0B8">
            <w:pPr>
              <w:spacing w:line="264" w:lineRule="auto"/>
              <w:jc w:val="center"/>
              <w:rPr>
                <w:rFonts w:hint="eastAsia" w:ascii="宋体" w:hAnsi="宋体" w:eastAsia="宋体" w:cs="Times New Roman"/>
                <w:color w:val="000000"/>
                <w:kern w:val="0"/>
                <w:szCs w:val="21"/>
              </w:rPr>
            </w:pPr>
          </w:p>
        </w:tc>
        <w:tc>
          <w:tcPr>
            <w:tcW w:w="8093" w:type="dxa"/>
            <w:gridSpan w:val="9"/>
            <w:vAlign w:val="center"/>
          </w:tcPr>
          <w:p w14:paraId="0E859CCC">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b/>
                <w:color w:val="000000"/>
                <w:kern w:val="0"/>
                <w:szCs w:val="21"/>
              </w:rPr>
              <w:t>课程思政目标：</w:t>
            </w:r>
            <w:r>
              <w:rPr>
                <w:rFonts w:hint="eastAsia" w:ascii="宋体" w:hAnsi="宋体" w:eastAsia="宋体" w:cs="Times New Roman"/>
                <w:bCs/>
                <w:color w:val="000000"/>
                <w:kern w:val="0"/>
                <w:szCs w:val="21"/>
              </w:rPr>
              <w:t>树立正确的教师观、学生观并用发展的视角看待学生。</w:t>
            </w:r>
          </w:p>
        </w:tc>
      </w:tr>
      <w:tr w14:paraId="06D3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446E382">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10.</w:t>
            </w:r>
            <w:r>
              <w:rPr>
                <w:rFonts w:hint="eastAsia" w:ascii="Times New Roman" w:hAnsi="Times New Roman" w:eastAsia="宋体" w:cs="Times New Roman"/>
                <w:kern w:val="0"/>
                <w:szCs w:val="21"/>
              </w:rPr>
              <w:t xml:space="preserve"> </w:t>
            </w:r>
            <w:r>
              <w:rPr>
                <w:rFonts w:hint="eastAsia" w:ascii="宋体" w:hAnsi="宋体" w:eastAsia="宋体" w:cs="Times New Roman"/>
                <w:color w:val="000000"/>
                <w:kern w:val="0"/>
                <w:szCs w:val="21"/>
              </w:rPr>
              <w:t>小学班级心理辅导活动课设计</w:t>
            </w:r>
          </w:p>
        </w:tc>
        <w:tc>
          <w:tcPr>
            <w:tcW w:w="1701" w:type="dxa"/>
            <w:vAlign w:val="center"/>
          </w:tcPr>
          <w:p w14:paraId="3E92E265">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（1）小学班级心理辅导活动课概述</w:t>
            </w:r>
          </w:p>
          <w:p w14:paraId="2404134F">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（2）小学班级心理辅导活动课设计</w:t>
            </w:r>
          </w:p>
          <w:p w14:paraId="4B6596A4">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（3）小学班级心理辅导活动课的实施与评价</w:t>
            </w:r>
          </w:p>
        </w:tc>
        <w:tc>
          <w:tcPr>
            <w:tcW w:w="1134" w:type="dxa"/>
            <w:gridSpan w:val="2"/>
            <w:vAlign w:val="center"/>
          </w:tcPr>
          <w:p w14:paraId="1350DC5C">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课程目标2、3</w:t>
            </w:r>
          </w:p>
          <w:p w14:paraId="2022738A">
            <w:pPr>
              <w:spacing w:line="264" w:lineRule="auto"/>
              <w:jc w:val="center"/>
              <w:rPr>
                <w:rFonts w:hint="eastAsia" w:ascii="宋体" w:hAnsi="宋体" w:eastAsia="宋体" w:cs="Times New Roman"/>
                <w:color w:val="000000"/>
                <w:kern w:val="0"/>
                <w:szCs w:val="21"/>
              </w:rPr>
            </w:pPr>
          </w:p>
        </w:tc>
        <w:tc>
          <w:tcPr>
            <w:tcW w:w="3260" w:type="dxa"/>
            <w:gridSpan w:val="3"/>
            <w:vAlign w:val="center"/>
          </w:tcPr>
          <w:p w14:paraId="64B73EDC">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（1）理解小学生班级心理辅导活动课的适用范围，掌握小学班级心理辅导活动课的开展要素；</w:t>
            </w:r>
          </w:p>
          <w:p w14:paraId="64F373EF">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（2）会进行小学班级心理活动课的设计，并能开展实施，也能对小学班级心理活动课的开展情况进行合理评价。</w:t>
            </w:r>
          </w:p>
        </w:tc>
        <w:tc>
          <w:tcPr>
            <w:tcW w:w="1560" w:type="dxa"/>
            <w:gridSpan w:val="2"/>
            <w:vAlign w:val="center"/>
          </w:tcPr>
          <w:p w14:paraId="6AB374E2">
            <w:pPr>
              <w:spacing w:line="264"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1.线上学习</w:t>
            </w:r>
          </w:p>
          <w:p w14:paraId="0197F2DF">
            <w:pPr>
              <w:spacing w:line="264"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2.多媒体教学3.课堂讨论</w:t>
            </w:r>
          </w:p>
          <w:p w14:paraId="3D4D16A6">
            <w:pPr>
              <w:spacing w:line="264"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4.</w:t>
            </w:r>
            <w:r>
              <w:rPr>
                <w:rFonts w:hint="eastAsia" w:ascii="宋体" w:hAnsi="宋体" w:eastAsia="宋体" w:cs="Times New Roman"/>
                <w:color w:val="000000"/>
                <w:kern w:val="0"/>
                <w:szCs w:val="21"/>
              </w:rPr>
              <w:t>课内实践</w:t>
            </w:r>
          </w:p>
        </w:tc>
        <w:tc>
          <w:tcPr>
            <w:tcW w:w="438" w:type="dxa"/>
            <w:vAlign w:val="center"/>
          </w:tcPr>
          <w:p w14:paraId="516ABCA4">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w:t>
            </w:r>
          </w:p>
        </w:tc>
      </w:tr>
      <w:tr w14:paraId="1DF9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3661095">
            <w:pPr>
              <w:spacing w:line="264" w:lineRule="auto"/>
              <w:jc w:val="center"/>
              <w:rPr>
                <w:rFonts w:hint="eastAsia" w:ascii="宋体" w:hAnsi="宋体" w:eastAsia="宋体" w:cs="Times New Roman"/>
                <w:color w:val="000000"/>
                <w:kern w:val="0"/>
                <w:szCs w:val="21"/>
              </w:rPr>
            </w:pPr>
          </w:p>
        </w:tc>
        <w:tc>
          <w:tcPr>
            <w:tcW w:w="8093" w:type="dxa"/>
            <w:gridSpan w:val="9"/>
            <w:vAlign w:val="center"/>
          </w:tcPr>
          <w:p w14:paraId="7D96D1C2">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b/>
                <w:color w:val="000000"/>
                <w:kern w:val="0"/>
                <w:szCs w:val="21"/>
              </w:rPr>
              <w:t>课程思政目标：</w:t>
            </w:r>
            <w:r>
              <w:rPr>
                <w:rFonts w:hint="eastAsia" w:ascii="宋体" w:hAnsi="宋体" w:eastAsia="宋体" w:cs="Times New Roman"/>
                <w:bCs/>
                <w:color w:val="000000"/>
                <w:kern w:val="0"/>
                <w:szCs w:val="21"/>
              </w:rPr>
              <w:t>通过对小学生班级心理辅导活动设计，将思想政治教育与心理健康教育有机融合，引导小学生树立正确的世界观、人生观、价值观，培养他们良好的道德品质、社会责任感、爱国情怀和集体主义精神。</w:t>
            </w:r>
          </w:p>
        </w:tc>
      </w:tr>
      <w:tr w14:paraId="31A0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restart"/>
            <w:vAlign w:val="center"/>
          </w:tcPr>
          <w:p w14:paraId="18A2011B">
            <w:pPr>
              <w:spacing w:line="264"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11. 小学生心理辅导的工作开展</w:t>
            </w:r>
          </w:p>
        </w:tc>
        <w:tc>
          <w:tcPr>
            <w:tcW w:w="1767" w:type="dxa"/>
            <w:gridSpan w:val="2"/>
            <w:vAlign w:val="center"/>
          </w:tcPr>
          <w:p w14:paraId="1A1119D0">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（1）小学生心理辅导的基本格局</w:t>
            </w:r>
          </w:p>
          <w:p w14:paraId="1D181276">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（2）小学生心理辅导教师的道德素养与专业素养</w:t>
            </w:r>
          </w:p>
          <w:p w14:paraId="3F8900CC">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（3）小学生心理辅导室的创建</w:t>
            </w:r>
          </w:p>
          <w:p w14:paraId="05F07A57">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（4）小学生心理辅导档案的管理</w:t>
            </w:r>
          </w:p>
          <w:p w14:paraId="7592021E">
            <w:pPr>
              <w:spacing w:line="264" w:lineRule="auto"/>
              <w:jc w:val="left"/>
              <w:rPr>
                <w:rFonts w:hint="eastAsia" w:ascii="宋体" w:hAnsi="宋体" w:eastAsia="宋体" w:cs="Times New Roman"/>
                <w:b/>
                <w:color w:val="000000"/>
                <w:kern w:val="0"/>
                <w:szCs w:val="21"/>
              </w:rPr>
            </w:pPr>
            <w:r>
              <w:rPr>
                <w:rFonts w:hint="eastAsia" w:ascii="宋体" w:hAnsi="宋体" w:eastAsia="宋体" w:cs="Times New Roman"/>
                <w:color w:val="000000"/>
                <w:kern w:val="0"/>
                <w:szCs w:val="21"/>
              </w:rPr>
              <w:t>（5）关于全员参与小学生心理辅导教育的展望</w:t>
            </w:r>
          </w:p>
        </w:tc>
        <w:tc>
          <w:tcPr>
            <w:tcW w:w="1134" w:type="dxa"/>
            <w:gridSpan w:val="2"/>
            <w:vAlign w:val="center"/>
          </w:tcPr>
          <w:p w14:paraId="7D6820AC">
            <w:pPr>
              <w:spacing w:line="264" w:lineRule="auto"/>
              <w:jc w:val="center"/>
              <w:rPr>
                <w:rFonts w:hint="eastAsia" w:ascii="宋体" w:hAnsi="宋体" w:eastAsia="宋体" w:cs="Times New Roman"/>
                <w:b/>
                <w:color w:val="000000"/>
                <w:kern w:val="0"/>
                <w:szCs w:val="21"/>
              </w:rPr>
            </w:pPr>
            <w:r>
              <w:rPr>
                <w:rFonts w:hint="eastAsia" w:ascii="宋体" w:hAnsi="宋体" w:eastAsia="宋体" w:cs="Times New Roman"/>
                <w:color w:val="000000"/>
                <w:kern w:val="0"/>
                <w:szCs w:val="21"/>
              </w:rPr>
              <w:t>课程目标2、3、4</w:t>
            </w:r>
          </w:p>
        </w:tc>
        <w:tc>
          <w:tcPr>
            <w:tcW w:w="3168" w:type="dxa"/>
            <w:vAlign w:val="center"/>
          </w:tcPr>
          <w:p w14:paraId="1EBA565B">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（1）了解小学生心理辅导教育的发展前景，知道小学生心理辅导的基本格局，掌握小学生心理辅导的教师的专业素养；</w:t>
            </w:r>
          </w:p>
          <w:p w14:paraId="6D8F9BE0">
            <w:pPr>
              <w:spacing w:line="264" w:lineRule="auto"/>
              <w:jc w:val="left"/>
              <w:rPr>
                <w:rFonts w:hint="eastAsia" w:ascii="宋体" w:hAnsi="宋体" w:eastAsia="宋体" w:cs="Times New Roman"/>
                <w:b/>
                <w:color w:val="000000"/>
                <w:kern w:val="0"/>
                <w:szCs w:val="21"/>
              </w:rPr>
            </w:pPr>
            <w:r>
              <w:rPr>
                <w:rFonts w:hint="eastAsia" w:ascii="宋体" w:hAnsi="宋体" w:eastAsia="宋体" w:cs="Times New Roman"/>
                <w:color w:val="000000"/>
                <w:kern w:val="0"/>
                <w:szCs w:val="21"/>
              </w:rPr>
              <w:t>（2）学会创建小学生心理辅导室，掌握小学生心理辅导档案的建立和管理方法。</w:t>
            </w:r>
          </w:p>
        </w:tc>
        <w:tc>
          <w:tcPr>
            <w:tcW w:w="1510" w:type="dxa"/>
            <w:gridSpan w:val="2"/>
            <w:vAlign w:val="center"/>
          </w:tcPr>
          <w:p w14:paraId="395BD0C5">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1.线上学习</w:t>
            </w:r>
          </w:p>
          <w:p w14:paraId="1264DABA">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2.多媒体教学3.课堂讨论</w:t>
            </w:r>
          </w:p>
          <w:p w14:paraId="4227DE26">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4.课内实践</w:t>
            </w:r>
          </w:p>
        </w:tc>
        <w:tc>
          <w:tcPr>
            <w:tcW w:w="514" w:type="dxa"/>
            <w:gridSpan w:val="2"/>
            <w:vAlign w:val="center"/>
          </w:tcPr>
          <w:p w14:paraId="0E8223B6">
            <w:pPr>
              <w:spacing w:line="264" w:lineRule="auto"/>
              <w:jc w:val="left"/>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2</w:t>
            </w:r>
          </w:p>
        </w:tc>
      </w:tr>
      <w:tr w14:paraId="08DB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205" w:type="dxa"/>
            <w:vMerge w:val="continue"/>
            <w:vAlign w:val="center"/>
          </w:tcPr>
          <w:p w14:paraId="7CA668C2">
            <w:pPr>
              <w:spacing w:line="264" w:lineRule="auto"/>
              <w:jc w:val="center"/>
              <w:rPr>
                <w:rFonts w:hint="eastAsia" w:ascii="宋体" w:hAnsi="宋体" w:eastAsia="宋体" w:cs="Times New Roman"/>
                <w:color w:val="000000"/>
                <w:kern w:val="0"/>
                <w:szCs w:val="21"/>
              </w:rPr>
            </w:pPr>
          </w:p>
        </w:tc>
        <w:tc>
          <w:tcPr>
            <w:tcW w:w="8093" w:type="dxa"/>
            <w:gridSpan w:val="9"/>
            <w:vAlign w:val="center"/>
          </w:tcPr>
          <w:p w14:paraId="170DD61C">
            <w:pPr>
              <w:spacing w:line="264" w:lineRule="auto"/>
              <w:jc w:val="left"/>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课程思政目标：</w:t>
            </w:r>
            <w:r>
              <w:rPr>
                <w:rFonts w:hint="eastAsia" w:ascii="宋体" w:hAnsi="宋体" w:eastAsia="宋体" w:cs="Times New Roman"/>
                <w:bCs/>
                <w:color w:val="000000"/>
                <w:kern w:val="0"/>
                <w:szCs w:val="21"/>
              </w:rPr>
              <w:t>通过多形式开展心理健康活动，培养学生教师道德和专业素养，力争成为四有好教师。</w:t>
            </w:r>
          </w:p>
        </w:tc>
      </w:tr>
    </w:tbl>
    <w:p w14:paraId="713839E6">
      <w:pPr>
        <w:spacing w:line="360" w:lineRule="auto"/>
        <w:jc w:val="left"/>
        <w:rPr>
          <w:rFonts w:hint="eastAsia" w:ascii="宋体" w:hAnsi="宋体" w:eastAsia="宋体" w:cs="Times New Roman"/>
          <w:b/>
          <w:color w:val="000000"/>
          <w:sz w:val="24"/>
        </w:rPr>
      </w:pPr>
    </w:p>
    <w:p w14:paraId="1512286A">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74A527B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EF1CD6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D61E98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097"/>
        <w:gridCol w:w="1134"/>
        <w:gridCol w:w="1134"/>
        <w:gridCol w:w="1560"/>
        <w:gridCol w:w="1417"/>
        <w:gridCol w:w="851"/>
      </w:tblGrid>
      <w:tr w14:paraId="2011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0486BF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342" w:type="dxa"/>
            <w:gridSpan w:val="5"/>
            <w:vAlign w:val="center"/>
          </w:tcPr>
          <w:p w14:paraId="05626B4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851" w:type="dxa"/>
            <w:vMerge w:val="restart"/>
            <w:vAlign w:val="center"/>
          </w:tcPr>
          <w:p w14:paraId="2BBA2B0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7B30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E530E73">
            <w:pPr>
              <w:spacing w:line="360" w:lineRule="auto"/>
              <w:jc w:val="center"/>
              <w:rPr>
                <w:rFonts w:hint="eastAsia" w:ascii="宋体" w:hAnsi="宋体" w:eastAsia="宋体" w:cs="Times New Roman"/>
                <w:kern w:val="0"/>
                <w:sz w:val="20"/>
                <w:szCs w:val="21"/>
              </w:rPr>
            </w:pPr>
          </w:p>
        </w:tc>
        <w:tc>
          <w:tcPr>
            <w:tcW w:w="1097" w:type="dxa"/>
            <w:vAlign w:val="center"/>
          </w:tcPr>
          <w:p w14:paraId="335E348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平时作业</w:t>
            </w:r>
          </w:p>
        </w:tc>
        <w:tc>
          <w:tcPr>
            <w:tcW w:w="1134" w:type="dxa"/>
            <w:vAlign w:val="center"/>
          </w:tcPr>
          <w:p w14:paraId="40122EA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课堂表现</w:t>
            </w:r>
          </w:p>
        </w:tc>
        <w:tc>
          <w:tcPr>
            <w:tcW w:w="1134" w:type="dxa"/>
            <w:vAlign w:val="center"/>
          </w:tcPr>
          <w:p w14:paraId="1495AAE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课内实践</w:t>
            </w:r>
          </w:p>
        </w:tc>
        <w:tc>
          <w:tcPr>
            <w:tcW w:w="1560" w:type="dxa"/>
            <w:vAlign w:val="center"/>
          </w:tcPr>
          <w:p w14:paraId="4CCACDD1">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1417" w:type="dxa"/>
          </w:tcPr>
          <w:p w14:paraId="1B46999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自主学习</w:t>
            </w:r>
          </w:p>
        </w:tc>
        <w:tc>
          <w:tcPr>
            <w:tcW w:w="851" w:type="dxa"/>
            <w:vMerge w:val="continue"/>
            <w:vAlign w:val="center"/>
          </w:tcPr>
          <w:p w14:paraId="7E7F7824">
            <w:pPr>
              <w:spacing w:line="360" w:lineRule="auto"/>
              <w:jc w:val="center"/>
              <w:rPr>
                <w:rFonts w:hint="eastAsia" w:ascii="宋体" w:hAnsi="宋体" w:eastAsia="宋体" w:cs="Times New Roman"/>
                <w:kern w:val="0"/>
                <w:sz w:val="20"/>
                <w:szCs w:val="21"/>
              </w:rPr>
            </w:pPr>
          </w:p>
        </w:tc>
      </w:tr>
      <w:tr w14:paraId="3597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168E53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097" w:type="dxa"/>
            <w:vAlign w:val="center"/>
          </w:tcPr>
          <w:p w14:paraId="502E54C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1C785D4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509EF243">
            <w:pPr>
              <w:spacing w:line="360" w:lineRule="auto"/>
              <w:jc w:val="center"/>
              <w:rPr>
                <w:rFonts w:hint="eastAsia" w:ascii="宋体" w:hAnsi="宋体" w:eastAsia="宋体" w:cs="Times New Roman"/>
                <w:kern w:val="0"/>
                <w:sz w:val="20"/>
                <w:szCs w:val="21"/>
              </w:rPr>
            </w:pPr>
          </w:p>
        </w:tc>
        <w:tc>
          <w:tcPr>
            <w:tcW w:w="1560" w:type="dxa"/>
            <w:vAlign w:val="center"/>
          </w:tcPr>
          <w:p w14:paraId="7CC0D82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7" w:type="dxa"/>
          </w:tcPr>
          <w:p w14:paraId="0D30DB30">
            <w:pPr>
              <w:spacing w:line="360" w:lineRule="auto"/>
              <w:jc w:val="center"/>
              <w:rPr>
                <w:rFonts w:hint="eastAsia" w:ascii="宋体" w:hAnsi="宋体" w:eastAsia="宋体" w:cs="Times New Roman"/>
                <w:kern w:val="0"/>
                <w:sz w:val="20"/>
                <w:szCs w:val="21"/>
              </w:rPr>
            </w:pPr>
          </w:p>
        </w:tc>
        <w:tc>
          <w:tcPr>
            <w:tcW w:w="851" w:type="dxa"/>
            <w:vAlign w:val="center"/>
          </w:tcPr>
          <w:p w14:paraId="2655688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5CB7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947723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097" w:type="dxa"/>
            <w:vAlign w:val="center"/>
          </w:tcPr>
          <w:p w14:paraId="64F5B05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407B36A6">
            <w:pPr>
              <w:spacing w:line="360" w:lineRule="auto"/>
              <w:jc w:val="center"/>
              <w:rPr>
                <w:rFonts w:hint="eastAsia" w:ascii="宋体" w:hAnsi="宋体" w:eastAsia="宋体" w:cs="Times New Roman"/>
                <w:kern w:val="0"/>
                <w:sz w:val="20"/>
                <w:szCs w:val="21"/>
              </w:rPr>
            </w:pPr>
          </w:p>
        </w:tc>
        <w:tc>
          <w:tcPr>
            <w:tcW w:w="1134" w:type="dxa"/>
            <w:vAlign w:val="center"/>
          </w:tcPr>
          <w:p w14:paraId="51EC62D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r>
              <w:rPr>
                <w:rFonts w:ascii="宋体" w:hAnsi="宋体" w:eastAsia="宋体" w:cs="Times New Roman"/>
                <w:kern w:val="0"/>
                <w:sz w:val="20"/>
                <w:szCs w:val="21"/>
              </w:rPr>
              <w:t></w:t>
            </w:r>
          </w:p>
        </w:tc>
        <w:tc>
          <w:tcPr>
            <w:tcW w:w="1560" w:type="dxa"/>
            <w:vAlign w:val="center"/>
          </w:tcPr>
          <w:p w14:paraId="7499629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7" w:type="dxa"/>
          </w:tcPr>
          <w:p w14:paraId="3B69394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851" w:type="dxa"/>
            <w:vAlign w:val="center"/>
          </w:tcPr>
          <w:p w14:paraId="4EC7A951">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0A82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52A1AE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097" w:type="dxa"/>
            <w:vAlign w:val="center"/>
          </w:tcPr>
          <w:p w14:paraId="3B5609F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6EC86B71">
            <w:pPr>
              <w:spacing w:line="360" w:lineRule="auto"/>
              <w:jc w:val="center"/>
              <w:rPr>
                <w:rFonts w:hint="eastAsia" w:ascii="宋体" w:hAnsi="宋体" w:eastAsia="宋体" w:cs="Times New Roman"/>
                <w:kern w:val="0"/>
                <w:sz w:val="20"/>
                <w:szCs w:val="21"/>
              </w:rPr>
            </w:pPr>
          </w:p>
        </w:tc>
        <w:tc>
          <w:tcPr>
            <w:tcW w:w="1134" w:type="dxa"/>
            <w:vAlign w:val="center"/>
          </w:tcPr>
          <w:p w14:paraId="19CEC8C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560" w:type="dxa"/>
            <w:vAlign w:val="center"/>
          </w:tcPr>
          <w:p w14:paraId="2CF98EE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7" w:type="dxa"/>
          </w:tcPr>
          <w:p w14:paraId="7CEB08A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851" w:type="dxa"/>
            <w:vAlign w:val="center"/>
          </w:tcPr>
          <w:p w14:paraId="5FB6FFD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760E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921D9F">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097" w:type="dxa"/>
            <w:vAlign w:val="center"/>
          </w:tcPr>
          <w:p w14:paraId="1287210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650AA8DC">
            <w:pPr>
              <w:spacing w:line="360" w:lineRule="auto"/>
              <w:jc w:val="center"/>
              <w:rPr>
                <w:rFonts w:hint="eastAsia" w:ascii="宋体" w:hAnsi="宋体" w:eastAsia="宋体" w:cs="Times New Roman"/>
                <w:kern w:val="0"/>
                <w:sz w:val="20"/>
                <w:szCs w:val="21"/>
              </w:rPr>
            </w:pPr>
          </w:p>
        </w:tc>
        <w:tc>
          <w:tcPr>
            <w:tcW w:w="1134" w:type="dxa"/>
            <w:vAlign w:val="center"/>
          </w:tcPr>
          <w:p w14:paraId="64FCFD4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560" w:type="dxa"/>
            <w:vAlign w:val="center"/>
          </w:tcPr>
          <w:p w14:paraId="588D6236">
            <w:pPr>
              <w:spacing w:line="360" w:lineRule="auto"/>
              <w:jc w:val="center"/>
              <w:rPr>
                <w:rFonts w:hint="eastAsia" w:ascii="宋体" w:hAnsi="宋体" w:eastAsia="宋体" w:cs="Times New Roman"/>
                <w:kern w:val="0"/>
                <w:sz w:val="20"/>
                <w:szCs w:val="21"/>
              </w:rPr>
            </w:pPr>
          </w:p>
        </w:tc>
        <w:tc>
          <w:tcPr>
            <w:tcW w:w="1417" w:type="dxa"/>
          </w:tcPr>
          <w:p w14:paraId="42FD8E27">
            <w:pPr>
              <w:spacing w:line="360" w:lineRule="auto"/>
              <w:jc w:val="center"/>
              <w:rPr>
                <w:rFonts w:hint="eastAsia" w:ascii="宋体" w:hAnsi="宋体" w:eastAsia="宋体" w:cs="Times New Roman"/>
                <w:kern w:val="0"/>
                <w:sz w:val="20"/>
                <w:szCs w:val="21"/>
              </w:rPr>
            </w:pPr>
          </w:p>
        </w:tc>
        <w:tc>
          <w:tcPr>
            <w:tcW w:w="851" w:type="dxa"/>
            <w:vAlign w:val="center"/>
          </w:tcPr>
          <w:p w14:paraId="1443548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75B2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E3EA43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097" w:type="dxa"/>
            <w:vAlign w:val="center"/>
          </w:tcPr>
          <w:p w14:paraId="642D8580">
            <w:pPr>
              <w:spacing w:line="360" w:lineRule="auto"/>
              <w:jc w:val="center"/>
              <w:rPr>
                <w:rFonts w:hint="eastAsia" w:ascii="宋体" w:hAnsi="宋体" w:eastAsia="宋体" w:cs="Times New Roman"/>
                <w:kern w:val="0"/>
                <w:sz w:val="20"/>
                <w:szCs w:val="21"/>
              </w:rPr>
            </w:pPr>
          </w:p>
        </w:tc>
        <w:tc>
          <w:tcPr>
            <w:tcW w:w="1134" w:type="dxa"/>
            <w:vAlign w:val="center"/>
          </w:tcPr>
          <w:p w14:paraId="416764F4">
            <w:pPr>
              <w:spacing w:line="360" w:lineRule="auto"/>
              <w:jc w:val="center"/>
              <w:rPr>
                <w:rFonts w:hint="eastAsia" w:ascii="宋体" w:hAnsi="宋体" w:eastAsia="宋体" w:cs="Times New Roman"/>
                <w:kern w:val="0"/>
                <w:sz w:val="20"/>
                <w:szCs w:val="21"/>
              </w:rPr>
            </w:pPr>
          </w:p>
        </w:tc>
        <w:tc>
          <w:tcPr>
            <w:tcW w:w="1134" w:type="dxa"/>
            <w:vAlign w:val="center"/>
          </w:tcPr>
          <w:p w14:paraId="3698BC3C">
            <w:pPr>
              <w:spacing w:line="360" w:lineRule="auto"/>
              <w:jc w:val="center"/>
              <w:rPr>
                <w:rFonts w:hint="eastAsia" w:ascii="宋体" w:hAnsi="宋体" w:eastAsia="宋体" w:cs="Times New Roman"/>
                <w:kern w:val="0"/>
                <w:sz w:val="20"/>
                <w:szCs w:val="21"/>
              </w:rPr>
            </w:pPr>
          </w:p>
        </w:tc>
        <w:tc>
          <w:tcPr>
            <w:tcW w:w="1560" w:type="dxa"/>
            <w:vAlign w:val="center"/>
          </w:tcPr>
          <w:p w14:paraId="1C7A0A3D">
            <w:pPr>
              <w:spacing w:line="360" w:lineRule="auto"/>
              <w:jc w:val="center"/>
              <w:rPr>
                <w:rFonts w:hint="eastAsia" w:ascii="宋体" w:hAnsi="宋体" w:eastAsia="宋体" w:cs="Times New Roman"/>
                <w:kern w:val="0"/>
                <w:sz w:val="20"/>
                <w:szCs w:val="21"/>
              </w:rPr>
            </w:pPr>
          </w:p>
        </w:tc>
        <w:tc>
          <w:tcPr>
            <w:tcW w:w="1417" w:type="dxa"/>
          </w:tcPr>
          <w:p w14:paraId="10E781BB">
            <w:pPr>
              <w:spacing w:line="360" w:lineRule="auto"/>
              <w:jc w:val="center"/>
              <w:rPr>
                <w:rFonts w:hint="eastAsia" w:ascii="宋体" w:hAnsi="宋体" w:eastAsia="宋体" w:cs="Times New Roman"/>
                <w:kern w:val="0"/>
                <w:sz w:val="20"/>
                <w:szCs w:val="21"/>
              </w:rPr>
            </w:pPr>
          </w:p>
        </w:tc>
        <w:tc>
          <w:tcPr>
            <w:tcW w:w="851" w:type="dxa"/>
            <w:vAlign w:val="center"/>
          </w:tcPr>
          <w:p w14:paraId="1C68A5E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4B44C9AF">
      <w:pPr>
        <w:spacing w:before="156" w:beforeLines="50" w:line="360" w:lineRule="auto"/>
        <w:jc w:val="left"/>
        <w:rPr>
          <w:rFonts w:ascii="Times New Roman" w:hAnsi="Times New Roman" w:eastAsia="宋体" w:cs="Times New Roman"/>
          <w:b/>
          <w:szCs w:val="21"/>
        </w:rPr>
      </w:pPr>
    </w:p>
    <w:p w14:paraId="28FA0DA0">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BE97EC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7B269D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6946"/>
        <w:gridCol w:w="683"/>
      </w:tblGrid>
      <w:tr w14:paraId="4B7B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2936879">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6946" w:type="dxa"/>
            <w:vAlign w:val="center"/>
          </w:tcPr>
          <w:p w14:paraId="2C1BBE1A">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3F58C49C">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4871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A2B9F2C">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w:t>
            </w:r>
          </w:p>
        </w:tc>
        <w:tc>
          <w:tcPr>
            <w:tcW w:w="6946" w:type="dxa"/>
            <w:vAlign w:val="center"/>
          </w:tcPr>
          <w:p w14:paraId="56864C33">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共3次，一为SCL-90心理健康自测，要求每位同学按照测了要求进行自测，分析自己的心理健康现状，提出策略。二代币制设计。根据行为主义治疗理论设计一个用代币制教育儿童不良行为的方案，主要考核标准为：不良行为表现、目标行为、代币系统设计、实施方案等。三为活动设计，完成一个五年级学生的以合作为主题的心理健康活动设计，评定内容包括活动主题、活动目标、活动过程、注意事项或反思。</w:t>
            </w:r>
          </w:p>
        </w:tc>
        <w:tc>
          <w:tcPr>
            <w:tcW w:w="0" w:type="auto"/>
            <w:vAlign w:val="center"/>
          </w:tcPr>
          <w:p w14:paraId="79262BF9">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137B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2FBDB0F">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课堂表现</w:t>
            </w:r>
          </w:p>
        </w:tc>
        <w:tc>
          <w:tcPr>
            <w:tcW w:w="6946" w:type="dxa"/>
            <w:vAlign w:val="center"/>
          </w:tcPr>
          <w:p w14:paraId="230FAEF5">
            <w:pPr>
              <w:widowControl/>
              <w:spacing w:line="264" w:lineRule="auto"/>
              <w:jc w:val="left"/>
              <w:rPr>
                <w:rFonts w:ascii="Times New Roman" w:hAnsi="Times New Roman" w:eastAsia="宋体" w:cs="Times New Roman"/>
                <w:kern w:val="0"/>
                <w:sz w:val="20"/>
                <w:szCs w:val="21"/>
              </w:rPr>
            </w:pPr>
            <w:r>
              <w:rPr>
                <w:rFonts w:hint="eastAsia" w:ascii="宋体" w:hAnsi="宋体" w:eastAsia="宋体" w:cs="宋体"/>
                <w:color w:val="000000"/>
                <w:kern w:val="0"/>
                <w:sz w:val="20"/>
                <w:szCs w:val="21"/>
                <w:lang w:bidi="ar"/>
              </w:rPr>
              <w:t>一是课题考勤情况</w:t>
            </w:r>
            <w:r>
              <w:rPr>
                <w:rFonts w:ascii="宋体" w:hAnsi="宋体" w:eastAsia="宋体" w:cs="宋体"/>
                <w:color w:val="000000"/>
                <w:kern w:val="0"/>
                <w:sz w:val="20"/>
                <w:szCs w:val="21"/>
                <w:lang w:bidi="ar"/>
              </w:rPr>
              <w:t>。</w:t>
            </w:r>
            <w:r>
              <w:rPr>
                <w:rFonts w:hint="eastAsia" w:ascii="Times New Roman" w:hAnsi="Times New Roman" w:eastAsia="宋体" w:cs="Times New Roman"/>
                <w:kern w:val="0"/>
                <w:sz w:val="20"/>
                <w:szCs w:val="21"/>
              </w:rPr>
              <w:t>迟到一次扣2分，无故缺席一次扣5分，累计达</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次以上（不含</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次）取消课程成绩。</w:t>
            </w:r>
          </w:p>
          <w:p w14:paraId="2BB7C50C">
            <w:pPr>
              <w:widowControl/>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二是</w:t>
            </w:r>
            <w:r>
              <w:rPr>
                <w:rFonts w:ascii="宋体" w:hAnsi="宋体" w:eastAsia="宋体" w:cs="宋体"/>
                <w:color w:val="000000"/>
                <w:kern w:val="0"/>
                <w:sz w:val="20"/>
                <w:szCs w:val="21"/>
                <w:lang w:bidi="ar"/>
              </w:rPr>
              <w:t>课堂参与</w:t>
            </w:r>
            <w:r>
              <w:rPr>
                <w:rFonts w:hint="eastAsia" w:ascii="宋体" w:hAnsi="宋体" w:eastAsia="宋体" w:cs="宋体"/>
                <w:color w:val="000000"/>
                <w:kern w:val="0"/>
                <w:sz w:val="20"/>
                <w:szCs w:val="21"/>
                <w:lang w:bidi="ar"/>
              </w:rPr>
              <w:t>情况。</w:t>
            </w:r>
            <w:r>
              <w:rPr>
                <w:rFonts w:ascii="宋体" w:hAnsi="宋体" w:eastAsia="宋体" w:cs="宋体"/>
                <w:color w:val="000000"/>
                <w:kern w:val="0"/>
                <w:sz w:val="20"/>
                <w:szCs w:val="21"/>
                <w:lang w:bidi="ar"/>
              </w:rPr>
              <w:t>主要指课上教师随机提问、组织课堂讨论等，观察学生参与程度</w:t>
            </w:r>
            <w:r>
              <w:rPr>
                <w:rFonts w:hint="eastAsia" w:ascii="宋体" w:hAnsi="宋体" w:eastAsia="宋体" w:cs="宋体"/>
                <w:color w:val="000000"/>
                <w:kern w:val="0"/>
                <w:sz w:val="20"/>
                <w:szCs w:val="21"/>
                <w:lang w:bidi="ar"/>
              </w:rPr>
              <w:t>，</w:t>
            </w:r>
            <w:r>
              <w:rPr>
                <w:rFonts w:ascii="宋体" w:hAnsi="宋体" w:eastAsia="宋体" w:cs="宋体"/>
                <w:color w:val="000000"/>
                <w:kern w:val="0"/>
                <w:sz w:val="20"/>
                <w:szCs w:val="21"/>
                <w:lang w:bidi="ar"/>
              </w:rPr>
              <w:t>表现良好，按照对应的课程目标及权重给予评定</w:t>
            </w:r>
            <w:r>
              <w:rPr>
                <w:rFonts w:hint="eastAsia" w:ascii="宋体" w:hAnsi="宋体" w:eastAsia="宋体" w:cs="宋体"/>
                <w:color w:val="000000"/>
                <w:kern w:val="0"/>
                <w:sz w:val="20"/>
                <w:szCs w:val="21"/>
                <w:lang w:bidi="ar"/>
              </w:rPr>
              <w:t>。</w:t>
            </w:r>
          </w:p>
        </w:tc>
        <w:tc>
          <w:tcPr>
            <w:tcW w:w="0" w:type="auto"/>
            <w:vAlign w:val="center"/>
          </w:tcPr>
          <w:p w14:paraId="440F213F">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269D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8FD58F3">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课内实践</w:t>
            </w:r>
          </w:p>
        </w:tc>
        <w:tc>
          <w:tcPr>
            <w:tcW w:w="6946" w:type="dxa"/>
            <w:vAlign w:val="center"/>
          </w:tcPr>
          <w:p w14:paraId="2A4A5C30">
            <w:pPr>
              <w:widowControl/>
              <w:spacing w:line="264" w:lineRule="auto"/>
              <w:jc w:val="left"/>
              <w:rPr>
                <w:rFonts w:hint="eastAsia" w:ascii="宋体" w:hAnsi="宋体" w:eastAsia="宋体" w:cs="宋体"/>
                <w:color w:val="000000"/>
                <w:kern w:val="0"/>
                <w:sz w:val="20"/>
                <w:szCs w:val="21"/>
                <w:lang w:bidi="ar"/>
              </w:rPr>
            </w:pPr>
            <w:r>
              <w:rPr>
                <w:rFonts w:hint="eastAsia" w:ascii="宋体" w:hAnsi="宋体" w:eastAsia="宋体" w:cs="宋体"/>
                <w:color w:val="000000"/>
                <w:kern w:val="0"/>
                <w:sz w:val="20"/>
                <w:szCs w:val="21"/>
                <w:lang w:bidi="ar"/>
              </w:rPr>
              <w:t>完成4个课内实践活动，主要是学生对常用心理辅导技术的掌握和学生对合作学习、学习共同体的活动体验的表现，实践成绩平均后得到实践总评成绩，并按20%计入课程总成绩。</w:t>
            </w:r>
          </w:p>
        </w:tc>
        <w:tc>
          <w:tcPr>
            <w:tcW w:w="0" w:type="auto"/>
            <w:vAlign w:val="center"/>
          </w:tcPr>
          <w:p w14:paraId="01BF654C">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w:t>
            </w:r>
          </w:p>
        </w:tc>
      </w:tr>
      <w:tr w14:paraId="0F09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F2E58DE">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自主学习</w:t>
            </w:r>
          </w:p>
        </w:tc>
        <w:tc>
          <w:tcPr>
            <w:tcW w:w="6946" w:type="dxa"/>
            <w:vAlign w:val="center"/>
          </w:tcPr>
          <w:p w14:paraId="0013EE55">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课后完成练习题，主要考核学生对每节课知识点的复习、理解和掌握程度，计算全部作业的平均成绩再按20%计入总成绩。</w:t>
            </w:r>
          </w:p>
        </w:tc>
        <w:tc>
          <w:tcPr>
            <w:tcW w:w="0" w:type="auto"/>
            <w:vAlign w:val="center"/>
          </w:tcPr>
          <w:p w14:paraId="17AAD067">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10A1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5627505">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期末考试</w:t>
            </w:r>
          </w:p>
        </w:tc>
        <w:tc>
          <w:tcPr>
            <w:tcW w:w="6946" w:type="dxa"/>
            <w:vAlign w:val="center"/>
          </w:tcPr>
          <w:p w14:paraId="2D2FE866">
            <w:pPr>
              <w:spacing w:line="264" w:lineRule="auto"/>
              <w:jc w:val="left"/>
              <w:rPr>
                <w:rFonts w:ascii="Times New Roman" w:hAnsi="Times New Roman" w:eastAsia="宋体" w:cs="Times New Roman"/>
                <w:color w:val="000000"/>
                <w:kern w:val="0"/>
                <w:sz w:val="20"/>
                <w:szCs w:val="21"/>
              </w:rPr>
            </w:pPr>
            <w:r>
              <w:rPr>
                <w:rFonts w:hint="eastAsia" w:ascii="Times New Roman" w:hAnsi="Times New Roman" w:eastAsia="宋体" w:cs="Times New Roman"/>
                <w:color w:val="000000"/>
                <w:kern w:val="0"/>
                <w:sz w:val="20"/>
                <w:szCs w:val="21"/>
              </w:rPr>
              <w:t>试卷题型简答题、案例分析和论述题，以卷面成绩的50%计入课程总成绩。其中考核小学生心理辅导的知识、理论占20%，小学生心理相关理论案例分析和应用占40%；以及小学生心理辅导的活动设计占40%。</w:t>
            </w:r>
          </w:p>
        </w:tc>
        <w:tc>
          <w:tcPr>
            <w:tcW w:w="0" w:type="auto"/>
            <w:vAlign w:val="center"/>
          </w:tcPr>
          <w:p w14:paraId="21F35F73">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50%</w:t>
            </w:r>
          </w:p>
        </w:tc>
      </w:tr>
      <w:tr w14:paraId="262F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13524E9">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合计</w:t>
            </w:r>
          </w:p>
        </w:tc>
        <w:tc>
          <w:tcPr>
            <w:tcW w:w="0" w:type="auto"/>
            <w:vAlign w:val="center"/>
          </w:tcPr>
          <w:p w14:paraId="0ED5C4A2">
            <w:pPr>
              <w:jc w:val="left"/>
              <w:rPr>
                <w:rFonts w:ascii="Times New Roman" w:hAnsi="Times New Roman" w:eastAsia="宋体" w:cs="Times New Roman"/>
                <w:kern w:val="0"/>
                <w:sz w:val="20"/>
                <w:szCs w:val="21"/>
              </w:rPr>
            </w:pPr>
          </w:p>
        </w:tc>
        <w:tc>
          <w:tcPr>
            <w:tcW w:w="0" w:type="auto"/>
            <w:vAlign w:val="center"/>
          </w:tcPr>
          <w:p w14:paraId="39E520FE">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w:t>
            </w:r>
          </w:p>
        </w:tc>
      </w:tr>
    </w:tbl>
    <w:p w14:paraId="05B0504B">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804FF2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2BD2D98">
      <w:pPr>
        <w:spacing w:line="360" w:lineRule="auto"/>
        <w:rPr>
          <w:rFonts w:hint="eastAsia" w:ascii="宋体" w:hAnsi="宋体" w:eastAsia="宋体" w:cs="Times New Roman"/>
          <w:color w:val="000000"/>
          <w:szCs w:val="21"/>
        </w:rPr>
      </w:pPr>
      <w:r>
        <w:rPr>
          <w:rFonts w:ascii="宋体" w:hAnsi="宋体" w:eastAsia="宋体" w:cs="Times New Roman"/>
          <w:color w:val="000000"/>
          <w:szCs w:val="21"/>
        </w:rPr>
        <w:object>
          <v:shape id="_x0000_i1055"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55" DrawAspect="Content" ObjectID="_1468075755" r:id="rId40">
            <o:LockedField>false</o:LockedField>
          </o:OLEObject>
        </w:object>
      </w:r>
    </w:p>
    <w:p w14:paraId="3E8B036D">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五、课内实验（实践）</w:t>
      </w:r>
    </w:p>
    <w:tbl>
      <w:tblPr>
        <w:tblStyle w:val="13"/>
        <w:tblW w:w="8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396"/>
        <w:gridCol w:w="4252"/>
        <w:gridCol w:w="709"/>
      </w:tblGrid>
      <w:tr w14:paraId="4F55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shd w:val="clear" w:color="auto" w:fill="FFFFFF"/>
            <w:vAlign w:val="center"/>
          </w:tcPr>
          <w:p w14:paraId="760F32F4">
            <w:pPr>
              <w:spacing w:line="276" w:lineRule="auto"/>
              <w:jc w:val="center"/>
              <w:rPr>
                <w:rFonts w:ascii="Calibri" w:hAnsi="Calibri" w:eastAsia="宋体" w:cs="Times New Roman"/>
                <w:bCs/>
                <w:spacing w:val="-20"/>
                <w:szCs w:val="21"/>
              </w:rPr>
            </w:pPr>
            <w:r>
              <w:rPr>
                <w:rFonts w:hint="eastAsia" w:ascii="Calibri" w:hAnsi="Calibri" w:eastAsia="宋体" w:cs="Times New Roman"/>
                <w:bCs/>
                <w:spacing w:val="-20"/>
                <w:szCs w:val="21"/>
              </w:rPr>
              <w:t>序号</w:t>
            </w:r>
          </w:p>
        </w:tc>
        <w:tc>
          <w:tcPr>
            <w:tcW w:w="2396" w:type="dxa"/>
            <w:tcBorders>
              <w:top w:val="single" w:color="auto" w:sz="4" w:space="0"/>
              <w:left w:val="single" w:color="auto" w:sz="4" w:space="0"/>
              <w:bottom w:val="single" w:color="auto" w:sz="4" w:space="0"/>
              <w:right w:val="single" w:color="auto" w:sz="4" w:space="0"/>
            </w:tcBorders>
            <w:shd w:val="clear" w:color="auto" w:fill="FFFFFF"/>
            <w:vAlign w:val="center"/>
          </w:tcPr>
          <w:p w14:paraId="4022A9FC">
            <w:pPr>
              <w:spacing w:line="276" w:lineRule="auto"/>
              <w:jc w:val="center"/>
              <w:rPr>
                <w:rFonts w:ascii="Calibri" w:hAnsi="Calibri" w:eastAsia="宋体" w:cs="Times New Roman"/>
                <w:bCs/>
                <w:szCs w:val="21"/>
              </w:rPr>
            </w:pPr>
            <w:r>
              <w:rPr>
                <w:rFonts w:hint="eastAsia" w:ascii="Calibri" w:hAnsi="Calibri" w:eastAsia="宋体" w:cs="Times New Roman"/>
                <w:bCs/>
                <w:szCs w:val="21"/>
              </w:rPr>
              <w:t>项目名称</w:t>
            </w:r>
          </w:p>
        </w:tc>
        <w:tc>
          <w:tcPr>
            <w:tcW w:w="4252" w:type="dxa"/>
            <w:tcBorders>
              <w:top w:val="single" w:color="auto" w:sz="4" w:space="0"/>
              <w:left w:val="single" w:color="auto" w:sz="4" w:space="0"/>
              <w:bottom w:val="single" w:color="auto" w:sz="4" w:space="0"/>
              <w:right w:val="single" w:color="auto" w:sz="4" w:space="0"/>
            </w:tcBorders>
            <w:shd w:val="clear" w:color="auto" w:fill="FFFFFF"/>
            <w:vAlign w:val="center"/>
          </w:tcPr>
          <w:p w14:paraId="0CDFFF64">
            <w:pPr>
              <w:spacing w:line="276" w:lineRule="auto"/>
              <w:jc w:val="center"/>
              <w:rPr>
                <w:rFonts w:ascii="Calibri" w:hAnsi="Calibri" w:eastAsia="宋体" w:cs="Times New Roman"/>
                <w:bCs/>
                <w:szCs w:val="21"/>
              </w:rPr>
            </w:pPr>
            <w:r>
              <w:rPr>
                <w:rFonts w:hint="eastAsia" w:ascii="Calibri" w:hAnsi="Calibri" w:eastAsia="宋体" w:cs="Times New Roman"/>
                <w:bCs/>
                <w:szCs w:val="21"/>
              </w:rPr>
              <w:t>实践内容及要求</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085566D0">
            <w:pPr>
              <w:spacing w:line="276" w:lineRule="auto"/>
              <w:jc w:val="center"/>
              <w:rPr>
                <w:rFonts w:ascii="Calibri" w:hAnsi="Calibri" w:eastAsia="宋体" w:cs="Times New Roman"/>
                <w:bCs/>
                <w:szCs w:val="21"/>
              </w:rPr>
            </w:pPr>
            <w:r>
              <w:rPr>
                <w:rFonts w:hint="eastAsia" w:ascii="Calibri" w:hAnsi="Calibri" w:eastAsia="宋体" w:cs="Times New Roman"/>
                <w:bCs/>
                <w:szCs w:val="21"/>
              </w:rPr>
              <w:t>学时</w:t>
            </w:r>
          </w:p>
        </w:tc>
      </w:tr>
      <w:tr w14:paraId="4F26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3017176D">
            <w:pPr>
              <w:spacing w:line="276" w:lineRule="auto"/>
              <w:jc w:val="center"/>
              <w:rPr>
                <w:rFonts w:hint="eastAsia" w:ascii="新宋体" w:hAnsi="新宋体" w:eastAsia="新宋体" w:cs="Times New Roman"/>
                <w:szCs w:val="21"/>
              </w:rPr>
            </w:pPr>
            <w:r>
              <w:rPr>
                <w:rFonts w:hint="eastAsia" w:ascii="新宋体" w:hAnsi="新宋体" w:eastAsia="新宋体" w:cs="Times New Roman"/>
                <w:szCs w:val="21"/>
              </w:rPr>
              <w:t>1</w:t>
            </w:r>
          </w:p>
        </w:tc>
        <w:tc>
          <w:tcPr>
            <w:tcW w:w="2396" w:type="dxa"/>
            <w:tcBorders>
              <w:top w:val="single" w:color="auto" w:sz="4" w:space="0"/>
              <w:left w:val="single" w:color="auto" w:sz="4" w:space="0"/>
              <w:bottom w:val="single" w:color="auto" w:sz="4" w:space="0"/>
              <w:right w:val="single" w:color="auto" w:sz="4" w:space="0"/>
            </w:tcBorders>
            <w:vAlign w:val="center"/>
          </w:tcPr>
          <w:p w14:paraId="00EA6FC4">
            <w:pPr>
              <w:adjustRightInd w:val="0"/>
              <w:spacing w:line="276" w:lineRule="auto"/>
              <w:rPr>
                <w:rFonts w:hint="eastAsia" w:ascii="新宋体" w:hAnsi="新宋体" w:eastAsia="新宋体" w:cs="Times New Roman"/>
                <w:bCs/>
                <w:szCs w:val="21"/>
              </w:rPr>
            </w:pPr>
            <w:r>
              <w:rPr>
                <w:rFonts w:hint="eastAsia" w:ascii="新宋体" w:hAnsi="新宋体" w:eastAsia="新宋体" w:cs="Times New Roman"/>
                <w:szCs w:val="21"/>
              </w:rPr>
              <w:t>晤谈技术训练</w:t>
            </w:r>
          </w:p>
        </w:tc>
        <w:tc>
          <w:tcPr>
            <w:tcW w:w="4252" w:type="dxa"/>
            <w:tcBorders>
              <w:top w:val="single" w:color="auto" w:sz="4" w:space="0"/>
              <w:left w:val="single" w:color="auto" w:sz="4" w:space="0"/>
              <w:bottom w:val="single" w:color="auto" w:sz="4" w:space="0"/>
              <w:right w:val="single" w:color="auto" w:sz="4" w:space="0"/>
            </w:tcBorders>
            <w:vAlign w:val="center"/>
          </w:tcPr>
          <w:p w14:paraId="3CCE6A66">
            <w:pPr>
              <w:spacing w:line="276" w:lineRule="auto"/>
              <w:rPr>
                <w:rFonts w:hint="eastAsia" w:ascii="新宋体" w:hAnsi="新宋体" w:eastAsia="新宋体" w:cs="Times New Roman"/>
                <w:szCs w:val="21"/>
              </w:rPr>
            </w:pPr>
            <w:r>
              <w:rPr>
                <w:rFonts w:hint="eastAsia" w:ascii="新宋体" w:hAnsi="新宋体" w:eastAsia="新宋体" w:cs="Times New Roman"/>
                <w:szCs w:val="21"/>
              </w:rPr>
              <w:t>实践内容：根据要求设计小学生心理辅导的晤谈过程并进行模拟晤谈</w:t>
            </w:r>
          </w:p>
          <w:p w14:paraId="55D4ADBC">
            <w:pPr>
              <w:spacing w:line="276" w:lineRule="auto"/>
              <w:rPr>
                <w:rFonts w:hint="eastAsia" w:ascii="新宋体" w:hAnsi="新宋体" w:eastAsia="新宋体" w:cs="Times New Roman"/>
                <w:szCs w:val="21"/>
              </w:rPr>
            </w:pPr>
            <w:r>
              <w:rPr>
                <w:rFonts w:hint="eastAsia" w:ascii="新宋体" w:hAnsi="新宋体" w:eastAsia="新宋体" w:cs="Times New Roman"/>
                <w:szCs w:val="21"/>
              </w:rPr>
              <w:t>实践要求：（1）设计合理的晤谈提纲</w:t>
            </w:r>
          </w:p>
          <w:p w14:paraId="5B19F311">
            <w:pPr>
              <w:spacing w:line="276" w:lineRule="auto"/>
              <w:rPr>
                <w:rFonts w:hint="eastAsia" w:ascii="新宋体" w:hAnsi="新宋体" w:eastAsia="新宋体" w:cs="Times New Roman"/>
                <w:szCs w:val="21"/>
              </w:rPr>
            </w:pPr>
            <w:r>
              <w:rPr>
                <w:rFonts w:hint="eastAsia" w:ascii="新宋体" w:hAnsi="新宋体" w:eastAsia="新宋体" w:cs="Times New Roman"/>
                <w:szCs w:val="21"/>
              </w:rPr>
              <w:t>（2）与同学合作开展模拟晤谈并录像</w:t>
            </w:r>
          </w:p>
          <w:p w14:paraId="0D8EB0FD">
            <w:pPr>
              <w:spacing w:line="276" w:lineRule="auto"/>
              <w:rPr>
                <w:rFonts w:hint="eastAsia" w:ascii="新宋体" w:hAnsi="新宋体" w:eastAsia="新宋体" w:cs="Times New Roman"/>
                <w:szCs w:val="21"/>
              </w:rPr>
            </w:pPr>
            <w:r>
              <w:rPr>
                <w:rFonts w:hint="eastAsia" w:ascii="新宋体" w:hAnsi="新宋体" w:eastAsia="新宋体" w:cs="Times New Roman"/>
                <w:szCs w:val="21"/>
              </w:rPr>
              <w:t>（3）反复练习晤谈的各个步骤，直到熟练</w:t>
            </w:r>
          </w:p>
        </w:tc>
        <w:tc>
          <w:tcPr>
            <w:tcW w:w="709" w:type="dxa"/>
            <w:tcBorders>
              <w:top w:val="single" w:color="auto" w:sz="4" w:space="0"/>
              <w:left w:val="single" w:color="auto" w:sz="4" w:space="0"/>
              <w:bottom w:val="single" w:color="auto" w:sz="4" w:space="0"/>
              <w:right w:val="single" w:color="auto" w:sz="4" w:space="0"/>
            </w:tcBorders>
            <w:vAlign w:val="center"/>
          </w:tcPr>
          <w:p w14:paraId="36289D46">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7192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0A3A576E">
            <w:pPr>
              <w:spacing w:line="276" w:lineRule="auto"/>
              <w:jc w:val="center"/>
              <w:rPr>
                <w:rFonts w:hint="eastAsia" w:ascii="新宋体" w:hAnsi="新宋体" w:eastAsia="新宋体" w:cs="Times New Roman"/>
                <w:szCs w:val="21"/>
              </w:rPr>
            </w:pPr>
            <w:r>
              <w:rPr>
                <w:rFonts w:hint="eastAsia" w:ascii="新宋体" w:hAnsi="新宋体" w:eastAsia="新宋体" w:cs="Times New Roman"/>
                <w:szCs w:val="21"/>
              </w:rPr>
              <w:t>2</w:t>
            </w:r>
          </w:p>
        </w:tc>
        <w:tc>
          <w:tcPr>
            <w:tcW w:w="2396" w:type="dxa"/>
            <w:tcBorders>
              <w:top w:val="single" w:color="auto" w:sz="4" w:space="0"/>
              <w:left w:val="single" w:color="auto" w:sz="4" w:space="0"/>
              <w:bottom w:val="single" w:color="auto" w:sz="4" w:space="0"/>
              <w:right w:val="single" w:color="auto" w:sz="4" w:space="0"/>
            </w:tcBorders>
            <w:vAlign w:val="center"/>
          </w:tcPr>
          <w:p w14:paraId="7B38C184">
            <w:pPr>
              <w:adjustRightInd w:val="0"/>
              <w:spacing w:line="276" w:lineRule="auto"/>
              <w:rPr>
                <w:rFonts w:hint="eastAsia" w:ascii="宋体" w:hAnsi="宋体" w:eastAsia="宋体" w:cs="Times New Roman"/>
                <w:bCs/>
                <w:szCs w:val="21"/>
              </w:rPr>
            </w:pPr>
            <w:r>
              <w:rPr>
                <w:rFonts w:hint="eastAsia" w:ascii="宋体" w:hAnsi="宋体" w:eastAsia="宋体" w:cs="Times New Roman"/>
                <w:szCs w:val="21"/>
              </w:rPr>
              <w:t>游戏辅导设计</w:t>
            </w:r>
          </w:p>
        </w:tc>
        <w:tc>
          <w:tcPr>
            <w:tcW w:w="4252" w:type="dxa"/>
            <w:tcBorders>
              <w:top w:val="single" w:color="auto" w:sz="4" w:space="0"/>
              <w:left w:val="single" w:color="auto" w:sz="4" w:space="0"/>
              <w:bottom w:val="single" w:color="auto" w:sz="4" w:space="0"/>
              <w:right w:val="single" w:color="auto" w:sz="4" w:space="0"/>
            </w:tcBorders>
            <w:vAlign w:val="center"/>
          </w:tcPr>
          <w:p w14:paraId="4B64EBC0">
            <w:pPr>
              <w:spacing w:line="276" w:lineRule="auto"/>
              <w:rPr>
                <w:rFonts w:hint="eastAsia" w:ascii="宋体" w:hAnsi="宋体" w:eastAsia="宋体" w:cs="Times New Roman"/>
                <w:szCs w:val="21"/>
              </w:rPr>
            </w:pPr>
            <w:r>
              <w:rPr>
                <w:rFonts w:hint="eastAsia" w:ascii="宋体" w:hAnsi="宋体" w:eastAsia="宋体" w:cs="Times New Roman"/>
                <w:szCs w:val="21"/>
              </w:rPr>
              <w:t>实践内容：设计一个符合小学生心理发展特点并能促进小学生心理发展的游戏，并能在小组内实施</w:t>
            </w:r>
          </w:p>
          <w:p w14:paraId="79B4F5E5">
            <w:pPr>
              <w:spacing w:line="276" w:lineRule="auto"/>
              <w:rPr>
                <w:rFonts w:hint="eastAsia" w:ascii="宋体" w:hAnsi="宋体" w:eastAsia="宋体" w:cs="Times New Roman"/>
                <w:szCs w:val="21"/>
              </w:rPr>
            </w:pPr>
            <w:r>
              <w:rPr>
                <w:rFonts w:hint="eastAsia" w:ascii="宋体" w:hAnsi="宋体" w:eastAsia="宋体" w:cs="Times New Roman"/>
                <w:szCs w:val="21"/>
              </w:rPr>
              <w:t>实践要求：（1）游戏设计符合小学生心理特点，能针对性地对小学发展的某个方面进行辅导</w:t>
            </w:r>
          </w:p>
          <w:p w14:paraId="2E4A4788">
            <w:pPr>
              <w:spacing w:line="276" w:lineRule="auto"/>
              <w:rPr>
                <w:rFonts w:hint="eastAsia" w:ascii="宋体" w:hAnsi="宋体" w:eastAsia="宋体" w:cs="Times New Roman"/>
                <w:szCs w:val="21"/>
              </w:rPr>
            </w:pPr>
            <w:r>
              <w:rPr>
                <w:rFonts w:hint="eastAsia" w:ascii="宋体" w:hAnsi="宋体" w:eastAsia="宋体" w:cs="Times New Roman"/>
                <w:szCs w:val="21"/>
              </w:rPr>
              <w:t>（2）游戏安排时间合理，程序清楚，目标明确</w:t>
            </w:r>
          </w:p>
          <w:p w14:paraId="72A6F143">
            <w:pPr>
              <w:spacing w:line="276" w:lineRule="auto"/>
              <w:rPr>
                <w:rFonts w:hint="eastAsia" w:ascii="宋体" w:hAnsi="宋体" w:eastAsia="宋体" w:cs="Times New Roman"/>
                <w:szCs w:val="21"/>
              </w:rPr>
            </w:pPr>
            <w:r>
              <w:rPr>
                <w:rFonts w:hint="eastAsia" w:ascii="宋体" w:hAnsi="宋体" w:eastAsia="宋体" w:cs="Times New Roman"/>
                <w:szCs w:val="21"/>
              </w:rPr>
              <w:t>（3）游戏实施过程清晰，组织安排恰当</w:t>
            </w:r>
          </w:p>
        </w:tc>
        <w:tc>
          <w:tcPr>
            <w:tcW w:w="709" w:type="dxa"/>
            <w:tcBorders>
              <w:top w:val="single" w:color="auto" w:sz="4" w:space="0"/>
              <w:left w:val="single" w:color="auto" w:sz="4" w:space="0"/>
              <w:bottom w:val="single" w:color="auto" w:sz="4" w:space="0"/>
              <w:right w:val="single" w:color="auto" w:sz="4" w:space="0"/>
            </w:tcBorders>
            <w:vAlign w:val="center"/>
          </w:tcPr>
          <w:p w14:paraId="098294C6">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3EDB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0ECC99CD">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c>
          <w:tcPr>
            <w:tcW w:w="2396" w:type="dxa"/>
            <w:tcBorders>
              <w:top w:val="single" w:color="auto" w:sz="4" w:space="0"/>
              <w:left w:val="single" w:color="auto" w:sz="4" w:space="0"/>
              <w:bottom w:val="single" w:color="auto" w:sz="4" w:space="0"/>
              <w:right w:val="single" w:color="auto" w:sz="4" w:space="0"/>
            </w:tcBorders>
            <w:vAlign w:val="center"/>
          </w:tcPr>
          <w:p w14:paraId="5A3505BE">
            <w:pPr>
              <w:adjustRightInd w:val="0"/>
              <w:spacing w:line="276" w:lineRule="auto"/>
              <w:rPr>
                <w:rFonts w:hint="eastAsia" w:ascii="宋体" w:hAnsi="宋体" w:eastAsia="宋体" w:cs="Times New Roman"/>
                <w:bCs/>
                <w:szCs w:val="21"/>
              </w:rPr>
            </w:pPr>
            <w:r>
              <w:rPr>
                <w:rFonts w:hint="eastAsia" w:ascii="宋体" w:hAnsi="宋体" w:eastAsia="宋体" w:cs="Times New Roman"/>
                <w:szCs w:val="21"/>
              </w:rPr>
              <w:t>心理剧展演</w:t>
            </w:r>
          </w:p>
        </w:tc>
        <w:tc>
          <w:tcPr>
            <w:tcW w:w="4252" w:type="dxa"/>
            <w:tcBorders>
              <w:top w:val="single" w:color="auto" w:sz="4" w:space="0"/>
              <w:left w:val="single" w:color="auto" w:sz="4" w:space="0"/>
              <w:bottom w:val="single" w:color="auto" w:sz="4" w:space="0"/>
              <w:right w:val="single" w:color="auto" w:sz="4" w:space="0"/>
            </w:tcBorders>
            <w:vAlign w:val="center"/>
          </w:tcPr>
          <w:p w14:paraId="3F2A33AC">
            <w:pPr>
              <w:spacing w:line="276" w:lineRule="auto"/>
              <w:rPr>
                <w:rFonts w:hint="eastAsia" w:ascii="宋体" w:hAnsi="宋体" w:eastAsia="宋体" w:cs="Times New Roman"/>
                <w:szCs w:val="21"/>
              </w:rPr>
            </w:pPr>
            <w:r>
              <w:rPr>
                <w:rFonts w:hint="eastAsia" w:ascii="宋体" w:hAnsi="宋体" w:eastAsia="宋体" w:cs="Times New Roman"/>
                <w:szCs w:val="21"/>
              </w:rPr>
              <w:t>实践内容：小组合作创编一个心理剧并在演出</w:t>
            </w:r>
          </w:p>
          <w:p w14:paraId="510D2BAB">
            <w:pPr>
              <w:spacing w:line="276" w:lineRule="auto"/>
              <w:rPr>
                <w:rFonts w:hint="eastAsia" w:ascii="宋体" w:hAnsi="宋体" w:eastAsia="宋体" w:cs="Times New Roman"/>
                <w:szCs w:val="21"/>
              </w:rPr>
            </w:pPr>
            <w:r>
              <w:rPr>
                <w:rFonts w:hint="eastAsia" w:ascii="宋体" w:hAnsi="宋体" w:eastAsia="宋体" w:cs="Times New Roman"/>
                <w:szCs w:val="21"/>
              </w:rPr>
              <w:t>实践要求：（1）心理剧创编由小组合作完成，内容符合小学生特点，形式符合心理剧要求</w:t>
            </w:r>
          </w:p>
          <w:p w14:paraId="01512554">
            <w:pPr>
              <w:spacing w:line="276" w:lineRule="auto"/>
              <w:rPr>
                <w:rFonts w:hint="eastAsia" w:ascii="宋体" w:hAnsi="宋体" w:eastAsia="宋体" w:cs="Times New Roman"/>
                <w:szCs w:val="21"/>
              </w:rPr>
            </w:pPr>
            <w:r>
              <w:rPr>
                <w:rFonts w:hint="eastAsia" w:ascii="宋体" w:hAnsi="宋体" w:eastAsia="宋体" w:cs="Times New Roman"/>
                <w:szCs w:val="21"/>
              </w:rPr>
              <w:t>（2）各成员分工合理，能协同完成活动</w:t>
            </w:r>
          </w:p>
        </w:tc>
        <w:tc>
          <w:tcPr>
            <w:tcW w:w="709" w:type="dxa"/>
            <w:tcBorders>
              <w:top w:val="single" w:color="auto" w:sz="4" w:space="0"/>
              <w:left w:val="single" w:color="auto" w:sz="4" w:space="0"/>
              <w:bottom w:val="single" w:color="auto" w:sz="4" w:space="0"/>
              <w:right w:val="single" w:color="auto" w:sz="4" w:space="0"/>
            </w:tcBorders>
            <w:vAlign w:val="center"/>
          </w:tcPr>
          <w:p w14:paraId="2111B1B4">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186D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7334A55C">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c>
          <w:tcPr>
            <w:tcW w:w="2396" w:type="dxa"/>
            <w:tcBorders>
              <w:top w:val="single" w:color="auto" w:sz="4" w:space="0"/>
              <w:left w:val="single" w:color="auto" w:sz="4" w:space="0"/>
              <w:bottom w:val="single" w:color="auto" w:sz="4" w:space="0"/>
              <w:right w:val="single" w:color="auto" w:sz="4" w:space="0"/>
            </w:tcBorders>
            <w:vAlign w:val="center"/>
          </w:tcPr>
          <w:p w14:paraId="45B8B59B">
            <w:pPr>
              <w:adjustRightInd w:val="0"/>
              <w:spacing w:line="276" w:lineRule="auto"/>
              <w:rPr>
                <w:rFonts w:hint="eastAsia" w:ascii="宋体" w:hAnsi="宋体" w:eastAsia="宋体" w:cs="Times New Roman"/>
                <w:bCs/>
                <w:szCs w:val="21"/>
              </w:rPr>
            </w:pPr>
            <w:r>
              <w:rPr>
                <w:rFonts w:hint="eastAsia" w:ascii="宋体" w:hAnsi="宋体" w:eastAsia="宋体" w:cs="Times New Roman"/>
                <w:bCs/>
                <w:szCs w:val="21"/>
              </w:rPr>
              <w:t>模拟教学</w:t>
            </w:r>
          </w:p>
        </w:tc>
        <w:tc>
          <w:tcPr>
            <w:tcW w:w="4252" w:type="dxa"/>
            <w:tcBorders>
              <w:top w:val="single" w:color="auto" w:sz="4" w:space="0"/>
              <w:left w:val="single" w:color="auto" w:sz="4" w:space="0"/>
              <w:bottom w:val="single" w:color="auto" w:sz="4" w:space="0"/>
              <w:right w:val="single" w:color="auto" w:sz="4" w:space="0"/>
            </w:tcBorders>
            <w:vAlign w:val="center"/>
          </w:tcPr>
          <w:p w14:paraId="5A1BC676">
            <w:pPr>
              <w:spacing w:line="276" w:lineRule="auto"/>
              <w:rPr>
                <w:rFonts w:hint="eastAsia" w:ascii="宋体" w:hAnsi="宋体" w:eastAsia="宋体" w:cs="Times New Roman"/>
                <w:szCs w:val="21"/>
              </w:rPr>
            </w:pPr>
            <w:r>
              <w:rPr>
                <w:rFonts w:hint="eastAsia" w:ascii="宋体" w:hAnsi="宋体" w:eastAsia="宋体" w:cs="Times New Roman"/>
                <w:szCs w:val="21"/>
              </w:rPr>
              <w:t>实践内容：在微格教室完成心理一节心理辅导课的模拟教学</w:t>
            </w:r>
          </w:p>
          <w:p w14:paraId="76997DD2">
            <w:pPr>
              <w:spacing w:line="276" w:lineRule="auto"/>
              <w:rPr>
                <w:rFonts w:hint="eastAsia" w:ascii="宋体" w:hAnsi="宋体" w:eastAsia="宋体" w:cs="Times New Roman"/>
                <w:szCs w:val="21"/>
              </w:rPr>
            </w:pPr>
            <w:r>
              <w:rPr>
                <w:rFonts w:hint="eastAsia" w:ascii="宋体" w:hAnsi="宋体" w:eastAsia="宋体" w:cs="Times New Roman"/>
                <w:szCs w:val="21"/>
              </w:rPr>
              <w:t>实践要求：（1）模拟教学目标清楚、内容符合小学心理辅导课的要求</w:t>
            </w:r>
          </w:p>
          <w:p w14:paraId="797CE323">
            <w:pPr>
              <w:spacing w:line="276" w:lineRule="auto"/>
              <w:rPr>
                <w:rFonts w:hint="eastAsia" w:ascii="宋体" w:hAnsi="宋体" w:eastAsia="宋体" w:cs="Times New Roman"/>
                <w:szCs w:val="21"/>
              </w:rPr>
            </w:pPr>
            <w:r>
              <w:rPr>
                <w:rFonts w:hint="eastAsia" w:ascii="宋体" w:hAnsi="宋体" w:eastAsia="宋体" w:cs="Times New Roman"/>
                <w:szCs w:val="21"/>
              </w:rPr>
              <w:t>（2）能对模拟教学进行自评和互评</w:t>
            </w:r>
          </w:p>
        </w:tc>
        <w:tc>
          <w:tcPr>
            <w:tcW w:w="709" w:type="dxa"/>
            <w:tcBorders>
              <w:top w:val="single" w:color="auto" w:sz="4" w:space="0"/>
              <w:left w:val="single" w:color="auto" w:sz="4" w:space="0"/>
              <w:bottom w:val="single" w:color="auto" w:sz="4" w:space="0"/>
              <w:right w:val="single" w:color="auto" w:sz="4" w:space="0"/>
            </w:tcBorders>
            <w:vAlign w:val="center"/>
          </w:tcPr>
          <w:p w14:paraId="4722ADAD">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7181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3114" w:type="dxa"/>
            <w:gridSpan w:val="2"/>
            <w:tcBorders>
              <w:top w:val="single" w:color="auto" w:sz="4" w:space="0"/>
              <w:left w:val="single" w:color="auto" w:sz="4" w:space="0"/>
              <w:bottom w:val="single" w:color="auto" w:sz="4" w:space="0"/>
              <w:right w:val="single" w:color="auto" w:sz="4" w:space="0"/>
            </w:tcBorders>
            <w:vAlign w:val="center"/>
          </w:tcPr>
          <w:p w14:paraId="3F7A4149">
            <w:pPr>
              <w:adjustRightInd w:val="0"/>
              <w:spacing w:line="276" w:lineRule="auto"/>
              <w:rPr>
                <w:rFonts w:hint="eastAsia" w:ascii="新宋体" w:hAnsi="新宋体" w:eastAsia="新宋体" w:cs="Times New Roman"/>
                <w:bCs/>
                <w:szCs w:val="21"/>
              </w:rPr>
            </w:pPr>
            <w:r>
              <w:rPr>
                <w:rFonts w:hint="eastAsia" w:ascii="新宋体" w:hAnsi="新宋体" w:eastAsia="新宋体" w:cs="Times New Roman"/>
                <w:bCs/>
                <w:szCs w:val="21"/>
              </w:rPr>
              <w:t>合计</w:t>
            </w:r>
          </w:p>
        </w:tc>
        <w:tc>
          <w:tcPr>
            <w:tcW w:w="4252" w:type="dxa"/>
            <w:tcBorders>
              <w:top w:val="single" w:color="auto" w:sz="4" w:space="0"/>
              <w:left w:val="single" w:color="auto" w:sz="4" w:space="0"/>
              <w:bottom w:val="single" w:color="auto" w:sz="4" w:space="0"/>
              <w:right w:val="single" w:color="auto" w:sz="4" w:space="0"/>
            </w:tcBorders>
            <w:vAlign w:val="center"/>
          </w:tcPr>
          <w:p w14:paraId="502754C7">
            <w:pPr>
              <w:spacing w:line="276" w:lineRule="auto"/>
              <w:rPr>
                <w:rFonts w:hint="eastAsia" w:ascii="新宋体" w:hAnsi="新宋体" w:eastAsia="新宋体" w:cs="Times New Roman"/>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FEC262B">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8</w:t>
            </w:r>
          </w:p>
        </w:tc>
      </w:tr>
    </w:tbl>
    <w:p w14:paraId="7E986E1C">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六、有关说明</w:t>
      </w:r>
    </w:p>
    <w:p w14:paraId="38C5114C">
      <w:pPr>
        <w:spacing w:line="360" w:lineRule="auto"/>
        <w:rPr>
          <w:rFonts w:ascii="Calibri" w:hAnsi="Calibri" w:eastAsia="宋体" w:cs="Times New Roman"/>
          <w:b/>
          <w:color w:val="000000"/>
          <w:sz w:val="24"/>
        </w:rPr>
      </w:pPr>
      <w:r>
        <w:rPr>
          <w:rFonts w:hint="eastAsia" w:ascii="Calibri" w:hAnsi="Calibri" w:eastAsia="宋体" w:cs="Times New Roman"/>
          <w:b/>
          <w:color w:val="000000"/>
          <w:sz w:val="24"/>
        </w:rPr>
        <w:t>（一）持续改进</w:t>
      </w:r>
    </w:p>
    <w:p w14:paraId="7B356473">
      <w:pPr>
        <w:spacing w:line="360" w:lineRule="auto"/>
        <w:ind w:firstLine="480" w:firstLineChars="200"/>
        <w:rPr>
          <w:rFonts w:ascii="Calibri" w:hAnsi="Calibri" w:eastAsia="宋体" w:cs="Times New Roman"/>
          <w:sz w:val="24"/>
        </w:rPr>
      </w:pPr>
      <w:r>
        <w:rPr>
          <w:rFonts w:hint="eastAsia" w:ascii="Calibri" w:hAnsi="Calibri" w:eastAsia="宋体" w:cs="Times New Roman"/>
          <w:sz w:val="24"/>
        </w:rPr>
        <w:t>本课程根据学生作业、课堂讨论、实验环节、平时考核情况和学生、教学督导等的反馈，及时对教学中的不足之处进行改进，并在下一轮课程教学中整改完善，确保相应毕业要求指标点达成。</w:t>
      </w:r>
    </w:p>
    <w:p w14:paraId="4A5B99CC">
      <w:pPr>
        <w:spacing w:line="360" w:lineRule="auto"/>
        <w:rPr>
          <w:rFonts w:ascii="Calibri" w:hAnsi="Calibri" w:eastAsia="宋体" w:cs="Times New Roman"/>
          <w:b/>
          <w:color w:val="000000"/>
          <w:sz w:val="24"/>
        </w:rPr>
      </w:pPr>
      <w:r>
        <w:rPr>
          <w:rFonts w:hint="eastAsia" w:ascii="Calibri" w:hAnsi="Calibri" w:eastAsia="宋体" w:cs="Times New Roman"/>
          <w:b/>
          <w:color w:val="000000"/>
          <w:sz w:val="24"/>
        </w:rPr>
        <w:t>（二）参考书目及学习资料</w:t>
      </w:r>
    </w:p>
    <w:p w14:paraId="3727F111">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1.彭小虎，小学生心理辅导，华东师范大学出版社，2012</w:t>
      </w:r>
    </w:p>
    <w:p w14:paraId="1257D75F">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2.吴增强 主编，发展性心理辅导：理论与实务，上海科技教育出版社，2018</w:t>
      </w:r>
    </w:p>
    <w:p w14:paraId="4EEE01D8">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3.刘慧贤，郝红英.小学生心理健康与辅导，教育科学出版社，2013</w:t>
      </w:r>
    </w:p>
    <w:p w14:paraId="1BC9AD5D">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4.陶勑恒,郑洪利．小学生心理辅导（第二版）．高等教育出版社，2018．</w:t>
      </w:r>
    </w:p>
    <w:p w14:paraId="230C7FDC">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5.殷炳江．小学生心理健康教育．人民教育出版社，2003．</w:t>
      </w:r>
    </w:p>
    <w:p w14:paraId="3191E1CE">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6.</w:t>
      </w:r>
      <w:r>
        <w:rPr>
          <w:rFonts w:ascii="Times New Roman" w:hAnsi="Times New Roman" w:eastAsia="宋体" w:cs="Times New Roman"/>
        </w:rPr>
        <w:t xml:space="preserve"> </w:t>
      </w:r>
      <w:r>
        <w:rPr>
          <w:rFonts w:ascii="Times New Roman" w:hAnsi="Times New Roman" w:eastAsia="宋体" w:cs="Times New Roman"/>
          <w:kern w:val="0"/>
          <w:sz w:val="24"/>
          <w:szCs w:val="21"/>
        </w:rPr>
        <w:t xml:space="preserve">张艺馨，小学生心理辅导与咨询 ，北京师范大学出版社，2013 </w:t>
      </w:r>
    </w:p>
    <w:p w14:paraId="44906F3B">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 xml:space="preserve">7. 叶一舵著，中小学团体心理辅导活动350例（中小学心理健康教育案例丛书），福建教育出版社，2018 </w:t>
      </w:r>
    </w:p>
    <w:p w14:paraId="74080AA3">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8.郭黎岩，小学生心理健康与辅导（第2版），高等教育出版社，2014</w:t>
      </w:r>
    </w:p>
    <w:p w14:paraId="738D181B">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9.H．T．Prout &amp; D.T.Brown 著、林丹华等译．儿童青少年心理咨询与治疗．中国轻工业出版社，2002．</w:t>
      </w:r>
    </w:p>
    <w:p w14:paraId="06E2BE9F">
      <w:pPr>
        <w:autoSpaceDE w:val="0"/>
        <w:autoSpaceDN w:val="0"/>
        <w:adjustRightInd w:val="0"/>
        <w:spacing w:line="360" w:lineRule="auto"/>
        <w:rPr>
          <w:rFonts w:ascii="Calibri" w:hAnsi="Calibri" w:eastAsia="宋体" w:cs="Times New Roman"/>
          <w:kern w:val="0"/>
          <w:sz w:val="24"/>
          <w:szCs w:val="21"/>
        </w:rPr>
      </w:pPr>
    </w:p>
    <w:p w14:paraId="43B78226">
      <w:pPr>
        <w:autoSpaceDE w:val="0"/>
        <w:autoSpaceDN w:val="0"/>
        <w:adjustRightInd w:val="0"/>
        <w:spacing w:line="360" w:lineRule="auto"/>
        <w:jc w:val="left"/>
        <w:rPr>
          <w:rFonts w:ascii="Calibri" w:hAnsi="Calibri" w:eastAsia="宋体" w:cs="Times New Roman"/>
          <w:kern w:val="0"/>
          <w:sz w:val="24"/>
          <w:szCs w:val="21"/>
        </w:rPr>
      </w:pPr>
    </w:p>
    <w:p w14:paraId="7208C1F8">
      <w:pPr>
        <w:autoSpaceDE w:val="0"/>
        <w:autoSpaceDN w:val="0"/>
        <w:adjustRightInd w:val="0"/>
        <w:spacing w:line="360" w:lineRule="auto"/>
        <w:ind w:firstLine="6240" w:firstLineChars="2600"/>
        <w:jc w:val="left"/>
        <w:rPr>
          <w:rFonts w:ascii="Calibri" w:hAnsi="Calibri" w:eastAsia="宋体" w:cs="Times New Roman"/>
          <w:kern w:val="0"/>
          <w:sz w:val="24"/>
          <w:szCs w:val="21"/>
        </w:rPr>
      </w:pPr>
      <w:r>
        <w:rPr>
          <w:rFonts w:hint="eastAsia" w:ascii="Calibri" w:hAnsi="Calibri" w:eastAsia="宋体" w:cs="Times New Roman"/>
          <w:kern w:val="0"/>
          <w:sz w:val="24"/>
          <w:szCs w:val="21"/>
        </w:rPr>
        <w:t>执笔人：刘丽</w:t>
      </w:r>
    </w:p>
    <w:p w14:paraId="550642F3">
      <w:pPr>
        <w:autoSpaceDE w:val="0"/>
        <w:autoSpaceDN w:val="0"/>
        <w:adjustRightInd w:val="0"/>
        <w:spacing w:line="360" w:lineRule="auto"/>
        <w:ind w:firstLine="6240" w:firstLineChars="2600"/>
        <w:jc w:val="left"/>
        <w:rPr>
          <w:rFonts w:ascii="Calibri" w:hAnsi="Calibri" w:eastAsia="宋体" w:cs="Times New Roman"/>
          <w:kern w:val="0"/>
          <w:sz w:val="24"/>
          <w:szCs w:val="21"/>
        </w:rPr>
      </w:pPr>
      <w:r>
        <w:rPr>
          <w:rFonts w:hint="eastAsia" w:ascii="Calibri" w:hAnsi="Calibri" w:eastAsia="宋体" w:cs="Times New Roman"/>
          <w:kern w:val="0"/>
          <w:sz w:val="24"/>
          <w:szCs w:val="21"/>
        </w:rPr>
        <w:t>审定人：王健</w:t>
      </w:r>
    </w:p>
    <w:p w14:paraId="6C4347DB">
      <w:pPr>
        <w:autoSpaceDE w:val="0"/>
        <w:autoSpaceDN w:val="0"/>
        <w:adjustRightInd w:val="0"/>
        <w:spacing w:line="360" w:lineRule="auto"/>
        <w:ind w:firstLine="6240" w:firstLineChars="2600"/>
        <w:jc w:val="left"/>
        <w:rPr>
          <w:rFonts w:ascii="Calibri" w:hAnsi="Calibri" w:eastAsia="宋体" w:cs="Times New Roman"/>
          <w:kern w:val="0"/>
          <w:sz w:val="24"/>
          <w:szCs w:val="21"/>
        </w:rPr>
      </w:pPr>
      <w:r>
        <w:rPr>
          <w:rFonts w:hint="eastAsia" w:ascii="Calibri" w:hAnsi="Calibri" w:eastAsia="宋体" w:cs="Times New Roman"/>
          <w:kern w:val="0"/>
          <w:sz w:val="24"/>
          <w:szCs w:val="21"/>
        </w:rPr>
        <w:t>审批人：张志欣</w:t>
      </w:r>
    </w:p>
    <w:p w14:paraId="6C2885C1">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批准时间： 202</w:t>
      </w:r>
      <w:r>
        <w:rPr>
          <w:rFonts w:hint="eastAsia" w:ascii="Times New Roman" w:hAnsi="Times New Roman" w:eastAsia="宋体" w:cs="Times New Roman"/>
          <w:kern w:val="0"/>
          <w:sz w:val="24"/>
          <w:szCs w:val="21"/>
        </w:rPr>
        <w:t>4</w:t>
      </w:r>
      <w:r>
        <w:rPr>
          <w:rFonts w:ascii="Times New Roman" w:hAnsi="Times New Roman" w:eastAsia="宋体" w:cs="Times New Roman"/>
          <w:kern w:val="0"/>
          <w:sz w:val="24"/>
          <w:szCs w:val="21"/>
        </w:rPr>
        <w:t>年8月30日</w:t>
      </w:r>
    </w:p>
    <w:p w14:paraId="69A03E36">
      <w:pPr>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437F9C9F">
      <w:pPr>
        <w:pStyle w:val="2"/>
      </w:pPr>
      <w:bookmarkStart w:id="181" w:name="_Toc1545"/>
      <w:bookmarkStart w:id="182" w:name="_Toc8734"/>
      <w:r>
        <w:rPr>
          <w:rFonts w:hint="eastAsia"/>
        </w:rPr>
        <w:t>《小学跨学科学习》课程教学大纲</w:t>
      </w:r>
      <w:bookmarkEnd w:id="181"/>
      <w:bookmarkEnd w:id="182"/>
    </w:p>
    <w:p w14:paraId="11A85509">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Interdisciplinary Learning in Primary School</w:t>
      </w:r>
      <w:r>
        <w:rPr>
          <w:rFonts w:ascii="Times New Roman" w:hAnsi="Times New Roman" w:eastAsia="宋体" w:cs="Times New Roman"/>
          <w:b/>
          <w:bCs/>
          <w:sz w:val="28"/>
          <w:szCs w:val="28"/>
        </w:rPr>
        <w:t>）</w:t>
      </w:r>
    </w:p>
    <w:p w14:paraId="01D2E283">
      <w:pPr>
        <w:spacing w:line="360" w:lineRule="auto"/>
        <w:jc w:val="center"/>
        <w:rPr>
          <w:rFonts w:ascii="Times New Roman" w:hAnsi="Times New Roman" w:eastAsia="宋体" w:cs="Times New Roman"/>
          <w:bCs/>
          <w:sz w:val="30"/>
          <w:szCs w:val="30"/>
        </w:rPr>
      </w:pPr>
    </w:p>
    <w:p w14:paraId="12485D7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课程名称：小学跨学科学习</w:t>
      </w:r>
    </w:p>
    <w:p w14:paraId="7D362F3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课程代码：2401062</w:t>
      </w:r>
    </w:p>
    <w:p w14:paraId="22BF30E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1BC487A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5D94FB2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先修课程：小学心理学、教育原理、学科课程与教学论、教育心理学、学科课程标准与教材分析</w:t>
      </w:r>
    </w:p>
    <w:p w14:paraId="377470D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091AE319">
      <w:pPr>
        <w:spacing w:line="360" w:lineRule="auto"/>
        <w:jc w:val="left"/>
        <w:rPr>
          <w:rFonts w:ascii="Times New Roman" w:hAnsi="Times New Roman" w:eastAsia="宋体" w:cs="Times New Roman"/>
          <w:b/>
          <w:sz w:val="24"/>
        </w:rPr>
      </w:pPr>
    </w:p>
    <w:p w14:paraId="6786DF84">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3C39B5F4">
      <w:pPr>
        <w:spacing w:line="360" w:lineRule="auto"/>
        <w:ind w:firstLine="420" w:firstLineChars="200"/>
        <w:jc w:val="left"/>
        <w:rPr>
          <w:rFonts w:hint="eastAsia" w:ascii="宋体" w:hAnsi="宋体" w:eastAsia="宋体" w:cs="Times New Roman"/>
          <w:b/>
          <w:color w:val="000000"/>
          <w:szCs w:val="21"/>
        </w:rPr>
      </w:pPr>
      <w:r>
        <w:rPr>
          <w:rFonts w:hint="eastAsia" w:ascii="Times New Roman" w:hAnsi="Times New Roman" w:eastAsia="宋体" w:cs="Times New Roman"/>
          <w:szCs w:val="21"/>
        </w:rPr>
        <w:t>本课程是小学教育专业的专业基础选修课。通过本课程的学习，学生在了解跨学科学习的背景、意义、类型的基础上，形成自觉主动的跨学科意识，真正理解为什么跨学科学习、跨学科究竟要跨什么；掌握跨学科学习设计与实施过程中的主题确定、目标确定、任务设计、评价设计，能够科学开展跨学科主题学习教研活动，将新课标理念落实到教育教学中。</w:t>
      </w:r>
    </w:p>
    <w:p w14:paraId="0D0613CE">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3D328839">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6A0C9FF">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 xml:space="preserve">目标1. </w:t>
      </w:r>
      <w:r>
        <w:rPr>
          <w:rFonts w:hint="eastAsia" w:ascii="Times New Roman" w:hAnsi="Times New Roman" w:eastAsia="宋体" w:cs="Times New Roman"/>
          <w:bCs/>
          <w:szCs w:val="21"/>
        </w:rPr>
        <w:t>了解跨学科学习的概念、功能、类型；掌握跨学科学习设计与实施过程中的主题确定、目标确定、任务设计、评价设计的基础知识和基本原理。</w:t>
      </w:r>
    </w:p>
    <w:p w14:paraId="71722CED">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 xml:space="preserve">目标2. </w:t>
      </w:r>
      <w:r>
        <w:rPr>
          <w:rFonts w:hint="eastAsia" w:ascii="Times New Roman" w:hAnsi="Times New Roman" w:eastAsia="宋体" w:cs="Times New Roman"/>
          <w:bCs/>
          <w:szCs w:val="21"/>
        </w:rPr>
        <w:t>能够从小学生学习和发展的角度，主动加强学科间的内容关联，主动建立学科思想和方法的关联，并将其转化为有真实情境的、小学生能够主动介入的学习主题；能够科学开展跨学科主题学习教研活动。</w:t>
      </w:r>
    </w:p>
    <w:p w14:paraId="44327283">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 xml:space="preserve">目标3. </w:t>
      </w:r>
      <w:r>
        <w:rPr>
          <w:rFonts w:hint="eastAsia" w:ascii="Times New Roman" w:hAnsi="Times New Roman" w:eastAsia="宋体" w:cs="Times New Roman"/>
          <w:bCs/>
          <w:szCs w:val="21"/>
        </w:rPr>
        <w:t>理解跨学科学习的意义及重要性，明确跨学科学习的学科立场；通过关键问题解读、典型课例解析，真正理解为什么跨、跨什么、怎么跨，形成自觉主动的跨学科意识。</w:t>
      </w:r>
    </w:p>
    <w:p w14:paraId="5E5FF384">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4CC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20DE65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A49A9B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46FF8CD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4CE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27D464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0AFCED0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指标点3-4：【注重知识整合】了解所教学科与其他学科及与社会实践、小学生生活实践之间的联系，了解学科整合的在小学教育中的价值，具有跨学科解决问题的意识和能力，能指导综合性学科教学活动。</w:t>
            </w:r>
          </w:p>
        </w:tc>
        <w:tc>
          <w:tcPr>
            <w:tcW w:w="1191" w:type="dxa"/>
            <w:vAlign w:val="center"/>
          </w:tcPr>
          <w:p w14:paraId="241DEEF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p w14:paraId="2B65A09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课程目标2课程目标3</w:t>
            </w:r>
          </w:p>
        </w:tc>
      </w:tr>
      <w:tr w14:paraId="7BB0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DC52C1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毕业要求4教学能力</w:t>
            </w:r>
          </w:p>
        </w:tc>
        <w:tc>
          <w:tcPr>
            <w:tcW w:w="5688" w:type="dxa"/>
            <w:vAlign w:val="center"/>
          </w:tcPr>
          <w:p w14:paraId="5039FDF8">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4-2：【教学实施与评价科学】掌握小学教师基本功技能，包括书写技能、沟通与表达技能、信息技术运用技能等。获得全面的小学教学体验，掌握学科教学的基本方法与策略，能独立进行教学设计、实施和评价。</w:t>
            </w:r>
          </w:p>
        </w:tc>
        <w:tc>
          <w:tcPr>
            <w:tcW w:w="1191" w:type="dxa"/>
            <w:vAlign w:val="center"/>
          </w:tcPr>
          <w:p w14:paraId="5BD0FE1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4218C07D">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4A9D52D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深刻理解跨学科学习的价值、理念和本质特征，形成跨学科意识、终身学习意识与研究意识，努力成为“四有”好老师；积极响应国家对教师跨学科素养培育的要求，科学开展跨学科主题学习活动，将新课标理念落实到教育教学中。</w:t>
      </w:r>
    </w:p>
    <w:p w14:paraId="10804E10">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750"/>
        <w:gridCol w:w="825"/>
        <w:gridCol w:w="2875"/>
        <w:gridCol w:w="1490"/>
        <w:gridCol w:w="438"/>
      </w:tblGrid>
      <w:tr w14:paraId="46AB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0" w:type="dxa"/>
            <w:vAlign w:val="center"/>
          </w:tcPr>
          <w:p w14:paraId="253F7FA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100FDF5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750" w:type="dxa"/>
            <w:vAlign w:val="center"/>
          </w:tcPr>
          <w:p w14:paraId="4BF8BC2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825" w:type="dxa"/>
            <w:vAlign w:val="center"/>
          </w:tcPr>
          <w:p w14:paraId="2056844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321C568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875" w:type="dxa"/>
            <w:vAlign w:val="center"/>
          </w:tcPr>
          <w:p w14:paraId="04314E1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490" w:type="dxa"/>
            <w:vAlign w:val="center"/>
          </w:tcPr>
          <w:p w14:paraId="728EA82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65D565B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3ABD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4B0B7B3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1.跨学科学习的意义与功能</w:t>
            </w:r>
          </w:p>
        </w:tc>
        <w:tc>
          <w:tcPr>
            <w:tcW w:w="2750" w:type="dxa"/>
            <w:vAlign w:val="center"/>
          </w:tcPr>
          <w:p w14:paraId="1281CD5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（1）跨学科学习的含义</w:t>
            </w:r>
          </w:p>
          <w:p w14:paraId="18AE269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（2）设置跨学科学习的意义</w:t>
            </w:r>
          </w:p>
          <w:p w14:paraId="6C0C49D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（3）跨学科学习的功能</w:t>
            </w:r>
          </w:p>
          <w:p w14:paraId="2E79EA7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（4）跨学科学习的学科立场</w:t>
            </w:r>
          </w:p>
        </w:tc>
        <w:tc>
          <w:tcPr>
            <w:tcW w:w="825" w:type="dxa"/>
            <w:vAlign w:val="center"/>
          </w:tcPr>
          <w:p w14:paraId="1625A38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课程目标3</w:t>
            </w:r>
          </w:p>
        </w:tc>
        <w:tc>
          <w:tcPr>
            <w:tcW w:w="2875" w:type="dxa"/>
            <w:vAlign w:val="center"/>
          </w:tcPr>
          <w:p w14:paraId="3CFFAEB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1.理解跨学科学习的概念表述；</w:t>
            </w:r>
          </w:p>
          <w:p w14:paraId="37DE643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2.了解跨学科学习的意义、功能与学科立场。</w:t>
            </w:r>
          </w:p>
          <w:p w14:paraId="69B6911A">
            <w:pPr>
              <w:spacing w:line="269" w:lineRule="auto"/>
              <w:jc w:val="left"/>
              <w:rPr>
                <w:rFonts w:hint="eastAsia" w:ascii="宋体" w:hAnsi="宋体" w:eastAsia="宋体" w:cs="Times New Roman"/>
                <w:color w:val="000000"/>
                <w:szCs w:val="21"/>
              </w:rPr>
            </w:pPr>
          </w:p>
        </w:tc>
        <w:tc>
          <w:tcPr>
            <w:tcW w:w="1490" w:type="dxa"/>
            <w:vAlign w:val="center"/>
          </w:tcPr>
          <w:p w14:paraId="1BE9827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683ED7E9">
            <w:pPr>
              <w:spacing w:line="269" w:lineRule="auto"/>
              <w:jc w:val="left"/>
              <w:rPr>
                <w:rFonts w:hint="eastAsia" w:ascii="宋体" w:hAnsi="宋体" w:eastAsia="宋体" w:cs="Times New Roman"/>
                <w:color w:val="000000"/>
                <w:szCs w:val="21"/>
              </w:rPr>
            </w:pPr>
          </w:p>
        </w:tc>
        <w:tc>
          <w:tcPr>
            <w:tcW w:w="438" w:type="dxa"/>
            <w:vAlign w:val="center"/>
          </w:tcPr>
          <w:p w14:paraId="4DEDE6D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4B85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04101A86">
            <w:pPr>
              <w:spacing w:line="264" w:lineRule="auto"/>
              <w:jc w:val="center"/>
              <w:rPr>
                <w:rFonts w:hint="eastAsia" w:ascii="宋体" w:hAnsi="宋体" w:eastAsia="宋体" w:cs="Times New Roman"/>
                <w:color w:val="000000"/>
                <w:szCs w:val="21"/>
              </w:rPr>
            </w:pPr>
          </w:p>
        </w:tc>
        <w:tc>
          <w:tcPr>
            <w:tcW w:w="8378" w:type="dxa"/>
            <w:gridSpan w:val="5"/>
            <w:vAlign w:val="center"/>
          </w:tcPr>
          <w:p w14:paraId="78D62CE4">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在中国式现代化、教育强国、人才强国背景下理解跨学科学习与时代新人培养的意义，结合我国人才素养要求，与时俱进，开拓创新，立志为中华民族伟大复兴培养高素质人才奠基。</w:t>
            </w:r>
          </w:p>
        </w:tc>
      </w:tr>
      <w:tr w14:paraId="56EE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4C2087B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2.跨学科学习的基本类型、实施要点与进阶安排</w:t>
            </w:r>
          </w:p>
        </w:tc>
        <w:tc>
          <w:tcPr>
            <w:tcW w:w="2750" w:type="dxa"/>
            <w:vAlign w:val="center"/>
          </w:tcPr>
          <w:p w14:paraId="17030A5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（1）跨学科学习的基本类型</w:t>
            </w:r>
          </w:p>
          <w:p w14:paraId="6AB162E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（2）跨学科学习的实施要点</w:t>
            </w:r>
          </w:p>
          <w:p w14:paraId="322D39C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（3）跨学科学习的进阶安排</w:t>
            </w:r>
          </w:p>
        </w:tc>
        <w:tc>
          <w:tcPr>
            <w:tcW w:w="825" w:type="dxa"/>
            <w:vAlign w:val="center"/>
          </w:tcPr>
          <w:p w14:paraId="0C0F322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2875" w:type="dxa"/>
            <w:vAlign w:val="center"/>
          </w:tcPr>
          <w:p w14:paraId="3E04FE3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1.正确理解并掌握跨学科学习的基本类型与实施要点；</w:t>
            </w:r>
          </w:p>
          <w:p w14:paraId="6098F58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2.理解跨学科学习进阶安排的含义、依据、基本思路与支持工具。</w:t>
            </w:r>
          </w:p>
        </w:tc>
        <w:tc>
          <w:tcPr>
            <w:tcW w:w="1490" w:type="dxa"/>
            <w:vAlign w:val="center"/>
          </w:tcPr>
          <w:p w14:paraId="670FC6F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635178F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79A067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7AF6537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0515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0C4CFAE7">
            <w:pPr>
              <w:spacing w:line="264" w:lineRule="auto"/>
              <w:jc w:val="center"/>
              <w:rPr>
                <w:rFonts w:hint="eastAsia" w:ascii="宋体" w:hAnsi="宋体" w:eastAsia="宋体" w:cs="Times New Roman"/>
                <w:color w:val="000000"/>
                <w:szCs w:val="21"/>
              </w:rPr>
            </w:pPr>
          </w:p>
        </w:tc>
        <w:tc>
          <w:tcPr>
            <w:tcW w:w="8378" w:type="dxa"/>
            <w:gridSpan w:val="5"/>
            <w:vAlign w:val="center"/>
          </w:tcPr>
          <w:p w14:paraId="0042286B">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形成对跨学科学习的正确认识，理解跨学科学习的重要性。</w:t>
            </w:r>
          </w:p>
        </w:tc>
      </w:tr>
      <w:tr w14:paraId="4931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1BAC9ED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3.跨学科学习的主题确定</w:t>
            </w:r>
          </w:p>
        </w:tc>
        <w:tc>
          <w:tcPr>
            <w:tcW w:w="2750" w:type="dxa"/>
            <w:vAlign w:val="center"/>
          </w:tcPr>
          <w:p w14:paraId="4856E08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（1）确立主题的主要依据</w:t>
            </w:r>
          </w:p>
          <w:p w14:paraId="47F0921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（2）主题应具备的重要特征</w:t>
            </w:r>
          </w:p>
          <w:p w14:paraId="7320717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（3）主题的表述要点</w:t>
            </w:r>
          </w:p>
        </w:tc>
        <w:tc>
          <w:tcPr>
            <w:tcW w:w="825" w:type="dxa"/>
            <w:vAlign w:val="center"/>
          </w:tcPr>
          <w:p w14:paraId="3EACB8A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875" w:type="dxa"/>
            <w:vAlign w:val="center"/>
          </w:tcPr>
          <w:p w14:paraId="0335500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1.理解确立主题的主要依据；</w:t>
            </w:r>
          </w:p>
          <w:p w14:paraId="2F4B5F6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2.掌握主题应具备的主要特征；</w:t>
            </w:r>
          </w:p>
          <w:p w14:paraId="7997C3D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3.能够正确的进行主题表述。</w:t>
            </w:r>
          </w:p>
        </w:tc>
        <w:tc>
          <w:tcPr>
            <w:tcW w:w="1490" w:type="dxa"/>
            <w:vAlign w:val="center"/>
          </w:tcPr>
          <w:p w14:paraId="4E41F723">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3B2CB50">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D2E8E7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E1CFD6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5208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18149D0A">
            <w:pPr>
              <w:spacing w:line="264" w:lineRule="auto"/>
              <w:jc w:val="center"/>
              <w:rPr>
                <w:rFonts w:hint="eastAsia" w:ascii="宋体" w:hAnsi="宋体" w:eastAsia="宋体" w:cs="Times New Roman"/>
                <w:color w:val="000000"/>
                <w:szCs w:val="21"/>
              </w:rPr>
            </w:pPr>
          </w:p>
        </w:tc>
        <w:tc>
          <w:tcPr>
            <w:tcW w:w="8378" w:type="dxa"/>
            <w:gridSpan w:val="5"/>
            <w:vAlign w:val="center"/>
          </w:tcPr>
          <w:p w14:paraId="69D957C1">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结合案例，理解跨学科学习的重要性以及教师开展跨学科教学应具备的素养，树立终身学习意识，努力成为“四有”好老师。</w:t>
            </w:r>
          </w:p>
        </w:tc>
      </w:tr>
      <w:tr w14:paraId="4B0A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2B280C8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4.跨学科主题学习的目标确定</w:t>
            </w:r>
          </w:p>
        </w:tc>
        <w:tc>
          <w:tcPr>
            <w:tcW w:w="2750" w:type="dxa"/>
            <w:vAlign w:val="center"/>
          </w:tcPr>
          <w:p w14:paraId="3A74E2F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（1）确定目标的基本依据</w:t>
            </w:r>
          </w:p>
          <w:p w14:paraId="313414B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（2）目标的基本要点</w:t>
            </w:r>
          </w:p>
          <w:p w14:paraId="360B9B6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（3）目标的表述方式</w:t>
            </w:r>
          </w:p>
        </w:tc>
        <w:tc>
          <w:tcPr>
            <w:tcW w:w="825" w:type="dxa"/>
            <w:vAlign w:val="center"/>
          </w:tcPr>
          <w:p w14:paraId="76559FF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875" w:type="dxa"/>
            <w:vAlign w:val="center"/>
          </w:tcPr>
          <w:p w14:paraId="4DE7005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1.理解跨学科学习目标确定的基本依据；</w:t>
            </w:r>
          </w:p>
          <w:p w14:paraId="32046D8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2.掌握跨学科学习目标的基本要点与表述方式；</w:t>
            </w:r>
          </w:p>
          <w:p w14:paraId="6EE9E9A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3.能够进行科学的目标表述。</w:t>
            </w:r>
          </w:p>
        </w:tc>
        <w:tc>
          <w:tcPr>
            <w:tcW w:w="1490" w:type="dxa"/>
            <w:vAlign w:val="center"/>
          </w:tcPr>
          <w:p w14:paraId="1EB53B7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9B79DC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42B8DD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5ED48B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409C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75C6A629">
            <w:pPr>
              <w:spacing w:line="276" w:lineRule="auto"/>
              <w:jc w:val="center"/>
              <w:rPr>
                <w:rFonts w:hint="eastAsia" w:ascii="宋体" w:hAnsi="宋体" w:eastAsia="宋体" w:cs="Times New Roman"/>
                <w:color w:val="000000"/>
                <w:szCs w:val="21"/>
              </w:rPr>
            </w:pPr>
          </w:p>
        </w:tc>
        <w:tc>
          <w:tcPr>
            <w:tcW w:w="8378" w:type="dxa"/>
            <w:gridSpan w:val="5"/>
            <w:vAlign w:val="center"/>
          </w:tcPr>
          <w:p w14:paraId="60E15C3E">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结合案例，理解跨学科学习的重要性以及教师开展跨学科教学应具备的素养，树立终身学习意识，努力成为“四有”好老师。</w:t>
            </w:r>
          </w:p>
        </w:tc>
      </w:tr>
      <w:tr w14:paraId="2EE0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5399F79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5.跨学科学习的任务设计</w:t>
            </w:r>
          </w:p>
        </w:tc>
        <w:tc>
          <w:tcPr>
            <w:tcW w:w="2750" w:type="dxa"/>
            <w:vAlign w:val="center"/>
          </w:tcPr>
          <w:p w14:paraId="54BC490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（1）任务设计的依据</w:t>
            </w:r>
          </w:p>
          <w:p w14:paraId="564A5DF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（2）任务设计的流程</w:t>
            </w:r>
          </w:p>
          <w:p w14:paraId="7E03D76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（3）任务设计自评</w:t>
            </w:r>
          </w:p>
        </w:tc>
        <w:tc>
          <w:tcPr>
            <w:tcW w:w="825" w:type="dxa"/>
            <w:vAlign w:val="center"/>
          </w:tcPr>
          <w:p w14:paraId="746C2C6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875" w:type="dxa"/>
            <w:vAlign w:val="center"/>
          </w:tcPr>
          <w:p w14:paraId="74EFD05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1.掌握跨学科学习任务设计的依据与流程；</w:t>
            </w:r>
          </w:p>
          <w:p w14:paraId="2F19907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2.能够进行任务设计并进行自评。</w:t>
            </w:r>
          </w:p>
        </w:tc>
        <w:tc>
          <w:tcPr>
            <w:tcW w:w="1490" w:type="dxa"/>
            <w:vAlign w:val="center"/>
          </w:tcPr>
          <w:p w14:paraId="02C84236">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7A0B35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4B0CBA0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24A13A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60CE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646B7945">
            <w:pPr>
              <w:spacing w:line="276" w:lineRule="auto"/>
              <w:jc w:val="center"/>
              <w:rPr>
                <w:rFonts w:hint="eastAsia" w:ascii="宋体" w:hAnsi="宋体" w:eastAsia="宋体" w:cs="Times New Roman"/>
                <w:color w:val="000000"/>
                <w:szCs w:val="21"/>
              </w:rPr>
            </w:pPr>
          </w:p>
        </w:tc>
        <w:tc>
          <w:tcPr>
            <w:tcW w:w="8378" w:type="dxa"/>
            <w:gridSpan w:val="5"/>
            <w:vAlign w:val="center"/>
          </w:tcPr>
          <w:p w14:paraId="0A1849A6">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结合案例，理解跨学科学习的重要性以及教师开展跨学科教学应具备的素养，树立终身学习意识，努力成为“四有”好老师。</w:t>
            </w:r>
          </w:p>
        </w:tc>
      </w:tr>
      <w:tr w14:paraId="196D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6011E5E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6.跨学科学习的评价设计</w:t>
            </w:r>
          </w:p>
        </w:tc>
        <w:tc>
          <w:tcPr>
            <w:tcW w:w="2750" w:type="dxa"/>
            <w:vAlign w:val="center"/>
          </w:tcPr>
          <w:p w14:paraId="29ACA9D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（1）评价设计的基本依据</w:t>
            </w:r>
          </w:p>
          <w:p w14:paraId="5FFCE41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（2）评价设计要点</w:t>
            </w:r>
          </w:p>
          <w:p w14:paraId="03C8172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（3）引导学生参与评价</w:t>
            </w:r>
          </w:p>
        </w:tc>
        <w:tc>
          <w:tcPr>
            <w:tcW w:w="825" w:type="dxa"/>
            <w:vAlign w:val="center"/>
          </w:tcPr>
          <w:p w14:paraId="2E2D459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875" w:type="dxa"/>
            <w:vAlign w:val="center"/>
          </w:tcPr>
          <w:p w14:paraId="19D315C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1.理解跨学科学习评价设计的依据、掌握评价设计的要点；</w:t>
            </w:r>
          </w:p>
          <w:p w14:paraId="51F688E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2.能够引导学生参与评价。</w:t>
            </w:r>
          </w:p>
        </w:tc>
        <w:tc>
          <w:tcPr>
            <w:tcW w:w="1490" w:type="dxa"/>
            <w:vAlign w:val="center"/>
          </w:tcPr>
          <w:p w14:paraId="79EE95B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0F2E6E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1191CA5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10D61C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4E2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1F9DFC73">
            <w:pPr>
              <w:spacing w:line="276" w:lineRule="auto"/>
              <w:jc w:val="center"/>
              <w:rPr>
                <w:rFonts w:hint="eastAsia" w:ascii="宋体" w:hAnsi="宋体" w:eastAsia="宋体" w:cs="Times New Roman"/>
                <w:color w:val="000000"/>
                <w:szCs w:val="21"/>
              </w:rPr>
            </w:pPr>
          </w:p>
        </w:tc>
        <w:tc>
          <w:tcPr>
            <w:tcW w:w="8378" w:type="dxa"/>
            <w:gridSpan w:val="5"/>
            <w:vAlign w:val="center"/>
          </w:tcPr>
          <w:p w14:paraId="0AEA9854">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结合案例，理解跨学科学习的重要性以及教师开展跨学科教学应具备的素养，树立终身学习意识，努力成为“四有”好老师。</w:t>
            </w:r>
          </w:p>
        </w:tc>
      </w:tr>
      <w:tr w14:paraId="3A60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6225CD7C">
            <w:pPr>
              <w:spacing w:line="276" w:lineRule="auto"/>
              <w:jc w:val="center"/>
              <w:rPr>
                <w:rFonts w:hint="eastAsia" w:ascii="宋体" w:hAnsi="宋体" w:eastAsia="宋体" w:cs="Times New Roman"/>
                <w:szCs w:val="21"/>
              </w:rPr>
            </w:pPr>
            <w:r>
              <w:rPr>
                <w:rFonts w:hint="eastAsia" w:ascii="宋体" w:hAnsi="宋体" w:eastAsia="宋体" w:cs="Times New Roman"/>
                <w:szCs w:val="21"/>
              </w:rPr>
              <w:t>7.跨学科学习的教研活动</w:t>
            </w:r>
          </w:p>
        </w:tc>
        <w:tc>
          <w:tcPr>
            <w:tcW w:w="2750" w:type="dxa"/>
            <w:vAlign w:val="center"/>
          </w:tcPr>
          <w:p w14:paraId="5F48FA8B">
            <w:pPr>
              <w:spacing w:line="276" w:lineRule="auto"/>
              <w:jc w:val="left"/>
              <w:rPr>
                <w:rFonts w:hint="eastAsia" w:ascii="宋体" w:hAnsi="宋体" w:eastAsia="宋体" w:cs="Times New Roman"/>
                <w:szCs w:val="21"/>
              </w:rPr>
            </w:pPr>
            <w:r>
              <w:rPr>
                <w:rFonts w:hint="eastAsia" w:ascii="宋体" w:hAnsi="宋体" w:eastAsia="宋体" w:cs="Times New Roman"/>
                <w:szCs w:val="21"/>
              </w:rPr>
              <w:t>（1）价值与难点</w:t>
            </w:r>
          </w:p>
          <w:p w14:paraId="0DC080F0">
            <w:pPr>
              <w:spacing w:line="276" w:lineRule="auto"/>
              <w:jc w:val="left"/>
              <w:rPr>
                <w:rFonts w:hint="eastAsia" w:ascii="宋体" w:hAnsi="宋体" w:eastAsia="宋体" w:cs="Times New Roman"/>
                <w:szCs w:val="21"/>
              </w:rPr>
            </w:pPr>
            <w:r>
              <w:rPr>
                <w:rFonts w:hint="eastAsia" w:ascii="宋体" w:hAnsi="宋体" w:eastAsia="宋体" w:cs="Times New Roman"/>
                <w:szCs w:val="21"/>
              </w:rPr>
              <w:t>（2）基本类型</w:t>
            </w:r>
          </w:p>
          <w:p w14:paraId="2D1F33E2">
            <w:pPr>
              <w:spacing w:line="276" w:lineRule="auto"/>
              <w:jc w:val="left"/>
              <w:rPr>
                <w:rFonts w:hint="eastAsia" w:ascii="宋体" w:hAnsi="宋体" w:eastAsia="宋体" w:cs="Times New Roman"/>
                <w:szCs w:val="21"/>
              </w:rPr>
            </w:pPr>
            <w:r>
              <w:rPr>
                <w:rFonts w:hint="eastAsia" w:ascii="宋体" w:hAnsi="宋体" w:eastAsia="宋体" w:cs="Times New Roman"/>
                <w:szCs w:val="21"/>
              </w:rPr>
              <w:t>（3）基本流程和关键要素</w:t>
            </w:r>
          </w:p>
        </w:tc>
        <w:tc>
          <w:tcPr>
            <w:tcW w:w="825" w:type="dxa"/>
            <w:vAlign w:val="center"/>
          </w:tcPr>
          <w:p w14:paraId="21161D8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875" w:type="dxa"/>
            <w:vAlign w:val="center"/>
          </w:tcPr>
          <w:p w14:paraId="68776EE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1.了解跨学科学习教研活动的价值与难点，掌握教研活动的类型与基本流程；</w:t>
            </w:r>
          </w:p>
          <w:p w14:paraId="48E669D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2.能够开展跨学科学习教研活动；</w:t>
            </w:r>
          </w:p>
        </w:tc>
        <w:tc>
          <w:tcPr>
            <w:tcW w:w="1490" w:type="dxa"/>
            <w:vAlign w:val="center"/>
          </w:tcPr>
          <w:p w14:paraId="4A7803D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93971E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2BD2A5D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B3138E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724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21145829">
            <w:pPr>
              <w:spacing w:line="276" w:lineRule="auto"/>
              <w:jc w:val="center"/>
              <w:rPr>
                <w:rFonts w:hint="eastAsia" w:ascii="宋体" w:hAnsi="宋体" w:eastAsia="宋体" w:cs="Times New Roman"/>
                <w:color w:val="000000"/>
                <w:szCs w:val="21"/>
              </w:rPr>
            </w:pPr>
          </w:p>
        </w:tc>
        <w:tc>
          <w:tcPr>
            <w:tcW w:w="8378" w:type="dxa"/>
            <w:gridSpan w:val="5"/>
            <w:vAlign w:val="center"/>
          </w:tcPr>
          <w:p w14:paraId="2486EC52">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结合案例，理解开展跨学科学习教研活动的重要性，树立终身学习意识与研究意识，努力成为“四有”好老师。</w:t>
            </w:r>
          </w:p>
        </w:tc>
      </w:tr>
    </w:tbl>
    <w:p w14:paraId="09FD93AF">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6017611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BF471E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BC21D0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140"/>
        <w:gridCol w:w="1110"/>
        <w:gridCol w:w="1425"/>
        <w:gridCol w:w="1170"/>
        <w:gridCol w:w="1575"/>
        <w:gridCol w:w="1140"/>
      </w:tblGrid>
      <w:tr w14:paraId="22D3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10E18B3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420" w:type="dxa"/>
            <w:gridSpan w:val="5"/>
            <w:vAlign w:val="center"/>
          </w:tcPr>
          <w:p w14:paraId="37A66A76">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064F1487">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5512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18DEC5AB">
            <w:pPr>
              <w:spacing w:line="360" w:lineRule="auto"/>
              <w:jc w:val="center"/>
              <w:rPr>
                <w:rFonts w:hint="eastAsia" w:ascii="宋体" w:hAnsi="宋体" w:eastAsia="宋体" w:cs="Times New Roman"/>
                <w:szCs w:val="21"/>
              </w:rPr>
            </w:pPr>
          </w:p>
        </w:tc>
        <w:tc>
          <w:tcPr>
            <w:tcW w:w="1140" w:type="dxa"/>
            <w:vAlign w:val="center"/>
          </w:tcPr>
          <w:p w14:paraId="3551E3B3">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110" w:type="dxa"/>
            <w:vAlign w:val="center"/>
          </w:tcPr>
          <w:p w14:paraId="219914CF">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425" w:type="dxa"/>
            <w:vAlign w:val="center"/>
          </w:tcPr>
          <w:p w14:paraId="08C00752">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1170" w:type="dxa"/>
            <w:vAlign w:val="center"/>
          </w:tcPr>
          <w:p w14:paraId="49E57828">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575" w:type="dxa"/>
          </w:tcPr>
          <w:p w14:paraId="033F662F">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1140" w:type="dxa"/>
            <w:vMerge w:val="continue"/>
            <w:vAlign w:val="center"/>
          </w:tcPr>
          <w:p w14:paraId="323FCFC6">
            <w:pPr>
              <w:spacing w:line="360" w:lineRule="auto"/>
              <w:jc w:val="center"/>
              <w:rPr>
                <w:rFonts w:hint="eastAsia" w:ascii="宋体" w:hAnsi="宋体" w:eastAsia="宋体" w:cs="Times New Roman"/>
                <w:szCs w:val="21"/>
              </w:rPr>
            </w:pPr>
          </w:p>
        </w:tc>
      </w:tr>
      <w:tr w14:paraId="41E0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47F720E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140" w:type="dxa"/>
            <w:vAlign w:val="center"/>
          </w:tcPr>
          <w:p w14:paraId="6EB5535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0" w:type="dxa"/>
            <w:vAlign w:val="center"/>
          </w:tcPr>
          <w:p w14:paraId="3D4C321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25" w:type="dxa"/>
            <w:vAlign w:val="center"/>
          </w:tcPr>
          <w:p w14:paraId="2F2B4AD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70" w:type="dxa"/>
            <w:vAlign w:val="center"/>
          </w:tcPr>
          <w:p w14:paraId="2AE2FED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75" w:type="dxa"/>
          </w:tcPr>
          <w:p w14:paraId="615629D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418FBA07">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0C28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5C1DD1C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140" w:type="dxa"/>
            <w:vAlign w:val="center"/>
          </w:tcPr>
          <w:p w14:paraId="7F05697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0" w:type="dxa"/>
            <w:vAlign w:val="center"/>
          </w:tcPr>
          <w:p w14:paraId="0DAC514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25" w:type="dxa"/>
            <w:vAlign w:val="center"/>
          </w:tcPr>
          <w:p w14:paraId="26B6D042">
            <w:pPr>
              <w:spacing w:line="360" w:lineRule="auto"/>
              <w:jc w:val="center"/>
              <w:rPr>
                <w:rFonts w:hint="eastAsia" w:ascii="宋体" w:hAnsi="宋体" w:eastAsia="宋体" w:cs="Times New Roman"/>
                <w:szCs w:val="21"/>
              </w:rPr>
            </w:pPr>
          </w:p>
        </w:tc>
        <w:tc>
          <w:tcPr>
            <w:tcW w:w="1170" w:type="dxa"/>
            <w:vAlign w:val="center"/>
          </w:tcPr>
          <w:p w14:paraId="4E60480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75" w:type="dxa"/>
          </w:tcPr>
          <w:p w14:paraId="5EB8C68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71A61963">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320C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188225F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140" w:type="dxa"/>
            <w:vAlign w:val="center"/>
          </w:tcPr>
          <w:p w14:paraId="53F83B9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0" w:type="dxa"/>
            <w:vAlign w:val="center"/>
          </w:tcPr>
          <w:p w14:paraId="75120FA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25" w:type="dxa"/>
            <w:vAlign w:val="center"/>
          </w:tcPr>
          <w:p w14:paraId="50EF5BAC">
            <w:pPr>
              <w:spacing w:line="360" w:lineRule="auto"/>
              <w:jc w:val="center"/>
              <w:rPr>
                <w:rFonts w:hint="eastAsia" w:ascii="宋体" w:hAnsi="宋体" w:eastAsia="宋体" w:cs="Times New Roman"/>
                <w:szCs w:val="21"/>
              </w:rPr>
            </w:pPr>
          </w:p>
        </w:tc>
        <w:tc>
          <w:tcPr>
            <w:tcW w:w="1170" w:type="dxa"/>
            <w:vAlign w:val="center"/>
          </w:tcPr>
          <w:p w14:paraId="099CC5C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75" w:type="dxa"/>
          </w:tcPr>
          <w:p w14:paraId="5E5D2E06">
            <w:pPr>
              <w:spacing w:line="360" w:lineRule="auto"/>
              <w:jc w:val="center"/>
              <w:rPr>
                <w:rFonts w:hint="eastAsia" w:ascii="宋体" w:hAnsi="宋体" w:eastAsia="宋体" w:cs="Times New Roman"/>
                <w:szCs w:val="21"/>
              </w:rPr>
            </w:pPr>
          </w:p>
        </w:tc>
        <w:tc>
          <w:tcPr>
            <w:tcW w:w="1140" w:type="dxa"/>
            <w:vAlign w:val="center"/>
          </w:tcPr>
          <w:p w14:paraId="37BB933E">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068A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4263929">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140" w:type="dxa"/>
            <w:vAlign w:val="center"/>
          </w:tcPr>
          <w:p w14:paraId="696BA0C6">
            <w:pPr>
              <w:spacing w:line="360" w:lineRule="auto"/>
              <w:jc w:val="center"/>
              <w:rPr>
                <w:rFonts w:hint="eastAsia" w:ascii="宋体" w:hAnsi="宋体" w:eastAsia="宋体" w:cs="Times New Roman"/>
                <w:szCs w:val="21"/>
              </w:rPr>
            </w:pPr>
          </w:p>
        </w:tc>
        <w:tc>
          <w:tcPr>
            <w:tcW w:w="1110" w:type="dxa"/>
            <w:vAlign w:val="center"/>
          </w:tcPr>
          <w:p w14:paraId="6103C5B0">
            <w:pPr>
              <w:spacing w:line="360" w:lineRule="auto"/>
              <w:jc w:val="center"/>
              <w:rPr>
                <w:rFonts w:hint="eastAsia" w:ascii="宋体" w:hAnsi="宋体" w:eastAsia="宋体" w:cs="Times New Roman"/>
                <w:szCs w:val="21"/>
              </w:rPr>
            </w:pPr>
          </w:p>
        </w:tc>
        <w:tc>
          <w:tcPr>
            <w:tcW w:w="1425" w:type="dxa"/>
            <w:vAlign w:val="center"/>
          </w:tcPr>
          <w:p w14:paraId="68C3D125">
            <w:pPr>
              <w:spacing w:line="360" w:lineRule="auto"/>
              <w:jc w:val="center"/>
              <w:rPr>
                <w:rFonts w:hint="eastAsia" w:ascii="宋体" w:hAnsi="宋体" w:eastAsia="宋体" w:cs="Times New Roman"/>
                <w:szCs w:val="21"/>
              </w:rPr>
            </w:pPr>
          </w:p>
        </w:tc>
        <w:tc>
          <w:tcPr>
            <w:tcW w:w="1170" w:type="dxa"/>
            <w:vAlign w:val="center"/>
          </w:tcPr>
          <w:p w14:paraId="3B3B5AF9">
            <w:pPr>
              <w:spacing w:line="360" w:lineRule="auto"/>
              <w:jc w:val="center"/>
              <w:rPr>
                <w:rFonts w:hint="eastAsia" w:ascii="宋体" w:hAnsi="宋体" w:eastAsia="宋体" w:cs="Times New Roman"/>
                <w:szCs w:val="21"/>
              </w:rPr>
            </w:pPr>
          </w:p>
        </w:tc>
        <w:tc>
          <w:tcPr>
            <w:tcW w:w="1575" w:type="dxa"/>
          </w:tcPr>
          <w:p w14:paraId="6F1DD6D3">
            <w:pPr>
              <w:spacing w:line="360" w:lineRule="auto"/>
              <w:jc w:val="center"/>
              <w:rPr>
                <w:rFonts w:hint="eastAsia" w:ascii="宋体" w:hAnsi="宋体" w:eastAsia="宋体" w:cs="Times New Roman"/>
                <w:szCs w:val="21"/>
              </w:rPr>
            </w:pPr>
          </w:p>
        </w:tc>
        <w:tc>
          <w:tcPr>
            <w:tcW w:w="1140" w:type="dxa"/>
            <w:vAlign w:val="center"/>
          </w:tcPr>
          <w:p w14:paraId="66C74AB8">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07C1EA28">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540BCB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F93F36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826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ED57C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14CA72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4B5A92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8C6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3D74E5B">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5E5EAA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平时作业即过程性考核：由1篇小论文、2篇实践活动报告组成，主要考查学生对所学知识的理解和应用。</w:t>
            </w:r>
          </w:p>
        </w:tc>
        <w:tc>
          <w:tcPr>
            <w:tcW w:w="0" w:type="auto"/>
            <w:vAlign w:val="center"/>
          </w:tcPr>
          <w:p w14:paraId="6067CA3B">
            <w:pPr>
              <w:jc w:val="center"/>
              <w:rPr>
                <w:rFonts w:ascii="Times New Roman" w:hAnsi="Times New Roman" w:eastAsia="宋体" w:cs="Times New Roman"/>
                <w:szCs w:val="21"/>
              </w:rPr>
            </w:pPr>
            <w:r>
              <w:rPr>
                <w:rFonts w:hint="eastAsia" w:ascii="Times New Roman" w:hAnsi="Times New Roman" w:eastAsia="宋体" w:cs="Times New Roman"/>
                <w:szCs w:val="21"/>
              </w:rPr>
              <w:t>15%</w:t>
            </w:r>
          </w:p>
        </w:tc>
      </w:tr>
      <w:tr w14:paraId="7D4B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17F5A5F">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DBAB670">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课堂考勤：迟到一次扣2分，事假一次扣3分，病假一次扣1分无故缺席一次扣5分，累计达3次以上（不含3次）取消课程成绩。</w:t>
            </w:r>
          </w:p>
          <w:p w14:paraId="7EF5F546">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课堂参与：在教学过程中，随机提问，根据回答情况进行评分，同时课堂组织小组讨论，根据每组同学表现给分。</w:t>
            </w:r>
          </w:p>
        </w:tc>
        <w:tc>
          <w:tcPr>
            <w:tcW w:w="0" w:type="auto"/>
            <w:vAlign w:val="center"/>
          </w:tcPr>
          <w:p w14:paraId="3CCF71BF">
            <w:pPr>
              <w:jc w:val="center"/>
              <w:rPr>
                <w:rFonts w:ascii="Times New Roman" w:hAnsi="Times New Roman" w:eastAsia="宋体" w:cs="Times New Roman"/>
                <w:szCs w:val="21"/>
              </w:rPr>
            </w:pPr>
            <w:r>
              <w:rPr>
                <w:rFonts w:hint="eastAsia" w:ascii="Times New Roman" w:hAnsi="Times New Roman" w:eastAsia="宋体" w:cs="Times New Roman"/>
                <w:szCs w:val="21"/>
              </w:rPr>
              <w:t>15%</w:t>
            </w:r>
          </w:p>
        </w:tc>
      </w:tr>
      <w:tr w14:paraId="7D07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2CE4EBF">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4FAFCBEE">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对单元知识在线上进行测验，主要考查基础知识和基本理论的掌握，以题目的正确率为得分依据。</w:t>
            </w:r>
          </w:p>
        </w:tc>
        <w:tc>
          <w:tcPr>
            <w:tcW w:w="0" w:type="auto"/>
            <w:vAlign w:val="center"/>
          </w:tcPr>
          <w:p w14:paraId="262F3B6F">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5EE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31CED0">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3BD7CED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6125E5D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110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49D5A8D">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3A788CC">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试卷题型包括辨析、论述题案例分析题等，以卷面成绩的50%计入课程总成绩。其中考核跨学科主题学习理论和知识型题目占30%；考核学生运用基本理论知识进行分析能力的题型占30%；考核学生运用学与教的基本理论和知识进行教学设计的题型占40%。</w:t>
            </w:r>
          </w:p>
        </w:tc>
        <w:tc>
          <w:tcPr>
            <w:tcW w:w="0" w:type="auto"/>
            <w:vAlign w:val="center"/>
          </w:tcPr>
          <w:p w14:paraId="0D37CF15">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79E4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F907AC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74C2DA2A">
            <w:pPr>
              <w:jc w:val="left"/>
              <w:rPr>
                <w:rFonts w:ascii="Times New Roman" w:hAnsi="Times New Roman" w:eastAsia="宋体" w:cs="Times New Roman"/>
                <w:szCs w:val="21"/>
              </w:rPr>
            </w:pPr>
          </w:p>
        </w:tc>
        <w:tc>
          <w:tcPr>
            <w:tcW w:w="0" w:type="auto"/>
            <w:vAlign w:val="center"/>
          </w:tcPr>
          <w:p w14:paraId="72386E19">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37C20C0">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C01591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AC2A98F">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color w:val="000000"/>
          <w:szCs w:val="21"/>
        </w:rPr>
        <w:object>
          <v:shape id="_x0000_i1056"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56" DrawAspect="Content" ObjectID="_1468075756" r:id="rId41">
            <o:LockedField>false</o:LockedField>
          </o:OLEObject>
        </w:object>
      </w: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p>
    <w:p w14:paraId="58EF9842">
      <w:pPr>
        <w:spacing w:line="360" w:lineRule="auto"/>
        <w:ind w:firstLine="420" w:firstLineChars="200"/>
        <w:jc w:val="left"/>
        <w:rPr>
          <w:rFonts w:hint="eastAsia" w:ascii="宋体" w:hAnsi="宋体" w:eastAsia="宋体"/>
          <w:szCs w:val="21"/>
        </w:rPr>
      </w:pPr>
      <w:r>
        <w:rPr>
          <w:rFonts w:hint="eastAsia" w:ascii="宋体" w:hAnsi="宋体" w:eastAsia="宋体"/>
          <w:szCs w:val="21"/>
        </w:rPr>
        <w:t>无</w:t>
      </w:r>
    </w:p>
    <w:p w14:paraId="7AB0F67D">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71ED036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2CA9941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00A2027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6244F168">
      <w:pPr>
        <w:spacing w:line="360" w:lineRule="auto"/>
        <w:ind w:firstLine="420" w:firstLineChars="20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郭华等.跨学科主题学习.北京：教育科学出版社，2023.</w:t>
      </w:r>
    </w:p>
    <w:p w14:paraId="09EE17C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E11CE16">
      <w:pPr>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1.王艳玲等. 跨学科主题学习设计与实施（小学数学）. 北京：教育科学出版社，2023.</w:t>
      </w:r>
    </w:p>
    <w:p w14:paraId="5C1BD158">
      <w:pPr>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2.徐鹏. 跨学科主题学习设计与实施（小学语文）. 北京：教育科学出版社，2023.</w:t>
      </w:r>
    </w:p>
    <w:p w14:paraId="323B1561">
      <w:pPr>
        <w:ind w:firstLine="420" w:firstLineChars="200"/>
      </w:pPr>
      <w:r>
        <w:rPr>
          <w:rFonts w:hint="eastAsia" w:ascii="Times New Roman" w:hAnsi="Times New Roman" w:eastAsia="宋体" w:cs="Times New Roman"/>
          <w:bCs/>
          <w:color w:val="000000"/>
          <w:szCs w:val="21"/>
        </w:rPr>
        <w:t>3.（美）阿卡西娅·M. 沃伦.跨学科项目式学习.孙明玉译.北京：中国青年出版社，2020</w:t>
      </w:r>
    </w:p>
    <w:p w14:paraId="1FB0001C"/>
    <w:p w14:paraId="3E00EBCB"/>
    <w:p w14:paraId="4462985F"/>
    <w:p w14:paraId="157C553F"/>
    <w:p w14:paraId="5DDF1878">
      <w:pPr>
        <w:spacing w:line="360" w:lineRule="auto"/>
        <w:ind w:right="1440"/>
        <w:jc w:val="center"/>
        <w:rPr>
          <w:rFonts w:ascii="Times New Roman" w:hAnsi="Times New Roman" w:eastAsia="宋体" w:cs="Times New Roman"/>
          <w:sz w:val="24"/>
        </w:rPr>
      </w:pPr>
      <w:r>
        <w:rPr>
          <w:rFonts w:hint="eastAsia" w:ascii="Times New Roman" w:hAnsi="Times New Roman" w:eastAsia="宋体" w:cs="Times New Roman"/>
          <w:sz w:val="24"/>
        </w:rPr>
        <w:t xml:space="preserve">                                       执 笔 人：姚玉香</w:t>
      </w:r>
    </w:p>
    <w:p w14:paraId="52BA917A">
      <w:pPr>
        <w:spacing w:line="360" w:lineRule="auto"/>
        <w:ind w:right="1440"/>
        <w:jc w:val="center"/>
        <w:rPr>
          <w:rFonts w:ascii="Times New Roman" w:hAnsi="Times New Roman" w:eastAsia="宋体" w:cs="Times New Roman"/>
          <w:sz w:val="24"/>
        </w:rPr>
      </w:pPr>
      <w:r>
        <w:rPr>
          <w:rFonts w:hint="eastAsia" w:ascii="Times New Roman" w:hAnsi="Times New Roman" w:eastAsia="宋体" w:cs="Times New Roman"/>
          <w:sz w:val="24"/>
        </w:rPr>
        <w:t xml:space="preserve">                                        审 定 人： 王  健</w:t>
      </w:r>
    </w:p>
    <w:p w14:paraId="5A6BE603">
      <w:pPr>
        <w:spacing w:line="360" w:lineRule="auto"/>
        <w:ind w:right="1440"/>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7863E21E">
      <w:pPr>
        <w:spacing w:line="360" w:lineRule="auto"/>
        <w:ind w:right="240"/>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2AE6A1B8">
      <w:r>
        <w:rPr>
          <w:rFonts w:hint="eastAsia"/>
        </w:rPr>
        <w:br w:type="page"/>
      </w:r>
    </w:p>
    <w:p w14:paraId="6CD6DD64"/>
    <w:p w14:paraId="09F84576">
      <w:pPr>
        <w:pStyle w:val="2"/>
        <w:tabs>
          <w:tab w:val="left" w:pos="720"/>
          <w:tab w:val="left" w:pos="2700"/>
        </w:tabs>
      </w:pPr>
      <w:bookmarkStart w:id="183" w:name="_Toc22891"/>
      <w:bookmarkStart w:id="184" w:name="_Toc19045"/>
      <w:r>
        <w:rPr>
          <w:rFonts w:hint="eastAsia"/>
        </w:rPr>
        <w:t>《教育论文写作》课程教学大纲</w:t>
      </w:r>
      <w:bookmarkEnd w:id="183"/>
      <w:bookmarkEnd w:id="184"/>
      <w:r>
        <w:t xml:space="preserve"> </w:t>
      </w:r>
    </w:p>
    <w:p w14:paraId="148D645C">
      <w:pPr>
        <w:spacing w:line="360" w:lineRule="auto"/>
        <w:jc w:val="center"/>
        <w:rPr>
          <w:rFonts w:ascii="Times New Roman" w:hAnsi="Times New Roman" w:eastAsia="宋体" w:cs="Times New Roman"/>
          <w:bCs/>
          <w:sz w:val="32"/>
          <w:szCs w:val="32"/>
        </w:rPr>
      </w:pPr>
      <w:r>
        <w:rPr>
          <w:rFonts w:hint="eastAsia" w:ascii="Times New Roman" w:hAnsi="Times New Roman" w:eastAsia="宋体" w:cs="Times New Roman"/>
          <w:b/>
          <w:sz w:val="32"/>
          <w:szCs w:val="32"/>
        </w:rPr>
        <w:t>（</w:t>
      </w:r>
      <w:r>
        <w:rPr>
          <w:rFonts w:ascii="Times New Roman" w:hAnsi="Times New Roman" w:eastAsia="宋体" w:cs="Times New Roman"/>
          <w:b/>
          <w:sz w:val="32"/>
          <w:szCs w:val="32"/>
        </w:rPr>
        <w:t>Educational Thesis Writing）</w:t>
      </w:r>
    </w:p>
    <w:p w14:paraId="0F4FE28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课程名称：教育论文写作</w:t>
      </w:r>
    </w:p>
    <w:p w14:paraId="06B15AD7">
      <w:pPr>
        <w:spacing w:line="360" w:lineRule="auto"/>
        <w:ind w:firstLine="482" w:firstLineChars="200"/>
        <w:jc w:val="left"/>
        <w:rPr>
          <w:rFonts w:ascii="Times New Roman" w:hAnsi="Times New Roman" w:eastAsia="宋体" w:cs="Times New Roman"/>
          <w:b/>
          <w:color w:val="FF0000"/>
          <w:sz w:val="24"/>
        </w:rPr>
      </w:pPr>
      <w:r>
        <w:rPr>
          <w:rFonts w:hint="eastAsia" w:ascii="Times New Roman" w:hAnsi="Times New Roman" w:eastAsia="宋体" w:cs="Times New Roman"/>
          <w:b/>
          <w:sz w:val="24"/>
        </w:rPr>
        <w:t>课程代码：</w:t>
      </w:r>
      <w:r>
        <w:rPr>
          <w:rFonts w:ascii="Times New Roman" w:hAnsi="Times New Roman" w:eastAsia="宋体" w:cs="Times New Roman"/>
          <w:b/>
          <w:color w:val="000000" w:themeColor="text1"/>
          <w:sz w:val="24"/>
          <w14:textFill>
            <w14:solidFill>
              <w14:schemeClr w14:val="tx1"/>
            </w14:solidFill>
          </w14:textFill>
        </w:rPr>
        <w:t>2401025</w:t>
      </w:r>
    </w:p>
    <w:p w14:paraId="5CF693C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ascii="Times New Roman" w:hAnsi="Times New Roman" w:eastAsia="宋体" w:cs="Times New Roman"/>
          <w:b/>
          <w:sz w:val="24"/>
        </w:rPr>
        <w:t>2</w:t>
      </w:r>
    </w:p>
    <w:p w14:paraId="7A8F9FBD">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ascii="Times New Roman" w:hAnsi="Times New Roman" w:eastAsia="宋体" w:cs="Times New Roman"/>
          <w:b/>
          <w:sz w:val="24"/>
        </w:rPr>
        <w:t>32（其中，讲授学时16，实践学时16）</w:t>
      </w:r>
    </w:p>
    <w:p w14:paraId="72F0182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先修课程：教育原理、教育心理学、教育哲学、中国教育史、中外基础教育改革热点、教育社会学</w:t>
      </w:r>
    </w:p>
    <w:p w14:paraId="7FDCAD1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w:t>
      </w:r>
      <w:r>
        <w:rPr>
          <w:rFonts w:ascii="Times New Roman" w:hAnsi="Times New Roman" w:eastAsia="宋体" w:cs="Times New Roman"/>
          <w:b/>
          <w:sz w:val="24"/>
        </w:rPr>
        <w:t xml:space="preserve"> 小学教育（</w:t>
      </w:r>
      <w:r>
        <w:rPr>
          <w:rFonts w:hint="eastAsia" w:ascii="Times New Roman" w:hAnsi="Times New Roman" w:eastAsia="宋体" w:cs="Times New Roman"/>
          <w:b/>
          <w:sz w:val="24"/>
        </w:rPr>
        <w:t>理</w:t>
      </w:r>
      <w:r>
        <w:rPr>
          <w:rFonts w:ascii="Times New Roman" w:hAnsi="Times New Roman" w:eastAsia="宋体" w:cs="Times New Roman"/>
          <w:b/>
          <w:sz w:val="24"/>
        </w:rPr>
        <w:t xml:space="preserve">）       </w:t>
      </w:r>
    </w:p>
    <w:p w14:paraId="4FE972D2">
      <w:pPr>
        <w:spacing w:line="360" w:lineRule="auto"/>
        <w:jc w:val="left"/>
        <w:rPr>
          <w:rFonts w:ascii="Times New Roman" w:hAnsi="Times New Roman" w:eastAsia="宋体" w:cs="Times New Roman"/>
          <w:b/>
          <w:sz w:val="28"/>
          <w:szCs w:val="28"/>
        </w:rPr>
      </w:pPr>
    </w:p>
    <w:p w14:paraId="49E6BAEE">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8"/>
          <w:szCs w:val="28"/>
        </w:rPr>
        <w:t>一、课程简介</w:t>
      </w:r>
    </w:p>
    <w:p w14:paraId="339E11BB">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课程是小学教育专业的一门专业基础选修课程。通过本课程的教学，师范生能够了解教育论文的基本要求与写作过程，初步掌握不同类型教育论文的写作方法，能够撰写符合学术规范和语言规范的教育论文，为后续毕业论文写作奠定基础。</w:t>
      </w:r>
    </w:p>
    <w:p w14:paraId="521B0188">
      <w:pPr>
        <w:spacing w:line="360" w:lineRule="auto"/>
        <w:jc w:val="left"/>
        <w:rPr>
          <w:rFonts w:hint="eastAsia" w:ascii="宋体" w:hAnsi="宋体" w:eastAsia="宋体" w:cs="Times New Roman"/>
          <w:b/>
          <w:sz w:val="24"/>
        </w:rPr>
      </w:pPr>
    </w:p>
    <w:p w14:paraId="7116ACFF">
      <w:pPr>
        <w:spacing w:line="360" w:lineRule="auto"/>
        <w:jc w:val="left"/>
        <w:rPr>
          <w:rFonts w:ascii="Times New Roman" w:hAnsi="Times New Roman" w:eastAsia="宋体" w:cs="Times New Roman"/>
          <w:sz w:val="24"/>
        </w:rPr>
      </w:pPr>
      <w:r>
        <w:rPr>
          <w:rFonts w:hint="eastAsia" w:ascii="宋体" w:hAnsi="宋体" w:eastAsia="宋体" w:cs="Times New Roman"/>
          <w:b/>
          <w:sz w:val="28"/>
          <w:szCs w:val="28"/>
        </w:rPr>
        <w:t>二</w:t>
      </w:r>
      <w:r>
        <w:rPr>
          <w:rFonts w:ascii="宋体" w:hAnsi="宋体" w:eastAsia="宋体" w:cs="Times New Roman"/>
          <w:b/>
          <w:sz w:val="28"/>
          <w:szCs w:val="28"/>
        </w:rPr>
        <w:t>、课程目标</w:t>
      </w:r>
    </w:p>
    <w:p w14:paraId="0DF7B6BD">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（一）课程具体目标</w:t>
      </w:r>
    </w:p>
    <w:p w14:paraId="732A2D20">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目标</w:t>
      </w:r>
      <w:r>
        <w:rPr>
          <w:rFonts w:ascii="Times New Roman" w:hAnsi="Times New Roman" w:eastAsia="宋体" w:cs="Times New Roman"/>
          <w:kern w:val="0"/>
          <w:sz w:val="24"/>
        </w:rPr>
        <w:t>1. 理解教育论文写作的意义，熟悉教育论文写作的基本步骤。</w:t>
      </w:r>
    </w:p>
    <w:p w14:paraId="341214DE">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目标</w:t>
      </w:r>
      <w:r>
        <w:rPr>
          <w:rFonts w:ascii="Times New Roman" w:hAnsi="Times New Roman" w:eastAsia="宋体" w:cs="Times New Roman"/>
          <w:kern w:val="0"/>
          <w:sz w:val="24"/>
        </w:rPr>
        <w:t>2. 结合具体案例，学会分析学术期刊论文、教育综述论文、教育调查报告、教育实验报告、教育经验总结、教育叙事论文、学位论文等类型教育论文的框架结构，解释教育论文的语言特点。</w:t>
      </w:r>
    </w:p>
    <w:p w14:paraId="34B76662">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目标</w:t>
      </w:r>
      <w:r>
        <w:rPr>
          <w:rFonts w:ascii="Times New Roman" w:hAnsi="Times New Roman" w:eastAsia="宋体" w:cs="Times New Roman"/>
          <w:kern w:val="0"/>
          <w:sz w:val="24"/>
        </w:rPr>
        <w:t>3．结合教育实践和自身的学习、思考，撰写符合规范的教育论文。</w:t>
      </w:r>
    </w:p>
    <w:p w14:paraId="7ADFA05B">
      <w:pPr>
        <w:autoSpaceDE w:val="0"/>
        <w:autoSpaceDN w:val="0"/>
        <w:adjustRightInd w:val="0"/>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kern w:val="0"/>
          <w:sz w:val="24"/>
        </w:rPr>
        <w:t>目标4. 了解教育论文交流、发表的途径与方法，遵守教育论文写作的学术规范，恪守学术道德。</w:t>
      </w:r>
    </w:p>
    <w:p w14:paraId="7017AC55">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（二）课程目标及其对毕业要求指标点的支撑</w:t>
      </w:r>
    </w:p>
    <w:p w14:paraId="573B1AA9">
      <w:pPr>
        <w:spacing w:line="360" w:lineRule="auto"/>
        <w:jc w:val="center"/>
        <w:rPr>
          <w:rFonts w:ascii="Times New Roman" w:hAnsi="Times New Roman" w:eastAsia="宋体" w:cs="Times New Roman"/>
          <w:b/>
          <w:bCs/>
          <w:sz w:val="24"/>
        </w:rPr>
      </w:pPr>
    </w:p>
    <w:p w14:paraId="117AA0E3">
      <w:pPr>
        <w:spacing w:line="360" w:lineRule="auto"/>
        <w:jc w:val="center"/>
        <w:rPr>
          <w:rFonts w:ascii="Times New Roman" w:hAnsi="Times New Roman" w:eastAsia="宋体" w:cs="Times New Roman"/>
          <w:b/>
          <w:bCs/>
          <w:sz w:val="24"/>
        </w:rPr>
      </w:pPr>
    </w:p>
    <w:p w14:paraId="287ACFA0">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1 课程目标及其对毕业要求</w:t>
      </w:r>
      <w:r>
        <w:rPr>
          <w:rFonts w:hint="eastAsia" w:ascii="Times New Roman" w:hAnsi="Times New Roman" w:eastAsia="宋体" w:cs="Times New Roman"/>
          <w:b/>
          <w:bCs/>
          <w:sz w:val="24"/>
        </w:rPr>
        <w:t>指标</w:t>
      </w:r>
      <w:r>
        <w:rPr>
          <w:rFonts w:ascii="Times New Roman" w:hAnsi="Times New Roman" w:eastAsia="宋体" w:cs="Times New Roman"/>
          <w:b/>
          <w:bCs/>
          <w:sz w:val="24"/>
        </w:rPr>
        <w:t>点的支撑</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4819"/>
        <w:gridCol w:w="1922"/>
      </w:tblGrid>
      <w:tr w14:paraId="4863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0A7BF895">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w:t>
            </w:r>
          </w:p>
        </w:tc>
        <w:tc>
          <w:tcPr>
            <w:tcW w:w="4819" w:type="dxa"/>
          </w:tcPr>
          <w:p w14:paraId="50FC1C3B">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毕业要求指标点</w:t>
            </w:r>
          </w:p>
        </w:tc>
        <w:tc>
          <w:tcPr>
            <w:tcW w:w="1922" w:type="dxa"/>
          </w:tcPr>
          <w:p w14:paraId="72D3F4CC">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r>
      <w:tr w14:paraId="3B1E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555" w:type="dxa"/>
            <w:vAlign w:val="center"/>
          </w:tcPr>
          <w:p w14:paraId="2021D881">
            <w:pPr>
              <w:spacing w:line="276" w:lineRule="auto"/>
              <w:jc w:val="left"/>
              <w:rPr>
                <w:rFonts w:hint="eastAsia" w:ascii="宋体" w:hAnsi="宋体" w:eastAsia="宋体" w:cs="宋体"/>
                <w:sz w:val="24"/>
              </w:rPr>
            </w:pPr>
            <w:r>
              <w:rPr>
                <w:rFonts w:hint="eastAsia" w:ascii="宋体" w:hAnsi="宋体" w:eastAsia="宋体" w:cs="宋体"/>
                <w:sz w:val="24"/>
              </w:rPr>
              <w:t>毕业要求</w:t>
            </w:r>
            <w:r>
              <w:rPr>
                <w:rFonts w:ascii="宋体" w:hAnsi="宋体" w:eastAsia="宋体" w:cs="宋体"/>
                <w:sz w:val="24"/>
              </w:rPr>
              <w:t>1.</w:t>
            </w:r>
          </w:p>
          <w:p w14:paraId="4D7B9DA3">
            <w:pPr>
              <w:spacing w:line="276" w:lineRule="auto"/>
              <w:jc w:val="left"/>
              <w:rPr>
                <w:rFonts w:hint="eastAsia" w:ascii="宋体" w:hAnsi="宋体" w:eastAsia="宋体" w:cs="宋体"/>
                <w:sz w:val="24"/>
              </w:rPr>
            </w:pPr>
            <w:r>
              <w:rPr>
                <w:rFonts w:ascii="宋体" w:hAnsi="宋体" w:eastAsia="宋体" w:cs="宋体"/>
                <w:sz w:val="24"/>
              </w:rPr>
              <w:t>师德规范</w:t>
            </w:r>
          </w:p>
        </w:tc>
        <w:tc>
          <w:tcPr>
            <w:tcW w:w="4819" w:type="dxa"/>
            <w:vAlign w:val="center"/>
          </w:tcPr>
          <w:p w14:paraId="1A5B48B7">
            <w:pPr>
              <w:spacing w:line="276" w:lineRule="auto"/>
              <w:jc w:val="left"/>
              <w:rPr>
                <w:rFonts w:hint="eastAsia" w:ascii="宋体" w:hAnsi="宋体" w:eastAsia="宋体" w:cs="Times New Roman"/>
                <w:sz w:val="24"/>
              </w:rPr>
            </w:pPr>
            <w:r>
              <w:rPr>
                <w:rFonts w:ascii="宋体" w:hAnsi="宋体" w:eastAsia="宋体" w:cs="Times New Roman"/>
                <w:sz w:val="24"/>
              </w:rPr>
              <w:t>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922" w:type="dxa"/>
            <w:vAlign w:val="center"/>
          </w:tcPr>
          <w:p w14:paraId="3B01476F">
            <w:pPr>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课程目标1</w:t>
            </w:r>
          </w:p>
        </w:tc>
      </w:tr>
      <w:tr w14:paraId="3A21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2" w:hRule="atLeast"/>
        </w:trPr>
        <w:tc>
          <w:tcPr>
            <w:tcW w:w="1555" w:type="dxa"/>
            <w:vAlign w:val="center"/>
          </w:tcPr>
          <w:p w14:paraId="10D40801">
            <w:pPr>
              <w:pStyle w:val="30"/>
              <w:spacing w:line="276" w:lineRule="auto"/>
              <w:ind w:firstLine="0" w:firstLineChars="0"/>
              <w:rPr>
                <w:rFonts w:hint="eastAsia" w:ascii="宋体" w:hAnsi="宋体" w:cs="宋体"/>
                <w:sz w:val="24"/>
              </w:rPr>
            </w:pPr>
            <w:r>
              <w:rPr>
                <w:rFonts w:hint="eastAsia" w:ascii="宋体" w:hAnsi="宋体" w:cs="宋体"/>
                <w:sz w:val="24"/>
              </w:rPr>
              <w:t>毕业要求</w:t>
            </w:r>
            <w:r>
              <w:rPr>
                <w:rFonts w:ascii="宋体" w:hAnsi="宋体" w:cs="宋体"/>
                <w:sz w:val="24"/>
              </w:rPr>
              <w:t>2</w:t>
            </w:r>
            <w:r>
              <w:rPr>
                <w:rFonts w:hint="eastAsia" w:ascii="宋体" w:hAnsi="宋体" w:cs="宋体"/>
                <w:sz w:val="24"/>
              </w:rPr>
              <w:t xml:space="preserve">. </w:t>
            </w:r>
          </w:p>
          <w:p w14:paraId="3143D9F8">
            <w:pPr>
              <w:pStyle w:val="30"/>
              <w:spacing w:line="276" w:lineRule="auto"/>
              <w:ind w:firstLine="0" w:firstLineChars="0"/>
              <w:rPr>
                <w:rFonts w:hint="eastAsia" w:ascii="宋体" w:hAnsi="宋体" w:cs="宋体"/>
                <w:sz w:val="24"/>
              </w:rPr>
            </w:pPr>
            <w:r>
              <w:rPr>
                <w:rFonts w:hint="eastAsia" w:ascii="宋体" w:hAnsi="宋体" w:cs="宋体"/>
                <w:sz w:val="24"/>
              </w:rPr>
              <w:t>教育情怀</w:t>
            </w:r>
          </w:p>
        </w:tc>
        <w:tc>
          <w:tcPr>
            <w:tcW w:w="4819" w:type="dxa"/>
            <w:vAlign w:val="center"/>
          </w:tcPr>
          <w:p w14:paraId="130DBD23">
            <w:pPr>
              <w:pStyle w:val="30"/>
              <w:spacing w:line="276" w:lineRule="auto"/>
              <w:ind w:firstLine="0" w:firstLineChars="0"/>
              <w:jc w:val="left"/>
              <w:rPr>
                <w:rFonts w:hint="eastAsia" w:ascii="宋体" w:hAnsi="宋体" w:cs="宋体"/>
                <w:sz w:val="24"/>
              </w:rPr>
            </w:pPr>
            <w:r>
              <w:rPr>
                <w:rFonts w:ascii="宋体" w:hAnsi="宋体" w:cs="宋体"/>
                <w:sz w:val="24"/>
              </w:rPr>
              <w:t>2-2：【仁爱之心深厚】关爱学生，用心从教。具有正确的儿童观，理解、尊重、关爱、保护学生，以儿童发展为教育的中心。爱岗敬业，在教育实践中能认真履行教育教学职责与班主任工作职责，富有爱心、责任心、工作细心、耐心，做学生学习的促进者、道德品质和创新思维的培养者，奉献祖国的引路人。</w:t>
            </w:r>
          </w:p>
        </w:tc>
        <w:tc>
          <w:tcPr>
            <w:tcW w:w="1922" w:type="dxa"/>
            <w:vAlign w:val="center"/>
          </w:tcPr>
          <w:p w14:paraId="111DAA7B">
            <w:pPr>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1</w:t>
            </w:r>
          </w:p>
        </w:tc>
      </w:tr>
      <w:tr w14:paraId="79AA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555" w:type="dxa"/>
            <w:vAlign w:val="center"/>
          </w:tcPr>
          <w:p w14:paraId="4051F50B">
            <w:pPr>
              <w:pStyle w:val="30"/>
              <w:spacing w:line="276" w:lineRule="auto"/>
              <w:ind w:firstLine="0" w:firstLineChars="0"/>
              <w:rPr>
                <w:rFonts w:hint="eastAsia" w:ascii="宋体" w:hAnsi="宋体" w:cs="宋体"/>
                <w:sz w:val="24"/>
              </w:rPr>
            </w:pPr>
            <w:r>
              <w:rPr>
                <w:rFonts w:hint="eastAsia" w:ascii="宋体" w:hAnsi="宋体" w:cs="宋体"/>
                <w:sz w:val="24"/>
              </w:rPr>
              <w:t>毕业要求</w:t>
            </w:r>
            <w:r>
              <w:rPr>
                <w:rFonts w:ascii="宋体" w:hAnsi="宋体" w:cs="宋体"/>
                <w:sz w:val="24"/>
              </w:rPr>
              <w:t>4</w:t>
            </w:r>
            <w:r>
              <w:rPr>
                <w:rFonts w:hint="eastAsia" w:ascii="宋体" w:hAnsi="宋体" w:cs="宋体"/>
                <w:sz w:val="24"/>
              </w:rPr>
              <w:t>.</w:t>
            </w:r>
          </w:p>
          <w:p w14:paraId="233274EC">
            <w:pPr>
              <w:pStyle w:val="30"/>
              <w:spacing w:line="276" w:lineRule="auto"/>
              <w:ind w:firstLine="0" w:firstLineChars="0"/>
              <w:rPr>
                <w:rFonts w:hint="eastAsia" w:ascii="宋体" w:hAnsi="宋体" w:cs="宋体"/>
                <w:sz w:val="24"/>
              </w:rPr>
            </w:pPr>
            <w:r>
              <w:rPr>
                <w:rFonts w:hint="eastAsia" w:ascii="宋体" w:hAnsi="宋体" w:cs="宋体"/>
                <w:sz w:val="24"/>
              </w:rPr>
              <w:t>学会教学</w:t>
            </w:r>
          </w:p>
        </w:tc>
        <w:tc>
          <w:tcPr>
            <w:tcW w:w="4819" w:type="dxa"/>
            <w:vAlign w:val="center"/>
          </w:tcPr>
          <w:p w14:paraId="61BC57FA">
            <w:pPr>
              <w:pStyle w:val="30"/>
              <w:spacing w:line="276" w:lineRule="auto"/>
              <w:ind w:firstLine="0" w:firstLineChars="0"/>
              <w:jc w:val="left"/>
              <w:rPr>
                <w:rFonts w:hint="eastAsia" w:ascii="宋体" w:hAnsi="宋体" w:cs="宋体"/>
                <w:sz w:val="24"/>
              </w:rPr>
            </w:pPr>
            <w:r>
              <w:rPr>
                <w:rFonts w:ascii="宋体" w:hAnsi="宋体" w:cs="宋体"/>
                <w:sz w:val="24"/>
              </w:rPr>
              <w:t>4-4：【具备教学研究能力】掌握教育研究的基本方法，在教育教学实践中，结合小学教育教学实践进行研究，具有一定的教学研究能力。</w:t>
            </w:r>
          </w:p>
        </w:tc>
        <w:tc>
          <w:tcPr>
            <w:tcW w:w="1922" w:type="dxa"/>
            <w:vAlign w:val="center"/>
          </w:tcPr>
          <w:p w14:paraId="1187EE49">
            <w:pPr>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课程目标2</w:t>
            </w:r>
          </w:p>
          <w:p w14:paraId="26CD1F8B">
            <w:pPr>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3</w:t>
            </w:r>
          </w:p>
          <w:p w14:paraId="263FD3BE">
            <w:pPr>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课程目标4</w:t>
            </w:r>
          </w:p>
        </w:tc>
      </w:tr>
      <w:tr w14:paraId="6369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555" w:type="dxa"/>
            <w:vMerge w:val="restart"/>
            <w:vAlign w:val="center"/>
          </w:tcPr>
          <w:p w14:paraId="29BA2496">
            <w:pPr>
              <w:pStyle w:val="30"/>
              <w:spacing w:line="276" w:lineRule="auto"/>
              <w:ind w:firstLine="0" w:firstLineChars="0"/>
              <w:rPr>
                <w:sz w:val="24"/>
              </w:rPr>
            </w:pPr>
            <w:r>
              <w:rPr>
                <w:rFonts w:hint="eastAsia" w:ascii="宋体" w:hAnsi="宋体" w:cs="宋体"/>
                <w:sz w:val="24"/>
              </w:rPr>
              <w:t>毕业要求7</w:t>
            </w:r>
            <w:r>
              <w:rPr>
                <w:rFonts w:ascii="宋体" w:hAnsi="宋体" w:cs="宋体"/>
                <w:sz w:val="24"/>
              </w:rPr>
              <w:t>.</w:t>
            </w:r>
            <w:r>
              <w:rPr>
                <w:rFonts w:hint="eastAsia"/>
                <w:sz w:val="24"/>
              </w:rPr>
              <w:t xml:space="preserve"> </w:t>
            </w:r>
          </w:p>
          <w:p w14:paraId="651A6256">
            <w:pPr>
              <w:pStyle w:val="30"/>
              <w:spacing w:line="276" w:lineRule="auto"/>
              <w:ind w:firstLine="0" w:firstLineChars="0"/>
              <w:rPr>
                <w:rFonts w:hint="eastAsia" w:ascii="宋体" w:hAnsi="宋体" w:cs="宋体"/>
                <w:sz w:val="24"/>
              </w:rPr>
            </w:pPr>
            <w:r>
              <w:rPr>
                <w:rFonts w:hint="eastAsia" w:ascii="宋体" w:hAnsi="宋体" w:cs="宋体"/>
                <w:sz w:val="24"/>
              </w:rPr>
              <w:t>学会反思</w:t>
            </w:r>
          </w:p>
        </w:tc>
        <w:tc>
          <w:tcPr>
            <w:tcW w:w="4819" w:type="dxa"/>
            <w:vAlign w:val="center"/>
          </w:tcPr>
          <w:p w14:paraId="403B60E6">
            <w:pPr>
              <w:pStyle w:val="30"/>
              <w:spacing w:line="276" w:lineRule="auto"/>
              <w:ind w:firstLine="0" w:firstLineChars="0"/>
              <w:jc w:val="left"/>
              <w:rPr>
                <w:rFonts w:hint="eastAsia" w:ascii="宋体" w:hAnsi="宋体" w:cs="宋体"/>
                <w:sz w:val="24"/>
              </w:rPr>
            </w:pPr>
            <w:r>
              <w:rPr>
                <w:rFonts w:ascii="宋体" w:hAnsi="宋体" w:cs="宋体"/>
                <w:sz w:val="24"/>
              </w:rPr>
              <w:t>7-1：</w:t>
            </w:r>
            <w:r>
              <w:rPr>
                <w:rFonts w:hint="eastAsia" w:ascii="宋体" w:hAnsi="宋体" w:cs="宋体"/>
                <w:sz w:val="24"/>
              </w:rPr>
              <w:t>【教育视野开阔】积极关注基础教育领域的国内外交流进展，了解国内外基础教育改革发展的动态，具有宽广的教育视野，能够主动适应新时代和教育发展需求。</w:t>
            </w:r>
          </w:p>
        </w:tc>
        <w:tc>
          <w:tcPr>
            <w:tcW w:w="1922" w:type="dxa"/>
            <w:vAlign w:val="center"/>
          </w:tcPr>
          <w:p w14:paraId="4101215C">
            <w:pPr>
              <w:spacing w:line="360" w:lineRule="auto"/>
              <w:jc w:val="left"/>
              <w:rPr>
                <w:rFonts w:hint="eastAsia" w:ascii="宋体" w:hAnsi="宋体" w:eastAsia="宋体" w:cs="宋体"/>
                <w:sz w:val="24"/>
              </w:rPr>
            </w:pPr>
            <w:r>
              <w:rPr>
                <w:rFonts w:hint="eastAsia" w:ascii="宋体" w:hAnsi="宋体" w:eastAsia="宋体" w:cs="宋体"/>
                <w:sz w:val="24"/>
              </w:rPr>
              <w:t>课程目标4</w:t>
            </w:r>
          </w:p>
        </w:tc>
      </w:tr>
      <w:tr w14:paraId="2DAC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555" w:type="dxa"/>
            <w:vMerge w:val="continue"/>
            <w:vAlign w:val="center"/>
          </w:tcPr>
          <w:p w14:paraId="65BA6192">
            <w:pPr>
              <w:pStyle w:val="30"/>
              <w:spacing w:line="276" w:lineRule="auto"/>
              <w:ind w:firstLine="0" w:firstLineChars="0"/>
              <w:rPr>
                <w:rFonts w:hint="eastAsia" w:ascii="宋体" w:hAnsi="宋体" w:cs="宋体"/>
                <w:sz w:val="24"/>
              </w:rPr>
            </w:pPr>
          </w:p>
        </w:tc>
        <w:tc>
          <w:tcPr>
            <w:tcW w:w="4819" w:type="dxa"/>
            <w:vAlign w:val="center"/>
          </w:tcPr>
          <w:p w14:paraId="3A3E0F2E">
            <w:pPr>
              <w:pStyle w:val="30"/>
              <w:spacing w:line="276" w:lineRule="auto"/>
              <w:ind w:firstLine="0" w:firstLineChars="0"/>
              <w:jc w:val="left"/>
              <w:rPr>
                <w:rFonts w:hint="eastAsia" w:ascii="宋体" w:hAnsi="宋体" w:cs="宋体"/>
                <w:sz w:val="24"/>
              </w:rPr>
            </w:pPr>
            <w:r>
              <w:rPr>
                <w:rFonts w:ascii="宋体" w:hAnsi="宋体" w:cs="宋体"/>
                <w:sz w:val="24"/>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922" w:type="dxa"/>
            <w:vAlign w:val="center"/>
          </w:tcPr>
          <w:p w14:paraId="79D93C30">
            <w:pPr>
              <w:spacing w:line="360" w:lineRule="auto"/>
              <w:jc w:val="left"/>
              <w:rPr>
                <w:rFonts w:hint="eastAsia" w:ascii="宋体" w:hAnsi="宋体" w:eastAsia="宋体" w:cs="宋体"/>
                <w:sz w:val="24"/>
              </w:rPr>
            </w:pPr>
            <w:r>
              <w:rPr>
                <w:rFonts w:hint="eastAsia" w:ascii="宋体" w:hAnsi="宋体" w:eastAsia="宋体" w:cs="宋体"/>
                <w:sz w:val="24"/>
              </w:rPr>
              <w:t>课程目标2</w:t>
            </w:r>
          </w:p>
          <w:p w14:paraId="1DE6ED88">
            <w:pPr>
              <w:spacing w:line="360" w:lineRule="auto"/>
              <w:jc w:val="left"/>
              <w:rPr>
                <w:rFonts w:hint="eastAsia" w:ascii="宋体" w:hAnsi="宋体" w:eastAsia="宋体" w:cs="宋体"/>
                <w:sz w:val="24"/>
              </w:rPr>
            </w:pPr>
            <w:r>
              <w:rPr>
                <w:rFonts w:hint="eastAsia" w:ascii="宋体" w:hAnsi="宋体" w:eastAsia="宋体" w:cs="宋体"/>
                <w:sz w:val="24"/>
              </w:rPr>
              <w:t>课程目标3</w:t>
            </w:r>
          </w:p>
          <w:p w14:paraId="3F334A0E">
            <w:pPr>
              <w:spacing w:line="360" w:lineRule="auto"/>
              <w:jc w:val="left"/>
              <w:rPr>
                <w:rFonts w:hint="eastAsia" w:ascii="宋体" w:hAnsi="宋体" w:eastAsia="宋体" w:cs="宋体"/>
                <w:sz w:val="24"/>
              </w:rPr>
            </w:pPr>
            <w:r>
              <w:rPr>
                <w:rFonts w:hint="eastAsia" w:ascii="宋体" w:hAnsi="宋体" w:eastAsia="宋体" w:cs="宋体"/>
                <w:sz w:val="24"/>
              </w:rPr>
              <w:t>课程目标4</w:t>
            </w:r>
          </w:p>
        </w:tc>
      </w:tr>
    </w:tbl>
    <w:p w14:paraId="5AECF435">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（三）课程思政目标</w:t>
      </w:r>
    </w:p>
    <w:p w14:paraId="4F617D41">
      <w:pPr>
        <w:spacing w:line="360" w:lineRule="auto"/>
        <w:ind w:firstLine="470" w:firstLineChars="196"/>
        <w:jc w:val="left"/>
        <w:rPr>
          <w:rFonts w:hint="eastAsia" w:ascii="宋体" w:hAnsi="宋体" w:eastAsia="宋体" w:cs="Times New Roman"/>
          <w:sz w:val="24"/>
        </w:rPr>
      </w:pPr>
      <w:r>
        <w:rPr>
          <w:rFonts w:hint="eastAsia" w:ascii="宋体" w:hAnsi="宋体" w:eastAsia="宋体" w:cs="Times New Roman"/>
          <w:sz w:val="24"/>
        </w:rPr>
        <w:t>学生在扎实掌握教育论文写作理论与方法的基础上，践行社会主义核心价值观，认同中国特色社会主义，坚持“立德树人”，树立正确的世界观、价值观和人生观，形成正确的学术观、科研观和儿童观，学会发现、分析和解决人民群众关心的基础教育热点与难点问题。立志成为有理想信念、有道德情操、有扎实学习、有仁爱之心的新时代大国良师。</w:t>
      </w:r>
    </w:p>
    <w:p w14:paraId="6A0F04F2">
      <w:pPr>
        <w:spacing w:line="360" w:lineRule="auto"/>
        <w:jc w:val="left"/>
        <w:rPr>
          <w:rFonts w:hint="eastAsia" w:ascii="宋体" w:hAnsi="宋体" w:eastAsia="宋体" w:cs="Times New Roman"/>
          <w:b/>
          <w:sz w:val="24"/>
        </w:rPr>
      </w:pPr>
    </w:p>
    <w:p w14:paraId="5D3DAC0D">
      <w:pPr>
        <w:spacing w:line="360" w:lineRule="auto"/>
        <w:jc w:val="left"/>
        <w:rPr>
          <w:rFonts w:hint="eastAsia" w:ascii="宋体" w:hAnsi="宋体" w:eastAsia="宋体" w:cs="Times New Roman"/>
          <w:b/>
          <w:sz w:val="24"/>
        </w:rPr>
      </w:pPr>
      <w:r>
        <w:rPr>
          <w:rFonts w:hint="eastAsia" w:ascii="宋体" w:hAnsi="宋体" w:eastAsia="宋体" w:cs="Times New Roman"/>
          <w:b/>
          <w:sz w:val="24"/>
        </w:rPr>
        <w:t>三、教学内容与预期学习成效</w:t>
      </w:r>
    </w:p>
    <w:p w14:paraId="21FE5D65">
      <w:pPr>
        <w:spacing w:line="360" w:lineRule="auto"/>
        <w:jc w:val="left"/>
        <w:rPr>
          <w:rFonts w:hint="eastAsia" w:ascii="宋体" w:hAnsi="宋体" w:eastAsia="宋体" w:cs="Times New Roman"/>
          <w:sz w:val="24"/>
        </w:rPr>
      </w:pPr>
      <w:r>
        <w:rPr>
          <w:rFonts w:hint="eastAsia" w:ascii="宋体" w:hAnsi="宋体" w:eastAsia="宋体" w:cs="Times New Roman"/>
          <w:b/>
          <w:sz w:val="24"/>
        </w:rPr>
        <w:t xml:space="preserve"> </w:t>
      </w:r>
      <w:r>
        <w:rPr>
          <w:rFonts w:ascii="宋体" w:hAnsi="宋体" w:eastAsia="宋体" w:cs="Times New Roman"/>
          <w:b/>
          <w:sz w:val="24"/>
        </w:rPr>
        <w:t xml:space="preserve">  </w:t>
      </w:r>
      <w:r>
        <w:rPr>
          <w:rFonts w:hint="eastAsia" w:ascii="宋体" w:hAnsi="宋体" w:eastAsia="宋体" w:cs="Times New Roman"/>
          <w:sz w:val="24"/>
        </w:rPr>
        <w:t>本课程主要教学内容及学生预期学习成效见表2。</w:t>
      </w:r>
    </w:p>
    <w:p w14:paraId="3651AA08">
      <w:pPr>
        <w:spacing w:line="360" w:lineRule="auto"/>
        <w:ind w:firstLine="1928" w:firstLineChars="800"/>
        <w:jc w:val="left"/>
        <w:rPr>
          <w:rFonts w:hint="eastAsia" w:ascii="宋体" w:hAnsi="宋体" w:eastAsia="宋体" w:cs="Times New Roman"/>
          <w:b/>
          <w:sz w:val="24"/>
        </w:rPr>
      </w:pPr>
      <w:r>
        <w:rPr>
          <w:rFonts w:hint="eastAsia" w:ascii="宋体" w:hAnsi="宋体" w:eastAsia="宋体" w:cs="Times New Roman"/>
          <w:b/>
          <w:sz w:val="24"/>
        </w:rPr>
        <w:t>表</w:t>
      </w:r>
      <w:r>
        <w:rPr>
          <w:rFonts w:ascii="宋体" w:hAnsi="宋体" w:eastAsia="宋体" w:cs="Times New Roman"/>
          <w:b/>
          <w:sz w:val="24"/>
        </w:rPr>
        <w:t xml:space="preserve">2   </w:t>
      </w:r>
      <w:r>
        <w:rPr>
          <w:rFonts w:hint="eastAsia" w:ascii="宋体" w:hAnsi="宋体" w:eastAsia="宋体" w:cs="Times New Roman"/>
          <w:b/>
          <w:sz w:val="24"/>
        </w:rPr>
        <w:t>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326"/>
        <w:gridCol w:w="1276"/>
        <w:gridCol w:w="656"/>
      </w:tblGrid>
      <w:tr w14:paraId="3A3E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5F4D38A">
            <w:pPr>
              <w:jc w:val="center"/>
              <w:rPr>
                <w:rFonts w:hint="eastAsia" w:ascii="宋体" w:hAnsi="宋体" w:eastAsia="宋体" w:cs="Times New Roman"/>
                <w:b/>
                <w:sz w:val="24"/>
              </w:rPr>
            </w:pPr>
            <w:r>
              <w:rPr>
                <w:rFonts w:hint="eastAsia" w:ascii="宋体" w:hAnsi="宋体" w:eastAsia="宋体" w:cs="Times New Roman"/>
                <w:b/>
                <w:sz w:val="24"/>
              </w:rPr>
              <w:t>知识</w:t>
            </w:r>
          </w:p>
          <w:p w14:paraId="4C643EC8">
            <w:pPr>
              <w:jc w:val="center"/>
              <w:rPr>
                <w:rFonts w:hint="eastAsia" w:ascii="宋体" w:hAnsi="宋体" w:eastAsia="宋体" w:cs="Times New Roman"/>
                <w:b/>
                <w:sz w:val="24"/>
              </w:rPr>
            </w:pPr>
            <w:r>
              <w:rPr>
                <w:rFonts w:hint="eastAsia" w:ascii="宋体" w:hAnsi="宋体" w:eastAsia="宋体" w:cs="Times New Roman"/>
                <w:b/>
                <w:sz w:val="24"/>
              </w:rPr>
              <w:t>单元</w:t>
            </w:r>
          </w:p>
        </w:tc>
        <w:tc>
          <w:tcPr>
            <w:tcW w:w="1701" w:type="dxa"/>
            <w:vAlign w:val="center"/>
          </w:tcPr>
          <w:p w14:paraId="3CC95CFE">
            <w:pPr>
              <w:jc w:val="center"/>
              <w:rPr>
                <w:rFonts w:hint="eastAsia" w:ascii="宋体" w:hAnsi="宋体" w:eastAsia="宋体" w:cs="Times New Roman"/>
                <w:b/>
                <w:sz w:val="24"/>
              </w:rPr>
            </w:pPr>
            <w:r>
              <w:rPr>
                <w:rFonts w:hint="eastAsia" w:ascii="宋体" w:hAnsi="宋体" w:eastAsia="宋体" w:cs="Times New Roman"/>
                <w:b/>
                <w:sz w:val="24"/>
              </w:rPr>
              <w:t>知识点</w:t>
            </w:r>
          </w:p>
        </w:tc>
        <w:tc>
          <w:tcPr>
            <w:tcW w:w="1134" w:type="dxa"/>
            <w:vAlign w:val="center"/>
          </w:tcPr>
          <w:p w14:paraId="14014A0D">
            <w:pPr>
              <w:jc w:val="center"/>
              <w:rPr>
                <w:rFonts w:hint="eastAsia" w:ascii="宋体" w:hAnsi="宋体" w:eastAsia="宋体" w:cs="Times New Roman"/>
                <w:b/>
                <w:sz w:val="24"/>
              </w:rPr>
            </w:pPr>
            <w:r>
              <w:rPr>
                <w:rFonts w:hint="eastAsia" w:ascii="宋体" w:hAnsi="宋体" w:eastAsia="宋体" w:cs="Times New Roman"/>
                <w:b/>
                <w:sz w:val="24"/>
              </w:rPr>
              <w:t>对应</w:t>
            </w:r>
          </w:p>
          <w:p w14:paraId="10829D08">
            <w:pPr>
              <w:jc w:val="center"/>
              <w:rPr>
                <w:rFonts w:hint="eastAsia" w:ascii="宋体" w:hAnsi="宋体" w:eastAsia="宋体" w:cs="Times New Roman"/>
                <w:b/>
                <w:sz w:val="24"/>
              </w:rPr>
            </w:pPr>
            <w:r>
              <w:rPr>
                <w:rFonts w:hint="eastAsia" w:ascii="宋体" w:hAnsi="宋体" w:eastAsia="宋体" w:cs="Times New Roman"/>
                <w:b/>
                <w:sz w:val="24"/>
              </w:rPr>
              <w:t>课程目标</w:t>
            </w:r>
          </w:p>
        </w:tc>
        <w:tc>
          <w:tcPr>
            <w:tcW w:w="3326" w:type="dxa"/>
            <w:vAlign w:val="center"/>
          </w:tcPr>
          <w:p w14:paraId="7DCEFA3E">
            <w:pPr>
              <w:jc w:val="center"/>
              <w:rPr>
                <w:rFonts w:hint="eastAsia" w:ascii="宋体" w:hAnsi="宋体" w:eastAsia="宋体" w:cs="Times New Roman"/>
                <w:b/>
                <w:sz w:val="24"/>
              </w:rPr>
            </w:pPr>
            <w:r>
              <w:rPr>
                <w:rFonts w:hint="eastAsia" w:ascii="宋体" w:hAnsi="宋体" w:eastAsia="宋体" w:cs="Times New Roman"/>
                <w:b/>
                <w:sz w:val="24"/>
              </w:rPr>
              <w:t>预期学习成效</w:t>
            </w:r>
          </w:p>
        </w:tc>
        <w:tc>
          <w:tcPr>
            <w:tcW w:w="1276" w:type="dxa"/>
            <w:vAlign w:val="center"/>
          </w:tcPr>
          <w:p w14:paraId="08632186">
            <w:pPr>
              <w:jc w:val="center"/>
              <w:rPr>
                <w:rFonts w:hint="eastAsia" w:ascii="宋体" w:hAnsi="宋体" w:eastAsia="宋体" w:cs="Times New Roman"/>
                <w:b/>
                <w:sz w:val="24"/>
              </w:rPr>
            </w:pPr>
            <w:r>
              <w:rPr>
                <w:rFonts w:hint="eastAsia" w:ascii="宋体" w:hAnsi="宋体" w:eastAsia="宋体" w:cs="Times New Roman"/>
                <w:b/>
                <w:sz w:val="24"/>
              </w:rPr>
              <w:t>实现环节</w:t>
            </w:r>
          </w:p>
        </w:tc>
        <w:tc>
          <w:tcPr>
            <w:tcW w:w="656" w:type="dxa"/>
            <w:vAlign w:val="center"/>
          </w:tcPr>
          <w:p w14:paraId="5E09D50A">
            <w:pPr>
              <w:jc w:val="center"/>
              <w:rPr>
                <w:rFonts w:hint="eastAsia" w:ascii="宋体" w:hAnsi="宋体" w:eastAsia="宋体" w:cs="Times New Roman"/>
                <w:b/>
                <w:sz w:val="24"/>
              </w:rPr>
            </w:pPr>
            <w:r>
              <w:rPr>
                <w:rFonts w:hint="eastAsia" w:ascii="宋体" w:hAnsi="宋体" w:eastAsia="宋体" w:cs="Times New Roman"/>
                <w:b/>
                <w:sz w:val="24"/>
              </w:rPr>
              <w:t>学时</w:t>
            </w:r>
          </w:p>
        </w:tc>
      </w:tr>
      <w:tr w14:paraId="5062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536921B">
            <w:pPr>
              <w:spacing w:line="264" w:lineRule="auto"/>
              <w:jc w:val="center"/>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w:t>
            </w:r>
            <w:r>
              <w:rPr>
                <w:rFonts w:hint="eastAsia" w:ascii="宋体" w:hAnsi="宋体" w:eastAsia="宋体" w:cs="Times New Roman"/>
                <w:sz w:val="24"/>
              </w:rPr>
              <w:t>教育论文写作概述</w:t>
            </w:r>
          </w:p>
        </w:tc>
        <w:tc>
          <w:tcPr>
            <w:tcW w:w="1701" w:type="dxa"/>
            <w:vAlign w:val="center"/>
          </w:tcPr>
          <w:p w14:paraId="698FC05E">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1）教育论文写作的意义</w:t>
            </w:r>
          </w:p>
          <w:p w14:paraId="4AD3B695">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2）教育论文写作的一般步骤</w:t>
            </w:r>
          </w:p>
          <w:p w14:paraId="37104334">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3）教育论文写作的学术规范</w:t>
            </w:r>
          </w:p>
        </w:tc>
        <w:tc>
          <w:tcPr>
            <w:tcW w:w="1134" w:type="dxa"/>
            <w:vAlign w:val="center"/>
          </w:tcPr>
          <w:p w14:paraId="05EEE9E7">
            <w:pPr>
              <w:jc w:val="center"/>
              <w:rPr>
                <w:rFonts w:hint="eastAsia" w:ascii="宋体" w:hAnsi="宋体" w:eastAsia="宋体" w:cs="Times New Roman"/>
                <w:sz w:val="24"/>
              </w:rPr>
            </w:pPr>
            <w:r>
              <w:rPr>
                <w:rFonts w:hint="eastAsia" w:ascii="宋体" w:hAnsi="宋体" w:eastAsia="宋体" w:cs="Times New Roman"/>
                <w:sz w:val="24"/>
              </w:rPr>
              <w:t>课程目标1</w:t>
            </w:r>
          </w:p>
        </w:tc>
        <w:tc>
          <w:tcPr>
            <w:tcW w:w="3326" w:type="dxa"/>
            <w:vAlign w:val="center"/>
          </w:tcPr>
          <w:p w14:paraId="398FE563">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1）理解论文写作的意义；</w:t>
            </w:r>
          </w:p>
          <w:p w14:paraId="605FCFB8">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2）掌握教育论文写作的基本步骤；</w:t>
            </w:r>
          </w:p>
          <w:p w14:paraId="56B0ADFE">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3）了解教育论文写作的学术规范，恪守学术道德。</w:t>
            </w:r>
          </w:p>
        </w:tc>
        <w:tc>
          <w:tcPr>
            <w:tcW w:w="1276" w:type="dxa"/>
            <w:vAlign w:val="center"/>
          </w:tcPr>
          <w:p w14:paraId="530FD58B">
            <w:pPr>
              <w:spacing w:line="269" w:lineRule="auto"/>
              <w:jc w:val="left"/>
              <w:rPr>
                <w:rFonts w:hint="eastAsia" w:ascii="宋体" w:hAnsi="宋体" w:eastAsia="宋体" w:cs="Times New Roman"/>
                <w:sz w:val="24"/>
              </w:rPr>
            </w:pPr>
            <w:r>
              <w:rPr>
                <w:rFonts w:hint="eastAsia" w:ascii="宋体" w:hAnsi="宋体" w:eastAsia="宋体" w:cs="Times New Roman"/>
                <w:sz w:val="24"/>
              </w:rPr>
              <w:t>自主学习</w:t>
            </w:r>
          </w:p>
          <w:p w14:paraId="21802165">
            <w:pPr>
              <w:spacing w:line="269" w:lineRule="auto"/>
              <w:jc w:val="left"/>
              <w:rPr>
                <w:rFonts w:hint="eastAsia" w:ascii="宋体" w:hAnsi="宋体" w:eastAsia="宋体" w:cs="Times New Roman"/>
                <w:sz w:val="24"/>
              </w:rPr>
            </w:pPr>
            <w:r>
              <w:rPr>
                <w:rFonts w:hint="eastAsia" w:ascii="宋体" w:hAnsi="宋体" w:eastAsia="宋体" w:cs="Times New Roman"/>
                <w:sz w:val="24"/>
              </w:rPr>
              <w:t>多媒体教学</w:t>
            </w:r>
          </w:p>
          <w:p w14:paraId="4B8DE8BF">
            <w:pPr>
              <w:spacing w:line="269" w:lineRule="auto"/>
              <w:jc w:val="left"/>
              <w:rPr>
                <w:rFonts w:hint="eastAsia" w:ascii="宋体" w:hAnsi="宋体" w:eastAsia="宋体" w:cs="Times New Roman"/>
                <w:sz w:val="24"/>
              </w:rPr>
            </w:pPr>
            <w:r>
              <w:rPr>
                <w:rFonts w:hint="eastAsia" w:ascii="宋体" w:hAnsi="宋体" w:eastAsia="宋体" w:cs="Times New Roman"/>
                <w:sz w:val="24"/>
              </w:rPr>
              <w:t>课堂讨论</w:t>
            </w:r>
          </w:p>
        </w:tc>
        <w:tc>
          <w:tcPr>
            <w:tcW w:w="656" w:type="dxa"/>
            <w:vAlign w:val="center"/>
          </w:tcPr>
          <w:p w14:paraId="1E26C50D">
            <w:pPr>
              <w:spacing w:line="269" w:lineRule="auto"/>
              <w:jc w:val="center"/>
              <w:rPr>
                <w:rFonts w:hint="eastAsia" w:ascii="宋体" w:hAnsi="宋体" w:eastAsia="宋体" w:cs="Times New Roman"/>
                <w:sz w:val="24"/>
              </w:rPr>
            </w:pPr>
            <w:r>
              <w:rPr>
                <w:rFonts w:ascii="宋体" w:hAnsi="宋体" w:eastAsia="宋体" w:cs="Times New Roman"/>
                <w:sz w:val="24"/>
              </w:rPr>
              <w:t>2</w:t>
            </w:r>
          </w:p>
        </w:tc>
      </w:tr>
      <w:tr w14:paraId="5C01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3372DD6">
            <w:pPr>
              <w:spacing w:line="264" w:lineRule="auto"/>
              <w:jc w:val="center"/>
              <w:rPr>
                <w:rFonts w:hint="eastAsia" w:ascii="宋体" w:hAnsi="宋体" w:eastAsia="宋体" w:cs="Times New Roman"/>
                <w:sz w:val="24"/>
              </w:rPr>
            </w:pPr>
          </w:p>
        </w:tc>
        <w:tc>
          <w:tcPr>
            <w:tcW w:w="8093" w:type="dxa"/>
            <w:gridSpan w:val="5"/>
            <w:vAlign w:val="center"/>
          </w:tcPr>
          <w:p w14:paraId="56E64C13">
            <w:pPr>
              <w:spacing w:line="269" w:lineRule="auto"/>
              <w:jc w:val="left"/>
              <w:rPr>
                <w:rFonts w:hint="eastAsia" w:ascii="宋体" w:hAnsi="宋体" w:eastAsia="宋体" w:cs="Times New Roman"/>
                <w:sz w:val="24"/>
              </w:rPr>
            </w:pPr>
            <w:r>
              <w:rPr>
                <w:rFonts w:hint="eastAsia" w:ascii="宋体" w:hAnsi="宋体" w:eastAsia="宋体" w:cs="Times New Roman"/>
                <w:b/>
                <w:sz w:val="24"/>
              </w:rPr>
              <w:t>课程思政目标：</w:t>
            </w:r>
            <w:r>
              <w:rPr>
                <w:rFonts w:hint="eastAsia" w:ascii="宋体" w:hAnsi="宋体" w:eastAsia="宋体" w:cs="Times New Roman"/>
                <w:sz w:val="24"/>
              </w:rPr>
              <w:t>以习近平总书记关于教育工作的重要论述为指导，理解教育论文写作的价值和意义；坚持“立德树人”，树立正确的世界观、价值观和人生观；热爱中小学教育，理解基础教育改革的意义，具有一定的创新意识，学会发现和分析人民群众关心的基础教育热点和难点问题。</w:t>
            </w:r>
          </w:p>
        </w:tc>
      </w:tr>
      <w:tr w14:paraId="0A8E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8EEC3EE">
            <w:pPr>
              <w:spacing w:line="264" w:lineRule="auto"/>
              <w:jc w:val="center"/>
              <w:rPr>
                <w:rFonts w:hint="eastAsia" w:ascii="宋体" w:hAnsi="宋体" w:eastAsia="宋体" w:cs="Times New Roman"/>
                <w:sz w:val="24"/>
              </w:rPr>
            </w:pPr>
            <w:r>
              <w:rPr>
                <w:rFonts w:hint="eastAsia" w:ascii="宋体" w:hAnsi="宋体" w:eastAsia="宋体" w:cs="Times New Roman"/>
                <w:sz w:val="24"/>
              </w:rPr>
              <w:t>2.</w:t>
            </w:r>
            <w:r>
              <w:rPr>
                <w:rFonts w:hint="eastAsia"/>
                <w:sz w:val="24"/>
              </w:rPr>
              <w:t xml:space="preserve"> </w:t>
            </w:r>
            <w:r>
              <w:rPr>
                <w:rFonts w:hint="eastAsia" w:ascii="宋体" w:hAnsi="宋体" w:eastAsia="宋体" w:cs="Times New Roman"/>
                <w:sz w:val="24"/>
              </w:rPr>
              <w:t>学术期刊论文的写作</w:t>
            </w:r>
          </w:p>
        </w:tc>
        <w:tc>
          <w:tcPr>
            <w:tcW w:w="1701" w:type="dxa"/>
            <w:vAlign w:val="center"/>
          </w:tcPr>
          <w:p w14:paraId="3ADF4ECA">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1）学术期刊论文标题的拟定</w:t>
            </w:r>
          </w:p>
          <w:p w14:paraId="23DE603E">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2）学术期刊论文摘要的撰写</w:t>
            </w:r>
          </w:p>
          <w:p w14:paraId="251F0198">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3）学术期刊论文引言的撰写</w:t>
            </w:r>
          </w:p>
          <w:p w14:paraId="318CDA3E">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4）学术期刊论文正文的撰写</w:t>
            </w:r>
          </w:p>
          <w:p w14:paraId="039D54F1">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5）学术期刊论文结语的撰写</w:t>
            </w:r>
          </w:p>
        </w:tc>
        <w:tc>
          <w:tcPr>
            <w:tcW w:w="1134" w:type="dxa"/>
            <w:vAlign w:val="center"/>
          </w:tcPr>
          <w:p w14:paraId="45D061EA">
            <w:pPr>
              <w:jc w:val="center"/>
              <w:rPr>
                <w:rFonts w:hint="eastAsia" w:ascii="宋体" w:hAnsi="宋体" w:eastAsia="宋体" w:cs="Times New Roman"/>
                <w:sz w:val="24"/>
              </w:rPr>
            </w:pPr>
            <w:r>
              <w:rPr>
                <w:rFonts w:hint="eastAsia" w:ascii="宋体" w:hAnsi="宋体" w:eastAsia="宋体" w:cs="Times New Roman"/>
                <w:sz w:val="24"/>
              </w:rPr>
              <w:t>课程目标</w:t>
            </w:r>
            <w:r>
              <w:rPr>
                <w:rFonts w:ascii="宋体" w:hAnsi="宋体" w:eastAsia="宋体" w:cs="Times New Roman"/>
                <w:sz w:val="24"/>
              </w:rPr>
              <w:t>2</w:t>
            </w:r>
            <w:r>
              <w:rPr>
                <w:rFonts w:hint="eastAsia" w:ascii="宋体" w:hAnsi="宋体" w:eastAsia="宋体" w:cs="Times New Roman"/>
                <w:sz w:val="24"/>
              </w:rPr>
              <w:t>-</w:t>
            </w:r>
            <w:r>
              <w:rPr>
                <w:rFonts w:ascii="宋体" w:hAnsi="宋体" w:eastAsia="宋体" w:cs="Times New Roman"/>
                <w:sz w:val="24"/>
              </w:rPr>
              <w:t>4</w:t>
            </w:r>
          </w:p>
        </w:tc>
        <w:tc>
          <w:tcPr>
            <w:tcW w:w="3326" w:type="dxa"/>
            <w:vAlign w:val="center"/>
          </w:tcPr>
          <w:p w14:paraId="664928F8">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1）了解教育论文（期刊论文）的基本结构；</w:t>
            </w:r>
          </w:p>
          <w:p w14:paraId="1FB59F91">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2）掌握教育论文各组成部分的写作方法；</w:t>
            </w:r>
          </w:p>
          <w:p w14:paraId="15B73F9E">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3）能够撰写符合规范的小论文。</w:t>
            </w:r>
          </w:p>
        </w:tc>
        <w:tc>
          <w:tcPr>
            <w:tcW w:w="1276" w:type="dxa"/>
            <w:vAlign w:val="center"/>
          </w:tcPr>
          <w:p w14:paraId="32103DE2">
            <w:pPr>
              <w:spacing w:line="269" w:lineRule="auto"/>
              <w:jc w:val="left"/>
              <w:rPr>
                <w:rFonts w:hint="eastAsia" w:ascii="宋体" w:hAnsi="宋体" w:eastAsia="宋体" w:cs="Times New Roman"/>
                <w:sz w:val="24"/>
              </w:rPr>
            </w:pPr>
            <w:r>
              <w:rPr>
                <w:rFonts w:hint="eastAsia" w:ascii="宋体" w:hAnsi="宋体" w:eastAsia="宋体" w:cs="Times New Roman"/>
                <w:sz w:val="24"/>
              </w:rPr>
              <w:t>自主学习</w:t>
            </w:r>
          </w:p>
          <w:p w14:paraId="3422C465">
            <w:pPr>
              <w:spacing w:line="269" w:lineRule="auto"/>
              <w:jc w:val="left"/>
              <w:rPr>
                <w:rFonts w:hint="eastAsia" w:ascii="宋体" w:hAnsi="宋体" w:eastAsia="宋体" w:cs="Times New Roman"/>
                <w:sz w:val="24"/>
              </w:rPr>
            </w:pPr>
            <w:r>
              <w:rPr>
                <w:rFonts w:hint="eastAsia" w:ascii="宋体" w:hAnsi="宋体" w:eastAsia="宋体" w:cs="Times New Roman"/>
                <w:sz w:val="24"/>
              </w:rPr>
              <w:t>案例教学</w:t>
            </w:r>
          </w:p>
          <w:p w14:paraId="34D5207F">
            <w:pPr>
              <w:spacing w:line="269" w:lineRule="auto"/>
              <w:jc w:val="left"/>
              <w:rPr>
                <w:rFonts w:hint="eastAsia" w:ascii="宋体" w:hAnsi="宋体" w:eastAsia="宋体" w:cs="Times New Roman"/>
                <w:sz w:val="24"/>
              </w:rPr>
            </w:pPr>
            <w:r>
              <w:rPr>
                <w:rFonts w:hint="eastAsia" w:ascii="宋体" w:hAnsi="宋体" w:eastAsia="宋体" w:cs="Times New Roman"/>
                <w:sz w:val="24"/>
              </w:rPr>
              <w:t>课堂讨论</w:t>
            </w:r>
          </w:p>
          <w:p w14:paraId="6F4C7EC0">
            <w:pPr>
              <w:spacing w:line="269" w:lineRule="auto"/>
              <w:jc w:val="left"/>
              <w:rPr>
                <w:rFonts w:hint="eastAsia" w:ascii="宋体" w:hAnsi="宋体" w:eastAsia="宋体" w:cs="Times New Roman"/>
                <w:sz w:val="24"/>
              </w:rPr>
            </w:pPr>
            <w:r>
              <w:rPr>
                <w:rFonts w:hint="eastAsia" w:ascii="宋体" w:hAnsi="宋体" w:eastAsia="宋体" w:cs="Times New Roman"/>
                <w:sz w:val="24"/>
              </w:rPr>
              <w:t>项目作业</w:t>
            </w:r>
          </w:p>
        </w:tc>
        <w:tc>
          <w:tcPr>
            <w:tcW w:w="656" w:type="dxa"/>
            <w:vAlign w:val="center"/>
          </w:tcPr>
          <w:p w14:paraId="64A78B0D">
            <w:pPr>
              <w:spacing w:line="269" w:lineRule="auto"/>
              <w:jc w:val="center"/>
              <w:rPr>
                <w:rFonts w:hint="eastAsia" w:ascii="宋体" w:hAnsi="宋体" w:eastAsia="宋体" w:cs="Times New Roman"/>
                <w:sz w:val="24"/>
              </w:rPr>
            </w:pPr>
            <w:r>
              <w:rPr>
                <w:rFonts w:ascii="宋体" w:hAnsi="宋体" w:eastAsia="宋体" w:cs="Times New Roman"/>
                <w:sz w:val="24"/>
              </w:rPr>
              <w:t>6</w:t>
            </w:r>
          </w:p>
        </w:tc>
      </w:tr>
      <w:tr w14:paraId="42AE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3767CA3">
            <w:pPr>
              <w:spacing w:line="264" w:lineRule="auto"/>
              <w:jc w:val="center"/>
              <w:rPr>
                <w:rFonts w:hint="eastAsia" w:ascii="宋体" w:hAnsi="宋体" w:eastAsia="宋体" w:cs="Times New Roman"/>
                <w:sz w:val="24"/>
              </w:rPr>
            </w:pPr>
          </w:p>
        </w:tc>
        <w:tc>
          <w:tcPr>
            <w:tcW w:w="8093" w:type="dxa"/>
            <w:gridSpan w:val="5"/>
            <w:vAlign w:val="center"/>
          </w:tcPr>
          <w:p w14:paraId="43983ED3">
            <w:pPr>
              <w:spacing w:line="269" w:lineRule="auto"/>
              <w:jc w:val="left"/>
              <w:rPr>
                <w:rFonts w:hint="eastAsia" w:ascii="宋体" w:hAnsi="宋体" w:eastAsia="宋体" w:cs="Times New Roman"/>
                <w:sz w:val="24"/>
              </w:rPr>
            </w:pPr>
            <w:r>
              <w:rPr>
                <w:rFonts w:hint="eastAsia" w:ascii="宋体" w:hAnsi="宋体" w:eastAsia="宋体" w:cs="Times New Roman"/>
                <w:b/>
                <w:sz w:val="24"/>
              </w:rPr>
              <w:t>课程思政目标：</w:t>
            </w:r>
            <w:r>
              <w:rPr>
                <w:rFonts w:ascii="宋体" w:hAnsi="宋体" w:eastAsia="宋体" w:cs="Times New Roman"/>
                <w:sz w:val="24"/>
              </w:rPr>
              <w:t xml:space="preserve">  正确处理整体和部分的关系，准确把握主要矛盾和次要矛盾；践行社会主义核心价值观，坚持“四个自信”；虚心学习，实事求是，培养和形成朴素、严谨的文风；遵守学术规范，恪守学术诚信；学会创新，善于分析和解决人民群众关心的热点问题。</w:t>
            </w:r>
          </w:p>
        </w:tc>
      </w:tr>
      <w:tr w14:paraId="3DD4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CED6A63">
            <w:pPr>
              <w:spacing w:line="264" w:lineRule="auto"/>
              <w:jc w:val="center"/>
              <w:rPr>
                <w:rFonts w:hint="eastAsia" w:ascii="宋体" w:hAnsi="宋体" w:eastAsia="宋体" w:cs="Times New Roman"/>
                <w:sz w:val="24"/>
              </w:rPr>
            </w:pPr>
            <w:r>
              <w:rPr>
                <w:rFonts w:hint="eastAsia" w:ascii="宋体" w:hAnsi="宋体" w:eastAsia="宋体" w:cs="Times New Roman"/>
                <w:sz w:val="24"/>
              </w:rPr>
              <w:t>3</w:t>
            </w:r>
            <w:r>
              <w:rPr>
                <w:rFonts w:ascii="宋体" w:hAnsi="宋体" w:eastAsia="宋体" w:cs="Times New Roman"/>
                <w:sz w:val="24"/>
              </w:rPr>
              <w:t xml:space="preserve">. </w:t>
            </w:r>
            <w:r>
              <w:rPr>
                <w:rFonts w:hint="eastAsia" w:ascii="宋体" w:hAnsi="宋体" w:eastAsia="宋体" w:cs="Times New Roman"/>
                <w:sz w:val="24"/>
              </w:rPr>
              <w:t>教育综述论文的写作</w:t>
            </w:r>
          </w:p>
        </w:tc>
        <w:tc>
          <w:tcPr>
            <w:tcW w:w="1701" w:type="dxa"/>
            <w:vAlign w:val="center"/>
          </w:tcPr>
          <w:p w14:paraId="4B173420">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1）教育综述论文的结构特点</w:t>
            </w:r>
          </w:p>
          <w:p w14:paraId="5437997F">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 xml:space="preserve">2）教育综述论文的语言特点 </w:t>
            </w:r>
          </w:p>
          <w:p w14:paraId="74089039">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3）教育综述论文的撰写要点</w:t>
            </w:r>
          </w:p>
        </w:tc>
        <w:tc>
          <w:tcPr>
            <w:tcW w:w="1134" w:type="dxa"/>
            <w:vAlign w:val="center"/>
          </w:tcPr>
          <w:p w14:paraId="0791DAEA">
            <w:pPr>
              <w:jc w:val="center"/>
              <w:rPr>
                <w:rFonts w:hint="eastAsia" w:ascii="宋体" w:hAnsi="宋体" w:eastAsia="宋体" w:cs="Times New Roman"/>
                <w:sz w:val="24"/>
              </w:rPr>
            </w:pPr>
            <w:r>
              <w:rPr>
                <w:rFonts w:hint="eastAsia" w:ascii="宋体" w:hAnsi="宋体" w:eastAsia="宋体" w:cs="Times New Roman"/>
                <w:sz w:val="24"/>
              </w:rPr>
              <w:t>课程目标2-</w:t>
            </w:r>
            <w:r>
              <w:rPr>
                <w:rFonts w:ascii="宋体" w:hAnsi="宋体" w:eastAsia="宋体" w:cs="Times New Roman"/>
                <w:sz w:val="24"/>
              </w:rPr>
              <w:t>4</w:t>
            </w:r>
          </w:p>
        </w:tc>
        <w:tc>
          <w:tcPr>
            <w:tcW w:w="3326" w:type="dxa"/>
            <w:vAlign w:val="center"/>
          </w:tcPr>
          <w:p w14:paraId="0187EE65">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1）熟悉教育综述论文的结构特点；</w:t>
            </w:r>
          </w:p>
          <w:p w14:paraId="56D152AF">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2）结合实例，了解教育综述论文的语言特点；</w:t>
            </w:r>
          </w:p>
          <w:p w14:paraId="375DF40B">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3）能够结合自身的学习和研究，撰写符合规范的教育综述小论文。</w:t>
            </w:r>
          </w:p>
        </w:tc>
        <w:tc>
          <w:tcPr>
            <w:tcW w:w="1276" w:type="dxa"/>
            <w:vAlign w:val="center"/>
          </w:tcPr>
          <w:p w14:paraId="2A682197">
            <w:pPr>
              <w:jc w:val="left"/>
              <w:rPr>
                <w:rFonts w:hint="eastAsia" w:ascii="宋体" w:hAnsi="宋体" w:eastAsia="宋体" w:cs="Times New Roman"/>
                <w:sz w:val="24"/>
              </w:rPr>
            </w:pPr>
            <w:r>
              <w:rPr>
                <w:rFonts w:hint="eastAsia" w:ascii="宋体" w:hAnsi="宋体" w:eastAsia="宋体" w:cs="Times New Roman"/>
                <w:sz w:val="24"/>
              </w:rPr>
              <w:t>自主学习</w:t>
            </w:r>
          </w:p>
          <w:p w14:paraId="77DD5E4A">
            <w:pPr>
              <w:jc w:val="left"/>
              <w:rPr>
                <w:rFonts w:hint="eastAsia" w:ascii="宋体" w:hAnsi="宋体" w:eastAsia="宋体" w:cs="Times New Roman"/>
                <w:sz w:val="24"/>
              </w:rPr>
            </w:pPr>
            <w:r>
              <w:rPr>
                <w:rFonts w:hint="eastAsia" w:ascii="宋体" w:hAnsi="宋体" w:eastAsia="宋体" w:cs="Times New Roman"/>
                <w:sz w:val="24"/>
              </w:rPr>
              <w:t>案例教学</w:t>
            </w:r>
          </w:p>
          <w:p w14:paraId="0277452E">
            <w:pPr>
              <w:jc w:val="left"/>
              <w:rPr>
                <w:rFonts w:hint="eastAsia" w:ascii="宋体" w:hAnsi="宋体" w:eastAsia="宋体" w:cs="Times New Roman"/>
                <w:sz w:val="24"/>
              </w:rPr>
            </w:pPr>
            <w:r>
              <w:rPr>
                <w:rFonts w:hint="eastAsia" w:ascii="宋体" w:hAnsi="宋体" w:eastAsia="宋体" w:cs="Times New Roman"/>
                <w:sz w:val="24"/>
              </w:rPr>
              <w:t>课堂讨论</w:t>
            </w:r>
          </w:p>
          <w:p w14:paraId="34A5B8C6">
            <w:pPr>
              <w:jc w:val="left"/>
              <w:rPr>
                <w:rFonts w:hint="eastAsia" w:ascii="宋体" w:hAnsi="宋体" w:eastAsia="宋体" w:cs="Times New Roman"/>
                <w:sz w:val="24"/>
              </w:rPr>
            </w:pPr>
            <w:r>
              <w:rPr>
                <w:rFonts w:hint="eastAsia" w:ascii="宋体" w:hAnsi="宋体" w:eastAsia="宋体" w:cs="Times New Roman"/>
                <w:sz w:val="24"/>
              </w:rPr>
              <w:t>项目作业</w:t>
            </w:r>
          </w:p>
        </w:tc>
        <w:tc>
          <w:tcPr>
            <w:tcW w:w="656" w:type="dxa"/>
            <w:vAlign w:val="center"/>
          </w:tcPr>
          <w:p w14:paraId="54AE4D36">
            <w:pPr>
              <w:jc w:val="center"/>
              <w:rPr>
                <w:rFonts w:hint="eastAsia" w:ascii="宋体" w:hAnsi="宋体" w:eastAsia="宋体" w:cs="Times New Roman"/>
                <w:sz w:val="24"/>
              </w:rPr>
            </w:pPr>
            <w:r>
              <w:rPr>
                <w:rFonts w:ascii="宋体" w:hAnsi="宋体" w:eastAsia="宋体" w:cs="Times New Roman"/>
                <w:sz w:val="24"/>
              </w:rPr>
              <w:t>6</w:t>
            </w:r>
          </w:p>
        </w:tc>
      </w:tr>
      <w:tr w14:paraId="3933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D9AAC03">
            <w:pPr>
              <w:spacing w:line="264" w:lineRule="auto"/>
              <w:jc w:val="center"/>
              <w:rPr>
                <w:rFonts w:hint="eastAsia" w:ascii="宋体" w:hAnsi="宋体" w:eastAsia="宋体" w:cs="Times New Roman"/>
                <w:sz w:val="24"/>
              </w:rPr>
            </w:pPr>
          </w:p>
        </w:tc>
        <w:tc>
          <w:tcPr>
            <w:tcW w:w="8093" w:type="dxa"/>
            <w:gridSpan w:val="5"/>
            <w:vAlign w:val="center"/>
          </w:tcPr>
          <w:p w14:paraId="21C5B812">
            <w:pPr>
              <w:jc w:val="left"/>
              <w:rPr>
                <w:rFonts w:hint="eastAsia" w:ascii="宋体" w:hAnsi="宋体" w:eastAsia="宋体" w:cs="Times New Roman"/>
                <w:sz w:val="24"/>
              </w:rPr>
            </w:pPr>
            <w:r>
              <w:rPr>
                <w:rFonts w:hint="eastAsia" w:ascii="宋体" w:hAnsi="宋体" w:eastAsia="宋体" w:cs="Times New Roman"/>
                <w:b/>
                <w:sz w:val="24"/>
              </w:rPr>
              <w:t>课程思政目标：</w:t>
            </w:r>
            <w:r>
              <w:rPr>
                <w:rFonts w:hint="eastAsia" w:ascii="宋体" w:hAnsi="宋体" w:eastAsia="宋体" w:cs="Times New Roman"/>
                <w:sz w:val="24"/>
              </w:rPr>
              <w:t>通过对国内外教育研究现状的全面梳理，增强对我国基础教育改革取得伟大成就的自豪感，培养投身基础教育科学研究的责任感和使命感；形成诚信务实、脚踏实地、实事求是的科研素养；遵守学术规范，恪守学术诚信。</w:t>
            </w:r>
          </w:p>
        </w:tc>
      </w:tr>
      <w:tr w14:paraId="58BA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325F459">
            <w:pPr>
              <w:spacing w:line="276" w:lineRule="auto"/>
              <w:jc w:val="center"/>
              <w:rPr>
                <w:rFonts w:hint="eastAsia" w:ascii="宋体" w:hAnsi="宋体" w:eastAsia="宋体" w:cs="Times New Roman"/>
                <w:sz w:val="24"/>
              </w:rPr>
            </w:pPr>
            <w:r>
              <w:rPr>
                <w:rFonts w:hint="eastAsia" w:ascii="宋体" w:hAnsi="宋体" w:eastAsia="宋体" w:cs="Times New Roman"/>
                <w:sz w:val="24"/>
              </w:rPr>
              <w:t>4.</w:t>
            </w:r>
            <w:r>
              <w:rPr>
                <w:rFonts w:hint="eastAsia"/>
                <w:sz w:val="24"/>
              </w:rPr>
              <w:t xml:space="preserve"> </w:t>
            </w:r>
            <w:r>
              <w:rPr>
                <w:rFonts w:hint="eastAsia" w:ascii="宋体" w:hAnsi="宋体" w:eastAsia="宋体" w:cs="Times New Roman"/>
                <w:sz w:val="24"/>
              </w:rPr>
              <w:t>教育经验总结论文的写作</w:t>
            </w:r>
          </w:p>
        </w:tc>
        <w:tc>
          <w:tcPr>
            <w:tcW w:w="1701" w:type="dxa"/>
            <w:vAlign w:val="center"/>
          </w:tcPr>
          <w:p w14:paraId="621B9AA0">
            <w:pPr>
              <w:spacing w:line="276" w:lineRule="auto"/>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 xml:space="preserve">1）教育经验总结论文的类别及其结构 </w:t>
            </w:r>
          </w:p>
          <w:p w14:paraId="5807D0FB">
            <w:pPr>
              <w:spacing w:line="276" w:lineRule="auto"/>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2）具体经验总结论文的撰写</w:t>
            </w:r>
          </w:p>
          <w:p w14:paraId="3EE90A65">
            <w:pPr>
              <w:spacing w:line="276" w:lineRule="auto"/>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3）一般经验总结论文的撰写</w:t>
            </w:r>
          </w:p>
          <w:p w14:paraId="0D409D09">
            <w:pPr>
              <w:spacing w:line="276" w:lineRule="auto"/>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4）理论性经验总结论文的撰写</w:t>
            </w:r>
          </w:p>
        </w:tc>
        <w:tc>
          <w:tcPr>
            <w:tcW w:w="1134" w:type="dxa"/>
            <w:vAlign w:val="center"/>
          </w:tcPr>
          <w:p w14:paraId="02D51BAB">
            <w:pPr>
              <w:spacing w:line="276" w:lineRule="auto"/>
              <w:jc w:val="center"/>
              <w:rPr>
                <w:rFonts w:hint="eastAsia" w:ascii="宋体" w:hAnsi="宋体" w:eastAsia="宋体" w:cs="Times New Roman"/>
                <w:sz w:val="24"/>
              </w:rPr>
            </w:pPr>
            <w:r>
              <w:rPr>
                <w:rFonts w:hint="eastAsia" w:ascii="宋体" w:hAnsi="宋体" w:eastAsia="宋体" w:cs="Times New Roman"/>
                <w:sz w:val="24"/>
              </w:rPr>
              <w:t>课程目标</w:t>
            </w:r>
            <w:r>
              <w:rPr>
                <w:rFonts w:ascii="宋体" w:hAnsi="宋体" w:eastAsia="宋体" w:cs="Times New Roman"/>
                <w:sz w:val="24"/>
              </w:rPr>
              <w:t>2</w:t>
            </w:r>
            <w:r>
              <w:rPr>
                <w:rFonts w:hint="eastAsia" w:ascii="宋体" w:hAnsi="宋体" w:eastAsia="宋体" w:cs="Times New Roman"/>
                <w:sz w:val="24"/>
              </w:rPr>
              <w:t>-</w:t>
            </w:r>
            <w:r>
              <w:rPr>
                <w:rFonts w:ascii="宋体" w:hAnsi="宋体" w:eastAsia="宋体" w:cs="Times New Roman"/>
                <w:sz w:val="24"/>
              </w:rPr>
              <w:t>4</w:t>
            </w:r>
          </w:p>
        </w:tc>
        <w:tc>
          <w:tcPr>
            <w:tcW w:w="3326" w:type="dxa"/>
            <w:vAlign w:val="center"/>
          </w:tcPr>
          <w:p w14:paraId="449327D8">
            <w:pPr>
              <w:spacing w:line="276" w:lineRule="auto"/>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1）熟悉教育经验总结类论文的结构特点；</w:t>
            </w:r>
          </w:p>
          <w:p w14:paraId="5C6C5034">
            <w:pPr>
              <w:spacing w:line="276" w:lineRule="auto"/>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2）结合实例，了解教育经验总结类论文的语言特点；</w:t>
            </w:r>
          </w:p>
          <w:p w14:paraId="424DB75A">
            <w:pPr>
              <w:spacing w:line="276" w:lineRule="auto"/>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3）初步掌握教育经验总结类论文的写作要点；</w:t>
            </w:r>
          </w:p>
          <w:p w14:paraId="3A7FD714">
            <w:pPr>
              <w:spacing w:line="276" w:lineRule="auto"/>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4）能够结合教育实践，撰写符合规范的具体教育经验总结小论文（教学随笔或教学反思）。</w:t>
            </w:r>
          </w:p>
        </w:tc>
        <w:tc>
          <w:tcPr>
            <w:tcW w:w="1276" w:type="dxa"/>
            <w:vAlign w:val="center"/>
          </w:tcPr>
          <w:p w14:paraId="556AFCDF">
            <w:pPr>
              <w:spacing w:line="276" w:lineRule="auto"/>
              <w:jc w:val="left"/>
              <w:rPr>
                <w:rFonts w:hint="eastAsia" w:ascii="宋体" w:hAnsi="宋体" w:eastAsia="宋体" w:cs="Times New Roman"/>
                <w:sz w:val="24"/>
              </w:rPr>
            </w:pPr>
            <w:r>
              <w:rPr>
                <w:rFonts w:hint="eastAsia" w:ascii="宋体" w:hAnsi="宋体" w:eastAsia="宋体" w:cs="Times New Roman"/>
                <w:sz w:val="24"/>
              </w:rPr>
              <w:t>自主学习</w:t>
            </w:r>
          </w:p>
          <w:p w14:paraId="0473D25A">
            <w:pPr>
              <w:spacing w:line="276" w:lineRule="auto"/>
              <w:jc w:val="left"/>
              <w:rPr>
                <w:rFonts w:hint="eastAsia" w:ascii="宋体" w:hAnsi="宋体" w:eastAsia="宋体" w:cs="Times New Roman"/>
                <w:sz w:val="24"/>
              </w:rPr>
            </w:pPr>
            <w:r>
              <w:rPr>
                <w:rFonts w:hint="eastAsia" w:ascii="宋体" w:hAnsi="宋体" w:eastAsia="宋体" w:cs="Times New Roman"/>
                <w:sz w:val="24"/>
              </w:rPr>
              <w:t>案例教学</w:t>
            </w:r>
          </w:p>
          <w:p w14:paraId="6A598A47">
            <w:pPr>
              <w:spacing w:line="276" w:lineRule="auto"/>
              <w:jc w:val="left"/>
              <w:rPr>
                <w:rFonts w:hint="eastAsia" w:ascii="宋体" w:hAnsi="宋体" w:eastAsia="宋体" w:cs="Times New Roman"/>
                <w:sz w:val="24"/>
              </w:rPr>
            </w:pPr>
            <w:r>
              <w:rPr>
                <w:rFonts w:hint="eastAsia" w:ascii="宋体" w:hAnsi="宋体" w:eastAsia="宋体" w:cs="Times New Roman"/>
                <w:sz w:val="24"/>
              </w:rPr>
              <w:t>课堂讨论</w:t>
            </w:r>
          </w:p>
          <w:p w14:paraId="081ABFDB">
            <w:pPr>
              <w:spacing w:line="276" w:lineRule="auto"/>
              <w:jc w:val="left"/>
              <w:rPr>
                <w:rFonts w:hint="eastAsia" w:ascii="宋体" w:hAnsi="宋体" w:eastAsia="宋体" w:cs="Times New Roman"/>
                <w:sz w:val="24"/>
              </w:rPr>
            </w:pPr>
            <w:r>
              <w:rPr>
                <w:rFonts w:hint="eastAsia" w:ascii="宋体" w:hAnsi="宋体" w:eastAsia="宋体" w:cs="Times New Roman"/>
                <w:sz w:val="24"/>
              </w:rPr>
              <w:t>项目作业</w:t>
            </w:r>
          </w:p>
        </w:tc>
        <w:tc>
          <w:tcPr>
            <w:tcW w:w="656" w:type="dxa"/>
            <w:vAlign w:val="center"/>
          </w:tcPr>
          <w:p w14:paraId="053EE3EB">
            <w:pPr>
              <w:spacing w:line="276" w:lineRule="auto"/>
              <w:jc w:val="center"/>
              <w:rPr>
                <w:rFonts w:hint="eastAsia" w:ascii="宋体" w:hAnsi="宋体" w:eastAsia="宋体" w:cs="Times New Roman"/>
                <w:sz w:val="24"/>
              </w:rPr>
            </w:pPr>
            <w:r>
              <w:rPr>
                <w:rFonts w:ascii="宋体" w:hAnsi="宋体" w:eastAsia="宋体" w:cs="Times New Roman"/>
                <w:sz w:val="24"/>
              </w:rPr>
              <w:t>4</w:t>
            </w:r>
          </w:p>
        </w:tc>
      </w:tr>
      <w:tr w14:paraId="291D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01DA0F5">
            <w:pPr>
              <w:spacing w:line="276" w:lineRule="auto"/>
              <w:jc w:val="center"/>
              <w:rPr>
                <w:rFonts w:hint="eastAsia" w:ascii="宋体" w:hAnsi="宋体" w:eastAsia="宋体" w:cs="Times New Roman"/>
                <w:sz w:val="24"/>
              </w:rPr>
            </w:pPr>
          </w:p>
        </w:tc>
        <w:tc>
          <w:tcPr>
            <w:tcW w:w="8093" w:type="dxa"/>
            <w:gridSpan w:val="5"/>
            <w:vAlign w:val="center"/>
          </w:tcPr>
          <w:p w14:paraId="0BB490A1">
            <w:pPr>
              <w:spacing w:line="276" w:lineRule="auto"/>
              <w:jc w:val="left"/>
              <w:rPr>
                <w:rFonts w:hint="eastAsia" w:ascii="宋体" w:hAnsi="宋体" w:eastAsia="宋体" w:cs="Times New Roman"/>
                <w:sz w:val="24"/>
              </w:rPr>
            </w:pPr>
            <w:r>
              <w:rPr>
                <w:rFonts w:hint="eastAsia" w:ascii="宋体" w:hAnsi="宋体" w:eastAsia="宋体" w:cs="Times New Roman"/>
                <w:b/>
                <w:sz w:val="24"/>
              </w:rPr>
              <w:t>课程思政目标</w:t>
            </w:r>
            <w:r>
              <w:rPr>
                <w:rFonts w:hint="eastAsia" w:ascii="宋体" w:hAnsi="宋体" w:eastAsia="宋体" w:cs="Times New Roman"/>
                <w:sz w:val="24"/>
              </w:rPr>
              <w:t>：</w:t>
            </w:r>
            <w:r>
              <w:rPr>
                <w:rFonts w:ascii="宋体" w:hAnsi="宋体" w:eastAsia="宋体" w:cs="Times New Roman"/>
                <w:sz w:val="24"/>
              </w:rPr>
              <w:t>理解学校教育工作的价值和意义；把握教育改革和发展的本质规律；尊重科学、尊重事实， 遵循教育规律，培养和形成正确</w:t>
            </w:r>
            <w:r>
              <w:rPr>
                <w:rFonts w:hint="eastAsia" w:ascii="宋体" w:hAnsi="宋体" w:eastAsia="宋体" w:cs="Times New Roman"/>
                <w:sz w:val="24"/>
              </w:rPr>
              <w:t>科研观</w:t>
            </w:r>
            <w:r>
              <w:rPr>
                <w:rFonts w:ascii="宋体" w:hAnsi="宋体" w:eastAsia="宋体" w:cs="Times New Roman"/>
                <w:sz w:val="24"/>
              </w:rPr>
              <w:t>；遵守学术规范，恪守学术诚信。</w:t>
            </w:r>
          </w:p>
        </w:tc>
      </w:tr>
      <w:tr w14:paraId="3D69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C250FDC">
            <w:pPr>
              <w:spacing w:line="276" w:lineRule="auto"/>
              <w:jc w:val="center"/>
              <w:rPr>
                <w:rFonts w:hint="eastAsia" w:ascii="宋体" w:hAnsi="宋体" w:eastAsia="宋体" w:cs="Times New Roman"/>
                <w:sz w:val="24"/>
              </w:rPr>
            </w:pPr>
            <w:r>
              <w:rPr>
                <w:rFonts w:hint="eastAsia" w:ascii="宋体" w:hAnsi="宋体" w:eastAsia="宋体" w:cs="Times New Roman"/>
                <w:sz w:val="24"/>
              </w:rPr>
              <w:t>5.</w:t>
            </w:r>
            <w:r>
              <w:rPr>
                <w:rFonts w:hint="eastAsia"/>
                <w:sz w:val="24"/>
              </w:rPr>
              <w:t xml:space="preserve"> </w:t>
            </w:r>
            <w:r>
              <w:rPr>
                <w:rFonts w:hint="eastAsia" w:ascii="宋体" w:hAnsi="宋体" w:eastAsia="宋体" w:cs="Times New Roman"/>
                <w:sz w:val="24"/>
              </w:rPr>
              <w:t>教育调查报告及实验报告的写作</w:t>
            </w:r>
          </w:p>
        </w:tc>
        <w:tc>
          <w:tcPr>
            <w:tcW w:w="1701" w:type="dxa"/>
            <w:vAlign w:val="center"/>
          </w:tcPr>
          <w:p w14:paraId="14DE43D4">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1）教育调查报告的结构特点及写作要求</w:t>
            </w:r>
          </w:p>
          <w:p w14:paraId="2DDCD02B">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2）教育实验报告的结构特点与写作要求</w:t>
            </w:r>
          </w:p>
        </w:tc>
        <w:tc>
          <w:tcPr>
            <w:tcW w:w="1134" w:type="dxa"/>
            <w:vAlign w:val="center"/>
          </w:tcPr>
          <w:p w14:paraId="0B2AC549">
            <w:pPr>
              <w:jc w:val="center"/>
              <w:rPr>
                <w:rFonts w:hint="eastAsia" w:ascii="宋体" w:hAnsi="宋体" w:eastAsia="宋体" w:cs="Times New Roman"/>
                <w:sz w:val="24"/>
              </w:rPr>
            </w:pPr>
            <w:r>
              <w:rPr>
                <w:rFonts w:hint="eastAsia" w:ascii="宋体" w:hAnsi="宋体" w:eastAsia="宋体" w:cs="Times New Roman"/>
                <w:sz w:val="24"/>
              </w:rPr>
              <w:t>课程目标2-</w:t>
            </w:r>
            <w:r>
              <w:rPr>
                <w:rFonts w:ascii="宋体" w:hAnsi="宋体" w:eastAsia="宋体" w:cs="Times New Roman"/>
                <w:sz w:val="24"/>
              </w:rPr>
              <w:t>4</w:t>
            </w:r>
          </w:p>
        </w:tc>
        <w:tc>
          <w:tcPr>
            <w:tcW w:w="3326" w:type="dxa"/>
            <w:vAlign w:val="center"/>
          </w:tcPr>
          <w:p w14:paraId="02DF35D3">
            <w:pPr>
              <w:jc w:val="left"/>
              <w:rPr>
                <w:rFonts w:hint="eastAsia" w:ascii="宋体" w:hAnsi="宋体" w:eastAsia="宋体" w:cs="Times New Roman"/>
                <w:sz w:val="24"/>
              </w:rPr>
            </w:pPr>
            <w:r>
              <w:rPr>
                <w:rFonts w:ascii="宋体" w:hAnsi="宋体" w:eastAsia="宋体" w:cs="Times New Roman"/>
                <w:sz w:val="24"/>
              </w:rPr>
              <w:t xml:space="preserve"> </w:t>
            </w:r>
            <w:r>
              <w:rPr>
                <w:rFonts w:hint="eastAsia" w:ascii="宋体" w:hAnsi="宋体" w:eastAsia="宋体" w:cs="Times New Roman"/>
                <w:sz w:val="24"/>
              </w:rPr>
              <w:t>（</w:t>
            </w:r>
            <w:r>
              <w:rPr>
                <w:rFonts w:ascii="宋体" w:hAnsi="宋体" w:eastAsia="宋体" w:cs="Times New Roman"/>
                <w:sz w:val="24"/>
              </w:rPr>
              <w:t>1）结合实例，了解教育调查报告、教育实验报告的结构特点；</w:t>
            </w:r>
          </w:p>
          <w:p w14:paraId="48208AE3">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 xml:space="preserve">2）能够结合教育实践（开展微型教育调查），撰写符合规范的教育调查报告。 </w:t>
            </w:r>
          </w:p>
          <w:p w14:paraId="237CF8E4">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3）能够结合教育实践，提出教育实验课题，列出教育实验报告的框架。</w:t>
            </w:r>
          </w:p>
        </w:tc>
        <w:tc>
          <w:tcPr>
            <w:tcW w:w="1276" w:type="dxa"/>
            <w:vAlign w:val="center"/>
          </w:tcPr>
          <w:p w14:paraId="0C6505D1">
            <w:pPr>
              <w:jc w:val="left"/>
              <w:rPr>
                <w:rFonts w:hint="eastAsia" w:ascii="宋体" w:hAnsi="宋体" w:eastAsia="宋体" w:cs="Times New Roman"/>
                <w:sz w:val="24"/>
              </w:rPr>
            </w:pPr>
            <w:r>
              <w:rPr>
                <w:rFonts w:hint="eastAsia" w:ascii="宋体" w:hAnsi="宋体" w:eastAsia="宋体" w:cs="Times New Roman"/>
                <w:sz w:val="24"/>
              </w:rPr>
              <w:t>自主学习</w:t>
            </w:r>
          </w:p>
          <w:p w14:paraId="1A9CE53D">
            <w:pPr>
              <w:jc w:val="left"/>
              <w:rPr>
                <w:rFonts w:hint="eastAsia" w:ascii="宋体" w:hAnsi="宋体" w:eastAsia="宋体" w:cs="Times New Roman"/>
                <w:sz w:val="24"/>
              </w:rPr>
            </w:pPr>
            <w:r>
              <w:rPr>
                <w:rFonts w:hint="eastAsia" w:ascii="宋体" w:hAnsi="宋体" w:eastAsia="宋体" w:cs="Times New Roman"/>
                <w:sz w:val="24"/>
              </w:rPr>
              <w:t>案例教学</w:t>
            </w:r>
          </w:p>
          <w:p w14:paraId="1013257D">
            <w:pPr>
              <w:jc w:val="left"/>
              <w:rPr>
                <w:rFonts w:hint="eastAsia" w:ascii="宋体" w:hAnsi="宋体" w:eastAsia="宋体" w:cs="Times New Roman"/>
                <w:sz w:val="24"/>
              </w:rPr>
            </w:pPr>
            <w:r>
              <w:rPr>
                <w:rFonts w:hint="eastAsia" w:ascii="宋体" w:hAnsi="宋体" w:eastAsia="宋体" w:cs="Times New Roman"/>
                <w:sz w:val="24"/>
              </w:rPr>
              <w:t>课堂讨论</w:t>
            </w:r>
          </w:p>
          <w:p w14:paraId="4991D519">
            <w:pPr>
              <w:jc w:val="left"/>
              <w:rPr>
                <w:rFonts w:hint="eastAsia" w:ascii="宋体" w:hAnsi="宋体" w:eastAsia="宋体" w:cs="Times New Roman"/>
                <w:sz w:val="24"/>
              </w:rPr>
            </w:pPr>
            <w:r>
              <w:rPr>
                <w:rFonts w:hint="eastAsia" w:ascii="宋体" w:hAnsi="宋体" w:eastAsia="宋体" w:cs="Times New Roman"/>
                <w:sz w:val="24"/>
              </w:rPr>
              <w:t>合作学习</w:t>
            </w:r>
          </w:p>
        </w:tc>
        <w:tc>
          <w:tcPr>
            <w:tcW w:w="656" w:type="dxa"/>
            <w:vAlign w:val="center"/>
          </w:tcPr>
          <w:p w14:paraId="7AA8EBC2">
            <w:pPr>
              <w:spacing w:line="276" w:lineRule="auto"/>
              <w:rPr>
                <w:rFonts w:hint="eastAsia" w:ascii="宋体" w:hAnsi="宋体" w:eastAsia="宋体" w:cs="Times New Roman"/>
                <w:sz w:val="24"/>
              </w:rPr>
            </w:pPr>
            <w:r>
              <w:rPr>
                <w:rFonts w:ascii="宋体" w:hAnsi="宋体" w:eastAsia="宋体" w:cs="Times New Roman"/>
                <w:sz w:val="24"/>
              </w:rPr>
              <w:t>4</w:t>
            </w:r>
          </w:p>
        </w:tc>
      </w:tr>
      <w:tr w14:paraId="1DDD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1BD5EA">
            <w:pPr>
              <w:spacing w:line="276" w:lineRule="auto"/>
              <w:jc w:val="center"/>
              <w:rPr>
                <w:rFonts w:hint="eastAsia" w:ascii="宋体" w:hAnsi="宋体" w:eastAsia="宋体" w:cs="Times New Roman"/>
                <w:sz w:val="24"/>
              </w:rPr>
            </w:pPr>
          </w:p>
        </w:tc>
        <w:tc>
          <w:tcPr>
            <w:tcW w:w="8093" w:type="dxa"/>
            <w:gridSpan w:val="5"/>
            <w:vAlign w:val="center"/>
          </w:tcPr>
          <w:p w14:paraId="5CEA26C2">
            <w:pPr>
              <w:spacing w:line="276" w:lineRule="auto"/>
              <w:jc w:val="left"/>
              <w:rPr>
                <w:rFonts w:hint="eastAsia" w:ascii="宋体" w:hAnsi="宋体" w:eastAsia="宋体" w:cs="Times New Roman"/>
                <w:sz w:val="24"/>
              </w:rPr>
            </w:pPr>
            <w:r>
              <w:rPr>
                <w:rFonts w:hint="eastAsia" w:ascii="宋体" w:hAnsi="宋体" w:eastAsia="宋体" w:cs="Times New Roman"/>
                <w:b/>
                <w:sz w:val="24"/>
              </w:rPr>
              <w:t>课程思政目标：</w:t>
            </w:r>
            <w:r>
              <w:rPr>
                <w:rFonts w:hint="eastAsia" w:ascii="宋体" w:hAnsi="宋体" w:eastAsia="宋体" w:cs="Times New Roman"/>
                <w:sz w:val="24"/>
              </w:rPr>
              <w:t>了解基础教育改革与发展的本质规律，准确把握事物的主要矛盾和次要矛盾；培养和形成朴素、严谨的文风。</w:t>
            </w:r>
          </w:p>
        </w:tc>
      </w:tr>
      <w:tr w14:paraId="51E1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D898F5F">
            <w:pPr>
              <w:spacing w:line="276" w:lineRule="auto"/>
              <w:jc w:val="center"/>
              <w:rPr>
                <w:rFonts w:hint="eastAsia" w:ascii="宋体" w:hAnsi="宋体" w:eastAsia="宋体" w:cs="Times New Roman"/>
                <w:sz w:val="24"/>
              </w:rPr>
            </w:pPr>
            <w:r>
              <w:rPr>
                <w:rFonts w:hint="eastAsia" w:ascii="宋体" w:hAnsi="宋体" w:eastAsia="宋体" w:cs="Times New Roman"/>
                <w:sz w:val="24"/>
              </w:rPr>
              <w:t>6.</w:t>
            </w:r>
            <w:r>
              <w:rPr>
                <w:rFonts w:ascii="宋体" w:hAnsi="宋体" w:eastAsia="宋体" w:cs="Times New Roman"/>
                <w:sz w:val="24"/>
              </w:rPr>
              <w:t xml:space="preserve"> </w:t>
            </w:r>
            <w:r>
              <w:rPr>
                <w:rFonts w:hint="eastAsia" w:ascii="宋体" w:hAnsi="宋体" w:eastAsia="宋体" w:cs="Times New Roman"/>
                <w:sz w:val="24"/>
              </w:rPr>
              <w:t>教育叙事论文的写作</w:t>
            </w:r>
          </w:p>
        </w:tc>
        <w:tc>
          <w:tcPr>
            <w:tcW w:w="1701" w:type="dxa"/>
            <w:vAlign w:val="center"/>
          </w:tcPr>
          <w:p w14:paraId="014E2A79">
            <w:pPr>
              <w:jc w:val="left"/>
              <w:rPr>
                <w:rFonts w:hint="eastAsia"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 xml:space="preserve"> </w:t>
            </w:r>
            <w:r>
              <w:rPr>
                <w:rFonts w:hint="eastAsia" w:ascii="宋体" w:hAnsi="宋体" w:eastAsia="宋体" w:cs="Times New Roman"/>
                <w:sz w:val="24"/>
              </w:rPr>
              <w:t>（</w:t>
            </w:r>
            <w:r>
              <w:rPr>
                <w:rFonts w:ascii="宋体" w:hAnsi="宋体" w:eastAsia="宋体" w:cs="Times New Roman"/>
                <w:sz w:val="24"/>
              </w:rPr>
              <w:t xml:space="preserve">1）教育叙事论文的结构 </w:t>
            </w:r>
          </w:p>
          <w:p w14:paraId="2EC01A35">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2）教育叙事论文的写作程序与方法</w:t>
            </w:r>
          </w:p>
          <w:p w14:paraId="1ABA2A37">
            <w:pPr>
              <w:jc w:val="left"/>
              <w:rPr>
                <w:rFonts w:hint="eastAsia" w:ascii="宋体" w:hAnsi="宋体" w:eastAsia="宋体" w:cs="Times New Roman"/>
                <w:sz w:val="24"/>
              </w:rPr>
            </w:pPr>
          </w:p>
        </w:tc>
        <w:tc>
          <w:tcPr>
            <w:tcW w:w="1134" w:type="dxa"/>
            <w:vAlign w:val="center"/>
          </w:tcPr>
          <w:p w14:paraId="72F23F7B">
            <w:pPr>
              <w:jc w:val="center"/>
              <w:rPr>
                <w:rFonts w:hint="eastAsia" w:ascii="宋体" w:hAnsi="宋体" w:eastAsia="宋体" w:cs="Times New Roman"/>
                <w:sz w:val="24"/>
              </w:rPr>
            </w:pPr>
            <w:r>
              <w:rPr>
                <w:rFonts w:hint="eastAsia" w:ascii="宋体" w:hAnsi="宋体" w:eastAsia="宋体" w:cs="Times New Roman"/>
                <w:sz w:val="24"/>
              </w:rPr>
              <w:t>课程目标2-</w:t>
            </w:r>
            <w:r>
              <w:rPr>
                <w:rFonts w:ascii="宋体" w:hAnsi="宋体" w:eastAsia="宋体" w:cs="Times New Roman"/>
                <w:sz w:val="24"/>
              </w:rPr>
              <w:t xml:space="preserve">4 </w:t>
            </w:r>
          </w:p>
        </w:tc>
        <w:tc>
          <w:tcPr>
            <w:tcW w:w="3326" w:type="dxa"/>
            <w:vAlign w:val="center"/>
          </w:tcPr>
          <w:p w14:paraId="527A3C6B">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1）结合实例，学会分析教育叙事论文的结构；</w:t>
            </w:r>
          </w:p>
          <w:p w14:paraId="366CB84D">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2）掌握教育叙事研究的“深度描写”的基本要求；</w:t>
            </w:r>
          </w:p>
          <w:p w14:paraId="03E73D3D">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3）能够结合教育实践，尝试撰写教育叙事论文。</w:t>
            </w:r>
          </w:p>
        </w:tc>
        <w:tc>
          <w:tcPr>
            <w:tcW w:w="1276" w:type="dxa"/>
            <w:vAlign w:val="center"/>
          </w:tcPr>
          <w:p w14:paraId="592509C7">
            <w:pPr>
              <w:spacing w:line="276" w:lineRule="auto"/>
              <w:jc w:val="left"/>
              <w:rPr>
                <w:rFonts w:hint="eastAsia" w:ascii="宋体" w:hAnsi="宋体" w:eastAsia="宋体" w:cs="Times New Roman"/>
                <w:sz w:val="24"/>
              </w:rPr>
            </w:pPr>
            <w:r>
              <w:rPr>
                <w:rFonts w:hint="eastAsia" w:ascii="宋体" w:hAnsi="宋体" w:eastAsia="宋体" w:cs="Times New Roman"/>
                <w:sz w:val="24"/>
              </w:rPr>
              <w:t>自主学习</w:t>
            </w:r>
          </w:p>
          <w:p w14:paraId="7CF4EF1B">
            <w:pPr>
              <w:spacing w:line="276" w:lineRule="auto"/>
              <w:jc w:val="left"/>
              <w:rPr>
                <w:rFonts w:hint="eastAsia" w:ascii="宋体" w:hAnsi="宋体" w:eastAsia="宋体" w:cs="Times New Roman"/>
                <w:sz w:val="24"/>
              </w:rPr>
            </w:pPr>
            <w:r>
              <w:rPr>
                <w:rFonts w:hint="eastAsia" w:ascii="宋体" w:hAnsi="宋体" w:eastAsia="宋体" w:cs="Times New Roman"/>
                <w:sz w:val="24"/>
              </w:rPr>
              <w:t>案例教学</w:t>
            </w:r>
          </w:p>
          <w:p w14:paraId="5B85DA84">
            <w:pPr>
              <w:spacing w:line="276" w:lineRule="auto"/>
              <w:jc w:val="left"/>
              <w:rPr>
                <w:rFonts w:hint="eastAsia" w:ascii="宋体" w:hAnsi="宋体" w:eastAsia="宋体" w:cs="Times New Roman"/>
                <w:sz w:val="24"/>
              </w:rPr>
            </w:pPr>
            <w:r>
              <w:rPr>
                <w:rFonts w:hint="eastAsia" w:ascii="宋体" w:hAnsi="宋体" w:eastAsia="宋体" w:cs="Times New Roman"/>
                <w:sz w:val="24"/>
              </w:rPr>
              <w:t>课堂讨论</w:t>
            </w:r>
          </w:p>
          <w:p w14:paraId="391CCF99">
            <w:pPr>
              <w:spacing w:line="276" w:lineRule="auto"/>
              <w:jc w:val="left"/>
              <w:rPr>
                <w:rFonts w:hint="eastAsia" w:ascii="宋体" w:hAnsi="宋体" w:eastAsia="宋体" w:cs="Times New Roman"/>
                <w:sz w:val="24"/>
              </w:rPr>
            </w:pPr>
            <w:r>
              <w:rPr>
                <w:rFonts w:hint="eastAsia" w:ascii="宋体" w:hAnsi="宋体" w:eastAsia="宋体" w:cs="Times New Roman"/>
                <w:sz w:val="24"/>
              </w:rPr>
              <w:t>合作学习</w:t>
            </w:r>
          </w:p>
        </w:tc>
        <w:tc>
          <w:tcPr>
            <w:tcW w:w="656" w:type="dxa"/>
            <w:vAlign w:val="center"/>
          </w:tcPr>
          <w:p w14:paraId="2154EBAA">
            <w:pPr>
              <w:spacing w:line="276" w:lineRule="auto"/>
              <w:jc w:val="center"/>
              <w:rPr>
                <w:rFonts w:hint="eastAsia" w:ascii="宋体" w:hAnsi="宋体" w:eastAsia="宋体" w:cs="Times New Roman"/>
                <w:sz w:val="24"/>
              </w:rPr>
            </w:pPr>
            <w:r>
              <w:rPr>
                <w:rFonts w:ascii="宋体" w:hAnsi="宋体" w:eastAsia="宋体" w:cs="Times New Roman"/>
                <w:sz w:val="24"/>
              </w:rPr>
              <w:t>4</w:t>
            </w:r>
          </w:p>
        </w:tc>
      </w:tr>
      <w:tr w14:paraId="1130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D36B36">
            <w:pPr>
              <w:spacing w:line="276" w:lineRule="auto"/>
              <w:jc w:val="center"/>
              <w:rPr>
                <w:rFonts w:hint="eastAsia" w:ascii="宋体" w:hAnsi="宋体" w:eastAsia="宋体" w:cs="Times New Roman"/>
                <w:sz w:val="24"/>
              </w:rPr>
            </w:pPr>
          </w:p>
        </w:tc>
        <w:tc>
          <w:tcPr>
            <w:tcW w:w="8093" w:type="dxa"/>
            <w:gridSpan w:val="5"/>
            <w:vAlign w:val="center"/>
          </w:tcPr>
          <w:p w14:paraId="4DC4C7C4">
            <w:pPr>
              <w:spacing w:line="276" w:lineRule="auto"/>
              <w:jc w:val="left"/>
              <w:rPr>
                <w:rFonts w:hint="eastAsia" w:ascii="宋体" w:hAnsi="宋体" w:eastAsia="宋体" w:cs="Times New Roman"/>
                <w:sz w:val="24"/>
              </w:rPr>
            </w:pPr>
            <w:r>
              <w:rPr>
                <w:rFonts w:hint="eastAsia" w:ascii="宋体" w:hAnsi="宋体" w:eastAsia="宋体" w:cs="Times New Roman"/>
                <w:b/>
                <w:sz w:val="24"/>
              </w:rPr>
              <w:t>课程思政目标：</w:t>
            </w:r>
            <w:r>
              <w:rPr>
                <w:rFonts w:hint="eastAsia" w:ascii="宋体" w:hAnsi="宋体" w:eastAsia="宋体" w:cs="Times New Roman"/>
                <w:sz w:val="24"/>
              </w:rPr>
              <w:t>培养和形成深厚的教育情怀，走进儿童心灵，关心、关爱儿童；形成脚踏实地、实事求是的学习风气和研究态度。</w:t>
            </w:r>
          </w:p>
        </w:tc>
      </w:tr>
      <w:tr w14:paraId="15F2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BA59E6C">
            <w:pPr>
              <w:spacing w:line="276" w:lineRule="auto"/>
              <w:jc w:val="center"/>
              <w:rPr>
                <w:rFonts w:hint="eastAsia" w:ascii="宋体" w:hAnsi="宋体" w:eastAsia="宋体" w:cs="Times New Roman"/>
                <w:sz w:val="24"/>
              </w:rPr>
            </w:pPr>
            <w:r>
              <w:rPr>
                <w:rFonts w:hint="eastAsia" w:ascii="宋体" w:hAnsi="宋体" w:eastAsia="宋体" w:cs="Times New Roman"/>
                <w:sz w:val="24"/>
              </w:rPr>
              <w:t>7. 教育学位论文的写作</w:t>
            </w:r>
          </w:p>
        </w:tc>
        <w:tc>
          <w:tcPr>
            <w:tcW w:w="1701" w:type="dxa"/>
            <w:vAlign w:val="center"/>
          </w:tcPr>
          <w:p w14:paraId="6BBB5E5D">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1）教育学位论文基本结构</w:t>
            </w:r>
          </w:p>
          <w:p w14:paraId="0E1FFA6B">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2）教育学论文写作的方法与要求</w:t>
            </w:r>
          </w:p>
        </w:tc>
        <w:tc>
          <w:tcPr>
            <w:tcW w:w="1134" w:type="dxa"/>
            <w:vAlign w:val="center"/>
          </w:tcPr>
          <w:p w14:paraId="7BD68C3F">
            <w:pPr>
              <w:jc w:val="center"/>
              <w:rPr>
                <w:rFonts w:hint="eastAsia" w:ascii="宋体" w:hAnsi="宋体" w:eastAsia="宋体" w:cs="Times New Roman"/>
                <w:sz w:val="24"/>
              </w:rPr>
            </w:pPr>
            <w:r>
              <w:rPr>
                <w:rFonts w:hint="eastAsia" w:ascii="宋体" w:hAnsi="宋体" w:eastAsia="宋体" w:cs="Times New Roman"/>
                <w:sz w:val="24"/>
              </w:rPr>
              <w:t>课程目标2-</w:t>
            </w:r>
            <w:r>
              <w:rPr>
                <w:rFonts w:ascii="宋体" w:hAnsi="宋体" w:eastAsia="宋体" w:cs="Times New Roman"/>
                <w:sz w:val="24"/>
              </w:rPr>
              <w:t>4</w:t>
            </w:r>
          </w:p>
        </w:tc>
        <w:tc>
          <w:tcPr>
            <w:tcW w:w="3326" w:type="dxa"/>
            <w:vAlign w:val="center"/>
          </w:tcPr>
          <w:p w14:paraId="70CF419F">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1）了解教育学位论文的结构特点；</w:t>
            </w:r>
          </w:p>
          <w:p w14:paraId="5A1570F6">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 xml:space="preserve">2）掌握教育教学论文写作的方法与要求； </w:t>
            </w:r>
          </w:p>
          <w:p w14:paraId="039B857B">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3）能够根据毕业论文的选题，初步拟定毕业论文的框架。</w:t>
            </w:r>
          </w:p>
        </w:tc>
        <w:tc>
          <w:tcPr>
            <w:tcW w:w="1276" w:type="dxa"/>
            <w:vAlign w:val="center"/>
          </w:tcPr>
          <w:p w14:paraId="005C79AF">
            <w:pPr>
              <w:spacing w:line="276" w:lineRule="auto"/>
              <w:jc w:val="left"/>
              <w:rPr>
                <w:rFonts w:hint="eastAsia" w:ascii="宋体" w:hAnsi="宋体" w:eastAsia="宋体" w:cs="Times New Roman"/>
                <w:sz w:val="24"/>
              </w:rPr>
            </w:pPr>
            <w:r>
              <w:rPr>
                <w:rFonts w:hint="eastAsia" w:ascii="宋体" w:hAnsi="宋体" w:eastAsia="宋体" w:cs="Times New Roman"/>
                <w:sz w:val="24"/>
              </w:rPr>
              <w:t>自主学习</w:t>
            </w:r>
          </w:p>
          <w:p w14:paraId="76B4D250">
            <w:pPr>
              <w:spacing w:line="276" w:lineRule="auto"/>
              <w:jc w:val="left"/>
              <w:rPr>
                <w:rFonts w:hint="eastAsia" w:ascii="宋体" w:hAnsi="宋体" w:eastAsia="宋体" w:cs="Times New Roman"/>
                <w:sz w:val="24"/>
              </w:rPr>
            </w:pPr>
            <w:r>
              <w:rPr>
                <w:rFonts w:hint="eastAsia" w:ascii="宋体" w:hAnsi="宋体" w:eastAsia="宋体" w:cs="Times New Roman"/>
                <w:sz w:val="24"/>
              </w:rPr>
              <w:t>案例教学</w:t>
            </w:r>
          </w:p>
          <w:p w14:paraId="11F5398F">
            <w:pPr>
              <w:spacing w:line="276" w:lineRule="auto"/>
              <w:jc w:val="left"/>
              <w:rPr>
                <w:rFonts w:hint="eastAsia" w:ascii="宋体" w:hAnsi="宋体" w:eastAsia="宋体" w:cs="Times New Roman"/>
                <w:sz w:val="24"/>
              </w:rPr>
            </w:pPr>
            <w:r>
              <w:rPr>
                <w:rFonts w:hint="eastAsia" w:ascii="宋体" w:hAnsi="宋体" w:eastAsia="宋体" w:cs="Times New Roman"/>
                <w:sz w:val="24"/>
              </w:rPr>
              <w:t>课堂讨论</w:t>
            </w:r>
          </w:p>
          <w:p w14:paraId="07ADD36E">
            <w:pPr>
              <w:spacing w:line="276" w:lineRule="auto"/>
              <w:jc w:val="left"/>
              <w:rPr>
                <w:rFonts w:hint="eastAsia" w:ascii="宋体" w:hAnsi="宋体" w:eastAsia="宋体" w:cs="Times New Roman"/>
                <w:sz w:val="24"/>
              </w:rPr>
            </w:pPr>
            <w:r>
              <w:rPr>
                <w:rFonts w:hint="eastAsia" w:ascii="宋体" w:hAnsi="宋体" w:eastAsia="宋体" w:cs="Times New Roman"/>
                <w:sz w:val="24"/>
              </w:rPr>
              <w:t>合作学习</w:t>
            </w:r>
          </w:p>
        </w:tc>
        <w:tc>
          <w:tcPr>
            <w:tcW w:w="656" w:type="dxa"/>
            <w:vAlign w:val="center"/>
          </w:tcPr>
          <w:p w14:paraId="3294EA72">
            <w:pPr>
              <w:spacing w:line="276" w:lineRule="auto"/>
              <w:jc w:val="center"/>
              <w:rPr>
                <w:rFonts w:hint="eastAsia" w:ascii="宋体" w:hAnsi="宋体" w:eastAsia="宋体" w:cs="Times New Roman"/>
                <w:sz w:val="24"/>
              </w:rPr>
            </w:pPr>
            <w:r>
              <w:rPr>
                <w:rFonts w:ascii="宋体" w:hAnsi="宋体" w:eastAsia="宋体" w:cs="Times New Roman"/>
                <w:sz w:val="24"/>
              </w:rPr>
              <w:t>4</w:t>
            </w:r>
          </w:p>
        </w:tc>
      </w:tr>
      <w:tr w14:paraId="3DDF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0020B9F">
            <w:pPr>
              <w:spacing w:line="276" w:lineRule="auto"/>
              <w:jc w:val="center"/>
              <w:rPr>
                <w:rFonts w:hint="eastAsia" w:ascii="宋体" w:hAnsi="宋体" w:eastAsia="宋体" w:cs="Times New Roman"/>
                <w:sz w:val="24"/>
              </w:rPr>
            </w:pPr>
          </w:p>
        </w:tc>
        <w:tc>
          <w:tcPr>
            <w:tcW w:w="8093" w:type="dxa"/>
            <w:gridSpan w:val="5"/>
            <w:vAlign w:val="center"/>
          </w:tcPr>
          <w:p w14:paraId="098491EE">
            <w:pPr>
              <w:spacing w:line="276" w:lineRule="auto"/>
              <w:jc w:val="left"/>
              <w:rPr>
                <w:rFonts w:hint="eastAsia" w:ascii="宋体" w:hAnsi="宋体" w:eastAsia="宋体" w:cs="Times New Roman"/>
                <w:sz w:val="24"/>
              </w:rPr>
            </w:pPr>
            <w:r>
              <w:rPr>
                <w:rFonts w:hint="eastAsia" w:ascii="宋体" w:hAnsi="宋体" w:eastAsia="宋体" w:cs="Times New Roman"/>
                <w:b/>
                <w:sz w:val="24"/>
              </w:rPr>
              <w:t>课程思政目标：</w:t>
            </w:r>
            <w:r>
              <w:rPr>
                <w:rFonts w:hint="eastAsia" w:ascii="宋体" w:hAnsi="宋体" w:eastAsia="宋体" w:cs="Times New Roman"/>
                <w:sz w:val="24"/>
              </w:rPr>
              <w:t>培养学生学会发现、分析和解决人民关心的教育热点问题的能力；培养创新精神和实践能力。</w:t>
            </w:r>
          </w:p>
        </w:tc>
      </w:tr>
      <w:tr w14:paraId="55E3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205" w:type="dxa"/>
            <w:vMerge w:val="restart"/>
            <w:vAlign w:val="center"/>
          </w:tcPr>
          <w:p w14:paraId="316882B7">
            <w:pPr>
              <w:spacing w:line="264" w:lineRule="auto"/>
              <w:jc w:val="center"/>
              <w:rPr>
                <w:rFonts w:hint="eastAsia" w:ascii="宋体" w:hAnsi="宋体" w:eastAsia="宋体" w:cs="Times New Roman"/>
                <w:sz w:val="24"/>
              </w:rPr>
            </w:pPr>
            <w:r>
              <w:rPr>
                <w:rFonts w:hint="eastAsia" w:ascii="宋体" w:hAnsi="宋体" w:eastAsia="宋体" w:cs="Times New Roman"/>
                <w:sz w:val="24"/>
              </w:rPr>
              <w:t>8.</w:t>
            </w:r>
            <w:r>
              <w:rPr>
                <w:rFonts w:hint="eastAsia"/>
                <w:sz w:val="24"/>
              </w:rPr>
              <w:t xml:space="preserve"> </w:t>
            </w:r>
            <w:r>
              <w:rPr>
                <w:rFonts w:hint="eastAsia" w:ascii="宋体" w:hAnsi="宋体" w:eastAsia="宋体" w:cs="Times New Roman"/>
                <w:sz w:val="24"/>
              </w:rPr>
              <w:t>教育论文的交流与发表</w:t>
            </w:r>
          </w:p>
        </w:tc>
        <w:tc>
          <w:tcPr>
            <w:tcW w:w="1701" w:type="dxa"/>
            <w:vAlign w:val="center"/>
          </w:tcPr>
          <w:p w14:paraId="116B626D">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1）教育论文的修改</w:t>
            </w:r>
          </w:p>
          <w:p w14:paraId="5FABAF0F">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2）教育论文的交流</w:t>
            </w:r>
          </w:p>
          <w:p w14:paraId="5867CCE2">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2）教育论文的发表</w:t>
            </w:r>
          </w:p>
        </w:tc>
        <w:tc>
          <w:tcPr>
            <w:tcW w:w="1134" w:type="dxa"/>
            <w:vAlign w:val="center"/>
          </w:tcPr>
          <w:p w14:paraId="212BCC4D">
            <w:pPr>
              <w:jc w:val="center"/>
              <w:rPr>
                <w:rFonts w:hint="eastAsia" w:ascii="宋体" w:hAnsi="宋体" w:eastAsia="宋体" w:cs="Times New Roman"/>
                <w:sz w:val="24"/>
              </w:rPr>
            </w:pPr>
            <w:r>
              <w:rPr>
                <w:rFonts w:hint="eastAsia" w:ascii="宋体" w:hAnsi="宋体" w:eastAsia="宋体" w:cs="Times New Roman"/>
                <w:sz w:val="24"/>
              </w:rPr>
              <w:t>课程目标1-</w:t>
            </w:r>
            <w:r>
              <w:rPr>
                <w:rFonts w:ascii="宋体" w:hAnsi="宋体" w:eastAsia="宋体" w:cs="Times New Roman"/>
                <w:sz w:val="24"/>
              </w:rPr>
              <w:t xml:space="preserve">4 </w:t>
            </w:r>
          </w:p>
        </w:tc>
        <w:tc>
          <w:tcPr>
            <w:tcW w:w="3326" w:type="dxa"/>
            <w:vAlign w:val="center"/>
          </w:tcPr>
          <w:p w14:paraId="2849636A">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1）掌握教育论文修改的基本方法与要求；</w:t>
            </w:r>
          </w:p>
          <w:p w14:paraId="2277B140">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 xml:space="preserve">2）了解教育论文交流与发表的途径； </w:t>
            </w:r>
          </w:p>
          <w:p w14:paraId="64D7B2A0">
            <w:pPr>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3）了解教育论文投稿的规范。</w:t>
            </w:r>
          </w:p>
        </w:tc>
        <w:tc>
          <w:tcPr>
            <w:tcW w:w="1276" w:type="dxa"/>
            <w:vAlign w:val="center"/>
          </w:tcPr>
          <w:p w14:paraId="41EC7DD0">
            <w:pPr>
              <w:spacing w:line="264" w:lineRule="auto"/>
              <w:jc w:val="left"/>
              <w:rPr>
                <w:rFonts w:hint="eastAsia" w:ascii="宋体" w:hAnsi="宋体" w:eastAsia="宋体" w:cs="Times New Roman"/>
                <w:sz w:val="24"/>
              </w:rPr>
            </w:pPr>
            <w:r>
              <w:rPr>
                <w:rFonts w:hint="eastAsia" w:ascii="宋体" w:hAnsi="宋体" w:eastAsia="宋体" w:cs="Times New Roman"/>
                <w:sz w:val="24"/>
              </w:rPr>
              <w:t>自主学习</w:t>
            </w:r>
          </w:p>
          <w:p w14:paraId="28A37EAA">
            <w:pPr>
              <w:spacing w:line="264" w:lineRule="auto"/>
              <w:jc w:val="left"/>
              <w:rPr>
                <w:rFonts w:hint="eastAsia" w:ascii="宋体" w:hAnsi="宋体" w:eastAsia="宋体" w:cs="Times New Roman"/>
                <w:sz w:val="24"/>
              </w:rPr>
            </w:pPr>
            <w:r>
              <w:rPr>
                <w:rFonts w:hint="eastAsia" w:ascii="宋体" w:hAnsi="宋体" w:eastAsia="宋体" w:cs="Times New Roman"/>
                <w:sz w:val="24"/>
              </w:rPr>
              <w:t>案例教学</w:t>
            </w:r>
          </w:p>
          <w:p w14:paraId="233EFB07">
            <w:pPr>
              <w:spacing w:line="264" w:lineRule="auto"/>
              <w:jc w:val="left"/>
              <w:rPr>
                <w:rFonts w:hint="eastAsia" w:ascii="宋体" w:hAnsi="宋体" w:eastAsia="宋体" w:cs="Times New Roman"/>
                <w:sz w:val="24"/>
              </w:rPr>
            </w:pPr>
            <w:r>
              <w:rPr>
                <w:rFonts w:hint="eastAsia" w:ascii="宋体" w:hAnsi="宋体" w:eastAsia="宋体" w:cs="Times New Roman"/>
                <w:sz w:val="24"/>
              </w:rPr>
              <w:t>课堂讨论</w:t>
            </w:r>
          </w:p>
          <w:p w14:paraId="42310905">
            <w:pPr>
              <w:spacing w:line="264" w:lineRule="auto"/>
              <w:jc w:val="left"/>
              <w:rPr>
                <w:rFonts w:hint="eastAsia" w:ascii="宋体" w:hAnsi="宋体" w:eastAsia="宋体" w:cs="Times New Roman"/>
                <w:sz w:val="24"/>
              </w:rPr>
            </w:pPr>
            <w:r>
              <w:rPr>
                <w:rFonts w:hint="eastAsia" w:ascii="宋体" w:hAnsi="宋体" w:eastAsia="宋体" w:cs="Times New Roman"/>
                <w:sz w:val="24"/>
              </w:rPr>
              <w:t>合作学习</w:t>
            </w:r>
          </w:p>
        </w:tc>
        <w:tc>
          <w:tcPr>
            <w:tcW w:w="656" w:type="dxa"/>
            <w:vAlign w:val="center"/>
          </w:tcPr>
          <w:p w14:paraId="6E33D79C">
            <w:pPr>
              <w:spacing w:line="264" w:lineRule="auto"/>
              <w:ind w:firstLine="240" w:firstLineChars="100"/>
              <w:rPr>
                <w:rFonts w:hint="eastAsia" w:ascii="宋体" w:hAnsi="宋体" w:eastAsia="宋体" w:cs="Times New Roman"/>
                <w:sz w:val="24"/>
              </w:rPr>
            </w:pPr>
            <w:r>
              <w:rPr>
                <w:rFonts w:ascii="宋体" w:hAnsi="宋体" w:eastAsia="宋体" w:cs="Times New Roman"/>
                <w:sz w:val="24"/>
              </w:rPr>
              <w:t>2</w:t>
            </w:r>
          </w:p>
        </w:tc>
      </w:tr>
      <w:tr w14:paraId="7133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205" w:type="dxa"/>
            <w:vMerge w:val="continue"/>
            <w:vAlign w:val="center"/>
          </w:tcPr>
          <w:p w14:paraId="116D8510">
            <w:pPr>
              <w:spacing w:line="264" w:lineRule="auto"/>
              <w:jc w:val="center"/>
              <w:rPr>
                <w:rFonts w:hint="eastAsia" w:ascii="宋体" w:hAnsi="宋体" w:eastAsia="宋体" w:cs="Times New Roman"/>
                <w:sz w:val="24"/>
              </w:rPr>
            </w:pPr>
          </w:p>
        </w:tc>
        <w:tc>
          <w:tcPr>
            <w:tcW w:w="8093" w:type="dxa"/>
            <w:gridSpan w:val="5"/>
            <w:vAlign w:val="center"/>
          </w:tcPr>
          <w:p w14:paraId="319661D3">
            <w:pPr>
              <w:spacing w:line="264" w:lineRule="auto"/>
              <w:jc w:val="left"/>
              <w:rPr>
                <w:rFonts w:hint="eastAsia" w:ascii="宋体" w:hAnsi="宋体" w:eastAsia="宋体" w:cs="Times New Roman"/>
                <w:sz w:val="24"/>
              </w:rPr>
            </w:pPr>
            <w:r>
              <w:rPr>
                <w:rFonts w:hint="eastAsia" w:ascii="宋体" w:hAnsi="宋体" w:eastAsia="宋体" w:cs="Times New Roman"/>
                <w:b/>
                <w:sz w:val="24"/>
              </w:rPr>
              <w:t>课程思政目标：</w:t>
            </w:r>
            <w:r>
              <w:rPr>
                <w:rFonts w:hint="eastAsia" w:ascii="宋体" w:hAnsi="宋体" w:eastAsia="宋体" w:cs="Times New Roman"/>
                <w:sz w:val="24"/>
              </w:rPr>
              <w:t>培养学生国际视野，增强“四个自信”；遵守学术规范，恪守学术诚信。</w:t>
            </w:r>
          </w:p>
        </w:tc>
      </w:tr>
    </w:tbl>
    <w:p w14:paraId="6387E554">
      <w:pPr>
        <w:spacing w:line="360" w:lineRule="auto"/>
        <w:jc w:val="left"/>
        <w:rPr>
          <w:rFonts w:ascii="Times New Roman" w:hAnsi="Times New Roman" w:eastAsia="宋体" w:cs="Times New Roman"/>
          <w:sz w:val="24"/>
        </w:rPr>
      </w:pPr>
    </w:p>
    <w:p w14:paraId="6F75B821">
      <w:pPr>
        <w:spacing w:line="360" w:lineRule="auto"/>
        <w:jc w:val="left"/>
        <w:rPr>
          <w:rFonts w:ascii="Times New Roman" w:hAnsi="Times New Roman" w:eastAsia="宋体" w:cs="Times New Roman"/>
          <w:sz w:val="28"/>
          <w:szCs w:val="28"/>
        </w:rPr>
      </w:pPr>
      <w:r>
        <w:rPr>
          <w:rFonts w:hint="eastAsia" w:ascii="宋体" w:hAnsi="宋体" w:eastAsia="宋体" w:cs="Times New Roman"/>
          <w:b/>
          <w:sz w:val="28"/>
          <w:szCs w:val="28"/>
        </w:rPr>
        <w:t>四、目标评价与成绩评定</w:t>
      </w:r>
    </w:p>
    <w:p w14:paraId="1225CA6B">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4ED32B3C">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 xml:space="preserve">  课程教学评价设计总表</w:t>
      </w:r>
      <w:r>
        <w:rPr>
          <w:rFonts w:hint="eastAsia" w:ascii="Times New Roman" w:hAnsi="Times New Roman" w:eastAsia="宋体" w:cs="Times New Roman"/>
          <w:b/>
          <w:bCs/>
          <w:sz w:val="24"/>
        </w:rPr>
        <w:t xml:space="preserve"> </w:t>
      </w:r>
    </w:p>
    <w:tbl>
      <w:tblPr>
        <w:tblStyle w:val="14"/>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139"/>
        <w:gridCol w:w="1276"/>
        <w:gridCol w:w="1134"/>
        <w:gridCol w:w="1134"/>
        <w:gridCol w:w="1418"/>
        <w:gridCol w:w="992"/>
      </w:tblGrid>
      <w:tr w14:paraId="2F96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4" w:type="dxa"/>
            <w:vMerge w:val="restart"/>
            <w:vAlign w:val="center"/>
          </w:tcPr>
          <w:p w14:paraId="162E77C3">
            <w:pPr>
              <w:jc w:val="left"/>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c>
          <w:tcPr>
            <w:tcW w:w="6101" w:type="dxa"/>
            <w:gridSpan w:val="5"/>
            <w:vAlign w:val="center"/>
          </w:tcPr>
          <w:p w14:paraId="0FB53AF3">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评价与成绩评定方法</w:t>
            </w:r>
          </w:p>
        </w:tc>
        <w:tc>
          <w:tcPr>
            <w:tcW w:w="992" w:type="dxa"/>
            <w:vMerge w:val="restart"/>
            <w:vAlign w:val="center"/>
          </w:tcPr>
          <w:p w14:paraId="36A33E37">
            <w:pPr>
              <w:jc w:val="center"/>
              <w:rPr>
                <w:rFonts w:ascii="Times New Roman" w:hAnsi="Times New Roman" w:eastAsia="宋体" w:cs="Times New Roman"/>
                <w:b/>
                <w:bCs/>
                <w:sz w:val="24"/>
              </w:rPr>
            </w:pPr>
            <w:r>
              <w:rPr>
                <w:rFonts w:hint="eastAsia" w:ascii="Times New Roman" w:hAnsi="Times New Roman" w:eastAsia="宋体" w:cs="Times New Roman"/>
                <w:b/>
                <w:bCs/>
                <w:sz w:val="24"/>
              </w:rPr>
              <w:t>分值</w:t>
            </w:r>
          </w:p>
        </w:tc>
      </w:tr>
      <w:tr w14:paraId="7E79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24" w:type="dxa"/>
            <w:vMerge w:val="continue"/>
            <w:vAlign w:val="center"/>
          </w:tcPr>
          <w:p w14:paraId="3F4B5D4F">
            <w:pPr>
              <w:jc w:val="left"/>
              <w:rPr>
                <w:rFonts w:ascii="Times New Roman" w:hAnsi="Times New Roman" w:eastAsia="宋体" w:cs="Times New Roman"/>
                <w:b/>
                <w:bCs/>
                <w:sz w:val="24"/>
              </w:rPr>
            </w:pPr>
          </w:p>
        </w:tc>
        <w:tc>
          <w:tcPr>
            <w:tcW w:w="4683" w:type="dxa"/>
            <w:gridSpan w:val="4"/>
            <w:vAlign w:val="center"/>
          </w:tcPr>
          <w:p w14:paraId="49476981">
            <w:pPr>
              <w:jc w:val="center"/>
              <w:rPr>
                <w:rFonts w:ascii="Times New Roman" w:hAnsi="Times New Roman" w:eastAsia="宋体" w:cs="Times New Roman"/>
                <w:b/>
                <w:bCs/>
                <w:sz w:val="24"/>
              </w:rPr>
            </w:pPr>
            <w:r>
              <w:rPr>
                <w:rFonts w:hint="eastAsia" w:ascii="Times New Roman" w:hAnsi="Times New Roman" w:eastAsia="宋体" w:cs="Times New Roman"/>
                <w:b/>
                <w:bCs/>
                <w:sz w:val="24"/>
              </w:rPr>
              <w:t>过程性评价</w:t>
            </w:r>
          </w:p>
        </w:tc>
        <w:tc>
          <w:tcPr>
            <w:tcW w:w="1418" w:type="dxa"/>
            <w:vAlign w:val="center"/>
          </w:tcPr>
          <w:p w14:paraId="53A7507B">
            <w:pPr>
              <w:jc w:val="center"/>
              <w:rPr>
                <w:rFonts w:ascii="Times New Roman" w:hAnsi="Times New Roman" w:eastAsia="宋体" w:cs="Times New Roman"/>
                <w:b/>
                <w:bCs/>
                <w:sz w:val="24"/>
              </w:rPr>
            </w:pPr>
            <w:r>
              <w:rPr>
                <w:rFonts w:hint="eastAsia" w:ascii="Times New Roman" w:hAnsi="Times New Roman" w:eastAsia="宋体" w:cs="Times New Roman"/>
                <w:b/>
                <w:bCs/>
                <w:sz w:val="24"/>
              </w:rPr>
              <w:t>期末考试</w:t>
            </w:r>
          </w:p>
        </w:tc>
        <w:tc>
          <w:tcPr>
            <w:tcW w:w="992" w:type="dxa"/>
            <w:vMerge w:val="continue"/>
            <w:vAlign w:val="center"/>
          </w:tcPr>
          <w:p w14:paraId="54C7579F">
            <w:pPr>
              <w:jc w:val="center"/>
              <w:rPr>
                <w:rFonts w:ascii="Times New Roman" w:hAnsi="Times New Roman" w:eastAsia="宋体" w:cs="Times New Roman"/>
                <w:b/>
                <w:bCs/>
                <w:sz w:val="24"/>
              </w:rPr>
            </w:pPr>
          </w:p>
        </w:tc>
      </w:tr>
      <w:tr w14:paraId="219C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14:paraId="11610566">
            <w:pPr>
              <w:spacing w:line="360" w:lineRule="auto"/>
              <w:jc w:val="left"/>
              <w:rPr>
                <w:rFonts w:ascii="Times New Roman" w:hAnsi="Times New Roman" w:eastAsia="宋体" w:cs="Times New Roman"/>
                <w:sz w:val="24"/>
              </w:rPr>
            </w:pPr>
          </w:p>
        </w:tc>
        <w:tc>
          <w:tcPr>
            <w:tcW w:w="1139" w:type="dxa"/>
            <w:vAlign w:val="center"/>
          </w:tcPr>
          <w:p w14:paraId="5218E3DC">
            <w:pPr>
              <w:adjustRightInd w:val="0"/>
              <w:spacing w:line="240" w:lineRule="exact"/>
              <w:jc w:val="center"/>
              <w:rPr>
                <w:rFonts w:hint="eastAsia" w:ascii="仿宋" w:hAnsi="仿宋" w:eastAsia="仿宋" w:cs="Times New Roman"/>
                <w:sz w:val="24"/>
              </w:rPr>
            </w:pPr>
            <w:r>
              <w:rPr>
                <w:rFonts w:hint="eastAsia" w:ascii="仿宋" w:hAnsi="仿宋" w:eastAsia="仿宋" w:cs="Times New Roman"/>
                <w:sz w:val="24"/>
              </w:rPr>
              <w:t>课堂表现</w:t>
            </w:r>
          </w:p>
        </w:tc>
        <w:tc>
          <w:tcPr>
            <w:tcW w:w="1276" w:type="dxa"/>
            <w:vAlign w:val="center"/>
          </w:tcPr>
          <w:p w14:paraId="1FEA458B">
            <w:pPr>
              <w:adjustRightInd w:val="0"/>
              <w:spacing w:line="240" w:lineRule="exact"/>
              <w:jc w:val="center"/>
              <w:rPr>
                <w:rFonts w:hint="eastAsia" w:ascii="仿宋" w:hAnsi="仿宋" w:eastAsia="仿宋" w:cs="Times New Roman"/>
                <w:sz w:val="24"/>
              </w:rPr>
            </w:pPr>
            <w:r>
              <w:rPr>
                <w:rFonts w:hint="eastAsia" w:ascii="仿宋" w:hAnsi="仿宋" w:eastAsia="仿宋" w:cs="Times New Roman"/>
                <w:sz w:val="24"/>
              </w:rPr>
              <w:t>平时作业</w:t>
            </w:r>
          </w:p>
        </w:tc>
        <w:tc>
          <w:tcPr>
            <w:tcW w:w="1134" w:type="dxa"/>
            <w:vAlign w:val="center"/>
          </w:tcPr>
          <w:p w14:paraId="797A9812">
            <w:pPr>
              <w:adjustRightInd w:val="0"/>
              <w:spacing w:line="240" w:lineRule="exact"/>
              <w:jc w:val="center"/>
              <w:rPr>
                <w:rFonts w:hint="eastAsia" w:ascii="仿宋" w:hAnsi="仿宋" w:eastAsia="仿宋" w:cs="Times New Roman"/>
                <w:sz w:val="24"/>
              </w:rPr>
            </w:pPr>
            <w:r>
              <w:rPr>
                <w:rFonts w:hint="eastAsia" w:ascii="仿宋" w:hAnsi="仿宋" w:eastAsia="仿宋" w:cs="Times New Roman"/>
                <w:sz w:val="24"/>
              </w:rPr>
              <w:t>自主学习</w:t>
            </w:r>
          </w:p>
        </w:tc>
        <w:tc>
          <w:tcPr>
            <w:tcW w:w="1134" w:type="dxa"/>
            <w:vAlign w:val="center"/>
          </w:tcPr>
          <w:p w14:paraId="6F28DBAE">
            <w:pPr>
              <w:adjustRightInd w:val="0"/>
              <w:spacing w:line="240" w:lineRule="exact"/>
              <w:jc w:val="center"/>
              <w:rPr>
                <w:rFonts w:hint="eastAsia" w:ascii="仿宋" w:hAnsi="仿宋" w:eastAsia="仿宋" w:cs="Times New Roman"/>
                <w:sz w:val="24"/>
              </w:rPr>
            </w:pPr>
            <w:r>
              <w:rPr>
                <w:rFonts w:hint="eastAsia" w:ascii="仿宋" w:hAnsi="仿宋" w:eastAsia="仿宋" w:cs="Times New Roman"/>
                <w:sz w:val="24"/>
              </w:rPr>
              <w:t>合作学习</w:t>
            </w:r>
          </w:p>
        </w:tc>
        <w:tc>
          <w:tcPr>
            <w:tcW w:w="1418" w:type="dxa"/>
            <w:vAlign w:val="center"/>
          </w:tcPr>
          <w:p w14:paraId="0D8086D8">
            <w:pPr>
              <w:adjustRightInd w:val="0"/>
              <w:spacing w:line="240" w:lineRule="exact"/>
              <w:jc w:val="center"/>
              <w:rPr>
                <w:rFonts w:hint="eastAsia" w:ascii="仿宋" w:hAnsi="仿宋" w:eastAsia="仿宋" w:cs="Times New Roman"/>
                <w:sz w:val="24"/>
              </w:rPr>
            </w:pPr>
            <w:r>
              <w:rPr>
                <w:rFonts w:hint="eastAsia" w:ascii="仿宋" w:hAnsi="仿宋" w:eastAsia="仿宋" w:cs="Times New Roman"/>
                <w:sz w:val="24"/>
              </w:rPr>
              <w:t>论文撰写</w:t>
            </w:r>
          </w:p>
        </w:tc>
        <w:tc>
          <w:tcPr>
            <w:tcW w:w="992" w:type="dxa"/>
            <w:vMerge w:val="continue"/>
            <w:vAlign w:val="center"/>
          </w:tcPr>
          <w:p w14:paraId="16C1BDD9">
            <w:pPr>
              <w:spacing w:line="360" w:lineRule="auto"/>
              <w:jc w:val="left"/>
              <w:rPr>
                <w:rFonts w:ascii="Times New Roman" w:hAnsi="Times New Roman" w:eastAsia="宋体" w:cs="Times New Roman"/>
                <w:sz w:val="24"/>
              </w:rPr>
            </w:pPr>
          </w:p>
        </w:tc>
      </w:tr>
      <w:tr w14:paraId="7F8C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24" w:type="dxa"/>
            <w:vAlign w:val="center"/>
          </w:tcPr>
          <w:p w14:paraId="1E8456F2">
            <w:pPr>
              <w:spacing w:line="320" w:lineRule="exact"/>
              <w:contextualSpacing/>
              <w:jc w:val="left"/>
              <w:rPr>
                <w:rFonts w:hint="eastAsia" w:ascii="仿宋" w:hAnsi="仿宋" w:eastAsia="仿宋" w:cs="Times New Roman"/>
                <w:sz w:val="24"/>
              </w:rPr>
            </w:pPr>
            <w:r>
              <w:rPr>
                <w:rFonts w:hint="eastAsia" w:ascii="仿宋" w:hAnsi="仿宋" w:eastAsia="仿宋" w:cs="Times New Roman"/>
                <w:sz w:val="24"/>
              </w:rPr>
              <w:t>课程目标1</w:t>
            </w:r>
          </w:p>
        </w:tc>
        <w:tc>
          <w:tcPr>
            <w:tcW w:w="1139" w:type="dxa"/>
            <w:vAlign w:val="center"/>
          </w:tcPr>
          <w:p w14:paraId="560845A6">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276" w:type="dxa"/>
            <w:vAlign w:val="center"/>
          </w:tcPr>
          <w:p w14:paraId="1664D2F0">
            <w:pPr>
              <w:spacing w:line="320" w:lineRule="exact"/>
              <w:ind w:firstLine="240" w:firstLineChars="100"/>
              <w:contextualSpacing/>
              <w:jc w:val="center"/>
              <w:rPr>
                <w:rFonts w:ascii="Times New Roman" w:hAnsi="Times New Roman" w:eastAsia="宋体" w:cs="Times New Roman"/>
                <w:sz w:val="24"/>
              </w:rPr>
            </w:pPr>
          </w:p>
        </w:tc>
        <w:tc>
          <w:tcPr>
            <w:tcW w:w="1134" w:type="dxa"/>
            <w:vAlign w:val="center"/>
          </w:tcPr>
          <w:p w14:paraId="34FD0EAA">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134" w:type="dxa"/>
            <w:vAlign w:val="center"/>
          </w:tcPr>
          <w:p w14:paraId="6B28628D">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418" w:type="dxa"/>
            <w:vAlign w:val="center"/>
          </w:tcPr>
          <w:p w14:paraId="0759B06A">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992" w:type="dxa"/>
            <w:vAlign w:val="center"/>
          </w:tcPr>
          <w:p w14:paraId="16D18949">
            <w:pPr>
              <w:spacing w:line="320" w:lineRule="exact"/>
              <w:contextualSpacing/>
              <w:jc w:val="center"/>
              <w:rPr>
                <w:rFonts w:ascii="Times New Roman" w:hAnsi="Times New Roman" w:eastAsia="宋体" w:cs="Times New Roman"/>
                <w:sz w:val="24"/>
              </w:rPr>
            </w:pPr>
            <w:r>
              <w:rPr>
                <w:rFonts w:ascii="Times New Roman" w:hAnsi="Times New Roman" w:eastAsia="宋体" w:cs="Times New Roman"/>
                <w:sz w:val="24"/>
              </w:rPr>
              <w:t>20</w:t>
            </w:r>
          </w:p>
        </w:tc>
      </w:tr>
      <w:tr w14:paraId="39AA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475FFEEC">
            <w:pPr>
              <w:spacing w:line="320" w:lineRule="exact"/>
              <w:contextualSpacing/>
              <w:jc w:val="left"/>
              <w:rPr>
                <w:rFonts w:hint="eastAsia" w:ascii="仿宋" w:hAnsi="仿宋" w:eastAsia="仿宋" w:cs="Times New Roman"/>
                <w:sz w:val="24"/>
              </w:rPr>
            </w:pPr>
            <w:r>
              <w:rPr>
                <w:rFonts w:hint="eastAsia" w:ascii="仿宋" w:hAnsi="仿宋" w:eastAsia="仿宋" w:cs="Times New Roman"/>
                <w:sz w:val="24"/>
              </w:rPr>
              <w:t>课程目标2</w:t>
            </w:r>
          </w:p>
        </w:tc>
        <w:tc>
          <w:tcPr>
            <w:tcW w:w="1139" w:type="dxa"/>
            <w:vAlign w:val="center"/>
          </w:tcPr>
          <w:p w14:paraId="48C38285">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276" w:type="dxa"/>
            <w:vAlign w:val="center"/>
          </w:tcPr>
          <w:p w14:paraId="0F72F98B">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134" w:type="dxa"/>
            <w:vAlign w:val="center"/>
          </w:tcPr>
          <w:p w14:paraId="48DBF913">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134" w:type="dxa"/>
            <w:vAlign w:val="center"/>
          </w:tcPr>
          <w:p w14:paraId="39EF34DB">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418" w:type="dxa"/>
            <w:vAlign w:val="center"/>
          </w:tcPr>
          <w:p w14:paraId="28CB7F11">
            <w:pPr>
              <w:jc w:val="center"/>
              <w:rPr>
                <w:sz w:val="24"/>
              </w:rPr>
            </w:pPr>
            <w:r>
              <w:rPr>
                <w:rFonts w:hint="eastAsia" w:ascii="宋体" w:hAnsi="宋体" w:eastAsia="宋体" w:cs="Times New Roman"/>
                <w:sz w:val="24"/>
              </w:rPr>
              <w:t>√</w:t>
            </w:r>
          </w:p>
        </w:tc>
        <w:tc>
          <w:tcPr>
            <w:tcW w:w="992" w:type="dxa"/>
            <w:vAlign w:val="center"/>
          </w:tcPr>
          <w:p w14:paraId="21D669EC">
            <w:pPr>
              <w:spacing w:line="320" w:lineRule="exact"/>
              <w:contextualSpacing/>
              <w:jc w:val="center"/>
              <w:rPr>
                <w:rFonts w:ascii="Times New Roman" w:hAnsi="Times New Roman" w:eastAsia="宋体" w:cs="Times New Roman"/>
                <w:sz w:val="24"/>
              </w:rPr>
            </w:pPr>
            <w:r>
              <w:rPr>
                <w:rFonts w:ascii="Times New Roman" w:hAnsi="Times New Roman" w:eastAsia="宋体" w:cs="Times New Roman"/>
                <w:sz w:val="24"/>
              </w:rPr>
              <w:t>30</w:t>
            </w:r>
          </w:p>
        </w:tc>
      </w:tr>
      <w:tr w14:paraId="7E15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54446C63">
            <w:pPr>
              <w:spacing w:line="320" w:lineRule="exact"/>
              <w:contextualSpacing/>
              <w:jc w:val="left"/>
              <w:rPr>
                <w:rFonts w:hint="eastAsia" w:ascii="仿宋" w:hAnsi="仿宋" w:eastAsia="仿宋" w:cs="Times New Roman"/>
                <w:sz w:val="24"/>
              </w:rPr>
            </w:pPr>
            <w:r>
              <w:rPr>
                <w:rFonts w:hint="eastAsia" w:ascii="仿宋" w:hAnsi="仿宋" w:eastAsia="仿宋" w:cs="Times New Roman"/>
                <w:sz w:val="24"/>
              </w:rPr>
              <w:t>课程目标3</w:t>
            </w:r>
          </w:p>
        </w:tc>
        <w:tc>
          <w:tcPr>
            <w:tcW w:w="1139" w:type="dxa"/>
            <w:vAlign w:val="center"/>
          </w:tcPr>
          <w:p w14:paraId="5FFF0487">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276" w:type="dxa"/>
            <w:vAlign w:val="center"/>
          </w:tcPr>
          <w:p w14:paraId="555DA4D4">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134" w:type="dxa"/>
            <w:vAlign w:val="center"/>
          </w:tcPr>
          <w:p w14:paraId="0489478A">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134" w:type="dxa"/>
            <w:vAlign w:val="center"/>
          </w:tcPr>
          <w:p w14:paraId="218A298A">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418" w:type="dxa"/>
            <w:vAlign w:val="center"/>
          </w:tcPr>
          <w:p w14:paraId="4C6853A5">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992" w:type="dxa"/>
            <w:vAlign w:val="center"/>
          </w:tcPr>
          <w:p w14:paraId="595DC9D7">
            <w:pPr>
              <w:spacing w:line="320" w:lineRule="exact"/>
              <w:contextualSpacing/>
              <w:jc w:val="center"/>
              <w:rPr>
                <w:rFonts w:ascii="Times New Roman" w:hAnsi="Times New Roman" w:eastAsia="宋体" w:cs="Times New Roman"/>
                <w:sz w:val="24"/>
              </w:rPr>
            </w:pPr>
            <w:r>
              <w:rPr>
                <w:rFonts w:ascii="Times New Roman" w:hAnsi="Times New Roman" w:eastAsia="宋体" w:cs="Times New Roman"/>
                <w:sz w:val="24"/>
              </w:rPr>
              <w:t>30</w:t>
            </w:r>
          </w:p>
        </w:tc>
      </w:tr>
      <w:tr w14:paraId="3D6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0BD2FFEF">
            <w:pPr>
              <w:spacing w:line="320" w:lineRule="exact"/>
              <w:contextualSpacing/>
              <w:jc w:val="left"/>
              <w:rPr>
                <w:rFonts w:hint="eastAsia" w:ascii="仿宋" w:hAnsi="仿宋" w:eastAsia="仿宋" w:cs="Times New Roman"/>
                <w:sz w:val="24"/>
              </w:rPr>
            </w:pPr>
            <w:r>
              <w:rPr>
                <w:rFonts w:hint="eastAsia" w:ascii="仿宋" w:hAnsi="仿宋" w:eastAsia="仿宋" w:cs="Times New Roman"/>
                <w:sz w:val="24"/>
              </w:rPr>
              <w:t>课程目标4</w:t>
            </w:r>
          </w:p>
        </w:tc>
        <w:tc>
          <w:tcPr>
            <w:tcW w:w="1139" w:type="dxa"/>
            <w:vAlign w:val="center"/>
          </w:tcPr>
          <w:p w14:paraId="38B11A6A">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276" w:type="dxa"/>
            <w:vAlign w:val="center"/>
          </w:tcPr>
          <w:p w14:paraId="7D4F1CE3">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134" w:type="dxa"/>
            <w:vAlign w:val="center"/>
          </w:tcPr>
          <w:p w14:paraId="5F141C23">
            <w:pPr>
              <w:spacing w:line="320" w:lineRule="exact"/>
              <w:contextualSpacing/>
              <w:jc w:val="center"/>
              <w:rPr>
                <w:rFonts w:ascii="Times New Roman" w:hAnsi="Times New Roman" w:eastAsia="宋体" w:cs="Times New Roman"/>
                <w:sz w:val="24"/>
              </w:rPr>
            </w:pPr>
            <w:r>
              <w:rPr>
                <w:rFonts w:hint="eastAsia" w:ascii="宋体" w:hAnsi="宋体" w:eastAsia="宋体" w:cs="Times New Roman"/>
                <w:sz w:val="24"/>
              </w:rPr>
              <w:t>√</w:t>
            </w:r>
          </w:p>
        </w:tc>
        <w:tc>
          <w:tcPr>
            <w:tcW w:w="1134" w:type="dxa"/>
            <w:vAlign w:val="center"/>
          </w:tcPr>
          <w:p w14:paraId="2188454E">
            <w:pPr>
              <w:spacing w:line="320" w:lineRule="exact"/>
              <w:contextualSpacing/>
              <w:jc w:val="center"/>
              <w:rPr>
                <w:rFonts w:ascii="Times New Roman" w:hAnsi="Times New Roman" w:eastAsia="宋体" w:cs="Times New Roman"/>
                <w:sz w:val="24"/>
              </w:rPr>
            </w:pPr>
          </w:p>
        </w:tc>
        <w:tc>
          <w:tcPr>
            <w:tcW w:w="1418" w:type="dxa"/>
            <w:vAlign w:val="center"/>
          </w:tcPr>
          <w:p w14:paraId="03D78BF8">
            <w:pPr>
              <w:jc w:val="center"/>
              <w:rPr>
                <w:sz w:val="24"/>
              </w:rPr>
            </w:pPr>
            <w:r>
              <w:rPr>
                <w:rFonts w:hint="eastAsia" w:ascii="宋体" w:hAnsi="宋体" w:eastAsia="宋体" w:cs="Times New Roman"/>
                <w:sz w:val="24"/>
              </w:rPr>
              <w:t>√</w:t>
            </w:r>
          </w:p>
        </w:tc>
        <w:tc>
          <w:tcPr>
            <w:tcW w:w="992" w:type="dxa"/>
            <w:vAlign w:val="center"/>
          </w:tcPr>
          <w:p w14:paraId="7F215945">
            <w:pPr>
              <w:spacing w:line="320" w:lineRule="exact"/>
              <w:contextualSpacing/>
              <w:jc w:val="center"/>
              <w:rPr>
                <w:rFonts w:ascii="Times New Roman" w:hAnsi="Times New Roman" w:eastAsia="宋体" w:cs="Times New Roman"/>
                <w:sz w:val="24"/>
              </w:rPr>
            </w:pPr>
            <w:r>
              <w:rPr>
                <w:rFonts w:ascii="Times New Roman" w:hAnsi="Times New Roman" w:eastAsia="宋体" w:cs="Times New Roman"/>
                <w:sz w:val="24"/>
              </w:rPr>
              <w:t>20</w:t>
            </w:r>
          </w:p>
        </w:tc>
      </w:tr>
      <w:tr w14:paraId="6D1E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3F31D278">
            <w:pPr>
              <w:spacing w:line="320" w:lineRule="exact"/>
              <w:contextualSpacing/>
              <w:jc w:val="left"/>
              <w:rPr>
                <w:rFonts w:ascii="Times New Roman" w:hAnsi="Times New Roman" w:eastAsia="宋体" w:cs="Times New Roman"/>
                <w:sz w:val="24"/>
              </w:rPr>
            </w:pPr>
            <w:r>
              <w:rPr>
                <w:rFonts w:hint="eastAsia" w:ascii="Times New Roman" w:hAnsi="Times New Roman" w:eastAsia="宋体" w:cs="Times New Roman"/>
                <w:b/>
                <w:bCs/>
                <w:sz w:val="24"/>
              </w:rPr>
              <w:t>合计</w:t>
            </w:r>
          </w:p>
        </w:tc>
        <w:tc>
          <w:tcPr>
            <w:tcW w:w="1139" w:type="dxa"/>
            <w:vAlign w:val="center"/>
          </w:tcPr>
          <w:p w14:paraId="75641145">
            <w:pPr>
              <w:spacing w:line="320" w:lineRule="exact"/>
              <w:contextualSpacing/>
              <w:jc w:val="center"/>
              <w:rPr>
                <w:rFonts w:ascii="Times New Roman" w:hAnsi="Times New Roman" w:eastAsia="宋体" w:cs="Times New Roman"/>
                <w:sz w:val="24"/>
              </w:rPr>
            </w:pPr>
          </w:p>
        </w:tc>
        <w:tc>
          <w:tcPr>
            <w:tcW w:w="1276" w:type="dxa"/>
            <w:vAlign w:val="center"/>
          </w:tcPr>
          <w:p w14:paraId="1AF76F71">
            <w:pPr>
              <w:spacing w:line="320" w:lineRule="exact"/>
              <w:contextualSpacing/>
              <w:jc w:val="center"/>
              <w:rPr>
                <w:rFonts w:ascii="Times New Roman" w:hAnsi="Times New Roman" w:eastAsia="宋体" w:cs="Times New Roman"/>
                <w:sz w:val="24"/>
              </w:rPr>
            </w:pPr>
          </w:p>
        </w:tc>
        <w:tc>
          <w:tcPr>
            <w:tcW w:w="1134" w:type="dxa"/>
            <w:vAlign w:val="center"/>
          </w:tcPr>
          <w:p w14:paraId="217B00C5">
            <w:pPr>
              <w:spacing w:line="320" w:lineRule="exact"/>
              <w:contextualSpacing/>
              <w:jc w:val="center"/>
              <w:rPr>
                <w:rFonts w:ascii="Times New Roman" w:hAnsi="Times New Roman" w:eastAsia="宋体" w:cs="Times New Roman"/>
                <w:sz w:val="24"/>
              </w:rPr>
            </w:pPr>
          </w:p>
        </w:tc>
        <w:tc>
          <w:tcPr>
            <w:tcW w:w="1134" w:type="dxa"/>
            <w:vAlign w:val="center"/>
          </w:tcPr>
          <w:p w14:paraId="06D93A52">
            <w:pPr>
              <w:spacing w:line="320" w:lineRule="exact"/>
              <w:contextualSpacing/>
              <w:jc w:val="center"/>
              <w:rPr>
                <w:rFonts w:ascii="Times New Roman" w:hAnsi="Times New Roman" w:eastAsia="宋体" w:cs="Times New Roman"/>
                <w:sz w:val="24"/>
              </w:rPr>
            </w:pPr>
          </w:p>
        </w:tc>
        <w:tc>
          <w:tcPr>
            <w:tcW w:w="1418" w:type="dxa"/>
            <w:vAlign w:val="center"/>
          </w:tcPr>
          <w:p w14:paraId="569F0A78">
            <w:pPr>
              <w:spacing w:line="320" w:lineRule="exact"/>
              <w:contextualSpacing/>
              <w:jc w:val="center"/>
              <w:rPr>
                <w:rFonts w:ascii="Times New Roman" w:hAnsi="Times New Roman" w:eastAsia="宋体" w:cs="Times New Roman"/>
                <w:sz w:val="24"/>
              </w:rPr>
            </w:pPr>
          </w:p>
        </w:tc>
        <w:tc>
          <w:tcPr>
            <w:tcW w:w="992" w:type="dxa"/>
            <w:vAlign w:val="center"/>
          </w:tcPr>
          <w:p w14:paraId="2E617DA7">
            <w:pPr>
              <w:spacing w:line="320" w:lineRule="exact"/>
              <w:contextualSpacing/>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3D2D9AF4">
      <w:pPr>
        <w:spacing w:line="360" w:lineRule="auto"/>
        <w:jc w:val="left"/>
        <w:rPr>
          <w:rFonts w:ascii="Times New Roman" w:hAnsi="Times New Roman" w:eastAsia="宋体" w:cs="Times New Roman"/>
          <w:sz w:val="24"/>
        </w:rPr>
      </w:pPr>
    </w:p>
    <w:p w14:paraId="199E499A">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687A4CF2">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各部分的评价方式和成绩评定细则</w:t>
      </w:r>
    </w:p>
    <w:tbl>
      <w:tblPr>
        <w:tblStyle w:val="14"/>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6026"/>
        <w:gridCol w:w="1021"/>
      </w:tblGrid>
      <w:tr w14:paraId="32D2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trPr>
        <w:tc>
          <w:tcPr>
            <w:tcW w:w="1312" w:type="dxa"/>
            <w:vAlign w:val="center"/>
          </w:tcPr>
          <w:p w14:paraId="36E6BC0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026" w:type="dxa"/>
            <w:vAlign w:val="center"/>
          </w:tcPr>
          <w:p w14:paraId="4CC72EE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成绩评定细则</w:t>
            </w:r>
          </w:p>
        </w:tc>
        <w:tc>
          <w:tcPr>
            <w:tcW w:w="1021" w:type="dxa"/>
            <w:vAlign w:val="center"/>
          </w:tcPr>
          <w:p w14:paraId="105F4B2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386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3EE7D956">
            <w:pPr>
              <w:rPr>
                <w:rFonts w:ascii="Times New Roman" w:hAnsi="Times New Roman" w:eastAsia="宋体" w:cs="Times New Roman"/>
                <w:b/>
                <w:bCs/>
                <w:szCs w:val="21"/>
              </w:rPr>
            </w:pPr>
            <w:r>
              <w:rPr>
                <w:rFonts w:hint="eastAsia" w:ascii="Times New Roman" w:hAnsi="Times New Roman" w:eastAsia="宋体" w:cs="Times New Roman"/>
                <w:b/>
                <w:bCs/>
                <w:szCs w:val="21"/>
              </w:rPr>
              <w:t>课堂表现</w:t>
            </w:r>
          </w:p>
        </w:tc>
        <w:tc>
          <w:tcPr>
            <w:tcW w:w="6026" w:type="dxa"/>
          </w:tcPr>
          <w:p w14:paraId="5F897FDF">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按出勤和课堂参与情况进行评分。全勤记</w:t>
            </w:r>
            <w:r>
              <w:rPr>
                <w:rFonts w:ascii="Times New Roman" w:hAnsi="Times New Roman" w:eastAsia="宋体" w:cs="Times New Roman"/>
                <w:szCs w:val="21"/>
              </w:rPr>
              <w:t>5分</w:t>
            </w:r>
            <w:r>
              <w:rPr>
                <w:rFonts w:hint="eastAsia" w:ascii="Times New Roman" w:hAnsi="Times New Roman" w:eastAsia="宋体" w:cs="Times New Roman"/>
                <w:szCs w:val="21"/>
              </w:rPr>
              <w:t>，</w:t>
            </w:r>
            <w:r>
              <w:rPr>
                <w:rFonts w:ascii="Times New Roman" w:hAnsi="Times New Roman" w:eastAsia="宋体" w:cs="Times New Roman"/>
                <w:szCs w:val="21"/>
              </w:rPr>
              <w:t>事假1节</w:t>
            </w:r>
            <w:r>
              <w:rPr>
                <w:rFonts w:hint="eastAsia" w:ascii="Times New Roman" w:hAnsi="Times New Roman" w:eastAsia="宋体" w:cs="Times New Roman"/>
                <w:szCs w:val="21"/>
              </w:rPr>
              <w:t>或</w:t>
            </w:r>
            <w:r>
              <w:rPr>
                <w:rFonts w:ascii="Times New Roman" w:hAnsi="Times New Roman" w:eastAsia="宋体" w:cs="Times New Roman"/>
                <w:szCs w:val="21"/>
              </w:rPr>
              <w:t>迟到、早退1次各扣1分</w:t>
            </w:r>
            <w:r>
              <w:rPr>
                <w:rFonts w:hint="eastAsia" w:ascii="Times New Roman" w:hAnsi="Times New Roman" w:eastAsia="宋体" w:cs="Times New Roman"/>
                <w:szCs w:val="21"/>
              </w:rPr>
              <w:t>，</w:t>
            </w:r>
            <w:r>
              <w:rPr>
                <w:rFonts w:ascii="Times New Roman" w:hAnsi="Times New Roman" w:eastAsia="宋体" w:cs="Times New Roman"/>
                <w:szCs w:val="21"/>
              </w:rPr>
              <w:t>无故旷课1次扣2分，无故旷课2次扣5分，</w:t>
            </w:r>
            <w:r>
              <w:rPr>
                <w:rFonts w:hint="eastAsia" w:ascii="Times New Roman" w:hAnsi="Times New Roman" w:eastAsia="宋体" w:cs="Times New Roman"/>
                <w:szCs w:val="21"/>
              </w:rPr>
              <w:t>无故</w:t>
            </w:r>
            <w:r>
              <w:rPr>
                <w:rFonts w:ascii="Times New Roman" w:hAnsi="Times New Roman" w:eastAsia="宋体" w:cs="Times New Roman"/>
                <w:szCs w:val="21"/>
              </w:rPr>
              <w:t>旷课3次及以上直接定为不及格。</w:t>
            </w:r>
            <w:r>
              <w:rPr>
                <w:rFonts w:hint="eastAsia" w:ascii="Times New Roman" w:hAnsi="Times New Roman" w:eastAsia="宋体" w:cs="Times New Roman"/>
                <w:szCs w:val="21"/>
              </w:rPr>
              <w:t>课堂参与满分5分。学生在</w:t>
            </w:r>
            <w:r>
              <w:rPr>
                <w:rFonts w:ascii="Times New Roman" w:hAnsi="Times New Roman" w:eastAsia="宋体" w:cs="Times New Roman"/>
                <w:szCs w:val="21"/>
              </w:rPr>
              <w:t>课堂上不做与学习无关的事</w:t>
            </w:r>
            <w:r>
              <w:rPr>
                <w:rFonts w:hint="eastAsia" w:ascii="Times New Roman" w:hAnsi="Times New Roman" w:eastAsia="宋体" w:cs="Times New Roman"/>
                <w:szCs w:val="21"/>
              </w:rPr>
              <w:t>，认真听课，</w:t>
            </w:r>
            <w:r>
              <w:rPr>
                <w:rFonts w:ascii="Times New Roman" w:hAnsi="Times New Roman" w:eastAsia="宋体" w:cs="Times New Roman"/>
                <w:szCs w:val="21"/>
              </w:rPr>
              <w:t>勤于思考，主动回答提问</w:t>
            </w:r>
            <w:r>
              <w:rPr>
                <w:rFonts w:hint="eastAsia" w:ascii="Times New Roman" w:hAnsi="Times New Roman" w:eastAsia="宋体" w:cs="Times New Roman"/>
                <w:szCs w:val="21"/>
              </w:rPr>
              <w:t>，</w:t>
            </w:r>
            <w:r>
              <w:rPr>
                <w:rFonts w:ascii="Times New Roman" w:hAnsi="Times New Roman" w:eastAsia="宋体" w:cs="Times New Roman"/>
                <w:szCs w:val="21"/>
              </w:rPr>
              <w:t>积极参加小组</w:t>
            </w:r>
            <w:r>
              <w:rPr>
                <w:rFonts w:hint="eastAsia" w:ascii="Times New Roman" w:hAnsi="Times New Roman" w:eastAsia="宋体" w:cs="Times New Roman"/>
                <w:szCs w:val="21"/>
              </w:rPr>
              <w:t>讨论。根据学生课堂表现酌情给分。</w:t>
            </w:r>
            <w:r>
              <w:rPr>
                <w:rFonts w:ascii="Times New Roman" w:hAnsi="Times New Roman" w:eastAsia="宋体" w:cs="Times New Roman"/>
                <w:szCs w:val="21"/>
              </w:rPr>
              <w:t xml:space="preserve"> </w:t>
            </w:r>
          </w:p>
        </w:tc>
        <w:tc>
          <w:tcPr>
            <w:tcW w:w="1021" w:type="dxa"/>
            <w:vAlign w:val="center"/>
          </w:tcPr>
          <w:p w14:paraId="38FB80BA">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4BEF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6FDC5CBC">
            <w:pPr>
              <w:rPr>
                <w:rFonts w:ascii="Times New Roman" w:hAnsi="Times New Roman" w:eastAsia="宋体" w:cs="Times New Roman"/>
                <w:b/>
                <w:bCs/>
                <w:szCs w:val="21"/>
              </w:rPr>
            </w:pPr>
            <w:r>
              <w:rPr>
                <w:rFonts w:hint="eastAsia" w:ascii="Times New Roman" w:hAnsi="Times New Roman" w:eastAsia="宋体" w:cs="Times New Roman"/>
                <w:b/>
                <w:bCs/>
                <w:szCs w:val="21"/>
              </w:rPr>
              <w:t>平时作业</w:t>
            </w:r>
          </w:p>
        </w:tc>
        <w:tc>
          <w:tcPr>
            <w:tcW w:w="6026" w:type="dxa"/>
          </w:tcPr>
          <w:p w14:paraId="73DE962C">
            <w:pPr>
              <w:spacing w:line="310" w:lineRule="exact"/>
              <w:jc w:val="left"/>
              <w:rPr>
                <w:rFonts w:eastAsia="宋体"/>
                <w:szCs w:val="21"/>
              </w:rPr>
            </w:pPr>
            <w:r>
              <w:rPr>
                <w:rFonts w:hint="eastAsia" w:eastAsia="宋体"/>
                <w:szCs w:val="21"/>
              </w:rPr>
              <w:t xml:space="preserve">在本课程学习中，学生提交的论文初稿、二稿为平时作业。 </w:t>
            </w:r>
          </w:p>
          <w:p w14:paraId="3D341C2E">
            <w:pPr>
              <w:spacing w:line="310" w:lineRule="exact"/>
              <w:jc w:val="left"/>
              <w:rPr>
                <w:rFonts w:ascii="Times New Roman" w:hAnsi="Times New Roman" w:eastAsia="宋体" w:cs="Times New Roman"/>
                <w:szCs w:val="21"/>
              </w:rPr>
            </w:pPr>
            <w:r>
              <w:rPr>
                <w:rFonts w:hint="eastAsia" w:eastAsia="宋体"/>
                <w:szCs w:val="21"/>
              </w:rPr>
              <w:t>学生需认真完成平时作业，按时提交，无故迟交作业1次扣</w:t>
            </w:r>
            <w:r>
              <w:rPr>
                <w:rFonts w:eastAsia="宋体"/>
                <w:szCs w:val="21"/>
              </w:rPr>
              <w:t>1</w:t>
            </w:r>
            <w:r>
              <w:rPr>
                <w:rFonts w:hint="eastAsia" w:eastAsia="宋体"/>
                <w:szCs w:val="21"/>
              </w:rPr>
              <w:t>分。作业评定标准与各项目评分标准相同。</w:t>
            </w:r>
          </w:p>
        </w:tc>
        <w:tc>
          <w:tcPr>
            <w:tcW w:w="1021" w:type="dxa"/>
            <w:vAlign w:val="center"/>
          </w:tcPr>
          <w:p w14:paraId="1329F6D7">
            <w:pPr>
              <w:jc w:val="center"/>
              <w:rPr>
                <w:rFonts w:ascii="Times New Roman" w:hAnsi="Times New Roman" w:eastAsia="宋体" w:cs="Times New Roman"/>
                <w:szCs w:val="21"/>
              </w:rPr>
            </w:pPr>
            <w:r>
              <w:rPr>
                <w:rFonts w:ascii="Times New Roman" w:hAnsi="Times New Roman" w:eastAsia="宋体" w:cs="Times New Roman"/>
                <w:szCs w:val="21"/>
              </w:rPr>
              <w:t>20</w:t>
            </w:r>
            <w:r>
              <w:rPr>
                <w:rFonts w:hint="eastAsia" w:ascii="Times New Roman" w:hAnsi="Times New Roman" w:eastAsia="宋体" w:cs="Times New Roman"/>
                <w:szCs w:val="21"/>
              </w:rPr>
              <w:t>%</w:t>
            </w:r>
          </w:p>
        </w:tc>
      </w:tr>
      <w:tr w14:paraId="7DC2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3936A4A6">
            <w:pPr>
              <w:rPr>
                <w:rFonts w:ascii="Times New Roman" w:hAnsi="Times New Roman" w:eastAsia="宋体" w:cs="Times New Roman"/>
                <w:b/>
                <w:bCs/>
                <w:szCs w:val="21"/>
              </w:rPr>
            </w:pPr>
            <w:r>
              <w:rPr>
                <w:rFonts w:hint="eastAsia" w:ascii="Times New Roman" w:hAnsi="Times New Roman" w:eastAsia="宋体" w:cs="Times New Roman"/>
                <w:b/>
                <w:bCs/>
                <w:szCs w:val="21"/>
              </w:rPr>
              <w:t>自主学习</w:t>
            </w:r>
          </w:p>
        </w:tc>
        <w:tc>
          <w:tcPr>
            <w:tcW w:w="6026" w:type="dxa"/>
          </w:tcPr>
          <w:p w14:paraId="0057599D">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每个单元开课前，学生提前一周完成教材预习。</w:t>
            </w:r>
          </w:p>
        </w:tc>
        <w:tc>
          <w:tcPr>
            <w:tcW w:w="1021" w:type="dxa"/>
            <w:vAlign w:val="center"/>
          </w:tcPr>
          <w:p w14:paraId="32157F5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FFA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2A09A7BC">
            <w:pPr>
              <w:rPr>
                <w:rFonts w:ascii="Times New Roman" w:hAnsi="Times New Roman" w:eastAsia="宋体" w:cs="Times New Roman"/>
                <w:b/>
                <w:bCs/>
                <w:szCs w:val="21"/>
              </w:rPr>
            </w:pPr>
            <w:r>
              <w:rPr>
                <w:rFonts w:hint="eastAsia" w:ascii="Times New Roman" w:hAnsi="Times New Roman" w:eastAsia="宋体" w:cs="Times New Roman"/>
                <w:b/>
                <w:bCs/>
                <w:szCs w:val="21"/>
              </w:rPr>
              <w:t>合作学习</w:t>
            </w:r>
          </w:p>
        </w:tc>
        <w:tc>
          <w:tcPr>
            <w:tcW w:w="6026" w:type="dxa"/>
          </w:tcPr>
          <w:p w14:paraId="4F749C9B">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合作学习主要体现在课堂小组讨论和课后小组合作完成项目设计之中。课堂小组合作主要以学生互评为主，评价依据为每个学生在小组合作中的参与度与投入度。</w:t>
            </w:r>
          </w:p>
        </w:tc>
        <w:tc>
          <w:tcPr>
            <w:tcW w:w="1021" w:type="dxa"/>
            <w:vAlign w:val="center"/>
          </w:tcPr>
          <w:p w14:paraId="47A8C0D2">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6D1E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2A0331BA">
            <w:pPr>
              <w:rPr>
                <w:rFonts w:ascii="Times New Roman" w:hAnsi="Times New Roman" w:eastAsia="宋体" w:cs="Times New Roman"/>
                <w:b/>
                <w:bCs/>
                <w:szCs w:val="21"/>
              </w:rPr>
            </w:pPr>
            <w:r>
              <w:rPr>
                <w:rFonts w:hint="eastAsia" w:ascii="Times New Roman" w:hAnsi="Times New Roman" w:eastAsia="宋体" w:cs="Times New Roman"/>
                <w:b/>
                <w:bCs/>
                <w:szCs w:val="21"/>
              </w:rPr>
              <w:t>期末考试</w:t>
            </w:r>
          </w:p>
        </w:tc>
        <w:tc>
          <w:tcPr>
            <w:tcW w:w="6026" w:type="dxa"/>
          </w:tcPr>
          <w:p w14:paraId="57977E2B">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学生需独立完成</w:t>
            </w:r>
            <w:r>
              <w:rPr>
                <w:rFonts w:ascii="Times New Roman" w:hAnsi="Times New Roman" w:eastAsia="宋体" w:cs="Times New Roman"/>
                <w:szCs w:val="21"/>
              </w:rPr>
              <w:t>1篇符合学术规范的教育论文，</w:t>
            </w:r>
            <w:r>
              <w:rPr>
                <w:rFonts w:hint="eastAsia" w:ascii="Times New Roman" w:hAnsi="Times New Roman" w:eastAsia="宋体" w:cs="Times New Roman"/>
                <w:szCs w:val="21"/>
              </w:rPr>
              <w:t>要求：选题合适，层次清晰，结构合理，语句通顺；符合学术规范；</w:t>
            </w:r>
            <w:r>
              <w:rPr>
                <w:rFonts w:ascii="Times New Roman" w:hAnsi="Times New Roman" w:eastAsia="宋体" w:cs="Times New Roman"/>
                <w:szCs w:val="21"/>
              </w:rPr>
              <w:t>字数5000字以上。</w:t>
            </w:r>
          </w:p>
        </w:tc>
        <w:tc>
          <w:tcPr>
            <w:tcW w:w="1021" w:type="dxa"/>
            <w:vAlign w:val="center"/>
          </w:tcPr>
          <w:p w14:paraId="69D00A0A">
            <w:pPr>
              <w:ind w:firstLine="210" w:firstLineChars="100"/>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 xml:space="preserve">0% </w:t>
            </w:r>
          </w:p>
        </w:tc>
      </w:tr>
      <w:tr w14:paraId="5103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12" w:type="dxa"/>
          </w:tcPr>
          <w:p w14:paraId="36E56D5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026" w:type="dxa"/>
          </w:tcPr>
          <w:p w14:paraId="1AA0BEFC">
            <w:pPr>
              <w:jc w:val="left"/>
              <w:rPr>
                <w:rFonts w:ascii="Times New Roman" w:hAnsi="Times New Roman" w:eastAsia="宋体" w:cs="Times New Roman"/>
                <w:szCs w:val="21"/>
              </w:rPr>
            </w:pPr>
          </w:p>
        </w:tc>
        <w:tc>
          <w:tcPr>
            <w:tcW w:w="1021" w:type="dxa"/>
            <w:vAlign w:val="center"/>
          </w:tcPr>
          <w:p w14:paraId="23CB803F">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734EDE3">
      <w:pPr>
        <w:spacing w:line="360" w:lineRule="auto"/>
        <w:jc w:val="left"/>
        <w:rPr>
          <w:rFonts w:hint="eastAsia" w:ascii="宋体" w:hAnsi="宋体" w:eastAsia="宋体" w:cs="Times New Roman"/>
          <w:b/>
          <w:sz w:val="24"/>
        </w:rPr>
      </w:pPr>
      <w:r>
        <w:rPr>
          <w:rFonts w:hint="eastAsia" w:ascii="宋体" w:hAnsi="宋体" w:eastAsia="宋体" w:cs="Times New Roman"/>
          <w:b/>
          <w:sz w:val="24"/>
        </w:rPr>
        <w:t>（三）课程目标达成度计算方法</w:t>
      </w:r>
    </w:p>
    <w:p w14:paraId="6496D56F">
      <w:pPr>
        <w:spacing w:line="360" w:lineRule="auto"/>
        <w:ind w:firstLine="470" w:firstLineChars="196"/>
        <w:jc w:val="left"/>
        <w:rPr>
          <w:rFonts w:hint="eastAsia" w:ascii="宋体" w:hAnsi="宋体" w:eastAsia="宋体" w:cs="Times New Roman"/>
          <w:sz w:val="24"/>
        </w:rPr>
      </w:pPr>
      <w:r>
        <w:rPr>
          <w:rFonts w:hint="eastAsia" w:ascii="宋体" w:hAnsi="宋体" w:eastAsia="宋体" w:cs="Times New Roman"/>
          <w:sz w:val="24"/>
        </w:rPr>
        <w:t>所有课程目标均需大于等于</w:t>
      </w:r>
      <w:r>
        <w:rPr>
          <w:rFonts w:ascii="宋体" w:hAnsi="宋体" w:eastAsia="宋体" w:cs="Times New Roman"/>
          <w:sz w:val="24"/>
        </w:rPr>
        <w:t>0.6，否则总评成绩不及格，需要补考或重修。每门课程目标总体达成度计算方法如下：</w:t>
      </w:r>
    </w:p>
    <w:p w14:paraId="0986F777">
      <w:pPr>
        <w:spacing w:before="156" w:beforeLines="50" w:line="360" w:lineRule="auto"/>
        <w:ind w:firstLine="480" w:firstLineChars="200"/>
        <w:jc w:val="left"/>
        <w:rPr>
          <w:rFonts w:hint="eastAsia" w:ascii="宋体" w:hAnsi="宋体" w:eastAsia="宋体" w:cs="Times New Roman"/>
          <w:sz w:val="24"/>
        </w:rPr>
      </w:pPr>
      <w:r>
        <w:rPr>
          <w:rFonts w:ascii="宋体" w:hAnsi="宋体" w:eastAsia="宋体" w:cs="Times New Roman"/>
          <w:sz w:val="24"/>
        </w:rPr>
        <w:object>
          <v:shape id="_x0000_i1057"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57" DrawAspect="Content" ObjectID="_1468075757" r:id="rId42">
            <o:LockedField>false</o:LockedField>
          </o:OLEObject>
        </w:object>
      </w:r>
    </w:p>
    <w:p w14:paraId="19D0588A">
      <w:pPr>
        <w:spacing w:before="156" w:beforeLines="50" w:line="360" w:lineRule="auto"/>
        <w:ind w:firstLine="480" w:firstLineChars="200"/>
        <w:jc w:val="left"/>
        <w:rPr>
          <w:rFonts w:hint="eastAsia" w:ascii="宋体" w:hAnsi="宋体" w:eastAsia="宋体" w:cs="Times New Roman"/>
          <w:sz w:val="24"/>
        </w:rPr>
      </w:pPr>
    </w:p>
    <w:p w14:paraId="68E16479">
      <w:pPr>
        <w:rPr>
          <w:rFonts w:hint="eastAsia" w:ascii="宋体" w:hAnsi="宋体" w:eastAsia="宋体" w:cs="宋体"/>
          <w:b/>
          <w:bCs/>
          <w:sz w:val="28"/>
          <w:szCs w:val="28"/>
        </w:rPr>
      </w:pPr>
      <w:r>
        <w:rPr>
          <w:rFonts w:hint="eastAsia" w:ascii="宋体" w:hAnsi="宋体" w:eastAsia="宋体" w:cs="宋体"/>
          <w:b/>
          <w:bCs/>
          <w:sz w:val="28"/>
          <w:szCs w:val="28"/>
        </w:rPr>
        <w:t>五、课程实践（课内实践）</w:t>
      </w:r>
    </w:p>
    <w:tbl>
      <w:tblPr>
        <w:tblStyle w:val="13"/>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10"/>
        <w:gridCol w:w="3260"/>
        <w:gridCol w:w="1276"/>
        <w:gridCol w:w="708"/>
        <w:gridCol w:w="851"/>
        <w:gridCol w:w="908"/>
      </w:tblGrid>
      <w:tr w14:paraId="2235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77" w:type="dxa"/>
            <w:shd w:val="clear" w:color="auto" w:fill="FFFFFF"/>
            <w:vAlign w:val="center"/>
          </w:tcPr>
          <w:p w14:paraId="29D85498">
            <w:pPr>
              <w:jc w:val="center"/>
              <w:rPr>
                <w:rFonts w:ascii="Times New Roman" w:hAnsi="Times New Roman" w:eastAsia="宋体" w:cs="Times New Roman"/>
                <w:color w:val="000000"/>
                <w:sz w:val="24"/>
              </w:rPr>
            </w:pPr>
            <w:r>
              <w:rPr>
                <w:rFonts w:hint="eastAsia" w:ascii="Times New Roman" w:hAnsi="Times New Roman" w:eastAsia="宋体" w:cs="Times New Roman"/>
                <w:color w:val="000000"/>
                <w:sz w:val="24"/>
              </w:rPr>
              <w:t>序号</w:t>
            </w:r>
          </w:p>
        </w:tc>
        <w:tc>
          <w:tcPr>
            <w:tcW w:w="1610" w:type="dxa"/>
            <w:shd w:val="clear" w:color="auto" w:fill="FFFFFF"/>
            <w:vAlign w:val="center"/>
          </w:tcPr>
          <w:p w14:paraId="6B320E81">
            <w:pPr>
              <w:jc w:val="center"/>
              <w:rPr>
                <w:rFonts w:ascii="Times New Roman" w:hAnsi="Times New Roman" w:eastAsia="宋体" w:cs="Times New Roman"/>
                <w:color w:val="000000"/>
                <w:sz w:val="24"/>
              </w:rPr>
            </w:pPr>
            <w:r>
              <w:rPr>
                <w:rFonts w:hint="eastAsia" w:ascii="Times New Roman" w:hAnsi="Times New Roman" w:eastAsia="宋体" w:cs="Times New Roman"/>
                <w:color w:val="000000"/>
                <w:sz w:val="24"/>
              </w:rPr>
              <w:t>实验（实践）</w:t>
            </w:r>
          </w:p>
          <w:p w14:paraId="7A63490B">
            <w:pPr>
              <w:jc w:val="center"/>
              <w:rPr>
                <w:rFonts w:ascii="Times New Roman" w:hAnsi="Times New Roman" w:eastAsia="宋体" w:cs="Times New Roman"/>
                <w:color w:val="000000"/>
                <w:sz w:val="24"/>
              </w:rPr>
            </w:pPr>
            <w:r>
              <w:rPr>
                <w:rFonts w:hint="eastAsia" w:ascii="Times New Roman" w:hAnsi="Times New Roman" w:eastAsia="宋体" w:cs="Times New Roman"/>
                <w:color w:val="000000"/>
                <w:sz w:val="24"/>
              </w:rPr>
              <w:t>项目名称</w:t>
            </w:r>
          </w:p>
        </w:tc>
        <w:tc>
          <w:tcPr>
            <w:tcW w:w="3260" w:type="dxa"/>
            <w:shd w:val="clear" w:color="auto" w:fill="FFFFFF"/>
            <w:vAlign w:val="center"/>
          </w:tcPr>
          <w:p w14:paraId="4DF637A3">
            <w:pPr>
              <w:jc w:val="center"/>
              <w:rPr>
                <w:rFonts w:ascii="Times New Roman" w:hAnsi="Times New Roman" w:eastAsia="宋体" w:cs="Times New Roman"/>
                <w:color w:val="000000"/>
                <w:sz w:val="24"/>
              </w:rPr>
            </w:pPr>
            <w:r>
              <w:rPr>
                <w:rFonts w:hint="eastAsia" w:ascii="Times New Roman" w:hAnsi="Times New Roman" w:eastAsia="宋体" w:cs="Times New Roman"/>
                <w:color w:val="000000"/>
                <w:sz w:val="24"/>
              </w:rPr>
              <w:t>实验（实践）项目</w:t>
            </w:r>
          </w:p>
          <w:p w14:paraId="79C13FCE">
            <w:pPr>
              <w:jc w:val="center"/>
              <w:rPr>
                <w:rFonts w:ascii="Times New Roman" w:hAnsi="Times New Roman" w:eastAsia="宋体" w:cs="Times New Roman"/>
                <w:color w:val="000000"/>
                <w:sz w:val="24"/>
              </w:rPr>
            </w:pPr>
            <w:r>
              <w:rPr>
                <w:rFonts w:hint="eastAsia" w:ascii="Times New Roman" w:hAnsi="Times New Roman" w:eastAsia="宋体" w:cs="Times New Roman"/>
                <w:color w:val="000000"/>
                <w:sz w:val="24"/>
              </w:rPr>
              <w:t>内容及要求</w:t>
            </w:r>
          </w:p>
        </w:tc>
        <w:tc>
          <w:tcPr>
            <w:tcW w:w="1276" w:type="dxa"/>
            <w:shd w:val="clear" w:color="auto" w:fill="FFFFFF"/>
            <w:vAlign w:val="center"/>
          </w:tcPr>
          <w:p w14:paraId="05B9A8A4">
            <w:pPr>
              <w:jc w:val="center"/>
              <w:rPr>
                <w:rFonts w:ascii="Times New Roman" w:hAnsi="Times New Roman" w:eastAsia="宋体" w:cs="Times New Roman"/>
                <w:color w:val="000000"/>
                <w:sz w:val="24"/>
              </w:rPr>
            </w:pPr>
            <w:r>
              <w:rPr>
                <w:rFonts w:hint="eastAsia" w:ascii="Times New Roman" w:hAnsi="Times New Roman" w:eastAsia="宋体" w:cs="Times New Roman"/>
                <w:color w:val="000000"/>
                <w:sz w:val="24"/>
              </w:rPr>
              <w:t>对</w:t>
            </w:r>
            <w:r>
              <w:rPr>
                <w:rFonts w:ascii="Times New Roman" w:hAnsi="Times New Roman" w:eastAsia="宋体" w:cs="Times New Roman"/>
                <w:color w:val="000000"/>
                <w:sz w:val="24"/>
              </w:rPr>
              <w:t>毕业要求</w:t>
            </w:r>
          </w:p>
          <w:p w14:paraId="3E875726">
            <w:pPr>
              <w:jc w:val="center"/>
              <w:rPr>
                <w:rFonts w:ascii="Times New Roman" w:hAnsi="Times New Roman" w:eastAsia="宋体" w:cs="Times New Roman"/>
                <w:color w:val="000000"/>
                <w:sz w:val="24"/>
              </w:rPr>
            </w:pPr>
            <w:r>
              <w:rPr>
                <w:rFonts w:hint="eastAsia" w:ascii="Times New Roman" w:hAnsi="Times New Roman" w:eastAsia="宋体" w:cs="Times New Roman"/>
                <w:color w:val="000000"/>
                <w:sz w:val="24"/>
              </w:rPr>
              <w:t>的</w:t>
            </w:r>
            <w:r>
              <w:rPr>
                <w:rFonts w:ascii="Times New Roman" w:hAnsi="Times New Roman" w:eastAsia="宋体" w:cs="Times New Roman"/>
                <w:color w:val="000000"/>
                <w:sz w:val="24"/>
              </w:rPr>
              <w:t>支撑</w:t>
            </w:r>
          </w:p>
        </w:tc>
        <w:tc>
          <w:tcPr>
            <w:tcW w:w="708" w:type="dxa"/>
            <w:shd w:val="clear" w:color="auto" w:fill="FFFFFF"/>
            <w:vAlign w:val="center"/>
          </w:tcPr>
          <w:p w14:paraId="69270FCA">
            <w:pPr>
              <w:rPr>
                <w:rFonts w:ascii="Times New Roman" w:hAnsi="Times New Roman" w:eastAsia="宋体" w:cs="Times New Roman"/>
                <w:color w:val="000000"/>
                <w:sz w:val="24"/>
              </w:rPr>
            </w:pPr>
            <w:r>
              <w:rPr>
                <w:rFonts w:ascii="Times New Roman" w:hAnsi="Times New Roman" w:eastAsia="宋体" w:cs="Times New Roman"/>
                <w:color w:val="000000"/>
                <w:sz w:val="24"/>
              </w:rPr>
              <w:t>学时</w:t>
            </w:r>
          </w:p>
        </w:tc>
        <w:tc>
          <w:tcPr>
            <w:tcW w:w="851" w:type="dxa"/>
            <w:shd w:val="clear" w:color="auto" w:fill="FFFFFF"/>
            <w:vAlign w:val="center"/>
          </w:tcPr>
          <w:p w14:paraId="1A95A10F">
            <w:pPr>
              <w:jc w:val="center"/>
              <w:rPr>
                <w:rFonts w:ascii="Times New Roman" w:hAnsi="Times New Roman" w:eastAsia="宋体" w:cs="Times New Roman"/>
                <w:color w:val="000000"/>
                <w:sz w:val="24"/>
              </w:rPr>
            </w:pPr>
            <w:r>
              <w:rPr>
                <w:rFonts w:hint="eastAsia" w:ascii="Times New Roman" w:hAnsi="Times New Roman" w:eastAsia="宋体" w:cs="Times New Roman"/>
                <w:color w:val="000000"/>
                <w:sz w:val="24"/>
              </w:rPr>
              <w:t>类型</w:t>
            </w:r>
          </w:p>
        </w:tc>
        <w:tc>
          <w:tcPr>
            <w:tcW w:w="908" w:type="dxa"/>
            <w:shd w:val="clear" w:color="auto" w:fill="FFFFFF"/>
            <w:vAlign w:val="center"/>
          </w:tcPr>
          <w:p w14:paraId="79508CC5">
            <w:pPr>
              <w:jc w:val="center"/>
              <w:rPr>
                <w:rFonts w:ascii="Times New Roman" w:hAnsi="Times New Roman" w:eastAsia="宋体" w:cs="Times New Roman"/>
                <w:color w:val="000000"/>
                <w:sz w:val="24"/>
              </w:rPr>
            </w:pPr>
            <w:r>
              <w:rPr>
                <w:rFonts w:hint="eastAsia" w:ascii="Times New Roman" w:hAnsi="Times New Roman" w:eastAsia="宋体" w:cs="Times New Roman"/>
                <w:color w:val="000000"/>
                <w:sz w:val="24"/>
              </w:rPr>
              <w:t>备注</w:t>
            </w:r>
          </w:p>
        </w:tc>
      </w:tr>
      <w:tr w14:paraId="2970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7356A6EF">
            <w:pPr>
              <w:jc w:val="center"/>
              <w:rPr>
                <w:rFonts w:ascii="Times New Roman" w:hAnsi="Times New Roman" w:eastAsia="宋体" w:cs="Times New Roman"/>
                <w:sz w:val="24"/>
              </w:rPr>
            </w:pPr>
            <w:r>
              <w:rPr>
                <w:rFonts w:hint="eastAsia" w:ascii="Times New Roman" w:hAnsi="Times New Roman" w:eastAsia="宋体" w:cs="Times New Roman"/>
                <w:sz w:val="24"/>
              </w:rPr>
              <w:t>1</w:t>
            </w:r>
          </w:p>
        </w:tc>
        <w:tc>
          <w:tcPr>
            <w:tcW w:w="1610" w:type="dxa"/>
            <w:vAlign w:val="center"/>
          </w:tcPr>
          <w:p w14:paraId="5E4F112A">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学术期刊论文撰写</w:t>
            </w:r>
          </w:p>
        </w:tc>
        <w:tc>
          <w:tcPr>
            <w:tcW w:w="3260" w:type="dxa"/>
            <w:vAlign w:val="center"/>
          </w:tcPr>
          <w:p w14:paraId="1A52594B">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内容：根据学术期刊论文写作规范，结合中小学教育实践，撰写1篇学术论文。</w:t>
            </w:r>
          </w:p>
          <w:p w14:paraId="64384E56">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要求：选题合适，层次清晰，结构合理，语句通顺；符合学术规范；字数3000字以上。</w:t>
            </w:r>
          </w:p>
        </w:tc>
        <w:tc>
          <w:tcPr>
            <w:tcW w:w="1276" w:type="dxa"/>
            <w:vAlign w:val="center"/>
          </w:tcPr>
          <w:p w14:paraId="5F222D01">
            <w:pPr>
              <w:jc w:val="center"/>
              <w:rPr>
                <w:rFonts w:ascii="Times New Roman" w:hAnsi="Times New Roman" w:eastAsia="宋体" w:cs="Times New Roman"/>
                <w:sz w:val="24"/>
              </w:rPr>
            </w:pPr>
            <w:r>
              <w:rPr>
                <w:rFonts w:hint="eastAsia" w:ascii="Times New Roman" w:hAnsi="Times New Roman" w:eastAsia="宋体" w:cs="Times New Roman"/>
                <w:sz w:val="24"/>
              </w:rPr>
              <w:t>1-1</w:t>
            </w:r>
          </w:p>
          <w:p w14:paraId="3D25718E">
            <w:pPr>
              <w:jc w:val="center"/>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-2</w:t>
            </w:r>
          </w:p>
          <w:p w14:paraId="60822788">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4-4</w:t>
            </w:r>
          </w:p>
          <w:p w14:paraId="7C33692A">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7</w:t>
            </w:r>
            <w:r>
              <w:rPr>
                <w:rFonts w:ascii="Times New Roman" w:hAnsi="Times New Roman" w:eastAsia="宋体" w:cs="Times New Roman"/>
                <w:sz w:val="24"/>
              </w:rPr>
              <w:t>-1</w:t>
            </w:r>
          </w:p>
          <w:p w14:paraId="5B566B83">
            <w:pPr>
              <w:ind w:firstLine="480" w:firstLineChars="200"/>
              <w:rPr>
                <w:rFonts w:ascii="Times New Roman" w:hAnsi="Times New Roman" w:eastAsia="宋体" w:cs="Times New Roman"/>
                <w:sz w:val="24"/>
              </w:rPr>
            </w:pPr>
            <w:r>
              <w:rPr>
                <w:rFonts w:ascii="Times New Roman" w:hAnsi="Times New Roman" w:eastAsia="宋体" w:cs="Times New Roman"/>
                <w:sz w:val="24"/>
              </w:rPr>
              <w:t>7-3</w:t>
            </w:r>
          </w:p>
        </w:tc>
        <w:tc>
          <w:tcPr>
            <w:tcW w:w="708" w:type="dxa"/>
            <w:vAlign w:val="center"/>
          </w:tcPr>
          <w:p w14:paraId="1D677927">
            <w:pPr>
              <w:jc w:val="center"/>
              <w:rPr>
                <w:rFonts w:ascii="Times New Roman" w:hAnsi="Times New Roman" w:eastAsia="宋体" w:cs="Times New Roman"/>
                <w:sz w:val="24"/>
              </w:rPr>
            </w:pPr>
            <w:r>
              <w:rPr>
                <w:rFonts w:hint="eastAsia" w:ascii="Times New Roman" w:hAnsi="Times New Roman" w:eastAsia="宋体" w:cs="Times New Roman"/>
                <w:sz w:val="24"/>
              </w:rPr>
              <w:t>3</w:t>
            </w:r>
          </w:p>
        </w:tc>
        <w:tc>
          <w:tcPr>
            <w:tcW w:w="851" w:type="dxa"/>
            <w:vAlign w:val="center"/>
          </w:tcPr>
          <w:p w14:paraId="259F8A9C">
            <w:pPr>
              <w:jc w:val="center"/>
              <w:rPr>
                <w:rFonts w:ascii="Times New Roman" w:hAnsi="Times New Roman" w:eastAsia="宋体" w:cs="Times New Roman"/>
                <w:sz w:val="24"/>
              </w:rPr>
            </w:pPr>
            <w:r>
              <w:rPr>
                <w:rFonts w:hint="eastAsia" w:ascii="Times New Roman" w:hAnsi="Times New Roman" w:eastAsia="宋体" w:cs="Times New Roman"/>
                <w:sz w:val="24"/>
              </w:rPr>
              <w:t>设计性</w:t>
            </w:r>
          </w:p>
        </w:tc>
        <w:tc>
          <w:tcPr>
            <w:tcW w:w="908" w:type="dxa"/>
            <w:vAlign w:val="center"/>
          </w:tcPr>
          <w:p w14:paraId="74955A69">
            <w:pPr>
              <w:jc w:val="center"/>
              <w:rPr>
                <w:rFonts w:ascii="Times New Roman" w:hAnsi="Times New Roman" w:eastAsia="宋体" w:cs="Times New Roman"/>
                <w:sz w:val="24"/>
              </w:rPr>
            </w:pPr>
            <w:r>
              <w:rPr>
                <w:rFonts w:hint="eastAsia" w:ascii="Times New Roman" w:hAnsi="Times New Roman" w:eastAsia="宋体" w:cs="Times New Roman"/>
                <w:sz w:val="24"/>
              </w:rPr>
              <w:t>1-2</w:t>
            </w:r>
          </w:p>
          <w:p w14:paraId="20BA62E3">
            <w:pPr>
              <w:jc w:val="center"/>
              <w:rPr>
                <w:rFonts w:ascii="Times New Roman" w:hAnsi="Times New Roman" w:eastAsia="宋体" w:cs="Times New Roman"/>
                <w:sz w:val="24"/>
              </w:rPr>
            </w:pPr>
            <w:r>
              <w:rPr>
                <w:rFonts w:hint="eastAsia" w:ascii="Times New Roman" w:hAnsi="Times New Roman" w:eastAsia="宋体" w:cs="Times New Roman"/>
                <w:sz w:val="24"/>
              </w:rPr>
              <w:t>二选一</w:t>
            </w:r>
          </w:p>
        </w:tc>
      </w:tr>
      <w:tr w14:paraId="4330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55045C39">
            <w:pPr>
              <w:jc w:val="center"/>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2</w:t>
            </w:r>
          </w:p>
        </w:tc>
        <w:tc>
          <w:tcPr>
            <w:tcW w:w="1610" w:type="dxa"/>
            <w:vAlign w:val="center"/>
          </w:tcPr>
          <w:p w14:paraId="2352D019">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教育综述论文写作</w:t>
            </w:r>
          </w:p>
        </w:tc>
        <w:tc>
          <w:tcPr>
            <w:tcW w:w="3260" w:type="dxa"/>
            <w:vAlign w:val="center"/>
          </w:tcPr>
          <w:p w14:paraId="3B061D4F">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内容：根据教育综述论文写作规范，结合自身的研究和思考，撰写1篇教育综述论文。</w:t>
            </w:r>
          </w:p>
          <w:p w14:paraId="749F2B73">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要求：选题合适，层次清晰，结构合理，语句通顺；符合学术规范；字数1000字以上。</w:t>
            </w:r>
          </w:p>
        </w:tc>
        <w:tc>
          <w:tcPr>
            <w:tcW w:w="1276" w:type="dxa"/>
            <w:vAlign w:val="center"/>
          </w:tcPr>
          <w:p w14:paraId="1952CD1F">
            <w:pPr>
              <w:jc w:val="center"/>
              <w:rPr>
                <w:rFonts w:ascii="Times New Roman" w:hAnsi="Times New Roman" w:eastAsia="宋体" w:cs="Times New Roman"/>
                <w:sz w:val="24"/>
              </w:rPr>
            </w:pPr>
            <w:r>
              <w:rPr>
                <w:rFonts w:hint="eastAsia" w:ascii="Times New Roman" w:hAnsi="Times New Roman" w:eastAsia="宋体" w:cs="Times New Roman"/>
                <w:sz w:val="24"/>
              </w:rPr>
              <w:t>1-1</w:t>
            </w:r>
          </w:p>
          <w:p w14:paraId="1893D8EF">
            <w:pPr>
              <w:jc w:val="center"/>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-2</w:t>
            </w:r>
          </w:p>
          <w:p w14:paraId="7AF604EA">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4-4</w:t>
            </w:r>
          </w:p>
          <w:p w14:paraId="4B2778C6">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7</w:t>
            </w:r>
            <w:r>
              <w:rPr>
                <w:rFonts w:ascii="Times New Roman" w:hAnsi="Times New Roman" w:eastAsia="宋体" w:cs="Times New Roman"/>
                <w:sz w:val="24"/>
              </w:rPr>
              <w:t>-1</w:t>
            </w:r>
          </w:p>
          <w:p w14:paraId="44510FD5">
            <w:pPr>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7-3 </w:t>
            </w:r>
          </w:p>
        </w:tc>
        <w:tc>
          <w:tcPr>
            <w:tcW w:w="708" w:type="dxa"/>
            <w:vAlign w:val="center"/>
          </w:tcPr>
          <w:p w14:paraId="74D9384A">
            <w:pPr>
              <w:jc w:val="center"/>
              <w:rPr>
                <w:rFonts w:ascii="Times New Roman" w:hAnsi="Times New Roman" w:eastAsia="宋体" w:cs="Times New Roman"/>
                <w:sz w:val="24"/>
              </w:rPr>
            </w:pPr>
            <w:r>
              <w:rPr>
                <w:rFonts w:hint="eastAsia" w:ascii="Times New Roman" w:hAnsi="Times New Roman" w:eastAsia="宋体" w:cs="Times New Roman"/>
                <w:sz w:val="24"/>
              </w:rPr>
              <w:t>3</w:t>
            </w:r>
          </w:p>
        </w:tc>
        <w:tc>
          <w:tcPr>
            <w:tcW w:w="851" w:type="dxa"/>
            <w:vAlign w:val="center"/>
          </w:tcPr>
          <w:p w14:paraId="4C516DE3">
            <w:pPr>
              <w:jc w:val="center"/>
              <w:rPr>
                <w:rFonts w:ascii="Times New Roman" w:hAnsi="Times New Roman" w:eastAsia="宋体" w:cs="Times New Roman"/>
                <w:sz w:val="24"/>
              </w:rPr>
            </w:pPr>
            <w:r>
              <w:rPr>
                <w:rFonts w:hint="eastAsia" w:ascii="Times New Roman" w:hAnsi="Times New Roman" w:eastAsia="宋体" w:cs="Times New Roman"/>
                <w:sz w:val="24"/>
              </w:rPr>
              <w:t>设计性</w:t>
            </w:r>
          </w:p>
        </w:tc>
        <w:tc>
          <w:tcPr>
            <w:tcW w:w="908" w:type="dxa"/>
            <w:vAlign w:val="center"/>
          </w:tcPr>
          <w:p w14:paraId="6AF172CE">
            <w:pPr>
              <w:jc w:val="center"/>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-2</w:t>
            </w:r>
          </w:p>
          <w:p w14:paraId="4BCE44C4">
            <w:pPr>
              <w:jc w:val="center"/>
              <w:rPr>
                <w:rFonts w:ascii="Times New Roman" w:hAnsi="Times New Roman" w:eastAsia="宋体" w:cs="Times New Roman"/>
                <w:sz w:val="24"/>
              </w:rPr>
            </w:pPr>
            <w:r>
              <w:rPr>
                <w:rFonts w:hint="eastAsia" w:ascii="Times New Roman" w:hAnsi="Times New Roman" w:eastAsia="宋体" w:cs="Times New Roman"/>
                <w:sz w:val="24"/>
              </w:rPr>
              <w:t>二选一</w:t>
            </w:r>
          </w:p>
        </w:tc>
      </w:tr>
      <w:tr w14:paraId="3299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498673B3">
            <w:pPr>
              <w:jc w:val="center"/>
              <w:rPr>
                <w:rFonts w:ascii="Times New Roman" w:hAnsi="Times New Roman" w:eastAsia="宋体" w:cs="Times New Roman"/>
                <w:sz w:val="24"/>
              </w:rPr>
            </w:pPr>
            <w:r>
              <w:rPr>
                <w:rFonts w:hint="eastAsia" w:ascii="Times New Roman" w:hAnsi="Times New Roman" w:eastAsia="宋体" w:cs="Times New Roman"/>
                <w:sz w:val="24"/>
              </w:rPr>
              <w:t>3</w:t>
            </w:r>
          </w:p>
        </w:tc>
        <w:tc>
          <w:tcPr>
            <w:tcW w:w="1610" w:type="dxa"/>
            <w:vAlign w:val="center"/>
          </w:tcPr>
          <w:p w14:paraId="46117105">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教育随笔写作</w:t>
            </w:r>
          </w:p>
        </w:tc>
        <w:tc>
          <w:tcPr>
            <w:tcW w:w="3260" w:type="dxa"/>
            <w:vAlign w:val="center"/>
          </w:tcPr>
          <w:p w14:paraId="2629A23D">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内容：结合教育实践，撰写1篇符合规范的教学随笔论文。</w:t>
            </w:r>
          </w:p>
          <w:p w14:paraId="2641B456">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要求：题目恰当，层次清晰，结构合理，语句通顺；符合学术规范；字数800字以上。</w:t>
            </w:r>
          </w:p>
        </w:tc>
        <w:tc>
          <w:tcPr>
            <w:tcW w:w="1276" w:type="dxa"/>
            <w:vAlign w:val="center"/>
          </w:tcPr>
          <w:p w14:paraId="41B0073B">
            <w:pPr>
              <w:jc w:val="center"/>
              <w:rPr>
                <w:rFonts w:ascii="Times New Roman" w:hAnsi="Times New Roman" w:eastAsia="宋体" w:cs="Times New Roman"/>
                <w:sz w:val="24"/>
              </w:rPr>
            </w:pPr>
            <w:r>
              <w:rPr>
                <w:rFonts w:ascii="Times New Roman" w:hAnsi="Times New Roman" w:eastAsia="宋体" w:cs="Times New Roman"/>
                <w:sz w:val="24"/>
              </w:rPr>
              <w:t xml:space="preserve"> </w:t>
            </w:r>
            <w:r>
              <w:rPr>
                <w:rFonts w:hint="eastAsia" w:ascii="Times New Roman" w:hAnsi="Times New Roman" w:eastAsia="宋体" w:cs="Times New Roman"/>
                <w:sz w:val="24"/>
              </w:rPr>
              <w:t>1-1</w:t>
            </w:r>
          </w:p>
          <w:p w14:paraId="191240EC">
            <w:pPr>
              <w:jc w:val="center"/>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-2</w:t>
            </w:r>
          </w:p>
          <w:p w14:paraId="6C515315">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4-4</w:t>
            </w:r>
          </w:p>
          <w:p w14:paraId="06ED330F">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7</w:t>
            </w:r>
            <w:r>
              <w:rPr>
                <w:rFonts w:ascii="Times New Roman" w:hAnsi="Times New Roman" w:eastAsia="宋体" w:cs="Times New Roman"/>
                <w:sz w:val="24"/>
              </w:rPr>
              <w:t>-1</w:t>
            </w:r>
          </w:p>
          <w:p w14:paraId="54CC859D">
            <w:pPr>
              <w:jc w:val="center"/>
              <w:rPr>
                <w:rFonts w:ascii="Times New Roman" w:hAnsi="Times New Roman" w:eastAsia="宋体" w:cs="Times New Roman"/>
                <w:sz w:val="24"/>
              </w:rPr>
            </w:pPr>
            <w:r>
              <w:rPr>
                <w:rFonts w:ascii="Times New Roman" w:hAnsi="Times New Roman" w:eastAsia="宋体" w:cs="Times New Roman"/>
                <w:sz w:val="24"/>
              </w:rPr>
              <w:t>7-3</w:t>
            </w:r>
          </w:p>
        </w:tc>
        <w:tc>
          <w:tcPr>
            <w:tcW w:w="708" w:type="dxa"/>
            <w:vAlign w:val="center"/>
          </w:tcPr>
          <w:p w14:paraId="452EB698">
            <w:pPr>
              <w:jc w:val="center"/>
              <w:rPr>
                <w:rFonts w:ascii="Times New Roman" w:hAnsi="Times New Roman" w:eastAsia="宋体" w:cs="Times New Roman"/>
                <w:sz w:val="24"/>
              </w:rPr>
            </w:pPr>
            <w:r>
              <w:rPr>
                <w:rFonts w:hint="eastAsia" w:ascii="Times New Roman" w:hAnsi="Times New Roman" w:eastAsia="宋体" w:cs="Times New Roman"/>
                <w:sz w:val="24"/>
              </w:rPr>
              <w:t>2</w:t>
            </w:r>
          </w:p>
        </w:tc>
        <w:tc>
          <w:tcPr>
            <w:tcW w:w="851" w:type="dxa"/>
            <w:vAlign w:val="center"/>
          </w:tcPr>
          <w:p w14:paraId="2C1FC7E7">
            <w:pPr>
              <w:jc w:val="center"/>
              <w:rPr>
                <w:rFonts w:ascii="Times New Roman" w:hAnsi="Times New Roman" w:eastAsia="宋体" w:cs="Times New Roman"/>
                <w:sz w:val="24"/>
              </w:rPr>
            </w:pPr>
            <w:r>
              <w:rPr>
                <w:rFonts w:hint="eastAsia" w:ascii="Times New Roman" w:hAnsi="Times New Roman" w:eastAsia="宋体" w:cs="Times New Roman"/>
                <w:sz w:val="24"/>
              </w:rPr>
              <w:t>设计性</w:t>
            </w:r>
          </w:p>
        </w:tc>
        <w:tc>
          <w:tcPr>
            <w:tcW w:w="908" w:type="dxa"/>
            <w:vAlign w:val="center"/>
          </w:tcPr>
          <w:p w14:paraId="5A44A4DC">
            <w:pPr>
              <w:jc w:val="center"/>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-5</w:t>
            </w:r>
          </w:p>
          <w:p w14:paraId="167571C1">
            <w:pPr>
              <w:jc w:val="center"/>
              <w:rPr>
                <w:rFonts w:ascii="Times New Roman" w:hAnsi="Times New Roman" w:eastAsia="宋体" w:cs="Times New Roman"/>
                <w:sz w:val="24"/>
              </w:rPr>
            </w:pPr>
            <w:r>
              <w:rPr>
                <w:rFonts w:hint="eastAsia" w:ascii="Times New Roman" w:hAnsi="Times New Roman" w:eastAsia="宋体" w:cs="Times New Roman"/>
                <w:sz w:val="24"/>
              </w:rPr>
              <w:t>三选一</w:t>
            </w:r>
          </w:p>
        </w:tc>
      </w:tr>
      <w:tr w14:paraId="0119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4BA1987C">
            <w:pPr>
              <w:jc w:val="center"/>
              <w:rPr>
                <w:rFonts w:ascii="Times New Roman" w:hAnsi="Times New Roman" w:eastAsia="宋体" w:cs="Times New Roman"/>
                <w:sz w:val="24"/>
              </w:rPr>
            </w:pPr>
            <w:r>
              <w:rPr>
                <w:rFonts w:hint="eastAsia" w:ascii="Times New Roman" w:hAnsi="Times New Roman" w:eastAsia="宋体" w:cs="Times New Roman"/>
                <w:sz w:val="24"/>
              </w:rPr>
              <w:t>4</w:t>
            </w:r>
          </w:p>
        </w:tc>
        <w:tc>
          <w:tcPr>
            <w:tcW w:w="1610" w:type="dxa"/>
            <w:vAlign w:val="center"/>
          </w:tcPr>
          <w:p w14:paraId="1163B0DB">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教育调查报告撰写 </w:t>
            </w:r>
          </w:p>
        </w:tc>
        <w:tc>
          <w:tcPr>
            <w:tcW w:w="3260" w:type="dxa"/>
            <w:vAlign w:val="center"/>
          </w:tcPr>
          <w:p w14:paraId="388472F0">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内容：开展一项微型教育调查，撰写1份符合规范的教育调查报告。</w:t>
            </w:r>
          </w:p>
          <w:p w14:paraId="4C3A2F90">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要求：选题合适，层次清晰，结构合理，语句通顺；符合学术规范；字数1500字以上。</w:t>
            </w:r>
          </w:p>
        </w:tc>
        <w:tc>
          <w:tcPr>
            <w:tcW w:w="1276" w:type="dxa"/>
            <w:vAlign w:val="center"/>
          </w:tcPr>
          <w:p w14:paraId="6F3F8100">
            <w:pPr>
              <w:jc w:val="center"/>
              <w:rPr>
                <w:rFonts w:ascii="Times New Roman" w:hAnsi="Times New Roman" w:eastAsia="宋体" w:cs="Times New Roman"/>
                <w:sz w:val="24"/>
              </w:rPr>
            </w:pPr>
            <w:r>
              <w:rPr>
                <w:rFonts w:hint="eastAsia" w:ascii="Times New Roman" w:hAnsi="Times New Roman" w:eastAsia="宋体" w:cs="Times New Roman"/>
                <w:sz w:val="24"/>
              </w:rPr>
              <w:t>1-1</w:t>
            </w:r>
          </w:p>
          <w:p w14:paraId="7244C719">
            <w:pPr>
              <w:jc w:val="center"/>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-2</w:t>
            </w:r>
          </w:p>
          <w:p w14:paraId="5396EBB6">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4-4</w:t>
            </w:r>
          </w:p>
          <w:p w14:paraId="5FDD9908">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7</w:t>
            </w:r>
            <w:r>
              <w:rPr>
                <w:rFonts w:ascii="Times New Roman" w:hAnsi="Times New Roman" w:eastAsia="宋体" w:cs="Times New Roman"/>
                <w:sz w:val="24"/>
              </w:rPr>
              <w:t>-1</w:t>
            </w:r>
          </w:p>
          <w:p w14:paraId="5344A1AB">
            <w:pPr>
              <w:jc w:val="center"/>
              <w:rPr>
                <w:rFonts w:ascii="Times New Roman" w:hAnsi="Times New Roman" w:eastAsia="宋体" w:cs="Times New Roman"/>
                <w:sz w:val="24"/>
              </w:rPr>
            </w:pPr>
            <w:r>
              <w:rPr>
                <w:rFonts w:ascii="Times New Roman" w:hAnsi="Times New Roman" w:eastAsia="宋体" w:cs="Times New Roman"/>
                <w:sz w:val="24"/>
              </w:rPr>
              <w:t xml:space="preserve">7-3 </w:t>
            </w:r>
          </w:p>
        </w:tc>
        <w:tc>
          <w:tcPr>
            <w:tcW w:w="708" w:type="dxa"/>
            <w:vAlign w:val="center"/>
          </w:tcPr>
          <w:p w14:paraId="0AFB0E31">
            <w:pPr>
              <w:jc w:val="center"/>
              <w:rPr>
                <w:rFonts w:ascii="Times New Roman" w:hAnsi="Times New Roman" w:eastAsia="宋体" w:cs="Times New Roman"/>
                <w:sz w:val="24"/>
              </w:rPr>
            </w:pPr>
            <w:r>
              <w:rPr>
                <w:rFonts w:hint="eastAsia" w:ascii="Times New Roman" w:hAnsi="Times New Roman" w:eastAsia="宋体" w:cs="Times New Roman"/>
                <w:sz w:val="24"/>
              </w:rPr>
              <w:t>3</w:t>
            </w:r>
          </w:p>
        </w:tc>
        <w:tc>
          <w:tcPr>
            <w:tcW w:w="851" w:type="dxa"/>
            <w:vAlign w:val="center"/>
          </w:tcPr>
          <w:p w14:paraId="5C5C24F2">
            <w:pPr>
              <w:jc w:val="center"/>
              <w:rPr>
                <w:rFonts w:ascii="Times New Roman" w:hAnsi="Times New Roman" w:eastAsia="宋体" w:cs="Times New Roman"/>
                <w:sz w:val="24"/>
              </w:rPr>
            </w:pPr>
            <w:r>
              <w:rPr>
                <w:rFonts w:hint="eastAsia" w:ascii="Times New Roman" w:hAnsi="Times New Roman" w:eastAsia="宋体" w:cs="Times New Roman"/>
                <w:sz w:val="24"/>
              </w:rPr>
              <w:t>设计性</w:t>
            </w:r>
          </w:p>
        </w:tc>
        <w:tc>
          <w:tcPr>
            <w:tcW w:w="908" w:type="dxa"/>
            <w:vAlign w:val="center"/>
          </w:tcPr>
          <w:p w14:paraId="56024C20">
            <w:pPr>
              <w:jc w:val="center"/>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-5</w:t>
            </w:r>
          </w:p>
          <w:p w14:paraId="312F5D43">
            <w:pPr>
              <w:jc w:val="center"/>
              <w:rPr>
                <w:rFonts w:ascii="Times New Roman" w:hAnsi="Times New Roman" w:eastAsia="宋体" w:cs="Times New Roman"/>
                <w:sz w:val="24"/>
              </w:rPr>
            </w:pPr>
            <w:r>
              <w:rPr>
                <w:rFonts w:hint="eastAsia" w:ascii="Times New Roman" w:hAnsi="Times New Roman" w:eastAsia="宋体" w:cs="Times New Roman"/>
                <w:sz w:val="24"/>
              </w:rPr>
              <w:t>三选一</w:t>
            </w:r>
          </w:p>
        </w:tc>
      </w:tr>
      <w:tr w14:paraId="41AD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521843BE">
            <w:pPr>
              <w:jc w:val="center"/>
              <w:rPr>
                <w:rFonts w:ascii="Times New Roman" w:hAnsi="Times New Roman" w:eastAsia="宋体" w:cs="Times New Roman"/>
                <w:sz w:val="24"/>
              </w:rPr>
            </w:pPr>
            <w:r>
              <w:rPr>
                <w:rFonts w:hint="eastAsia" w:ascii="Times New Roman" w:hAnsi="Times New Roman" w:eastAsia="宋体" w:cs="Times New Roman"/>
                <w:sz w:val="24"/>
              </w:rPr>
              <w:t>5</w:t>
            </w:r>
          </w:p>
        </w:tc>
        <w:tc>
          <w:tcPr>
            <w:tcW w:w="1610" w:type="dxa"/>
            <w:vAlign w:val="center"/>
          </w:tcPr>
          <w:p w14:paraId="07EBB628">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教育叙事论文撰写</w:t>
            </w:r>
          </w:p>
        </w:tc>
        <w:tc>
          <w:tcPr>
            <w:tcW w:w="3260" w:type="dxa"/>
            <w:vAlign w:val="center"/>
          </w:tcPr>
          <w:p w14:paraId="78B7CB35">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内容：结合教育实践，撰写1篇教育叙事论文。</w:t>
            </w:r>
          </w:p>
          <w:p w14:paraId="3DFBB6AD">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要求：选题合适，层次清晰，结构合理，语句通顺；符合学术规范；字数1500字以上。</w:t>
            </w:r>
          </w:p>
        </w:tc>
        <w:tc>
          <w:tcPr>
            <w:tcW w:w="1276" w:type="dxa"/>
            <w:vAlign w:val="center"/>
          </w:tcPr>
          <w:p w14:paraId="7C9BDF97">
            <w:pPr>
              <w:jc w:val="center"/>
              <w:rPr>
                <w:rFonts w:ascii="Times New Roman" w:hAnsi="Times New Roman" w:eastAsia="宋体" w:cs="Times New Roman"/>
                <w:sz w:val="24"/>
              </w:rPr>
            </w:pPr>
            <w:r>
              <w:rPr>
                <w:rFonts w:hint="eastAsia" w:ascii="Times New Roman" w:hAnsi="Times New Roman" w:eastAsia="宋体" w:cs="Times New Roman"/>
                <w:sz w:val="24"/>
              </w:rPr>
              <w:t>1-1</w:t>
            </w:r>
          </w:p>
          <w:p w14:paraId="02DD8E68">
            <w:pPr>
              <w:jc w:val="center"/>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-2</w:t>
            </w:r>
          </w:p>
          <w:p w14:paraId="08ACEAA6">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4-4</w:t>
            </w:r>
          </w:p>
          <w:p w14:paraId="6CB2A4FE">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7</w:t>
            </w:r>
            <w:r>
              <w:rPr>
                <w:rFonts w:ascii="Times New Roman" w:hAnsi="Times New Roman" w:eastAsia="宋体" w:cs="Times New Roman"/>
                <w:sz w:val="24"/>
              </w:rPr>
              <w:t>-1</w:t>
            </w:r>
          </w:p>
          <w:p w14:paraId="1C708812">
            <w:pPr>
              <w:jc w:val="center"/>
              <w:rPr>
                <w:rFonts w:ascii="Times New Roman" w:hAnsi="Times New Roman" w:eastAsia="宋体" w:cs="Times New Roman"/>
                <w:sz w:val="24"/>
              </w:rPr>
            </w:pPr>
            <w:r>
              <w:rPr>
                <w:rFonts w:ascii="Times New Roman" w:hAnsi="Times New Roman" w:eastAsia="宋体" w:cs="Times New Roman"/>
                <w:sz w:val="24"/>
              </w:rPr>
              <w:t xml:space="preserve">7-3 </w:t>
            </w:r>
          </w:p>
        </w:tc>
        <w:tc>
          <w:tcPr>
            <w:tcW w:w="708" w:type="dxa"/>
            <w:vAlign w:val="center"/>
          </w:tcPr>
          <w:p w14:paraId="2420E326">
            <w:pPr>
              <w:jc w:val="center"/>
              <w:rPr>
                <w:rFonts w:ascii="Times New Roman" w:hAnsi="Times New Roman" w:eastAsia="宋体" w:cs="Times New Roman"/>
                <w:sz w:val="24"/>
              </w:rPr>
            </w:pPr>
            <w:r>
              <w:rPr>
                <w:rFonts w:hint="eastAsia" w:ascii="Times New Roman" w:hAnsi="Times New Roman" w:eastAsia="宋体" w:cs="Times New Roman"/>
                <w:sz w:val="24"/>
              </w:rPr>
              <w:t>3</w:t>
            </w:r>
          </w:p>
        </w:tc>
        <w:tc>
          <w:tcPr>
            <w:tcW w:w="851" w:type="dxa"/>
            <w:vAlign w:val="center"/>
          </w:tcPr>
          <w:p w14:paraId="1CB6DCA8">
            <w:pPr>
              <w:jc w:val="center"/>
              <w:rPr>
                <w:rFonts w:ascii="Times New Roman" w:hAnsi="Times New Roman" w:eastAsia="宋体" w:cs="Times New Roman"/>
                <w:sz w:val="24"/>
              </w:rPr>
            </w:pPr>
            <w:r>
              <w:rPr>
                <w:rFonts w:hint="eastAsia" w:ascii="Times New Roman" w:hAnsi="Times New Roman" w:eastAsia="宋体" w:cs="Times New Roman"/>
                <w:sz w:val="24"/>
              </w:rPr>
              <w:t>设计性</w:t>
            </w:r>
          </w:p>
        </w:tc>
        <w:tc>
          <w:tcPr>
            <w:tcW w:w="908" w:type="dxa"/>
            <w:vAlign w:val="center"/>
          </w:tcPr>
          <w:p w14:paraId="2E3BE72F">
            <w:pPr>
              <w:jc w:val="center"/>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-5</w:t>
            </w:r>
          </w:p>
          <w:p w14:paraId="4B20BADC">
            <w:pPr>
              <w:jc w:val="center"/>
              <w:rPr>
                <w:rFonts w:ascii="Times New Roman" w:hAnsi="Times New Roman" w:eastAsia="宋体" w:cs="Times New Roman"/>
                <w:sz w:val="24"/>
              </w:rPr>
            </w:pPr>
            <w:r>
              <w:rPr>
                <w:rFonts w:hint="eastAsia" w:ascii="Times New Roman" w:hAnsi="Times New Roman" w:eastAsia="宋体" w:cs="Times New Roman"/>
                <w:sz w:val="24"/>
              </w:rPr>
              <w:t>三选一</w:t>
            </w:r>
          </w:p>
        </w:tc>
      </w:tr>
      <w:tr w14:paraId="2392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32635253">
            <w:pPr>
              <w:jc w:val="center"/>
              <w:rPr>
                <w:rFonts w:ascii="Times New Roman" w:hAnsi="Times New Roman" w:eastAsia="宋体" w:cs="Times New Roman"/>
                <w:sz w:val="24"/>
              </w:rPr>
            </w:pPr>
            <w:r>
              <w:rPr>
                <w:rFonts w:hint="eastAsia" w:ascii="Times New Roman" w:hAnsi="Times New Roman" w:eastAsia="宋体" w:cs="Times New Roman"/>
                <w:sz w:val="24"/>
              </w:rPr>
              <w:t>6</w:t>
            </w:r>
          </w:p>
        </w:tc>
        <w:tc>
          <w:tcPr>
            <w:tcW w:w="1610" w:type="dxa"/>
            <w:vAlign w:val="center"/>
          </w:tcPr>
          <w:p w14:paraId="275A1232">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毕业论文提纲撰写</w:t>
            </w:r>
          </w:p>
        </w:tc>
        <w:tc>
          <w:tcPr>
            <w:tcW w:w="3260" w:type="dxa"/>
            <w:vAlign w:val="center"/>
          </w:tcPr>
          <w:p w14:paraId="4578CC0D">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内容：结合毕业论文选题，拟定毕业论文提纲。</w:t>
            </w:r>
          </w:p>
          <w:p w14:paraId="4638D7ED">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要求：选题合适，层次清晰，结构合理，列出三级提纲。</w:t>
            </w:r>
          </w:p>
        </w:tc>
        <w:tc>
          <w:tcPr>
            <w:tcW w:w="1276" w:type="dxa"/>
            <w:vAlign w:val="center"/>
          </w:tcPr>
          <w:p w14:paraId="0DC08AB3">
            <w:pPr>
              <w:jc w:val="center"/>
              <w:rPr>
                <w:rFonts w:ascii="Times New Roman" w:hAnsi="Times New Roman" w:eastAsia="宋体" w:cs="Times New Roman"/>
                <w:sz w:val="24"/>
              </w:rPr>
            </w:pPr>
            <w:r>
              <w:rPr>
                <w:rFonts w:hint="eastAsia" w:ascii="Times New Roman" w:hAnsi="Times New Roman" w:eastAsia="宋体" w:cs="Times New Roman"/>
                <w:sz w:val="24"/>
              </w:rPr>
              <w:t>1-1</w:t>
            </w:r>
          </w:p>
          <w:p w14:paraId="2E95A236">
            <w:pPr>
              <w:jc w:val="center"/>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-2</w:t>
            </w:r>
          </w:p>
          <w:p w14:paraId="3D7CB966">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4-4</w:t>
            </w:r>
          </w:p>
          <w:p w14:paraId="74E15857">
            <w:pPr>
              <w:ind w:firstLine="480" w:firstLineChars="200"/>
              <w:rPr>
                <w:rFonts w:ascii="Times New Roman" w:hAnsi="Times New Roman" w:eastAsia="宋体" w:cs="Times New Roman"/>
                <w:sz w:val="24"/>
              </w:rPr>
            </w:pPr>
            <w:r>
              <w:rPr>
                <w:rFonts w:hint="eastAsia" w:ascii="Times New Roman" w:hAnsi="Times New Roman" w:eastAsia="宋体" w:cs="Times New Roman"/>
                <w:sz w:val="24"/>
              </w:rPr>
              <w:t>7</w:t>
            </w:r>
            <w:r>
              <w:rPr>
                <w:rFonts w:ascii="Times New Roman" w:hAnsi="Times New Roman" w:eastAsia="宋体" w:cs="Times New Roman"/>
                <w:sz w:val="24"/>
              </w:rPr>
              <w:t>-1</w:t>
            </w:r>
          </w:p>
          <w:p w14:paraId="0406FD17">
            <w:pPr>
              <w:jc w:val="center"/>
              <w:rPr>
                <w:rFonts w:ascii="Times New Roman" w:hAnsi="Times New Roman" w:eastAsia="宋体" w:cs="Times New Roman"/>
                <w:sz w:val="24"/>
              </w:rPr>
            </w:pPr>
            <w:r>
              <w:rPr>
                <w:rFonts w:ascii="Times New Roman" w:hAnsi="Times New Roman" w:eastAsia="宋体" w:cs="Times New Roman"/>
                <w:sz w:val="24"/>
              </w:rPr>
              <w:t xml:space="preserve">7-3 </w:t>
            </w:r>
          </w:p>
        </w:tc>
        <w:tc>
          <w:tcPr>
            <w:tcW w:w="708" w:type="dxa"/>
            <w:vAlign w:val="center"/>
          </w:tcPr>
          <w:p w14:paraId="1B281C05">
            <w:pPr>
              <w:jc w:val="center"/>
              <w:rPr>
                <w:rFonts w:ascii="Times New Roman" w:hAnsi="Times New Roman" w:eastAsia="宋体" w:cs="Times New Roman"/>
                <w:sz w:val="24"/>
              </w:rPr>
            </w:pPr>
            <w:r>
              <w:rPr>
                <w:rFonts w:hint="eastAsia" w:ascii="Times New Roman" w:hAnsi="Times New Roman" w:eastAsia="宋体" w:cs="Times New Roman"/>
                <w:sz w:val="24"/>
              </w:rPr>
              <w:t>2</w:t>
            </w:r>
          </w:p>
        </w:tc>
        <w:tc>
          <w:tcPr>
            <w:tcW w:w="851" w:type="dxa"/>
            <w:vAlign w:val="center"/>
          </w:tcPr>
          <w:p w14:paraId="6CC7BC49">
            <w:pPr>
              <w:jc w:val="center"/>
              <w:rPr>
                <w:rFonts w:ascii="Times New Roman" w:hAnsi="Times New Roman" w:eastAsia="宋体" w:cs="Times New Roman"/>
                <w:sz w:val="24"/>
              </w:rPr>
            </w:pPr>
            <w:r>
              <w:rPr>
                <w:rFonts w:hint="eastAsia" w:ascii="Times New Roman" w:hAnsi="Times New Roman" w:eastAsia="宋体" w:cs="Times New Roman"/>
                <w:sz w:val="24"/>
              </w:rPr>
              <w:t>设计性</w:t>
            </w:r>
          </w:p>
        </w:tc>
        <w:tc>
          <w:tcPr>
            <w:tcW w:w="908" w:type="dxa"/>
            <w:vAlign w:val="center"/>
          </w:tcPr>
          <w:p w14:paraId="458F3FDE">
            <w:pPr>
              <w:jc w:val="center"/>
              <w:rPr>
                <w:rFonts w:ascii="Times New Roman" w:hAnsi="Times New Roman" w:eastAsia="宋体" w:cs="Times New Roman"/>
                <w:sz w:val="24"/>
              </w:rPr>
            </w:pPr>
            <w:r>
              <w:rPr>
                <w:rFonts w:hint="eastAsia" w:ascii="Times New Roman" w:hAnsi="Times New Roman" w:eastAsia="宋体" w:cs="Times New Roman"/>
                <w:sz w:val="24"/>
              </w:rPr>
              <w:t>必做</w:t>
            </w:r>
          </w:p>
        </w:tc>
      </w:tr>
    </w:tbl>
    <w:p w14:paraId="35B70E68">
      <w:pPr>
        <w:spacing w:line="360" w:lineRule="auto"/>
        <w:jc w:val="left"/>
        <w:rPr>
          <w:rFonts w:hint="eastAsia" w:ascii="宋体" w:hAnsi="宋体" w:eastAsia="宋体" w:cs="Times New Roman"/>
          <w:b/>
          <w:color w:val="000000"/>
          <w:sz w:val="28"/>
          <w:szCs w:val="28"/>
        </w:rPr>
      </w:pPr>
    </w:p>
    <w:p w14:paraId="4AB0859F">
      <w:pPr>
        <w:spacing w:line="360" w:lineRule="auto"/>
        <w:jc w:val="left"/>
        <w:rPr>
          <w:rFonts w:ascii="Times New Roman" w:hAnsi="Times New Roman" w:eastAsia="宋体" w:cs="Times New Roman"/>
          <w:b/>
          <w:bCs/>
          <w:sz w:val="32"/>
          <w:szCs w:val="32"/>
        </w:rPr>
      </w:pPr>
      <w:r>
        <w:rPr>
          <w:rFonts w:hint="eastAsia" w:ascii="宋体" w:hAnsi="宋体" w:eastAsia="宋体" w:cs="Times New Roman"/>
          <w:b/>
          <w:sz w:val="28"/>
          <w:szCs w:val="28"/>
        </w:rPr>
        <w:t>六、有关说明</w:t>
      </w:r>
    </w:p>
    <w:p w14:paraId="7102F66E">
      <w:pPr>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（一）持续改进</w:t>
      </w:r>
    </w:p>
    <w:p w14:paraId="19B4D9B7">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w:t>
      </w:r>
      <w:r>
        <w:rPr>
          <w:rFonts w:hint="eastAsia" w:ascii="Times New Roman" w:hAnsi="Times New Roman" w:eastAsia="宋体" w:cs="Times New Roman"/>
          <w:sz w:val="24"/>
        </w:rPr>
        <w:t xml:space="preserve"> 主讲教师利用指导学生教育见习、实习的机会，认真听取优秀毕业生对本课程教学改革的建议；根据基础教育改革与研究的需要，及时优化、调整教学内容。</w:t>
      </w:r>
    </w:p>
    <w:p w14:paraId="4A110FC8">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w:t>
      </w:r>
      <w:r>
        <w:rPr>
          <w:rFonts w:hint="eastAsia" w:ascii="Times New Roman" w:hAnsi="Times New Roman" w:eastAsia="宋体" w:cs="Times New Roman"/>
          <w:sz w:val="24"/>
        </w:rPr>
        <w:t xml:space="preserve"> 开课过程中，通过课程群随时了解学生的学习反馈；开课过程中以及课程结束后一周内分别召开一次学生座谈会；同时，依据每学期学生评教结果，及时了解教学中存在的问题，持续改进教学方式方法。</w:t>
      </w:r>
    </w:p>
    <w:p w14:paraId="0B973E61">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 xml:space="preserve">. </w:t>
      </w:r>
      <w:r>
        <w:rPr>
          <w:rFonts w:hint="eastAsia" w:ascii="Times New Roman" w:hAnsi="Times New Roman" w:eastAsia="宋体" w:cs="Times New Roman"/>
          <w:sz w:val="24"/>
        </w:rPr>
        <w:t>根据学生作业完成情况，及时发现课程评价中存在的问题，不断优化课程评价方式。</w:t>
      </w:r>
    </w:p>
    <w:p w14:paraId="4440D718">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 xml:space="preserve">4. </w:t>
      </w:r>
      <w:r>
        <w:rPr>
          <w:rFonts w:hint="eastAsia" w:ascii="Times New Roman" w:hAnsi="Times New Roman" w:eastAsia="宋体" w:cs="Times New Roman"/>
          <w:sz w:val="24"/>
        </w:rPr>
        <w:t>虚心听取领导、督导、教师听课评价意见和建议，努力提高教学质量。</w:t>
      </w:r>
    </w:p>
    <w:p w14:paraId="068894FB">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5.</w:t>
      </w:r>
      <w:r>
        <w:rPr>
          <w:rFonts w:hint="eastAsia" w:ascii="Times New Roman" w:hAnsi="Times New Roman" w:eastAsia="宋体" w:cs="Times New Roman"/>
          <w:sz w:val="24"/>
        </w:rPr>
        <w:t xml:space="preserve"> 每一轮开课结束后，课程组召开研讨会，探讨课程教学中的盲点、难点和痛点问题，找准课程改革的切入点和教学质量的增长点，确保课程目标对毕业要求形成有力支撑。</w:t>
      </w:r>
    </w:p>
    <w:p w14:paraId="40C80BD1">
      <w:pPr>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w:t>
      </w:r>
      <w:r>
        <w:rPr>
          <w:rFonts w:ascii="Times New Roman" w:hAnsi="Times New Roman" w:eastAsia="宋体" w:cs="Times New Roman"/>
          <w:b/>
          <w:bCs/>
          <w:sz w:val="24"/>
        </w:rPr>
        <w:t>参考书目及学习资料</w:t>
      </w:r>
    </w:p>
    <w:p w14:paraId="557A3853">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1．</w:t>
      </w:r>
      <w:r>
        <w:rPr>
          <w:rFonts w:ascii="Times New Roman" w:hAnsi="Times New Roman" w:eastAsia="宋体" w:cs="Times New Roman"/>
          <w:kern w:val="0"/>
          <w:sz w:val="24"/>
        </w:rPr>
        <w:t>兰国帅</w:t>
      </w:r>
      <w:r>
        <w:rPr>
          <w:rFonts w:hint="eastAsia" w:ascii="Times New Roman" w:hAnsi="Times New Roman" w:eastAsia="宋体" w:cs="Times New Roman"/>
          <w:kern w:val="0"/>
          <w:sz w:val="24"/>
        </w:rPr>
        <w:t>：教育学学术论文写作，</w:t>
      </w:r>
      <w:r>
        <w:rPr>
          <w:rFonts w:ascii="Times New Roman" w:hAnsi="Times New Roman" w:eastAsia="宋体" w:cs="Times New Roman"/>
          <w:kern w:val="0"/>
          <w:sz w:val="24"/>
        </w:rPr>
        <w:t>科学出版社</w:t>
      </w:r>
      <w:r>
        <w:rPr>
          <w:rFonts w:hint="eastAsia" w:ascii="Times New Roman" w:hAnsi="Times New Roman" w:eastAsia="宋体" w:cs="Times New Roman"/>
          <w:kern w:val="0"/>
          <w:sz w:val="24"/>
        </w:rPr>
        <w:t>，</w:t>
      </w:r>
      <w:r>
        <w:rPr>
          <w:rFonts w:ascii="Times New Roman" w:hAnsi="Times New Roman" w:eastAsia="宋体" w:cs="Times New Roman"/>
          <w:kern w:val="0"/>
          <w:sz w:val="24"/>
        </w:rPr>
        <w:t>2024年</w:t>
      </w:r>
      <w:r>
        <w:rPr>
          <w:rFonts w:hint="eastAsia" w:ascii="Times New Roman" w:hAnsi="Times New Roman" w:eastAsia="宋体" w:cs="Times New Roman"/>
          <w:kern w:val="0"/>
          <w:sz w:val="24"/>
        </w:rPr>
        <w:t>版。</w:t>
      </w:r>
    </w:p>
    <w:p w14:paraId="4CCFBB77">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2</w:t>
      </w:r>
      <w:r>
        <w:rPr>
          <w:rFonts w:ascii="Times New Roman" w:hAnsi="Times New Roman" w:eastAsia="宋体" w:cs="Times New Roman"/>
          <w:kern w:val="0"/>
          <w:sz w:val="24"/>
        </w:rPr>
        <w:t>. 徐有富</w:t>
      </w:r>
      <w:r>
        <w:rPr>
          <w:rFonts w:hint="eastAsia" w:ascii="Times New Roman" w:hAnsi="Times New Roman" w:eastAsia="宋体" w:cs="Times New Roman"/>
          <w:kern w:val="0"/>
          <w:sz w:val="24"/>
        </w:rPr>
        <w:t>：学术论文写作1</w:t>
      </w:r>
      <w:r>
        <w:rPr>
          <w:rFonts w:ascii="Times New Roman" w:hAnsi="Times New Roman" w:eastAsia="宋体" w:cs="Times New Roman"/>
          <w:kern w:val="0"/>
          <w:sz w:val="24"/>
        </w:rPr>
        <w:t>0</w:t>
      </w:r>
      <w:r>
        <w:rPr>
          <w:rFonts w:hint="eastAsia" w:ascii="Times New Roman" w:hAnsi="Times New Roman" w:eastAsia="宋体" w:cs="Times New Roman"/>
          <w:kern w:val="0"/>
          <w:sz w:val="24"/>
        </w:rPr>
        <w:t>讲，</w:t>
      </w:r>
      <w:r>
        <w:rPr>
          <w:rFonts w:ascii="Times New Roman" w:hAnsi="Times New Roman" w:eastAsia="宋体" w:cs="Times New Roman"/>
          <w:kern w:val="0"/>
          <w:sz w:val="24"/>
        </w:rPr>
        <w:t>北京大学出版社</w:t>
      </w:r>
      <w:r>
        <w:rPr>
          <w:rFonts w:hint="eastAsia" w:ascii="Times New Roman" w:hAnsi="Times New Roman" w:eastAsia="宋体" w:cs="Times New Roman"/>
          <w:kern w:val="0"/>
          <w:sz w:val="24"/>
        </w:rPr>
        <w:t>，</w:t>
      </w:r>
      <w:r>
        <w:rPr>
          <w:rFonts w:ascii="Times New Roman" w:hAnsi="Times New Roman" w:eastAsia="宋体" w:cs="Times New Roman"/>
          <w:kern w:val="0"/>
          <w:sz w:val="24"/>
        </w:rPr>
        <w:t>2019年</w:t>
      </w:r>
      <w:r>
        <w:rPr>
          <w:rFonts w:hint="eastAsia" w:ascii="Times New Roman" w:hAnsi="Times New Roman" w:eastAsia="宋体" w:cs="Times New Roman"/>
          <w:kern w:val="0"/>
          <w:sz w:val="24"/>
        </w:rPr>
        <w:t>版。</w:t>
      </w:r>
    </w:p>
    <w:p w14:paraId="5857B2F9">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3. </w:t>
      </w:r>
      <w:r>
        <w:rPr>
          <w:rFonts w:hint="eastAsia" w:ascii="Times New Roman" w:hAnsi="Times New Roman" w:eastAsia="宋体" w:cs="Times New Roman"/>
          <w:kern w:val="0"/>
          <w:sz w:val="24"/>
        </w:rPr>
        <w:t>李德方：怎样写文章——学术论文写作项目化教程，苏州大学出版社，2</w:t>
      </w:r>
      <w:r>
        <w:rPr>
          <w:rFonts w:ascii="Times New Roman" w:hAnsi="Times New Roman" w:eastAsia="宋体" w:cs="Times New Roman"/>
          <w:kern w:val="0"/>
          <w:sz w:val="24"/>
        </w:rPr>
        <w:t>020</w:t>
      </w:r>
      <w:r>
        <w:rPr>
          <w:rFonts w:hint="eastAsia" w:ascii="Times New Roman" w:hAnsi="Times New Roman" w:eastAsia="宋体" w:cs="Times New Roman"/>
          <w:kern w:val="0"/>
          <w:sz w:val="24"/>
        </w:rPr>
        <w:t>年版。</w:t>
      </w:r>
    </w:p>
    <w:p w14:paraId="3779E621">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4. 吴杨</w:t>
      </w:r>
      <w:r>
        <w:rPr>
          <w:rFonts w:hint="eastAsia" w:ascii="Times New Roman" w:hAnsi="Times New Roman" w:eastAsia="宋体" w:cs="Times New Roman"/>
          <w:kern w:val="0"/>
          <w:sz w:val="24"/>
        </w:rPr>
        <w:t>：社科类学术论文写作指南，</w:t>
      </w:r>
      <w:r>
        <w:rPr>
          <w:rFonts w:ascii="Times New Roman" w:hAnsi="Times New Roman" w:eastAsia="宋体" w:cs="Times New Roman"/>
          <w:kern w:val="0"/>
          <w:sz w:val="24"/>
        </w:rPr>
        <w:t>人民出版社</w:t>
      </w:r>
      <w:r>
        <w:rPr>
          <w:rFonts w:hint="eastAsia" w:ascii="Times New Roman" w:hAnsi="Times New Roman" w:eastAsia="宋体" w:cs="Times New Roman"/>
          <w:kern w:val="0"/>
          <w:sz w:val="24"/>
        </w:rPr>
        <w:t>，</w:t>
      </w:r>
      <w:r>
        <w:rPr>
          <w:rFonts w:ascii="Times New Roman" w:hAnsi="Times New Roman" w:eastAsia="宋体" w:cs="Times New Roman"/>
          <w:kern w:val="0"/>
          <w:sz w:val="24"/>
        </w:rPr>
        <w:t>2021年</w:t>
      </w:r>
      <w:r>
        <w:rPr>
          <w:rFonts w:hint="eastAsia" w:ascii="Times New Roman" w:hAnsi="Times New Roman" w:eastAsia="宋体" w:cs="Times New Roman"/>
          <w:kern w:val="0"/>
          <w:sz w:val="24"/>
        </w:rPr>
        <w:t>版。</w:t>
      </w:r>
    </w:p>
    <w:p w14:paraId="5A7E5A80">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5. </w:t>
      </w:r>
      <w:r>
        <w:rPr>
          <w:rFonts w:hint="eastAsia" w:ascii="Times New Roman" w:hAnsi="Times New Roman" w:eastAsia="宋体" w:cs="Times New Roman"/>
          <w:kern w:val="0"/>
          <w:sz w:val="24"/>
        </w:rPr>
        <w:t>王雨磊等：学术论文写作与发表指引，中国人民大学出版社，2017年版。</w:t>
      </w:r>
    </w:p>
    <w:p w14:paraId="3C62CA86">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6</w:t>
      </w:r>
      <w:r>
        <w:rPr>
          <w:rFonts w:hint="eastAsia" w:ascii="Times New Roman" w:hAnsi="Times New Roman" w:eastAsia="宋体" w:cs="Times New Roman"/>
          <w:kern w:val="0"/>
          <w:sz w:val="24"/>
        </w:rPr>
        <w:t>. 周新年：科学研究方法与学术论文写作（第二版），科学出版社，2019年版。</w:t>
      </w:r>
    </w:p>
    <w:p w14:paraId="35005158">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7</w:t>
      </w:r>
      <w:r>
        <w:rPr>
          <w:rFonts w:hint="eastAsia" w:ascii="Times New Roman" w:hAnsi="Times New Roman" w:eastAsia="宋体" w:cs="Times New Roman"/>
          <w:kern w:val="0"/>
          <w:sz w:val="24"/>
        </w:rPr>
        <w:t>.</w:t>
      </w:r>
      <w:r>
        <w:rPr>
          <w:rFonts w:ascii="Times New Roman" w:hAnsi="Times New Roman" w:eastAsia="宋体" w:cs="Times New Roman"/>
          <w:kern w:val="0"/>
          <w:sz w:val="24"/>
        </w:rPr>
        <w:t xml:space="preserve"> </w:t>
      </w:r>
      <w:r>
        <w:rPr>
          <w:rFonts w:hint="eastAsia" w:ascii="Times New Roman" w:hAnsi="Times New Roman" w:eastAsia="宋体" w:cs="Times New Roman"/>
          <w:kern w:val="0"/>
          <w:sz w:val="24"/>
        </w:rPr>
        <w:t>王细荣等：文献信息检索与论文写作（第六版），上海交通大学出版社，2017年版。</w:t>
      </w:r>
    </w:p>
    <w:p w14:paraId="683D6E90">
      <w:pPr>
        <w:autoSpaceDE w:val="0"/>
        <w:autoSpaceDN w:val="0"/>
        <w:adjustRightInd w:val="0"/>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8</w:t>
      </w:r>
      <w:r>
        <w:rPr>
          <w:rFonts w:hint="eastAsia" w:ascii="Times New Roman" w:hAnsi="Times New Roman" w:eastAsia="宋体" w:cs="Times New Roman"/>
          <w:kern w:val="0"/>
          <w:sz w:val="24"/>
        </w:rPr>
        <w:t>.</w:t>
      </w:r>
      <w:r>
        <w:rPr>
          <w:rFonts w:ascii="Times New Roman" w:hAnsi="Times New Roman" w:eastAsia="宋体" w:cs="Times New Roman"/>
          <w:kern w:val="0"/>
          <w:sz w:val="24"/>
        </w:rPr>
        <w:t xml:space="preserve"> </w:t>
      </w:r>
      <w:r>
        <w:rPr>
          <w:rFonts w:hint="eastAsia" w:ascii="Times New Roman" w:hAnsi="Times New Roman" w:eastAsia="宋体" w:cs="Times New Roman"/>
          <w:kern w:val="0"/>
          <w:sz w:val="24"/>
        </w:rPr>
        <w:t>李兴仁、王荣党：毕业论文写作指导，科学出版社，2018年版。</w:t>
      </w:r>
    </w:p>
    <w:p w14:paraId="17C7831A">
      <w:pPr>
        <w:autoSpaceDE w:val="0"/>
        <w:autoSpaceDN w:val="0"/>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 xml:space="preserve">                                                     </w:t>
      </w:r>
    </w:p>
    <w:p w14:paraId="5BFD286D">
      <w:pPr>
        <w:spacing w:line="360" w:lineRule="auto"/>
        <w:ind w:right="1200"/>
        <w:jc w:val="right"/>
        <w:rPr>
          <w:rFonts w:ascii="Times New Roman" w:hAnsi="Times New Roman" w:eastAsia="宋体" w:cs="Times New Roman"/>
          <w:sz w:val="24"/>
        </w:rPr>
      </w:pPr>
      <w:r>
        <w:rPr>
          <w:rFonts w:hint="eastAsia" w:ascii="Times New Roman" w:hAnsi="Times New Roman" w:eastAsia="宋体" w:cs="Times New Roman"/>
          <w:sz w:val="24"/>
        </w:rPr>
        <w:t>执 笔 人：</w:t>
      </w:r>
      <w:r>
        <w:rPr>
          <w:rFonts w:ascii="Times New Roman" w:hAnsi="Times New Roman" w:eastAsia="宋体" w:cs="Times New Roman"/>
          <w:sz w:val="24"/>
        </w:rPr>
        <w:t xml:space="preserve"> </w:t>
      </w:r>
      <w:r>
        <w:rPr>
          <w:rFonts w:hint="eastAsia" w:ascii="Times New Roman" w:hAnsi="Times New Roman" w:eastAsia="宋体" w:cs="Times New Roman"/>
          <w:sz w:val="24"/>
        </w:rPr>
        <w:t>潘金林</w:t>
      </w:r>
    </w:p>
    <w:p w14:paraId="1A04CF57">
      <w:pPr>
        <w:wordWrap w:val="0"/>
        <w:spacing w:line="360" w:lineRule="auto"/>
        <w:ind w:right="1200"/>
        <w:jc w:val="right"/>
        <w:rPr>
          <w:rFonts w:ascii="Times New Roman" w:hAnsi="Times New Roman" w:eastAsia="宋体" w:cs="Times New Roman"/>
          <w:sz w:val="24"/>
        </w:rPr>
      </w:pPr>
      <w:r>
        <w:rPr>
          <w:rFonts w:hint="eastAsia" w:ascii="Times New Roman" w:hAnsi="Times New Roman" w:eastAsia="宋体" w:cs="Times New Roman"/>
          <w:sz w:val="24"/>
        </w:rPr>
        <w:t>审 定 人：</w:t>
      </w:r>
      <w:r>
        <w:rPr>
          <w:rFonts w:ascii="Times New Roman" w:hAnsi="Times New Roman" w:eastAsia="宋体" w:cs="Times New Roman"/>
          <w:sz w:val="24"/>
        </w:rPr>
        <w:t xml:space="preserve"> </w:t>
      </w:r>
      <w:r>
        <w:rPr>
          <w:rFonts w:hint="eastAsia" w:ascii="Times New Roman" w:hAnsi="Times New Roman" w:eastAsia="宋体" w:cs="Times New Roman"/>
          <w:sz w:val="24"/>
        </w:rPr>
        <w:t xml:space="preserve">王 </w:t>
      </w:r>
      <w:r>
        <w:rPr>
          <w:rFonts w:ascii="Times New Roman" w:hAnsi="Times New Roman" w:eastAsia="宋体" w:cs="Times New Roman"/>
          <w:sz w:val="24"/>
        </w:rPr>
        <w:t xml:space="preserve"> </w:t>
      </w:r>
      <w:r>
        <w:rPr>
          <w:rFonts w:hint="eastAsia" w:ascii="Times New Roman" w:hAnsi="Times New Roman" w:eastAsia="宋体" w:cs="Times New Roman"/>
          <w:sz w:val="24"/>
        </w:rPr>
        <w:t>健</w:t>
      </w:r>
    </w:p>
    <w:p w14:paraId="45930C1B">
      <w:pPr>
        <w:spacing w:line="360" w:lineRule="auto"/>
        <w:ind w:right="1200"/>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354436EF">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14FC4179">
      <w:pPr>
        <w:autoSpaceDE w:val="0"/>
        <w:autoSpaceDN w:val="0"/>
        <w:adjustRightInd w:val="0"/>
        <w:spacing w:line="360" w:lineRule="auto"/>
        <w:jc w:val="right"/>
        <w:rPr>
          <w:rFonts w:ascii="Times New Roman" w:hAnsi="Times New Roman" w:eastAsia="宋体" w:cs="Times New Roman"/>
          <w:kern w:val="0"/>
          <w:sz w:val="24"/>
          <w:szCs w:val="21"/>
        </w:rPr>
      </w:pPr>
    </w:p>
    <w:p w14:paraId="2C687FD9">
      <w:pPr>
        <w:rPr>
          <w:rFonts w:ascii="Times New Roman" w:hAnsi="Times New Roman" w:eastAsia="宋体" w:cs="Times New Roman"/>
          <w:sz w:val="24"/>
        </w:rPr>
      </w:pPr>
      <w:r>
        <w:rPr>
          <w:rFonts w:hint="eastAsia" w:ascii="Times New Roman" w:hAnsi="Times New Roman" w:eastAsia="宋体" w:cs="Times New Roman"/>
          <w:sz w:val="24"/>
        </w:rPr>
        <w:br w:type="page"/>
      </w:r>
    </w:p>
    <w:p w14:paraId="3FFD66D9">
      <w:pPr>
        <w:pStyle w:val="2"/>
        <w:tabs>
          <w:tab w:val="left" w:pos="720"/>
          <w:tab w:val="left" w:pos="2700"/>
        </w:tabs>
      </w:pPr>
      <w:bookmarkStart w:id="185" w:name="_Toc31534"/>
      <w:bookmarkStart w:id="186" w:name="_Toc12022"/>
      <w:bookmarkStart w:id="187" w:name="_Toc8906"/>
      <w:r>
        <w:rPr>
          <w:rFonts w:hint="eastAsia"/>
        </w:rPr>
        <w:t>《</w:t>
      </w:r>
      <w:r>
        <w:t>数学分析I</w:t>
      </w:r>
      <w:r>
        <w:rPr>
          <w:rFonts w:hint="eastAsia"/>
        </w:rPr>
        <w:t>》</w:t>
      </w:r>
      <w:r>
        <w:t>课程教学大纲</w:t>
      </w:r>
      <w:bookmarkEnd w:id="185"/>
      <w:bookmarkEnd w:id="186"/>
    </w:p>
    <w:p w14:paraId="775F6374">
      <w:pPr>
        <w:spacing w:line="312" w:lineRule="auto"/>
        <w:jc w:val="center"/>
        <w:rPr>
          <w:rFonts w:ascii="Times New Roman" w:hAnsi="Times New Roman" w:eastAsia="宋体" w:cs="Times New Roman"/>
          <w:b/>
          <w:bCs/>
          <w:sz w:val="30"/>
        </w:rPr>
      </w:pPr>
      <w:r>
        <w:rPr>
          <w:rFonts w:ascii="Times New Roman" w:hAnsi="Times New Roman" w:eastAsia="宋体" w:cs="Times New Roman"/>
          <w:b/>
          <w:bCs/>
          <w:sz w:val="30"/>
        </w:rPr>
        <w:t xml:space="preserve">（Mathematical Analysis </w:t>
      </w:r>
      <w:r>
        <w:rPr>
          <w:rFonts w:ascii="Times New Roman" w:hAnsi="Times New Roman" w:eastAsia="宋体" w:cs="Times New Roman"/>
          <w:b/>
          <w:bCs/>
          <w:sz w:val="30"/>
        </w:rPr>
        <w:fldChar w:fldCharType="begin"/>
      </w:r>
      <w:r>
        <w:rPr>
          <w:rFonts w:ascii="Times New Roman" w:hAnsi="Times New Roman" w:eastAsia="宋体" w:cs="Times New Roman"/>
          <w:b/>
          <w:bCs/>
          <w:sz w:val="30"/>
        </w:rPr>
        <w:instrText xml:space="preserve"> = 1 \* ROMAN \* MERGEFORMAT </w:instrText>
      </w:r>
      <w:r>
        <w:rPr>
          <w:rFonts w:ascii="Times New Roman" w:hAnsi="Times New Roman" w:eastAsia="宋体" w:cs="Times New Roman"/>
          <w:b/>
          <w:bCs/>
          <w:sz w:val="30"/>
        </w:rPr>
        <w:fldChar w:fldCharType="separate"/>
      </w:r>
      <w:r>
        <w:rPr>
          <w:rFonts w:ascii="Times New Roman" w:hAnsi="Times New Roman" w:eastAsia="宋体" w:cs="Times New Roman"/>
          <w:b/>
          <w:bCs/>
          <w:sz w:val="30"/>
        </w:rPr>
        <w:t>I</w:t>
      </w:r>
      <w:r>
        <w:rPr>
          <w:rFonts w:ascii="Times New Roman" w:hAnsi="Times New Roman" w:eastAsia="宋体" w:cs="Times New Roman"/>
          <w:b/>
          <w:bCs/>
          <w:sz w:val="30"/>
        </w:rPr>
        <w:fldChar w:fldCharType="end"/>
      </w:r>
      <w:r>
        <w:rPr>
          <w:rFonts w:ascii="Times New Roman" w:hAnsi="Times New Roman" w:eastAsia="宋体" w:cs="Times New Roman"/>
          <w:b/>
          <w:bCs/>
          <w:sz w:val="30"/>
        </w:rPr>
        <w:t>）</w:t>
      </w:r>
    </w:p>
    <w:p w14:paraId="21774411">
      <w:pPr>
        <w:spacing w:line="348" w:lineRule="auto"/>
        <w:ind w:firstLine="482" w:firstLineChars="200"/>
        <w:rPr>
          <w:rFonts w:ascii="Calibri" w:hAnsi="Calibri" w:eastAsia="宋体" w:cs="Times New Roman"/>
          <w:b/>
          <w:sz w:val="24"/>
        </w:rPr>
      </w:pPr>
      <w:bookmarkStart w:id="188" w:name="_Toc19729755"/>
      <w:r>
        <w:rPr>
          <w:rFonts w:ascii="Calibri" w:hAnsi="Calibri" w:eastAsia="宋体" w:cs="Times New Roman"/>
          <w:b/>
          <w:sz w:val="24"/>
        </w:rPr>
        <w:t>一、课程概况</w:t>
      </w:r>
      <w:bookmarkEnd w:id="188"/>
    </w:p>
    <w:p w14:paraId="777AFB71">
      <w:pPr>
        <w:spacing w:line="348"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课程代码</w:t>
      </w:r>
      <w:r>
        <w:rPr>
          <w:rFonts w:ascii="Times New Roman" w:hAnsi="Times New Roman" w:eastAsia="宋体" w:cs="Times New Roman"/>
          <w:b/>
          <w:kern w:val="0"/>
          <w:sz w:val="24"/>
        </w:rPr>
        <w:t>：</w:t>
      </w:r>
      <w:r>
        <w:rPr>
          <w:rFonts w:ascii="Times New Roman" w:hAnsi="Times New Roman" w:eastAsia="仿宋_GB2312" w:cs="Times New Roman"/>
          <w:sz w:val="24"/>
        </w:rPr>
        <w:t>0821008</w:t>
      </w:r>
    </w:p>
    <w:p w14:paraId="440D11E4">
      <w:pPr>
        <w:spacing w:line="348" w:lineRule="auto"/>
        <w:ind w:firstLine="482" w:firstLineChars="200"/>
        <w:rPr>
          <w:rFonts w:ascii="Times New Roman" w:hAnsi="Times New Roman" w:eastAsia="宋体" w:cs="Times New Roman"/>
          <w:b/>
          <w:kern w:val="0"/>
          <w:sz w:val="24"/>
        </w:rPr>
      </w:pPr>
      <w:r>
        <w:rPr>
          <w:rFonts w:ascii="Times New Roman" w:hAnsi="Times New Roman" w:eastAsia="宋体" w:cs="Times New Roman"/>
          <w:b/>
          <w:bCs/>
          <w:kern w:val="0"/>
          <w:sz w:val="24"/>
        </w:rPr>
        <w:t>学    分</w:t>
      </w:r>
      <w:r>
        <w:rPr>
          <w:rFonts w:ascii="Times New Roman" w:hAnsi="Times New Roman" w:eastAsia="宋体" w:cs="Times New Roman"/>
          <w:b/>
          <w:kern w:val="0"/>
          <w:sz w:val="24"/>
        </w:rPr>
        <w:t>：</w:t>
      </w:r>
      <w:r>
        <w:rPr>
          <w:rFonts w:ascii="Times New Roman" w:hAnsi="Times New Roman" w:eastAsia="仿宋_GB2312" w:cs="Times New Roman"/>
          <w:sz w:val="24"/>
        </w:rPr>
        <w:t>3</w:t>
      </w:r>
    </w:p>
    <w:p w14:paraId="44742AC6">
      <w:pPr>
        <w:spacing w:line="348"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学    时</w:t>
      </w:r>
      <w:r>
        <w:rPr>
          <w:rFonts w:ascii="Times New Roman" w:hAnsi="Times New Roman" w:eastAsia="宋体" w:cs="Times New Roman"/>
          <w:b/>
          <w:kern w:val="0"/>
          <w:sz w:val="24"/>
        </w:rPr>
        <w:t>：</w:t>
      </w:r>
      <w:r>
        <w:rPr>
          <w:rFonts w:ascii="Times New Roman" w:hAnsi="Times New Roman" w:eastAsia="仿宋_GB2312" w:cs="Times New Roman"/>
          <w:sz w:val="24"/>
        </w:rPr>
        <w:t>48</w:t>
      </w:r>
      <w:r>
        <w:rPr>
          <w:rFonts w:ascii="Times New Roman" w:hAnsi="Times New Roman" w:eastAsia="宋体" w:cs="Times New Roman"/>
          <w:kern w:val="0"/>
          <w:sz w:val="24"/>
        </w:rPr>
        <w:t xml:space="preserve"> （其中：讲授学时</w:t>
      </w:r>
      <w:r>
        <w:rPr>
          <w:rFonts w:ascii="Times New Roman" w:hAnsi="Times New Roman" w:eastAsia="仿宋_GB2312" w:cs="Times New Roman"/>
          <w:sz w:val="24"/>
        </w:rPr>
        <w:t>48</w:t>
      </w:r>
      <w:r>
        <w:rPr>
          <w:rFonts w:ascii="Times New Roman" w:hAnsi="Times New Roman" w:eastAsia="宋体" w:cs="Times New Roman"/>
          <w:kern w:val="0"/>
          <w:sz w:val="24"/>
        </w:rPr>
        <w:t>， 实践学时0）</w:t>
      </w:r>
    </w:p>
    <w:p w14:paraId="3799CAB1">
      <w:pPr>
        <w:spacing w:line="348" w:lineRule="auto"/>
        <w:ind w:firstLine="482" w:firstLineChars="200"/>
        <w:jc w:val="left"/>
        <w:rPr>
          <w:rFonts w:ascii="Times New Roman" w:hAnsi="Times New Roman" w:eastAsia="宋体" w:cs="Times New Roman"/>
          <w:sz w:val="24"/>
        </w:rPr>
      </w:pPr>
      <w:r>
        <w:rPr>
          <w:rFonts w:ascii="Times New Roman" w:hAnsi="Times New Roman" w:eastAsia="宋体" w:cs="Times New Roman"/>
          <w:b/>
          <w:bCs/>
          <w:kern w:val="0"/>
          <w:sz w:val="24"/>
        </w:rPr>
        <w:t>先修课程</w:t>
      </w:r>
      <w:r>
        <w:rPr>
          <w:rFonts w:ascii="Times New Roman" w:hAnsi="Times New Roman" w:eastAsia="宋体" w:cs="Times New Roman"/>
          <w:b/>
          <w:kern w:val="0"/>
          <w:sz w:val="24"/>
        </w:rPr>
        <w:t>：</w:t>
      </w:r>
      <w:r>
        <w:rPr>
          <w:rFonts w:ascii="Times New Roman" w:hAnsi="Times New Roman" w:eastAsia="宋体" w:cs="Times New Roman"/>
          <w:sz w:val="24"/>
        </w:rPr>
        <w:t>初等数学</w:t>
      </w:r>
    </w:p>
    <w:p w14:paraId="2201BD32">
      <w:pPr>
        <w:spacing w:line="348"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适用专业</w:t>
      </w:r>
      <w:r>
        <w:rPr>
          <w:rFonts w:ascii="Times New Roman" w:hAnsi="Times New Roman" w:eastAsia="宋体" w:cs="Times New Roman"/>
          <w:b/>
          <w:kern w:val="0"/>
          <w:sz w:val="24"/>
        </w:rPr>
        <w:t>：</w:t>
      </w:r>
      <w:r>
        <w:rPr>
          <w:rFonts w:ascii="Times New Roman" w:hAnsi="Times New Roman" w:eastAsia="宋体" w:cs="Times New Roman"/>
          <w:sz w:val="24"/>
        </w:rPr>
        <w:t xml:space="preserve">小学教育（理） </w:t>
      </w:r>
      <w:r>
        <w:rPr>
          <w:rFonts w:ascii="Times New Roman" w:hAnsi="Times New Roman" w:eastAsia="宋体" w:cs="Times New Roman"/>
          <w:kern w:val="0"/>
          <w:sz w:val="24"/>
        </w:rPr>
        <w:t xml:space="preserve">                         </w:t>
      </w:r>
    </w:p>
    <w:p w14:paraId="37C3F949">
      <w:pPr>
        <w:spacing w:line="348"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建议教材</w:t>
      </w:r>
      <w:r>
        <w:rPr>
          <w:rFonts w:ascii="Times New Roman" w:hAnsi="Times New Roman" w:eastAsia="宋体" w:cs="Times New Roman"/>
          <w:b/>
          <w:kern w:val="0"/>
          <w:sz w:val="24"/>
        </w:rPr>
        <w:t>：</w:t>
      </w:r>
      <w:r>
        <w:rPr>
          <w:rFonts w:ascii="Times New Roman" w:hAnsi="Times New Roman" w:eastAsia="宋体" w:cs="Times New Roman"/>
          <w:kern w:val="0"/>
          <w:sz w:val="24"/>
        </w:rPr>
        <w:t>《数学分析讲义》，刘玉琏，高等教育出版社，2008.</w:t>
      </w:r>
    </w:p>
    <w:p w14:paraId="743F425A">
      <w:pPr>
        <w:spacing w:line="348" w:lineRule="auto"/>
        <w:ind w:firstLine="482" w:firstLineChars="200"/>
        <w:rPr>
          <w:rFonts w:ascii="Times New Roman" w:hAnsi="Times New Roman" w:eastAsia="宋体" w:cs="Times New Roman"/>
          <w:sz w:val="24"/>
        </w:rPr>
      </w:pPr>
      <w:r>
        <w:rPr>
          <w:rFonts w:ascii="Times New Roman" w:hAnsi="Times New Roman" w:eastAsia="宋体" w:cs="Times New Roman"/>
          <w:b/>
          <w:bCs/>
          <w:kern w:val="0"/>
          <w:sz w:val="24"/>
        </w:rPr>
        <w:t>课程归口：</w:t>
      </w:r>
      <w:r>
        <w:rPr>
          <w:rFonts w:ascii="Times New Roman" w:hAnsi="Times New Roman" w:eastAsia="宋体" w:cs="Times New Roman"/>
          <w:sz w:val="24"/>
        </w:rPr>
        <w:t>理学院</w:t>
      </w:r>
    </w:p>
    <w:p w14:paraId="39E178EC">
      <w:pPr>
        <w:spacing w:line="348" w:lineRule="auto"/>
        <w:rPr>
          <w:rFonts w:ascii="Times New Roman" w:hAnsi="Times New Roman" w:eastAsia="宋体" w:cs="Times New Roman"/>
          <w:sz w:val="24"/>
        </w:rPr>
      </w:pPr>
    </w:p>
    <w:p w14:paraId="19E8C3E3">
      <w:pPr>
        <w:numPr>
          <w:ilvl w:val="0"/>
          <w:numId w:val="52"/>
        </w:numPr>
        <w:autoSpaceDE w:val="0"/>
        <w:autoSpaceDN w:val="0"/>
        <w:adjustRightInd w:val="0"/>
        <w:spacing w:line="348" w:lineRule="auto"/>
        <w:jc w:val="left"/>
        <w:rPr>
          <w:rFonts w:ascii="Calibri" w:hAnsi="Calibri" w:eastAsia="宋体" w:cs="Times New Roman"/>
          <w:b/>
          <w:bCs/>
          <w:kern w:val="0"/>
          <w:sz w:val="24"/>
        </w:rPr>
      </w:pPr>
      <w:r>
        <w:rPr>
          <w:rFonts w:ascii="Calibri" w:hAnsi="Calibri" w:eastAsia="宋体" w:cs="Times New Roman"/>
          <w:b/>
          <w:bCs/>
          <w:kern w:val="0"/>
          <w:sz w:val="24"/>
        </w:rPr>
        <w:t>课程</w:t>
      </w:r>
      <w:r>
        <w:rPr>
          <w:rFonts w:hint="eastAsia" w:ascii="Calibri" w:hAnsi="Calibri" w:eastAsia="宋体" w:cs="Times New Roman"/>
          <w:b/>
          <w:bCs/>
          <w:kern w:val="0"/>
          <w:sz w:val="24"/>
        </w:rPr>
        <w:t>简介</w:t>
      </w:r>
    </w:p>
    <w:p w14:paraId="11AFA041">
      <w:pPr>
        <w:autoSpaceDE w:val="0"/>
        <w:autoSpaceDN w:val="0"/>
        <w:adjustRightInd w:val="0"/>
        <w:spacing w:line="348" w:lineRule="auto"/>
        <w:ind w:firstLine="480" w:firstLineChars="200"/>
        <w:jc w:val="left"/>
        <w:rPr>
          <w:rFonts w:ascii="Calibri" w:hAnsi="Calibri" w:eastAsia="宋体" w:cs="Times New Roman"/>
          <w:sz w:val="24"/>
        </w:rPr>
      </w:pPr>
      <w:r>
        <w:rPr>
          <w:rFonts w:ascii="Calibri" w:hAnsi="Calibri" w:eastAsia="宋体" w:cs="Times New Roman"/>
          <w:kern w:val="0"/>
          <w:sz w:val="24"/>
        </w:rPr>
        <w:t>本课程是小学教育（理）专业的一门</w:t>
      </w:r>
      <w:r>
        <w:rPr>
          <w:rFonts w:ascii="Calibri" w:hAnsi="Calibri" w:eastAsia="宋体" w:cs="Times New Roman"/>
          <w:sz w:val="24"/>
        </w:rPr>
        <w:t>重要基础课。</w:t>
      </w:r>
      <w:r>
        <w:rPr>
          <w:rFonts w:ascii="Calibri" w:hAnsi="Calibri" w:eastAsia="宋体" w:cs="Times New Roman"/>
          <w:kern w:val="0"/>
          <w:sz w:val="24"/>
        </w:rPr>
        <w:t>通过本课程的学习，使学生系统地获得数学分析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19A3875A">
      <w:pPr>
        <w:spacing w:line="348" w:lineRule="auto"/>
        <w:rPr>
          <w:rFonts w:ascii="Calibri" w:hAnsi="Calibri" w:eastAsia="宋体" w:cs="Times New Roman"/>
          <w:b/>
          <w:sz w:val="24"/>
        </w:rPr>
      </w:pPr>
      <w:bookmarkStart w:id="189" w:name="_Toc19729756"/>
      <w:r>
        <w:rPr>
          <w:rFonts w:ascii="Calibri" w:hAnsi="Calibri" w:eastAsia="宋体" w:cs="Times New Roman"/>
          <w:b/>
          <w:sz w:val="24"/>
        </w:rPr>
        <w:t>二、课程目标</w:t>
      </w:r>
      <w:bookmarkEnd w:id="189"/>
    </w:p>
    <w:p w14:paraId="318C41D7">
      <w:pPr>
        <w:spacing w:line="348" w:lineRule="auto"/>
        <w:ind w:firstLine="482" w:firstLineChars="200"/>
        <w:rPr>
          <w:rFonts w:ascii="Calibri" w:hAnsi="Calibri" w:eastAsia="宋体" w:cs="Times New Roman"/>
          <w:b/>
          <w:sz w:val="24"/>
        </w:rPr>
      </w:pPr>
      <w:bookmarkStart w:id="190" w:name="_Toc19729757"/>
      <w:r>
        <w:rPr>
          <w:rFonts w:ascii="Calibri" w:hAnsi="Calibri" w:eastAsia="宋体" w:cs="Times New Roman"/>
          <w:b/>
          <w:sz w:val="24"/>
        </w:rPr>
        <w:t>（一）课程具体目标</w:t>
      </w:r>
      <w:bookmarkEnd w:id="190"/>
    </w:p>
    <w:p w14:paraId="6CC6AD25">
      <w:pPr>
        <w:spacing w:line="360" w:lineRule="auto"/>
        <w:ind w:firstLine="482" w:firstLineChars="200"/>
        <w:rPr>
          <w:rFonts w:hint="eastAsia" w:ascii="宋体" w:hAnsi="宋体" w:eastAsia="宋体" w:cs="Times New Roman"/>
          <w:sz w:val="24"/>
        </w:rPr>
      </w:pPr>
      <w:bookmarkStart w:id="191" w:name="_Toc19729758"/>
      <w:r>
        <w:rPr>
          <w:rFonts w:hint="eastAsia" w:ascii="宋体" w:hAnsi="宋体" w:eastAsia="宋体" w:cs="Times New Roman"/>
          <w:b/>
          <w:bCs/>
          <w:sz w:val="24"/>
        </w:rPr>
        <w:t>目标1：</w:t>
      </w:r>
      <w:r>
        <w:rPr>
          <w:rFonts w:hint="eastAsia" w:ascii="宋体" w:hAnsi="宋体" w:eastAsia="宋体" w:cs="Times New Roman"/>
          <w:sz w:val="24"/>
        </w:rPr>
        <w:t>掌握不定积分、定积分、级数、多元函数微分学基本概念，了解基本理论和方法，具有一定</w:t>
      </w:r>
      <w:r>
        <w:rPr>
          <w:rFonts w:ascii="宋体" w:hAnsi="宋体" w:eastAsia="宋体" w:cs="Times New Roman"/>
          <w:sz w:val="24"/>
        </w:rPr>
        <w:t>的抽象概括、逻辑推理能力</w:t>
      </w:r>
      <w:r>
        <w:rPr>
          <w:rFonts w:hint="eastAsia" w:ascii="宋体" w:hAnsi="宋体" w:eastAsia="宋体" w:cs="Times New Roman"/>
          <w:sz w:val="24"/>
        </w:rPr>
        <w:t>；</w:t>
      </w:r>
    </w:p>
    <w:p w14:paraId="1CED4EB1">
      <w:pPr>
        <w:spacing w:line="360" w:lineRule="auto"/>
        <w:ind w:firstLine="482" w:firstLineChars="200"/>
        <w:rPr>
          <w:rFonts w:hint="eastAsia" w:ascii="宋体" w:hAnsi="宋体" w:eastAsia="宋体" w:cs="Times New Roman"/>
          <w:sz w:val="24"/>
        </w:rPr>
      </w:pPr>
      <w:r>
        <w:rPr>
          <w:rFonts w:hint="eastAsia" w:ascii="宋体" w:hAnsi="宋体" w:eastAsia="宋体" w:cs="Times New Roman"/>
          <w:b/>
          <w:bCs/>
          <w:sz w:val="24"/>
        </w:rPr>
        <w:t>目标2：</w:t>
      </w:r>
      <w:r>
        <w:rPr>
          <w:rFonts w:ascii="宋体" w:hAnsi="宋体" w:eastAsia="宋体" w:cs="Times New Roman"/>
          <w:sz w:val="24"/>
        </w:rPr>
        <w:t>初步掌握处理随机现象的基本思想和方法，具备运用数学分析的思维方法分析和解决实际问题的能力。</w:t>
      </w:r>
    </w:p>
    <w:p w14:paraId="56F0A5A8">
      <w:pPr>
        <w:spacing w:line="360" w:lineRule="auto"/>
        <w:ind w:firstLine="482" w:firstLineChars="200"/>
        <w:rPr>
          <w:rFonts w:ascii="Calibri" w:hAnsi="Calibri" w:eastAsia="宋体" w:cs="Times New Roman"/>
          <w:b/>
          <w:sz w:val="28"/>
          <w:szCs w:val="28"/>
        </w:rPr>
      </w:pPr>
      <w:r>
        <w:rPr>
          <w:rFonts w:ascii="Calibri" w:hAnsi="Calibri" w:eastAsia="宋体" w:cs="Times New Roman"/>
          <w:b/>
          <w:sz w:val="24"/>
        </w:rPr>
        <w:t>（二）课程目标</w:t>
      </w:r>
      <w:r>
        <w:rPr>
          <w:rFonts w:hint="eastAsia" w:ascii="Calibri" w:hAnsi="Calibri" w:eastAsia="宋体" w:cs="Times New Roman"/>
          <w:b/>
          <w:sz w:val="24"/>
        </w:rPr>
        <w:t>及其对</w:t>
      </w:r>
      <w:r>
        <w:rPr>
          <w:rFonts w:ascii="Calibri" w:hAnsi="Calibri" w:eastAsia="宋体" w:cs="Times New Roman"/>
          <w:b/>
          <w:sz w:val="24"/>
        </w:rPr>
        <w:t>毕业要求</w:t>
      </w:r>
      <w:r>
        <w:rPr>
          <w:rFonts w:hint="eastAsia" w:ascii="Calibri" w:hAnsi="Calibri" w:eastAsia="宋体" w:cs="Times New Roman"/>
          <w:b/>
          <w:sz w:val="24"/>
        </w:rPr>
        <w:t>指标点</w:t>
      </w:r>
      <w:r>
        <w:rPr>
          <w:rFonts w:ascii="Calibri" w:hAnsi="Calibri" w:eastAsia="宋体" w:cs="Times New Roman"/>
          <w:b/>
          <w:sz w:val="24"/>
        </w:rPr>
        <w:t>的</w:t>
      </w:r>
      <w:bookmarkEnd w:id="191"/>
      <w:r>
        <w:rPr>
          <w:rFonts w:hint="eastAsia" w:ascii="Calibri" w:hAnsi="Calibri" w:eastAsia="宋体" w:cs="Times New Roman"/>
          <w:b/>
          <w:sz w:val="24"/>
        </w:rPr>
        <w:t>支撑</w:t>
      </w:r>
    </w:p>
    <w:tbl>
      <w:tblPr>
        <w:tblStyle w:val="13"/>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223"/>
        <w:gridCol w:w="4977"/>
      </w:tblGrid>
      <w:tr w14:paraId="7868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690FF133">
            <w:pPr>
              <w:jc w:val="center"/>
              <w:rPr>
                <w:rFonts w:hint="eastAsia" w:ascii="宋体" w:hAnsi="宋体" w:eastAsia="宋体" w:cs="Times New Roman"/>
                <w:b/>
                <w:bCs/>
                <w:szCs w:val="21"/>
              </w:rPr>
            </w:pPr>
            <w:r>
              <w:rPr>
                <w:rFonts w:ascii="宋体" w:hAnsi="宋体" w:eastAsia="宋体" w:cs="Times New Roman"/>
                <w:b/>
                <w:bCs/>
                <w:szCs w:val="21"/>
              </w:rPr>
              <w:t>课程目标</w:t>
            </w:r>
          </w:p>
        </w:tc>
        <w:tc>
          <w:tcPr>
            <w:tcW w:w="2223" w:type="dxa"/>
            <w:vAlign w:val="center"/>
          </w:tcPr>
          <w:p w14:paraId="23A52332">
            <w:pPr>
              <w:jc w:val="center"/>
              <w:rPr>
                <w:rFonts w:hint="eastAsia" w:ascii="宋体" w:hAnsi="宋体" w:eastAsia="宋体" w:cs="Times New Roman"/>
                <w:b/>
                <w:bCs/>
                <w:szCs w:val="21"/>
              </w:rPr>
            </w:pPr>
            <w:r>
              <w:rPr>
                <w:rFonts w:ascii="宋体" w:hAnsi="宋体" w:eastAsia="宋体" w:cs="Times New Roman"/>
                <w:b/>
                <w:bCs/>
                <w:szCs w:val="21"/>
              </w:rPr>
              <w:t>支撑的毕业要求</w:t>
            </w:r>
          </w:p>
        </w:tc>
        <w:tc>
          <w:tcPr>
            <w:tcW w:w="4977" w:type="dxa"/>
            <w:vAlign w:val="center"/>
          </w:tcPr>
          <w:p w14:paraId="1143FDB3">
            <w:pPr>
              <w:jc w:val="center"/>
              <w:rPr>
                <w:rFonts w:hint="eastAsia" w:ascii="宋体" w:hAnsi="宋体" w:eastAsia="宋体" w:cs="Times New Roman"/>
                <w:b/>
                <w:bCs/>
                <w:szCs w:val="21"/>
              </w:rPr>
            </w:pPr>
            <w:r>
              <w:rPr>
                <w:rFonts w:ascii="宋体" w:hAnsi="宋体" w:eastAsia="宋体" w:cs="Times New Roman"/>
                <w:b/>
                <w:bCs/>
                <w:szCs w:val="21"/>
              </w:rPr>
              <w:t>支撑的毕业要求指标点</w:t>
            </w:r>
          </w:p>
        </w:tc>
      </w:tr>
      <w:tr w14:paraId="5057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588D84EA">
            <w:pPr>
              <w:jc w:val="center"/>
              <w:rPr>
                <w:rFonts w:hint="eastAsia" w:ascii="宋体" w:hAnsi="宋体" w:eastAsia="宋体" w:cs="Times New Roman"/>
                <w:bCs/>
                <w:szCs w:val="21"/>
              </w:rPr>
            </w:pPr>
            <w:r>
              <w:rPr>
                <w:rFonts w:ascii="宋体" w:hAnsi="宋体" w:eastAsia="宋体" w:cs="Times New Roman"/>
                <w:bCs/>
                <w:szCs w:val="21"/>
              </w:rPr>
              <w:t>课程目标</w:t>
            </w:r>
            <w:r>
              <w:rPr>
                <w:rFonts w:hint="eastAsia" w:ascii="宋体" w:hAnsi="宋体" w:eastAsia="宋体" w:cs="Times New Roman"/>
                <w:bCs/>
                <w:szCs w:val="21"/>
              </w:rPr>
              <w:t>1</w:t>
            </w:r>
          </w:p>
        </w:tc>
        <w:tc>
          <w:tcPr>
            <w:tcW w:w="2223" w:type="dxa"/>
            <w:vAlign w:val="center"/>
          </w:tcPr>
          <w:p w14:paraId="4830EFEE">
            <w:pPr>
              <w:rPr>
                <w:rFonts w:hint="eastAsia" w:ascii="宋体" w:hAnsi="宋体" w:eastAsia="宋体" w:cs="Times New Roman"/>
                <w:kern w:val="0"/>
                <w:szCs w:val="21"/>
              </w:rPr>
            </w:pPr>
            <w:r>
              <w:rPr>
                <w:rFonts w:ascii="宋体" w:hAnsi="宋体" w:eastAsia="宋体" w:cs="Times New Roman"/>
                <w:kern w:val="0"/>
                <w:szCs w:val="21"/>
              </w:rPr>
              <w:t>毕业要求3.</w:t>
            </w:r>
            <w:r>
              <w:rPr>
                <w:rFonts w:hint="eastAsia" w:ascii="宋体" w:hAnsi="宋体" w:eastAsia="宋体" w:cs="Times New Roman"/>
                <w:kern w:val="0"/>
                <w:szCs w:val="21"/>
              </w:rPr>
              <w:t>学科</w:t>
            </w:r>
            <w:r>
              <w:rPr>
                <w:rFonts w:ascii="宋体" w:hAnsi="宋体" w:eastAsia="宋体" w:cs="Times New Roman"/>
                <w:kern w:val="0"/>
                <w:szCs w:val="21"/>
              </w:rPr>
              <w:t>素养</w:t>
            </w:r>
          </w:p>
        </w:tc>
        <w:tc>
          <w:tcPr>
            <w:tcW w:w="4977" w:type="dxa"/>
            <w:vAlign w:val="center"/>
          </w:tcPr>
          <w:p w14:paraId="18715F05">
            <w:pPr>
              <w:jc w:val="left"/>
              <w:rPr>
                <w:rFonts w:hint="eastAsia" w:ascii="宋体" w:hAnsi="宋体" w:eastAsia="宋体" w:cs="Times New Roman"/>
                <w:kern w:val="0"/>
                <w:sz w:val="18"/>
                <w:szCs w:val="18"/>
              </w:rPr>
            </w:pPr>
            <w:r>
              <w:rPr>
                <w:rFonts w:hint="eastAsia" w:ascii="宋体" w:hAnsi="宋体" w:eastAsia="宋体" w:cs="Times New Roman"/>
                <w:szCs w:val="23"/>
              </w:rPr>
              <w:t>3-2：【学科知识扎实】具有学科专业能力，掌握小学数学学科的基本知识、原理和技能。熟悉小学科学的知识体系，掌握小学科学的基本知识、原理和技能。</w:t>
            </w:r>
          </w:p>
        </w:tc>
      </w:tr>
      <w:tr w14:paraId="3EE1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360D8C12">
            <w:pPr>
              <w:jc w:val="center"/>
              <w:rPr>
                <w:rFonts w:hint="eastAsia" w:ascii="宋体" w:hAnsi="宋体" w:eastAsia="宋体" w:cs="Times New Roman"/>
                <w:bCs/>
                <w:szCs w:val="21"/>
              </w:rPr>
            </w:pPr>
            <w:r>
              <w:rPr>
                <w:rFonts w:hint="eastAsia" w:ascii="宋体" w:hAnsi="宋体" w:eastAsia="宋体" w:cs="Times New Roman"/>
                <w:bCs/>
                <w:szCs w:val="21"/>
              </w:rPr>
              <w:t>课程目标2</w:t>
            </w:r>
          </w:p>
        </w:tc>
        <w:tc>
          <w:tcPr>
            <w:tcW w:w="2223" w:type="dxa"/>
            <w:vAlign w:val="center"/>
          </w:tcPr>
          <w:p w14:paraId="40C35CFD">
            <w:pPr>
              <w:rPr>
                <w:rFonts w:hint="eastAsia" w:ascii="宋体" w:hAnsi="宋体" w:eastAsia="宋体" w:cs="Times New Roman"/>
                <w:kern w:val="0"/>
                <w:szCs w:val="21"/>
              </w:rPr>
            </w:pPr>
            <w:r>
              <w:rPr>
                <w:rFonts w:ascii="宋体" w:hAnsi="宋体" w:eastAsia="宋体" w:cs="Times New Roman"/>
                <w:kern w:val="0"/>
                <w:szCs w:val="21"/>
              </w:rPr>
              <w:t>毕业要求3.</w:t>
            </w:r>
            <w:r>
              <w:rPr>
                <w:rFonts w:hint="eastAsia" w:ascii="宋体" w:hAnsi="宋体" w:eastAsia="宋体" w:cs="Times New Roman"/>
                <w:kern w:val="0"/>
                <w:szCs w:val="21"/>
              </w:rPr>
              <w:t>学科</w:t>
            </w:r>
            <w:r>
              <w:rPr>
                <w:rFonts w:ascii="宋体" w:hAnsi="宋体" w:eastAsia="宋体" w:cs="Times New Roman"/>
                <w:kern w:val="0"/>
                <w:szCs w:val="21"/>
              </w:rPr>
              <w:t>素养</w:t>
            </w:r>
          </w:p>
        </w:tc>
        <w:tc>
          <w:tcPr>
            <w:tcW w:w="4977" w:type="dxa"/>
            <w:vAlign w:val="center"/>
          </w:tcPr>
          <w:p w14:paraId="21D33692">
            <w:pPr>
              <w:jc w:val="left"/>
              <w:rPr>
                <w:rFonts w:hint="eastAsia" w:ascii="宋体" w:hAnsi="宋体" w:eastAsia="宋体" w:cs="Times New Roman"/>
                <w:szCs w:val="23"/>
              </w:rPr>
            </w:pPr>
            <w:r>
              <w:rPr>
                <w:rFonts w:hint="eastAsia" w:ascii="宋体" w:hAnsi="宋体" w:eastAsia="宋体" w:cs="Times New Roman"/>
                <w:szCs w:val="23"/>
              </w:rPr>
              <w:t>3-2：【学科知识扎实】具有学科专业能力，掌握小学数学学科的基本知识、原理和技能。熟悉小学科学的知识体系，掌握小学科学的基本知识、原理和技能。</w:t>
            </w:r>
          </w:p>
        </w:tc>
      </w:tr>
    </w:tbl>
    <w:p w14:paraId="622D6EAC">
      <w:pPr>
        <w:spacing w:before="156" w:beforeLines="50" w:line="360" w:lineRule="auto"/>
        <w:jc w:val="left"/>
        <w:rPr>
          <w:rFonts w:hint="eastAsia" w:ascii="宋体" w:hAnsi="宋体" w:eastAsia="宋体" w:cs="Times New Roman"/>
          <w:b/>
          <w:color w:val="000000"/>
          <w:sz w:val="24"/>
        </w:rPr>
      </w:pPr>
      <w:bookmarkStart w:id="192" w:name="_Toc19729759"/>
      <w:r>
        <w:rPr>
          <w:rFonts w:hint="eastAsia" w:ascii="Calibri" w:hAnsi="Calibri" w:eastAsia="宋体" w:cs="Times New Roman"/>
          <w:b/>
          <w:sz w:val="28"/>
          <w:szCs w:val="28"/>
        </w:rPr>
        <w:t>（三）</w:t>
      </w:r>
      <w:r>
        <w:rPr>
          <w:rFonts w:hint="eastAsia" w:ascii="宋体" w:hAnsi="宋体" w:eastAsia="宋体" w:cs="Times New Roman"/>
          <w:b/>
          <w:color w:val="000000"/>
          <w:sz w:val="24"/>
        </w:rPr>
        <w:t>课程思政目标</w:t>
      </w:r>
    </w:p>
    <w:p w14:paraId="03FBACCE">
      <w:pPr>
        <w:spacing w:line="360" w:lineRule="auto"/>
        <w:ind w:firstLine="470" w:firstLineChars="196"/>
        <w:jc w:val="left"/>
        <w:rPr>
          <w:rFonts w:ascii="Calibri" w:hAnsi="Calibri" w:eastAsia="宋体" w:cs="Times New Roman"/>
          <w:b/>
          <w:sz w:val="28"/>
          <w:szCs w:val="28"/>
        </w:rPr>
      </w:pPr>
      <w:r>
        <w:rPr>
          <w:rFonts w:hint="eastAsia" w:ascii="宋体" w:hAnsi="宋体" w:eastAsia="宋体" w:cs="Times New Roman"/>
          <w:color w:val="000000"/>
          <w:sz w:val="24"/>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69211906">
      <w:pPr>
        <w:spacing w:line="360" w:lineRule="auto"/>
        <w:rPr>
          <w:rFonts w:ascii="Calibri" w:hAnsi="Calibri" w:eastAsia="宋体" w:cs="Times New Roman"/>
          <w:b/>
          <w:sz w:val="28"/>
          <w:szCs w:val="28"/>
        </w:rPr>
      </w:pPr>
      <w:r>
        <w:rPr>
          <w:rFonts w:hint="eastAsia" w:ascii="Calibri" w:hAnsi="Calibri" w:eastAsia="宋体" w:cs="Times New Roman"/>
          <w:b/>
          <w:sz w:val="28"/>
          <w:szCs w:val="28"/>
        </w:rPr>
        <w:t>三、</w:t>
      </w:r>
      <w:r>
        <w:rPr>
          <w:rFonts w:ascii="Calibri" w:hAnsi="Calibri" w:eastAsia="宋体" w:cs="Times New Roman"/>
          <w:b/>
          <w:sz w:val="28"/>
          <w:szCs w:val="28"/>
        </w:rPr>
        <w:t>课程内容及要求</w:t>
      </w:r>
      <w:bookmarkEnd w:id="192"/>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691"/>
        <w:gridCol w:w="1191"/>
        <w:gridCol w:w="2451"/>
        <w:gridCol w:w="1998"/>
      </w:tblGrid>
      <w:tr w14:paraId="359C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Align w:val="center"/>
          </w:tcPr>
          <w:p w14:paraId="35C9F23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1F5F000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691" w:type="dxa"/>
            <w:vAlign w:val="center"/>
          </w:tcPr>
          <w:p w14:paraId="1A91D02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91" w:type="dxa"/>
            <w:vAlign w:val="center"/>
          </w:tcPr>
          <w:p w14:paraId="66EB7BC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72F854A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451" w:type="dxa"/>
            <w:vAlign w:val="center"/>
          </w:tcPr>
          <w:p w14:paraId="3BD5C42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998" w:type="dxa"/>
            <w:vAlign w:val="center"/>
          </w:tcPr>
          <w:p w14:paraId="12D2A1F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r>
      <w:tr w14:paraId="230F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54F909B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Calibri" w:hAnsi="Calibri" w:eastAsia="宋体" w:cs="Times New Roman"/>
                <w:b/>
                <w:kern w:val="0"/>
                <w:sz w:val="24"/>
                <w:szCs w:val="21"/>
              </w:rPr>
              <w:t>函数</w:t>
            </w:r>
          </w:p>
        </w:tc>
        <w:tc>
          <w:tcPr>
            <w:tcW w:w="2691" w:type="dxa"/>
            <w:vAlign w:val="center"/>
          </w:tcPr>
          <w:p w14:paraId="70F6D186">
            <w:pPr>
              <w:spacing w:line="360" w:lineRule="auto"/>
              <w:rPr>
                <w:rFonts w:ascii="Calibri" w:hAnsi="Calibri" w:eastAsia="宋体" w:cs="Times New Roman"/>
                <w:sz w:val="24"/>
                <w:szCs w:val="21"/>
              </w:rPr>
            </w:pPr>
            <w:r>
              <w:rPr>
                <w:rFonts w:ascii="Calibri" w:hAnsi="Calibri" w:eastAsia="宋体" w:cs="Times New Roman"/>
                <w:sz w:val="24"/>
              </w:rPr>
              <w:t>（1）函</w:t>
            </w:r>
            <w:r>
              <w:rPr>
                <w:rFonts w:ascii="Calibri" w:hAnsi="Calibri" w:eastAsia="宋体" w:cs="Times New Roman"/>
                <w:sz w:val="24"/>
                <w:szCs w:val="21"/>
              </w:rPr>
              <w:t>数、初等函数概念</w:t>
            </w:r>
          </w:p>
          <w:p w14:paraId="47D10148">
            <w:pPr>
              <w:spacing w:line="360" w:lineRule="auto"/>
              <w:rPr>
                <w:rFonts w:ascii="Calibri" w:hAnsi="Calibri" w:eastAsia="宋体" w:cs="Times New Roman"/>
                <w:sz w:val="24"/>
                <w:szCs w:val="21"/>
              </w:rPr>
            </w:pPr>
            <w:r>
              <w:rPr>
                <w:rFonts w:ascii="Calibri" w:hAnsi="Calibri" w:eastAsia="宋体" w:cs="Times New Roman"/>
                <w:sz w:val="24"/>
                <w:szCs w:val="21"/>
              </w:rPr>
              <w:t>（2）函数几种表示法</w:t>
            </w:r>
          </w:p>
          <w:p w14:paraId="382B0DE2">
            <w:pPr>
              <w:spacing w:line="360" w:lineRule="auto"/>
              <w:rPr>
                <w:rFonts w:ascii="Calibri" w:hAnsi="Calibri" w:eastAsia="宋体" w:cs="Times New Roman"/>
                <w:sz w:val="24"/>
              </w:rPr>
            </w:pPr>
            <w:r>
              <w:rPr>
                <w:rFonts w:ascii="Calibri" w:hAnsi="Calibri" w:eastAsia="宋体" w:cs="Times New Roman"/>
                <w:sz w:val="24"/>
              </w:rPr>
              <w:t>（3）</w:t>
            </w:r>
            <w:r>
              <w:rPr>
                <w:rFonts w:ascii="Calibri" w:hAnsi="Calibri" w:eastAsia="宋体" w:cs="Times New Roman"/>
                <w:sz w:val="24"/>
                <w:szCs w:val="21"/>
              </w:rPr>
              <w:t>四类具有特殊性质的函数</w:t>
            </w:r>
          </w:p>
          <w:p w14:paraId="66C07210">
            <w:pPr>
              <w:spacing w:line="360" w:lineRule="auto"/>
              <w:rPr>
                <w:rFonts w:ascii="Calibri" w:hAnsi="Calibri" w:eastAsia="宋体" w:cs="Times New Roman"/>
                <w:sz w:val="24"/>
              </w:rPr>
            </w:pPr>
            <w:r>
              <w:rPr>
                <w:rFonts w:ascii="Calibri" w:hAnsi="Calibri" w:eastAsia="宋体" w:cs="Times New Roman"/>
                <w:sz w:val="24"/>
              </w:rPr>
              <w:t>（4）</w:t>
            </w:r>
            <w:r>
              <w:rPr>
                <w:rFonts w:ascii="Calibri" w:hAnsi="Calibri" w:eastAsia="宋体" w:cs="Times New Roman"/>
                <w:sz w:val="24"/>
                <w:szCs w:val="21"/>
              </w:rPr>
              <w:t>复合函数与反函数</w:t>
            </w:r>
          </w:p>
          <w:p w14:paraId="7FE4BD47">
            <w:pPr>
              <w:spacing w:line="269" w:lineRule="auto"/>
              <w:jc w:val="left"/>
              <w:rPr>
                <w:rFonts w:hint="eastAsia" w:ascii="宋体" w:hAnsi="宋体" w:eastAsia="宋体" w:cs="Times New Roman"/>
                <w:color w:val="000000"/>
                <w:szCs w:val="21"/>
              </w:rPr>
            </w:pPr>
          </w:p>
        </w:tc>
        <w:tc>
          <w:tcPr>
            <w:tcW w:w="1191" w:type="dxa"/>
            <w:vAlign w:val="center"/>
          </w:tcPr>
          <w:p w14:paraId="053E5B7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451" w:type="dxa"/>
            <w:vAlign w:val="center"/>
          </w:tcPr>
          <w:p w14:paraId="44476B59">
            <w:pPr>
              <w:spacing w:line="360" w:lineRule="auto"/>
              <w:rPr>
                <w:rFonts w:ascii="Calibri" w:hAnsi="Calibri" w:eastAsia="宋体" w:cs="Times New Roman"/>
                <w:sz w:val="24"/>
              </w:rPr>
            </w:pPr>
            <w:r>
              <w:rPr>
                <w:rFonts w:ascii="Calibri" w:hAnsi="Calibri" w:eastAsia="宋体" w:cs="Times New Roman"/>
                <w:sz w:val="24"/>
              </w:rPr>
              <w:t>（1）理解函数的定义</w:t>
            </w:r>
          </w:p>
          <w:p w14:paraId="02EE18FE">
            <w:pPr>
              <w:spacing w:line="360" w:lineRule="auto"/>
              <w:rPr>
                <w:rFonts w:ascii="Calibri" w:hAnsi="Calibri" w:eastAsia="宋体" w:cs="Times New Roman"/>
                <w:sz w:val="24"/>
                <w:szCs w:val="21"/>
              </w:rPr>
            </w:pPr>
            <w:r>
              <w:rPr>
                <w:rFonts w:ascii="Calibri" w:hAnsi="Calibri" w:eastAsia="宋体" w:cs="Times New Roman"/>
                <w:sz w:val="24"/>
              </w:rPr>
              <w:t>（2）掌握</w:t>
            </w:r>
            <w:r>
              <w:rPr>
                <w:rFonts w:ascii="Calibri" w:hAnsi="Calibri" w:eastAsia="宋体" w:cs="Times New Roman"/>
                <w:sz w:val="24"/>
                <w:szCs w:val="21"/>
              </w:rPr>
              <w:t>复合函数概念</w:t>
            </w:r>
          </w:p>
          <w:p w14:paraId="03416BB8">
            <w:pPr>
              <w:spacing w:line="269" w:lineRule="auto"/>
              <w:jc w:val="left"/>
              <w:rPr>
                <w:rFonts w:hint="eastAsia" w:ascii="宋体" w:hAnsi="宋体" w:eastAsia="宋体" w:cs="Times New Roman"/>
                <w:color w:val="000000"/>
                <w:szCs w:val="21"/>
              </w:rPr>
            </w:pPr>
            <w:r>
              <w:rPr>
                <w:rFonts w:ascii="Calibri" w:hAnsi="Calibri" w:eastAsia="宋体" w:cs="Times New Roman"/>
                <w:sz w:val="24"/>
              </w:rPr>
              <w:t>（3）会</w:t>
            </w:r>
            <w:r>
              <w:rPr>
                <w:rFonts w:ascii="Calibri" w:hAnsi="Calibri" w:eastAsia="宋体" w:cs="Times New Roman"/>
                <w:sz w:val="24"/>
                <w:szCs w:val="21"/>
              </w:rPr>
              <w:t>将复合函数分拆成简单函数</w:t>
            </w:r>
          </w:p>
        </w:tc>
        <w:tc>
          <w:tcPr>
            <w:tcW w:w="1998" w:type="dxa"/>
            <w:vAlign w:val="center"/>
          </w:tcPr>
          <w:p w14:paraId="7FCE221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21FF090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5009E56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26B2591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r>
      <w:tr w14:paraId="2825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299E0722">
            <w:pPr>
              <w:spacing w:line="264" w:lineRule="auto"/>
              <w:jc w:val="center"/>
              <w:rPr>
                <w:rFonts w:hint="eastAsia" w:ascii="宋体" w:hAnsi="宋体" w:eastAsia="宋体" w:cs="Times New Roman"/>
                <w:color w:val="000000"/>
                <w:szCs w:val="21"/>
              </w:rPr>
            </w:pPr>
          </w:p>
        </w:tc>
        <w:tc>
          <w:tcPr>
            <w:tcW w:w="8331" w:type="dxa"/>
            <w:gridSpan w:val="4"/>
            <w:vAlign w:val="center"/>
          </w:tcPr>
          <w:p w14:paraId="2E846511">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马克思主义思想指导下学习和研究函数，运用辩证唯物主义和历史唯物主义的思想方法，结合我国教育改革和发展的具体实践，与时俱进，开拓创新，以不断创新的马克思主义新理论来解释和解决我国教育改革和发展过程中遇到的新情况和新问题，从而使学生树牢“四个意识”，坚定“四个自信”，坚决做到“两个维护”，立志肩负起民族复兴的时代重任。</w:t>
            </w:r>
          </w:p>
        </w:tc>
      </w:tr>
      <w:tr w14:paraId="7221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5445D48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Calibri" w:hAnsi="Calibri" w:eastAsia="宋体" w:cs="Times New Roman"/>
                <w:b/>
                <w:sz w:val="24"/>
              </w:rPr>
              <w:t>极限</w:t>
            </w:r>
          </w:p>
        </w:tc>
        <w:tc>
          <w:tcPr>
            <w:tcW w:w="2691" w:type="dxa"/>
            <w:vAlign w:val="center"/>
          </w:tcPr>
          <w:p w14:paraId="15F81445">
            <w:pPr>
              <w:spacing w:line="360" w:lineRule="auto"/>
              <w:rPr>
                <w:rFonts w:ascii="Calibri" w:hAnsi="Calibri" w:eastAsia="宋体" w:cs="Times New Roman"/>
                <w:sz w:val="24"/>
              </w:rPr>
            </w:pPr>
            <w:r>
              <w:rPr>
                <w:rFonts w:ascii="Calibri" w:hAnsi="Calibri" w:eastAsia="宋体" w:cs="Times New Roman"/>
                <w:sz w:val="24"/>
              </w:rPr>
              <w:t>（1）数列的极限思想与定义</w:t>
            </w:r>
          </w:p>
          <w:p w14:paraId="692E55E2">
            <w:pPr>
              <w:spacing w:line="360" w:lineRule="auto"/>
              <w:rPr>
                <w:rFonts w:ascii="Calibri" w:hAnsi="Calibri" w:eastAsia="宋体" w:cs="Times New Roman"/>
                <w:sz w:val="24"/>
              </w:rPr>
            </w:pPr>
            <w:r>
              <w:rPr>
                <w:rFonts w:ascii="Calibri" w:hAnsi="Calibri" w:eastAsia="宋体" w:cs="Times New Roman"/>
                <w:sz w:val="24"/>
              </w:rPr>
              <w:t>（2）收敛数列的四则运算、性质，数列极限存在准则</w:t>
            </w:r>
          </w:p>
          <w:p w14:paraId="31A1AF7F">
            <w:pPr>
              <w:spacing w:line="360" w:lineRule="auto"/>
              <w:rPr>
                <w:rFonts w:ascii="Calibri" w:hAnsi="Calibri" w:eastAsia="宋体" w:cs="Times New Roman"/>
                <w:sz w:val="24"/>
              </w:rPr>
            </w:pPr>
            <w:r>
              <w:rPr>
                <w:rFonts w:ascii="Calibri" w:hAnsi="Calibri" w:eastAsia="宋体" w:cs="Times New Roman"/>
                <w:sz w:val="24"/>
              </w:rPr>
              <w:t>（3）函数极限定义</w:t>
            </w:r>
          </w:p>
          <w:p w14:paraId="22D6604C">
            <w:pPr>
              <w:spacing w:line="360" w:lineRule="auto"/>
              <w:rPr>
                <w:rFonts w:ascii="Calibri" w:hAnsi="Calibri" w:eastAsia="宋体" w:cs="Times New Roman"/>
                <w:sz w:val="24"/>
              </w:rPr>
            </w:pPr>
            <w:r>
              <w:rPr>
                <w:rFonts w:ascii="Calibri" w:hAnsi="Calibri" w:eastAsia="宋体" w:cs="Times New Roman"/>
                <w:sz w:val="24"/>
              </w:rPr>
              <w:t>（4）无穷小与无穷大的概念及其相互关系</w:t>
            </w:r>
          </w:p>
          <w:p w14:paraId="15391030">
            <w:pPr>
              <w:spacing w:line="360" w:lineRule="auto"/>
              <w:rPr>
                <w:rFonts w:ascii="Calibri" w:hAnsi="Calibri" w:eastAsia="宋体" w:cs="Times New Roman"/>
                <w:sz w:val="24"/>
              </w:rPr>
            </w:pPr>
            <w:r>
              <w:rPr>
                <w:rFonts w:ascii="Calibri" w:hAnsi="Calibri" w:eastAsia="宋体" w:cs="Times New Roman"/>
                <w:sz w:val="24"/>
              </w:rPr>
              <w:t>（5）两个重要极限</w:t>
            </w:r>
          </w:p>
          <w:p w14:paraId="492ECD57">
            <w:pPr>
              <w:spacing w:line="360" w:lineRule="auto"/>
              <w:rPr>
                <w:rFonts w:ascii="Calibri" w:hAnsi="Calibri" w:eastAsia="宋体" w:cs="Times New Roman"/>
                <w:sz w:val="24"/>
              </w:rPr>
            </w:pPr>
            <w:r>
              <w:rPr>
                <w:rFonts w:ascii="Calibri" w:hAnsi="Calibri" w:eastAsia="宋体" w:cs="Times New Roman"/>
                <w:sz w:val="24"/>
              </w:rPr>
              <w:t>（6）函数极限的定理</w:t>
            </w:r>
          </w:p>
          <w:p w14:paraId="23885C85">
            <w:pPr>
              <w:spacing w:line="269" w:lineRule="auto"/>
              <w:jc w:val="left"/>
              <w:rPr>
                <w:rFonts w:hint="eastAsia" w:ascii="宋体" w:hAnsi="宋体" w:eastAsia="宋体" w:cs="Times New Roman"/>
                <w:color w:val="000000"/>
                <w:szCs w:val="21"/>
              </w:rPr>
            </w:pPr>
          </w:p>
        </w:tc>
        <w:tc>
          <w:tcPr>
            <w:tcW w:w="1191" w:type="dxa"/>
            <w:vAlign w:val="center"/>
          </w:tcPr>
          <w:p w14:paraId="415232F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451" w:type="dxa"/>
            <w:vAlign w:val="center"/>
          </w:tcPr>
          <w:p w14:paraId="0979B647">
            <w:pPr>
              <w:spacing w:line="360" w:lineRule="auto"/>
              <w:rPr>
                <w:rFonts w:ascii="Calibri" w:hAnsi="Calibri" w:eastAsia="宋体" w:cs="Times New Roman"/>
                <w:sz w:val="24"/>
              </w:rPr>
            </w:pPr>
            <w:r>
              <w:rPr>
                <w:rFonts w:ascii="Calibri" w:hAnsi="Calibri" w:eastAsia="宋体" w:cs="Times New Roman"/>
                <w:sz w:val="24"/>
              </w:rPr>
              <w:t>（1）理解极限的概念</w:t>
            </w:r>
          </w:p>
          <w:p w14:paraId="1D526A08">
            <w:pPr>
              <w:spacing w:line="360" w:lineRule="auto"/>
              <w:rPr>
                <w:rFonts w:ascii="Calibri" w:hAnsi="Calibri" w:eastAsia="宋体" w:cs="Times New Roman"/>
                <w:sz w:val="24"/>
              </w:rPr>
            </w:pPr>
            <w:r>
              <w:rPr>
                <w:rFonts w:ascii="Calibri" w:hAnsi="Calibri" w:eastAsia="宋体" w:cs="Times New Roman"/>
                <w:sz w:val="24"/>
              </w:rPr>
              <w:t>（2）掌握极限的性质</w:t>
            </w:r>
          </w:p>
          <w:p w14:paraId="7DBA7D22">
            <w:pPr>
              <w:spacing w:line="360" w:lineRule="auto"/>
              <w:rPr>
                <w:rFonts w:ascii="Calibri" w:hAnsi="Calibri" w:eastAsia="宋体" w:cs="Times New Roman"/>
                <w:sz w:val="24"/>
              </w:rPr>
            </w:pPr>
            <w:r>
              <w:rPr>
                <w:rFonts w:ascii="Calibri" w:hAnsi="Calibri" w:eastAsia="宋体" w:cs="Times New Roman"/>
                <w:sz w:val="24"/>
              </w:rPr>
              <w:t>（3）应用所学方法和公式计算极限</w:t>
            </w:r>
          </w:p>
          <w:p w14:paraId="765F8572">
            <w:pPr>
              <w:spacing w:line="269" w:lineRule="auto"/>
              <w:jc w:val="left"/>
              <w:rPr>
                <w:rFonts w:hint="eastAsia" w:ascii="宋体" w:hAnsi="宋体" w:eastAsia="宋体" w:cs="Times New Roman"/>
                <w:color w:val="000000"/>
                <w:szCs w:val="21"/>
              </w:rPr>
            </w:pPr>
          </w:p>
        </w:tc>
        <w:tc>
          <w:tcPr>
            <w:tcW w:w="1998" w:type="dxa"/>
            <w:vAlign w:val="center"/>
          </w:tcPr>
          <w:p w14:paraId="498F6F9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EB97DA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4D1547A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446BAEE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r>
      <w:tr w14:paraId="6ACF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1A6E316C">
            <w:pPr>
              <w:spacing w:line="264" w:lineRule="auto"/>
              <w:jc w:val="center"/>
              <w:rPr>
                <w:rFonts w:hint="eastAsia" w:ascii="宋体" w:hAnsi="宋体" w:eastAsia="宋体" w:cs="Times New Roman"/>
                <w:color w:val="000000"/>
                <w:szCs w:val="21"/>
              </w:rPr>
            </w:pPr>
          </w:p>
        </w:tc>
        <w:tc>
          <w:tcPr>
            <w:tcW w:w="8331" w:type="dxa"/>
            <w:gridSpan w:val="4"/>
            <w:vAlign w:val="center"/>
          </w:tcPr>
          <w:p w14:paraId="106AC332">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使学生形成对极限的教育与社会意识形态关系的正确认知，明确社会主义教育的本质。把握教育的本质在于培养人，深刻理解习近平曾多次论述的教育要“培养什么人、怎样培养人、为谁培养人”的问题。</w:t>
            </w:r>
          </w:p>
        </w:tc>
      </w:tr>
      <w:tr w14:paraId="1C47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239F6C5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Calibri" w:hAnsi="Calibri" w:eastAsia="宋体" w:cs="Times New Roman"/>
                <w:b/>
                <w:sz w:val="24"/>
              </w:rPr>
              <w:t>连续函数</w:t>
            </w:r>
          </w:p>
        </w:tc>
        <w:tc>
          <w:tcPr>
            <w:tcW w:w="2691" w:type="dxa"/>
            <w:vAlign w:val="center"/>
          </w:tcPr>
          <w:p w14:paraId="360C4EF3">
            <w:pPr>
              <w:spacing w:line="360" w:lineRule="auto"/>
              <w:rPr>
                <w:rFonts w:ascii="Calibri" w:hAnsi="Calibri" w:eastAsia="宋体" w:cs="Times New Roman"/>
                <w:sz w:val="24"/>
              </w:rPr>
            </w:pPr>
            <w:r>
              <w:rPr>
                <w:rFonts w:ascii="Calibri" w:hAnsi="Calibri" w:eastAsia="宋体" w:cs="Times New Roman"/>
                <w:sz w:val="24"/>
              </w:rPr>
              <w:t>（1）连续函数的概念</w:t>
            </w:r>
          </w:p>
          <w:p w14:paraId="113D9819">
            <w:pPr>
              <w:spacing w:line="360" w:lineRule="auto"/>
              <w:rPr>
                <w:rFonts w:ascii="Calibri" w:hAnsi="Calibri" w:eastAsia="宋体" w:cs="Times New Roman"/>
                <w:sz w:val="24"/>
              </w:rPr>
            </w:pPr>
            <w:r>
              <w:rPr>
                <w:rFonts w:ascii="Calibri" w:hAnsi="Calibri" w:eastAsia="宋体" w:cs="Times New Roman"/>
                <w:sz w:val="24"/>
              </w:rPr>
              <w:t>（2）函数间断点的分类</w:t>
            </w:r>
          </w:p>
          <w:p w14:paraId="0300A611">
            <w:pPr>
              <w:spacing w:line="360" w:lineRule="auto"/>
              <w:rPr>
                <w:rFonts w:ascii="Calibri" w:hAnsi="Calibri" w:eastAsia="宋体" w:cs="Times New Roman"/>
                <w:sz w:val="24"/>
              </w:rPr>
            </w:pPr>
            <w:r>
              <w:rPr>
                <w:rFonts w:ascii="Calibri" w:hAnsi="Calibri" w:eastAsia="宋体" w:cs="Times New Roman"/>
                <w:sz w:val="24"/>
              </w:rPr>
              <w:t>（3）连续函数的性质</w:t>
            </w:r>
          </w:p>
          <w:p w14:paraId="4AEF8961">
            <w:pPr>
              <w:spacing w:line="269" w:lineRule="auto"/>
              <w:jc w:val="left"/>
              <w:rPr>
                <w:rFonts w:hint="eastAsia" w:ascii="宋体" w:hAnsi="宋体" w:eastAsia="宋体" w:cs="Times New Roman"/>
                <w:color w:val="000000"/>
                <w:szCs w:val="21"/>
              </w:rPr>
            </w:pPr>
          </w:p>
        </w:tc>
        <w:tc>
          <w:tcPr>
            <w:tcW w:w="1191" w:type="dxa"/>
            <w:vAlign w:val="center"/>
          </w:tcPr>
          <w:p w14:paraId="627638B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451" w:type="dxa"/>
            <w:vAlign w:val="center"/>
          </w:tcPr>
          <w:p w14:paraId="6C6A933A">
            <w:pPr>
              <w:spacing w:line="360" w:lineRule="auto"/>
              <w:rPr>
                <w:rFonts w:ascii="Calibri" w:hAnsi="Calibri" w:eastAsia="宋体" w:cs="Times New Roman"/>
                <w:sz w:val="24"/>
              </w:rPr>
            </w:pPr>
            <w:r>
              <w:rPr>
                <w:rFonts w:ascii="Calibri" w:hAnsi="Calibri" w:eastAsia="宋体" w:cs="Times New Roman"/>
                <w:sz w:val="24"/>
              </w:rPr>
              <w:t>（1）了解连续函数的概念</w:t>
            </w:r>
          </w:p>
          <w:p w14:paraId="4F9F149A">
            <w:pPr>
              <w:spacing w:line="360" w:lineRule="auto"/>
              <w:rPr>
                <w:rFonts w:ascii="Calibri" w:hAnsi="Calibri" w:eastAsia="宋体" w:cs="Times New Roman"/>
                <w:sz w:val="24"/>
              </w:rPr>
            </w:pPr>
            <w:r>
              <w:rPr>
                <w:rFonts w:ascii="Calibri" w:hAnsi="Calibri" w:eastAsia="宋体" w:cs="Times New Roman"/>
                <w:sz w:val="24"/>
              </w:rPr>
              <w:t>（2）会求函数的连续区间</w:t>
            </w:r>
          </w:p>
          <w:p w14:paraId="24E62D97">
            <w:pPr>
              <w:spacing w:line="269" w:lineRule="auto"/>
              <w:jc w:val="left"/>
              <w:rPr>
                <w:rFonts w:hint="eastAsia" w:ascii="宋体" w:hAnsi="宋体" w:eastAsia="宋体" w:cs="Times New Roman"/>
                <w:color w:val="000000"/>
                <w:szCs w:val="21"/>
              </w:rPr>
            </w:pPr>
          </w:p>
        </w:tc>
        <w:tc>
          <w:tcPr>
            <w:tcW w:w="1998" w:type="dxa"/>
            <w:vAlign w:val="center"/>
          </w:tcPr>
          <w:p w14:paraId="2D6FC4EF">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3E2DED0">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p>
          <w:p w14:paraId="218AB12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3.课堂讨论</w:t>
            </w:r>
          </w:p>
          <w:p w14:paraId="60BBB62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r>
      <w:tr w14:paraId="2E60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6BA42C39">
            <w:pPr>
              <w:spacing w:line="264" w:lineRule="auto"/>
              <w:jc w:val="center"/>
              <w:rPr>
                <w:rFonts w:hint="eastAsia" w:ascii="宋体" w:hAnsi="宋体" w:eastAsia="宋体" w:cs="Times New Roman"/>
                <w:color w:val="000000"/>
                <w:szCs w:val="21"/>
              </w:rPr>
            </w:pPr>
          </w:p>
        </w:tc>
        <w:tc>
          <w:tcPr>
            <w:tcW w:w="8331" w:type="dxa"/>
            <w:gridSpan w:val="4"/>
            <w:vAlign w:val="center"/>
          </w:tcPr>
          <w:p w14:paraId="14417634">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从辩证思维的角度掌握连续函数在分析教育与经济、教育与政治、教育与文化的关系中的作用，树立制度自信和文化自信。</w:t>
            </w:r>
          </w:p>
        </w:tc>
      </w:tr>
      <w:tr w14:paraId="68CE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4362413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Calibri" w:hAnsi="Calibri" w:eastAsia="宋体" w:cs="Times New Roman"/>
                <w:b/>
                <w:sz w:val="24"/>
              </w:rPr>
              <w:t>导数与微分</w:t>
            </w:r>
          </w:p>
        </w:tc>
        <w:tc>
          <w:tcPr>
            <w:tcW w:w="2691" w:type="dxa"/>
            <w:vAlign w:val="center"/>
          </w:tcPr>
          <w:p w14:paraId="2B6C08F0">
            <w:pPr>
              <w:spacing w:line="360" w:lineRule="auto"/>
              <w:rPr>
                <w:rFonts w:ascii="Calibri" w:hAnsi="Calibri" w:eastAsia="宋体" w:cs="Times New Roman"/>
                <w:sz w:val="24"/>
              </w:rPr>
            </w:pPr>
            <w:r>
              <w:rPr>
                <w:rFonts w:ascii="Calibri" w:hAnsi="Calibri" w:eastAsia="宋体" w:cs="Times New Roman"/>
                <w:sz w:val="24"/>
              </w:rPr>
              <w:t>（1）导数的概念与几何意义</w:t>
            </w:r>
          </w:p>
          <w:p w14:paraId="6A9F96A2">
            <w:pPr>
              <w:spacing w:line="360" w:lineRule="auto"/>
              <w:rPr>
                <w:rFonts w:ascii="Calibri" w:hAnsi="Calibri" w:eastAsia="宋体" w:cs="Times New Roman"/>
                <w:sz w:val="24"/>
              </w:rPr>
            </w:pPr>
            <w:r>
              <w:rPr>
                <w:rFonts w:ascii="Calibri" w:hAnsi="Calibri" w:eastAsia="宋体" w:cs="Times New Roman"/>
                <w:sz w:val="24"/>
              </w:rPr>
              <w:t>（2）可导性与连续性之间的关系</w:t>
            </w:r>
          </w:p>
          <w:p w14:paraId="0762AE94">
            <w:pPr>
              <w:spacing w:line="360" w:lineRule="auto"/>
              <w:rPr>
                <w:rFonts w:ascii="Calibri" w:hAnsi="Calibri" w:eastAsia="宋体" w:cs="Times New Roman"/>
                <w:sz w:val="24"/>
              </w:rPr>
            </w:pPr>
            <w:r>
              <w:rPr>
                <w:rFonts w:ascii="Calibri" w:hAnsi="Calibri" w:eastAsia="宋体" w:cs="Times New Roman"/>
                <w:sz w:val="24"/>
              </w:rPr>
              <w:t>（3）求导法则与导数公式</w:t>
            </w:r>
          </w:p>
          <w:p w14:paraId="6FD0228E">
            <w:pPr>
              <w:spacing w:line="360" w:lineRule="auto"/>
              <w:rPr>
                <w:rFonts w:ascii="Calibri" w:hAnsi="Calibri" w:eastAsia="宋体" w:cs="Times New Roman"/>
                <w:sz w:val="24"/>
              </w:rPr>
            </w:pPr>
            <w:r>
              <w:rPr>
                <w:rFonts w:ascii="Calibri" w:hAnsi="Calibri" w:eastAsia="宋体" w:cs="Times New Roman"/>
                <w:sz w:val="24"/>
              </w:rPr>
              <w:t>（4）微分概念与基本公式</w:t>
            </w:r>
          </w:p>
          <w:p w14:paraId="1ECA83AB">
            <w:pPr>
              <w:tabs>
                <w:tab w:val="left" w:pos="900"/>
              </w:tabs>
              <w:snapToGrid w:val="0"/>
              <w:spacing w:line="300" w:lineRule="auto"/>
              <w:rPr>
                <w:rFonts w:ascii="Calibri" w:hAnsi="Calibri" w:eastAsia="宋体" w:cs="Times New Roman"/>
                <w:sz w:val="24"/>
              </w:rPr>
            </w:pPr>
            <w:r>
              <w:rPr>
                <w:rFonts w:ascii="Calibri" w:hAnsi="Calibri" w:eastAsia="宋体" w:cs="Times New Roman"/>
                <w:sz w:val="24"/>
              </w:rPr>
              <w:t>（5）</w:t>
            </w:r>
            <w:r>
              <w:rPr>
                <w:rFonts w:ascii="Calibri" w:hAnsi="Calibri" w:eastAsia="宋体" w:cs="Times New Roman"/>
                <w:kern w:val="10"/>
                <w:sz w:val="24"/>
              </w:rPr>
              <w:t>高阶导数与高阶微分</w:t>
            </w:r>
          </w:p>
          <w:p w14:paraId="5A2A081E">
            <w:pPr>
              <w:spacing w:line="276" w:lineRule="auto"/>
              <w:jc w:val="left"/>
              <w:rPr>
                <w:rFonts w:hint="eastAsia" w:ascii="宋体" w:hAnsi="宋体" w:eastAsia="宋体" w:cs="Times New Roman"/>
                <w:color w:val="000000"/>
                <w:szCs w:val="21"/>
              </w:rPr>
            </w:pPr>
          </w:p>
        </w:tc>
        <w:tc>
          <w:tcPr>
            <w:tcW w:w="1191" w:type="dxa"/>
            <w:vAlign w:val="center"/>
          </w:tcPr>
          <w:p w14:paraId="19864E4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451" w:type="dxa"/>
            <w:vAlign w:val="center"/>
          </w:tcPr>
          <w:p w14:paraId="5076ACEC">
            <w:pPr>
              <w:spacing w:line="360" w:lineRule="auto"/>
              <w:rPr>
                <w:rFonts w:ascii="Calibri" w:hAnsi="Calibri" w:eastAsia="宋体" w:cs="Times New Roman"/>
                <w:sz w:val="24"/>
              </w:rPr>
            </w:pPr>
            <w:r>
              <w:rPr>
                <w:rFonts w:ascii="Calibri" w:hAnsi="Calibri" w:eastAsia="宋体" w:cs="Times New Roman"/>
                <w:sz w:val="24"/>
              </w:rPr>
              <w:t>（1）掌握函数的求导概念</w:t>
            </w:r>
          </w:p>
          <w:p w14:paraId="73D4C87A">
            <w:pPr>
              <w:spacing w:line="360" w:lineRule="auto"/>
              <w:rPr>
                <w:rFonts w:ascii="Calibri" w:hAnsi="Calibri" w:eastAsia="宋体" w:cs="Times New Roman"/>
                <w:sz w:val="24"/>
              </w:rPr>
            </w:pPr>
            <w:r>
              <w:rPr>
                <w:rFonts w:ascii="Calibri" w:hAnsi="Calibri" w:eastAsia="宋体" w:cs="Times New Roman"/>
                <w:sz w:val="24"/>
              </w:rPr>
              <w:t>（2）运用相关公式计算函数的导数</w:t>
            </w:r>
          </w:p>
          <w:p w14:paraId="451BDBFE">
            <w:pPr>
              <w:spacing w:line="360" w:lineRule="auto"/>
              <w:rPr>
                <w:rFonts w:ascii="Calibri" w:hAnsi="Calibri" w:eastAsia="宋体" w:cs="Times New Roman"/>
                <w:sz w:val="24"/>
              </w:rPr>
            </w:pPr>
            <w:r>
              <w:rPr>
                <w:rFonts w:ascii="Calibri" w:hAnsi="Calibri" w:eastAsia="宋体" w:cs="Times New Roman"/>
                <w:sz w:val="24"/>
              </w:rPr>
              <w:t>（</w:t>
            </w:r>
            <w:r>
              <w:rPr>
                <w:rFonts w:hint="eastAsia" w:ascii="Calibri" w:hAnsi="Calibri" w:eastAsia="宋体" w:cs="Times New Roman"/>
                <w:sz w:val="24"/>
              </w:rPr>
              <w:t>3</w:t>
            </w:r>
            <w:r>
              <w:rPr>
                <w:rFonts w:ascii="Calibri" w:hAnsi="Calibri" w:eastAsia="宋体" w:cs="Times New Roman"/>
                <w:sz w:val="24"/>
              </w:rPr>
              <w:t>）运用</w:t>
            </w:r>
            <w:r>
              <w:rPr>
                <w:rFonts w:hint="eastAsia" w:ascii="Calibri" w:hAnsi="Calibri" w:eastAsia="宋体" w:cs="Times New Roman"/>
                <w:sz w:val="24"/>
              </w:rPr>
              <w:t>对数求导法，求隐</w:t>
            </w:r>
            <w:r>
              <w:rPr>
                <w:rFonts w:ascii="Calibri" w:hAnsi="Calibri" w:eastAsia="宋体" w:cs="Times New Roman"/>
                <w:sz w:val="24"/>
              </w:rPr>
              <w:t>函数</w:t>
            </w:r>
            <w:r>
              <w:rPr>
                <w:rFonts w:hint="eastAsia" w:ascii="Calibri" w:hAnsi="Calibri" w:eastAsia="宋体" w:cs="Times New Roman"/>
                <w:sz w:val="24"/>
              </w:rPr>
              <w:t>的导数</w:t>
            </w:r>
          </w:p>
          <w:p w14:paraId="58D379DC">
            <w:pPr>
              <w:spacing w:line="276" w:lineRule="auto"/>
              <w:jc w:val="left"/>
              <w:rPr>
                <w:rFonts w:hint="eastAsia" w:ascii="宋体" w:hAnsi="宋体" w:eastAsia="宋体" w:cs="Times New Roman"/>
                <w:color w:val="000000"/>
                <w:szCs w:val="21"/>
              </w:rPr>
            </w:pPr>
          </w:p>
        </w:tc>
        <w:tc>
          <w:tcPr>
            <w:tcW w:w="1998" w:type="dxa"/>
            <w:vAlign w:val="center"/>
          </w:tcPr>
          <w:p w14:paraId="43F6DDE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0AC308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p>
          <w:p w14:paraId="18CF633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3.课堂讨论</w:t>
            </w:r>
          </w:p>
          <w:p w14:paraId="671D4436">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r>
      <w:tr w14:paraId="5832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5E4EC167">
            <w:pPr>
              <w:spacing w:line="276" w:lineRule="auto"/>
              <w:jc w:val="center"/>
              <w:rPr>
                <w:rFonts w:hint="eastAsia" w:ascii="宋体" w:hAnsi="宋体" w:eastAsia="宋体" w:cs="Times New Roman"/>
                <w:color w:val="000000"/>
                <w:szCs w:val="21"/>
              </w:rPr>
            </w:pPr>
          </w:p>
        </w:tc>
        <w:tc>
          <w:tcPr>
            <w:tcW w:w="8331" w:type="dxa"/>
            <w:gridSpan w:val="4"/>
            <w:vAlign w:val="center"/>
          </w:tcPr>
          <w:p w14:paraId="0E5E716D">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通过了解人的身心发展的特点，培养学生热爱教育事业和学生的情感，增强从事教育事业的责任感和使命感。</w:t>
            </w:r>
          </w:p>
        </w:tc>
      </w:tr>
      <w:tr w14:paraId="356E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13AB326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Calibri" w:hAnsi="Calibri" w:eastAsia="宋体" w:cs="Times New Roman"/>
                <w:b/>
                <w:sz w:val="24"/>
              </w:rPr>
              <w:t>微积分基本定理及应用</w:t>
            </w:r>
          </w:p>
        </w:tc>
        <w:tc>
          <w:tcPr>
            <w:tcW w:w="2691" w:type="dxa"/>
            <w:vAlign w:val="center"/>
          </w:tcPr>
          <w:p w14:paraId="29B9791A">
            <w:pPr>
              <w:spacing w:line="360" w:lineRule="auto"/>
              <w:rPr>
                <w:rFonts w:ascii="Calibri" w:hAnsi="Calibri" w:eastAsia="宋体" w:cs="Times New Roman"/>
                <w:sz w:val="24"/>
              </w:rPr>
            </w:pPr>
            <w:r>
              <w:rPr>
                <w:rFonts w:ascii="Calibri" w:hAnsi="Calibri" w:eastAsia="宋体" w:cs="Times New Roman"/>
                <w:sz w:val="24"/>
              </w:rPr>
              <w:t>（1）三大</w:t>
            </w:r>
            <w:r>
              <w:rPr>
                <w:rFonts w:ascii="Calibri" w:hAnsi="Calibri" w:eastAsia="宋体" w:cs="Times New Roman"/>
                <w:kern w:val="10"/>
                <w:sz w:val="24"/>
              </w:rPr>
              <w:t>中值定理</w:t>
            </w:r>
          </w:p>
          <w:p w14:paraId="4B67B290">
            <w:pPr>
              <w:spacing w:line="360" w:lineRule="auto"/>
              <w:rPr>
                <w:rFonts w:ascii="Calibri" w:hAnsi="Calibri" w:eastAsia="宋体" w:cs="Times New Roman"/>
                <w:sz w:val="24"/>
              </w:rPr>
            </w:pPr>
            <w:r>
              <w:rPr>
                <w:rFonts w:ascii="Calibri" w:hAnsi="Calibri" w:eastAsia="宋体" w:cs="Times New Roman"/>
                <w:sz w:val="24"/>
              </w:rPr>
              <w:t>（2）</w:t>
            </w:r>
            <w:r>
              <w:rPr>
                <w:rFonts w:ascii="Calibri" w:hAnsi="Calibri" w:eastAsia="宋体" w:cs="Times New Roman"/>
                <w:kern w:val="10"/>
                <w:sz w:val="24"/>
              </w:rPr>
              <w:t>洛必达法则</w:t>
            </w:r>
          </w:p>
          <w:p w14:paraId="643A092A">
            <w:pPr>
              <w:spacing w:line="360" w:lineRule="auto"/>
              <w:rPr>
                <w:rFonts w:ascii="Calibri" w:hAnsi="Calibri" w:eastAsia="宋体" w:cs="Times New Roman"/>
                <w:sz w:val="24"/>
              </w:rPr>
            </w:pPr>
            <w:r>
              <w:rPr>
                <w:rFonts w:ascii="Calibri" w:hAnsi="Calibri" w:eastAsia="宋体" w:cs="Times New Roman"/>
                <w:sz w:val="24"/>
              </w:rPr>
              <w:t>（3）</w:t>
            </w:r>
            <w:r>
              <w:rPr>
                <w:rFonts w:ascii="Calibri" w:hAnsi="Calibri" w:eastAsia="宋体" w:cs="Times New Roman"/>
                <w:kern w:val="10"/>
                <w:sz w:val="24"/>
              </w:rPr>
              <w:t>导数</w:t>
            </w:r>
            <w:r>
              <w:rPr>
                <w:rFonts w:hint="eastAsia" w:ascii="Calibri" w:hAnsi="Calibri" w:eastAsia="宋体" w:cs="Times New Roman"/>
                <w:kern w:val="10"/>
                <w:sz w:val="24"/>
              </w:rPr>
              <w:t>与</w:t>
            </w:r>
            <w:r>
              <w:rPr>
                <w:rFonts w:ascii="Calibri" w:hAnsi="Calibri" w:eastAsia="宋体" w:cs="Times New Roman"/>
                <w:kern w:val="10"/>
                <w:sz w:val="24"/>
              </w:rPr>
              <w:t>函数</w:t>
            </w:r>
          </w:p>
          <w:p w14:paraId="217E7BB5">
            <w:pPr>
              <w:spacing w:line="276" w:lineRule="auto"/>
              <w:jc w:val="left"/>
              <w:rPr>
                <w:rFonts w:hint="eastAsia" w:ascii="宋体" w:hAnsi="宋体" w:eastAsia="宋体" w:cs="Times New Roman"/>
                <w:color w:val="000000"/>
                <w:szCs w:val="21"/>
              </w:rPr>
            </w:pPr>
          </w:p>
        </w:tc>
        <w:tc>
          <w:tcPr>
            <w:tcW w:w="1191" w:type="dxa"/>
            <w:vAlign w:val="center"/>
          </w:tcPr>
          <w:p w14:paraId="0C5C945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451" w:type="dxa"/>
            <w:vAlign w:val="center"/>
          </w:tcPr>
          <w:p w14:paraId="56B483CF">
            <w:pPr>
              <w:spacing w:line="360" w:lineRule="auto"/>
              <w:rPr>
                <w:rFonts w:ascii="Calibri" w:hAnsi="Calibri" w:eastAsia="宋体" w:cs="Times New Roman"/>
                <w:sz w:val="24"/>
              </w:rPr>
            </w:pPr>
            <w:r>
              <w:rPr>
                <w:rFonts w:ascii="Calibri" w:hAnsi="Calibri" w:eastAsia="宋体" w:cs="Times New Roman"/>
                <w:sz w:val="24"/>
              </w:rPr>
              <w:t>（1）</w:t>
            </w:r>
            <w:r>
              <w:rPr>
                <w:rFonts w:ascii="Calibri" w:hAnsi="Calibri" w:eastAsia="宋体" w:cs="Times New Roman"/>
                <w:sz w:val="24"/>
                <w:szCs w:val="21"/>
              </w:rPr>
              <w:t>理解</w:t>
            </w:r>
            <w:r>
              <w:rPr>
                <w:rFonts w:ascii="Calibri" w:hAnsi="Calibri" w:eastAsia="宋体" w:cs="Times New Roman"/>
                <w:sz w:val="24"/>
              </w:rPr>
              <w:t>三大</w:t>
            </w:r>
            <w:r>
              <w:rPr>
                <w:rFonts w:ascii="Calibri" w:hAnsi="Calibri" w:eastAsia="宋体" w:cs="Times New Roman"/>
                <w:kern w:val="10"/>
                <w:sz w:val="24"/>
              </w:rPr>
              <w:t>中值定理及其应用</w:t>
            </w:r>
          </w:p>
          <w:p w14:paraId="663175BD">
            <w:pPr>
              <w:spacing w:line="360" w:lineRule="auto"/>
              <w:rPr>
                <w:rFonts w:ascii="Calibri" w:hAnsi="Calibri" w:eastAsia="宋体" w:cs="Times New Roman"/>
                <w:kern w:val="10"/>
                <w:sz w:val="24"/>
              </w:rPr>
            </w:pPr>
            <w:r>
              <w:rPr>
                <w:rFonts w:ascii="Calibri" w:hAnsi="Calibri" w:eastAsia="宋体" w:cs="Times New Roman"/>
                <w:sz w:val="24"/>
              </w:rPr>
              <w:t>（2）掌握</w:t>
            </w:r>
            <w:r>
              <w:rPr>
                <w:rFonts w:ascii="Calibri" w:hAnsi="Calibri" w:eastAsia="宋体" w:cs="Times New Roman"/>
                <w:kern w:val="10"/>
                <w:sz w:val="24"/>
              </w:rPr>
              <w:t>导数研究函数性态的方法</w:t>
            </w:r>
          </w:p>
          <w:p w14:paraId="127EAFD3">
            <w:pPr>
              <w:spacing w:line="276" w:lineRule="auto"/>
              <w:jc w:val="left"/>
              <w:rPr>
                <w:rFonts w:hint="eastAsia" w:ascii="宋体" w:hAnsi="宋体" w:eastAsia="宋体" w:cs="Times New Roman"/>
                <w:color w:val="000000"/>
                <w:szCs w:val="21"/>
              </w:rPr>
            </w:pPr>
            <w:r>
              <w:rPr>
                <w:rFonts w:hint="eastAsia" w:ascii="Calibri" w:hAnsi="Calibri" w:eastAsia="宋体" w:cs="Times New Roman"/>
                <w:kern w:val="10"/>
                <w:sz w:val="24"/>
              </w:rPr>
              <w:t>（3）利用中值定理，证明不等式或恒等式问题</w:t>
            </w:r>
          </w:p>
        </w:tc>
        <w:tc>
          <w:tcPr>
            <w:tcW w:w="1998" w:type="dxa"/>
            <w:vAlign w:val="center"/>
          </w:tcPr>
          <w:p w14:paraId="212BF52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E6918F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p>
          <w:p w14:paraId="10F0556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3.课堂讨论</w:t>
            </w:r>
          </w:p>
          <w:p w14:paraId="6F0888A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r>
      <w:tr w14:paraId="2520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722D3E9B">
            <w:pPr>
              <w:spacing w:line="276" w:lineRule="auto"/>
              <w:jc w:val="center"/>
              <w:rPr>
                <w:rFonts w:hint="eastAsia" w:ascii="宋体" w:hAnsi="宋体" w:eastAsia="宋体" w:cs="Times New Roman"/>
                <w:color w:val="000000"/>
                <w:szCs w:val="21"/>
              </w:rPr>
            </w:pPr>
          </w:p>
        </w:tc>
        <w:tc>
          <w:tcPr>
            <w:tcW w:w="8331" w:type="dxa"/>
            <w:gridSpan w:val="4"/>
            <w:vAlign w:val="center"/>
          </w:tcPr>
          <w:p w14:paraId="4CC7B964">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bl>
    <w:p w14:paraId="5C671F1D">
      <w:pPr>
        <w:spacing w:line="360" w:lineRule="auto"/>
        <w:ind w:firstLine="482" w:firstLineChars="200"/>
        <w:rPr>
          <w:rFonts w:ascii="Calibri" w:hAnsi="Calibri" w:eastAsia="宋体" w:cs="Times New Roman"/>
          <w:b/>
          <w:sz w:val="24"/>
        </w:rPr>
      </w:pPr>
      <w:r>
        <w:rPr>
          <w:rFonts w:ascii="Calibri" w:hAnsi="Calibri" w:eastAsia="宋体" w:cs="Times New Roman"/>
          <w:b/>
          <w:sz w:val="24"/>
        </w:rPr>
        <w:t>教学内容与课程目标的对应关系及学时分配如表所示：</w:t>
      </w:r>
    </w:p>
    <w:tbl>
      <w:tblPr>
        <w:tblStyle w:val="13"/>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703"/>
        <w:gridCol w:w="1775"/>
        <w:gridCol w:w="1722"/>
        <w:gridCol w:w="11"/>
        <w:gridCol w:w="687"/>
        <w:gridCol w:w="696"/>
      </w:tblGrid>
      <w:tr w14:paraId="5D07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4" w:type="dxa"/>
            <w:shd w:val="clear" w:color="auto" w:fill="FFFFFF"/>
            <w:vAlign w:val="center"/>
          </w:tcPr>
          <w:p w14:paraId="7B2192E5">
            <w:pPr>
              <w:spacing w:line="276" w:lineRule="auto"/>
              <w:jc w:val="center"/>
              <w:rPr>
                <w:rFonts w:hint="eastAsia" w:ascii="宋体" w:hAnsi="宋体" w:eastAsia="宋体" w:cs="Times New Roman"/>
                <w:b/>
                <w:szCs w:val="21"/>
              </w:rPr>
            </w:pPr>
            <w:r>
              <w:rPr>
                <w:rFonts w:ascii="宋体" w:hAnsi="宋体" w:eastAsia="宋体" w:cs="Times New Roman"/>
                <w:b/>
                <w:szCs w:val="21"/>
              </w:rPr>
              <w:t>序号</w:t>
            </w:r>
          </w:p>
        </w:tc>
        <w:tc>
          <w:tcPr>
            <w:tcW w:w="2703" w:type="dxa"/>
            <w:shd w:val="clear" w:color="auto" w:fill="FFFFFF"/>
            <w:vAlign w:val="center"/>
          </w:tcPr>
          <w:p w14:paraId="520D4297">
            <w:pPr>
              <w:spacing w:line="276" w:lineRule="auto"/>
              <w:jc w:val="center"/>
              <w:rPr>
                <w:rFonts w:hint="eastAsia" w:ascii="宋体" w:hAnsi="宋体" w:eastAsia="宋体" w:cs="Times New Roman"/>
                <w:b/>
                <w:szCs w:val="21"/>
              </w:rPr>
            </w:pPr>
            <w:r>
              <w:rPr>
                <w:rFonts w:ascii="宋体" w:hAnsi="宋体" w:eastAsia="宋体" w:cs="Times New Roman"/>
                <w:b/>
                <w:szCs w:val="21"/>
              </w:rPr>
              <w:t>教学内容</w:t>
            </w:r>
          </w:p>
        </w:tc>
        <w:tc>
          <w:tcPr>
            <w:tcW w:w="1775" w:type="dxa"/>
            <w:shd w:val="clear" w:color="auto" w:fill="FFFFFF"/>
            <w:vAlign w:val="center"/>
          </w:tcPr>
          <w:p w14:paraId="61C08E2B">
            <w:pPr>
              <w:spacing w:line="276" w:lineRule="auto"/>
              <w:jc w:val="center"/>
              <w:rPr>
                <w:rFonts w:hint="eastAsia" w:ascii="宋体" w:hAnsi="宋体" w:eastAsia="宋体" w:cs="Times New Roman"/>
                <w:b/>
                <w:szCs w:val="21"/>
              </w:rPr>
            </w:pPr>
            <w:r>
              <w:rPr>
                <w:rFonts w:ascii="宋体" w:hAnsi="宋体" w:eastAsia="宋体" w:cs="Times New Roman"/>
                <w:b/>
                <w:szCs w:val="21"/>
              </w:rPr>
              <w:t>支撑的课程目标</w:t>
            </w:r>
          </w:p>
        </w:tc>
        <w:tc>
          <w:tcPr>
            <w:tcW w:w="1722" w:type="dxa"/>
            <w:shd w:val="clear" w:color="auto" w:fill="FFFFFF"/>
            <w:vAlign w:val="center"/>
          </w:tcPr>
          <w:p w14:paraId="331AF65E">
            <w:pPr>
              <w:spacing w:line="276" w:lineRule="auto"/>
              <w:jc w:val="center"/>
              <w:rPr>
                <w:rFonts w:hint="eastAsia" w:ascii="宋体" w:hAnsi="宋体" w:eastAsia="宋体" w:cs="Times New Roman"/>
                <w:b/>
                <w:szCs w:val="21"/>
              </w:rPr>
            </w:pPr>
            <w:r>
              <w:rPr>
                <w:rFonts w:ascii="宋体" w:hAnsi="宋体" w:eastAsia="宋体" w:cs="Times New Roman"/>
                <w:b/>
                <w:szCs w:val="21"/>
              </w:rPr>
              <w:t>支撑的毕业要求指标点</w:t>
            </w:r>
          </w:p>
        </w:tc>
        <w:tc>
          <w:tcPr>
            <w:tcW w:w="698" w:type="dxa"/>
            <w:gridSpan w:val="2"/>
            <w:shd w:val="clear" w:color="auto" w:fill="FFFFFF"/>
            <w:vAlign w:val="center"/>
          </w:tcPr>
          <w:p w14:paraId="2C6A3975">
            <w:pPr>
              <w:spacing w:line="276" w:lineRule="auto"/>
              <w:jc w:val="center"/>
              <w:rPr>
                <w:rFonts w:hint="eastAsia" w:ascii="宋体" w:hAnsi="宋体" w:eastAsia="宋体" w:cs="Times New Roman"/>
                <w:b/>
                <w:szCs w:val="21"/>
              </w:rPr>
            </w:pPr>
            <w:r>
              <w:rPr>
                <w:rFonts w:ascii="宋体" w:hAnsi="宋体" w:eastAsia="宋体" w:cs="Times New Roman"/>
                <w:b/>
                <w:szCs w:val="21"/>
              </w:rPr>
              <w:t>讲授学时</w:t>
            </w:r>
          </w:p>
        </w:tc>
        <w:tc>
          <w:tcPr>
            <w:tcW w:w="696" w:type="dxa"/>
            <w:shd w:val="clear" w:color="auto" w:fill="FFFFFF"/>
            <w:vAlign w:val="center"/>
          </w:tcPr>
          <w:p w14:paraId="022B1805">
            <w:pPr>
              <w:spacing w:line="276" w:lineRule="auto"/>
              <w:jc w:val="center"/>
              <w:rPr>
                <w:rFonts w:hint="eastAsia" w:ascii="宋体" w:hAnsi="宋体" w:eastAsia="宋体" w:cs="Times New Roman"/>
                <w:b/>
                <w:szCs w:val="21"/>
              </w:rPr>
            </w:pPr>
            <w:r>
              <w:rPr>
                <w:rFonts w:ascii="宋体" w:hAnsi="宋体" w:eastAsia="宋体" w:cs="Times New Roman"/>
                <w:b/>
                <w:szCs w:val="21"/>
              </w:rPr>
              <w:t>实验</w:t>
            </w:r>
          </w:p>
          <w:p w14:paraId="4A453B7A">
            <w:pPr>
              <w:spacing w:line="276" w:lineRule="auto"/>
              <w:jc w:val="center"/>
              <w:rPr>
                <w:rFonts w:hint="eastAsia" w:ascii="宋体" w:hAnsi="宋体" w:eastAsia="宋体" w:cs="Times New Roman"/>
                <w:b/>
                <w:szCs w:val="21"/>
              </w:rPr>
            </w:pPr>
            <w:r>
              <w:rPr>
                <w:rFonts w:ascii="宋体" w:hAnsi="宋体" w:eastAsia="宋体" w:cs="Times New Roman"/>
                <w:b/>
                <w:szCs w:val="21"/>
              </w:rPr>
              <w:t>学时</w:t>
            </w:r>
          </w:p>
        </w:tc>
      </w:tr>
      <w:tr w14:paraId="4A69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64" w:type="dxa"/>
            <w:shd w:val="clear" w:color="auto" w:fill="FFFFFF"/>
            <w:vAlign w:val="center"/>
          </w:tcPr>
          <w:p w14:paraId="06785927">
            <w:pPr>
              <w:spacing w:line="276" w:lineRule="auto"/>
              <w:jc w:val="center"/>
              <w:rPr>
                <w:rFonts w:hint="eastAsia" w:ascii="宋体" w:hAnsi="宋体" w:eastAsia="宋体" w:cs="Times New Roman"/>
                <w:szCs w:val="21"/>
              </w:rPr>
            </w:pPr>
            <w:r>
              <w:rPr>
                <w:rFonts w:ascii="宋体" w:hAnsi="宋体" w:eastAsia="宋体" w:cs="Times New Roman"/>
                <w:szCs w:val="21"/>
              </w:rPr>
              <w:t>1</w:t>
            </w:r>
          </w:p>
        </w:tc>
        <w:tc>
          <w:tcPr>
            <w:tcW w:w="2703" w:type="dxa"/>
            <w:shd w:val="clear" w:color="auto" w:fill="FFFFFF"/>
            <w:vAlign w:val="center"/>
          </w:tcPr>
          <w:p w14:paraId="5200D029">
            <w:pPr>
              <w:spacing w:line="276" w:lineRule="auto"/>
              <w:jc w:val="center"/>
              <w:rPr>
                <w:rFonts w:hint="eastAsia" w:ascii="宋体" w:hAnsi="宋体" w:eastAsia="宋体" w:cs="Times New Roman"/>
                <w:kern w:val="0"/>
                <w:szCs w:val="21"/>
              </w:rPr>
            </w:pPr>
            <w:r>
              <w:rPr>
                <w:rFonts w:ascii="宋体" w:hAnsi="宋体" w:eastAsia="宋体" w:cs="Times New Roman"/>
                <w:szCs w:val="21"/>
              </w:rPr>
              <w:t>函数</w:t>
            </w:r>
          </w:p>
        </w:tc>
        <w:tc>
          <w:tcPr>
            <w:tcW w:w="1775" w:type="dxa"/>
            <w:shd w:val="clear" w:color="auto" w:fill="FFFFFF"/>
            <w:vAlign w:val="center"/>
          </w:tcPr>
          <w:p w14:paraId="043E8812">
            <w:pPr>
              <w:spacing w:line="276" w:lineRule="auto"/>
              <w:jc w:val="center"/>
              <w:rPr>
                <w:rFonts w:hint="eastAsia" w:ascii="宋体" w:hAnsi="宋体" w:eastAsia="宋体" w:cs="Times New Roman"/>
                <w:szCs w:val="21"/>
              </w:rPr>
            </w:pPr>
            <w:r>
              <w:rPr>
                <w:rFonts w:ascii="宋体" w:hAnsi="宋体" w:eastAsia="宋体" w:cs="Times New Roman"/>
                <w:kern w:val="0"/>
                <w:szCs w:val="21"/>
              </w:rPr>
              <w:t>目标</w:t>
            </w:r>
            <w:r>
              <w:rPr>
                <w:rFonts w:hint="eastAsia" w:ascii="宋体" w:hAnsi="宋体" w:eastAsia="宋体" w:cs="Times New Roman"/>
                <w:kern w:val="0"/>
                <w:szCs w:val="21"/>
              </w:rPr>
              <w:t>1</w:t>
            </w:r>
          </w:p>
        </w:tc>
        <w:tc>
          <w:tcPr>
            <w:tcW w:w="1722" w:type="dxa"/>
            <w:shd w:val="clear" w:color="auto" w:fill="FFFFFF"/>
            <w:vAlign w:val="center"/>
          </w:tcPr>
          <w:p w14:paraId="6DF6BF7A">
            <w:pPr>
              <w:spacing w:line="276" w:lineRule="auto"/>
              <w:jc w:val="center"/>
              <w:rPr>
                <w:rFonts w:hint="eastAsia" w:ascii="宋体" w:hAnsi="宋体" w:eastAsia="宋体" w:cs="Times New Roman"/>
                <w:szCs w:val="21"/>
              </w:rPr>
            </w:pPr>
            <w:r>
              <w:rPr>
                <w:rFonts w:ascii="宋体" w:hAnsi="宋体" w:eastAsia="宋体" w:cs="Times New Roman"/>
                <w:kern w:val="0"/>
                <w:szCs w:val="21"/>
              </w:rPr>
              <w:t>3-</w:t>
            </w:r>
            <w:r>
              <w:rPr>
                <w:rFonts w:hint="eastAsia" w:ascii="宋体" w:hAnsi="宋体" w:eastAsia="宋体" w:cs="Times New Roman"/>
                <w:kern w:val="0"/>
                <w:szCs w:val="21"/>
              </w:rPr>
              <w:t>2</w:t>
            </w:r>
          </w:p>
        </w:tc>
        <w:tc>
          <w:tcPr>
            <w:tcW w:w="698" w:type="dxa"/>
            <w:gridSpan w:val="2"/>
            <w:shd w:val="clear" w:color="auto" w:fill="FFFFFF"/>
            <w:vAlign w:val="center"/>
          </w:tcPr>
          <w:p w14:paraId="2E1C9A37">
            <w:pPr>
              <w:spacing w:line="276" w:lineRule="auto"/>
              <w:jc w:val="center"/>
              <w:rPr>
                <w:rFonts w:hint="eastAsia" w:ascii="宋体" w:hAnsi="宋体" w:eastAsia="宋体" w:cs="Times New Roman"/>
                <w:szCs w:val="21"/>
              </w:rPr>
            </w:pPr>
            <w:r>
              <w:rPr>
                <w:rFonts w:ascii="宋体" w:hAnsi="宋体" w:eastAsia="宋体" w:cs="Times New Roman"/>
                <w:szCs w:val="21"/>
              </w:rPr>
              <w:t>6</w:t>
            </w:r>
          </w:p>
        </w:tc>
        <w:tc>
          <w:tcPr>
            <w:tcW w:w="696" w:type="dxa"/>
            <w:shd w:val="clear" w:color="auto" w:fill="FFFFFF"/>
            <w:vAlign w:val="center"/>
          </w:tcPr>
          <w:p w14:paraId="1A55033A">
            <w:pPr>
              <w:spacing w:line="276" w:lineRule="auto"/>
              <w:jc w:val="center"/>
              <w:rPr>
                <w:rFonts w:hint="eastAsia" w:ascii="宋体" w:hAnsi="宋体" w:eastAsia="宋体" w:cs="Times New Roman"/>
                <w:kern w:val="0"/>
                <w:szCs w:val="21"/>
              </w:rPr>
            </w:pPr>
          </w:p>
        </w:tc>
      </w:tr>
      <w:tr w14:paraId="35E2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64" w:type="dxa"/>
            <w:vAlign w:val="center"/>
          </w:tcPr>
          <w:p w14:paraId="5052E661">
            <w:pPr>
              <w:spacing w:line="276" w:lineRule="auto"/>
              <w:jc w:val="center"/>
              <w:rPr>
                <w:rFonts w:hint="eastAsia" w:ascii="宋体" w:hAnsi="宋体" w:eastAsia="宋体" w:cs="Times New Roman"/>
                <w:szCs w:val="21"/>
              </w:rPr>
            </w:pPr>
            <w:r>
              <w:rPr>
                <w:rFonts w:ascii="宋体" w:hAnsi="宋体" w:eastAsia="宋体" w:cs="Times New Roman"/>
                <w:szCs w:val="21"/>
              </w:rPr>
              <w:t>2</w:t>
            </w:r>
          </w:p>
        </w:tc>
        <w:tc>
          <w:tcPr>
            <w:tcW w:w="2703" w:type="dxa"/>
            <w:vAlign w:val="center"/>
          </w:tcPr>
          <w:p w14:paraId="175CEADC">
            <w:pPr>
              <w:spacing w:line="276" w:lineRule="auto"/>
              <w:jc w:val="center"/>
              <w:rPr>
                <w:rFonts w:hint="eastAsia" w:ascii="宋体" w:hAnsi="宋体" w:eastAsia="宋体" w:cs="Times New Roman"/>
                <w:kern w:val="0"/>
                <w:szCs w:val="21"/>
              </w:rPr>
            </w:pPr>
            <w:r>
              <w:rPr>
                <w:rFonts w:ascii="宋体" w:hAnsi="宋体" w:eastAsia="宋体" w:cs="Times New Roman"/>
                <w:szCs w:val="21"/>
              </w:rPr>
              <w:t>极限</w:t>
            </w:r>
          </w:p>
        </w:tc>
        <w:tc>
          <w:tcPr>
            <w:tcW w:w="1775" w:type="dxa"/>
            <w:vAlign w:val="center"/>
          </w:tcPr>
          <w:p w14:paraId="62AAC8AB">
            <w:pPr>
              <w:spacing w:line="276" w:lineRule="auto"/>
              <w:jc w:val="center"/>
              <w:rPr>
                <w:rFonts w:hint="eastAsia" w:ascii="宋体" w:hAnsi="宋体" w:eastAsia="宋体" w:cs="Times New Roman"/>
                <w:szCs w:val="21"/>
              </w:rPr>
            </w:pPr>
            <w:r>
              <w:rPr>
                <w:rFonts w:ascii="宋体" w:hAnsi="宋体" w:eastAsia="宋体" w:cs="Times New Roman"/>
                <w:kern w:val="0"/>
                <w:szCs w:val="21"/>
              </w:rPr>
              <w:t>目标1</w:t>
            </w:r>
            <w:r>
              <w:rPr>
                <w:rFonts w:hint="eastAsia" w:ascii="宋体" w:hAnsi="宋体" w:eastAsia="宋体" w:cs="Times New Roman"/>
                <w:kern w:val="0"/>
                <w:szCs w:val="21"/>
              </w:rPr>
              <w:t>、2</w:t>
            </w:r>
          </w:p>
        </w:tc>
        <w:tc>
          <w:tcPr>
            <w:tcW w:w="1722" w:type="dxa"/>
            <w:vAlign w:val="center"/>
          </w:tcPr>
          <w:p w14:paraId="4CE144A7">
            <w:pPr>
              <w:spacing w:line="276" w:lineRule="auto"/>
              <w:jc w:val="center"/>
              <w:rPr>
                <w:rFonts w:hint="eastAsia" w:ascii="宋体" w:hAnsi="宋体" w:eastAsia="宋体" w:cs="Times New Roman"/>
                <w:szCs w:val="21"/>
              </w:rPr>
            </w:pPr>
            <w:r>
              <w:rPr>
                <w:rFonts w:ascii="宋体" w:hAnsi="宋体" w:eastAsia="宋体" w:cs="Times New Roman"/>
                <w:kern w:val="0"/>
                <w:szCs w:val="21"/>
              </w:rPr>
              <w:t>3-2</w:t>
            </w:r>
          </w:p>
        </w:tc>
        <w:tc>
          <w:tcPr>
            <w:tcW w:w="698" w:type="dxa"/>
            <w:gridSpan w:val="2"/>
            <w:vAlign w:val="center"/>
          </w:tcPr>
          <w:p w14:paraId="79139028">
            <w:pPr>
              <w:spacing w:line="276" w:lineRule="auto"/>
              <w:jc w:val="center"/>
              <w:rPr>
                <w:rFonts w:hint="eastAsia" w:ascii="宋体" w:hAnsi="宋体" w:eastAsia="宋体" w:cs="Times New Roman"/>
                <w:szCs w:val="21"/>
              </w:rPr>
            </w:pPr>
            <w:r>
              <w:rPr>
                <w:rFonts w:ascii="宋体" w:hAnsi="宋体" w:eastAsia="宋体" w:cs="Times New Roman"/>
                <w:szCs w:val="21"/>
              </w:rPr>
              <w:t>12</w:t>
            </w:r>
          </w:p>
        </w:tc>
        <w:tc>
          <w:tcPr>
            <w:tcW w:w="696" w:type="dxa"/>
            <w:vAlign w:val="center"/>
          </w:tcPr>
          <w:p w14:paraId="7E8E5865">
            <w:pPr>
              <w:spacing w:line="276" w:lineRule="auto"/>
              <w:jc w:val="center"/>
              <w:rPr>
                <w:rFonts w:hint="eastAsia" w:ascii="宋体" w:hAnsi="宋体" w:eastAsia="宋体" w:cs="Times New Roman"/>
                <w:kern w:val="0"/>
                <w:szCs w:val="21"/>
              </w:rPr>
            </w:pPr>
          </w:p>
        </w:tc>
      </w:tr>
      <w:tr w14:paraId="7D39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64" w:type="dxa"/>
            <w:vAlign w:val="center"/>
          </w:tcPr>
          <w:p w14:paraId="3F708674">
            <w:pPr>
              <w:spacing w:line="276" w:lineRule="auto"/>
              <w:jc w:val="center"/>
              <w:rPr>
                <w:rFonts w:hint="eastAsia" w:ascii="宋体" w:hAnsi="宋体" w:eastAsia="宋体" w:cs="Times New Roman"/>
                <w:szCs w:val="21"/>
              </w:rPr>
            </w:pPr>
            <w:r>
              <w:rPr>
                <w:rFonts w:ascii="宋体" w:hAnsi="宋体" w:eastAsia="宋体" w:cs="Times New Roman"/>
                <w:szCs w:val="21"/>
              </w:rPr>
              <w:t>3</w:t>
            </w:r>
          </w:p>
        </w:tc>
        <w:tc>
          <w:tcPr>
            <w:tcW w:w="2703" w:type="dxa"/>
            <w:vAlign w:val="center"/>
          </w:tcPr>
          <w:p w14:paraId="5AE2EF4C">
            <w:pPr>
              <w:spacing w:line="276" w:lineRule="auto"/>
              <w:jc w:val="center"/>
              <w:rPr>
                <w:rFonts w:hint="eastAsia" w:ascii="宋体" w:hAnsi="宋体" w:eastAsia="宋体" w:cs="Times New Roman"/>
                <w:szCs w:val="21"/>
              </w:rPr>
            </w:pPr>
            <w:r>
              <w:rPr>
                <w:rFonts w:ascii="宋体" w:hAnsi="宋体" w:eastAsia="宋体" w:cs="Times New Roman"/>
                <w:szCs w:val="21"/>
              </w:rPr>
              <w:t>连续函数</w:t>
            </w:r>
          </w:p>
        </w:tc>
        <w:tc>
          <w:tcPr>
            <w:tcW w:w="1775" w:type="dxa"/>
            <w:vAlign w:val="center"/>
          </w:tcPr>
          <w:p w14:paraId="4F032AAC">
            <w:pPr>
              <w:spacing w:line="276" w:lineRule="auto"/>
              <w:jc w:val="center"/>
              <w:rPr>
                <w:rFonts w:hint="eastAsia" w:ascii="宋体" w:hAnsi="宋体" w:eastAsia="宋体" w:cs="Times New Roman"/>
                <w:szCs w:val="21"/>
              </w:rPr>
            </w:pPr>
            <w:r>
              <w:rPr>
                <w:rFonts w:ascii="宋体" w:hAnsi="宋体" w:eastAsia="宋体" w:cs="Times New Roman"/>
                <w:kern w:val="0"/>
                <w:szCs w:val="21"/>
              </w:rPr>
              <w:t>目标1</w:t>
            </w:r>
            <w:r>
              <w:rPr>
                <w:rFonts w:hint="eastAsia" w:ascii="宋体" w:hAnsi="宋体" w:eastAsia="宋体" w:cs="Times New Roman"/>
                <w:kern w:val="0"/>
                <w:szCs w:val="21"/>
              </w:rPr>
              <w:t>、2</w:t>
            </w:r>
          </w:p>
        </w:tc>
        <w:tc>
          <w:tcPr>
            <w:tcW w:w="1722" w:type="dxa"/>
            <w:vAlign w:val="center"/>
          </w:tcPr>
          <w:p w14:paraId="4788F02F">
            <w:pPr>
              <w:spacing w:line="276" w:lineRule="auto"/>
              <w:jc w:val="center"/>
              <w:rPr>
                <w:rFonts w:hint="eastAsia" w:ascii="宋体" w:hAnsi="宋体" w:eastAsia="宋体" w:cs="Times New Roman"/>
                <w:szCs w:val="21"/>
              </w:rPr>
            </w:pPr>
            <w:r>
              <w:rPr>
                <w:rFonts w:ascii="宋体" w:hAnsi="宋体" w:eastAsia="宋体" w:cs="Times New Roman"/>
                <w:kern w:val="0"/>
                <w:szCs w:val="21"/>
              </w:rPr>
              <w:t>3-2</w:t>
            </w:r>
          </w:p>
        </w:tc>
        <w:tc>
          <w:tcPr>
            <w:tcW w:w="698" w:type="dxa"/>
            <w:gridSpan w:val="2"/>
            <w:vAlign w:val="center"/>
          </w:tcPr>
          <w:p w14:paraId="6B7323E6">
            <w:pPr>
              <w:spacing w:line="276" w:lineRule="auto"/>
              <w:jc w:val="center"/>
              <w:rPr>
                <w:rFonts w:hint="eastAsia" w:ascii="宋体" w:hAnsi="宋体" w:eastAsia="宋体" w:cs="Times New Roman"/>
                <w:szCs w:val="21"/>
              </w:rPr>
            </w:pPr>
            <w:r>
              <w:rPr>
                <w:rFonts w:ascii="宋体" w:hAnsi="宋体" w:eastAsia="宋体" w:cs="Times New Roman"/>
                <w:szCs w:val="21"/>
              </w:rPr>
              <w:t>8</w:t>
            </w:r>
          </w:p>
        </w:tc>
        <w:tc>
          <w:tcPr>
            <w:tcW w:w="696" w:type="dxa"/>
            <w:vAlign w:val="center"/>
          </w:tcPr>
          <w:p w14:paraId="3B350CD1">
            <w:pPr>
              <w:spacing w:line="276" w:lineRule="auto"/>
              <w:jc w:val="center"/>
              <w:rPr>
                <w:rFonts w:hint="eastAsia" w:ascii="宋体" w:hAnsi="宋体" w:eastAsia="宋体" w:cs="Times New Roman"/>
                <w:kern w:val="0"/>
                <w:szCs w:val="21"/>
              </w:rPr>
            </w:pPr>
          </w:p>
        </w:tc>
      </w:tr>
      <w:tr w14:paraId="53EC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64" w:type="dxa"/>
            <w:vAlign w:val="center"/>
          </w:tcPr>
          <w:p w14:paraId="2045DC78">
            <w:pPr>
              <w:spacing w:line="276" w:lineRule="auto"/>
              <w:jc w:val="center"/>
              <w:rPr>
                <w:rFonts w:hint="eastAsia" w:ascii="宋体" w:hAnsi="宋体" w:eastAsia="宋体" w:cs="Times New Roman"/>
                <w:szCs w:val="21"/>
              </w:rPr>
            </w:pPr>
            <w:r>
              <w:rPr>
                <w:rFonts w:ascii="宋体" w:hAnsi="宋体" w:eastAsia="宋体" w:cs="Times New Roman"/>
                <w:szCs w:val="21"/>
              </w:rPr>
              <w:t>4</w:t>
            </w:r>
          </w:p>
        </w:tc>
        <w:tc>
          <w:tcPr>
            <w:tcW w:w="2703" w:type="dxa"/>
            <w:vAlign w:val="center"/>
          </w:tcPr>
          <w:p w14:paraId="33279D78">
            <w:pPr>
              <w:spacing w:line="276" w:lineRule="auto"/>
              <w:jc w:val="center"/>
              <w:rPr>
                <w:rFonts w:hint="eastAsia" w:ascii="宋体" w:hAnsi="宋体" w:eastAsia="宋体" w:cs="Times New Roman"/>
                <w:szCs w:val="21"/>
              </w:rPr>
            </w:pPr>
            <w:r>
              <w:rPr>
                <w:rFonts w:ascii="宋体" w:hAnsi="宋体" w:eastAsia="宋体" w:cs="Times New Roman"/>
                <w:szCs w:val="21"/>
              </w:rPr>
              <w:t>导数与微分</w:t>
            </w:r>
          </w:p>
        </w:tc>
        <w:tc>
          <w:tcPr>
            <w:tcW w:w="1775" w:type="dxa"/>
            <w:vAlign w:val="center"/>
          </w:tcPr>
          <w:p w14:paraId="11D0CF13">
            <w:pPr>
              <w:spacing w:line="276" w:lineRule="auto"/>
              <w:jc w:val="center"/>
              <w:rPr>
                <w:rFonts w:hint="eastAsia" w:ascii="宋体" w:hAnsi="宋体" w:eastAsia="宋体" w:cs="Times New Roman"/>
                <w:szCs w:val="21"/>
              </w:rPr>
            </w:pPr>
            <w:r>
              <w:rPr>
                <w:rFonts w:ascii="宋体" w:hAnsi="宋体" w:eastAsia="宋体" w:cs="Times New Roman"/>
                <w:kern w:val="0"/>
                <w:szCs w:val="21"/>
              </w:rPr>
              <w:t>目标1</w:t>
            </w:r>
            <w:r>
              <w:rPr>
                <w:rFonts w:hint="eastAsia" w:ascii="宋体" w:hAnsi="宋体" w:eastAsia="宋体" w:cs="Times New Roman"/>
                <w:kern w:val="0"/>
                <w:szCs w:val="21"/>
              </w:rPr>
              <w:t>、2</w:t>
            </w:r>
          </w:p>
        </w:tc>
        <w:tc>
          <w:tcPr>
            <w:tcW w:w="1722" w:type="dxa"/>
            <w:vAlign w:val="center"/>
          </w:tcPr>
          <w:p w14:paraId="12A4D483">
            <w:pPr>
              <w:spacing w:line="276" w:lineRule="auto"/>
              <w:jc w:val="center"/>
              <w:rPr>
                <w:rFonts w:hint="eastAsia" w:ascii="宋体" w:hAnsi="宋体" w:eastAsia="宋体" w:cs="Times New Roman"/>
                <w:szCs w:val="21"/>
              </w:rPr>
            </w:pPr>
            <w:r>
              <w:rPr>
                <w:rFonts w:ascii="宋体" w:hAnsi="宋体" w:eastAsia="宋体" w:cs="Times New Roman"/>
                <w:kern w:val="0"/>
                <w:szCs w:val="21"/>
              </w:rPr>
              <w:t>3-2</w:t>
            </w:r>
          </w:p>
        </w:tc>
        <w:tc>
          <w:tcPr>
            <w:tcW w:w="698" w:type="dxa"/>
            <w:gridSpan w:val="2"/>
            <w:vAlign w:val="center"/>
          </w:tcPr>
          <w:p w14:paraId="58795970">
            <w:pPr>
              <w:spacing w:line="276" w:lineRule="auto"/>
              <w:jc w:val="center"/>
              <w:rPr>
                <w:rFonts w:hint="eastAsia" w:ascii="宋体" w:hAnsi="宋体" w:eastAsia="宋体" w:cs="Times New Roman"/>
                <w:szCs w:val="21"/>
              </w:rPr>
            </w:pPr>
            <w:r>
              <w:rPr>
                <w:rFonts w:ascii="宋体" w:hAnsi="宋体" w:eastAsia="宋体" w:cs="Times New Roman"/>
                <w:szCs w:val="21"/>
              </w:rPr>
              <w:t>14</w:t>
            </w:r>
          </w:p>
        </w:tc>
        <w:tc>
          <w:tcPr>
            <w:tcW w:w="696" w:type="dxa"/>
            <w:vAlign w:val="center"/>
          </w:tcPr>
          <w:p w14:paraId="42691233">
            <w:pPr>
              <w:spacing w:line="276" w:lineRule="auto"/>
              <w:jc w:val="center"/>
              <w:rPr>
                <w:rFonts w:hint="eastAsia" w:ascii="宋体" w:hAnsi="宋体" w:eastAsia="宋体" w:cs="Times New Roman"/>
                <w:kern w:val="0"/>
                <w:szCs w:val="21"/>
              </w:rPr>
            </w:pPr>
          </w:p>
        </w:tc>
      </w:tr>
      <w:tr w14:paraId="0B06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64" w:type="dxa"/>
            <w:vAlign w:val="center"/>
          </w:tcPr>
          <w:p w14:paraId="23A1D1F3">
            <w:pPr>
              <w:spacing w:line="276" w:lineRule="auto"/>
              <w:jc w:val="center"/>
              <w:rPr>
                <w:rFonts w:hint="eastAsia" w:ascii="宋体" w:hAnsi="宋体" w:eastAsia="宋体" w:cs="Times New Roman"/>
                <w:szCs w:val="21"/>
              </w:rPr>
            </w:pPr>
            <w:r>
              <w:rPr>
                <w:rFonts w:ascii="宋体" w:hAnsi="宋体" w:eastAsia="宋体" w:cs="Times New Roman"/>
                <w:szCs w:val="21"/>
              </w:rPr>
              <w:t>5</w:t>
            </w:r>
          </w:p>
        </w:tc>
        <w:tc>
          <w:tcPr>
            <w:tcW w:w="2703" w:type="dxa"/>
            <w:vAlign w:val="center"/>
          </w:tcPr>
          <w:p w14:paraId="1200116D">
            <w:pPr>
              <w:spacing w:line="276" w:lineRule="auto"/>
              <w:jc w:val="center"/>
              <w:rPr>
                <w:rFonts w:hint="eastAsia" w:ascii="宋体" w:hAnsi="宋体" w:eastAsia="宋体" w:cs="Times New Roman"/>
                <w:szCs w:val="21"/>
              </w:rPr>
            </w:pPr>
            <w:r>
              <w:rPr>
                <w:rFonts w:ascii="宋体" w:hAnsi="宋体" w:eastAsia="宋体" w:cs="Times New Roman"/>
                <w:szCs w:val="21"/>
              </w:rPr>
              <w:t>微积分基本定理及应用</w:t>
            </w:r>
          </w:p>
        </w:tc>
        <w:tc>
          <w:tcPr>
            <w:tcW w:w="1775" w:type="dxa"/>
            <w:vAlign w:val="center"/>
          </w:tcPr>
          <w:p w14:paraId="27A93447">
            <w:pPr>
              <w:spacing w:line="276" w:lineRule="auto"/>
              <w:jc w:val="center"/>
              <w:rPr>
                <w:rFonts w:hint="eastAsia" w:ascii="宋体" w:hAnsi="宋体" w:eastAsia="宋体" w:cs="Times New Roman"/>
                <w:szCs w:val="21"/>
              </w:rPr>
            </w:pPr>
            <w:r>
              <w:rPr>
                <w:rFonts w:ascii="宋体" w:hAnsi="宋体" w:eastAsia="宋体" w:cs="Times New Roman"/>
                <w:kern w:val="0"/>
                <w:szCs w:val="21"/>
              </w:rPr>
              <w:t>目标1</w:t>
            </w:r>
            <w:r>
              <w:rPr>
                <w:rFonts w:hint="eastAsia" w:ascii="宋体" w:hAnsi="宋体" w:eastAsia="宋体" w:cs="Times New Roman"/>
                <w:kern w:val="0"/>
                <w:szCs w:val="21"/>
              </w:rPr>
              <w:t>、2</w:t>
            </w:r>
          </w:p>
        </w:tc>
        <w:tc>
          <w:tcPr>
            <w:tcW w:w="1722" w:type="dxa"/>
            <w:vAlign w:val="center"/>
          </w:tcPr>
          <w:p w14:paraId="21474BAE">
            <w:pPr>
              <w:spacing w:line="276" w:lineRule="auto"/>
              <w:jc w:val="center"/>
              <w:rPr>
                <w:rFonts w:hint="eastAsia" w:ascii="宋体" w:hAnsi="宋体" w:eastAsia="宋体" w:cs="Times New Roman"/>
                <w:szCs w:val="21"/>
              </w:rPr>
            </w:pPr>
            <w:r>
              <w:rPr>
                <w:rFonts w:ascii="宋体" w:hAnsi="宋体" w:eastAsia="宋体" w:cs="Times New Roman"/>
                <w:kern w:val="0"/>
                <w:szCs w:val="21"/>
              </w:rPr>
              <w:t>3-2</w:t>
            </w:r>
          </w:p>
        </w:tc>
        <w:tc>
          <w:tcPr>
            <w:tcW w:w="698" w:type="dxa"/>
            <w:gridSpan w:val="2"/>
            <w:vAlign w:val="center"/>
          </w:tcPr>
          <w:p w14:paraId="472F1B6A">
            <w:pPr>
              <w:spacing w:line="276" w:lineRule="auto"/>
              <w:jc w:val="center"/>
              <w:rPr>
                <w:rFonts w:hint="eastAsia" w:ascii="宋体" w:hAnsi="宋体" w:eastAsia="宋体" w:cs="Times New Roman"/>
                <w:szCs w:val="21"/>
              </w:rPr>
            </w:pPr>
            <w:r>
              <w:rPr>
                <w:rFonts w:ascii="宋体" w:hAnsi="宋体" w:eastAsia="宋体" w:cs="Times New Roman"/>
                <w:szCs w:val="21"/>
              </w:rPr>
              <w:t>8</w:t>
            </w:r>
          </w:p>
        </w:tc>
        <w:tc>
          <w:tcPr>
            <w:tcW w:w="696" w:type="dxa"/>
            <w:vAlign w:val="center"/>
          </w:tcPr>
          <w:p w14:paraId="753B9D1A">
            <w:pPr>
              <w:spacing w:line="276" w:lineRule="auto"/>
              <w:jc w:val="center"/>
              <w:rPr>
                <w:rFonts w:hint="eastAsia" w:ascii="宋体" w:hAnsi="宋体" w:eastAsia="宋体" w:cs="Times New Roman"/>
                <w:kern w:val="0"/>
                <w:szCs w:val="21"/>
              </w:rPr>
            </w:pPr>
          </w:p>
        </w:tc>
      </w:tr>
      <w:tr w14:paraId="7947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975" w:type="dxa"/>
            <w:gridSpan w:val="5"/>
            <w:vAlign w:val="center"/>
          </w:tcPr>
          <w:p w14:paraId="230CB2EB">
            <w:pPr>
              <w:spacing w:line="276" w:lineRule="auto"/>
              <w:jc w:val="center"/>
              <w:rPr>
                <w:rFonts w:hint="eastAsia" w:ascii="宋体" w:hAnsi="宋体" w:eastAsia="宋体" w:cs="Times New Roman"/>
                <w:szCs w:val="21"/>
              </w:rPr>
            </w:pPr>
            <w:r>
              <w:rPr>
                <w:rFonts w:ascii="宋体" w:hAnsi="宋体" w:eastAsia="宋体" w:cs="Times New Roman"/>
                <w:szCs w:val="21"/>
              </w:rPr>
              <w:t>合计</w:t>
            </w:r>
          </w:p>
        </w:tc>
        <w:tc>
          <w:tcPr>
            <w:tcW w:w="687" w:type="dxa"/>
            <w:vAlign w:val="center"/>
          </w:tcPr>
          <w:p w14:paraId="39389C44">
            <w:pPr>
              <w:spacing w:line="276" w:lineRule="auto"/>
              <w:jc w:val="center"/>
              <w:rPr>
                <w:rFonts w:hint="eastAsia" w:ascii="宋体" w:hAnsi="宋体" w:eastAsia="宋体" w:cs="Times New Roman"/>
                <w:szCs w:val="21"/>
              </w:rPr>
            </w:pPr>
            <w:r>
              <w:rPr>
                <w:rFonts w:ascii="宋体" w:hAnsi="宋体" w:eastAsia="宋体" w:cs="Times New Roman"/>
                <w:szCs w:val="21"/>
              </w:rPr>
              <w:t>48</w:t>
            </w:r>
          </w:p>
        </w:tc>
        <w:tc>
          <w:tcPr>
            <w:tcW w:w="696" w:type="dxa"/>
            <w:vAlign w:val="center"/>
          </w:tcPr>
          <w:p w14:paraId="4BCFADB3">
            <w:pPr>
              <w:spacing w:line="276" w:lineRule="auto"/>
              <w:jc w:val="center"/>
              <w:rPr>
                <w:rFonts w:hint="eastAsia" w:ascii="宋体" w:hAnsi="宋体" w:eastAsia="宋体" w:cs="Times New Roman"/>
                <w:kern w:val="0"/>
                <w:szCs w:val="21"/>
              </w:rPr>
            </w:pPr>
          </w:p>
        </w:tc>
      </w:tr>
    </w:tbl>
    <w:p w14:paraId="49EFAFE9">
      <w:pPr>
        <w:spacing w:line="360" w:lineRule="auto"/>
        <w:ind w:firstLine="482" w:firstLineChars="200"/>
        <w:rPr>
          <w:rFonts w:ascii="Calibri" w:hAnsi="Calibri" w:eastAsia="宋体" w:cs="Times New Roman"/>
          <w:b/>
          <w:sz w:val="24"/>
        </w:rPr>
      </w:pPr>
      <w:bookmarkStart w:id="193" w:name="_Toc19729761"/>
    </w:p>
    <w:p w14:paraId="0B3C6C78">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2819DD82">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03539A9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w:t>
      </w:r>
      <w:r>
        <w:rPr>
          <w:rFonts w:ascii="Times New Roman" w:hAnsi="Times New Roman" w:eastAsia="宋体" w:cs="Times New Roman"/>
          <w:szCs w:val="21"/>
        </w:rPr>
        <w:t>所示。</w:t>
      </w:r>
    </w:p>
    <w:p w14:paraId="395F89CC">
      <w:pPr>
        <w:spacing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5678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1362E4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699479C">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315CF6E7">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37F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109EF0C">
            <w:pPr>
              <w:spacing w:line="360" w:lineRule="auto"/>
              <w:jc w:val="center"/>
              <w:rPr>
                <w:rFonts w:hint="eastAsia" w:ascii="宋体" w:hAnsi="宋体" w:eastAsia="宋体" w:cs="Times New Roman"/>
                <w:szCs w:val="21"/>
              </w:rPr>
            </w:pPr>
          </w:p>
        </w:tc>
        <w:tc>
          <w:tcPr>
            <w:tcW w:w="0" w:type="auto"/>
            <w:vAlign w:val="center"/>
          </w:tcPr>
          <w:p w14:paraId="2524979F">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07D976C6">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3CAE2C66">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00EA0DD0">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2E20A65A">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359A909B">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05AA5B59">
            <w:pPr>
              <w:spacing w:line="360" w:lineRule="auto"/>
              <w:jc w:val="center"/>
              <w:rPr>
                <w:rFonts w:hint="eastAsia" w:ascii="宋体" w:hAnsi="宋体" w:eastAsia="宋体" w:cs="Times New Roman"/>
                <w:szCs w:val="21"/>
              </w:rPr>
            </w:pPr>
          </w:p>
        </w:tc>
      </w:tr>
      <w:tr w14:paraId="034B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94329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6966DBA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A0539B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583BCC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9ED1673">
            <w:pPr>
              <w:spacing w:line="360" w:lineRule="auto"/>
              <w:jc w:val="center"/>
              <w:rPr>
                <w:rFonts w:hint="eastAsia" w:ascii="宋体" w:hAnsi="宋体" w:eastAsia="宋体" w:cs="Times New Roman"/>
                <w:szCs w:val="21"/>
              </w:rPr>
            </w:pPr>
          </w:p>
        </w:tc>
        <w:tc>
          <w:tcPr>
            <w:tcW w:w="0" w:type="auto"/>
            <w:vAlign w:val="center"/>
          </w:tcPr>
          <w:p w14:paraId="2783078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68C59AE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FD40187">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3536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6D4725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1F33F23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6DFFAB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9A13745">
            <w:pPr>
              <w:spacing w:line="360" w:lineRule="auto"/>
              <w:jc w:val="center"/>
              <w:rPr>
                <w:rFonts w:hint="eastAsia" w:ascii="宋体" w:hAnsi="宋体" w:eastAsia="宋体" w:cs="Times New Roman"/>
                <w:szCs w:val="21"/>
              </w:rPr>
            </w:pPr>
          </w:p>
        </w:tc>
        <w:tc>
          <w:tcPr>
            <w:tcW w:w="0" w:type="auto"/>
            <w:vAlign w:val="center"/>
          </w:tcPr>
          <w:p w14:paraId="38D247E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61CD4C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4B1B1C00">
            <w:pPr>
              <w:spacing w:line="360" w:lineRule="auto"/>
              <w:jc w:val="center"/>
              <w:rPr>
                <w:rFonts w:hint="eastAsia" w:ascii="宋体" w:hAnsi="宋体" w:eastAsia="宋体" w:cs="Times New Roman"/>
                <w:szCs w:val="21"/>
              </w:rPr>
            </w:pPr>
          </w:p>
        </w:tc>
        <w:tc>
          <w:tcPr>
            <w:tcW w:w="0" w:type="auto"/>
            <w:vAlign w:val="center"/>
          </w:tcPr>
          <w:p w14:paraId="6A0DF9D9">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547F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78DAF2E">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3186305C">
            <w:pPr>
              <w:spacing w:line="360" w:lineRule="auto"/>
              <w:jc w:val="center"/>
              <w:rPr>
                <w:rFonts w:hint="eastAsia" w:ascii="宋体" w:hAnsi="宋体" w:eastAsia="宋体" w:cs="Times New Roman"/>
                <w:szCs w:val="21"/>
              </w:rPr>
            </w:pPr>
          </w:p>
        </w:tc>
        <w:tc>
          <w:tcPr>
            <w:tcW w:w="0" w:type="auto"/>
            <w:vAlign w:val="center"/>
          </w:tcPr>
          <w:p w14:paraId="03F9F931">
            <w:pPr>
              <w:spacing w:line="360" w:lineRule="auto"/>
              <w:jc w:val="center"/>
              <w:rPr>
                <w:rFonts w:hint="eastAsia" w:ascii="宋体" w:hAnsi="宋体" w:eastAsia="宋体" w:cs="Times New Roman"/>
                <w:szCs w:val="21"/>
              </w:rPr>
            </w:pPr>
          </w:p>
        </w:tc>
        <w:tc>
          <w:tcPr>
            <w:tcW w:w="0" w:type="auto"/>
            <w:vAlign w:val="center"/>
          </w:tcPr>
          <w:p w14:paraId="27D97005">
            <w:pPr>
              <w:spacing w:line="360" w:lineRule="auto"/>
              <w:jc w:val="center"/>
              <w:rPr>
                <w:rFonts w:hint="eastAsia" w:ascii="宋体" w:hAnsi="宋体" w:eastAsia="宋体" w:cs="Times New Roman"/>
                <w:szCs w:val="21"/>
              </w:rPr>
            </w:pPr>
          </w:p>
        </w:tc>
        <w:tc>
          <w:tcPr>
            <w:tcW w:w="0" w:type="auto"/>
            <w:vAlign w:val="center"/>
          </w:tcPr>
          <w:p w14:paraId="5BAB3187">
            <w:pPr>
              <w:spacing w:line="360" w:lineRule="auto"/>
              <w:jc w:val="center"/>
              <w:rPr>
                <w:rFonts w:hint="eastAsia" w:ascii="宋体" w:hAnsi="宋体" w:eastAsia="宋体" w:cs="Times New Roman"/>
                <w:szCs w:val="21"/>
              </w:rPr>
            </w:pPr>
          </w:p>
        </w:tc>
        <w:tc>
          <w:tcPr>
            <w:tcW w:w="0" w:type="auto"/>
            <w:vAlign w:val="center"/>
          </w:tcPr>
          <w:p w14:paraId="5197ED58">
            <w:pPr>
              <w:spacing w:line="360" w:lineRule="auto"/>
              <w:jc w:val="center"/>
              <w:rPr>
                <w:rFonts w:hint="eastAsia" w:ascii="宋体" w:hAnsi="宋体" w:eastAsia="宋体" w:cs="Times New Roman"/>
                <w:szCs w:val="21"/>
              </w:rPr>
            </w:pPr>
          </w:p>
        </w:tc>
        <w:tc>
          <w:tcPr>
            <w:tcW w:w="0" w:type="auto"/>
          </w:tcPr>
          <w:p w14:paraId="4C7938FC">
            <w:pPr>
              <w:spacing w:line="360" w:lineRule="auto"/>
              <w:jc w:val="center"/>
              <w:rPr>
                <w:rFonts w:hint="eastAsia" w:ascii="宋体" w:hAnsi="宋体" w:eastAsia="宋体" w:cs="Times New Roman"/>
                <w:szCs w:val="21"/>
              </w:rPr>
            </w:pPr>
          </w:p>
        </w:tc>
        <w:tc>
          <w:tcPr>
            <w:tcW w:w="0" w:type="auto"/>
            <w:vAlign w:val="center"/>
          </w:tcPr>
          <w:p w14:paraId="618C0A9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C965DAA">
      <w:pPr>
        <w:spacing w:line="360" w:lineRule="auto"/>
        <w:ind w:firstLine="422" w:firstLineChars="200"/>
        <w:rPr>
          <w:rFonts w:ascii="Times New Roman" w:hAnsi="Times New Roman" w:eastAsia="宋体" w:cs="Times New Roman"/>
          <w:b/>
          <w:szCs w:val="21"/>
        </w:rPr>
      </w:pPr>
    </w:p>
    <w:p w14:paraId="1F9407EB">
      <w:pPr>
        <w:spacing w:line="360" w:lineRule="auto"/>
        <w:rPr>
          <w:rFonts w:ascii="Calibri" w:hAnsi="Calibri" w:eastAsia="宋体" w:cs="Times New Roman"/>
          <w:b/>
          <w:sz w:val="24"/>
        </w:rPr>
      </w:pPr>
      <w:r>
        <w:rPr>
          <w:rFonts w:hint="eastAsia" w:ascii="Times New Roman" w:hAnsi="Times New Roman" w:eastAsia="宋体" w:cs="Times New Roman"/>
          <w:b/>
          <w:sz w:val="24"/>
        </w:rPr>
        <w:t>（二）成绩评定细则</w:t>
      </w:r>
    </w:p>
    <w:p w14:paraId="0D008EF4">
      <w:pPr>
        <w:spacing w:line="360" w:lineRule="auto"/>
        <w:ind w:firstLine="480" w:firstLineChars="200"/>
        <w:rPr>
          <w:rFonts w:ascii="Calibri" w:hAnsi="Calibri" w:eastAsia="宋体" w:cs="Times New Roman"/>
          <w:sz w:val="24"/>
        </w:rPr>
      </w:pPr>
      <w:r>
        <w:rPr>
          <w:rFonts w:ascii="Calibri" w:hAnsi="Calibri" w:eastAsia="宋体" w:cs="Times New Roman"/>
          <w:sz w:val="24"/>
        </w:rPr>
        <w:t>（</w:t>
      </w:r>
      <w:r>
        <w:rPr>
          <w:rFonts w:hint="eastAsia" w:ascii="Calibri" w:hAnsi="Calibri" w:eastAsia="宋体" w:cs="Times New Roman"/>
          <w:sz w:val="24"/>
        </w:rPr>
        <w:t>1</w:t>
      </w:r>
      <w:r>
        <w:rPr>
          <w:rFonts w:ascii="Calibri" w:hAnsi="Calibri" w:eastAsia="宋体" w:cs="Times New Roman"/>
          <w:sz w:val="24"/>
        </w:rPr>
        <w:t>）课程考核包括期末考试、平时及作业考核等，期末考试采用闭卷考试方式。</w:t>
      </w:r>
    </w:p>
    <w:p w14:paraId="6978CC2D">
      <w:pPr>
        <w:spacing w:line="360" w:lineRule="auto"/>
        <w:ind w:firstLine="480" w:firstLineChars="200"/>
        <w:rPr>
          <w:rFonts w:ascii="Calibri" w:hAnsi="Calibri" w:eastAsia="宋体" w:cs="Times New Roman"/>
          <w:sz w:val="24"/>
        </w:rPr>
      </w:pPr>
      <w:r>
        <w:rPr>
          <w:rFonts w:ascii="Calibri" w:hAnsi="Calibri" w:eastAsia="宋体" w:cs="Times New Roman"/>
          <w:sz w:val="24"/>
        </w:rPr>
        <w:t>（</w:t>
      </w:r>
      <w:r>
        <w:rPr>
          <w:rFonts w:hint="eastAsia" w:ascii="Calibri" w:hAnsi="Calibri" w:eastAsia="宋体" w:cs="Times New Roman"/>
          <w:sz w:val="24"/>
        </w:rPr>
        <w:t>2</w:t>
      </w:r>
      <w:r>
        <w:rPr>
          <w:rFonts w:ascii="Calibri" w:hAnsi="Calibri" w:eastAsia="宋体" w:cs="Times New Roman"/>
          <w:sz w:val="24"/>
        </w:rPr>
        <w:t>）课程总评成绩=平时成绩×</w:t>
      </w:r>
      <w:r>
        <w:rPr>
          <w:rFonts w:hint="eastAsia" w:ascii="Calibri" w:hAnsi="Calibri" w:eastAsia="宋体" w:cs="Times New Roman"/>
          <w:sz w:val="24"/>
        </w:rPr>
        <w:t>3</w:t>
      </w:r>
      <w:r>
        <w:rPr>
          <w:rFonts w:ascii="Calibri" w:hAnsi="Calibri" w:eastAsia="宋体" w:cs="Times New Roman"/>
          <w:sz w:val="24"/>
        </w:rPr>
        <w:t>0 % +期末考试成绩×</w:t>
      </w:r>
      <w:r>
        <w:rPr>
          <w:rFonts w:hint="eastAsia" w:ascii="Calibri" w:hAnsi="Calibri" w:eastAsia="宋体" w:cs="Times New Roman"/>
          <w:sz w:val="24"/>
        </w:rPr>
        <w:t>7</w:t>
      </w:r>
      <w:r>
        <w:rPr>
          <w:rFonts w:ascii="Calibri" w:hAnsi="Calibri" w:eastAsia="宋体" w:cs="Times New Roman"/>
          <w:sz w:val="24"/>
        </w:rPr>
        <w:t>0 %。</w:t>
      </w:r>
    </w:p>
    <w:p w14:paraId="5A3DDAA0">
      <w:pPr>
        <w:spacing w:line="360" w:lineRule="auto"/>
        <w:ind w:firstLine="482" w:firstLineChars="200"/>
        <w:rPr>
          <w:rFonts w:ascii="Calibri" w:hAnsi="Calibri" w:eastAsia="宋体" w:cs="Times New Roman"/>
          <w:b/>
          <w:sz w:val="24"/>
        </w:rPr>
      </w:pPr>
      <w:r>
        <w:rPr>
          <w:rFonts w:ascii="Calibri" w:hAnsi="Calibri" w:eastAsia="宋体" w:cs="Times New Roman"/>
          <w:b/>
          <w:sz w:val="24"/>
        </w:rPr>
        <w:t>具体内容和比例如表所示：</w:t>
      </w:r>
    </w:p>
    <w:tbl>
      <w:tblPr>
        <w:tblStyle w:val="13"/>
        <w:tblW w:w="8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131"/>
        <w:gridCol w:w="707"/>
        <w:gridCol w:w="2555"/>
        <w:gridCol w:w="1067"/>
        <w:gridCol w:w="1016"/>
        <w:gridCol w:w="1384"/>
      </w:tblGrid>
      <w:tr w14:paraId="2EB1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22" w:type="dxa"/>
            <w:shd w:val="clear" w:color="auto" w:fill="FFFFFF"/>
            <w:tcMar>
              <w:left w:w="57" w:type="dxa"/>
              <w:right w:w="57" w:type="dxa"/>
            </w:tcMar>
            <w:vAlign w:val="center"/>
          </w:tcPr>
          <w:p w14:paraId="11F904C5">
            <w:pPr>
              <w:jc w:val="center"/>
              <w:rPr>
                <w:rFonts w:ascii="Calibri" w:hAnsi="Calibri" w:eastAsia="宋体" w:cs="Times New Roman"/>
                <w:b/>
              </w:rPr>
            </w:pPr>
            <w:r>
              <w:rPr>
                <w:rFonts w:ascii="Calibri" w:hAnsi="Calibri" w:eastAsia="宋体" w:cs="Times New Roman"/>
                <w:b/>
              </w:rPr>
              <w:t>成绩组成</w:t>
            </w:r>
          </w:p>
        </w:tc>
        <w:tc>
          <w:tcPr>
            <w:tcW w:w="1131" w:type="dxa"/>
            <w:shd w:val="clear" w:color="auto" w:fill="FFFFFF"/>
            <w:vAlign w:val="center"/>
          </w:tcPr>
          <w:p w14:paraId="1938A879">
            <w:pPr>
              <w:spacing w:line="276" w:lineRule="auto"/>
              <w:jc w:val="center"/>
              <w:rPr>
                <w:rFonts w:ascii="Calibri" w:hAnsi="Calibri" w:eastAsia="宋体" w:cs="Times New Roman"/>
                <w:b/>
              </w:rPr>
            </w:pPr>
            <w:r>
              <w:rPr>
                <w:rFonts w:ascii="Calibri" w:hAnsi="Calibri" w:eastAsia="宋体" w:cs="Times New Roman"/>
                <w:b/>
              </w:rPr>
              <w:t>考核/</w:t>
            </w:r>
          </w:p>
          <w:p w14:paraId="2DA3F88F">
            <w:pPr>
              <w:spacing w:line="276" w:lineRule="auto"/>
              <w:jc w:val="center"/>
              <w:rPr>
                <w:rFonts w:ascii="Calibri" w:hAnsi="Calibri" w:eastAsia="宋体" w:cs="Times New Roman"/>
                <w:b/>
              </w:rPr>
            </w:pPr>
            <w:r>
              <w:rPr>
                <w:rFonts w:ascii="Calibri" w:hAnsi="Calibri" w:eastAsia="宋体" w:cs="Times New Roman"/>
                <w:b/>
              </w:rPr>
              <w:t>评价环节</w:t>
            </w:r>
          </w:p>
        </w:tc>
        <w:tc>
          <w:tcPr>
            <w:tcW w:w="707" w:type="dxa"/>
            <w:shd w:val="clear" w:color="auto" w:fill="FFFFFF"/>
            <w:vAlign w:val="center"/>
          </w:tcPr>
          <w:p w14:paraId="06834E2F">
            <w:pPr>
              <w:spacing w:line="276" w:lineRule="auto"/>
              <w:jc w:val="center"/>
              <w:rPr>
                <w:rFonts w:ascii="Calibri" w:hAnsi="Calibri" w:eastAsia="宋体" w:cs="Times New Roman"/>
                <w:b/>
              </w:rPr>
            </w:pPr>
            <w:r>
              <w:rPr>
                <w:rFonts w:ascii="Calibri" w:hAnsi="Calibri" w:eastAsia="宋体" w:cs="Times New Roman"/>
                <w:b/>
              </w:rPr>
              <w:t>权重</w:t>
            </w:r>
          </w:p>
        </w:tc>
        <w:tc>
          <w:tcPr>
            <w:tcW w:w="2555" w:type="dxa"/>
            <w:shd w:val="clear" w:color="auto" w:fill="FFFFFF"/>
            <w:vAlign w:val="center"/>
          </w:tcPr>
          <w:p w14:paraId="765B1871">
            <w:pPr>
              <w:spacing w:line="276" w:lineRule="auto"/>
              <w:jc w:val="center"/>
              <w:rPr>
                <w:rFonts w:ascii="Calibri" w:hAnsi="Calibri" w:eastAsia="宋体" w:cs="Times New Roman"/>
                <w:b/>
              </w:rPr>
            </w:pPr>
            <w:r>
              <w:rPr>
                <w:rFonts w:ascii="Calibri" w:hAnsi="Calibri" w:eastAsia="宋体" w:cs="Times New Roman"/>
                <w:b/>
              </w:rPr>
              <w:t>考核/评价细则</w:t>
            </w:r>
          </w:p>
        </w:tc>
        <w:tc>
          <w:tcPr>
            <w:tcW w:w="1067" w:type="dxa"/>
            <w:shd w:val="clear" w:color="auto" w:fill="FFFFFF"/>
          </w:tcPr>
          <w:p w14:paraId="1FC5B02C">
            <w:pPr>
              <w:spacing w:line="276" w:lineRule="auto"/>
              <w:jc w:val="center"/>
              <w:rPr>
                <w:rFonts w:ascii="Calibri" w:hAnsi="Calibri" w:eastAsia="宋体" w:cs="Times New Roman"/>
                <w:b/>
              </w:rPr>
            </w:pPr>
            <w:r>
              <w:rPr>
                <w:rFonts w:ascii="Calibri" w:hAnsi="Calibri" w:eastAsia="宋体" w:cs="Times New Roman"/>
                <w:b/>
              </w:rPr>
              <w:t>课程</w:t>
            </w:r>
          </w:p>
          <w:p w14:paraId="7E044B0B">
            <w:pPr>
              <w:spacing w:line="276" w:lineRule="auto"/>
              <w:jc w:val="center"/>
              <w:rPr>
                <w:rFonts w:ascii="Calibri" w:hAnsi="Calibri" w:eastAsia="宋体" w:cs="Times New Roman"/>
                <w:b/>
              </w:rPr>
            </w:pPr>
            <w:r>
              <w:rPr>
                <w:rFonts w:ascii="Calibri" w:hAnsi="Calibri" w:eastAsia="宋体" w:cs="Times New Roman"/>
                <w:b/>
              </w:rPr>
              <w:t>目标</w:t>
            </w:r>
          </w:p>
        </w:tc>
        <w:tc>
          <w:tcPr>
            <w:tcW w:w="1016" w:type="dxa"/>
            <w:shd w:val="clear" w:color="auto" w:fill="FFFFFF"/>
          </w:tcPr>
          <w:p w14:paraId="05BFD4A5">
            <w:pPr>
              <w:spacing w:line="276" w:lineRule="auto"/>
              <w:jc w:val="center"/>
              <w:rPr>
                <w:rFonts w:ascii="Calibri" w:hAnsi="Calibri" w:eastAsia="宋体" w:cs="Times New Roman"/>
                <w:b/>
              </w:rPr>
            </w:pPr>
            <w:r>
              <w:rPr>
                <w:rFonts w:ascii="Calibri" w:hAnsi="Calibri" w:eastAsia="宋体" w:cs="Times New Roman"/>
                <w:b/>
              </w:rPr>
              <w:t>考核</w:t>
            </w:r>
          </w:p>
          <w:p w14:paraId="2B4D63EF">
            <w:pPr>
              <w:spacing w:line="276" w:lineRule="auto"/>
              <w:jc w:val="center"/>
              <w:rPr>
                <w:rFonts w:ascii="Calibri" w:hAnsi="Calibri" w:eastAsia="宋体" w:cs="Times New Roman"/>
                <w:b/>
              </w:rPr>
            </w:pPr>
            <w:r>
              <w:rPr>
                <w:rFonts w:ascii="Calibri" w:hAnsi="Calibri" w:eastAsia="宋体" w:cs="Times New Roman"/>
                <w:b/>
              </w:rPr>
              <w:t>内容</w:t>
            </w:r>
          </w:p>
        </w:tc>
        <w:tc>
          <w:tcPr>
            <w:tcW w:w="1384" w:type="dxa"/>
            <w:shd w:val="clear" w:color="auto" w:fill="FFFFFF"/>
            <w:vAlign w:val="center"/>
          </w:tcPr>
          <w:p w14:paraId="52FF7ED2">
            <w:pPr>
              <w:spacing w:line="276" w:lineRule="auto"/>
              <w:jc w:val="center"/>
              <w:rPr>
                <w:rFonts w:ascii="Calibri" w:hAnsi="Calibri" w:eastAsia="宋体" w:cs="Times New Roman"/>
                <w:b/>
              </w:rPr>
            </w:pPr>
            <w:r>
              <w:rPr>
                <w:rFonts w:ascii="Calibri" w:hAnsi="Calibri" w:eastAsia="宋体" w:cs="Times New Roman"/>
                <w:b/>
              </w:rPr>
              <w:t>对应的毕业要求指标点</w:t>
            </w:r>
          </w:p>
        </w:tc>
      </w:tr>
      <w:tr w14:paraId="6D24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22" w:type="dxa"/>
            <w:tcMar>
              <w:left w:w="57" w:type="dxa"/>
              <w:right w:w="57" w:type="dxa"/>
            </w:tcMar>
            <w:vAlign w:val="center"/>
          </w:tcPr>
          <w:p w14:paraId="5CD4A631">
            <w:pPr>
              <w:jc w:val="center"/>
              <w:rPr>
                <w:rFonts w:ascii="Calibri" w:hAnsi="Calibri" w:eastAsia="宋体" w:cs="Times New Roman"/>
              </w:rPr>
            </w:pPr>
            <w:r>
              <w:rPr>
                <w:rFonts w:ascii="Calibri" w:hAnsi="Calibri" w:eastAsia="宋体" w:cs="Times New Roman"/>
              </w:rPr>
              <w:t>平时成绩</w:t>
            </w:r>
          </w:p>
        </w:tc>
        <w:tc>
          <w:tcPr>
            <w:tcW w:w="1131" w:type="dxa"/>
            <w:vAlign w:val="center"/>
          </w:tcPr>
          <w:p w14:paraId="64F885A2">
            <w:pPr>
              <w:jc w:val="center"/>
              <w:rPr>
                <w:rFonts w:ascii="Calibri" w:hAnsi="Calibri" w:eastAsia="宋体" w:cs="Times New Roman"/>
              </w:rPr>
            </w:pPr>
            <w:r>
              <w:rPr>
                <w:rFonts w:ascii="Calibri" w:hAnsi="Calibri" w:eastAsia="宋体" w:cs="Times New Roman"/>
              </w:rPr>
              <w:t>课堂考勤及平时作业</w:t>
            </w:r>
          </w:p>
        </w:tc>
        <w:tc>
          <w:tcPr>
            <w:tcW w:w="707" w:type="dxa"/>
            <w:vAlign w:val="center"/>
          </w:tcPr>
          <w:p w14:paraId="2D2B7DE8">
            <w:pPr>
              <w:jc w:val="center"/>
              <w:rPr>
                <w:rFonts w:ascii="Calibri" w:hAnsi="Calibri" w:eastAsia="宋体" w:cs="Times New Roman"/>
              </w:rPr>
            </w:pPr>
            <w:r>
              <w:rPr>
                <w:rFonts w:hint="eastAsia" w:ascii="Calibri" w:hAnsi="Calibri" w:eastAsia="宋体" w:cs="Times New Roman"/>
              </w:rPr>
              <w:t>3</w:t>
            </w:r>
            <w:r>
              <w:rPr>
                <w:rFonts w:ascii="Calibri" w:hAnsi="Calibri" w:eastAsia="宋体" w:cs="Times New Roman"/>
              </w:rPr>
              <w:t>0%</w:t>
            </w:r>
          </w:p>
        </w:tc>
        <w:tc>
          <w:tcPr>
            <w:tcW w:w="2555" w:type="dxa"/>
            <w:vAlign w:val="center"/>
          </w:tcPr>
          <w:p w14:paraId="7889EFE4">
            <w:pPr>
              <w:jc w:val="left"/>
              <w:rPr>
                <w:rFonts w:ascii="Calibri" w:hAnsi="Calibri" w:eastAsia="宋体" w:cs="Times New Roman"/>
              </w:rPr>
            </w:pPr>
            <w:r>
              <w:rPr>
                <w:rFonts w:ascii="Calibri" w:hAnsi="Calibri" w:eastAsia="宋体" w:cs="Times New Roman"/>
                <w:szCs w:val="21"/>
              </w:rPr>
              <w:t>课堂考勤：课堂不定期点名，考核能否按时到勤，三次考勤未到平时成绩扣十分。平时作业：考核</w:t>
            </w:r>
            <w:r>
              <w:rPr>
                <w:rFonts w:ascii="Calibri" w:hAnsi="Calibri" w:eastAsia="宋体" w:cs="Times New Roman"/>
              </w:rPr>
              <w:t>学生对所学知识点的复习、理解和掌握度。对每次作业完成情况做记录并百分制打分，计算全部作业的平均成绩。</w:t>
            </w:r>
          </w:p>
        </w:tc>
        <w:tc>
          <w:tcPr>
            <w:tcW w:w="1067" w:type="dxa"/>
          </w:tcPr>
          <w:p w14:paraId="5EC4EA06">
            <w:pPr>
              <w:rPr>
                <w:rFonts w:ascii="Calibri" w:hAnsi="Calibri" w:eastAsia="宋体" w:cs="Times New Roman"/>
              </w:rPr>
            </w:pPr>
          </w:p>
          <w:p w14:paraId="4352CD1C">
            <w:pPr>
              <w:rPr>
                <w:rFonts w:ascii="Calibri" w:hAnsi="Calibri" w:eastAsia="宋体" w:cs="Times New Roman"/>
              </w:rPr>
            </w:pPr>
          </w:p>
          <w:p w14:paraId="5A937859">
            <w:pPr>
              <w:jc w:val="center"/>
              <w:rPr>
                <w:rFonts w:ascii="Calibri" w:hAnsi="Calibri" w:eastAsia="宋体" w:cs="Times New Roman"/>
              </w:rPr>
            </w:pPr>
            <w:r>
              <w:rPr>
                <w:rFonts w:ascii="Calibri" w:hAnsi="Calibri" w:eastAsia="宋体" w:cs="Times New Roman"/>
              </w:rPr>
              <w:t>课程目标</w:t>
            </w:r>
            <w:r>
              <w:rPr>
                <w:rFonts w:hint="eastAsia" w:ascii="Calibri" w:hAnsi="Calibri" w:eastAsia="宋体" w:cs="Times New Roman"/>
              </w:rPr>
              <w:t>1、2</w:t>
            </w:r>
          </w:p>
        </w:tc>
        <w:tc>
          <w:tcPr>
            <w:tcW w:w="1016" w:type="dxa"/>
          </w:tcPr>
          <w:p w14:paraId="667CCB9E">
            <w:pPr>
              <w:rPr>
                <w:rFonts w:ascii="Calibri" w:hAnsi="Calibri" w:eastAsia="宋体" w:cs="Times New Roman"/>
              </w:rPr>
            </w:pPr>
          </w:p>
          <w:p w14:paraId="5C9C4BB5">
            <w:pPr>
              <w:rPr>
                <w:rFonts w:ascii="Calibri" w:hAnsi="Calibri" w:eastAsia="宋体" w:cs="Times New Roman"/>
              </w:rPr>
            </w:pPr>
          </w:p>
          <w:p w14:paraId="73113A63">
            <w:pPr>
              <w:rPr>
                <w:rFonts w:ascii="Calibri" w:hAnsi="Calibri" w:eastAsia="宋体" w:cs="Times New Roman"/>
                <w:kern w:val="0"/>
                <w:szCs w:val="21"/>
              </w:rPr>
            </w:pPr>
            <w:r>
              <w:rPr>
                <w:rFonts w:ascii="Calibri" w:hAnsi="Calibri" w:eastAsia="宋体" w:cs="Times New Roman"/>
              </w:rPr>
              <w:t>函数、极限、连续函数、导数与微分等</w:t>
            </w:r>
          </w:p>
        </w:tc>
        <w:tc>
          <w:tcPr>
            <w:tcW w:w="1384" w:type="dxa"/>
            <w:vAlign w:val="center"/>
          </w:tcPr>
          <w:p w14:paraId="76F9EDC9">
            <w:pPr>
              <w:jc w:val="center"/>
              <w:rPr>
                <w:rFonts w:ascii="Calibri" w:hAnsi="Calibri" w:eastAsia="宋体" w:cs="Times New Roman"/>
              </w:rPr>
            </w:pPr>
            <w:r>
              <w:rPr>
                <w:rFonts w:ascii="Times New Roman" w:hAnsi="Times New Roman" w:eastAsia="楷体" w:cs="Times New Roman"/>
                <w:szCs w:val="21"/>
              </w:rPr>
              <w:t>3-2</w:t>
            </w:r>
          </w:p>
        </w:tc>
      </w:tr>
      <w:tr w14:paraId="4B4D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22" w:type="dxa"/>
            <w:tcMar>
              <w:left w:w="57" w:type="dxa"/>
              <w:right w:w="57" w:type="dxa"/>
            </w:tcMar>
            <w:vAlign w:val="center"/>
          </w:tcPr>
          <w:p w14:paraId="1E2F5B41">
            <w:pPr>
              <w:jc w:val="center"/>
              <w:rPr>
                <w:rFonts w:ascii="Calibri" w:hAnsi="Calibri" w:eastAsia="宋体" w:cs="Times New Roman"/>
              </w:rPr>
            </w:pPr>
            <w:r>
              <w:rPr>
                <w:rFonts w:ascii="Calibri" w:hAnsi="Calibri" w:eastAsia="宋体" w:cs="Times New Roman"/>
              </w:rPr>
              <w:t>期末考试</w:t>
            </w:r>
          </w:p>
        </w:tc>
        <w:tc>
          <w:tcPr>
            <w:tcW w:w="1131" w:type="dxa"/>
            <w:vAlign w:val="center"/>
          </w:tcPr>
          <w:p w14:paraId="19CC8F61">
            <w:pPr>
              <w:jc w:val="center"/>
              <w:rPr>
                <w:rFonts w:ascii="Calibri" w:hAnsi="Calibri" w:eastAsia="宋体" w:cs="Times New Roman"/>
              </w:rPr>
            </w:pPr>
            <w:r>
              <w:rPr>
                <w:rFonts w:ascii="Calibri" w:hAnsi="Calibri" w:eastAsia="宋体" w:cs="Times New Roman"/>
              </w:rPr>
              <w:t>期末考试</w:t>
            </w:r>
          </w:p>
          <w:p w14:paraId="57A529A5">
            <w:pPr>
              <w:jc w:val="center"/>
              <w:rPr>
                <w:rFonts w:ascii="Calibri" w:hAnsi="Calibri" w:eastAsia="宋体" w:cs="Times New Roman"/>
              </w:rPr>
            </w:pPr>
            <w:r>
              <w:rPr>
                <w:rFonts w:ascii="Calibri" w:hAnsi="Calibri" w:eastAsia="宋体" w:cs="Times New Roman"/>
              </w:rPr>
              <w:t>卷面成绩</w:t>
            </w:r>
          </w:p>
        </w:tc>
        <w:tc>
          <w:tcPr>
            <w:tcW w:w="707" w:type="dxa"/>
            <w:vAlign w:val="center"/>
          </w:tcPr>
          <w:p w14:paraId="763B7BA0">
            <w:pPr>
              <w:jc w:val="center"/>
              <w:rPr>
                <w:rFonts w:ascii="Calibri" w:hAnsi="Calibri" w:eastAsia="宋体" w:cs="Times New Roman"/>
              </w:rPr>
            </w:pPr>
            <w:r>
              <w:rPr>
                <w:rFonts w:hint="eastAsia" w:ascii="Calibri" w:hAnsi="Calibri" w:eastAsia="宋体" w:cs="Times New Roman"/>
              </w:rPr>
              <w:t>7</w:t>
            </w:r>
            <w:r>
              <w:rPr>
                <w:rFonts w:ascii="Calibri" w:hAnsi="Calibri" w:eastAsia="宋体" w:cs="Times New Roman"/>
              </w:rPr>
              <w:t>0%</w:t>
            </w:r>
          </w:p>
        </w:tc>
        <w:tc>
          <w:tcPr>
            <w:tcW w:w="2555" w:type="dxa"/>
            <w:vAlign w:val="center"/>
          </w:tcPr>
          <w:p w14:paraId="63029D69">
            <w:pPr>
              <w:rPr>
                <w:rFonts w:ascii="Calibri" w:hAnsi="Calibri" w:eastAsia="宋体" w:cs="Times New Roman"/>
                <w:szCs w:val="21"/>
              </w:rPr>
            </w:pPr>
            <w:r>
              <w:rPr>
                <w:rFonts w:ascii="Calibri" w:hAnsi="Calibri" w:eastAsia="宋体" w:cs="Times New Roman"/>
                <w:szCs w:val="21"/>
              </w:rPr>
              <w:t>开卷题型包括填空题、计算题、解答题，以卷面成绩的70%计入课程总成绩。</w:t>
            </w:r>
          </w:p>
        </w:tc>
        <w:tc>
          <w:tcPr>
            <w:tcW w:w="1067" w:type="dxa"/>
          </w:tcPr>
          <w:p w14:paraId="765DC1BF">
            <w:pPr>
              <w:jc w:val="center"/>
              <w:rPr>
                <w:rFonts w:ascii="Calibri" w:hAnsi="Calibri" w:eastAsia="宋体" w:cs="Times New Roman"/>
                <w:szCs w:val="21"/>
              </w:rPr>
            </w:pPr>
            <w:r>
              <w:rPr>
                <w:rFonts w:ascii="Calibri" w:hAnsi="Calibri" w:eastAsia="宋体" w:cs="Times New Roman"/>
              </w:rPr>
              <w:t>课程目标</w:t>
            </w:r>
            <w:r>
              <w:rPr>
                <w:rFonts w:hint="eastAsia" w:ascii="Calibri" w:hAnsi="Calibri" w:eastAsia="宋体" w:cs="Times New Roman"/>
              </w:rPr>
              <w:t>1、2</w:t>
            </w:r>
          </w:p>
        </w:tc>
        <w:tc>
          <w:tcPr>
            <w:tcW w:w="1016" w:type="dxa"/>
            <w:vAlign w:val="center"/>
          </w:tcPr>
          <w:p w14:paraId="05DEBF37">
            <w:pPr>
              <w:jc w:val="center"/>
              <w:rPr>
                <w:rFonts w:ascii="Calibri" w:hAnsi="Calibri" w:eastAsia="宋体" w:cs="Times New Roman"/>
                <w:szCs w:val="21"/>
              </w:rPr>
            </w:pPr>
            <w:r>
              <w:rPr>
                <w:rFonts w:ascii="Calibri" w:hAnsi="Calibri" w:eastAsia="宋体" w:cs="Times New Roman"/>
              </w:rPr>
              <w:t>函数、极限、连续函数、导数与微分等</w:t>
            </w:r>
          </w:p>
        </w:tc>
        <w:tc>
          <w:tcPr>
            <w:tcW w:w="1384" w:type="dxa"/>
            <w:vAlign w:val="center"/>
          </w:tcPr>
          <w:p w14:paraId="4D5A5A26">
            <w:pPr>
              <w:jc w:val="center"/>
              <w:rPr>
                <w:rFonts w:ascii="Times New Roman" w:hAnsi="Times New Roman" w:eastAsia="楷体" w:cs="Times New Roman"/>
                <w:szCs w:val="21"/>
              </w:rPr>
            </w:pPr>
            <w:r>
              <w:rPr>
                <w:rFonts w:ascii="Times New Roman" w:hAnsi="Times New Roman" w:eastAsia="楷体" w:cs="Times New Roman"/>
                <w:szCs w:val="21"/>
              </w:rPr>
              <w:t>3-2</w:t>
            </w:r>
          </w:p>
          <w:p w14:paraId="1E415459">
            <w:pPr>
              <w:rPr>
                <w:rFonts w:ascii="Calibri" w:hAnsi="Calibri" w:eastAsia="宋体" w:cs="Times New Roman"/>
                <w:szCs w:val="21"/>
              </w:rPr>
            </w:pPr>
          </w:p>
        </w:tc>
      </w:tr>
      <w:bookmarkEnd w:id="193"/>
    </w:tbl>
    <w:p w14:paraId="7E03194B">
      <w:pPr>
        <w:spacing w:line="360" w:lineRule="auto"/>
        <w:ind w:firstLine="480" w:firstLineChars="200"/>
        <w:rPr>
          <w:rFonts w:ascii="Calibri" w:hAnsi="Calibri" w:eastAsia="宋体" w:cs="Times New Roman"/>
          <w:sz w:val="24"/>
        </w:rPr>
      </w:pPr>
      <w:r>
        <w:rPr>
          <w:rFonts w:ascii="Calibri" w:hAnsi="Calibri" w:eastAsia="宋体" w:cs="Times New Roman"/>
          <w:sz w:val="24"/>
        </w:rPr>
        <w:t>（</w:t>
      </w:r>
      <w:r>
        <w:rPr>
          <w:rFonts w:hint="eastAsia" w:ascii="Calibri" w:hAnsi="Calibri" w:eastAsia="宋体" w:cs="Times New Roman"/>
          <w:sz w:val="24"/>
        </w:rPr>
        <w:t>3</w:t>
      </w:r>
      <w:r>
        <w:rPr>
          <w:rFonts w:ascii="Calibri" w:hAnsi="Calibri" w:eastAsia="宋体" w:cs="Times New Roman"/>
          <w:sz w:val="24"/>
        </w:rPr>
        <w:t>）课程目标及考核方式权重分配表</w:t>
      </w:r>
    </w:p>
    <w:tbl>
      <w:tblPr>
        <w:tblStyle w:val="13"/>
        <w:tblW w:w="8990" w:type="dxa"/>
        <w:tblInd w:w="0" w:type="dxa"/>
        <w:tblLayout w:type="fixed"/>
        <w:tblCellMar>
          <w:top w:w="0" w:type="dxa"/>
          <w:left w:w="108" w:type="dxa"/>
          <w:bottom w:w="0" w:type="dxa"/>
          <w:right w:w="108" w:type="dxa"/>
        </w:tblCellMar>
      </w:tblPr>
      <w:tblGrid>
        <w:gridCol w:w="2037"/>
        <w:gridCol w:w="1807"/>
        <w:gridCol w:w="1497"/>
        <w:gridCol w:w="1592"/>
        <w:gridCol w:w="2057"/>
      </w:tblGrid>
      <w:tr w14:paraId="45394348">
        <w:tblPrEx>
          <w:tblCellMar>
            <w:top w:w="0" w:type="dxa"/>
            <w:left w:w="108" w:type="dxa"/>
            <w:bottom w:w="0" w:type="dxa"/>
            <w:right w:w="108" w:type="dxa"/>
          </w:tblCellMar>
        </w:tblPrEx>
        <w:trPr>
          <w:trHeight w:val="299" w:hRule="atLeast"/>
        </w:trPr>
        <w:tc>
          <w:tcPr>
            <w:tcW w:w="3844" w:type="dxa"/>
            <w:gridSpan w:val="2"/>
            <w:tcBorders>
              <w:top w:val="single" w:color="auto" w:sz="8" w:space="0"/>
              <w:left w:val="single" w:color="auto" w:sz="8" w:space="0"/>
              <w:bottom w:val="single" w:color="auto" w:sz="8" w:space="0"/>
              <w:right w:val="single" w:color="000000" w:sz="8" w:space="0"/>
            </w:tcBorders>
            <w:vAlign w:val="center"/>
          </w:tcPr>
          <w:p w14:paraId="57EE4543">
            <w:pPr>
              <w:widowControl/>
              <w:spacing w:line="276" w:lineRule="auto"/>
              <w:jc w:val="center"/>
              <w:rPr>
                <w:rFonts w:hint="eastAsia" w:ascii="宋体" w:hAnsi="宋体" w:eastAsia="宋体" w:cs="Times New Roman"/>
                <w:b/>
                <w:bCs/>
                <w:kern w:val="0"/>
                <w:szCs w:val="21"/>
              </w:rPr>
            </w:pPr>
            <w:r>
              <w:rPr>
                <w:rFonts w:ascii="宋体" w:hAnsi="宋体" w:eastAsia="宋体" w:cs="Times New Roman"/>
                <w:b/>
                <w:bCs/>
                <w:kern w:val="0"/>
                <w:szCs w:val="21"/>
              </w:rPr>
              <w:t>课程目标及权重</w:t>
            </w:r>
          </w:p>
        </w:tc>
        <w:tc>
          <w:tcPr>
            <w:tcW w:w="5146" w:type="dxa"/>
            <w:gridSpan w:val="3"/>
            <w:tcBorders>
              <w:top w:val="single" w:color="auto" w:sz="8" w:space="0"/>
              <w:left w:val="nil"/>
              <w:bottom w:val="single" w:color="auto" w:sz="8" w:space="0"/>
              <w:right w:val="single" w:color="000000" w:sz="8" w:space="0"/>
            </w:tcBorders>
            <w:vAlign w:val="center"/>
          </w:tcPr>
          <w:p w14:paraId="6AE3EE48">
            <w:pPr>
              <w:widowControl/>
              <w:spacing w:line="276" w:lineRule="auto"/>
              <w:ind w:right="-391" w:rightChars="-186"/>
              <w:jc w:val="center"/>
              <w:rPr>
                <w:rFonts w:hint="eastAsia" w:ascii="宋体" w:hAnsi="宋体" w:eastAsia="宋体" w:cs="Times New Roman"/>
                <w:b/>
                <w:bCs/>
                <w:kern w:val="0"/>
                <w:szCs w:val="21"/>
              </w:rPr>
            </w:pPr>
            <w:r>
              <w:rPr>
                <w:rFonts w:ascii="宋体" w:hAnsi="宋体" w:eastAsia="宋体" w:cs="Times New Roman"/>
                <w:b/>
                <w:bCs/>
                <w:kern w:val="0"/>
                <w:szCs w:val="21"/>
              </w:rPr>
              <w:t>考核方式及权重</w:t>
            </w:r>
          </w:p>
        </w:tc>
      </w:tr>
      <w:tr w14:paraId="0376DD12">
        <w:tblPrEx>
          <w:tblCellMar>
            <w:top w:w="0" w:type="dxa"/>
            <w:left w:w="108" w:type="dxa"/>
            <w:bottom w:w="0" w:type="dxa"/>
            <w:right w:w="108" w:type="dxa"/>
          </w:tblCellMar>
        </w:tblPrEx>
        <w:trPr>
          <w:trHeight w:val="461" w:hRule="atLeast"/>
        </w:trPr>
        <w:tc>
          <w:tcPr>
            <w:tcW w:w="2037" w:type="dxa"/>
            <w:tcBorders>
              <w:top w:val="nil"/>
              <w:left w:val="single" w:color="auto" w:sz="8" w:space="0"/>
              <w:bottom w:val="single" w:color="auto" w:sz="8" w:space="0"/>
              <w:right w:val="single" w:color="auto" w:sz="8" w:space="0"/>
            </w:tcBorders>
            <w:vAlign w:val="center"/>
          </w:tcPr>
          <w:p w14:paraId="40D6F633">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项目</w:t>
            </w:r>
          </w:p>
        </w:tc>
        <w:tc>
          <w:tcPr>
            <w:tcW w:w="1807" w:type="dxa"/>
            <w:tcBorders>
              <w:top w:val="nil"/>
              <w:left w:val="nil"/>
              <w:bottom w:val="single" w:color="auto" w:sz="8" w:space="0"/>
              <w:right w:val="single" w:color="auto" w:sz="8" w:space="0"/>
            </w:tcBorders>
            <w:vAlign w:val="center"/>
          </w:tcPr>
          <w:p w14:paraId="11AFE297">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权重（a）</w:t>
            </w:r>
          </w:p>
        </w:tc>
        <w:tc>
          <w:tcPr>
            <w:tcW w:w="1497" w:type="dxa"/>
            <w:tcBorders>
              <w:top w:val="nil"/>
              <w:left w:val="nil"/>
              <w:bottom w:val="single" w:color="auto" w:sz="8" w:space="0"/>
              <w:right w:val="single" w:color="auto" w:sz="8" w:space="0"/>
            </w:tcBorders>
            <w:vAlign w:val="center"/>
          </w:tcPr>
          <w:p w14:paraId="23946917">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评价依据</w:t>
            </w:r>
          </w:p>
        </w:tc>
        <w:tc>
          <w:tcPr>
            <w:tcW w:w="1592" w:type="dxa"/>
            <w:tcBorders>
              <w:top w:val="nil"/>
              <w:left w:val="nil"/>
              <w:bottom w:val="single" w:color="auto" w:sz="8" w:space="0"/>
              <w:right w:val="single" w:color="auto" w:sz="8" w:space="0"/>
            </w:tcBorders>
            <w:vAlign w:val="center"/>
          </w:tcPr>
          <w:p w14:paraId="0F904D9B">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权重（b）</w:t>
            </w:r>
          </w:p>
        </w:tc>
        <w:tc>
          <w:tcPr>
            <w:tcW w:w="2057" w:type="dxa"/>
            <w:tcBorders>
              <w:top w:val="nil"/>
              <w:left w:val="nil"/>
              <w:bottom w:val="single" w:color="auto" w:sz="8" w:space="0"/>
              <w:right w:val="single" w:color="auto" w:sz="8" w:space="0"/>
            </w:tcBorders>
            <w:vAlign w:val="center"/>
          </w:tcPr>
          <w:p w14:paraId="2DFDFA44">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考核方式权重合计</w:t>
            </w:r>
          </w:p>
        </w:tc>
      </w:tr>
      <w:tr w14:paraId="09D8BF57">
        <w:tblPrEx>
          <w:tblCellMar>
            <w:top w:w="0" w:type="dxa"/>
            <w:left w:w="108" w:type="dxa"/>
            <w:bottom w:w="0" w:type="dxa"/>
            <w:right w:w="108" w:type="dxa"/>
          </w:tblCellMar>
        </w:tblPrEx>
        <w:trPr>
          <w:trHeight w:val="278" w:hRule="atLeast"/>
        </w:trPr>
        <w:tc>
          <w:tcPr>
            <w:tcW w:w="2037" w:type="dxa"/>
            <w:vMerge w:val="restart"/>
            <w:tcBorders>
              <w:top w:val="nil"/>
              <w:left w:val="single" w:color="auto" w:sz="8" w:space="0"/>
              <w:bottom w:val="single" w:color="000000" w:sz="8" w:space="0"/>
              <w:right w:val="single" w:color="auto" w:sz="8" w:space="0"/>
            </w:tcBorders>
            <w:vAlign w:val="center"/>
          </w:tcPr>
          <w:p w14:paraId="020BB144">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课程目标</w:t>
            </w:r>
            <w:r>
              <w:rPr>
                <w:rFonts w:hint="eastAsia" w:ascii="宋体" w:hAnsi="宋体" w:eastAsia="宋体" w:cs="Times New Roman"/>
                <w:kern w:val="0"/>
                <w:szCs w:val="21"/>
              </w:rPr>
              <w:t>1，2</w:t>
            </w:r>
          </w:p>
        </w:tc>
        <w:tc>
          <w:tcPr>
            <w:tcW w:w="1807" w:type="dxa"/>
            <w:vMerge w:val="restart"/>
            <w:tcBorders>
              <w:top w:val="nil"/>
              <w:left w:val="single" w:color="auto" w:sz="8" w:space="0"/>
              <w:bottom w:val="single" w:color="000000" w:sz="8" w:space="0"/>
              <w:right w:val="single" w:color="auto" w:sz="8" w:space="0"/>
            </w:tcBorders>
            <w:vAlign w:val="center"/>
          </w:tcPr>
          <w:p w14:paraId="159C3A40">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c>
          <w:tcPr>
            <w:tcW w:w="1497" w:type="dxa"/>
            <w:tcBorders>
              <w:top w:val="nil"/>
              <w:left w:val="nil"/>
              <w:bottom w:val="single" w:color="auto" w:sz="8" w:space="0"/>
              <w:right w:val="single" w:color="auto" w:sz="8" w:space="0"/>
            </w:tcBorders>
            <w:vAlign w:val="center"/>
          </w:tcPr>
          <w:p w14:paraId="257353BD">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考试</w:t>
            </w:r>
          </w:p>
        </w:tc>
        <w:tc>
          <w:tcPr>
            <w:tcW w:w="1592" w:type="dxa"/>
            <w:tcBorders>
              <w:top w:val="nil"/>
              <w:left w:val="nil"/>
              <w:bottom w:val="single" w:color="auto" w:sz="8" w:space="0"/>
              <w:right w:val="single" w:color="auto" w:sz="8" w:space="0"/>
            </w:tcBorders>
            <w:vAlign w:val="center"/>
          </w:tcPr>
          <w:p w14:paraId="546043C3">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7</w:t>
            </w:r>
            <w:r>
              <w:rPr>
                <w:rFonts w:ascii="宋体" w:hAnsi="宋体" w:eastAsia="宋体" w:cs="Times New Roman"/>
                <w:kern w:val="0"/>
                <w:szCs w:val="21"/>
              </w:rPr>
              <w:t xml:space="preserve">0% </w:t>
            </w:r>
          </w:p>
        </w:tc>
        <w:tc>
          <w:tcPr>
            <w:tcW w:w="2057" w:type="dxa"/>
            <w:vMerge w:val="restart"/>
            <w:tcBorders>
              <w:top w:val="nil"/>
              <w:left w:val="nil"/>
              <w:right w:val="single" w:color="auto" w:sz="8" w:space="0"/>
            </w:tcBorders>
            <w:vAlign w:val="center"/>
          </w:tcPr>
          <w:p w14:paraId="0C148255">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505EC661">
        <w:tblPrEx>
          <w:tblCellMar>
            <w:top w:w="0" w:type="dxa"/>
            <w:left w:w="108" w:type="dxa"/>
            <w:bottom w:w="0" w:type="dxa"/>
            <w:right w:w="108" w:type="dxa"/>
          </w:tblCellMar>
        </w:tblPrEx>
        <w:trPr>
          <w:trHeight w:val="246" w:hRule="atLeast"/>
        </w:trPr>
        <w:tc>
          <w:tcPr>
            <w:tcW w:w="2037" w:type="dxa"/>
            <w:vMerge w:val="continue"/>
            <w:tcBorders>
              <w:top w:val="nil"/>
              <w:left w:val="single" w:color="auto" w:sz="8" w:space="0"/>
              <w:bottom w:val="single" w:color="000000" w:sz="8" w:space="0"/>
              <w:right w:val="single" w:color="auto" w:sz="8" w:space="0"/>
            </w:tcBorders>
            <w:vAlign w:val="center"/>
          </w:tcPr>
          <w:p w14:paraId="5B311285">
            <w:pPr>
              <w:widowControl/>
              <w:spacing w:line="276" w:lineRule="auto"/>
              <w:jc w:val="left"/>
              <w:rPr>
                <w:rFonts w:hint="eastAsia" w:ascii="宋体" w:hAnsi="宋体" w:eastAsia="宋体" w:cs="Times New Roman"/>
                <w:kern w:val="0"/>
                <w:szCs w:val="21"/>
              </w:rPr>
            </w:pPr>
          </w:p>
        </w:tc>
        <w:tc>
          <w:tcPr>
            <w:tcW w:w="1807" w:type="dxa"/>
            <w:vMerge w:val="continue"/>
            <w:tcBorders>
              <w:top w:val="nil"/>
              <w:left w:val="single" w:color="auto" w:sz="8" w:space="0"/>
              <w:bottom w:val="single" w:color="000000" w:sz="8" w:space="0"/>
              <w:right w:val="single" w:color="auto" w:sz="8" w:space="0"/>
            </w:tcBorders>
            <w:vAlign w:val="center"/>
          </w:tcPr>
          <w:p w14:paraId="04A04EB6">
            <w:pPr>
              <w:widowControl/>
              <w:spacing w:line="276" w:lineRule="auto"/>
              <w:jc w:val="left"/>
              <w:rPr>
                <w:rFonts w:hint="eastAsia" w:ascii="宋体" w:hAnsi="宋体" w:eastAsia="宋体" w:cs="Times New Roman"/>
                <w:kern w:val="0"/>
                <w:szCs w:val="21"/>
              </w:rPr>
            </w:pPr>
          </w:p>
        </w:tc>
        <w:tc>
          <w:tcPr>
            <w:tcW w:w="1497" w:type="dxa"/>
            <w:tcBorders>
              <w:top w:val="nil"/>
              <w:left w:val="nil"/>
              <w:bottom w:val="single" w:color="auto" w:sz="8" w:space="0"/>
              <w:right w:val="single" w:color="auto" w:sz="8" w:space="0"/>
            </w:tcBorders>
            <w:vAlign w:val="center"/>
          </w:tcPr>
          <w:p w14:paraId="14F86028">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平时</w:t>
            </w:r>
            <w:r>
              <w:rPr>
                <w:rFonts w:ascii="宋体" w:hAnsi="宋体" w:eastAsia="宋体" w:cs="Times New Roman"/>
                <w:kern w:val="0"/>
                <w:szCs w:val="21"/>
              </w:rPr>
              <w:t>1</w:t>
            </w:r>
          </w:p>
        </w:tc>
        <w:tc>
          <w:tcPr>
            <w:tcW w:w="1592" w:type="dxa"/>
            <w:tcBorders>
              <w:top w:val="nil"/>
              <w:left w:val="nil"/>
              <w:bottom w:val="single" w:color="auto" w:sz="8" w:space="0"/>
              <w:right w:val="single" w:color="auto" w:sz="8" w:space="0"/>
            </w:tcBorders>
            <w:vAlign w:val="center"/>
          </w:tcPr>
          <w:p w14:paraId="178D8F50">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w:t>
            </w:r>
          </w:p>
        </w:tc>
        <w:tc>
          <w:tcPr>
            <w:tcW w:w="2057" w:type="dxa"/>
            <w:vMerge w:val="continue"/>
            <w:tcBorders>
              <w:left w:val="nil"/>
              <w:bottom w:val="single" w:color="auto" w:sz="8" w:space="0"/>
              <w:right w:val="single" w:color="auto" w:sz="8" w:space="0"/>
            </w:tcBorders>
            <w:vAlign w:val="center"/>
          </w:tcPr>
          <w:p w14:paraId="2CBFAD0E">
            <w:pPr>
              <w:widowControl/>
              <w:spacing w:line="276" w:lineRule="auto"/>
              <w:jc w:val="center"/>
              <w:rPr>
                <w:rFonts w:hint="eastAsia" w:ascii="宋体" w:hAnsi="宋体" w:eastAsia="宋体" w:cs="Times New Roman"/>
                <w:kern w:val="0"/>
                <w:szCs w:val="21"/>
              </w:rPr>
            </w:pPr>
          </w:p>
        </w:tc>
      </w:tr>
      <w:tr w14:paraId="44E6F6F6">
        <w:tblPrEx>
          <w:tblCellMar>
            <w:top w:w="0" w:type="dxa"/>
            <w:left w:w="108" w:type="dxa"/>
            <w:bottom w:w="0" w:type="dxa"/>
            <w:right w:w="108" w:type="dxa"/>
          </w:tblCellMar>
        </w:tblPrEx>
        <w:trPr>
          <w:trHeight w:val="246" w:hRule="atLeast"/>
        </w:trPr>
        <w:tc>
          <w:tcPr>
            <w:tcW w:w="2037" w:type="dxa"/>
            <w:vMerge w:val="continue"/>
            <w:tcBorders>
              <w:left w:val="single" w:color="auto" w:sz="8" w:space="0"/>
              <w:right w:val="single" w:color="auto" w:sz="8" w:space="0"/>
            </w:tcBorders>
            <w:vAlign w:val="center"/>
          </w:tcPr>
          <w:p w14:paraId="5EED5E57">
            <w:pPr>
              <w:widowControl/>
              <w:spacing w:line="276" w:lineRule="auto"/>
              <w:jc w:val="left"/>
              <w:rPr>
                <w:rFonts w:hint="eastAsia" w:ascii="宋体" w:hAnsi="宋体" w:eastAsia="宋体" w:cs="Times New Roman"/>
                <w:kern w:val="0"/>
                <w:szCs w:val="21"/>
              </w:rPr>
            </w:pPr>
          </w:p>
        </w:tc>
        <w:tc>
          <w:tcPr>
            <w:tcW w:w="1807" w:type="dxa"/>
            <w:vMerge w:val="continue"/>
            <w:tcBorders>
              <w:left w:val="single" w:color="auto" w:sz="8" w:space="0"/>
              <w:right w:val="single" w:color="auto" w:sz="8" w:space="0"/>
            </w:tcBorders>
            <w:vAlign w:val="center"/>
          </w:tcPr>
          <w:p w14:paraId="5349070C">
            <w:pPr>
              <w:widowControl/>
              <w:spacing w:line="276" w:lineRule="auto"/>
              <w:jc w:val="left"/>
              <w:rPr>
                <w:rFonts w:hint="eastAsia" w:ascii="宋体" w:hAnsi="宋体" w:eastAsia="宋体" w:cs="Times New Roman"/>
                <w:kern w:val="0"/>
                <w:szCs w:val="21"/>
              </w:rPr>
            </w:pPr>
          </w:p>
        </w:tc>
        <w:tc>
          <w:tcPr>
            <w:tcW w:w="1497" w:type="dxa"/>
            <w:tcBorders>
              <w:top w:val="nil"/>
              <w:left w:val="nil"/>
              <w:bottom w:val="single" w:color="auto" w:sz="4" w:space="0"/>
              <w:right w:val="single" w:color="auto" w:sz="8" w:space="0"/>
            </w:tcBorders>
            <w:vAlign w:val="center"/>
          </w:tcPr>
          <w:p w14:paraId="33A0303A">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平时2</w:t>
            </w:r>
          </w:p>
        </w:tc>
        <w:tc>
          <w:tcPr>
            <w:tcW w:w="1592" w:type="dxa"/>
            <w:tcBorders>
              <w:top w:val="nil"/>
              <w:left w:val="nil"/>
              <w:bottom w:val="single" w:color="auto" w:sz="4" w:space="0"/>
              <w:right w:val="single" w:color="auto" w:sz="8" w:space="0"/>
            </w:tcBorders>
            <w:vAlign w:val="center"/>
          </w:tcPr>
          <w:p w14:paraId="2366E4E2">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w:t>
            </w:r>
          </w:p>
        </w:tc>
        <w:tc>
          <w:tcPr>
            <w:tcW w:w="2057" w:type="dxa"/>
            <w:vMerge w:val="continue"/>
            <w:tcBorders>
              <w:left w:val="nil"/>
              <w:right w:val="single" w:color="auto" w:sz="8" w:space="0"/>
            </w:tcBorders>
            <w:vAlign w:val="center"/>
          </w:tcPr>
          <w:p w14:paraId="3D677457">
            <w:pPr>
              <w:widowControl/>
              <w:spacing w:line="276" w:lineRule="auto"/>
              <w:jc w:val="center"/>
              <w:rPr>
                <w:rFonts w:hint="eastAsia" w:ascii="宋体" w:hAnsi="宋体" w:eastAsia="宋体" w:cs="Times New Roman"/>
                <w:kern w:val="0"/>
                <w:szCs w:val="21"/>
              </w:rPr>
            </w:pPr>
          </w:p>
        </w:tc>
      </w:tr>
      <w:tr w14:paraId="1393090D">
        <w:tblPrEx>
          <w:tblCellMar>
            <w:top w:w="0" w:type="dxa"/>
            <w:left w:w="108" w:type="dxa"/>
            <w:bottom w:w="0" w:type="dxa"/>
            <w:right w:w="108" w:type="dxa"/>
          </w:tblCellMar>
        </w:tblPrEx>
        <w:trPr>
          <w:trHeight w:val="246" w:hRule="atLeast"/>
        </w:trPr>
        <w:tc>
          <w:tcPr>
            <w:tcW w:w="2037" w:type="dxa"/>
            <w:vMerge w:val="continue"/>
            <w:tcBorders>
              <w:left w:val="single" w:color="auto" w:sz="8" w:space="0"/>
              <w:bottom w:val="single" w:color="auto" w:sz="4" w:space="0"/>
              <w:right w:val="single" w:color="auto" w:sz="8" w:space="0"/>
            </w:tcBorders>
            <w:vAlign w:val="center"/>
          </w:tcPr>
          <w:p w14:paraId="6B9D0E89">
            <w:pPr>
              <w:widowControl/>
              <w:spacing w:line="276" w:lineRule="auto"/>
              <w:jc w:val="left"/>
              <w:rPr>
                <w:rFonts w:hint="eastAsia" w:ascii="宋体" w:hAnsi="宋体" w:eastAsia="宋体" w:cs="Times New Roman"/>
                <w:kern w:val="0"/>
                <w:szCs w:val="21"/>
              </w:rPr>
            </w:pPr>
          </w:p>
        </w:tc>
        <w:tc>
          <w:tcPr>
            <w:tcW w:w="1807" w:type="dxa"/>
            <w:vMerge w:val="continue"/>
            <w:tcBorders>
              <w:left w:val="single" w:color="auto" w:sz="8" w:space="0"/>
              <w:bottom w:val="single" w:color="auto" w:sz="4" w:space="0"/>
              <w:right w:val="single" w:color="auto" w:sz="8" w:space="0"/>
            </w:tcBorders>
            <w:vAlign w:val="center"/>
          </w:tcPr>
          <w:p w14:paraId="03438F71">
            <w:pPr>
              <w:widowControl/>
              <w:spacing w:line="276" w:lineRule="auto"/>
              <w:jc w:val="left"/>
              <w:rPr>
                <w:rFonts w:hint="eastAsia" w:ascii="宋体" w:hAnsi="宋体" w:eastAsia="宋体" w:cs="Times New Roman"/>
                <w:kern w:val="0"/>
                <w:szCs w:val="21"/>
              </w:rPr>
            </w:pPr>
          </w:p>
        </w:tc>
        <w:tc>
          <w:tcPr>
            <w:tcW w:w="1497" w:type="dxa"/>
            <w:tcBorders>
              <w:top w:val="nil"/>
              <w:left w:val="nil"/>
              <w:bottom w:val="single" w:color="auto" w:sz="4" w:space="0"/>
              <w:right w:val="single" w:color="auto" w:sz="8" w:space="0"/>
            </w:tcBorders>
            <w:vAlign w:val="center"/>
          </w:tcPr>
          <w:p w14:paraId="51E2844B">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平时3</w:t>
            </w:r>
          </w:p>
        </w:tc>
        <w:tc>
          <w:tcPr>
            <w:tcW w:w="1592" w:type="dxa"/>
            <w:tcBorders>
              <w:top w:val="nil"/>
              <w:left w:val="nil"/>
              <w:bottom w:val="single" w:color="auto" w:sz="4" w:space="0"/>
              <w:right w:val="single" w:color="auto" w:sz="8" w:space="0"/>
            </w:tcBorders>
            <w:vAlign w:val="center"/>
          </w:tcPr>
          <w:p w14:paraId="79FA0B75">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 xml:space="preserve">10% </w:t>
            </w:r>
          </w:p>
        </w:tc>
        <w:tc>
          <w:tcPr>
            <w:tcW w:w="2057" w:type="dxa"/>
            <w:vMerge w:val="continue"/>
            <w:tcBorders>
              <w:left w:val="nil"/>
              <w:bottom w:val="single" w:color="auto" w:sz="4" w:space="0"/>
              <w:right w:val="single" w:color="auto" w:sz="8" w:space="0"/>
            </w:tcBorders>
            <w:vAlign w:val="center"/>
          </w:tcPr>
          <w:p w14:paraId="08969306">
            <w:pPr>
              <w:widowControl/>
              <w:spacing w:line="276" w:lineRule="auto"/>
              <w:jc w:val="center"/>
              <w:rPr>
                <w:rFonts w:hint="eastAsia" w:ascii="宋体" w:hAnsi="宋体" w:eastAsia="宋体" w:cs="Times New Roman"/>
                <w:kern w:val="0"/>
                <w:szCs w:val="21"/>
              </w:rPr>
            </w:pPr>
          </w:p>
        </w:tc>
      </w:tr>
      <w:tr w14:paraId="4FF9A92E">
        <w:tblPrEx>
          <w:tblCellMar>
            <w:top w:w="0" w:type="dxa"/>
            <w:left w:w="108" w:type="dxa"/>
            <w:bottom w:w="0" w:type="dxa"/>
            <w:right w:w="108" w:type="dxa"/>
          </w:tblCellMar>
        </w:tblPrEx>
        <w:trPr>
          <w:trHeight w:val="398" w:hRule="atLeast"/>
        </w:trPr>
        <w:tc>
          <w:tcPr>
            <w:tcW w:w="2037" w:type="dxa"/>
            <w:tcBorders>
              <w:top w:val="single" w:color="auto" w:sz="4" w:space="0"/>
              <w:left w:val="single" w:color="auto" w:sz="4" w:space="0"/>
              <w:bottom w:val="single" w:color="auto" w:sz="4" w:space="0"/>
              <w:right w:val="single" w:color="auto" w:sz="4" w:space="0"/>
            </w:tcBorders>
            <w:vAlign w:val="center"/>
          </w:tcPr>
          <w:p w14:paraId="0ACEF039">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课程目标权重合计</w:t>
            </w:r>
          </w:p>
        </w:tc>
        <w:tc>
          <w:tcPr>
            <w:tcW w:w="1807" w:type="dxa"/>
            <w:tcBorders>
              <w:top w:val="single" w:color="auto" w:sz="4" w:space="0"/>
              <w:left w:val="single" w:color="auto" w:sz="4" w:space="0"/>
              <w:bottom w:val="single" w:color="auto" w:sz="4" w:space="0"/>
              <w:right w:val="single" w:color="auto" w:sz="4" w:space="0"/>
            </w:tcBorders>
            <w:vAlign w:val="center"/>
          </w:tcPr>
          <w:p w14:paraId="3FE26C89">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c>
          <w:tcPr>
            <w:tcW w:w="5146" w:type="dxa"/>
            <w:gridSpan w:val="3"/>
            <w:tcBorders>
              <w:top w:val="single" w:color="auto" w:sz="4" w:space="0"/>
              <w:left w:val="single" w:color="auto" w:sz="4" w:space="0"/>
              <w:bottom w:val="single" w:color="auto" w:sz="4" w:space="0"/>
              <w:right w:val="single" w:color="auto" w:sz="4" w:space="0"/>
            </w:tcBorders>
            <w:vAlign w:val="center"/>
          </w:tcPr>
          <w:p w14:paraId="6C6A9597">
            <w:pPr>
              <w:widowControl/>
              <w:spacing w:line="276" w:lineRule="auto"/>
              <w:jc w:val="center"/>
              <w:rPr>
                <w:rFonts w:hint="eastAsia" w:ascii="宋体" w:hAnsi="宋体" w:eastAsia="宋体" w:cs="Times New Roman"/>
                <w:kern w:val="0"/>
                <w:szCs w:val="21"/>
              </w:rPr>
            </w:pPr>
          </w:p>
        </w:tc>
      </w:tr>
    </w:tbl>
    <w:p w14:paraId="37DC3622">
      <w:pPr>
        <w:spacing w:line="360" w:lineRule="auto"/>
        <w:rPr>
          <w:rFonts w:ascii="Calibri" w:hAnsi="Calibri" w:eastAsia="宋体" w:cs="Times New Roman"/>
          <w:sz w:val="24"/>
        </w:rPr>
      </w:pPr>
    </w:p>
    <w:p w14:paraId="161589D3">
      <w:pPr>
        <w:spacing w:line="360" w:lineRule="auto"/>
        <w:ind w:firstLine="480" w:firstLineChars="200"/>
        <w:rPr>
          <w:rFonts w:ascii="Calibri" w:hAnsi="Calibri" w:eastAsia="宋体" w:cs="Times New Roman"/>
          <w:sz w:val="24"/>
        </w:rPr>
      </w:pPr>
      <w:r>
        <w:rPr>
          <w:rFonts w:ascii="Calibri" w:hAnsi="Calibri" w:eastAsia="宋体" w:cs="Times New Roman"/>
          <w:sz w:val="24"/>
        </w:rPr>
        <w:t>（</w:t>
      </w:r>
      <w:r>
        <w:rPr>
          <w:rFonts w:hint="eastAsia" w:ascii="Calibri" w:hAnsi="Calibri" w:eastAsia="宋体" w:cs="Times New Roman"/>
          <w:sz w:val="24"/>
        </w:rPr>
        <w:t>4</w:t>
      </w:r>
      <w:r>
        <w:rPr>
          <w:rFonts w:ascii="Calibri" w:hAnsi="Calibri" w:eastAsia="宋体" w:cs="Times New Roman"/>
          <w:sz w:val="24"/>
        </w:rPr>
        <w:t>）课程目标达成度计算方法</w:t>
      </w:r>
    </w:p>
    <w:p w14:paraId="53552477">
      <w:pPr>
        <w:spacing w:line="360" w:lineRule="auto"/>
        <w:ind w:firstLine="480" w:firstLineChars="200"/>
        <w:rPr>
          <w:rFonts w:ascii="Calibri" w:hAnsi="Calibri" w:eastAsia="宋体" w:cs="Times New Roman"/>
          <w:sz w:val="24"/>
        </w:rPr>
      </w:pPr>
      <w:r>
        <w:rPr>
          <w:rFonts w:ascii="Calibri" w:hAnsi="Calibri" w:eastAsia="宋体" w:cs="Times New Roman"/>
          <w:sz w:val="24"/>
        </w:rPr>
        <w:t>所有课程目标均需大于等于0.6，否则总评成绩不及格，需要补考或重修。每门课程目标总体达成度计算方法如下：</w:t>
      </w:r>
    </w:p>
    <w:p w14:paraId="0464C7A5">
      <w:pPr>
        <w:spacing w:line="360" w:lineRule="auto"/>
        <w:jc w:val="left"/>
        <w:rPr>
          <w:rFonts w:ascii="Calibri" w:hAnsi="Calibri" w:eastAsia="宋体" w:cs="Times New Roman"/>
          <w:b/>
          <w:sz w:val="24"/>
        </w:rPr>
      </w:pPr>
      <w:r>
        <w:rPr>
          <w:rFonts w:ascii="Calibri" w:hAnsi="Calibri" w:eastAsia="宋体" w:cs="Times New Roman"/>
          <w:position w:val="-26"/>
          <w:sz w:val="24"/>
        </w:rPr>
        <w:object>
          <v:shape id="_x0000_i1058" o:spt="75" type="#_x0000_t75" style="height:31.15pt;width:453.4pt;" o:ole="t" filled="f" o:preferrelative="t" stroked="f" coordsize="21600,21600">
            <v:path/>
            <v:fill on="f" focussize="0,0"/>
            <v:stroke on="f" joinstyle="miter"/>
            <v:imagedata r:id="rId5" o:title=""/>
            <o:lock v:ext="edit" aspectratio="t"/>
            <w10:wrap type="none"/>
            <w10:anchorlock/>
          </v:shape>
          <o:OLEObject Type="Embed" ProgID="Equation.3" ShapeID="_x0000_i1058" DrawAspect="Content" ObjectID="_1468075758" r:id="rId43">
            <o:LockedField>false</o:LockedField>
          </o:OLEObject>
        </w:object>
      </w:r>
      <w:r>
        <w:rPr>
          <w:rFonts w:hint="eastAsia" w:ascii="Calibri" w:hAnsi="Calibri" w:eastAsia="宋体" w:cs="Times New Roman"/>
          <w:position w:val="-26"/>
          <w:sz w:val="24"/>
        </w:rPr>
        <w:t xml:space="preserve">  </w:t>
      </w:r>
      <w:r>
        <w:rPr>
          <w:rFonts w:hint="eastAsia" w:ascii="Calibri" w:hAnsi="Calibri" w:eastAsia="宋体" w:cs="Times New Roman"/>
          <w:b/>
          <w:sz w:val="24"/>
        </w:rPr>
        <w:t>六</w:t>
      </w:r>
      <w:r>
        <w:rPr>
          <w:rFonts w:ascii="Calibri" w:hAnsi="Calibri" w:eastAsia="宋体" w:cs="Times New Roman"/>
          <w:b/>
          <w:sz w:val="24"/>
        </w:rPr>
        <w:t>、有关说明</w:t>
      </w:r>
      <w:bookmarkStart w:id="194" w:name="_Toc19729762"/>
    </w:p>
    <w:p w14:paraId="294BB353">
      <w:pPr>
        <w:spacing w:line="360" w:lineRule="auto"/>
        <w:ind w:firstLine="482" w:firstLineChars="200"/>
        <w:jc w:val="left"/>
        <w:rPr>
          <w:rFonts w:ascii="Calibri" w:hAnsi="Calibri" w:eastAsia="宋体" w:cs="Times New Roman"/>
          <w:b/>
          <w:sz w:val="24"/>
        </w:rPr>
      </w:pPr>
      <w:r>
        <w:rPr>
          <w:rFonts w:ascii="Calibri" w:hAnsi="Calibri" w:eastAsia="宋体" w:cs="Times New Roman"/>
          <w:b/>
          <w:sz w:val="24"/>
        </w:rPr>
        <w:t>（一）持续改进</w:t>
      </w:r>
      <w:bookmarkEnd w:id="194"/>
    </w:p>
    <w:p w14:paraId="582B3B56">
      <w:pPr>
        <w:spacing w:line="360" w:lineRule="auto"/>
        <w:ind w:firstLine="480" w:firstLineChars="200"/>
        <w:rPr>
          <w:rFonts w:ascii="Calibri" w:hAnsi="Calibri" w:eastAsia="宋体" w:cs="Times New Roman"/>
          <w:sz w:val="24"/>
        </w:rPr>
      </w:pPr>
      <w:r>
        <w:rPr>
          <w:rFonts w:ascii="Calibri" w:hAnsi="Calibri" w:eastAsia="宋体" w:cs="Times New Roman"/>
          <w:sz w:val="24"/>
        </w:rPr>
        <w:t>1. 提倡改革教学方法，强调应用现代化教学手段，如课件、互联网教学和网络答疑等。</w:t>
      </w:r>
    </w:p>
    <w:p w14:paraId="0D903753">
      <w:pPr>
        <w:spacing w:line="360" w:lineRule="auto"/>
        <w:ind w:firstLine="480" w:firstLineChars="200"/>
        <w:rPr>
          <w:rFonts w:ascii="Calibri" w:hAnsi="Calibri" w:eastAsia="宋体" w:cs="Times New Roman"/>
          <w:sz w:val="24"/>
        </w:rPr>
      </w:pPr>
      <w:r>
        <w:rPr>
          <w:rFonts w:ascii="Calibri" w:hAnsi="Calibri" w:eastAsia="宋体" w:cs="Times New Roman"/>
          <w:sz w:val="24"/>
        </w:rPr>
        <w:t>2.合理安排教学课时，加强课堂提问、课堂小测验等旨在督促学生自主学习的教学环节；引导学生做好课前预习、课后整理笔记并及时完成作业的复习工作；保证学生完成一定数量的作业和习题。</w:t>
      </w:r>
    </w:p>
    <w:p w14:paraId="70A71FE6">
      <w:pPr>
        <w:spacing w:line="360" w:lineRule="auto"/>
        <w:ind w:firstLine="480" w:firstLineChars="200"/>
        <w:rPr>
          <w:rFonts w:ascii="Calibri" w:hAnsi="Calibri" w:eastAsia="宋体" w:cs="Times New Roman"/>
          <w:sz w:val="24"/>
        </w:rPr>
      </w:pPr>
      <w:r>
        <w:rPr>
          <w:rFonts w:ascii="Calibri" w:hAnsi="Calibri" w:eastAsia="宋体" w:cs="Times New Roman"/>
          <w:sz w:val="24"/>
        </w:rPr>
        <w:t>3．教学用的例题和习题，应适当结合实际。</w:t>
      </w:r>
    </w:p>
    <w:p w14:paraId="567FB5F6">
      <w:pPr>
        <w:spacing w:line="360" w:lineRule="auto"/>
        <w:ind w:firstLine="482" w:firstLineChars="200"/>
        <w:rPr>
          <w:rFonts w:ascii="Calibri" w:hAnsi="Calibri" w:eastAsia="宋体" w:cs="Times New Roman"/>
          <w:b/>
          <w:sz w:val="24"/>
        </w:rPr>
      </w:pPr>
      <w:bookmarkStart w:id="195" w:name="_Toc19729763"/>
      <w:r>
        <w:rPr>
          <w:rFonts w:ascii="Calibri" w:hAnsi="Calibri" w:eastAsia="宋体" w:cs="Times New Roman"/>
          <w:b/>
          <w:sz w:val="24"/>
        </w:rPr>
        <w:t>（二）参考书目及学习资料</w:t>
      </w:r>
      <w:bookmarkEnd w:id="195"/>
    </w:p>
    <w:p w14:paraId="7C747E7F">
      <w:pPr>
        <w:spacing w:line="360" w:lineRule="auto"/>
        <w:ind w:firstLine="480" w:firstLineChars="200"/>
        <w:rPr>
          <w:rFonts w:ascii="Calibri" w:hAnsi="Calibri" w:eastAsia="宋体" w:cs="Times New Roman"/>
          <w:sz w:val="24"/>
        </w:rPr>
      </w:pPr>
      <w:r>
        <w:rPr>
          <w:rFonts w:ascii="Calibri" w:hAnsi="Calibri" w:eastAsia="宋体" w:cs="Times New Roman"/>
          <w:sz w:val="24"/>
        </w:rPr>
        <w:t>1．教材</w:t>
      </w:r>
    </w:p>
    <w:p w14:paraId="1C25D011">
      <w:pPr>
        <w:spacing w:line="360" w:lineRule="auto"/>
        <w:ind w:firstLine="480" w:firstLineChars="200"/>
        <w:rPr>
          <w:rFonts w:ascii="Calibri" w:hAnsi="Calibri" w:eastAsia="宋体" w:cs="Times New Roman"/>
          <w:sz w:val="24"/>
        </w:rPr>
      </w:pPr>
      <w:r>
        <w:rPr>
          <w:rFonts w:ascii="Calibri" w:hAnsi="Calibri" w:eastAsia="宋体" w:cs="Times New Roman"/>
          <w:kern w:val="0"/>
          <w:sz w:val="24"/>
        </w:rPr>
        <w:t>刘玉琏</w:t>
      </w:r>
      <w:r>
        <w:rPr>
          <w:rFonts w:ascii="Calibri" w:hAnsi="Calibri" w:eastAsia="宋体" w:cs="Times New Roman"/>
          <w:sz w:val="24"/>
        </w:rPr>
        <w:t>.</w:t>
      </w:r>
      <w:r>
        <w:rPr>
          <w:rFonts w:hint="eastAsia" w:ascii="Calibri" w:hAnsi="Calibri" w:eastAsia="宋体" w:cs="Times New Roman"/>
          <w:sz w:val="24"/>
        </w:rPr>
        <w:t xml:space="preserve"> </w:t>
      </w:r>
      <w:r>
        <w:rPr>
          <w:rFonts w:ascii="Calibri" w:hAnsi="Calibri" w:eastAsia="宋体" w:cs="Times New Roman"/>
          <w:kern w:val="0"/>
          <w:sz w:val="24"/>
        </w:rPr>
        <w:t>数学分析讲义</w:t>
      </w:r>
      <w:r>
        <w:rPr>
          <w:rFonts w:ascii="Calibri" w:hAnsi="Calibri" w:eastAsia="宋体" w:cs="Times New Roman"/>
          <w:sz w:val="24"/>
        </w:rPr>
        <w:t>.</w:t>
      </w:r>
      <w:r>
        <w:rPr>
          <w:rFonts w:hint="eastAsia" w:ascii="Calibri" w:hAnsi="Calibri" w:eastAsia="宋体" w:cs="Times New Roman"/>
          <w:sz w:val="24"/>
        </w:rPr>
        <w:t xml:space="preserve"> </w:t>
      </w:r>
      <w:r>
        <w:rPr>
          <w:rFonts w:ascii="Calibri" w:hAnsi="Calibri" w:eastAsia="宋体" w:cs="Times New Roman"/>
          <w:sz w:val="24"/>
        </w:rPr>
        <w:t>北京：</w:t>
      </w:r>
      <w:r>
        <w:rPr>
          <w:rFonts w:ascii="Calibri" w:hAnsi="Calibri" w:eastAsia="宋体" w:cs="Times New Roman"/>
          <w:kern w:val="0"/>
          <w:sz w:val="24"/>
        </w:rPr>
        <w:t>高等教育出版社</w:t>
      </w:r>
      <w:r>
        <w:rPr>
          <w:rFonts w:ascii="Calibri" w:hAnsi="Calibri" w:eastAsia="宋体" w:cs="Times New Roman"/>
          <w:sz w:val="24"/>
        </w:rPr>
        <w:t>.</w:t>
      </w:r>
      <w:r>
        <w:rPr>
          <w:rFonts w:hint="eastAsia" w:ascii="Calibri" w:hAnsi="Calibri" w:eastAsia="宋体" w:cs="Times New Roman"/>
          <w:sz w:val="24"/>
        </w:rPr>
        <w:t xml:space="preserve"> </w:t>
      </w:r>
      <w:r>
        <w:rPr>
          <w:rFonts w:ascii="Calibri" w:hAnsi="Calibri" w:eastAsia="宋体" w:cs="Times New Roman"/>
          <w:kern w:val="0"/>
          <w:sz w:val="24"/>
        </w:rPr>
        <w:t>2008</w:t>
      </w:r>
      <w:r>
        <w:rPr>
          <w:rFonts w:ascii="Calibri" w:hAnsi="Calibri" w:eastAsia="宋体" w:cs="Times New Roman"/>
          <w:sz w:val="24"/>
        </w:rPr>
        <w:t>.</w:t>
      </w:r>
    </w:p>
    <w:p w14:paraId="71ABCE73">
      <w:pPr>
        <w:spacing w:line="360" w:lineRule="auto"/>
        <w:ind w:firstLine="480" w:firstLineChars="200"/>
        <w:rPr>
          <w:rFonts w:ascii="Calibri" w:hAnsi="Calibri" w:eastAsia="宋体" w:cs="Times New Roman"/>
          <w:sz w:val="24"/>
        </w:rPr>
      </w:pPr>
      <w:bookmarkStart w:id="196" w:name="_Toc19729764"/>
      <w:r>
        <w:rPr>
          <w:rFonts w:ascii="Calibri" w:hAnsi="Calibri" w:eastAsia="宋体" w:cs="Times New Roman"/>
          <w:sz w:val="24"/>
        </w:rPr>
        <w:t>2．教学参考书</w:t>
      </w:r>
      <w:bookmarkEnd w:id="196"/>
    </w:p>
    <w:p w14:paraId="671C0D68">
      <w:pPr>
        <w:widowControl/>
        <w:spacing w:line="360" w:lineRule="auto"/>
        <w:ind w:firstLine="480" w:firstLineChars="200"/>
        <w:rPr>
          <w:rFonts w:ascii="Calibri" w:hAnsi="Calibri" w:eastAsia="宋体" w:cs="Times New Roman"/>
          <w:kern w:val="0"/>
          <w:sz w:val="24"/>
          <w:szCs w:val="21"/>
        </w:rPr>
      </w:pPr>
      <w:r>
        <w:rPr>
          <w:rFonts w:ascii="Calibri" w:hAnsi="Calibri" w:eastAsia="宋体" w:cs="Times New Roman"/>
          <w:sz w:val="24"/>
        </w:rPr>
        <w:t>华东师范大学数学系. 数学分析. 北京：高等教育出版社</w:t>
      </w:r>
      <w:r>
        <w:rPr>
          <w:rFonts w:hint="eastAsia" w:ascii="Calibri" w:hAnsi="Calibri" w:eastAsia="宋体" w:cs="Times New Roman"/>
          <w:sz w:val="24"/>
        </w:rPr>
        <w:t>.</w:t>
      </w:r>
      <w:r>
        <w:rPr>
          <w:rFonts w:ascii="Calibri" w:hAnsi="Calibri" w:eastAsia="宋体" w:cs="Times New Roman"/>
          <w:sz w:val="24"/>
        </w:rPr>
        <w:t>2010.</w:t>
      </w:r>
    </w:p>
    <w:p w14:paraId="3A3B43E5">
      <w:pPr>
        <w:spacing w:line="312" w:lineRule="auto"/>
        <w:ind w:firstLine="480" w:firstLineChars="200"/>
        <w:rPr>
          <w:rFonts w:ascii="Calibri" w:hAnsi="Calibri" w:eastAsia="宋体" w:cs="Times New Roman"/>
          <w:sz w:val="24"/>
        </w:rPr>
      </w:pPr>
      <w:r>
        <w:rPr>
          <w:rFonts w:ascii="Calibri" w:hAnsi="Calibri" w:eastAsia="宋体" w:cs="Times New Roman"/>
          <w:sz w:val="24"/>
          <w:szCs w:val="21"/>
        </w:rPr>
        <w:t>同济大学数学系</w:t>
      </w:r>
      <w:r>
        <w:rPr>
          <w:rFonts w:ascii="Calibri" w:hAnsi="Calibri" w:eastAsia="宋体" w:cs="Times New Roman"/>
          <w:sz w:val="24"/>
        </w:rPr>
        <w:t xml:space="preserve">. </w:t>
      </w:r>
      <w:r>
        <w:rPr>
          <w:rFonts w:ascii="Calibri" w:hAnsi="Calibri" w:eastAsia="宋体" w:cs="Times New Roman"/>
          <w:sz w:val="24"/>
          <w:szCs w:val="21"/>
        </w:rPr>
        <w:t>高等数学</w:t>
      </w:r>
      <w:r>
        <w:rPr>
          <w:rFonts w:ascii="Calibri" w:hAnsi="Calibri" w:eastAsia="宋体" w:cs="Times New Roman"/>
          <w:sz w:val="24"/>
        </w:rPr>
        <w:t>.</w:t>
      </w:r>
      <w:r>
        <w:rPr>
          <w:rFonts w:ascii="Calibri" w:hAnsi="Calibri" w:eastAsia="宋体" w:cs="Times New Roman"/>
          <w:sz w:val="24"/>
          <w:szCs w:val="21"/>
        </w:rPr>
        <w:t xml:space="preserve"> 北京</w:t>
      </w:r>
      <w:r>
        <w:rPr>
          <w:rFonts w:ascii="Calibri" w:hAnsi="Calibri" w:eastAsia="宋体" w:cs="Times New Roman"/>
          <w:kern w:val="0"/>
          <w:sz w:val="24"/>
          <w:szCs w:val="21"/>
        </w:rPr>
        <w:t>：</w:t>
      </w:r>
      <w:r>
        <w:rPr>
          <w:rFonts w:ascii="Calibri" w:hAnsi="Calibri" w:eastAsia="宋体" w:cs="Times New Roman"/>
          <w:sz w:val="24"/>
          <w:szCs w:val="21"/>
        </w:rPr>
        <w:t>高等教育出版社</w:t>
      </w:r>
      <w:r>
        <w:rPr>
          <w:rFonts w:hint="eastAsia" w:ascii="Calibri" w:hAnsi="Calibri" w:eastAsia="宋体" w:cs="Times New Roman"/>
          <w:sz w:val="24"/>
          <w:szCs w:val="21"/>
        </w:rPr>
        <w:t>.</w:t>
      </w:r>
      <w:r>
        <w:rPr>
          <w:rFonts w:ascii="Calibri" w:hAnsi="Calibri" w:eastAsia="宋体" w:cs="Times New Roman"/>
          <w:sz w:val="24"/>
          <w:szCs w:val="21"/>
        </w:rPr>
        <w:t>2014.</w:t>
      </w:r>
    </w:p>
    <w:p w14:paraId="0EA87E5D">
      <w:pPr>
        <w:spacing w:line="312" w:lineRule="auto"/>
        <w:rPr>
          <w:rFonts w:ascii="Calibri" w:hAnsi="Calibri" w:eastAsia="宋体" w:cs="Times New Roman"/>
          <w:sz w:val="24"/>
        </w:rPr>
      </w:pPr>
    </w:p>
    <w:p w14:paraId="710464EA">
      <w:pPr>
        <w:spacing w:line="312" w:lineRule="auto"/>
        <w:rPr>
          <w:rFonts w:ascii="Calibri" w:hAnsi="Calibri" w:eastAsia="宋体" w:cs="Times New Roman"/>
          <w:sz w:val="24"/>
        </w:rPr>
      </w:pPr>
    </w:p>
    <w:p w14:paraId="50A04883">
      <w:pPr>
        <w:autoSpaceDE w:val="0"/>
        <w:autoSpaceDN w:val="0"/>
        <w:adjustRightInd w:val="0"/>
        <w:spacing w:line="360" w:lineRule="auto"/>
        <w:ind w:firstLine="1200" w:firstLineChars="500"/>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执笔人：</w:t>
      </w:r>
      <w:r>
        <w:rPr>
          <w:rFonts w:hint="eastAsia" w:ascii="宋体" w:hAnsi="宋体" w:eastAsia="宋体" w:cs="Times New Roman"/>
          <w:kern w:val="0"/>
          <w:sz w:val="24"/>
          <w:szCs w:val="21"/>
        </w:rPr>
        <w:t>刘峻辰</w:t>
      </w:r>
    </w:p>
    <w:p w14:paraId="300AABD2">
      <w:pPr>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审定人：</w:t>
      </w:r>
      <w:r>
        <w:rPr>
          <w:rFonts w:hint="eastAsia" w:ascii="宋体" w:hAnsi="宋体" w:eastAsia="宋体" w:cs="Times New Roman"/>
          <w:kern w:val="0"/>
          <w:sz w:val="24"/>
          <w:szCs w:val="21"/>
        </w:rPr>
        <w:t xml:space="preserve">王 </w:t>
      </w:r>
      <w:r>
        <w:rPr>
          <w:rFonts w:ascii="宋体" w:hAnsi="宋体" w:eastAsia="宋体" w:cs="Times New Roman"/>
          <w:kern w:val="0"/>
          <w:sz w:val="24"/>
          <w:szCs w:val="21"/>
        </w:rPr>
        <w:t xml:space="preserve"> </w:t>
      </w:r>
      <w:r>
        <w:rPr>
          <w:rFonts w:hint="eastAsia" w:ascii="宋体" w:hAnsi="宋体" w:eastAsia="宋体" w:cs="Times New Roman"/>
          <w:kern w:val="0"/>
          <w:sz w:val="24"/>
          <w:szCs w:val="21"/>
        </w:rPr>
        <w:t>健</w:t>
      </w:r>
      <w:r>
        <w:rPr>
          <w:rFonts w:ascii="宋体" w:hAnsi="宋体" w:eastAsia="宋体" w:cs="Times New Roman"/>
          <w:kern w:val="0"/>
          <w:sz w:val="24"/>
          <w:szCs w:val="21"/>
        </w:rPr>
        <w:t xml:space="preserve"> </w:t>
      </w:r>
    </w:p>
    <w:p w14:paraId="246E7626">
      <w:pPr>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审批人：</w:t>
      </w:r>
      <w:r>
        <w:rPr>
          <w:rFonts w:hint="eastAsia" w:ascii="宋体" w:hAnsi="宋体" w:eastAsia="宋体" w:cs="Times New Roman"/>
          <w:kern w:val="0"/>
          <w:sz w:val="24"/>
          <w:szCs w:val="21"/>
        </w:rPr>
        <w:t>张志欣</w:t>
      </w:r>
    </w:p>
    <w:p w14:paraId="3CB767FF">
      <w:pPr>
        <w:autoSpaceDE w:val="0"/>
        <w:autoSpaceDN w:val="0"/>
        <w:adjustRightInd w:val="0"/>
        <w:spacing w:line="360" w:lineRule="auto"/>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批准时间：2024年8月30日</w:t>
      </w:r>
    </w:p>
    <w:p w14:paraId="631D7375">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7BE336D4">
      <w:pPr>
        <w:pStyle w:val="2"/>
      </w:pPr>
      <w:bookmarkStart w:id="197" w:name="_Toc14385"/>
      <w:bookmarkStart w:id="198" w:name="_Toc166165207"/>
      <w:r>
        <w:rPr>
          <w:rFonts w:hint="eastAsia"/>
        </w:rPr>
        <w:t>《</w:t>
      </w:r>
      <w:r>
        <w:t>数学分析I</w:t>
      </w:r>
      <w:r>
        <w:rPr>
          <w:rFonts w:hint="eastAsia"/>
        </w:rPr>
        <w:t>I》</w:t>
      </w:r>
      <w:r>
        <w:t>课程教学大纲</w:t>
      </w:r>
      <w:bookmarkEnd w:id="197"/>
      <w:bookmarkEnd w:id="198"/>
    </w:p>
    <w:p w14:paraId="56BB4F5C">
      <w:pPr>
        <w:spacing w:line="312" w:lineRule="auto"/>
        <w:jc w:val="center"/>
        <w:rPr>
          <w:rFonts w:ascii="Times New Roman" w:hAnsi="Times New Roman" w:eastAsia="宋体" w:cs="Times New Roman"/>
          <w:b/>
          <w:bCs/>
          <w:sz w:val="30"/>
        </w:rPr>
      </w:pPr>
      <w:r>
        <w:rPr>
          <w:rFonts w:ascii="Times New Roman" w:hAnsi="Times New Roman" w:eastAsia="宋体" w:cs="Times New Roman"/>
          <w:b/>
          <w:bCs/>
          <w:sz w:val="30"/>
        </w:rPr>
        <w:t xml:space="preserve">（Mathematical Analysis </w:t>
      </w:r>
      <w:r>
        <w:rPr>
          <w:rFonts w:ascii="Times New Roman" w:hAnsi="Times New Roman" w:eastAsia="宋体" w:cs="Times New Roman"/>
          <w:b/>
          <w:bCs/>
          <w:sz w:val="30"/>
        </w:rPr>
        <w:fldChar w:fldCharType="begin"/>
      </w:r>
      <w:r>
        <w:rPr>
          <w:rFonts w:ascii="Times New Roman" w:hAnsi="Times New Roman" w:eastAsia="宋体" w:cs="Times New Roman"/>
          <w:b/>
          <w:bCs/>
          <w:sz w:val="30"/>
        </w:rPr>
        <w:instrText xml:space="preserve"> = 1 \* ROMAN \* MERGEFORMAT </w:instrText>
      </w:r>
      <w:r>
        <w:rPr>
          <w:rFonts w:ascii="Times New Roman" w:hAnsi="Times New Roman" w:eastAsia="宋体" w:cs="Times New Roman"/>
          <w:b/>
          <w:bCs/>
          <w:sz w:val="30"/>
        </w:rPr>
        <w:fldChar w:fldCharType="separate"/>
      </w:r>
      <w:r>
        <w:rPr>
          <w:rFonts w:ascii="Times New Roman" w:hAnsi="Times New Roman" w:eastAsia="宋体" w:cs="Times New Roman"/>
          <w:b/>
          <w:bCs/>
          <w:sz w:val="30"/>
        </w:rPr>
        <w:t>I</w:t>
      </w:r>
      <w:r>
        <w:rPr>
          <w:rFonts w:ascii="Times New Roman" w:hAnsi="Times New Roman" w:eastAsia="宋体" w:cs="Times New Roman"/>
          <w:b/>
          <w:bCs/>
          <w:sz w:val="30"/>
        </w:rPr>
        <w:fldChar w:fldCharType="end"/>
      </w:r>
      <w:r>
        <w:rPr>
          <w:rFonts w:hint="eastAsia" w:ascii="Times New Roman" w:hAnsi="Times New Roman" w:eastAsia="宋体" w:cs="Times New Roman"/>
          <w:b/>
          <w:bCs/>
          <w:sz w:val="30"/>
        </w:rPr>
        <w:t>I</w:t>
      </w:r>
      <w:r>
        <w:rPr>
          <w:rFonts w:ascii="Times New Roman" w:hAnsi="Times New Roman" w:eastAsia="宋体" w:cs="Times New Roman"/>
          <w:b/>
          <w:bCs/>
          <w:sz w:val="30"/>
        </w:rPr>
        <w:t>）</w:t>
      </w:r>
    </w:p>
    <w:p w14:paraId="6AE06F6F">
      <w:pPr>
        <w:spacing w:line="348"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课程名称：数学分析</w:t>
      </w:r>
      <w:r>
        <w:rPr>
          <w:rFonts w:ascii="宋体" w:hAnsi="宋体" w:eastAsia="宋体" w:cs="Times New Roman"/>
          <w:b/>
          <w:bCs/>
          <w:kern w:val="0"/>
          <w:sz w:val="24"/>
        </w:rPr>
        <w:t>II</w:t>
      </w:r>
    </w:p>
    <w:p w14:paraId="3F1FEE8F">
      <w:pPr>
        <w:spacing w:line="348"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课程代码：</w:t>
      </w:r>
      <w:r>
        <w:rPr>
          <w:rFonts w:ascii="宋体" w:hAnsi="宋体" w:eastAsia="宋体" w:cs="Times New Roman"/>
          <w:b/>
          <w:bCs/>
          <w:sz w:val="24"/>
        </w:rPr>
        <w:t>0821008</w:t>
      </w:r>
    </w:p>
    <w:p w14:paraId="470FB9E4">
      <w:pPr>
        <w:spacing w:line="348"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学    分：</w:t>
      </w:r>
      <w:r>
        <w:rPr>
          <w:rFonts w:ascii="宋体" w:hAnsi="宋体" w:eastAsia="宋体" w:cs="Times New Roman"/>
          <w:b/>
          <w:bCs/>
          <w:sz w:val="24"/>
        </w:rPr>
        <w:t>3</w:t>
      </w:r>
    </w:p>
    <w:p w14:paraId="415B46C8">
      <w:pPr>
        <w:spacing w:line="348"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学    时：</w:t>
      </w:r>
      <w:r>
        <w:rPr>
          <w:rFonts w:ascii="宋体" w:hAnsi="宋体" w:eastAsia="宋体" w:cs="Times New Roman"/>
          <w:b/>
          <w:bCs/>
          <w:sz w:val="24"/>
        </w:rPr>
        <w:t>48</w:t>
      </w:r>
      <w:r>
        <w:rPr>
          <w:rFonts w:ascii="宋体" w:hAnsi="宋体" w:eastAsia="宋体" w:cs="Times New Roman"/>
          <w:b/>
          <w:bCs/>
          <w:kern w:val="0"/>
          <w:sz w:val="24"/>
        </w:rPr>
        <w:t xml:space="preserve"> </w:t>
      </w:r>
    </w:p>
    <w:p w14:paraId="65B73029">
      <w:pPr>
        <w:spacing w:line="348" w:lineRule="auto"/>
        <w:ind w:firstLine="482" w:firstLineChars="200"/>
        <w:jc w:val="left"/>
        <w:rPr>
          <w:rFonts w:hint="eastAsia" w:ascii="宋体" w:hAnsi="宋体" w:eastAsia="宋体" w:cs="Times New Roman"/>
          <w:b/>
          <w:bCs/>
          <w:sz w:val="24"/>
        </w:rPr>
      </w:pPr>
      <w:r>
        <w:rPr>
          <w:rFonts w:ascii="宋体" w:hAnsi="宋体" w:eastAsia="宋体" w:cs="Times New Roman"/>
          <w:b/>
          <w:bCs/>
          <w:kern w:val="0"/>
          <w:sz w:val="24"/>
        </w:rPr>
        <w:t>先修课程：</w:t>
      </w:r>
      <w:r>
        <w:rPr>
          <w:rFonts w:ascii="宋体" w:hAnsi="宋体" w:eastAsia="宋体" w:cs="Times New Roman"/>
          <w:b/>
          <w:bCs/>
          <w:sz w:val="24"/>
        </w:rPr>
        <w:t>初等数学</w:t>
      </w:r>
    </w:p>
    <w:p w14:paraId="3FBF7600">
      <w:pPr>
        <w:spacing w:line="348"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适用专业：</w:t>
      </w:r>
      <w:r>
        <w:rPr>
          <w:rFonts w:ascii="宋体" w:hAnsi="宋体" w:eastAsia="宋体" w:cs="Times New Roman"/>
          <w:b/>
          <w:bCs/>
          <w:sz w:val="24"/>
        </w:rPr>
        <w:t xml:space="preserve">小学教育（理） </w:t>
      </w:r>
      <w:r>
        <w:rPr>
          <w:rFonts w:ascii="宋体" w:hAnsi="宋体" w:eastAsia="宋体" w:cs="Times New Roman"/>
          <w:b/>
          <w:bCs/>
          <w:kern w:val="0"/>
          <w:sz w:val="24"/>
        </w:rPr>
        <w:t xml:space="preserve">                         </w:t>
      </w:r>
    </w:p>
    <w:p w14:paraId="2F1EC76D">
      <w:pPr>
        <w:spacing w:line="348" w:lineRule="auto"/>
        <w:rPr>
          <w:rFonts w:ascii="Times New Roman" w:hAnsi="Times New Roman" w:eastAsia="宋体" w:cs="Times New Roman"/>
          <w:sz w:val="24"/>
        </w:rPr>
      </w:pPr>
    </w:p>
    <w:p w14:paraId="4AD569E1">
      <w:pPr>
        <w:numPr>
          <w:ilvl w:val="0"/>
          <w:numId w:val="52"/>
        </w:numPr>
        <w:autoSpaceDE w:val="0"/>
        <w:autoSpaceDN w:val="0"/>
        <w:adjustRightInd w:val="0"/>
        <w:spacing w:line="348" w:lineRule="auto"/>
        <w:jc w:val="left"/>
        <w:rPr>
          <w:rFonts w:ascii="Calibri" w:hAnsi="Calibri" w:eastAsia="宋体" w:cs="Times New Roman"/>
          <w:b/>
          <w:bCs/>
          <w:kern w:val="0"/>
          <w:sz w:val="24"/>
        </w:rPr>
      </w:pPr>
      <w:r>
        <w:rPr>
          <w:rFonts w:ascii="Calibri" w:hAnsi="Calibri" w:eastAsia="宋体" w:cs="Times New Roman"/>
          <w:b/>
          <w:bCs/>
          <w:kern w:val="0"/>
          <w:sz w:val="24"/>
        </w:rPr>
        <w:t>课程</w:t>
      </w:r>
      <w:r>
        <w:rPr>
          <w:rFonts w:hint="eastAsia" w:ascii="Calibri" w:hAnsi="Calibri" w:eastAsia="宋体" w:cs="Times New Roman"/>
          <w:b/>
          <w:bCs/>
          <w:kern w:val="0"/>
          <w:sz w:val="24"/>
        </w:rPr>
        <w:t>简介</w:t>
      </w:r>
    </w:p>
    <w:p w14:paraId="784BA8F0">
      <w:pPr>
        <w:autoSpaceDE w:val="0"/>
        <w:autoSpaceDN w:val="0"/>
        <w:adjustRightInd w:val="0"/>
        <w:spacing w:line="348" w:lineRule="auto"/>
        <w:ind w:firstLine="480" w:firstLineChars="200"/>
        <w:jc w:val="left"/>
        <w:rPr>
          <w:rFonts w:ascii="Calibri" w:hAnsi="Calibri" w:eastAsia="宋体" w:cs="Times New Roman"/>
          <w:sz w:val="24"/>
        </w:rPr>
      </w:pPr>
      <w:r>
        <w:rPr>
          <w:rFonts w:ascii="Calibri" w:hAnsi="Calibri" w:eastAsia="宋体" w:cs="Times New Roman"/>
          <w:kern w:val="0"/>
          <w:sz w:val="24"/>
        </w:rPr>
        <w:t>本课程是小学教育（理）专业的一门</w:t>
      </w:r>
      <w:r>
        <w:rPr>
          <w:rFonts w:ascii="Calibri" w:hAnsi="Calibri" w:eastAsia="宋体" w:cs="Times New Roman"/>
          <w:sz w:val="24"/>
        </w:rPr>
        <w:t>重要基础课。</w:t>
      </w:r>
      <w:r>
        <w:rPr>
          <w:rFonts w:ascii="Calibri" w:hAnsi="Calibri" w:eastAsia="宋体" w:cs="Times New Roman"/>
          <w:kern w:val="0"/>
          <w:sz w:val="24"/>
        </w:rPr>
        <w:t>通过本课程的学习，使学生系统地获得数学分析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099CF4FA">
      <w:pPr>
        <w:spacing w:line="348" w:lineRule="auto"/>
        <w:rPr>
          <w:rFonts w:ascii="Calibri" w:hAnsi="Calibri" w:eastAsia="宋体" w:cs="Times New Roman"/>
          <w:b/>
          <w:sz w:val="24"/>
        </w:rPr>
      </w:pPr>
      <w:r>
        <w:rPr>
          <w:rFonts w:ascii="Calibri" w:hAnsi="Calibri" w:eastAsia="宋体" w:cs="Times New Roman"/>
          <w:b/>
          <w:sz w:val="24"/>
        </w:rPr>
        <w:t>二、课程目标</w:t>
      </w:r>
    </w:p>
    <w:p w14:paraId="656EE2F9">
      <w:pPr>
        <w:spacing w:line="348" w:lineRule="auto"/>
        <w:ind w:firstLine="482" w:firstLineChars="200"/>
        <w:rPr>
          <w:rFonts w:ascii="Calibri" w:hAnsi="Calibri" w:eastAsia="宋体" w:cs="Times New Roman"/>
          <w:b/>
          <w:sz w:val="24"/>
        </w:rPr>
      </w:pPr>
      <w:r>
        <w:rPr>
          <w:rFonts w:ascii="Calibri" w:hAnsi="Calibri" w:eastAsia="宋体" w:cs="Times New Roman"/>
          <w:b/>
          <w:sz w:val="24"/>
        </w:rPr>
        <w:t>（一）课程具体目标</w:t>
      </w:r>
    </w:p>
    <w:p w14:paraId="6A066796">
      <w:pPr>
        <w:spacing w:line="360" w:lineRule="auto"/>
        <w:ind w:firstLine="482" w:firstLineChars="200"/>
        <w:rPr>
          <w:rFonts w:hint="eastAsia" w:ascii="宋体" w:hAnsi="宋体" w:eastAsia="宋体" w:cs="Times New Roman"/>
          <w:sz w:val="24"/>
        </w:rPr>
      </w:pPr>
      <w:r>
        <w:rPr>
          <w:rFonts w:hint="eastAsia" w:ascii="宋体" w:hAnsi="宋体" w:eastAsia="宋体" w:cs="Times New Roman"/>
          <w:b/>
          <w:bCs/>
          <w:sz w:val="24"/>
        </w:rPr>
        <w:t>目标1：</w:t>
      </w:r>
      <w:r>
        <w:rPr>
          <w:rFonts w:ascii="Times New Roman" w:hAnsi="Times New Roman" w:eastAsia="宋体" w:cs="Times New Roman"/>
          <w:color w:val="000000"/>
          <w:sz w:val="24"/>
        </w:rPr>
        <w:t>能够获得课程基本概念与性质</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掌握本课程要求的计算方法</w:t>
      </w:r>
      <w:r>
        <w:rPr>
          <w:rFonts w:hint="eastAsia" w:ascii="宋体" w:hAnsi="宋体" w:eastAsia="宋体" w:cs="Times New Roman"/>
          <w:sz w:val="24"/>
        </w:rPr>
        <w:t>；</w:t>
      </w:r>
    </w:p>
    <w:p w14:paraId="12C0CC5F">
      <w:pPr>
        <w:spacing w:line="360" w:lineRule="auto"/>
        <w:ind w:firstLine="482"/>
        <w:jc w:val="left"/>
        <w:rPr>
          <w:rFonts w:hint="eastAsia" w:ascii="宋体" w:hAnsi="宋体" w:eastAsia="宋体" w:cs="Times New Roman"/>
          <w:sz w:val="24"/>
        </w:rPr>
      </w:pPr>
      <w:r>
        <w:rPr>
          <w:rFonts w:hint="eastAsia" w:ascii="宋体" w:hAnsi="宋体" w:eastAsia="宋体" w:cs="Times New Roman"/>
          <w:b/>
          <w:bCs/>
          <w:sz w:val="24"/>
        </w:rPr>
        <w:t>目标2：</w:t>
      </w:r>
      <w:r>
        <w:rPr>
          <w:rFonts w:ascii="Times New Roman" w:hAnsi="Times New Roman" w:eastAsia="宋体" w:cs="Times New Roman"/>
          <w:color w:val="000000"/>
          <w:sz w:val="24"/>
        </w:rPr>
        <w:t>能够具有一定的</w:t>
      </w:r>
      <w:r>
        <w:rPr>
          <w:rFonts w:ascii="Times New Roman" w:hAnsi="Times New Roman" w:eastAsia="宋体" w:cs="Times New Roman"/>
          <w:sz w:val="24"/>
        </w:rPr>
        <w:t>抽象概括、逻辑推理等能力</w:t>
      </w:r>
      <w:r>
        <w:rPr>
          <w:rFonts w:hint="eastAsia" w:ascii="Times New Roman" w:hAnsi="Times New Roman" w:eastAsia="宋体" w:cs="Times New Roman"/>
          <w:sz w:val="24"/>
        </w:rPr>
        <w:t>，</w:t>
      </w:r>
      <w:r>
        <w:rPr>
          <w:rFonts w:ascii="Times New Roman" w:hAnsi="Times New Roman" w:eastAsia="宋体" w:cs="Times New Roman"/>
          <w:sz w:val="24"/>
        </w:rPr>
        <w:t>具有一定的运算能力</w:t>
      </w:r>
      <w:r>
        <w:rPr>
          <w:rFonts w:hint="eastAsia" w:ascii="Times New Roman" w:hAnsi="Times New Roman" w:eastAsia="宋体" w:cs="Times New Roman"/>
          <w:sz w:val="24"/>
        </w:rPr>
        <w:t>，以及</w:t>
      </w:r>
      <w:r>
        <w:rPr>
          <w:rFonts w:ascii="Times New Roman" w:hAnsi="Times New Roman" w:eastAsia="宋体" w:cs="Times New Roman"/>
          <w:color w:val="000000"/>
          <w:sz w:val="24"/>
        </w:rPr>
        <w:t>具有一定的</w:t>
      </w:r>
      <w:r>
        <w:rPr>
          <w:rFonts w:ascii="Times New Roman" w:hAnsi="Times New Roman" w:eastAsia="宋体" w:cs="Times New Roman"/>
          <w:sz w:val="24"/>
        </w:rPr>
        <w:t>数学思维与分析能力。</w:t>
      </w:r>
    </w:p>
    <w:p w14:paraId="096D1B0D">
      <w:pPr>
        <w:spacing w:line="360" w:lineRule="auto"/>
        <w:ind w:firstLine="482" w:firstLineChars="200"/>
        <w:rPr>
          <w:rFonts w:ascii="Calibri" w:hAnsi="Calibri" w:eastAsia="宋体" w:cs="Times New Roman"/>
          <w:b/>
          <w:sz w:val="28"/>
          <w:szCs w:val="28"/>
        </w:rPr>
      </w:pPr>
      <w:r>
        <w:rPr>
          <w:rFonts w:ascii="Calibri" w:hAnsi="Calibri" w:eastAsia="宋体" w:cs="Times New Roman"/>
          <w:b/>
          <w:sz w:val="24"/>
        </w:rPr>
        <w:t>（二）课程目标</w:t>
      </w:r>
      <w:r>
        <w:rPr>
          <w:rFonts w:hint="eastAsia" w:ascii="Calibri" w:hAnsi="Calibri" w:eastAsia="宋体" w:cs="Times New Roman"/>
          <w:b/>
          <w:sz w:val="24"/>
        </w:rPr>
        <w:t>及其对</w:t>
      </w:r>
      <w:r>
        <w:rPr>
          <w:rFonts w:ascii="Calibri" w:hAnsi="Calibri" w:eastAsia="宋体" w:cs="Times New Roman"/>
          <w:b/>
          <w:sz w:val="24"/>
        </w:rPr>
        <w:t>毕业要求</w:t>
      </w:r>
      <w:r>
        <w:rPr>
          <w:rFonts w:hint="eastAsia" w:ascii="Calibri" w:hAnsi="Calibri" w:eastAsia="宋体" w:cs="Times New Roman"/>
          <w:b/>
          <w:sz w:val="24"/>
        </w:rPr>
        <w:t>指标点</w:t>
      </w:r>
      <w:r>
        <w:rPr>
          <w:rFonts w:ascii="Calibri" w:hAnsi="Calibri" w:eastAsia="宋体" w:cs="Times New Roman"/>
          <w:b/>
          <w:sz w:val="24"/>
        </w:rPr>
        <w:t>的</w:t>
      </w:r>
      <w:r>
        <w:rPr>
          <w:rFonts w:hint="eastAsia" w:ascii="Calibri" w:hAnsi="Calibri" w:eastAsia="宋体" w:cs="Times New Roman"/>
          <w:b/>
          <w:sz w:val="24"/>
        </w:rPr>
        <w:t>支撑</w:t>
      </w:r>
    </w:p>
    <w:tbl>
      <w:tblPr>
        <w:tblStyle w:val="13"/>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223"/>
        <w:gridCol w:w="4977"/>
      </w:tblGrid>
      <w:tr w14:paraId="1C96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39B38097">
            <w:pPr>
              <w:jc w:val="center"/>
              <w:rPr>
                <w:rFonts w:hint="eastAsia" w:ascii="宋体" w:hAnsi="宋体" w:eastAsia="宋体" w:cs="Times New Roman"/>
                <w:b/>
                <w:bCs/>
                <w:szCs w:val="21"/>
              </w:rPr>
            </w:pPr>
            <w:r>
              <w:rPr>
                <w:rFonts w:ascii="宋体" w:hAnsi="宋体" w:eastAsia="宋体" w:cs="Times New Roman"/>
                <w:b/>
                <w:bCs/>
                <w:szCs w:val="21"/>
              </w:rPr>
              <w:t>课程目标</w:t>
            </w:r>
          </w:p>
        </w:tc>
        <w:tc>
          <w:tcPr>
            <w:tcW w:w="2223" w:type="dxa"/>
            <w:vAlign w:val="center"/>
          </w:tcPr>
          <w:p w14:paraId="3658E38B">
            <w:pPr>
              <w:jc w:val="center"/>
              <w:rPr>
                <w:rFonts w:hint="eastAsia" w:ascii="宋体" w:hAnsi="宋体" w:eastAsia="宋体" w:cs="Times New Roman"/>
                <w:b/>
                <w:bCs/>
                <w:szCs w:val="21"/>
              </w:rPr>
            </w:pPr>
            <w:r>
              <w:rPr>
                <w:rFonts w:ascii="宋体" w:hAnsi="宋体" w:eastAsia="宋体" w:cs="Times New Roman"/>
                <w:b/>
                <w:bCs/>
                <w:szCs w:val="21"/>
              </w:rPr>
              <w:t>支撑的毕业要求</w:t>
            </w:r>
          </w:p>
        </w:tc>
        <w:tc>
          <w:tcPr>
            <w:tcW w:w="4977" w:type="dxa"/>
            <w:vAlign w:val="center"/>
          </w:tcPr>
          <w:p w14:paraId="0B1E184D">
            <w:pPr>
              <w:jc w:val="center"/>
              <w:rPr>
                <w:rFonts w:hint="eastAsia" w:ascii="宋体" w:hAnsi="宋体" w:eastAsia="宋体" w:cs="Times New Roman"/>
                <w:b/>
                <w:bCs/>
                <w:szCs w:val="21"/>
              </w:rPr>
            </w:pPr>
            <w:r>
              <w:rPr>
                <w:rFonts w:ascii="宋体" w:hAnsi="宋体" w:eastAsia="宋体" w:cs="Times New Roman"/>
                <w:b/>
                <w:bCs/>
                <w:szCs w:val="21"/>
              </w:rPr>
              <w:t>支撑的毕业要求指标点</w:t>
            </w:r>
          </w:p>
        </w:tc>
      </w:tr>
      <w:tr w14:paraId="4CA2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675E626B">
            <w:pPr>
              <w:jc w:val="center"/>
              <w:rPr>
                <w:rFonts w:hint="eastAsia" w:ascii="宋体" w:hAnsi="宋体" w:eastAsia="宋体" w:cs="Times New Roman"/>
                <w:bCs/>
                <w:szCs w:val="21"/>
              </w:rPr>
            </w:pPr>
            <w:r>
              <w:rPr>
                <w:rFonts w:ascii="宋体" w:hAnsi="宋体" w:eastAsia="宋体" w:cs="Times New Roman"/>
                <w:bCs/>
                <w:szCs w:val="21"/>
              </w:rPr>
              <w:t>课程目标</w:t>
            </w:r>
            <w:r>
              <w:rPr>
                <w:rFonts w:hint="eastAsia" w:ascii="宋体" w:hAnsi="宋体" w:eastAsia="宋体" w:cs="Times New Roman"/>
                <w:bCs/>
                <w:szCs w:val="21"/>
              </w:rPr>
              <w:t>1</w:t>
            </w:r>
          </w:p>
        </w:tc>
        <w:tc>
          <w:tcPr>
            <w:tcW w:w="2223" w:type="dxa"/>
            <w:vAlign w:val="center"/>
          </w:tcPr>
          <w:p w14:paraId="2AF2A300">
            <w:pPr>
              <w:rPr>
                <w:rFonts w:hint="eastAsia" w:ascii="宋体" w:hAnsi="宋体" w:eastAsia="宋体" w:cs="Times New Roman"/>
                <w:kern w:val="0"/>
                <w:szCs w:val="21"/>
              </w:rPr>
            </w:pPr>
            <w:r>
              <w:rPr>
                <w:rFonts w:ascii="宋体" w:hAnsi="宋体" w:eastAsia="宋体" w:cs="Times New Roman"/>
                <w:kern w:val="0"/>
                <w:szCs w:val="21"/>
              </w:rPr>
              <w:t>毕业要求3.</w:t>
            </w:r>
            <w:r>
              <w:rPr>
                <w:rFonts w:hint="eastAsia" w:ascii="宋体" w:hAnsi="宋体" w:eastAsia="宋体" w:cs="Times New Roman"/>
                <w:kern w:val="0"/>
                <w:szCs w:val="21"/>
              </w:rPr>
              <w:t>学科</w:t>
            </w:r>
            <w:r>
              <w:rPr>
                <w:rFonts w:ascii="宋体" w:hAnsi="宋体" w:eastAsia="宋体" w:cs="Times New Roman"/>
                <w:kern w:val="0"/>
                <w:szCs w:val="21"/>
              </w:rPr>
              <w:t>素养</w:t>
            </w:r>
          </w:p>
        </w:tc>
        <w:tc>
          <w:tcPr>
            <w:tcW w:w="4977" w:type="dxa"/>
            <w:vAlign w:val="center"/>
          </w:tcPr>
          <w:p w14:paraId="396401B4">
            <w:pPr>
              <w:jc w:val="left"/>
              <w:rPr>
                <w:rFonts w:hint="eastAsia" w:ascii="宋体" w:hAnsi="宋体" w:eastAsia="宋体" w:cs="Times New Roman"/>
                <w:kern w:val="0"/>
                <w:sz w:val="18"/>
                <w:szCs w:val="18"/>
              </w:rPr>
            </w:pPr>
            <w:r>
              <w:rPr>
                <w:rFonts w:hint="eastAsia" w:ascii="宋体" w:hAnsi="宋体" w:eastAsia="宋体" w:cs="Times New Roman"/>
                <w:szCs w:val="23"/>
              </w:rPr>
              <w:t>3-2：【学科知识扎实】具有学科专业能力，掌握小学数学学科的基本知识、原理和技能。熟悉小学科学的知识体系，掌握小学科学的基本知识、原理和技能。</w:t>
            </w:r>
          </w:p>
        </w:tc>
      </w:tr>
      <w:tr w14:paraId="63CE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05ADF2C6">
            <w:pPr>
              <w:jc w:val="center"/>
              <w:rPr>
                <w:rFonts w:hint="eastAsia" w:ascii="宋体" w:hAnsi="宋体" w:eastAsia="宋体" w:cs="Times New Roman"/>
                <w:bCs/>
                <w:szCs w:val="21"/>
              </w:rPr>
            </w:pPr>
            <w:r>
              <w:rPr>
                <w:rFonts w:hint="eastAsia" w:ascii="宋体" w:hAnsi="宋体" w:eastAsia="宋体" w:cs="Times New Roman"/>
                <w:bCs/>
                <w:szCs w:val="21"/>
              </w:rPr>
              <w:t>课程目标2</w:t>
            </w:r>
          </w:p>
        </w:tc>
        <w:tc>
          <w:tcPr>
            <w:tcW w:w="2223" w:type="dxa"/>
            <w:vAlign w:val="center"/>
          </w:tcPr>
          <w:p w14:paraId="7D473ED6">
            <w:pPr>
              <w:rPr>
                <w:rFonts w:hint="eastAsia" w:ascii="宋体" w:hAnsi="宋体" w:eastAsia="宋体" w:cs="Times New Roman"/>
                <w:kern w:val="0"/>
                <w:szCs w:val="21"/>
              </w:rPr>
            </w:pPr>
            <w:r>
              <w:rPr>
                <w:rFonts w:ascii="宋体" w:hAnsi="宋体" w:eastAsia="宋体" w:cs="Times New Roman"/>
                <w:kern w:val="0"/>
                <w:szCs w:val="21"/>
              </w:rPr>
              <w:t>毕业要求3.</w:t>
            </w:r>
            <w:r>
              <w:rPr>
                <w:rFonts w:hint="eastAsia" w:ascii="宋体" w:hAnsi="宋体" w:eastAsia="宋体" w:cs="Times New Roman"/>
                <w:kern w:val="0"/>
                <w:szCs w:val="21"/>
              </w:rPr>
              <w:t>学科</w:t>
            </w:r>
            <w:r>
              <w:rPr>
                <w:rFonts w:ascii="宋体" w:hAnsi="宋体" w:eastAsia="宋体" w:cs="Times New Roman"/>
                <w:kern w:val="0"/>
                <w:szCs w:val="21"/>
              </w:rPr>
              <w:t>素养</w:t>
            </w:r>
          </w:p>
        </w:tc>
        <w:tc>
          <w:tcPr>
            <w:tcW w:w="4977" w:type="dxa"/>
            <w:vAlign w:val="center"/>
          </w:tcPr>
          <w:p w14:paraId="31429EB0">
            <w:pPr>
              <w:jc w:val="left"/>
              <w:rPr>
                <w:rFonts w:hint="eastAsia" w:ascii="宋体" w:hAnsi="宋体" w:eastAsia="宋体" w:cs="Times New Roman"/>
                <w:szCs w:val="23"/>
              </w:rPr>
            </w:pPr>
            <w:r>
              <w:rPr>
                <w:rFonts w:hint="eastAsia" w:ascii="宋体" w:hAnsi="宋体" w:eastAsia="宋体" w:cs="Times New Roman"/>
                <w:szCs w:val="23"/>
              </w:rPr>
              <w:t>3-2：【学科知识扎实】具有学科专业能力，掌握小学数学学科的基本知识、原理和技能。熟悉小学科学的知识体系，掌握小学科学的基本知识、原理和技能。</w:t>
            </w:r>
          </w:p>
        </w:tc>
      </w:tr>
    </w:tbl>
    <w:p w14:paraId="099D9DEA">
      <w:pPr>
        <w:spacing w:before="156" w:beforeLines="50" w:line="360" w:lineRule="auto"/>
        <w:jc w:val="left"/>
        <w:rPr>
          <w:rFonts w:hint="eastAsia" w:ascii="宋体" w:hAnsi="宋体" w:eastAsia="宋体" w:cs="Times New Roman"/>
          <w:b/>
          <w:color w:val="000000"/>
          <w:sz w:val="24"/>
        </w:rPr>
      </w:pPr>
      <w:r>
        <w:rPr>
          <w:rFonts w:hint="eastAsia" w:ascii="Calibri" w:hAnsi="Calibri" w:eastAsia="宋体" w:cs="Times New Roman"/>
          <w:b/>
          <w:sz w:val="28"/>
          <w:szCs w:val="28"/>
        </w:rPr>
        <w:t>（三）</w:t>
      </w:r>
      <w:r>
        <w:rPr>
          <w:rFonts w:hint="eastAsia" w:ascii="宋体" w:hAnsi="宋体" w:eastAsia="宋体" w:cs="Times New Roman"/>
          <w:b/>
          <w:color w:val="000000"/>
          <w:sz w:val="24"/>
        </w:rPr>
        <w:t>课程思政目标</w:t>
      </w:r>
    </w:p>
    <w:p w14:paraId="7EBFDF76">
      <w:pPr>
        <w:spacing w:line="360" w:lineRule="auto"/>
        <w:ind w:firstLine="470" w:firstLineChars="196"/>
        <w:rPr>
          <w:rFonts w:ascii="Calibri" w:hAnsi="Calibri" w:eastAsia="宋体" w:cs="Times New Roman"/>
          <w:b/>
          <w:sz w:val="28"/>
          <w:szCs w:val="28"/>
        </w:rPr>
      </w:pPr>
      <w:r>
        <w:rPr>
          <w:rFonts w:hint="eastAsia" w:ascii="宋体" w:hAnsi="宋体" w:eastAsia="宋体" w:cs="Times New Roman"/>
          <w:color w:val="000000"/>
          <w:sz w:val="24"/>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21ECC0AF">
      <w:pPr>
        <w:spacing w:line="360" w:lineRule="auto"/>
        <w:rPr>
          <w:rFonts w:ascii="Calibri" w:hAnsi="Calibri" w:eastAsia="宋体" w:cs="Times New Roman"/>
          <w:b/>
          <w:sz w:val="28"/>
          <w:szCs w:val="28"/>
        </w:rPr>
      </w:pPr>
      <w:r>
        <w:rPr>
          <w:rFonts w:hint="eastAsia" w:ascii="Calibri" w:hAnsi="Calibri" w:eastAsia="宋体" w:cs="Times New Roman"/>
          <w:b/>
          <w:sz w:val="28"/>
          <w:szCs w:val="28"/>
        </w:rPr>
        <w:t>三、</w:t>
      </w:r>
      <w:r>
        <w:rPr>
          <w:rFonts w:ascii="Calibri" w:hAnsi="Calibri" w:eastAsia="宋体" w:cs="Times New Roman"/>
          <w:b/>
          <w:sz w:val="28"/>
          <w:szCs w:val="28"/>
        </w:rPr>
        <w:t>课程内容及要求</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691"/>
        <w:gridCol w:w="1191"/>
        <w:gridCol w:w="2451"/>
        <w:gridCol w:w="1998"/>
      </w:tblGrid>
      <w:tr w14:paraId="3BEB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Align w:val="center"/>
          </w:tcPr>
          <w:p w14:paraId="12A8B525">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D3A0F6D">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691" w:type="dxa"/>
            <w:vAlign w:val="center"/>
          </w:tcPr>
          <w:p w14:paraId="676EB145">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91" w:type="dxa"/>
            <w:vAlign w:val="center"/>
          </w:tcPr>
          <w:p w14:paraId="1C939AD5">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65A78D08">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451" w:type="dxa"/>
            <w:vAlign w:val="center"/>
          </w:tcPr>
          <w:p w14:paraId="67DA59D3">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998" w:type="dxa"/>
            <w:vAlign w:val="center"/>
          </w:tcPr>
          <w:p w14:paraId="3EB4DF66">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r>
      <w:tr w14:paraId="6382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483EC6A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b/>
                <w:bCs/>
                <w:color w:val="000000"/>
                <w:szCs w:val="21"/>
              </w:rPr>
              <w:t>不定积分</w:t>
            </w:r>
          </w:p>
        </w:tc>
        <w:tc>
          <w:tcPr>
            <w:tcW w:w="2691" w:type="dxa"/>
            <w:vAlign w:val="center"/>
          </w:tcPr>
          <w:p w14:paraId="2B588F86">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（1）积分基本概念与性质</w:t>
            </w:r>
          </w:p>
          <w:p w14:paraId="7F86D5C0">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（2）不定积分基本积分公式</w:t>
            </w:r>
          </w:p>
          <w:p w14:paraId="72C3314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（3）换元积分法与分部积分法</w:t>
            </w:r>
          </w:p>
          <w:p w14:paraId="4546DE8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（4）有理函数的不定积分</w:t>
            </w:r>
          </w:p>
          <w:p w14:paraId="4AD43B4F">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（5）简单无理函数与三角函数的不定积分</w:t>
            </w:r>
          </w:p>
        </w:tc>
        <w:tc>
          <w:tcPr>
            <w:tcW w:w="1191" w:type="dxa"/>
            <w:vAlign w:val="center"/>
          </w:tcPr>
          <w:p w14:paraId="4AF4241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451" w:type="dxa"/>
            <w:vAlign w:val="center"/>
          </w:tcPr>
          <w:p w14:paraId="131A1AEB">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（1）能够理解积分基本概念与性质</w:t>
            </w:r>
          </w:p>
          <w:p w14:paraId="6B876D8E">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（2）能够掌握不定积分基本积分公式</w:t>
            </w:r>
          </w:p>
          <w:p w14:paraId="4582C5A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（3）能够掌握换元积分法与分部积分法</w:t>
            </w:r>
          </w:p>
          <w:p w14:paraId="44E5E5F2">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（4）能够掌握有理函数的不定积分</w:t>
            </w:r>
          </w:p>
          <w:p w14:paraId="42B350ED">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（5）能够掌握简单无理函数与三角函数的不定积分</w:t>
            </w:r>
          </w:p>
        </w:tc>
        <w:tc>
          <w:tcPr>
            <w:tcW w:w="1998" w:type="dxa"/>
            <w:vAlign w:val="center"/>
          </w:tcPr>
          <w:p w14:paraId="7434700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ABADE3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0DECA36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4A4566B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r>
      <w:tr w14:paraId="3EAD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0D89EDFB">
            <w:pPr>
              <w:spacing w:line="276" w:lineRule="auto"/>
              <w:jc w:val="center"/>
              <w:rPr>
                <w:rFonts w:hint="eastAsia" w:ascii="宋体" w:hAnsi="宋体" w:eastAsia="宋体" w:cs="Times New Roman"/>
                <w:color w:val="000000"/>
                <w:szCs w:val="21"/>
              </w:rPr>
            </w:pPr>
          </w:p>
        </w:tc>
        <w:tc>
          <w:tcPr>
            <w:tcW w:w="8331" w:type="dxa"/>
            <w:gridSpan w:val="4"/>
            <w:vAlign w:val="center"/>
          </w:tcPr>
          <w:p w14:paraId="7F7B77BE">
            <w:pPr>
              <w:spacing w:line="276"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szCs w:val="21"/>
              </w:rPr>
              <w:t>注重理论联系实际，尊重客观规律，树立社会主义核心价值观，增强专业素养，强调理论对实践的指导意义。</w:t>
            </w:r>
          </w:p>
        </w:tc>
      </w:tr>
      <w:tr w14:paraId="6A8A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28890B2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b/>
                <w:szCs w:val="21"/>
              </w:rPr>
              <w:t>定积分</w:t>
            </w:r>
          </w:p>
        </w:tc>
        <w:tc>
          <w:tcPr>
            <w:tcW w:w="2691" w:type="dxa"/>
            <w:vAlign w:val="center"/>
          </w:tcPr>
          <w:p w14:paraId="2C7DF9C4">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（1）定积分概念</w:t>
            </w:r>
          </w:p>
          <w:p w14:paraId="77E38DD2">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（2）可积准则</w:t>
            </w:r>
          </w:p>
          <w:p w14:paraId="6FC4A547">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（3）函数极限定义</w:t>
            </w:r>
          </w:p>
          <w:p w14:paraId="66057586">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（4）定积分性质</w:t>
            </w:r>
          </w:p>
          <w:p w14:paraId="7A7A82B2">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（5）牛顿一莱布尼茨公式</w:t>
            </w:r>
          </w:p>
          <w:p w14:paraId="48F4F1E1">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（6）定积分换元积分法与分部积分法</w:t>
            </w:r>
          </w:p>
          <w:p w14:paraId="77F03175">
            <w:pPr>
              <w:spacing w:line="276" w:lineRule="auto"/>
              <w:rPr>
                <w:rFonts w:hint="eastAsia" w:ascii="宋体" w:hAnsi="宋体" w:eastAsia="宋体" w:cs="Times New Roman"/>
                <w:szCs w:val="21"/>
              </w:rPr>
            </w:pPr>
            <w:r>
              <w:rPr>
                <w:rFonts w:ascii="宋体" w:hAnsi="宋体" w:eastAsia="宋体" w:cs="Times New Roman"/>
                <w:color w:val="000000"/>
                <w:szCs w:val="21"/>
              </w:rPr>
              <w:t>（7）定积分几何应用</w:t>
            </w:r>
          </w:p>
        </w:tc>
        <w:tc>
          <w:tcPr>
            <w:tcW w:w="1191" w:type="dxa"/>
            <w:vAlign w:val="center"/>
          </w:tcPr>
          <w:p w14:paraId="54A644D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451" w:type="dxa"/>
            <w:vAlign w:val="center"/>
          </w:tcPr>
          <w:p w14:paraId="09AC0FAD">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（1）能够理解定积分概念</w:t>
            </w:r>
          </w:p>
          <w:p w14:paraId="28E22755">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（2）能够理解可积准则</w:t>
            </w:r>
          </w:p>
          <w:p w14:paraId="070BA64C">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（3）能够理解函数极限定义</w:t>
            </w:r>
          </w:p>
          <w:p w14:paraId="64F770D9">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（4）能够掌握定积分性质</w:t>
            </w:r>
          </w:p>
          <w:p w14:paraId="03B11A5D">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（5）能够掌握牛顿一莱布尼茨公式</w:t>
            </w:r>
          </w:p>
          <w:p w14:paraId="3C4D19FB">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（6）能够掌握定积分换元积分法与分部积分法</w:t>
            </w:r>
          </w:p>
          <w:p w14:paraId="74EA94DC">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（7）能够掌握定积分几何应用</w:t>
            </w:r>
          </w:p>
        </w:tc>
        <w:tc>
          <w:tcPr>
            <w:tcW w:w="1998" w:type="dxa"/>
            <w:vAlign w:val="center"/>
          </w:tcPr>
          <w:p w14:paraId="665DC49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64BBAA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12459FA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140A4F2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r>
      <w:tr w14:paraId="7E99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6B2E270E">
            <w:pPr>
              <w:spacing w:line="276" w:lineRule="auto"/>
              <w:jc w:val="center"/>
              <w:rPr>
                <w:rFonts w:hint="eastAsia" w:ascii="宋体" w:hAnsi="宋体" w:eastAsia="宋体" w:cs="Times New Roman"/>
                <w:color w:val="000000"/>
                <w:szCs w:val="21"/>
              </w:rPr>
            </w:pPr>
          </w:p>
        </w:tc>
        <w:tc>
          <w:tcPr>
            <w:tcW w:w="8331" w:type="dxa"/>
            <w:gridSpan w:val="4"/>
            <w:vAlign w:val="center"/>
          </w:tcPr>
          <w:p w14:paraId="649D38D3">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szCs w:val="21"/>
              </w:rPr>
              <w:t>注重理论联系实际，尊重客观规律，树立社会主义核心价值观，增强专业素养，强调理论对实践的指导意义。</w:t>
            </w:r>
          </w:p>
        </w:tc>
      </w:tr>
      <w:tr w14:paraId="6176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6DE0437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b/>
                <w:color w:val="000000"/>
                <w:szCs w:val="21"/>
              </w:rPr>
              <w:t>级数</w:t>
            </w:r>
          </w:p>
        </w:tc>
        <w:tc>
          <w:tcPr>
            <w:tcW w:w="2691" w:type="dxa"/>
            <w:vAlign w:val="center"/>
          </w:tcPr>
          <w:p w14:paraId="4F8845F4">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（1）数值级数的概念</w:t>
            </w:r>
          </w:p>
          <w:p w14:paraId="39F07DE1">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（2）数值级数的概念判别法</w:t>
            </w:r>
          </w:p>
          <w:p w14:paraId="5A19EB37">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（3）函数项级数收敛的概念</w:t>
            </w:r>
          </w:p>
          <w:p w14:paraId="2F618BF3">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（4）函数项级数和函数，逐项积分、逐项微分的条件和应用</w:t>
            </w:r>
          </w:p>
          <w:p w14:paraId="4C42C37E">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（5）幂级数的收敛半径和收敛区间的求法</w:t>
            </w:r>
          </w:p>
          <w:p w14:paraId="385286ED">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（6）初等函数的幂级数展开</w:t>
            </w:r>
          </w:p>
        </w:tc>
        <w:tc>
          <w:tcPr>
            <w:tcW w:w="1191" w:type="dxa"/>
            <w:vAlign w:val="center"/>
          </w:tcPr>
          <w:p w14:paraId="510EF6E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451" w:type="dxa"/>
            <w:vAlign w:val="center"/>
          </w:tcPr>
          <w:p w14:paraId="46220C33">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（1）能够理解数值级数的概念</w:t>
            </w:r>
          </w:p>
          <w:p w14:paraId="233AE109">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（2）能够掌握数值级数的概念判别法</w:t>
            </w:r>
          </w:p>
          <w:p w14:paraId="24D7EE50">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（3）能够理解函数项级数收敛的概念</w:t>
            </w:r>
          </w:p>
          <w:p w14:paraId="0ADE36F3">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（4）能够掌握函数项级数和函数，逐项积分、逐项微分的条件和应用</w:t>
            </w:r>
          </w:p>
          <w:p w14:paraId="09EED17C">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（5）能够掌握幂级数的收敛半径和收敛区间的求法</w:t>
            </w:r>
          </w:p>
          <w:p w14:paraId="29E74748">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（6）能够理解初等函数的幂级数展开</w:t>
            </w:r>
          </w:p>
        </w:tc>
        <w:tc>
          <w:tcPr>
            <w:tcW w:w="1998" w:type="dxa"/>
            <w:vAlign w:val="center"/>
          </w:tcPr>
          <w:p w14:paraId="28A668B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130B892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p>
          <w:p w14:paraId="3C9A3746">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3.课堂讨论</w:t>
            </w:r>
          </w:p>
          <w:p w14:paraId="03474D8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r>
      <w:tr w14:paraId="44A5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27B806F1">
            <w:pPr>
              <w:spacing w:line="276" w:lineRule="auto"/>
              <w:jc w:val="center"/>
              <w:rPr>
                <w:rFonts w:hint="eastAsia" w:ascii="宋体" w:hAnsi="宋体" w:eastAsia="宋体" w:cs="Times New Roman"/>
                <w:color w:val="000000"/>
                <w:szCs w:val="21"/>
              </w:rPr>
            </w:pPr>
          </w:p>
        </w:tc>
        <w:tc>
          <w:tcPr>
            <w:tcW w:w="8331" w:type="dxa"/>
            <w:gridSpan w:val="4"/>
            <w:vAlign w:val="center"/>
          </w:tcPr>
          <w:p w14:paraId="59EF192D">
            <w:pPr>
              <w:spacing w:line="276"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szCs w:val="21"/>
              </w:rPr>
              <w:t>注重理论联系实际，尊重客观规律，树立社会主义核心价值观，增强专业素养，强调理论对实践的指导意义。</w:t>
            </w:r>
          </w:p>
        </w:tc>
      </w:tr>
      <w:tr w14:paraId="7010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23FA503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b/>
                <w:szCs w:val="21"/>
              </w:rPr>
              <w:t>多元微积分</w:t>
            </w:r>
          </w:p>
        </w:tc>
        <w:tc>
          <w:tcPr>
            <w:tcW w:w="2691" w:type="dxa"/>
            <w:vAlign w:val="center"/>
          </w:tcPr>
          <w:p w14:paraId="54E40580">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（1）偏导数的概念与几何意义</w:t>
            </w:r>
          </w:p>
          <w:p w14:paraId="4AB3F031">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（2）求导法则与导数公式</w:t>
            </w:r>
          </w:p>
          <w:p w14:paraId="741268D4">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（3）二重积分概念</w:t>
            </w:r>
          </w:p>
          <w:p w14:paraId="014C95D7">
            <w:pPr>
              <w:tabs>
                <w:tab w:val="left" w:pos="900"/>
              </w:tabs>
              <w:snapToGrid w:val="0"/>
              <w:spacing w:line="276" w:lineRule="auto"/>
              <w:rPr>
                <w:rFonts w:hint="eastAsia" w:ascii="宋体" w:hAnsi="宋体" w:eastAsia="宋体" w:cs="Times New Roman"/>
                <w:color w:val="000000"/>
                <w:szCs w:val="21"/>
              </w:rPr>
            </w:pPr>
            <w:r>
              <w:rPr>
                <w:rFonts w:ascii="宋体" w:hAnsi="宋体" w:eastAsia="宋体" w:cs="Times New Roman"/>
                <w:color w:val="000000"/>
                <w:szCs w:val="21"/>
              </w:rPr>
              <w:t>（4）二重积分计算</w:t>
            </w:r>
          </w:p>
        </w:tc>
        <w:tc>
          <w:tcPr>
            <w:tcW w:w="1191" w:type="dxa"/>
            <w:vAlign w:val="center"/>
          </w:tcPr>
          <w:p w14:paraId="721D004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451" w:type="dxa"/>
            <w:vAlign w:val="center"/>
          </w:tcPr>
          <w:p w14:paraId="5DA11703">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（1）能够理解偏导数的概念与几何意义</w:t>
            </w:r>
          </w:p>
          <w:p w14:paraId="07FCA456">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（2）能够掌握求导法则与导数公式</w:t>
            </w:r>
          </w:p>
          <w:p w14:paraId="02392D58">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（3）能够理解二重积分概念</w:t>
            </w:r>
          </w:p>
          <w:p w14:paraId="668D41FD">
            <w:pPr>
              <w:tabs>
                <w:tab w:val="left" w:pos="900"/>
              </w:tabs>
              <w:snapToGrid w:val="0"/>
              <w:spacing w:line="276" w:lineRule="auto"/>
              <w:rPr>
                <w:rFonts w:hint="eastAsia" w:ascii="宋体" w:hAnsi="宋体" w:eastAsia="宋体" w:cs="Times New Roman"/>
                <w:color w:val="000000"/>
                <w:szCs w:val="21"/>
              </w:rPr>
            </w:pPr>
            <w:r>
              <w:rPr>
                <w:rFonts w:ascii="宋体" w:hAnsi="宋体" w:eastAsia="宋体" w:cs="Times New Roman"/>
                <w:color w:val="000000"/>
                <w:szCs w:val="21"/>
              </w:rPr>
              <w:t>（4）能够掌握二重积分计算</w:t>
            </w:r>
          </w:p>
        </w:tc>
        <w:tc>
          <w:tcPr>
            <w:tcW w:w="1998" w:type="dxa"/>
            <w:vAlign w:val="center"/>
          </w:tcPr>
          <w:p w14:paraId="5429698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3C1DF4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p>
          <w:p w14:paraId="4FA02121">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3.课堂讨论</w:t>
            </w:r>
          </w:p>
          <w:p w14:paraId="4D23C38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r>
      <w:tr w14:paraId="0E42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36D66117">
            <w:pPr>
              <w:spacing w:line="276" w:lineRule="auto"/>
              <w:jc w:val="center"/>
              <w:rPr>
                <w:rFonts w:hint="eastAsia" w:ascii="宋体" w:hAnsi="宋体" w:eastAsia="宋体" w:cs="Times New Roman"/>
                <w:color w:val="000000"/>
                <w:szCs w:val="21"/>
              </w:rPr>
            </w:pPr>
          </w:p>
        </w:tc>
        <w:tc>
          <w:tcPr>
            <w:tcW w:w="8331" w:type="dxa"/>
            <w:gridSpan w:val="4"/>
            <w:vAlign w:val="center"/>
          </w:tcPr>
          <w:p w14:paraId="5957897E">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szCs w:val="21"/>
              </w:rPr>
              <w:t>注重理论联系实际，尊重客观规律，树立社会主义核心价值观，增强专业素养，强调理论对实践的指导意义。</w:t>
            </w:r>
          </w:p>
        </w:tc>
      </w:tr>
    </w:tbl>
    <w:p w14:paraId="2B40D6B2">
      <w:pPr>
        <w:spacing w:line="360" w:lineRule="auto"/>
        <w:ind w:firstLine="482" w:firstLineChars="200"/>
        <w:rPr>
          <w:rFonts w:ascii="Calibri" w:hAnsi="Calibri" w:eastAsia="宋体" w:cs="Times New Roman"/>
          <w:b/>
          <w:sz w:val="24"/>
        </w:rPr>
      </w:pPr>
      <w:r>
        <w:rPr>
          <w:rFonts w:ascii="Calibri" w:hAnsi="Calibri" w:eastAsia="宋体" w:cs="Times New Roman"/>
          <w:b/>
          <w:sz w:val="24"/>
        </w:rPr>
        <w:t>教学内容与课程目标的对应关系及学时分配如表所示：</w:t>
      </w:r>
    </w:p>
    <w:tbl>
      <w:tblPr>
        <w:tblStyle w:val="13"/>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703"/>
        <w:gridCol w:w="1775"/>
        <w:gridCol w:w="1722"/>
        <w:gridCol w:w="11"/>
        <w:gridCol w:w="687"/>
        <w:gridCol w:w="696"/>
      </w:tblGrid>
      <w:tr w14:paraId="3841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4" w:type="dxa"/>
            <w:shd w:val="clear" w:color="auto" w:fill="FFFFFF"/>
            <w:vAlign w:val="center"/>
          </w:tcPr>
          <w:p w14:paraId="71793A63">
            <w:pPr>
              <w:spacing w:line="276" w:lineRule="auto"/>
              <w:jc w:val="center"/>
              <w:rPr>
                <w:rFonts w:hint="eastAsia" w:ascii="宋体" w:hAnsi="宋体" w:eastAsia="宋体" w:cs="Times New Roman"/>
                <w:b/>
                <w:szCs w:val="21"/>
              </w:rPr>
            </w:pPr>
            <w:r>
              <w:rPr>
                <w:rFonts w:ascii="宋体" w:hAnsi="宋体" w:eastAsia="宋体" w:cs="Times New Roman"/>
                <w:b/>
                <w:szCs w:val="21"/>
              </w:rPr>
              <w:t>序号</w:t>
            </w:r>
          </w:p>
        </w:tc>
        <w:tc>
          <w:tcPr>
            <w:tcW w:w="2703" w:type="dxa"/>
            <w:shd w:val="clear" w:color="auto" w:fill="FFFFFF"/>
            <w:vAlign w:val="center"/>
          </w:tcPr>
          <w:p w14:paraId="52C1CBFE">
            <w:pPr>
              <w:spacing w:line="276" w:lineRule="auto"/>
              <w:jc w:val="center"/>
              <w:rPr>
                <w:rFonts w:hint="eastAsia" w:ascii="宋体" w:hAnsi="宋体" w:eastAsia="宋体" w:cs="Times New Roman"/>
                <w:b/>
                <w:szCs w:val="21"/>
              </w:rPr>
            </w:pPr>
            <w:r>
              <w:rPr>
                <w:rFonts w:ascii="宋体" w:hAnsi="宋体" w:eastAsia="宋体" w:cs="Times New Roman"/>
                <w:b/>
                <w:szCs w:val="21"/>
              </w:rPr>
              <w:t>教学内容</w:t>
            </w:r>
          </w:p>
        </w:tc>
        <w:tc>
          <w:tcPr>
            <w:tcW w:w="1775" w:type="dxa"/>
            <w:shd w:val="clear" w:color="auto" w:fill="FFFFFF"/>
            <w:vAlign w:val="center"/>
          </w:tcPr>
          <w:p w14:paraId="6FBBBBFE">
            <w:pPr>
              <w:spacing w:line="276" w:lineRule="auto"/>
              <w:jc w:val="center"/>
              <w:rPr>
                <w:rFonts w:hint="eastAsia" w:ascii="宋体" w:hAnsi="宋体" w:eastAsia="宋体" w:cs="Times New Roman"/>
                <w:b/>
                <w:szCs w:val="21"/>
              </w:rPr>
            </w:pPr>
            <w:r>
              <w:rPr>
                <w:rFonts w:ascii="宋体" w:hAnsi="宋体" w:eastAsia="宋体" w:cs="Times New Roman"/>
                <w:b/>
                <w:szCs w:val="21"/>
              </w:rPr>
              <w:t>支撑的课程目标</w:t>
            </w:r>
          </w:p>
        </w:tc>
        <w:tc>
          <w:tcPr>
            <w:tcW w:w="1722" w:type="dxa"/>
            <w:shd w:val="clear" w:color="auto" w:fill="FFFFFF"/>
            <w:vAlign w:val="center"/>
          </w:tcPr>
          <w:p w14:paraId="1027EE9F">
            <w:pPr>
              <w:spacing w:line="276" w:lineRule="auto"/>
              <w:jc w:val="center"/>
              <w:rPr>
                <w:rFonts w:hint="eastAsia" w:ascii="宋体" w:hAnsi="宋体" w:eastAsia="宋体" w:cs="Times New Roman"/>
                <w:b/>
                <w:szCs w:val="21"/>
              </w:rPr>
            </w:pPr>
            <w:r>
              <w:rPr>
                <w:rFonts w:ascii="宋体" w:hAnsi="宋体" w:eastAsia="宋体" w:cs="Times New Roman"/>
                <w:b/>
                <w:szCs w:val="21"/>
              </w:rPr>
              <w:t>支撑的毕业要求指标点</w:t>
            </w:r>
          </w:p>
        </w:tc>
        <w:tc>
          <w:tcPr>
            <w:tcW w:w="698" w:type="dxa"/>
            <w:gridSpan w:val="2"/>
            <w:shd w:val="clear" w:color="auto" w:fill="FFFFFF"/>
            <w:vAlign w:val="center"/>
          </w:tcPr>
          <w:p w14:paraId="66F9FA3D">
            <w:pPr>
              <w:spacing w:line="276" w:lineRule="auto"/>
              <w:jc w:val="center"/>
              <w:rPr>
                <w:rFonts w:hint="eastAsia" w:ascii="宋体" w:hAnsi="宋体" w:eastAsia="宋体" w:cs="Times New Roman"/>
                <w:b/>
                <w:szCs w:val="21"/>
              </w:rPr>
            </w:pPr>
            <w:r>
              <w:rPr>
                <w:rFonts w:ascii="宋体" w:hAnsi="宋体" w:eastAsia="宋体" w:cs="Times New Roman"/>
                <w:b/>
                <w:szCs w:val="21"/>
              </w:rPr>
              <w:t>讲授学时</w:t>
            </w:r>
          </w:p>
        </w:tc>
        <w:tc>
          <w:tcPr>
            <w:tcW w:w="696" w:type="dxa"/>
            <w:shd w:val="clear" w:color="auto" w:fill="FFFFFF"/>
            <w:vAlign w:val="center"/>
          </w:tcPr>
          <w:p w14:paraId="1F01E402">
            <w:pPr>
              <w:spacing w:line="276" w:lineRule="auto"/>
              <w:jc w:val="center"/>
              <w:rPr>
                <w:rFonts w:hint="eastAsia" w:ascii="宋体" w:hAnsi="宋体" w:eastAsia="宋体" w:cs="Times New Roman"/>
                <w:b/>
                <w:szCs w:val="21"/>
              </w:rPr>
            </w:pPr>
            <w:r>
              <w:rPr>
                <w:rFonts w:ascii="宋体" w:hAnsi="宋体" w:eastAsia="宋体" w:cs="Times New Roman"/>
                <w:b/>
                <w:szCs w:val="21"/>
              </w:rPr>
              <w:t>实验</w:t>
            </w:r>
          </w:p>
          <w:p w14:paraId="2694DF25">
            <w:pPr>
              <w:spacing w:line="276" w:lineRule="auto"/>
              <w:jc w:val="center"/>
              <w:rPr>
                <w:rFonts w:hint="eastAsia" w:ascii="宋体" w:hAnsi="宋体" w:eastAsia="宋体" w:cs="Times New Roman"/>
                <w:b/>
                <w:szCs w:val="21"/>
              </w:rPr>
            </w:pPr>
            <w:r>
              <w:rPr>
                <w:rFonts w:ascii="宋体" w:hAnsi="宋体" w:eastAsia="宋体" w:cs="Times New Roman"/>
                <w:b/>
                <w:szCs w:val="21"/>
              </w:rPr>
              <w:t>学时</w:t>
            </w:r>
          </w:p>
        </w:tc>
      </w:tr>
      <w:tr w14:paraId="3BBF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64" w:type="dxa"/>
            <w:shd w:val="clear" w:color="auto" w:fill="FFFFFF"/>
            <w:vAlign w:val="center"/>
          </w:tcPr>
          <w:p w14:paraId="3C4DF1BD">
            <w:pPr>
              <w:spacing w:line="276" w:lineRule="auto"/>
              <w:jc w:val="center"/>
              <w:rPr>
                <w:rFonts w:hint="eastAsia" w:ascii="宋体" w:hAnsi="宋体" w:eastAsia="宋体" w:cs="Times New Roman"/>
                <w:szCs w:val="21"/>
              </w:rPr>
            </w:pPr>
            <w:r>
              <w:rPr>
                <w:rFonts w:ascii="宋体" w:hAnsi="宋体" w:eastAsia="宋体" w:cs="Times New Roman"/>
                <w:szCs w:val="21"/>
              </w:rPr>
              <w:t>1</w:t>
            </w:r>
          </w:p>
        </w:tc>
        <w:tc>
          <w:tcPr>
            <w:tcW w:w="2703" w:type="dxa"/>
            <w:shd w:val="clear" w:color="auto" w:fill="FFFFFF"/>
            <w:vAlign w:val="center"/>
          </w:tcPr>
          <w:p w14:paraId="153FBE39">
            <w:pPr>
              <w:spacing w:line="276" w:lineRule="auto"/>
              <w:jc w:val="center"/>
              <w:rPr>
                <w:rFonts w:hint="eastAsia" w:ascii="宋体" w:hAnsi="宋体" w:eastAsia="宋体" w:cs="Times New Roman"/>
                <w:kern w:val="0"/>
                <w:szCs w:val="21"/>
              </w:rPr>
            </w:pPr>
            <w:r>
              <w:rPr>
                <w:rFonts w:ascii="Times New Roman" w:hAnsi="Times New Roman" w:eastAsia="宋体" w:cs="Times New Roman"/>
                <w:szCs w:val="21"/>
              </w:rPr>
              <w:t>不定积分</w:t>
            </w:r>
          </w:p>
        </w:tc>
        <w:tc>
          <w:tcPr>
            <w:tcW w:w="1775" w:type="dxa"/>
            <w:shd w:val="clear" w:color="auto" w:fill="FFFFFF"/>
            <w:vAlign w:val="center"/>
          </w:tcPr>
          <w:p w14:paraId="49714D06">
            <w:pPr>
              <w:spacing w:line="276" w:lineRule="auto"/>
              <w:jc w:val="center"/>
              <w:rPr>
                <w:rFonts w:hint="eastAsia" w:ascii="宋体" w:hAnsi="宋体" w:eastAsia="宋体" w:cs="Times New Roman"/>
                <w:szCs w:val="21"/>
              </w:rPr>
            </w:pPr>
            <w:r>
              <w:rPr>
                <w:rFonts w:ascii="宋体" w:hAnsi="宋体" w:eastAsia="宋体" w:cs="Times New Roman"/>
                <w:kern w:val="0"/>
                <w:szCs w:val="21"/>
              </w:rPr>
              <w:t>目标</w:t>
            </w:r>
            <w:r>
              <w:rPr>
                <w:rFonts w:hint="eastAsia" w:ascii="宋体" w:hAnsi="宋体" w:eastAsia="宋体" w:cs="Times New Roman"/>
                <w:kern w:val="0"/>
                <w:szCs w:val="21"/>
              </w:rPr>
              <w:t>1</w:t>
            </w:r>
          </w:p>
        </w:tc>
        <w:tc>
          <w:tcPr>
            <w:tcW w:w="1722" w:type="dxa"/>
            <w:shd w:val="clear" w:color="auto" w:fill="FFFFFF"/>
            <w:vAlign w:val="center"/>
          </w:tcPr>
          <w:p w14:paraId="1AA4C17D">
            <w:pPr>
              <w:spacing w:line="276" w:lineRule="auto"/>
              <w:jc w:val="center"/>
              <w:rPr>
                <w:rFonts w:hint="eastAsia" w:ascii="宋体" w:hAnsi="宋体" w:eastAsia="宋体" w:cs="Times New Roman"/>
                <w:szCs w:val="21"/>
              </w:rPr>
            </w:pPr>
            <w:r>
              <w:rPr>
                <w:rFonts w:ascii="宋体" w:hAnsi="宋体" w:eastAsia="宋体" w:cs="Times New Roman"/>
                <w:kern w:val="0"/>
                <w:szCs w:val="21"/>
              </w:rPr>
              <w:t>3-</w:t>
            </w:r>
            <w:r>
              <w:rPr>
                <w:rFonts w:hint="eastAsia" w:ascii="宋体" w:hAnsi="宋体" w:eastAsia="宋体" w:cs="Times New Roman"/>
                <w:kern w:val="0"/>
                <w:szCs w:val="21"/>
              </w:rPr>
              <w:t>2</w:t>
            </w:r>
          </w:p>
        </w:tc>
        <w:tc>
          <w:tcPr>
            <w:tcW w:w="698" w:type="dxa"/>
            <w:gridSpan w:val="2"/>
            <w:shd w:val="clear" w:color="auto" w:fill="FFFFFF"/>
            <w:vAlign w:val="center"/>
          </w:tcPr>
          <w:p w14:paraId="3D9F97E0">
            <w:pPr>
              <w:spacing w:line="276" w:lineRule="auto"/>
              <w:jc w:val="center"/>
              <w:rPr>
                <w:rFonts w:hint="eastAsia" w:ascii="宋体" w:hAnsi="宋体" w:eastAsia="宋体" w:cs="Times New Roman"/>
                <w:szCs w:val="21"/>
              </w:rPr>
            </w:pPr>
            <w:r>
              <w:rPr>
                <w:rFonts w:ascii="Times New Roman" w:hAnsi="Times New Roman" w:eastAsia="宋体" w:cs="Times New Roman"/>
                <w:szCs w:val="21"/>
              </w:rPr>
              <w:t>14</w:t>
            </w:r>
          </w:p>
        </w:tc>
        <w:tc>
          <w:tcPr>
            <w:tcW w:w="696" w:type="dxa"/>
            <w:shd w:val="clear" w:color="auto" w:fill="FFFFFF"/>
            <w:vAlign w:val="center"/>
          </w:tcPr>
          <w:p w14:paraId="2E924072">
            <w:pPr>
              <w:spacing w:line="276" w:lineRule="auto"/>
              <w:jc w:val="center"/>
              <w:rPr>
                <w:rFonts w:hint="eastAsia" w:ascii="宋体" w:hAnsi="宋体" w:eastAsia="宋体" w:cs="Times New Roman"/>
                <w:kern w:val="0"/>
                <w:szCs w:val="21"/>
              </w:rPr>
            </w:pPr>
          </w:p>
        </w:tc>
      </w:tr>
      <w:tr w14:paraId="680D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64" w:type="dxa"/>
            <w:vAlign w:val="center"/>
          </w:tcPr>
          <w:p w14:paraId="2F5F6F7A">
            <w:pPr>
              <w:spacing w:line="276" w:lineRule="auto"/>
              <w:jc w:val="center"/>
              <w:rPr>
                <w:rFonts w:hint="eastAsia" w:ascii="宋体" w:hAnsi="宋体" w:eastAsia="宋体" w:cs="Times New Roman"/>
                <w:szCs w:val="21"/>
              </w:rPr>
            </w:pPr>
            <w:r>
              <w:rPr>
                <w:rFonts w:ascii="宋体" w:hAnsi="宋体" w:eastAsia="宋体" w:cs="Times New Roman"/>
                <w:szCs w:val="21"/>
              </w:rPr>
              <w:t>2</w:t>
            </w:r>
          </w:p>
        </w:tc>
        <w:tc>
          <w:tcPr>
            <w:tcW w:w="2703" w:type="dxa"/>
            <w:vAlign w:val="center"/>
          </w:tcPr>
          <w:p w14:paraId="7B44730F">
            <w:pPr>
              <w:spacing w:line="276" w:lineRule="auto"/>
              <w:jc w:val="center"/>
              <w:rPr>
                <w:rFonts w:hint="eastAsia" w:ascii="宋体" w:hAnsi="宋体" w:eastAsia="宋体" w:cs="Times New Roman"/>
                <w:kern w:val="0"/>
                <w:szCs w:val="21"/>
              </w:rPr>
            </w:pPr>
            <w:r>
              <w:rPr>
                <w:rFonts w:ascii="Times New Roman" w:hAnsi="Times New Roman" w:eastAsia="宋体" w:cs="Times New Roman"/>
                <w:szCs w:val="21"/>
              </w:rPr>
              <w:t>定积分</w:t>
            </w:r>
          </w:p>
        </w:tc>
        <w:tc>
          <w:tcPr>
            <w:tcW w:w="1775" w:type="dxa"/>
            <w:vAlign w:val="center"/>
          </w:tcPr>
          <w:p w14:paraId="0BFEFB31">
            <w:pPr>
              <w:spacing w:line="276" w:lineRule="auto"/>
              <w:jc w:val="center"/>
              <w:rPr>
                <w:rFonts w:hint="eastAsia" w:ascii="宋体" w:hAnsi="宋体" w:eastAsia="宋体" w:cs="Times New Roman"/>
                <w:szCs w:val="21"/>
              </w:rPr>
            </w:pPr>
            <w:r>
              <w:rPr>
                <w:rFonts w:ascii="宋体" w:hAnsi="宋体" w:eastAsia="宋体" w:cs="Times New Roman"/>
                <w:kern w:val="0"/>
                <w:szCs w:val="21"/>
              </w:rPr>
              <w:t>目标1</w:t>
            </w:r>
            <w:r>
              <w:rPr>
                <w:rFonts w:hint="eastAsia" w:ascii="宋体" w:hAnsi="宋体" w:eastAsia="宋体" w:cs="Times New Roman"/>
                <w:kern w:val="0"/>
                <w:szCs w:val="21"/>
              </w:rPr>
              <w:t>、2</w:t>
            </w:r>
          </w:p>
        </w:tc>
        <w:tc>
          <w:tcPr>
            <w:tcW w:w="1722" w:type="dxa"/>
            <w:vAlign w:val="center"/>
          </w:tcPr>
          <w:p w14:paraId="4FF73A47">
            <w:pPr>
              <w:spacing w:line="276" w:lineRule="auto"/>
              <w:jc w:val="center"/>
              <w:rPr>
                <w:rFonts w:hint="eastAsia" w:ascii="宋体" w:hAnsi="宋体" w:eastAsia="宋体" w:cs="Times New Roman"/>
                <w:szCs w:val="21"/>
              </w:rPr>
            </w:pPr>
            <w:r>
              <w:rPr>
                <w:rFonts w:ascii="宋体" w:hAnsi="宋体" w:eastAsia="宋体" w:cs="Times New Roman"/>
                <w:kern w:val="0"/>
                <w:szCs w:val="21"/>
              </w:rPr>
              <w:t>3-2</w:t>
            </w:r>
          </w:p>
        </w:tc>
        <w:tc>
          <w:tcPr>
            <w:tcW w:w="698" w:type="dxa"/>
            <w:gridSpan w:val="2"/>
            <w:vAlign w:val="center"/>
          </w:tcPr>
          <w:p w14:paraId="5A838777">
            <w:pPr>
              <w:spacing w:line="276" w:lineRule="auto"/>
              <w:jc w:val="center"/>
              <w:rPr>
                <w:rFonts w:hint="eastAsia" w:ascii="宋体" w:hAnsi="宋体" w:eastAsia="宋体" w:cs="Times New Roman"/>
                <w:szCs w:val="21"/>
              </w:rPr>
            </w:pPr>
            <w:r>
              <w:rPr>
                <w:rFonts w:ascii="Times New Roman" w:hAnsi="Times New Roman" w:eastAsia="宋体" w:cs="Times New Roman"/>
                <w:szCs w:val="21"/>
              </w:rPr>
              <w:t>20</w:t>
            </w:r>
          </w:p>
        </w:tc>
        <w:tc>
          <w:tcPr>
            <w:tcW w:w="696" w:type="dxa"/>
            <w:vAlign w:val="center"/>
          </w:tcPr>
          <w:p w14:paraId="02F0B9A0">
            <w:pPr>
              <w:spacing w:line="276" w:lineRule="auto"/>
              <w:jc w:val="center"/>
              <w:rPr>
                <w:rFonts w:hint="eastAsia" w:ascii="宋体" w:hAnsi="宋体" w:eastAsia="宋体" w:cs="Times New Roman"/>
                <w:kern w:val="0"/>
                <w:szCs w:val="21"/>
              </w:rPr>
            </w:pPr>
          </w:p>
        </w:tc>
      </w:tr>
      <w:tr w14:paraId="09C9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64" w:type="dxa"/>
            <w:vAlign w:val="center"/>
          </w:tcPr>
          <w:p w14:paraId="75FD73A9">
            <w:pPr>
              <w:spacing w:line="276" w:lineRule="auto"/>
              <w:jc w:val="center"/>
              <w:rPr>
                <w:rFonts w:hint="eastAsia" w:ascii="宋体" w:hAnsi="宋体" w:eastAsia="宋体" w:cs="Times New Roman"/>
                <w:szCs w:val="21"/>
              </w:rPr>
            </w:pPr>
            <w:r>
              <w:rPr>
                <w:rFonts w:ascii="宋体" w:hAnsi="宋体" w:eastAsia="宋体" w:cs="Times New Roman"/>
                <w:szCs w:val="21"/>
              </w:rPr>
              <w:t>3</w:t>
            </w:r>
          </w:p>
        </w:tc>
        <w:tc>
          <w:tcPr>
            <w:tcW w:w="2703" w:type="dxa"/>
            <w:vAlign w:val="center"/>
          </w:tcPr>
          <w:p w14:paraId="174B23BE">
            <w:pPr>
              <w:spacing w:line="276" w:lineRule="auto"/>
              <w:jc w:val="center"/>
              <w:rPr>
                <w:rFonts w:hint="eastAsia" w:ascii="宋体" w:hAnsi="宋体" w:eastAsia="宋体" w:cs="Times New Roman"/>
                <w:szCs w:val="21"/>
              </w:rPr>
            </w:pPr>
            <w:r>
              <w:rPr>
                <w:rFonts w:ascii="Times New Roman" w:hAnsi="Times New Roman" w:eastAsia="宋体" w:cs="Times New Roman"/>
                <w:szCs w:val="21"/>
              </w:rPr>
              <w:t>级数</w:t>
            </w:r>
          </w:p>
        </w:tc>
        <w:tc>
          <w:tcPr>
            <w:tcW w:w="1775" w:type="dxa"/>
            <w:vAlign w:val="center"/>
          </w:tcPr>
          <w:p w14:paraId="38A6E18D">
            <w:pPr>
              <w:spacing w:line="276" w:lineRule="auto"/>
              <w:jc w:val="center"/>
              <w:rPr>
                <w:rFonts w:hint="eastAsia" w:ascii="宋体" w:hAnsi="宋体" w:eastAsia="宋体" w:cs="Times New Roman"/>
                <w:szCs w:val="21"/>
              </w:rPr>
            </w:pPr>
            <w:r>
              <w:rPr>
                <w:rFonts w:ascii="宋体" w:hAnsi="宋体" w:eastAsia="宋体" w:cs="Times New Roman"/>
                <w:kern w:val="0"/>
                <w:szCs w:val="21"/>
              </w:rPr>
              <w:t>目标1</w:t>
            </w:r>
            <w:r>
              <w:rPr>
                <w:rFonts w:hint="eastAsia" w:ascii="宋体" w:hAnsi="宋体" w:eastAsia="宋体" w:cs="Times New Roman"/>
                <w:kern w:val="0"/>
                <w:szCs w:val="21"/>
              </w:rPr>
              <w:t>、2</w:t>
            </w:r>
          </w:p>
        </w:tc>
        <w:tc>
          <w:tcPr>
            <w:tcW w:w="1722" w:type="dxa"/>
            <w:vAlign w:val="center"/>
          </w:tcPr>
          <w:p w14:paraId="7527BA88">
            <w:pPr>
              <w:spacing w:line="276" w:lineRule="auto"/>
              <w:jc w:val="center"/>
              <w:rPr>
                <w:rFonts w:hint="eastAsia" w:ascii="宋体" w:hAnsi="宋体" w:eastAsia="宋体" w:cs="Times New Roman"/>
                <w:szCs w:val="21"/>
              </w:rPr>
            </w:pPr>
            <w:r>
              <w:rPr>
                <w:rFonts w:ascii="宋体" w:hAnsi="宋体" w:eastAsia="宋体" w:cs="Times New Roman"/>
                <w:kern w:val="0"/>
                <w:szCs w:val="21"/>
              </w:rPr>
              <w:t>3-2</w:t>
            </w:r>
          </w:p>
        </w:tc>
        <w:tc>
          <w:tcPr>
            <w:tcW w:w="698" w:type="dxa"/>
            <w:gridSpan w:val="2"/>
            <w:vAlign w:val="center"/>
          </w:tcPr>
          <w:p w14:paraId="102BEB38">
            <w:pPr>
              <w:spacing w:line="276" w:lineRule="auto"/>
              <w:jc w:val="center"/>
              <w:rPr>
                <w:rFonts w:hint="eastAsia" w:ascii="宋体" w:hAnsi="宋体" w:eastAsia="宋体" w:cs="Times New Roman"/>
                <w:szCs w:val="21"/>
              </w:rPr>
            </w:pPr>
            <w:r>
              <w:rPr>
                <w:rFonts w:ascii="Times New Roman" w:hAnsi="Times New Roman" w:eastAsia="宋体" w:cs="Times New Roman"/>
                <w:szCs w:val="21"/>
              </w:rPr>
              <w:t>14</w:t>
            </w:r>
          </w:p>
        </w:tc>
        <w:tc>
          <w:tcPr>
            <w:tcW w:w="696" w:type="dxa"/>
            <w:vAlign w:val="center"/>
          </w:tcPr>
          <w:p w14:paraId="7FEB87E6">
            <w:pPr>
              <w:spacing w:line="276" w:lineRule="auto"/>
              <w:jc w:val="center"/>
              <w:rPr>
                <w:rFonts w:hint="eastAsia" w:ascii="宋体" w:hAnsi="宋体" w:eastAsia="宋体" w:cs="Times New Roman"/>
                <w:kern w:val="0"/>
                <w:szCs w:val="21"/>
              </w:rPr>
            </w:pPr>
          </w:p>
        </w:tc>
      </w:tr>
      <w:tr w14:paraId="23F0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64" w:type="dxa"/>
            <w:vAlign w:val="center"/>
          </w:tcPr>
          <w:p w14:paraId="13D230FB">
            <w:pPr>
              <w:spacing w:line="276" w:lineRule="auto"/>
              <w:jc w:val="center"/>
              <w:rPr>
                <w:rFonts w:hint="eastAsia" w:ascii="宋体" w:hAnsi="宋体" w:eastAsia="宋体" w:cs="Times New Roman"/>
                <w:szCs w:val="21"/>
              </w:rPr>
            </w:pPr>
            <w:r>
              <w:rPr>
                <w:rFonts w:ascii="宋体" w:hAnsi="宋体" w:eastAsia="宋体" w:cs="Times New Roman"/>
                <w:szCs w:val="21"/>
              </w:rPr>
              <w:t>4</w:t>
            </w:r>
          </w:p>
        </w:tc>
        <w:tc>
          <w:tcPr>
            <w:tcW w:w="2703" w:type="dxa"/>
            <w:vAlign w:val="center"/>
          </w:tcPr>
          <w:p w14:paraId="01ADCBAE">
            <w:pPr>
              <w:spacing w:line="276" w:lineRule="auto"/>
              <w:jc w:val="center"/>
              <w:rPr>
                <w:rFonts w:hint="eastAsia" w:ascii="宋体" w:hAnsi="宋体" w:eastAsia="宋体" w:cs="Times New Roman"/>
                <w:szCs w:val="21"/>
              </w:rPr>
            </w:pPr>
            <w:r>
              <w:rPr>
                <w:rFonts w:ascii="Times New Roman" w:hAnsi="Times New Roman" w:eastAsia="宋体" w:cs="Times New Roman"/>
                <w:szCs w:val="21"/>
              </w:rPr>
              <w:t>多元微积分</w:t>
            </w:r>
          </w:p>
        </w:tc>
        <w:tc>
          <w:tcPr>
            <w:tcW w:w="1775" w:type="dxa"/>
            <w:vAlign w:val="center"/>
          </w:tcPr>
          <w:p w14:paraId="036B720F">
            <w:pPr>
              <w:spacing w:line="276" w:lineRule="auto"/>
              <w:jc w:val="center"/>
              <w:rPr>
                <w:rFonts w:hint="eastAsia" w:ascii="宋体" w:hAnsi="宋体" w:eastAsia="宋体" w:cs="Times New Roman"/>
                <w:szCs w:val="21"/>
              </w:rPr>
            </w:pPr>
            <w:r>
              <w:rPr>
                <w:rFonts w:ascii="宋体" w:hAnsi="宋体" w:eastAsia="宋体" w:cs="Times New Roman"/>
                <w:kern w:val="0"/>
                <w:szCs w:val="21"/>
              </w:rPr>
              <w:t>目标1</w:t>
            </w:r>
            <w:r>
              <w:rPr>
                <w:rFonts w:hint="eastAsia" w:ascii="宋体" w:hAnsi="宋体" w:eastAsia="宋体" w:cs="Times New Roman"/>
                <w:kern w:val="0"/>
                <w:szCs w:val="21"/>
              </w:rPr>
              <w:t>、2</w:t>
            </w:r>
          </w:p>
        </w:tc>
        <w:tc>
          <w:tcPr>
            <w:tcW w:w="1722" w:type="dxa"/>
            <w:vAlign w:val="center"/>
          </w:tcPr>
          <w:p w14:paraId="4C03647F">
            <w:pPr>
              <w:spacing w:line="276" w:lineRule="auto"/>
              <w:jc w:val="center"/>
              <w:rPr>
                <w:rFonts w:hint="eastAsia" w:ascii="宋体" w:hAnsi="宋体" w:eastAsia="宋体" w:cs="Times New Roman"/>
                <w:szCs w:val="21"/>
              </w:rPr>
            </w:pPr>
            <w:r>
              <w:rPr>
                <w:rFonts w:ascii="宋体" w:hAnsi="宋体" w:eastAsia="宋体" w:cs="Times New Roman"/>
                <w:kern w:val="0"/>
                <w:szCs w:val="21"/>
              </w:rPr>
              <w:t>3-2</w:t>
            </w:r>
          </w:p>
        </w:tc>
        <w:tc>
          <w:tcPr>
            <w:tcW w:w="698" w:type="dxa"/>
            <w:gridSpan w:val="2"/>
            <w:vAlign w:val="center"/>
          </w:tcPr>
          <w:p w14:paraId="39332BB4">
            <w:pPr>
              <w:spacing w:line="276" w:lineRule="auto"/>
              <w:jc w:val="center"/>
              <w:rPr>
                <w:rFonts w:hint="eastAsia" w:ascii="宋体" w:hAnsi="宋体" w:eastAsia="宋体" w:cs="Times New Roman"/>
                <w:szCs w:val="21"/>
              </w:rPr>
            </w:pPr>
            <w:r>
              <w:rPr>
                <w:rFonts w:ascii="Times New Roman" w:hAnsi="Times New Roman" w:eastAsia="宋体" w:cs="Times New Roman"/>
                <w:szCs w:val="21"/>
              </w:rPr>
              <w:t>16</w:t>
            </w:r>
          </w:p>
        </w:tc>
        <w:tc>
          <w:tcPr>
            <w:tcW w:w="696" w:type="dxa"/>
            <w:vAlign w:val="center"/>
          </w:tcPr>
          <w:p w14:paraId="7B205F32">
            <w:pPr>
              <w:spacing w:line="276" w:lineRule="auto"/>
              <w:jc w:val="center"/>
              <w:rPr>
                <w:rFonts w:hint="eastAsia" w:ascii="宋体" w:hAnsi="宋体" w:eastAsia="宋体" w:cs="Times New Roman"/>
                <w:kern w:val="0"/>
                <w:szCs w:val="21"/>
              </w:rPr>
            </w:pPr>
          </w:p>
        </w:tc>
      </w:tr>
      <w:tr w14:paraId="77F2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975" w:type="dxa"/>
            <w:gridSpan w:val="5"/>
            <w:vAlign w:val="center"/>
          </w:tcPr>
          <w:p w14:paraId="6DCBBBF8">
            <w:pPr>
              <w:spacing w:line="276" w:lineRule="auto"/>
              <w:jc w:val="center"/>
              <w:rPr>
                <w:rFonts w:hint="eastAsia" w:ascii="宋体" w:hAnsi="宋体" w:eastAsia="宋体" w:cs="Times New Roman"/>
                <w:szCs w:val="21"/>
              </w:rPr>
            </w:pPr>
            <w:r>
              <w:rPr>
                <w:rFonts w:ascii="宋体" w:hAnsi="宋体" w:eastAsia="宋体" w:cs="Times New Roman"/>
                <w:szCs w:val="21"/>
              </w:rPr>
              <w:t>合计</w:t>
            </w:r>
          </w:p>
        </w:tc>
        <w:tc>
          <w:tcPr>
            <w:tcW w:w="687" w:type="dxa"/>
            <w:vAlign w:val="center"/>
          </w:tcPr>
          <w:p w14:paraId="3BF6FB40">
            <w:pPr>
              <w:spacing w:line="276" w:lineRule="auto"/>
              <w:jc w:val="center"/>
              <w:rPr>
                <w:rFonts w:hint="eastAsia" w:ascii="宋体" w:hAnsi="宋体" w:eastAsia="宋体" w:cs="Times New Roman"/>
                <w:szCs w:val="21"/>
              </w:rPr>
            </w:pPr>
            <w:r>
              <w:rPr>
                <w:rFonts w:hint="eastAsia" w:ascii="宋体" w:hAnsi="宋体" w:eastAsia="宋体" w:cs="Times New Roman"/>
                <w:szCs w:val="21"/>
              </w:rPr>
              <w:t>64</w:t>
            </w:r>
          </w:p>
        </w:tc>
        <w:tc>
          <w:tcPr>
            <w:tcW w:w="696" w:type="dxa"/>
            <w:vAlign w:val="center"/>
          </w:tcPr>
          <w:p w14:paraId="0D119E4B">
            <w:pPr>
              <w:spacing w:line="276" w:lineRule="auto"/>
              <w:jc w:val="center"/>
              <w:rPr>
                <w:rFonts w:hint="eastAsia" w:ascii="宋体" w:hAnsi="宋体" w:eastAsia="宋体" w:cs="Times New Roman"/>
                <w:kern w:val="0"/>
                <w:szCs w:val="21"/>
              </w:rPr>
            </w:pPr>
          </w:p>
        </w:tc>
      </w:tr>
    </w:tbl>
    <w:p w14:paraId="296B4C8F">
      <w:pPr>
        <w:spacing w:line="360" w:lineRule="auto"/>
        <w:ind w:firstLine="482" w:firstLineChars="200"/>
        <w:rPr>
          <w:rFonts w:ascii="Calibri" w:hAnsi="Calibri" w:eastAsia="宋体" w:cs="Times New Roman"/>
          <w:b/>
          <w:sz w:val="24"/>
        </w:rPr>
      </w:pPr>
    </w:p>
    <w:p w14:paraId="1464CF43">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7A6FF17D">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3390326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w:t>
      </w:r>
      <w:r>
        <w:rPr>
          <w:rFonts w:ascii="Times New Roman" w:hAnsi="Times New Roman" w:eastAsia="宋体" w:cs="Times New Roman"/>
          <w:szCs w:val="21"/>
        </w:rPr>
        <w:t>所示。</w:t>
      </w:r>
    </w:p>
    <w:p w14:paraId="3DEBA710">
      <w:pPr>
        <w:spacing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175B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474E96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6429FC89">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39CA0CDB">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36E8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DE2C4C4">
            <w:pPr>
              <w:spacing w:line="360" w:lineRule="auto"/>
              <w:jc w:val="center"/>
              <w:rPr>
                <w:rFonts w:hint="eastAsia" w:ascii="宋体" w:hAnsi="宋体" w:eastAsia="宋体" w:cs="Times New Roman"/>
                <w:szCs w:val="21"/>
              </w:rPr>
            </w:pPr>
          </w:p>
        </w:tc>
        <w:tc>
          <w:tcPr>
            <w:tcW w:w="0" w:type="auto"/>
            <w:vAlign w:val="center"/>
          </w:tcPr>
          <w:p w14:paraId="3FA36433">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7A47DFED">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32667A6A">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2072FCF7">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765F5C01">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43598F1E">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5DD45C5F">
            <w:pPr>
              <w:spacing w:line="360" w:lineRule="auto"/>
              <w:jc w:val="center"/>
              <w:rPr>
                <w:rFonts w:hint="eastAsia" w:ascii="宋体" w:hAnsi="宋体" w:eastAsia="宋体" w:cs="Times New Roman"/>
                <w:szCs w:val="21"/>
              </w:rPr>
            </w:pPr>
          </w:p>
        </w:tc>
      </w:tr>
      <w:tr w14:paraId="6E59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181610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2B72EB4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2B9F2E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2A8E43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4479FFF">
            <w:pPr>
              <w:spacing w:line="360" w:lineRule="auto"/>
              <w:jc w:val="center"/>
              <w:rPr>
                <w:rFonts w:hint="eastAsia" w:ascii="宋体" w:hAnsi="宋体" w:eastAsia="宋体" w:cs="Times New Roman"/>
                <w:szCs w:val="21"/>
              </w:rPr>
            </w:pPr>
          </w:p>
        </w:tc>
        <w:tc>
          <w:tcPr>
            <w:tcW w:w="0" w:type="auto"/>
            <w:vAlign w:val="center"/>
          </w:tcPr>
          <w:p w14:paraId="4AD1ABD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68BA256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839D980">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7FC9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B9B011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5486139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6AA7D3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591ABE0">
            <w:pPr>
              <w:spacing w:line="360" w:lineRule="auto"/>
              <w:jc w:val="center"/>
              <w:rPr>
                <w:rFonts w:hint="eastAsia" w:ascii="宋体" w:hAnsi="宋体" w:eastAsia="宋体" w:cs="Times New Roman"/>
                <w:szCs w:val="21"/>
              </w:rPr>
            </w:pPr>
          </w:p>
        </w:tc>
        <w:tc>
          <w:tcPr>
            <w:tcW w:w="0" w:type="auto"/>
            <w:vAlign w:val="center"/>
          </w:tcPr>
          <w:p w14:paraId="007B798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BF12E7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0E916F72">
            <w:pPr>
              <w:spacing w:line="360" w:lineRule="auto"/>
              <w:jc w:val="center"/>
              <w:rPr>
                <w:rFonts w:hint="eastAsia" w:ascii="宋体" w:hAnsi="宋体" w:eastAsia="宋体" w:cs="Times New Roman"/>
                <w:szCs w:val="21"/>
              </w:rPr>
            </w:pPr>
          </w:p>
        </w:tc>
        <w:tc>
          <w:tcPr>
            <w:tcW w:w="0" w:type="auto"/>
            <w:vAlign w:val="center"/>
          </w:tcPr>
          <w:p w14:paraId="7C6D14F5">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2A85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FC18409">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3DF35C4F">
            <w:pPr>
              <w:spacing w:line="360" w:lineRule="auto"/>
              <w:jc w:val="center"/>
              <w:rPr>
                <w:rFonts w:hint="eastAsia" w:ascii="宋体" w:hAnsi="宋体" w:eastAsia="宋体" w:cs="Times New Roman"/>
                <w:szCs w:val="21"/>
              </w:rPr>
            </w:pPr>
          </w:p>
        </w:tc>
        <w:tc>
          <w:tcPr>
            <w:tcW w:w="0" w:type="auto"/>
            <w:vAlign w:val="center"/>
          </w:tcPr>
          <w:p w14:paraId="3C291319">
            <w:pPr>
              <w:spacing w:line="360" w:lineRule="auto"/>
              <w:jc w:val="center"/>
              <w:rPr>
                <w:rFonts w:hint="eastAsia" w:ascii="宋体" w:hAnsi="宋体" w:eastAsia="宋体" w:cs="Times New Roman"/>
                <w:szCs w:val="21"/>
              </w:rPr>
            </w:pPr>
          </w:p>
        </w:tc>
        <w:tc>
          <w:tcPr>
            <w:tcW w:w="0" w:type="auto"/>
            <w:vAlign w:val="center"/>
          </w:tcPr>
          <w:p w14:paraId="0ECE7C1A">
            <w:pPr>
              <w:spacing w:line="360" w:lineRule="auto"/>
              <w:jc w:val="center"/>
              <w:rPr>
                <w:rFonts w:hint="eastAsia" w:ascii="宋体" w:hAnsi="宋体" w:eastAsia="宋体" w:cs="Times New Roman"/>
                <w:szCs w:val="21"/>
              </w:rPr>
            </w:pPr>
          </w:p>
        </w:tc>
        <w:tc>
          <w:tcPr>
            <w:tcW w:w="0" w:type="auto"/>
            <w:vAlign w:val="center"/>
          </w:tcPr>
          <w:p w14:paraId="227BB901">
            <w:pPr>
              <w:spacing w:line="360" w:lineRule="auto"/>
              <w:jc w:val="center"/>
              <w:rPr>
                <w:rFonts w:hint="eastAsia" w:ascii="宋体" w:hAnsi="宋体" w:eastAsia="宋体" w:cs="Times New Roman"/>
                <w:szCs w:val="21"/>
              </w:rPr>
            </w:pPr>
          </w:p>
        </w:tc>
        <w:tc>
          <w:tcPr>
            <w:tcW w:w="0" w:type="auto"/>
            <w:vAlign w:val="center"/>
          </w:tcPr>
          <w:p w14:paraId="7F7520BE">
            <w:pPr>
              <w:spacing w:line="360" w:lineRule="auto"/>
              <w:jc w:val="center"/>
              <w:rPr>
                <w:rFonts w:hint="eastAsia" w:ascii="宋体" w:hAnsi="宋体" w:eastAsia="宋体" w:cs="Times New Roman"/>
                <w:szCs w:val="21"/>
              </w:rPr>
            </w:pPr>
          </w:p>
        </w:tc>
        <w:tc>
          <w:tcPr>
            <w:tcW w:w="0" w:type="auto"/>
          </w:tcPr>
          <w:p w14:paraId="4B7620DE">
            <w:pPr>
              <w:spacing w:line="360" w:lineRule="auto"/>
              <w:jc w:val="center"/>
              <w:rPr>
                <w:rFonts w:hint="eastAsia" w:ascii="宋体" w:hAnsi="宋体" w:eastAsia="宋体" w:cs="Times New Roman"/>
                <w:szCs w:val="21"/>
              </w:rPr>
            </w:pPr>
          </w:p>
        </w:tc>
        <w:tc>
          <w:tcPr>
            <w:tcW w:w="0" w:type="auto"/>
            <w:vAlign w:val="center"/>
          </w:tcPr>
          <w:p w14:paraId="0DD7CAA1">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4AD684E">
      <w:pPr>
        <w:spacing w:line="360" w:lineRule="auto"/>
        <w:ind w:firstLine="422" w:firstLineChars="200"/>
        <w:rPr>
          <w:rFonts w:ascii="Times New Roman" w:hAnsi="Times New Roman" w:eastAsia="宋体" w:cs="Times New Roman"/>
          <w:b/>
          <w:szCs w:val="21"/>
        </w:rPr>
      </w:pPr>
    </w:p>
    <w:p w14:paraId="1B875CE4">
      <w:pPr>
        <w:spacing w:line="360" w:lineRule="auto"/>
        <w:rPr>
          <w:rFonts w:ascii="Calibri" w:hAnsi="Calibri" w:eastAsia="宋体" w:cs="Times New Roman"/>
          <w:b/>
          <w:sz w:val="24"/>
        </w:rPr>
      </w:pPr>
      <w:r>
        <w:rPr>
          <w:rFonts w:hint="eastAsia" w:ascii="Times New Roman" w:hAnsi="Times New Roman" w:eastAsia="宋体" w:cs="Times New Roman"/>
          <w:b/>
          <w:sz w:val="24"/>
        </w:rPr>
        <w:t>（二）成绩评定细则</w:t>
      </w:r>
    </w:p>
    <w:p w14:paraId="33036787">
      <w:pPr>
        <w:spacing w:line="360" w:lineRule="auto"/>
        <w:ind w:firstLine="480" w:firstLineChars="200"/>
        <w:rPr>
          <w:rFonts w:ascii="Calibri" w:hAnsi="Calibri" w:eastAsia="宋体" w:cs="Times New Roman"/>
          <w:sz w:val="24"/>
        </w:rPr>
      </w:pPr>
      <w:r>
        <w:rPr>
          <w:rFonts w:ascii="Calibri" w:hAnsi="Calibri" w:eastAsia="宋体" w:cs="Times New Roman"/>
          <w:sz w:val="24"/>
        </w:rPr>
        <w:t>（</w:t>
      </w:r>
      <w:r>
        <w:rPr>
          <w:rFonts w:hint="eastAsia" w:ascii="Calibri" w:hAnsi="Calibri" w:eastAsia="宋体" w:cs="Times New Roman"/>
          <w:sz w:val="24"/>
        </w:rPr>
        <w:t>1</w:t>
      </w:r>
      <w:r>
        <w:rPr>
          <w:rFonts w:ascii="Calibri" w:hAnsi="Calibri" w:eastAsia="宋体" w:cs="Times New Roman"/>
          <w:sz w:val="24"/>
        </w:rPr>
        <w:t>）课程考核包括期末考试、平时及作业考核等，期末考试采用闭卷考试方式。</w:t>
      </w:r>
    </w:p>
    <w:p w14:paraId="24A77193">
      <w:pPr>
        <w:spacing w:line="360" w:lineRule="auto"/>
        <w:ind w:firstLine="480" w:firstLineChars="200"/>
        <w:rPr>
          <w:rFonts w:ascii="Calibri" w:hAnsi="Calibri" w:eastAsia="宋体" w:cs="Times New Roman"/>
          <w:sz w:val="24"/>
        </w:rPr>
      </w:pPr>
      <w:r>
        <w:rPr>
          <w:rFonts w:ascii="Calibri" w:hAnsi="Calibri" w:eastAsia="宋体" w:cs="Times New Roman"/>
          <w:sz w:val="24"/>
        </w:rPr>
        <w:t>（</w:t>
      </w:r>
      <w:r>
        <w:rPr>
          <w:rFonts w:hint="eastAsia" w:ascii="Calibri" w:hAnsi="Calibri" w:eastAsia="宋体" w:cs="Times New Roman"/>
          <w:sz w:val="24"/>
        </w:rPr>
        <w:t>2</w:t>
      </w:r>
      <w:r>
        <w:rPr>
          <w:rFonts w:ascii="Calibri" w:hAnsi="Calibri" w:eastAsia="宋体" w:cs="Times New Roman"/>
          <w:sz w:val="24"/>
        </w:rPr>
        <w:t>）</w:t>
      </w:r>
      <w:r>
        <w:rPr>
          <w:rFonts w:ascii="Times New Roman" w:hAnsi="Times New Roman" w:eastAsia="宋体" w:cs="Times New Roman"/>
          <w:sz w:val="24"/>
        </w:rPr>
        <w:t>课程总评成绩=出勤情况成绩×10% +师生互动成绩×10% +作业成绩×30%+期末考试成绩×50%。具体内容和比例如表所示。</w:t>
      </w:r>
    </w:p>
    <w:p w14:paraId="46BCCB79">
      <w:pPr>
        <w:spacing w:line="360" w:lineRule="auto"/>
        <w:ind w:firstLine="482" w:firstLineChars="200"/>
        <w:rPr>
          <w:rFonts w:ascii="Calibri" w:hAnsi="Calibri" w:eastAsia="宋体" w:cs="Times New Roman"/>
          <w:b/>
          <w:sz w:val="24"/>
        </w:rPr>
      </w:pPr>
      <w:r>
        <w:rPr>
          <w:rFonts w:ascii="Calibri" w:hAnsi="Calibri" w:eastAsia="宋体" w:cs="Times New Roman"/>
          <w:b/>
          <w:sz w:val="24"/>
        </w:rPr>
        <w:t>具体内容和比例如表所示：</w:t>
      </w:r>
    </w:p>
    <w:tbl>
      <w:tblPr>
        <w:tblStyle w:val="13"/>
        <w:tblW w:w="8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131"/>
        <w:gridCol w:w="707"/>
        <w:gridCol w:w="2555"/>
        <w:gridCol w:w="1067"/>
        <w:gridCol w:w="1016"/>
        <w:gridCol w:w="1384"/>
      </w:tblGrid>
      <w:tr w14:paraId="675F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22" w:type="dxa"/>
            <w:shd w:val="clear" w:color="auto" w:fill="FFFFFF"/>
            <w:tcMar>
              <w:left w:w="57" w:type="dxa"/>
              <w:right w:w="57" w:type="dxa"/>
            </w:tcMar>
            <w:vAlign w:val="center"/>
          </w:tcPr>
          <w:p w14:paraId="53D6CE34">
            <w:pPr>
              <w:jc w:val="center"/>
              <w:rPr>
                <w:rFonts w:ascii="Calibri" w:hAnsi="Calibri" w:eastAsia="宋体" w:cs="Times New Roman"/>
                <w:b/>
              </w:rPr>
            </w:pPr>
            <w:r>
              <w:rPr>
                <w:rFonts w:ascii="Calibri" w:hAnsi="Calibri" w:eastAsia="宋体" w:cs="Times New Roman"/>
                <w:b/>
              </w:rPr>
              <w:t>成绩组成</w:t>
            </w:r>
          </w:p>
        </w:tc>
        <w:tc>
          <w:tcPr>
            <w:tcW w:w="1131" w:type="dxa"/>
            <w:shd w:val="clear" w:color="auto" w:fill="FFFFFF"/>
            <w:vAlign w:val="center"/>
          </w:tcPr>
          <w:p w14:paraId="72B17448">
            <w:pPr>
              <w:spacing w:line="276" w:lineRule="auto"/>
              <w:jc w:val="center"/>
              <w:rPr>
                <w:rFonts w:ascii="Calibri" w:hAnsi="Calibri" w:eastAsia="宋体" w:cs="Times New Roman"/>
                <w:b/>
              </w:rPr>
            </w:pPr>
            <w:r>
              <w:rPr>
                <w:rFonts w:ascii="Calibri" w:hAnsi="Calibri" w:eastAsia="宋体" w:cs="Times New Roman"/>
                <w:b/>
              </w:rPr>
              <w:t>考核/</w:t>
            </w:r>
          </w:p>
          <w:p w14:paraId="1CC6F4BB">
            <w:pPr>
              <w:spacing w:line="276" w:lineRule="auto"/>
              <w:jc w:val="center"/>
              <w:rPr>
                <w:rFonts w:ascii="Calibri" w:hAnsi="Calibri" w:eastAsia="宋体" w:cs="Times New Roman"/>
                <w:b/>
              </w:rPr>
            </w:pPr>
            <w:r>
              <w:rPr>
                <w:rFonts w:ascii="Calibri" w:hAnsi="Calibri" w:eastAsia="宋体" w:cs="Times New Roman"/>
                <w:b/>
              </w:rPr>
              <w:t>评价环节</w:t>
            </w:r>
          </w:p>
        </w:tc>
        <w:tc>
          <w:tcPr>
            <w:tcW w:w="707" w:type="dxa"/>
            <w:shd w:val="clear" w:color="auto" w:fill="FFFFFF"/>
            <w:vAlign w:val="center"/>
          </w:tcPr>
          <w:p w14:paraId="17A7661B">
            <w:pPr>
              <w:spacing w:line="276" w:lineRule="auto"/>
              <w:jc w:val="center"/>
              <w:rPr>
                <w:rFonts w:ascii="Calibri" w:hAnsi="Calibri" w:eastAsia="宋体" w:cs="Times New Roman"/>
                <w:b/>
              </w:rPr>
            </w:pPr>
            <w:r>
              <w:rPr>
                <w:rFonts w:ascii="Calibri" w:hAnsi="Calibri" w:eastAsia="宋体" w:cs="Times New Roman"/>
                <w:b/>
              </w:rPr>
              <w:t>权重</w:t>
            </w:r>
          </w:p>
        </w:tc>
        <w:tc>
          <w:tcPr>
            <w:tcW w:w="2555" w:type="dxa"/>
            <w:shd w:val="clear" w:color="auto" w:fill="FFFFFF"/>
            <w:vAlign w:val="center"/>
          </w:tcPr>
          <w:p w14:paraId="0C04C7D1">
            <w:pPr>
              <w:spacing w:line="276" w:lineRule="auto"/>
              <w:jc w:val="center"/>
              <w:rPr>
                <w:rFonts w:ascii="Calibri" w:hAnsi="Calibri" w:eastAsia="宋体" w:cs="Times New Roman"/>
                <w:b/>
              </w:rPr>
            </w:pPr>
            <w:r>
              <w:rPr>
                <w:rFonts w:ascii="Calibri" w:hAnsi="Calibri" w:eastAsia="宋体" w:cs="Times New Roman"/>
                <w:b/>
              </w:rPr>
              <w:t>考核/评价细则</w:t>
            </w:r>
          </w:p>
        </w:tc>
        <w:tc>
          <w:tcPr>
            <w:tcW w:w="1067" w:type="dxa"/>
            <w:shd w:val="clear" w:color="auto" w:fill="FFFFFF"/>
          </w:tcPr>
          <w:p w14:paraId="2E7264A2">
            <w:pPr>
              <w:spacing w:line="276" w:lineRule="auto"/>
              <w:jc w:val="center"/>
              <w:rPr>
                <w:rFonts w:ascii="Calibri" w:hAnsi="Calibri" w:eastAsia="宋体" w:cs="Times New Roman"/>
                <w:b/>
              </w:rPr>
            </w:pPr>
            <w:r>
              <w:rPr>
                <w:rFonts w:ascii="Calibri" w:hAnsi="Calibri" w:eastAsia="宋体" w:cs="Times New Roman"/>
                <w:b/>
              </w:rPr>
              <w:t>课程</w:t>
            </w:r>
          </w:p>
          <w:p w14:paraId="758B6E2B">
            <w:pPr>
              <w:spacing w:line="276" w:lineRule="auto"/>
              <w:jc w:val="center"/>
              <w:rPr>
                <w:rFonts w:ascii="Calibri" w:hAnsi="Calibri" w:eastAsia="宋体" w:cs="Times New Roman"/>
                <w:b/>
              </w:rPr>
            </w:pPr>
            <w:r>
              <w:rPr>
                <w:rFonts w:ascii="Calibri" w:hAnsi="Calibri" w:eastAsia="宋体" w:cs="Times New Roman"/>
                <w:b/>
              </w:rPr>
              <w:t>目标</w:t>
            </w:r>
          </w:p>
        </w:tc>
        <w:tc>
          <w:tcPr>
            <w:tcW w:w="1016" w:type="dxa"/>
            <w:shd w:val="clear" w:color="auto" w:fill="FFFFFF"/>
          </w:tcPr>
          <w:p w14:paraId="010E673A">
            <w:pPr>
              <w:spacing w:line="276" w:lineRule="auto"/>
              <w:jc w:val="center"/>
              <w:rPr>
                <w:rFonts w:ascii="Calibri" w:hAnsi="Calibri" w:eastAsia="宋体" w:cs="Times New Roman"/>
                <w:b/>
              </w:rPr>
            </w:pPr>
            <w:r>
              <w:rPr>
                <w:rFonts w:ascii="Calibri" w:hAnsi="Calibri" w:eastAsia="宋体" w:cs="Times New Roman"/>
                <w:b/>
              </w:rPr>
              <w:t>考核</w:t>
            </w:r>
          </w:p>
          <w:p w14:paraId="209ADC70">
            <w:pPr>
              <w:spacing w:line="276" w:lineRule="auto"/>
              <w:jc w:val="center"/>
              <w:rPr>
                <w:rFonts w:ascii="Calibri" w:hAnsi="Calibri" w:eastAsia="宋体" w:cs="Times New Roman"/>
                <w:b/>
              </w:rPr>
            </w:pPr>
            <w:r>
              <w:rPr>
                <w:rFonts w:ascii="Calibri" w:hAnsi="Calibri" w:eastAsia="宋体" w:cs="Times New Roman"/>
                <w:b/>
              </w:rPr>
              <w:t>内容</w:t>
            </w:r>
          </w:p>
        </w:tc>
        <w:tc>
          <w:tcPr>
            <w:tcW w:w="1384" w:type="dxa"/>
            <w:shd w:val="clear" w:color="auto" w:fill="FFFFFF"/>
            <w:vAlign w:val="center"/>
          </w:tcPr>
          <w:p w14:paraId="70076949">
            <w:pPr>
              <w:spacing w:line="276" w:lineRule="auto"/>
              <w:jc w:val="center"/>
              <w:rPr>
                <w:rFonts w:ascii="Calibri" w:hAnsi="Calibri" w:eastAsia="宋体" w:cs="Times New Roman"/>
                <w:b/>
              </w:rPr>
            </w:pPr>
            <w:r>
              <w:rPr>
                <w:rFonts w:ascii="Calibri" w:hAnsi="Calibri" w:eastAsia="宋体" w:cs="Times New Roman"/>
                <w:b/>
              </w:rPr>
              <w:t>对应的毕业要求指标点</w:t>
            </w:r>
          </w:p>
        </w:tc>
      </w:tr>
      <w:tr w14:paraId="3C2E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22" w:type="dxa"/>
            <w:tcMar>
              <w:left w:w="57" w:type="dxa"/>
              <w:right w:w="57" w:type="dxa"/>
            </w:tcMar>
            <w:vAlign w:val="center"/>
          </w:tcPr>
          <w:p w14:paraId="44BBC879">
            <w:pPr>
              <w:jc w:val="center"/>
              <w:rPr>
                <w:rFonts w:ascii="Calibri" w:hAnsi="Calibri" w:eastAsia="宋体" w:cs="Times New Roman"/>
              </w:rPr>
            </w:pPr>
            <w:r>
              <w:rPr>
                <w:rFonts w:ascii="Calibri" w:hAnsi="Calibri" w:eastAsia="宋体" w:cs="Times New Roman"/>
              </w:rPr>
              <w:t>平时成绩</w:t>
            </w:r>
          </w:p>
        </w:tc>
        <w:tc>
          <w:tcPr>
            <w:tcW w:w="1131" w:type="dxa"/>
            <w:vAlign w:val="center"/>
          </w:tcPr>
          <w:p w14:paraId="7306957B">
            <w:pPr>
              <w:jc w:val="center"/>
              <w:rPr>
                <w:rFonts w:ascii="Calibri" w:hAnsi="Calibri" w:eastAsia="宋体" w:cs="Times New Roman"/>
              </w:rPr>
            </w:pPr>
            <w:r>
              <w:rPr>
                <w:rFonts w:ascii="Calibri" w:hAnsi="Calibri" w:eastAsia="宋体" w:cs="Times New Roman"/>
              </w:rPr>
              <w:t>课堂考勤及平时作业</w:t>
            </w:r>
          </w:p>
        </w:tc>
        <w:tc>
          <w:tcPr>
            <w:tcW w:w="707" w:type="dxa"/>
            <w:vAlign w:val="center"/>
          </w:tcPr>
          <w:p w14:paraId="5EA1937B">
            <w:pPr>
              <w:jc w:val="center"/>
              <w:rPr>
                <w:rFonts w:ascii="Calibri" w:hAnsi="Calibri" w:eastAsia="宋体" w:cs="Times New Roman"/>
              </w:rPr>
            </w:pPr>
            <w:r>
              <w:rPr>
                <w:rFonts w:hint="eastAsia" w:ascii="Calibri" w:hAnsi="Calibri" w:eastAsia="宋体" w:cs="Times New Roman"/>
              </w:rPr>
              <w:t>5</w:t>
            </w:r>
            <w:r>
              <w:rPr>
                <w:rFonts w:ascii="Calibri" w:hAnsi="Calibri" w:eastAsia="宋体" w:cs="Times New Roman"/>
              </w:rPr>
              <w:t>0%</w:t>
            </w:r>
          </w:p>
        </w:tc>
        <w:tc>
          <w:tcPr>
            <w:tcW w:w="2555" w:type="dxa"/>
            <w:vAlign w:val="center"/>
          </w:tcPr>
          <w:p w14:paraId="77A3C300">
            <w:pPr>
              <w:jc w:val="left"/>
              <w:rPr>
                <w:rFonts w:ascii="Calibri" w:hAnsi="Calibri" w:eastAsia="宋体" w:cs="Times New Roman"/>
              </w:rPr>
            </w:pPr>
            <w:r>
              <w:rPr>
                <w:rFonts w:ascii="Calibri" w:hAnsi="Calibri" w:eastAsia="宋体" w:cs="Times New Roman"/>
                <w:szCs w:val="21"/>
              </w:rPr>
              <w:t>课堂考勤：课堂不定期点名，考核能否按时到勤，三次考勤未到平时成绩扣十分。平时作业：考核</w:t>
            </w:r>
            <w:r>
              <w:rPr>
                <w:rFonts w:ascii="Calibri" w:hAnsi="Calibri" w:eastAsia="宋体" w:cs="Times New Roman"/>
              </w:rPr>
              <w:t>学生对所学知识点的复习、理解和掌握度。对每次作业完成情况做记录并百分制打分，计算全部作业的平均成绩。</w:t>
            </w:r>
          </w:p>
        </w:tc>
        <w:tc>
          <w:tcPr>
            <w:tcW w:w="1067" w:type="dxa"/>
          </w:tcPr>
          <w:p w14:paraId="607CD7BA">
            <w:pPr>
              <w:rPr>
                <w:rFonts w:ascii="Calibri" w:hAnsi="Calibri" w:eastAsia="宋体" w:cs="Times New Roman"/>
              </w:rPr>
            </w:pPr>
          </w:p>
          <w:p w14:paraId="306CD6CF">
            <w:pPr>
              <w:rPr>
                <w:rFonts w:ascii="Calibri" w:hAnsi="Calibri" w:eastAsia="宋体" w:cs="Times New Roman"/>
              </w:rPr>
            </w:pPr>
          </w:p>
          <w:p w14:paraId="5A798DAD">
            <w:pPr>
              <w:jc w:val="center"/>
              <w:rPr>
                <w:rFonts w:ascii="Calibri" w:hAnsi="Calibri" w:eastAsia="宋体" w:cs="Times New Roman"/>
              </w:rPr>
            </w:pPr>
            <w:r>
              <w:rPr>
                <w:rFonts w:ascii="Calibri" w:hAnsi="Calibri" w:eastAsia="宋体" w:cs="Times New Roman"/>
              </w:rPr>
              <w:t>课程目标</w:t>
            </w:r>
            <w:r>
              <w:rPr>
                <w:rFonts w:hint="eastAsia" w:ascii="Calibri" w:hAnsi="Calibri" w:eastAsia="宋体" w:cs="Times New Roman"/>
              </w:rPr>
              <w:t>1、2</w:t>
            </w:r>
          </w:p>
        </w:tc>
        <w:tc>
          <w:tcPr>
            <w:tcW w:w="1016" w:type="dxa"/>
          </w:tcPr>
          <w:p w14:paraId="043D14D2">
            <w:pPr>
              <w:rPr>
                <w:rFonts w:ascii="Calibri" w:hAnsi="Calibri" w:eastAsia="宋体" w:cs="Times New Roman"/>
              </w:rPr>
            </w:pPr>
          </w:p>
          <w:p w14:paraId="36547024">
            <w:pPr>
              <w:rPr>
                <w:rFonts w:ascii="Calibri" w:hAnsi="Calibri" w:eastAsia="宋体" w:cs="Times New Roman"/>
              </w:rPr>
            </w:pPr>
          </w:p>
          <w:p w14:paraId="605EE33A">
            <w:pPr>
              <w:rPr>
                <w:rFonts w:ascii="Calibri" w:hAnsi="Calibri" w:eastAsia="宋体" w:cs="Times New Roman"/>
                <w:kern w:val="0"/>
                <w:szCs w:val="21"/>
              </w:rPr>
            </w:pPr>
            <w:r>
              <w:rPr>
                <w:rFonts w:ascii="Calibri" w:hAnsi="Calibri" w:eastAsia="宋体" w:cs="Times New Roman"/>
              </w:rPr>
              <w:t>函数、极限、连续函数、导数与微分等</w:t>
            </w:r>
          </w:p>
        </w:tc>
        <w:tc>
          <w:tcPr>
            <w:tcW w:w="1384" w:type="dxa"/>
            <w:vAlign w:val="center"/>
          </w:tcPr>
          <w:p w14:paraId="33401338">
            <w:pPr>
              <w:jc w:val="center"/>
              <w:rPr>
                <w:rFonts w:ascii="Calibri" w:hAnsi="Calibri" w:eastAsia="宋体" w:cs="Times New Roman"/>
              </w:rPr>
            </w:pPr>
            <w:r>
              <w:rPr>
                <w:rFonts w:ascii="Times New Roman" w:hAnsi="Times New Roman" w:eastAsia="楷体" w:cs="Times New Roman"/>
                <w:szCs w:val="21"/>
              </w:rPr>
              <w:t>3-2</w:t>
            </w:r>
          </w:p>
        </w:tc>
      </w:tr>
      <w:tr w14:paraId="1DB0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22" w:type="dxa"/>
            <w:tcMar>
              <w:left w:w="57" w:type="dxa"/>
              <w:right w:w="57" w:type="dxa"/>
            </w:tcMar>
            <w:vAlign w:val="center"/>
          </w:tcPr>
          <w:p w14:paraId="4FDF9E8F">
            <w:pPr>
              <w:jc w:val="center"/>
              <w:rPr>
                <w:rFonts w:ascii="Calibri" w:hAnsi="Calibri" w:eastAsia="宋体" w:cs="Times New Roman"/>
              </w:rPr>
            </w:pPr>
            <w:r>
              <w:rPr>
                <w:rFonts w:ascii="Calibri" w:hAnsi="Calibri" w:eastAsia="宋体" w:cs="Times New Roman"/>
              </w:rPr>
              <w:t>期末考试</w:t>
            </w:r>
          </w:p>
        </w:tc>
        <w:tc>
          <w:tcPr>
            <w:tcW w:w="1131" w:type="dxa"/>
            <w:vAlign w:val="center"/>
          </w:tcPr>
          <w:p w14:paraId="50D2ABFD">
            <w:pPr>
              <w:jc w:val="center"/>
              <w:rPr>
                <w:rFonts w:ascii="Calibri" w:hAnsi="Calibri" w:eastAsia="宋体" w:cs="Times New Roman"/>
              </w:rPr>
            </w:pPr>
            <w:r>
              <w:rPr>
                <w:rFonts w:ascii="Calibri" w:hAnsi="Calibri" w:eastAsia="宋体" w:cs="Times New Roman"/>
              </w:rPr>
              <w:t>期末考试</w:t>
            </w:r>
          </w:p>
          <w:p w14:paraId="3D1CF329">
            <w:pPr>
              <w:jc w:val="center"/>
              <w:rPr>
                <w:rFonts w:ascii="Calibri" w:hAnsi="Calibri" w:eastAsia="宋体" w:cs="Times New Roman"/>
              </w:rPr>
            </w:pPr>
            <w:r>
              <w:rPr>
                <w:rFonts w:ascii="Calibri" w:hAnsi="Calibri" w:eastAsia="宋体" w:cs="Times New Roman"/>
              </w:rPr>
              <w:t>卷面成绩</w:t>
            </w:r>
          </w:p>
        </w:tc>
        <w:tc>
          <w:tcPr>
            <w:tcW w:w="707" w:type="dxa"/>
            <w:vAlign w:val="center"/>
          </w:tcPr>
          <w:p w14:paraId="1AA9351A">
            <w:pPr>
              <w:jc w:val="center"/>
              <w:rPr>
                <w:rFonts w:ascii="Calibri" w:hAnsi="Calibri" w:eastAsia="宋体" w:cs="Times New Roman"/>
              </w:rPr>
            </w:pPr>
            <w:r>
              <w:rPr>
                <w:rFonts w:hint="eastAsia" w:ascii="Calibri" w:hAnsi="Calibri" w:eastAsia="宋体" w:cs="Times New Roman"/>
              </w:rPr>
              <w:t>5</w:t>
            </w:r>
            <w:r>
              <w:rPr>
                <w:rFonts w:ascii="Calibri" w:hAnsi="Calibri" w:eastAsia="宋体" w:cs="Times New Roman"/>
              </w:rPr>
              <w:t>0%</w:t>
            </w:r>
          </w:p>
        </w:tc>
        <w:tc>
          <w:tcPr>
            <w:tcW w:w="2555" w:type="dxa"/>
            <w:vAlign w:val="center"/>
          </w:tcPr>
          <w:p w14:paraId="6866EBAD">
            <w:pPr>
              <w:rPr>
                <w:rFonts w:ascii="Calibri" w:hAnsi="Calibri" w:eastAsia="宋体" w:cs="Times New Roman"/>
                <w:szCs w:val="21"/>
              </w:rPr>
            </w:pPr>
            <w:r>
              <w:rPr>
                <w:rFonts w:ascii="Calibri" w:hAnsi="Calibri" w:eastAsia="宋体" w:cs="Times New Roman"/>
                <w:szCs w:val="21"/>
              </w:rPr>
              <w:t>开卷题型包括填空题、计算题、解答题，以卷面成绩的70%计入课程总成绩。</w:t>
            </w:r>
          </w:p>
        </w:tc>
        <w:tc>
          <w:tcPr>
            <w:tcW w:w="1067" w:type="dxa"/>
          </w:tcPr>
          <w:p w14:paraId="4F6C45C1">
            <w:pPr>
              <w:jc w:val="center"/>
              <w:rPr>
                <w:rFonts w:ascii="Calibri" w:hAnsi="Calibri" w:eastAsia="宋体" w:cs="Times New Roman"/>
                <w:szCs w:val="21"/>
              </w:rPr>
            </w:pPr>
            <w:r>
              <w:rPr>
                <w:rFonts w:ascii="Calibri" w:hAnsi="Calibri" w:eastAsia="宋体" w:cs="Times New Roman"/>
              </w:rPr>
              <w:t>课程目标</w:t>
            </w:r>
            <w:r>
              <w:rPr>
                <w:rFonts w:hint="eastAsia" w:ascii="Calibri" w:hAnsi="Calibri" w:eastAsia="宋体" w:cs="Times New Roman"/>
              </w:rPr>
              <w:t>1、2</w:t>
            </w:r>
          </w:p>
        </w:tc>
        <w:tc>
          <w:tcPr>
            <w:tcW w:w="1016" w:type="dxa"/>
            <w:vAlign w:val="center"/>
          </w:tcPr>
          <w:p w14:paraId="07BCEB43">
            <w:pPr>
              <w:jc w:val="center"/>
              <w:rPr>
                <w:rFonts w:ascii="Calibri" w:hAnsi="Calibri" w:eastAsia="宋体" w:cs="Times New Roman"/>
                <w:szCs w:val="21"/>
              </w:rPr>
            </w:pPr>
            <w:r>
              <w:rPr>
                <w:rFonts w:ascii="Calibri" w:hAnsi="Calibri" w:eastAsia="宋体" w:cs="Times New Roman"/>
              </w:rPr>
              <w:t>函数、极限、连续函数、导数与微分等</w:t>
            </w:r>
          </w:p>
        </w:tc>
        <w:tc>
          <w:tcPr>
            <w:tcW w:w="1384" w:type="dxa"/>
            <w:vAlign w:val="center"/>
          </w:tcPr>
          <w:p w14:paraId="759A1D43">
            <w:pPr>
              <w:jc w:val="center"/>
              <w:rPr>
                <w:rFonts w:ascii="Times New Roman" w:hAnsi="Times New Roman" w:eastAsia="楷体" w:cs="Times New Roman"/>
                <w:szCs w:val="21"/>
              </w:rPr>
            </w:pPr>
            <w:r>
              <w:rPr>
                <w:rFonts w:ascii="Times New Roman" w:hAnsi="Times New Roman" w:eastAsia="楷体" w:cs="Times New Roman"/>
                <w:szCs w:val="21"/>
              </w:rPr>
              <w:t>3-2</w:t>
            </w:r>
          </w:p>
          <w:p w14:paraId="34618ED3">
            <w:pPr>
              <w:rPr>
                <w:rFonts w:ascii="Calibri" w:hAnsi="Calibri" w:eastAsia="宋体" w:cs="Times New Roman"/>
                <w:szCs w:val="21"/>
              </w:rPr>
            </w:pPr>
          </w:p>
        </w:tc>
      </w:tr>
    </w:tbl>
    <w:p w14:paraId="28BFF4E7">
      <w:pPr>
        <w:spacing w:line="360" w:lineRule="auto"/>
        <w:rPr>
          <w:rFonts w:ascii="Calibri" w:hAnsi="Calibri" w:eastAsia="宋体" w:cs="Times New Roman"/>
          <w:sz w:val="24"/>
        </w:rPr>
      </w:pPr>
    </w:p>
    <w:p w14:paraId="6722F88A">
      <w:pPr>
        <w:spacing w:line="360" w:lineRule="auto"/>
        <w:ind w:firstLine="480" w:firstLineChars="200"/>
        <w:rPr>
          <w:rFonts w:ascii="Calibri" w:hAnsi="Calibri" w:eastAsia="宋体" w:cs="Times New Roman"/>
          <w:sz w:val="24"/>
        </w:rPr>
      </w:pPr>
      <w:r>
        <w:rPr>
          <w:rFonts w:ascii="Calibri" w:hAnsi="Calibri" w:eastAsia="宋体" w:cs="Times New Roman"/>
          <w:sz w:val="24"/>
        </w:rPr>
        <w:t>（</w:t>
      </w:r>
      <w:r>
        <w:rPr>
          <w:rFonts w:hint="eastAsia" w:ascii="Calibri" w:hAnsi="Calibri" w:eastAsia="宋体" w:cs="Times New Roman"/>
          <w:sz w:val="24"/>
        </w:rPr>
        <w:t>3</w:t>
      </w:r>
      <w:r>
        <w:rPr>
          <w:rFonts w:ascii="Calibri" w:hAnsi="Calibri" w:eastAsia="宋体" w:cs="Times New Roman"/>
          <w:sz w:val="24"/>
        </w:rPr>
        <w:t>）课程目标达成度计算方法</w:t>
      </w:r>
    </w:p>
    <w:p w14:paraId="43A5AFEF">
      <w:pPr>
        <w:spacing w:line="360" w:lineRule="auto"/>
        <w:ind w:firstLine="480" w:firstLineChars="200"/>
        <w:rPr>
          <w:rFonts w:ascii="Calibri" w:hAnsi="Calibri" w:eastAsia="宋体" w:cs="Times New Roman"/>
          <w:sz w:val="24"/>
        </w:rPr>
      </w:pPr>
      <w:r>
        <w:rPr>
          <w:rFonts w:ascii="Calibri" w:hAnsi="Calibri" w:eastAsia="宋体" w:cs="Times New Roman"/>
          <w:sz w:val="24"/>
        </w:rPr>
        <w:t>所有课程目标均需大于等于0.6，否则总评成绩不及格，需要补考或重修。每门课程目标总体达成度计算方法如下：</w:t>
      </w:r>
    </w:p>
    <w:p w14:paraId="465B2995">
      <w:pPr>
        <w:spacing w:line="360" w:lineRule="auto"/>
        <w:jc w:val="left"/>
        <w:rPr>
          <w:rFonts w:ascii="Calibri" w:hAnsi="Calibri" w:eastAsia="宋体" w:cs="Times New Roman"/>
          <w:b/>
          <w:sz w:val="24"/>
        </w:rPr>
      </w:pPr>
      <w:r>
        <w:rPr>
          <w:rFonts w:ascii="Calibri" w:hAnsi="Calibri" w:eastAsia="宋体" w:cs="Times New Roman"/>
          <w:position w:val="-26"/>
          <w:sz w:val="24"/>
        </w:rPr>
        <w:object>
          <v:shape id="_x0000_i1059" o:spt="75" type="#_x0000_t75" style="height:31.15pt;width:452.65pt;" o:ole="t" filled="f" o:preferrelative="t" stroked="f" coordsize="21600,21600">
            <v:path/>
            <v:fill on="f" focussize="0,0"/>
            <v:stroke on="f" joinstyle="miter"/>
            <v:imagedata r:id="rId5" o:title=""/>
            <o:lock v:ext="edit" aspectratio="t"/>
            <w10:wrap type="none"/>
            <w10:anchorlock/>
          </v:shape>
          <o:OLEObject Type="Embed" ProgID="Equation.3" ShapeID="_x0000_i1059" DrawAspect="Content" ObjectID="_1468075759" r:id="rId44">
            <o:LockedField>false</o:LockedField>
          </o:OLEObject>
        </w:object>
      </w:r>
      <w:r>
        <w:rPr>
          <w:rFonts w:hint="eastAsia" w:ascii="Calibri" w:hAnsi="Calibri" w:eastAsia="宋体" w:cs="Times New Roman"/>
          <w:position w:val="-26"/>
          <w:sz w:val="24"/>
        </w:rPr>
        <w:t xml:space="preserve">  </w:t>
      </w:r>
      <w:r>
        <w:rPr>
          <w:rFonts w:hint="eastAsia" w:ascii="Calibri" w:hAnsi="Calibri" w:eastAsia="宋体" w:cs="Times New Roman"/>
          <w:b/>
          <w:sz w:val="24"/>
        </w:rPr>
        <w:t>六</w:t>
      </w:r>
      <w:r>
        <w:rPr>
          <w:rFonts w:ascii="Calibri" w:hAnsi="Calibri" w:eastAsia="宋体" w:cs="Times New Roman"/>
          <w:b/>
          <w:sz w:val="24"/>
        </w:rPr>
        <w:t>、有关说明</w:t>
      </w:r>
    </w:p>
    <w:p w14:paraId="32571717">
      <w:pPr>
        <w:spacing w:line="360" w:lineRule="auto"/>
        <w:ind w:firstLine="482" w:firstLineChars="200"/>
        <w:jc w:val="left"/>
        <w:rPr>
          <w:rFonts w:ascii="Calibri" w:hAnsi="Calibri" w:eastAsia="宋体" w:cs="Times New Roman"/>
          <w:b/>
          <w:sz w:val="24"/>
        </w:rPr>
      </w:pPr>
      <w:r>
        <w:rPr>
          <w:rFonts w:ascii="Calibri" w:hAnsi="Calibri" w:eastAsia="宋体" w:cs="Times New Roman"/>
          <w:b/>
          <w:sz w:val="24"/>
        </w:rPr>
        <w:t>（一）持续改进</w:t>
      </w:r>
    </w:p>
    <w:p w14:paraId="521D9EA7">
      <w:pPr>
        <w:spacing w:line="360" w:lineRule="auto"/>
        <w:ind w:firstLine="480" w:firstLineChars="200"/>
        <w:rPr>
          <w:rFonts w:ascii="Calibri" w:hAnsi="Calibri" w:eastAsia="宋体" w:cs="Times New Roman"/>
          <w:sz w:val="24"/>
        </w:rPr>
      </w:pPr>
      <w:r>
        <w:rPr>
          <w:rFonts w:ascii="Calibri" w:hAnsi="Calibri" w:eastAsia="宋体" w:cs="Times New Roman"/>
          <w:sz w:val="24"/>
        </w:rPr>
        <w:t>1. 提倡改革教学方法，强调应用现代化教学手段，如课件、互联网教学和网络答疑等。</w:t>
      </w:r>
    </w:p>
    <w:p w14:paraId="555C4994">
      <w:pPr>
        <w:spacing w:line="360" w:lineRule="auto"/>
        <w:ind w:firstLine="480" w:firstLineChars="200"/>
        <w:rPr>
          <w:rFonts w:ascii="Calibri" w:hAnsi="Calibri" w:eastAsia="宋体" w:cs="Times New Roman"/>
          <w:sz w:val="24"/>
        </w:rPr>
      </w:pPr>
      <w:r>
        <w:rPr>
          <w:rFonts w:ascii="Calibri" w:hAnsi="Calibri" w:eastAsia="宋体" w:cs="Times New Roman"/>
          <w:sz w:val="24"/>
        </w:rPr>
        <w:t>2.合理安排教学课时，加强课堂提问、课堂小测验等旨在督促学生自主学习的教学环节；引导学生做好课前预习、课后整理笔记并及时完成作业的复习工作；保证学生完成一定数量的作业和习题。</w:t>
      </w:r>
    </w:p>
    <w:p w14:paraId="507F9598">
      <w:pPr>
        <w:spacing w:line="360" w:lineRule="auto"/>
        <w:ind w:firstLine="480" w:firstLineChars="200"/>
        <w:rPr>
          <w:rFonts w:ascii="Calibri" w:hAnsi="Calibri" w:eastAsia="宋体" w:cs="Times New Roman"/>
          <w:sz w:val="24"/>
        </w:rPr>
      </w:pPr>
      <w:r>
        <w:rPr>
          <w:rFonts w:ascii="Calibri" w:hAnsi="Calibri" w:eastAsia="宋体" w:cs="Times New Roman"/>
          <w:sz w:val="24"/>
        </w:rPr>
        <w:t>3．教学用的例题和习题，应适当结合实际。</w:t>
      </w:r>
    </w:p>
    <w:p w14:paraId="499AD876">
      <w:pPr>
        <w:spacing w:line="360" w:lineRule="auto"/>
        <w:ind w:firstLine="482" w:firstLineChars="200"/>
        <w:rPr>
          <w:rFonts w:ascii="Calibri" w:hAnsi="Calibri" w:eastAsia="宋体" w:cs="Times New Roman"/>
          <w:b/>
          <w:sz w:val="24"/>
        </w:rPr>
      </w:pPr>
      <w:r>
        <w:rPr>
          <w:rFonts w:ascii="Calibri" w:hAnsi="Calibri" w:eastAsia="宋体" w:cs="Times New Roman"/>
          <w:b/>
          <w:sz w:val="24"/>
        </w:rPr>
        <w:t>（二）参考书目及学习资料</w:t>
      </w:r>
    </w:p>
    <w:p w14:paraId="546F0474">
      <w:pPr>
        <w:spacing w:line="360" w:lineRule="auto"/>
        <w:ind w:firstLine="480" w:firstLineChars="200"/>
        <w:rPr>
          <w:rFonts w:ascii="Calibri" w:hAnsi="Calibri" w:eastAsia="宋体" w:cs="Times New Roman"/>
          <w:sz w:val="24"/>
        </w:rPr>
      </w:pPr>
      <w:r>
        <w:rPr>
          <w:rFonts w:ascii="Calibri" w:hAnsi="Calibri" w:eastAsia="宋体" w:cs="Times New Roman"/>
          <w:sz w:val="24"/>
        </w:rPr>
        <w:t>1．教材</w:t>
      </w:r>
    </w:p>
    <w:p w14:paraId="420AAAF6">
      <w:pPr>
        <w:spacing w:line="360" w:lineRule="auto"/>
        <w:ind w:firstLine="480" w:firstLineChars="200"/>
        <w:rPr>
          <w:rFonts w:ascii="Calibri" w:hAnsi="Calibri" w:eastAsia="宋体" w:cs="Times New Roman"/>
          <w:sz w:val="24"/>
        </w:rPr>
      </w:pPr>
      <w:r>
        <w:rPr>
          <w:rFonts w:ascii="Calibri" w:hAnsi="Calibri" w:eastAsia="宋体" w:cs="Times New Roman"/>
          <w:kern w:val="0"/>
          <w:sz w:val="24"/>
        </w:rPr>
        <w:t>刘玉琏</w:t>
      </w:r>
      <w:r>
        <w:rPr>
          <w:rFonts w:ascii="Calibri" w:hAnsi="Calibri" w:eastAsia="宋体" w:cs="Times New Roman"/>
          <w:sz w:val="24"/>
        </w:rPr>
        <w:t>.</w:t>
      </w:r>
      <w:r>
        <w:rPr>
          <w:rFonts w:hint="eastAsia" w:ascii="Calibri" w:hAnsi="Calibri" w:eastAsia="宋体" w:cs="Times New Roman"/>
          <w:sz w:val="24"/>
        </w:rPr>
        <w:t xml:space="preserve"> </w:t>
      </w:r>
      <w:r>
        <w:rPr>
          <w:rFonts w:ascii="Calibri" w:hAnsi="Calibri" w:eastAsia="宋体" w:cs="Times New Roman"/>
          <w:kern w:val="0"/>
          <w:sz w:val="24"/>
        </w:rPr>
        <w:t>数学分析讲义</w:t>
      </w:r>
      <w:r>
        <w:rPr>
          <w:rFonts w:ascii="Calibri" w:hAnsi="Calibri" w:eastAsia="宋体" w:cs="Times New Roman"/>
          <w:sz w:val="24"/>
        </w:rPr>
        <w:t>.</w:t>
      </w:r>
      <w:r>
        <w:rPr>
          <w:rFonts w:hint="eastAsia" w:ascii="Calibri" w:hAnsi="Calibri" w:eastAsia="宋体" w:cs="Times New Roman"/>
          <w:sz w:val="24"/>
        </w:rPr>
        <w:t xml:space="preserve"> </w:t>
      </w:r>
      <w:r>
        <w:rPr>
          <w:rFonts w:ascii="Calibri" w:hAnsi="Calibri" w:eastAsia="宋体" w:cs="Times New Roman"/>
          <w:sz w:val="24"/>
        </w:rPr>
        <w:t>北京：</w:t>
      </w:r>
      <w:r>
        <w:rPr>
          <w:rFonts w:ascii="Calibri" w:hAnsi="Calibri" w:eastAsia="宋体" w:cs="Times New Roman"/>
          <w:kern w:val="0"/>
          <w:sz w:val="24"/>
        </w:rPr>
        <w:t>高等教育出版社</w:t>
      </w:r>
      <w:r>
        <w:rPr>
          <w:rFonts w:ascii="Calibri" w:hAnsi="Calibri" w:eastAsia="宋体" w:cs="Times New Roman"/>
          <w:sz w:val="24"/>
        </w:rPr>
        <w:t>.</w:t>
      </w:r>
      <w:r>
        <w:rPr>
          <w:rFonts w:hint="eastAsia" w:ascii="Calibri" w:hAnsi="Calibri" w:eastAsia="宋体" w:cs="Times New Roman"/>
          <w:sz w:val="24"/>
        </w:rPr>
        <w:t xml:space="preserve"> </w:t>
      </w:r>
      <w:r>
        <w:rPr>
          <w:rFonts w:ascii="Calibri" w:hAnsi="Calibri" w:eastAsia="宋体" w:cs="Times New Roman"/>
          <w:kern w:val="0"/>
          <w:sz w:val="24"/>
        </w:rPr>
        <w:t>2008</w:t>
      </w:r>
      <w:r>
        <w:rPr>
          <w:rFonts w:ascii="Calibri" w:hAnsi="Calibri" w:eastAsia="宋体" w:cs="Times New Roman"/>
          <w:sz w:val="24"/>
        </w:rPr>
        <w:t>.</w:t>
      </w:r>
    </w:p>
    <w:p w14:paraId="2E4D6A86">
      <w:pPr>
        <w:spacing w:line="360" w:lineRule="auto"/>
        <w:ind w:firstLine="480" w:firstLineChars="200"/>
        <w:rPr>
          <w:rFonts w:ascii="Calibri" w:hAnsi="Calibri" w:eastAsia="宋体" w:cs="Times New Roman"/>
          <w:sz w:val="24"/>
        </w:rPr>
      </w:pPr>
      <w:r>
        <w:rPr>
          <w:rFonts w:ascii="Calibri" w:hAnsi="Calibri" w:eastAsia="宋体" w:cs="Times New Roman"/>
          <w:sz w:val="24"/>
        </w:rPr>
        <w:t>2．教学参考书</w:t>
      </w:r>
    </w:p>
    <w:p w14:paraId="6AFC5145">
      <w:pPr>
        <w:widowControl/>
        <w:spacing w:line="360" w:lineRule="auto"/>
        <w:ind w:firstLine="480" w:firstLineChars="200"/>
        <w:rPr>
          <w:rFonts w:ascii="Calibri" w:hAnsi="Calibri" w:eastAsia="宋体" w:cs="Times New Roman"/>
          <w:kern w:val="0"/>
          <w:sz w:val="24"/>
          <w:szCs w:val="21"/>
        </w:rPr>
      </w:pPr>
      <w:r>
        <w:rPr>
          <w:rFonts w:ascii="Calibri" w:hAnsi="Calibri" w:eastAsia="宋体" w:cs="Times New Roman"/>
          <w:sz w:val="24"/>
        </w:rPr>
        <w:t>华东师范大学数学系. 数学分析. 北京：高等教育出版社</w:t>
      </w:r>
      <w:r>
        <w:rPr>
          <w:rFonts w:hint="eastAsia" w:ascii="Calibri" w:hAnsi="Calibri" w:eastAsia="宋体" w:cs="Times New Roman"/>
          <w:sz w:val="24"/>
        </w:rPr>
        <w:t>.</w:t>
      </w:r>
      <w:r>
        <w:rPr>
          <w:rFonts w:ascii="Calibri" w:hAnsi="Calibri" w:eastAsia="宋体" w:cs="Times New Roman"/>
          <w:sz w:val="24"/>
        </w:rPr>
        <w:t>2010.</w:t>
      </w:r>
    </w:p>
    <w:p w14:paraId="6CC6C5EA">
      <w:pPr>
        <w:spacing w:line="312" w:lineRule="auto"/>
        <w:ind w:firstLine="480" w:firstLineChars="200"/>
        <w:rPr>
          <w:rFonts w:ascii="Calibri" w:hAnsi="Calibri" w:eastAsia="宋体" w:cs="Times New Roman"/>
          <w:sz w:val="24"/>
        </w:rPr>
      </w:pPr>
      <w:r>
        <w:rPr>
          <w:rFonts w:ascii="Calibri" w:hAnsi="Calibri" w:eastAsia="宋体" w:cs="Times New Roman"/>
          <w:sz w:val="24"/>
          <w:szCs w:val="21"/>
        </w:rPr>
        <w:t>同济大学数学系</w:t>
      </w:r>
      <w:r>
        <w:rPr>
          <w:rFonts w:ascii="Calibri" w:hAnsi="Calibri" w:eastAsia="宋体" w:cs="Times New Roman"/>
          <w:sz w:val="24"/>
        </w:rPr>
        <w:t xml:space="preserve">. </w:t>
      </w:r>
      <w:r>
        <w:rPr>
          <w:rFonts w:ascii="Calibri" w:hAnsi="Calibri" w:eastAsia="宋体" w:cs="Times New Roman"/>
          <w:sz w:val="24"/>
          <w:szCs w:val="21"/>
        </w:rPr>
        <w:t>高等数学</w:t>
      </w:r>
      <w:r>
        <w:rPr>
          <w:rFonts w:ascii="Calibri" w:hAnsi="Calibri" w:eastAsia="宋体" w:cs="Times New Roman"/>
          <w:sz w:val="24"/>
        </w:rPr>
        <w:t>.</w:t>
      </w:r>
      <w:r>
        <w:rPr>
          <w:rFonts w:ascii="Calibri" w:hAnsi="Calibri" w:eastAsia="宋体" w:cs="Times New Roman"/>
          <w:sz w:val="24"/>
          <w:szCs w:val="21"/>
        </w:rPr>
        <w:t xml:space="preserve"> 北京</w:t>
      </w:r>
      <w:r>
        <w:rPr>
          <w:rFonts w:ascii="Calibri" w:hAnsi="Calibri" w:eastAsia="宋体" w:cs="Times New Roman"/>
          <w:kern w:val="0"/>
          <w:sz w:val="24"/>
          <w:szCs w:val="21"/>
        </w:rPr>
        <w:t>：</w:t>
      </w:r>
      <w:r>
        <w:rPr>
          <w:rFonts w:ascii="Calibri" w:hAnsi="Calibri" w:eastAsia="宋体" w:cs="Times New Roman"/>
          <w:sz w:val="24"/>
          <w:szCs w:val="21"/>
        </w:rPr>
        <w:t>高等教育出版社</w:t>
      </w:r>
      <w:r>
        <w:rPr>
          <w:rFonts w:hint="eastAsia" w:ascii="Calibri" w:hAnsi="Calibri" w:eastAsia="宋体" w:cs="Times New Roman"/>
          <w:sz w:val="24"/>
          <w:szCs w:val="21"/>
        </w:rPr>
        <w:t>.</w:t>
      </w:r>
      <w:r>
        <w:rPr>
          <w:rFonts w:ascii="Calibri" w:hAnsi="Calibri" w:eastAsia="宋体" w:cs="Times New Roman"/>
          <w:sz w:val="24"/>
          <w:szCs w:val="21"/>
        </w:rPr>
        <w:t>2014.</w:t>
      </w:r>
    </w:p>
    <w:p w14:paraId="20A399F8">
      <w:pPr>
        <w:spacing w:line="312" w:lineRule="auto"/>
        <w:rPr>
          <w:rFonts w:ascii="Calibri" w:hAnsi="Calibri" w:eastAsia="宋体" w:cs="Times New Roman"/>
          <w:sz w:val="24"/>
        </w:rPr>
      </w:pPr>
    </w:p>
    <w:p w14:paraId="3F569197">
      <w:pPr>
        <w:spacing w:line="312" w:lineRule="auto"/>
        <w:rPr>
          <w:rFonts w:ascii="Calibri" w:hAnsi="Calibri" w:eastAsia="宋体" w:cs="Times New Roman"/>
          <w:sz w:val="24"/>
        </w:rPr>
      </w:pPr>
    </w:p>
    <w:p w14:paraId="771C272B">
      <w:pPr>
        <w:autoSpaceDE w:val="0"/>
        <w:autoSpaceDN w:val="0"/>
        <w:adjustRightInd w:val="0"/>
        <w:spacing w:line="360" w:lineRule="auto"/>
        <w:ind w:firstLine="1200" w:firstLineChars="500"/>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执笔人：</w:t>
      </w:r>
      <w:r>
        <w:rPr>
          <w:rFonts w:hint="eastAsia" w:ascii="宋体" w:hAnsi="宋体" w:eastAsia="宋体" w:cs="Times New Roman"/>
          <w:kern w:val="0"/>
          <w:sz w:val="24"/>
          <w:szCs w:val="21"/>
        </w:rPr>
        <w:t>刘峻辰</w:t>
      </w:r>
    </w:p>
    <w:p w14:paraId="0E178A3F">
      <w:pPr>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审定人：</w:t>
      </w:r>
      <w:r>
        <w:rPr>
          <w:rFonts w:hint="eastAsia" w:ascii="宋体" w:hAnsi="宋体" w:eastAsia="宋体" w:cs="Times New Roman"/>
          <w:kern w:val="0"/>
          <w:sz w:val="24"/>
          <w:szCs w:val="21"/>
        </w:rPr>
        <w:t xml:space="preserve">王 </w:t>
      </w:r>
      <w:r>
        <w:rPr>
          <w:rFonts w:ascii="宋体" w:hAnsi="宋体" w:eastAsia="宋体" w:cs="Times New Roman"/>
          <w:kern w:val="0"/>
          <w:sz w:val="24"/>
          <w:szCs w:val="21"/>
        </w:rPr>
        <w:t xml:space="preserve"> </w:t>
      </w:r>
      <w:r>
        <w:rPr>
          <w:rFonts w:hint="eastAsia" w:ascii="宋体" w:hAnsi="宋体" w:eastAsia="宋体" w:cs="Times New Roman"/>
          <w:kern w:val="0"/>
          <w:sz w:val="24"/>
          <w:szCs w:val="21"/>
        </w:rPr>
        <w:t>健</w:t>
      </w:r>
      <w:r>
        <w:rPr>
          <w:rFonts w:ascii="宋体" w:hAnsi="宋体" w:eastAsia="宋体" w:cs="Times New Roman"/>
          <w:kern w:val="0"/>
          <w:sz w:val="24"/>
          <w:szCs w:val="21"/>
        </w:rPr>
        <w:t xml:space="preserve"> </w:t>
      </w:r>
    </w:p>
    <w:p w14:paraId="381F3C79">
      <w:pPr>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审批人：</w:t>
      </w:r>
      <w:r>
        <w:rPr>
          <w:rFonts w:hint="eastAsia" w:ascii="宋体" w:hAnsi="宋体" w:eastAsia="宋体" w:cs="Times New Roman"/>
          <w:kern w:val="0"/>
          <w:sz w:val="24"/>
          <w:szCs w:val="21"/>
        </w:rPr>
        <w:t>张志欣</w:t>
      </w:r>
    </w:p>
    <w:p w14:paraId="215FC088">
      <w:pPr>
        <w:autoSpaceDE w:val="0"/>
        <w:autoSpaceDN w:val="0"/>
        <w:adjustRightInd w:val="0"/>
        <w:spacing w:line="360" w:lineRule="auto"/>
        <w:jc w:val="right"/>
        <w:rPr>
          <w:rFonts w:hint="eastAsia" w:ascii="宋体" w:hAnsi="宋体" w:eastAsia="宋体"/>
        </w:rPr>
      </w:pPr>
      <w:r>
        <w:rPr>
          <w:rFonts w:hint="eastAsia" w:ascii="宋体" w:hAnsi="宋体" w:eastAsia="宋体" w:cs="Times New Roman"/>
          <w:kern w:val="0"/>
          <w:sz w:val="24"/>
          <w:szCs w:val="21"/>
        </w:rPr>
        <w:t xml:space="preserve">  批准时间：2024年8月30日</w:t>
      </w:r>
    </w:p>
    <w:p w14:paraId="7169DB53">
      <w:r>
        <w:rPr>
          <w:rFonts w:hint="eastAsia"/>
        </w:rPr>
        <w:br w:type="page"/>
      </w:r>
    </w:p>
    <w:p w14:paraId="050FE8A8">
      <w:pPr>
        <w:pStyle w:val="2"/>
        <w:tabs>
          <w:tab w:val="left" w:pos="720"/>
          <w:tab w:val="left" w:pos="2700"/>
        </w:tabs>
      </w:pPr>
      <w:bookmarkStart w:id="199" w:name="_Toc19037"/>
      <w:r>
        <w:rPr>
          <w:rFonts w:hint="eastAsia"/>
        </w:rPr>
        <w:t>《空间解析几何》课程教学大纲</w:t>
      </w:r>
      <w:bookmarkEnd w:id="187"/>
      <w:bookmarkEnd w:id="199"/>
    </w:p>
    <w:p w14:paraId="4E5D1EEA">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（Space Analytic Geometry）</w:t>
      </w:r>
    </w:p>
    <w:p w14:paraId="6577E573">
      <w:pPr>
        <w:spacing w:line="360" w:lineRule="auto"/>
        <w:jc w:val="center"/>
        <w:rPr>
          <w:rFonts w:ascii="Times New Roman" w:hAnsi="Times New Roman" w:eastAsia="宋体" w:cs="Times New Roman"/>
          <w:bCs/>
          <w:sz w:val="30"/>
          <w:szCs w:val="30"/>
        </w:rPr>
      </w:pPr>
    </w:p>
    <w:p w14:paraId="43AA62F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课程名称：空间解析几何</w:t>
      </w:r>
    </w:p>
    <w:p w14:paraId="7AA27C2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课程代码：0821010</w:t>
      </w:r>
    </w:p>
    <w:p w14:paraId="4682FF9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2A94796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1D02690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先修课程：初等数学</w:t>
      </w:r>
    </w:p>
    <w:p w14:paraId="008491C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适用专业：小学教育（理）专业</w:t>
      </w:r>
    </w:p>
    <w:p w14:paraId="78DA5842">
      <w:pPr>
        <w:spacing w:line="360" w:lineRule="auto"/>
        <w:jc w:val="left"/>
        <w:rPr>
          <w:rFonts w:ascii="Times New Roman" w:hAnsi="Times New Roman" w:eastAsia="宋体" w:cs="Times New Roman"/>
          <w:b/>
          <w:sz w:val="24"/>
        </w:rPr>
      </w:pPr>
    </w:p>
    <w:p w14:paraId="6B78E6AB">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18361BE5">
      <w:pPr>
        <w:spacing w:line="360" w:lineRule="auto"/>
        <w:ind w:firstLine="420" w:firstLineChars="200"/>
        <w:jc w:val="left"/>
        <w:rPr>
          <w:rFonts w:hint="eastAsia" w:ascii="宋体" w:hAnsi="宋体" w:eastAsia="宋体" w:cs="Times New Roman"/>
          <w:bCs/>
          <w:color w:val="000000"/>
          <w:szCs w:val="21"/>
        </w:rPr>
      </w:pPr>
      <w:r>
        <w:rPr>
          <w:rFonts w:ascii="宋体" w:hAnsi="宋体" w:eastAsia="宋体" w:cs="Times New Roman"/>
          <w:bCs/>
          <w:color w:val="000000"/>
          <w:szCs w:val="21"/>
        </w:rPr>
        <w:t>本课程是小学教育（理）专业的一门重要基础课。通过本课程的学习，使学生系统地获得空间解析几何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6ED8D7B6">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0FD851D0">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8C7533A">
      <w:pPr>
        <w:spacing w:line="360" w:lineRule="auto"/>
        <w:ind w:firstLine="482"/>
        <w:jc w:val="left"/>
        <w:rPr>
          <w:rFonts w:hint="eastAsia" w:ascii="宋体" w:hAnsi="宋体" w:eastAsia="宋体" w:cs="Times New Roman"/>
          <w:b/>
          <w:bCs/>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w:t>
      </w:r>
      <w:r>
        <w:rPr>
          <w:rFonts w:ascii="宋体" w:hAnsi="宋体" w:eastAsia="宋体" w:cs="Times New Roman"/>
          <w:bCs/>
          <w:color w:val="000000"/>
          <w:szCs w:val="21"/>
        </w:rPr>
        <w:t>空间解析几何</w:t>
      </w:r>
      <w:r>
        <w:rPr>
          <w:rFonts w:hint="eastAsia" w:ascii="Times New Roman" w:hAnsi="Times New Roman" w:eastAsia="宋体" w:cs="Times New Roman"/>
          <w:szCs w:val="21"/>
        </w:rPr>
        <w:t>基础理论知识，</w:t>
      </w:r>
      <w:r>
        <w:rPr>
          <w:rFonts w:hint="eastAsia" w:ascii="宋体" w:hAnsi="宋体" w:eastAsia="宋体" w:cs="Times New Roman"/>
          <w:szCs w:val="21"/>
        </w:rPr>
        <w:t>掌握向量、平面方程、空间直线方程、平面与直线关系、特殊曲面方程等基本概念与性质，掌握课程要求的计算方法，</w:t>
      </w:r>
      <w:r>
        <w:rPr>
          <w:rFonts w:hint="eastAsia" w:ascii="Times New Roman" w:hAnsi="Times New Roman" w:eastAsia="宋体" w:cs="Times New Roman"/>
          <w:szCs w:val="21"/>
        </w:rPr>
        <w:t>初步具备</w:t>
      </w:r>
      <w:r>
        <w:rPr>
          <w:rFonts w:hint="eastAsia" w:ascii="宋体" w:hAnsi="宋体" w:eastAsia="宋体" w:cs="Times New Roman"/>
          <w:szCs w:val="21"/>
        </w:rPr>
        <w:t>一定</w:t>
      </w:r>
      <w:r>
        <w:rPr>
          <w:rFonts w:ascii="宋体" w:hAnsi="宋体" w:eastAsia="宋体" w:cs="Times New Roman"/>
          <w:szCs w:val="21"/>
        </w:rPr>
        <w:t>的抽象概括、逻辑推理</w:t>
      </w:r>
      <w:r>
        <w:rPr>
          <w:rFonts w:hint="eastAsia" w:ascii="宋体" w:hAnsi="宋体" w:eastAsia="宋体" w:cs="Times New Roman"/>
          <w:szCs w:val="21"/>
        </w:rPr>
        <w:t>等</w:t>
      </w:r>
      <w:r>
        <w:rPr>
          <w:rFonts w:ascii="宋体" w:hAnsi="宋体" w:eastAsia="宋体" w:cs="Times New Roman"/>
          <w:szCs w:val="21"/>
        </w:rPr>
        <w:t>能力</w:t>
      </w:r>
    </w:p>
    <w:p w14:paraId="11D0E0E4">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ascii="宋体" w:hAnsi="宋体" w:eastAsia="宋体" w:cs="Times New Roman"/>
          <w:szCs w:val="21"/>
        </w:rPr>
        <w:t>初步掌握</w:t>
      </w:r>
      <w:r>
        <w:rPr>
          <w:rFonts w:hint="eastAsia" w:ascii="宋体" w:hAnsi="宋体" w:eastAsia="宋体" w:cs="Times New Roman"/>
          <w:szCs w:val="21"/>
        </w:rPr>
        <w:t>空间解析几何的基本知识、必要的基础理论和常用的运算方法，</w:t>
      </w:r>
      <w:r>
        <w:rPr>
          <w:rFonts w:ascii="宋体" w:hAnsi="宋体" w:eastAsia="宋体" w:cs="Times New Roman"/>
          <w:szCs w:val="21"/>
        </w:rPr>
        <w:t>具备</w:t>
      </w:r>
      <w:r>
        <w:rPr>
          <w:rFonts w:hint="eastAsia" w:ascii="宋体" w:hAnsi="宋体" w:eastAsia="宋体" w:cs="Times New Roman"/>
          <w:szCs w:val="21"/>
        </w:rPr>
        <w:t>一定的运算能力、抽象思维能力、逻辑推理能力、几何直观和空间想象能力，并能</w:t>
      </w:r>
      <w:r>
        <w:rPr>
          <w:rFonts w:ascii="宋体" w:hAnsi="宋体" w:eastAsia="宋体" w:cs="Times New Roman"/>
          <w:szCs w:val="21"/>
        </w:rPr>
        <w:t>运用</w:t>
      </w:r>
      <w:r>
        <w:rPr>
          <w:rFonts w:hint="eastAsia" w:ascii="宋体" w:hAnsi="宋体" w:eastAsia="宋体" w:cs="Times New Roman"/>
          <w:szCs w:val="21"/>
        </w:rPr>
        <w:t>数学知识、理论、方法</w:t>
      </w:r>
      <w:r>
        <w:rPr>
          <w:rFonts w:ascii="宋体" w:hAnsi="宋体" w:eastAsia="宋体" w:cs="Times New Roman"/>
          <w:szCs w:val="21"/>
        </w:rPr>
        <w:t>解决</w:t>
      </w:r>
      <w:r>
        <w:rPr>
          <w:rFonts w:hint="eastAsia" w:ascii="宋体" w:hAnsi="宋体" w:eastAsia="宋体" w:cs="Times New Roman"/>
          <w:szCs w:val="21"/>
        </w:rPr>
        <w:t>相关的</w:t>
      </w:r>
      <w:r>
        <w:rPr>
          <w:rFonts w:ascii="宋体" w:hAnsi="宋体" w:eastAsia="宋体" w:cs="Times New Roman"/>
          <w:szCs w:val="21"/>
        </w:rPr>
        <w:t>实际</w:t>
      </w:r>
      <w:r>
        <w:rPr>
          <w:rFonts w:hint="eastAsia" w:ascii="宋体" w:hAnsi="宋体" w:eastAsia="宋体" w:cs="Times New Roman"/>
          <w:szCs w:val="21"/>
        </w:rPr>
        <w:t>应用</w:t>
      </w:r>
      <w:r>
        <w:rPr>
          <w:rFonts w:ascii="宋体" w:hAnsi="宋体" w:eastAsia="宋体" w:cs="Times New Roman"/>
          <w:szCs w:val="21"/>
        </w:rPr>
        <w:t>问题。</w:t>
      </w:r>
    </w:p>
    <w:p w14:paraId="15505862">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34D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65B5B0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9BF001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F7269A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6C6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86DDEB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毕业要求1向量代数</w:t>
            </w:r>
          </w:p>
        </w:tc>
        <w:tc>
          <w:tcPr>
            <w:tcW w:w="5688" w:type="dxa"/>
            <w:vAlign w:val="center"/>
          </w:tcPr>
          <w:p w14:paraId="4A06937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w:t>
            </w:r>
            <w:r>
              <w:rPr>
                <w:rFonts w:hint="eastAsia" w:ascii="Times New Roman" w:hAnsi="Times New Roman" w:eastAsia="宋体" w:cs="Times New Roman"/>
                <w:szCs w:val="21"/>
              </w:rPr>
              <w:t>使学生</w:t>
            </w:r>
            <w:bookmarkStart w:id="200" w:name="_Hlk176160855"/>
            <w:r>
              <w:rPr>
                <w:rFonts w:hint="eastAsia" w:ascii="Times New Roman" w:hAnsi="Times New Roman" w:eastAsia="宋体" w:cs="Times New Roman"/>
                <w:szCs w:val="21"/>
              </w:rPr>
              <w:t>能够理解向量的概念并掌握向量的加、减法和数乘，能够掌握向量共线与向量共面，能够掌握向量的内积、外积、混合积以及向量运算的坐标表示。</w:t>
            </w:r>
            <w:bookmarkEnd w:id="200"/>
          </w:p>
        </w:tc>
        <w:tc>
          <w:tcPr>
            <w:tcW w:w="1191" w:type="dxa"/>
            <w:vAlign w:val="center"/>
          </w:tcPr>
          <w:p w14:paraId="7954D6E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w:t>
            </w:r>
          </w:p>
        </w:tc>
      </w:tr>
      <w:tr w14:paraId="76DA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68FDD9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毕业要求2平面与直线</w:t>
            </w:r>
          </w:p>
        </w:tc>
        <w:tc>
          <w:tcPr>
            <w:tcW w:w="5688" w:type="dxa"/>
            <w:vAlign w:val="center"/>
          </w:tcPr>
          <w:p w14:paraId="183423E0">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w:t>
            </w:r>
            <w:r>
              <w:rPr>
                <w:rFonts w:hint="eastAsia" w:ascii="宋体" w:hAnsi="宋体" w:eastAsia="宋体" w:cs="Times New Roman"/>
                <w:color w:val="000000"/>
                <w:spacing w:val="2"/>
                <w:kern w:val="0"/>
                <w:szCs w:val="21"/>
              </w:rPr>
              <w:t>使学生能够理解平面点法式、点位式、截距式、一般式方程，能够掌握直线的参数式、标准式、一般式方程，能够掌握直线与平面的位置关系，能够掌握点到平面、直线的距离以及异面直线间的距离，能够理解平面束的概念与方程。</w:t>
            </w:r>
          </w:p>
        </w:tc>
        <w:tc>
          <w:tcPr>
            <w:tcW w:w="1191" w:type="dxa"/>
            <w:vAlign w:val="center"/>
          </w:tcPr>
          <w:p w14:paraId="2351093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w:t>
            </w:r>
          </w:p>
        </w:tc>
      </w:tr>
      <w:tr w14:paraId="55D6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0F5DD9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毕业要求3特殊曲面</w:t>
            </w:r>
          </w:p>
        </w:tc>
        <w:tc>
          <w:tcPr>
            <w:tcW w:w="5688" w:type="dxa"/>
            <w:vAlign w:val="center"/>
          </w:tcPr>
          <w:p w14:paraId="63423B06">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w:t>
            </w:r>
            <w:r>
              <w:rPr>
                <w:rFonts w:hint="eastAsia" w:ascii="宋体" w:hAnsi="宋体" w:eastAsia="宋体" w:cs="Times New Roman"/>
                <w:color w:val="000000"/>
                <w:spacing w:val="2"/>
                <w:kern w:val="0"/>
                <w:szCs w:val="21"/>
              </w:rPr>
              <w:t>使学生能够理解球面、柱面、锥面、旋转曲面方程，能够理解空间曲线的参数方程和一般方程。</w:t>
            </w:r>
          </w:p>
        </w:tc>
        <w:tc>
          <w:tcPr>
            <w:tcW w:w="1191" w:type="dxa"/>
            <w:vAlign w:val="center"/>
          </w:tcPr>
          <w:p w14:paraId="7EDF413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w:t>
            </w:r>
          </w:p>
        </w:tc>
      </w:tr>
    </w:tbl>
    <w:p w14:paraId="1358AC4F">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4BD70FD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14878D57">
      <w:pPr>
        <w:spacing w:line="360" w:lineRule="auto"/>
        <w:jc w:val="left"/>
        <w:rPr>
          <w:rFonts w:hint="eastAsia" w:ascii="宋体" w:hAnsi="宋体" w:eastAsia="宋体" w:cs="Times New Roman"/>
          <w:b/>
          <w:color w:val="000000"/>
          <w:sz w:val="28"/>
          <w:szCs w:val="28"/>
        </w:rPr>
      </w:pPr>
    </w:p>
    <w:p w14:paraId="2F45FB1A">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7F7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ABEECA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7988FB0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17136F9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5FAD06A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BE4950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5B36D48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61846A2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FEA3B7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60A7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5E8340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1.向量代数</w:t>
            </w:r>
          </w:p>
        </w:tc>
        <w:tc>
          <w:tcPr>
            <w:tcW w:w="1701" w:type="dxa"/>
            <w:vAlign w:val="center"/>
          </w:tcPr>
          <w:p w14:paraId="3820589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（1）向量及其线性运算</w:t>
            </w:r>
          </w:p>
          <w:p w14:paraId="4BF287B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（2）向量的内积</w:t>
            </w:r>
          </w:p>
          <w:p w14:paraId="324D7DE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（3）向量的外积（4）向量的混合积</w:t>
            </w:r>
          </w:p>
        </w:tc>
        <w:tc>
          <w:tcPr>
            <w:tcW w:w="1134" w:type="dxa"/>
            <w:vAlign w:val="center"/>
          </w:tcPr>
          <w:p w14:paraId="61E3DB8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7D690D33">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1.理解</w:t>
            </w:r>
            <w:r>
              <w:rPr>
                <w:rFonts w:hint="eastAsia" w:ascii="宋体" w:hAnsi="宋体" w:eastAsia="宋体" w:cs="Times New Roman"/>
                <w:color w:val="000000"/>
                <w:szCs w:val="21"/>
              </w:rPr>
              <w:t>向量</w:t>
            </w:r>
            <w:r>
              <w:rPr>
                <w:rFonts w:ascii="宋体" w:hAnsi="宋体" w:eastAsia="宋体" w:cs="Times New Roman"/>
                <w:color w:val="000000"/>
                <w:szCs w:val="21"/>
              </w:rPr>
              <w:t>的</w:t>
            </w:r>
            <w:r>
              <w:rPr>
                <w:rFonts w:hint="eastAsia" w:ascii="宋体" w:hAnsi="宋体" w:eastAsia="宋体" w:cs="Times New Roman"/>
                <w:color w:val="000000"/>
                <w:szCs w:val="21"/>
              </w:rPr>
              <w:t>概念和性质；</w:t>
            </w:r>
          </w:p>
          <w:p w14:paraId="422C4AD9">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2.了解</w:t>
            </w:r>
            <w:r>
              <w:rPr>
                <w:rFonts w:hint="eastAsia" w:ascii="宋体" w:hAnsi="宋体" w:eastAsia="宋体" w:cs="Times New Roman"/>
                <w:color w:val="000000"/>
                <w:szCs w:val="21"/>
              </w:rPr>
              <w:t>向量的线性运算以及内积、外积和混合积的坐标计算；</w:t>
            </w:r>
          </w:p>
          <w:p w14:paraId="38404145">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3.掌握学习和研究</w:t>
            </w:r>
            <w:r>
              <w:rPr>
                <w:rFonts w:hint="eastAsia" w:ascii="宋体" w:hAnsi="宋体" w:eastAsia="宋体" w:cs="Times New Roman"/>
                <w:color w:val="000000"/>
                <w:szCs w:val="21"/>
              </w:rPr>
              <w:t>空间解析几何</w:t>
            </w:r>
            <w:r>
              <w:rPr>
                <w:rFonts w:ascii="宋体" w:hAnsi="宋体" w:eastAsia="宋体" w:cs="Times New Roman"/>
                <w:color w:val="000000"/>
                <w:szCs w:val="21"/>
              </w:rPr>
              <w:t>的基本方法和指导思想</w:t>
            </w:r>
            <w:r>
              <w:rPr>
                <w:rFonts w:hint="eastAsia" w:ascii="宋体" w:hAnsi="宋体" w:eastAsia="宋体" w:cs="Times New Roman"/>
                <w:color w:val="000000"/>
                <w:szCs w:val="21"/>
              </w:rPr>
              <w:t>；</w:t>
            </w:r>
          </w:p>
          <w:p w14:paraId="1414D720">
            <w:pPr>
              <w:spacing w:line="269" w:lineRule="auto"/>
              <w:jc w:val="left"/>
              <w:rPr>
                <w:rFonts w:hint="eastAsia" w:ascii="宋体" w:hAnsi="宋体" w:eastAsia="宋体" w:cs="Times New Roman"/>
                <w:color w:val="000000"/>
                <w:szCs w:val="21"/>
              </w:rPr>
            </w:pPr>
          </w:p>
        </w:tc>
        <w:tc>
          <w:tcPr>
            <w:tcW w:w="1560" w:type="dxa"/>
            <w:vAlign w:val="center"/>
          </w:tcPr>
          <w:p w14:paraId="7E8D9F0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A1B609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7550A1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04703B7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10</w:t>
            </w:r>
          </w:p>
        </w:tc>
      </w:tr>
      <w:tr w14:paraId="001B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5A7F6E7">
            <w:pPr>
              <w:spacing w:line="264" w:lineRule="auto"/>
              <w:jc w:val="center"/>
              <w:rPr>
                <w:rFonts w:hint="eastAsia" w:ascii="宋体" w:hAnsi="宋体" w:eastAsia="宋体" w:cs="Times New Roman"/>
                <w:color w:val="000000"/>
                <w:szCs w:val="21"/>
              </w:rPr>
            </w:pPr>
          </w:p>
        </w:tc>
        <w:tc>
          <w:tcPr>
            <w:tcW w:w="8093" w:type="dxa"/>
            <w:gridSpan w:val="5"/>
            <w:vAlign w:val="center"/>
          </w:tcPr>
          <w:p w14:paraId="17B7BEFB">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培养学生的抽象概括、逻辑推理能力，提高学生的数学素养，为学生学习后续相关课程及终身学习奠定必要的数学基础。注重理论联系实际，尊重客观规律，树立社会主义核心价值观，增强专业素养，强调理论对实践的指导意义。</w:t>
            </w:r>
          </w:p>
          <w:p w14:paraId="7F266C76">
            <w:pPr>
              <w:spacing w:line="269" w:lineRule="auto"/>
              <w:jc w:val="left"/>
              <w:rPr>
                <w:rFonts w:hint="eastAsia" w:ascii="宋体" w:hAnsi="宋体" w:eastAsia="宋体" w:cs="Times New Roman"/>
                <w:color w:val="000000"/>
                <w:szCs w:val="21"/>
              </w:rPr>
            </w:pPr>
          </w:p>
        </w:tc>
      </w:tr>
      <w:tr w14:paraId="0E7A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0ABAD3">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2.平面与直线</w:t>
            </w:r>
          </w:p>
        </w:tc>
        <w:tc>
          <w:tcPr>
            <w:tcW w:w="1701" w:type="dxa"/>
            <w:vAlign w:val="center"/>
          </w:tcPr>
          <w:p w14:paraId="5EADFFC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（1）直角坐标系以及其中的向量计算</w:t>
            </w:r>
          </w:p>
          <w:p w14:paraId="543A565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（2）平面方程</w:t>
            </w:r>
          </w:p>
          <w:p w14:paraId="5D0E909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（3）空间直线方程</w:t>
            </w:r>
          </w:p>
          <w:p w14:paraId="12CE7E1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（4）平面与直线的有关问题</w:t>
            </w:r>
          </w:p>
          <w:p w14:paraId="16C76AB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（5）距离</w:t>
            </w:r>
          </w:p>
        </w:tc>
        <w:tc>
          <w:tcPr>
            <w:tcW w:w="1134" w:type="dxa"/>
            <w:vAlign w:val="center"/>
          </w:tcPr>
          <w:p w14:paraId="7B565AE0">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3AE9468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正确理解并掌握</w:t>
            </w:r>
            <w:r>
              <w:rPr>
                <w:rFonts w:hint="eastAsia" w:ascii="宋体" w:hAnsi="宋体" w:eastAsia="宋体" w:cs="Times New Roman"/>
                <w:color w:val="000000"/>
                <w:szCs w:val="21"/>
              </w:rPr>
              <w:t>平面方程的各种形式；</w:t>
            </w:r>
          </w:p>
          <w:p w14:paraId="2242718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正确理解并掌握</w:t>
            </w:r>
            <w:r>
              <w:rPr>
                <w:rFonts w:hint="eastAsia" w:ascii="宋体" w:hAnsi="宋体" w:eastAsia="宋体" w:cs="Times New Roman"/>
                <w:color w:val="000000"/>
                <w:szCs w:val="21"/>
              </w:rPr>
              <w:t>直线方程的各种形式；</w:t>
            </w:r>
          </w:p>
          <w:p w14:paraId="6A0AC18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3.掌握点、平面、直线之间的相关位置、有关距离、夹角的计算</w:t>
            </w:r>
            <w:r>
              <w:rPr>
                <w:rFonts w:ascii="宋体" w:hAnsi="宋体" w:eastAsia="宋体" w:cs="Times New Roman"/>
                <w:color w:val="000000"/>
                <w:szCs w:val="21"/>
              </w:rPr>
              <w:t>。</w:t>
            </w:r>
          </w:p>
        </w:tc>
        <w:tc>
          <w:tcPr>
            <w:tcW w:w="1560" w:type="dxa"/>
            <w:vAlign w:val="center"/>
          </w:tcPr>
          <w:p w14:paraId="39B0392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88E765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C5E151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505CAD89">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10</w:t>
            </w:r>
          </w:p>
        </w:tc>
      </w:tr>
      <w:tr w14:paraId="1DDF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27D8078">
            <w:pPr>
              <w:spacing w:line="264" w:lineRule="auto"/>
              <w:jc w:val="center"/>
              <w:rPr>
                <w:rFonts w:hint="eastAsia" w:ascii="宋体" w:hAnsi="宋体" w:eastAsia="宋体" w:cs="Times New Roman"/>
                <w:color w:val="000000"/>
                <w:szCs w:val="21"/>
              </w:rPr>
            </w:pPr>
          </w:p>
        </w:tc>
        <w:tc>
          <w:tcPr>
            <w:tcW w:w="8093" w:type="dxa"/>
            <w:gridSpan w:val="5"/>
            <w:vAlign w:val="center"/>
          </w:tcPr>
          <w:p w14:paraId="23B62615">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pacing w:val="2"/>
                <w:kern w:val="0"/>
                <w:szCs w:val="21"/>
              </w:rPr>
              <w:t>能够灵活运用直线与平面的知识解决实际问题，增强空间想象能力和逻辑思维能力。注重理论联系实际，尊重客观规律，树立社会主义核心价值观，增强专业素养，强调理论对实践的指导意义。</w:t>
            </w:r>
          </w:p>
        </w:tc>
      </w:tr>
      <w:tr w14:paraId="0879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80C402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3.特殊曲面和二次曲面</w:t>
            </w:r>
          </w:p>
        </w:tc>
        <w:tc>
          <w:tcPr>
            <w:tcW w:w="1701" w:type="dxa"/>
            <w:vAlign w:val="center"/>
          </w:tcPr>
          <w:p w14:paraId="790516E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（1）球面、直圆柱面和直圆锥面方程</w:t>
            </w:r>
          </w:p>
          <w:p w14:paraId="534D028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（2）柱面、锥面及旋转曲面的方程</w:t>
            </w:r>
          </w:p>
          <w:p w14:paraId="4C67924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（3）空间曲线和曲面的参数方程</w:t>
            </w:r>
          </w:p>
          <w:p w14:paraId="3C64347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（4）二次曲面</w:t>
            </w:r>
          </w:p>
        </w:tc>
        <w:tc>
          <w:tcPr>
            <w:tcW w:w="1134" w:type="dxa"/>
            <w:vAlign w:val="center"/>
          </w:tcPr>
          <w:p w14:paraId="6B3E992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5B86E6D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正确理解并掌握</w:t>
            </w:r>
            <w:r>
              <w:rPr>
                <w:rFonts w:hint="eastAsia" w:ascii="宋体" w:hAnsi="宋体" w:eastAsia="宋体" w:cs="Times New Roman"/>
                <w:color w:val="000000"/>
                <w:szCs w:val="21"/>
              </w:rPr>
              <w:t>空间曲面和空间曲线方程的一般形式；</w:t>
            </w:r>
          </w:p>
          <w:p w14:paraId="6152358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掌握</w:t>
            </w:r>
            <w:r>
              <w:rPr>
                <w:rFonts w:hint="eastAsia" w:ascii="宋体" w:hAnsi="宋体" w:eastAsia="宋体" w:cs="Times New Roman"/>
                <w:color w:val="000000"/>
                <w:szCs w:val="21"/>
              </w:rPr>
              <w:t>球面、柱面、锥面、旋转曲面的形成规律及应用；</w:t>
            </w:r>
          </w:p>
          <w:p w14:paraId="29DD103B">
            <w:pPr>
              <w:spacing w:line="269" w:lineRule="auto"/>
              <w:jc w:val="left"/>
              <w:rPr>
                <w:rFonts w:hint="eastAsia" w:ascii="宋体" w:hAnsi="宋体" w:eastAsia="宋体" w:cs="Times New Roman"/>
                <w:color w:val="000000"/>
                <w:szCs w:val="21"/>
              </w:rPr>
            </w:pPr>
          </w:p>
        </w:tc>
        <w:tc>
          <w:tcPr>
            <w:tcW w:w="1560" w:type="dxa"/>
            <w:vAlign w:val="center"/>
          </w:tcPr>
          <w:p w14:paraId="20C46F2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AE88B6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638A14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3590A0E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w:t>
            </w:r>
          </w:p>
        </w:tc>
      </w:tr>
      <w:tr w14:paraId="1221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51FCB74">
            <w:pPr>
              <w:spacing w:line="264" w:lineRule="auto"/>
              <w:jc w:val="center"/>
              <w:rPr>
                <w:rFonts w:hint="eastAsia" w:ascii="宋体" w:hAnsi="宋体" w:eastAsia="宋体" w:cs="Times New Roman"/>
                <w:color w:val="000000"/>
                <w:szCs w:val="21"/>
              </w:rPr>
            </w:pPr>
          </w:p>
        </w:tc>
        <w:tc>
          <w:tcPr>
            <w:tcW w:w="8093" w:type="dxa"/>
            <w:gridSpan w:val="5"/>
            <w:vAlign w:val="center"/>
          </w:tcPr>
          <w:p w14:paraId="1FCCE2B5">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pacing w:val="2"/>
                <w:kern w:val="0"/>
                <w:szCs w:val="21"/>
              </w:rPr>
              <w:t>引导学生感悟旋转曲面中的哲学思想，培养积极向上的生活态度。通过旋转曲面的学习，激发学生探索未知、勇于挑战的精神。注重理论联系实际，尊重客观规律，树立社会主义核心价值观，增强专业素养，强调理论对实践的指导意义。</w:t>
            </w:r>
          </w:p>
        </w:tc>
      </w:tr>
    </w:tbl>
    <w:p w14:paraId="3A37E660">
      <w:pPr>
        <w:spacing w:line="360" w:lineRule="auto"/>
        <w:jc w:val="left"/>
        <w:rPr>
          <w:rFonts w:ascii="Times New Roman" w:hAnsi="Times New Roman" w:eastAsia="宋体" w:cs="Times New Roman"/>
          <w:sz w:val="24"/>
        </w:rPr>
      </w:pPr>
    </w:p>
    <w:p w14:paraId="0D8DB8CF">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10F79F1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69DF5B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74E748B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4EFD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7DD5DE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2688DC9">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70141F33">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859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B261FE8">
            <w:pPr>
              <w:spacing w:line="360" w:lineRule="auto"/>
              <w:jc w:val="center"/>
              <w:rPr>
                <w:rFonts w:hint="eastAsia" w:ascii="宋体" w:hAnsi="宋体" w:eastAsia="宋体" w:cs="Times New Roman"/>
                <w:szCs w:val="21"/>
              </w:rPr>
            </w:pPr>
          </w:p>
        </w:tc>
        <w:tc>
          <w:tcPr>
            <w:tcW w:w="0" w:type="auto"/>
            <w:vAlign w:val="center"/>
          </w:tcPr>
          <w:p w14:paraId="00A2F248">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06357652">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4C08EA2D">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0D0CA324">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38DB47B0">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4F59F9D6">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49D26AD9">
            <w:pPr>
              <w:spacing w:line="360" w:lineRule="auto"/>
              <w:jc w:val="center"/>
              <w:rPr>
                <w:rFonts w:hint="eastAsia" w:ascii="宋体" w:hAnsi="宋体" w:eastAsia="宋体" w:cs="Times New Roman"/>
                <w:szCs w:val="21"/>
              </w:rPr>
            </w:pPr>
          </w:p>
        </w:tc>
      </w:tr>
      <w:tr w14:paraId="357A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92A0DE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7D63724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B245CE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D0C992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75B5C09">
            <w:pPr>
              <w:spacing w:line="360" w:lineRule="auto"/>
              <w:jc w:val="center"/>
              <w:rPr>
                <w:rFonts w:hint="eastAsia" w:ascii="宋体" w:hAnsi="宋体" w:eastAsia="宋体" w:cs="Times New Roman"/>
                <w:szCs w:val="21"/>
              </w:rPr>
            </w:pPr>
          </w:p>
        </w:tc>
        <w:tc>
          <w:tcPr>
            <w:tcW w:w="0" w:type="auto"/>
            <w:vAlign w:val="center"/>
          </w:tcPr>
          <w:p w14:paraId="26E67F0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73A47E31">
            <w:pPr>
              <w:spacing w:line="360" w:lineRule="auto"/>
              <w:jc w:val="center"/>
              <w:rPr>
                <w:rFonts w:hint="eastAsia" w:ascii="宋体" w:hAnsi="宋体" w:eastAsia="宋体" w:cs="Times New Roman"/>
                <w:szCs w:val="21"/>
              </w:rPr>
            </w:pPr>
          </w:p>
        </w:tc>
        <w:tc>
          <w:tcPr>
            <w:tcW w:w="0" w:type="auto"/>
            <w:vAlign w:val="center"/>
          </w:tcPr>
          <w:p w14:paraId="088A1CA8">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619C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93B468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620C5FD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FC6601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8609AF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D268678">
            <w:pPr>
              <w:spacing w:line="360" w:lineRule="auto"/>
              <w:jc w:val="center"/>
              <w:rPr>
                <w:rFonts w:hint="eastAsia" w:ascii="宋体" w:hAnsi="宋体" w:eastAsia="宋体" w:cs="Times New Roman"/>
                <w:szCs w:val="21"/>
              </w:rPr>
            </w:pPr>
          </w:p>
        </w:tc>
        <w:tc>
          <w:tcPr>
            <w:tcW w:w="0" w:type="auto"/>
            <w:vAlign w:val="center"/>
          </w:tcPr>
          <w:p w14:paraId="0A018A0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7818FF9D">
            <w:pPr>
              <w:spacing w:line="360" w:lineRule="auto"/>
              <w:jc w:val="center"/>
              <w:rPr>
                <w:rFonts w:hint="eastAsia" w:ascii="宋体" w:hAnsi="宋体" w:eastAsia="宋体" w:cs="Times New Roman"/>
                <w:szCs w:val="21"/>
              </w:rPr>
            </w:pPr>
          </w:p>
        </w:tc>
        <w:tc>
          <w:tcPr>
            <w:tcW w:w="0" w:type="auto"/>
            <w:vAlign w:val="center"/>
          </w:tcPr>
          <w:p w14:paraId="72131867">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5497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C1F2DBD">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132A704C">
            <w:pPr>
              <w:spacing w:line="360" w:lineRule="auto"/>
              <w:jc w:val="center"/>
              <w:rPr>
                <w:rFonts w:hint="eastAsia" w:ascii="宋体" w:hAnsi="宋体" w:eastAsia="宋体" w:cs="Times New Roman"/>
                <w:szCs w:val="21"/>
              </w:rPr>
            </w:pPr>
          </w:p>
        </w:tc>
        <w:tc>
          <w:tcPr>
            <w:tcW w:w="0" w:type="auto"/>
            <w:vAlign w:val="center"/>
          </w:tcPr>
          <w:p w14:paraId="5E22D5C5">
            <w:pPr>
              <w:spacing w:line="360" w:lineRule="auto"/>
              <w:jc w:val="center"/>
              <w:rPr>
                <w:rFonts w:hint="eastAsia" w:ascii="宋体" w:hAnsi="宋体" w:eastAsia="宋体" w:cs="Times New Roman"/>
                <w:szCs w:val="21"/>
              </w:rPr>
            </w:pPr>
          </w:p>
        </w:tc>
        <w:tc>
          <w:tcPr>
            <w:tcW w:w="0" w:type="auto"/>
            <w:vAlign w:val="center"/>
          </w:tcPr>
          <w:p w14:paraId="796FCF50">
            <w:pPr>
              <w:spacing w:line="360" w:lineRule="auto"/>
              <w:jc w:val="center"/>
              <w:rPr>
                <w:rFonts w:hint="eastAsia" w:ascii="宋体" w:hAnsi="宋体" w:eastAsia="宋体" w:cs="Times New Roman"/>
                <w:szCs w:val="21"/>
              </w:rPr>
            </w:pPr>
          </w:p>
        </w:tc>
        <w:tc>
          <w:tcPr>
            <w:tcW w:w="0" w:type="auto"/>
            <w:vAlign w:val="center"/>
          </w:tcPr>
          <w:p w14:paraId="51712DB7">
            <w:pPr>
              <w:spacing w:line="360" w:lineRule="auto"/>
              <w:jc w:val="center"/>
              <w:rPr>
                <w:rFonts w:hint="eastAsia" w:ascii="宋体" w:hAnsi="宋体" w:eastAsia="宋体" w:cs="Times New Roman"/>
                <w:szCs w:val="21"/>
              </w:rPr>
            </w:pPr>
          </w:p>
        </w:tc>
        <w:tc>
          <w:tcPr>
            <w:tcW w:w="0" w:type="auto"/>
            <w:vAlign w:val="center"/>
          </w:tcPr>
          <w:p w14:paraId="7DF3B6D8">
            <w:pPr>
              <w:spacing w:line="360" w:lineRule="auto"/>
              <w:jc w:val="center"/>
              <w:rPr>
                <w:rFonts w:hint="eastAsia" w:ascii="宋体" w:hAnsi="宋体" w:eastAsia="宋体" w:cs="Times New Roman"/>
                <w:szCs w:val="21"/>
              </w:rPr>
            </w:pPr>
          </w:p>
        </w:tc>
        <w:tc>
          <w:tcPr>
            <w:tcW w:w="0" w:type="auto"/>
          </w:tcPr>
          <w:p w14:paraId="09BA75DB">
            <w:pPr>
              <w:spacing w:line="360" w:lineRule="auto"/>
              <w:jc w:val="center"/>
              <w:rPr>
                <w:rFonts w:hint="eastAsia" w:ascii="宋体" w:hAnsi="宋体" w:eastAsia="宋体" w:cs="Times New Roman"/>
                <w:szCs w:val="21"/>
              </w:rPr>
            </w:pPr>
          </w:p>
        </w:tc>
        <w:tc>
          <w:tcPr>
            <w:tcW w:w="0" w:type="auto"/>
            <w:vAlign w:val="center"/>
          </w:tcPr>
          <w:p w14:paraId="51480FED">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DDB888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A10BC8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F1DE7C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E02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3950A6F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62303A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8505CB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931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FEFAE3A">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58FBE31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平时作业共3次，每节课都会布置课后作业，每章节结束提交批阅，共批改三次</w:t>
            </w:r>
          </w:p>
        </w:tc>
        <w:tc>
          <w:tcPr>
            <w:tcW w:w="0" w:type="auto"/>
            <w:vAlign w:val="center"/>
          </w:tcPr>
          <w:p w14:paraId="5243416B">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3D32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C0E4E80">
            <w:pPr>
              <w:rPr>
                <w:rFonts w:ascii="Times New Roman" w:hAnsi="Times New Roman" w:eastAsia="宋体" w:cs="Times New Roman"/>
                <w:szCs w:val="21"/>
              </w:rPr>
            </w:pPr>
            <w:r>
              <w:rPr>
                <w:rFonts w:hint="eastAsia" w:ascii="Times New Roman" w:hAnsi="Times New Roman" w:eastAsia="宋体" w:cs="Times New Roman"/>
                <w:szCs w:val="21"/>
              </w:rPr>
              <w:t>课内表现</w:t>
            </w:r>
          </w:p>
        </w:tc>
        <w:tc>
          <w:tcPr>
            <w:tcW w:w="7141" w:type="dxa"/>
            <w:vAlign w:val="center"/>
          </w:tcPr>
          <w:p w14:paraId="4BE67C76">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64418D5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1D9021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F25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19AD743">
            <w:pPr>
              <w:rPr>
                <w:rFonts w:ascii="Times New Roman" w:hAnsi="Times New Roman" w:eastAsia="宋体" w:cs="Times New Roman"/>
                <w:szCs w:val="21"/>
              </w:rPr>
            </w:pPr>
            <w:r>
              <w:rPr>
                <w:rFonts w:hint="eastAsia" w:ascii="Times New Roman" w:hAnsi="Times New Roman" w:eastAsia="宋体" w:cs="Times New Roman"/>
                <w:szCs w:val="21"/>
              </w:rPr>
              <w:t>课堂测验</w:t>
            </w:r>
          </w:p>
        </w:tc>
        <w:tc>
          <w:tcPr>
            <w:tcW w:w="7141" w:type="dxa"/>
            <w:vAlign w:val="center"/>
          </w:tcPr>
          <w:p w14:paraId="3C41174E">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课堂随机抽查学生练习，主要考查基础知识和基本理论的掌握，以题目的正确率为得分依据。</w:t>
            </w:r>
          </w:p>
        </w:tc>
        <w:tc>
          <w:tcPr>
            <w:tcW w:w="0" w:type="auto"/>
            <w:vAlign w:val="center"/>
          </w:tcPr>
          <w:p w14:paraId="2827EFBE">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883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B508C9">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B1F0A12">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填空题、选择题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计算题、证明题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向量代数的题型占3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%；考核平面与直线的题型占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%；考核特殊曲面与二次曲面的题型占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%；考核学生综合运用知识解决问题的题型占1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10D2228B">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41D0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702395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B5D6B76">
            <w:pPr>
              <w:jc w:val="left"/>
              <w:rPr>
                <w:rFonts w:ascii="Times New Roman" w:hAnsi="Times New Roman" w:eastAsia="宋体" w:cs="Times New Roman"/>
                <w:szCs w:val="21"/>
              </w:rPr>
            </w:pPr>
          </w:p>
        </w:tc>
        <w:tc>
          <w:tcPr>
            <w:tcW w:w="0" w:type="auto"/>
            <w:vAlign w:val="center"/>
          </w:tcPr>
          <w:p w14:paraId="69F0469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39EC751">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D51308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EBEF35F">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color w:val="000000"/>
          <w:szCs w:val="21"/>
        </w:rPr>
        <w:object>
          <v:shape id="_x0000_i1060" o:spt="75" type="#_x0000_t75" style="height:25.15pt;width:405.4pt;" o:ole="t" filled="f" o:preferrelative="t" stroked="f" coordsize="21600,21600">
            <v:path/>
            <v:fill on="f" focussize="0,0"/>
            <v:stroke on="f" joinstyle="miter"/>
            <v:imagedata r:id="rId5" o:title=""/>
            <o:lock v:ext="edit" aspectratio="t"/>
            <w10:wrap type="none"/>
            <w10:anchorlock/>
          </v:shape>
          <o:OLEObject Type="Embed" ProgID="Equation.3" ShapeID="_x0000_i1060" DrawAspect="Content" ObjectID="_1468075760" r:id="rId45">
            <o:LockedField>false</o:LockedField>
          </o:OLEObject>
        </w:object>
      </w: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6E8B5EFF">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本课程为理论教学课程，以理论教学为题，在课程教学中培养学生</w:t>
      </w:r>
      <w:r>
        <w:rPr>
          <w:rFonts w:ascii="宋体" w:hAnsi="宋体" w:eastAsia="宋体" w:cs="Times New Roman"/>
          <w:szCs w:val="21"/>
        </w:rPr>
        <w:t>运用</w:t>
      </w:r>
      <w:r>
        <w:rPr>
          <w:rFonts w:hint="eastAsia" w:ascii="宋体" w:hAnsi="宋体" w:eastAsia="宋体" w:cs="Times New Roman"/>
          <w:szCs w:val="21"/>
        </w:rPr>
        <w:t>空间解析几何的知识、理论、方法</w:t>
      </w:r>
      <w:r>
        <w:rPr>
          <w:rFonts w:ascii="宋体" w:hAnsi="宋体" w:eastAsia="宋体" w:cs="Times New Roman"/>
          <w:szCs w:val="21"/>
        </w:rPr>
        <w:t>解决</w:t>
      </w:r>
      <w:r>
        <w:rPr>
          <w:rFonts w:hint="eastAsia" w:ascii="宋体" w:hAnsi="宋体" w:eastAsia="宋体" w:cs="Times New Roman"/>
          <w:szCs w:val="21"/>
        </w:rPr>
        <w:t>相关的</w:t>
      </w:r>
      <w:r>
        <w:rPr>
          <w:rFonts w:ascii="宋体" w:hAnsi="宋体" w:eastAsia="宋体" w:cs="Times New Roman"/>
          <w:szCs w:val="21"/>
        </w:rPr>
        <w:t>实际</w:t>
      </w:r>
      <w:r>
        <w:rPr>
          <w:rFonts w:hint="eastAsia" w:ascii="宋体" w:hAnsi="宋体" w:eastAsia="宋体" w:cs="Times New Roman"/>
          <w:szCs w:val="21"/>
        </w:rPr>
        <w:t>应用</w:t>
      </w:r>
      <w:r>
        <w:rPr>
          <w:rFonts w:ascii="宋体" w:hAnsi="宋体" w:eastAsia="宋体" w:cs="Times New Roman"/>
          <w:szCs w:val="21"/>
        </w:rPr>
        <w:t>问题</w:t>
      </w:r>
      <w:r>
        <w:rPr>
          <w:rFonts w:hint="eastAsia" w:ascii="宋体" w:hAnsi="宋体" w:eastAsia="宋体"/>
          <w:szCs w:val="21"/>
        </w:rPr>
        <w:t>，不包含实践部分。</w:t>
      </w:r>
    </w:p>
    <w:p w14:paraId="73C85485">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675F642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19142E5">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4CC01D2A">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012BA329">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《空间解析几何》（第四版） 高红铸</w:t>
      </w:r>
      <w:r>
        <w:rPr>
          <w:rFonts w:ascii="Times New Roman" w:hAnsi="Times New Roman" w:eastAsia="宋体" w:cs="Times New Roman"/>
          <w:bCs/>
          <w:color w:val="000000"/>
          <w:szCs w:val="21"/>
        </w:rPr>
        <w:t xml:space="preserve"> 北京师范大学出版社</w:t>
      </w:r>
      <w:r>
        <w:rPr>
          <w:rFonts w:hint="eastAsia" w:ascii="Times New Roman" w:hAnsi="Times New Roman" w:eastAsia="宋体" w:cs="Times New Roman"/>
          <w:bCs/>
          <w:color w:val="000000"/>
          <w:szCs w:val="21"/>
        </w:rPr>
        <w:t>，2</w:t>
      </w:r>
      <w:r>
        <w:rPr>
          <w:rFonts w:ascii="Times New Roman" w:hAnsi="Times New Roman" w:eastAsia="宋体" w:cs="Times New Roman"/>
          <w:bCs/>
          <w:color w:val="000000"/>
          <w:szCs w:val="21"/>
        </w:rPr>
        <w:t>01</w:t>
      </w:r>
      <w:r>
        <w:rPr>
          <w:rFonts w:hint="eastAsia" w:ascii="Times New Roman" w:hAnsi="Times New Roman" w:eastAsia="宋体" w:cs="Times New Roman"/>
          <w:bCs/>
          <w:color w:val="000000"/>
          <w:szCs w:val="21"/>
        </w:rPr>
        <w:t xml:space="preserve">8.（普通高等教育“十一五”国家级规划教材）    </w:t>
      </w:r>
    </w:p>
    <w:p w14:paraId="021F19A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7E274F77">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1．吕林根 解析几何（第四版）   北京：高等教育出版社</w:t>
      </w:r>
    </w:p>
    <w:p w14:paraId="452077FC">
      <w:pPr>
        <w:spacing w:line="336" w:lineRule="auto"/>
        <w:ind w:firstLine="420" w:firstLineChars="200"/>
      </w:pPr>
      <w:r>
        <w:rPr>
          <w:rFonts w:hint="eastAsia" w:ascii="Times New Roman" w:hAnsi="Times New Roman" w:eastAsia="宋体" w:cs="Times New Roman"/>
          <w:bCs/>
          <w:color w:val="000000"/>
          <w:szCs w:val="21"/>
        </w:rPr>
        <w:t>2．朱鼎新等 解析几何（第四版） 北京：北京师范大学出版社</w:t>
      </w:r>
    </w:p>
    <w:p w14:paraId="09A7D17F">
      <w:pPr>
        <w:spacing w:line="360" w:lineRule="auto"/>
        <w:ind w:right="1360"/>
        <w:jc w:val="right"/>
        <w:rPr>
          <w:rFonts w:ascii="Times New Roman" w:hAnsi="Times New Roman" w:eastAsia="宋体" w:cs="Times New Roman"/>
          <w:sz w:val="24"/>
        </w:rPr>
      </w:pPr>
      <w:r>
        <w:rPr>
          <w:rFonts w:hint="eastAsia" w:ascii="Times New Roman" w:hAnsi="Times New Roman" w:eastAsia="宋体" w:cs="Times New Roman"/>
          <w:sz w:val="24"/>
        </w:rPr>
        <w:t>执 笔 人：</w:t>
      </w:r>
      <w:r>
        <w:rPr>
          <w:rFonts w:ascii="Times New Roman" w:hAnsi="Times New Roman" w:eastAsia="宋体" w:cs="Times New Roman"/>
          <w:sz w:val="24"/>
        </w:rPr>
        <w:t xml:space="preserve"> </w:t>
      </w:r>
      <w:r>
        <w:rPr>
          <w:rFonts w:hint="eastAsia" w:ascii="Times New Roman" w:hAnsi="Times New Roman" w:eastAsia="宋体" w:cs="Times New Roman"/>
          <w:sz w:val="24"/>
        </w:rPr>
        <w:t>雷玉柱</w:t>
      </w:r>
    </w:p>
    <w:p w14:paraId="061CAB8A">
      <w:pPr>
        <w:wordWrap w:val="0"/>
        <w:spacing w:line="360" w:lineRule="auto"/>
        <w:ind w:right="1643"/>
        <w:jc w:val="right"/>
        <w:rPr>
          <w:rFonts w:ascii="Times New Roman" w:hAnsi="Times New Roman" w:eastAsia="宋体" w:cs="Times New Roman"/>
          <w:sz w:val="24"/>
        </w:rPr>
      </w:pPr>
      <w:r>
        <w:rPr>
          <w:rFonts w:hint="eastAsia" w:ascii="Times New Roman" w:hAnsi="Times New Roman" w:eastAsia="宋体" w:cs="Times New Roman"/>
          <w:sz w:val="24"/>
        </w:rPr>
        <w:t>审 定 人：</w:t>
      </w:r>
      <w:r>
        <w:rPr>
          <w:rFonts w:ascii="Times New Roman" w:hAnsi="Times New Roman" w:eastAsia="宋体" w:cs="Times New Roman"/>
          <w:sz w:val="24"/>
        </w:rPr>
        <w:t xml:space="preserve"> </w:t>
      </w:r>
      <w:r>
        <w:rPr>
          <w:rFonts w:hint="eastAsia" w:ascii="Times New Roman" w:hAnsi="Times New Roman" w:eastAsia="宋体" w:cs="Times New Roman"/>
          <w:sz w:val="24"/>
        </w:rPr>
        <w:t>王健</w:t>
      </w:r>
    </w:p>
    <w:p w14:paraId="14ED7BAB">
      <w:pPr>
        <w:spacing w:line="360" w:lineRule="auto"/>
        <w:ind w:right="1200"/>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drawing>
          <wp:inline distT="0" distB="0" distL="114300" distR="114300">
            <wp:extent cx="521335" cy="295275"/>
            <wp:effectExtent l="0" t="0" r="2540" b="0"/>
            <wp:docPr id="7" name="图片 7" descr="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张"/>
                    <pic:cNvPicPr>
                      <a:picLocks noChangeAspect="1"/>
                    </pic:cNvPicPr>
                  </pic:nvPicPr>
                  <pic:blipFill>
                    <a:blip r:embed="rId46"/>
                    <a:stretch>
                      <a:fillRect/>
                    </a:stretch>
                  </pic:blipFill>
                  <pic:spPr>
                    <a:xfrm>
                      <a:off x="0" y="0"/>
                      <a:ext cx="521335" cy="295275"/>
                    </a:xfrm>
                    <a:prstGeom prst="rect">
                      <a:avLst/>
                    </a:prstGeom>
                  </pic:spPr>
                </pic:pic>
              </a:graphicData>
            </a:graphic>
          </wp:inline>
        </w:drawing>
      </w:r>
    </w:p>
    <w:p w14:paraId="75ADFAE0">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2E7E6693">
      <w:pPr>
        <w:spacing w:line="360" w:lineRule="auto"/>
        <w:ind w:right="480"/>
        <w:jc w:val="center"/>
        <w:rPr>
          <w:rFonts w:ascii="Times New Roman" w:hAnsi="Times New Roman" w:eastAsia="宋体" w:cs="Times New Roman"/>
          <w:sz w:val="24"/>
        </w:rPr>
      </w:pPr>
    </w:p>
    <w:p w14:paraId="4231F157">
      <w:pPr>
        <w:spacing w:line="360" w:lineRule="auto"/>
        <w:jc w:val="center"/>
        <w:rPr>
          <w:rFonts w:ascii="Times New Roman" w:hAnsi="Times New Roman" w:eastAsia="宋体" w:cs="Times New Roman"/>
          <w:sz w:val="24"/>
        </w:rPr>
      </w:pPr>
    </w:p>
    <w:p w14:paraId="11046B94">
      <w:pPr>
        <w:rPr>
          <w:rFonts w:hint="eastAsia" w:ascii="等线" w:hAnsi="等线" w:eastAsia="等线" w:cs="等线"/>
          <w:b/>
          <w:bCs/>
          <w:sz w:val="44"/>
          <w:szCs w:val="44"/>
        </w:rPr>
      </w:pPr>
      <w:r>
        <w:rPr>
          <w:rFonts w:hint="eastAsia" w:ascii="等线" w:hAnsi="等线" w:eastAsia="等线" w:cs="等线"/>
          <w:b/>
          <w:bCs/>
          <w:sz w:val="44"/>
          <w:szCs w:val="44"/>
        </w:rPr>
        <w:br w:type="page"/>
      </w:r>
    </w:p>
    <w:p w14:paraId="719FBF7D">
      <w:pPr>
        <w:pStyle w:val="2"/>
        <w:tabs>
          <w:tab w:val="left" w:pos="720"/>
          <w:tab w:val="left" w:pos="2700"/>
        </w:tabs>
      </w:pPr>
      <w:bookmarkStart w:id="201" w:name="_Toc29395591"/>
      <w:bookmarkStart w:id="202" w:name="_Toc26614"/>
      <w:bookmarkStart w:id="203" w:name="_Toc19729787"/>
      <w:bookmarkStart w:id="204" w:name="_Toc87724661"/>
      <w:bookmarkStart w:id="205" w:name="_Toc22795"/>
      <w:bookmarkStart w:id="206" w:name="_Toc87705544"/>
      <w:bookmarkStart w:id="207" w:name="_Toc19730882"/>
      <w:r>
        <w:rPr>
          <w:rFonts w:hint="eastAsia"/>
        </w:rPr>
        <w:t>《</w:t>
      </w:r>
      <w:r>
        <w:t>高等代数I</w:t>
      </w:r>
      <w:r>
        <w:rPr>
          <w:rFonts w:hint="eastAsia"/>
        </w:rPr>
        <w:t>》</w:t>
      </w:r>
      <w:r>
        <w:t>课程教学大纲</w:t>
      </w:r>
      <w:bookmarkEnd w:id="201"/>
      <w:bookmarkEnd w:id="202"/>
      <w:bookmarkEnd w:id="203"/>
      <w:bookmarkEnd w:id="204"/>
      <w:bookmarkEnd w:id="205"/>
      <w:bookmarkEnd w:id="206"/>
      <w:bookmarkEnd w:id="207"/>
    </w:p>
    <w:p w14:paraId="18821D7E">
      <w:pPr>
        <w:spacing w:line="312" w:lineRule="auto"/>
        <w:jc w:val="center"/>
        <w:rPr>
          <w:rFonts w:ascii="Times New Roman" w:hAnsi="Times New Roman" w:eastAsia="宋体" w:cs="Times New Roman"/>
          <w:b/>
          <w:bCs/>
          <w:sz w:val="30"/>
          <w:szCs w:val="30"/>
        </w:rPr>
      </w:pPr>
      <w:r>
        <w:rPr>
          <w:rFonts w:ascii="Times New Roman" w:hAnsi="Times New Roman" w:eastAsia="宋体" w:cs="Times New Roman"/>
          <w:b/>
          <w:bCs/>
          <w:sz w:val="30"/>
          <w:szCs w:val="30"/>
        </w:rPr>
        <w:t>（Higher Algebra I）</w:t>
      </w:r>
    </w:p>
    <w:p w14:paraId="52B220A5">
      <w:pPr>
        <w:spacing w:line="360" w:lineRule="auto"/>
        <w:rPr>
          <w:rFonts w:ascii="Calibri" w:hAnsi="Calibri" w:eastAsia="宋体" w:cs="Times New Roman"/>
          <w:b/>
          <w:sz w:val="24"/>
        </w:rPr>
      </w:pPr>
      <w:bookmarkStart w:id="208" w:name="_Toc19729788"/>
      <w:r>
        <w:rPr>
          <w:rFonts w:ascii="Calibri" w:hAnsi="Calibri" w:eastAsia="宋体" w:cs="Times New Roman"/>
          <w:b/>
          <w:sz w:val="24"/>
        </w:rPr>
        <w:t>一、课程概况</w:t>
      </w:r>
      <w:bookmarkEnd w:id="208"/>
    </w:p>
    <w:p w14:paraId="169B4AC9">
      <w:pPr>
        <w:spacing w:line="360" w:lineRule="auto"/>
        <w:rPr>
          <w:rFonts w:ascii="Times New Roman" w:hAnsi="Times New Roman" w:eastAsia="宋体" w:cs="Times New Roman"/>
          <w:kern w:val="0"/>
          <w:sz w:val="24"/>
        </w:rPr>
      </w:pPr>
      <w:r>
        <w:rPr>
          <w:rFonts w:ascii="Calibri" w:hAnsi="Calibri" w:eastAsia="宋体" w:cs="Times New Roman"/>
          <w:b/>
          <w:bCs/>
          <w:kern w:val="0"/>
          <w:sz w:val="24"/>
        </w:rPr>
        <w:t>课程代码</w:t>
      </w:r>
      <w:r>
        <w:rPr>
          <w:rFonts w:ascii="Calibri" w:hAnsi="Calibri" w:eastAsia="宋体" w:cs="Times New Roman"/>
          <w:b/>
          <w:kern w:val="0"/>
          <w:sz w:val="24"/>
        </w:rPr>
        <w:t>：</w:t>
      </w:r>
      <w:r>
        <w:rPr>
          <w:rFonts w:ascii="Times New Roman" w:hAnsi="Times New Roman" w:eastAsia="仿宋_GB2312" w:cs="Times New Roman"/>
          <w:sz w:val="24"/>
        </w:rPr>
        <w:t>0821011</w:t>
      </w:r>
    </w:p>
    <w:p w14:paraId="5E90C9A0">
      <w:pPr>
        <w:spacing w:line="360" w:lineRule="auto"/>
        <w:rPr>
          <w:rFonts w:ascii="Times New Roman" w:hAnsi="Times New Roman" w:eastAsia="宋体" w:cs="Times New Roman"/>
          <w:b/>
          <w:kern w:val="0"/>
          <w:sz w:val="24"/>
        </w:rPr>
      </w:pPr>
      <w:r>
        <w:rPr>
          <w:rFonts w:ascii="Calibri" w:hAnsi="Calibri" w:eastAsia="宋体" w:cs="Times New Roman"/>
          <w:b/>
          <w:bCs/>
          <w:kern w:val="0"/>
          <w:sz w:val="24"/>
        </w:rPr>
        <w:t>学    分</w:t>
      </w:r>
      <w:r>
        <w:rPr>
          <w:rFonts w:ascii="Calibri" w:hAnsi="Calibri" w:eastAsia="宋体" w:cs="Times New Roman"/>
          <w:b/>
          <w:kern w:val="0"/>
          <w:sz w:val="24"/>
        </w:rPr>
        <w:t>：</w:t>
      </w:r>
      <w:r>
        <w:rPr>
          <w:rFonts w:ascii="Times New Roman" w:hAnsi="Times New Roman" w:eastAsia="仿宋_GB2312" w:cs="Times New Roman"/>
          <w:sz w:val="24"/>
        </w:rPr>
        <w:t>3</w:t>
      </w:r>
    </w:p>
    <w:p w14:paraId="7393D956">
      <w:pPr>
        <w:spacing w:line="360" w:lineRule="auto"/>
        <w:rPr>
          <w:rFonts w:ascii="Calibri" w:hAnsi="Calibri" w:eastAsia="宋体" w:cs="Times New Roman"/>
          <w:kern w:val="0"/>
          <w:sz w:val="24"/>
        </w:rPr>
      </w:pPr>
      <w:r>
        <w:rPr>
          <w:rFonts w:ascii="Calibri" w:hAnsi="Calibri" w:eastAsia="宋体" w:cs="Times New Roman"/>
          <w:b/>
          <w:bCs/>
          <w:kern w:val="0"/>
          <w:sz w:val="24"/>
        </w:rPr>
        <w:t>学    时</w:t>
      </w:r>
      <w:r>
        <w:rPr>
          <w:rFonts w:ascii="Calibri" w:hAnsi="Calibri" w:eastAsia="宋体" w:cs="Times New Roman"/>
          <w:b/>
          <w:kern w:val="0"/>
          <w:sz w:val="24"/>
        </w:rPr>
        <w:t>：</w:t>
      </w:r>
      <w:r>
        <w:rPr>
          <w:rFonts w:ascii="Times New Roman" w:hAnsi="Times New Roman" w:eastAsia="仿宋_GB2312" w:cs="Times New Roman"/>
          <w:sz w:val="24"/>
        </w:rPr>
        <w:t>48</w:t>
      </w:r>
      <w:r>
        <w:rPr>
          <w:rFonts w:ascii="Calibri" w:hAnsi="Calibri" w:eastAsia="宋体" w:cs="Times New Roman"/>
          <w:kern w:val="0"/>
          <w:sz w:val="24"/>
        </w:rPr>
        <w:t xml:space="preserve"> （其中：讲授学时</w:t>
      </w:r>
      <w:r>
        <w:rPr>
          <w:rFonts w:ascii="Times New Roman" w:hAnsi="Times New Roman" w:eastAsia="仿宋_GB2312" w:cs="Times New Roman"/>
          <w:sz w:val="24"/>
        </w:rPr>
        <w:t>48</w:t>
      </w:r>
      <w:r>
        <w:rPr>
          <w:rFonts w:ascii="Calibri" w:hAnsi="Calibri" w:eastAsia="宋体" w:cs="Times New Roman"/>
          <w:kern w:val="0"/>
          <w:sz w:val="24"/>
        </w:rPr>
        <w:t>， 实践学时</w:t>
      </w:r>
      <w:r>
        <w:rPr>
          <w:rFonts w:ascii="Times New Roman" w:hAnsi="Times New Roman" w:eastAsia="宋体" w:cs="Times New Roman"/>
          <w:kern w:val="0"/>
          <w:sz w:val="24"/>
        </w:rPr>
        <w:t>0</w:t>
      </w:r>
      <w:r>
        <w:rPr>
          <w:rFonts w:hint="eastAsia" w:ascii="Times New Roman" w:hAnsi="Times New Roman" w:eastAsia="宋体" w:cs="Times New Roman"/>
          <w:kern w:val="0"/>
          <w:sz w:val="24"/>
        </w:rPr>
        <w:t>，上机学时0</w:t>
      </w:r>
      <w:r>
        <w:rPr>
          <w:rFonts w:ascii="Calibri" w:hAnsi="Calibri" w:eastAsia="宋体" w:cs="Times New Roman"/>
          <w:kern w:val="0"/>
          <w:sz w:val="24"/>
        </w:rPr>
        <w:t>）</w:t>
      </w:r>
    </w:p>
    <w:p w14:paraId="0A05ACC2">
      <w:pPr>
        <w:spacing w:line="360" w:lineRule="auto"/>
        <w:jc w:val="left"/>
        <w:rPr>
          <w:rFonts w:ascii="Times New Roman" w:hAnsi="Times New Roman" w:eastAsia="宋体" w:cs="Times New Roman"/>
          <w:sz w:val="24"/>
        </w:rPr>
      </w:pPr>
      <w:r>
        <w:rPr>
          <w:rFonts w:ascii="Times New Roman" w:hAnsi="Times New Roman" w:eastAsia="宋体" w:cs="Times New Roman"/>
          <w:b/>
          <w:bCs/>
          <w:kern w:val="0"/>
          <w:sz w:val="24"/>
        </w:rPr>
        <w:t>先修课程</w:t>
      </w:r>
      <w:r>
        <w:rPr>
          <w:rFonts w:ascii="Times New Roman" w:hAnsi="Times New Roman" w:eastAsia="宋体" w:cs="Times New Roman"/>
          <w:b/>
          <w:kern w:val="0"/>
          <w:sz w:val="24"/>
        </w:rPr>
        <w:t>：</w:t>
      </w:r>
      <w:r>
        <w:rPr>
          <w:rFonts w:hint="eastAsia" w:ascii="Times New Roman" w:hAnsi="Times New Roman" w:eastAsia="宋体" w:cs="Times New Roman"/>
          <w:sz w:val="24"/>
        </w:rPr>
        <w:t>数学分析</w:t>
      </w:r>
    </w:p>
    <w:p w14:paraId="16C15357">
      <w:pPr>
        <w:spacing w:line="360" w:lineRule="auto"/>
        <w:rPr>
          <w:rFonts w:ascii="Calibri" w:hAnsi="Calibri" w:eastAsia="宋体" w:cs="Times New Roman"/>
          <w:kern w:val="0"/>
          <w:sz w:val="24"/>
        </w:rPr>
      </w:pPr>
      <w:r>
        <w:rPr>
          <w:rFonts w:ascii="Calibri" w:hAnsi="Calibri" w:eastAsia="宋体" w:cs="Times New Roman"/>
          <w:b/>
          <w:bCs/>
          <w:kern w:val="0"/>
          <w:sz w:val="24"/>
        </w:rPr>
        <w:t>适用专业</w:t>
      </w:r>
      <w:r>
        <w:rPr>
          <w:rFonts w:ascii="Calibri" w:hAnsi="Calibri" w:eastAsia="宋体" w:cs="Times New Roman"/>
          <w:b/>
          <w:kern w:val="0"/>
          <w:sz w:val="24"/>
        </w:rPr>
        <w:t>：</w:t>
      </w:r>
      <w:r>
        <w:rPr>
          <w:rFonts w:ascii="Calibri" w:hAnsi="Calibri" w:eastAsia="宋体" w:cs="Times New Roman"/>
          <w:sz w:val="24"/>
        </w:rPr>
        <w:t>小学教育（理）</w:t>
      </w:r>
      <w:r>
        <w:rPr>
          <w:rFonts w:ascii="Calibri" w:hAnsi="Calibri" w:eastAsia="宋体" w:cs="Times New Roman"/>
          <w:kern w:val="0"/>
          <w:sz w:val="24"/>
        </w:rPr>
        <w:t xml:space="preserve"> </w:t>
      </w:r>
    </w:p>
    <w:p w14:paraId="11A6E150">
      <w:pPr>
        <w:spacing w:line="360" w:lineRule="auto"/>
        <w:rPr>
          <w:rFonts w:ascii="Calibri" w:hAnsi="Calibri" w:eastAsia="宋体" w:cs="Times New Roman"/>
          <w:kern w:val="0"/>
          <w:sz w:val="24"/>
        </w:rPr>
      </w:pPr>
      <w:r>
        <w:rPr>
          <w:rFonts w:ascii="Calibri" w:hAnsi="Calibri" w:eastAsia="宋体" w:cs="Times New Roman"/>
          <w:b/>
          <w:bCs/>
          <w:kern w:val="0"/>
          <w:sz w:val="24"/>
        </w:rPr>
        <w:t>建议教材</w:t>
      </w:r>
      <w:r>
        <w:rPr>
          <w:rFonts w:ascii="Calibri" w:hAnsi="Calibri" w:eastAsia="宋体" w:cs="Times New Roman"/>
          <w:b/>
          <w:kern w:val="0"/>
          <w:sz w:val="24"/>
        </w:rPr>
        <w:t>：</w:t>
      </w:r>
      <w:r>
        <w:rPr>
          <w:rFonts w:ascii="Calibri" w:hAnsi="Calibri" w:eastAsia="宋体" w:cs="Times New Roman"/>
          <w:kern w:val="0"/>
          <w:sz w:val="24"/>
        </w:rPr>
        <w:t>《高等代数》，</w:t>
      </w:r>
      <w:r>
        <w:rPr>
          <w:rFonts w:hint="eastAsia" w:ascii="Calibri" w:hAnsi="Calibri" w:eastAsia="宋体" w:cs="Times New Roman"/>
          <w:bCs/>
          <w:kern w:val="0"/>
          <w:sz w:val="24"/>
        </w:rPr>
        <w:t>张力宏主编</w:t>
      </w:r>
      <w:r>
        <w:rPr>
          <w:rFonts w:ascii="Calibri" w:hAnsi="Calibri" w:eastAsia="宋体" w:cs="Times New Roman"/>
          <w:kern w:val="0"/>
          <w:sz w:val="24"/>
        </w:rPr>
        <w:t>，</w:t>
      </w:r>
      <w:r>
        <w:rPr>
          <w:rFonts w:hint="eastAsia" w:ascii="Calibri" w:hAnsi="Calibri" w:eastAsia="宋体" w:cs="Times New Roman"/>
          <w:kern w:val="0"/>
          <w:sz w:val="24"/>
        </w:rPr>
        <w:t>人民</w:t>
      </w:r>
      <w:r>
        <w:rPr>
          <w:rFonts w:ascii="Calibri" w:hAnsi="Calibri" w:eastAsia="宋体" w:cs="Times New Roman"/>
          <w:kern w:val="0"/>
          <w:sz w:val="24"/>
        </w:rPr>
        <w:t>教育出版社，</w:t>
      </w:r>
      <w:r>
        <w:rPr>
          <w:rFonts w:ascii="Times New Roman" w:hAnsi="Times New Roman" w:eastAsia="宋体" w:cs="Times New Roman"/>
          <w:kern w:val="0"/>
          <w:sz w:val="24"/>
        </w:rPr>
        <w:t>2019</w:t>
      </w:r>
      <w:r>
        <w:rPr>
          <w:rFonts w:ascii="Calibri" w:hAnsi="Calibri" w:eastAsia="宋体" w:cs="Times New Roman"/>
          <w:kern w:val="0"/>
          <w:sz w:val="24"/>
        </w:rPr>
        <w:t>.</w:t>
      </w:r>
    </w:p>
    <w:p w14:paraId="4A1E7016">
      <w:pPr>
        <w:spacing w:line="360" w:lineRule="auto"/>
        <w:rPr>
          <w:rFonts w:ascii="Calibri" w:hAnsi="Calibri" w:eastAsia="宋体" w:cs="Times New Roman"/>
          <w:sz w:val="24"/>
        </w:rPr>
      </w:pPr>
      <w:r>
        <w:rPr>
          <w:rFonts w:ascii="Calibri" w:hAnsi="Calibri" w:eastAsia="宋体" w:cs="Times New Roman"/>
          <w:b/>
          <w:bCs/>
          <w:kern w:val="0"/>
          <w:sz w:val="24"/>
        </w:rPr>
        <w:t>课程归口：</w:t>
      </w:r>
      <w:r>
        <w:rPr>
          <w:rFonts w:ascii="Calibri" w:hAnsi="Calibri" w:eastAsia="宋体" w:cs="Times New Roman"/>
          <w:sz w:val="24"/>
        </w:rPr>
        <w:t>理学院</w:t>
      </w:r>
    </w:p>
    <w:p w14:paraId="0CBED469">
      <w:pPr>
        <w:spacing w:line="360" w:lineRule="auto"/>
        <w:rPr>
          <w:rFonts w:ascii="Calibri" w:hAnsi="Calibri" w:eastAsia="宋体" w:cs="Times New Roman"/>
          <w:sz w:val="24"/>
        </w:rPr>
      </w:pPr>
      <w:r>
        <w:rPr>
          <w:b/>
          <w:bCs/>
          <w:kern w:val="0"/>
          <w:sz w:val="24"/>
        </w:rPr>
        <w:t>课程团队：</w:t>
      </w:r>
      <w:r>
        <w:rPr>
          <w:rFonts w:hint="eastAsia" w:ascii="宋体" w:hAnsi="宋体"/>
          <w:bCs/>
          <w:kern w:val="0"/>
          <w:sz w:val="24"/>
        </w:rPr>
        <w:t>高等代数课程团队</w:t>
      </w:r>
    </w:p>
    <w:p w14:paraId="0FE78083">
      <w:pPr>
        <w:autoSpaceDE w:val="0"/>
        <w:autoSpaceDN w:val="0"/>
        <w:adjustRightInd w:val="0"/>
        <w:spacing w:line="360" w:lineRule="auto"/>
        <w:jc w:val="left"/>
        <w:rPr>
          <w:rFonts w:ascii="Calibri" w:hAnsi="Calibri" w:eastAsia="宋体" w:cs="Times New Roman"/>
          <w:sz w:val="24"/>
        </w:rPr>
      </w:pPr>
      <w:r>
        <w:rPr>
          <w:rFonts w:ascii="Calibri" w:hAnsi="Calibri" w:eastAsia="宋体" w:cs="Times New Roman"/>
          <w:b/>
          <w:bCs/>
          <w:kern w:val="0"/>
          <w:sz w:val="24"/>
        </w:rPr>
        <w:t>课程的性质与任务：</w:t>
      </w:r>
      <w:r>
        <w:rPr>
          <w:rFonts w:ascii="Calibri" w:hAnsi="Calibri" w:eastAsia="宋体" w:cs="Times New Roman"/>
          <w:kern w:val="0"/>
          <w:sz w:val="24"/>
        </w:rPr>
        <w:t>本课程是小学教育（理）专业的一门</w:t>
      </w:r>
      <w:r>
        <w:rPr>
          <w:rFonts w:ascii="Calibri" w:hAnsi="Calibri" w:eastAsia="宋体" w:cs="Times New Roman"/>
          <w:sz w:val="24"/>
        </w:rPr>
        <w:t>重要基础课。</w:t>
      </w:r>
      <w:r>
        <w:rPr>
          <w:rFonts w:ascii="Calibri" w:hAnsi="Calibri" w:eastAsia="宋体" w:cs="Times New Roman"/>
          <w:kern w:val="0"/>
          <w:sz w:val="24"/>
        </w:rPr>
        <w:t>通过本课程的学习，使学生系统地获得高等代数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3F39D631">
      <w:pPr>
        <w:spacing w:line="360" w:lineRule="auto"/>
        <w:rPr>
          <w:rFonts w:ascii="Calibri" w:hAnsi="Calibri" w:eastAsia="宋体" w:cs="Times New Roman"/>
          <w:b/>
          <w:sz w:val="24"/>
        </w:rPr>
      </w:pPr>
      <w:bookmarkStart w:id="209" w:name="_Toc19729789"/>
      <w:r>
        <w:rPr>
          <w:rFonts w:ascii="Calibri" w:hAnsi="Calibri" w:eastAsia="宋体" w:cs="Times New Roman"/>
          <w:b/>
          <w:sz w:val="24"/>
        </w:rPr>
        <w:t>二、课程目标</w:t>
      </w:r>
      <w:bookmarkEnd w:id="209"/>
      <w:r>
        <w:rPr>
          <w:rFonts w:hint="eastAsia" w:ascii="Calibri" w:hAnsi="Calibri" w:eastAsia="宋体" w:cs="Times New Roman"/>
          <w:b/>
          <w:sz w:val="24"/>
        </w:rPr>
        <w:t>及对毕业要求观测点的支撑</w:t>
      </w:r>
    </w:p>
    <w:tbl>
      <w:tblPr>
        <w:tblStyle w:val="13"/>
        <w:tblW w:w="9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835"/>
        <w:gridCol w:w="2296"/>
        <w:gridCol w:w="3385"/>
      </w:tblGrid>
      <w:tr w14:paraId="3EED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709" w:type="dxa"/>
            <w:shd w:val="clear" w:color="auto" w:fill="auto"/>
            <w:noWrap/>
            <w:vAlign w:val="center"/>
          </w:tcPr>
          <w:p w14:paraId="28DADCE9">
            <w:pPr>
              <w:widowControl/>
              <w:spacing w:line="276" w:lineRule="auto"/>
              <w:jc w:val="center"/>
              <w:rPr>
                <w:rFonts w:hint="eastAsia" w:ascii="宋体" w:hAnsi="宋体" w:eastAsia="宋体"/>
                <w:b/>
                <w:bCs/>
                <w:kern w:val="0"/>
                <w:szCs w:val="21"/>
              </w:rPr>
            </w:pPr>
            <w:bookmarkStart w:id="210" w:name="_Toc19729790"/>
            <w:r>
              <w:rPr>
                <w:rFonts w:ascii="宋体" w:hAnsi="宋体" w:eastAsia="宋体"/>
                <w:b/>
                <w:bCs/>
                <w:kern w:val="0"/>
                <w:szCs w:val="21"/>
              </w:rPr>
              <w:t>序号</w:t>
            </w:r>
          </w:p>
        </w:tc>
        <w:tc>
          <w:tcPr>
            <w:tcW w:w="2835" w:type="dxa"/>
            <w:shd w:val="clear" w:color="auto" w:fill="auto"/>
            <w:noWrap/>
            <w:vAlign w:val="center"/>
          </w:tcPr>
          <w:p w14:paraId="6F599894">
            <w:pPr>
              <w:widowControl/>
              <w:spacing w:line="276" w:lineRule="auto"/>
              <w:jc w:val="center"/>
              <w:rPr>
                <w:rFonts w:hint="eastAsia" w:ascii="宋体" w:hAnsi="宋体" w:eastAsia="宋体"/>
                <w:b/>
                <w:bCs/>
                <w:kern w:val="0"/>
                <w:szCs w:val="21"/>
              </w:rPr>
            </w:pPr>
            <w:r>
              <w:rPr>
                <w:rFonts w:ascii="宋体" w:hAnsi="宋体" w:eastAsia="宋体"/>
                <w:b/>
                <w:bCs/>
                <w:kern w:val="0"/>
                <w:szCs w:val="21"/>
              </w:rPr>
              <w:t>课程目标</w:t>
            </w:r>
          </w:p>
        </w:tc>
        <w:tc>
          <w:tcPr>
            <w:tcW w:w="2296" w:type="dxa"/>
            <w:shd w:val="clear" w:color="auto" w:fill="auto"/>
            <w:noWrap/>
            <w:vAlign w:val="center"/>
          </w:tcPr>
          <w:p w14:paraId="5B3F5FF9">
            <w:pPr>
              <w:widowControl/>
              <w:spacing w:line="276" w:lineRule="auto"/>
              <w:jc w:val="center"/>
              <w:rPr>
                <w:rFonts w:hint="eastAsia" w:ascii="宋体" w:hAnsi="宋体" w:eastAsia="宋体"/>
                <w:b/>
                <w:bCs/>
                <w:kern w:val="0"/>
                <w:szCs w:val="21"/>
              </w:rPr>
            </w:pPr>
            <w:r>
              <w:rPr>
                <w:rFonts w:hint="eastAsia" w:ascii="宋体" w:hAnsi="宋体" w:eastAsia="宋体"/>
                <w:b/>
                <w:bCs/>
                <w:kern w:val="0"/>
                <w:szCs w:val="21"/>
              </w:rPr>
              <w:t>支撑的</w:t>
            </w:r>
            <w:r>
              <w:rPr>
                <w:rFonts w:ascii="宋体" w:hAnsi="宋体" w:eastAsia="宋体"/>
                <w:b/>
                <w:bCs/>
                <w:kern w:val="0"/>
                <w:szCs w:val="21"/>
              </w:rPr>
              <w:t>毕业要求</w:t>
            </w:r>
          </w:p>
        </w:tc>
        <w:tc>
          <w:tcPr>
            <w:tcW w:w="3385" w:type="dxa"/>
            <w:vAlign w:val="center"/>
          </w:tcPr>
          <w:p w14:paraId="2951B730">
            <w:pPr>
              <w:widowControl/>
              <w:spacing w:line="276" w:lineRule="auto"/>
              <w:jc w:val="center"/>
              <w:rPr>
                <w:rFonts w:hint="eastAsia" w:ascii="宋体" w:hAnsi="宋体" w:eastAsia="宋体"/>
                <w:b/>
                <w:bCs/>
                <w:kern w:val="0"/>
                <w:szCs w:val="21"/>
              </w:rPr>
            </w:pPr>
            <w:r>
              <w:rPr>
                <w:rFonts w:ascii="宋体" w:hAnsi="宋体" w:eastAsia="宋体"/>
                <w:b/>
                <w:bCs/>
                <w:kern w:val="0"/>
                <w:szCs w:val="21"/>
              </w:rPr>
              <w:t>支撑毕业要求观测点</w:t>
            </w:r>
          </w:p>
        </w:tc>
      </w:tr>
      <w:tr w14:paraId="20C9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709" w:type="dxa"/>
            <w:shd w:val="clear" w:color="auto" w:fill="auto"/>
            <w:noWrap/>
            <w:vAlign w:val="center"/>
          </w:tcPr>
          <w:p w14:paraId="37E9531D">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w:t>
            </w:r>
          </w:p>
        </w:tc>
        <w:tc>
          <w:tcPr>
            <w:tcW w:w="2835" w:type="dxa"/>
            <w:shd w:val="clear" w:color="auto" w:fill="auto"/>
            <w:noWrap/>
            <w:vAlign w:val="center"/>
          </w:tcPr>
          <w:p w14:paraId="0D2658DA">
            <w:pPr>
              <w:spacing w:before="156" w:beforeLines="50" w:after="156" w:afterLines="50" w:line="276" w:lineRule="auto"/>
              <w:rPr>
                <w:rFonts w:hint="eastAsia" w:ascii="宋体" w:hAnsi="宋体" w:eastAsia="宋体"/>
                <w:kern w:val="0"/>
                <w:szCs w:val="21"/>
              </w:rPr>
            </w:pPr>
            <w:r>
              <w:rPr>
                <w:rFonts w:ascii="宋体" w:hAnsi="宋体" w:eastAsia="宋体"/>
                <w:b/>
                <w:kern w:val="0"/>
                <w:szCs w:val="21"/>
              </w:rPr>
              <w:t>目标</w:t>
            </w:r>
            <w:r>
              <w:rPr>
                <w:rFonts w:ascii="宋体" w:hAnsi="宋体" w:eastAsia="宋体" w:cs="Times New Roman"/>
                <w:b/>
                <w:kern w:val="0"/>
                <w:szCs w:val="21"/>
              </w:rPr>
              <w:t>1</w:t>
            </w:r>
            <w:r>
              <w:rPr>
                <w:rFonts w:hint="eastAsia" w:ascii="宋体" w:hAnsi="宋体" w:eastAsia="宋体" w:cs="Times New Roman"/>
                <w:b/>
                <w:kern w:val="0"/>
                <w:szCs w:val="21"/>
              </w:rPr>
              <w:t xml:space="preserve">： </w:t>
            </w:r>
            <w:r>
              <w:rPr>
                <w:rFonts w:ascii="宋体" w:hAnsi="宋体" w:eastAsia="宋体" w:cs="Times New Roman"/>
                <w:szCs w:val="21"/>
              </w:rPr>
              <w:t>能够具有一定的抽象概括、逻辑推理和运算能力。</w:t>
            </w:r>
          </w:p>
        </w:tc>
        <w:tc>
          <w:tcPr>
            <w:tcW w:w="2296" w:type="dxa"/>
            <w:shd w:val="clear" w:color="auto" w:fill="auto"/>
            <w:noWrap/>
            <w:vAlign w:val="center"/>
          </w:tcPr>
          <w:p w14:paraId="132B6A75">
            <w:pPr>
              <w:widowControl/>
              <w:spacing w:before="156" w:beforeLines="50" w:after="156" w:afterLines="50" w:line="276" w:lineRule="auto"/>
              <w:rPr>
                <w:rFonts w:hint="eastAsia" w:ascii="宋体" w:hAnsi="宋体" w:eastAsia="宋体"/>
                <w:kern w:val="0"/>
                <w:szCs w:val="21"/>
              </w:rPr>
            </w:pPr>
            <w:r>
              <w:rPr>
                <w:rFonts w:ascii="宋体" w:hAnsi="宋体" w:eastAsia="宋体"/>
                <w:b/>
                <w:kern w:val="0"/>
                <w:szCs w:val="21"/>
              </w:rPr>
              <w:t>毕业要求</w:t>
            </w:r>
            <w:r>
              <w:rPr>
                <w:rFonts w:ascii="宋体" w:hAnsi="宋体" w:eastAsia="宋体" w:cs="Times New Roman"/>
                <w:b/>
                <w:kern w:val="0"/>
                <w:szCs w:val="21"/>
              </w:rPr>
              <w:t>3</w:t>
            </w:r>
            <w:r>
              <w:rPr>
                <w:rFonts w:hint="eastAsia" w:ascii="宋体" w:hAnsi="宋体" w:eastAsia="宋体"/>
                <w:b/>
                <w:kern w:val="0"/>
                <w:szCs w:val="21"/>
              </w:rPr>
              <w:t xml:space="preserve"> </w:t>
            </w:r>
            <w:r>
              <w:rPr>
                <w:rFonts w:ascii="宋体" w:hAnsi="宋体" w:eastAsia="宋体"/>
                <w:b/>
                <w:kern w:val="0"/>
                <w:szCs w:val="21"/>
              </w:rPr>
              <w:t xml:space="preserve"> </w:t>
            </w:r>
            <w:r>
              <w:rPr>
                <w:rFonts w:hint="eastAsia" w:ascii="宋体" w:hAnsi="宋体" w:eastAsia="宋体" w:cs="Times New Roman"/>
                <w:kern w:val="0"/>
                <w:szCs w:val="21"/>
              </w:rPr>
              <w:t>学科</w:t>
            </w:r>
            <w:r>
              <w:rPr>
                <w:rFonts w:ascii="宋体" w:hAnsi="宋体" w:eastAsia="宋体" w:cs="Times New Roman"/>
                <w:kern w:val="0"/>
                <w:szCs w:val="21"/>
              </w:rPr>
              <w:t>素养</w:t>
            </w:r>
          </w:p>
        </w:tc>
        <w:tc>
          <w:tcPr>
            <w:tcW w:w="3385" w:type="dxa"/>
            <w:vAlign w:val="center"/>
          </w:tcPr>
          <w:p w14:paraId="039FB405">
            <w:pPr>
              <w:spacing w:line="276" w:lineRule="auto"/>
              <w:rPr>
                <w:rFonts w:hint="eastAsia" w:ascii="宋体" w:hAnsi="宋体" w:eastAsia="宋体"/>
                <w:szCs w:val="21"/>
              </w:rPr>
            </w:pPr>
            <w:r>
              <w:rPr>
                <w:rFonts w:ascii="宋体" w:hAnsi="宋体" w:eastAsia="宋体"/>
                <w:b/>
                <w:kern w:val="0"/>
                <w:szCs w:val="21"/>
              </w:rPr>
              <w:t>观测点</w:t>
            </w:r>
            <w:r>
              <w:rPr>
                <w:rFonts w:ascii="宋体" w:hAnsi="宋体" w:eastAsia="宋体" w:cs="Times New Roman"/>
                <w:b/>
                <w:kern w:val="0"/>
                <w:szCs w:val="21"/>
              </w:rPr>
              <w:t>3-1</w:t>
            </w:r>
            <w:r>
              <w:rPr>
                <w:rFonts w:hint="eastAsia" w:ascii="宋体" w:hAnsi="宋体" w:eastAsia="宋体"/>
                <w:szCs w:val="21"/>
              </w:rPr>
              <w:t>具有相应的自然科学和人文社会科学知识素养。</w:t>
            </w:r>
          </w:p>
        </w:tc>
      </w:tr>
      <w:tr w14:paraId="04AE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09" w:type="dxa"/>
            <w:shd w:val="clear" w:color="auto" w:fill="auto"/>
            <w:noWrap/>
            <w:vAlign w:val="center"/>
          </w:tcPr>
          <w:p w14:paraId="7833027D">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w:t>
            </w:r>
          </w:p>
        </w:tc>
        <w:tc>
          <w:tcPr>
            <w:tcW w:w="2835" w:type="dxa"/>
            <w:shd w:val="clear" w:color="auto" w:fill="auto"/>
            <w:noWrap/>
            <w:vAlign w:val="center"/>
          </w:tcPr>
          <w:p w14:paraId="57F35E89">
            <w:pPr>
              <w:spacing w:before="156" w:beforeLines="50" w:after="156" w:afterLines="50" w:line="276" w:lineRule="auto"/>
              <w:rPr>
                <w:rFonts w:hint="eastAsia" w:ascii="宋体" w:hAnsi="宋体" w:eastAsia="宋体" w:cs="Times New Roman"/>
                <w:szCs w:val="21"/>
              </w:rPr>
            </w:pPr>
            <w:r>
              <w:rPr>
                <w:rFonts w:ascii="宋体" w:hAnsi="宋体" w:eastAsia="宋体"/>
                <w:b/>
                <w:kern w:val="0"/>
                <w:szCs w:val="21"/>
              </w:rPr>
              <w:t>目标</w:t>
            </w:r>
            <w:r>
              <w:rPr>
                <w:rFonts w:ascii="宋体" w:hAnsi="宋体" w:eastAsia="宋体" w:cs="Times New Roman"/>
                <w:b/>
                <w:kern w:val="0"/>
                <w:szCs w:val="21"/>
              </w:rPr>
              <w:t>2</w:t>
            </w:r>
            <w:r>
              <w:rPr>
                <w:rFonts w:hint="eastAsia" w:ascii="宋体" w:hAnsi="宋体" w:eastAsia="宋体"/>
                <w:b/>
                <w:kern w:val="0"/>
                <w:szCs w:val="21"/>
              </w:rPr>
              <w:t xml:space="preserve"> ：</w:t>
            </w:r>
            <w:r>
              <w:rPr>
                <w:rFonts w:ascii="宋体" w:hAnsi="宋体" w:eastAsia="宋体" w:cs="Times New Roman"/>
                <w:szCs w:val="21"/>
              </w:rPr>
              <w:t>能够获得课程基本概念与性质，以及本课程要求的计算方法。</w:t>
            </w:r>
          </w:p>
        </w:tc>
        <w:tc>
          <w:tcPr>
            <w:tcW w:w="2296" w:type="dxa"/>
            <w:shd w:val="clear" w:color="auto" w:fill="auto"/>
            <w:noWrap/>
            <w:vAlign w:val="center"/>
          </w:tcPr>
          <w:p w14:paraId="2E7E819E">
            <w:pPr>
              <w:widowControl/>
              <w:spacing w:before="156" w:beforeLines="50" w:after="156" w:afterLines="50" w:line="276" w:lineRule="auto"/>
              <w:rPr>
                <w:rFonts w:hint="eastAsia" w:ascii="宋体" w:hAnsi="宋体" w:eastAsia="宋体"/>
                <w:kern w:val="0"/>
                <w:szCs w:val="21"/>
              </w:rPr>
            </w:pPr>
            <w:r>
              <w:rPr>
                <w:rFonts w:ascii="宋体" w:hAnsi="宋体" w:eastAsia="宋体"/>
                <w:b/>
                <w:kern w:val="0"/>
                <w:szCs w:val="21"/>
              </w:rPr>
              <w:t>毕业要求</w:t>
            </w:r>
            <w:r>
              <w:rPr>
                <w:rFonts w:ascii="宋体" w:hAnsi="宋体" w:eastAsia="宋体" w:cs="Times New Roman"/>
                <w:b/>
                <w:kern w:val="0"/>
                <w:szCs w:val="21"/>
              </w:rPr>
              <w:t>3</w:t>
            </w:r>
            <w:r>
              <w:rPr>
                <w:rFonts w:hint="eastAsia" w:ascii="宋体" w:hAnsi="宋体" w:eastAsia="宋体"/>
                <w:b/>
                <w:kern w:val="0"/>
                <w:szCs w:val="21"/>
              </w:rPr>
              <w:t xml:space="preserve"> </w:t>
            </w:r>
            <w:r>
              <w:rPr>
                <w:rFonts w:ascii="宋体" w:hAnsi="宋体" w:eastAsia="宋体" w:cs="Times New Roman"/>
                <w:kern w:val="0"/>
                <w:szCs w:val="21"/>
              </w:rPr>
              <w:t xml:space="preserve"> </w:t>
            </w:r>
            <w:r>
              <w:rPr>
                <w:rFonts w:hint="eastAsia" w:ascii="宋体" w:hAnsi="宋体" w:eastAsia="宋体" w:cs="Times New Roman"/>
                <w:kern w:val="0"/>
                <w:szCs w:val="21"/>
              </w:rPr>
              <w:t>学科</w:t>
            </w:r>
            <w:r>
              <w:rPr>
                <w:rFonts w:ascii="宋体" w:hAnsi="宋体" w:eastAsia="宋体" w:cs="Times New Roman"/>
                <w:kern w:val="0"/>
                <w:szCs w:val="21"/>
              </w:rPr>
              <w:t>素养</w:t>
            </w:r>
          </w:p>
        </w:tc>
        <w:tc>
          <w:tcPr>
            <w:tcW w:w="3385" w:type="dxa"/>
            <w:vAlign w:val="center"/>
          </w:tcPr>
          <w:p w14:paraId="463F47B1">
            <w:pPr>
              <w:spacing w:line="276" w:lineRule="auto"/>
              <w:rPr>
                <w:rFonts w:hint="eastAsia" w:ascii="宋体" w:hAnsi="宋体" w:eastAsia="宋体"/>
                <w:kern w:val="0"/>
                <w:szCs w:val="21"/>
              </w:rPr>
            </w:pPr>
            <w:r>
              <w:rPr>
                <w:rFonts w:ascii="宋体" w:hAnsi="宋体" w:eastAsia="宋体"/>
                <w:b/>
                <w:kern w:val="0"/>
                <w:szCs w:val="21"/>
              </w:rPr>
              <w:t>观测点</w:t>
            </w:r>
            <w:r>
              <w:rPr>
                <w:rFonts w:ascii="宋体" w:hAnsi="宋体" w:eastAsia="宋体" w:cs="Times New Roman"/>
                <w:b/>
                <w:kern w:val="0"/>
                <w:szCs w:val="21"/>
              </w:rPr>
              <w:t>3-2</w:t>
            </w:r>
            <w:r>
              <w:rPr>
                <w:rFonts w:hint="eastAsia" w:ascii="宋体" w:hAnsi="宋体" w:eastAsia="宋体"/>
                <w:b/>
                <w:kern w:val="0"/>
                <w:szCs w:val="21"/>
              </w:rPr>
              <w:t xml:space="preserve">  </w:t>
            </w:r>
            <w:r>
              <w:rPr>
                <w:rFonts w:hint="eastAsia" w:ascii="宋体" w:hAnsi="宋体" w:eastAsia="宋体"/>
                <w:szCs w:val="21"/>
              </w:rPr>
              <w:t>具有学科专业能力，掌握主教学科的基本知识、原理和技能。</w:t>
            </w:r>
          </w:p>
        </w:tc>
      </w:tr>
      <w:tr w14:paraId="0B44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09" w:type="dxa"/>
            <w:shd w:val="clear" w:color="auto" w:fill="auto"/>
            <w:noWrap/>
            <w:vAlign w:val="center"/>
          </w:tcPr>
          <w:p w14:paraId="2652B16D">
            <w:pPr>
              <w:widowControl/>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3</w:t>
            </w:r>
          </w:p>
        </w:tc>
        <w:tc>
          <w:tcPr>
            <w:tcW w:w="2835" w:type="dxa"/>
            <w:shd w:val="clear" w:color="auto" w:fill="auto"/>
            <w:noWrap/>
            <w:vAlign w:val="center"/>
          </w:tcPr>
          <w:p w14:paraId="4D6D7B89">
            <w:pPr>
              <w:spacing w:before="156" w:beforeLines="50" w:after="156" w:afterLines="50" w:line="276" w:lineRule="auto"/>
              <w:rPr>
                <w:rFonts w:hint="eastAsia" w:ascii="宋体" w:hAnsi="宋体" w:eastAsia="宋体"/>
                <w:b/>
                <w:kern w:val="0"/>
                <w:szCs w:val="21"/>
              </w:rPr>
            </w:pPr>
            <w:r>
              <w:rPr>
                <w:rFonts w:ascii="宋体" w:hAnsi="宋体" w:eastAsia="宋体"/>
                <w:b/>
                <w:kern w:val="0"/>
                <w:szCs w:val="21"/>
              </w:rPr>
              <w:t>目标</w:t>
            </w:r>
            <w:r>
              <w:rPr>
                <w:rFonts w:ascii="宋体" w:hAnsi="宋体" w:eastAsia="宋体" w:cs="Times New Roman"/>
                <w:b/>
                <w:kern w:val="0"/>
                <w:szCs w:val="21"/>
              </w:rPr>
              <w:t>3</w:t>
            </w:r>
            <w:r>
              <w:rPr>
                <w:rFonts w:hint="eastAsia" w:ascii="宋体" w:hAnsi="宋体" w:eastAsia="宋体"/>
                <w:b/>
                <w:kern w:val="0"/>
                <w:szCs w:val="21"/>
              </w:rPr>
              <w:t xml:space="preserve"> ：</w:t>
            </w:r>
            <w:r>
              <w:rPr>
                <w:rFonts w:ascii="宋体" w:hAnsi="宋体" w:eastAsia="宋体" w:cs="Times New Roman"/>
                <w:szCs w:val="21"/>
              </w:rPr>
              <w:t>能够具有一定的数学思维与分析能力。</w:t>
            </w:r>
            <w:r>
              <w:rPr>
                <w:rFonts w:ascii="宋体" w:hAnsi="宋体" w:eastAsia="宋体"/>
                <w:b/>
                <w:kern w:val="0"/>
                <w:szCs w:val="21"/>
              </w:rPr>
              <w:t xml:space="preserve"> </w:t>
            </w:r>
          </w:p>
        </w:tc>
        <w:tc>
          <w:tcPr>
            <w:tcW w:w="2296" w:type="dxa"/>
            <w:shd w:val="clear" w:color="auto" w:fill="auto"/>
            <w:noWrap/>
            <w:vAlign w:val="center"/>
          </w:tcPr>
          <w:p w14:paraId="7C2927E8">
            <w:pPr>
              <w:widowControl/>
              <w:spacing w:before="156" w:beforeLines="50" w:after="156" w:afterLines="50" w:line="276" w:lineRule="auto"/>
              <w:rPr>
                <w:rFonts w:hint="eastAsia" w:ascii="宋体" w:hAnsi="宋体" w:eastAsia="宋体"/>
                <w:b/>
                <w:kern w:val="0"/>
                <w:szCs w:val="21"/>
              </w:rPr>
            </w:pPr>
            <w:r>
              <w:rPr>
                <w:rFonts w:ascii="宋体" w:hAnsi="宋体" w:eastAsia="宋体" w:cs="Times New Roman"/>
                <w:b/>
                <w:spacing w:val="2"/>
                <w:kern w:val="0"/>
                <w:szCs w:val="21"/>
              </w:rPr>
              <w:t>毕业要求6</w:t>
            </w:r>
            <w:r>
              <w:rPr>
                <w:rFonts w:ascii="宋体" w:hAnsi="宋体" w:eastAsia="宋体" w:cs="Times New Roman"/>
                <w:spacing w:val="2"/>
                <w:kern w:val="0"/>
                <w:szCs w:val="21"/>
              </w:rPr>
              <w:t xml:space="preserve">  综合育人</w:t>
            </w:r>
          </w:p>
        </w:tc>
        <w:tc>
          <w:tcPr>
            <w:tcW w:w="3385" w:type="dxa"/>
            <w:vAlign w:val="center"/>
          </w:tcPr>
          <w:p w14:paraId="51ECFA1F">
            <w:pPr>
              <w:spacing w:line="276" w:lineRule="auto"/>
              <w:rPr>
                <w:rFonts w:hint="eastAsia" w:ascii="宋体" w:hAnsi="宋体" w:eastAsia="宋体"/>
                <w:b/>
                <w:kern w:val="0"/>
                <w:szCs w:val="21"/>
              </w:rPr>
            </w:pPr>
            <w:r>
              <w:rPr>
                <w:rFonts w:ascii="宋体" w:hAnsi="宋体" w:eastAsia="宋体"/>
                <w:b/>
                <w:kern w:val="0"/>
                <w:szCs w:val="21"/>
              </w:rPr>
              <w:t>观测点</w:t>
            </w:r>
            <w:r>
              <w:rPr>
                <w:rFonts w:hint="eastAsia" w:ascii="宋体" w:hAnsi="宋体" w:eastAsia="宋体"/>
                <w:b/>
                <w:kern w:val="0"/>
                <w:szCs w:val="21"/>
              </w:rPr>
              <w:t xml:space="preserve"> </w:t>
            </w:r>
            <w:r>
              <w:rPr>
                <w:rFonts w:ascii="宋体" w:hAnsi="宋体" w:eastAsia="宋体" w:cs="Times New Roman"/>
                <w:b/>
                <w:szCs w:val="21"/>
              </w:rPr>
              <w:t>6-2</w:t>
            </w:r>
            <w:r>
              <w:rPr>
                <w:rFonts w:hint="eastAsia" w:ascii="宋体" w:hAnsi="宋体" w:eastAsia="宋体"/>
                <w:szCs w:val="21"/>
              </w:rPr>
              <w:t>具有教书育人的意识，理解学科核心素养和拟任教学科课程独特的育人功能，具备结合学科教学进行育人的意识与能力，注重学科教学中思想政治教育的渗透。</w:t>
            </w:r>
          </w:p>
        </w:tc>
      </w:tr>
      <w:bookmarkEnd w:id="210"/>
    </w:tbl>
    <w:p w14:paraId="5A40BD94">
      <w:pPr>
        <w:spacing w:line="360" w:lineRule="auto"/>
        <w:rPr>
          <w:rFonts w:ascii="Calibri" w:hAnsi="Calibri" w:eastAsia="宋体" w:cs="Times New Roman"/>
          <w:b/>
          <w:kern w:val="0"/>
          <w:sz w:val="24"/>
        </w:rPr>
      </w:pPr>
      <w:r>
        <w:rPr>
          <w:rFonts w:ascii="Calibri" w:hAnsi="Calibri" w:eastAsia="宋体" w:cs="Times New Roman"/>
          <w:b/>
          <w:kern w:val="0"/>
          <w:sz w:val="24"/>
        </w:rPr>
        <w:t xml:space="preserve">     </w:t>
      </w:r>
      <w:bookmarkStart w:id="211" w:name="_Toc19729792"/>
    </w:p>
    <w:p w14:paraId="00B5AFB6">
      <w:pPr>
        <w:spacing w:line="360" w:lineRule="auto"/>
        <w:rPr>
          <w:rFonts w:ascii="Calibri" w:hAnsi="Calibri" w:eastAsia="宋体" w:cs="Times New Roman"/>
          <w:b/>
          <w:sz w:val="24"/>
        </w:rPr>
      </w:pPr>
      <w:r>
        <w:rPr>
          <w:rFonts w:ascii="Calibri" w:hAnsi="Calibri" w:eastAsia="宋体" w:cs="Times New Roman"/>
          <w:b/>
          <w:sz w:val="24"/>
        </w:rPr>
        <w:t>三、课程内容及要求</w:t>
      </w:r>
      <w:bookmarkEnd w:id="211"/>
    </w:p>
    <w:tbl>
      <w:tblPr>
        <w:tblStyle w:val="13"/>
        <w:tblW w:w="9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552"/>
        <w:gridCol w:w="1984"/>
        <w:gridCol w:w="1559"/>
        <w:gridCol w:w="709"/>
        <w:gridCol w:w="709"/>
        <w:gridCol w:w="954"/>
      </w:tblGrid>
      <w:tr w14:paraId="78F7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14:paraId="55227D88">
            <w:pPr>
              <w:snapToGrid w:val="0"/>
              <w:jc w:val="center"/>
              <w:rPr>
                <w:rFonts w:hint="eastAsia" w:ascii="宋体" w:hAnsi="宋体" w:eastAsia="宋体"/>
                <w:b/>
                <w:bCs/>
                <w:szCs w:val="21"/>
              </w:rPr>
            </w:pPr>
            <w:bookmarkStart w:id="212" w:name="_Hlk84690122"/>
            <w:r>
              <w:rPr>
                <w:rFonts w:ascii="宋体" w:hAnsi="宋体" w:eastAsia="宋体"/>
                <w:b/>
                <w:bCs/>
                <w:szCs w:val="21"/>
              </w:rPr>
              <w:t>序号</w:t>
            </w:r>
          </w:p>
        </w:tc>
        <w:tc>
          <w:tcPr>
            <w:tcW w:w="2552" w:type="dxa"/>
            <w:shd w:val="clear" w:color="auto" w:fill="auto"/>
            <w:vAlign w:val="center"/>
          </w:tcPr>
          <w:p w14:paraId="2736AEE3">
            <w:pPr>
              <w:snapToGrid w:val="0"/>
              <w:jc w:val="center"/>
              <w:rPr>
                <w:rFonts w:hint="eastAsia" w:ascii="宋体" w:hAnsi="宋体" w:eastAsia="宋体"/>
                <w:b/>
                <w:bCs/>
                <w:szCs w:val="21"/>
              </w:rPr>
            </w:pPr>
            <w:r>
              <w:rPr>
                <w:rFonts w:ascii="宋体" w:hAnsi="宋体" w:eastAsia="宋体"/>
                <w:b/>
                <w:bCs/>
                <w:szCs w:val="21"/>
              </w:rPr>
              <w:t>教学内容</w:t>
            </w:r>
          </w:p>
        </w:tc>
        <w:tc>
          <w:tcPr>
            <w:tcW w:w="1984" w:type="dxa"/>
            <w:shd w:val="clear" w:color="auto" w:fill="auto"/>
            <w:vAlign w:val="center"/>
          </w:tcPr>
          <w:p w14:paraId="77E00FA8">
            <w:pPr>
              <w:snapToGrid w:val="0"/>
              <w:jc w:val="center"/>
              <w:rPr>
                <w:rFonts w:hint="eastAsia" w:ascii="宋体" w:hAnsi="宋体" w:eastAsia="宋体"/>
                <w:b/>
                <w:bCs/>
                <w:szCs w:val="21"/>
              </w:rPr>
            </w:pPr>
            <w:r>
              <w:rPr>
                <w:rFonts w:ascii="宋体" w:hAnsi="宋体" w:eastAsia="宋体"/>
                <w:b/>
                <w:bCs/>
                <w:szCs w:val="21"/>
              </w:rPr>
              <w:t>思政元素</w:t>
            </w:r>
          </w:p>
        </w:tc>
        <w:tc>
          <w:tcPr>
            <w:tcW w:w="1559" w:type="dxa"/>
            <w:shd w:val="clear" w:color="auto" w:fill="auto"/>
            <w:vAlign w:val="center"/>
          </w:tcPr>
          <w:p w14:paraId="69C58E06">
            <w:pPr>
              <w:snapToGrid w:val="0"/>
              <w:jc w:val="center"/>
              <w:rPr>
                <w:rFonts w:hint="eastAsia" w:ascii="宋体" w:hAnsi="宋体" w:eastAsia="宋体"/>
                <w:b/>
                <w:bCs/>
                <w:szCs w:val="21"/>
              </w:rPr>
            </w:pPr>
            <w:r>
              <w:rPr>
                <w:rFonts w:ascii="宋体" w:hAnsi="宋体" w:eastAsia="宋体"/>
                <w:b/>
                <w:bCs/>
                <w:szCs w:val="21"/>
              </w:rPr>
              <w:t>预期学习成果</w:t>
            </w:r>
          </w:p>
        </w:tc>
        <w:tc>
          <w:tcPr>
            <w:tcW w:w="709" w:type="dxa"/>
            <w:shd w:val="clear" w:color="auto" w:fill="auto"/>
            <w:vAlign w:val="center"/>
          </w:tcPr>
          <w:p w14:paraId="5AE66EE5">
            <w:pPr>
              <w:snapToGrid w:val="0"/>
              <w:jc w:val="center"/>
              <w:rPr>
                <w:rFonts w:hint="eastAsia" w:ascii="宋体" w:hAnsi="宋体" w:eastAsia="宋体"/>
                <w:b/>
                <w:bCs/>
                <w:szCs w:val="21"/>
              </w:rPr>
            </w:pPr>
            <w:r>
              <w:rPr>
                <w:rFonts w:ascii="宋体" w:hAnsi="宋体" w:eastAsia="宋体"/>
                <w:b/>
                <w:bCs/>
                <w:szCs w:val="21"/>
              </w:rPr>
              <w:t>教学学时</w:t>
            </w:r>
          </w:p>
        </w:tc>
        <w:tc>
          <w:tcPr>
            <w:tcW w:w="709" w:type="dxa"/>
            <w:shd w:val="clear" w:color="auto" w:fill="auto"/>
            <w:vAlign w:val="center"/>
          </w:tcPr>
          <w:p w14:paraId="5539248D">
            <w:pPr>
              <w:snapToGrid w:val="0"/>
              <w:jc w:val="center"/>
              <w:rPr>
                <w:rFonts w:hint="eastAsia" w:ascii="宋体" w:hAnsi="宋体" w:eastAsia="宋体"/>
                <w:b/>
                <w:bCs/>
                <w:szCs w:val="21"/>
              </w:rPr>
            </w:pPr>
            <w:r>
              <w:rPr>
                <w:rFonts w:ascii="宋体" w:hAnsi="宋体" w:eastAsia="宋体"/>
                <w:b/>
                <w:bCs/>
                <w:szCs w:val="21"/>
              </w:rPr>
              <w:t>教学方式</w:t>
            </w:r>
          </w:p>
        </w:tc>
        <w:tc>
          <w:tcPr>
            <w:tcW w:w="954" w:type="dxa"/>
            <w:shd w:val="clear" w:color="auto" w:fill="auto"/>
            <w:vAlign w:val="center"/>
          </w:tcPr>
          <w:p w14:paraId="0C3C1B81">
            <w:pPr>
              <w:snapToGrid w:val="0"/>
              <w:jc w:val="center"/>
              <w:rPr>
                <w:rFonts w:hint="eastAsia" w:ascii="宋体" w:hAnsi="宋体" w:eastAsia="宋体"/>
                <w:b/>
                <w:bCs/>
                <w:szCs w:val="21"/>
              </w:rPr>
            </w:pPr>
            <w:r>
              <w:rPr>
                <w:rFonts w:ascii="宋体" w:hAnsi="宋体" w:eastAsia="宋体"/>
                <w:b/>
                <w:bCs/>
                <w:szCs w:val="21"/>
              </w:rPr>
              <w:t>支撑课程目标</w:t>
            </w:r>
          </w:p>
        </w:tc>
      </w:tr>
      <w:tr w14:paraId="0711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14:paraId="56B3DA49">
            <w:pPr>
              <w:snapToGrid w:val="0"/>
              <w:rPr>
                <w:rFonts w:hint="eastAsia" w:ascii="宋体" w:hAnsi="宋体" w:eastAsia="宋体" w:cs="Times New Roman"/>
                <w:szCs w:val="21"/>
                <w:highlight w:val="yellow"/>
              </w:rPr>
            </w:pPr>
            <w:r>
              <w:rPr>
                <w:rFonts w:ascii="宋体" w:hAnsi="宋体" w:eastAsia="宋体" w:cs="Times New Roman"/>
                <w:szCs w:val="21"/>
              </w:rPr>
              <w:t>1</w:t>
            </w:r>
          </w:p>
        </w:tc>
        <w:tc>
          <w:tcPr>
            <w:tcW w:w="2552" w:type="dxa"/>
            <w:shd w:val="clear" w:color="auto" w:fill="auto"/>
            <w:vAlign w:val="center"/>
          </w:tcPr>
          <w:p w14:paraId="4CCA08A5">
            <w:pPr>
              <w:snapToGrid w:val="0"/>
              <w:rPr>
                <w:rFonts w:hint="eastAsia" w:ascii="宋体" w:hAnsi="宋体" w:eastAsia="宋体"/>
                <w:b/>
                <w:szCs w:val="21"/>
                <w:highlight w:val="yellow"/>
              </w:rPr>
            </w:pPr>
            <w:r>
              <w:rPr>
                <w:rFonts w:ascii="宋体" w:hAnsi="宋体" w:eastAsia="宋体" w:cs="Times New Roman"/>
                <w:b/>
                <w:kern w:val="0"/>
                <w:szCs w:val="21"/>
              </w:rPr>
              <w:t>多项式</w:t>
            </w:r>
            <w:r>
              <w:rPr>
                <w:rFonts w:hint="eastAsia" w:ascii="宋体" w:hAnsi="宋体" w:eastAsia="宋体"/>
                <w:b/>
                <w:szCs w:val="21"/>
              </w:rPr>
              <w:t>：</w:t>
            </w:r>
          </w:p>
          <w:p w14:paraId="7DBA91E1">
            <w:pPr>
              <w:snapToGrid w:val="0"/>
              <w:rPr>
                <w:rFonts w:hint="eastAsia" w:ascii="宋体" w:hAnsi="宋体" w:eastAsia="宋体" w:cs="Times New Roman"/>
                <w:szCs w:val="21"/>
              </w:rPr>
            </w:pPr>
            <w:r>
              <w:rPr>
                <w:rFonts w:hint="eastAsia" w:ascii="宋体" w:hAnsi="宋体" w:eastAsia="宋体" w:cs="Times New Roman"/>
                <w:szCs w:val="21"/>
              </w:rPr>
              <w:t>数的基本知识；</w:t>
            </w:r>
            <w:r>
              <w:rPr>
                <w:rFonts w:ascii="宋体" w:hAnsi="宋体" w:eastAsia="宋体" w:cs="Times New Roman"/>
                <w:szCs w:val="21"/>
              </w:rPr>
              <w:t>一元多项式的定义及有关概念</w:t>
            </w:r>
            <w:r>
              <w:rPr>
                <w:rFonts w:hint="eastAsia" w:ascii="宋体" w:hAnsi="宋体" w:eastAsia="宋体" w:cs="Times New Roman"/>
                <w:szCs w:val="21"/>
              </w:rPr>
              <w:t>；</w:t>
            </w:r>
            <w:r>
              <w:rPr>
                <w:rFonts w:ascii="宋体" w:hAnsi="宋体" w:eastAsia="宋体" w:cs="Times New Roman"/>
                <w:szCs w:val="21"/>
              </w:rPr>
              <w:t>多项式的带余除法、整除的定义及基本性质</w:t>
            </w:r>
            <w:r>
              <w:rPr>
                <w:rFonts w:hint="eastAsia" w:ascii="宋体" w:hAnsi="宋体" w:eastAsia="宋体" w:cs="Times New Roman"/>
                <w:szCs w:val="21"/>
              </w:rPr>
              <w:t>；</w:t>
            </w:r>
            <w:r>
              <w:rPr>
                <w:rFonts w:ascii="宋体" w:hAnsi="宋体" w:eastAsia="宋体" w:cs="Times New Roman"/>
                <w:szCs w:val="21"/>
              </w:rPr>
              <w:t>最大公因式</w:t>
            </w:r>
            <w:r>
              <w:rPr>
                <w:rFonts w:hint="eastAsia" w:ascii="宋体" w:hAnsi="宋体" w:eastAsia="宋体" w:cs="Times New Roman"/>
                <w:szCs w:val="21"/>
              </w:rPr>
              <w:t>及其</w:t>
            </w:r>
            <w:r>
              <w:rPr>
                <w:rFonts w:ascii="宋体" w:hAnsi="宋体" w:eastAsia="宋体" w:cs="Times New Roman"/>
                <w:szCs w:val="21"/>
              </w:rPr>
              <w:t>求法</w:t>
            </w:r>
            <w:r>
              <w:rPr>
                <w:rFonts w:hint="eastAsia" w:ascii="宋体" w:hAnsi="宋体" w:eastAsia="宋体" w:cs="Times New Roman"/>
                <w:szCs w:val="21"/>
              </w:rPr>
              <w:t>；</w:t>
            </w:r>
            <w:r>
              <w:rPr>
                <w:rFonts w:ascii="宋体" w:hAnsi="宋体" w:eastAsia="宋体" w:cs="Times New Roman"/>
                <w:szCs w:val="21"/>
              </w:rPr>
              <w:t>不可约多项式的定义及基本性质，多项式因式分解定理</w:t>
            </w:r>
            <w:r>
              <w:rPr>
                <w:rFonts w:hint="eastAsia" w:ascii="宋体" w:hAnsi="宋体" w:eastAsia="宋体" w:cs="Times New Roman"/>
                <w:szCs w:val="21"/>
              </w:rPr>
              <w:t>；</w:t>
            </w:r>
            <w:r>
              <w:rPr>
                <w:rFonts w:ascii="宋体" w:hAnsi="宋体" w:eastAsia="宋体" w:cs="Times New Roman"/>
                <w:szCs w:val="21"/>
              </w:rPr>
              <w:t>多项式</w:t>
            </w:r>
            <w:r>
              <w:rPr>
                <w:rFonts w:hint="eastAsia" w:ascii="宋体" w:hAnsi="宋体" w:eastAsia="宋体" w:cs="Times New Roman"/>
                <w:szCs w:val="21"/>
              </w:rPr>
              <w:t>的</w:t>
            </w:r>
            <w:r>
              <w:rPr>
                <w:rFonts w:ascii="宋体" w:hAnsi="宋体" w:eastAsia="宋体" w:cs="Times New Roman"/>
                <w:szCs w:val="21"/>
              </w:rPr>
              <w:t>重因式及多项式的互质</w:t>
            </w:r>
            <w:r>
              <w:rPr>
                <w:rFonts w:hint="eastAsia" w:ascii="宋体" w:hAnsi="宋体" w:eastAsia="宋体" w:cs="Times New Roman"/>
                <w:szCs w:val="21"/>
              </w:rPr>
              <w:t>；</w:t>
            </w:r>
            <w:r>
              <w:rPr>
                <w:rFonts w:ascii="宋体" w:hAnsi="宋体" w:eastAsia="宋体" w:cs="Times New Roman"/>
                <w:szCs w:val="21"/>
              </w:rPr>
              <w:t>多项式</w:t>
            </w:r>
            <w:r>
              <w:rPr>
                <w:rFonts w:hint="eastAsia" w:ascii="宋体" w:hAnsi="宋体" w:eastAsia="宋体" w:cs="Times New Roman"/>
                <w:szCs w:val="21"/>
              </w:rPr>
              <w:t>的</w:t>
            </w:r>
            <w:r>
              <w:rPr>
                <w:rFonts w:ascii="宋体" w:hAnsi="宋体" w:eastAsia="宋体" w:cs="Times New Roman"/>
                <w:szCs w:val="21"/>
              </w:rPr>
              <w:t>标准分解式</w:t>
            </w:r>
            <w:r>
              <w:rPr>
                <w:rFonts w:hint="eastAsia" w:ascii="宋体" w:hAnsi="宋体" w:eastAsia="宋体" w:cs="Times New Roman"/>
                <w:szCs w:val="21"/>
              </w:rPr>
              <w:t>；特殊域上的</w:t>
            </w:r>
            <w:r>
              <w:rPr>
                <w:rFonts w:ascii="宋体" w:hAnsi="宋体" w:eastAsia="宋体" w:cs="Times New Roman"/>
                <w:szCs w:val="21"/>
              </w:rPr>
              <w:t>多项式</w:t>
            </w:r>
            <w:r>
              <w:rPr>
                <w:rFonts w:hint="eastAsia" w:ascii="宋体" w:hAnsi="宋体" w:eastAsia="宋体" w:cs="Times New Roman"/>
                <w:szCs w:val="21"/>
              </w:rPr>
              <w:t>。</w:t>
            </w:r>
          </w:p>
          <w:p w14:paraId="797B732C">
            <w:pPr>
              <w:snapToGrid w:val="0"/>
              <w:rPr>
                <w:rFonts w:hint="eastAsia" w:ascii="宋体" w:hAnsi="宋体" w:eastAsia="宋体"/>
                <w:b/>
                <w:szCs w:val="21"/>
              </w:rPr>
            </w:pPr>
            <w:r>
              <w:rPr>
                <w:rFonts w:ascii="宋体" w:hAnsi="宋体" w:eastAsia="宋体"/>
                <w:b/>
                <w:szCs w:val="21"/>
              </w:rPr>
              <w:t>重点难点：</w:t>
            </w:r>
          </w:p>
          <w:p w14:paraId="0FFE6ABB">
            <w:pPr>
              <w:snapToGrid w:val="0"/>
              <w:rPr>
                <w:rFonts w:hint="eastAsia" w:ascii="宋体" w:hAnsi="宋体" w:eastAsia="宋体"/>
                <w:szCs w:val="21"/>
              </w:rPr>
            </w:pPr>
            <w:r>
              <w:rPr>
                <w:rFonts w:ascii="宋体" w:hAnsi="宋体" w:eastAsia="宋体" w:cs="Times New Roman"/>
                <w:szCs w:val="21"/>
              </w:rPr>
              <w:t>多项式的整除，最大公因式，因式分解定理</w:t>
            </w:r>
            <w:r>
              <w:rPr>
                <w:rFonts w:hint="eastAsia" w:ascii="宋体" w:hAnsi="宋体" w:eastAsia="宋体" w:cs="Times New Roman"/>
                <w:szCs w:val="21"/>
              </w:rPr>
              <w:t>。</w:t>
            </w:r>
          </w:p>
        </w:tc>
        <w:tc>
          <w:tcPr>
            <w:tcW w:w="1984" w:type="dxa"/>
            <w:shd w:val="clear" w:color="auto" w:fill="auto"/>
          </w:tcPr>
          <w:p w14:paraId="2E513245">
            <w:pPr>
              <w:snapToGrid w:val="0"/>
              <w:rPr>
                <w:rFonts w:hint="eastAsia" w:ascii="宋体" w:hAnsi="宋体" w:eastAsia="宋体"/>
                <w:kern w:val="0"/>
                <w:szCs w:val="21"/>
                <w:highlight w:val="cyan"/>
                <w:shd w:val="pct15" w:color="auto" w:fill="FFFFFF"/>
              </w:rPr>
            </w:pPr>
            <w:r>
              <w:rPr>
                <w:rFonts w:ascii="宋体" w:hAnsi="宋体" w:eastAsia="宋体" w:cs="Times New Roman"/>
                <w:szCs w:val="21"/>
              </w:rPr>
              <w:t>(1)</w:t>
            </w:r>
            <w:r>
              <w:rPr>
                <w:rFonts w:hint="eastAsia" w:ascii="宋体" w:hAnsi="宋体" w:eastAsia="宋体"/>
                <w:szCs w:val="21"/>
              </w:rPr>
              <w:t>培养学生科学的历史观，增强学生的自信心和民族自豪感，提升爱国主义情怀。(秦九韶程序算法计算</w:t>
            </w:r>
            <w:r>
              <w:rPr>
                <w:rFonts w:ascii="宋体" w:hAnsi="宋体" w:eastAsia="宋体" w:cs="Times New Roman"/>
                <w:i/>
                <w:szCs w:val="21"/>
              </w:rPr>
              <w:t>x</w:t>
            </w:r>
            <w:r>
              <w:rPr>
                <w:rFonts w:ascii="宋体" w:hAnsi="宋体" w:eastAsia="宋体" w:cs="Times New Roman"/>
                <w:szCs w:val="21"/>
              </w:rPr>
              <w:t></w:t>
            </w:r>
            <w:r>
              <w:rPr>
                <w:rFonts w:ascii="宋体" w:hAnsi="宋体" w:eastAsia="宋体" w:cs="Times New Roman"/>
                <w:i/>
                <w:szCs w:val="21"/>
              </w:rPr>
              <w:t>b</w:t>
            </w:r>
            <w:r>
              <w:rPr>
                <w:rFonts w:hint="eastAsia" w:ascii="宋体" w:hAnsi="宋体" w:eastAsia="宋体"/>
                <w:szCs w:val="21"/>
              </w:rPr>
              <w:t>除</w:t>
            </w:r>
            <w:r>
              <w:rPr>
                <w:rFonts w:ascii="宋体" w:hAnsi="宋体" w:eastAsia="宋体" w:cs="Times New Roman"/>
                <w:i/>
                <w:szCs w:val="21"/>
              </w:rPr>
              <w:t>f</w:t>
            </w:r>
            <w:r>
              <w:rPr>
                <w:rFonts w:ascii="宋体" w:hAnsi="宋体" w:eastAsia="宋体" w:cs="Times New Roman"/>
                <w:szCs w:val="21"/>
              </w:rPr>
              <w:t>(</w:t>
            </w:r>
            <w:r>
              <w:rPr>
                <w:rFonts w:ascii="宋体" w:hAnsi="宋体" w:eastAsia="宋体" w:cs="Times New Roman"/>
                <w:i/>
                <w:szCs w:val="21"/>
              </w:rPr>
              <w:t>x</w:t>
            </w:r>
            <w:r>
              <w:rPr>
                <w:rFonts w:ascii="宋体" w:hAnsi="宋体" w:eastAsia="宋体" w:cs="Times New Roman"/>
                <w:szCs w:val="21"/>
              </w:rPr>
              <w:t>)</w:t>
            </w:r>
            <w:r>
              <w:rPr>
                <w:rFonts w:hint="eastAsia" w:ascii="宋体" w:hAnsi="宋体" w:eastAsia="宋体"/>
                <w:szCs w:val="21"/>
              </w:rPr>
              <w:t>所得余式与商式)；</w:t>
            </w:r>
            <w:r>
              <w:rPr>
                <w:rFonts w:ascii="宋体" w:hAnsi="宋体" w:eastAsia="宋体" w:cs="Times New Roman"/>
                <w:szCs w:val="21"/>
              </w:rPr>
              <w:t>(2)</w:t>
            </w:r>
            <w:r>
              <w:rPr>
                <w:rFonts w:hint="eastAsia" w:ascii="宋体" w:hAnsi="宋体" w:eastAsia="宋体"/>
                <w:color w:val="101111"/>
                <w:spacing w:val="7"/>
                <w:szCs w:val="21"/>
              </w:rPr>
              <w:t xml:space="preserve"> </w:t>
            </w:r>
            <w:r>
              <w:rPr>
                <w:rFonts w:hint="eastAsia" w:ascii="宋体" w:hAnsi="宋体" w:eastAsia="宋体"/>
                <w:szCs w:val="21"/>
              </w:rPr>
              <w:t>通过数学家的故事，培养学生积极进取、百折不挠的艰苦奋斗精神(高斯与代数基本定理</w:t>
            </w:r>
            <w:r>
              <w:rPr>
                <w:rFonts w:ascii="宋体" w:hAnsi="宋体" w:eastAsia="宋体"/>
                <w:szCs w:val="21"/>
              </w:rPr>
              <w:t>)</w:t>
            </w:r>
            <w:r>
              <w:rPr>
                <w:rFonts w:hint="eastAsia" w:ascii="宋体" w:hAnsi="宋体" w:eastAsia="宋体"/>
                <w:szCs w:val="21"/>
              </w:rPr>
              <w:t>。</w:t>
            </w:r>
          </w:p>
        </w:tc>
        <w:tc>
          <w:tcPr>
            <w:tcW w:w="1559" w:type="dxa"/>
            <w:shd w:val="clear" w:color="auto" w:fill="auto"/>
          </w:tcPr>
          <w:p w14:paraId="7C024C97">
            <w:pPr>
              <w:snapToGrid w:val="0"/>
              <w:rPr>
                <w:rFonts w:hint="eastAsia" w:ascii="宋体" w:hAnsi="宋体" w:eastAsia="宋体" w:cs="Times New Roman"/>
                <w:szCs w:val="21"/>
              </w:rPr>
            </w:pPr>
            <w:r>
              <w:rPr>
                <w:rFonts w:ascii="宋体" w:hAnsi="宋体" w:eastAsia="宋体" w:cs="Times New Roman"/>
                <w:szCs w:val="21"/>
              </w:rPr>
              <w:t>（1）理解一元多项式的概念</w:t>
            </w:r>
            <w:r>
              <w:rPr>
                <w:rFonts w:hint="eastAsia" w:ascii="宋体" w:hAnsi="宋体" w:eastAsia="宋体" w:cs="Times New Roman"/>
                <w:szCs w:val="21"/>
              </w:rPr>
              <w:t>；</w:t>
            </w:r>
          </w:p>
          <w:p w14:paraId="7F4140A7">
            <w:pPr>
              <w:snapToGrid w:val="0"/>
              <w:rPr>
                <w:rFonts w:hint="eastAsia" w:ascii="宋体" w:hAnsi="宋体" w:eastAsia="宋体" w:cs="Times New Roman"/>
                <w:szCs w:val="21"/>
              </w:rPr>
            </w:pPr>
            <w:r>
              <w:rPr>
                <w:rFonts w:ascii="宋体" w:hAnsi="宋体" w:eastAsia="宋体" w:cs="Times New Roman"/>
                <w:szCs w:val="21"/>
              </w:rPr>
              <w:t>（2）掌握多项式的各种运算</w:t>
            </w:r>
            <w:r>
              <w:rPr>
                <w:rFonts w:hint="eastAsia" w:ascii="宋体" w:hAnsi="宋体" w:eastAsia="宋体" w:cs="Times New Roman"/>
                <w:szCs w:val="21"/>
              </w:rPr>
              <w:t>；</w:t>
            </w:r>
          </w:p>
          <w:p w14:paraId="055A33FE">
            <w:pPr>
              <w:snapToGrid w:val="0"/>
              <w:rPr>
                <w:rFonts w:hint="eastAsia" w:ascii="宋体" w:hAnsi="宋体" w:eastAsia="宋体"/>
                <w:szCs w:val="21"/>
              </w:rPr>
            </w:pPr>
            <w:r>
              <w:rPr>
                <w:rFonts w:ascii="宋体" w:hAnsi="宋体" w:eastAsia="宋体" w:cs="Times New Roman"/>
                <w:szCs w:val="21"/>
              </w:rPr>
              <w:t>（3）会将多项式</w:t>
            </w:r>
            <w:r>
              <w:rPr>
                <w:rFonts w:hint="eastAsia" w:ascii="宋体" w:hAnsi="宋体" w:eastAsia="宋体" w:cs="Times New Roman"/>
                <w:szCs w:val="21"/>
              </w:rPr>
              <w:t>在指定域上</w:t>
            </w:r>
            <w:r>
              <w:rPr>
                <w:rFonts w:ascii="宋体" w:hAnsi="宋体" w:eastAsia="宋体" w:cs="Times New Roman"/>
                <w:szCs w:val="21"/>
              </w:rPr>
              <w:t>进行因式分解</w:t>
            </w:r>
            <w:r>
              <w:rPr>
                <w:rFonts w:hint="eastAsia" w:ascii="宋体" w:hAnsi="宋体" w:eastAsia="宋体" w:cs="Times New Roman"/>
                <w:szCs w:val="21"/>
              </w:rPr>
              <w:t>。</w:t>
            </w:r>
          </w:p>
        </w:tc>
        <w:tc>
          <w:tcPr>
            <w:tcW w:w="709" w:type="dxa"/>
            <w:shd w:val="clear" w:color="auto" w:fill="auto"/>
            <w:vAlign w:val="center"/>
          </w:tcPr>
          <w:p w14:paraId="70894B59">
            <w:pPr>
              <w:snapToGrid w:val="0"/>
              <w:rPr>
                <w:rFonts w:hint="eastAsia" w:ascii="宋体" w:hAnsi="宋体" w:eastAsia="宋体" w:cs="Times New Roman"/>
                <w:szCs w:val="21"/>
                <w:highlight w:val="yellow"/>
              </w:rPr>
            </w:pPr>
            <w:r>
              <w:rPr>
                <w:rFonts w:ascii="宋体" w:hAnsi="宋体" w:eastAsia="宋体" w:cs="Times New Roman"/>
                <w:szCs w:val="21"/>
              </w:rPr>
              <w:t>14</w:t>
            </w:r>
          </w:p>
        </w:tc>
        <w:tc>
          <w:tcPr>
            <w:tcW w:w="709" w:type="dxa"/>
            <w:shd w:val="clear" w:color="auto" w:fill="auto"/>
            <w:vAlign w:val="center"/>
          </w:tcPr>
          <w:p w14:paraId="5E1C7863">
            <w:pPr>
              <w:snapToGrid w:val="0"/>
              <w:rPr>
                <w:rFonts w:hint="eastAsia" w:ascii="宋体" w:hAnsi="宋体" w:eastAsia="宋体"/>
                <w:szCs w:val="21"/>
              </w:rPr>
            </w:pPr>
            <w:r>
              <w:rPr>
                <w:rFonts w:hint="eastAsia" w:ascii="宋体" w:hAnsi="宋体" w:eastAsia="宋体"/>
                <w:szCs w:val="21"/>
              </w:rPr>
              <w:t>讲授</w:t>
            </w:r>
          </w:p>
        </w:tc>
        <w:tc>
          <w:tcPr>
            <w:tcW w:w="954" w:type="dxa"/>
            <w:shd w:val="clear" w:color="auto" w:fill="auto"/>
            <w:vAlign w:val="center"/>
          </w:tcPr>
          <w:p w14:paraId="05434CE7">
            <w:pPr>
              <w:snapToGrid w:val="0"/>
              <w:rPr>
                <w:rFonts w:hint="eastAsia" w:ascii="宋体" w:hAnsi="宋体" w:eastAsia="宋体" w:cs="Times New Roman"/>
                <w:szCs w:val="21"/>
              </w:rPr>
            </w:pPr>
            <w:r>
              <w:rPr>
                <w:rFonts w:ascii="宋体" w:hAnsi="宋体" w:eastAsia="宋体" w:cs="Times New Roman"/>
                <w:szCs w:val="21"/>
              </w:rPr>
              <w:t>目标1</w:t>
            </w:r>
          </w:p>
          <w:p w14:paraId="01E9F2B8">
            <w:pPr>
              <w:snapToGrid w:val="0"/>
              <w:rPr>
                <w:rFonts w:hint="eastAsia" w:ascii="宋体" w:hAnsi="宋体" w:eastAsia="宋体"/>
                <w:szCs w:val="21"/>
              </w:rPr>
            </w:pPr>
            <w:r>
              <w:rPr>
                <w:rFonts w:ascii="宋体" w:hAnsi="宋体" w:eastAsia="宋体" w:cs="Times New Roman"/>
                <w:szCs w:val="21"/>
              </w:rPr>
              <w:t>目标2</w:t>
            </w:r>
          </w:p>
        </w:tc>
      </w:tr>
      <w:tr w14:paraId="48D8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14:paraId="37A5E06A">
            <w:pPr>
              <w:snapToGrid w:val="0"/>
              <w:rPr>
                <w:rFonts w:hint="eastAsia" w:ascii="宋体" w:hAnsi="宋体" w:eastAsia="宋体" w:cs="Times New Roman"/>
                <w:szCs w:val="21"/>
              </w:rPr>
            </w:pPr>
            <w:r>
              <w:rPr>
                <w:rFonts w:hint="eastAsia" w:ascii="宋体" w:hAnsi="宋体" w:eastAsia="宋体" w:cs="Times New Roman"/>
                <w:szCs w:val="21"/>
              </w:rPr>
              <w:t>2</w:t>
            </w:r>
          </w:p>
        </w:tc>
        <w:tc>
          <w:tcPr>
            <w:tcW w:w="2552" w:type="dxa"/>
            <w:shd w:val="clear" w:color="auto" w:fill="auto"/>
            <w:vAlign w:val="center"/>
          </w:tcPr>
          <w:p w14:paraId="719F1BF6">
            <w:pPr>
              <w:snapToGrid w:val="0"/>
              <w:rPr>
                <w:rFonts w:hint="eastAsia" w:ascii="宋体" w:hAnsi="宋体" w:eastAsia="宋体" w:cs="Times New Roman"/>
                <w:b/>
                <w:szCs w:val="21"/>
              </w:rPr>
            </w:pPr>
            <w:r>
              <w:rPr>
                <w:rFonts w:ascii="宋体" w:hAnsi="宋体" w:eastAsia="宋体" w:cs="Times New Roman"/>
                <w:b/>
                <w:szCs w:val="21"/>
              </w:rPr>
              <w:t>行列式</w:t>
            </w:r>
            <w:r>
              <w:rPr>
                <w:rFonts w:hint="eastAsia" w:ascii="宋体" w:hAnsi="宋体" w:eastAsia="宋体" w:cs="Times New Roman"/>
                <w:b/>
                <w:szCs w:val="21"/>
              </w:rPr>
              <w:t>：</w:t>
            </w:r>
          </w:p>
          <w:p w14:paraId="000098A5">
            <w:pPr>
              <w:snapToGrid w:val="0"/>
              <w:rPr>
                <w:rFonts w:hint="eastAsia" w:ascii="宋体" w:hAnsi="宋体" w:eastAsia="宋体" w:cs="Times New Roman"/>
                <w:szCs w:val="21"/>
              </w:rPr>
            </w:pPr>
            <w:r>
              <w:rPr>
                <w:rFonts w:ascii="宋体" w:hAnsi="宋体" w:eastAsia="宋体" w:cs="Times New Roman"/>
                <w:szCs w:val="21"/>
              </w:rPr>
              <w:t>排列的定义及有关结论</w:t>
            </w:r>
            <w:r>
              <w:rPr>
                <w:rFonts w:hint="eastAsia" w:ascii="宋体" w:hAnsi="宋体" w:eastAsia="宋体" w:cs="Times New Roman"/>
                <w:szCs w:val="21"/>
              </w:rPr>
              <w:t>；</w:t>
            </w:r>
            <w:r>
              <w:rPr>
                <w:rFonts w:ascii="宋体" w:hAnsi="宋体" w:eastAsia="宋体" w:cs="Times New Roman"/>
                <w:szCs w:val="21"/>
              </w:rPr>
              <w:t>用对角线法则计算2、3阶行列式</w:t>
            </w:r>
            <w:r>
              <w:rPr>
                <w:rFonts w:hint="eastAsia" w:ascii="宋体" w:hAnsi="宋体" w:eastAsia="宋体" w:cs="Times New Roman"/>
                <w:szCs w:val="21"/>
              </w:rPr>
              <w:t>；</w:t>
            </w:r>
            <w:r>
              <w:rPr>
                <w:rFonts w:ascii="宋体" w:hAnsi="宋体" w:eastAsia="宋体" w:cs="Times New Roman"/>
                <w:szCs w:val="21"/>
              </w:rPr>
              <w:t>行列式的定义与性质</w:t>
            </w:r>
            <w:r>
              <w:rPr>
                <w:rFonts w:hint="eastAsia" w:ascii="宋体" w:hAnsi="宋体" w:eastAsia="宋体" w:cs="Times New Roman"/>
                <w:szCs w:val="21"/>
              </w:rPr>
              <w:t>；行列式的按行(列</w:t>
            </w:r>
            <w:r>
              <w:rPr>
                <w:rFonts w:ascii="宋体" w:hAnsi="宋体" w:eastAsia="宋体" w:cs="Times New Roman"/>
                <w:szCs w:val="21"/>
              </w:rPr>
              <w:t>)</w:t>
            </w:r>
            <w:r>
              <w:rPr>
                <w:rFonts w:hint="eastAsia" w:ascii="宋体" w:hAnsi="宋体" w:eastAsia="宋体" w:cs="Times New Roman"/>
                <w:szCs w:val="21"/>
              </w:rPr>
              <w:t>展开；</w:t>
            </w:r>
            <w:r>
              <w:rPr>
                <w:rFonts w:ascii="宋体" w:hAnsi="宋体" w:eastAsia="宋体" w:cs="Times New Roman"/>
                <w:szCs w:val="21"/>
              </w:rPr>
              <w:t>利用行列式的有关性质计算行列式</w:t>
            </w:r>
            <w:r>
              <w:rPr>
                <w:rFonts w:hint="eastAsia" w:ascii="宋体" w:hAnsi="宋体" w:eastAsia="宋体" w:cs="Times New Roman"/>
                <w:szCs w:val="21"/>
              </w:rPr>
              <w:t>；</w:t>
            </w:r>
            <w:r>
              <w:rPr>
                <w:rFonts w:ascii="宋体" w:hAnsi="宋体" w:eastAsia="宋体" w:cs="Times New Roman"/>
                <w:szCs w:val="21"/>
              </w:rPr>
              <w:t>利用克拉默法则解线性方程组</w:t>
            </w:r>
            <w:r>
              <w:rPr>
                <w:rFonts w:hint="eastAsia" w:ascii="宋体" w:hAnsi="宋体" w:eastAsia="宋体" w:cs="Times New Roman"/>
                <w:szCs w:val="21"/>
              </w:rPr>
              <w:t>。</w:t>
            </w:r>
          </w:p>
          <w:p w14:paraId="31EC9130">
            <w:pPr>
              <w:snapToGrid w:val="0"/>
              <w:rPr>
                <w:rFonts w:hint="eastAsia" w:ascii="宋体" w:hAnsi="宋体" w:eastAsia="宋体" w:cs="Times New Roman"/>
                <w:b/>
                <w:szCs w:val="21"/>
              </w:rPr>
            </w:pPr>
            <w:r>
              <w:rPr>
                <w:rFonts w:ascii="宋体" w:hAnsi="宋体" w:eastAsia="宋体" w:cs="Times New Roman"/>
                <w:b/>
                <w:szCs w:val="21"/>
              </w:rPr>
              <w:t>重点</w:t>
            </w:r>
            <w:r>
              <w:rPr>
                <w:rFonts w:hint="eastAsia" w:ascii="宋体" w:hAnsi="宋体" w:eastAsia="宋体" w:cs="Times New Roman"/>
                <w:b/>
                <w:szCs w:val="21"/>
              </w:rPr>
              <w:t>难点</w:t>
            </w:r>
            <w:r>
              <w:rPr>
                <w:rFonts w:ascii="宋体" w:hAnsi="宋体" w:eastAsia="宋体" w:cs="Times New Roman"/>
                <w:b/>
                <w:szCs w:val="21"/>
              </w:rPr>
              <w:t>：</w:t>
            </w:r>
          </w:p>
          <w:p w14:paraId="5B8AAE76">
            <w:pPr>
              <w:snapToGrid w:val="0"/>
              <w:rPr>
                <w:rFonts w:hint="eastAsia" w:ascii="宋体" w:hAnsi="宋体" w:eastAsia="宋体" w:cs="Times New Roman"/>
                <w:b/>
                <w:kern w:val="0"/>
                <w:szCs w:val="21"/>
              </w:rPr>
            </w:pPr>
            <w:r>
              <w:rPr>
                <w:rFonts w:ascii="宋体" w:hAnsi="宋体" w:eastAsia="宋体" w:cs="Times New Roman"/>
                <w:szCs w:val="21"/>
              </w:rPr>
              <w:t>行列式的定义与计算，利用克拉默法则解线性方程组</w:t>
            </w:r>
            <w:r>
              <w:rPr>
                <w:rFonts w:hint="eastAsia" w:ascii="宋体" w:hAnsi="宋体" w:eastAsia="宋体" w:cs="Times New Roman"/>
                <w:szCs w:val="21"/>
              </w:rPr>
              <w:t>。</w:t>
            </w:r>
          </w:p>
        </w:tc>
        <w:tc>
          <w:tcPr>
            <w:tcW w:w="1984" w:type="dxa"/>
            <w:shd w:val="clear" w:color="auto" w:fill="auto"/>
          </w:tcPr>
          <w:p w14:paraId="7253CC31">
            <w:pPr>
              <w:snapToGrid w:val="0"/>
              <w:rPr>
                <w:rFonts w:hint="eastAsia" w:ascii="宋体" w:hAnsi="宋体" w:eastAsia="宋体"/>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kern w:val="0"/>
                <w:szCs w:val="21"/>
              </w:rPr>
              <w:t xml:space="preserve"> 培养学生的审美意识，感受数学美是自然美的客观反映，是科学美的核心(</w:t>
            </w:r>
            <w:r>
              <w:rPr>
                <w:rFonts w:ascii="宋体" w:hAnsi="宋体" w:eastAsia="宋体" w:cs="Times New Roman"/>
                <w:i/>
                <w:kern w:val="0"/>
                <w:szCs w:val="21"/>
              </w:rPr>
              <w:t>n</w:t>
            </w:r>
            <w:r>
              <w:rPr>
                <w:rFonts w:hint="eastAsia" w:ascii="宋体" w:hAnsi="宋体" w:eastAsia="宋体"/>
                <w:kern w:val="0"/>
                <w:szCs w:val="21"/>
              </w:rPr>
              <w:t>阶行列式定义中的对称美、高阶行列式计算采用的三角形法、降阶法体现了简洁美等</w:t>
            </w:r>
            <w:r>
              <w:rPr>
                <w:rFonts w:ascii="宋体" w:hAnsi="宋体" w:eastAsia="宋体"/>
                <w:kern w:val="0"/>
                <w:szCs w:val="21"/>
              </w:rPr>
              <w:t>)</w:t>
            </w:r>
            <w:r>
              <w:rPr>
                <w:rFonts w:hint="eastAsia" w:ascii="宋体" w:hAnsi="宋体" w:eastAsia="宋体"/>
                <w:kern w:val="0"/>
                <w:szCs w:val="21"/>
              </w:rPr>
              <w:t>；</w:t>
            </w:r>
            <w:r>
              <w:rPr>
                <w:rFonts w:ascii="宋体" w:hAnsi="宋体" w:eastAsia="宋体" w:cs="Times New Roman"/>
                <w:kern w:val="0"/>
                <w:szCs w:val="21"/>
              </w:rPr>
              <w:t>(2)</w:t>
            </w:r>
            <w:r>
              <w:rPr>
                <w:rFonts w:ascii="宋体" w:hAnsi="宋体" w:eastAsia="宋体" w:cs="Times New Roman"/>
                <w:szCs w:val="21"/>
              </w:rPr>
              <w:t xml:space="preserve"> </w:t>
            </w:r>
            <w:r>
              <w:rPr>
                <w:rFonts w:hint="eastAsia" w:ascii="宋体" w:hAnsi="宋体" w:eastAsia="宋体"/>
                <w:szCs w:val="21"/>
              </w:rPr>
              <w:t>强调理论对实践的指导经验(克拉默法则)。</w:t>
            </w:r>
          </w:p>
        </w:tc>
        <w:tc>
          <w:tcPr>
            <w:tcW w:w="1559" w:type="dxa"/>
            <w:shd w:val="clear" w:color="auto" w:fill="auto"/>
          </w:tcPr>
          <w:p w14:paraId="13CD6026">
            <w:pPr>
              <w:snapToGrid w:val="0"/>
              <w:rPr>
                <w:rFonts w:hint="eastAsia" w:ascii="宋体" w:hAnsi="宋体" w:eastAsia="宋体" w:cs="Times New Roman"/>
                <w:szCs w:val="21"/>
              </w:rPr>
            </w:pPr>
            <w:r>
              <w:rPr>
                <w:rFonts w:ascii="宋体" w:hAnsi="宋体" w:eastAsia="宋体" w:cs="Times New Roman"/>
                <w:szCs w:val="21"/>
              </w:rPr>
              <w:t>（1）理解行列式的概念</w:t>
            </w:r>
            <w:r>
              <w:rPr>
                <w:rFonts w:hint="eastAsia" w:ascii="宋体" w:hAnsi="宋体" w:eastAsia="宋体" w:cs="Times New Roman"/>
                <w:szCs w:val="21"/>
              </w:rPr>
              <w:t>；</w:t>
            </w:r>
            <w:r>
              <w:rPr>
                <w:rFonts w:ascii="宋体" w:hAnsi="宋体" w:eastAsia="宋体" w:cs="Times New Roman"/>
                <w:szCs w:val="21"/>
              </w:rPr>
              <w:t>（2）掌握行列式的性质和计算方法</w:t>
            </w:r>
            <w:r>
              <w:rPr>
                <w:rFonts w:hint="eastAsia" w:ascii="宋体" w:hAnsi="宋体" w:eastAsia="宋体" w:cs="Times New Roman"/>
                <w:szCs w:val="21"/>
              </w:rPr>
              <w:t>；</w:t>
            </w:r>
            <w:r>
              <w:rPr>
                <w:rFonts w:ascii="宋体" w:hAnsi="宋体" w:eastAsia="宋体" w:cs="Times New Roman"/>
                <w:szCs w:val="21"/>
              </w:rPr>
              <w:t>（3）能应用克拉默法则解线性方程组</w:t>
            </w:r>
            <w:r>
              <w:rPr>
                <w:rFonts w:hint="eastAsia" w:ascii="宋体" w:hAnsi="宋体" w:eastAsia="宋体" w:cs="Times New Roman"/>
                <w:szCs w:val="21"/>
              </w:rPr>
              <w:t>。</w:t>
            </w:r>
          </w:p>
        </w:tc>
        <w:tc>
          <w:tcPr>
            <w:tcW w:w="709" w:type="dxa"/>
            <w:shd w:val="clear" w:color="auto" w:fill="auto"/>
            <w:vAlign w:val="center"/>
          </w:tcPr>
          <w:p w14:paraId="48EE5E75">
            <w:pPr>
              <w:snapToGrid w:val="0"/>
              <w:rPr>
                <w:rFonts w:hint="eastAsia" w:ascii="宋体" w:hAnsi="宋体" w:eastAsia="宋体" w:cs="Times New Roman"/>
                <w:szCs w:val="21"/>
                <w:highlight w:val="yellow"/>
              </w:rPr>
            </w:pPr>
            <w:r>
              <w:rPr>
                <w:rFonts w:ascii="宋体" w:hAnsi="宋体" w:eastAsia="宋体" w:cs="Times New Roman"/>
                <w:szCs w:val="21"/>
              </w:rPr>
              <w:t>10</w:t>
            </w:r>
          </w:p>
        </w:tc>
        <w:tc>
          <w:tcPr>
            <w:tcW w:w="709" w:type="dxa"/>
            <w:shd w:val="clear" w:color="auto" w:fill="auto"/>
            <w:vAlign w:val="center"/>
          </w:tcPr>
          <w:p w14:paraId="7BAA815F">
            <w:pPr>
              <w:snapToGrid w:val="0"/>
              <w:rPr>
                <w:rFonts w:hint="eastAsia" w:ascii="宋体" w:hAnsi="宋体" w:eastAsia="宋体"/>
                <w:szCs w:val="21"/>
              </w:rPr>
            </w:pPr>
            <w:r>
              <w:rPr>
                <w:rFonts w:hint="eastAsia" w:ascii="宋体" w:hAnsi="宋体" w:eastAsia="宋体"/>
                <w:szCs w:val="21"/>
              </w:rPr>
              <w:t>讲授</w:t>
            </w:r>
          </w:p>
        </w:tc>
        <w:tc>
          <w:tcPr>
            <w:tcW w:w="954" w:type="dxa"/>
            <w:shd w:val="clear" w:color="auto" w:fill="auto"/>
            <w:vAlign w:val="center"/>
          </w:tcPr>
          <w:p w14:paraId="573215AB">
            <w:pPr>
              <w:snapToGrid w:val="0"/>
              <w:rPr>
                <w:rFonts w:hint="eastAsia" w:ascii="宋体" w:hAnsi="宋体" w:eastAsia="宋体" w:cs="Times New Roman"/>
                <w:szCs w:val="21"/>
              </w:rPr>
            </w:pPr>
            <w:r>
              <w:rPr>
                <w:rFonts w:ascii="宋体" w:hAnsi="宋体" w:eastAsia="宋体" w:cs="Times New Roman"/>
                <w:szCs w:val="21"/>
              </w:rPr>
              <w:t>目标1</w:t>
            </w:r>
          </w:p>
          <w:p w14:paraId="37761A36">
            <w:pPr>
              <w:snapToGrid w:val="0"/>
              <w:rPr>
                <w:rFonts w:hint="eastAsia" w:ascii="宋体" w:hAnsi="宋体" w:eastAsia="宋体"/>
                <w:szCs w:val="21"/>
              </w:rPr>
            </w:pPr>
            <w:r>
              <w:rPr>
                <w:rFonts w:ascii="宋体" w:hAnsi="宋体" w:eastAsia="宋体" w:cs="Times New Roman"/>
                <w:szCs w:val="21"/>
              </w:rPr>
              <w:t>目标2</w:t>
            </w:r>
          </w:p>
        </w:tc>
      </w:tr>
      <w:tr w14:paraId="081B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04" w:type="dxa"/>
            <w:shd w:val="clear" w:color="auto" w:fill="auto"/>
            <w:vAlign w:val="center"/>
          </w:tcPr>
          <w:p w14:paraId="3041331E">
            <w:pPr>
              <w:snapToGrid w:val="0"/>
              <w:rPr>
                <w:rFonts w:hint="eastAsia" w:ascii="宋体" w:hAnsi="宋体" w:eastAsia="宋体" w:cs="Times New Roman"/>
                <w:szCs w:val="21"/>
              </w:rPr>
            </w:pPr>
            <w:bookmarkStart w:id="213" w:name="_Hlk84669211"/>
            <w:r>
              <w:rPr>
                <w:rFonts w:hint="eastAsia" w:ascii="宋体" w:hAnsi="宋体" w:eastAsia="宋体" w:cs="Times New Roman"/>
                <w:szCs w:val="21"/>
              </w:rPr>
              <w:t>3</w:t>
            </w:r>
          </w:p>
        </w:tc>
        <w:tc>
          <w:tcPr>
            <w:tcW w:w="2552" w:type="dxa"/>
            <w:shd w:val="clear" w:color="auto" w:fill="auto"/>
            <w:vAlign w:val="center"/>
          </w:tcPr>
          <w:p w14:paraId="5052D060">
            <w:pPr>
              <w:snapToGrid w:val="0"/>
              <w:rPr>
                <w:rFonts w:hint="eastAsia" w:ascii="宋体" w:hAnsi="宋体" w:eastAsia="宋体" w:cs="Times New Roman"/>
                <w:b/>
                <w:szCs w:val="21"/>
              </w:rPr>
            </w:pPr>
            <w:r>
              <w:rPr>
                <w:rFonts w:ascii="宋体" w:hAnsi="宋体" w:eastAsia="宋体" w:cs="Times New Roman"/>
                <w:b/>
                <w:szCs w:val="21"/>
              </w:rPr>
              <w:t>矩阵</w:t>
            </w:r>
            <w:r>
              <w:rPr>
                <w:rFonts w:hint="eastAsia" w:ascii="宋体" w:hAnsi="宋体" w:eastAsia="宋体" w:cs="Times New Roman"/>
                <w:b/>
                <w:szCs w:val="21"/>
              </w:rPr>
              <w:t>：</w:t>
            </w:r>
          </w:p>
          <w:p w14:paraId="1410E1D9">
            <w:pPr>
              <w:snapToGrid w:val="0"/>
              <w:rPr>
                <w:rFonts w:hint="eastAsia" w:ascii="宋体" w:hAnsi="宋体" w:eastAsia="宋体" w:cs="Times New Roman"/>
                <w:szCs w:val="21"/>
              </w:rPr>
            </w:pPr>
            <w:r>
              <w:rPr>
                <w:rFonts w:ascii="宋体" w:hAnsi="宋体" w:eastAsia="宋体" w:cs="Times New Roman"/>
                <w:szCs w:val="21"/>
              </w:rPr>
              <w:t>矩阵的概念</w:t>
            </w:r>
            <w:r>
              <w:rPr>
                <w:rFonts w:hint="eastAsia" w:ascii="宋体" w:hAnsi="宋体" w:eastAsia="宋体" w:cs="Times New Roman"/>
                <w:szCs w:val="21"/>
              </w:rPr>
              <w:t>；</w:t>
            </w:r>
            <w:r>
              <w:rPr>
                <w:rFonts w:ascii="宋体" w:hAnsi="宋体" w:eastAsia="宋体" w:cs="Times New Roman"/>
                <w:szCs w:val="21"/>
              </w:rPr>
              <w:t>矩阵的各种运算</w:t>
            </w:r>
            <w:r>
              <w:rPr>
                <w:rFonts w:hint="eastAsia" w:ascii="宋体" w:hAnsi="宋体" w:eastAsia="宋体" w:cs="Times New Roman"/>
                <w:szCs w:val="21"/>
              </w:rPr>
              <w:t>；</w:t>
            </w:r>
            <w:r>
              <w:rPr>
                <w:rFonts w:ascii="宋体" w:hAnsi="宋体" w:eastAsia="宋体" w:cs="Times New Roman"/>
                <w:szCs w:val="21"/>
              </w:rPr>
              <w:t>可逆矩阵的定义</w:t>
            </w:r>
            <w:r>
              <w:rPr>
                <w:rFonts w:hint="eastAsia" w:ascii="宋体" w:hAnsi="宋体" w:eastAsia="宋体" w:cs="Times New Roman"/>
                <w:szCs w:val="21"/>
              </w:rPr>
              <w:t>；</w:t>
            </w:r>
            <w:r>
              <w:rPr>
                <w:rFonts w:ascii="宋体" w:hAnsi="宋体" w:eastAsia="宋体" w:cs="Times New Roman"/>
                <w:szCs w:val="21"/>
              </w:rPr>
              <w:t>初等变换与初等矩阵</w:t>
            </w:r>
            <w:r>
              <w:rPr>
                <w:rFonts w:hint="eastAsia" w:ascii="宋体" w:hAnsi="宋体" w:eastAsia="宋体" w:cs="Times New Roman"/>
                <w:szCs w:val="21"/>
              </w:rPr>
              <w:t>；</w:t>
            </w:r>
            <w:r>
              <w:rPr>
                <w:rFonts w:ascii="宋体" w:hAnsi="宋体" w:eastAsia="宋体" w:cs="Times New Roman"/>
                <w:szCs w:val="21"/>
              </w:rPr>
              <w:t>可逆矩阵的逆矩阵</w:t>
            </w:r>
            <w:r>
              <w:rPr>
                <w:rFonts w:hint="eastAsia" w:ascii="宋体" w:hAnsi="宋体" w:eastAsia="宋体" w:cs="Times New Roman"/>
                <w:szCs w:val="21"/>
              </w:rPr>
              <w:t>。</w:t>
            </w:r>
          </w:p>
          <w:p w14:paraId="66B4F5AE">
            <w:pPr>
              <w:snapToGrid w:val="0"/>
              <w:rPr>
                <w:rFonts w:hint="eastAsia" w:ascii="宋体" w:hAnsi="宋体" w:eastAsia="宋体" w:cs="Times New Roman"/>
                <w:b/>
                <w:szCs w:val="21"/>
              </w:rPr>
            </w:pPr>
            <w:r>
              <w:rPr>
                <w:rFonts w:ascii="宋体" w:hAnsi="宋体" w:eastAsia="宋体" w:cs="Times New Roman"/>
                <w:b/>
                <w:szCs w:val="21"/>
              </w:rPr>
              <w:t>重点</w:t>
            </w:r>
            <w:r>
              <w:rPr>
                <w:rFonts w:hint="eastAsia" w:ascii="宋体" w:hAnsi="宋体" w:eastAsia="宋体" w:cs="Times New Roman"/>
                <w:b/>
                <w:szCs w:val="21"/>
              </w:rPr>
              <w:t>难点</w:t>
            </w:r>
            <w:r>
              <w:rPr>
                <w:rFonts w:ascii="宋体" w:hAnsi="宋体" w:eastAsia="宋体" w:cs="Times New Roman"/>
                <w:b/>
                <w:szCs w:val="21"/>
              </w:rPr>
              <w:t>：</w:t>
            </w:r>
          </w:p>
          <w:p w14:paraId="474208B9">
            <w:pPr>
              <w:snapToGrid w:val="0"/>
              <w:rPr>
                <w:rFonts w:hint="eastAsia" w:ascii="宋体" w:hAnsi="宋体" w:eastAsia="宋体" w:cs="Times New Roman"/>
                <w:b/>
                <w:szCs w:val="21"/>
              </w:rPr>
            </w:pPr>
            <w:r>
              <w:rPr>
                <w:rFonts w:ascii="宋体" w:hAnsi="宋体" w:eastAsia="宋体" w:cs="Times New Roman"/>
                <w:szCs w:val="21"/>
              </w:rPr>
              <w:t>矩阵的乘法，逆矩阵的求法，矩阵的初等变换</w:t>
            </w:r>
            <w:r>
              <w:rPr>
                <w:rFonts w:hint="eastAsia" w:ascii="宋体" w:hAnsi="宋体" w:eastAsia="宋体" w:cs="Times New Roman"/>
                <w:szCs w:val="21"/>
              </w:rPr>
              <w:t>。</w:t>
            </w:r>
          </w:p>
        </w:tc>
        <w:tc>
          <w:tcPr>
            <w:tcW w:w="1984" w:type="dxa"/>
            <w:shd w:val="clear" w:color="auto" w:fill="auto"/>
          </w:tcPr>
          <w:p w14:paraId="4B558C5B">
            <w:pPr>
              <w:widowControl/>
              <w:snapToGrid w:val="0"/>
              <w:rPr>
                <w:rFonts w:hint="eastAsia" w:ascii="宋体" w:hAnsi="宋体" w:eastAsia="宋体"/>
                <w:szCs w:val="21"/>
              </w:rPr>
            </w:pPr>
            <w:r>
              <w:rPr>
                <w:rFonts w:hint="eastAsia" w:ascii="宋体" w:hAnsi="宋体" w:eastAsia="宋体" w:cs="宋体"/>
                <w:kern w:val="0"/>
                <w:szCs w:val="21"/>
              </w:rPr>
              <w:t>(</w:t>
            </w:r>
            <w:r>
              <w:rPr>
                <w:rFonts w:ascii="宋体" w:hAnsi="宋体" w:eastAsia="宋体" w:cs="宋体"/>
                <w:kern w:val="0"/>
                <w:szCs w:val="21"/>
              </w:rPr>
              <w:t>1)</w:t>
            </w:r>
            <w:r>
              <w:rPr>
                <w:rFonts w:hint="eastAsia" w:ascii="宋体" w:hAnsi="宋体" w:eastAsia="宋体" w:cs="宋体"/>
                <w:kern w:val="0"/>
                <w:szCs w:val="21"/>
              </w:rPr>
              <w:t>培养学生热爱科学，勤奋学习的责任感和自觉性(逆矩阵与通讯密码</w:t>
            </w:r>
            <w:r>
              <w:rPr>
                <w:rFonts w:ascii="宋体" w:hAnsi="宋体" w:eastAsia="宋体" w:cs="宋体"/>
                <w:kern w:val="0"/>
                <w:szCs w:val="21"/>
              </w:rPr>
              <w:t>)</w:t>
            </w:r>
            <w:r>
              <w:rPr>
                <w:rFonts w:hint="eastAsia" w:ascii="宋体" w:hAnsi="宋体" w:eastAsia="宋体" w:cs="宋体"/>
                <w:kern w:val="0"/>
                <w:szCs w:val="21"/>
              </w:rPr>
              <w:t>；</w:t>
            </w:r>
            <w:r>
              <w:rPr>
                <w:rFonts w:ascii="宋体" w:hAnsi="宋体" w:eastAsia="宋体" w:cs="Times New Roman"/>
                <w:kern w:val="0"/>
                <w:szCs w:val="21"/>
              </w:rPr>
              <w:t>(2)</w:t>
            </w:r>
            <w:r>
              <w:rPr>
                <w:rFonts w:hint="eastAsia" w:ascii="宋体" w:hAnsi="宋体" w:eastAsia="宋体"/>
                <w:szCs w:val="21"/>
              </w:rPr>
              <w:t xml:space="preserve"> 培养学生用唯物辩证法中“事物的联系是普遍的”的观点看问题(矩阵的初等变换</w:t>
            </w:r>
            <w:r>
              <w:rPr>
                <w:rFonts w:ascii="宋体" w:hAnsi="宋体" w:eastAsia="宋体"/>
                <w:szCs w:val="21"/>
              </w:rPr>
              <w:t>)</w:t>
            </w:r>
            <w:r>
              <w:rPr>
                <w:rFonts w:hint="eastAsia" w:ascii="宋体" w:hAnsi="宋体" w:eastAsia="宋体" w:cs="宋体"/>
                <w:kern w:val="0"/>
                <w:szCs w:val="21"/>
              </w:rPr>
              <w:t>。</w:t>
            </w:r>
          </w:p>
        </w:tc>
        <w:tc>
          <w:tcPr>
            <w:tcW w:w="1559" w:type="dxa"/>
            <w:shd w:val="clear" w:color="auto" w:fill="auto"/>
          </w:tcPr>
          <w:p w14:paraId="2BF64F29">
            <w:pPr>
              <w:snapToGrid w:val="0"/>
              <w:rPr>
                <w:rFonts w:hint="eastAsia" w:ascii="宋体" w:hAnsi="宋体" w:eastAsia="宋体" w:cs="Times New Roman"/>
                <w:szCs w:val="21"/>
              </w:rPr>
            </w:pPr>
            <w:r>
              <w:rPr>
                <w:rFonts w:ascii="宋体" w:hAnsi="宋体" w:eastAsia="宋体" w:cs="Times New Roman"/>
                <w:szCs w:val="21"/>
              </w:rPr>
              <w:t>（1）了解矩阵的概念</w:t>
            </w:r>
            <w:r>
              <w:rPr>
                <w:rFonts w:hint="eastAsia" w:ascii="宋体" w:hAnsi="宋体" w:eastAsia="宋体" w:cs="Times New Roman"/>
                <w:szCs w:val="21"/>
              </w:rPr>
              <w:t>；</w:t>
            </w:r>
            <w:r>
              <w:rPr>
                <w:rFonts w:ascii="宋体" w:hAnsi="宋体" w:eastAsia="宋体" w:cs="Times New Roman"/>
                <w:szCs w:val="21"/>
              </w:rPr>
              <w:t>（2）会进行矩阵的加法、减法、乘法</w:t>
            </w:r>
            <w:r>
              <w:rPr>
                <w:rFonts w:hint="eastAsia" w:ascii="宋体" w:hAnsi="宋体" w:eastAsia="宋体" w:cs="Times New Roman"/>
                <w:szCs w:val="21"/>
              </w:rPr>
              <w:t>；</w:t>
            </w:r>
            <w:r>
              <w:rPr>
                <w:rFonts w:ascii="宋体" w:hAnsi="宋体" w:eastAsia="宋体" w:cs="Times New Roman"/>
                <w:szCs w:val="21"/>
              </w:rPr>
              <w:t>（3）会判别矩阵的可逆性，并计算逆矩阵</w:t>
            </w:r>
            <w:r>
              <w:rPr>
                <w:rFonts w:hint="eastAsia" w:ascii="宋体" w:hAnsi="宋体" w:eastAsia="宋体" w:cs="Times New Roman"/>
                <w:szCs w:val="21"/>
              </w:rPr>
              <w:t>。</w:t>
            </w:r>
          </w:p>
        </w:tc>
        <w:tc>
          <w:tcPr>
            <w:tcW w:w="709" w:type="dxa"/>
            <w:shd w:val="clear" w:color="auto" w:fill="auto"/>
            <w:vAlign w:val="center"/>
          </w:tcPr>
          <w:p w14:paraId="2347920A">
            <w:pPr>
              <w:snapToGrid w:val="0"/>
              <w:rPr>
                <w:rFonts w:hint="eastAsia" w:ascii="宋体" w:hAnsi="宋体" w:eastAsia="宋体" w:cs="Times New Roman"/>
                <w:szCs w:val="21"/>
                <w:highlight w:val="yellow"/>
              </w:rPr>
            </w:pPr>
            <w:r>
              <w:rPr>
                <w:rFonts w:ascii="宋体" w:hAnsi="宋体" w:eastAsia="宋体" w:cs="Times New Roman"/>
                <w:szCs w:val="21"/>
              </w:rPr>
              <w:t>12</w:t>
            </w:r>
          </w:p>
        </w:tc>
        <w:tc>
          <w:tcPr>
            <w:tcW w:w="709" w:type="dxa"/>
            <w:shd w:val="clear" w:color="auto" w:fill="auto"/>
            <w:vAlign w:val="center"/>
          </w:tcPr>
          <w:p w14:paraId="0BBA61AD">
            <w:pPr>
              <w:snapToGrid w:val="0"/>
              <w:rPr>
                <w:rFonts w:hint="eastAsia" w:ascii="宋体" w:hAnsi="宋体" w:eastAsia="宋体"/>
                <w:szCs w:val="21"/>
              </w:rPr>
            </w:pPr>
            <w:r>
              <w:rPr>
                <w:rFonts w:hint="eastAsia" w:ascii="宋体" w:hAnsi="宋体" w:eastAsia="宋体"/>
                <w:szCs w:val="21"/>
              </w:rPr>
              <w:t>讲授</w:t>
            </w:r>
          </w:p>
        </w:tc>
        <w:tc>
          <w:tcPr>
            <w:tcW w:w="954" w:type="dxa"/>
            <w:shd w:val="clear" w:color="auto" w:fill="auto"/>
            <w:vAlign w:val="center"/>
          </w:tcPr>
          <w:p w14:paraId="0841EDBD">
            <w:pPr>
              <w:snapToGrid w:val="0"/>
              <w:rPr>
                <w:rFonts w:hint="eastAsia" w:ascii="宋体" w:hAnsi="宋体" w:eastAsia="宋体" w:cs="Times New Roman"/>
                <w:szCs w:val="21"/>
              </w:rPr>
            </w:pPr>
            <w:r>
              <w:rPr>
                <w:rFonts w:ascii="宋体" w:hAnsi="宋体" w:eastAsia="宋体" w:cs="Times New Roman"/>
                <w:szCs w:val="21"/>
              </w:rPr>
              <w:t>目标1</w:t>
            </w:r>
          </w:p>
          <w:p w14:paraId="644A0E80">
            <w:pPr>
              <w:snapToGrid w:val="0"/>
              <w:rPr>
                <w:rFonts w:hint="eastAsia" w:ascii="宋体" w:hAnsi="宋体" w:eastAsia="宋体"/>
                <w:szCs w:val="21"/>
              </w:rPr>
            </w:pPr>
            <w:r>
              <w:rPr>
                <w:rFonts w:ascii="宋体" w:hAnsi="宋体" w:eastAsia="宋体" w:cs="Times New Roman"/>
                <w:szCs w:val="21"/>
              </w:rPr>
              <w:t>目标2</w:t>
            </w:r>
          </w:p>
        </w:tc>
      </w:tr>
      <w:bookmarkEnd w:id="213"/>
      <w:tr w14:paraId="395C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shd w:val="clear" w:color="auto" w:fill="auto"/>
            <w:vAlign w:val="center"/>
          </w:tcPr>
          <w:p w14:paraId="161102A1">
            <w:pPr>
              <w:snapToGrid w:val="0"/>
              <w:rPr>
                <w:rFonts w:hint="eastAsia" w:ascii="宋体" w:hAnsi="宋体" w:eastAsia="宋体" w:cs="Times New Roman"/>
                <w:szCs w:val="21"/>
              </w:rPr>
            </w:pPr>
            <w:r>
              <w:rPr>
                <w:rFonts w:ascii="宋体" w:hAnsi="宋体" w:eastAsia="宋体" w:cs="Times New Roman"/>
                <w:szCs w:val="21"/>
              </w:rPr>
              <w:t>4</w:t>
            </w:r>
          </w:p>
        </w:tc>
        <w:tc>
          <w:tcPr>
            <w:tcW w:w="2552" w:type="dxa"/>
            <w:shd w:val="clear" w:color="auto" w:fill="auto"/>
            <w:vAlign w:val="center"/>
          </w:tcPr>
          <w:p w14:paraId="259EA246">
            <w:pPr>
              <w:snapToGrid w:val="0"/>
              <w:rPr>
                <w:rFonts w:hint="eastAsia" w:ascii="宋体" w:hAnsi="宋体" w:eastAsia="宋体" w:cs="Times New Roman"/>
                <w:b/>
                <w:szCs w:val="21"/>
              </w:rPr>
            </w:pPr>
            <w:r>
              <w:rPr>
                <w:rFonts w:ascii="宋体" w:hAnsi="宋体" w:eastAsia="宋体" w:cs="Times New Roman"/>
                <w:b/>
                <w:szCs w:val="21"/>
              </w:rPr>
              <w:t>向量空间</w:t>
            </w:r>
            <w:r>
              <w:rPr>
                <w:rFonts w:hint="eastAsia" w:ascii="宋体" w:hAnsi="宋体" w:eastAsia="宋体" w:cs="Times New Roman"/>
                <w:b/>
                <w:szCs w:val="21"/>
              </w:rPr>
              <w:t>：</w:t>
            </w:r>
          </w:p>
          <w:p w14:paraId="51C40B5B">
            <w:pPr>
              <w:snapToGrid w:val="0"/>
              <w:rPr>
                <w:rFonts w:hint="eastAsia" w:ascii="宋体" w:hAnsi="宋体" w:eastAsia="宋体" w:cs="Times New Roman"/>
                <w:b/>
                <w:szCs w:val="21"/>
              </w:rPr>
            </w:pPr>
            <w:r>
              <w:rPr>
                <w:rFonts w:ascii="宋体" w:hAnsi="宋体" w:eastAsia="宋体" w:cs="Times New Roman"/>
                <w:szCs w:val="21"/>
              </w:rPr>
              <w:t>向量空间的定义</w:t>
            </w:r>
            <w:r>
              <w:rPr>
                <w:rFonts w:hint="eastAsia" w:ascii="宋体" w:hAnsi="宋体" w:eastAsia="宋体" w:cs="Times New Roman"/>
                <w:szCs w:val="21"/>
              </w:rPr>
              <w:t>；</w:t>
            </w:r>
            <w:r>
              <w:rPr>
                <w:rFonts w:ascii="宋体" w:hAnsi="宋体" w:eastAsia="宋体" w:cs="Times New Roman"/>
                <w:szCs w:val="21"/>
              </w:rPr>
              <w:t>向量组</w:t>
            </w:r>
            <w:r>
              <w:rPr>
                <w:rFonts w:hint="eastAsia" w:ascii="宋体" w:hAnsi="宋体" w:eastAsia="宋体" w:cs="Times New Roman"/>
                <w:szCs w:val="21"/>
              </w:rPr>
              <w:t>的</w:t>
            </w:r>
            <w:r>
              <w:rPr>
                <w:rFonts w:ascii="宋体" w:hAnsi="宋体" w:eastAsia="宋体" w:cs="Times New Roman"/>
                <w:szCs w:val="21"/>
              </w:rPr>
              <w:t>线性关系</w:t>
            </w:r>
            <w:r>
              <w:rPr>
                <w:rFonts w:hint="eastAsia" w:ascii="宋体" w:hAnsi="宋体" w:eastAsia="宋体" w:cs="Times New Roman"/>
                <w:szCs w:val="21"/>
              </w:rPr>
              <w:t>；</w:t>
            </w:r>
            <w:r>
              <w:rPr>
                <w:rFonts w:ascii="宋体" w:hAnsi="宋体" w:eastAsia="宋体" w:cs="Times New Roman"/>
                <w:szCs w:val="21"/>
              </w:rPr>
              <w:t>向量组的极大线性无关组</w:t>
            </w:r>
            <w:r>
              <w:rPr>
                <w:rFonts w:hint="eastAsia" w:ascii="宋体" w:hAnsi="宋体" w:eastAsia="宋体" w:cs="Times New Roman"/>
                <w:szCs w:val="21"/>
              </w:rPr>
              <w:t>；</w:t>
            </w:r>
            <w:r>
              <w:rPr>
                <w:rFonts w:ascii="宋体" w:hAnsi="宋体" w:eastAsia="宋体" w:cs="Times New Roman"/>
                <w:szCs w:val="21"/>
              </w:rPr>
              <w:t>向量组的秩与矩阵的秩</w:t>
            </w:r>
            <w:r>
              <w:rPr>
                <w:rFonts w:hint="eastAsia" w:ascii="宋体" w:hAnsi="宋体" w:eastAsia="宋体" w:cs="Times New Roman"/>
                <w:szCs w:val="21"/>
              </w:rPr>
              <w:t>；</w:t>
            </w:r>
            <w:r>
              <w:rPr>
                <w:rFonts w:ascii="宋体" w:hAnsi="宋体" w:eastAsia="宋体" w:cs="Times New Roman"/>
                <w:szCs w:val="21"/>
              </w:rPr>
              <w:t>子空间的概念</w:t>
            </w:r>
            <w:r>
              <w:rPr>
                <w:rFonts w:hint="eastAsia" w:ascii="宋体" w:hAnsi="宋体" w:eastAsia="宋体" w:cs="Times New Roman"/>
                <w:szCs w:val="21"/>
              </w:rPr>
              <w:t>；</w:t>
            </w:r>
            <w:r>
              <w:rPr>
                <w:rFonts w:ascii="宋体" w:hAnsi="宋体" w:eastAsia="宋体" w:cs="Times New Roman"/>
                <w:szCs w:val="21"/>
              </w:rPr>
              <w:t>线性空间同构</w:t>
            </w:r>
            <w:r>
              <w:rPr>
                <w:rFonts w:hint="eastAsia" w:ascii="宋体" w:hAnsi="宋体" w:eastAsia="宋体" w:cs="Times New Roman"/>
                <w:szCs w:val="21"/>
              </w:rPr>
              <w:t>。</w:t>
            </w:r>
          </w:p>
          <w:p w14:paraId="68F4772D">
            <w:pPr>
              <w:snapToGrid w:val="0"/>
              <w:rPr>
                <w:rFonts w:hint="eastAsia" w:ascii="宋体" w:hAnsi="宋体" w:eastAsia="宋体" w:cs="Times New Roman"/>
                <w:b/>
                <w:szCs w:val="21"/>
              </w:rPr>
            </w:pPr>
            <w:r>
              <w:rPr>
                <w:rFonts w:ascii="宋体" w:hAnsi="宋体" w:eastAsia="宋体" w:cs="Times New Roman"/>
                <w:b/>
                <w:szCs w:val="21"/>
              </w:rPr>
              <w:t>重点</w:t>
            </w:r>
            <w:r>
              <w:rPr>
                <w:rFonts w:hint="eastAsia" w:ascii="宋体" w:hAnsi="宋体" w:eastAsia="宋体" w:cs="Times New Roman"/>
                <w:b/>
                <w:szCs w:val="21"/>
              </w:rPr>
              <w:t>难点</w:t>
            </w:r>
            <w:r>
              <w:rPr>
                <w:rFonts w:ascii="宋体" w:hAnsi="宋体" w:eastAsia="宋体" w:cs="Times New Roman"/>
                <w:b/>
                <w:szCs w:val="21"/>
              </w:rPr>
              <w:t>：</w:t>
            </w:r>
          </w:p>
          <w:p w14:paraId="058CE061">
            <w:pPr>
              <w:snapToGrid w:val="0"/>
              <w:rPr>
                <w:rFonts w:hint="eastAsia" w:ascii="宋体" w:hAnsi="宋体" w:eastAsia="宋体" w:cs="Times New Roman"/>
                <w:b/>
                <w:szCs w:val="21"/>
              </w:rPr>
            </w:pPr>
            <w:r>
              <w:rPr>
                <w:rFonts w:ascii="宋体" w:hAnsi="宋体" w:eastAsia="宋体" w:cs="Times New Roman"/>
                <w:szCs w:val="21"/>
              </w:rPr>
              <w:t>极大线性无关组的定义和求法，向量组的秩与矩阵的秩</w:t>
            </w:r>
            <w:r>
              <w:rPr>
                <w:rFonts w:hint="eastAsia" w:ascii="宋体" w:hAnsi="宋体" w:eastAsia="宋体" w:cs="Times New Roman"/>
                <w:szCs w:val="21"/>
              </w:rPr>
              <w:t>的</w:t>
            </w:r>
            <w:r>
              <w:rPr>
                <w:rFonts w:ascii="宋体" w:hAnsi="宋体" w:eastAsia="宋体" w:cs="Times New Roman"/>
                <w:szCs w:val="21"/>
              </w:rPr>
              <w:t>求法</w:t>
            </w:r>
            <w:r>
              <w:rPr>
                <w:rFonts w:hint="eastAsia" w:ascii="宋体" w:hAnsi="宋体" w:eastAsia="宋体" w:cs="Times New Roman"/>
                <w:szCs w:val="21"/>
              </w:rPr>
              <w:t>。</w:t>
            </w:r>
          </w:p>
        </w:tc>
        <w:tc>
          <w:tcPr>
            <w:tcW w:w="1984" w:type="dxa"/>
            <w:shd w:val="clear" w:color="auto" w:fill="auto"/>
          </w:tcPr>
          <w:p w14:paraId="0888935A">
            <w:pPr>
              <w:snapToGrid w:val="0"/>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szCs w:val="21"/>
              </w:rPr>
              <w:t>培养学生的创新意识（降维思想与极大线性无关组）；</w:t>
            </w:r>
            <w:r>
              <w:rPr>
                <w:rFonts w:ascii="宋体" w:hAnsi="宋体" w:eastAsia="宋体" w:cs="Times New Roman"/>
                <w:szCs w:val="21"/>
              </w:rPr>
              <w:t>(2)</w:t>
            </w:r>
          </w:p>
          <w:p w14:paraId="7A899A51">
            <w:pPr>
              <w:snapToGrid w:val="0"/>
              <w:rPr>
                <w:rFonts w:hint="eastAsia" w:ascii="宋体" w:hAnsi="宋体" w:eastAsia="宋体"/>
                <w:szCs w:val="21"/>
              </w:rPr>
            </w:pPr>
            <w:r>
              <w:rPr>
                <w:rFonts w:ascii="宋体" w:hAnsi="宋体" w:eastAsia="宋体" w:cs="Times New Roman"/>
                <w:szCs w:val="21"/>
              </w:rPr>
              <w:t>帮助学生理解</w:t>
            </w:r>
            <w:r>
              <w:rPr>
                <w:rFonts w:ascii="宋体" w:hAnsi="宋体" w:eastAsia="宋体" w:cs="Times New Roman"/>
                <w:color w:val="333333"/>
                <w:szCs w:val="21"/>
                <w:shd w:val="clear" w:color="auto" w:fill="FFFFFF"/>
              </w:rPr>
              <w:t xml:space="preserve">和谐 </w:t>
            </w:r>
            <w:r>
              <w:rPr>
                <w:rFonts w:hint="eastAsia" w:ascii="宋体" w:hAnsi="宋体" w:eastAsia="宋体" w:cs="Times New Roman"/>
                <w:color w:val="333333"/>
                <w:szCs w:val="21"/>
                <w:shd w:val="clear" w:color="auto" w:fill="FFFFFF"/>
              </w:rPr>
              <w:t>、</w:t>
            </w:r>
            <w:r>
              <w:rPr>
                <w:rFonts w:ascii="宋体" w:hAnsi="宋体" w:eastAsia="宋体" w:cs="Times New Roman"/>
                <w:color w:val="333333"/>
                <w:szCs w:val="21"/>
                <w:shd w:val="clear" w:color="auto" w:fill="FFFFFF"/>
              </w:rPr>
              <w:t>公正，国与家的关系，爱国主义情感</w:t>
            </w:r>
            <w:r>
              <w:rPr>
                <w:rFonts w:hint="eastAsia" w:ascii="宋体" w:hAnsi="宋体" w:eastAsia="宋体" w:cs="Times New Roman"/>
                <w:color w:val="333333"/>
                <w:szCs w:val="21"/>
                <w:shd w:val="clear" w:color="auto" w:fill="FFFFFF"/>
              </w:rPr>
              <w:t>(向量组与极大线性无关组的关系</w:t>
            </w:r>
            <w:r>
              <w:rPr>
                <w:rFonts w:ascii="宋体" w:hAnsi="宋体" w:eastAsia="宋体" w:cs="Times New Roman"/>
                <w:color w:val="333333"/>
                <w:szCs w:val="21"/>
                <w:shd w:val="clear" w:color="auto" w:fill="FFFFFF"/>
              </w:rPr>
              <w:t>)。</w:t>
            </w:r>
          </w:p>
        </w:tc>
        <w:tc>
          <w:tcPr>
            <w:tcW w:w="1559" w:type="dxa"/>
            <w:shd w:val="clear" w:color="auto" w:fill="auto"/>
          </w:tcPr>
          <w:p w14:paraId="0BF1FF3A">
            <w:pPr>
              <w:snapToGrid w:val="0"/>
              <w:rPr>
                <w:rFonts w:hint="eastAsia" w:ascii="宋体" w:hAnsi="宋体" w:eastAsia="宋体" w:cs="Times New Roman"/>
                <w:szCs w:val="21"/>
              </w:rPr>
            </w:pPr>
            <w:r>
              <w:rPr>
                <w:rFonts w:ascii="宋体" w:hAnsi="宋体" w:eastAsia="宋体" w:cs="Times New Roman"/>
                <w:szCs w:val="21"/>
              </w:rPr>
              <w:t>（1）掌握向量组线性相关、无关概念</w:t>
            </w:r>
            <w:r>
              <w:rPr>
                <w:rFonts w:hint="eastAsia" w:ascii="宋体" w:hAnsi="宋体" w:eastAsia="宋体" w:cs="Times New Roman"/>
                <w:szCs w:val="21"/>
              </w:rPr>
              <w:t>；</w:t>
            </w:r>
            <w:r>
              <w:rPr>
                <w:rFonts w:ascii="宋体" w:hAnsi="宋体" w:eastAsia="宋体" w:cs="Times New Roman"/>
                <w:szCs w:val="21"/>
              </w:rPr>
              <w:t>（2）会求向量组的极大线性无关组</w:t>
            </w:r>
            <w:r>
              <w:rPr>
                <w:rFonts w:hint="eastAsia" w:ascii="宋体" w:hAnsi="宋体" w:eastAsia="宋体" w:cs="Times New Roman"/>
                <w:szCs w:val="21"/>
              </w:rPr>
              <w:t>；</w:t>
            </w:r>
            <w:r>
              <w:rPr>
                <w:rFonts w:ascii="宋体" w:hAnsi="宋体" w:eastAsia="宋体" w:cs="Times New Roman"/>
                <w:szCs w:val="21"/>
              </w:rPr>
              <w:t>（3）能够求出向量组的秩与矩阵的秩</w:t>
            </w:r>
            <w:r>
              <w:rPr>
                <w:rFonts w:hint="eastAsia" w:ascii="宋体" w:hAnsi="宋体" w:eastAsia="宋体" w:cs="Times New Roman"/>
                <w:szCs w:val="21"/>
              </w:rPr>
              <w:t>。</w:t>
            </w:r>
          </w:p>
        </w:tc>
        <w:tc>
          <w:tcPr>
            <w:tcW w:w="709" w:type="dxa"/>
            <w:shd w:val="clear" w:color="auto" w:fill="auto"/>
            <w:vAlign w:val="center"/>
          </w:tcPr>
          <w:p w14:paraId="5DD919D4">
            <w:pPr>
              <w:snapToGrid w:val="0"/>
              <w:rPr>
                <w:rFonts w:hint="eastAsia" w:ascii="宋体" w:hAnsi="宋体" w:eastAsia="宋体" w:cs="Times New Roman"/>
                <w:szCs w:val="21"/>
                <w:highlight w:val="yellow"/>
              </w:rPr>
            </w:pPr>
            <w:r>
              <w:rPr>
                <w:rFonts w:ascii="宋体" w:hAnsi="宋体" w:eastAsia="宋体" w:cs="Times New Roman"/>
                <w:szCs w:val="21"/>
              </w:rPr>
              <w:t>12</w:t>
            </w:r>
          </w:p>
        </w:tc>
        <w:tc>
          <w:tcPr>
            <w:tcW w:w="709" w:type="dxa"/>
            <w:shd w:val="clear" w:color="auto" w:fill="auto"/>
            <w:vAlign w:val="center"/>
          </w:tcPr>
          <w:p w14:paraId="6CC0B7F9">
            <w:pPr>
              <w:snapToGrid w:val="0"/>
              <w:rPr>
                <w:rFonts w:hint="eastAsia" w:ascii="宋体" w:hAnsi="宋体" w:eastAsia="宋体"/>
                <w:szCs w:val="21"/>
              </w:rPr>
            </w:pPr>
            <w:r>
              <w:rPr>
                <w:rFonts w:hint="eastAsia" w:ascii="宋体" w:hAnsi="宋体" w:eastAsia="宋体"/>
                <w:szCs w:val="21"/>
              </w:rPr>
              <w:t>讲授</w:t>
            </w:r>
          </w:p>
        </w:tc>
        <w:tc>
          <w:tcPr>
            <w:tcW w:w="954" w:type="dxa"/>
            <w:shd w:val="clear" w:color="auto" w:fill="auto"/>
            <w:vAlign w:val="center"/>
          </w:tcPr>
          <w:p w14:paraId="385EC31E">
            <w:pPr>
              <w:snapToGrid w:val="0"/>
              <w:rPr>
                <w:rFonts w:hint="eastAsia" w:ascii="宋体" w:hAnsi="宋体" w:eastAsia="宋体" w:cs="Times New Roman"/>
                <w:szCs w:val="21"/>
              </w:rPr>
            </w:pPr>
            <w:r>
              <w:rPr>
                <w:rFonts w:ascii="宋体" w:hAnsi="宋体" w:eastAsia="宋体" w:cs="Times New Roman"/>
                <w:szCs w:val="21"/>
              </w:rPr>
              <w:t>目标1</w:t>
            </w:r>
          </w:p>
          <w:p w14:paraId="267032E3">
            <w:pPr>
              <w:snapToGrid w:val="0"/>
              <w:rPr>
                <w:rFonts w:hint="eastAsia" w:ascii="宋体" w:hAnsi="宋体" w:eastAsia="宋体"/>
                <w:szCs w:val="21"/>
              </w:rPr>
            </w:pPr>
            <w:r>
              <w:rPr>
                <w:rFonts w:ascii="宋体" w:hAnsi="宋体" w:eastAsia="宋体" w:cs="Times New Roman"/>
                <w:szCs w:val="21"/>
              </w:rPr>
              <w:t>目标2</w:t>
            </w:r>
          </w:p>
        </w:tc>
      </w:tr>
      <w:bookmarkEnd w:id="212"/>
    </w:tbl>
    <w:p w14:paraId="3DB8F0AD">
      <w:pPr>
        <w:spacing w:line="360" w:lineRule="auto"/>
        <w:rPr>
          <w:rFonts w:hint="eastAsia" w:ascii="宋体" w:hAnsi="宋体" w:eastAsia="宋体" w:cs="Times New Roman"/>
          <w:b/>
          <w:sz w:val="24"/>
        </w:rPr>
      </w:pPr>
      <w:bookmarkStart w:id="214" w:name="_Toc19729794"/>
      <w:r>
        <w:rPr>
          <w:rFonts w:hint="eastAsia" w:ascii="宋体" w:hAnsi="宋体" w:eastAsia="宋体" w:cs="Times New Roman"/>
          <w:b/>
          <w:sz w:val="24"/>
        </w:rPr>
        <w:t>四</w:t>
      </w:r>
      <w:r>
        <w:rPr>
          <w:rFonts w:ascii="宋体" w:hAnsi="宋体" w:eastAsia="宋体" w:cs="Times New Roman"/>
          <w:b/>
          <w:sz w:val="24"/>
        </w:rPr>
        <w:t>、课程实施</w:t>
      </w:r>
      <w:bookmarkEnd w:id="214"/>
    </w:p>
    <w:p w14:paraId="7AF5FACE">
      <w:pPr>
        <w:spacing w:line="360" w:lineRule="auto"/>
        <w:rPr>
          <w:rFonts w:hint="eastAsia" w:ascii="宋体" w:hAnsi="宋体" w:eastAsia="宋体" w:cs="Times New Roman"/>
          <w:b/>
          <w:sz w:val="30"/>
          <w:szCs w:val="30"/>
        </w:rPr>
      </w:pPr>
      <w:r>
        <w:rPr>
          <w:rFonts w:hint="eastAsia" w:ascii="宋体" w:hAnsi="宋体" w:eastAsia="宋体"/>
          <w:b/>
          <w:sz w:val="24"/>
        </w:rPr>
        <w:t>（一）教学方法与教学手段</w:t>
      </w:r>
    </w:p>
    <w:p w14:paraId="49A3A87F">
      <w:pPr>
        <w:spacing w:line="360" w:lineRule="auto"/>
        <w:rPr>
          <w:rFonts w:hint="eastAsia" w:ascii="宋体" w:hAnsi="宋体" w:eastAsia="宋体" w:cs="Times New Roman"/>
          <w:b/>
          <w:sz w:val="30"/>
          <w:szCs w:val="30"/>
        </w:rPr>
      </w:pPr>
      <w:r>
        <w:rPr>
          <w:rFonts w:ascii="宋体" w:hAnsi="宋体" w:eastAsia="宋体" w:cs="Times New Roman"/>
          <w:sz w:val="24"/>
        </w:rPr>
        <w:t>1.</w:t>
      </w:r>
      <w:r>
        <w:rPr>
          <w:rFonts w:hint="eastAsia" w:ascii="宋体" w:hAnsi="宋体" w:eastAsia="宋体"/>
          <w:sz w:val="24"/>
        </w:rPr>
        <w:t xml:space="preserve"> 教</w:t>
      </w:r>
      <w:r>
        <w:rPr>
          <w:rFonts w:ascii="宋体" w:hAnsi="宋体" w:eastAsia="宋体"/>
          <w:color w:val="000000"/>
          <w:sz w:val="24"/>
        </w:rPr>
        <w:t>学方法：启发式互动讲授结合多媒体辅助；适当课堂练习；及时了解学生的作业状况并对共同的问题作及时解答；安排好课后答疑。</w:t>
      </w:r>
    </w:p>
    <w:p w14:paraId="2683ED20">
      <w:pPr>
        <w:spacing w:line="360" w:lineRule="auto"/>
        <w:rPr>
          <w:rFonts w:hint="eastAsia" w:ascii="宋体" w:hAnsi="宋体" w:eastAsia="宋体" w:cs="Times New Roman"/>
          <w:b/>
          <w:sz w:val="30"/>
          <w:szCs w:val="30"/>
        </w:rPr>
      </w:pPr>
      <w:r>
        <w:rPr>
          <w:rFonts w:ascii="宋体" w:hAnsi="宋体" w:eastAsia="宋体" w:cs="Times New Roman"/>
          <w:sz w:val="24"/>
        </w:rPr>
        <w:t xml:space="preserve">2. </w:t>
      </w:r>
      <w:r>
        <w:rPr>
          <w:rFonts w:ascii="宋体" w:hAnsi="宋体" w:eastAsia="宋体"/>
          <w:color w:val="000000"/>
          <w:sz w:val="24"/>
        </w:rPr>
        <w:t>教学方法</w:t>
      </w:r>
      <w:r>
        <w:rPr>
          <w:rFonts w:hint="eastAsia" w:ascii="宋体" w:hAnsi="宋体" w:eastAsia="宋体"/>
          <w:color w:val="000000"/>
          <w:sz w:val="24"/>
        </w:rPr>
        <w:t>：提倡</w:t>
      </w:r>
      <w:r>
        <w:rPr>
          <w:rFonts w:ascii="宋体" w:hAnsi="宋体" w:eastAsia="宋体"/>
          <w:color w:val="000000"/>
          <w:sz w:val="24"/>
        </w:rPr>
        <w:t>应用现代化教学手段，如课件、互联网</w:t>
      </w:r>
      <w:r>
        <w:rPr>
          <w:rFonts w:hint="eastAsia" w:ascii="宋体" w:hAnsi="宋体" w:eastAsia="宋体"/>
          <w:color w:val="000000"/>
          <w:sz w:val="24"/>
        </w:rPr>
        <w:t>在线</w:t>
      </w:r>
      <w:r>
        <w:rPr>
          <w:rFonts w:ascii="宋体" w:hAnsi="宋体" w:eastAsia="宋体"/>
          <w:color w:val="000000"/>
          <w:sz w:val="24"/>
        </w:rPr>
        <w:t>教学和网络答疑等。</w:t>
      </w:r>
    </w:p>
    <w:p w14:paraId="2E2CA810">
      <w:pPr>
        <w:spacing w:line="360" w:lineRule="auto"/>
        <w:rPr>
          <w:rFonts w:hint="eastAsia" w:ascii="宋体" w:hAnsi="宋体" w:eastAsia="宋体"/>
          <w:b/>
          <w:sz w:val="24"/>
        </w:rPr>
      </w:pPr>
      <w:r>
        <w:rPr>
          <w:rFonts w:hint="eastAsia" w:ascii="宋体" w:hAnsi="宋体" w:eastAsia="宋体"/>
          <w:b/>
          <w:sz w:val="24"/>
        </w:rPr>
        <w:t>（二）课程实施与保障</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67CD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02383393">
            <w:pPr>
              <w:spacing w:line="300" w:lineRule="exact"/>
              <w:jc w:val="center"/>
              <w:rPr>
                <w:rFonts w:hint="eastAsia" w:ascii="宋体" w:hAnsi="宋体" w:eastAsia="宋体" w:cs="Times New Roman"/>
                <w:b/>
                <w:szCs w:val="21"/>
              </w:rPr>
            </w:pPr>
            <w:r>
              <w:rPr>
                <w:rFonts w:ascii="宋体" w:hAnsi="宋体" w:eastAsia="宋体" w:cs="Times New Roman"/>
                <w:b/>
                <w:bCs/>
                <w:szCs w:val="21"/>
              </w:rPr>
              <w:t>主要教学环节</w:t>
            </w:r>
          </w:p>
        </w:tc>
        <w:tc>
          <w:tcPr>
            <w:tcW w:w="7525" w:type="dxa"/>
            <w:tcBorders>
              <w:top w:val="single" w:color="auto" w:sz="8" w:space="0"/>
              <w:left w:val="single" w:color="auto" w:sz="8" w:space="0"/>
              <w:right w:val="single" w:color="auto" w:sz="8" w:space="0"/>
            </w:tcBorders>
            <w:vAlign w:val="center"/>
          </w:tcPr>
          <w:p w14:paraId="411F4600">
            <w:pPr>
              <w:spacing w:line="300" w:lineRule="exact"/>
              <w:jc w:val="center"/>
              <w:rPr>
                <w:rFonts w:hint="eastAsia" w:ascii="宋体" w:hAnsi="宋体" w:eastAsia="宋体" w:cs="Times New Roman"/>
                <w:b/>
                <w:szCs w:val="21"/>
              </w:rPr>
            </w:pPr>
            <w:r>
              <w:rPr>
                <w:rFonts w:ascii="宋体" w:hAnsi="宋体" w:eastAsia="宋体" w:cs="Times New Roman"/>
                <w:b/>
                <w:bCs/>
                <w:szCs w:val="21"/>
              </w:rPr>
              <w:t>质量要求</w:t>
            </w:r>
          </w:p>
        </w:tc>
      </w:tr>
      <w:tr w14:paraId="3E59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trPr>
        <w:tc>
          <w:tcPr>
            <w:tcW w:w="582" w:type="dxa"/>
            <w:tcBorders>
              <w:left w:val="single" w:color="auto" w:sz="8" w:space="0"/>
            </w:tcBorders>
            <w:vAlign w:val="center"/>
          </w:tcPr>
          <w:p w14:paraId="48023A86">
            <w:pPr>
              <w:spacing w:line="300" w:lineRule="exact"/>
              <w:jc w:val="center"/>
              <w:rPr>
                <w:rFonts w:hint="eastAsia" w:ascii="宋体" w:hAnsi="宋体" w:eastAsia="宋体" w:cs="Times New Roman"/>
                <w:szCs w:val="21"/>
              </w:rPr>
            </w:pPr>
            <w:r>
              <w:rPr>
                <w:rFonts w:ascii="宋体" w:hAnsi="宋体" w:eastAsia="宋体" w:cs="Times New Roman"/>
                <w:szCs w:val="21"/>
              </w:rPr>
              <w:t>1</w:t>
            </w:r>
          </w:p>
        </w:tc>
        <w:tc>
          <w:tcPr>
            <w:tcW w:w="993" w:type="dxa"/>
            <w:tcMar>
              <w:left w:w="28" w:type="dxa"/>
              <w:right w:w="28" w:type="dxa"/>
            </w:tcMar>
            <w:vAlign w:val="center"/>
          </w:tcPr>
          <w:p w14:paraId="188C0072">
            <w:pPr>
              <w:spacing w:line="300" w:lineRule="exact"/>
              <w:jc w:val="center"/>
              <w:rPr>
                <w:rFonts w:hint="eastAsia" w:ascii="宋体" w:hAnsi="宋体" w:eastAsia="宋体" w:cs="Times New Roman"/>
                <w:szCs w:val="21"/>
              </w:rPr>
            </w:pPr>
            <w:r>
              <w:rPr>
                <w:rFonts w:ascii="宋体" w:hAnsi="宋体" w:eastAsia="宋体" w:cs="Times New Roman"/>
                <w:szCs w:val="21"/>
              </w:rPr>
              <w:t>备课</w:t>
            </w:r>
          </w:p>
        </w:tc>
        <w:tc>
          <w:tcPr>
            <w:tcW w:w="7525" w:type="dxa"/>
            <w:tcBorders>
              <w:right w:val="single" w:color="auto" w:sz="8" w:space="0"/>
            </w:tcBorders>
            <w:vAlign w:val="center"/>
          </w:tcPr>
          <w:p w14:paraId="4DF9E01E">
            <w:pPr>
              <w:spacing w:line="300" w:lineRule="exact"/>
              <w:rPr>
                <w:rFonts w:hint="eastAsia" w:ascii="宋体" w:hAnsi="宋体" w:eastAsia="宋体" w:cs="Times New Roman"/>
                <w:szCs w:val="21"/>
              </w:rPr>
            </w:pPr>
            <w:r>
              <w:rPr>
                <w:rFonts w:ascii="宋体" w:hAnsi="宋体" w:eastAsia="宋体" w:cs="Times New Roman"/>
                <w:szCs w:val="21"/>
              </w:rPr>
              <w:t>（1）掌握课程教学大纲内容，严格按照教学大纲要求进行课程教学内容的组织。</w:t>
            </w:r>
          </w:p>
          <w:p w14:paraId="0617BC6A">
            <w:pPr>
              <w:spacing w:line="300" w:lineRule="exact"/>
              <w:rPr>
                <w:rFonts w:hint="eastAsia" w:ascii="宋体" w:hAnsi="宋体" w:eastAsia="宋体" w:cs="Times New Roman"/>
                <w:szCs w:val="21"/>
              </w:rPr>
            </w:pPr>
            <w:r>
              <w:rPr>
                <w:rFonts w:ascii="宋体" w:hAnsi="宋体" w:eastAsia="宋体" w:cs="Times New Roman"/>
                <w:szCs w:val="21"/>
              </w:rPr>
              <w:t>（2）悉心了解学生的现有水平和最新发展水平，深透钻研教材内容，广泛阅读相关文献资料，精心选择教学方法、组织形式和教学手段，认真编写授课计划。</w:t>
            </w:r>
          </w:p>
          <w:p w14:paraId="57A3D5FE">
            <w:pPr>
              <w:spacing w:line="300" w:lineRule="exact"/>
              <w:rPr>
                <w:rFonts w:hint="eastAsia" w:ascii="宋体" w:hAnsi="宋体" w:eastAsia="宋体" w:cs="Times New Roman"/>
                <w:szCs w:val="21"/>
              </w:rPr>
            </w:pPr>
            <w:r>
              <w:rPr>
                <w:rFonts w:ascii="宋体" w:hAnsi="宋体" w:eastAsia="宋体" w:cs="Times New Roman"/>
                <w:szCs w:val="21"/>
              </w:rPr>
              <w:t>（3）结合课程特点，适度运用多媒体教学手段讲授部分教学内容</w:t>
            </w:r>
            <w:r>
              <w:rPr>
                <w:rFonts w:hint="eastAsia" w:ascii="宋体" w:hAnsi="宋体" w:eastAsia="宋体" w:cs="Times New Roman"/>
                <w:szCs w:val="21"/>
              </w:rPr>
              <w:t>。</w:t>
            </w:r>
          </w:p>
          <w:p w14:paraId="435566E9">
            <w:pPr>
              <w:spacing w:line="300" w:lineRule="exact"/>
              <w:rPr>
                <w:rFonts w:hint="eastAsia" w:ascii="宋体" w:hAnsi="宋体" w:eastAsia="宋体" w:cs="Times New Roman"/>
                <w:szCs w:val="21"/>
              </w:rPr>
            </w:pPr>
            <w:r>
              <w:rPr>
                <w:rFonts w:ascii="宋体" w:hAnsi="宋体" w:eastAsia="宋体" w:cs="Times New Roman"/>
                <w:szCs w:val="21"/>
              </w:rPr>
              <w:t>（4）确定各章节课程内容的教学方法，构思授课思路、技巧和方法。</w:t>
            </w:r>
          </w:p>
        </w:tc>
      </w:tr>
      <w:tr w14:paraId="6D29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582" w:type="dxa"/>
            <w:tcBorders>
              <w:left w:val="single" w:color="auto" w:sz="8" w:space="0"/>
            </w:tcBorders>
            <w:vAlign w:val="center"/>
          </w:tcPr>
          <w:p w14:paraId="17EF6515">
            <w:pPr>
              <w:spacing w:line="300" w:lineRule="exact"/>
              <w:jc w:val="center"/>
              <w:rPr>
                <w:rFonts w:hint="eastAsia" w:ascii="宋体" w:hAnsi="宋体" w:eastAsia="宋体" w:cs="Times New Roman"/>
                <w:szCs w:val="21"/>
              </w:rPr>
            </w:pPr>
            <w:r>
              <w:rPr>
                <w:rFonts w:ascii="宋体" w:hAnsi="宋体" w:eastAsia="宋体" w:cs="Times New Roman"/>
                <w:szCs w:val="21"/>
              </w:rPr>
              <w:t>2</w:t>
            </w:r>
          </w:p>
        </w:tc>
        <w:tc>
          <w:tcPr>
            <w:tcW w:w="993" w:type="dxa"/>
            <w:tcMar>
              <w:left w:w="28" w:type="dxa"/>
              <w:right w:w="28" w:type="dxa"/>
            </w:tcMar>
            <w:vAlign w:val="center"/>
          </w:tcPr>
          <w:p w14:paraId="56059664">
            <w:pPr>
              <w:spacing w:line="300" w:lineRule="exact"/>
              <w:jc w:val="center"/>
              <w:rPr>
                <w:rFonts w:hint="eastAsia" w:ascii="宋体" w:hAnsi="宋体" w:eastAsia="宋体" w:cs="Times New Roman"/>
                <w:szCs w:val="21"/>
              </w:rPr>
            </w:pPr>
            <w:r>
              <w:rPr>
                <w:rFonts w:ascii="宋体" w:hAnsi="宋体" w:eastAsia="宋体" w:cs="Times New Roman"/>
                <w:szCs w:val="21"/>
              </w:rPr>
              <w:t>讲授</w:t>
            </w:r>
          </w:p>
        </w:tc>
        <w:tc>
          <w:tcPr>
            <w:tcW w:w="7525" w:type="dxa"/>
            <w:tcBorders>
              <w:right w:val="single" w:color="auto" w:sz="8" w:space="0"/>
            </w:tcBorders>
            <w:vAlign w:val="center"/>
          </w:tcPr>
          <w:p w14:paraId="2F676A46">
            <w:pPr>
              <w:spacing w:line="300" w:lineRule="exact"/>
              <w:rPr>
                <w:rFonts w:hint="eastAsia" w:ascii="宋体" w:hAnsi="宋体" w:eastAsia="宋体" w:cs="Times New Roman"/>
              </w:rPr>
            </w:pPr>
            <w:r>
              <w:rPr>
                <w:rFonts w:ascii="宋体" w:hAnsi="宋体" w:eastAsia="宋体" w:cs="Times New Roman"/>
                <w:szCs w:val="21"/>
              </w:rPr>
              <w:t>（1）</w:t>
            </w:r>
            <w:r>
              <w:rPr>
                <w:rFonts w:ascii="宋体" w:hAnsi="宋体" w:eastAsia="宋体" w:cs="Times New Roman"/>
              </w:rPr>
              <w:t>教师仪表端庄，情绪情感要饱满；</w:t>
            </w:r>
          </w:p>
          <w:p w14:paraId="2D64C125">
            <w:pPr>
              <w:spacing w:line="300" w:lineRule="exact"/>
              <w:rPr>
                <w:rFonts w:hint="eastAsia" w:ascii="宋体" w:hAnsi="宋体" w:eastAsia="宋体" w:cs="Times New Roman"/>
                <w:szCs w:val="21"/>
              </w:rPr>
            </w:pPr>
            <w:r>
              <w:rPr>
                <w:rFonts w:ascii="宋体" w:hAnsi="宋体" w:eastAsia="宋体" w:cs="Times New Roman"/>
                <w:szCs w:val="21"/>
              </w:rPr>
              <w:t>（2）</w:t>
            </w:r>
            <w:r>
              <w:rPr>
                <w:rFonts w:ascii="宋体" w:hAnsi="宋体" w:eastAsia="宋体" w:cs="Times New Roman"/>
              </w:rPr>
              <w:t>教学准备充分，熟悉教学内容；</w:t>
            </w:r>
          </w:p>
          <w:p w14:paraId="0D526762">
            <w:pPr>
              <w:spacing w:line="300" w:lineRule="exact"/>
              <w:rPr>
                <w:rFonts w:hint="eastAsia" w:ascii="宋体" w:hAnsi="宋体" w:eastAsia="宋体" w:cs="Times New Roman"/>
                <w:szCs w:val="21"/>
              </w:rPr>
            </w:pPr>
            <w:r>
              <w:rPr>
                <w:rFonts w:ascii="宋体" w:hAnsi="宋体" w:eastAsia="宋体" w:cs="Times New Roman"/>
                <w:szCs w:val="21"/>
              </w:rPr>
              <w:t>（3）</w:t>
            </w:r>
            <w:r>
              <w:rPr>
                <w:rFonts w:ascii="宋体" w:hAnsi="宋体" w:eastAsia="宋体" w:cs="Times New Roman"/>
              </w:rPr>
              <w:t>教学内容充实，不断充实最新研究成果；</w:t>
            </w:r>
          </w:p>
          <w:p w14:paraId="2D54E442">
            <w:pPr>
              <w:spacing w:line="300" w:lineRule="exact"/>
              <w:rPr>
                <w:rFonts w:hint="eastAsia" w:ascii="宋体" w:hAnsi="宋体" w:eastAsia="宋体" w:cs="Times New Roman"/>
                <w:szCs w:val="21"/>
              </w:rPr>
            </w:pPr>
            <w:r>
              <w:rPr>
                <w:rFonts w:ascii="宋体" w:hAnsi="宋体" w:eastAsia="宋体" w:cs="Times New Roman"/>
                <w:szCs w:val="21"/>
              </w:rPr>
              <w:t>（4）</w:t>
            </w:r>
            <w:r>
              <w:rPr>
                <w:rFonts w:ascii="宋体" w:hAnsi="宋体" w:eastAsia="宋体" w:cs="Times New Roman"/>
              </w:rPr>
              <w:t>严格执行计划，教学进度适宜；</w:t>
            </w:r>
          </w:p>
          <w:p w14:paraId="2CC580A9">
            <w:pPr>
              <w:spacing w:line="300" w:lineRule="exact"/>
              <w:rPr>
                <w:rFonts w:hint="eastAsia" w:ascii="宋体" w:hAnsi="宋体" w:eastAsia="宋体" w:cs="Times New Roman"/>
                <w:szCs w:val="21"/>
              </w:rPr>
            </w:pPr>
            <w:r>
              <w:rPr>
                <w:rFonts w:ascii="宋体" w:hAnsi="宋体" w:eastAsia="宋体" w:cs="Times New Roman"/>
                <w:szCs w:val="21"/>
              </w:rPr>
              <w:t>（5）</w:t>
            </w:r>
            <w:r>
              <w:rPr>
                <w:rFonts w:ascii="宋体" w:hAnsi="宋体" w:eastAsia="宋体" w:cs="Times New Roman"/>
              </w:rPr>
              <w:t>课堂教学信息充分，注重理论联系实际；</w:t>
            </w:r>
          </w:p>
          <w:p w14:paraId="2FE58E37">
            <w:pPr>
              <w:spacing w:line="300" w:lineRule="exact"/>
              <w:rPr>
                <w:rFonts w:hint="eastAsia" w:ascii="宋体" w:hAnsi="宋体" w:eastAsia="宋体" w:cs="Times New Roman"/>
                <w:szCs w:val="21"/>
              </w:rPr>
            </w:pPr>
            <w:r>
              <w:rPr>
                <w:rFonts w:ascii="宋体" w:hAnsi="宋体" w:eastAsia="宋体" w:cs="Times New Roman"/>
                <w:szCs w:val="21"/>
              </w:rPr>
              <w:t>（6）</w:t>
            </w:r>
            <w:r>
              <w:rPr>
                <w:rFonts w:ascii="宋体" w:hAnsi="宋体" w:eastAsia="宋体" w:cs="Times New Roman"/>
              </w:rPr>
              <w:t>注重启发学生思维，培养学生的教学能力；</w:t>
            </w:r>
          </w:p>
          <w:p w14:paraId="148D9E03">
            <w:pPr>
              <w:spacing w:line="300" w:lineRule="exact"/>
              <w:rPr>
                <w:rFonts w:hint="eastAsia" w:ascii="宋体" w:hAnsi="宋体" w:eastAsia="宋体" w:cs="Times New Roman"/>
                <w:szCs w:val="21"/>
              </w:rPr>
            </w:pPr>
            <w:r>
              <w:rPr>
                <w:rFonts w:ascii="宋体" w:hAnsi="宋体" w:eastAsia="宋体" w:cs="Times New Roman"/>
                <w:szCs w:val="21"/>
              </w:rPr>
              <w:t>（7）</w:t>
            </w:r>
            <w:r>
              <w:rPr>
                <w:rFonts w:ascii="宋体" w:hAnsi="宋体" w:eastAsia="宋体" w:cs="Times New Roman"/>
              </w:rPr>
              <w:t>面向全体基础上因材施教，灵活运用多种教学方法；</w:t>
            </w:r>
          </w:p>
          <w:p w14:paraId="17F39E40">
            <w:pPr>
              <w:spacing w:line="300" w:lineRule="exact"/>
              <w:rPr>
                <w:rFonts w:hint="eastAsia" w:ascii="宋体" w:hAnsi="宋体" w:eastAsia="宋体" w:cs="Times New Roman"/>
                <w:szCs w:val="21"/>
              </w:rPr>
            </w:pPr>
            <w:r>
              <w:rPr>
                <w:rFonts w:ascii="宋体" w:hAnsi="宋体" w:eastAsia="宋体" w:cs="Times New Roman"/>
                <w:szCs w:val="21"/>
              </w:rPr>
              <w:t>（8）</w:t>
            </w:r>
            <w:r>
              <w:rPr>
                <w:rFonts w:ascii="宋体" w:hAnsi="宋体" w:eastAsia="宋体" w:cs="Times New Roman"/>
              </w:rPr>
              <w:t>教学语言规范，为学生教育教学做好表率；</w:t>
            </w:r>
          </w:p>
          <w:p w14:paraId="780AC9D3">
            <w:pPr>
              <w:spacing w:line="300" w:lineRule="exact"/>
              <w:rPr>
                <w:rFonts w:hint="eastAsia" w:ascii="宋体" w:hAnsi="宋体" w:eastAsia="宋体" w:cs="Times New Roman"/>
                <w:szCs w:val="21"/>
              </w:rPr>
            </w:pPr>
            <w:r>
              <w:rPr>
                <w:rFonts w:ascii="宋体" w:hAnsi="宋体" w:eastAsia="宋体" w:cs="Times New Roman"/>
                <w:szCs w:val="21"/>
              </w:rPr>
              <w:t>（9）</w:t>
            </w:r>
            <w:r>
              <w:rPr>
                <w:rFonts w:ascii="宋体" w:hAnsi="宋体" w:eastAsia="宋体" w:cs="Times New Roman"/>
              </w:rPr>
              <w:t>教学条理清楚，教学思路逻辑严密；</w:t>
            </w:r>
          </w:p>
          <w:p w14:paraId="50ED95EB">
            <w:pPr>
              <w:spacing w:line="300" w:lineRule="exact"/>
              <w:rPr>
                <w:rFonts w:hint="eastAsia" w:ascii="宋体" w:hAnsi="宋体" w:eastAsia="宋体" w:cs="Times New Roman"/>
                <w:szCs w:val="21"/>
              </w:rPr>
            </w:pPr>
            <w:r>
              <w:rPr>
                <w:rFonts w:ascii="宋体" w:hAnsi="宋体" w:eastAsia="宋体" w:cs="Times New Roman"/>
                <w:szCs w:val="21"/>
              </w:rPr>
              <w:t>（10）</w:t>
            </w:r>
            <w:r>
              <w:rPr>
                <w:rFonts w:ascii="宋体" w:hAnsi="宋体" w:eastAsia="宋体" w:cs="Times New Roman"/>
              </w:rPr>
              <w:t>充分运用现代化教学手段，教学技术熟练；</w:t>
            </w:r>
          </w:p>
          <w:p w14:paraId="459D325C">
            <w:pPr>
              <w:spacing w:line="300" w:lineRule="exact"/>
              <w:rPr>
                <w:rFonts w:hint="eastAsia" w:ascii="宋体" w:hAnsi="宋体" w:eastAsia="宋体" w:cs="Times New Roman"/>
                <w:szCs w:val="21"/>
              </w:rPr>
            </w:pPr>
            <w:r>
              <w:rPr>
                <w:rFonts w:ascii="宋体" w:hAnsi="宋体" w:eastAsia="宋体" w:cs="Times New Roman"/>
                <w:szCs w:val="21"/>
              </w:rPr>
              <w:t>（11）</w:t>
            </w:r>
            <w:r>
              <w:rPr>
                <w:rFonts w:ascii="宋体" w:hAnsi="宋体" w:eastAsia="宋体" w:cs="Times New Roman"/>
              </w:rPr>
              <w:t>课堂教学要重点突出，难点突破；</w:t>
            </w:r>
          </w:p>
          <w:p w14:paraId="3AA1D308">
            <w:pPr>
              <w:spacing w:line="300" w:lineRule="exact"/>
              <w:rPr>
                <w:rFonts w:hint="eastAsia" w:ascii="宋体" w:hAnsi="宋体" w:eastAsia="宋体" w:cs="Times New Roman"/>
                <w:szCs w:val="21"/>
              </w:rPr>
            </w:pPr>
            <w:r>
              <w:rPr>
                <w:rFonts w:ascii="宋体" w:hAnsi="宋体" w:eastAsia="宋体" w:cs="Times New Roman"/>
                <w:szCs w:val="21"/>
              </w:rPr>
              <w:t>（12）</w:t>
            </w:r>
            <w:r>
              <w:rPr>
                <w:rFonts w:ascii="宋体" w:hAnsi="宋体" w:eastAsia="宋体" w:cs="Times New Roman"/>
              </w:rPr>
              <w:t>注重师生互动，形成良好的课堂氛围。</w:t>
            </w:r>
          </w:p>
        </w:tc>
      </w:tr>
      <w:tr w14:paraId="2419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trPr>
        <w:tc>
          <w:tcPr>
            <w:tcW w:w="582" w:type="dxa"/>
            <w:tcBorders>
              <w:left w:val="single" w:color="auto" w:sz="8" w:space="0"/>
            </w:tcBorders>
            <w:vAlign w:val="center"/>
          </w:tcPr>
          <w:p w14:paraId="7294070F">
            <w:pPr>
              <w:spacing w:line="300" w:lineRule="exact"/>
              <w:jc w:val="center"/>
              <w:rPr>
                <w:rFonts w:hint="eastAsia" w:ascii="宋体" w:hAnsi="宋体" w:eastAsia="宋体" w:cs="Times New Roman"/>
                <w:szCs w:val="21"/>
              </w:rPr>
            </w:pPr>
            <w:r>
              <w:rPr>
                <w:rFonts w:ascii="宋体" w:hAnsi="宋体" w:eastAsia="宋体" w:cs="Times New Roman"/>
                <w:szCs w:val="21"/>
              </w:rPr>
              <w:t>3</w:t>
            </w:r>
          </w:p>
        </w:tc>
        <w:tc>
          <w:tcPr>
            <w:tcW w:w="993" w:type="dxa"/>
            <w:tcMar>
              <w:left w:w="28" w:type="dxa"/>
              <w:right w:w="28" w:type="dxa"/>
            </w:tcMar>
            <w:vAlign w:val="center"/>
          </w:tcPr>
          <w:p w14:paraId="33DFB5AC">
            <w:pPr>
              <w:spacing w:line="300" w:lineRule="exact"/>
              <w:jc w:val="center"/>
              <w:rPr>
                <w:rFonts w:hint="eastAsia" w:ascii="宋体" w:hAnsi="宋体" w:eastAsia="宋体" w:cs="Times New Roman"/>
                <w:szCs w:val="21"/>
              </w:rPr>
            </w:pPr>
            <w:r>
              <w:rPr>
                <w:rFonts w:ascii="宋体" w:hAnsi="宋体" w:eastAsia="宋体" w:cs="Times New Roman"/>
                <w:szCs w:val="21"/>
              </w:rPr>
              <w:t>作业布置与批改</w:t>
            </w:r>
          </w:p>
        </w:tc>
        <w:tc>
          <w:tcPr>
            <w:tcW w:w="7525" w:type="dxa"/>
            <w:tcBorders>
              <w:right w:val="single" w:color="auto" w:sz="8" w:space="0"/>
            </w:tcBorders>
            <w:vAlign w:val="center"/>
          </w:tcPr>
          <w:p w14:paraId="28495EA1">
            <w:pPr>
              <w:spacing w:line="300" w:lineRule="exact"/>
              <w:rPr>
                <w:rFonts w:hint="eastAsia" w:ascii="宋体" w:hAnsi="宋体" w:eastAsia="宋体" w:cs="Times New Roman"/>
                <w:szCs w:val="21"/>
              </w:rPr>
            </w:pPr>
            <w:r>
              <w:rPr>
                <w:rFonts w:ascii="宋体" w:hAnsi="宋体" w:eastAsia="宋体" w:cs="Times New Roman"/>
                <w:szCs w:val="21"/>
              </w:rPr>
              <w:t>学生必须完成规定数量的作业，作业必须达到以下基本要求：</w:t>
            </w:r>
          </w:p>
          <w:p w14:paraId="21C0037B">
            <w:pPr>
              <w:spacing w:line="300" w:lineRule="exact"/>
              <w:rPr>
                <w:rFonts w:hint="eastAsia" w:ascii="宋体" w:hAnsi="宋体" w:eastAsia="宋体" w:cs="Times New Roman"/>
                <w:szCs w:val="21"/>
              </w:rPr>
            </w:pPr>
            <w:r>
              <w:rPr>
                <w:rFonts w:ascii="宋体" w:hAnsi="宋体" w:eastAsia="宋体" w:cs="Times New Roman"/>
                <w:szCs w:val="21"/>
              </w:rPr>
              <w:t>（1）按时按量完成作业，不缺交，不抄袭。</w:t>
            </w:r>
          </w:p>
          <w:p w14:paraId="5E5259FA">
            <w:pPr>
              <w:spacing w:line="300" w:lineRule="exact"/>
              <w:rPr>
                <w:rFonts w:hint="eastAsia" w:ascii="宋体" w:hAnsi="宋体" w:eastAsia="宋体" w:cs="Times New Roman"/>
                <w:szCs w:val="21"/>
              </w:rPr>
            </w:pPr>
            <w:r>
              <w:rPr>
                <w:rFonts w:ascii="宋体" w:hAnsi="宋体" w:eastAsia="宋体" w:cs="Times New Roman"/>
                <w:szCs w:val="21"/>
              </w:rPr>
              <w:t>（2）作业规范，书写清晰。</w:t>
            </w:r>
          </w:p>
          <w:p w14:paraId="1852B2ED">
            <w:pPr>
              <w:spacing w:line="300" w:lineRule="exact"/>
              <w:rPr>
                <w:rFonts w:hint="eastAsia" w:ascii="宋体" w:hAnsi="宋体" w:eastAsia="宋体" w:cs="Times New Roman"/>
                <w:szCs w:val="21"/>
              </w:rPr>
            </w:pPr>
            <w:r>
              <w:rPr>
                <w:rFonts w:ascii="宋体" w:hAnsi="宋体" w:eastAsia="宋体" w:cs="Times New Roman"/>
                <w:szCs w:val="21"/>
              </w:rPr>
              <w:t>（3）解题方法和步骤正确。</w:t>
            </w:r>
          </w:p>
          <w:p w14:paraId="37A6DF2D">
            <w:pPr>
              <w:spacing w:line="300" w:lineRule="exact"/>
              <w:rPr>
                <w:rFonts w:hint="eastAsia" w:ascii="宋体" w:hAnsi="宋体" w:eastAsia="宋体" w:cs="Times New Roman"/>
                <w:szCs w:val="21"/>
              </w:rPr>
            </w:pPr>
            <w:r>
              <w:rPr>
                <w:rFonts w:ascii="宋体" w:hAnsi="宋体" w:eastAsia="宋体" w:cs="Times New Roman"/>
                <w:szCs w:val="21"/>
              </w:rPr>
              <w:t>教师批改和讲评作业要求如下：</w:t>
            </w:r>
          </w:p>
          <w:p w14:paraId="17CC9A37">
            <w:pPr>
              <w:spacing w:line="300" w:lineRule="exact"/>
              <w:rPr>
                <w:rFonts w:hint="eastAsia" w:ascii="宋体" w:hAnsi="宋体" w:eastAsia="宋体" w:cs="Times New Roman"/>
                <w:szCs w:val="21"/>
              </w:rPr>
            </w:pPr>
            <w:r>
              <w:rPr>
                <w:rFonts w:ascii="宋体" w:hAnsi="宋体" w:eastAsia="宋体" w:cs="Times New Roman"/>
                <w:szCs w:val="21"/>
              </w:rPr>
              <w:t>（1）学生的作业要按时批改，并及时进行讲评。</w:t>
            </w:r>
          </w:p>
          <w:p w14:paraId="1F44F3CB">
            <w:pPr>
              <w:spacing w:line="300" w:lineRule="exact"/>
              <w:rPr>
                <w:rFonts w:hint="eastAsia" w:ascii="宋体" w:hAnsi="宋体" w:eastAsia="宋体" w:cs="Times New Roman"/>
                <w:szCs w:val="21"/>
              </w:rPr>
            </w:pPr>
            <w:r>
              <w:rPr>
                <w:rFonts w:ascii="宋体" w:hAnsi="宋体" w:eastAsia="宋体" w:cs="Times New Roman"/>
                <w:szCs w:val="21"/>
              </w:rPr>
              <w:t>（2）教师批改和讲评作业要认真、细致，按百分制评定成绩并写明日期。</w:t>
            </w:r>
          </w:p>
          <w:p w14:paraId="334974FC">
            <w:pPr>
              <w:spacing w:line="300" w:lineRule="exact"/>
              <w:rPr>
                <w:rFonts w:hint="eastAsia" w:ascii="宋体" w:hAnsi="宋体" w:eastAsia="宋体" w:cs="Times New Roman"/>
                <w:szCs w:val="21"/>
              </w:rPr>
            </w:pPr>
            <w:r>
              <w:rPr>
                <w:rFonts w:ascii="宋体" w:hAnsi="宋体" w:eastAsia="宋体" w:cs="Times New Roman"/>
                <w:szCs w:val="21"/>
              </w:rPr>
              <w:t>（3）学生作业平均成绩应作为本课程总评成绩中平时成绩的重要组成部分。</w:t>
            </w:r>
          </w:p>
        </w:tc>
      </w:tr>
      <w:tr w14:paraId="69D0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582" w:type="dxa"/>
            <w:tcBorders>
              <w:left w:val="single" w:color="auto" w:sz="8" w:space="0"/>
            </w:tcBorders>
            <w:vAlign w:val="center"/>
          </w:tcPr>
          <w:p w14:paraId="08A46118">
            <w:pPr>
              <w:spacing w:line="300" w:lineRule="exact"/>
              <w:jc w:val="center"/>
              <w:rPr>
                <w:rFonts w:hint="eastAsia" w:ascii="宋体" w:hAnsi="宋体" w:eastAsia="宋体" w:cs="Times New Roman"/>
                <w:szCs w:val="21"/>
              </w:rPr>
            </w:pPr>
            <w:r>
              <w:rPr>
                <w:rFonts w:ascii="宋体" w:hAnsi="宋体" w:eastAsia="宋体" w:cs="Times New Roman"/>
                <w:szCs w:val="21"/>
              </w:rPr>
              <w:t>4</w:t>
            </w:r>
          </w:p>
        </w:tc>
        <w:tc>
          <w:tcPr>
            <w:tcW w:w="993" w:type="dxa"/>
            <w:tcMar>
              <w:left w:w="28" w:type="dxa"/>
              <w:right w:w="28" w:type="dxa"/>
            </w:tcMar>
            <w:vAlign w:val="center"/>
          </w:tcPr>
          <w:p w14:paraId="252D7AA9">
            <w:pPr>
              <w:spacing w:line="300" w:lineRule="exact"/>
              <w:jc w:val="center"/>
              <w:rPr>
                <w:rFonts w:hint="eastAsia" w:ascii="宋体" w:hAnsi="宋体" w:eastAsia="宋体" w:cs="Times New Roman"/>
                <w:szCs w:val="21"/>
              </w:rPr>
            </w:pPr>
            <w:r>
              <w:rPr>
                <w:rFonts w:ascii="宋体" w:hAnsi="宋体" w:eastAsia="宋体" w:cs="Times New Roman"/>
                <w:szCs w:val="21"/>
              </w:rPr>
              <w:t>课外答疑</w:t>
            </w:r>
          </w:p>
        </w:tc>
        <w:tc>
          <w:tcPr>
            <w:tcW w:w="7525" w:type="dxa"/>
            <w:tcBorders>
              <w:right w:val="single" w:color="auto" w:sz="8" w:space="0"/>
            </w:tcBorders>
            <w:vAlign w:val="center"/>
          </w:tcPr>
          <w:p w14:paraId="5CC76DEC">
            <w:pPr>
              <w:spacing w:line="300" w:lineRule="exact"/>
              <w:rPr>
                <w:rFonts w:hint="eastAsia" w:ascii="宋体" w:hAnsi="宋体" w:eastAsia="宋体" w:cs="Times New Roman"/>
                <w:szCs w:val="21"/>
              </w:rPr>
            </w:pPr>
            <w:r>
              <w:rPr>
                <w:rFonts w:ascii="宋体" w:hAnsi="宋体"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056C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82" w:type="dxa"/>
            <w:tcBorders>
              <w:left w:val="single" w:color="auto" w:sz="8" w:space="0"/>
            </w:tcBorders>
            <w:vAlign w:val="center"/>
          </w:tcPr>
          <w:p w14:paraId="0FA1323E">
            <w:pPr>
              <w:spacing w:line="300" w:lineRule="exact"/>
              <w:jc w:val="center"/>
              <w:rPr>
                <w:rFonts w:hint="eastAsia" w:ascii="宋体" w:hAnsi="宋体" w:eastAsia="宋体" w:cs="Times New Roman"/>
                <w:szCs w:val="21"/>
              </w:rPr>
            </w:pPr>
            <w:r>
              <w:rPr>
                <w:rFonts w:ascii="宋体" w:hAnsi="宋体" w:eastAsia="宋体" w:cs="Times New Roman"/>
                <w:szCs w:val="21"/>
              </w:rPr>
              <w:t>5</w:t>
            </w:r>
          </w:p>
        </w:tc>
        <w:tc>
          <w:tcPr>
            <w:tcW w:w="993" w:type="dxa"/>
            <w:tcMar>
              <w:left w:w="28" w:type="dxa"/>
              <w:right w:w="28" w:type="dxa"/>
            </w:tcMar>
            <w:vAlign w:val="center"/>
          </w:tcPr>
          <w:p w14:paraId="361138EF">
            <w:pPr>
              <w:spacing w:line="300" w:lineRule="exact"/>
              <w:jc w:val="center"/>
              <w:rPr>
                <w:rFonts w:hint="eastAsia" w:ascii="宋体" w:hAnsi="宋体" w:eastAsia="宋体" w:cs="Times New Roman"/>
                <w:szCs w:val="21"/>
              </w:rPr>
            </w:pPr>
            <w:r>
              <w:rPr>
                <w:rFonts w:ascii="宋体" w:hAnsi="宋体" w:eastAsia="宋体" w:cs="Times New Roman"/>
                <w:szCs w:val="21"/>
              </w:rPr>
              <w:t>成绩考核</w:t>
            </w:r>
          </w:p>
        </w:tc>
        <w:tc>
          <w:tcPr>
            <w:tcW w:w="7525" w:type="dxa"/>
            <w:tcBorders>
              <w:right w:val="single" w:color="auto" w:sz="8" w:space="0"/>
            </w:tcBorders>
            <w:vAlign w:val="center"/>
          </w:tcPr>
          <w:p w14:paraId="4DC1FC72">
            <w:pPr>
              <w:spacing w:line="300" w:lineRule="exact"/>
              <w:rPr>
                <w:rFonts w:hint="eastAsia" w:ascii="宋体" w:hAnsi="宋体" w:eastAsia="宋体" w:cs="Times New Roman"/>
                <w:szCs w:val="21"/>
              </w:rPr>
            </w:pPr>
            <w:r>
              <w:rPr>
                <w:rFonts w:ascii="宋体" w:hAnsi="宋体" w:eastAsia="宋体" w:cs="Times New Roman"/>
                <w:szCs w:val="21"/>
              </w:rPr>
              <w:t>本课程考核的方式为闭卷笔试。监考由学院统一安排。有下列情况之一者，总评成绩为不及格：</w:t>
            </w:r>
          </w:p>
          <w:p w14:paraId="25FE702A">
            <w:pPr>
              <w:spacing w:line="300" w:lineRule="exact"/>
              <w:rPr>
                <w:rFonts w:hint="eastAsia" w:ascii="宋体" w:hAnsi="宋体" w:eastAsia="宋体" w:cs="Times New Roman"/>
                <w:szCs w:val="21"/>
              </w:rPr>
            </w:pPr>
            <w:r>
              <w:rPr>
                <w:rFonts w:ascii="宋体" w:hAnsi="宋体" w:eastAsia="宋体" w:cs="Times New Roman"/>
                <w:szCs w:val="21"/>
              </w:rPr>
              <w:t>（1）缺交作业次数达1/3以上者。</w:t>
            </w:r>
          </w:p>
          <w:p w14:paraId="2D21D16D">
            <w:pPr>
              <w:spacing w:line="300" w:lineRule="exact"/>
              <w:rPr>
                <w:rFonts w:hint="eastAsia" w:ascii="宋体" w:hAnsi="宋体" w:eastAsia="宋体" w:cs="Times New Roman"/>
                <w:szCs w:val="21"/>
              </w:rPr>
            </w:pPr>
            <w:r>
              <w:rPr>
                <w:rFonts w:ascii="宋体" w:hAnsi="宋体" w:eastAsia="宋体" w:cs="Times New Roman"/>
                <w:szCs w:val="21"/>
              </w:rPr>
              <w:t>（2）缺课次数达本学期总授课学时的1/3以上者。</w:t>
            </w:r>
          </w:p>
        </w:tc>
      </w:tr>
    </w:tbl>
    <w:p w14:paraId="1EE50DDD">
      <w:pPr>
        <w:spacing w:line="360" w:lineRule="auto"/>
        <w:rPr>
          <w:rFonts w:hint="eastAsia" w:ascii="宋体" w:hAnsi="宋体" w:eastAsia="宋体" w:cs="Times New Roman"/>
          <w:b/>
          <w:sz w:val="24"/>
        </w:rPr>
      </w:pPr>
      <w:r>
        <w:rPr>
          <w:rFonts w:hint="eastAsia" w:ascii="宋体" w:hAnsi="宋体" w:eastAsia="宋体" w:cs="Times New Roman"/>
          <w:b/>
          <w:sz w:val="24"/>
        </w:rPr>
        <w:t>五</w:t>
      </w:r>
      <w:r>
        <w:rPr>
          <w:rFonts w:ascii="宋体" w:hAnsi="宋体" w:eastAsia="宋体" w:cs="Times New Roman"/>
          <w:b/>
          <w:sz w:val="24"/>
        </w:rPr>
        <w:t>、课程考核</w:t>
      </w:r>
    </w:p>
    <w:p w14:paraId="54519327">
      <w:pPr>
        <w:spacing w:line="336" w:lineRule="auto"/>
        <w:rPr>
          <w:rFonts w:hint="eastAsia" w:ascii="宋体" w:hAnsi="宋体" w:eastAsia="宋体"/>
          <w:bCs/>
          <w:sz w:val="24"/>
        </w:rPr>
      </w:pPr>
      <w:r>
        <w:rPr>
          <w:rFonts w:ascii="宋体" w:hAnsi="宋体" w:eastAsia="宋体"/>
          <w:bCs/>
          <w:sz w:val="24"/>
        </w:rPr>
        <w:t>课程考核包括期末考试、平时及作业考核</w:t>
      </w:r>
      <w:r>
        <w:rPr>
          <w:rFonts w:hint="eastAsia" w:ascii="宋体" w:hAnsi="宋体" w:eastAsia="宋体"/>
          <w:bCs/>
          <w:sz w:val="24"/>
        </w:rPr>
        <w:t>等</w:t>
      </w:r>
      <w:r>
        <w:rPr>
          <w:rFonts w:ascii="宋体" w:hAnsi="宋体" w:eastAsia="宋体"/>
          <w:bCs/>
          <w:sz w:val="24"/>
        </w:rPr>
        <w:t>，期</w:t>
      </w:r>
      <w:r>
        <w:rPr>
          <w:rFonts w:hint="eastAsia" w:ascii="宋体" w:hAnsi="宋体" w:eastAsia="宋体"/>
          <w:bCs/>
          <w:sz w:val="24"/>
        </w:rPr>
        <w:t>末</w:t>
      </w:r>
      <w:r>
        <w:rPr>
          <w:rFonts w:ascii="宋体" w:hAnsi="宋体" w:eastAsia="宋体"/>
          <w:bCs/>
          <w:sz w:val="24"/>
        </w:rPr>
        <w:t>考试采用</w:t>
      </w:r>
      <w:r>
        <w:rPr>
          <w:rFonts w:hint="eastAsia" w:ascii="宋体" w:hAnsi="宋体" w:eastAsia="宋体"/>
          <w:bCs/>
          <w:sz w:val="24"/>
        </w:rPr>
        <w:t>闭卷考试方式</w:t>
      </w:r>
      <w:r>
        <w:rPr>
          <w:rFonts w:ascii="宋体" w:hAnsi="宋体" w:eastAsia="宋体"/>
          <w:bCs/>
          <w:sz w:val="24"/>
        </w:rPr>
        <w:t>。</w:t>
      </w:r>
    </w:p>
    <w:p w14:paraId="58871E07">
      <w:pPr>
        <w:spacing w:line="336" w:lineRule="auto"/>
        <w:rPr>
          <w:rFonts w:hint="eastAsia" w:ascii="宋体" w:hAnsi="宋体" w:eastAsia="宋体" w:cs="Times New Roman"/>
          <w:bCs/>
          <w:sz w:val="24"/>
        </w:rPr>
      </w:pPr>
      <w:r>
        <w:rPr>
          <w:rFonts w:hint="eastAsia" w:ascii="宋体" w:hAnsi="宋体" w:eastAsia="宋体"/>
          <w:bCs/>
          <w:sz w:val="24"/>
        </w:rPr>
        <w:t>课程总评成绩=出勤情况成绩×</w:t>
      </w:r>
      <w:r>
        <w:rPr>
          <w:rFonts w:ascii="宋体" w:hAnsi="宋体" w:eastAsia="宋体" w:cs="Times New Roman"/>
          <w:bCs/>
          <w:sz w:val="24"/>
        </w:rPr>
        <w:t>10 %</w:t>
      </w:r>
      <w:r>
        <w:rPr>
          <w:rFonts w:hint="eastAsia" w:ascii="宋体" w:hAnsi="宋体" w:eastAsia="宋体"/>
          <w:bCs/>
          <w:sz w:val="24"/>
        </w:rPr>
        <w:t xml:space="preserve"> +师生互动成绩×</w:t>
      </w:r>
      <w:r>
        <w:rPr>
          <w:rFonts w:ascii="宋体" w:hAnsi="宋体" w:eastAsia="宋体" w:cs="Times New Roman"/>
          <w:bCs/>
          <w:sz w:val="24"/>
        </w:rPr>
        <w:t xml:space="preserve">10 % </w:t>
      </w:r>
      <w:r>
        <w:rPr>
          <w:rFonts w:hint="eastAsia" w:ascii="宋体" w:hAnsi="宋体" w:eastAsia="宋体"/>
          <w:bCs/>
          <w:sz w:val="24"/>
        </w:rPr>
        <w:t>+作业成绩×</w:t>
      </w:r>
      <w:r>
        <w:rPr>
          <w:rFonts w:ascii="宋体" w:hAnsi="宋体" w:eastAsia="宋体" w:cs="Times New Roman"/>
          <w:bCs/>
          <w:sz w:val="24"/>
        </w:rPr>
        <w:t xml:space="preserve">30 % </w:t>
      </w:r>
      <w:r>
        <w:rPr>
          <w:rFonts w:hint="eastAsia" w:ascii="宋体" w:hAnsi="宋体" w:eastAsia="宋体"/>
          <w:bCs/>
          <w:sz w:val="24"/>
        </w:rPr>
        <w:t>+</w:t>
      </w:r>
      <w:r>
        <w:rPr>
          <w:rFonts w:ascii="宋体" w:hAnsi="宋体" w:eastAsia="宋体"/>
          <w:bCs/>
          <w:sz w:val="24"/>
        </w:rPr>
        <w:t xml:space="preserve"> </w:t>
      </w:r>
      <w:r>
        <w:rPr>
          <w:rFonts w:hint="eastAsia" w:ascii="宋体" w:hAnsi="宋体" w:eastAsia="宋体"/>
          <w:bCs/>
          <w:sz w:val="24"/>
        </w:rPr>
        <w:t>期末考试成绩×</w:t>
      </w:r>
      <w:r>
        <w:rPr>
          <w:rFonts w:ascii="宋体" w:hAnsi="宋体" w:eastAsia="宋体" w:cs="Times New Roman"/>
          <w:bCs/>
          <w:sz w:val="24"/>
        </w:rPr>
        <w:t>50 %</w:t>
      </w:r>
      <w:r>
        <w:rPr>
          <w:rFonts w:hint="eastAsia" w:ascii="宋体" w:hAnsi="宋体" w:eastAsia="宋体"/>
          <w:bCs/>
          <w:sz w:val="24"/>
        </w:rPr>
        <w:t>。</w:t>
      </w:r>
    </w:p>
    <w:p w14:paraId="5297CABC">
      <w:pPr>
        <w:spacing w:line="336" w:lineRule="auto"/>
        <w:rPr>
          <w:rFonts w:hint="eastAsia" w:ascii="宋体" w:hAnsi="宋体" w:eastAsia="宋体" w:cs="Times New Roman"/>
          <w:bCs/>
          <w:sz w:val="24"/>
        </w:rPr>
      </w:pPr>
      <w:r>
        <w:rPr>
          <w:rFonts w:hint="eastAsia" w:ascii="宋体" w:hAnsi="宋体" w:eastAsia="宋体"/>
          <w:bCs/>
          <w:sz w:val="24"/>
        </w:rPr>
        <w:t>具体内容和比例如表所示。</w:t>
      </w:r>
    </w:p>
    <w:tbl>
      <w:tblPr>
        <w:tblStyle w:val="13"/>
        <w:tblpPr w:leftFromText="180" w:rightFromText="180" w:vertAnchor="text" w:horzAnchor="margin" w:tblpXSpec="center" w:tblpY="244"/>
        <w:tblW w:w="9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866"/>
        <w:gridCol w:w="946"/>
        <w:gridCol w:w="3357"/>
        <w:gridCol w:w="716"/>
        <w:gridCol w:w="722"/>
        <w:gridCol w:w="727"/>
        <w:gridCol w:w="718"/>
      </w:tblGrid>
      <w:tr w14:paraId="61CE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053" w:type="dxa"/>
            <w:vMerge w:val="restart"/>
            <w:shd w:val="clear" w:color="auto" w:fill="FFFFFF"/>
            <w:tcMar>
              <w:left w:w="57" w:type="dxa"/>
              <w:right w:w="57" w:type="dxa"/>
            </w:tcMar>
            <w:vAlign w:val="center"/>
          </w:tcPr>
          <w:p w14:paraId="2449601F">
            <w:pPr>
              <w:pStyle w:val="34"/>
              <w:jc w:val="center"/>
              <w:rPr>
                <w:rFonts w:hint="eastAsia" w:ascii="宋体" w:hAnsi="宋体" w:eastAsia="宋体"/>
                <w:b/>
                <w:bCs/>
                <w:szCs w:val="21"/>
              </w:rPr>
            </w:pPr>
            <w:r>
              <w:rPr>
                <w:rFonts w:hint="eastAsia" w:ascii="宋体" w:hAnsi="宋体" w:eastAsia="宋体"/>
                <w:b/>
                <w:bCs/>
                <w:szCs w:val="21"/>
              </w:rPr>
              <w:t>考核环节</w:t>
            </w:r>
          </w:p>
        </w:tc>
        <w:tc>
          <w:tcPr>
            <w:tcW w:w="866" w:type="dxa"/>
            <w:vMerge w:val="restart"/>
            <w:shd w:val="clear" w:color="auto" w:fill="FFFFFF"/>
            <w:vAlign w:val="center"/>
          </w:tcPr>
          <w:p w14:paraId="2DF9463A">
            <w:pPr>
              <w:pStyle w:val="34"/>
              <w:jc w:val="center"/>
              <w:rPr>
                <w:rFonts w:hint="eastAsia" w:ascii="宋体" w:hAnsi="宋体" w:eastAsia="宋体"/>
                <w:b/>
                <w:bCs/>
                <w:szCs w:val="21"/>
              </w:rPr>
            </w:pPr>
            <w:r>
              <w:rPr>
                <w:rFonts w:hint="eastAsia" w:ascii="宋体" w:hAnsi="宋体" w:eastAsia="宋体"/>
                <w:b/>
                <w:bCs/>
                <w:szCs w:val="21"/>
              </w:rPr>
              <w:t>成绩比例</w:t>
            </w:r>
          </w:p>
        </w:tc>
        <w:tc>
          <w:tcPr>
            <w:tcW w:w="4308" w:type="dxa"/>
            <w:gridSpan w:val="2"/>
            <w:vMerge w:val="restart"/>
            <w:shd w:val="clear" w:color="auto" w:fill="FFFFFF"/>
            <w:vAlign w:val="center"/>
          </w:tcPr>
          <w:p w14:paraId="4F07E50E">
            <w:pPr>
              <w:pStyle w:val="34"/>
              <w:jc w:val="center"/>
              <w:rPr>
                <w:rFonts w:hint="eastAsia" w:ascii="宋体" w:hAnsi="宋体" w:eastAsia="宋体"/>
                <w:b/>
                <w:bCs/>
                <w:szCs w:val="21"/>
              </w:rPr>
            </w:pPr>
            <w:r>
              <w:rPr>
                <w:rFonts w:ascii="宋体" w:hAnsi="宋体" w:eastAsia="宋体"/>
                <w:b/>
                <w:bCs/>
                <w:szCs w:val="21"/>
              </w:rPr>
              <w:t>考核</w:t>
            </w:r>
            <w:r>
              <w:rPr>
                <w:rFonts w:hint="eastAsia" w:ascii="宋体" w:hAnsi="宋体" w:eastAsia="宋体"/>
                <w:b/>
                <w:bCs/>
                <w:szCs w:val="21"/>
              </w:rPr>
              <w:t>内容与</w:t>
            </w:r>
            <w:r>
              <w:rPr>
                <w:rFonts w:ascii="宋体" w:hAnsi="宋体" w:eastAsia="宋体"/>
                <w:b/>
                <w:bCs/>
                <w:szCs w:val="21"/>
              </w:rPr>
              <w:t>评价细则</w:t>
            </w:r>
          </w:p>
        </w:tc>
        <w:tc>
          <w:tcPr>
            <w:tcW w:w="2878" w:type="dxa"/>
            <w:gridSpan w:val="4"/>
            <w:shd w:val="clear" w:color="auto" w:fill="FFFFFF"/>
            <w:vAlign w:val="center"/>
          </w:tcPr>
          <w:p w14:paraId="7CEB1696">
            <w:pPr>
              <w:pStyle w:val="34"/>
              <w:jc w:val="center"/>
              <w:rPr>
                <w:rFonts w:hint="eastAsia" w:ascii="宋体" w:hAnsi="宋体" w:eastAsia="宋体"/>
                <w:b/>
                <w:bCs/>
                <w:szCs w:val="21"/>
              </w:rPr>
            </w:pPr>
            <w:r>
              <w:rPr>
                <w:rFonts w:hint="eastAsia" w:ascii="宋体" w:hAnsi="宋体" w:eastAsia="宋体"/>
                <w:b/>
                <w:bCs/>
                <w:szCs w:val="21"/>
              </w:rPr>
              <w:t>支撑目标</w:t>
            </w:r>
          </w:p>
        </w:tc>
      </w:tr>
      <w:tr w14:paraId="0BA4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53" w:type="dxa"/>
            <w:vMerge w:val="continue"/>
            <w:shd w:val="clear" w:color="auto" w:fill="FFFFFF"/>
            <w:tcMar>
              <w:left w:w="57" w:type="dxa"/>
              <w:right w:w="57" w:type="dxa"/>
            </w:tcMar>
            <w:vAlign w:val="center"/>
          </w:tcPr>
          <w:p w14:paraId="45D71A6B">
            <w:pPr>
              <w:pStyle w:val="34"/>
              <w:jc w:val="center"/>
              <w:rPr>
                <w:rFonts w:hint="eastAsia" w:ascii="宋体" w:hAnsi="宋体" w:eastAsia="宋体"/>
                <w:b/>
                <w:bCs/>
                <w:szCs w:val="21"/>
              </w:rPr>
            </w:pPr>
          </w:p>
        </w:tc>
        <w:tc>
          <w:tcPr>
            <w:tcW w:w="866" w:type="dxa"/>
            <w:vMerge w:val="continue"/>
            <w:shd w:val="clear" w:color="auto" w:fill="FFFFFF"/>
            <w:vAlign w:val="center"/>
          </w:tcPr>
          <w:p w14:paraId="681D5322">
            <w:pPr>
              <w:pStyle w:val="34"/>
              <w:jc w:val="center"/>
              <w:rPr>
                <w:rFonts w:hint="eastAsia" w:ascii="宋体" w:hAnsi="宋体" w:eastAsia="宋体"/>
                <w:b/>
                <w:bCs/>
                <w:szCs w:val="21"/>
              </w:rPr>
            </w:pPr>
          </w:p>
        </w:tc>
        <w:tc>
          <w:tcPr>
            <w:tcW w:w="4308" w:type="dxa"/>
            <w:gridSpan w:val="2"/>
            <w:vMerge w:val="continue"/>
            <w:shd w:val="clear" w:color="auto" w:fill="FFFFFF"/>
            <w:vAlign w:val="center"/>
          </w:tcPr>
          <w:p w14:paraId="480B3E81">
            <w:pPr>
              <w:pStyle w:val="34"/>
              <w:jc w:val="center"/>
              <w:rPr>
                <w:rFonts w:hint="eastAsia" w:ascii="宋体" w:hAnsi="宋体" w:eastAsia="宋体"/>
                <w:b/>
                <w:bCs/>
                <w:szCs w:val="21"/>
              </w:rPr>
            </w:pPr>
          </w:p>
        </w:tc>
        <w:tc>
          <w:tcPr>
            <w:tcW w:w="717" w:type="dxa"/>
            <w:shd w:val="clear" w:color="auto" w:fill="FFFFFF"/>
            <w:vAlign w:val="center"/>
          </w:tcPr>
          <w:p w14:paraId="7269BE11">
            <w:pPr>
              <w:pStyle w:val="34"/>
              <w:jc w:val="center"/>
              <w:rPr>
                <w:rFonts w:hint="eastAsia" w:ascii="宋体" w:hAnsi="宋体" w:eastAsia="宋体"/>
                <w:b/>
                <w:bCs/>
                <w:szCs w:val="21"/>
              </w:rPr>
            </w:pPr>
            <w:r>
              <w:rPr>
                <w:rFonts w:hint="eastAsia" w:ascii="宋体" w:hAnsi="宋体" w:eastAsia="宋体"/>
                <w:b/>
                <w:bCs/>
                <w:szCs w:val="21"/>
              </w:rPr>
              <w:t>目标1</w:t>
            </w:r>
          </w:p>
        </w:tc>
        <w:tc>
          <w:tcPr>
            <w:tcW w:w="723" w:type="dxa"/>
            <w:shd w:val="clear" w:color="auto" w:fill="FFFFFF"/>
            <w:vAlign w:val="center"/>
          </w:tcPr>
          <w:p w14:paraId="5DAD7EE5">
            <w:pPr>
              <w:pStyle w:val="34"/>
              <w:jc w:val="center"/>
              <w:rPr>
                <w:rFonts w:hint="eastAsia" w:ascii="宋体" w:hAnsi="宋体" w:eastAsia="宋体"/>
                <w:b/>
                <w:bCs/>
                <w:szCs w:val="21"/>
              </w:rPr>
            </w:pPr>
            <w:r>
              <w:rPr>
                <w:rFonts w:hint="eastAsia" w:ascii="宋体" w:hAnsi="宋体" w:eastAsia="宋体"/>
                <w:b/>
                <w:bCs/>
                <w:szCs w:val="21"/>
              </w:rPr>
              <w:t>目标2</w:t>
            </w:r>
          </w:p>
        </w:tc>
        <w:tc>
          <w:tcPr>
            <w:tcW w:w="718" w:type="dxa"/>
            <w:shd w:val="clear" w:color="auto" w:fill="FFFFFF"/>
            <w:vAlign w:val="center"/>
          </w:tcPr>
          <w:p w14:paraId="63EA069C">
            <w:pPr>
              <w:pStyle w:val="34"/>
              <w:jc w:val="center"/>
              <w:rPr>
                <w:rFonts w:hint="eastAsia" w:ascii="宋体" w:hAnsi="宋体" w:eastAsia="宋体"/>
                <w:b/>
                <w:bCs/>
                <w:szCs w:val="21"/>
              </w:rPr>
            </w:pPr>
            <w:r>
              <w:rPr>
                <w:rFonts w:hint="eastAsia" w:ascii="宋体" w:hAnsi="宋体" w:eastAsia="宋体"/>
                <w:b/>
                <w:bCs/>
                <w:szCs w:val="21"/>
              </w:rPr>
              <w:t>目标3</w:t>
            </w:r>
          </w:p>
        </w:tc>
        <w:tc>
          <w:tcPr>
            <w:tcW w:w="719" w:type="dxa"/>
            <w:shd w:val="clear" w:color="auto" w:fill="FFFFFF"/>
            <w:vAlign w:val="center"/>
          </w:tcPr>
          <w:p w14:paraId="240C6C56">
            <w:pPr>
              <w:pStyle w:val="34"/>
              <w:jc w:val="center"/>
              <w:rPr>
                <w:rFonts w:hint="eastAsia" w:ascii="宋体" w:hAnsi="宋体" w:eastAsia="宋体"/>
                <w:b/>
                <w:bCs/>
                <w:szCs w:val="21"/>
              </w:rPr>
            </w:pPr>
            <w:r>
              <w:rPr>
                <w:rFonts w:hint="eastAsia" w:ascii="宋体" w:hAnsi="宋体" w:eastAsia="宋体"/>
                <w:b/>
                <w:bCs/>
                <w:szCs w:val="21"/>
              </w:rPr>
              <w:t>目标4</w:t>
            </w:r>
          </w:p>
        </w:tc>
      </w:tr>
      <w:tr w14:paraId="5932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053" w:type="dxa"/>
            <w:shd w:val="clear" w:color="auto" w:fill="FFFFFF"/>
            <w:tcMar>
              <w:left w:w="57" w:type="dxa"/>
              <w:right w:w="57" w:type="dxa"/>
            </w:tcMar>
            <w:vAlign w:val="center"/>
          </w:tcPr>
          <w:p w14:paraId="4D7F6B27">
            <w:pPr>
              <w:pStyle w:val="34"/>
              <w:jc w:val="center"/>
              <w:rPr>
                <w:rFonts w:hint="eastAsia" w:ascii="宋体" w:hAnsi="宋体" w:eastAsia="宋体"/>
                <w:szCs w:val="21"/>
              </w:rPr>
            </w:pPr>
            <w:r>
              <w:rPr>
                <w:rFonts w:hint="eastAsia" w:ascii="宋体" w:hAnsi="宋体" w:eastAsia="宋体"/>
                <w:szCs w:val="21"/>
              </w:rPr>
              <w:t>出勤情况</w:t>
            </w:r>
          </w:p>
        </w:tc>
        <w:tc>
          <w:tcPr>
            <w:tcW w:w="866" w:type="dxa"/>
            <w:shd w:val="clear" w:color="auto" w:fill="FFFFFF"/>
            <w:vAlign w:val="center"/>
          </w:tcPr>
          <w:p w14:paraId="2C3E9880">
            <w:pPr>
              <w:pStyle w:val="34"/>
              <w:jc w:val="center"/>
              <w:rPr>
                <w:rFonts w:hint="eastAsia" w:ascii="宋体" w:hAnsi="宋体" w:eastAsia="宋体"/>
                <w:szCs w:val="21"/>
              </w:rPr>
            </w:pPr>
            <w:r>
              <w:rPr>
                <w:rFonts w:hint="eastAsia" w:ascii="宋体" w:hAnsi="宋体" w:eastAsia="宋体"/>
                <w:szCs w:val="21"/>
              </w:rPr>
              <w:t>10%</w:t>
            </w:r>
          </w:p>
        </w:tc>
        <w:tc>
          <w:tcPr>
            <w:tcW w:w="4308" w:type="dxa"/>
            <w:gridSpan w:val="2"/>
            <w:shd w:val="clear" w:color="auto" w:fill="FFFFFF"/>
            <w:vAlign w:val="center"/>
          </w:tcPr>
          <w:p w14:paraId="786D3E76">
            <w:pPr>
              <w:pStyle w:val="34"/>
              <w:rPr>
                <w:rFonts w:hint="eastAsia" w:ascii="宋体" w:hAnsi="宋体" w:eastAsia="宋体"/>
                <w:color w:val="000000"/>
                <w:szCs w:val="21"/>
              </w:rPr>
            </w:pPr>
            <w:r>
              <w:rPr>
                <w:rFonts w:hint="eastAsia" w:ascii="宋体" w:hAnsi="宋体" w:eastAsia="宋体"/>
                <w:szCs w:val="21"/>
              </w:rPr>
              <w:t>课堂不定期点名，考核能否按时到勤，其中迟到或缺席1次扣</w:t>
            </w:r>
            <w:r>
              <w:rPr>
                <w:rFonts w:ascii="宋体" w:hAnsi="宋体" w:eastAsia="宋体"/>
                <w:szCs w:val="21"/>
              </w:rPr>
              <w:t>5</w:t>
            </w:r>
            <w:r>
              <w:rPr>
                <w:rFonts w:hint="eastAsia" w:ascii="宋体" w:hAnsi="宋体" w:eastAsia="宋体"/>
                <w:szCs w:val="21"/>
              </w:rPr>
              <w:t>分。</w:t>
            </w:r>
          </w:p>
        </w:tc>
        <w:tc>
          <w:tcPr>
            <w:tcW w:w="717" w:type="dxa"/>
            <w:shd w:val="clear" w:color="auto" w:fill="FFFFFF"/>
            <w:vAlign w:val="center"/>
          </w:tcPr>
          <w:p w14:paraId="12023E83">
            <w:pPr>
              <w:pStyle w:val="34"/>
              <w:jc w:val="center"/>
              <w:rPr>
                <w:rFonts w:hint="eastAsia" w:ascii="宋体" w:hAnsi="宋体" w:eastAsia="宋体"/>
                <w:color w:val="00B0F0"/>
                <w:szCs w:val="21"/>
              </w:rPr>
            </w:pPr>
            <w:r>
              <w:rPr>
                <w:rFonts w:ascii="宋体" w:hAnsi="宋体" w:eastAsia="宋体"/>
                <w:szCs w:val="21"/>
              </w:rPr>
              <w:t>5</w:t>
            </w:r>
            <w:r>
              <w:rPr>
                <w:rFonts w:hint="eastAsia" w:ascii="宋体" w:hAnsi="宋体" w:eastAsia="宋体"/>
                <w:szCs w:val="21"/>
              </w:rPr>
              <w:t>%</w:t>
            </w:r>
          </w:p>
        </w:tc>
        <w:tc>
          <w:tcPr>
            <w:tcW w:w="723" w:type="dxa"/>
            <w:shd w:val="clear" w:color="auto" w:fill="FFFFFF"/>
            <w:vAlign w:val="center"/>
          </w:tcPr>
          <w:p w14:paraId="7B24F4FD">
            <w:pPr>
              <w:pStyle w:val="34"/>
              <w:jc w:val="center"/>
              <w:rPr>
                <w:rFonts w:hint="eastAsia" w:ascii="宋体" w:hAnsi="宋体" w:eastAsia="宋体"/>
                <w:color w:val="00B0F0"/>
                <w:szCs w:val="21"/>
              </w:rPr>
            </w:pPr>
          </w:p>
        </w:tc>
        <w:tc>
          <w:tcPr>
            <w:tcW w:w="718" w:type="dxa"/>
            <w:shd w:val="clear" w:color="auto" w:fill="FFFFFF"/>
            <w:vAlign w:val="center"/>
          </w:tcPr>
          <w:p w14:paraId="53D7801A">
            <w:pPr>
              <w:pStyle w:val="34"/>
              <w:jc w:val="center"/>
              <w:rPr>
                <w:rFonts w:hint="eastAsia" w:ascii="宋体" w:hAnsi="宋体" w:eastAsia="宋体"/>
                <w:color w:val="000000"/>
                <w:szCs w:val="21"/>
              </w:rPr>
            </w:pPr>
            <w:r>
              <w:rPr>
                <w:rFonts w:ascii="宋体" w:hAnsi="宋体" w:eastAsia="宋体"/>
                <w:szCs w:val="21"/>
              </w:rPr>
              <w:t>5</w:t>
            </w:r>
            <w:r>
              <w:rPr>
                <w:rFonts w:hint="eastAsia" w:ascii="宋体" w:hAnsi="宋体" w:eastAsia="宋体"/>
                <w:szCs w:val="21"/>
              </w:rPr>
              <w:t>%</w:t>
            </w:r>
          </w:p>
        </w:tc>
        <w:tc>
          <w:tcPr>
            <w:tcW w:w="719" w:type="dxa"/>
            <w:shd w:val="clear" w:color="auto" w:fill="FFFFFF"/>
            <w:vAlign w:val="center"/>
          </w:tcPr>
          <w:p w14:paraId="0D5A3865">
            <w:pPr>
              <w:pStyle w:val="34"/>
              <w:jc w:val="center"/>
              <w:rPr>
                <w:rFonts w:hint="eastAsia" w:ascii="宋体" w:hAnsi="宋体" w:eastAsia="宋体"/>
                <w:color w:val="000000"/>
                <w:szCs w:val="21"/>
              </w:rPr>
            </w:pPr>
          </w:p>
        </w:tc>
      </w:tr>
      <w:tr w14:paraId="4EE4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053" w:type="dxa"/>
            <w:shd w:val="clear" w:color="auto" w:fill="FFFFFF"/>
            <w:tcMar>
              <w:left w:w="57" w:type="dxa"/>
              <w:right w:w="57" w:type="dxa"/>
            </w:tcMar>
            <w:vAlign w:val="center"/>
          </w:tcPr>
          <w:p w14:paraId="7592143F">
            <w:pPr>
              <w:pStyle w:val="34"/>
              <w:jc w:val="center"/>
              <w:rPr>
                <w:rFonts w:hint="eastAsia" w:ascii="宋体" w:hAnsi="宋体" w:eastAsia="宋体"/>
                <w:szCs w:val="21"/>
              </w:rPr>
            </w:pPr>
            <w:r>
              <w:rPr>
                <w:rFonts w:hint="eastAsia" w:ascii="宋体" w:hAnsi="宋体" w:eastAsia="宋体"/>
                <w:szCs w:val="21"/>
              </w:rPr>
              <w:t>师生互动</w:t>
            </w:r>
          </w:p>
        </w:tc>
        <w:tc>
          <w:tcPr>
            <w:tcW w:w="866" w:type="dxa"/>
            <w:shd w:val="clear" w:color="auto" w:fill="FFFFFF"/>
            <w:vAlign w:val="center"/>
          </w:tcPr>
          <w:p w14:paraId="001FAD60">
            <w:pPr>
              <w:pStyle w:val="34"/>
              <w:jc w:val="center"/>
              <w:rPr>
                <w:rFonts w:hint="eastAsia" w:ascii="宋体" w:hAnsi="宋体" w:eastAsia="宋体"/>
                <w:szCs w:val="21"/>
              </w:rPr>
            </w:pPr>
            <w:r>
              <w:rPr>
                <w:rFonts w:hint="eastAsia" w:ascii="宋体" w:hAnsi="宋体" w:eastAsia="宋体"/>
                <w:szCs w:val="21"/>
              </w:rPr>
              <w:t>10%</w:t>
            </w:r>
          </w:p>
        </w:tc>
        <w:tc>
          <w:tcPr>
            <w:tcW w:w="4308" w:type="dxa"/>
            <w:gridSpan w:val="2"/>
            <w:shd w:val="clear" w:color="auto" w:fill="FFFFFF"/>
            <w:vAlign w:val="center"/>
          </w:tcPr>
          <w:p w14:paraId="5A4AF259">
            <w:pPr>
              <w:pStyle w:val="34"/>
              <w:rPr>
                <w:rFonts w:hint="eastAsia" w:ascii="宋体" w:hAnsi="宋体" w:eastAsia="宋体"/>
                <w:color w:val="000000"/>
                <w:szCs w:val="21"/>
              </w:rPr>
            </w:pPr>
            <w:r>
              <w:rPr>
                <w:rFonts w:hint="eastAsia" w:ascii="宋体" w:hAnsi="宋体" w:eastAsia="宋体"/>
                <w:szCs w:val="21"/>
              </w:rPr>
              <w:t>课堂不定期通过提问或小练习实施师生互动，考核学生课堂学习情况，按照互动情况打分。</w:t>
            </w:r>
          </w:p>
        </w:tc>
        <w:tc>
          <w:tcPr>
            <w:tcW w:w="717" w:type="dxa"/>
            <w:shd w:val="clear" w:color="auto" w:fill="FFFFFF"/>
            <w:vAlign w:val="center"/>
          </w:tcPr>
          <w:p w14:paraId="08401C33">
            <w:pPr>
              <w:pStyle w:val="34"/>
              <w:jc w:val="center"/>
              <w:rPr>
                <w:rFonts w:hint="eastAsia" w:ascii="宋体" w:hAnsi="宋体" w:eastAsia="宋体"/>
                <w:color w:val="00B0F0"/>
                <w:szCs w:val="21"/>
              </w:rPr>
            </w:pPr>
            <w:r>
              <w:rPr>
                <w:rFonts w:ascii="宋体" w:hAnsi="宋体" w:eastAsia="宋体"/>
                <w:szCs w:val="21"/>
              </w:rPr>
              <w:t>5</w:t>
            </w:r>
            <w:r>
              <w:rPr>
                <w:rFonts w:hint="eastAsia" w:ascii="宋体" w:hAnsi="宋体" w:eastAsia="宋体"/>
                <w:szCs w:val="21"/>
              </w:rPr>
              <w:t>%</w:t>
            </w:r>
          </w:p>
        </w:tc>
        <w:tc>
          <w:tcPr>
            <w:tcW w:w="723" w:type="dxa"/>
            <w:shd w:val="clear" w:color="auto" w:fill="FFFFFF"/>
            <w:vAlign w:val="center"/>
          </w:tcPr>
          <w:p w14:paraId="1E86868E">
            <w:pPr>
              <w:pStyle w:val="34"/>
              <w:jc w:val="center"/>
              <w:rPr>
                <w:rFonts w:hint="eastAsia" w:ascii="宋体" w:hAnsi="宋体" w:eastAsia="宋体"/>
                <w:color w:val="00B0F0"/>
                <w:szCs w:val="21"/>
              </w:rPr>
            </w:pPr>
          </w:p>
        </w:tc>
        <w:tc>
          <w:tcPr>
            <w:tcW w:w="718" w:type="dxa"/>
            <w:shd w:val="clear" w:color="auto" w:fill="FFFFFF"/>
            <w:vAlign w:val="center"/>
          </w:tcPr>
          <w:p w14:paraId="29E4A7A4">
            <w:pPr>
              <w:pStyle w:val="34"/>
              <w:jc w:val="center"/>
              <w:rPr>
                <w:rFonts w:hint="eastAsia" w:ascii="宋体" w:hAnsi="宋体" w:eastAsia="宋体"/>
                <w:color w:val="000000"/>
                <w:szCs w:val="21"/>
              </w:rPr>
            </w:pPr>
            <w:r>
              <w:rPr>
                <w:rFonts w:ascii="宋体" w:hAnsi="宋体" w:eastAsia="宋体"/>
                <w:szCs w:val="21"/>
              </w:rPr>
              <w:t>5</w:t>
            </w:r>
            <w:r>
              <w:rPr>
                <w:rFonts w:hint="eastAsia" w:ascii="宋体" w:hAnsi="宋体" w:eastAsia="宋体"/>
                <w:szCs w:val="21"/>
              </w:rPr>
              <w:t>%</w:t>
            </w:r>
          </w:p>
        </w:tc>
        <w:tc>
          <w:tcPr>
            <w:tcW w:w="719" w:type="dxa"/>
            <w:shd w:val="clear" w:color="auto" w:fill="FFFFFF"/>
            <w:vAlign w:val="center"/>
          </w:tcPr>
          <w:p w14:paraId="43FFFEF1">
            <w:pPr>
              <w:pStyle w:val="34"/>
              <w:jc w:val="center"/>
              <w:rPr>
                <w:rFonts w:hint="eastAsia" w:ascii="宋体" w:hAnsi="宋体" w:eastAsia="宋体"/>
                <w:color w:val="000000"/>
                <w:szCs w:val="21"/>
              </w:rPr>
            </w:pPr>
          </w:p>
        </w:tc>
      </w:tr>
      <w:tr w14:paraId="471E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53" w:type="dxa"/>
            <w:tcMar>
              <w:left w:w="57" w:type="dxa"/>
              <w:right w:w="57" w:type="dxa"/>
            </w:tcMar>
            <w:vAlign w:val="center"/>
          </w:tcPr>
          <w:p w14:paraId="253F1510">
            <w:pPr>
              <w:pStyle w:val="34"/>
              <w:jc w:val="center"/>
              <w:rPr>
                <w:rFonts w:hint="eastAsia" w:ascii="宋体" w:hAnsi="宋体" w:eastAsia="宋体"/>
                <w:szCs w:val="21"/>
              </w:rPr>
            </w:pPr>
            <w:r>
              <w:rPr>
                <w:rFonts w:ascii="宋体" w:hAnsi="宋体" w:eastAsia="宋体"/>
                <w:szCs w:val="21"/>
              </w:rPr>
              <w:t>作</w:t>
            </w:r>
            <w:r>
              <w:rPr>
                <w:rFonts w:hint="eastAsia" w:ascii="宋体" w:hAnsi="宋体" w:eastAsia="宋体"/>
                <w:szCs w:val="21"/>
              </w:rPr>
              <w:t xml:space="preserve">    </w:t>
            </w:r>
            <w:r>
              <w:rPr>
                <w:rFonts w:ascii="宋体" w:hAnsi="宋体" w:eastAsia="宋体"/>
                <w:szCs w:val="21"/>
              </w:rPr>
              <w:t>业</w:t>
            </w:r>
          </w:p>
        </w:tc>
        <w:tc>
          <w:tcPr>
            <w:tcW w:w="866" w:type="dxa"/>
            <w:vAlign w:val="center"/>
          </w:tcPr>
          <w:p w14:paraId="0017C8C1">
            <w:pPr>
              <w:pStyle w:val="34"/>
              <w:jc w:val="center"/>
              <w:rPr>
                <w:rFonts w:hint="eastAsia" w:ascii="宋体" w:hAnsi="宋体" w:eastAsia="宋体"/>
                <w:szCs w:val="21"/>
              </w:rPr>
            </w:pPr>
            <w:r>
              <w:rPr>
                <w:rFonts w:hint="eastAsia" w:ascii="宋体" w:hAnsi="宋体" w:eastAsia="宋体"/>
                <w:szCs w:val="21"/>
              </w:rPr>
              <w:t>30</w:t>
            </w:r>
            <w:r>
              <w:rPr>
                <w:rFonts w:ascii="宋体" w:hAnsi="宋体" w:eastAsia="宋体"/>
                <w:szCs w:val="21"/>
              </w:rPr>
              <w:t>%</w:t>
            </w:r>
          </w:p>
        </w:tc>
        <w:tc>
          <w:tcPr>
            <w:tcW w:w="4308" w:type="dxa"/>
            <w:gridSpan w:val="2"/>
            <w:vAlign w:val="center"/>
          </w:tcPr>
          <w:p w14:paraId="2B7D4199">
            <w:pPr>
              <w:pStyle w:val="34"/>
              <w:rPr>
                <w:rFonts w:hint="eastAsia" w:ascii="宋体" w:hAnsi="宋体" w:eastAsia="宋体"/>
                <w:szCs w:val="21"/>
              </w:rPr>
            </w:pPr>
            <w:r>
              <w:rPr>
                <w:rFonts w:hint="eastAsia" w:ascii="宋体" w:hAnsi="宋体" w:eastAsia="宋体"/>
                <w:szCs w:val="21"/>
              </w:rPr>
              <w:t>定期布置作业，考核学生对所学知识点的复习、理解和掌握度。对每次作业完成情况做记录并打分，计算全部作业的平均成绩。</w:t>
            </w:r>
          </w:p>
        </w:tc>
        <w:tc>
          <w:tcPr>
            <w:tcW w:w="717" w:type="dxa"/>
            <w:shd w:val="clear" w:color="auto" w:fill="FFFFFF"/>
            <w:vAlign w:val="center"/>
          </w:tcPr>
          <w:p w14:paraId="7F4A47DF">
            <w:pPr>
              <w:pStyle w:val="34"/>
              <w:jc w:val="center"/>
              <w:rPr>
                <w:rFonts w:hint="eastAsia" w:ascii="宋体" w:hAnsi="宋体" w:eastAsia="宋体"/>
                <w:color w:val="00B0F0"/>
                <w:szCs w:val="21"/>
              </w:rPr>
            </w:pPr>
          </w:p>
        </w:tc>
        <w:tc>
          <w:tcPr>
            <w:tcW w:w="723" w:type="dxa"/>
            <w:shd w:val="clear" w:color="auto" w:fill="FFFFFF"/>
            <w:vAlign w:val="center"/>
          </w:tcPr>
          <w:p w14:paraId="5FB433D1">
            <w:pPr>
              <w:pStyle w:val="34"/>
              <w:jc w:val="center"/>
              <w:rPr>
                <w:rFonts w:hint="eastAsia" w:ascii="宋体" w:hAnsi="宋体" w:eastAsia="宋体"/>
                <w:color w:val="00B0F0"/>
                <w:szCs w:val="21"/>
              </w:rPr>
            </w:pPr>
            <w:r>
              <w:rPr>
                <w:rFonts w:ascii="宋体" w:hAnsi="宋体" w:eastAsia="宋体"/>
                <w:szCs w:val="21"/>
              </w:rPr>
              <w:t>20</w:t>
            </w:r>
            <w:r>
              <w:rPr>
                <w:rFonts w:hint="eastAsia" w:ascii="宋体" w:hAnsi="宋体" w:eastAsia="宋体"/>
                <w:szCs w:val="21"/>
              </w:rPr>
              <w:t>%</w:t>
            </w:r>
          </w:p>
        </w:tc>
        <w:tc>
          <w:tcPr>
            <w:tcW w:w="718" w:type="dxa"/>
            <w:shd w:val="clear" w:color="auto" w:fill="FFFFFF"/>
            <w:vAlign w:val="center"/>
          </w:tcPr>
          <w:p w14:paraId="1F34B1DE">
            <w:pPr>
              <w:pStyle w:val="34"/>
              <w:jc w:val="center"/>
              <w:rPr>
                <w:rFonts w:hint="eastAsia" w:ascii="宋体" w:hAnsi="宋体" w:eastAsia="宋体"/>
                <w:color w:val="000000"/>
                <w:szCs w:val="21"/>
              </w:rPr>
            </w:pPr>
            <w:r>
              <w:rPr>
                <w:rFonts w:ascii="宋体" w:hAnsi="宋体" w:eastAsia="宋体"/>
                <w:szCs w:val="21"/>
              </w:rPr>
              <w:t>10</w:t>
            </w:r>
            <w:r>
              <w:rPr>
                <w:rFonts w:hint="eastAsia" w:ascii="宋体" w:hAnsi="宋体" w:eastAsia="宋体"/>
                <w:szCs w:val="21"/>
              </w:rPr>
              <w:t>%</w:t>
            </w:r>
          </w:p>
        </w:tc>
        <w:tc>
          <w:tcPr>
            <w:tcW w:w="719" w:type="dxa"/>
            <w:shd w:val="clear" w:color="auto" w:fill="FFFFFF"/>
            <w:vAlign w:val="center"/>
          </w:tcPr>
          <w:p w14:paraId="43985C6D">
            <w:pPr>
              <w:pStyle w:val="34"/>
              <w:jc w:val="center"/>
              <w:rPr>
                <w:rFonts w:hint="eastAsia" w:ascii="宋体" w:hAnsi="宋体" w:eastAsia="宋体"/>
                <w:color w:val="000000"/>
                <w:szCs w:val="21"/>
              </w:rPr>
            </w:pPr>
          </w:p>
        </w:tc>
      </w:tr>
      <w:tr w14:paraId="461A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053" w:type="dxa"/>
            <w:vMerge w:val="restart"/>
            <w:tcMar>
              <w:left w:w="57" w:type="dxa"/>
              <w:right w:w="57" w:type="dxa"/>
            </w:tcMar>
            <w:vAlign w:val="center"/>
          </w:tcPr>
          <w:p w14:paraId="7DD616FE">
            <w:pPr>
              <w:pStyle w:val="34"/>
              <w:jc w:val="center"/>
              <w:rPr>
                <w:rFonts w:hint="eastAsia" w:ascii="宋体" w:hAnsi="宋体" w:eastAsia="宋体"/>
                <w:szCs w:val="21"/>
              </w:rPr>
            </w:pPr>
            <w:r>
              <w:rPr>
                <w:rFonts w:ascii="宋体" w:hAnsi="宋体" w:eastAsia="宋体"/>
                <w:szCs w:val="21"/>
              </w:rPr>
              <w:t>期末</w:t>
            </w:r>
            <w:r>
              <w:rPr>
                <w:rFonts w:hint="eastAsia" w:ascii="宋体" w:hAnsi="宋体" w:eastAsia="宋体"/>
                <w:szCs w:val="21"/>
              </w:rPr>
              <w:t>试卷</w:t>
            </w:r>
          </w:p>
        </w:tc>
        <w:tc>
          <w:tcPr>
            <w:tcW w:w="866" w:type="dxa"/>
            <w:vMerge w:val="restart"/>
            <w:vAlign w:val="center"/>
          </w:tcPr>
          <w:p w14:paraId="193D044A">
            <w:pPr>
              <w:pStyle w:val="34"/>
              <w:jc w:val="center"/>
              <w:rPr>
                <w:rFonts w:hint="eastAsia" w:ascii="宋体" w:hAnsi="宋体" w:eastAsia="宋体"/>
                <w:szCs w:val="21"/>
              </w:rPr>
            </w:pPr>
            <w:r>
              <w:rPr>
                <w:rFonts w:hint="eastAsia" w:ascii="宋体" w:hAnsi="宋体" w:eastAsia="宋体"/>
                <w:szCs w:val="21"/>
              </w:rPr>
              <w:t>50</w:t>
            </w:r>
            <w:r>
              <w:rPr>
                <w:rFonts w:ascii="宋体" w:hAnsi="宋体" w:eastAsia="宋体"/>
                <w:szCs w:val="21"/>
              </w:rPr>
              <w:t>%</w:t>
            </w:r>
            <w:r>
              <w:rPr>
                <w:rFonts w:hint="eastAsia" w:ascii="宋体" w:hAnsi="宋体" w:eastAsia="宋体"/>
                <w:szCs w:val="21"/>
              </w:rPr>
              <w:t xml:space="preserve"> </w:t>
            </w:r>
          </w:p>
        </w:tc>
        <w:tc>
          <w:tcPr>
            <w:tcW w:w="947" w:type="dxa"/>
            <w:tcBorders>
              <w:left w:val="single" w:color="auto" w:sz="4" w:space="0"/>
            </w:tcBorders>
            <w:vAlign w:val="center"/>
          </w:tcPr>
          <w:p w14:paraId="54DA41A8">
            <w:pPr>
              <w:pStyle w:val="34"/>
              <w:jc w:val="center"/>
              <w:rPr>
                <w:rFonts w:hint="eastAsia" w:ascii="宋体" w:hAnsi="宋体" w:eastAsia="宋体"/>
                <w:color w:val="000000"/>
                <w:szCs w:val="21"/>
              </w:rPr>
            </w:pPr>
            <w:r>
              <w:rPr>
                <w:rFonts w:hint="eastAsia" w:ascii="宋体" w:hAnsi="宋体" w:eastAsia="宋体"/>
                <w:color w:val="000000"/>
                <w:szCs w:val="21"/>
              </w:rPr>
              <w:t>题型</w:t>
            </w:r>
          </w:p>
        </w:tc>
        <w:tc>
          <w:tcPr>
            <w:tcW w:w="3361" w:type="dxa"/>
            <w:tcBorders>
              <w:left w:val="single" w:color="auto" w:sz="4" w:space="0"/>
            </w:tcBorders>
            <w:vAlign w:val="center"/>
          </w:tcPr>
          <w:p w14:paraId="54159B67">
            <w:pPr>
              <w:widowControl/>
              <w:jc w:val="center"/>
              <w:rPr>
                <w:rFonts w:hint="eastAsia" w:ascii="宋体" w:hAnsi="宋体" w:eastAsia="宋体"/>
                <w:szCs w:val="21"/>
              </w:rPr>
            </w:pPr>
            <w:r>
              <w:rPr>
                <w:rFonts w:hint="eastAsia" w:ascii="宋体" w:hAnsi="宋体" w:eastAsia="宋体"/>
                <w:color w:val="000000"/>
                <w:szCs w:val="21"/>
              </w:rPr>
              <w:t>考核内容及相应题目</w:t>
            </w:r>
          </w:p>
        </w:tc>
        <w:tc>
          <w:tcPr>
            <w:tcW w:w="2878" w:type="dxa"/>
            <w:gridSpan w:val="4"/>
            <w:tcBorders>
              <w:tl2br w:val="single" w:color="auto" w:sz="4" w:space="0"/>
            </w:tcBorders>
            <w:shd w:val="clear" w:color="auto" w:fill="FFFFFF"/>
          </w:tcPr>
          <w:p w14:paraId="5BF7A24C">
            <w:pPr>
              <w:pStyle w:val="34"/>
              <w:rPr>
                <w:rFonts w:hint="eastAsia" w:ascii="宋体" w:hAnsi="宋体" w:eastAsia="宋体"/>
                <w:color w:val="00B0F0"/>
                <w:szCs w:val="21"/>
              </w:rPr>
            </w:pPr>
          </w:p>
        </w:tc>
      </w:tr>
      <w:tr w14:paraId="2E3D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053" w:type="dxa"/>
            <w:vMerge w:val="continue"/>
            <w:tcMar>
              <w:left w:w="57" w:type="dxa"/>
              <w:right w:w="57" w:type="dxa"/>
            </w:tcMar>
            <w:vAlign w:val="center"/>
          </w:tcPr>
          <w:p w14:paraId="72BD400A">
            <w:pPr>
              <w:pStyle w:val="34"/>
              <w:jc w:val="center"/>
              <w:rPr>
                <w:rFonts w:hint="eastAsia" w:ascii="宋体" w:hAnsi="宋体" w:eastAsia="宋体"/>
                <w:szCs w:val="21"/>
              </w:rPr>
            </w:pPr>
          </w:p>
        </w:tc>
        <w:tc>
          <w:tcPr>
            <w:tcW w:w="866" w:type="dxa"/>
            <w:vMerge w:val="continue"/>
            <w:vAlign w:val="center"/>
          </w:tcPr>
          <w:p w14:paraId="614EC00F">
            <w:pPr>
              <w:pStyle w:val="34"/>
              <w:jc w:val="center"/>
              <w:rPr>
                <w:rFonts w:hint="eastAsia" w:ascii="宋体" w:hAnsi="宋体" w:eastAsia="宋体"/>
                <w:szCs w:val="21"/>
              </w:rPr>
            </w:pPr>
          </w:p>
        </w:tc>
        <w:tc>
          <w:tcPr>
            <w:tcW w:w="947" w:type="dxa"/>
            <w:tcBorders>
              <w:left w:val="single" w:color="auto" w:sz="4" w:space="0"/>
            </w:tcBorders>
            <w:vAlign w:val="center"/>
          </w:tcPr>
          <w:p w14:paraId="252AE62E">
            <w:pPr>
              <w:pStyle w:val="34"/>
              <w:jc w:val="center"/>
              <w:rPr>
                <w:rFonts w:hint="eastAsia" w:ascii="宋体" w:hAnsi="宋体" w:eastAsia="宋体"/>
                <w:color w:val="000000"/>
                <w:szCs w:val="21"/>
              </w:rPr>
            </w:pPr>
            <w:r>
              <w:rPr>
                <w:rFonts w:hint="eastAsia" w:ascii="宋体" w:hAnsi="宋体" w:eastAsia="宋体"/>
                <w:color w:val="000000"/>
                <w:szCs w:val="21"/>
              </w:rPr>
              <w:t>填空题</w:t>
            </w:r>
          </w:p>
        </w:tc>
        <w:tc>
          <w:tcPr>
            <w:tcW w:w="3361" w:type="dxa"/>
            <w:tcBorders>
              <w:left w:val="single" w:color="auto" w:sz="4" w:space="0"/>
            </w:tcBorders>
            <w:vAlign w:val="center"/>
          </w:tcPr>
          <w:p w14:paraId="79CD274F">
            <w:pPr>
              <w:pStyle w:val="34"/>
              <w:jc w:val="left"/>
              <w:rPr>
                <w:rFonts w:hint="eastAsia" w:ascii="宋体" w:hAnsi="宋体" w:eastAsia="宋体"/>
                <w:szCs w:val="21"/>
              </w:rPr>
            </w:pPr>
            <w:r>
              <w:rPr>
                <w:rFonts w:ascii="宋体" w:hAnsi="宋体" w:eastAsia="宋体"/>
                <w:szCs w:val="21"/>
              </w:rPr>
              <w:t>行列式的性质</w:t>
            </w:r>
            <w:r>
              <w:rPr>
                <w:rFonts w:hint="eastAsia" w:ascii="宋体" w:hAnsi="宋体" w:eastAsia="宋体"/>
                <w:szCs w:val="21"/>
              </w:rPr>
              <w:t>、</w:t>
            </w:r>
            <w:r>
              <w:rPr>
                <w:rFonts w:ascii="宋体" w:hAnsi="宋体" w:eastAsia="宋体"/>
                <w:szCs w:val="21"/>
              </w:rPr>
              <w:t>矩阵的运算</w:t>
            </w:r>
            <w:r>
              <w:rPr>
                <w:rFonts w:hint="eastAsia" w:ascii="宋体" w:hAnsi="宋体" w:eastAsia="宋体"/>
                <w:szCs w:val="21"/>
              </w:rPr>
              <w:t>、</w:t>
            </w:r>
            <w:r>
              <w:rPr>
                <w:rFonts w:ascii="宋体" w:hAnsi="宋体" w:eastAsia="宋体"/>
                <w:szCs w:val="21"/>
              </w:rPr>
              <w:t>矩阵秩的性质</w:t>
            </w:r>
            <w:r>
              <w:rPr>
                <w:rFonts w:hint="eastAsia" w:ascii="宋体" w:hAnsi="宋体" w:eastAsia="宋体"/>
                <w:szCs w:val="21"/>
              </w:rPr>
              <w:t>、</w:t>
            </w:r>
            <w:r>
              <w:rPr>
                <w:rFonts w:ascii="宋体" w:hAnsi="宋体" w:eastAsia="宋体"/>
                <w:szCs w:val="21"/>
              </w:rPr>
              <w:t>线性方程组解的情况判定</w:t>
            </w:r>
            <w:r>
              <w:rPr>
                <w:rFonts w:hint="eastAsia" w:ascii="宋体" w:hAnsi="宋体" w:eastAsia="宋体"/>
                <w:szCs w:val="21"/>
              </w:rPr>
              <w:t>、线性方程组解的结构、</w:t>
            </w:r>
            <w:r>
              <w:rPr>
                <w:rFonts w:ascii="宋体" w:hAnsi="宋体" w:eastAsia="宋体"/>
                <w:szCs w:val="21"/>
              </w:rPr>
              <w:t>向量组线性相关性的判定</w:t>
            </w:r>
            <w:r>
              <w:rPr>
                <w:rFonts w:hint="eastAsia" w:ascii="宋体" w:hAnsi="宋体" w:eastAsia="宋体"/>
                <w:szCs w:val="21"/>
              </w:rPr>
              <w:t>、</w:t>
            </w:r>
            <w:r>
              <w:rPr>
                <w:rFonts w:ascii="宋体" w:hAnsi="宋体" w:eastAsia="宋体"/>
                <w:szCs w:val="21"/>
              </w:rPr>
              <w:t>方阵的特征值与特征向量</w:t>
            </w:r>
            <w:r>
              <w:rPr>
                <w:rFonts w:hint="eastAsia" w:ascii="宋体" w:hAnsi="宋体" w:eastAsia="宋体"/>
                <w:szCs w:val="21"/>
              </w:rPr>
              <w:t>、</w:t>
            </w:r>
            <w:r>
              <w:rPr>
                <w:rFonts w:ascii="宋体" w:hAnsi="宋体" w:eastAsia="宋体"/>
                <w:szCs w:val="21"/>
              </w:rPr>
              <w:t>矩阵相似与正交判定</w:t>
            </w:r>
            <w:r>
              <w:rPr>
                <w:rFonts w:hint="eastAsia" w:ascii="宋体" w:hAnsi="宋体" w:eastAsia="宋体"/>
                <w:szCs w:val="21"/>
              </w:rPr>
              <w:t>以及二次型正定性判定等。</w:t>
            </w:r>
          </w:p>
        </w:tc>
        <w:tc>
          <w:tcPr>
            <w:tcW w:w="717" w:type="dxa"/>
            <w:shd w:val="clear" w:color="auto" w:fill="FFFFFF"/>
            <w:vAlign w:val="center"/>
          </w:tcPr>
          <w:p w14:paraId="4E69EF2B">
            <w:pPr>
              <w:widowControl/>
              <w:jc w:val="center"/>
              <w:rPr>
                <w:rFonts w:hint="eastAsia" w:ascii="宋体" w:hAnsi="宋体" w:eastAsia="宋体"/>
                <w:szCs w:val="21"/>
              </w:rPr>
            </w:pPr>
            <w:r>
              <w:rPr>
                <w:rFonts w:hint="eastAsia" w:ascii="宋体" w:hAnsi="宋体" w:eastAsia="宋体"/>
                <w:szCs w:val="21"/>
              </w:rPr>
              <w:t>7.5%</w:t>
            </w:r>
          </w:p>
        </w:tc>
        <w:tc>
          <w:tcPr>
            <w:tcW w:w="723" w:type="dxa"/>
            <w:shd w:val="clear" w:color="auto" w:fill="FFFFFF"/>
            <w:vAlign w:val="center"/>
          </w:tcPr>
          <w:p w14:paraId="51092CFF">
            <w:pPr>
              <w:widowControl/>
              <w:jc w:val="center"/>
              <w:rPr>
                <w:rFonts w:hint="eastAsia" w:ascii="宋体" w:hAnsi="宋体" w:eastAsia="宋体"/>
                <w:szCs w:val="21"/>
              </w:rPr>
            </w:pPr>
          </w:p>
        </w:tc>
        <w:tc>
          <w:tcPr>
            <w:tcW w:w="728" w:type="dxa"/>
            <w:shd w:val="clear" w:color="auto" w:fill="FFFFFF"/>
            <w:vAlign w:val="center"/>
          </w:tcPr>
          <w:p w14:paraId="68100D73">
            <w:pPr>
              <w:widowControl/>
              <w:jc w:val="center"/>
              <w:rPr>
                <w:rFonts w:hint="eastAsia" w:ascii="宋体" w:hAnsi="宋体" w:eastAsia="宋体"/>
                <w:szCs w:val="21"/>
              </w:rPr>
            </w:pPr>
          </w:p>
        </w:tc>
        <w:tc>
          <w:tcPr>
            <w:tcW w:w="709" w:type="dxa"/>
            <w:shd w:val="clear" w:color="auto" w:fill="FFFFFF"/>
            <w:vAlign w:val="center"/>
          </w:tcPr>
          <w:p w14:paraId="4AE0D450">
            <w:pPr>
              <w:widowControl/>
              <w:jc w:val="center"/>
              <w:rPr>
                <w:rFonts w:hint="eastAsia" w:ascii="宋体" w:hAnsi="宋体" w:eastAsia="宋体"/>
                <w:szCs w:val="21"/>
              </w:rPr>
            </w:pPr>
          </w:p>
        </w:tc>
      </w:tr>
      <w:tr w14:paraId="3A06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053" w:type="dxa"/>
            <w:vMerge w:val="continue"/>
            <w:tcMar>
              <w:left w:w="57" w:type="dxa"/>
              <w:right w:w="57" w:type="dxa"/>
            </w:tcMar>
            <w:vAlign w:val="center"/>
          </w:tcPr>
          <w:p w14:paraId="13AADC9F">
            <w:pPr>
              <w:pStyle w:val="34"/>
              <w:jc w:val="center"/>
              <w:rPr>
                <w:rFonts w:hint="eastAsia" w:ascii="宋体" w:hAnsi="宋体" w:eastAsia="宋体"/>
                <w:szCs w:val="21"/>
              </w:rPr>
            </w:pPr>
          </w:p>
        </w:tc>
        <w:tc>
          <w:tcPr>
            <w:tcW w:w="866" w:type="dxa"/>
            <w:vMerge w:val="continue"/>
            <w:vAlign w:val="center"/>
          </w:tcPr>
          <w:p w14:paraId="1CDE8419">
            <w:pPr>
              <w:pStyle w:val="34"/>
              <w:jc w:val="center"/>
              <w:rPr>
                <w:rFonts w:hint="eastAsia" w:ascii="宋体" w:hAnsi="宋体" w:eastAsia="宋体"/>
                <w:szCs w:val="21"/>
              </w:rPr>
            </w:pPr>
          </w:p>
        </w:tc>
        <w:tc>
          <w:tcPr>
            <w:tcW w:w="947" w:type="dxa"/>
            <w:tcBorders>
              <w:left w:val="single" w:color="auto" w:sz="4" w:space="0"/>
            </w:tcBorders>
            <w:vAlign w:val="center"/>
          </w:tcPr>
          <w:p w14:paraId="1F7E7FBC">
            <w:pPr>
              <w:pStyle w:val="34"/>
              <w:jc w:val="center"/>
              <w:rPr>
                <w:rFonts w:hint="eastAsia" w:ascii="宋体" w:hAnsi="宋体" w:eastAsia="宋体"/>
                <w:color w:val="000000"/>
                <w:szCs w:val="21"/>
              </w:rPr>
            </w:pPr>
            <w:r>
              <w:rPr>
                <w:rFonts w:hint="eastAsia" w:ascii="宋体" w:hAnsi="宋体" w:eastAsia="宋体"/>
                <w:color w:val="000000"/>
                <w:szCs w:val="21"/>
              </w:rPr>
              <w:t>选择</w:t>
            </w:r>
            <w:r>
              <w:rPr>
                <w:rFonts w:ascii="宋体" w:hAnsi="宋体" w:eastAsia="宋体"/>
                <w:color w:val="000000"/>
                <w:szCs w:val="21"/>
              </w:rPr>
              <w:t>题</w:t>
            </w:r>
          </w:p>
        </w:tc>
        <w:tc>
          <w:tcPr>
            <w:tcW w:w="3361" w:type="dxa"/>
            <w:tcBorders>
              <w:left w:val="single" w:color="auto" w:sz="4" w:space="0"/>
            </w:tcBorders>
            <w:vAlign w:val="center"/>
          </w:tcPr>
          <w:p w14:paraId="52F7222B">
            <w:pPr>
              <w:pStyle w:val="34"/>
              <w:jc w:val="left"/>
              <w:rPr>
                <w:rFonts w:hint="eastAsia" w:ascii="宋体" w:hAnsi="宋体" w:eastAsia="宋体"/>
                <w:szCs w:val="21"/>
              </w:rPr>
            </w:pPr>
            <w:r>
              <w:rPr>
                <w:rFonts w:ascii="宋体" w:hAnsi="宋体" w:eastAsia="宋体"/>
                <w:szCs w:val="21"/>
              </w:rPr>
              <w:t>行列式的性质</w:t>
            </w:r>
            <w:r>
              <w:rPr>
                <w:rFonts w:hint="eastAsia" w:ascii="宋体" w:hAnsi="宋体" w:eastAsia="宋体"/>
                <w:szCs w:val="21"/>
              </w:rPr>
              <w:t>、</w:t>
            </w:r>
            <w:r>
              <w:rPr>
                <w:rFonts w:ascii="宋体" w:hAnsi="宋体" w:eastAsia="宋体"/>
                <w:szCs w:val="21"/>
              </w:rPr>
              <w:t>矩阵的运算</w:t>
            </w:r>
            <w:r>
              <w:rPr>
                <w:rFonts w:hint="eastAsia" w:ascii="宋体" w:hAnsi="宋体" w:eastAsia="宋体"/>
                <w:szCs w:val="21"/>
              </w:rPr>
              <w:t>、</w:t>
            </w:r>
            <w:r>
              <w:rPr>
                <w:rFonts w:ascii="宋体" w:hAnsi="宋体" w:eastAsia="宋体"/>
                <w:szCs w:val="21"/>
              </w:rPr>
              <w:t>矩阵秩的性质</w:t>
            </w:r>
            <w:r>
              <w:rPr>
                <w:rFonts w:hint="eastAsia" w:ascii="宋体" w:hAnsi="宋体" w:eastAsia="宋体"/>
                <w:szCs w:val="21"/>
              </w:rPr>
              <w:t>、</w:t>
            </w:r>
            <w:r>
              <w:rPr>
                <w:rFonts w:ascii="宋体" w:hAnsi="宋体" w:eastAsia="宋体"/>
                <w:szCs w:val="21"/>
              </w:rPr>
              <w:t>线性方程组解的情况判定</w:t>
            </w:r>
            <w:r>
              <w:rPr>
                <w:rFonts w:hint="eastAsia" w:ascii="宋体" w:hAnsi="宋体" w:eastAsia="宋体"/>
                <w:szCs w:val="21"/>
              </w:rPr>
              <w:t>、线性方程组解的结构、</w:t>
            </w:r>
            <w:r>
              <w:rPr>
                <w:rFonts w:ascii="宋体" w:hAnsi="宋体" w:eastAsia="宋体"/>
                <w:szCs w:val="21"/>
              </w:rPr>
              <w:t>向量组线性相关性的判定</w:t>
            </w:r>
            <w:r>
              <w:rPr>
                <w:rFonts w:hint="eastAsia" w:ascii="宋体" w:hAnsi="宋体" w:eastAsia="宋体"/>
                <w:szCs w:val="21"/>
              </w:rPr>
              <w:t>、</w:t>
            </w:r>
            <w:r>
              <w:rPr>
                <w:rFonts w:ascii="宋体" w:hAnsi="宋体" w:eastAsia="宋体"/>
                <w:szCs w:val="21"/>
              </w:rPr>
              <w:t>方阵的特征值与特征向量</w:t>
            </w:r>
            <w:r>
              <w:rPr>
                <w:rFonts w:hint="eastAsia" w:ascii="宋体" w:hAnsi="宋体" w:eastAsia="宋体"/>
                <w:szCs w:val="21"/>
              </w:rPr>
              <w:t>、</w:t>
            </w:r>
            <w:r>
              <w:rPr>
                <w:rFonts w:ascii="宋体" w:hAnsi="宋体" w:eastAsia="宋体"/>
                <w:szCs w:val="21"/>
              </w:rPr>
              <w:t>矩阵相似与正交判定</w:t>
            </w:r>
            <w:r>
              <w:rPr>
                <w:rFonts w:hint="eastAsia" w:ascii="宋体" w:hAnsi="宋体" w:eastAsia="宋体"/>
                <w:szCs w:val="21"/>
              </w:rPr>
              <w:t>以及二次型正定性判定等。</w:t>
            </w:r>
          </w:p>
        </w:tc>
        <w:tc>
          <w:tcPr>
            <w:tcW w:w="717" w:type="dxa"/>
            <w:shd w:val="clear" w:color="auto" w:fill="FFFFFF"/>
            <w:vAlign w:val="center"/>
          </w:tcPr>
          <w:p w14:paraId="6DE6A169">
            <w:pPr>
              <w:pStyle w:val="34"/>
              <w:jc w:val="center"/>
              <w:rPr>
                <w:rFonts w:hint="eastAsia" w:ascii="宋体" w:hAnsi="宋体" w:eastAsia="宋体"/>
                <w:szCs w:val="21"/>
              </w:rPr>
            </w:pPr>
            <w:r>
              <w:rPr>
                <w:rFonts w:hint="eastAsia" w:ascii="宋体" w:hAnsi="宋体" w:eastAsia="宋体"/>
                <w:szCs w:val="21"/>
              </w:rPr>
              <w:t>7.5%</w:t>
            </w:r>
          </w:p>
        </w:tc>
        <w:tc>
          <w:tcPr>
            <w:tcW w:w="723" w:type="dxa"/>
            <w:shd w:val="clear" w:color="auto" w:fill="FFFFFF"/>
            <w:vAlign w:val="center"/>
          </w:tcPr>
          <w:p w14:paraId="43CB3886">
            <w:pPr>
              <w:pStyle w:val="34"/>
              <w:jc w:val="center"/>
              <w:rPr>
                <w:rFonts w:hint="eastAsia" w:ascii="宋体" w:hAnsi="宋体" w:eastAsia="宋体"/>
                <w:szCs w:val="21"/>
              </w:rPr>
            </w:pPr>
          </w:p>
        </w:tc>
        <w:tc>
          <w:tcPr>
            <w:tcW w:w="728" w:type="dxa"/>
            <w:shd w:val="clear" w:color="auto" w:fill="FFFFFF"/>
            <w:vAlign w:val="center"/>
          </w:tcPr>
          <w:p w14:paraId="66443E6D">
            <w:pPr>
              <w:pStyle w:val="34"/>
              <w:jc w:val="center"/>
              <w:rPr>
                <w:rFonts w:hint="eastAsia" w:ascii="宋体" w:hAnsi="宋体" w:eastAsia="宋体"/>
                <w:color w:val="000000"/>
                <w:szCs w:val="21"/>
              </w:rPr>
            </w:pPr>
          </w:p>
        </w:tc>
        <w:tc>
          <w:tcPr>
            <w:tcW w:w="709" w:type="dxa"/>
            <w:shd w:val="clear" w:color="auto" w:fill="FFFFFF"/>
            <w:vAlign w:val="center"/>
          </w:tcPr>
          <w:p w14:paraId="631BBBF4">
            <w:pPr>
              <w:pStyle w:val="34"/>
              <w:jc w:val="center"/>
              <w:rPr>
                <w:rFonts w:hint="eastAsia" w:ascii="宋体" w:hAnsi="宋体" w:eastAsia="宋体"/>
                <w:color w:val="000000"/>
                <w:szCs w:val="21"/>
              </w:rPr>
            </w:pPr>
          </w:p>
        </w:tc>
      </w:tr>
      <w:tr w14:paraId="6D2D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053" w:type="dxa"/>
            <w:vMerge w:val="continue"/>
            <w:tcMar>
              <w:left w:w="57" w:type="dxa"/>
              <w:right w:w="57" w:type="dxa"/>
            </w:tcMar>
            <w:vAlign w:val="center"/>
          </w:tcPr>
          <w:p w14:paraId="2407AE4D">
            <w:pPr>
              <w:pStyle w:val="34"/>
              <w:jc w:val="center"/>
              <w:rPr>
                <w:rFonts w:hint="eastAsia" w:ascii="宋体" w:hAnsi="宋体" w:eastAsia="宋体"/>
                <w:szCs w:val="21"/>
              </w:rPr>
            </w:pPr>
          </w:p>
        </w:tc>
        <w:tc>
          <w:tcPr>
            <w:tcW w:w="866" w:type="dxa"/>
            <w:vMerge w:val="continue"/>
            <w:vAlign w:val="center"/>
          </w:tcPr>
          <w:p w14:paraId="55B6886D">
            <w:pPr>
              <w:pStyle w:val="34"/>
              <w:jc w:val="center"/>
              <w:rPr>
                <w:rFonts w:hint="eastAsia" w:ascii="宋体" w:hAnsi="宋体" w:eastAsia="宋体"/>
                <w:szCs w:val="21"/>
              </w:rPr>
            </w:pPr>
          </w:p>
        </w:tc>
        <w:tc>
          <w:tcPr>
            <w:tcW w:w="947" w:type="dxa"/>
            <w:tcBorders>
              <w:left w:val="single" w:color="auto" w:sz="4" w:space="0"/>
            </w:tcBorders>
            <w:vAlign w:val="center"/>
          </w:tcPr>
          <w:p w14:paraId="569CB03D">
            <w:pPr>
              <w:pStyle w:val="34"/>
              <w:jc w:val="center"/>
              <w:rPr>
                <w:rFonts w:hint="eastAsia" w:ascii="宋体" w:hAnsi="宋体" w:eastAsia="宋体"/>
                <w:color w:val="000000"/>
                <w:szCs w:val="21"/>
              </w:rPr>
            </w:pPr>
            <w:r>
              <w:rPr>
                <w:rFonts w:hint="eastAsia" w:ascii="宋体" w:hAnsi="宋体" w:eastAsia="宋体"/>
                <w:color w:val="000000"/>
                <w:szCs w:val="21"/>
              </w:rPr>
              <w:t>计算题</w:t>
            </w:r>
          </w:p>
        </w:tc>
        <w:tc>
          <w:tcPr>
            <w:tcW w:w="3361" w:type="dxa"/>
            <w:tcBorders>
              <w:left w:val="single" w:color="auto" w:sz="4" w:space="0"/>
            </w:tcBorders>
            <w:vAlign w:val="center"/>
          </w:tcPr>
          <w:p w14:paraId="5421EA8D">
            <w:pPr>
              <w:pStyle w:val="34"/>
              <w:jc w:val="left"/>
              <w:rPr>
                <w:rFonts w:hint="eastAsia" w:ascii="宋体" w:hAnsi="宋体" w:eastAsia="宋体"/>
                <w:szCs w:val="21"/>
              </w:rPr>
            </w:pPr>
            <w:r>
              <w:rPr>
                <w:rFonts w:ascii="宋体" w:hAnsi="宋体" w:eastAsia="宋体"/>
                <w:color w:val="000000"/>
                <w:szCs w:val="21"/>
              </w:rPr>
              <w:t>行列式的计算</w:t>
            </w:r>
            <w:r>
              <w:rPr>
                <w:rFonts w:hint="eastAsia" w:ascii="宋体" w:hAnsi="宋体" w:eastAsia="宋体"/>
                <w:color w:val="000000"/>
                <w:szCs w:val="21"/>
              </w:rPr>
              <w:t>、</w:t>
            </w:r>
            <w:r>
              <w:rPr>
                <w:rFonts w:ascii="宋体" w:hAnsi="宋体" w:eastAsia="宋体"/>
                <w:color w:val="000000"/>
                <w:szCs w:val="21"/>
              </w:rPr>
              <w:t>解矩阵方程</w:t>
            </w:r>
            <w:r>
              <w:rPr>
                <w:rFonts w:hint="eastAsia" w:ascii="宋体" w:hAnsi="宋体" w:eastAsia="宋体"/>
                <w:color w:val="000000"/>
                <w:szCs w:val="21"/>
              </w:rPr>
              <w:t>、求向量组的秩与一个极大无关组、解线性方程组以及正交变换法化二次型为标准形等。</w:t>
            </w:r>
          </w:p>
        </w:tc>
        <w:tc>
          <w:tcPr>
            <w:tcW w:w="717" w:type="dxa"/>
            <w:shd w:val="clear" w:color="auto" w:fill="FFFFFF"/>
            <w:vAlign w:val="center"/>
          </w:tcPr>
          <w:p w14:paraId="34300D9F">
            <w:pPr>
              <w:pStyle w:val="34"/>
              <w:jc w:val="center"/>
              <w:rPr>
                <w:rFonts w:hint="eastAsia" w:ascii="宋体" w:hAnsi="宋体" w:eastAsia="宋体"/>
                <w:szCs w:val="21"/>
              </w:rPr>
            </w:pPr>
          </w:p>
        </w:tc>
        <w:tc>
          <w:tcPr>
            <w:tcW w:w="723" w:type="dxa"/>
            <w:shd w:val="clear" w:color="auto" w:fill="FFFFFF"/>
            <w:vAlign w:val="center"/>
          </w:tcPr>
          <w:p w14:paraId="328763E8">
            <w:pPr>
              <w:pStyle w:val="34"/>
              <w:jc w:val="center"/>
              <w:rPr>
                <w:rFonts w:hint="eastAsia" w:ascii="宋体" w:hAnsi="宋体" w:eastAsia="宋体"/>
                <w:szCs w:val="21"/>
              </w:rPr>
            </w:pPr>
            <w:r>
              <w:rPr>
                <w:rFonts w:ascii="宋体" w:hAnsi="宋体" w:eastAsia="宋体"/>
                <w:szCs w:val="21"/>
              </w:rPr>
              <w:t>25</w:t>
            </w:r>
            <w:r>
              <w:rPr>
                <w:rFonts w:hint="eastAsia" w:ascii="宋体" w:hAnsi="宋体" w:eastAsia="宋体"/>
                <w:szCs w:val="21"/>
              </w:rPr>
              <w:t>%</w:t>
            </w:r>
          </w:p>
        </w:tc>
        <w:tc>
          <w:tcPr>
            <w:tcW w:w="728" w:type="dxa"/>
            <w:shd w:val="clear" w:color="auto" w:fill="FFFFFF"/>
            <w:vAlign w:val="center"/>
          </w:tcPr>
          <w:p w14:paraId="0F107847">
            <w:pPr>
              <w:pStyle w:val="34"/>
              <w:jc w:val="center"/>
              <w:rPr>
                <w:rFonts w:hint="eastAsia" w:ascii="宋体" w:hAnsi="宋体" w:eastAsia="宋体"/>
                <w:color w:val="000000"/>
                <w:szCs w:val="21"/>
              </w:rPr>
            </w:pPr>
          </w:p>
        </w:tc>
        <w:tc>
          <w:tcPr>
            <w:tcW w:w="709" w:type="dxa"/>
            <w:shd w:val="clear" w:color="auto" w:fill="FFFFFF"/>
            <w:vAlign w:val="center"/>
          </w:tcPr>
          <w:p w14:paraId="05E2E9BA">
            <w:pPr>
              <w:pStyle w:val="34"/>
              <w:jc w:val="center"/>
              <w:rPr>
                <w:rFonts w:hint="eastAsia" w:ascii="宋体" w:hAnsi="宋体" w:eastAsia="宋体"/>
                <w:color w:val="000000"/>
                <w:szCs w:val="21"/>
              </w:rPr>
            </w:pPr>
          </w:p>
        </w:tc>
      </w:tr>
      <w:tr w14:paraId="051A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053" w:type="dxa"/>
            <w:vMerge w:val="continue"/>
            <w:tcMar>
              <w:left w:w="57" w:type="dxa"/>
              <w:right w:w="57" w:type="dxa"/>
            </w:tcMar>
            <w:vAlign w:val="center"/>
          </w:tcPr>
          <w:p w14:paraId="7CC8BF23">
            <w:pPr>
              <w:pStyle w:val="34"/>
              <w:jc w:val="center"/>
              <w:rPr>
                <w:rFonts w:hint="eastAsia" w:ascii="宋体" w:hAnsi="宋体" w:eastAsia="宋体"/>
                <w:szCs w:val="21"/>
              </w:rPr>
            </w:pPr>
          </w:p>
        </w:tc>
        <w:tc>
          <w:tcPr>
            <w:tcW w:w="866" w:type="dxa"/>
            <w:vMerge w:val="continue"/>
            <w:vAlign w:val="center"/>
          </w:tcPr>
          <w:p w14:paraId="3C59A105">
            <w:pPr>
              <w:pStyle w:val="34"/>
              <w:jc w:val="center"/>
              <w:rPr>
                <w:rFonts w:hint="eastAsia" w:ascii="宋体" w:hAnsi="宋体" w:eastAsia="宋体"/>
                <w:szCs w:val="21"/>
              </w:rPr>
            </w:pPr>
          </w:p>
        </w:tc>
        <w:tc>
          <w:tcPr>
            <w:tcW w:w="947" w:type="dxa"/>
            <w:tcBorders>
              <w:left w:val="single" w:color="auto" w:sz="4" w:space="0"/>
            </w:tcBorders>
            <w:vAlign w:val="center"/>
          </w:tcPr>
          <w:p w14:paraId="558307AB">
            <w:pPr>
              <w:pStyle w:val="34"/>
              <w:jc w:val="center"/>
              <w:rPr>
                <w:rFonts w:hint="eastAsia" w:ascii="宋体" w:hAnsi="宋体" w:eastAsia="宋体"/>
                <w:color w:val="000000"/>
                <w:szCs w:val="21"/>
              </w:rPr>
            </w:pPr>
            <w:r>
              <w:rPr>
                <w:rFonts w:ascii="宋体" w:hAnsi="宋体" w:eastAsia="宋体"/>
                <w:color w:val="000000"/>
                <w:szCs w:val="21"/>
              </w:rPr>
              <w:t>证明题</w:t>
            </w:r>
          </w:p>
        </w:tc>
        <w:tc>
          <w:tcPr>
            <w:tcW w:w="3361" w:type="dxa"/>
            <w:tcBorders>
              <w:left w:val="single" w:color="auto" w:sz="4" w:space="0"/>
              <w:bottom w:val="single" w:color="auto" w:sz="4" w:space="0"/>
            </w:tcBorders>
            <w:vAlign w:val="center"/>
          </w:tcPr>
          <w:p w14:paraId="1ECA1692">
            <w:pPr>
              <w:pStyle w:val="34"/>
              <w:jc w:val="left"/>
              <w:rPr>
                <w:rFonts w:hint="eastAsia" w:ascii="宋体" w:hAnsi="宋体" w:eastAsia="宋体"/>
                <w:szCs w:val="21"/>
              </w:rPr>
            </w:pPr>
            <w:r>
              <w:rPr>
                <w:rFonts w:hint="eastAsia" w:ascii="宋体" w:hAnsi="宋体" w:eastAsia="宋体"/>
                <w:color w:val="000000"/>
                <w:szCs w:val="21"/>
              </w:rPr>
              <w:t>证明向量组的线性无关与向量组的线性相关等。</w:t>
            </w:r>
          </w:p>
        </w:tc>
        <w:tc>
          <w:tcPr>
            <w:tcW w:w="717" w:type="dxa"/>
            <w:shd w:val="clear" w:color="auto" w:fill="FFFFFF"/>
            <w:vAlign w:val="center"/>
          </w:tcPr>
          <w:p w14:paraId="49D0A4A6">
            <w:pPr>
              <w:pStyle w:val="34"/>
              <w:jc w:val="center"/>
              <w:rPr>
                <w:rFonts w:hint="eastAsia" w:ascii="宋体" w:hAnsi="宋体" w:eastAsia="宋体"/>
                <w:szCs w:val="21"/>
              </w:rPr>
            </w:pPr>
          </w:p>
        </w:tc>
        <w:tc>
          <w:tcPr>
            <w:tcW w:w="723" w:type="dxa"/>
            <w:shd w:val="clear" w:color="auto" w:fill="FFFFFF"/>
            <w:vAlign w:val="center"/>
          </w:tcPr>
          <w:p w14:paraId="64494454">
            <w:pPr>
              <w:pStyle w:val="34"/>
              <w:jc w:val="center"/>
              <w:rPr>
                <w:rFonts w:hint="eastAsia" w:ascii="宋体" w:hAnsi="宋体" w:eastAsia="宋体"/>
                <w:szCs w:val="21"/>
              </w:rPr>
            </w:pPr>
            <w:r>
              <w:rPr>
                <w:rFonts w:ascii="宋体" w:hAnsi="宋体" w:eastAsia="宋体"/>
                <w:szCs w:val="21"/>
              </w:rPr>
              <w:t>10</w:t>
            </w:r>
            <w:r>
              <w:rPr>
                <w:rFonts w:hint="eastAsia" w:ascii="宋体" w:hAnsi="宋体" w:eastAsia="宋体"/>
                <w:szCs w:val="21"/>
              </w:rPr>
              <w:t>%</w:t>
            </w:r>
          </w:p>
        </w:tc>
        <w:tc>
          <w:tcPr>
            <w:tcW w:w="728" w:type="dxa"/>
            <w:shd w:val="clear" w:color="auto" w:fill="FFFFFF"/>
            <w:vAlign w:val="center"/>
          </w:tcPr>
          <w:p w14:paraId="69CF240D">
            <w:pPr>
              <w:pStyle w:val="34"/>
              <w:jc w:val="center"/>
              <w:rPr>
                <w:rFonts w:hint="eastAsia" w:ascii="宋体" w:hAnsi="宋体" w:eastAsia="宋体"/>
                <w:color w:val="000000"/>
                <w:szCs w:val="21"/>
              </w:rPr>
            </w:pPr>
          </w:p>
        </w:tc>
        <w:tc>
          <w:tcPr>
            <w:tcW w:w="709" w:type="dxa"/>
            <w:shd w:val="clear" w:color="auto" w:fill="FFFFFF"/>
            <w:vAlign w:val="center"/>
          </w:tcPr>
          <w:p w14:paraId="4AA7093F">
            <w:pPr>
              <w:pStyle w:val="34"/>
              <w:jc w:val="center"/>
              <w:rPr>
                <w:rFonts w:hint="eastAsia" w:ascii="宋体" w:hAnsi="宋体" w:eastAsia="宋体"/>
                <w:color w:val="000000"/>
                <w:szCs w:val="21"/>
              </w:rPr>
            </w:pPr>
          </w:p>
        </w:tc>
      </w:tr>
      <w:tr w14:paraId="0572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053" w:type="dxa"/>
            <w:tcMar>
              <w:left w:w="57" w:type="dxa"/>
              <w:right w:w="57" w:type="dxa"/>
            </w:tcMar>
            <w:vAlign w:val="center"/>
          </w:tcPr>
          <w:p w14:paraId="696FC890">
            <w:pPr>
              <w:pStyle w:val="34"/>
              <w:jc w:val="center"/>
              <w:rPr>
                <w:rFonts w:hint="eastAsia" w:ascii="宋体" w:hAnsi="宋体" w:eastAsia="宋体"/>
                <w:szCs w:val="21"/>
              </w:rPr>
            </w:pPr>
            <w:r>
              <w:rPr>
                <w:rFonts w:hint="eastAsia" w:ascii="宋体" w:hAnsi="宋体" w:eastAsia="宋体"/>
                <w:szCs w:val="21"/>
              </w:rPr>
              <w:t>合    计</w:t>
            </w:r>
          </w:p>
        </w:tc>
        <w:tc>
          <w:tcPr>
            <w:tcW w:w="866" w:type="dxa"/>
            <w:vAlign w:val="center"/>
          </w:tcPr>
          <w:p w14:paraId="006E3C85">
            <w:pPr>
              <w:pStyle w:val="34"/>
              <w:jc w:val="center"/>
              <w:rPr>
                <w:rFonts w:hint="eastAsia" w:ascii="宋体" w:hAnsi="宋体" w:eastAsia="宋体"/>
                <w:szCs w:val="21"/>
              </w:rPr>
            </w:pPr>
            <w:r>
              <w:rPr>
                <w:rFonts w:hint="eastAsia" w:ascii="宋体" w:hAnsi="宋体" w:eastAsia="宋体"/>
                <w:szCs w:val="21"/>
              </w:rPr>
              <w:t>100%</w:t>
            </w:r>
          </w:p>
        </w:tc>
        <w:tc>
          <w:tcPr>
            <w:tcW w:w="947" w:type="dxa"/>
            <w:tcBorders>
              <w:left w:val="single" w:color="auto" w:sz="4" w:space="0"/>
            </w:tcBorders>
            <w:vAlign w:val="center"/>
          </w:tcPr>
          <w:p w14:paraId="201465A1">
            <w:pPr>
              <w:pStyle w:val="34"/>
              <w:jc w:val="center"/>
              <w:rPr>
                <w:rFonts w:hint="eastAsia" w:ascii="宋体" w:hAnsi="宋体" w:eastAsia="宋体"/>
                <w:color w:val="000000"/>
                <w:szCs w:val="21"/>
              </w:rPr>
            </w:pPr>
          </w:p>
        </w:tc>
        <w:tc>
          <w:tcPr>
            <w:tcW w:w="3361" w:type="dxa"/>
            <w:tcBorders>
              <w:left w:val="single" w:color="auto" w:sz="4" w:space="0"/>
              <w:bottom w:val="single" w:color="auto" w:sz="4" w:space="0"/>
            </w:tcBorders>
            <w:vAlign w:val="center"/>
          </w:tcPr>
          <w:p w14:paraId="498B8484">
            <w:pPr>
              <w:pStyle w:val="34"/>
              <w:rPr>
                <w:rFonts w:hint="eastAsia" w:ascii="宋体" w:hAnsi="宋体" w:eastAsia="宋体"/>
                <w:color w:val="000000"/>
                <w:szCs w:val="21"/>
              </w:rPr>
            </w:pPr>
          </w:p>
        </w:tc>
        <w:tc>
          <w:tcPr>
            <w:tcW w:w="717" w:type="dxa"/>
            <w:shd w:val="clear" w:color="auto" w:fill="FFFFFF"/>
            <w:vAlign w:val="center"/>
          </w:tcPr>
          <w:p w14:paraId="086795AF">
            <w:pPr>
              <w:pStyle w:val="34"/>
              <w:jc w:val="center"/>
              <w:rPr>
                <w:rFonts w:hint="eastAsia" w:ascii="宋体" w:hAnsi="宋体" w:eastAsia="宋体"/>
                <w:szCs w:val="21"/>
              </w:rPr>
            </w:pPr>
            <w:r>
              <w:rPr>
                <w:rFonts w:ascii="宋体" w:hAnsi="宋体" w:eastAsia="宋体"/>
                <w:szCs w:val="21"/>
              </w:rPr>
              <w:t>2</w:t>
            </w:r>
            <w:r>
              <w:rPr>
                <w:rFonts w:hint="eastAsia" w:ascii="宋体" w:hAnsi="宋体" w:eastAsia="宋体"/>
                <w:szCs w:val="21"/>
              </w:rPr>
              <w:t>5%</w:t>
            </w:r>
          </w:p>
        </w:tc>
        <w:tc>
          <w:tcPr>
            <w:tcW w:w="723" w:type="dxa"/>
            <w:shd w:val="clear" w:color="auto" w:fill="FFFFFF"/>
            <w:vAlign w:val="center"/>
          </w:tcPr>
          <w:p w14:paraId="08E60E94">
            <w:pPr>
              <w:pStyle w:val="34"/>
              <w:jc w:val="center"/>
              <w:rPr>
                <w:rFonts w:hint="eastAsia" w:ascii="宋体" w:hAnsi="宋体" w:eastAsia="宋体"/>
                <w:szCs w:val="21"/>
              </w:rPr>
            </w:pPr>
            <w:r>
              <w:rPr>
                <w:rFonts w:ascii="宋体" w:hAnsi="宋体" w:eastAsia="宋体"/>
                <w:szCs w:val="21"/>
              </w:rPr>
              <w:t>5</w:t>
            </w:r>
            <w:r>
              <w:rPr>
                <w:rFonts w:hint="eastAsia" w:ascii="宋体" w:hAnsi="宋体" w:eastAsia="宋体"/>
                <w:szCs w:val="21"/>
              </w:rPr>
              <w:t>5%</w:t>
            </w:r>
          </w:p>
        </w:tc>
        <w:tc>
          <w:tcPr>
            <w:tcW w:w="728" w:type="dxa"/>
            <w:shd w:val="clear" w:color="auto" w:fill="FFFFFF"/>
            <w:vAlign w:val="center"/>
          </w:tcPr>
          <w:p w14:paraId="7CC9F97C">
            <w:pPr>
              <w:pStyle w:val="34"/>
              <w:jc w:val="center"/>
              <w:rPr>
                <w:rFonts w:hint="eastAsia" w:ascii="宋体" w:hAnsi="宋体" w:eastAsia="宋体"/>
                <w:color w:val="000000"/>
                <w:szCs w:val="21"/>
              </w:rPr>
            </w:pPr>
            <w:r>
              <w:rPr>
                <w:rFonts w:hint="eastAsia" w:ascii="宋体" w:hAnsi="宋体" w:eastAsia="宋体"/>
                <w:color w:val="000000"/>
                <w:szCs w:val="21"/>
              </w:rPr>
              <w:t>2</w:t>
            </w:r>
            <w:r>
              <w:rPr>
                <w:rFonts w:ascii="宋体" w:hAnsi="宋体" w:eastAsia="宋体"/>
                <w:color w:val="000000"/>
                <w:szCs w:val="21"/>
              </w:rPr>
              <w:t>0%</w:t>
            </w:r>
          </w:p>
        </w:tc>
        <w:tc>
          <w:tcPr>
            <w:tcW w:w="709" w:type="dxa"/>
            <w:shd w:val="clear" w:color="auto" w:fill="FFFFFF"/>
            <w:vAlign w:val="center"/>
          </w:tcPr>
          <w:p w14:paraId="6B751350">
            <w:pPr>
              <w:pStyle w:val="34"/>
              <w:jc w:val="center"/>
              <w:rPr>
                <w:rFonts w:hint="eastAsia" w:ascii="宋体" w:hAnsi="宋体" w:eastAsia="宋体"/>
                <w:color w:val="000000"/>
                <w:szCs w:val="21"/>
              </w:rPr>
            </w:pPr>
          </w:p>
        </w:tc>
      </w:tr>
    </w:tbl>
    <w:p w14:paraId="2252E5F9">
      <w:pPr>
        <w:spacing w:before="156" w:beforeLines="50" w:line="360" w:lineRule="auto"/>
        <w:rPr>
          <w:rFonts w:hint="eastAsia" w:ascii="宋体" w:hAnsi="宋体" w:eastAsia="宋体"/>
          <w:sz w:val="24"/>
        </w:rPr>
      </w:pPr>
    </w:p>
    <w:p w14:paraId="614D3741">
      <w:pPr>
        <w:spacing w:before="156" w:beforeLines="50" w:line="360" w:lineRule="auto"/>
        <w:rPr>
          <w:rFonts w:hint="eastAsia" w:ascii="宋体" w:hAnsi="宋体" w:eastAsia="宋体"/>
          <w:sz w:val="24"/>
        </w:rPr>
      </w:pPr>
      <w:r>
        <w:rPr>
          <w:rFonts w:hint="eastAsia" w:ascii="宋体" w:hAnsi="宋体" w:eastAsia="宋体"/>
          <w:sz w:val="24"/>
        </w:rPr>
        <w:t>备注：</w:t>
      </w:r>
      <w:r>
        <w:rPr>
          <w:rFonts w:ascii="宋体" w:hAnsi="宋体" w:eastAsia="宋体" w:cs="Times New Roman"/>
          <w:sz w:val="24"/>
        </w:rPr>
        <w:t>1.</w:t>
      </w:r>
      <w:r>
        <w:rPr>
          <w:rFonts w:ascii="宋体" w:hAnsi="宋体" w:eastAsia="宋体"/>
          <w:sz w:val="24"/>
        </w:rPr>
        <w:t>课程目标达成度计算方法如下：</w:t>
      </w:r>
    </w:p>
    <w:p w14:paraId="6A4DA27C">
      <w:pPr>
        <w:spacing w:line="360" w:lineRule="auto"/>
        <w:jc w:val="center"/>
        <w:rPr>
          <w:rFonts w:hint="eastAsia" w:ascii="宋体" w:hAnsi="宋体" w:eastAsia="宋体"/>
          <w:sz w:val="24"/>
        </w:rPr>
      </w:pPr>
      <w:r>
        <w:rPr>
          <w:rFonts w:ascii="宋体" w:hAnsi="宋体" w:eastAsia="宋体"/>
          <w:position w:val="-26"/>
          <w:sz w:val="24"/>
        </w:rPr>
        <w:object>
          <v:shape id="_x0000_i1061" o:spt="75" type="#_x0000_t75" style="height:32.65pt;width:336.75pt;" o:ole="t" filled="f" o:preferrelative="t" stroked="f" coordsize="21600,21600">
            <v:path/>
            <v:fill on="f" focussize="0,0"/>
            <v:stroke on="f" joinstyle="miter"/>
            <v:imagedata r:id="rId7" o:title=""/>
            <o:lock v:ext="edit" aspectratio="t"/>
            <w10:wrap type="none"/>
            <w10:anchorlock/>
          </v:shape>
          <o:OLEObject Type="Embed" ProgID="Equation.DSMT4" ShapeID="_x0000_i1061" DrawAspect="Content" ObjectID="_1468075761" r:id="rId47">
            <o:LockedField>false</o:LockedField>
          </o:OLEObject>
        </w:object>
      </w:r>
    </w:p>
    <w:p w14:paraId="3F5F6223">
      <w:pPr>
        <w:spacing w:line="360" w:lineRule="auto"/>
        <w:rPr>
          <w:rFonts w:hint="eastAsia" w:ascii="宋体" w:hAnsi="宋体" w:eastAsia="宋体"/>
          <w:sz w:val="24"/>
        </w:rPr>
      </w:pPr>
      <w:r>
        <w:rPr>
          <w:rFonts w:ascii="宋体" w:hAnsi="宋体" w:eastAsia="宋体" w:cs="Times New Roman"/>
          <w:sz w:val="24"/>
        </w:rPr>
        <w:t>2.</w:t>
      </w:r>
      <w:r>
        <w:rPr>
          <w:rFonts w:hint="eastAsia" w:ascii="宋体" w:hAnsi="宋体" w:eastAsia="宋体"/>
          <w:sz w:val="24"/>
        </w:rPr>
        <w:t>作业可以采用课后习题、单元测试、网络课堂学习等多种形式。</w:t>
      </w:r>
    </w:p>
    <w:p w14:paraId="4944B28E">
      <w:pPr>
        <w:spacing w:line="360" w:lineRule="auto"/>
        <w:rPr>
          <w:rFonts w:hint="eastAsia" w:ascii="宋体" w:hAnsi="宋体" w:eastAsia="宋体"/>
          <w:b/>
          <w:sz w:val="24"/>
        </w:rPr>
      </w:pPr>
    </w:p>
    <w:p w14:paraId="6B82C341">
      <w:pPr>
        <w:spacing w:line="360" w:lineRule="auto"/>
        <w:rPr>
          <w:rFonts w:hint="eastAsia" w:ascii="宋体" w:hAnsi="宋体" w:eastAsia="宋体"/>
          <w:b/>
          <w:sz w:val="24"/>
        </w:rPr>
      </w:pPr>
      <w:r>
        <w:rPr>
          <w:rFonts w:ascii="宋体" w:hAnsi="宋体" w:eastAsia="宋体"/>
          <w:b/>
          <w:sz w:val="24"/>
        </w:rPr>
        <w:t>六、</w:t>
      </w:r>
      <w:r>
        <w:rPr>
          <w:rFonts w:hint="eastAsia" w:ascii="宋体" w:hAnsi="宋体" w:eastAsia="宋体"/>
          <w:b/>
          <w:sz w:val="24"/>
        </w:rPr>
        <w:t>有关说明</w:t>
      </w:r>
    </w:p>
    <w:p w14:paraId="1289945E">
      <w:pPr>
        <w:spacing w:line="360" w:lineRule="auto"/>
        <w:rPr>
          <w:rFonts w:hint="eastAsia" w:ascii="宋体" w:hAnsi="宋体" w:eastAsia="宋体"/>
          <w:b/>
          <w:color w:val="000000"/>
          <w:sz w:val="24"/>
        </w:rPr>
      </w:pPr>
      <w:r>
        <w:rPr>
          <w:rFonts w:hint="eastAsia" w:ascii="宋体" w:hAnsi="宋体" w:eastAsia="宋体"/>
          <w:b/>
          <w:color w:val="000000"/>
          <w:sz w:val="24"/>
        </w:rPr>
        <w:t>（一）持续改进</w:t>
      </w:r>
    </w:p>
    <w:p w14:paraId="430DA873">
      <w:pPr>
        <w:spacing w:line="360" w:lineRule="auto"/>
        <w:rPr>
          <w:rFonts w:hint="eastAsia" w:ascii="宋体" w:hAnsi="宋体" w:eastAsia="宋体" w:cs="Times New Roman"/>
          <w:color w:val="000000"/>
          <w:sz w:val="24"/>
        </w:rPr>
      </w:pPr>
      <w:r>
        <w:rPr>
          <w:rFonts w:ascii="宋体" w:hAnsi="宋体" w:eastAsia="宋体" w:cs="Times New Roman"/>
          <w:color w:val="000000"/>
          <w:sz w:val="24"/>
        </w:rPr>
        <w:t>1. 合理安排教学课时，加强课堂提问、课堂小测验等旨在督促学生自主学习的教学环节；引导学生做好课前预习、课后整理笔记并及时完成作业的复习工作；保证学生完成一定数量的作业和习题。</w:t>
      </w:r>
    </w:p>
    <w:p w14:paraId="7E04167F">
      <w:pPr>
        <w:spacing w:line="360" w:lineRule="auto"/>
        <w:rPr>
          <w:rFonts w:hint="eastAsia" w:ascii="宋体" w:hAnsi="宋体" w:eastAsia="宋体" w:cs="Times New Roman"/>
          <w:color w:val="000000"/>
          <w:sz w:val="24"/>
        </w:rPr>
      </w:pPr>
      <w:r>
        <w:rPr>
          <w:rFonts w:ascii="宋体" w:hAnsi="宋体" w:eastAsia="宋体" w:cs="Times New Roman"/>
          <w:color w:val="000000"/>
          <w:sz w:val="24"/>
        </w:rPr>
        <w:t>2．教学用的例题和习题</w:t>
      </w:r>
      <w:r>
        <w:rPr>
          <w:rFonts w:hint="eastAsia" w:ascii="宋体" w:hAnsi="宋体" w:eastAsia="宋体" w:cs="Times New Roman"/>
          <w:color w:val="000000"/>
          <w:sz w:val="24"/>
        </w:rPr>
        <w:t>，</w:t>
      </w:r>
      <w:r>
        <w:rPr>
          <w:rFonts w:ascii="宋体" w:hAnsi="宋体" w:eastAsia="宋体" w:cs="Times New Roman"/>
          <w:color w:val="000000"/>
          <w:sz w:val="24"/>
        </w:rPr>
        <w:t>应</w:t>
      </w:r>
      <w:r>
        <w:rPr>
          <w:rFonts w:hint="eastAsia" w:ascii="宋体" w:hAnsi="宋体" w:eastAsia="宋体" w:cs="Times New Roman"/>
          <w:color w:val="000000"/>
          <w:sz w:val="24"/>
        </w:rPr>
        <w:t>尽可能</w:t>
      </w:r>
      <w:r>
        <w:rPr>
          <w:rFonts w:ascii="宋体" w:hAnsi="宋体" w:eastAsia="宋体" w:cs="Times New Roman"/>
          <w:color w:val="000000"/>
          <w:sz w:val="24"/>
        </w:rPr>
        <w:t>结合</w:t>
      </w:r>
      <w:r>
        <w:rPr>
          <w:rFonts w:hint="eastAsia" w:ascii="宋体" w:hAnsi="宋体" w:eastAsia="宋体" w:cs="Times New Roman"/>
          <w:color w:val="000000"/>
          <w:sz w:val="24"/>
        </w:rPr>
        <w:t>专业特点</w:t>
      </w:r>
      <w:r>
        <w:rPr>
          <w:rFonts w:ascii="宋体" w:hAnsi="宋体" w:eastAsia="宋体" w:cs="Times New Roman"/>
          <w:color w:val="000000"/>
          <w:sz w:val="24"/>
        </w:rPr>
        <w:t>。</w:t>
      </w:r>
    </w:p>
    <w:p w14:paraId="7DDFF45A">
      <w:pPr>
        <w:spacing w:line="360" w:lineRule="auto"/>
        <w:rPr>
          <w:rFonts w:hint="eastAsia" w:ascii="宋体" w:hAnsi="宋体" w:eastAsia="宋体" w:cs="Times New Roman"/>
          <w:color w:val="000000"/>
          <w:sz w:val="24"/>
        </w:rPr>
      </w:pPr>
      <w:r>
        <w:rPr>
          <w:rFonts w:ascii="宋体" w:hAnsi="宋体" w:eastAsia="宋体" w:cs="Times New Roman"/>
          <w:color w:val="000000"/>
          <w:sz w:val="24"/>
        </w:rPr>
        <w:t>3. 根据学生、教学督导反馈意见，及时改进教学中的不足。</w:t>
      </w:r>
    </w:p>
    <w:p w14:paraId="13AE2865">
      <w:pPr>
        <w:spacing w:line="360" w:lineRule="auto"/>
        <w:rPr>
          <w:rFonts w:hint="eastAsia" w:ascii="宋体" w:hAnsi="宋体" w:eastAsia="宋体"/>
          <w:b/>
          <w:color w:val="000000"/>
          <w:sz w:val="24"/>
        </w:rPr>
      </w:pPr>
      <w:r>
        <w:rPr>
          <w:rFonts w:hint="eastAsia" w:ascii="宋体" w:hAnsi="宋体" w:eastAsia="宋体"/>
          <w:b/>
          <w:color w:val="000000"/>
          <w:sz w:val="24"/>
        </w:rPr>
        <w:t>（二）</w:t>
      </w:r>
      <w:r>
        <w:rPr>
          <w:rFonts w:ascii="宋体" w:hAnsi="宋体" w:eastAsia="宋体"/>
          <w:b/>
          <w:color w:val="000000"/>
          <w:sz w:val="24"/>
        </w:rPr>
        <w:t>参考书目及学习资料</w:t>
      </w:r>
    </w:p>
    <w:p w14:paraId="1B505C5F">
      <w:pPr>
        <w:spacing w:line="360" w:lineRule="auto"/>
        <w:rPr>
          <w:rFonts w:hint="eastAsia" w:ascii="宋体" w:hAnsi="宋体" w:eastAsia="宋体" w:cs="Times New Roman"/>
          <w:sz w:val="24"/>
        </w:rPr>
      </w:pPr>
      <w:r>
        <w:rPr>
          <w:rFonts w:ascii="宋体" w:hAnsi="宋体" w:eastAsia="宋体" w:cs="Times New Roman"/>
          <w:sz w:val="24"/>
        </w:rPr>
        <w:t>1．教材</w:t>
      </w:r>
    </w:p>
    <w:p w14:paraId="74F46C65">
      <w:pPr>
        <w:spacing w:line="360" w:lineRule="auto"/>
        <w:rPr>
          <w:rFonts w:hint="eastAsia" w:ascii="宋体" w:hAnsi="宋体" w:eastAsia="宋体" w:cs="Times New Roman"/>
          <w:sz w:val="24"/>
        </w:rPr>
      </w:pPr>
      <w:r>
        <w:rPr>
          <w:rFonts w:hint="eastAsia" w:ascii="宋体" w:hAnsi="宋体" w:eastAsia="宋体" w:cs="Times New Roman"/>
          <w:bCs/>
          <w:kern w:val="0"/>
          <w:sz w:val="24"/>
        </w:rPr>
        <w:t>张力宏主编</w:t>
      </w:r>
      <w:r>
        <w:rPr>
          <w:rFonts w:ascii="宋体" w:hAnsi="宋体" w:eastAsia="宋体" w:cs="Times New Roman"/>
          <w:sz w:val="24"/>
        </w:rPr>
        <w:t xml:space="preserve">. </w:t>
      </w:r>
      <w:r>
        <w:rPr>
          <w:rFonts w:ascii="宋体" w:hAnsi="宋体" w:eastAsia="宋体" w:cs="Times New Roman"/>
          <w:kern w:val="0"/>
          <w:sz w:val="24"/>
        </w:rPr>
        <w:t>高等代数</w:t>
      </w:r>
      <w:r>
        <w:rPr>
          <w:rFonts w:ascii="宋体" w:hAnsi="宋体" w:eastAsia="宋体" w:cs="Times New Roman"/>
          <w:sz w:val="24"/>
        </w:rPr>
        <w:t>. 北京：</w:t>
      </w:r>
      <w:r>
        <w:rPr>
          <w:rFonts w:hint="eastAsia" w:ascii="宋体" w:hAnsi="宋体" w:eastAsia="宋体" w:cs="Times New Roman"/>
          <w:kern w:val="0"/>
          <w:sz w:val="24"/>
        </w:rPr>
        <w:t>人民</w:t>
      </w:r>
      <w:r>
        <w:rPr>
          <w:rFonts w:ascii="宋体" w:hAnsi="宋体" w:eastAsia="宋体" w:cs="Times New Roman"/>
          <w:kern w:val="0"/>
          <w:sz w:val="24"/>
        </w:rPr>
        <w:t>教育出版社</w:t>
      </w:r>
      <w:r>
        <w:rPr>
          <w:rFonts w:ascii="宋体" w:hAnsi="宋体" w:eastAsia="宋体" w:cs="Times New Roman"/>
          <w:sz w:val="24"/>
        </w:rPr>
        <w:t>.</w:t>
      </w:r>
      <w:r>
        <w:rPr>
          <w:rFonts w:ascii="宋体" w:hAnsi="宋体" w:eastAsia="宋体" w:cs="Times New Roman"/>
          <w:kern w:val="0"/>
          <w:sz w:val="24"/>
        </w:rPr>
        <w:t>2019</w:t>
      </w:r>
      <w:r>
        <w:rPr>
          <w:rFonts w:ascii="宋体" w:hAnsi="宋体" w:eastAsia="宋体" w:cs="Times New Roman"/>
          <w:sz w:val="24"/>
        </w:rPr>
        <w:t>.</w:t>
      </w:r>
    </w:p>
    <w:p w14:paraId="5FEF4E42">
      <w:pPr>
        <w:spacing w:line="360" w:lineRule="auto"/>
        <w:rPr>
          <w:rFonts w:hint="eastAsia" w:ascii="宋体" w:hAnsi="宋体" w:eastAsia="宋体" w:cs="Times New Roman"/>
          <w:sz w:val="24"/>
        </w:rPr>
      </w:pPr>
      <w:bookmarkStart w:id="215" w:name="_Toc19729797"/>
      <w:r>
        <w:rPr>
          <w:rFonts w:ascii="宋体" w:hAnsi="宋体" w:eastAsia="宋体" w:cs="Times New Roman"/>
          <w:sz w:val="24"/>
        </w:rPr>
        <w:t>2．教学参考书</w:t>
      </w:r>
      <w:bookmarkEnd w:id="215"/>
    </w:p>
    <w:p w14:paraId="7A9A25A5">
      <w:pPr>
        <w:spacing w:line="360" w:lineRule="auto"/>
        <w:rPr>
          <w:rFonts w:hint="eastAsia" w:ascii="宋体" w:hAnsi="宋体" w:eastAsia="宋体" w:cs="Times New Roman"/>
          <w:sz w:val="24"/>
        </w:rPr>
      </w:pPr>
      <w:r>
        <w:rPr>
          <w:rFonts w:hint="eastAsia" w:ascii="宋体" w:hAnsi="宋体" w:eastAsia="宋体" w:cs="Times New Roman"/>
          <w:sz w:val="24"/>
        </w:rPr>
        <w:t>王</w:t>
      </w:r>
      <w:r>
        <w:rPr>
          <w:rFonts w:ascii="宋体" w:hAnsi="宋体" w:eastAsia="宋体" w:cs="Times New Roman"/>
          <w:sz w:val="24"/>
        </w:rPr>
        <w:t>萼芳</w:t>
      </w:r>
      <w:r>
        <w:rPr>
          <w:rFonts w:hint="eastAsia" w:ascii="宋体" w:hAnsi="宋体" w:eastAsia="宋体" w:cs="Times New Roman"/>
          <w:sz w:val="24"/>
        </w:rPr>
        <w:t>，石生明</w:t>
      </w:r>
      <w:r>
        <w:rPr>
          <w:rFonts w:ascii="宋体" w:hAnsi="宋体" w:eastAsia="宋体" w:cs="Times New Roman"/>
          <w:sz w:val="24"/>
        </w:rPr>
        <w:t>. 高等代数.北京：</w:t>
      </w:r>
      <w:r>
        <w:rPr>
          <w:rFonts w:hint="eastAsia" w:ascii="宋体" w:hAnsi="宋体" w:eastAsia="宋体" w:cs="Times New Roman"/>
          <w:sz w:val="24"/>
        </w:rPr>
        <w:t>高等</w:t>
      </w:r>
      <w:r>
        <w:rPr>
          <w:rFonts w:ascii="宋体" w:hAnsi="宋体" w:eastAsia="宋体" w:cs="Times New Roman"/>
          <w:sz w:val="24"/>
        </w:rPr>
        <w:t>教育出版社</w:t>
      </w:r>
      <w:r>
        <w:rPr>
          <w:rFonts w:hint="eastAsia" w:ascii="宋体" w:hAnsi="宋体" w:eastAsia="宋体" w:cs="Times New Roman"/>
          <w:sz w:val="24"/>
        </w:rPr>
        <w:t>.第五版.</w:t>
      </w:r>
    </w:p>
    <w:p w14:paraId="06A32BD2">
      <w:pPr>
        <w:spacing w:line="360" w:lineRule="auto"/>
        <w:rPr>
          <w:rFonts w:hint="eastAsia" w:ascii="宋体" w:hAnsi="宋体" w:eastAsia="宋体" w:cs="Times New Roman"/>
          <w:sz w:val="24"/>
        </w:rPr>
      </w:pPr>
      <w:r>
        <w:rPr>
          <w:rFonts w:ascii="宋体" w:hAnsi="宋体" w:eastAsia="宋体" w:cs="Times New Roman"/>
          <w:sz w:val="24"/>
        </w:rPr>
        <w:t>王萼芳. 高等代数教程习题集.北京：清华大学出版社</w:t>
      </w:r>
      <w:r>
        <w:rPr>
          <w:rFonts w:hint="eastAsia" w:ascii="宋体" w:hAnsi="宋体" w:eastAsia="宋体" w:cs="Times New Roman"/>
          <w:sz w:val="24"/>
        </w:rPr>
        <w:t>. 最新版.</w:t>
      </w:r>
    </w:p>
    <w:p w14:paraId="3CD4DAF3">
      <w:pPr>
        <w:widowControl/>
        <w:spacing w:line="360" w:lineRule="auto"/>
        <w:jc w:val="left"/>
        <w:rPr>
          <w:rFonts w:hint="eastAsia" w:ascii="宋体" w:hAnsi="宋体" w:eastAsia="宋体" w:cs="Times New Roman"/>
          <w:sz w:val="24"/>
        </w:rPr>
      </w:pPr>
    </w:p>
    <w:p w14:paraId="4CE076F1">
      <w:pPr>
        <w:spacing w:line="360" w:lineRule="auto"/>
        <w:rPr>
          <w:rFonts w:hint="eastAsia" w:ascii="宋体" w:hAnsi="宋体" w:eastAsia="宋体" w:cs="Times New Roman"/>
          <w:sz w:val="24"/>
        </w:rPr>
      </w:pPr>
    </w:p>
    <w:p w14:paraId="5A3FCD25">
      <w:pPr>
        <w:spacing w:line="360" w:lineRule="auto"/>
        <w:rPr>
          <w:rFonts w:hint="eastAsia" w:ascii="宋体" w:hAnsi="宋体" w:eastAsia="宋体" w:cs="Times New Roman"/>
          <w:sz w:val="24"/>
        </w:rPr>
      </w:pPr>
    </w:p>
    <w:p w14:paraId="5CADFD39">
      <w:pPr>
        <w:autoSpaceDE w:val="0"/>
        <w:autoSpaceDN w:val="0"/>
        <w:adjustRightInd w:val="0"/>
        <w:spacing w:line="360" w:lineRule="auto"/>
        <w:jc w:val="right"/>
        <w:rPr>
          <w:rFonts w:hint="eastAsia" w:ascii="宋体" w:hAnsi="宋体" w:eastAsia="宋体" w:cs="Times New Roman"/>
          <w:kern w:val="0"/>
          <w:sz w:val="24"/>
        </w:rPr>
      </w:pPr>
      <w:r>
        <w:rPr>
          <w:rFonts w:ascii="宋体" w:hAnsi="宋体" w:eastAsia="宋体" w:cs="Times New Roman"/>
          <w:kern w:val="0"/>
          <w:sz w:val="24"/>
        </w:rPr>
        <w:t>执笔人：</w:t>
      </w:r>
      <w:r>
        <w:rPr>
          <w:rFonts w:hint="eastAsia" w:ascii="宋体" w:hAnsi="宋体" w:eastAsia="宋体" w:cs="Times New Roman"/>
          <w:kern w:val="0"/>
          <w:sz w:val="24"/>
        </w:rPr>
        <w:t>傅蕾</w:t>
      </w:r>
    </w:p>
    <w:p w14:paraId="19D86C6B">
      <w:pPr>
        <w:autoSpaceDE w:val="0"/>
        <w:autoSpaceDN w:val="0"/>
        <w:adjustRightInd w:val="0"/>
        <w:spacing w:line="360" w:lineRule="auto"/>
        <w:jc w:val="right"/>
        <w:rPr>
          <w:rFonts w:hint="default" w:ascii="宋体" w:hAnsi="宋体" w:eastAsia="宋体" w:cs="Times New Roman"/>
          <w:kern w:val="0"/>
          <w:sz w:val="24"/>
          <w:lang w:val="en-US" w:eastAsia="zh-CN"/>
        </w:rPr>
      </w:pPr>
      <w:r>
        <w:rPr>
          <w:rFonts w:ascii="宋体" w:hAnsi="宋体" w:eastAsia="宋体" w:cs="Times New Roman"/>
          <w:kern w:val="0"/>
          <w:sz w:val="24"/>
        </w:rPr>
        <w:t>审定人：</w:t>
      </w:r>
      <w:r>
        <w:rPr>
          <w:rFonts w:hint="eastAsia" w:ascii="宋体" w:hAnsi="宋体" w:eastAsia="宋体" w:cs="Times New Roman"/>
          <w:kern w:val="0"/>
          <w:sz w:val="24"/>
          <w:lang w:val="en-US" w:eastAsia="zh-CN"/>
        </w:rPr>
        <w:t>王健</w:t>
      </w:r>
    </w:p>
    <w:p w14:paraId="1EC41040">
      <w:pPr>
        <w:autoSpaceDE w:val="0"/>
        <w:autoSpaceDN w:val="0"/>
        <w:adjustRightInd w:val="0"/>
        <w:spacing w:line="360" w:lineRule="auto"/>
        <w:jc w:val="right"/>
        <w:rPr>
          <w:rFonts w:hint="default" w:ascii="宋体" w:hAnsi="宋体" w:eastAsia="宋体" w:cs="Times New Roman"/>
          <w:kern w:val="0"/>
          <w:sz w:val="24"/>
          <w:lang w:val="en-US" w:eastAsia="zh-CN"/>
        </w:rPr>
      </w:pPr>
      <w:r>
        <w:rPr>
          <w:rFonts w:ascii="宋体" w:hAnsi="宋体" w:eastAsia="宋体" w:cs="Times New Roman"/>
          <w:kern w:val="0"/>
          <w:sz w:val="24"/>
        </w:rPr>
        <w:t>审批人：</w:t>
      </w:r>
      <w:r>
        <w:rPr>
          <w:rFonts w:hint="eastAsia" w:ascii="宋体" w:hAnsi="宋体" w:eastAsia="宋体" w:cs="Times New Roman"/>
          <w:kern w:val="0"/>
          <w:sz w:val="24"/>
        </w:rPr>
        <w:t>张</w:t>
      </w:r>
      <w:r>
        <w:rPr>
          <w:rFonts w:hint="eastAsia" w:ascii="宋体" w:hAnsi="宋体" w:eastAsia="宋体" w:cs="Times New Roman"/>
          <w:kern w:val="0"/>
          <w:sz w:val="24"/>
          <w:lang w:val="en-US" w:eastAsia="zh-CN"/>
        </w:rPr>
        <w:t>志欣</w:t>
      </w:r>
    </w:p>
    <w:p w14:paraId="62B036BF">
      <w:pPr>
        <w:ind w:firstLine="5400" w:firstLineChars="2250"/>
      </w:pPr>
      <w:r>
        <w:rPr>
          <w:rFonts w:hint="eastAsia" w:ascii="宋体" w:hAnsi="宋体" w:eastAsia="宋体" w:cs="Times New Roman"/>
          <w:kern w:val="0"/>
          <w:sz w:val="24"/>
        </w:rPr>
        <w:t>审批时间：</w:t>
      </w:r>
      <w:r>
        <w:rPr>
          <w:rFonts w:ascii="宋体" w:hAnsi="宋体" w:eastAsia="宋体" w:cs="Times New Roman"/>
          <w:kern w:val="0"/>
          <w:sz w:val="24"/>
        </w:rPr>
        <w:t>2024年8月</w:t>
      </w:r>
      <w:r>
        <w:rPr>
          <w:rFonts w:hint="eastAsia" w:ascii="宋体" w:hAnsi="宋体" w:eastAsia="宋体" w:cs="Times New Roman"/>
          <w:kern w:val="0"/>
          <w:sz w:val="24"/>
        </w:rPr>
        <w:t>修订</w:t>
      </w:r>
    </w:p>
    <w:p w14:paraId="1D3132E0">
      <w:pPr>
        <w:autoSpaceDE w:val="0"/>
        <w:autoSpaceDN w:val="0"/>
        <w:adjustRightInd w:val="0"/>
        <w:spacing w:line="360" w:lineRule="auto"/>
        <w:jc w:val="right"/>
        <w:rPr>
          <w:rFonts w:ascii="Times New Roman" w:hAnsi="Times New Roman" w:eastAsia="宋体" w:cs="Times New Roman"/>
          <w:kern w:val="0"/>
          <w:sz w:val="24"/>
          <w:szCs w:val="21"/>
        </w:rPr>
      </w:pPr>
    </w:p>
    <w:p w14:paraId="03798E06">
      <w:pPr>
        <w:autoSpaceDE w:val="0"/>
        <w:autoSpaceDN w:val="0"/>
        <w:adjustRightInd w:val="0"/>
        <w:spacing w:line="360" w:lineRule="auto"/>
        <w:jc w:val="right"/>
        <w:rPr>
          <w:rFonts w:ascii="Times New Roman" w:hAnsi="Times New Roman" w:eastAsia="宋体" w:cs="Times New Roman"/>
          <w:kern w:val="0"/>
          <w:sz w:val="24"/>
          <w:szCs w:val="21"/>
        </w:rPr>
      </w:pPr>
    </w:p>
    <w:p w14:paraId="694A3D11">
      <w:pPr>
        <w:autoSpaceDE w:val="0"/>
        <w:autoSpaceDN w:val="0"/>
        <w:adjustRightInd w:val="0"/>
        <w:spacing w:line="360" w:lineRule="auto"/>
        <w:jc w:val="right"/>
        <w:rPr>
          <w:rFonts w:ascii="Times New Roman" w:hAnsi="Times New Roman" w:eastAsia="宋体" w:cs="Times New Roman"/>
          <w:kern w:val="0"/>
          <w:sz w:val="24"/>
          <w:szCs w:val="21"/>
        </w:rPr>
      </w:pPr>
    </w:p>
    <w:p w14:paraId="60159A8D">
      <w:pPr>
        <w:widowControl/>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37D70A36">
      <w:pPr>
        <w:pStyle w:val="2"/>
        <w:tabs>
          <w:tab w:val="left" w:pos="720"/>
          <w:tab w:val="left" w:pos="2700"/>
        </w:tabs>
      </w:pPr>
      <w:bookmarkStart w:id="216" w:name="_Toc14788"/>
      <w:bookmarkStart w:id="217" w:name="_Toc7101"/>
      <w:r>
        <w:rPr>
          <w:rFonts w:hint="eastAsia"/>
        </w:rPr>
        <w:t>《</w:t>
      </w:r>
      <w:r>
        <w:t>高等代数II</w:t>
      </w:r>
      <w:r>
        <w:rPr>
          <w:rFonts w:hint="eastAsia"/>
        </w:rPr>
        <w:t>》</w:t>
      </w:r>
      <w:r>
        <w:t>课程教学大纲</w:t>
      </w:r>
      <w:bookmarkEnd w:id="216"/>
      <w:bookmarkEnd w:id="217"/>
    </w:p>
    <w:p w14:paraId="4FAF7E2D">
      <w:pPr>
        <w:spacing w:line="312" w:lineRule="auto"/>
        <w:jc w:val="center"/>
        <w:rPr>
          <w:rFonts w:ascii="Times New Roman" w:hAnsi="Times New Roman" w:cs="Times New Roman"/>
          <w:b/>
          <w:bCs/>
          <w:sz w:val="30"/>
        </w:rPr>
      </w:pPr>
      <w:r>
        <w:rPr>
          <w:rFonts w:ascii="Times New Roman" w:hAnsi="Times New Roman" w:cs="Times New Roman"/>
          <w:b/>
          <w:bCs/>
          <w:sz w:val="30"/>
        </w:rPr>
        <w:t>（Higher Algebra II）</w:t>
      </w:r>
    </w:p>
    <w:p w14:paraId="1A8865E8">
      <w:pPr>
        <w:spacing w:line="360" w:lineRule="auto"/>
        <w:ind w:firstLine="551" w:firstLineChars="196"/>
        <w:rPr>
          <w:rFonts w:ascii="Times New Roman" w:hAnsi="Times New Roman" w:cs="Times New Roman"/>
          <w:b/>
          <w:sz w:val="28"/>
          <w:szCs w:val="28"/>
        </w:rPr>
      </w:pPr>
      <w:r>
        <w:rPr>
          <w:rFonts w:ascii="Times New Roman" w:hAnsi="Times New Roman" w:cs="Times New Roman"/>
          <w:b/>
          <w:sz w:val="28"/>
          <w:szCs w:val="28"/>
        </w:rPr>
        <w:t>一、课程概况</w:t>
      </w:r>
    </w:p>
    <w:p w14:paraId="7DBA3BC9">
      <w:pPr>
        <w:spacing w:line="360" w:lineRule="auto"/>
        <w:ind w:firstLine="482" w:firstLineChars="200"/>
        <w:rPr>
          <w:rFonts w:ascii="Times New Roman" w:hAnsi="Times New Roman" w:cs="Times New Roman"/>
          <w:b/>
          <w:sz w:val="28"/>
          <w:szCs w:val="28"/>
        </w:rPr>
      </w:pPr>
      <w:r>
        <w:rPr>
          <w:rFonts w:ascii="Times New Roman" w:hAnsi="Times New Roman" w:cs="Times New Roman"/>
          <w:b/>
          <w:bCs/>
          <w:kern w:val="0"/>
          <w:sz w:val="24"/>
        </w:rPr>
        <w:t>课程代码</w:t>
      </w:r>
      <w:r>
        <w:rPr>
          <w:rFonts w:ascii="Times New Roman" w:hAnsi="Times New Roman" w:cs="Times New Roman"/>
          <w:b/>
          <w:kern w:val="0"/>
          <w:sz w:val="24"/>
        </w:rPr>
        <w:t>：</w:t>
      </w:r>
      <w:r>
        <w:rPr>
          <w:rFonts w:ascii="Times New Roman" w:hAnsi="Times New Roman" w:cs="Times New Roman"/>
          <w:sz w:val="24"/>
        </w:rPr>
        <w:t>0821012</w:t>
      </w:r>
    </w:p>
    <w:p w14:paraId="6C948B4C">
      <w:pPr>
        <w:spacing w:line="360" w:lineRule="auto"/>
        <w:ind w:firstLine="482" w:firstLineChars="200"/>
        <w:rPr>
          <w:rFonts w:ascii="Times New Roman" w:hAnsi="Times New Roman" w:cs="Times New Roman"/>
          <w:b/>
          <w:kern w:val="0"/>
          <w:sz w:val="24"/>
        </w:rPr>
      </w:pPr>
      <w:r>
        <w:rPr>
          <w:rFonts w:ascii="Times New Roman" w:hAnsi="Times New Roman" w:cs="Times New Roman"/>
          <w:b/>
          <w:bCs/>
          <w:kern w:val="0"/>
          <w:sz w:val="24"/>
        </w:rPr>
        <w:t>学    分</w:t>
      </w:r>
      <w:r>
        <w:rPr>
          <w:rFonts w:ascii="Times New Roman" w:hAnsi="Times New Roman" w:cs="Times New Roman"/>
          <w:b/>
          <w:kern w:val="0"/>
          <w:sz w:val="24"/>
        </w:rPr>
        <w:t>：</w:t>
      </w:r>
      <w:r>
        <w:rPr>
          <w:rFonts w:ascii="Times New Roman" w:hAnsi="Times New Roman" w:cs="Times New Roman"/>
          <w:kern w:val="0"/>
          <w:sz w:val="24"/>
        </w:rPr>
        <w:t>4</w:t>
      </w:r>
    </w:p>
    <w:p w14:paraId="19B0D76D">
      <w:pPr>
        <w:spacing w:line="360" w:lineRule="auto"/>
        <w:ind w:firstLine="482" w:firstLineChars="200"/>
        <w:rPr>
          <w:rFonts w:ascii="Times New Roman" w:hAnsi="Times New Roman" w:cs="Times New Roman"/>
          <w:kern w:val="0"/>
          <w:sz w:val="24"/>
        </w:rPr>
      </w:pPr>
      <w:r>
        <w:rPr>
          <w:rFonts w:ascii="Times New Roman" w:hAnsi="Times New Roman" w:cs="Times New Roman"/>
          <w:b/>
          <w:bCs/>
          <w:kern w:val="0"/>
          <w:sz w:val="24"/>
        </w:rPr>
        <w:t>学    时</w:t>
      </w:r>
      <w:r>
        <w:rPr>
          <w:rFonts w:ascii="Times New Roman" w:hAnsi="Times New Roman" w:cs="Times New Roman"/>
          <w:b/>
          <w:kern w:val="0"/>
          <w:sz w:val="24"/>
        </w:rPr>
        <w:t>：</w:t>
      </w:r>
      <w:r>
        <w:rPr>
          <w:rFonts w:ascii="Times New Roman" w:hAnsi="Times New Roman" w:cs="Times New Roman"/>
          <w:kern w:val="0"/>
          <w:sz w:val="24"/>
        </w:rPr>
        <w:t>64（其中：讲授学时64 ， 实验学时0  ，上机学时0）</w:t>
      </w:r>
    </w:p>
    <w:p w14:paraId="30452AF8">
      <w:pPr>
        <w:spacing w:line="360" w:lineRule="auto"/>
        <w:ind w:firstLine="482" w:firstLineChars="200"/>
        <w:rPr>
          <w:rFonts w:ascii="Times New Roman" w:hAnsi="Times New Roman" w:cs="Times New Roman"/>
          <w:b/>
          <w:bCs/>
          <w:kern w:val="0"/>
          <w:sz w:val="24"/>
        </w:rPr>
      </w:pPr>
      <w:r>
        <w:rPr>
          <w:rFonts w:ascii="Times New Roman" w:hAnsi="Times New Roman" w:cs="Times New Roman"/>
          <w:b/>
          <w:bCs/>
          <w:kern w:val="0"/>
          <w:sz w:val="24"/>
        </w:rPr>
        <w:t>先修课程</w:t>
      </w:r>
      <w:r>
        <w:rPr>
          <w:rFonts w:ascii="Times New Roman" w:hAnsi="Times New Roman" w:cs="Times New Roman"/>
          <w:b/>
          <w:kern w:val="0"/>
          <w:sz w:val="24"/>
        </w:rPr>
        <w:t>：</w:t>
      </w:r>
      <w:r>
        <w:rPr>
          <w:rFonts w:ascii="Times New Roman" w:hAnsi="Times New Roman" w:cs="Times New Roman"/>
          <w:color w:val="000000"/>
          <w:sz w:val="24"/>
        </w:rPr>
        <w:t>初等数学</w:t>
      </w:r>
    </w:p>
    <w:p w14:paraId="688E32AD">
      <w:pPr>
        <w:spacing w:line="360" w:lineRule="auto"/>
        <w:ind w:firstLine="482" w:firstLineChars="200"/>
        <w:rPr>
          <w:rFonts w:ascii="Times New Roman" w:hAnsi="Times New Roman" w:cs="Times New Roman"/>
          <w:kern w:val="0"/>
          <w:sz w:val="24"/>
        </w:rPr>
      </w:pPr>
      <w:r>
        <w:rPr>
          <w:rFonts w:ascii="Times New Roman" w:hAnsi="Times New Roman" w:cs="Times New Roman"/>
          <w:b/>
          <w:bCs/>
          <w:kern w:val="0"/>
          <w:sz w:val="24"/>
        </w:rPr>
        <w:t>适用专业</w:t>
      </w:r>
      <w:r>
        <w:rPr>
          <w:rFonts w:ascii="Times New Roman" w:hAnsi="Times New Roman" w:cs="Times New Roman"/>
          <w:b/>
          <w:kern w:val="0"/>
          <w:sz w:val="24"/>
        </w:rPr>
        <w:t>：</w:t>
      </w:r>
      <w:r>
        <w:rPr>
          <w:rFonts w:ascii="Times New Roman" w:hAnsi="Times New Roman" w:cs="Times New Roman"/>
          <w:kern w:val="0"/>
          <w:sz w:val="24"/>
        </w:rPr>
        <w:t xml:space="preserve"> 小学教育（理）专业                      </w:t>
      </w:r>
    </w:p>
    <w:p w14:paraId="323AF4BC">
      <w:pPr>
        <w:spacing w:line="360" w:lineRule="auto"/>
        <w:ind w:firstLine="482" w:firstLineChars="200"/>
        <w:rPr>
          <w:rFonts w:ascii="Times New Roman" w:hAnsi="Times New Roman" w:cs="Times New Roman"/>
          <w:kern w:val="0"/>
          <w:sz w:val="24"/>
        </w:rPr>
      </w:pPr>
      <w:r>
        <w:rPr>
          <w:rFonts w:ascii="Times New Roman" w:hAnsi="Times New Roman" w:cs="Times New Roman"/>
          <w:b/>
          <w:bCs/>
          <w:kern w:val="0"/>
          <w:sz w:val="24"/>
        </w:rPr>
        <w:t>建议教材</w:t>
      </w:r>
      <w:r>
        <w:rPr>
          <w:rFonts w:ascii="Times New Roman" w:hAnsi="Times New Roman" w:cs="Times New Roman"/>
          <w:b/>
          <w:kern w:val="0"/>
          <w:sz w:val="24"/>
        </w:rPr>
        <w:t>：</w:t>
      </w:r>
      <w:r>
        <w:rPr>
          <w:rFonts w:ascii="Times New Roman" w:hAnsi="Times New Roman" w:cs="Times New Roman"/>
          <w:kern w:val="0"/>
          <w:sz w:val="24"/>
        </w:rPr>
        <w:t>《高等代数》，</w:t>
      </w:r>
      <w:r>
        <w:rPr>
          <w:rFonts w:ascii="Times New Roman" w:hAnsi="Times New Roman" w:cs="Times New Roman"/>
          <w:bCs/>
          <w:kern w:val="0"/>
          <w:sz w:val="24"/>
        </w:rPr>
        <w:t>北京大学数学系，</w:t>
      </w:r>
      <w:r>
        <w:rPr>
          <w:rFonts w:ascii="Times New Roman" w:hAnsi="Times New Roman" w:cs="Times New Roman"/>
          <w:kern w:val="0"/>
          <w:sz w:val="24"/>
        </w:rPr>
        <w:t>高等教育出版社，2010.5</w:t>
      </w:r>
    </w:p>
    <w:p w14:paraId="1ACB9AA1">
      <w:pPr>
        <w:spacing w:line="360" w:lineRule="auto"/>
        <w:ind w:firstLine="482" w:firstLineChars="200"/>
        <w:rPr>
          <w:rFonts w:ascii="Times New Roman" w:hAnsi="Times New Roman" w:cs="Times New Roman"/>
          <w:kern w:val="0"/>
          <w:sz w:val="24"/>
        </w:rPr>
      </w:pPr>
      <w:r>
        <w:rPr>
          <w:rFonts w:ascii="Times New Roman" w:hAnsi="Times New Roman" w:cs="Times New Roman"/>
          <w:b/>
          <w:bCs/>
          <w:kern w:val="0"/>
          <w:sz w:val="24"/>
        </w:rPr>
        <w:t>课程归口：</w:t>
      </w:r>
      <w:r>
        <w:rPr>
          <w:rFonts w:ascii="Times New Roman" w:hAnsi="Times New Roman" w:cs="Times New Roman"/>
          <w:bCs/>
          <w:kern w:val="0"/>
          <w:sz w:val="24"/>
        </w:rPr>
        <w:t>理</w:t>
      </w:r>
      <w:r>
        <w:rPr>
          <w:rFonts w:ascii="Times New Roman" w:hAnsi="Times New Roman" w:cs="Times New Roman"/>
          <w:kern w:val="0"/>
          <w:sz w:val="24"/>
        </w:rPr>
        <w:t>学院</w:t>
      </w:r>
    </w:p>
    <w:p w14:paraId="0FF7CD29">
      <w:pPr>
        <w:autoSpaceDE w:val="0"/>
        <w:autoSpaceDN w:val="0"/>
        <w:adjustRightInd w:val="0"/>
        <w:spacing w:line="360" w:lineRule="auto"/>
        <w:ind w:firstLine="482" w:firstLineChars="200"/>
        <w:jc w:val="left"/>
        <w:rPr>
          <w:rFonts w:ascii="Times New Roman" w:hAnsi="Times New Roman" w:cs="Times New Roman"/>
          <w:sz w:val="24"/>
        </w:rPr>
      </w:pPr>
      <w:r>
        <w:rPr>
          <w:rFonts w:ascii="Times New Roman" w:hAnsi="Times New Roman" w:cs="Times New Roman"/>
          <w:b/>
          <w:bCs/>
          <w:kern w:val="0"/>
          <w:sz w:val="24"/>
        </w:rPr>
        <w:t>课程的性质与任务：</w:t>
      </w:r>
      <w:r>
        <w:rPr>
          <w:rFonts w:ascii="Times New Roman" w:hAnsi="Times New Roman" w:cs="Times New Roman"/>
          <w:kern w:val="0"/>
          <w:sz w:val="24"/>
        </w:rPr>
        <w:t>本课程是小学教育（理）专业的一门</w:t>
      </w:r>
      <w:r>
        <w:rPr>
          <w:rFonts w:ascii="Times New Roman" w:hAnsi="Times New Roman" w:cs="Times New Roman"/>
          <w:color w:val="000000"/>
          <w:sz w:val="24"/>
        </w:rPr>
        <w:t>重要基础课</w:t>
      </w:r>
      <w:r>
        <w:rPr>
          <w:rFonts w:ascii="Times New Roman" w:hAnsi="Times New Roman" w:cs="Times New Roman"/>
          <w:sz w:val="24"/>
        </w:rPr>
        <w:t>。</w:t>
      </w:r>
      <w:r>
        <w:rPr>
          <w:rFonts w:ascii="Times New Roman" w:hAnsi="Times New Roman" w:cs="Times New Roman"/>
          <w:color w:val="000000"/>
          <w:kern w:val="0"/>
          <w:sz w:val="24"/>
        </w:rPr>
        <w:t>通过本课程的学习，使学生系统地获得高等代数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308659FD">
      <w:pPr>
        <w:spacing w:line="360" w:lineRule="auto"/>
        <w:ind w:firstLine="562" w:firstLineChars="200"/>
        <w:rPr>
          <w:rFonts w:ascii="Times New Roman" w:hAnsi="Times New Roman" w:cs="Times New Roman"/>
          <w:b/>
          <w:sz w:val="28"/>
          <w:szCs w:val="28"/>
        </w:rPr>
      </w:pPr>
      <w:r>
        <w:rPr>
          <w:rFonts w:ascii="Times New Roman" w:hAnsi="Times New Roman" w:cs="Times New Roman"/>
          <w:b/>
          <w:sz w:val="28"/>
          <w:szCs w:val="28"/>
        </w:rPr>
        <w:t>二、课程目标</w:t>
      </w:r>
    </w:p>
    <w:p w14:paraId="2D370C50">
      <w:pPr>
        <w:spacing w:line="360" w:lineRule="auto"/>
        <w:ind w:firstLine="482"/>
        <w:jc w:val="left"/>
        <w:rPr>
          <w:rFonts w:ascii="Times New Roman" w:hAnsi="Times New Roman" w:cs="Times New Roman"/>
          <w:sz w:val="24"/>
        </w:rPr>
      </w:pPr>
      <w:r>
        <w:rPr>
          <w:rFonts w:ascii="Times New Roman" w:hAnsi="Times New Roman" w:cs="Times New Roman"/>
          <w:sz w:val="24"/>
        </w:rPr>
        <w:t>目标1.</w:t>
      </w:r>
      <w:r>
        <w:rPr>
          <w:rFonts w:ascii="Times New Roman" w:hAnsi="Times New Roman" w:cs="Times New Roman"/>
        </w:rPr>
        <w:t xml:space="preserve"> </w:t>
      </w:r>
      <w:r>
        <w:rPr>
          <w:rFonts w:ascii="Times New Roman" w:hAnsi="Times New Roman" w:cs="Times New Roman"/>
          <w:color w:val="000000"/>
          <w:sz w:val="24"/>
        </w:rPr>
        <w:t>能够获得课程基本概念与性质</w:t>
      </w:r>
      <w:r>
        <w:rPr>
          <w:rFonts w:ascii="Times New Roman" w:hAnsi="Times New Roman" w:cs="Times New Roman"/>
          <w:sz w:val="24"/>
        </w:rPr>
        <w:t>。</w:t>
      </w:r>
    </w:p>
    <w:p w14:paraId="33E024E4">
      <w:pPr>
        <w:spacing w:line="360" w:lineRule="auto"/>
        <w:ind w:firstLine="482"/>
        <w:jc w:val="left"/>
        <w:rPr>
          <w:rFonts w:ascii="Times New Roman" w:hAnsi="Times New Roman" w:cs="Times New Roman"/>
          <w:sz w:val="24"/>
        </w:rPr>
      </w:pPr>
      <w:r>
        <w:rPr>
          <w:rFonts w:ascii="Times New Roman" w:hAnsi="Times New Roman" w:cs="Times New Roman"/>
          <w:sz w:val="24"/>
        </w:rPr>
        <w:t xml:space="preserve">目标2. </w:t>
      </w:r>
      <w:r>
        <w:rPr>
          <w:rFonts w:ascii="Times New Roman" w:hAnsi="Times New Roman" w:cs="Times New Roman"/>
          <w:color w:val="000000"/>
          <w:sz w:val="24"/>
        </w:rPr>
        <w:t>能够掌握本课程要求的计算方法</w:t>
      </w:r>
      <w:r>
        <w:rPr>
          <w:rFonts w:ascii="Times New Roman" w:hAnsi="Times New Roman" w:cs="Times New Roman"/>
          <w:sz w:val="24"/>
        </w:rPr>
        <w:t>。</w:t>
      </w:r>
    </w:p>
    <w:p w14:paraId="38F411C6">
      <w:pPr>
        <w:spacing w:line="360" w:lineRule="auto"/>
        <w:ind w:firstLine="482"/>
        <w:jc w:val="left"/>
        <w:rPr>
          <w:rFonts w:ascii="Times New Roman" w:hAnsi="Times New Roman" w:cs="Times New Roman"/>
          <w:sz w:val="24"/>
        </w:rPr>
      </w:pPr>
      <w:r>
        <w:rPr>
          <w:rFonts w:ascii="Times New Roman" w:hAnsi="Times New Roman" w:cs="Times New Roman"/>
          <w:sz w:val="24"/>
        </w:rPr>
        <w:t xml:space="preserve">目标3. </w:t>
      </w:r>
      <w:r>
        <w:rPr>
          <w:rFonts w:ascii="Times New Roman" w:hAnsi="Times New Roman" w:cs="Times New Roman"/>
          <w:color w:val="000000"/>
          <w:sz w:val="24"/>
        </w:rPr>
        <w:t>能够具有一定的</w:t>
      </w:r>
      <w:r>
        <w:rPr>
          <w:rFonts w:ascii="Times New Roman" w:hAnsi="Times New Roman" w:cs="Times New Roman"/>
          <w:sz w:val="24"/>
        </w:rPr>
        <w:t>抽象概括、逻辑推理等能力。</w:t>
      </w:r>
    </w:p>
    <w:p w14:paraId="065AB5B2">
      <w:pPr>
        <w:spacing w:line="360" w:lineRule="auto"/>
        <w:ind w:firstLine="482"/>
        <w:jc w:val="left"/>
        <w:rPr>
          <w:rFonts w:ascii="Times New Roman" w:hAnsi="Times New Roman" w:cs="Times New Roman"/>
          <w:sz w:val="24"/>
        </w:rPr>
      </w:pPr>
      <w:r>
        <w:rPr>
          <w:rFonts w:ascii="Times New Roman" w:hAnsi="Times New Roman" w:cs="Times New Roman"/>
          <w:sz w:val="24"/>
        </w:rPr>
        <w:t xml:space="preserve">目标4. </w:t>
      </w:r>
      <w:r>
        <w:rPr>
          <w:rFonts w:ascii="Times New Roman" w:hAnsi="Times New Roman" w:cs="Times New Roman"/>
          <w:color w:val="000000"/>
          <w:sz w:val="24"/>
        </w:rPr>
        <w:t>能够</w:t>
      </w:r>
      <w:r>
        <w:rPr>
          <w:rFonts w:ascii="Times New Roman" w:hAnsi="Times New Roman" w:cs="Times New Roman"/>
          <w:sz w:val="24"/>
        </w:rPr>
        <w:t>具有一定的运算能力。</w:t>
      </w:r>
    </w:p>
    <w:p w14:paraId="60F91C31">
      <w:pPr>
        <w:spacing w:line="360" w:lineRule="auto"/>
        <w:ind w:firstLine="482"/>
        <w:jc w:val="left"/>
        <w:rPr>
          <w:rFonts w:ascii="Times New Roman" w:hAnsi="Times New Roman" w:cs="Times New Roman"/>
          <w:sz w:val="24"/>
        </w:rPr>
      </w:pPr>
      <w:r>
        <w:rPr>
          <w:rFonts w:ascii="Times New Roman" w:hAnsi="Times New Roman" w:cs="Times New Roman"/>
          <w:sz w:val="24"/>
        </w:rPr>
        <w:t xml:space="preserve">目标5. </w:t>
      </w:r>
      <w:r>
        <w:rPr>
          <w:rFonts w:ascii="Times New Roman" w:hAnsi="Times New Roman" w:cs="Times New Roman"/>
          <w:color w:val="000000"/>
          <w:sz w:val="24"/>
        </w:rPr>
        <w:t>能够具有一定的</w:t>
      </w:r>
      <w:r>
        <w:rPr>
          <w:rFonts w:ascii="Times New Roman" w:hAnsi="Times New Roman" w:cs="Times New Roman"/>
          <w:sz w:val="24"/>
        </w:rPr>
        <w:t>数学思维与分析能力。</w:t>
      </w:r>
    </w:p>
    <w:p w14:paraId="4FBB7C49">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本课程支撑专业人才培养方案中毕业要求</w:t>
      </w:r>
      <w:r>
        <w:rPr>
          <w:rFonts w:ascii="Times New Roman" w:hAnsi="Times New Roman" w:cs="Times New Roman"/>
          <w:sz w:val="24"/>
        </w:rPr>
        <w:t>3</w:t>
      </w:r>
      <w:r>
        <w:rPr>
          <w:rFonts w:ascii="Times New Roman" w:hAnsi="Times New Roman" w:cs="Times New Roman"/>
          <w:szCs w:val="21"/>
        </w:rPr>
        <w:t>-1</w:t>
      </w:r>
      <w:r>
        <w:rPr>
          <w:rFonts w:ascii="Times New Roman" w:hAnsi="Times New Roman" w:cs="Times New Roman"/>
          <w:color w:val="000000"/>
          <w:sz w:val="24"/>
        </w:rPr>
        <w:t>、毕业要求</w:t>
      </w:r>
      <w:r>
        <w:rPr>
          <w:rFonts w:ascii="Times New Roman" w:hAnsi="Times New Roman" w:cs="Times New Roman"/>
          <w:sz w:val="24"/>
        </w:rPr>
        <w:t>3</w:t>
      </w:r>
      <w:r>
        <w:rPr>
          <w:rFonts w:ascii="Times New Roman" w:hAnsi="Times New Roman" w:cs="Times New Roman"/>
          <w:szCs w:val="21"/>
        </w:rPr>
        <w:t>-2</w:t>
      </w:r>
      <w:r>
        <w:rPr>
          <w:rFonts w:ascii="Times New Roman" w:hAnsi="Times New Roman" w:cs="Times New Roman"/>
          <w:color w:val="000000"/>
          <w:sz w:val="24"/>
        </w:rPr>
        <w:t>，毕业要求</w:t>
      </w:r>
      <w:r>
        <w:rPr>
          <w:rFonts w:ascii="Times New Roman" w:hAnsi="Times New Roman" w:cs="Times New Roman"/>
          <w:sz w:val="24"/>
        </w:rPr>
        <w:t>6</w:t>
      </w:r>
      <w:r>
        <w:rPr>
          <w:rFonts w:ascii="Times New Roman" w:hAnsi="Times New Roman" w:cs="Times New Roman"/>
          <w:szCs w:val="21"/>
        </w:rPr>
        <w:t>-2</w:t>
      </w:r>
      <w:r>
        <w:rPr>
          <w:rFonts w:ascii="Times New Roman" w:hAnsi="Times New Roman" w:cs="Times New Roman"/>
          <w:color w:val="000000"/>
          <w:sz w:val="24"/>
        </w:rPr>
        <w:t>对应关系如表所示。</w:t>
      </w:r>
    </w:p>
    <w:tbl>
      <w:tblPr>
        <w:tblStyle w:val="13"/>
        <w:tblW w:w="9255" w:type="dxa"/>
        <w:tblInd w:w="93" w:type="dxa"/>
        <w:tblLayout w:type="fixed"/>
        <w:tblCellMar>
          <w:top w:w="0" w:type="dxa"/>
          <w:left w:w="108" w:type="dxa"/>
          <w:bottom w:w="0" w:type="dxa"/>
          <w:right w:w="108" w:type="dxa"/>
        </w:tblCellMar>
      </w:tblPr>
      <w:tblGrid>
        <w:gridCol w:w="1695"/>
        <w:gridCol w:w="945"/>
        <w:gridCol w:w="945"/>
        <w:gridCol w:w="945"/>
        <w:gridCol w:w="945"/>
        <w:gridCol w:w="945"/>
        <w:gridCol w:w="945"/>
        <w:gridCol w:w="945"/>
        <w:gridCol w:w="945"/>
      </w:tblGrid>
      <w:tr w14:paraId="1870D383">
        <w:tblPrEx>
          <w:tblCellMar>
            <w:top w:w="0" w:type="dxa"/>
            <w:left w:w="108" w:type="dxa"/>
            <w:bottom w:w="0" w:type="dxa"/>
            <w:right w:w="108" w:type="dxa"/>
          </w:tblCellMar>
        </w:tblPrEx>
        <w:trPr>
          <w:trHeight w:val="514"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69BD95B">
            <w:pPr>
              <w:widowControl/>
              <w:jc w:val="center"/>
              <w:rPr>
                <w:rFonts w:ascii="Times New Roman" w:hAnsi="Times New Roman" w:cs="Times New Roman"/>
                <w:kern w:val="0"/>
                <w:szCs w:val="21"/>
              </w:rPr>
            </w:pPr>
            <w:r>
              <w:rPr>
                <w:rFonts w:ascii="Times New Roman" w:hAnsi="Times New Roman" w:cs="Times New Roman"/>
                <w:kern w:val="0"/>
                <w:szCs w:val="21"/>
              </w:rPr>
              <w:t>毕业要求</w:t>
            </w:r>
          </w:p>
          <w:p w14:paraId="03EE53ED">
            <w:pPr>
              <w:widowControl/>
              <w:jc w:val="center"/>
              <w:rPr>
                <w:rFonts w:ascii="Times New Roman" w:hAnsi="Times New Roman" w:cs="Times New Roman"/>
                <w:kern w:val="0"/>
                <w:szCs w:val="21"/>
              </w:rPr>
            </w:pPr>
            <w:r>
              <w:rPr>
                <w:rFonts w:ascii="Times New Roman" w:hAnsi="Times New Roman" w:cs="Times New Roman"/>
                <w:kern w:val="0"/>
                <w:szCs w:val="21"/>
              </w:rPr>
              <w:t>指标点</w:t>
            </w:r>
          </w:p>
        </w:tc>
        <w:tc>
          <w:tcPr>
            <w:tcW w:w="7560" w:type="dxa"/>
            <w:gridSpan w:val="8"/>
            <w:tcBorders>
              <w:top w:val="single" w:color="auto" w:sz="4" w:space="0"/>
              <w:left w:val="nil"/>
              <w:bottom w:val="single" w:color="auto" w:sz="4" w:space="0"/>
              <w:right w:val="single" w:color="auto" w:sz="4" w:space="0"/>
            </w:tcBorders>
            <w:shd w:val="clear" w:color="auto" w:fill="FFFFFF"/>
            <w:vAlign w:val="center"/>
          </w:tcPr>
          <w:p w14:paraId="691652BC">
            <w:pPr>
              <w:widowControl/>
              <w:jc w:val="center"/>
              <w:rPr>
                <w:rFonts w:ascii="Times New Roman" w:hAnsi="Times New Roman" w:cs="Times New Roman"/>
                <w:kern w:val="0"/>
                <w:szCs w:val="21"/>
              </w:rPr>
            </w:pPr>
            <w:r>
              <w:rPr>
                <w:rFonts w:ascii="Times New Roman" w:hAnsi="Times New Roman" w:cs="Times New Roman"/>
                <w:kern w:val="0"/>
                <w:szCs w:val="21"/>
              </w:rPr>
              <w:t>课程目标</w:t>
            </w:r>
          </w:p>
        </w:tc>
      </w:tr>
      <w:tr w14:paraId="6F84AE66">
        <w:tblPrEx>
          <w:tblCellMar>
            <w:top w:w="0" w:type="dxa"/>
            <w:left w:w="108" w:type="dxa"/>
            <w:bottom w:w="0" w:type="dxa"/>
            <w:right w:w="108" w:type="dxa"/>
          </w:tblCellMar>
        </w:tblPrEx>
        <w:trPr>
          <w:trHeight w:val="491" w:hRule="atLeast"/>
        </w:trPr>
        <w:tc>
          <w:tcPr>
            <w:tcW w:w="169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B6EFA91">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2B8F6C70">
            <w:pPr>
              <w:widowControl/>
              <w:jc w:val="center"/>
              <w:rPr>
                <w:rFonts w:ascii="Times New Roman" w:hAnsi="Times New Roman" w:cs="Times New Roman"/>
                <w:kern w:val="0"/>
                <w:szCs w:val="21"/>
              </w:rPr>
            </w:pPr>
            <w:r>
              <w:rPr>
                <w:rFonts w:ascii="Times New Roman" w:hAnsi="Times New Roman" w:cs="Times New Roman"/>
                <w:kern w:val="0"/>
                <w:szCs w:val="21"/>
              </w:rPr>
              <w:t>目标1</w:t>
            </w:r>
          </w:p>
        </w:tc>
        <w:tc>
          <w:tcPr>
            <w:tcW w:w="945" w:type="dxa"/>
            <w:tcBorders>
              <w:top w:val="nil"/>
              <w:left w:val="nil"/>
              <w:bottom w:val="single" w:color="auto" w:sz="4" w:space="0"/>
              <w:right w:val="single" w:color="auto" w:sz="4" w:space="0"/>
            </w:tcBorders>
            <w:shd w:val="clear" w:color="auto" w:fill="FFFFFF"/>
            <w:vAlign w:val="center"/>
          </w:tcPr>
          <w:p w14:paraId="383FBD69">
            <w:pPr>
              <w:widowControl/>
              <w:jc w:val="center"/>
              <w:rPr>
                <w:rFonts w:ascii="Times New Roman" w:hAnsi="Times New Roman" w:cs="Times New Roman"/>
                <w:kern w:val="0"/>
                <w:szCs w:val="21"/>
              </w:rPr>
            </w:pPr>
            <w:r>
              <w:rPr>
                <w:rFonts w:ascii="Times New Roman" w:hAnsi="Times New Roman" w:cs="Times New Roman"/>
                <w:kern w:val="0"/>
                <w:szCs w:val="21"/>
              </w:rPr>
              <w:t>目标2</w:t>
            </w:r>
          </w:p>
        </w:tc>
        <w:tc>
          <w:tcPr>
            <w:tcW w:w="945" w:type="dxa"/>
            <w:tcBorders>
              <w:top w:val="nil"/>
              <w:left w:val="nil"/>
              <w:bottom w:val="single" w:color="auto" w:sz="4" w:space="0"/>
              <w:right w:val="single" w:color="auto" w:sz="4" w:space="0"/>
            </w:tcBorders>
            <w:shd w:val="clear" w:color="auto" w:fill="FFFFFF"/>
            <w:vAlign w:val="center"/>
          </w:tcPr>
          <w:p w14:paraId="00522BE2">
            <w:pPr>
              <w:widowControl/>
              <w:jc w:val="center"/>
              <w:rPr>
                <w:rFonts w:ascii="Times New Roman" w:hAnsi="Times New Roman" w:cs="Times New Roman"/>
                <w:kern w:val="0"/>
                <w:szCs w:val="21"/>
              </w:rPr>
            </w:pPr>
            <w:r>
              <w:rPr>
                <w:rFonts w:ascii="Times New Roman" w:hAnsi="Times New Roman" w:cs="Times New Roman"/>
                <w:kern w:val="0"/>
                <w:szCs w:val="21"/>
              </w:rPr>
              <w:t>目标3</w:t>
            </w:r>
          </w:p>
        </w:tc>
        <w:tc>
          <w:tcPr>
            <w:tcW w:w="945" w:type="dxa"/>
            <w:tcBorders>
              <w:top w:val="nil"/>
              <w:left w:val="nil"/>
              <w:bottom w:val="single" w:color="auto" w:sz="4" w:space="0"/>
              <w:right w:val="single" w:color="auto" w:sz="4" w:space="0"/>
            </w:tcBorders>
            <w:shd w:val="clear" w:color="auto" w:fill="FFFFFF"/>
            <w:vAlign w:val="center"/>
          </w:tcPr>
          <w:p w14:paraId="6B6A1C32">
            <w:pPr>
              <w:widowControl/>
              <w:jc w:val="center"/>
              <w:rPr>
                <w:rFonts w:ascii="Times New Roman" w:hAnsi="Times New Roman" w:cs="Times New Roman"/>
                <w:kern w:val="0"/>
                <w:szCs w:val="21"/>
              </w:rPr>
            </w:pPr>
            <w:r>
              <w:rPr>
                <w:rFonts w:ascii="Times New Roman" w:hAnsi="Times New Roman" w:cs="Times New Roman"/>
                <w:kern w:val="0"/>
                <w:szCs w:val="21"/>
              </w:rPr>
              <w:t>目标4</w:t>
            </w:r>
          </w:p>
        </w:tc>
        <w:tc>
          <w:tcPr>
            <w:tcW w:w="945" w:type="dxa"/>
            <w:tcBorders>
              <w:top w:val="nil"/>
              <w:left w:val="nil"/>
              <w:bottom w:val="single" w:color="auto" w:sz="4" w:space="0"/>
              <w:right w:val="single" w:color="auto" w:sz="4" w:space="0"/>
            </w:tcBorders>
            <w:shd w:val="clear" w:color="auto" w:fill="FFFFFF"/>
            <w:vAlign w:val="center"/>
          </w:tcPr>
          <w:p w14:paraId="60C8929D">
            <w:pPr>
              <w:widowControl/>
              <w:jc w:val="center"/>
              <w:rPr>
                <w:rFonts w:ascii="Times New Roman" w:hAnsi="Times New Roman" w:cs="Times New Roman"/>
                <w:kern w:val="0"/>
                <w:szCs w:val="21"/>
              </w:rPr>
            </w:pPr>
            <w:r>
              <w:rPr>
                <w:rFonts w:ascii="Times New Roman" w:hAnsi="Times New Roman" w:cs="Times New Roman"/>
                <w:kern w:val="0"/>
                <w:szCs w:val="21"/>
              </w:rPr>
              <w:t>目标5</w:t>
            </w:r>
          </w:p>
        </w:tc>
        <w:tc>
          <w:tcPr>
            <w:tcW w:w="945" w:type="dxa"/>
            <w:tcBorders>
              <w:top w:val="nil"/>
              <w:left w:val="nil"/>
              <w:bottom w:val="single" w:color="auto" w:sz="4" w:space="0"/>
              <w:right w:val="single" w:color="auto" w:sz="4" w:space="0"/>
            </w:tcBorders>
            <w:shd w:val="clear" w:color="auto" w:fill="FFFFFF"/>
            <w:vAlign w:val="center"/>
          </w:tcPr>
          <w:p w14:paraId="09AD8135">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60427E82">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71FC1A2A">
            <w:pPr>
              <w:widowControl/>
              <w:jc w:val="center"/>
              <w:rPr>
                <w:rFonts w:ascii="Times New Roman" w:hAnsi="Times New Roman" w:cs="Times New Roman"/>
                <w:kern w:val="0"/>
                <w:szCs w:val="21"/>
              </w:rPr>
            </w:pPr>
          </w:p>
        </w:tc>
      </w:tr>
      <w:tr w14:paraId="00EBFEEF">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502363AF">
            <w:pPr>
              <w:widowControl/>
              <w:jc w:val="center"/>
              <w:rPr>
                <w:rFonts w:ascii="Times New Roman" w:hAnsi="Times New Roman" w:cs="Times New Roman"/>
                <w:kern w:val="0"/>
                <w:szCs w:val="21"/>
              </w:rPr>
            </w:pPr>
            <w:r>
              <w:rPr>
                <w:rFonts w:ascii="Times New Roman" w:hAnsi="Times New Roman" w:cs="Times New Roman"/>
                <w:kern w:val="0"/>
                <w:szCs w:val="21"/>
              </w:rPr>
              <w:t>毕业要求</w:t>
            </w:r>
            <w:r>
              <w:rPr>
                <w:rFonts w:ascii="Times New Roman" w:hAnsi="Times New Roman" w:cs="Times New Roman"/>
                <w:szCs w:val="21"/>
              </w:rPr>
              <w:t>3-1</w:t>
            </w:r>
          </w:p>
        </w:tc>
        <w:tc>
          <w:tcPr>
            <w:tcW w:w="945" w:type="dxa"/>
            <w:tcBorders>
              <w:top w:val="nil"/>
              <w:left w:val="nil"/>
              <w:bottom w:val="single" w:color="auto" w:sz="4" w:space="0"/>
              <w:right w:val="single" w:color="auto" w:sz="4" w:space="0"/>
            </w:tcBorders>
            <w:vAlign w:val="center"/>
          </w:tcPr>
          <w:p w14:paraId="78B40850">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2DAFD9CD">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4E436750">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945" w:type="dxa"/>
            <w:tcBorders>
              <w:top w:val="nil"/>
              <w:left w:val="nil"/>
              <w:bottom w:val="single" w:color="auto" w:sz="4" w:space="0"/>
              <w:right w:val="single" w:color="auto" w:sz="4" w:space="0"/>
            </w:tcBorders>
            <w:vAlign w:val="center"/>
          </w:tcPr>
          <w:p w14:paraId="0ADF39BD">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945" w:type="dxa"/>
            <w:tcBorders>
              <w:top w:val="nil"/>
              <w:left w:val="nil"/>
              <w:bottom w:val="single" w:color="auto" w:sz="4" w:space="0"/>
              <w:right w:val="single" w:color="auto" w:sz="4" w:space="0"/>
            </w:tcBorders>
            <w:vAlign w:val="center"/>
          </w:tcPr>
          <w:p w14:paraId="30B6BAB0">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945" w:type="dxa"/>
            <w:tcBorders>
              <w:top w:val="nil"/>
              <w:left w:val="nil"/>
              <w:bottom w:val="single" w:color="auto" w:sz="4" w:space="0"/>
              <w:right w:val="single" w:color="auto" w:sz="4" w:space="0"/>
            </w:tcBorders>
            <w:vAlign w:val="center"/>
          </w:tcPr>
          <w:p w14:paraId="6D24C029">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35ECD703">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5A015A24">
            <w:pPr>
              <w:widowControl/>
              <w:jc w:val="center"/>
              <w:rPr>
                <w:rFonts w:ascii="Times New Roman" w:hAnsi="Times New Roman" w:cs="Times New Roman"/>
                <w:kern w:val="0"/>
                <w:szCs w:val="21"/>
              </w:rPr>
            </w:pPr>
          </w:p>
        </w:tc>
      </w:tr>
      <w:tr w14:paraId="05903689">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789FC0DB">
            <w:pPr>
              <w:widowControl/>
              <w:jc w:val="center"/>
              <w:rPr>
                <w:rFonts w:ascii="Times New Roman" w:hAnsi="Times New Roman" w:cs="Times New Roman"/>
                <w:kern w:val="0"/>
                <w:szCs w:val="21"/>
              </w:rPr>
            </w:pPr>
            <w:r>
              <w:rPr>
                <w:rFonts w:ascii="Times New Roman" w:hAnsi="Times New Roman" w:cs="Times New Roman"/>
                <w:kern w:val="0"/>
                <w:szCs w:val="21"/>
              </w:rPr>
              <w:t>毕业要求</w:t>
            </w:r>
            <w:r>
              <w:rPr>
                <w:rFonts w:ascii="Times New Roman" w:hAnsi="Times New Roman" w:cs="Times New Roman"/>
                <w:szCs w:val="21"/>
              </w:rPr>
              <w:t>3-2</w:t>
            </w:r>
          </w:p>
        </w:tc>
        <w:tc>
          <w:tcPr>
            <w:tcW w:w="945" w:type="dxa"/>
            <w:tcBorders>
              <w:top w:val="nil"/>
              <w:left w:val="nil"/>
              <w:bottom w:val="single" w:color="auto" w:sz="4" w:space="0"/>
              <w:right w:val="single" w:color="auto" w:sz="4" w:space="0"/>
            </w:tcBorders>
            <w:vAlign w:val="center"/>
          </w:tcPr>
          <w:p w14:paraId="23B68DF1">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945" w:type="dxa"/>
            <w:tcBorders>
              <w:top w:val="nil"/>
              <w:left w:val="nil"/>
              <w:bottom w:val="single" w:color="auto" w:sz="4" w:space="0"/>
              <w:right w:val="single" w:color="auto" w:sz="4" w:space="0"/>
            </w:tcBorders>
            <w:vAlign w:val="center"/>
          </w:tcPr>
          <w:p w14:paraId="2D7029A6">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945" w:type="dxa"/>
            <w:tcBorders>
              <w:top w:val="nil"/>
              <w:left w:val="nil"/>
              <w:bottom w:val="single" w:color="auto" w:sz="4" w:space="0"/>
              <w:right w:val="single" w:color="auto" w:sz="4" w:space="0"/>
            </w:tcBorders>
            <w:vAlign w:val="center"/>
          </w:tcPr>
          <w:p w14:paraId="42FA89A4">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945" w:type="dxa"/>
            <w:tcBorders>
              <w:top w:val="nil"/>
              <w:left w:val="nil"/>
              <w:bottom w:val="single" w:color="auto" w:sz="4" w:space="0"/>
              <w:right w:val="single" w:color="auto" w:sz="4" w:space="0"/>
            </w:tcBorders>
            <w:vAlign w:val="center"/>
          </w:tcPr>
          <w:p w14:paraId="207F253B">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48C41B4E">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26585521">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25C6AC01">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51C1741C">
            <w:pPr>
              <w:widowControl/>
              <w:jc w:val="center"/>
              <w:rPr>
                <w:rFonts w:ascii="Times New Roman" w:hAnsi="Times New Roman" w:cs="Times New Roman"/>
                <w:kern w:val="0"/>
                <w:szCs w:val="21"/>
              </w:rPr>
            </w:pPr>
          </w:p>
        </w:tc>
      </w:tr>
      <w:tr w14:paraId="16A35387">
        <w:tblPrEx>
          <w:tblCellMar>
            <w:top w:w="0" w:type="dxa"/>
            <w:left w:w="108" w:type="dxa"/>
            <w:bottom w:w="0" w:type="dxa"/>
            <w:right w:w="108" w:type="dxa"/>
          </w:tblCellMar>
        </w:tblPrEx>
        <w:trPr>
          <w:trHeight w:val="470" w:hRule="atLeast"/>
        </w:trPr>
        <w:tc>
          <w:tcPr>
            <w:tcW w:w="1695" w:type="dxa"/>
            <w:tcBorders>
              <w:top w:val="nil"/>
              <w:left w:val="single" w:color="auto" w:sz="4" w:space="0"/>
              <w:bottom w:val="single" w:color="auto" w:sz="4" w:space="0"/>
              <w:right w:val="single" w:color="auto" w:sz="4" w:space="0"/>
            </w:tcBorders>
            <w:vAlign w:val="center"/>
          </w:tcPr>
          <w:p w14:paraId="0888C984">
            <w:pPr>
              <w:widowControl/>
              <w:jc w:val="center"/>
              <w:rPr>
                <w:rFonts w:ascii="Times New Roman" w:hAnsi="Times New Roman" w:cs="Times New Roman"/>
                <w:kern w:val="0"/>
                <w:szCs w:val="21"/>
              </w:rPr>
            </w:pPr>
            <w:r>
              <w:rPr>
                <w:rFonts w:ascii="Times New Roman" w:hAnsi="Times New Roman" w:cs="Times New Roman"/>
                <w:kern w:val="0"/>
                <w:szCs w:val="21"/>
              </w:rPr>
              <w:t>毕业要求</w:t>
            </w:r>
            <w:r>
              <w:rPr>
                <w:rFonts w:ascii="Times New Roman" w:hAnsi="Times New Roman" w:cs="Times New Roman"/>
                <w:szCs w:val="21"/>
              </w:rPr>
              <w:t>6-2</w:t>
            </w:r>
          </w:p>
        </w:tc>
        <w:tc>
          <w:tcPr>
            <w:tcW w:w="945" w:type="dxa"/>
            <w:tcBorders>
              <w:top w:val="nil"/>
              <w:left w:val="nil"/>
              <w:bottom w:val="single" w:color="auto" w:sz="4" w:space="0"/>
              <w:right w:val="single" w:color="auto" w:sz="4" w:space="0"/>
            </w:tcBorders>
            <w:vAlign w:val="center"/>
          </w:tcPr>
          <w:p w14:paraId="02A772B9">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6CE8C54C">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38E5E741">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66E56FB8">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0AFBCE26">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945" w:type="dxa"/>
            <w:tcBorders>
              <w:top w:val="nil"/>
              <w:left w:val="nil"/>
              <w:bottom w:val="single" w:color="auto" w:sz="4" w:space="0"/>
              <w:right w:val="single" w:color="auto" w:sz="4" w:space="0"/>
            </w:tcBorders>
            <w:vAlign w:val="center"/>
          </w:tcPr>
          <w:p w14:paraId="79203548">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63A9152C">
            <w:pPr>
              <w:widowControl/>
              <w:jc w:val="center"/>
              <w:rPr>
                <w:rFonts w:ascii="Times New Roman" w:hAnsi="Times New Roman" w:cs="Times New Roman"/>
                <w:kern w:val="0"/>
                <w:szCs w:val="21"/>
              </w:rPr>
            </w:pPr>
          </w:p>
        </w:tc>
        <w:tc>
          <w:tcPr>
            <w:tcW w:w="945" w:type="dxa"/>
            <w:tcBorders>
              <w:top w:val="nil"/>
              <w:left w:val="nil"/>
              <w:bottom w:val="single" w:color="auto" w:sz="4" w:space="0"/>
              <w:right w:val="single" w:color="auto" w:sz="4" w:space="0"/>
            </w:tcBorders>
            <w:vAlign w:val="center"/>
          </w:tcPr>
          <w:p w14:paraId="689E294D">
            <w:pPr>
              <w:widowControl/>
              <w:jc w:val="center"/>
              <w:rPr>
                <w:rFonts w:ascii="Times New Roman" w:hAnsi="Times New Roman" w:cs="Times New Roman"/>
                <w:kern w:val="0"/>
                <w:szCs w:val="21"/>
              </w:rPr>
            </w:pPr>
          </w:p>
        </w:tc>
      </w:tr>
    </w:tbl>
    <w:p w14:paraId="12C832BE">
      <w:pPr>
        <w:spacing w:line="360" w:lineRule="auto"/>
        <w:ind w:firstLine="562" w:firstLineChars="200"/>
        <w:rPr>
          <w:rFonts w:ascii="Times New Roman" w:hAnsi="Times New Roman" w:cs="Times New Roman"/>
          <w:b/>
          <w:sz w:val="28"/>
          <w:szCs w:val="28"/>
        </w:rPr>
      </w:pPr>
      <w:r>
        <w:rPr>
          <w:rFonts w:ascii="Times New Roman" w:hAnsi="Times New Roman" w:cs="Times New Roman"/>
          <w:b/>
          <w:sz w:val="28"/>
          <w:szCs w:val="28"/>
        </w:rPr>
        <w:t>三、课程内容及要求</w:t>
      </w:r>
    </w:p>
    <w:p w14:paraId="254F6E8E">
      <w:pPr>
        <w:spacing w:line="360" w:lineRule="auto"/>
        <w:ind w:firstLine="472" w:firstLineChars="196"/>
        <w:rPr>
          <w:rFonts w:ascii="Times New Roman" w:hAnsi="Times New Roman" w:cs="Times New Roman"/>
          <w:b/>
          <w:sz w:val="24"/>
        </w:rPr>
      </w:pPr>
      <w:r>
        <w:rPr>
          <w:rFonts w:ascii="Times New Roman" w:hAnsi="Times New Roman" w:cs="Times New Roman"/>
          <w:b/>
          <w:sz w:val="24"/>
        </w:rPr>
        <w:t>（一）线性方程组</w:t>
      </w:r>
    </w:p>
    <w:p w14:paraId="7350F4A8">
      <w:pPr>
        <w:spacing w:line="360" w:lineRule="auto"/>
        <w:ind w:firstLine="480" w:firstLineChars="200"/>
        <w:rPr>
          <w:rFonts w:ascii="Times New Roman" w:hAnsi="Times New Roman" w:cs="Times New Roman"/>
          <w:sz w:val="24"/>
        </w:rPr>
      </w:pPr>
      <w:r>
        <w:rPr>
          <w:rFonts w:ascii="Times New Roman" w:hAnsi="Times New Roman" w:cs="Times New Roman"/>
          <w:sz w:val="24"/>
        </w:rPr>
        <w:t>1.教学内容</w:t>
      </w:r>
    </w:p>
    <w:p w14:paraId="03C6BE48">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（1）能够理解</w:t>
      </w:r>
      <w:r>
        <w:rPr>
          <w:rFonts w:ascii="Times New Roman" w:hAnsi="Times New Roman" w:cs="Times New Roman"/>
          <w:sz w:val="24"/>
        </w:rPr>
        <w:t>线性方程组与矩阵方程、向量方程的形式转化</w:t>
      </w:r>
    </w:p>
    <w:p w14:paraId="7A7E7D56">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（2）能够理解</w:t>
      </w:r>
      <w:r>
        <w:rPr>
          <w:rFonts w:ascii="Times New Roman" w:hAnsi="Times New Roman" w:cs="Times New Roman"/>
          <w:sz w:val="24"/>
        </w:rPr>
        <w:t>矩阵的初等行变换不改变线性方程组的解</w:t>
      </w:r>
    </w:p>
    <w:p w14:paraId="619B3A63">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（3）能够掌握</w:t>
      </w:r>
      <w:r>
        <w:rPr>
          <w:rFonts w:ascii="Times New Roman" w:hAnsi="Times New Roman" w:cs="Times New Roman"/>
          <w:sz w:val="24"/>
        </w:rPr>
        <w:t>消元法解线性方程组</w:t>
      </w:r>
    </w:p>
    <w:p w14:paraId="1B1BC268">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（4）能够掌握</w:t>
      </w:r>
      <w:r>
        <w:rPr>
          <w:rFonts w:ascii="Times New Roman" w:hAnsi="Times New Roman" w:cs="Times New Roman"/>
          <w:sz w:val="24"/>
        </w:rPr>
        <w:t>线性方程组有解的判别，解的个数的判别</w:t>
      </w:r>
    </w:p>
    <w:p w14:paraId="12FDCC7A">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（5）能够掌握</w:t>
      </w:r>
      <w:r>
        <w:rPr>
          <w:rFonts w:ascii="Times New Roman" w:hAnsi="Times New Roman" w:cs="Times New Roman"/>
          <w:sz w:val="24"/>
        </w:rPr>
        <w:t>齐次线性方程组解的结构理论，求基础解系及通解</w:t>
      </w:r>
    </w:p>
    <w:p w14:paraId="2D9A1CBE">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（6）能够掌握</w:t>
      </w:r>
      <w:r>
        <w:rPr>
          <w:rFonts w:ascii="Times New Roman" w:hAnsi="Times New Roman" w:cs="Times New Roman"/>
          <w:sz w:val="24"/>
        </w:rPr>
        <w:t>一般线性方程组解的结构理论，求基础解系及通解</w:t>
      </w:r>
    </w:p>
    <w:p w14:paraId="0C4D7640">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2.基本要求</w:t>
      </w:r>
    </w:p>
    <w:p w14:paraId="12BE24D5">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（1）重点与难点：</w:t>
      </w:r>
      <w:r>
        <w:rPr>
          <w:rFonts w:ascii="Times New Roman" w:hAnsi="Times New Roman" w:cs="Times New Roman"/>
          <w:sz w:val="24"/>
        </w:rPr>
        <w:t>线性方程组有解判别定理。求齐次、非齐次线性方程组的基础解系。</w:t>
      </w:r>
    </w:p>
    <w:p w14:paraId="2397BFF8">
      <w:pPr>
        <w:spacing w:line="360" w:lineRule="auto"/>
        <w:ind w:firstLine="480" w:firstLineChars="200"/>
        <w:rPr>
          <w:rFonts w:ascii="Times New Roman" w:hAnsi="Times New Roman" w:cs="Times New Roman"/>
          <w:color w:val="000000"/>
          <w:sz w:val="24"/>
        </w:rPr>
      </w:pPr>
      <w:r>
        <w:rPr>
          <w:rFonts w:ascii="Times New Roman" w:hAnsi="Times New Roman" w:cs="Times New Roman"/>
          <w:sz w:val="24"/>
        </w:rPr>
        <w:t>（2）教</w:t>
      </w:r>
      <w:r>
        <w:rPr>
          <w:rFonts w:ascii="Times New Roman" w:hAnsi="Times New Roman" w:cs="Times New Roman"/>
          <w:color w:val="000000"/>
          <w:sz w:val="24"/>
        </w:rPr>
        <w:t>学方法：启发式互动讲授结合多媒体辅助；适当课堂练习；及时了解学生的作业状况并对共同的问题作及时解答；安排好课后答疑。</w:t>
      </w:r>
    </w:p>
    <w:p w14:paraId="0FAC569A">
      <w:pPr>
        <w:spacing w:line="360" w:lineRule="auto"/>
        <w:ind w:firstLine="480" w:firstLineChars="200"/>
        <w:rPr>
          <w:rFonts w:ascii="Times New Roman" w:hAnsi="Times New Roman" w:cs="Times New Roman"/>
          <w:sz w:val="24"/>
        </w:rPr>
      </w:pPr>
      <w:r>
        <w:rPr>
          <w:rFonts w:ascii="Times New Roman" w:hAnsi="Times New Roman" w:cs="Times New Roman"/>
          <w:sz w:val="24"/>
        </w:rPr>
        <w:t>3.思政内容</w:t>
      </w:r>
    </w:p>
    <w:p w14:paraId="61830CB0">
      <w:pPr>
        <w:spacing w:line="360" w:lineRule="auto"/>
        <w:ind w:firstLine="480" w:firstLineChars="200"/>
        <w:rPr>
          <w:rFonts w:ascii="Times New Roman" w:hAnsi="Times New Roman" w:cs="Times New Roman"/>
          <w:color w:val="000000"/>
          <w:sz w:val="24"/>
        </w:rPr>
      </w:pPr>
      <w:r>
        <w:rPr>
          <w:rFonts w:ascii="Times New Roman" w:hAnsi="Times New Roman" w:cs="Times New Roman"/>
          <w:sz w:val="24"/>
        </w:rPr>
        <w:t>注重理论联系实际，尊重客观规律，树立社会主义核心价值观，增强专业素养，强调理论对实践的指导意义。</w:t>
      </w:r>
    </w:p>
    <w:p w14:paraId="7B8AA55C">
      <w:pPr>
        <w:spacing w:line="360" w:lineRule="auto"/>
        <w:ind w:firstLine="472" w:firstLineChars="196"/>
        <w:rPr>
          <w:rFonts w:ascii="Times New Roman" w:hAnsi="Times New Roman" w:cs="Times New Roman"/>
          <w:b/>
          <w:sz w:val="24"/>
        </w:rPr>
      </w:pPr>
      <w:r>
        <w:rPr>
          <w:rFonts w:ascii="Times New Roman" w:hAnsi="Times New Roman" w:cs="Times New Roman"/>
          <w:b/>
          <w:sz w:val="24"/>
        </w:rPr>
        <w:t>（二）线性变换</w:t>
      </w:r>
    </w:p>
    <w:p w14:paraId="10F6AA11">
      <w:pPr>
        <w:spacing w:line="360" w:lineRule="auto"/>
        <w:ind w:firstLine="480" w:firstLineChars="200"/>
        <w:rPr>
          <w:rFonts w:ascii="Times New Roman" w:hAnsi="Times New Roman" w:cs="Times New Roman"/>
          <w:sz w:val="24"/>
        </w:rPr>
      </w:pPr>
      <w:r>
        <w:rPr>
          <w:rFonts w:ascii="Times New Roman" w:hAnsi="Times New Roman" w:cs="Times New Roman"/>
          <w:sz w:val="24"/>
        </w:rPr>
        <w:t>1.教学内容</w:t>
      </w:r>
    </w:p>
    <w:p w14:paraId="61E71A87">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（1）能够理解</w:t>
      </w:r>
      <w:r>
        <w:rPr>
          <w:rFonts w:ascii="Times New Roman" w:hAnsi="Times New Roman" w:cs="Times New Roman"/>
          <w:sz w:val="24"/>
        </w:rPr>
        <w:t>线性变换的定义、运算及性质</w:t>
      </w:r>
    </w:p>
    <w:p w14:paraId="79F18A67">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（2）能够理解</w:t>
      </w:r>
      <w:r>
        <w:rPr>
          <w:rFonts w:ascii="Times New Roman" w:hAnsi="Times New Roman" w:cs="Times New Roman"/>
          <w:sz w:val="24"/>
        </w:rPr>
        <w:t>线性变换取定之后，空间的基底与矩阵的关系</w:t>
      </w:r>
    </w:p>
    <w:p w14:paraId="425777B2">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（3）能够理解</w:t>
      </w:r>
      <w:r>
        <w:rPr>
          <w:rFonts w:ascii="Times New Roman" w:hAnsi="Times New Roman" w:cs="Times New Roman"/>
          <w:sz w:val="24"/>
        </w:rPr>
        <w:t>相似矩阵，相似变换的定义</w:t>
      </w:r>
    </w:p>
    <w:p w14:paraId="3097BF42">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（4）能够掌握</w:t>
      </w:r>
      <w:r>
        <w:rPr>
          <w:rFonts w:ascii="Times New Roman" w:hAnsi="Times New Roman" w:cs="Times New Roman"/>
          <w:sz w:val="24"/>
        </w:rPr>
        <w:t>矩阵的特征根、特征向量的定义及求法</w:t>
      </w:r>
    </w:p>
    <w:p w14:paraId="4891076A">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（5）能够掌握</w:t>
      </w:r>
      <w:r>
        <w:rPr>
          <w:rFonts w:ascii="Times New Roman" w:hAnsi="Times New Roman" w:cs="Times New Roman"/>
          <w:sz w:val="24"/>
        </w:rPr>
        <w:t>矩阵对角化的条件及有关结论</w:t>
      </w:r>
    </w:p>
    <w:p w14:paraId="7ED64F70">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2.基本要求</w:t>
      </w:r>
    </w:p>
    <w:p w14:paraId="7EB26508">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（1）重点与难点：</w:t>
      </w:r>
      <w:r>
        <w:rPr>
          <w:rFonts w:ascii="Times New Roman" w:hAnsi="Times New Roman" w:cs="Times New Roman"/>
          <w:sz w:val="24"/>
        </w:rPr>
        <w:t>矩阵可对角化的充要条件以及矩阵的对角化</w:t>
      </w:r>
      <w:r>
        <w:rPr>
          <w:rFonts w:ascii="Times New Roman" w:hAnsi="Times New Roman" w:cs="Times New Roman"/>
          <w:color w:val="000000"/>
          <w:sz w:val="24"/>
        </w:rPr>
        <w:t>。</w:t>
      </w:r>
    </w:p>
    <w:p w14:paraId="1CDAF319">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（2）教学方法：启发式互动讲授结合多媒体辅助；适当课堂练习；及时了解学生的作业状况并对共同的问题作及时解答；安排好课后答疑。</w:t>
      </w:r>
    </w:p>
    <w:p w14:paraId="16ACBE0E">
      <w:pPr>
        <w:spacing w:line="360" w:lineRule="auto"/>
        <w:ind w:firstLine="480" w:firstLineChars="200"/>
        <w:rPr>
          <w:rFonts w:ascii="Times New Roman" w:hAnsi="Times New Roman" w:cs="Times New Roman"/>
          <w:sz w:val="24"/>
        </w:rPr>
      </w:pPr>
      <w:r>
        <w:rPr>
          <w:rFonts w:ascii="Times New Roman" w:hAnsi="Times New Roman" w:cs="Times New Roman"/>
          <w:sz w:val="24"/>
        </w:rPr>
        <w:t>3.思政内容</w:t>
      </w:r>
    </w:p>
    <w:p w14:paraId="7C03ECDC">
      <w:pPr>
        <w:spacing w:line="360" w:lineRule="auto"/>
        <w:ind w:firstLine="480" w:firstLineChars="200"/>
        <w:rPr>
          <w:rFonts w:ascii="Times New Roman" w:hAnsi="Times New Roman" w:cs="Times New Roman"/>
          <w:color w:val="000000"/>
          <w:sz w:val="24"/>
        </w:rPr>
      </w:pPr>
      <w:r>
        <w:rPr>
          <w:rFonts w:ascii="Times New Roman" w:hAnsi="Times New Roman" w:cs="Times New Roman"/>
          <w:sz w:val="24"/>
        </w:rPr>
        <w:t>注重理论联系实际，尊重客观规律，树立社会主义核心价值观，增强专业素养，强调理论对实践的指导意义。</w:t>
      </w:r>
    </w:p>
    <w:p w14:paraId="3DA2A297">
      <w:pPr>
        <w:spacing w:line="360" w:lineRule="auto"/>
        <w:ind w:firstLine="472" w:firstLineChars="196"/>
        <w:rPr>
          <w:rFonts w:ascii="Times New Roman" w:hAnsi="Times New Roman" w:cs="Times New Roman"/>
          <w:b/>
          <w:color w:val="000000"/>
          <w:sz w:val="24"/>
        </w:rPr>
      </w:pPr>
      <w:r>
        <w:rPr>
          <w:rFonts w:ascii="Times New Roman" w:hAnsi="Times New Roman" w:cs="Times New Roman"/>
          <w:b/>
          <w:color w:val="000000"/>
          <w:sz w:val="24"/>
        </w:rPr>
        <w:t>（三）</w:t>
      </w:r>
      <w:r>
        <w:rPr>
          <w:rFonts w:ascii="Times New Roman" w:hAnsi="Times New Roman" w:cs="Times New Roman"/>
          <w:b/>
          <w:sz w:val="24"/>
        </w:rPr>
        <w:t>欧几里德空间</w:t>
      </w:r>
    </w:p>
    <w:p w14:paraId="23445FA3">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1.教学内容</w:t>
      </w:r>
    </w:p>
    <w:p w14:paraId="1115AF75">
      <w:pPr>
        <w:spacing w:line="360" w:lineRule="auto"/>
        <w:ind w:firstLine="480" w:firstLineChars="200"/>
        <w:rPr>
          <w:rFonts w:ascii="Times New Roman" w:hAnsi="Times New Roman" w:cs="Times New Roman"/>
          <w:sz w:val="24"/>
        </w:rPr>
      </w:pPr>
      <w:r>
        <w:rPr>
          <w:rFonts w:ascii="Times New Roman" w:hAnsi="Times New Roman" w:cs="Times New Roman"/>
          <w:color w:val="000000"/>
          <w:sz w:val="24"/>
        </w:rPr>
        <w:t>（1）能够理解</w:t>
      </w:r>
      <w:r>
        <w:rPr>
          <w:rFonts w:ascii="Times New Roman" w:hAnsi="Times New Roman" w:cs="Times New Roman"/>
          <w:sz w:val="24"/>
        </w:rPr>
        <w:t>内积的定义及性质，向量长度，夹角，距离的定义及计算公式</w:t>
      </w:r>
    </w:p>
    <w:p w14:paraId="07F8DAAC">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（2）能够理解</w:t>
      </w:r>
      <w:r>
        <w:rPr>
          <w:rFonts w:ascii="Times New Roman" w:hAnsi="Times New Roman" w:cs="Times New Roman"/>
          <w:sz w:val="24"/>
        </w:rPr>
        <w:t>向量正交的定义，单位向量的定义</w:t>
      </w:r>
    </w:p>
    <w:p w14:paraId="70E9B0AE">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（3）能够理解</w:t>
      </w:r>
      <w:r>
        <w:rPr>
          <w:rFonts w:ascii="Times New Roman" w:hAnsi="Times New Roman" w:cs="Times New Roman"/>
          <w:sz w:val="24"/>
        </w:rPr>
        <w:t>向量单位化的方法</w:t>
      </w:r>
    </w:p>
    <w:p w14:paraId="502BE5E4">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（4）能够理解</w:t>
      </w:r>
      <w:r>
        <w:rPr>
          <w:rFonts w:ascii="Times New Roman" w:hAnsi="Times New Roman" w:cs="Times New Roman"/>
          <w:sz w:val="24"/>
        </w:rPr>
        <w:t>向量组正交与线性无关的关系</w:t>
      </w:r>
    </w:p>
    <w:p w14:paraId="3F1F3E36">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（5）能够理解</w:t>
      </w:r>
      <w:r>
        <w:rPr>
          <w:rFonts w:ascii="Times New Roman" w:hAnsi="Times New Roman" w:cs="Times New Roman"/>
          <w:sz w:val="24"/>
        </w:rPr>
        <w:t>标准正交基的定义及等价命题</w:t>
      </w:r>
    </w:p>
    <w:p w14:paraId="2CA2640D">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（6）能够掌握</w:t>
      </w:r>
      <w:r>
        <w:rPr>
          <w:rFonts w:ascii="Times New Roman" w:hAnsi="Times New Roman" w:cs="Times New Roman"/>
          <w:sz w:val="24"/>
        </w:rPr>
        <w:t>线性无关向量组正交化，单位化的方法</w:t>
      </w:r>
    </w:p>
    <w:p w14:paraId="6CE516AB">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（7）能够掌握</w:t>
      </w:r>
      <w:r>
        <w:rPr>
          <w:rFonts w:ascii="Times New Roman" w:hAnsi="Times New Roman" w:cs="Times New Roman"/>
          <w:sz w:val="24"/>
        </w:rPr>
        <w:t>子空间正交的定义及子空间的正交补的定义</w:t>
      </w:r>
    </w:p>
    <w:p w14:paraId="2BA3970F">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（8）能够掌握</w:t>
      </w:r>
      <w:r>
        <w:rPr>
          <w:rFonts w:ascii="Times New Roman" w:hAnsi="Times New Roman" w:cs="Times New Roman"/>
          <w:sz w:val="24"/>
        </w:rPr>
        <w:t>把欧氏空间的任一单位正交向量组扩充为空间的标准正交基</w:t>
      </w:r>
    </w:p>
    <w:p w14:paraId="3DE6D485">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（9）能够理解</w:t>
      </w:r>
      <w:r>
        <w:rPr>
          <w:rFonts w:ascii="Times New Roman" w:hAnsi="Times New Roman" w:cs="Times New Roman"/>
          <w:sz w:val="24"/>
        </w:rPr>
        <w:t>正交变换的定义及等价命题</w:t>
      </w:r>
    </w:p>
    <w:p w14:paraId="5B73C363">
      <w:pPr>
        <w:spacing w:line="360" w:lineRule="auto"/>
        <w:ind w:firstLine="480" w:firstLineChars="200"/>
        <w:rPr>
          <w:rFonts w:ascii="Times New Roman" w:hAnsi="Times New Roman" w:cs="Times New Roman"/>
          <w:sz w:val="24"/>
        </w:rPr>
      </w:pPr>
      <w:r>
        <w:rPr>
          <w:rFonts w:ascii="Times New Roman" w:hAnsi="Times New Roman" w:cs="Times New Roman"/>
          <w:color w:val="000000"/>
          <w:sz w:val="24"/>
        </w:rPr>
        <w:t>（10）能够理解</w:t>
      </w:r>
      <w:r>
        <w:rPr>
          <w:rFonts w:ascii="Times New Roman" w:hAnsi="Times New Roman" w:cs="Times New Roman"/>
          <w:sz w:val="24"/>
        </w:rPr>
        <w:t>对称变换的定义及等价命题</w:t>
      </w:r>
    </w:p>
    <w:p w14:paraId="031B9B57">
      <w:pPr>
        <w:spacing w:line="360" w:lineRule="auto"/>
        <w:ind w:firstLine="480" w:firstLineChars="200"/>
        <w:rPr>
          <w:rFonts w:ascii="Times New Roman" w:hAnsi="Times New Roman" w:cs="Times New Roman"/>
          <w:b/>
          <w:color w:val="000000"/>
          <w:sz w:val="24"/>
        </w:rPr>
      </w:pPr>
      <w:r>
        <w:rPr>
          <w:rFonts w:ascii="Times New Roman" w:hAnsi="Times New Roman" w:cs="Times New Roman"/>
          <w:color w:val="000000"/>
          <w:sz w:val="24"/>
        </w:rPr>
        <w:t>（11）能够掌握</w:t>
      </w:r>
      <w:r>
        <w:rPr>
          <w:rFonts w:ascii="Times New Roman" w:hAnsi="Times New Roman" w:cs="Times New Roman"/>
          <w:sz w:val="24"/>
        </w:rPr>
        <w:t>化实对称阵为对角形矩阵</w:t>
      </w:r>
    </w:p>
    <w:p w14:paraId="5522FB12">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2.基本要求</w:t>
      </w:r>
    </w:p>
    <w:p w14:paraId="3A06D0A9">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（1）重点与难点：</w:t>
      </w:r>
      <w:r>
        <w:rPr>
          <w:rFonts w:ascii="Times New Roman" w:hAnsi="Times New Roman" w:cs="Times New Roman"/>
          <w:sz w:val="24"/>
        </w:rPr>
        <w:t>正交变换与对称变换，化实对称阵为对角形矩阵</w:t>
      </w:r>
      <w:r>
        <w:rPr>
          <w:rFonts w:ascii="Times New Roman" w:hAnsi="Times New Roman" w:cs="Times New Roman"/>
          <w:color w:val="000000"/>
          <w:sz w:val="24"/>
        </w:rPr>
        <w:t>。</w:t>
      </w:r>
    </w:p>
    <w:p w14:paraId="327FBC30">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（2）教学方法：启发式互动讲授结合多媒体辅助；适当课堂练习；及时了解学生的作业状况并对共同的问题作及时解答；安排好课后答疑。</w:t>
      </w:r>
    </w:p>
    <w:p w14:paraId="69633A47">
      <w:pPr>
        <w:spacing w:line="360" w:lineRule="auto"/>
        <w:ind w:firstLine="480" w:firstLineChars="200"/>
        <w:rPr>
          <w:rFonts w:ascii="Times New Roman" w:hAnsi="Times New Roman" w:cs="Times New Roman"/>
          <w:sz w:val="24"/>
        </w:rPr>
      </w:pPr>
      <w:r>
        <w:rPr>
          <w:rFonts w:ascii="Times New Roman" w:hAnsi="Times New Roman" w:cs="Times New Roman"/>
          <w:sz w:val="24"/>
        </w:rPr>
        <w:t>3.思政内容</w:t>
      </w:r>
    </w:p>
    <w:p w14:paraId="1EBFA284">
      <w:pPr>
        <w:spacing w:line="360" w:lineRule="auto"/>
        <w:ind w:firstLine="480" w:firstLineChars="200"/>
        <w:rPr>
          <w:rFonts w:ascii="Times New Roman" w:hAnsi="Times New Roman" w:cs="Times New Roman"/>
          <w:color w:val="000000"/>
          <w:sz w:val="24"/>
        </w:rPr>
      </w:pPr>
      <w:r>
        <w:rPr>
          <w:rFonts w:ascii="Times New Roman" w:hAnsi="Times New Roman" w:cs="Times New Roman"/>
          <w:sz w:val="24"/>
        </w:rPr>
        <w:t>注重理论联系实际，尊重客观规律，树立社会主义核心价值观，增强专业素养，强调理论对实践的指导意义。</w:t>
      </w:r>
    </w:p>
    <w:p w14:paraId="38CA6AEF">
      <w:pPr>
        <w:spacing w:line="360" w:lineRule="auto"/>
        <w:ind w:firstLine="472" w:firstLineChars="196"/>
        <w:rPr>
          <w:rFonts w:ascii="Times New Roman" w:hAnsi="Times New Roman" w:cs="Times New Roman"/>
          <w:b/>
          <w:color w:val="000000"/>
          <w:sz w:val="24"/>
        </w:rPr>
      </w:pPr>
      <w:r>
        <w:rPr>
          <w:rFonts w:ascii="Times New Roman" w:hAnsi="Times New Roman" w:cs="Times New Roman"/>
          <w:b/>
          <w:color w:val="000000"/>
          <w:sz w:val="24"/>
        </w:rPr>
        <w:t>（四）</w:t>
      </w:r>
      <w:r>
        <w:rPr>
          <w:rFonts w:ascii="Times New Roman" w:hAnsi="Times New Roman" w:cs="Times New Roman"/>
          <w:b/>
          <w:sz w:val="24"/>
        </w:rPr>
        <w:t>二次型</w:t>
      </w:r>
    </w:p>
    <w:p w14:paraId="48752984">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1.教学内容</w:t>
      </w:r>
    </w:p>
    <w:p w14:paraId="51C68CDC">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（1）能够理解</w:t>
      </w:r>
      <w:r>
        <w:rPr>
          <w:rFonts w:ascii="Times New Roman" w:hAnsi="Times New Roman" w:cs="Times New Roman"/>
          <w:sz w:val="24"/>
        </w:rPr>
        <w:t>二次型的定义及矩阵形式</w:t>
      </w:r>
    </w:p>
    <w:p w14:paraId="4916C0F1">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（2）能够理解</w:t>
      </w:r>
      <w:r>
        <w:rPr>
          <w:rFonts w:ascii="Times New Roman" w:hAnsi="Times New Roman" w:cs="Times New Roman"/>
          <w:sz w:val="24"/>
        </w:rPr>
        <w:t>非退化线性替换的定义</w:t>
      </w:r>
    </w:p>
    <w:p w14:paraId="08F4C268">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（3）能够理解</w:t>
      </w:r>
      <w:r>
        <w:rPr>
          <w:rFonts w:ascii="Times New Roman" w:hAnsi="Times New Roman" w:cs="Times New Roman"/>
          <w:sz w:val="24"/>
        </w:rPr>
        <w:t>矩阵合同的定义</w:t>
      </w:r>
    </w:p>
    <w:p w14:paraId="30D2D5FE">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（4）能够掌握</w:t>
      </w:r>
      <w:r>
        <w:rPr>
          <w:rFonts w:ascii="Times New Roman" w:hAnsi="Times New Roman" w:cs="Times New Roman"/>
          <w:sz w:val="24"/>
        </w:rPr>
        <w:t>化二次型为标准型、规范形</w:t>
      </w:r>
    </w:p>
    <w:p w14:paraId="23682C52">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（5）能够掌握</w:t>
      </w:r>
      <w:r>
        <w:rPr>
          <w:rFonts w:ascii="Times New Roman" w:hAnsi="Times New Roman" w:cs="Times New Roman"/>
          <w:sz w:val="24"/>
        </w:rPr>
        <w:t>复二次型、实二次型的规范形的表达式</w:t>
      </w:r>
    </w:p>
    <w:p w14:paraId="6E78FE5B">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（6）能够理解</w:t>
      </w:r>
      <w:r>
        <w:rPr>
          <w:rFonts w:ascii="Times New Roman" w:hAnsi="Times New Roman" w:cs="Times New Roman"/>
          <w:sz w:val="24"/>
        </w:rPr>
        <w:t>正定二次型（正定阵）的定义及等价命题</w:t>
      </w:r>
    </w:p>
    <w:p w14:paraId="32C2EE95">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2.基本要求</w:t>
      </w:r>
    </w:p>
    <w:p w14:paraId="7B4797FA">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（1）重点与难点：</w:t>
      </w:r>
      <w:r>
        <w:rPr>
          <w:rFonts w:ascii="Times New Roman" w:hAnsi="Times New Roman" w:cs="Times New Roman"/>
          <w:sz w:val="24"/>
        </w:rPr>
        <w:t>化二次型为标准形</w:t>
      </w:r>
      <w:r>
        <w:rPr>
          <w:rFonts w:ascii="Times New Roman" w:hAnsi="Times New Roman" w:cs="Times New Roman"/>
          <w:color w:val="000000"/>
          <w:sz w:val="24"/>
        </w:rPr>
        <w:t>。</w:t>
      </w:r>
    </w:p>
    <w:p w14:paraId="049E4776">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（2）教学方法：启发式互动讲授结合多媒体辅助；适当课堂练习；及时了解学生的作业状况并对共同的问题作及时解答；安排好课后答疑。</w:t>
      </w:r>
    </w:p>
    <w:p w14:paraId="4728343C">
      <w:pPr>
        <w:spacing w:line="360" w:lineRule="auto"/>
        <w:ind w:firstLine="480" w:firstLineChars="200"/>
        <w:rPr>
          <w:rFonts w:ascii="Times New Roman" w:hAnsi="Times New Roman" w:cs="Times New Roman"/>
          <w:sz w:val="24"/>
        </w:rPr>
      </w:pPr>
      <w:r>
        <w:rPr>
          <w:rFonts w:ascii="Times New Roman" w:hAnsi="Times New Roman" w:cs="Times New Roman"/>
          <w:sz w:val="24"/>
        </w:rPr>
        <w:t>3.思政内容</w:t>
      </w:r>
    </w:p>
    <w:p w14:paraId="6C68CEBD">
      <w:pPr>
        <w:spacing w:line="360" w:lineRule="auto"/>
        <w:ind w:firstLine="480" w:firstLineChars="200"/>
        <w:rPr>
          <w:rFonts w:ascii="Times New Roman" w:hAnsi="Times New Roman" w:cs="Times New Roman"/>
          <w:color w:val="000000"/>
          <w:sz w:val="24"/>
        </w:rPr>
      </w:pPr>
      <w:r>
        <w:rPr>
          <w:rFonts w:ascii="Times New Roman" w:hAnsi="Times New Roman" w:cs="Times New Roman"/>
          <w:sz w:val="24"/>
        </w:rPr>
        <w:t>注重理论联系实际，尊重客观规律，树立社会主义核心价值观，增强专业素养，强调理论对实践的指导意义。</w:t>
      </w:r>
    </w:p>
    <w:p w14:paraId="0BD02CE9">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教学内容与课程目标的对应关系及学时分配如表所示。</w:t>
      </w:r>
    </w:p>
    <w:tbl>
      <w:tblPr>
        <w:tblStyle w:val="13"/>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64EC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4C57B10C">
            <w:pPr>
              <w:jc w:val="center"/>
              <w:rPr>
                <w:rFonts w:ascii="Times New Roman" w:hAnsi="Times New Roman" w:cs="Times New Roman"/>
                <w:color w:val="000000"/>
                <w:szCs w:val="21"/>
              </w:rPr>
            </w:pPr>
            <w:r>
              <w:rPr>
                <w:rFonts w:ascii="Times New Roman" w:hAnsi="Times New Roman" w:cs="Times New Roman"/>
                <w:color w:val="000000"/>
                <w:szCs w:val="21"/>
              </w:rPr>
              <w:t>序号</w:t>
            </w:r>
          </w:p>
        </w:tc>
        <w:tc>
          <w:tcPr>
            <w:tcW w:w="3476" w:type="dxa"/>
            <w:shd w:val="clear" w:color="auto" w:fill="FFFFFF"/>
            <w:vAlign w:val="center"/>
          </w:tcPr>
          <w:p w14:paraId="5B30015C">
            <w:pPr>
              <w:jc w:val="center"/>
              <w:rPr>
                <w:rFonts w:ascii="Times New Roman" w:hAnsi="Times New Roman" w:cs="Times New Roman"/>
                <w:color w:val="000000"/>
                <w:szCs w:val="21"/>
              </w:rPr>
            </w:pPr>
            <w:r>
              <w:rPr>
                <w:rFonts w:ascii="Times New Roman" w:hAnsi="Times New Roman" w:cs="Times New Roman"/>
                <w:color w:val="000000"/>
                <w:szCs w:val="21"/>
              </w:rPr>
              <w:t>教学内容</w:t>
            </w:r>
          </w:p>
        </w:tc>
        <w:tc>
          <w:tcPr>
            <w:tcW w:w="1701" w:type="dxa"/>
            <w:shd w:val="clear" w:color="auto" w:fill="FFFFFF"/>
            <w:vAlign w:val="center"/>
          </w:tcPr>
          <w:p w14:paraId="5BB104C1">
            <w:pPr>
              <w:jc w:val="center"/>
              <w:rPr>
                <w:rFonts w:ascii="Times New Roman" w:hAnsi="Times New Roman" w:cs="Times New Roman"/>
                <w:color w:val="000000"/>
                <w:szCs w:val="21"/>
              </w:rPr>
            </w:pPr>
            <w:r>
              <w:rPr>
                <w:rFonts w:ascii="Times New Roman" w:hAnsi="Times New Roman" w:cs="Times New Roman"/>
                <w:color w:val="000000"/>
                <w:szCs w:val="21"/>
              </w:rPr>
              <w:t>支撑的课程目标</w:t>
            </w:r>
          </w:p>
        </w:tc>
        <w:tc>
          <w:tcPr>
            <w:tcW w:w="1853" w:type="dxa"/>
            <w:shd w:val="clear" w:color="auto" w:fill="FFFFFF"/>
            <w:vAlign w:val="center"/>
          </w:tcPr>
          <w:p w14:paraId="31105441">
            <w:pPr>
              <w:jc w:val="center"/>
              <w:rPr>
                <w:rFonts w:ascii="Times New Roman" w:hAnsi="Times New Roman" w:cs="Times New Roman"/>
                <w:color w:val="000000"/>
                <w:szCs w:val="21"/>
              </w:rPr>
            </w:pPr>
            <w:r>
              <w:rPr>
                <w:rFonts w:ascii="Times New Roman" w:hAnsi="Times New Roman" w:cs="Times New Roman"/>
                <w:color w:val="000000"/>
                <w:szCs w:val="21"/>
              </w:rPr>
              <w:t>支撑的毕业要求</w:t>
            </w:r>
          </w:p>
          <w:p w14:paraId="5A7D09EB">
            <w:pPr>
              <w:jc w:val="center"/>
              <w:rPr>
                <w:rFonts w:ascii="Times New Roman" w:hAnsi="Times New Roman" w:cs="Times New Roman"/>
                <w:color w:val="000000"/>
                <w:szCs w:val="21"/>
              </w:rPr>
            </w:pPr>
            <w:r>
              <w:rPr>
                <w:rFonts w:ascii="Times New Roman" w:hAnsi="Times New Roman" w:cs="Times New Roman"/>
                <w:color w:val="000000"/>
                <w:szCs w:val="21"/>
              </w:rPr>
              <w:t>指标点</w:t>
            </w:r>
          </w:p>
        </w:tc>
        <w:tc>
          <w:tcPr>
            <w:tcW w:w="735" w:type="dxa"/>
            <w:shd w:val="clear" w:color="auto" w:fill="FFFFFF"/>
            <w:vAlign w:val="center"/>
          </w:tcPr>
          <w:p w14:paraId="09F26114">
            <w:pPr>
              <w:jc w:val="center"/>
              <w:rPr>
                <w:rFonts w:ascii="Times New Roman" w:hAnsi="Times New Roman" w:cs="Times New Roman"/>
                <w:color w:val="000000"/>
                <w:szCs w:val="21"/>
              </w:rPr>
            </w:pPr>
            <w:r>
              <w:rPr>
                <w:rFonts w:ascii="Times New Roman" w:hAnsi="Times New Roman" w:cs="Times New Roman"/>
                <w:color w:val="000000"/>
                <w:szCs w:val="21"/>
              </w:rPr>
              <w:t>讲授学时</w:t>
            </w:r>
          </w:p>
        </w:tc>
        <w:tc>
          <w:tcPr>
            <w:tcW w:w="735" w:type="dxa"/>
            <w:shd w:val="clear" w:color="auto" w:fill="FFFFFF"/>
            <w:vAlign w:val="center"/>
          </w:tcPr>
          <w:p w14:paraId="3282F48A">
            <w:pPr>
              <w:jc w:val="center"/>
              <w:rPr>
                <w:rFonts w:ascii="Times New Roman" w:hAnsi="Times New Roman" w:cs="Times New Roman"/>
                <w:color w:val="000000"/>
                <w:szCs w:val="21"/>
              </w:rPr>
            </w:pPr>
            <w:r>
              <w:rPr>
                <w:rFonts w:ascii="Times New Roman" w:hAnsi="Times New Roman" w:cs="Times New Roman"/>
                <w:color w:val="000000"/>
                <w:szCs w:val="21"/>
              </w:rPr>
              <w:t>实验学时</w:t>
            </w:r>
          </w:p>
        </w:tc>
      </w:tr>
      <w:tr w14:paraId="223F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FFE880E">
            <w:pPr>
              <w:jc w:val="center"/>
              <w:rPr>
                <w:rFonts w:ascii="Times New Roman" w:hAnsi="Times New Roman" w:cs="Times New Roman"/>
                <w:szCs w:val="21"/>
              </w:rPr>
            </w:pPr>
            <w:r>
              <w:rPr>
                <w:rFonts w:ascii="Times New Roman" w:hAnsi="Times New Roman" w:cs="Times New Roman"/>
                <w:szCs w:val="21"/>
              </w:rPr>
              <w:t>1</w:t>
            </w:r>
          </w:p>
        </w:tc>
        <w:tc>
          <w:tcPr>
            <w:tcW w:w="3476" w:type="dxa"/>
            <w:vAlign w:val="center"/>
          </w:tcPr>
          <w:p w14:paraId="72B66749">
            <w:pPr>
              <w:spacing w:line="276" w:lineRule="auto"/>
              <w:jc w:val="center"/>
              <w:rPr>
                <w:rFonts w:ascii="Times New Roman" w:hAnsi="Times New Roman" w:cs="Times New Roman"/>
                <w:szCs w:val="21"/>
              </w:rPr>
            </w:pPr>
            <w:r>
              <w:rPr>
                <w:rFonts w:ascii="Times New Roman" w:hAnsi="Times New Roman" w:cs="Times New Roman"/>
                <w:szCs w:val="21"/>
              </w:rPr>
              <w:t>线性方程组</w:t>
            </w:r>
          </w:p>
        </w:tc>
        <w:tc>
          <w:tcPr>
            <w:tcW w:w="1701" w:type="dxa"/>
            <w:vAlign w:val="center"/>
          </w:tcPr>
          <w:p w14:paraId="5AA5526E">
            <w:pPr>
              <w:spacing w:line="276" w:lineRule="auto"/>
              <w:jc w:val="center"/>
              <w:rPr>
                <w:rFonts w:ascii="Times New Roman" w:hAnsi="Times New Roman" w:cs="Times New Roman"/>
                <w:szCs w:val="21"/>
              </w:rPr>
            </w:pPr>
            <w:r>
              <w:rPr>
                <w:rFonts w:ascii="Times New Roman" w:hAnsi="Times New Roman" w:cs="Times New Roman"/>
                <w:szCs w:val="21"/>
              </w:rPr>
              <w:t>课程目标1-3</w:t>
            </w:r>
          </w:p>
        </w:tc>
        <w:tc>
          <w:tcPr>
            <w:tcW w:w="1853" w:type="dxa"/>
            <w:vAlign w:val="center"/>
          </w:tcPr>
          <w:p w14:paraId="135829FE">
            <w:pPr>
              <w:jc w:val="center"/>
              <w:rPr>
                <w:rFonts w:ascii="Times New Roman" w:hAnsi="Times New Roman" w:cs="Times New Roman"/>
                <w:szCs w:val="21"/>
              </w:rPr>
            </w:pPr>
            <w:r>
              <w:rPr>
                <w:rFonts w:ascii="Times New Roman" w:hAnsi="Times New Roman" w:cs="Times New Roman"/>
                <w:szCs w:val="21"/>
              </w:rPr>
              <w:t>6-2</w:t>
            </w:r>
          </w:p>
        </w:tc>
        <w:tc>
          <w:tcPr>
            <w:tcW w:w="735" w:type="dxa"/>
            <w:vAlign w:val="center"/>
          </w:tcPr>
          <w:p w14:paraId="384FBB8F">
            <w:pPr>
              <w:spacing w:line="276" w:lineRule="auto"/>
              <w:jc w:val="center"/>
              <w:rPr>
                <w:rFonts w:ascii="Times New Roman" w:hAnsi="Times New Roman" w:cs="Times New Roman"/>
                <w:szCs w:val="21"/>
              </w:rPr>
            </w:pPr>
            <w:r>
              <w:rPr>
                <w:rFonts w:ascii="Times New Roman" w:hAnsi="Times New Roman" w:cs="Times New Roman"/>
                <w:szCs w:val="21"/>
              </w:rPr>
              <w:t>16</w:t>
            </w:r>
          </w:p>
        </w:tc>
        <w:tc>
          <w:tcPr>
            <w:tcW w:w="735" w:type="dxa"/>
            <w:vAlign w:val="center"/>
          </w:tcPr>
          <w:p w14:paraId="65DB1EF6">
            <w:pPr>
              <w:jc w:val="center"/>
              <w:rPr>
                <w:rFonts w:ascii="Times New Roman" w:hAnsi="Times New Roman" w:cs="Times New Roman"/>
                <w:szCs w:val="21"/>
              </w:rPr>
            </w:pPr>
          </w:p>
        </w:tc>
      </w:tr>
      <w:tr w14:paraId="1BC5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A42A3E">
            <w:pPr>
              <w:jc w:val="center"/>
              <w:rPr>
                <w:rFonts w:ascii="Times New Roman" w:hAnsi="Times New Roman" w:cs="Times New Roman"/>
                <w:szCs w:val="21"/>
              </w:rPr>
            </w:pPr>
            <w:r>
              <w:rPr>
                <w:rFonts w:ascii="Times New Roman" w:hAnsi="Times New Roman" w:cs="Times New Roman"/>
                <w:szCs w:val="21"/>
              </w:rPr>
              <w:t>2</w:t>
            </w:r>
          </w:p>
        </w:tc>
        <w:tc>
          <w:tcPr>
            <w:tcW w:w="3476" w:type="dxa"/>
            <w:vAlign w:val="center"/>
          </w:tcPr>
          <w:p w14:paraId="1DF57D11">
            <w:pPr>
              <w:spacing w:line="276" w:lineRule="auto"/>
              <w:jc w:val="center"/>
              <w:rPr>
                <w:rFonts w:ascii="Times New Roman" w:hAnsi="Times New Roman" w:cs="Times New Roman"/>
                <w:szCs w:val="21"/>
              </w:rPr>
            </w:pPr>
            <w:r>
              <w:rPr>
                <w:rFonts w:ascii="Times New Roman" w:hAnsi="Times New Roman" w:cs="Times New Roman"/>
                <w:szCs w:val="21"/>
              </w:rPr>
              <w:t>线性变换</w:t>
            </w:r>
          </w:p>
        </w:tc>
        <w:tc>
          <w:tcPr>
            <w:tcW w:w="1701" w:type="dxa"/>
            <w:vAlign w:val="center"/>
          </w:tcPr>
          <w:p w14:paraId="6DCBC86B">
            <w:pPr>
              <w:spacing w:line="276" w:lineRule="auto"/>
              <w:jc w:val="center"/>
              <w:rPr>
                <w:rFonts w:ascii="Times New Roman" w:hAnsi="Times New Roman" w:cs="Times New Roman"/>
                <w:szCs w:val="21"/>
              </w:rPr>
            </w:pPr>
            <w:r>
              <w:rPr>
                <w:rFonts w:ascii="Times New Roman" w:hAnsi="Times New Roman" w:cs="Times New Roman"/>
                <w:szCs w:val="21"/>
              </w:rPr>
              <w:t>课程目标1-5</w:t>
            </w:r>
          </w:p>
        </w:tc>
        <w:tc>
          <w:tcPr>
            <w:tcW w:w="1853" w:type="dxa"/>
          </w:tcPr>
          <w:p w14:paraId="3DD4A982">
            <w:pPr>
              <w:jc w:val="center"/>
              <w:rPr>
                <w:rFonts w:ascii="Times New Roman" w:hAnsi="Times New Roman" w:cs="Times New Roman"/>
              </w:rPr>
            </w:pPr>
            <w:r>
              <w:rPr>
                <w:rFonts w:ascii="Times New Roman" w:hAnsi="Times New Roman" w:cs="Times New Roman"/>
                <w:szCs w:val="21"/>
              </w:rPr>
              <w:t>3-1</w:t>
            </w:r>
            <w:r>
              <w:rPr>
                <w:rFonts w:ascii="Times New Roman" w:hAnsi="Times New Roman" w:cs="Times New Roman"/>
                <w:color w:val="000000"/>
                <w:szCs w:val="21"/>
              </w:rPr>
              <w:t>、</w:t>
            </w:r>
            <w:r>
              <w:rPr>
                <w:rFonts w:ascii="Times New Roman" w:hAnsi="Times New Roman" w:cs="Times New Roman"/>
                <w:szCs w:val="21"/>
              </w:rPr>
              <w:t>3-2</w:t>
            </w:r>
          </w:p>
        </w:tc>
        <w:tc>
          <w:tcPr>
            <w:tcW w:w="735" w:type="dxa"/>
            <w:vAlign w:val="center"/>
          </w:tcPr>
          <w:p w14:paraId="2277A4CA">
            <w:pPr>
              <w:spacing w:line="276" w:lineRule="auto"/>
              <w:jc w:val="center"/>
              <w:rPr>
                <w:rFonts w:ascii="Times New Roman" w:hAnsi="Times New Roman" w:cs="Times New Roman"/>
                <w:szCs w:val="21"/>
              </w:rPr>
            </w:pPr>
            <w:r>
              <w:rPr>
                <w:rFonts w:ascii="Times New Roman" w:hAnsi="Times New Roman" w:cs="Times New Roman"/>
                <w:szCs w:val="21"/>
              </w:rPr>
              <w:t>16</w:t>
            </w:r>
          </w:p>
        </w:tc>
        <w:tc>
          <w:tcPr>
            <w:tcW w:w="735" w:type="dxa"/>
            <w:vAlign w:val="center"/>
          </w:tcPr>
          <w:p w14:paraId="62F99493">
            <w:pPr>
              <w:jc w:val="center"/>
              <w:rPr>
                <w:rFonts w:ascii="Times New Roman" w:hAnsi="Times New Roman" w:cs="Times New Roman"/>
                <w:szCs w:val="21"/>
              </w:rPr>
            </w:pPr>
          </w:p>
        </w:tc>
      </w:tr>
      <w:tr w14:paraId="2C50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3B2C5A">
            <w:pPr>
              <w:jc w:val="center"/>
              <w:rPr>
                <w:rFonts w:ascii="Times New Roman" w:hAnsi="Times New Roman" w:cs="Times New Roman"/>
                <w:szCs w:val="21"/>
              </w:rPr>
            </w:pPr>
            <w:r>
              <w:rPr>
                <w:rFonts w:ascii="Times New Roman" w:hAnsi="Times New Roman" w:cs="Times New Roman"/>
                <w:szCs w:val="21"/>
              </w:rPr>
              <w:t>3</w:t>
            </w:r>
          </w:p>
        </w:tc>
        <w:tc>
          <w:tcPr>
            <w:tcW w:w="3476" w:type="dxa"/>
            <w:vAlign w:val="center"/>
          </w:tcPr>
          <w:p w14:paraId="782120C7">
            <w:pPr>
              <w:spacing w:line="276" w:lineRule="auto"/>
              <w:jc w:val="center"/>
              <w:rPr>
                <w:rFonts w:ascii="Times New Roman" w:hAnsi="Times New Roman" w:cs="Times New Roman"/>
                <w:szCs w:val="21"/>
              </w:rPr>
            </w:pPr>
            <w:r>
              <w:rPr>
                <w:rFonts w:ascii="Times New Roman" w:hAnsi="Times New Roman" w:cs="Times New Roman"/>
                <w:szCs w:val="21"/>
              </w:rPr>
              <w:t>欧几里德空间</w:t>
            </w:r>
          </w:p>
        </w:tc>
        <w:tc>
          <w:tcPr>
            <w:tcW w:w="1701" w:type="dxa"/>
            <w:vAlign w:val="center"/>
          </w:tcPr>
          <w:p w14:paraId="29F37951">
            <w:pPr>
              <w:spacing w:line="276" w:lineRule="auto"/>
              <w:jc w:val="center"/>
              <w:rPr>
                <w:rFonts w:ascii="Times New Roman" w:hAnsi="Times New Roman" w:cs="Times New Roman"/>
                <w:szCs w:val="21"/>
              </w:rPr>
            </w:pPr>
            <w:r>
              <w:rPr>
                <w:rFonts w:ascii="Times New Roman" w:hAnsi="Times New Roman" w:cs="Times New Roman"/>
                <w:szCs w:val="21"/>
              </w:rPr>
              <w:t>课程目标1-5</w:t>
            </w:r>
          </w:p>
        </w:tc>
        <w:tc>
          <w:tcPr>
            <w:tcW w:w="1853" w:type="dxa"/>
          </w:tcPr>
          <w:p w14:paraId="7C81D830">
            <w:pPr>
              <w:jc w:val="center"/>
              <w:rPr>
                <w:rFonts w:ascii="Times New Roman" w:hAnsi="Times New Roman" w:cs="Times New Roman"/>
              </w:rPr>
            </w:pPr>
            <w:r>
              <w:rPr>
                <w:rFonts w:ascii="Times New Roman" w:hAnsi="Times New Roman" w:cs="Times New Roman"/>
                <w:szCs w:val="21"/>
              </w:rPr>
              <w:t>3-1</w:t>
            </w:r>
            <w:r>
              <w:rPr>
                <w:rFonts w:ascii="Times New Roman" w:hAnsi="Times New Roman" w:cs="Times New Roman"/>
                <w:color w:val="000000"/>
                <w:szCs w:val="21"/>
              </w:rPr>
              <w:t>、</w:t>
            </w:r>
            <w:r>
              <w:rPr>
                <w:rFonts w:ascii="Times New Roman" w:hAnsi="Times New Roman" w:cs="Times New Roman"/>
                <w:szCs w:val="21"/>
              </w:rPr>
              <w:t>3-2</w:t>
            </w:r>
          </w:p>
        </w:tc>
        <w:tc>
          <w:tcPr>
            <w:tcW w:w="735" w:type="dxa"/>
            <w:vAlign w:val="center"/>
          </w:tcPr>
          <w:p w14:paraId="1C4F9962">
            <w:pPr>
              <w:spacing w:line="276" w:lineRule="auto"/>
              <w:jc w:val="center"/>
              <w:rPr>
                <w:rFonts w:ascii="Times New Roman" w:hAnsi="Times New Roman" w:cs="Times New Roman"/>
                <w:szCs w:val="21"/>
              </w:rPr>
            </w:pPr>
            <w:r>
              <w:rPr>
                <w:rFonts w:ascii="Times New Roman" w:hAnsi="Times New Roman" w:cs="Times New Roman"/>
                <w:szCs w:val="21"/>
              </w:rPr>
              <w:t>16</w:t>
            </w:r>
          </w:p>
        </w:tc>
        <w:tc>
          <w:tcPr>
            <w:tcW w:w="735" w:type="dxa"/>
            <w:vAlign w:val="center"/>
          </w:tcPr>
          <w:p w14:paraId="34BC0677">
            <w:pPr>
              <w:jc w:val="center"/>
              <w:rPr>
                <w:rFonts w:ascii="Times New Roman" w:hAnsi="Times New Roman" w:cs="Times New Roman"/>
                <w:szCs w:val="21"/>
              </w:rPr>
            </w:pPr>
          </w:p>
        </w:tc>
      </w:tr>
      <w:tr w14:paraId="2233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34C8396">
            <w:pPr>
              <w:jc w:val="center"/>
              <w:rPr>
                <w:rFonts w:ascii="Times New Roman" w:hAnsi="Times New Roman" w:cs="Times New Roman"/>
                <w:szCs w:val="21"/>
              </w:rPr>
            </w:pPr>
            <w:r>
              <w:rPr>
                <w:rFonts w:ascii="Times New Roman" w:hAnsi="Times New Roman" w:cs="Times New Roman"/>
                <w:szCs w:val="21"/>
              </w:rPr>
              <w:t>4</w:t>
            </w:r>
          </w:p>
        </w:tc>
        <w:tc>
          <w:tcPr>
            <w:tcW w:w="3476" w:type="dxa"/>
            <w:vAlign w:val="center"/>
          </w:tcPr>
          <w:p w14:paraId="1960DAED">
            <w:pPr>
              <w:spacing w:line="276" w:lineRule="auto"/>
              <w:jc w:val="center"/>
              <w:rPr>
                <w:rFonts w:ascii="Times New Roman" w:hAnsi="Times New Roman" w:cs="Times New Roman"/>
                <w:szCs w:val="21"/>
              </w:rPr>
            </w:pPr>
            <w:r>
              <w:rPr>
                <w:rFonts w:ascii="Times New Roman" w:hAnsi="Times New Roman" w:cs="Times New Roman"/>
                <w:szCs w:val="21"/>
              </w:rPr>
              <w:t>二次型</w:t>
            </w:r>
          </w:p>
        </w:tc>
        <w:tc>
          <w:tcPr>
            <w:tcW w:w="1701" w:type="dxa"/>
            <w:vAlign w:val="center"/>
          </w:tcPr>
          <w:p w14:paraId="33BB69E0">
            <w:pPr>
              <w:spacing w:line="276" w:lineRule="auto"/>
              <w:jc w:val="center"/>
              <w:rPr>
                <w:rFonts w:ascii="Times New Roman" w:hAnsi="Times New Roman" w:cs="Times New Roman"/>
                <w:szCs w:val="21"/>
              </w:rPr>
            </w:pPr>
            <w:r>
              <w:rPr>
                <w:rFonts w:ascii="Times New Roman" w:hAnsi="Times New Roman" w:cs="Times New Roman"/>
                <w:szCs w:val="21"/>
              </w:rPr>
              <w:t>课程目标1-5</w:t>
            </w:r>
          </w:p>
        </w:tc>
        <w:tc>
          <w:tcPr>
            <w:tcW w:w="1853" w:type="dxa"/>
          </w:tcPr>
          <w:p w14:paraId="37D97D8F">
            <w:pPr>
              <w:jc w:val="center"/>
              <w:rPr>
                <w:rFonts w:ascii="Times New Roman" w:hAnsi="Times New Roman" w:cs="Times New Roman"/>
                <w:szCs w:val="21"/>
              </w:rPr>
            </w:pPr>
            <w:r>
              <w:rPr>
                <w:rFonts w:ascii="Times New Roman" w:hAnsi="Times New Roman" w:cs="Times New Roman"/>
                <w:szCs w:val="21"/>
              </w:rPr>
              <w:t>3-1</w:t>
            </w:r>
            <w:r>
              <w:rPr>
                <w:rFonts w:ascii="Times New Roman" w:hAnsi="Times New Roman" w:cs="Times New Roman"/>
                <w:color w:val="000000"/>
                <w:szCs w:val="21"/>
              </w:rPr>
              <w:t>、</w:t>
            </w:r>
            <w:r>
              <w:rPr>
                <w:rFonts w:ascii="Times New Roman" w:hAnsi="Times New Roman" w:cs="Times New Roman"/>
                <w:szCs w:val="21"/>
              </w:rPr>
              <w:t>3-2</w:t>
            </w:r>
          </w:p>
        </w:tc>
        <w:tc>
          <w:tcPr>
            <w:tcW w:w="735" w:type="dxa"/>
            <w:vAlign w:val="center"/>
          </w:tcPr>
          <w:p w14:paraId="2DB29FDB">
            <w:pPr>
              <w:spacing w:line="276" w:lineRule="auto"/>
              <w:jc w:val="center"/>
              <w:rPr>
                <w:rFonts w:ascii="Times New Roman" w:hAnsi="Times New Roman" w:cs="Times New Roman"/>
                <w:szCs w:val="21"/>
              </w:rPr>
            </w:pPr>
            <w:r>
              <w:rPr>
                <w:rFonts w:ascii="Times New Roman" w:hAnsi="Times New Roman" w:cs="Times New Roman"/>
                <w:szCs w:val="21"/>
              </w:rPr>
              <w:t>16</w:t>
            </w:r>
          </w:p>
        </w:tc>
        <w:tc>
          <w:tcPr>
            <w:tcW w:w="735" w:type="dxa"/>
            <w:vAlign w:val="center"/>
          </w:tcPr>
          <w:p w14:paraId="38AB6448">
            <w:pPr>
              <w:jc w:val="center"/>
              <w:rPr>
                <w:rFonts w:ascii="Times New Roman" w:hAnsi="Times New Roman" w:cs="Times New Roman"/>
                <w:szCs w:val="21"/>
              </w:rPr>
            </w:pPr>
          </w:p>
        </w:tc>
      </w:tr>
      <w:tr w14:paraId="7A8A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19E7B1B9">
            <w:pPr>
              <w:jc w:val="center"/>
              <w:rPr>
                <w:rFonts w:ascii="Times New Roman" w:hAnsi="Times New Roman" w:cs="Times New Roman"/>
                <w:szCs w:val="21"/>
              </w:rPr>
            </w:pPr>
            <w:r>
              <w:rPr>
                <w:rFonts w:ascii="Times New Roman" w:hAnsi="Times New Roman" w:cs="Times New Roman"/>
                <w:szCs w:val="21"/>
              </w:rPr>
              <w:t>合计</w:t>
            </w:r>
          </w:p>
        </w:tc>
        <w:tc>
          <w:tcPr>
            <w:tcW w:w="735" w:type="dxa"/>
            <w:vAlign w:val="center"/>
          </w:tcPr>
          <w:p w14:paraId="6899C837">
            <w:pPr>
              <w:jc w:val="center"/>
              <w:rPr>
                <w:rFonts w:ascii="Times New Roman" w:hAnsi="Times New Roman" w:cs="Times New Roman"/>
                <w:szCs w:val="21"/>
              </w:rPr>
            </w:pPr>
            <w:r>
              <w:rPr>
                <w:rFonts w:ascii="Times New Roman" w:hAnsi="Times New Roman" w:cs="Times New Roman"/>
                <w:szCs w:val="21"/>
              </w:rPr>
              <w:t>64</w:t>
            </w:r>
          </w:p>
        </w:tc>
        <w:tc>
          <w:tcPr>
            <w:tcW w:w="735" w:type="dxa"/>
            <w:vAlign w:val="center"/>
          </w:tcPr>
          <w:p w14:paraId="6EA2E728">
            <w:pPr>
              <w:jc w:val="center"/>
              <w:rPr>
                <w:rFonts w:ascii="Times New Roman" w:hAnsi="Times New Roman" w:cs="Times New Roman"/>
                <w:szCs w:val="21"/>
              </w:rPr>
            </w:pPr>
          </w:p>
        </w:tc>
      </w:tr>
    </w:tbl>
    <w:p w14:paraId="39505B6E">
      <w:pPr>
        <w:spacing w:line="360" w:lineRule="auto"/>
        <w:ind w:firstLine="562" w:firstLineChars="200"/>
        <w:rPr>
          <w:rFonts w:ascii="Times New Roman" w:hAnsi="Times New Roman" w:cs="Times New Roman"/>
          <w:b/>
          <w:sz w:val="28"/>
          <w:szCs w:val="28"/>
        </w:rPr>
      </w:pPr>
      <w:r>
        <w:rPr>
          <w:rFonts w:ascii="Times New Roman" w:hAnsi="Times New Roman" w:cs="Times New Roman"/>
          <w:b/>
          <w:sz w:val="28"/>
          <w:szCs w:val="28"/>
        </w:rPr>
        <w:t>四、课程实施</w:t>
      </w:r>
    </w:p>
    <w:p w14:paraId="5AD06519">
      <w:pPr>
        <w:spacing w:line="360" w:lineRule="auto"/>
        <w:ind w:firstLine="480" w:firstLineChars="200"/>
        <w:rPr>
          <w:rFonts w:ascii="Times New Roman" w:hAnsi="Times New Roman" w:cs="Times New Roman"/>
          <w:sz w:val="24"/>
        </w:rPr>
      </w:pPr>
      <w:r>
        <w:rPr>
          <w:rFonts w:ascii="Times New Roman" w:hAnsi="Times New Roman" w:cs="Times New Roman"/>
          <w:sz w:val="24"/>
        </w:rPr>
        <w:t>主要教学环节质量要求如表所示。</w:t>
      </w:r>
    </w:p>
    <w:p w14:paraId="07C35DA2">
      <w:pPr>
        <w:spacing w:line="360" w:lineRule="auto"/>
        <w:ind w:firstLine="480" w:firstLineChars="200"/>
        <w:rPr>
          <w:rFonts w:ascii="Times New Roman" w:hAnsi="Times New Roman" w:cs="Times New Roman"/>
          <w:sz w:val="24"/>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6FA8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CEBB264">
            <w:pPr>
              <w:jc w:val="center"/>
              <w:rPr>
                <w:rFonts w:ascii="Times New Roman" w:hAnsi="Times New Roman" w:cs="Times New Roman"/>
                <w:szCs w:val="21"/>
              </w:rPr>
            </w:pPr>
            <w:r>
              <w:rPr>
                <w:rFonts w:ascii="Times New Roman" w:hAnsi="Times New Roman"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29279C6B">
            <w:pPr>
              <w:jc w:val="center"/>
              <w:rPr>
                <w:rFonts w:ascii="Times New Roman" w:hAnsi="Times New Roman" w:cs="Times New Roman"/>
                <w:szCs w:val="21"/>
              </w:rPr>
            </w:pPr>
            <w:r>
              <w:rPr>
                <w:rFonts w:ascii="Times New Roman" w:hAnsi="Times New Roman" w:cs="Times New Roman"/>
                <w:bCs/>
                <w:szCs w:val="21"/>
              </w:rPr>
              <w:t>质量要求</w:t>
            </w:r>
          </w:p>
        </w:tc>
      </w:tr>
      <w:tr w14:paraId="0A3E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C3EDE6B">
            <w:pPr>
              <w:jc w:val="center"/>
              <w:rPr>
                <w:rFonts w:ascii="Times New Roman" w:hAnsi="Times New Roman" w:cs="Times New Roman"/>
                <w:szCs w:val="21"/>
              </w:rPr>
            </w:pPr>
            <w:r>
              <w:rPr>
                <w:rFonts w:ascii="Times New Roman" w:hAnsi="Times New Roman" w:cs="Times New Roman"/>
                <w:szCs w:val="21"/>
              </w:rPr>
              <w:t>1</w:t>
            </w:r>
          </w:p>
        </w:tc>
        <w:tc>
          <w:tcPr>
            <w:tcW w:w="1691" w:type="dxa"/>
            <w:tcMar>
              <w:left w:w="28" w:type="dxa"/>
              <w:right w:w="28" w:type="dxa"/>
            </w:tcMar>
            <w:vAlign w:val="center"/>
          </w:tcPr>
          <w:p w14:paraId="02E77109">
            <w:pPr>
              <w:jc w:val="center"/>
              <w:rPr>
                <w:rFonts w:ascii="Times New Roman" w:hAnsi="Times New Roman" w:cs="Times New Roman"/>
                <w:szCs w:val="21"/>
              </w:rPr>
            </w:pPr>
            <w:r>
              <w:rPr>
                <w:rFonts w:ascii="Times New Roman" w:hAnsi="Times New Roman" w:cs="Times New Roman"/>
                <w:szCs w:val="21"/>
              </w:rPr>
              <w:t>备课</w:t>
            </w:r>
          </w:p>
        </w:tc>
        <w:tc>
          <w:tcPr>
            <w:tcW w:w="6773" w:type="dxa"/>
            <w:tcBorders>
              <w:right w:val="single" w:color="auto" w:sz="8" w:space="0"/>
            </w:tcBorders>
            <w:vAlign w:val="center"/>
          </w:tcPr>
          <w:p w14:paraId="03E828A9">
            <w:pPr>
              <w:spacing w:line="276" w:lineRule="auto"/>
              <w:rPr>
                <w:rFonts w:ascii="Times New Roman" w:hAnsi="Times New Roman" w:cs="Times New Roman"/>
                <w:szCs w:val="21"/>
              </w:rPr>
            </w:pPr>
            <w:r>
              <w:rPr>
                <w:rFonts w:ascii="Times New Roman" w:hAnsi="Times New Roman" w:cs="Times New Roman"/>
                <w:szCs w:val="21"/>
              </w:rPr>
              <w:t>（1）掌握本课程教学大纲内容，严格按照教学大纲要求进行本课程教学内容的组织；</w:t>
            </w:r>
          </w:p>
          <w:p w14:paraId="7C6C8C52">
            <w:pPr>
              <w:spacing w:line="276" w:lineRule="auto"/>
              <w:rPr>
                <w:rFonts w:ascii="Times New Roman" w:hAnsi="Times New Roman" w:cs="Times New Roman"/>
                <w:szCs w:val="21"/>
              </w:rPr>
            </w:pPr>
            <w:r>
              <w:rPr>
                <w:rFonts w:ascii="Times New Roman" w:hAnsi="Times New Roman"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6B502E12">
            <w:pPr>
              <w:spacing w:line="276" w:lineRule="auto"/>
              <w:rPr>
                <w:rFonts w:ascii="Times New Roman" w:hAnsi="Times New Roman" w:cs="Times New Roman"/>
                <w:szCs w:val="21"/>
              </w:rPr>
            </w:pPr>
            <w:r>
              <w:rPr>
                <w:rFonts w:ascii="Times New Roman" w:hAnsi="Times New Roman" w:cs="Times New Roman"/>
                <w:szCs w:val="21"/>
              </w:rPr>
              <w:t xml:space="preserve">（3）结合课程特点，适度运用多媒体教学手段讲授部分教学内容； </w:t>
            </w:r>
          </w:p>
          <w:p w14:paraId="7E04690A">
            <w:pPr>
              <w:spacing w:line="276" w:lineRule="auto"/>
              <w:rPr>
                <w:rFonts w:ascii="Times New Roman" w:hAnsi="Times New Roman" w:cs="Times New Roman"/>
                <w:sz w:val="24"/>
              </w:rPr>
            </w:pPr>
            <w:r>
              <w:rPr>
                <w:rFonts w:ascii="Times New Roman" w:hAnsi="Times New Roman" w:cs="Times New Roman"/>
                <w:szCs w:val="21"/>
              </w:rPr>
              <w:t>（4）确定各章节课程内容的教学方法，构思授课思路、技巧和方法。</w:t>
            </w:r>
          </w:p>
        </w:tc>
      </w:tr>
      <w:tr w14:paraId="379F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D7D9790">
            <w:pPr>
              <w:jc w:val="center"/>
              <w:rPr>
                <w:rFonts w:ascii="Times New Roman" w:hAnsi="Times New Roman" w:cs="Times New Roman"/>
                <w:szCs w:val="21"/>
              </w:rPr>
            </w:pPr>
            <w:r>
              <w:rPr>
                <w:rFonts w:ascii="Times New Roman" w:hAnsi="Times New Roman" w:cs="Times New Roman"/>
                <w:szCs w:val="21"/>
              </w:rPr>
              <w:t>2</w:t>
            </w:r>
          </w:p>
        </w:tc>
        <w:tc>
          <w:tcPr>
            <w:tcW w:w="1691" w:type="dxa"/>
            <w:tcMar>
              <w:left w:w="28" w:type="dxa"/>
              <w:right w:w="28" w:type="dxa"/>
            </w:tcMar>
            <w:vAlign w:val="center"/>
          </w:tcPr>
          <w:p w14:paraId="762C41E1">
            <w:pPr>
              <w:jc w:val="center"/>
              <w:rPr>
                <w:rFonts w:ascii="Times New Roman" w:hAnsi="Times New Roman" w:cs="Times New Roman"/>
                <w:szCs w:val="21"/>
              </w:rPr>
            </w:pPr>
            <w:r>
              <w:rPr>
                <w:rFonts w:ascii="Times New Roman" w:hAnsi="Times New Roman" w:cs="Times New Roman"/>
                <w:szCs w:val="21"/>
              </w:rPr>
              <w:t>讲授</w:t>
            </w:r>
          </w:p>
        </w:tc>
        <w:tc>
          <w:tcPr>
            <w:tcW w:w="6773" w:type="dxa"/>
            <w:tcBorders>
              <w:right w:val="single" w:color="auto" w:sz="8" w:space="0"/>
            </w:tcBorders>
            <w:vAlign w:val="center"/>
          </w:tcPr>
          <w:p w14:paraId="1AE85B63">
            <w:pPr>
              <w:spacing w:line="276" w:lineRule="auto"/>
              <w:rPr>
                <w:rFonts w:ascii="Times New Roman" w:hAnsi="Times New Roman" w:cs="Times New Roman"/>
                <w:szCs w:val="21"/>
              </w:rPr>
            </w:pPr>
            <w:r>
              <w:rPr>
                <w:rFonts w:ascii="Times New Roman" w:hAnsi="Times New Roman" w:cs="Times New Roman"/>
                <w:szCs w:val="21"/>
              </w:rPr>
              <w:t>（1）要点准确，推理正确，条理清晰，重点突出，理论联系实际，熟练地解答和讲解例题。</w:t>
            </w:r>
          </w:p>
          <w:p w14:paraId="5F06A82D">
            <w:pPr>
              <w:spacing w:line="276" w:lineRule="auto"/>
              <w:rPr>
                <w:rFonts w:ascii="Times New Roman" w:hAnsi="Times New Roman" w:cs="Times New Roman"/>
                <w:szCs w:val="21"/>
              </w:rPr>
            </w:pPr>
            <w:r>
              <w:rPr>
                <w:rFonts w:ascii="Times New Roman" w:hAnsi="Times New Roman"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1D6E9D91">
            <w:pPr>
              <w:rPr>
                <w:rFonts w:ascii="Times New Roman" w:hAnsi="Times New Roman" w:cs="Times New Roman"/>
                <w:szCs w:val="21"/>
              </w:rPr>
            </w:pPr>
            <w:r>
              <w:rPr>
                <w:rFonts w:ascii="Times New Roman" w:hAnsi="Times New Roman" w:cs="Times New Roman"/>
                <w:szCs w:val="21"/>
              </w:rPr>
              <w:t>（3）表达方式尽量便于学生理解、接受，力求形象生动，使学生在掌握知识的过程中，保持较为浓厚的兴趣。</w:t>
            </w:r>
          </w:p>
        </w:tc>
      </w:tr>
      <w:tr w14:paraId="2531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E234862">
            <w:pPr>
              <w:jc w:val="center"/>
              <w:rPr>
                <w:rFonts w:ascii="Times New Roman" w:hAnsi="Times New Roman" w:cs="Times New Roman"/>
                <w:szCs w:val="21"/>
              </w:rPr>
            </w:pPr>
            <w:r>
              <w:rPr>
                <w:rFonts w:ascii="Times New Roman" w:hAnsi="Times New Roman" w:cs="Times New Roman"/>
                <w:szCs w:val="21"/>
              </w:rPr>
              <w:t>3</w:t>
            </w:r>
          </w:p>
        </w:tc>
        <w:tc>
          <w:tcPr>
            <w:tcW w:w="1691" w:type="dxa"/>
            <w:tcMar>
              <w:left w:w="28" w:type="dxa"/>
              <w:right w:w="28" w:type="dxa"/>
            </w:tcMar>
            <w:vAlign w:val="center"/>
          </w:tcPr>
          <w:p w14:paraId="2A9CE571">
            <w:pPr>
              <w:jc w:val="center"/>
              <w:rPr>
                <w:rFonts w:ascii="Times New Roman" w:hAnsi="Times New Roman" w:cs="Times New Roman"/>
                <w:szCs w:val="21"/>
              </w:rPr>
            </w:pPr>
            <w:r>
              <w:rPr>
                <w:rFonts w:ascii="Times New Roman" w:hAnsi="Times New Roman" w:cs="Times New Roman"/>
                <w:szCs w:val="21"/>
              </w:rPr>
              <w:t>作业布置与批改</w:t>
            </w:r>
          </w:p>
        </w:tc>
        <w:tc>
          <w:tcPr>
            <w:tcW w:w="6773" w:type="dxa"/>
            <w:tcBorders>
              <w:right w:val="single" w:color="auto" w:sz="8" w:space="0"/>
            </w:tcBorders>
            <w:vAlign w:val="center"/>
          </w:tcPr>
          <w:p w14:paraId="601AF40B">
            <w:pPr>
              <w:spacing w:line="276" w:lineRule="auto"/>
              <w:rPr>
                <w:rFonts w:ascii="Times New Roman" w:hAnsi="Times New Roman" w:cs="Times New Roman"/>
                <w:szCs w:val="21"/>
              </w:rPr>
            </w:pPr>
            <w:r>
              <w:rPr>
                <w:rFonts w:ascii="Times New Roman" w:hAnsi="Times New Roman" w:cs="Times New Roman"/>
                <w:szCs w:val="21"/>
              </w:rPr>
              <w:t>学生必须完成一定数量的作业题，是本课程教学的基本要求，是实现人才培养目标的必要手段。</w:t>
            </w:r>
          </w:p>
          <w:p w14:paraId="05113B97">
            <w:pPr>
              <w:spacing w:line="276" w:lineRule="auto"/>
              <w:rPr>
                <w:rFonts w:ascii="Times New Roman" w:hAnsi="Times New Roman" w:cs="Times New Roman"/>
                <w:szCs w:val="21"/>
              </w:rPr>
            </w:pPr>
            <w:r>
              <w:rPr>
                <w:rFonts w:ascii="Times New Roman" w:hAnsi="Times New Roman" w:cs="Times New Roman"/>
                <w:szCs w:val="21"/>
              </w:rPr>
              <w:t>学生完成的作业必须达到以下基本要求：</w:t>
            </w:r>
          </w:p>
          <w:p w14:paraId="0127D16C">
            <w:pPr>
              <w:spacing w:line="276" w:lineRule="auto"/>
              <w:rPr>
                <w:rFonts w:ascii="Times New Roman" w:hAnsi="Times New Roman" w:cs="Times New Roman"/>
                <w:szCs w:val="21"/>
              </w:rPr>
            </w:pPr>
            <w:r>
              <w:rPr>
                <w:rFonts w:ascii="Times New Roman" w:hAnsi="Times New Roman" w:cs="Times New Roman"/>
                <w:szCs w:val="21"/>
              </w:rPr>
              <w:t>（1）按时按量完成作业，不缺交，不抄袭；</w:t>
            </w:r>
          </w:p>
          <w:p w14:paraId="6F99CD3C">
            <w:pPr>
              <w:spacing w:line="276" w:lineRule="auto"/>
              <w:rPr>
                <w:rFonts w:ascii="Times New Roman" w:hAnsi="Times New Roman" w:cs="Times New Roman"/>
                <w:szCs w:val="21"/>
              </w:rPr>
            </w:pPr>
            <w:r>
              <w:rPr>
                <w:rFonts w:ascii="Times New Roman" w:hAnsi="Times New Roman" w:cs="Times New Roman"/>
                <w:szCs w:val="21"/>
              </w:rPr>
              <w:t>（2）作业本规范，书写清晰；</w:t>
            </w:r>
          </w:p>
          <w:p w14:paraId="7A636F0E">
            <w:pPr>
              <w:spacing w:line="276" w:lineRule="auto"/>
              <w:rPr>
                <w:rFonts w:ascii="Times New Roman" w:hAnsi="Times New Roman" w:cs="Times New Roman"/>
                <w:szCs w:val="21"/>
              </w:rPr>
            </w:pPr>
            <w:r>
              <w:rPr>
                <w:rFonts w:ascii="Times New Roman" w:hAnsi="Times New Roman" w:cs="Times New Roman"/>
                <w:szCs w:val="21"/>
              </w:rPr>
              <w:t>（3）解题方法和步骤正确。</w:t>
            </w:r>
          </w:p>
          <w:p w14:paraId="53A865FE">
            <w:pPr>
              <w:spacing w:line="276" w:lineRule="auto"/>
              <w:rPr>
                <w:rFonts w:ascii="Times New Roman" w:hAnsi="Times New Roman" w:cs="Times New Roman"/>
                <w:szCs w:val="21"/>
              </w:rPr>
            </w:pPr>
            <w:r>
              <w:rPr>
                <w:rFonts w:ascii="Times New Roman" w:hAnsi="Times New Roman" w:cs="Times New Roman"/>
                <w:szCs w:val="21"/>
              </w:rPr>
              <w:t>教师批改或讲评作业要求如下：</w:t>
            </w:r>
          </w:p>
          <w:p w14:paraId="7E5DAF7D">
            <w:pPr>
              <w:spacing w:line="276" w:lineRule="auto"/>
              <w:rPr>
                <w:rFonts w:ascii="Times New Roman" w:hAnsi="Times New Roman" w:cs="Times New Roman"/>
                <w:szCs w:val="21"/>
              </w:rPr>
            </w:pPr>
            <w:r>
              <w:rPr>
                <w:rFonts w:ascii="Times New Roman" w:hAnsi="Times New Roman" w:cs="Times New Roman"/>
                <w:szCs w:val="21"/>
              </w:rPr>
              <w:t>（1）学生的作业要全批全改，并按时批改、讲评学生每次交来的作业；</w:t>
            </w:r>
          </w:p>
          <w:p w14:paraId="6B225607">
            <w:pPr>
              <w:spacing w:line="276" w:lineRule="auto"/>
              <w:rPr>
                <w:rFonts w:ascii="Times New Roman" w:hAnsi="Times New Roman" w:cs="Times New Roman"/>
                <w:szCs w:val="21"/>
              </w:rPr>
            </w:pPr>
            <w:r>
              <w:rPr>
                <w:rFonts w:ascii="Times New Roman" w:hAnsi="Times New Roman" w:cs="Times New Roman"/>
                <w:szCs w:val="21"/>
              </w:rPr>
              <w:t>（2）教师批改或讲评作业要认真、细致，每次批改或讲评作业后，按百分制评定成绩，并写明日期；</w:t>
            </w:r>
          </w:p>
          <w:p w14:paraId="1F4B420E">
            <w:pPr>
              <w:rPr>
                <w:rFonts w:ascii="Times New Roman" w:hAnsi="Times New Roman" w:cs="Times New Roman"/>
                <w:szCs w:val="21"/>
              </w:rPr>
            </w:pPr>
            <w:r>
              <w:rPr>
                <w:rFonts w:ascii="Times New Roman" w:hAnsi="Times New Roman" w:cs="Times New Roman"/>
                <w:szCs w:val="21"/>
              </w:rPr>
              <w:t>（3）期末按每个学生作业的平均成绩，作为本课程总评成绩中平时成绩的重要组成部分。</w:t>
            </w:r>
          </w:p>
        </w:tc>
      </w:tr>
      <w:tr w14:paraId="2610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5BD2465">
            <w:pPr>
              <w:jc w:val="center"/>
              <w:rPr>
                <w:rFonts w:ascii="Times New Roman" w:hAnsi="Times New Roman" w:cs="Times New Roman"/>
                <w:szCs w:val="21"/>
              </w:rPr>
            </w:pPr>
            <w:r>
              <w:rPr>
                <w:rFonts w:ascii="Times New Roman" w:hAnsi="Times New Roman" w:cs="Times New Roman"/>
                <w:szCs w:val="21"/>
              </w:rPr>
              <w:t>4</w:t>
            </w:r>
          </w:p>
        </w:tc>
        <w:tc>
          <w:tcPr>
            <w:tcW w:w="1691" w:type="dxa"/>
            <w:tcMar>
              <w:left w:w="28" w:type="dxa"/>
              <w:right w:w="28" w:type="dxa"/>
            </w:tcMar>
            <w:vAlign w:val="center"/>
          </w:tcPr>
          <w:p w14:paraId="4429FBB3">
            <w:pPr>
              <w:jc w:val="center"/>
              <w:rPr>
                <w:rFonts w:ascii="Times New Roman" w:hAnsi="Times New Roman" w:cs="Times New Roman"/>
                <w:szCs w:val="21"/>
              </w:rPr>
            </w:pPr>
            <w:r>
              <w:rPr>
                <w:rFonts w:ascii="Times New Roman" w:hAnsi="Times New Roman" w:cs="Times New Roman"/>
                <w:szCs w:val="21"/>
              </w:rPr>
              <w:t>课外答疑</w:t>
            </w:r>
          </w:p>
        </w:tc>
        <w:tc>
          <w:tcPr>
            <w:tcW w:w="6773" w:type="dxa"/>
            <w:tcBorders>
              <w:right w:val="single" w:color="auto" w:sz="8" w:space="0"/>
            </w:tcBorders>
            <w:vAlign w:val="center"/>
          </w:tcPr>
          <w:p w14:paraId="19A9E709">
            <w:pPr>
              <w:rPr>
                <w:rFonts w:ascii="Times New Roman" w:hAnsi="Times New Roman" w:cs="Times New Roman"/>
                <w:szCs w:val="21"/>
              </w:rPr>
            </w:pPr>
            <w:r>
              <w:rPr>
                <w:rFonts w:ascii="Times New Roman" w:hAnsi="Times New Roman"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6DB4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322B5E2">
            <w:pPr>
              <w:jc w:val="center"/>
              <w:rPr>
                <w:rFonts w:ascii="Times New Roman" w:hAnsi="Times New Roman" w:cs="Times New Roman"/>
                <w:szCs w:val="21"/>
              </w:rPr>
            </w:pPr>
            <w:r>
              <w:rPr>
                <w:rFonts w:ascii="Times New Roman" w:hAnsi="Times New Roman" w:cs="Times New Roman"/>
                <w:szCs w:val="21"/>
              </w:rPr>
              <w:t>5</w:t>
            </w:r>
          </w:p>
        </w:tc>
        <w:tc>
          <w:tcPr>
            <w:tcW w:w="1691" w:type="dxa"/>
            <w:tcMar>
              <w:left w:w="28" w:type="dxa"/>
              <w:right w:w="28" w:type="dxa"/>
            </w:tcMar>
            <w:vAlign w:val="center"/>
          </w:tcPr>
          <w:p w14:paraId="15A8A527">
            <w:pPr>
              <w:jc w:val="center"/>
              <w:rPr>
                <w:rFonts w:ascii="Times New Roman" w:hAnsi="Times New Roman" w:cs="Times New Roman"/>
                <w:szCs w:val="21"/>
              </w:rPr>
            </w:pPr>
            <w:r>
              <w:rPr>
                <w:rFonts w:ascii="Times New Roman" w:hAnsi="Times New Roman" w:cs="Times New Roman"/>
                <w:szCs w:val="21"/>
              </w:rPr>
              <w:t>成绩考核</w:t>
            </w:r>
          </w:p>
        </w:tc>
        <w:tc>
          <w:tcPr>
            <w:tcW w:w="6773" w:type="dxa"/>
            <w:tcBorders>
              <w:right w:val="single" w:color="auto" w:sz="8" w:space="0"/>
            </w:tcBorders>
            <w:vAlign w:val="center"/>
          </w:tcPr>
          <w:p w14:paraId="01D47B00">
            <w:pPr>
              <w:rPr>
                <w:rFonts w:ascii="Times New Roman" w:hAnsi="Times New Roman" w:cs="Times New Roman"/>
              </w:rPr>
            </w:pPr>
            <w:r>
              <w:rPr>
                <w:rFonts w:ascii="Times New Roman" w:hAnsi="Times New Roman" w:cs="Times New Roman"/>
              </w:rPr>
              <w:t>本课程考核的方式：考试。考试试卷采取抽卷形式，统一安排监考。总评成绩的评定见课程评分方案。有下列情况之一者，总评成绩为不及格：</w:t>
            </w:r>
          </w:p>
          <w:p w14:paraId="4F7F5A75">
            <w:pPr>
              <w:rPr>
                <w:rFonts w:ascii="Times New Roman" w:hAnsi="Times New Roman" w:cs="Times New Roman"/>
              </w:rPr>
            </w:pPr>
            <w:r>
              <w:rPr>
                <w:rFonts w:ascii="Times New Roman" w:hAnsi="Times New Roman" w:cs="Times New Roman"/>
                <w:szCs w:val="21"/>
              </w:rPr>
              <w:t>（1）</w:t>
            </w:r>
            <w:r>
              <w:rPr>
                <w:rFonts w:ascii="Times New Roman" w:hAnsi="Times New Roman" w:cs="Times New Roman"/>
              </w:rPr>
              <w:t>缺交作业次数达1/3以上者；</w:t>
            </w:r>
          </w:p>
          <w:p w14:paraId="63BE21D5">
            <w:pPr>
              <w:rPr>
                <w:rFonts w:ascii="Times New Roman" w:hAnsi="Times New Roman" w:eastAsia="宋体" w:cs="Times New Roman"/>
              </w:rPr>
            </w:pPr>
            <w:r>
              <w:rPr>
                <w:rFonts w:ascii="Times New Roman" w:hAnsi="Times New Roman" w:cs="Times New Roman"/>
                <w:szCs w:val="21"/>
              </w:rPr>
              <w:t>（2）</w:t>
            </w:r>
            <w:r>
              <w:rPr>
                <w:rFonts w:ascii="Times New Roman" w:hAnsi="Times New Roman" w:cs="Times New Roman"/>
              </w:rPr>
              <w:t>缺课次数达本学期总授课学时的1/3以上者。</w:t>
            </w:r>
          </w:p>
          <w:p w14:paraId="1024C55E">
            <w:pPr>
              <w:rPr>
                <w:rFonts w:ascii="Times New Roman" w:hAnsi="Times New Roman" w:cs="Times New Roman"/>
                <w:szCs w:val="21"/>
              </w:rPr>
            </w:pPr>
          </w:p>
        </w:tc>
      </w:tr>
    </w:tbl>
    <w:p w14:paraId="3D69C240">
      <w:pPr>
        <w:spacing w:line="360" w:lineRule="auto"/>
        <w:ind w:firstLine="562" w:firstLineChars="200"/>
        <w:rPr>
          <w:rFonts w:ascii="Times New Roman" w:hAnsi="Times New Roman" w:cs="Times New Roman"/>
          <w:b/>
          <w:sz w:val="28"/>
          <w:szCs w:val="28"/>
        </w:rPr>
      </w:pPr>
      <w:r>
        <w:rPr>
          <w:rFonts w:ascii="Times New Roman" w:hAnsi="Times New Roman" w:cs="Times New Roman"/>
          <w:b/>
          <w:sz w:val="28"/>
          <w:szCs w:val="28"/>
        </w:rPr>
        <w:t>五、课程考核</w:t>
      </w:r>
    </w:p>
    <w:p w14:paraId="1D4DEF4A">
      <w:pPr>
        <w:spacing w:line="360" w:lineRule="auto"/>
        <w:ind w:firstLine="480" w:firstLineChars="200"/>
        <w:rPr>
          <w:rFonts w:ascii="Times New Roman" w:hAnsi="Times New Roman" w:cs="Times New Roman"/>
          <w:sz w:val="24"/>
        </w:rPr>
      </w:pPr>
      <w:r>
        <w:rPr>
          <w:rFonts w:ascii="Times New Roman" w:hAnsi="Times New Roman" w:cs="Times New Roman"/>
          <w:sz w:val="24"/>
        </w:rPr>
        <w:t>（一）课程考核包括期末考试、平时及作业考核等，期末考试采用闭卷考试方式。</w:t>
      </w:r>
    </w:p>
    <w:p w14:paraId="51E19BC9">
      <w:pPr>
        <w:spacing w:line="360" w:lineRule="auto"/>
        <w:ind w:firstLine="480" w:firstLineChars="200"/>
        <w:rPr>
          <w:rFonts w:ascii="Times New Roman" w:hAnsi="Times New Roman" w:cs="Times New Roman"/>
          <w:sz w:val="24"/>
        </w:rPr>
      </w:pPr>
      <w:r>
        <w:rPr>
          <w:rFonts w:ascii="Times New Roman" w:hAnsi="Times New Roman" w:cs="Times New Roman"/>
          <w:sz w:val="24"/>
        </w:rPr>
        <w:t>（二）课程总评成绩=出勤情况成绩×10% +师生互动成绩×10% +作业成绩×30%+期末考试成绩×50%。具体内容和比例如表所示。</w:t>
      </w:r>
    </w:p>
    <w:tbl>
      <w:tblPr>
        <w:tblStyle w:val="13"/>
        <w:tblW w:w="9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581"/>
        <w:gridCol w:w="1037"/>
        <w:gridCol w:w="4030"/>
        <w:gridCol w:w="1429"/>
      </w:tblGrid>
      <w:tr w14:paraId="72D4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117"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572246CF">
            <w:pPr>
              <w:pStyle w:val="12"/>
              <w:spacing w:line="360" w:lineRule="auto"/>
              <w:jc w:val="center"/>
              <w:rPr>
                <w:rFonts w:ascii="Times New Roman" w:hAnsi="Times New Roman" w:cs="Times New Roman"/>
              </w:rPr>
            </w:pPr>
            <w:r>
              <w:rPr>
                <w:rFonts w:ascii="Times New Roman" w:hAnsi="Times New Roman" w:cs="Times New Roman"/>
                <w:sz w:val="21"/>
                <w:lang w:bidi="ar"/>
              </w:rPr>
              <w:t>成绩组成</w:t>
            </w:r>
          </w:p>
        </w:tc>
        <w:tc>
          <w:tcPr>
            <w:tcW w:w="1581" w:type="dxa"/>
            <w:tcBorders>
              <w:top w:val="single" w:color="auto" w:sz="4" w:space="0"/>
              <w:left w:val="single" w:color="auto" w:sz="4" w:space="0"/>
              <w:bottom w:val="single" w:color="auto" w:sz="4" w:space="0"/>
              <w:right w:val="single" w:color="auto" w:sz="4" w:space="0"/>
            </w:tcBorders>
            <w:shd w:val="clear" w:color="auto" w:fill="FFFFFF"/>
            <w:vAlign w:val="center"/>
          </w:tcPr>
          <w:p w14:paraId="59035667">
            <w:pPr>
              <w:pStyle w:val="12"/>
              <w:spacing w:line="360" w:lineRule="auto"/>
              <w:jc w:val="center"/>
              <w:rPr>
                <w:rFonts w:ascii="Times New Roman" w:hAnsi="Times New Roman" w:cs="Times New Roman"/>
              </w:rPr>
            </w:pPr>
            <w:r>
              <w:rPr>
                <w:rFonts w:ascii="Times New Roman" w:hAnsi="Times New Roman" w:cs="Times New Roman"/>
                <w:sz w:val="21"/>
                <w:lang w:bidi="ar"/>
              </w:rPr>
              <w:t>考核/评价环节</w:t>
            </w:r>
          </w:p>
        </w:tc>
        <w:tc>
          <w:tcPr>
            <w:tcW w:w="1037" w:type="dxa"/>
            <w:tcBorders>
              <w:top w:val="single" w:color="auto" w:sz="4" w:space="0"/>
              <w:left w:val="single" w:color="auto" w:sz="4" w:space="0"/>
              <w:bottom w:val="single" w:color="auto" w:sz="4" w:space="0"/>
              <w:right w:val="single" w:color="auto" w:sz="4" w:space="0"/>
            </w:tcBorders>
            <w:shd w:val="clear" w:color="auto" w:fill="FFFFFF"/>
            <w:vAlign w:val="center"/>
          </w:tcPr>
          <w:p w14:paraId="70169A23">
            <w:pPr>
              <w:pStyle w:val="12"/>
              <w:spacing w:line="360" w:lineRule="auto"/>
              <w:jc w:val="center"/>
              <w:rPr>
                <w:rFonts w:ascii="Times New Roman" w:hAnsi="Times New Roman" w:cs="Times New Roman"/>
              </w:rPr>
            </w:pPr>
            <w:r>
              <w:rPr>
                <w:rFonts w:ascii="Times New Roman" w:hAnsi="Times New Roman" w:cs="Times New Roman"/>
                <w:sz w:val="21"/>
                <w:lang w:bidi="ar"/>
              </w:rPr>
              <w:t>权重</w:t>
            </w:r>
          </w:p>
        </w:tc>
        <w:tc>
          <w:tcPr>
            <w:tcW w:w="4030" w:type="dxa"/>
            <w:tcBorders>
              <w:top w:val="single" w:color="auto" w:sz="4" w:space="0"/>
              <w:left w:val="single" w:color="auto" w:sz="4" w:space="0"/>
              <w:bottom w:val="single" w:color="auto" w:sz="4" w:space="0"/>
              <w:right w:val="single" w:color="auto" w:sz="4" w:space="0"/>
            </w:tcBorders>
            <w:shd w:val="clear" w:color="auto" w:fill="FFFFFF"/>
            <w:vAlign w:val="center"/>
          </w:tcPr>
          <w:p w14:paraId="2E24200F">
            <w:pPr>
              <w:pStyle w:val="12"/>
              <w:spacing w:line="360" w:lineRule="auto"/>
              <w:jc w:val="center"/>
              <w:rPr>
                <w:rFonts w:ascii="Times New Roman" w:hAnsi="Times New Roman" w:cs="Times New Roman"/>
              </w:rPr>
            </w:pPr>
            <w:r>
              <w:rPr>
                <w:rFonts w:ascii="Times New Roman" w:hAnsi="Times New Roman" w:cs="Times New Roman"/>
                <w:sz w:val="21"/>
                <w:lang w:bidi="ar"/>
              </w:rPr>
              <w:t>考核/评价细则</w:t>
            </w:r>
          </w:p>
        </w:tc>
        <w:tc>
          <w:tcPr>
            <w:tcW w:w="1429" w:type="dxa"/>
            <w:tcBorders>
              <w:top w:val="single" w:color="auto" w:sz="4" w:space="0"/>
              <w:left w:val="single" w:color="auto" w:sz="4" w:space="0"/>
              <w:bottom w:val="single" w:color="auto" w:sz="4" w:space="0"/>
              <w:right w:val="single" w:color="auto" w:sz="4" w:space="0"/>
            </w:tcBorders>
            <w:shd w:val="clear" w:color="auto" w:fill="FFFFFF"/>
            <w:vAlign w:val="center"/>
          </w:tcPr>
          <w:p w14:paraId="3AEEB64B">
            <w:pPr>
              <w:pStyle w:val="12"/>
              <w:spacing w:line="360" w:lineRule="auto"/>
              <w:jc w:val="center"/>
              <w:rPr>
                <w:rFonts w:ascii="Times New Roman" w:hAnsi="Times New Roman" w:cs="Times New Roman"/>
              </w:rPr>
            </w:pPr>
            <w:r>
              <w:rPr>
                <w:rFonts w:ascii="Times New Roman" w:hAnsi="Times New Roman" w:cs="Times New Roman"/>
                <w:sz w:val="21"/>
                <w:lang w:bidi="ar"/>
              </w:rPr>
              <w:t>对应的毕业要求指标点</w:t>
            </w:r>
          </w:p>
        </w:tc>
      </w:tr>
      <w:tr w14:paraId="7E69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117" w:type="dxa"/>
            <w:vMerge w:val="restart"/>
            <w:tcBorders>
              <w:top w:val="single" w:color="auto" w:sz="4" w:space="0"/>
              <w:left w:val="single" w:color="auto" w:sz="4" w:space="0"/>
              <w:right w:val="single" w:color="auto" w:sz="4" w:space="0"/>
            </w:tcBorders>
            <w:tcMar>
              <w:left w:w="57" w:type="dxa"/>
              <w:right w:w="57" w:type="dxa"/>
            </w:tcMar>
            <w:vAlign w:val="center"/>
          </w:tcPr>
          <w:p w14:paraId="4F451E59">
            <w:pPr>
              <w:pStyle w:val="12"/>
              <w:spacing w:line="360" w:lineRule="auto"/>
              <w:jc w:val="center"/>
              <w:rPr>
                <w:rFonts w:ascii="Times New Roman" w:hAnsi="Times New Roman" w:cs="Times New Roman"/>
                <w:sz w:val="21"/>
                <w:lang w:bidi="ar"/>
              </w:rPr>
            </w:pPr>
            <w:r>
              <w:rPr>
                <w:rFonts w:ascii="Times New Roman" w:hAnsi="Times New Roman" w:cs="Times New Roman"/>
                <w:sz w:val="21"/>
                <w:lang w:bidi="ar"/>
              </w:rPr>
              <w:t>平时</w:t>
            </w:r>
          </w:p>
          <w:p w14:paraId="29AA2203">
            <w:pPr>
              <w:pStyle w:val="12"/>
              <w:spacing w:line="360" w:lineRule="auto"/>
              <w:jc w:val="center"/>
              <w:rPr>
                <w:rFonts w:ascii="Times New Roman" w:hAnsi="Times New Roman" w:cs="Times New Roman"/>
              </w:rPr>
            </w:pPr>
            <w:r>
              <w:rPr>
                <w:rFonts w:ascii="Times New Roman" w:hAnsi="Times New Roman" w:cs="Times New Roman"/>
                <w:sz w:val="21"/>
                <w:lang w:bidi="ar"/>
              </w:rPr>
              <w:t>成绩</w:t>
            </w:r>
          </w:p>
        </w:tc>
        <w:tc>
          <w:tcPr>
            <w:tcW w:w="1581" w:type="dxa"/>
            <w:tcBorders>
              <w:top w:val="single" w:color="auto" w:sz="4" w:space="0"/>
              <w:left w:val="single" w:color="auto" w:sz="4" w:space="0"/>
              <w:bottom w:val="single" w:color="auto" w:sz="4" w:space="0"/>
              <w:right w:val="single" w:color="auto" w:sz="4" w:space="0"/>
            </w:tcBorders>
            <w:vAlign w:val="center"/>
          </w:tcPr>
          <w:p w14:paraId="7EE79338">
            <w:pPr>
              <w:pStyle w:val="12"/>
              <w:spacing w:line="360" w:lineRule="auto"/>
              <w:jc w:val="center"/>
              <w:rPr>
                <w:rFonts w:ascii="Times New Roman" w:hAnsi="Times New Roman" w:cs="Times New Roman"/>
              </w:rPr>
            </w:pPr>
            <w:r>
              <w:rPr>
                <w:rFonts w:ascii="Times New Roman" w:hAnsi="Times New Roman" w:cs="Times New Roman"/>
                <w:sz w:val="21"/>
                <w:lang w:bidi="ar"/>
              </w:rPr>
              <w:t>出勤情况</w:t>
            </w:r>
          </w:p>
        </w:tc>
        <w:tc>
          <w:tcPr>
            <w:tcW w:w="1037" w:type="dxa"/>
            <w:tcBorders>
              <w:top w:val="single" w:color="auto" w:sz="4" w:space="0"/>
              <w:left w:val="single" w:color="auto" w:sz="4" w:space="0"/>
              <w:bottom w:val="single" w:color="auto" w:sz="4" w:space="0"/>
              <w:right w:val="single" w:color="auto" w:sz="4" w:space="0"/>
            </w:tcBorders>
            <w:vAlign w:val="center"/>
          </w:tcPr>
          <w:p w14:paraId="1507CC26">
            <w:pPr>
              <w:pStyle w:val="12"/>
              <w:spacing w:line="360" w:lineRule="auto"/>
              <w:jc w:val="center"/>
              <w:rPr>
                <w:rFonts w:ascii="Times New Roman" w:hAnsi="Times New Roman" w:cs="Times New Roman"/>
              </w:rPr>
            </w:pPr>
            <w:r>
              <w:rPr>
                <w:rFonts w:ascii="Times New Roman" w:hAnsi="Times New Roman" w:cs="Times New Roman"/>
                <w:kern w:val="2"/>
                <w:sz w:val="21"/>
              </w:rPr>
              <w:t>10%</w:t>
            </w:r>
          </w:p>
        </w:tc>
        <w:tc>
          <w:tcPr>
            <w:tcW w:w="4030" w:type="dxa"/>
            <w:tcBorders>
              <w:top w:val="single" w:color="auto" w:sz="4" w:space="0"/>
              <w:left w:val="single" w:color="auto" w:sz="4" w:space="0"/>
              <w:bottom w:val="single" w:color="auto" w:sz="4" w:space="0"/>
              <w:right w:val="single" w:color="auto" w:sz="4" w:space="0"/>
            </w:tcBorders>
            <w:vAlign w:val="center"/>
          </w:tcPr>
          <w:p w14:paraId="672F8A92">
            <w:pPr>
              <w:spacing w:line="360" w:lineRule="auto"/>
              <w:jc w:val="left"/>
              <w:rPr>
                <w:rFonts w:ascii="Times New Roman" w:hAnsi="Times New Roman" w:cs="Times New Roman"/>
              </w:rPr>
            </w:pPr>
            <w:r>
              <w:rPr>
                <w:rFonts w:ascii="Times New Roman" w:hAnsi="Times New Roman" w:cs="Times New Roman"/>
                <w:lang w:bidi="ar"/>
              </w:rPr>
              <w:t>课堂不定期点名，考核出勤情况并打分。</w:t>
            </w:r>
          </w:p>
        </w:tc>
        <w:tc>
          <w:tcPr>
            <w:tcW w:w="1429" w:type="dxa"/>
            <w:tcBorders>
              <w:top w:val="single" w:color="auto" w:sz="4" w:space="0"/>
              <w:left w:val="single" w:color="auto" w:sz="4" w:space="0"/>
              <w:right w:val="single" w:color="auto" w:sz="4" w:space="0"/>
            </w:tcBorders>
            <w:vAlign w:val="center"/>
          </w:tcPr>
          <w:p w14:paraId="25E3E8CB">
            <w:pPr>
              <w:pStyle w:val="34"/>
              <w:jc w:val="center"/>
              <w:rPr>
                <w:szCs w:val="21"/>
              </w:rPr>
            </w:pPr>
            <w:r>
              <w:rPr>
                <w:rFonts w:eastAsia="宋体"/>
                <w:color w:val="000000"/>
                <w:szCs w:val="21"/>
              </w:rPr>
              <w:t xml:space="preserve"> </w:t>
            </w:r>
            <w:r>
              <w:rPr>
                <w:szCs w:val="21"/>
              </w:rPr>
              <w:t>3-1</w:t>
            </w:r>
            <w:r>
              <w:rPr>
                <w:color w:val="000000"/>
                <w:szCs w:val="21"/>
              </w:rPr>
              <w:t>、</w:t>
            </w:r>
            <w:r>
              <w:rPr>
                <w:szCs w:val="21"/>
              </w:rPr>
              <w:t>3-2</w:t>
            </w:r>
          </w:p>
          <w:p w14:paraId="336680D9">
            <w:pPr>
              <w:pStyle w:val="12"/>
              <w:spacing w:line="360" w:lineRule="auto"/>
              <w:jc w:val="center"/>
              <w:rPr>
                <w:rFonts w:ascii="Times New Roman" w:hAnsi="Times New Roman" w:cs="Times New Roman"/>
                <w:sz w:val="21"/>
                <w:szCs w:val="21"/>
              </w:rPr>
            </w:pPr>
            <w:r>
              <w:rPr>
                <w:rFonts w:ascii="Times New Roman" w:hAnsi="Times New Roman" w:cs="Times New Roman"/>
                <w:sz w:val="21"/>
                <w:szCs w:val="21"/>
              </w:rPr>
              <w:t>6-2</w:t>
            </w:r>
          </w:p>
        </w:tc>
      </w:tr>
      <w:tr w14:paraId="4F2F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1117" w:type="dxa"/>
            <w:vMerge w:val="continue"/>
            <w:tcBorders>
              <w:left w:val="single" w:color="auto" w:sz="4" w:space="0"/>
              <w:right w:val="single" w:color="auto" w:sz="4" w:space="0"/>
            </w:tcBorders>
            <w:tcMar>
              <w:left w:w="57" w:type="dxa"/>
              <w:right w:w="57" w:type="dxa"/>
            </w:tcMar>
            <w:vAlign w:val="center"/>
          </w:tcPr>
          <w:p w14:paraId="3E09243C">
            <w:pPr>
              <w:spacing w:line="360" w:lineRule="auto"/>
              <w:rPr>
                <w:rFonts w:ascii="Times New Roman" w:hAnsi="Times New Roman" w:cs="Times New Roman"/>
                <w:sz w:val="20"/>
                <w:szCs w:val="20"/>
              </w:rPr>
            </w:pPr>
          </w:p>
        </w:tc>
        <w:tc>
          <w:tcPr>
            <w:tcW w:w="1581" w:type="dxa"/>
            <w:tcBorders>
              <w:top w:val="single" w:color="auto" w:sz="4" w:space="0"/>
              <w:left w:val="single" w:color="auto" w:sz="4" w:space="0"/>
              <w:bottom w:val="single" w:color="auto" w:sz="4" w:space="0"/>
              <w:right w:val="single" w:color="auto" w:sz="4" w:space="0"/>
            </w:tcBorders>
            <w:vAlign w:val="center"/>
          </w:tcPr>
          <w:p w14:paraId="7FBFED22">
            <w:pPr>
              <w:pStyle w:val="12"/>
              <w:spacing w:line="360" w:lineRule="auto"/>
              <w:jc w:val="center"/>
              <w:rPr>
                <w:rFonts w:ascii="Times New Roman" w:hAnsi="Times New Roman" w:cs="Times New Roman"/>
              </w:rPr>
            </w:pPr>
            <w:r>
              <w:rPr>
                <w:rFonts w:ascii="Times New Roman" w:hAnsi="Times New Roman" w:cs="Times New Roman"/>
                <w:sz w:val="21"/>
                <w:lang w:bidi="ar"/>
              </w:rPr>
              <w:t>师生互动</w:t>
            </w:r>
          </w:p>
        </w:tc>
        <w:tc>
          <w:tcPr>
            <w:tcW w:w="1037" w:type="dxa"/>
            <w:tcBorders>
              <w:top w:val="single" w:color="auto" w:sz="4" w:space="0"/>
              <w:left w:val="single" w:color="auto" w:sz="4" w:space="0"/>
              <w:bottom w:val="single" w:color="auto" w:sz="4" w:space="0"/>
              <w:right w:val="single" w:color="auto" w:sz="4" w:space="0"/>
            </w:tcBorders>
            <w:vAlign w:val="center"/>
          </w:tcPr>
          <w:p w14:paraId="00F91B4E">
            <w:pPr>
              <w:spacing w:line="360" w:lineRule="auto"/>
              <w:jc w:val="center"/>
              <w:rPr>
                <w:rFonts w:ascii="Times New Roman" w:hAnsi="Times New Roman" w:cs="Times New Roman"/>
                <w:sz w:val="20"/>
                <w:szCs w:val="20"/>
              </w:rPr>
            </w:pPr>
            <w:r>
              <w:rPr>
                <w:rFonts w:ascii="Times New Roman" w:hAnsi="Times New Roman" w:cs="Times New Roman"/>
              </w:rPr>
              <w:t>10%</w:t>
            </w:r>
          </w:p>
        </w:tc>
        <w:tc>
          <w:tcPr>
            <w:tcW w:w="4030" w:type="dxa"/>
            <w:tcBorders>
              <w:top w:val="single" w:color="auto" w:sz="4" w:space="0"/>
              <w:left w:val="single" w:color="auto" w:sz="4" w:space="0"/>
              <w:bottom w:val="single" w:color="auto" w:sz="4" w:space="0"/>
              <w:right w:val="single" w:color="auto" w:sz="4" w:space="0"/>
            </w:tcBorders>
            <w:vAlign w:val="center"/>
          </w:tcPr>
          <w:p w14:paraId="6F992CD1">
            <w:pPr>
              <w:jc w:val="left"/>
              <w:rPr>
                <w:rFonts w:ascii="Times New Roman" w:hAnsi="Times New Roman" w:cs="Times New Roman"/>
              </w:rPr>
            </w:pPr>
            <w:r>
              <w:rPr>
                <w:rFonts w:ascii="Times New Roman" w:hAnsi="Times New Roman" w:eastAsia="宋体" w:cs="Times New Roman"/>
              </w:rPr>
              <w:t>课堂不定期通过提问或小练习实施师生互动，考核考核学生课堂学习情况，按照互动情况打分。</w:t>
            </w:r>
          </w:p>
        </w:tc>
        <w:tc>
          <w:tcPr>
            <w:tcW w:w="1429" w:type="dxa"/>
            <w:tcBorders>
              <w:left w:val="single" w:color="auto" w:sz="4" w:space="0"/>
              <w:right w:val="single" w:color="auto" w:sz="4" w:space="0"/>
            </w:tcBorders>
            <w:vAlign w:val="center"/>
          </w:tcPr>
          <w:p w14:paraId="62593194">
            <w:pPr>
              <w:pStyle w:val="34"/>
              <w:jc w:val="center"/>
              <w:rPr>
                <w:szCs w:val="21"/>
              </w:rPr>
            </w:pPr>
            <w:r>
              <w:rPr>
                <w:rFonts w:eastAsia="宋体"/>
                <w:color w:val="000000"/>
                <w:szCs w:val="21"/>
              </w:rPr>
              <w:t xml:space="preserve"> </w:t>
            </w:r>
            <w:r>
              <w:rPr>
                <w:szCs w:val="21"/>
              </w:rPr>
              <w:t>3-1</w:t>
            </w:r>
            <w:r>
              <w:rPr>
                <w:color w:val="000000"/>
                <w:szCs w:val="21"/>
              </w:rPr>
              <w:t>、</w:t>
            </w:r>
            <w:r>
              <w:rPr>
                <w:szCs w:val="21"/>
              </w:rPr>
              <w:t>3-2</w:t>
            </w:r>
          </w:p>
          <w:p w14:paraId="12CFF67A">
            <w:pPr>
              <w:spacing w:line="360" w:lineRule="auto"/>
              <w:jc w:val="center"/>
              <w:rPr>
                <w:rFonts w:ascii="Times New Roman" w:hAnsi="Times New Roman" w:cs="Times New Roman"/>
                <w:szCs w:val="21"/>
              </w:rPr>
            </w:pPr>
            <w:r>
              <w:rPr>
                <w:rFonts w:ascii="Times New Roman" w:hAnsi="Times New Roman" w:cs="Times New Roman"/>
                <w:szCs w:val="21"/>
              </w:rPr>
              <w:t>6-2</w:t>
            </w:r>
          </w:p>
        </w:tc>
      </w:tr>
      <w:tr w14:paraId="510A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117" w:type="dxa"/>
            <w:vMerge w:val="continue"/>
            <w:tcBorders>
              <w:left w:val="single" w:color="auto" w:sz="4" w:space="0"/>
              <w:bottom w:val="single" w:color="auto" w:sz="4" w:space="0"/>
              <w:right w:val="single" w:color="auto" w:sz="4" w:space="0"/>
            </w:tcBorders>
            <w:tcMar>
              <w:left w:w="57" w:type="dxa"/>
              <w:right w:w="57" w:type="dxa"/>
            </w:tcMar>
            <w:vAlign w:val="center"/>
          </w:tcPr>
          <w:p w14:paraId="65F0E027">
            <w:pPr>
              <w:spacing w:line="360" w:lineRule="auto"/>
              <w:rPr>
                <w:rFonts w:ascii="Times New Roman" w:hAnsi="Times New Roman" w:cs="Times New Roman"/>
                <w:sz w:val="20"/>
                <w:szCs w:val="20"/>
              </w:rPr>
            </w:pPr>
          </w:p>
        </w:tc>
        <w:tc>
          <w:tcPr>
            <w:tcW w:w="1581" w:type="dxa"/>
            <w:tcBorders>
              <w:top w:val="single" w:color="auto" w:sz="4" w:space="0"/>
              <w:left w:val="single" w:color="auto" w:sz="4" w:space="0"/>
              <w:bottom w:val="single" w:color="auto" w:sz="4" w:space="0"/>
              <w:right w:val="single" w:color="auto" w:sz="4" w:space="0"/>
            </w:tcBorders>
            <w:vAlign w:val="center"/>
          </w:tcPr>
          <w:p w14:paraId="64D41647">
            <w:pPr>
              <w:pStyle w:val="12"/>
              <w:spacing w:line="360" w:lineRule="auto"/>
              <w:jc w:val="center"/>
              <w:rPr>
                <w:rFonts w:ascii="Times New Roman" w:hAnsi="Times New Roman" w:cs="Times New Roman"/>
                <w:sz w:val="21"/>
                <w:lang w:bidi="ar"/>
              </w:rPr>
            </w:pPr>
            <w:r>
              <w:rPr>
                <w:rFonts w:ascii="Times New Roman" w:hAnsi="Times New Roman" w:cs="Times New Roman"/>
                <w:sz w:val="21"/>
                <w:lang w:bidi="ar"/>
              </w:rPr>
              <w:t>平时作业</w:t>
            </w:r>
          </w:p>
        </w:tc>
        <w:tc>
          <w:tcPr>
            <w:tcW w:w="1037" w:type="dxa"/>
            <w:tcBorders>
              <w:top w:val="single" w:color="auto" w:sz="4" w:space="0"/>
              <w:left w:val="single" w:color="auto" w:sz="4" w:space="0"/>
              <w:bottom w:val="single" w:color="auto" w:sz="4" w:space="0"/>
              <w:right w:val="single" w:color="auto" w:sz="4" w:space="0"/>
            </w:tcBorders>
            <w:vAlign w:val="center"/>
          </w:tcPr>
          <w:p w14:paraId="37678107">
            <w:pPr>
              <w:spacing w:line="360" w:lineRule="auto"/>
              <w:jc w:val="center"/>
              <w:rPr>
                <w:rFonts w:ascii="Times New Roman" w:hAnsi="Times New Roman" w:eastAsia="宋体" w:cs="Times New Roman"/>
                <w:sz w:val="20"/>
                <w:szCs w:val="20"/>
              </w:rPr>
            </w:pPr>
            <w:r>
              <w:rPr>
                <w:rFonts w:ascii="Times New Roman" w:hAnsi="Times New Roman" w:cs="Times New Roman"/>
                <w:sz w:val="20"/>
                <w:szCs w:val="20"/>
              </w:rPr>
              <w:t>30%</w:t>
            </w:r>
          </w:p>
        </w:tc>
        <w:tc>
          <w:tcPr>
            <w:tcW w:w="4030" w:type="dxa"/>
            <w:tcBorders>
              <w:top w:val="single" w:color="auto" w:sz="4" w:space="0"/>
              <w:left w:val="single" w:color="auto" w:sz="4" w:space="0"/>
              <w:bottom w:val="single" w:color="auto" w:sz="4" w:space="0"/>
              <w:right w:val="single" w:color="auto" w:sz="4" w:space="0"/>
            </w:tcBorders>
            <w:vAlign w:val="center"/>
          </w:tcPr>
          <w:p w14:paraId="18CDBE37">
            <w:pPr>
              <w:jc w:val="left"/>
              <w:rPr>
                <w:rFonts w:ascii="Times New Roman" w:hAnsi="Times New Roman" w:cs="Times New Roman"/>
                <w:lang w:bidi="ar"/>
              </w:rPr>
            </w:pPr>
            <w:r>
              <w:rPr>
                <w:rFonts w:ascii="Times New Roman" w:hAnsi="Times New Roman" w:cs="Times New Roman"/>
                <w:lang w:bidi="ar"/>
              </w:rPr>
              <w:t>定期布置习题，考核学生对所学知识点的复习、理解和掌握度。对作业完成情况做记录并百分制打分，计算作业的平均成绩。</w:t>
            </w:r>
          </w:p>
        </w:tc>
        <w:tc>
          <w:tcPr>
            <w:tcW w:w="1429" w:type="dxa"/>
            <w:tcBorders>
              <w:left w:val="single" w:color="auto" w:sz="4" w:space="0"/>
              <w:bottom w:val="single" w:color="auto" w:sz="4" w:space="0"/>
              <w:right w:val="single" w:color="auto" w:sz="4" w:space="0"/>
            </w:tcBorders>
            <w:vAlign w:val="center"/>
          </w:tcPr>
          <w:p w14:paraId="28070133">
            <w:pPr>
              <w:pStyle w:val="34"/>
              <w:jc w:val="center"/>
              <w:rPr>
                <w:szCs w:val="21"/>
              </w:rPr>
            </w:pPr>
            <w:r>
              <w:rPr>
                <w:rFonts w:eastAsia="宋体"/>
                <w:color w:val="000000"/>
                <w:szCs w:val="21"/>
              </w:rPr>
              <w:t xml:space="preserve"> </w:t>
            </w:r>
            <w:r>
              <w:rPr>
                <w:szCs w:val="21"/>
              </w:rPr>
              <w:t>3-1</w:t>
            </w:r>
            <w:r>
              <w:rPr>
                <w:color w:val="000000"/>
                <w:szCs w:val="21"/>
              </w:rPr>
              <w:t>、</w:t>
            </w:r>
            <w:r>
              <w:rPr>
                <w:szCs w:val="21"/>
              </w:rPr>
              <w:t>3-2</w:t>
            </w:r>
          </w:p>
          <w:p w14:paraId="2FC5C45D">
            <w:pPr>
              <w:spacing w:line="360" w:lineRule="auto"/>
              <w:jc w:val="center"/>
              <w:rPr>
                <w:rFonts w:ascii="Times New Roman" w:hAnsi="Times New Roman" w:cs="Times New Roman"/>
                <w:szCs w:val="21"/>
              </w:rPr>
            </w:pPr>
            <w:r>
              <w:rPr>
                <w:rFonts w:ascii="Times New Roman" w:hAnsi="Times New Roman" w:cs="Times New Roman"/>
                <w:szCs w:val="21"/>
              </w:rPr>
              <w:t>6-2</w:t>
            </w:r>
          </w:p>
        </w:tc>
      </w:tr>
      <w:tr w14:paraId="0D10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117"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DD3333F">
            <w:pPr>
              <w:pStyle w:val="12"/>
              <w:spacing w:line="360" w:lineRule="auto"/>
              <w:jc w:val="center"/>
              <w:rPr>
                <w:rFonts w:ascii="Times New Roman" w:hAnsi="Times New Roman" w:cs="Times New Roman"/>
                <w:color w:val="FF0000"/>
              </w:rPr>
            </w:pPr>
            <w:r>
              <w:rPr>
                <w:rFonts w:ascii="Times New Roman" w:hAnsi="Times New Roman" w:cs="Times New Roman"/>
                <w:sz w:val="21"/>
                <w:lang w:bidi="ar"/>
              </w:rPr>
              <w:t>期末考试成绩</w:t>
            </w:r>
          </w:p>
        </w:tc>
        <w:tc>
          <w:tcPr>
            <w:tcW w:w="1581" w:type="dxa"/>
            <w:tcBorders>
              <w:top w:val="single" w:color="auto" w:sz="4" w:space="0"/>
              <w:left w:val="single" w:color="auto" w:sz="4" w:space="0"/>
              <w:bottom w:val="single" w:color="auto" w:sz="4" w:space="0"/>
              <w:right w:val="single" w:color="auto" w:sz="4" w:space="0"/>
            </w:tcBorders>
            <w:vAlign w:val="center"/>
          </w:tcPr>
          <w:p w14:paraId="1A61C630">
            <w:pPr>
              <w:pStyle w:val="12"/>
              <w:spacing w:line="360" w:lineRule="auto"/>
              <w:jc w:val="center"/>
              <w:rPr>
                <w:rFonts w:ascii="Times New Roman" w:hAnsi="Times New Roman" w:cs="Times New Roman"/>
              </w:rPr>
            </w:pPr>
            <w:r>
              <w:rPr>
                <w:rFonts w:ascii="Times New Roman" w:hAnsi="Times New Roman" w:cs="Times New Roman"/>
                <w:sz w:val="21"/>
                <w:lang w:bidi="ar"/>
              </w:rPr>
              <w:t>试卷考试</w:t>
            </w:r>
          </w:p>
        </w:tc>
        <w:tc>
          <w:tcPr>
            <w:tcW w:w="1037" w:type="dxa"/>
            <w:tcBorders>
              <w:top w:val="single" w:color="auto" w:sz="4" w:space="0"/>
              <w:left w:val="single" w:color="auto" w:sz="4" w:space="0"/>
              <w:bottom w:val="single" w:color="auto" w:sz="4" w:space="0"/>
              <w:right w:val="single" w:color="auto" w:sz="4" w:space="0"/>
            </w:tcBorders>
            <w:vAlign w:val="center"/>
          </w:tcPr>
          <w:p w14:paraId="33FCF229">
            <w:pPr>
              <w:pStyle w:val="12"/>
              <w:spacing w:line="360" w:lineRule="auto"/>
              <w:jc w:val="center"/>
              <w:rPr>
                <w:rFonts w:ascii="Times New Roman" w:hAnsi="Times New Roman" w:cs="Times New Roman"/>
              </w:rPr>
            </w:pPr>
            <w:r>
              <w:rPr>
                <w:rFonts w:ascii="Times New Roman" w:hAnsi="Times New Roman" w:cs="Times New Roman"/>
                <w:sz w:val="21"/>
                <w:lang w:bidi="ar"/>
              </w:rPr>
              <w:t>50 %</w:t>
            </w:r>
          </w:p>
        </w:tc>
        <w:tc>
          <w:tcPr>
            <w:tcW w:w="4030" w:type="dxa"/>
            <w:tcBorders>
              <w:top w:val="single" w:color="auto" w:sz="4" w:space="0"/>
              <w:left w:val="single" w:color="auto" w:sz="4" w:space="0"/>
              <w:bottom w:val="single" w:color="auto" w:sz="4" w:space="0"/>
              <w:right w:val="single" w:color="auto" w:sz="4" w:space="0"/>
            </w:tcBorders>
            <w:vAlign w:val="center"/>
          </w:tcPr>
          <w:p w14:paraId="09E2D6C1">
            <w:pPr>
              <w:spacing w:line="360" w:lineRule="auto"/>
              <w:jc w:val="left"/>
              <w:rPr>
                <w:rFonts w:ascii="Times New Roman" w:hAnsi="Times New Roman" w:cs="Times New Roman"/>
              </w:rPr>
            </w:pPr>
            <w:r>
              <w:rPr>
                <w:rFonts w:ascii="Times New Roman" w:hAnsi="Times New Roman" w:cs="Times New Roman"/>
                <w:lang w:bidi="ar"/>
              </w:rPr>
              <w:t>试卷题型包括选择题、计算题、解答题等。</w:t>
            </w:r>
          </w:p>
        </w:tc>
        <w:tc>
          <w:tcPr>
            <w:tcW w:w="1429" w:type="dxa"/>
            <w:tcBorders>
              <w:top w:val="single" w:color="auto" w:sz="4" w:space="0"/>
              <w:left w:val="single" w:color="auto" w:sz="4" w:space="0"/>
              <w:bottom w:val="single" w:color="auto" w:sz="4" w:space="0"/>
              <w:right w:val="single" w:color="auto" w:sz="4" w:space="0"/>
            </w:tcBorders>
            <w:vAlign w:val="center"/>
          </w:tcPr>
          <w:p w14:paraId="5E556501">
            <w:pPr>
              <w:pStyle w:val="12"/>
              <w:spacing w:line="360" w:lineRule="auto"/>
              <w:jc w:val="center"/>
              <w:rPr>
                <w:rFonts w:ascii="Times New Roman" w:hAnsi="Times New Roman" w:cs="Times New Roman"/>
                <w:sz w:val="21"/>
                <w:szCs w:val="21"/>
              </w:rPr>
            </w:pPr>
            <w:r>
              <w:rPr>
                <w:rFonts w:ascii="Times New Roman" w:hAnsi="Times New Roman" w:cs="Times New Roman"/>
                <w:kern w:val="2"/>
                <w:sz w:val="21"/>
                <w:szCs w:val="21"/>
              </w:rPr>
              <w:t xml:space="preserve">3-1、3-2 </w:t>
            </w:r>
          </w:p>
        </w:tc>
      </w:tr>
    </w:tbl>
    <w:p w14:paraId="58D7769B">
      <w:pPr>
        <w:spacing w:line="360" w:lineRule="auto"/>
        <w:ind w:firstLine="562" w:firstLineChars="200"/>
        <w:rPr>
          <w:rFonts w:ascii="Times New Roman" w:hAnsi="Times New Roman" w:cs="Times New Roman"/>
          <w:b/>
          <w:sz w:val="28"/>
          <w:szCs w:val="28"/>
        </w:rPr>
      </w:pPr>
      <w:r>
        <w:rPr>
          <w:rFonts w:ascii="Times New Roman" w:hAnsi="Times New Roman" w:cs="Times New Roman"/>
          <w:b/>
          <w:sz w:val="28"/>
          <w:szCs w:val="28"/>
        </w:rPr>
        <w:t>六、有关说明</w:t>
      </w:r>
    </w:p>
    <w:p w14:paraId="5CEE0B9F">
      <w:pPr>
        <w:spacing w:line="360" w:lineRule="auto"/>
        <w:ind w:firstLine="482" w:firstLineChars="200"/>
        <w:rPr>
          <w:rFonts w:ascii="Times New Roman" w:hAnsi="Times New Roman" w:cs="Times New Roman"/>
          <w:b/>
          <w:color w:val="000000"/>
          <w:sz w:val="24"/>
        </w:rPr>
      </w:pPr>
      <w:r>
        <w:rPr>
          <w:rFonts w:ascii="Times New Roman" w:hAnsi="Times New Roman" w:cs="Times New Roman"/>
          <w:b/>
          <w:color w:val="000000"/>
          <w:sz w:val="24"/>
        </w:rPr>
        <w:t>（一）持续改进</w:t>
      </w:r>
    </w:p>
    <w:p w14:paraId="3340C182">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1. 提倡改革教学方法，强调应用现代化教学手段，如课件、互联网视频教学和网络答疑等。</w:t>
      </w:r>
    </w:p>
    <w:p w14:paraId="564C5D89">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2.合理安排教学课时，加强课堂提问、课堂小测验等旨在督促学生自主学习的教学环节；引导学生做好课前预习、课后整理笔记并及时完成作业的复习工作；保证学生完成一定数量的作业和习题。</w:t>
      </w:r>
    </w:p>
    <w:p w14:paraId="4AAD2B48">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3．教学用的例题和习题，应适当结合工程实际。</w:t>
      </w:r>
    </w:p>
    <w:p w14:paraId="7062532D">
      <w:pPr>
        <w:spacing w:line="360" w:lineRule="auto"/>
        <w:ind w:firstLine="482" w:firstLineChars="200"/>
        <w:rPr>
          <w:rFonts w:ascii="Times New Roman" w:hAnsi="Times New Roman" w:cs="Times New Roman"/>
          <w:b/>
          <w:color w:val="000000"/>
          <w:sz w:val="24"/>
        </w:rPr>
      </w:pPr>
      <w:r>
        <w:rPr>
          <w:rFonts w:ascii="Times New Roman" w:hAnsi="Times New Roman" w:cs="Times New Roman"/>
          <w:b/>
          <w:color w:val="000000"/>
          <w:sz w:val="24"/>
        </w:rPr>
        <w:t>（二）参考书目及学习资料</w:t>
      </w:r>
    </w:p>
    <w:p w14:paraId="071DE661">
      <w:pPr>
        <w:numPr>
          <w:ilvl w:val="0"/>
          <w:numId w:val="53"/>
        </w:numPr>
        <w:spacing w:line="300" w:lineRule="auto"/>
        <w:rPr>
          <w:rFonts w:ascii="Times New Roman" w:hAnsi="Times New Roman" w:cs="Times New Roman"/>
          <w:sz w:val="24"/>
        </w:rPr>
      </w:pPr>
      <w:r>
        <w:rPr>
          <w:rFonts w:ascii="Times New Roman" w:hAnsi="Times New Roman" w:cs="Times New Roman"/>
          <w:sz w:val="24"/>
        </w:rPr>
        <w:t>张力宏 高等代数            北京：人民教育出版社</w:t>
      </w:r>
    </w:p>
    <w:p w14:paraId="211BC2A0">
      <w:pPr>
        <w:numPr>
          <w:ilvl w:val="0"/>
          <w:numId w:val="53"/>
        </w:numPr>
        <w:spacing w:line="300" w:lineRule="auto"/>
        <w:rPr>
          <w:rFonts w:ascii="Times New Roman" w:hAnsi="Times New Roman" w:cs="Times New Roman"/>
          <w:sz w:val="24"/>
        </w:rPr>
      </w:pPr>
      <w:r>
        <w:rPr>
          <w:rFonts w:ascii="Times New Roman" w:hAnsi="Times New Roman" w:cs="Times New Roman"/>
          <w:sz w:val="24"/>
        </w:rPr>
        <w:t>王萼芳 高等代数教程        北京：清华大学出版社</w:t>
      </w:r>
    </w:p>
    <w:p w14:paraId="41062E1F">
      <w:pPr>
        <w:numPr>
          <w:ilvl w:val="0"/>
          <w:numId w:val="53"/>
        </w:numPr>
        <w:spacing w:line="300" w:lineRule="auto"/>
        <w:rPr>
          <w:rFonts w:ascii="Times New Roman" w:hAnsi="Times New Roman" w:cs="Times New Roman"/>
          <w:sz w:val="24"/>
        </w:rPr>
      </w:pPr>
      <w:r>
        <w:rPr>
          <w:rFonts w:ascii="Times New Roman" w:hAnsi="Times New Roman" w:cs="Times New Roman"/>
          <w:sz w:val="24"/>
        </w:rPr>
        <w:t>王萼芳 高等代数教程习题集  北京：清华大学出版社</w:t>
      </w:r>
    </w:p>
    <w:p w14:paraId="2524255E">
      <w:pPr>
        <w:spacing w:line="300" w:lineRule="auto"/>
        <w:ind w:left="480"/>
        <w:rPr>
          <w:rFonts w:ascii="Times New Roman" w:hAnsi="Times New Roman" w:cs="Times New Roman"/>
          <w:sz w:val="24"/>
        </w:rPr>
      </w:pPr>
    </w:p>
    <w:p w14:paraId="76BA5346">
      <w:pPr>
        <w:spacing w:line="300" w:lineRule="auto"/>
        <w:ind w:left="480"/>
        <w:rPr>
          <w:rFonts w:ascii="Times New Roman" w:hAnsi="Times New Roman" w:cs="Times New Roman"/>
          <w:sz w:val="24"/>
        </w:rPr>
      </w:pPr>
    </w:p>
    <w:p w14:paraId="6519933F">
      <w:pPr>
        <w:autoSpaceDE w:val="0"/>
        <w:autoSpaceDN w:val="0"/>
        <w:adjustRightInd w:val="0"/>
        <w:spacing w:line="360" w:lineRule="auto"/>
        <w:ind w:left="7199" w:leftChars="228" w:hanging="6720" w:hangingChars="2800"/>
        <w:jc w:val="left"/>
        <w:rPr>
          <w:rFonts w:ascii="Times New Roman" w:hAnsi="Times New Roman" w:eastAsia="宋体" w:cs="Times New Roman"/>
          <w:kern w:val="0"/>
          <w:sz w:val="24"/>
          <w:szCs w:val="21"/>
        </w:rPr>
      </w:pPr>
      <w:r>
        <w:rPr>
          <w:rFonts w:ascii="Times New Roman" w:hAnsi="Times New Roman" w:cs="Times New Roman"/>
          <w:sz w:val="24"/>
        </w:rPr>
        <w:t xml:space="preserve">                                                  </w:t>
      </w:r>
      <w:r>
        <w:rPr>
          <w:rFonts w:ascii="Times New Roman" w:hAnsi="Times New Roman" w:cs="Times New Roman"/>
          <w:kern w:val="0"/>
          <w:sz w:val="24"/>
          <w:szCs w:val="21"/>
        </w:rPr>
        <w:t>执笔人：王志芳</w:t>
      </w:r>
    </w:p>
    <w:p w14:paraId="2132CA9B">
      <w:pPr>
        <w:autoSpaceDE w:val="0"/>
        <w:autoSpaceDN w:val="0"/>
        <w:adjustRightInd w:val="0"/>
        <w:spacing w:line="360" w:lineRule="auto"/>
        <w:ind w:firstLine="6480" w:firstLineChars="2700"/>
        <w:jc w:val="left"/>
        <w:rPr>
          <w:rFonts w:ascii="Times New Roman" w:hAnsi="Times New Roman" w:cs="Times New Roman"/>
          <w:kern w:val="0"/>
          <w:sz w:val="24"/>
          <w:szCs w:val="21"/>
        </w:rPr>
      </w:pPr>
      <w:r>
        <w:rPr>
          <w:rFonts w:ascii="Times New Roman" w:hAnsi="Times New Roman" w:cs="Times New Roman"/>
          <w:kern w:val="0"/>
          <w:sz w:val="24"/>
          <w:szCs w:val="21"/>
        </w:rPr>
        <w:t>审定人：钱  峰</w:t>
      </w:r>
    </w:p>
    <w:p w14:paraId="3493534F">
      <w:pPr>
        <w:autoSpaceDE w:val="0"/>
        <w:autoSpaceDN w:val="0"/>
        <w:adjustRightInd w:val="0"/>
        <w:spacing w:line="360" w:lineRule="auto"/>
        <w:ind w:firstLine="6480" w:firstLineChars="2700"/>
        <w:jc w:val="left"/>
        <w:rPr>
          <w:rFonts w:ascii="Times New Roman" w:hAnsi="Times New Roman" w:cs="Times New Roman"/>
          <w:kern w:val="0"/>
          <w:sz w:val="24"/>
          <w:szCs w:val="21"/>
        </w:rPr>
      </w:pPr>
      <w:r>
        <w:rPr>
          <w:rFonts w:ascii="Times New Roman" w:hAnsi="Times New Roman" w:cs="Times New Roman"/>
          <w:kern w:val="0"/>
          <w:sz w:val="24"/>
          <w:szCs w:val="21"/>
        </w:rPr>
        <w:t>审批人：王献东</w:t>
      </w:r>
    </w:p>
    <w:p w14:paraId="12EFBD9E">
      <w:pPr>
        <w:autoSpaceDE w:val="0"/>
        <w:autoSpaceDN w:val="0"/>
        <w:adjustRightInd w:val="0"/>
        <w:spacing w:line="360" w:lineRule="auto"/>
        <w:ind w:firstLine="6480" w:firstLineChars="2700"/>
        <w:jc w:val="left"/>
        <w:rPr>
          <w:rFonts w:ascii="Times New Roman" w:hAnsi="Times New Roman" w:eastAsia="宋体" w:cs="Times New Roman"/>
          <w:kern w:val="0"/>
          <w:sz w:val="24"/>
          <w:szCs w:val="21"/>
        </w:rPr>
      </w:pPr>
      <w:r>
        <w:rPr>
          <w:rFonts w:ascii="Times New Roman" w:hAnsi="Times New Roman" w:cs="Times New Roman"/>
          <w:kern w:val="0"/>
          <w:sz w:val="24"/>
          <w:szCs w:val="21"/>
        </w:rPr>
        <w:t>批准时间：202</w:t>
      </w:r>
      <w:r>
        <w:rPr>
          <w:rFonts w:hint="eastAsia" w:ascii="Times New Roman" w:hAnsi="Times New Roman" w:cs="Times New Roman"/>
          <w:kern w:val="0"/>
          <w:sz w:val="24"/>
          <w:szCs w:val="21"/>
        </w:rPr>
        <w:t>4</w:t>
      </w:r>
      <w:r>
        <w:rPr>
          <w:rFonts w:ascii="Times New Roman" w:hAnsi="Times New Roman" w:cs="Times New Roman"/>
          <w:kern w:val="0"/>
          <w:sz w:val="24"/>
          <w:szCs w:val="21"/>
        </w:rPr>
        <w:t>.9</w:t>
      </w:r>
    </w:p>
    <w:p w14:paraId="124A078E">
      <w:pPr>
        <w:rPr>
          <w:rFonts w:hint="eastAsia" w:ascii="等线" w:hAnsi="等线" w:eastAsia="等线" w:cs="等线"/>
          <w:b/>
          <w:bCs/>
          <w:sz w:val="44"/>
          <w:szCs w:val="44"/>
        </w:rPr>
      </w:pPr>
      <w:r>
        <w:rPr>
          <w:rFonts w:hint="eastAsia" w:ascii="等线" w:hAnsi="等线" w:eastAsia="等线" w:cs="等线"/>
          <w:b/>
          <w:bCs/>
          <w:sz w:val="44"/>
          <w:szCs w:val="44"/>
        </w:rPr>
        <w:br w:type="page"/>
      </w:r>
    </w:p>
    <w:p w14:paraId="3D108C0E">
      <w:pPr>
        <w:pStyle w:val="2"/>
      </w:pPr>
      <w:bookmarkStart w:id="218" w:name="_Toc7476"/>
      <w:bookmarkStart w:id="219" w:name="_Toc4029"/>
      <w:r>
        <w:rPr>
          <w:rFonts w:hint="eastAsia"/>
        </w:rPr>
        <w:t>《概率与统计》课程教学大纲</w:t>
      </w:r>
      <w:bookmarkEnd w:id="218"/>
      <w:bookmarkEnd w:id="219"/>
    </w:p>
    <w:p w14:paraId="3ED9DB23">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Pedagogical Principles</w:t>
      </w:r>
      <w:r>
        <w:rPr>
          <w:rFonts w:ascii="Times New Roman" w:hAnsi="Times New Roman" w:eastAsia="宋体" w:cs="Times New Roman"/>
          <w:b/>
          <w:bCs/>
          <w:sz w:val="28"/>
          <w:szCs w:val="28"/>
        </w:rPr>
        <w:t>）</w:t>
      </w:r>
    </w:p>
    <w:p w14:paraId="46B8B6B0">
      <w:pPr>
        <w:spacing w:line="360" w:lineRule="auto"/>
        <w:jc w:val="center"/>
        <w:rPr>
          <w:rFonts w:ascii="Times New Roman" w:hAnsi="Times New Roman" w:eastAsia="宋体" w:cs="Times New Roman"/>
          <w:bCs/>
          <w:sz w:val="30"/>
          <w:szCs w:val="30"/>
        </w:rPr>
      </w:pPr>
    </w:p>
    <w:p w14:paraId="37456A2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课程名称：概率与统计</w:t>
      </w:r>
    </w:p>
    <w:p w14:paraId="7D057F4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课程代码：0821013</w:t>
      </w:r>
    </w:p>
    <w:p w14:paraId="56F0BA5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分：4</w:t>
      </w:r>
    </w:p>
    <w:p w14:paraId="6C292C5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时：64</w:t>
      </w:r>
    </w:p>
    <w:p w14:paraId="0295E65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先修课程：初等数学、高等数学</w:t>
      </w:r>
    </w:p>
    <w:p w14:paraId="4BB1383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68C790AB">
      <w:pPr>
        <w:spacing w:line="360" w:lineRule="auto"/>
        <w:jc w:val="left"/>
        <w:rPr>
          <w:rFonts w:ascii="Times New Roman" w:hAnsi="Times New Roman" w:eastAsia="宋体" w:cs="Times New Roman"/>
          <w:b/>
          <w:sz w:val="24"/>
        </w:rPr>
      </w:pPr>
    </w:p>
    <w:p w14:paraId="4B05E16A">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3BA56B9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必修课。通过本课程的学习，首先，使学生掌握基本的概率与统计概念，理解概率与统计之间的关系；其次，让学生了解概率与统计的计算和具体框架，提高其教育理论素养，为今后的工作实践奠定坚实的理论基础；最后，引导学生运用所学的基本理论分析和应用概率论与数理统计，将所学理论知识和教育实践结合起来，增强分析和解决实际问题的能力。</w:t>
      </w:r>
    </w:p>
    <w:p w14:paraId="541C34CD">
      <w:pPr>
        <w:spacing w:line="360" w:lineRule="auto"/>
        <w:jc w:val="left"/>
        <w:rPr>
          <w:rFonts w:hint="eastAsia" w:ascii="宋体" w:hAnsi="宋体" w:eastAsia="宋体" w:cs="Times New Roman"/>
          <w:b/>
          <w:color w:val="000000"/>
          <w:szCs w:val="21"/>
        </w:rPr>
      </w:pPr>
    </w:p>
    <w:p w14:paraId="59226CDF">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18B77D08">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2446376">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能够具有一定的抽象概括、逻辑推理和运算能力。</w:t>
      </w:r>
    </w:p>
    <w:p w14:paraId="24A8919E">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能够获得课程基本概念与性质，以及本课程要求的计算方法。</w:t>
      </w:r>
    </w:p>
    <w:p w14:paraId="71E71584">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 xml:space="preserve">能够具有一定的数学思维与分析能力。 </w:t>
      </w:r>
    </w:p>
    <w:p w14:paraId="49314EDB">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572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3AB029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528F75A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4A1923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209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64DF2E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376B56F0">
            <w:pPr>
              <w:pStyle w:val="12"/>
              <w:spacing w:before="0" w:beforeAutospacing="0" w:after="0" w:afterAutospacing="0"/>
              <w:jc w:val="both"/>
              <w:rPr>
                <w:rFonts w:hint="eastAsia" w:cs="Times New Roman"/>
                <w:color w:val="000000"/>
                <w:spacing w:val="2"/>
                <w:szCs w:val="21"/>
              </w:rPr>
            </w:pPr>
            <w:r>
              <w:rPr>
                <w:rFonts w:hint="eastAsia" w:cs="Times New Roman"/>
                <w:color w:val="000000"/>
                <w:spacing w:val="2"/>
                <w:szCs w:val="21"/>
              </w:rPr>
              <w:t>指标点</w:t>
            </w:r>
            <w:r>
              <w:rPr>
                <w:rFonts w:cs="Times New Roman"/>
                <w:color w:val="000000"/>
                <w:spacing w:val="2"/>
                <w:szCs w:val="21"/>
              </w:rPr>
              <w:t>3-</w:t>
            </w:r>
            <w:r>
              <w:rPr>
                <w:rFonts w:hint="eastAsia" w:cs="Times New Roman"/>
                <w:color w:val="000000"/>
                <w:spacing w:val="2"/>
                <w:szCs w:val="21"/>
              </w:rPr>
              <w:t>2</w:t>
            </w:r>
            <w:r>
              <w:rPr>
                <w:rFonts w:cs="Times New Roman"/>
                <w:color w:val="000000"/>
                <w:spacing w:val="2"/>
                <w:szCs w:val="21"/>
              </w:rPr>
              <w:t>：【</w:t>
            </w:r>
            <w:r>
              <w:rPr>
                <w:rFonts w:hint="eastAsia" w:cs="Times New Roman"/>
                <w:color w:val="000000"/>
                <w:spacing w:val="2"/>
                <w:szCs w:val="21"/>
              </w:rPr>
              <w:t>学科知识扎实</w:t>
            </w:r>
            <w:r>
              <w:rPr>
                <w:rFonts w:cs="Times New Roman"/>
                <w:color w:val="000000"/>
                <w:spacing w:val="2"/>
                <w:szCs w:val="21"/>
              </w:rPr>
              <w:t>】</w:t>
            </w:r>
            <w:r>
              <w:rPr>
                <w:rFonts w:hint="eastAsia" w:cs="Times New Roman"/>
                <w:color w:val="000000"/>
                <w:spacing w:val="2"/>
                <w:szCs w:val="21"/>
              </w:rPr>
              <w:t>具有学科专业能力，掌握小学数学学科的基本知识、原理和技能。熟悉小学科学的知识体系，掌握小学科学的基本知识、原理和技能。</w:t>
            </w:r>
          </w:p>
          <w:p w14:paraId="2BF30DAE">
            <w:pPr>
              <w:spacing w:line="276" w:lineRule="auto"/>
              <w:jc w:val="left"/>
              <w:rPr>
                <w:rFonts w:ascii="Times New Roman" w:hAnsi="Times New Roman" w:eastAsia="宋体" w:cs="Times New Roman"/>
                <w:szCs w:val="21"/>
              </w:rPr>
            </w:pPr>
          </w:p>
        </w:tc>
        <w:tc>
          <w:tcPr>
            <w:tcW w:w="1191" w:type="dxa"/>
            <w:vAlign w:val="center"/>
          </w:tcPr>
          <w:p w14:paraId="2660938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课程目标1，2，3</w:t>
            </w:r>
          </w:p>
        </w:tc>
      </w:tr>
    </w:tbl>
    <w:p w14:paraId="11115B17">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61E03FC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72FB4E2B">
      <w:pPr>
        <w:spacing w:line="360" w:lineRule="auto"/>
        <w:jc w:val="left"/>
        <w:rPr>
          <w:rFonts w:hint="eastAsia" w:ascii="宋体" w:hAnsi="宋体" w:eastAsia="宋体" w:cs="Times New Roman"/>
          <w:b/>
          <w:color w:val="000000"/>
          <w:sz w:val="28"/>
          <w:szCs w:val="28"/>
        </w:rPr>
      </w:pPr>
    </w:p>
    <w:p w14:paraId="2DF2AD26">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F7D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1E9697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027ED75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5717DC6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497027C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6EB3CB0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0280801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16BDF2C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016A32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5D97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D019473">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1.教育学及其发展</w:t>
            </w:r>
          </w:p>
        </w:tc>
        <w:tc>
          <w:tcPr>
            <w:tcW w:w="1701" w:type="dxa"/>
            <w:vAlign w:val="center"/>
          </w:tcPr>
          <w:p w14:paraId="60A8B52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（1）能够理解随机事件</w:t>
            </w:r>
          </w:p>
          <w:p w14:paraId="4339730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（2）能够了解古典概型</w:t>
            </w:r>
          </w:p>
          <w:p w14:paraId="0DFF9F2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（3）能够理解条件概率</w:t>
            </w:r>
          </w:p>
          <w:p w14:paraId="228A58F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（4）能够掌握独立重复实验</w:t>
            </w:r>
          </w:p>
        </w:tc>
        <w:tc>
          <w:tcPr>
            <w:tcW w:w="1134" w:type="dxa"/>
            <w:vAlign w:val="center"/>
          </w:tcPr>
          <w:p w14:paraId="3082D5F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26582CD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1.习得条件概率，全概率公式的应用。</w:t>
            </w:r>
          </w:p>
          <w:p w14:paraId="1FBD1D75">
            <w:pPr>
              <w:spacing w:line="269" w:lineRule="auto"/>
              <w:jc w:val="left"/>
              <w:rPr>
                <w:rFonts w:hint="eastAsia" w:ascii="宋体" w:hAnsi="宋体" w:eastAsia="宋体" w:cs="Times New Roman"/>
                <w:color w:val="000000"/>
                <w:szCs w:val="21"/>
              </w:rPr>
            </w:pPr>
          </w:p>
        </w:tc>
        <w:tc>
          <w:tcPr>
            <w:tcW w:w="1560" w:type="dxa"/>
            <w:vAlign w:val="center"/>
          </w:tcPr>
          <w:p w14:paraId="351FD3D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210DC94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3.平时作业</w:t>
            </w:r>
          </w:p>
        </w:tc>
        <w:tc>
          <w:tcPr>
            <w:tcW w:w="438" w:type="dxa"/>
            <w:vAlign w:val="center"/>
          </w:tcPr>
          <w:p w14:paraId="28EE6B4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386C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CCBAFAE">
            <w:pPr>
              <w:spacing w:line="264" w:lineRule="auto"/>
              <w:jc w:val="center"/>
              <w:rPr>
                <w:rFonts w:hint="eastAsia" w:ascii="宋体" w:hAnsi="宋体" w:eastAsia="宋体" w:cs="Times New Roman"/>
                <w:color w:val="000000"/>
                <w:szCs w:val="21"/>
              </w:rPr>
            </w:pPr>
          </w:p>
        </w:tc>
        <w:tc>
          <w:tcPr>
            <w:tcW w:w="8093" w:type="dxa"/>
            <w:gridSpan w:val="5"/>
            <w:vAlign w:val="center"/>
          </w:tcPr>
          <w:p w14:paraId="7D1F64D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注重理论联系实际，尊重客观规律，树立社会主义核心价值观，增强专业素养，强调理论对实践的指导意义。</w:t>
            </w:r>
          </w:p>
        </w:tc>
      </w:tr>
      <w:tr w14:paraId="6EB2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1F489D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2.离散型随机变量</w:t>
            </w:r>
          </w:p>
        </w:tc>
        <w:tc>
          <w:tcPr>
            <w:tcW w:w="1701" w:type="dxa"/>
            <w:vAlign w:val="center"/>
          </w:tcPr>
          <w:p w14:paraId="5D590A1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（1）能够理解离散型随机变量</w:t>
            </w:r>
          </w:p>
          <w:p w14:paraId="3BE61B4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（2）能够掌握随机变量的分布函数</w:t>
            </w:r>
          </w:p>
          <w:p w14:paraId="05B07E3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（3）能够理解常见离散型分布</w:t>
            </w:r>
          </w:p>
          <w:p w14:paraId="5EE678D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（4）能够理解离散型随机变量函数的分布</w:t>
            </w:r>
          </w:p>
          <w:p w14:paraId="4AB5C14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（5）能够掌握离散型随机向量</w:t>
            </w:r>
          </w:p>
          <w:p w14:paraId="39C52C2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（6）能够理解数学期望与方差</w:t>
            </w:r>
          </w:p>
        </w:tc>
        <w:tc>
          <w:tcPr>
            <w:tcW w:w="1134" w:type="dxa"/>
            <w:vAlign w:val="center"/>
          </w:tcPr>
          <w:p w14:paraId="5C3B4F5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6A60D7B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1.正确了解随机变量的分布函数。</w:t>
            </w:r>
          </w:p>
          <w:p w14:paraId="20413A8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2.正确了解随机变量函数的分布</w:t>
            </w:r>
            <w:r>
              <w:rPr>
                <w:rFonts w:ascii="宋体" w:hAnsi="宋体" w:eastAsia="宋体" w:cs="Times New Roman"/>
                <w:color w:val="000000"/>
                <w:szCs w:val="21"/>
              </w:rPr>
              <w:t>。</w:t>
            </w:r>
          </w:p>
        </w:tc>
        <w:tc>
          <w:tcPr>
            <w:tcW w:w="1560" w:type="dxa"/>
            <w:vAlign w:val="center"/>
          </w:tcPr>
          <w:p w14:paraId="016F818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2DC9A14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3.平时作业</w:t>
            </w:r>
          </w:p>
        </w:tc>
        <w:tc>
          <w:tcPr>
            <w:tcW w:w="438" w:type="dxa"/>
            <w:vAlign w:val="center"/>
          </w:tcPr>
          <w:p w14:paraId="2B3D6E0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650A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7EB2BD6">
            <w:pPr>
              <w:spacing w:line="264" w:lineRule="auto"/>
              <w:jc w:val="center"/>
              <w:rPr>
                <w:rFonts w:hint="eastAsia" w:ascii="宋体" w:hAnsi="宋体" w:eastAsia="宋体" w:cs="Times New Roman"/>
                <w:color w:val="000000"/>
                <w:szCs w:val="21"/>
              </w:rPr>
            </w:pPr>
          </w:p>
        </w:tc>
        <w:tc>
          <w:tcPr>
            <w:tcW w:w="8093" w:type="dxa"/>
            <w:gridSpan w:val="5"/>
            <w:vAlign w:val="center"/>
          </w:tcPr>
          <w:p w14:paraId="73FDA75A">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注重理论联系实际，尊重客观规律，树立社会主义核心价值观，增强专业素养，强调理论对实践的指导意义。</w:t>
            </w:r>
          </w:p>
        </w:tc>
      </w:tr>
      <w:tr w14:paraId="72E9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F003307">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3.连续型随机变量</w:t>
            </w:r>
          </w:p>
        </w:tc>
        <w:tc>
          <w:tcPr>
            <w:tcW w:w="1701" w:type="dxa"/>
            <w:vAlign w:val="center"/>
          </w:tcPr>
          <w:p w14:paraId="55B2661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（1）能够掌握连续型随机变量</w:t>
            </w:r>
          </w:p>
          <w:p w14:paraId="380446D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（2）能够掌握连续型随机向量</w:t>
            </w:r>
          </w:p>
          <w:p w14:paraId="171DA96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（3）能够理解连续型随机变（向）量的数字特征</w:t>
            </w:r>
          </w:p>
        </w:tc>
        <w:tc>
          <w:tcPr>
            <w:tcW w:w="1134" w:type="dxa"/>
            <w:vAlign w:val="center"/>
          </w:tcPr>
          <w:p w14:paraId="67F98AD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vAlign w:val="center"/>
          </w:tcPr>
          <w:p w14:paraId="6B506EE9">
            <w:pPr>
              <w:numPr>
                <w:ilvl w:val="0"/>
                <w:numId w:val="54"/>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正确理解连续型随机变量。</w:t>
            </w:r>
          </w:p>
          <w:p w14:paraId="07BBD6C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2.连续型随机向量的边缘分布。</w:t>
            </w:r>
          </w:p>
        </w:tc>
        <w:tc>
          <w:tcPr>
            <w:tcW w:w="1560" w:type="dxa"/>
            <w:vAlign w:val="center"/>
          </w:tcPr>
          <w:p w14:paraId="4C2C87E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6366BEC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3.平时作业</w:t>
            </w:r>
          </w:p>
        </w:tc>
        <w:tc>
          <w:tcPr>
            <w:tcW w:w="438" w:type="dxa"/>
            <w:vAlign w:val="center"/>
          </w:tcPr>
          <w:p w14:paraId="77B1968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w:t>
            </w:r>
          </w:p>
        </w:tc>
      </w:tr>
      <w:tr w14:paraId="31AC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D024BF5">
            <w:pPr>
              <w:spacing w:line="264" w:lineRule="auto"/>
              <w:jc w:val="center"/>
              <w:rPr>
                <w:rFonts w:hint="eastAsia" w:ascii="宋体" w:hAnsi="宋体" w:eastAsia="宋体" w:cs="Times New Roman"/>
                <w:color w:val="000000"/>
                <w:szCs w:val="21"/>
              </w:rPr>
            </w:pPr>
          </w:p>
        </w:tc>
        <w:tc>
          <w:tcPr>
            <w:tcW w:w="8093" w:type="dxa"/>
            <w:gridSpan w:val="5"/>
            <w:vAlign w:val="center"/>
          </w:tcPr>
          <w:p w14:paraId="2C28BB77">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注重理论联系实际，尊重客观规律，树立社会主义核心价值观，增强专业素养，强调理论对实践的指导意义。</w:t>
            </w:r>
          </w:p>
        </w:tc>
      </w:tr>
      <w:tr w14:paraId="1A84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2A9B33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4.大数定律与中心极限定理</w:t>
            </w:r>
          </w:p>
        </w:tc>
        <w:tc>
          <w:tcPr>
            <w:tcW w:w="1701" w:type="dxa"/>
            <w:vAlign w:val="center"/>
          </w:tcPr>
          <w:p w14:paraId="034CD3A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（1）能够了解大数定律</w:t>
            </w:r>
          </w:p>
          <w:p w14:paraId="356111A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（2）能够了解中心极限定理</w:t>
            </w:r>
          </w:p>
        </w:tc>
        <w:tc>
          <w:tcPr>
            <w:tcW w:w="1134" w:type="dxa"/>
            <w:vAlign w:val="center"/>
          </w:tcPr>
          <w:p w14:paraId="67EFE96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79DAC15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1.正确理解大数定律。</w:t>
            </w:r>
          </w:p>
          <w:p w14:paraId="58379F5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2.正确理解中心极限定理。</w:t>
            </w:r>
          </w:p>
        </w:tc>
        <w:tc>
          <w:tcPr>
            <w:tcW w:w="1560" w:type="dxa"/>
            <w:vAlign w:val="center"/>
          </w:tcPr>
          <w:p w14:paraId="68E88EC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3CB9DDF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3.平时作业</w:t>
            </w:r>
          </w:p>
        </w:tc>
        <w:tc>
          <w:tcPr>
            <w:tcW w:w="438" w:type="dxa"/>
            <w:vAlign w:val="center"/>
          </w:tcPr>
          <w:p w14:paraId="4184B0E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5564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9F2372A">
            <w:pPr>
              <w:spacing w:line="276" w:lineRule="auto"/>
              <w:jc w:val="center"/>
              <w:rPr>
                <w:rFonts w:hint="eastAsia" w:ascii="宋体" w:hAnsi="宋体" w:eastAsia="宋体" w:cs="Times New Roman"/>
                <w:color w:val="000000"/>
                <w:szCs w:val="21"/>
              </w:rPr>
            </w:pPr>
          </w:p>
        </w:tc>
        <w:tc>
          <w:tcPr>
            <w:tcW w:w="8093" w:type="dxa"/>
            <w:gridSpan w:val="5"/>
            <w:vAlign w:val="center"/>
          </w:tcPr>
          <w:p w14:paraId="0C3B2E1D">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注重理论联系实际，尊重客观规律，树立社会主义核心价值观，增强专业素养，强调理论对实践的指导意义。</w:t>
            </w:r>
          </w:p>
        </w:tc>
      </w:tr>
      <w:tr w14:paraId="46B8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4098F0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5.抽样分布</w:t>
            </w:r>
          </w:p>
        </w:tc>
        <w:tc>
          <w:tcPr>
            <w:tcW w:w="1701" w:type="dxa"/>
            <w:vAlign w:val="center"/>
          </w:tcPr>
          <w:p w14:paraId="4DC1FA0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（1）能够理解总体与样本</w:t>
            </w:r>
          </w:p>
          <w:p w14:paraId="25A0E41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（2）能够掌握统计量与子样矩</w:t>
            </w:r>
          </w:p>
          <w:p w14:paraId="285BE7A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（3）能够掌握常见的统计分布</w:t>
            </w:r>
          </w:p>
          <w:p w14:paraId="68D2D79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（4）能够掌握正态总体子样分布</w:t>
            </w:r>
          </w:p>
        </w:tc>
        <w:tc>
          <w:tcPr>
            <w:tcW w:w="1134" w:type="dxa"/>
            <w:vAlign w:val="center"/>
          </w:tcPr>
          <w:p w14:paraId="7BA4D71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7DDBE856">
            <w:pPr>
              <w:numPr>
                <w:ilvl w:val="0"/>
                <w:numId w:val="55"/>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了解常见的统计分布。</w:t>
            </w:r>
          </w:p>
          <w:p w14:paraId="786D35EE">
            <w:pPr>
              <w:numPr>
                <w:ilvl w:val="0"/>
                <w:numId w:val="55"/>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理解分位数的概念。</w:t>
            </w:r>
          </w:p>
        </w:tc>
        <w:tc>
          <w:tcPr>
            <w:tcW w:w="1560" w:type="dxa"/>
            <w:vAlign w:val="center"/>
          </w:tcPr>
          <w:p w14:paraId="10BAF40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6F319C0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3.平时作业</w:t>
            </w:r>
          </w:p>
        </w:tc>
        <w:tc>
          <w:tcPr>
            <w:tcW w:w="438" w:type="dxa"/>
            <w:vAlign w:val="center"/>
          </w:tcPr>
          <w:p w14:paraId="5D3B4AF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3CF3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1B063C3">
            <w:pPr>
              <w:spacing w:line="276" w:lineRule="auto"/>
              <w:jc w:val="center"/>
              <w:rPr>
                <w:rFonts w:hint="eastAsia" w:ascii="宋体" w:hAnsi="宋体" w:eastAsia="宋体" w:cs="Times New Roman"/>
                <w:color w:val="000000"/>
                <w:szCs w:val="21"/>
              </w:rPr>
            </w:pPr>
          </w:p>
        </w:tc>
        <w:tc>
          <w:tcPr>
            <w:tcW w:w="8093" w:type="dxa"/>
            <w:gridSpan w:val="5"/>
            <w:vAlign w:val="center"/>
          </w:tcPr>
          <w:p w14:paraId="06EFEA10">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注重理论联系实际，尊重客观规律，树立社会主义核心价值观，增强专业素养，强调理论对实践的指导意义。</w:t>
            </w:r>
          </w:p>
        </w:tc>
      </w:tr>
      <w:tr w14:paraId="741A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6310EA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6.参数估计</w:t>
            </w:r>
          </w:p>
        </w:tc>
        <w:tc>
          <w:tcPr>
            <w:tcW w:w="1701" w:type="dxa"/>
            <w:vAlign w:val="center"/>
          </w:tcPr>
          <w:p w14:paraId="330B266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（1）能够掌握参数的矩估计</w:t>
            </w:r>
          </w:p>
          <w:p w14:paraId="4DCE320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（2）能够掌握参数的最大似然估计</w:t>
            </w:r>
          </w:p>
          <w:p w14:paraId="7A62689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（3）能够掌握参数的区间估计</w:t>
            </w:r>
          </w:p>
        </w:tc>
        <w:tc>
          <w:tcPr>
            <w:tcW w:w="1134" w:type="dxa"/>
            <w:vAlign w:val="center"/>
          </w:tcPr>
          <w:p w14:paraId="2C52990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77C69D34">
            <w:pPr>
              <w:numPr>
                <w:ilvl w:val="0"/>
                <w:numId w:val="56"/>
              </w:num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了解</w:t>
            </w:r>
            <w:r>
              <w:rPr>
                <w:rFonts w:hint="eastAsia" w:ascii="宋体" w:hAnsi="宋体" w:eastAsia="宋体" w:cs="Times New Roman"/>
                <w:color w:val="000000"/>
                <w:szCs w:val="21"/>
              </w:rPr>
              <w:t>矩估计的计算并且熟练运用。</w:t>
            </w:r>
          </w:p>
          <w:p w14:paraId="1989BC0B">
            <w:pPr>
              <w:numPr>
                <w:ilvl w:val="0"/>
                <w:numId w:val="56"/>
              </w:num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了解</w:t>
            </w:r>
            <w:r>
              <w:rPr>
                <w:rFonts w:hint="eastAsia" w:ascii="宋体" w:hAnsi="宋体" w:eastAsia="宋体" w:cs="Times New Roman"/>
                <w:color w:val="000000"/>
                <w:szCs w:val="21"/>
              </w:rPr>
              <w:t>最大似然估计的计算并且熟练运用。</w:t>
            </w:r>
          </w:p>
        </w:tc>
        <w:tc>
          <w:tcPr>
            <w:tcW w:w="1560" w:type="dxa"/>
            <w:vAlign w:val="center"/>
          </w:tcPr>
          <w:p w14:paraId="53FFB80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1444C48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3.平时作业</w:t>
            </w:r>
          </w:p>
        </w:tc>
        <w:tc>
          <w:tcPr>
            <w:tcW w:w="438" w:type="dxa"/>
            <w:vAlign w:val="center"/>
          </w:tcPr>
          <w:p w14:paraId="2D3562C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3636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F0EB8FF">
            <w:pPr>
              <w:spacing w:line="276" w:lineRule="auto"/>
              <w:jc w:val="center"/>
              <w:rPr>
                <w:rFonts w:hint="eastAsia" w:ascii="宋体" w:hAnsi="宋体" w:eastAsia="宋体" w:cs="Times New Roman"/>
                <w:color w:val="000000"/>
                <w:szCs w:val="21"/>
              </w:rPr>
            </w:pPr>
          </w:p>
        </w:tc>
        <w:tc>
          <w:tcPr>
            <w:tcW w:w="8093" w:type="dxa"/>
            <w:gridSpan w:val="5"/>
            <w:vAlign w:val="center"/>
          </w:tcPr>
          <w:p w14:paraId="32DBD2E6">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注重理论联系实际，尊重客观规律，树立社会主义核心价值观，增强专业素养，强调理论对实践的指导意义。</w:t>
            </w:r>
          </w:p>
        </w:tc>
      </w:tr>
      <w:tr w14:paraId="5753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4EF0626">
            <w:pPr>
              <w:spacing w:line="276" w:lineRule="auto"/>
              <w:jc w:val="center"/>
              <w:rPr>
                <w:rFonts w:hint="eastAsia" w:ascii="宋体" w:hAnsi="宋体" w:eastAsia="宋体" w:cs="Times New Roman"/>
                <w:szCs w:val="21"/>
              </w:rPr>
            </w:pPr>
            <w:r>
              <w:rPr>
                <w:rFonts w:hint="eastAsia" w:ascii="宋体" w:hAnsi="宋体" w:eastAsia="宋体" w:cs="Times New Roman"/>
                <w:szCs w:val="21"/>
              </w:rPr>
              <w:t>7.假设检验</w:t>
            </w:r>
          </w:p>
        </w:tc>
        <w:tc>
          <w:tcPr>
            <w:tcW w:w="1701" w:type="dxa"/>
            <w:vAlign w:val="center"/>
          </w:tcPr>
          <w:p w14:paraId="40CBDB96">
            <w:pPr>
              <w:spacing w:line="276" w:lineRule="auto"/>
              <w:jc w:val="left"/>
              <w:rPr>
                <w:rFonts w:hint="eastAsia" w:ascii="宋体" w:hAnsi="宋体" w:eastAsia="宋体" w:cs="Times New Roman"/>
                <w:szCs w:val="21"/>
              </w:rPr>
            </w:pPr>
            <w:r>
              <w:rPr>
                <w:rFonts w:hint="eastAsia" w:ascii="宋体" w:hAnsi="宋体" w:eastAsia="宋体" w:cs="Times New Roman"/>
                <w:szCs w:val="21"/>
              </w:rPr>
              <w:t>（1）能够理解假设检验的基本概念</w:t>
            </w:r>
          </w:p>
          <w:p w14:paraId="67B3E607">
            <w:pPr>
              <w:spacing w:line="276" w:lineRule="auto"/>
              <w:jc w:val="left"/>
              <w:rPr>
                <w:rFonts w:hint="eastAsia" w:ascii="宋体" w:hAnsi="宋体" w:eastAsia="宋体" w:cs="Times New Roman"/>
                <w:szCs w:val="21"/>
              </w:rPr>
            </w:pPr>
            <w:r>
              <w:rPr>
                <w:rFonts w:hint="eastAsia" w:ascii="宋体" w:hAnsi="宋体" w:eastAsia="宋体" w:cs="Times New Roman"/>
                <w:szCs w:val="21"/>
              </w:rPr>
              <w:t>（2）能够掌握参数的假设检验</w:t>
            </w:r>
          </w:p>
          <w:p w14:paraId="7B8C80E4">
            <w:pPr>
              <w:spacing w:line="276" w:lineRule="auto"/>
              <w:jc w:val="left"/>
              <w:rPr>
                <w:rFonts w:hint="eastAsia" w:ascii="宋体" w:hAnsi="宋体" w:eastAsia="宋体" w:cs="Times New Roman"/>
                <w:szCs w:val="21"/>
              </w:rPr>
            </w:pPr>
            <w:r>
              <w:rPr>
                <w:rFonts w:hint="eastAsia" w:ascii="宋体" w:hAnsi="宋体" w:eastAsia="宋体" w:cs="Times New Roman"/>
                <w:szCs w:val="21"/>
              </w:rPr>
              <w:t>（3）能够了解非参数的假设检验</w:t>
            </w:r>
          </w:p>
        </w:tc>
        <w:tc>
          <w:tcPr>
            <w:tcW w:w="1134" w:type="dxa"/>
            <w:vAlign w:val="center"/>
          </w:tcPr>
          <w:p w14:paraId="5839AFA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8155BA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了解参数的假设检验，非参数的假设检验。</w:t>
            </w:r>
          </w:p>
          <w:p w14:paraId="2669434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了解非参数的假设检验。</w:t>
            </w:r>
          </w:p>
          <w:p w14:paraId="2F45A938">
            <w:pPr>
              <w:spacing w:line="276" w:lineRule="auto"/>
              <w:jc w:val="left"/>
              <w:rPr>
                <w:rFonts w:hint="eastAsia" w:ascii="宋体" w:hAnsi="宋体" w:eastAsia="宋体" w:cs="Times New Roman"/>
                <w:color w:val="000000"/>
                <w:szCs w:val="21"/>
              </w:rPr>
            </w:pPr>
          </w:p>
        </w:tc>
        <w:tc>
          <w:tcPr>
            <w:tcW w:w="1560" w:type="dxa"/>
            <w:vAlign w:val="center"/>
          </w:tcPr>
          <w:p w14:paraId="1E79A15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3B2E36F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3.平时作业</w:t>
            </w:r>
          </w:p>
        </w:tc>
        <w:tc>
          <w:tcPr>
            <w:tcW w:w="438" w:type="dxa"/>
            <w:vAlign w:val="center"/>
          </w:tcPr>
          <w:p w14:paraId="7700088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1EF4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1F568EC">
            <w:pPr>
              <w:spacing w:line="276" w:lineRule="auto"/>
              <w:jc w:val="center"/>
              <w:rPr>
                <w:rFonts w:hint="eastAsia" w:ascii="宋体" w:hAnsi="宋体" w:eastAsia="宋体" w:cs="Times New Roman"/>
                <w:color w:val="000000"/>
                <w:szCs w:val="21"/>
              </w:rPr>
            </w:pPr>
          </w:p>
        </w:tc>
        <w:tc>
          <w:tcPr>
            <w:tcW w:w="8093" w:type="dxa"/>
            <w:gridSpan w:val="5"/>
            <w:vAlign w:val="center"/>
          </w:tcPr>
          <w:p w14:paraId="2EC6E2B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注重理论联系实际，尊重客观规律，树立社会主义核心价值观，增强专业素养，强调理论对实践的指导意义。</w:t>
            </w:r>
          </w:p>
        </w:tc>
      </w:tr>
      <w:tr w14:paraId="0666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08A7E63">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8.方差分析与回归分析</w:t>
            </w:r>
          </w:p>
        </w:tc>
        <w:tc>
          <w:tcPr>
            <w:tcW w:w="1701" w:type="dxa"/>
            <w:vAlign w:val="center"/>
          </w:tcPr>
          <w:p w14:paraId="4C1F7368">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（1）能够掌握方差分析</w:t>
            </w:r>
          </w:p>
          <w:p w14:paraId="6D9B35A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（2）能够掌握一元线性回归分析</w:t>
            </w:r>
          </w:p>
          <w:p w14:paraId="7665E51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（3）能够了解一元非线性回归分析</w:t>
            </w:r>
          </w:p>
          <w:p w14:paraId="3E13723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（4）能够了解多元线性回归分析</w:t>
            </w:r>
          </w:p>
        </w:tc>
        <w:tc>
          <w:tcPr>
            <w:tcW w:w="1134" w:type="dxa"/>
            <w:vAlign w:val="center"/>
          </w:tcPr>
          <w:p w14:paraId="0B11520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284397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1）了解关</w:t>
            </w:r>
            <w:r>
              <w:rPr>
                <w:rFonts w:hint="eastAsia" w:ascii="宋体" w:hAnsi="宋体" w:eastAsia="宋体" w:cs="Times New Roman"/>
                <w:color w:val="000000"/>
                <w:szCs w:val="21"/>
              </w:rPr>
              <w:t>一元线性回归分析，一元非线性回归分析.</w:t>
            </w:r>
          </w:p>
          <w:p w14:paraId="159D9E84">
            <w:pPr>
              <w:spacing w:line="264" w:lineRule="auto"/>
              <w:jc w:val="left"/>
              <w:rPr>
                <w:rFonts w:hint="eastAsia" w:ascii="宋体" w:hAnsi="宋体" w:eastAsia="宋体" w:cs="Times New Roman"/>
                <w:color w:val="000000"/>
                <w:szCs w:val="21"/>
              </w:rPr>
            </w:pPr>
          </w:p>
        </w:tc>
        <w:tc>
          <w:tcPr>
            <w:tcW w:w="1560" w:type="dxa"/>
            <w:vAlign w:val="center"/>
          </w:tcPr>
          <w:p w14:paraId="5AD6F35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03420BB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3.平时作业</w:t>
            </w:r>
          </w:p>
        </w:tc>
        <w:tc>
          <w:tcPr>
            <w:tcW w:w="438" w:type="dxa"/>
            <w:vAlign w:val="center"/>
          </w:tcPr>
          <w:p w14:paraId="17C89E1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10</w:t>
            </w:r>
          </w:p>
        </w:tc>
      </w:tr>
      <w:tr w14:paraId="0EEE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35EC3B3">
            <w:pPr>
              <w:spacing w:line="264" w:lineRule="auto"/>
              <w:jc w:val="center"/>
              <w:rPr>
                <w:rFonts w:hint="eastAsia" w:ascii="宋体" w:hAnsi="宋体" w:eastAsia="宋体" w:cs="Times New Roman"/>
                <w:color w:val="000000"/>
                <w:szCs w:val="21"/>
              </w:rPr>
            </w:pPr>
          </w:p>
        </w:tc>
        <w:tc>
          <w:tcPr>
            <w:tcW w:w="8093" w:type="dxa"/>
            <w:gridSpan w:val="5"/>
            <w:vAlign w:val="center"/>
          </w:tcPr>
          <w:p w14:paraId="05865EC8">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注重理论联系实际，尊重客观规律，树立社会主义核心价值观，增强专业素养，强调理论对实践的指导意义。</w:t>
            </w:r>
          </w:p>
        </w:tc>
      </w:tr>
    </w:tbl>
    <w:p w14:paraId="7A483C4C">
      <w:pPr>
        <w:pStyle w:val="12"/>
        <w:spacing w:before="0" w:beforeAutospacing="0" w:after="0" w:afterAutospacing="0" w:line="23" w:lineRule="atLeast"/>
        <w:jc w:val="both"/>
        <w:rPr>
          <w:rFonts w:hint="eastAsia"/>
        </w:rPr>
      </w:pPr>
      <w:r>
        <w:rPr>
          <w:rFonts w:hint="eastAsia"/>
          <w:b/>
          <w:bCs/>
          <w:color w:val="000000"/>
        </w:rPr>
        <w:t>四、课程实施</w:t>
      </w:r>
    </w:p>
    <w:p w14:paraId="403E2A91">
      <w:pPr>
        <w:pStyle w:val="12"/>
        <w:spacing w:before="0" w:beforeAutospacing="0" w:after="0" w:afterAutospacing="0" w:line="23" w:lineRule="atLeast"/>
        <w:jc w:val="both"/>
        <w:rPr>
          <w:rFonts w:hint="eastAsia"/>
        </w:rPr>
      </w:pPr>
      <w:r>
        <w:rPr>
          <w:rFonts w:hint="eastAsia"/>
          <w:b/>
          <w:bCs/>
          <w:color w:val="000000"/>
        </w:rPr>
        <w:t>（一）教学方法与教学手段</w:t>
      </w:r>
    </w:p>
    <w:p w14:paraId="2BF3D95D">
      <w:pPr>
        <w:pStyle w:val="12"/>
        <w:spacing w:before="0" w:beforeAutospacing="0" w:after="0" w:afterAutospacing="0" w:line="23" w:lineRule="atLeast"/>
        <w:jc w:val="both"/>
        <w:rPr>
          <w:rFonts w:hint="eastAsia"/>
        </w:rPr>
      </w:pPr>
      <w:r>
        <w:rPr>
          <w:rFonts w:hint="eastAsia"/>
          <w:color w:val="000000"/>
        </w:rPr>
        <w:t>1. 教学方法：启发式互动讲授结合多媒体辅助；适当课堂练习；及时了解学生的作业状况并对共同的问题作及时解答；安排好课后答疑。</w:t>
      </w:r>
    </w:p>
    <w:p w14:paraId="44E692B6">
      <w:pPr>
        <w:pStyle w:val="12"/>
        <w:spacing w:before="0" w:beforeAutospacing="0" w:after="0" w:afterAutospacing="0" w:line="23" w:lineRule="atLeast"/>
        <w:jc w:val="both"/>
        <w:rPr>
          <w:rFonts w:hint="eastAsia"/>
        </w:rPr>
      </w:pPr>
      <w:r>
        <w:rPr>
          <w:rFonts w:hint="eastAsia"/>
          <w:color w:val="000000"/>
        </w:rPr>
        <w:t>2. 教学方法：提倡应用现代化教学手段，如课件、互联网在线教学和网络答疑等。</w:t>
      </w:r>
    </w:p>
    <w:p w14:paraId="5C97265C">
      <w:pPr>
        <w:pStyle w:val="12"/>
        <w:spacing w:before="0" w:beforeAutospacing="0" w:after="0" w:afterAutospacing="0" w:line="23" w:lineRule="atLeast"/>
        <w:jc w:val="both"/>
        <w:rPr>
          <w:rFonts w:hint="eastAsia"/>
        </w:rPr>
      </w:pPr>
      <w:r>
        <w:rPr>
          <w:rFonts w:hint="eastAsia"/>
          <w:b/>
          <w:bCs/>
          <w:color w:val="000000"/>
        </w:rPr>
        <w:t>（二）课程实施与保障</w:t>
      </w:r>
    </w:p>
    <w:tbl>
      <w:tblPr>
        <w:tblStyle w:val="13"/>
        <w:tblW w:w="0" w:type="auto"/>
        <w:tblInd w:w="0" w:type="dxa"/>
        <w:tblLayout w:type="fixed"/>
        <w:tblCellMar>
          <w:top w:w="15" w:type="dxa"/>
          <w:left w:w="15" w:type="dxa"/>
          <w:bottom w:w="15" w:type="dxa"/>
          <w:right w:w="15" w:type="dxa"/>
        </w:tblCellMar>
      </w:tblPr>
      <w:tblGrid>
        <w:gridCol w:w="582"/>
        <w:gridCol w:w="993"/>
        <w:gridCol w:w="7525"/>
      </w:tblGrid>
      <w:tr w14:paraId="30886BA7">
        <w:tblPrEx>
          <w:tblCellMar>
            <w:top w:w="15" w:type="dxa"/>
            <w:left w:w="15" w:type="dxa"/>
            <w:bottom w:w="15" w:type="dxa"/>
            <w:right w:w="15" w:type="dxa"/>
          </w:tblCellMar>
        </w:tblPrEx>
        <w:trPr>
          <w:trHeight w:val="370" w:hRule="atLeast"/>
        </w:trPr>
        <w:tc>
          <w:tcPr>
            <w:tcW w:w="1575" w:type="dxa"/>
            <w:gridSpan w:val="2"/>
            <w:tcBorders>
              <w:top w:val="single" w:color="auto" w:sz="8" w:space="0"/>
              <w:left w:val="single" w:color="auto" w:sz="8" w:space="0"/>
              <w:bottom w:val="single" w:color="auto" w:sz="4" w:space="0"/>
              <w:right w:val="single" w:color="auto" w:sz="8" w:space="0"/>
            </w:tcBorders>
            <w:shd w:val="clear" w:color="auto" w:fill="auto"/>
            <w:tcMar>
              <w:top w:w="0" w:type="dxa"/>
              <w:left w:w="28" w:type="dxa"/>
              <w:bottom w:w="0" w:type="dxa"/>
              <w:right w:w="28" w:type="dxa"/>
            </w:tcMar>
            <w:vAlign w:val="center"/>
          </w:tcPr>
          <w:p w14:paraId="2DA773E3">
            <w:pPr>
              <w:pStyle w:val="12"/>
              <w:spacing w:before="0" w:beforeAutospacing="0" w:after="0" w:afterAutospacing="0" w:line="300" w:lineRule="exact"/>
              <w:jc w:val="center"/>
              <w:rPr>
                <w:rFonts w:hint="eastAsia"/>
              </w:rPr>
            </w:pPr>
            <w:r>
              <w:rPr>
                <w:rFonts w:hint="eastAsia"/>
                <w:b/>
                <w:bCs/>
                <w:color w:val="000000"/>
                <w:sz w:val="21"/>
                <w:szCs w:val="21"/>
              </w:rPr>
              <w:t>主要教学环节</w:t>
            </w:r>
          </w:p>
        </w:tc>
        <w:tc>
          <w:tcPr>
            <w:tcW w:w="7525"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14:paraId="0C15847D">
            <w:pPr>
              <w:pStyle w:val="12"/>
              <w:spacing w:before="0" w:beforeAutospacing="0" w:after="0" w:afterAutospacing="0" w:line="300" w:lineRule="exact"/>
              <w:jc w:val="center"/>
              <w:rPr>
                <w:rFonts w:hint="eastAsia"/>
              </w:rPr>
            </w:pPr>
            <w:r>
              <w:rPr>
                <w:rFonts w:hint="eastAsia"/>
                <w:b/>
                <w:bCs/>
                <w:color w:val="000000"/>
                <w:sz w:val="21"/>
                <w:szCs w:val="21"/>
              </w:rPr>
              <w:t>质量要求</w:t>
            </w:r>
          </w:p>
        </w:tc>
      </w:tr>
      <w:tr w14:paraId="701CE18C">
        <w:tblPrEx>
          <w:tblCellMar>
            <w:top w:w="15" w:type="dxa"/>
            <w:left w:w="15" w:type="dxa"/>
            <w:bottom w:w="15" w:type="dxa"/>
            <w:right w:w="15" w:type="dxa"/>
          </w:tblCellMar>
        </w:tblPrEx>
        <w:trPr>
          <w:trHeight w:val="1714" w:hRule="atLeast"/>
        </w:trPr>
        <w:tc>
          <w:tcPr>
            <w:tcW w:w="582" w:type="dxa"/>
            <w:tcBorders>
              <w:top w:val="single" w:color="auto" w:sz="4" w:space="0"/>
              <w:left w:val="single" w:color="auto" w:sz="8" w:space="0"/>
              <w:bottom w:val="single" w:color="auto" w:sz="4" w:space="0"/>
              <w:right w:val="single" w:color="auto" w:sz="4" w:space="0"/>
            </w:tcBorders>
            <w:shd w:val="clear" w:color="auto" w:fill="auto"/>
            <w:tcMar>
              <w:top w:w="0" w:type="dxa"/>
              <w:left w:w="108" w:type="dxa"/>
              <w:bottom w:w="0" w:type="dxa"/>
              <w:right w:w="108" w:type="dxa"/>
            </w:tcMar>
            <w:vAlign w:val="center"/>
          </w:tcPr>
          <w:p w14:paraId="7C96C101">
            <w:pPr>
              <w:pStyle w:val="12"/>
              <w:spacing w:before="0" w:beforeAutospacing="0" w:after="0" w:afterAutospacing="0" w:line="300" w:lineRule="exact"/>
              <w:jc w:val="center"/>
              <w:rPr>
                <w:rFonts w:hint="eastAsia"/>
              </w:rPr>
            </w:pPr>
            <w:r>
              <w:rPr>
                <w:rFonts w:hint="eastAsia"/>
                <w:color w:val="000000"/>
                <w:sz w:val="21"/>
                <w:szCs w:val="21"/>
              </w:rPr>
              <w:t>1</w:t>
            </w:r>
          </w:p>
        </w:tc>
        <w:tc>
          <w:tcPr>
            <w:tcW w:w="99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3E772D50">
            <w:pPr>
              <w:pStyle w:val="12"/>
              <w:spacing w:before="0" w:beforeAutospacing="0" w:after="0" w:afterAutospacing="0" w:line="300" w:lineRule="exact"/>
              <w:jc w:val="center"/>
              <w:rPr>
                <w:rFonts w:hint="eastAsia"/>
              </w:rPr>
            </w:pPr>
            <w:r>
              <w:rPr>
                <w:rFonts w:hint="eastAsia"/>
                <w:color w:val="000000"/>
                <w:sz w:val="21"/>
                <w:szCs w:val="21"/>
              </w:rPr>
              <w:t>备课</w:t>
            </w:r>
          </w:p>
        </w:tc>
        <w:tc>
          <w:tcPr>
            <w:tcW w:w="7525"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14:paraId="7D1229E7">
            <w:pPr>
              <w:pStyle w:val="12"/>
              <w:spacing w:before="0" w:beforeAutospacing="0" w:after="0" w:afterAutospacing="0" w:line="300" w:lineRule="exact"/>
              <w:jc w:val="both"/>
              <w:rPr>
                <w:rFonts w:hint="eastAsia"/>
              </w:rPr>
            </w:pPr>
            <w:r>
              <w:rPr>
                <w:rFonts w:hint="eastAsia"/>
                <w:color w:val="000000"/>
                <w:sz w:val="21"/>
                <w:szCs w:val="21"/>
              </w:rPr>
              <w:t>（1）掌握课程教学大纲内容，严格按照教学大纲要求进行课程教学内容的组织。</w:t>
            </w:r>
          </w:p>
          <w:p w14:paraId="3CDE8CF0">
            <w:pPr>
              <w:pStyle w:val="12"/>
              <w:spacing w:before="0" w:beforeAutospacing="0" w:after="0" w:afterAutospacing="0" w:line="300" w:lineRule="exact"/>
              <w:jc w:val="both"/>
              <w:rPr>
                <w:rFonts w:hint="eastAsia"/>
              </w:rPr>
            </w:pPr>
            <w:r>
              <w:rPr>
                <w:rFonts w:hint="eastAsia"/>
                <w:color w:val="000000"/>
                <w:sz w:val="21"/>
                <w:szCs w:val="21"/>
              </w:rPr>
              <w:t>（2）悉心了解学生的现有水平和最新发展水平，深透钻研教材内容，广泛阅读相关文献资料，精心选择教学方法、组织形式和教学手段，认真编写授课计划。</w:t>
            </w:r>
          </w:p>
          <w:p w14:paraId="40D19D24">
            <w:pPr>
              <w:pStyle w:val="12"/>
              <w:spacing w:before="0" w:beforeAutospacing="0" w:after="0" w:afterAutospacing="0" w:line="300" w:lineRule="exact"/>
              <w:jc w:val="both"/>
              <w:rPr>
                <w:rFonts w:hint="eastAsia"/>
              </w:rPr>
            </w:pPr>
            <w:r>
              <w:rPr>
                <w:rFonts w:hint="eastAsia"/>
                <w:color w:val="000000"/>
                <w:sz w:val="21"/>
                <w:szCs w:val="21"/>
              </w:rPr>
              <w:t>（3）结合课程特点，适度运用多媒体教学手段讲授部分教学内容。</w:t>
            </w:r>
          </w:p>
          <w:p w14:paraId="448652A2">
            <w:pPr>
              <w:pStyle w:val="12"/>
              <w:spacing w:before="0" w:beforeAutospacing="0" w:after="0" w:afterAutospacing="0" w:line="300" w:lineRule="exact"/>
              <w:jc w:val="both"/>
              <w:rPr>
                <w:rFonts w:hint="eastAsia"/>
              </w:rPr>
            </w:pPr>
            <w:r>
              <w:rPr>
                <w:rFonts w:hint="eastAsia"/>
                <w:color w:val="000000"/>
                <w:sz w:val="21"/>
                <w:szCs w:val="21"/>
              </w:rPr>
              <w:t>（4）确定各章节课程内容的教学方法，构思授课思路、技巧和方法。</w:t>
            </w:r>
          </w:p>
        </w:tc>
      </w:tr>
      <w:tr w14:paraId="2729452F">
        <w:tblPrEx>
          <w:tblCellMar>
            <w:top w:w="15" w:type="dxa"/>
            <w:left w:w="15" w:type="dxa"/>
            <w:bottom w:w="15" w:type="dxa"/>
            <w:right w:w="15" w:type="dxa"/>
          </w:tblCellMar>
        </w:tblPrEx>
        <w:trPr>
          <w:trHeight w:val="2967" w:hRule="atLeast"/>
        </w:trPr>
        <w:tc>
          <w:tcPr>
            <w:tcW w:w="582" w:type="dxa"/>
            <w:tcBorders>
              <w:top w:val="single" w:color="auto" w:sz="4" w:space="0"/>
              <w:left w:val="single" w:color="auto" w:sz="8" w:space="0"/>
              <w:bottom w:val="single" w:color="auto" w:sz="4" w:space="0"/>
              <w:right w:val="single" w:color="auto" w:sz="4" w:space="0"/>
            </w:tcBorders>
            <w:shd w:val="clear" w:color="auto" w:fill="auto"/>
            <w:tcMar>
              <w:top w:w="0" w:type="dxa"/>
              <w:left w:w="108" w:type="dxa"/>
              <w:bottom w:w="0" w:type="dxa"/>
              <w:right w:w="108" w:type="dxa"/>
            </w:tcMar>
            <w:vAlign w:val="center"/>
          </w:tcPr>
          <w:p w14:paraId="1F05A9C1">
            <w:pPr>
              <w:pStyle w:val="12"/>
              <w:spacing w:before="0" w:beforeAutospacing="0" w:after="0" w:afterAutospacing="0" w:line="300" w:lineRule="exact"/>
              <w:jc w:val="center"/>
              <w:rPr>
                <w:rFonts w:hint="eastAsia"/>
              </w:rPr>
            </w:pPr>
            <w:r>
              <w:rPr>
                <w:rFonts w:hint="eastAsia"/>
                <w:color w:val="000000"/>
                <w:sz w:val="21"/>
                <w:szCs w:val="21"/>
              </w:rPr>
              <w:t>2</w:t>
            </w:r>
          </w:p>
        </w:tc>
        <w:tc>
          <w:tcPr>
            <w:tcW w:w="99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374E0830">
            <w:pPr>
              <w:pStyle w:val="12"/>
              <w:spacing w:before="0" w:beforeAutospacing="0" w:after="0" w:afterAutospacing="0" w:line="300" w:lineRule="exact"/>
              <w:jc w:val="center"/>
              <w:rPr>
                <w:rFonts w:hint="eastAsia"/>
              </w:rPr>
            </w:pPr>
            <w:r>
              <w:rPr>
                <w:rFonts w:hint="eastAsia"/>
                <w:color w:val="000000"/>
                <w:sz w:val="21"/>
                <w:szCs w:val="21"/>
              </w:rPr>
              <w:t>讲授</w:t>
            </w:r>
          </w:p>
        </w:tc>
        <w:tc>
          <w:tcPr>
            <w:tcW w:w="7525"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14:paraId="479CE052">
            <w:pPr>
              <w:pStyle w:val="12"/>
              <w:spacing w:before="0" w:beforeAutospacing="0" w:after="0" w:afterAutospacing="0" w:line="300" w:lineRule="exact"/>
              <w:jc w:val="both"/>
              <w:rPr>
                <w:rFonts w:hint="eastAsia"/>
              </w:rPr>
            </w:pPr>
            <w:r>
              <w:rPr>
                <w:rFonts w:hint="eastAsia"/>
                <w:color w:val="000000"/>
                <w:sz w:val="21"/>
                <w:szCs w:val="21"/>
              </w:rPr>
              <w:t>（1）教师仪表端庄，情绪情感要饱满；</w:t>
            </w:r>
          </w:p>
          <w:p w14:paraId="68567D2F">
            <w:pPr>
              <w:pStyle w:val="12"/>
              <w:spacing w:before="0" w:beforeAutospacing="0" w:after="0" w:afterAutospacing="0" w:line="300" w:lineRule="exact"/>
              <w:jc w:val="both"/>
              <w:rPr>
                <w:rFonts w:hint="eastAsia"/>
              </w:rPr>
            </w:pPr>
            <w:r>
              <w:rPr>
                <w:rFonts w:hint="eastAsia"/>
                <w:color w:val="000000"/>
                <w:sz w:val="21"/>
                <w:szCs w:val="21"/>
              </w:rPr>
              <w:t>（2）教学准备充分，熟悉教学内容；</w:t>
            </w:r>
          </w:p>
          <w:p w14:paraId="590D5448">
            <w:pPr>
              <w:pStyle w:val="12"/>
              <w:spacing w:before="0" w:beforeAutospacing="0" w:after="0" w:afterAutospacing="0" w:line="300" w:lineRule="exact"/>
              <w:jc w:val="both"/>
              <w:rPr>
                <w:rFonts w:hint="eastAsia"/>
              </w:rPr>
            </w:pPr>
            <w:r>
              <w:rPr>
                <w:rFonts w:hint="eastAsia"/>
                <w:color w:val="000000"/>
                <w:sz w:val="21"/>
                <w:szCs w:val="21"/>
              </w:rPr>
              <w:t>（3）教学内容充实，不断充实最新研究成果；</w:t>
            </w:r>
          </w:p>
          <w:p w14:paraId="6F6730AF">
            <w:pPr>
              <w:pStyle w:val="12"/>
              <w:spacing w:before="0" w:beforeAutospacing="0" w:after="0" w:afterAutospacing="0" w:line="300" w:lineRule="exact"/>
              <w:jc w:val="both"/>
              <w:rPr>
                <w:rFonts w:hint="eastAsia"/>
              </w:rPr>
            </w:pPr>
            <w:r>
              <w:rPr>
                <w:rFonts w:hint="eastAsia"/>
                <w:color w:val="000000"/>
                <w:sz w:val="21"/>
                <w:szCs w:val="21"/>
              </w:rPr>
              <w:t>（4）严格执行计划，教学进度适宜；</w:t>
            </w:r>
          </w:p>
          <w:p w14:paraId="64C3A44E">
            <w:pPr>
              <w:pStyle w:val="12"/>
              <w:spacing w:before="0" w:beforeAutospacing="0" w:after="0" w:afterAutospacing="0" w:line="300" w:lineRule="exact"/>
              <w:jc w:val="both"/>
              <w:rPr>
                <w:rFonts w:hint="eastAsia"/>
              </w:rPr>
            </w:pPr>
            <w:r>
              <w:rPr>
                <w:rFonts w:hint="eastAsia"/>
                <w:color w:val="000000"/>
                <w:sz w:val="21"/>
                <w:szCs w:val="21"/>
              </w:rPr>
              <w:t>（5）课堂教学信息充分，注重理论联系实际；</w:t>
            </w:r>
          </w:p>
          <w:p w14:paraId="4083328E">
            <w:pPr>
              <w:pStyle w:val="12"/>
              <w:spacing w:before="0" w:beforeAutospacing="0" w:after="0" w:afterAutospacing="0" w:line="300" w:lineRule="exact"/>
              <w:jc w:val="both"/>
              <w:rPr>
                <w:rFonts w:hint="eastAsia"/>
              </w:rPr>
            </w:pPr>
            <w:r>
              <w:rPr>
                <w:rFonts w:hint="eastAsia"/>
                <w:color w:val="000000"/>
                <w:sz w:val="21"/>
                <w:szCs w:val="21"/>
              </w:rPr>
              <w:t>（6）注重启发学生思维，培养学生的教学能力；</w:t>
            </w:r>
          </w:p>
          <w:p w14:paraId="043752D9">
            <w:pPr>
              <w:pStyle w:val="12"/>
              <w:spacing w:before="0" w:beforeAutospacing="0" w:after="0" w:afterAutospacing="0" w:line="300" w:lineRule="exact"/>
              <w:jc w:val="both"/>
              <w:rPr>
                <w:rFonts w:hint="eastAsia"/>
              </w:rPr>
            </w:pPr>
            <w:r>
              <w:rPr>
                <w:rFonts w:hint="eastAsia"/>
                <w:color w:val="000000"/>
                <w:sz w:val="21"/>
                <w:szCs w:val="21"/>
              </w:rPr>
              <w:t>（7）面向全体基础上因材施教，灵活运用多种教学方法；</w:t>
            </w:r>
          </w:p>
          <w:p w14:paraId="5971F977">
            <w:pPr>
              <w:pStyle w:val="12"/>
              <w:spacing w:before="0" w:beforeAutospacing="0" w:after="0" w:afterAutospacing="0" w:line="300" w:lineRule="exact"/>
              <w:jc w:val="both"/>
              <w:rPr>
                <w:rFonts w:hint="eastAsia"/>
              </w:rPr>
            </w:pPr>
            <w:r>
              <w:rPr>
                <w:rFonts w:hint="eastAsia"/>
                <w:color w:val="000000"/>
                <w:sz w:val="21"/>
                <w:szCs w:val="21"/>
              </w:rPr>
              <w:t>（8）教学语言规范，为学生教育教学做好表率；</w:t>
            </w:r>
          </w:p>
          <w:p w14:paraId="047C31A3">
            <w:pPr>
              <w:pStyle w:val="12"/>
              <w:spacing w:before="0" w:beforeAutospacing="0" w:after="0" w:afterAutospacing="0" w:line="300" w:lineRule="exact"/>
              <w:jc w:val="both"/>
              <w:rPr>
                <w:rFonts w:hint="eastAsia"/>
              </w:rPr>
            </w:pPr>
            <w:r>
              <w:rPr>
                <w:rFonts w:hint="eastAsia"/>
                <w:color w:val="000000"/>
                <w:sz w:val="21"/>
                <w:szCs w:val="21"/>
              </w:rPr>
              <w:t>（9）教学条理清楚，教学思路逻辑严密；</w:t>
            </w:r>
          </w:p>
          <w:p w14:paraId="2B88E0CE">
            <w:pPr>
              <w:pStyle w:val="12"/>
              <w:spacing w:before="0" w:beforeAutospacing="0" w:after="0" w:afterAutospacing="0" w:line="300" w:lineRule="exact"/>
              <w:jc w:val="both"/>
              <w:rPr>
                <w:rFonts w:hint="eastAsia"/>
              </w:rPr>
            </w:pPr>
            <w:r>
              <w:rPr>
                <w:rFonts w:hint="eastAsia"/>
                <w:color w:val="000000"/>
                <w:sz w:val="21"/>
                <w:szCs w:val="21"/>
              </w:rPr>
              <w:t>（10）充分运用现代化教学手段，教学技术熟练；</w:t>
            </w:r>
          </w:p>
          <w:p w14:paraId="3D250738">
            <w:pPr>
              <w:pStyle w:val="12"/>
              <w:spacing w:before="0" w:beforeAutospacing="0" w:after="0" w:afterAutospacing="0" w:line="300" w:lineRule="exact"/>
              <w:jc w:val="both"/>
              <w:rPr>
                <w:rFonts w:hint="eastAsia"/>
              </w:rPr>
            </w:pPr>
            <w:r>
              <w:rPr>
                <w:rFonts w:hint="eastAsia"/>
                <w:color w:val="000000"/>
                <w:sz w:val="21"/>
                <w:szCs w:val="21"/>
              </w:rPr>
              <w:t>（11）课堂教学要重点突出，难点突破；</w:t>
            </w:r>
          </w:p>
          <w:p w14:paraId="5092B4A7">
            <w:pPr>
              <w:pStyle w:val="12"/>
              <w:spacing w:before="0" w:beforeAutospacing="0" w:after="0" w:afterAutospacing="0" w:line="300" w:lineRule="exact"/>
              <w:jc w:val="both"/>
              <w:rPr>
                <w:rFonts w:hint="eastAsia"/>
              </w:rPr>
            </w:pPr>
            <w:r>
              <w:rPr>
                <w:rFonts w:hint="eastAsia"/>
                <w:color w:val="000000"/>
                <w:sz w:val="21"/>
                <w:szCs w:val="21"/>
              </w:rPr>
              <w:t>（12）注重师生互动，形成良好的课堂氛围。</w:t>
            </w:r>
          </w:p>
        </w:tc>
      </w:tr>
      <w:tr w14:paraId="4F8D6A7F">
        <w:tblPrEx>
          <w:tblCellMar>
            <w:top w:w="15" w:type="dxa"/>
            <w:left w:w="15" w:type="dxa"/>
            <w:bottom w:w="15" w:type="dxa"/>
            <w:right w:w="15" w:type="dxa"/>
          </w:tblCellMar>
        </w:tblPrEx>
        <w:trPr>
          <w:trHeight w:val="2331" w:hRule="atLeast"/>
        </w:trPr>
        <w:tc>
          <w:tcPr>
            <w:tcW w:w="582" w:type="dxa"/>
            <w:tcBorders>
              <w:top w:val="single" w:color="auto" w:sz="4" w:space="0"/>
              <w:left w:val="single" w:color="auto" w:sz="8" w:space="0"/>
              <w:bottom w:val="single" w:color="auto" w:sz="4" w:space="0"/>
              <w:right w:val="single" w:color="auto" w:sz="4" w:space="0"/>
            </w:tcBorders>
            <w:shd w:val="clear" w:color="auto" w:fill="auto"/>
            <w:tcMar>
              <w:top w:w="0" w:type="dxa"/>
              <w:left w:w="108" w:type="dxa"/>
              <w:bottom w:w="0" w:type="dxa"/>
              <w:right w:w="108" w:type="dxa"/>
            </w:tcMar>
            <w:vAlign w:val="center"/>
          </w:tcPr>
          <w:p w14:paraId="754FDFBB">
            <w:pPr>
              <w:pStyle w:val="12"/>
              <w:spacing w:before="0" w:beforeAutospacing="0" w:after="0" w:afterAutospacing="0" w:line="300" w:lineRule="exact"/>
              <w:jc w:val="center"/>
              <w:rPr>
                <w:rFonts w:hint="eastAsia"/>
              </w:rPr>
            </w:pPr>
            <w:r>
              <w:rPr>
                <w:rFonts w:hint="eastAsia"/>
                <w:color w:val="000000"/>
                <w:sz w:val="21"/>
                <w:szCs w:val="21"/>
              </w:rPr>
              <w:t>3</w:t>
            </w:r>
          </w:p>
        </w:tc>
        <w:tc>
          <w:tcPr>
            <w:tcW w:w="99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144709F7">
            <w:pPr>
              <w:pStyle w:val="12"/>
              <w:spacing w:before="0" w:beforeAutospacing="0" w:after="0" w:afterAutospacing="0" w:line="300" w:lineRule="exact"/>
              <w:jc w:val="center"/>
              <w:rPr>
                <w:rFonts w:hint="eastAsia"/>
              </w:rPr>
            </w:pPr>
            <w:r>
              <w:rPr>
                <w:rFonts w:hint="eastAsia"/>
                <w:color w:val="000000"/>
                <w:sz w:val="21"/>
                <w:szCs w:val="21"/>
              </w:rPr>
              <w:t>作业布置与批改</w:t>
            </w:r>
          </w:p>
        </w:tc>
        <w:tc>
          <w:tcPr>
            <w:tcW w:w="7525"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14:paraId="0455F41E">
            <w:pPr>
              <w:pStyle w:val="12"/>
              <w:spacing w:before="0" w:beforeAutospacing="0" w:after="0" w:afterAutospacing="0" w:line="300" w:lineRule="exact"/>
              <w:jc w:val="both"/>
              <w:rPr>
                <w:rFonts w:hint="eastAsia"/>
              </w:rPr>
            </w:pPr>
            <w:r>
              <w:rPr>
                <w:rFonts w:hint="eastAsia"/>
                <w:color w:val="000000"/>
                <w:sz w:val="21"/>
                <w:szCs w:val="21"/>
              </w:rPr>
              <w:t>学生必须完成规定数量的作业，作业必须达到以下基本要求：</w:t>
            </w:r>
          </w:p>
          <w:p w14:paraId="7082DCE4">
            <w:pPr>
              <w:pStyle w:val="12"/>
              <w:spacing w:before="0" w:beforeAutospacing="0" w:after="0" w:afterAutospacing="0" w:line="300" w:lineRule="exact"/>
              <w:jc w:val="both"/>
              <w:rPr>
                <w:rFonts w:hint="eastAsia"/>
              </w:rPr>
            </w:pPr>
            <w:r>
              <w:rPr>
                <w:rFonts w:hint="eastAsia"/>
                <w:color w:val="000000"/>
                <w:sz w:val="21"/>
                <w:szCs w:val="21"/>
              </w:rPr>
              <w:t>（1）按时按量完成作业，不缺交，不抄袭。</w:t>
            </w:r>
          </w:p>
          <w:p w14:paraId="6761074B">
            <w:pPr>
              <w:pStyle w:val="12"/>
              <w:spacing w:before="0" w:beforeAutospacing="0" w:after="0" w:afterAutospacing="0" w:line="300" w:lineRule="exact"/>
              <w:jc w:val="both"/>
              <w:rPr>
                <w:rFonts w:hint="eastAsia"/>
              </w:rPr>
            </w:pPr>
            <w:r>
              <w:rPr>
                <w:rFonts w:hint="eastAsia"/>
                <w:color w:val="000000"/>
                <w:sz w:val="21"/>
                <w:szCs w:val="21"/>
              </w:rPr>
              <w:t>（2）作业规范，书写清晰。</w:t>
            </w:r>
          </w:p>
          <w:p w14:paraId="1061BAD1">
            <w:pPr>
              <w:pStyle w:val="12"/>
              <w:spacing w:before="0" w:beforeAutospacing="0" w:after="0" w:afterAutospacing="0" w:line="300" w:lineRule="exact"/>
              <w:jc w:val="both"/>
              <w:rPr>
                <w:rFonts w:hint="eastAsia"/>
              </w:rPr>
            </w:pPr>
            <w:r>
              <w:rPr>
                <w:rFonts w:hint="eastAsia"/>
                <w:color w:val="000000"/>
                <w:sz w:val="21"/>
                <w:szCs w:val="21"/>
              </w:rPr>
              <w:t>（3）解题方法和步骤正确。</w:t>
            </w:r>
          </w:p>
          <w:p w14:paraId="10488CFD">
            <w:pPr>
              <w:pStyle w:val="12"/>
              <w:spacing w:before="0" w:beforeAutospacing="0" w:after="0" w:afterAutospacing="0" w:line="300" w:lineRule="exact"/>
              <w:jc w:val="both"/>
              <w:rPr>
                <w:rFonts w:hint="eastAsia"/>
              </w:rPr>
            </w:pPr>
            <w:r>
              <w:rPr>
                <w:rFonts w:hint="eastAsia"/>
                <w:color w:val="000000"/>
                <w:sz w:val="21"/>
                <w:szCs w:val="21"/>
              </w:rPr>
              <w:t>教师批改和讲评作业要求如下：</w:t>
            </w:r>
          </w:p>
          <w:p w14:paraId="4A558E11">
            <w:pPr>
              <w:pStyle w:val="12"/>
              <w:spacing w:before="0" w:beforeAutospacing="0" w:after="0" w:afterAutospacing="0" w:line="300" w:lineRule="exact"/>
              <w:jc w:val="both"/>
              <w:rPr>
                <w:rFonts w:hint="eastAsia"/>
              </w:rPr>
            </w:pPr>
            <w:r>
              <w:rPr>
                <w:rFonts w:hint="eastAsia"/>
                <w:color w:val="000000"/>
                <w:sz w:val="21"/>
                <w:szCs w:val="21"/>
              </w:rPr>
              <w:t>（1）学生的作业要按时批改，并及时进行讲评。</w:t>
            </w:r>
          </w:p>
          <w:p w14:paraId="4F37F8F1">
            <w:pPr>
              <w:pStyle w:val="12"/>
              <w:spacing w:before="0" w:beforeAutospacing="0" w:after="0" w:afterAutospacing="0" w:line="300" w:lineRule="exact"/>
              <w:jc w:val="both"/>
              <w:rPr>
                <w:rFonts w:hint="eastAsia"/>
              </w:rPr>
            </w:pPr>
            <w:r>
              <w:rPr>
                <w:rFonts w:hint="eastAsia"/>
                <w:color w:val="000000"/>
                <w:sz w:val="21"/>
                <w:szCs w:val="21"/>
              </w:rPr>
              <w:t>（2）教师批改和讲评作业要认真、细致，按百分制评定成绩并写明日期。</w:t>
            </w:r>
          </w:p>
          <w:p w14:paraId="31561C6E">
            <w:pPr>
              <w:pStyle w:val="12"/>
              <w:spacing w:before="0" w:beforeAutospacing="0" w:after="0" w:afterAutospacing="0" w:line="300" w:lineRule="exact"/>
              <w:jc w:val="both"/>
              <w:rPr>
                <w:rFonts w:hint="eastAsia"/>
              </w:rPr>
            </w:pPr>
            <w:r>
              <w:rPr>
                <w:rFonts w:hint="eastAsia"/>
                <w:color w:val="000000"/>
                <w:sz w:val="21"/>
                <w:szCs w:val="21"/>
              </w:rPr>
              <w:t>（3）学生作业平均成绩应作为本课程总评成绩中平时成绩的重要组成部分。</w:t>
            </w:r>
          </w:p>
        </w:tc>
      </w:tr>
      <w:tr w14:paraId="4CD4DE0B">
        <w:tblPrEx>
          <w:tblCellMar>
            <w:top w:w="15" w:type="dxa"/>
            <w:left w:w="15" w:type="dxa"/>
            <w:bottom w:w="15" w:type="dxa"/>
            <w:right w:w="15" w:type="dxa"/>
          </w:tblCellMar>
        </w:tblPrEx>
        <w:trPr>
          <w:trHeight w:val="1176" w:hRule="atLeast"/>
        </w:trPr>
        <w:tc>
          <w:tcPr>
            <w:tcW w:w="582" w:type="dxa"/>
            <w:tcBorders>
              <w:top w:val="single" w:color="auto" w:sz="4" w:space="0"/>
              <w:left w:val="single" w:color="auto" w:sz="8" w:space="0"/>
              <w:bottom w:val="single" w:color="auto" w:sz="4" w:space="0"/>
              <w:right w:val="single" w:color="auto" w:sz="4" w:space="0"/>
            </w:tcBorders>
            <w:shd w:val="clear" w:color="auto" w:fill="auto"/>
            <w:tcMar>
              <w:top w:w="0" w:type="dxa"/>
              <w:left w:w="108" w:type="dxa"/>
              <w:bottom w:w="0" w:type="dxa"/>
              <w:right w:w="108" w:type="dxa"/>
            </w:tcMar>
            <w:vAlign w:val="center"/>
          </w:tcPr>
          <w:p w14:paraId="7F3B6F5C">
            <w:pPr>
              <w:pStyle w:val="12"/>
              <w:spacing w:before="0" w:beforeAutospacing="0" w:after="0" w:afterAutospacing="0" w:line="300" w:lineRule="exact"/>
              <w:jc w:val="center"/>
              <w:rPr>
                <w:rFonts w:hint="eastAsia"/>
              </w:rPr>
            </w:pPr>
            <w:r>
              <w:rPr>
                <w:rFonts w:hint="eastAsia"/>
                <w:color w:val="000000"/>
                <w:sz w:val="21"/>
                <w:szCs w:val="21"/>
              </w:rPr>
              <w:t>4</w:t>
            </w:r>
          </w:p>
        </w:tc>
        <w:tc>
          <w:tcPr>
            <w:tcW w:w="99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262C2BD6">
            <w:pPr>
              <w:pStyle w:val="12"/>
              <w:spacing w:before="0" w:beforeAutospacing="0" w:after="0" w:afterAutospacing="0" w:line="300" w:lineRule="exact"/>
              <w:jc w:val="center"/>
              <w:rPr>
                <w:rFonts w:hint="eastAsia"/>
              </w:rPr>
            </w:pPr>
            <w:r>
              <w:rPr>
                <w:rFonts w:hint="eastAsia"/>
                <w:color w:val="000000"/>
                <w:sz w:val="21"/>
                <w:szCs w:val="21"/>
              </w:rPr>
              <w:t>课外答疑</w:t>
            </w:r>
          </w:p>
        </w:tc>
        <w:tc>
          <w:tcPr>
            <w:tcW w:w="7525"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14:paraId="079A7DB3">
            <w:pPr>
              <w:pStyle w:val="12"/>
              <w:spacing w:before="0" w:beforeAutospacing="0" w:after="0" w:afterAutospacing="0" w:line="300" w:lineRule="exact"/>
              <w:jc w:val="both"/>
              <w:rPr>
                <w:rFonts w:hint="eastAsia"/>
              </w:rPr>
            </w:pPr>
            <w:r>
              <w:rPr>
                <w:rFonts w:hint="eastAsia"/>
                <w:color w:val="000000"/>
                <w:sz w:val="21"/>
                <w:szCs w:val="21"/>
              </w:rPr>
              <w:t>为直接了解学生的学习情况，帮助学生进一步理解和消化课堂上所学知识、改进学习方法和思维方式，培养其独立思考问题的能力，建议任课教师安排时间进行课外答疑与辅导工作。</w:t>
            </w:r>
          </w:p>
        </w:tc>
      </w:tr>
      <w:tr w14:paraId="635957DA">
        <w:tblPrEx>
          <w:tblCellMar>
            <w:top w:w="15" w:type="dxa"/>
            <w:left w:w="15" w:type="dxa"/>
            <w:bottom w:w="15" w:type="dxa"/>
            <w:right w:w="15" w:type="dxa"/>
          </w:tblCellMar>
        </w:tblPrEx>
        <w:trPr>
          <w:trHeight w:val="1266" w:hRule="atLeast"/>
        </w:trPr>
        <w:tc>
          <w:tcPr>
            <w:tcW w:w="582" w:type="dxa"/>
            <w:tcBorders>
              <w:top w:val="single" w:color="auto" w:sz="4" w:space="0"/>
              <w:left w:val="single" w:color="auto" w:sz="8" w:space="0"/>
              <w:bottom w:val="single" w:color="auto" w:sz="4" w:space="0"/>
              <w:right w:val="single" w:color="auto" w:sz="4" w:space="0"/>
            </w:tcBorders>
            <w:shd w:val="clear" w:color="auto" w:fill="auto"/>
            <w:tcMar>
              <w:top w:w="0" w:type="dxa"/>
              <w:left w:w="108" w:type="dxa"/>
              <w:bottom w:w="0" w:type="dxa"/>
              <w:right w:w="108" w:type="dxa"/>
            </w:tcMar>
            <w:vAlign w:val="center"/>
          </w:tcPr>
          <w:p w14:paraId="1D5737AC">
            <w:pPr>
              <w:pStyle w:val="12"/>
              <w:spacing w:before="0" w:beforeAutospacing="0" w:after="0" w:afterAutospacing="0" w:line="300" w:lineRule="exact"/>
              <w:jc w:val="center"/>
              <w:rPr>
                <w:rFonts w:hint="eastAsia"/>
              </w:rPr>
            </w:pPr>
            <w:r>
              <w:rPr>
                <w:rFonts w:hint="eastAsia"/>
                <w:color w:val="000000"/>
                <w:sz w:val="21"/>
                <w:szCs w:val="21"/>
              </w:rPr>
              <w:t>5</w:t>
            </w:r>
          </w:p>
        </w:tc>
        <w:tc>
          <w:tcPr>
            <w:tcW w:w="993"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35FF75A3">
            <w:pPr>
              <w:pStyle w:val="12"/>
              <w:spacing w:before="0" w:beforeAutospacing="0" w:after="0" w:afterAutospacing="0" w:line="300" w:lineRule="exact"/>
              <w:jc w:val="center"/>
              <w:rPr>
                <w:rFonts w:hint="eastAsia"/>
              </w:rPr>
            </w:pPr>
            <w:r>
              <w:rPr>
                <w:rFonts w:hint="eastAsia"/>
                <w:color w:val="000000"/>
                <w:sz w:val="21"/>
                <w:szCs w:val="21"/>
              </w:rPr>
              <w:t>成绩考核</w:t>
            </w:r>
          </w:p>
        </w:tc>
        <w:tc>
          <w:tcPr>
            <w:tcW w:w="7525"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14:paraId="2450B1E1">
            <w:pPr>
              <w:pStyle w:val="12"/>
              <w:spacing w:before="0" w:beforeAutospacing="0" w:after="0" w:afterAutospacing="0" w:line="300" w:lineRule="exact"/>
              <w:jc w:val="both"/>
              <w:rPr>
                <w:rFonts w:hint="eastAsia"/>
              </w:rPr>
            </w:pPr>
            <w:r>
              <w:rPr>
                <w:rFonts w:hint="eastAsia"/>
                <w:color w:val="000000"/>
                <w:sz w:val="21"/>
                <w:szCs w:val="21"/>
              </w:rPr>
              <w:t>本课程考核的方式为闭卷笔试。监考由学院统一安排。有下列情况之一者，总评成绩为不及格：</w:t>
            </w:r>
          </w:p>
          <w:p w14:paraId="46C4B90A">
            <w:pPr>
              <w:pStyle w:val="12"/>
              <w:spacing w:before="0" w:beforeAutospacing="0" w:after="0" w:afterAutospacing="0" w:line="300" w:lineRule="exact"/>
              <w:jc w:val="both"/>
              <w:rPr>
                <w:rFonts w:hint="eastAsia"/>
              </w:rPr>
            </w:pPr>
            <w:r>
              <w:rPr>
                <w:rFonts w:hint="eastAsia"/>
                <w:color w:val="000000"/>
                <w:sz w:val="21"/>
                <w:szCs w:val="21"/>
              </w:rPr>
              <w:t>（1）缺交作业次数达1/3以上者。</w:t>
            </w:r>
          </w:p>
          <w:p w14:paraId="03FB863C">
            <w:pPr>
              <w:pStyle w:val="12"/>
              <w:spacing w:before="0" w:beforeAutospacing="0" w:after="0" w:afterAutospacing="0" w:line="300" w:lineRule="exact"/>
              <w:jc w:val="both"/>
              <w:rPr>
                <w:rFonts w:hint="eastAsia"/>
              </w:rPr>
            </w:pPr>
            <w:r>
              <w:rPr>
                <w:rFonts w:hint="eastAsia"/>
                <w:color w:val="000000"/>
                <w:sz w:val="21"/>
                <w:szCs w:val="21"/>
              </w:rPr>
              <w:t>（2）缺课次数达本学期总授课学时的1/3以上者。</w:t>
            </w:r>
          </w:p>
        </w:tc>
      </w:tr>
    </w:tbl>
    <w:p w14:paraId="758C3EE7">
      <w:pPr>
        <w:spacing w:line="360" w:lineRule="auto"/>
        <w:jc w:val="left"/>
        <w:rPr>
          <w:rFonts w:ascii="Times New Roman" w:hAnsi="Times New Roman" w:eastAsia="宋体" w:cs="Times New Roman"/>
          <w:sz w:val="24"/>
        </w:rPr>
      </w:pPr>
    </w:p>
    <w:p w14:paraId="205615A9">
      <w:pPr>
        <w:pStyle w:val="12"/>
        <w:spacing w:before="0" w:beforeAutospacing="0" w:after="0" w:afterAutospacing="0" w:line="23" w:lineRule="atLeast"/>
        <w:jc w:val="both"/>
        <w:rPr>
          <w:rFonts w:hint="eastAsia"/>
        </w:rPr>
      </w:pPr>
      <w:r>
        <w:rPr>
          <w:rFonts w:hint="eastAsia"/>
          <w:b/>
          <w:bCs/>
          <w:color w:val="000000"/>
        </w:rPr>
        <w:t>五、课程考核</w:t>
      </w:r>
    </w:p>
    <w:p w14:paraId="2189C40C">
      <w:pPr>
        <w:pStyle w:val="12"/>
        <w:spacing w:before="0" w:beforeAutospacing="0" w:after="0" w:afterAutospacing="0" w:line="21" w:lineRule="atLeast"/>
        <w:jc w:val="both"/>
        <w:rPr>
          <w:rFonts w:hint="eastAsia"/>
        </w:rPr>
      </w:pPr>
      <w:r>
        <w:rPr>
          <w:rFonts w:hint="eastAsia"/>
          <w:color w:val="000000"/>
        </w:rPr>
        <w:t>课程考核包括期末考试、平时及作业考核等，期末考试采用闭卷考试方式。</w:t>
      </w:r>
    </w:p>
    <w:p w14:paraId="3D32B70F">
      <w:pPr>
        <w:pStyle w:val="12"/>
        <w:spacing w:before="0" w:beforeAutospacing="0" w:after="0" w:afterAutospacing="0" w:line="21" w:lineRule="atLeast"/>
        <w:jc w:val="both"/>
        <w:rPr>
          <w:rFonts w:hint="eastAsia"/>
        </w:rPr>
      </w:pPr>
      <w:r>
        <w:rPr>
          <w:rFonts w:hint="eastAsia"/>
          <w:color w:val="000000"/>
        </w:rPr>
        <w:t>课程总评成绩=出勤情况成绩×10 % +师生互动成绩×10 % +作业成绩×30 % + 期末考试成绩×50 %。</w:t>
      </w:r>
    </w:p>
    <w:p w14:paraId="5DA584DA">
      <w:pPr>
        <w:pStyle w:val="12"/>
        <w:spacing w:before="0" w:beforeAutospacing="0" w:after="0" w:afterAutospacing="0" w:line="21" w:lineRule="atLeast"/>
        <w:jc w:val="both"/>
        <w:rPr>
          <w:rFonts w:hint="eastAsia"/>
        </w:rPr>
      </w:pPr>
      <w:r>
        <w:rPr>
          <w:rFonts w:hint="eastAsia"/>
          <w:color w:val="000000"/>
        </w:rPr>
        <w:t>具体内容和比例如表所示。</w:t>
      </w:r>
    </w:p>
    <w:tbl>
      <w:tblPr>
        <w:tblStyle w:val="13"/>
        <w:tblpPr w:vertAnchor="text" w:horzAnchor="margin" w:tblpXSpec="center" w:tblpY="244"/>
        <w:tblW w:w="9105" w:type="dxa"/>
        <w:tblInd w:w="0" w:type="dxa"/>
        <w:tblLayout w:type="fixed"/>
        <w:tblCellMar>
          <w:top w:w="0" w:type="dxa"/>
          <w:left w:w="180" w:type="dxa"/>
          <w:bottom w:w="0" w:type="dxa"/>
          <w:right w:w="180" w:type="dxa"/>
        </w:tblCellMar>
      </w:tblPr>
      <w:tblGrid>
        <w:gridCol w:w="1053"/>
        <w:gridCol w:w="866"/>
        <w:gridCol w:w="946"/>
        <w:gridCol w:w="3357"/>
        <w:gridCol w:w="716"/>
        <w:gridCol w:w="722"/>
        <w:gridCol w:w="727"/>
        <w:gridCol w:w="718"/>
      </w:tblGrid>
      <w:tr w14:paraId="7A947E86">
        <w:tblPrEx>
          <w:tblCellMar>
            <w:top w:w="0" w:type="dxa"/>
            <w:left w:w="180" w:type="dxa"/>
            <w:bottom w:w="0" w:type="dxa"/>
            <w:right w:w="180" w:type="dxa"/>
          </w:tblCellMar>
        </w:tblPrEx>
        <w:trPr>
          <w:trHeight w:val="159" w:hRule="atLeast"/>
        </w:trPr>
        <w:tc>
          <w:tcPr>
            <w:tcW w:w="1053" w:type="dxa"/>
            <w:vMerge w:val="restart"/>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31E68732">
            <w:pPr>
              <w:pStyle w:val="12"/>
              <w:spacing w:before="0" w:beforeAutospacing="0" w:after="0" w:afterAutospacing="0"/>
              <w:jc w:val="center"/>
              <w:rPr>
                <w:rFonts w:hint="eastAsia"/>
              </w:rPr>
            </w:pPr>
            <w:r>
              <w:rPr>
                <w:rFonts w:hint="eastAsia"/>
                <w:b/>
                <w:bCs/>
                <w:color w:val="000000"/>
                <w:sz w:val="21"/>
                <w:szCs w:val="21"/>
              </w:rPr>
              <w:t>考核环节</w:t>
            </w:r>
          </w:p>
        </w:tc>
        <w:tc>
          <w:tcPr>
            <w:tcW w:w="866" w:type="dxa"/>
            <w:vMerge w:val="restar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3DD677F">
            <w:pPr>
              <w:pStyle w:val="12"/>
              <w:spacing w:before="0" w:beforeAutospacing="0" w:after="0" w:afterAutospacing="0"/>
              <w:jc w:val="center"/>
              <w:rPr>
                <w:rFonts w:hint="eastAsia"/>
              </w:rPr>
            </w:pPr>
            <w:r>
              <w:rPr>
                <w:rFonts w:hint="eastAsia"/>
                <w:b/>
                <w:bCs/>
                <w:color w:val="000000"/>
                <w:sz w:val="21"/>
                <w:szCs w:val="21"/>
              </w:rPr>
              <w:t>成绩比例</w:t>
            </w:r>
          </w:p>
        </w:tc>
        <w:tc>
          <w:tcPr>
            <w:tcW w:w="4303" w:type="dxa"/>
            <w:gridSpan w:val="2"/>
            <w:vMerge w:val="restar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FD86747">
            <w:pPr>
              <w:pStyle w:val="12"/>
              <w:spacing w:before="0" w:beforeAutospacing="0" w:after="0" w:afterAutospacing="0"/>
              <w:jc w:val="center"/>
              <w:rPr>
                <w:rFonts w:hint="eastAsia"/>
              </w:rPr>
            </w:pPr>
            <w:r>
              <w:rPr>
                <w:rFonts w:hint="eastAsia"/>
                <w:b/>
                <w:bCs/>
                <w:color w:val="000000"/>
                <w:sz w:val="21"/>
                <w:szCs w:val="21"/>
              </w:rPr>
              <w:t>考核内容与评价细则</w:t>
            </w:r>
          </w:p>
        </w:tc>
        <w:tc>
          <w:tcPr>
            <w:tcW w:w="2883" w:type="dxa"/>
            <w:gridSpan w:val="4"/>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BFED73F">
            <w:pPr>
              <w:pStyle w:val="12"/>
              <w:spacing w:before="0" w:beforeAutospacing="0" w:after="0" w:afterAutospacing="0"/>
              <w:jc w:val="center"/>
              <w:rPr>
                <w:rFonts w:hint="eastAsia"/>
              </w:rPr>
            </w:pPr>
            <w:r>
              <w:rPr>
                <w:rFonts w:hint="eastAsia"/>
                <w:b/>
                <w:bCs/>
                <w:color w:val="000000"/>
                <w:sz w:val="21"/>
                <w:szCs w:val="21"/>
              </w:rPr>
              <w:t>支撑目标</w:t>
            </w:r>
          </w:p>
        </w:tc>
      </w:tr>
      <w:tr w14:paraId="302EE77C">
        <w:tblPrEx>
          <w:tblCellMar>
            <w:top w:w="0" w:type="dxa"/>
            <w:left w:w="180" w:type="dxa"/>
            <w:bottom w:w="0" w:type="dxa"/>
            <w:right w:w="180" w:type="dxa"/>
          </w:tblCellMar>
        </w:tblPrEx>
        <w:trPr>
          <w:trHeight w:val="377" w:hRule="atLeast"/>
        </w:trPr>
        <w:tc>
          <w:tcPr>
            <w:tcW w:w="1053" w:type="dxa"/>
            <w:vMerge w:val="continue"/>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2DC6D796">
            <w:pPr>
              <w:rPr>
                <w:rFonts w:ascii="宋体"/>
                <w:sz w:val="24"/>
              </w:rPr>
            </w:pPr>
          </w:p>
        </w:tc>
        <w:tc>
          <w:tcPr>
            <w:tcW w:w="866" w:type="dxa"/>
            <w:vMerge w:val="continue"/>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4049678A">
            <w:pPr>
              <w:rPr>
                <w:rFonts w:ascii="宋体"/>
                <w:sz w:val="24"/>
              </w:rPr>
            </w:pPr>
          </w:p>
        </w:tc>
        <w:tc>
          <w:tcPr>
            <w:tcW w:w="4303" w:type="dxa"/>
            <w:gridSpan w:val="2"/>
            <w:vMerge w:val="continue"/>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5B15EF00">
            <w:pPr>
              <w:rPr>
                <w:rFonts w:ascii="宋体"/>
                <w:sz w:val="24"/>
              </w:rPr>
            </w:pP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37EB2FB">
            <w:pPr>
              <w:pStyle w:val="12"/>
              <w:spacing w:before="0" w:beforeAutospacing="0" w:after="0" w:afterAutospacing="0"/>
              <w:jc w:val="center"/>
              <w:rPr>
                <w:rFonts w:hint="eastAsia"/>
              </w:rPr>
            </w:pPr>
            <w:r>
              <w:rPr>
                <w:rFonts w:hint="eastAsia"/>
                <w:b/>
                <w:bCs/>
                <w:color w:val="000000"/>
                <w:sz w:val="21"/>
                <w:szCs w:val="21"/>
              </w:rPr>
              <w:t>目标1</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5EA53B2C">
            <w:pPr>
              <w:pStyle w:val="12"/>
              <w:spacing w:before="0" w:beforeAutospacing="0" w:after="0" w:afterAutospacing="0"/>
              <w:jc w:val="center"/>
              <w:rPr>
                <w:rFonts w:hint="eastAsia"/>
              </w:rPr>
            </w:pPr>
            <w:r>
              <w:rPr>
                <w:rFonts w:hint="eastAsia"/>
                <w:b/>
                <w:bCs/>
                <w:color w:val="000000"/>
                <w:sz w:val="21"/>
                <w:szCs w:val="21"/>
              </w:rPr>
              <w:t>目标2</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3DBE7B9">
            <w:pPr>
              <w:pStyle w:val="12"/>
              <w:spacing w:before="0" w:beforeAutospacing="0" w:after="0" w:afterAutospacing="0"/>
              <w:jc w:val="center"/>
              <w:rPr>
                <w:rFonts w:hint="eastAsia"/>
              </w:rPr>
            </w:pPr>
            <w:r>
              <w:rPr>
                <w:rFonts w:hint="eastAsia"/>
                <w:b/>
                <w:bCs/>
                <w:color w:val="000000"/>
                <w:sz w:val="21"/>
                <w:szCs w:val="21"/>
              </w:rPr>
              <w:t>目标3</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2655446E">
            <w:pPr>
              <w:pStyle w:val="12"/>
              <w:spacing w:before="0" w:beforeAutospacing="0" w:after="0" w:afterAutospacing="0"/>
              <w:jc w:val="center"/>
              <w:rPr>
                <w:rFonts w:hint="eastAsia"/>
              </w:rPr>
            </w:pPr>
            <w:r>
              <w:rPr>
                <w:rFonts w:hint="eastAsia"/>
                <w:b/>
                <w:bCs/>
                <w:color w:val="000000"/>
                <w:sz w:val="21"/>
                <w:szCs w:val="21"/>
              </w:rPr>
              <w:t>目标4</w:t>
            </w:r>
          </w:p>
        </w:tc>
      </w:tr>
      <w:tr w14:paraId="1E3875AF">
        <w:tblPrEx>
          <w:tblCellMar>
            <w:top w:w="0" w:type="dxa"/>
            <w:left w:w="180" w:type="dxa"/>
            <w:bottom w:w="0" w:type="dxa"/>
            <w:right w:w="180" w:type="dxa"/>
          </w:tblCellMar>
        </w:tblPrEx>
        <w:trPr>
          <w:trHeight w:val="631" w:hRule="atLeast"/>
        </w:trPr>
        <w:tc>
          <w:tcPr>
            <w:tcW w:w="1053"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12734A61">
            <w:pPr>
              <w:pStyle w:val="12"/>
              <w:spacing w:before="0" w:beforeAutospacing="0" w:after="0" w:afterAutospacing="0"/>
              <w:jc w:val="center"/>
              <w:rPr>
                <w:rFonts w:hint="eastAsia"/>
              </w:rPr>
            </w:pPr>
            <w:r>
              <w:rPr>
                <w:rFonts w:hint="eastAsia"/>
                <w:color w:val="000000"/>
                <w:sz w:val="21"/>
                <w:szCs w:val="21"/>
              </w:rPr>
              <w:t>出勤情况</w:t>
            </w:r>
          </w:p>
        </w:tc>
        <w:tc>
          <w:tcPr>
            <w:tcW w:w="86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BF925E8">
            <w:pPr>
              <w:pStyle w:val="12"/>
              <w:spacing w:before="0" w:beforeAutospacing="0" w:after="0" w:afterAutospacing="0"/>
              <w:jc w:val="center"/>
              <w:rPr>
                <w:rFonts w:hint="eastAsia"/>
              </w:rPr>
            </w:pPr>
            <w:r>
              <w:rPr>
                <w:rFonts w:hint="eastAsia"/>
                <w:color w:val="000000"/>
                <w:sz w:val="21"/>
                <w:szCs w:val="21"/>
              </w:rPr>
              <w:t>10%</w:t>
            </w:r>
          </w:p>
        </w:tc>
        <w:tc>
          <w:tcPr>
            <w:tcW w:w="4303" w:type="dxa"/>
            <w:gridSpan w:val="2"/>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503017BD">
            <w:pPr>
              <w:pStyle w:val="12"/>
              <w:spacing w:before="0" w:beforeAutospacing="0" w:after="0" w:afterAutospacing="0"/>
              <w:jc w:val="both"/>
              <w:rPr>
                <w:rFonts w:hint="eastAsia"/>
              </w:rPr>
            </w:pPr>
            <w:r>
              <w:rPr>
                <w:rFonts w:hint="eastAsia"/>
                <w:color w:val="000000"/>
                <w:sz w:val="21"/>
                <w:szCs w:val="21"/>
              </w:rPr>
              <w:t>课堂不定期点名，考核能否按时到勤，其中迟到或缺席1次扣5分。</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00B7B36">
            <w:pPr>
              <w:pStyle w:val="12"/>
              <w:spacing w:before="0" w:beforeAutospacing="0" w:after="0" w:afterAutospacing="0"/>
              <w:jc w:val="center"/>
              <w:rPr>
                <w:rFonts w:hint="eastAsia"/>
              </w:rPr>
            </w:pPr>
            <w:r>
              <w:rPr>
                <w:rFonts w:hint="eastAsia"/>
                <w:color w:val="000000"/>
                <w:sz w:val="21"/>
                <w:szCs w:val="21"/>
              </w:rPr>
              <w:t>5%</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3382A062">
            <w:pPr>
              <w:pStyle w:val="12"/>
              <w:spacing w:before="0" w:beforeAutospacing="0" w:after="0" w:afterAutospacing="0"/>
              <w:jc w:val="center"/>
              <w:rPr>
                <w:rFonts w:hint="eastAsia"/>
              </w:rPr>
            </w:pPr>
            <w:r>
              <w:rPr>
                <w:rFonts w:hint="eastAsia"/>
                <w:color w:val="00B0F0"/>
                <w:sz w:val="21"/>
                <w:szCs w:val="21"/>
              </w:rPr>
              <w:t> </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354F9A4E">
            <w:pPr>
              <w:pStyle w:val="12"/>
              <w:spacing w:before="0" w:beforeAutospacing="0" w:after="0" w:afterAutospacing="0"/>
              <w:jc w:val="center"/>
              <w:rPr>
                <w:rFonts w:hint="eastAsia"/>
              </w:rPr>
            </w:pPr>
            <w:r>
              <w:rPr>
                <w:rFonts w:hint="eastAsia"/>
                <w:color w:val="000000"/>
                <w:sz w:val="21"/>
                <w:szCs w:val="21"/>
              </w:rPr>
              <w:t>5%</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49DF7FD9">
            <w:pPr>
              <w:pStyle w:val="12"/>
              <w:spacing w:before="0" w:beforeAutospacing="0" w:after="0" w:afterAutospacing="0"/>
              <w:jc w:val="center"/>
              <w:rPr>
                <w:rFonts w:hint="eastAsia"/>
              </w:rPr>
            </w:pPr>
            <w:r>
              <w:rPr>
                <w:rFonts w:hint="eastAsia"/>
                <w:color w:val="000000"/>
                <w:sz w:val="21"/>
                <w:szCs w:val="21"/>
              </w:rPr>
              <w:t> </w:t>
            </w:r>
          </w:p>
        </w:tc>
      </w:tr>
      <w:tr w14:paraId="1E0D3C80">
        <w:tblPrEx>
          <w:tblCellMar>
            <w:top w:w="0" w:type="dxa"/>
            <w:left w:w="180" w:type="dxa"/>
            <w:bottom w:w="0" w:type="dxa"/>
            <w:right w:w="180" w:type="dxa"/>
          </w:tblCellMar>
        </w:tblPrEx>
        <w:trPr>
          <w:trHeight w:val="939" w:hRule="atLeast"/>
        </w:trPr>
        <w:tc>
          <w:tcPr>
            <w:tcW w:w="1053"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770789D8">
            <w:pPr>
              <w:pStyle w:val="12"/>
              <w:spacing w:before="0" w:beforeAutospacing="0" w:after="0" w:afterAutospacing="0"/>
              <w:jc w:val="center"/>
              <w:rPr>
                <w:rFonts w:hint="eastAsia"/>
              </w:rPr>
            </w:pPr>
            <w:r>
              <w:rPr>
                <w:rFonts w:hint="eastAsia"/>
                <w:color w:val="000000"/>
                <w:sz w:val="21"/>
                <w:szCs w:val="21"/>
              </w:rPr>
              <w:t>师生互动</w:t>
            </w:r>
          </w:p>
        </w:tc>
        <w:tc>
          <w:tcPr>
            <w:tcW w:w="86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7402A69">
            <w:pPr>
              <w:pStyle w:val="12"/>
              <w:spacing w:before="0" w:beforeAutospacing="0" w:after="0" w:afterAutospacing="0"/>
              <w:jc w:val="center"/>
              <w:rPr>
                <w:rFonts w:hint="eastAsia"/>
              </w:rPr>
            </w:pPr>
            <w:r>
              <w:rPr>
                <w:rFonts w:hint="eastAsia"/>
                <w:color w:val="000000"/>
                <w:sz w:val="21"/>
                <w:szCs w:val="21"/>
              </w:rPr>
              <w:t>10%</w:t>
            </w:r>
          </w:p>
        </w:tc>
        <w:tc>
          <w:tcPr>
            <w:tcW w:w="4303" w:type="dxa"/>
            <w:gridSpan w:val="2"/>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3A80397">
            <w:pPr>
              <w:pStyle w:val="12"/>
              <w:spacing w:before="0" w:beforeAutospacing="0" w:after="0" w:afterAutospacing="0"/>
              <w:jc w:val="both"/>
              <w:rPr>
                <w:rFonts w:hint="eastAsia"/>
              </w:rPr>
            </w:pPr>
            <w:r>
              <w:rPr>
                <w:rFonts w:hint="eastAsia"/>
                <w:color w:val="000000"/>
                <w:sz w:val="21"/>
                <w:szCs w:val="21"/>
              </w:rPr>
              <w:t>课堂不定期通过提问或小练习实施师生互动，考核学生课堂学习情况，按照互动情况打分。</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F9EA507">
            <w:pPr>
              <w:pStyle w:val="12"/>
              <w:spacing w:before="0" w:beforeAutospacing="0" w:after="0" w:afterAutospacing="0"/>
              <w:jc w:val="center"/>
              <w:rPr>
                <w:rFonts w:hint="eastAsia"/>
              </w:rPr>
            </w:pPr>
            <w:r>
              <w:rPr>
                <w:rFonts w:hint="eastAsia"/>
                <w:color w:val="000000"/>
                <w:sz w:val="21"/>
                <w:szCs w:val="21"/>
              </w:rPr>
              <w:t>5%</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542DCA0B">
            <w:pPr>
              <w:pStyle w:val="12"/>
              <w:spacing w:before="0" w:beforeAutospacing="0" w:after="0" w:afterAutospacing="0"/>
              <w:jc w:val="center"/>
              <w:rPr>
                <w:rFonts w:hint="eastAsia"/>
              </w:rPr>
            </w:pPr>
            <w:r>
              <w:rPr>
                <w:rFonts w:hint="eastAsia"/>
                <w:color w:val="00B0F0"/>
                <w:sz w:val="21"/>
                <w:szCs w:val="21"/>
              </w:rPr>
              <w:t> </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BACF34A">
            <w:pPr>
              <w:pStyle w:val="12"/>
              <w:spacing w:before="0" w:beforeAutospacing="0" w:after="0" w:afterAutospacing="0"/>
              <w:jc w:val="center"/>
              <w:rPr>
                <w:rFonts w:hint="eastAsia"/>
              </w:rPr>
            </w:pPr>
            <w:r>
              <w:rPr>
                <w:rFonts w:hint="eastAsia"/>
                <w:color w:val="000000"/>
                <w:sz w:val="21"/>
                <w:szCs w:val="21"/>
              </w:rPr>
              <w:t>5%</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34FE6248">
            <w:pPr>
              <w:pStyle w:val="12"/>
              <w:spacing w:before="0" w:beforeAutospacing="0" w:after="0" w:afterAutospacing="0"/>
              <w:jc w:val="center"/>
              <w:rPr>
                <w:rFonts w:hint="eastAsia"/>
              </w:rPr>
            </w:pPr>
            <w:r>
              <w:rPr>
                <w:rFonts w:hint="eastAsia"/>
                <w:color w:val="000000"/>
                <w:sz w:val="21"/>
                <w:szCs w:val="21"/>
              </w:rPr>
              <w:t> </w:t>
            </w:r>
          </w:p>
        </w:tc>
      </w:tr>
      <w:tr w14:paraId="507938BF">
        <w:tblPrEx>
          <w:tblCellMar>
            <w:top w:w="0" w:type="dxa"/>
            <w:left w:w="180" w:type="dxa"/>
            <w:bottom w:w="0" w:type="dxa"/>
            <w:right w:w="180" w:type="dxa"/>
          </w:tblCellMar>
        </w:tblPrEx>
        <w:trPr>
          <w:trHeight w:val="798" w:hRule="atLeast"/>
        </w:trPr>
        <w:tc>
          <w:tcPr>
            <w:tcW w:w="1053"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7CD6B3E4">
            <w:pPr>
              <w:pStyle w:val="12"/>
              <w:spacing w:before="0" w:beforeAutospacing="0" w:after="0" w:afterAutospacing="0"/>
              <w:jc w:val="center"/>
              <w:rPr>
                <w:rFonts w:hint="eastAsia"/>
              </w:rPr>
            </w:pPr>
            <w:r>
              <w:rPr>
                <w:rFonts w:hint="eastAsia"/>
                <w:color w:val="000000"/>
                <w:sz w:val="21"/>
                <w:szCs w:val="21"/>
              </w:rPr>
              <w:t>作 业</w:t>
            </w:r>
          </w:p>
        </w:tc>
        <w:tc>
          <w:tcPr>
            <w:tcW w:w="86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3C03746">
            <w:pPr>
              <w:pStyle w:val="12"/>
              <w:spacing w:before="0" w:beforeAutospacing="0" w:after="0" w:afterAutospacing="0"/>
              <w:jc w:val="center"/>
              <w:rPr>
                <w:rFonts w:hint="eastAsia"/>
              </w:rPr>
            </w:pPr>
            <w:r>
              <w:rPr>
                <w:rFonts w:hint="eastAsia"/>
                <w:color w:val="000000"/>
                <w:sz w:val="21"/>
                <w:szCs w:val="21"/>
              </w:rPr>
              <w:t>30%</w:t>
            </w:r>
          </w:p>
        </w:tc>
        <w:tc>
          <w:tcPr>
            <w:tcW w:w="4303" w:type="dxa"/>
            <w:gridSpan w:val="2"/>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015659A">
            <w:pPr>
              <w:pStyle w:val="12"/>
              <w:spacing w:before="0" w:beforeAutospacing="0" w:after="0" w:afterAutospacing="0"/>
              <w:jc w:val="both"/>
              <w:rPr>
                <w:rFonts w:hint="eastAsia"/>
              </w:rPr>
            </w:pPr>
            <w:r>
              <w:rPr>
                <w:rFonts w:hint="eastAsia"/>
                <w:color w:val="000000"/>
                <w:sz w:val="21"/>
                <w:szCs w:val="21"/>
              </w:rPr>
              <w:t>定期布置作业，考核学生对所学知识点的复习、理解和掌握度。对每次作业完成情况做记录并打分，计算全部作业的平均成绩。</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1FE79160">
            <w:pPr>
              <w:pStyle w:val="12"/>
              <w:spacing w:before="0" w:beforeAutospacing="0" w:after="0" w:afterAutospacing="0"/>
              <w:jc w:val="center"/>
              <w:rPr>
                <w:rFonts w:hint="eastAsia"/>
              </w:rPr>
            </w:pPr>
            <w:r>
              <w:rPr>
                <w:rFonts w:hint="eastAsia"/>
                <w:color w:val="00B0F0"/>
                <w:sz w:val="21"/>
                <w:szCs w:val="21"/>
              </w:rPr>
              <w:t> </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11C0CDD8">
            <w:pPr>
              <w:pStyle w:val="12"/>
              <w:spacing w:before="0" w:beforeAutospacing="0" w:after="0" w:afterAutospacing="0"/>
              <w:jc w:val="center"/>
              <w:rPr>
                <w:rFonts w:hint="eastAsia"/>
              </w:rPr>
            </w:pPr>
            <w:r>
              <w:rPr>
                <w:rFonts w:hint="eastAsia"/>
                <w:color w:val="000000"/>
                <w:sz w:val="21"/>
                <w:szCs w:val="21"/>
              </w:rPr>
              <w:t>20%</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2CA59343">
            <w:pPr>
              <w:pStyle w:val="12"/>
              <w:spacing w:before="0" w:beforeAutospacing="0" w:after="0" w:afterAutospacing="0"/>
              <w:jc w:val="center"/>
              <w:rPr>
                <w:rFonts w:hint="eastAsia"/>
              </w:rPr>
            </w:pPr>
            <w:r>
              <w:rPr>
                <w:rFonts w:hint="eastAsia"/>
                <w:color w:val="000000"/>
                <w:sz w:val="21"/>
                <w:szCs w:val="21"/>
              </w:rPr>
              <w:t>10%</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70F493B">
            <w:pPr>
              <w:pStyle w:val="12"/>
              <w:spacing w:before="0" w:beforeAutospacing="0" w:after="0" w:afterAutospacing="0"/>
              <w:jc w:val="center"/>
              <w:rPr>
                <w:rFonts w:hint="eastAsia"/>
              </w:rPr>
            </w:pPr>
            <w:r>
              <w:rPr>
                <w:rFonts w:hint="eastAsia"/>
                <w:color w:val="000000"/>
                <w:sz w:val="21"/>
                <w:szCs w:val="21"/>
              </w:rPr>
              <w:t> </w:t>
            </w:r>
          </w:p>
        </w:tc>
      </w:tr>
      <w:tr w14:paraId="5BCCFA41">
        <w:tblPrEx>
          <w:tblCellMar>
            <w:top w:w="0" w:type="dxa"/>
            <w:left w:w="180" w:type="dxa"/>
            <w:bottom w:w="0" w:type="dxa"/>
            <w:right w:w="180" w:type="dxa"/>
          </w:tblCellMar>
        </w:tblPrEx>
        <w:trPr>
          <w:trHeight w:val="168" w:hRule="atLeast"/>
        </w:trPr>
        <w:tc>
          <w:tcPr>
            <w:tcW w:w="1053"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5582C8D5">
            <w:pPr>
              <w:pStyle w:val="12"/>
              <w:spacing w:before="0" w:beforeAutospacing="0" w:after="0" w:afterAutospacing="0"/>
              <w:jc w:val="center"/>
              <w:rPr>
                <w:rFonts w:hint="eastAsia"/>
              </w:rPr>
            </w:pPr>
            <w:r>
              <w:rPr>
                <w:rFonts w:hint="eastAsia"/>
                <w:color w:val="000000"/>
                <w:sz w:val="21"/>
                <w:szCs w:val="21"/>
              </w:rPr>
              <w:t>期末试卷</w:t>
            </w:r>
          </w:p>
        </w:tc>
        <w:tc>
          <w:tcPr>
            <w:tcW w:w="866" w:type="dxa"/>
            <w:vMerge w:val="restar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55F7E3B">
            <w:pPr>
              <w:pStyle w:val="12"/>
              <w:spacing w:before="0" w:beforeAutospacing="0" w:after="0" w:afterAutospacing="0"/>
              <w:jc w:val="center"/>
              <w:rPr>
                <w:rFonts w:hint="eastAsia"/>
              </w:rPr>
            </w:pPr>
            <w:r>
              <w:rPr>
                <w:rFonts w:hint="eastAsia"/>
                <w:color w:val="000000"/>
                <w:sz w:val="21"/>
                <w:szCs w:val="21"/>
              </w:rPr>
              <w:t xml:space="preserve">50% </w:t>
            </w:r>
          </w:p>
        </w:tc>
        <w:tc>
          <w:tcPr>
            <w:tcW w:w="94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B7A51AA">
            <w:pPr>
              <w:pStyle w:val="12"/>
              <w:spacing w:before="0" w:beforeAutospacing="0" w:after="0" w:afterAutospacing="0"/>
              <w:jc w:val="center"/>
              <w:rPr>
                <w:rFonts w:hint="eastAsia"/>
              </w:rPr>
            </w:pPr>
            <w:r>
              <w:rPr>
                <w:rFonts w:hint="eastAsia"/>
                <w:color w:val="000000"/>
                <w:sz w:val="21"/>
                <w:szCs w:val="21"/>
              </w:rPr>
              <w:t>题型</w:t>
            </w:r>
          </w:p>
        </w:tc>
        <w:tc>
          <w:tcPr>
            <w:tcW w:w="335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E9B8B05">
            <w:pPr>
              <w:pStyle w:val="12"/>
              <w:spacing w:before="0" w:beforeAutospacing="0" w:after="0" w:afterAutospacing="0"/>
              <w:jc w:val="center"/>
              <w:rPr>
                <w:rFonts w:hint="eastAsia"/>
              </w:rPr>
            </w:pPr>
            <w:r>
              <w:rPr>
                <w:rFonts w:hint="eastAsia"/>
                <w:color w:val="000000"/>
                <w:sz w:val="21"/>
                <w:szCs w:val="21"/>
              </w:rPr>
              <w:t>考核内容及相应题目</w:t>
            </w:r>
          </w:p>
        </w:tc>
        <w:tc>
          <w:tcPr>
            <w:tcW w:w="2883" w:type="dxa"/>
            <w:gridSpan w:val="4"/>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tcPr>
          <w:p w14:paraId="60313BB8">
            <w:pPr>
              <w:pStyle w:val="12"/>
              <w:spacing w:before="0" w:beforeAutospacing="0" w:after="0" w:afterAutospacing="0"/>
              <w:jc w:val="both"/>
              <w:rPr>
                <w:rFonts w:hint="eastAsia"/>
              </w:rPr>
            </w:pPr>
            <w:r>
              <w:rPr>
                <w:rFonts w:hint="eastAsia"/>
                <w:color w:val="00B0F0"/>
                <w:sz w:val="21"/>
                <w:szCs w:val="21"/>
              </w:rPr>
              <w:t> </w:t>
            </w:r>
          </w:p>
        </w:tc>
      </w:tr>
      <w:tr w14:paraId="62EECCFB">
        <w:tblPrEx>
          <w:tblCellMar>
            <w:top w:w="0" w:type="dxa"/>
            <w:left w:w="180" w:type="dxa"/>
            <w:bottom w:w="0" w:type="dxa"/>
            <w:right w:w="180" w:type="dxa"/>
          </w:tblCellMar>
        </w:tblPrEx>
        <w:trPr>
          <w:trHeight w:val="166" w:hRule="atLeast"/>
        </w:trPr>
        <w:tc>
          <w:tcPr>
            <w:tcW w:w="1053" w:type="dxa"/>
            <w:vMerge w:val="continue"/>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1A9657B">
            <w:pPr>
              <w:rPr>
                <w:rFonts w:ascii="宋体"/>
                <w:sz w:val="24"/>
              </w:rPr>
            </w:pPr>
          </w:p>
        </w:tc>
        <w:tc>
          <w:tcPr>
            <w:tcW w:w="866"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AA6FFAB">
            <w:pPr>
              <w:rPr>
                <w:rFonts w:ascii="宋体"/>
                <w:sz w:val="24"/>
              </w:rPr>
            </w:pPr>
          </w:p>
        </w:tc>
        <w:tc>
          <w:tcPr>
            <w:tcW w:w="94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3AB10BF">
            <w:pPr>
              <w:pStyle w:val="12"/>
              <w:spacing w:before="0" w:beforeAutospacing="0" w:after="0" w:afterAutospacing="0"/>
              <w:jc w:val="center"/>
              <w:rPr>
                <w:rFonts w:hint="eastAsia"/>
              </w:rPr>
            </w:pPr>
            <w:r>
              <w:rPr>
                <w:rFonts w:hint="eastAsia"/>
                <w:color w:val="000000"/>
                <w:sz w:val="21"/>
                <w:szCs w:val="21"/>
              </w:rPr>
              <w:t>填空题</w:t>
            </w:r>
          </w:p>
        </w:tc>
        <w:tc>
          <w:tcPr>
            <w:tcW w:w="335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4AE501F">
            <w:pPr>
              <w:pStyle w:val="12"/>
              <w:spacing w:before="0" w:beforeAutospacing="0" w:after="0" w:afterAutospacing="0"/>
              <w:rPr>
                <w:rFonts w:hint="eastAsia"/>
              </w:rPr>
            </w:pPr>
            <w:r>
              <w:rPr>
                <w:rFonts w:hint="eastAsia"/>
                <w:color w:val="000000"/>
                <w:sz w:val="21"/>
                <w:szCs w:val="21"/>
              </w:rPr>
              <w:t>概率的性质、概率的运算、离散型与连续型随机变量的计算，期望与方差的计算，统计分布等。</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E447BD7">
            <w:pPr>
              <w:pStyle w:val="12"/>
              <w:spacing w:before="0" w:beforeAutospacing="0" w:after="0" w:afterAutospacing="0"/>
              <w:jc w:val="center"/>
              <w:rPr>
                <w:rFonts w:hint="eastAsia"/>
              </w:rPr>
            </w:pPr>
            <w:r>
              <w:rPr>
                <w:rFonts w:hint="eastAsia"/>
                <w:color w:val="000000"/>
                <w:sz w:val="21"/>
                <w:szCs w:val="21"/>
              </w:rPr>
              <w:t>7.5%</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544FEB5A">
            <w:pPr>
              <w:pStyle w:val="12"/>
              <w:spacing w:before="0" w:beforeAutospacing="0" w:after="0" w:afterAutospacing="0"/>
              <w:jc w:val="center"/>
              <w:rPr>
                <w:rFonts w:hint="eastAsia"/>
              </w:rPr>
            </w:pPr>
            <w:r>
              <w:rPr>
                <w:rFonts w:hint="eastAsia"/>
                <w:color w:val="000000"/>
                <w:sz w:val="21"/>
                <w:szCs w:val="21"/>
              </w:rPr>
              <w:t> </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1904CC77">
            <w:pPr>
              <w:pStyle w:val="12"/>
              <w:spacing w:before="0" w:beforeAutospacing="0" w:after="0" w:afterAutospacing="0"/>
              <w:jc w:val="center"/>
              <w:rPr>
                <w:rFonts w:hint="eastAsia"/>
              </w:rPr>
            </w:pPr>
            <w:r>
              <w:rPr>
                <w:rFonts w:hint="eastAsia"/>
                <w:color w:val="000000"/>
                <w:sz w:val="21"/>
                <w:szCs w:val="21"/>
              </w:rPr>
              <w:t> </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824B2DE">
            <w:pPr>
              <w:pStyle w:val="12"/>
              <w:spacing w:before="0" w:beforeAutospacing="0" w:after="0" w:afterAutospacing="0"/>
              <w:jc w:val="center"/>
              <w:rPr>
                <w:rFonts w:hint="eastAsia"/>
              </w:rPr>
            </w:pPr>
            <w:r>
              <w:rPr>
                <w:rFonts w:hint="eastAsia"/>
                <w:color w:val="000000"/>
                <w:sz w:val="21"/>
                <w:szCs w:val="21"/>
              </w:rPr>
              <w:t> </w:t>
            </w:r>
          </w:p>
        </w:tc>
      </w:tr>
      <w:tr w14:paraId="767AFE42">
        <w:tblPrEx>
          <w:tblCellMar>
            <w:top w:w="0" w:type="dxa"/>
            <w:left w:w="180" w:type="dxa"/>
            <w:bottom w:w="0" w:type="dxa"/>
            <w:right w:w="180" w:type="dxa"/>
          </w:tblCellMar>
        </w:tblPrEx>
        <w:trPr>
          <w:trHeight w:val="166" w:hRule="atLeast"/>
        </w:trPr>
        <w:tc>
          <w:tcPr>
            <w:tcW w:w="1053" w:type="dxa"/>
            <w:vMerge w:val="continue"/>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7E3AAD52">
            <w:pPr>
              <w:rPr>
                <w:rFonts w:ascii="宋体"/>
                <w:sz w:val="24"/>
              </w:rPr>
            </w:pPr>
          </w:p>
        </w:tc>
        <w:tc>
          <w:tcPr>
            <w:tcW w:w="866"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C181176">
            <w:pPr>
              <w:rPr>
                <w:rFonts w:ascii="宋体"/>
                <w:sz w:val="24"/>
              </w:rPr>
            </w:pPr>
          </w:p>
        </w:tc>
        <w:tc>
          <w:tcPr>
            <w:tcW w:w="94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2629A49">
            <w:pPr>
              <w:pStyle w:val="12"/>
              <w:spacing w:before="0" w:beforeAutospacing="0" w:after="0" w:afterAutospacing="0"/>
              <w:jc w:val="center"/>
              <w:rPr>
                <w:rFonts w:hint="eastAsia"/>
              </w:rPr>
            </w:pPr>
            <w:r>
              <w:rPr>
                <w:rFonts w:hint="eastAsia"/>
                <w:color w:val="000000"/>
                <w:sz w:val="21"/>
                <w:szCs w:val="21"/>
              </w:rPr>
              <w:t>选择题</w:t>
            </w:r>
          </w:p>
        </w:tc>
        <w:tc>
          <w:tcPr>
            <w:tcW w:w="335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BC5A1C3">
            <w:pPr>
              <w:pStyle w:val="12"/>
              <w:spacing w:before="0" w:beforeAutospacing="0" w:after="0" w:afterAutospacing="0"/>
              <w:rPr>
                <w:rFonts w:hint="eastAsia"/>
              </w:rPr>
            </w:pPr>
            <w:r>
              <w:rPr>
                <w:rFonts w:hint="eastAsia"/>
                <w:color w:val="000000"/>
                <w:sz w:val="21"/>
                <w:szCs w:val="21"/>
              </w:rPr>
              <w:t>概率的性质、概率的运算、离散型与连续型随机变量的计算，期望与方差的计算，统计分布等。</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37DB7501">
            <w:pPr>
              <w:pStyle w:val="12"/>
              <w:spacing w:before="0" w:beforeAutospacing="0" w:after="0" w:afterAutospacing="0"/>
              <w:jc w:val="center"/>
              <w:rPr>
                <w:rFonts w:hint="eastAsia"/>
              </w:rPr>
            </w:pPr>
            <w:r>
              <w:rPr>
                <w:rFonts w:hint="eastAsia"/>
                <w:color w:val="000000"/>
                <w:sz w:val="21"/>
                <w:szCs w:val="21"/>
              </w:rPr>
              <w:t>7.5%</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92485EB">
            <w:pPr>
              <w:pStyle w:val="12"/>
              <w:spacing w:before="0" w:beforeAutospacing="0" w:after="0" w:afterAutospacing="0"/>
              <w:jc w:val="center"/>
              <w:rPr>
                <w:rFonts w:hint="eastAsia"/>
              </w:rPr>
            </w:pPr>
            <w:r>
              <w:rPr>
                <w:rFonts w:hint="eastAsia"/>
                <w:color w:val="000000"/>
                <w:sz w:val="21"/>
                <w:szCs w:val="21"/>
              </w:rPr>
              <w:t> </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932916B">
            <w:pPr>
              <w:pStyle w:val="12"/>
              <w:spacing w:before="0" w:beforeAutospacing="0" w:after="0" w:afterAutospacing="0"/>
              <w:jc w:val="center"/>
              <w:rPr>
                <w:rFonts w:hint="eastAsia"/>
              </w:rPr>
            </w:pPr>
            <w:r>
              <w:rPr>
                <w:rFonts w:hint="eastAsia"/>
                <w:color w:val="000000"/>
                <w:sz w:val="21"/>
                <w:szCs w:val="21"/>
              </w:rPr>
              <w:t> </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40171E3">
            <w:pPr>
              <w:pStyle w:val="12"/>
              <w:spacing w:before="0" w:beforeAutospacing="0" w:after="0" w:afterAutospacing="0"/>
              <w:jc w:val="center"/>
              <w:rPr>
                <w:rFonts w:hint="eastAsia"/>
              </w:rPr>
            </w:pPr>
            <w:r>
              <w:rPr>
                <w:rFonts w:hint="eastAsia"/>
                <w:color w:val="000000"/>
                <w:sz w:val="21"/>
                <w:szCs w:val="21"/>
              </w:rPr>
              <w:t> </w:t>
            </w:r>
          </w:p>
        </w:tc>
      </w:tr>
      <w:tr w14:paraId="33FC4AF7">
        <w:tblPrEx>
          <w:tblCellMar>
            <w:top w:w="0" w:type="dxa"/>
            <w:left w:w="180" w:type="dxa"/>
            <w:bottom w:w="0" w:type="dxa"/>
            <w:right w:w="180" w:type="dxa"/>
          </w:tblCellMar>
        </w:tblPrEx>
        <w:trPr>
          <w:trHeight w:val="166" w:hRule="atLeast"/>
        </w:trPr>
        <w:tc>
          <w:tcPr>
            <w:tcW w:w="1053" w:type="dxa"/>
            <w:vMerge w:val="continue"/>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67792049">
            <w:pPr>
              <w:rPr>
                <w:rFonts w:ascii="宋体"/>
                <w:sz w:val="24"/>
              </w:rPr>
            </w:pPr>
          </w:p>
        </w:tc>
        <w:tc>
          <w:tcPr>
            <w:tcW w:w="866"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CD88988">
            <w:pPr>
              <w:rPr>
                <w:rFonts w:ascii="宋体"/>
                <w:sz w:val="24"/>
              </w:rPr>
            </w:pPr>
          </w:p>
        </w:tc>
        <w:tc>
          <w:tcPr>
            <w:tcW w:w="94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A20E74C">
            <w:pPr>
              <w:pStyle w:val="12"/>
              <w:spacing w:before="0" w:beforeAutospacing="0" w:after="0" w:afterAutospacing="0"/>
              <w:jc w:val="center"/>
              <w:rPr>
                <w:rFonts w:hint="eastAsia"/>
              </w:rPr>
            </w:pPr>
            <w:r>
              <w:rPr>
                <w:rFonts w:hint="eastAsia"/>
                <w:color w:val="000000"/>
                <w:sz w:val="21"/>
                <w:szCs w:val="21"/>
              </w:rPr>
              <w:t>计算题</w:t>
            </w:r>
          </w:p>
        </w:tc>
        <w:tc>
          <w:tcPr>
            <w:tcW w:w="335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B560DA0">
            <w:pPr>
              <w:pStyle w:val="12"/>
              <w:spacing w:before="0" w:beforeAutospacing="0" w:after="0" w:afterAutospacing="0"/>
              <w:rPr>
                <w:rFonts w:hint="eastAsia"/>
              </w:rPr>
            </w:pPr>
            <w:r>
              <w:rPr>
                <w:rFonts w:hint="eastAsia"/>
                <w:color w:val="000000"/>
                <w:sz w:val="21"/>
                <w:szCs w:val="21"/>
              </w:rPr>
              <w:t>概率的性质、概率的运算、离散型与连续型随机变量的计算，边缘分布的计算，期望与方差的计算，统计分布等。</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1F5583C0">
            <w:pPr>
              <w:pStyle w:val="12"/>
              <w:spacing w:before="0" w:beforeAutospacing="0" w:after="0" w:afterAutospacing="0"/>
              <w:jc w:val="center"/>
              <w:rPr>
                <w:rFonts w:hint="eastAsia"/>
              </w:rPr>
            </w:pPr>
            <w:r>
              <w:rPr>
                <w:rFonts w:hint="eastAsia"/>
                <w:color w:val="000000"/>
                <w:sz w:val="21"/>
                <w:szCs w:val="21"/>
              </w:rPr>
              <w:t> </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2EAC2150">
            <w:pPr>
              <w:pStyle w:val="12"/>
              <w:spacing w:before="0" w:beforeAutospacing="0" w:after="0" w:afterAutospacing="0"/>
              <w:jc w:val="center"/>
              <w:rPr>
                <w:rFonts w:hint="eastAsia"/>
              </w:rPr>
            </w:pPr>
            <w:r>
              <w:rPr>
                <w:rFonts w:hint="eastAsia"/>
                <w:color w:val="000000"/>
                <w:sz w:val="21"/>
                <w:szCs w:val="21"/>
              </w:rPr>
              <w:t>35%</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1C86B542">
            <w:pPr>
              <w:pStyle w:val="12"/>
              <w:spacing w:before="0" w:beforeAutospacing="0" w:after="0" w:afterAutospacing="0"/>
              <w:jc w:val="center"/>
              <w:rPr>
                <w:rFonts w:hint="eastAsia"/>
              </w:rPr>
            </w:pPr>
            <w:r>
              <w:rPr>
                <w:rFonts w:hint="eastAsia"/>
                <w:color w:val="000000"/>
                <w:sz w:val="21"/>
                <w:szCs w:val="21"/>
              </w:rPr>
              <w:t> </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76E46B7B">
            <w:pPr>
              <w:pStyle w:val="12"/>
              <w:spacing w:before="0" w:beforeAutospacing="0" w:after="0" w:afterAutospacing="0"/>
              <w:jc w:val="center"/>
              <w:rPr>
                <w:rFonts w:hint="eastAsia"/>
              </w:rPr>
            </w:pPr>
            <w:r>
              <w:rPr>
                <w:rFonts w:hint="eastAsia"/>
                <w:color w:val="000000"/>
                <w:sz w:val="21"/>
                <w:szCs w:val="21"/>
              </w:rPr>
              <w:t> </w:t>
            </w:r>
          </w:p>
        </w:tc>
      </w:tr>
      <w:tr w14:paraId="2C3D7E49">
        <w:tblPrEx>
          <w:tblCellMar>
            <w:top w:w="0" w:type="dxa"/>
            <w:left w:w="180" w:type="dxa"/>
            <w:bottom w:w="0" w:type="dxa"/>
            <w:right w:w="180" w:type="dxa"/>
          </w:tblCellMar>
        </w:tblPrEx>
        <w:trPr>
          <w:trHeight w:val="166" w:hRule="atLeast"/>
        </w:trPr>
        <w:tc>
          <w:tcPr>
            <w:tcW w:w="1053"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70D4B42E">
            <w:pPr>
              <w:pStyle w:val="12"/>
              <w:spacing w:before="0" w:beforeAutospacing="0" w:after="0" w:afterAutospacing="0"/>
              <w:jc w:val="center"/>
              <w:rPr>
                <w:rFonts w:hint="eastAsia"/>
              </w:rPr>
            </w:pPr>
            <w:r>
              <w:rPr>
                <w:rFonts w:hint="eastAsia"/>
                <w:color w:val="000000"/>
                <w:sz w:val="21"/>
                <w:szCs w:val="21"/>
              </w:rPr>
              <w:t>合 计</w:t>
            </w:r>
          </w:p>
        </w:tc>
        <w:tc>
          <w:tcPr>
            <w:tcW w:w="86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B11295F">
            <w:pPr>
              <w:pStyle w:val="12"/>
              <w:spacing w:before="0" w:beforeAutospacing="0" w:after="0" w:afterAutospacing="0"/>
              <w:jc w:val="center"/>
              <w:rPr>
                <w:rFonts w:hint="eastAsia"/>
              </w:rPr>
            </w:pPr>
            <w:r>
              <w:rPr>
                <w:rFonts w:hint="eastAsia"/>
                <w:color w:val="000000"/>
                <w:sz w:val="21"/>
                <w:szCs w:val="21"/>
              </w:rPr>
              <w:t>100%</w:t>
            </w:r>
          </w:p>
        </w:tc>
        <w:tc>
          <w:tcPr>
            <w:tcW w:w="946"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C6CE146">
            <w:pPr>
              <w:pStyle w:val="12"/>
              <w:spacing w:before="0" w:beforeAutospacing="0" w:after="0" w:afterAutospacing="0"/>
              <w:jc w:val="center"/>
              <w:rPr>
                <w:rFonts w:hint="eastAsia"/>
              </w:rPr>
            </w:pPr>
            <w:r>
              <w:rPr>
                <w:rFonts w:hint="eastAsia"/>
                <w:color w:val="000000"/>
                <w:sz w:val="21"/>
                <w:szCs w:val="21"/>
              </w:rPr>
              <w:t> </w:t>
            </w:r>
          </w:p>
        </w:tc>
        <w:tc>
          <w:tcPr>
            <w:tcW w:w="3357"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80B2A60">
            <w:pPr>
              <w:pStyle w:val="12"/>
              <w:spacing w:before="0" w:beforeAutospacing="0" w:after="0" w:afterAutospacing="0"/>
              <w:jc w:val="both"/>
              <w:rPr>
                <w:rFonts w:hint="eastAsia"/>
              </w:rPr>
            </w:pPr>
            <w:r>
              <w:rPr>
                <w:rFonts w:hint="eastAsia"/>
                <w:color w:val="000000"/>
                <w:sz w:val="21"/>
                <w:szCs w:val="21"/>
              </w:rPr>
              <w:t> </w:t>
            </w:r>
          </w:p>
        </w:tc>
        <w:tc>
          <w:tcPr>
            <w:tcW w:w="716"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2F656697">
            <w:pPr>
              <w:pStyle w:val="12"/>
              <w:spacing w:before="0" w:beforeAutospacing="0" w:after="0" w:afterAutospacing="0"/>
              <w:jc w:val="center"/>
              <w:rPr>
                <w:rFonts w:hint="eastAsia"/>
              </w:rPr>
            </w:pPr>
            <w:r>
              <w:rPr>
                <w:rFonts w:hint="eastAsia"/>
                <w:color w:val="000000"/>
                <w:sz w:val="21"/>
                <w:szCs w:val="21"/>
              </w:rPr>
              <w:t>25%</w:t>
            </w:r>
          </w:p>
        </w:tc>
        <w:tc>
          <w:tcPr>
            <w:tcW w:w="722"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01D6DCB">
            <w:pPr>
              <w:pStyle w:val="12"/>
              <w:spacing w:before="0" w:beforeAutospacing="0" w:after="0" w:afterAutospacing="0"/>
              <w:jc w:val="center"/>
              <w:rPr>
                <w:rFonts w:hint="eastAsia"/>
              </w:rPr>
            </w:pPr>
            <w:r>
              <w:rPr>
                <w:rFonts w:hint="eastAsia"/>
                <w:color w:val="000000"/>
                <w:sz w:val="21"/>
                <w:szCs w:val="21"/>
              </w:rPr>
              <w:t>55%</w:t>
            </w:r>
          </w:p>
        </w:tc>
        <w:tc>
          <w:tcPr>
            <w:tcW w:w="727"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409F4C3">
            <w:pPr>
              <w:pStyle w:val="12"/>
              <w:spacing w:before="0" w:beforeAutospacing="0" w:after="0" w:afterAutospacing="0"/>
              <w:jc w:val="center"/>
              <w:rPr>
                <w:rFonts w:hint="eastAsia"/>
              </w:rPr>
            </w:pPr>
            <w:r>
              <w:rPr>
                <w:rFonts w:hint="eastAsia"/>
                <w:color w:val="000000"/>
                <w:sz w:val="21"/>
                <w:szCs w:val="21"/>
              </w:rPr>
              <w:t>20%</w:t>
            </w:r>
          </w:p>
        </w:tc>
        <w:tc>
          <w:tcPr>
            <w:tcW w:w="718" w:type="dxa"/>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CFFCBE2">
            <w:pPr>
              <w:pStyle w:val="12"/>
              <w:spacing w:before="0" w:beforeAutospacing="0" w:after="0" w:afterAutospacing="0"/>
              <w:jc w:val="center"/>
              <w:rPr>
                <w:rFonts w:hint="eastAsia"/>
              </w:rPr>
            </w:pPr>
            <w:r>
              <w:rPr>
                <w:rFonts w:hint="eastAsia"/>
                <w:color w:val="000000"/>
                <w:sz w:val="21"/>
                <w:szCs w:val="21"/>
              </w:rPr>
              <w:t> </w:t>
            </w:r>
          </w:p>
        </w:tc>
      </w:tr>
    </w:tbl>
    <w:p w14:paraId="4E2280A0">
      <w:pPr>
        <w:pStyle w:val="12"/>
        <w:spacing w:before="156" w:beforeAutospacing="0" w:after="0" w:afterAutospacing="0" w:line="23" w:lineRule="atLeast"/>
        <w:jc w:val="both"/>
        <w:rPr>
          <w:rFonts w:hint="eastAsia"/>
        </w:rPr>
      </w:pPr>
      <w:r>
        <w:rPr>
          <w:rFonts w:hint="eastAsia"/>
          <w:color w:val="000000"/>
        </w:rPr>
        <w:t> </w:t>
      </w:r>
    </w:p>
    <w:p w14:paraId="1CAD4641">
      <w:pPr>
        <w:spacing w:line="360" w:lineRule="auto"/>
        <w:jc w:val="left"/>
        <w:rPr>
          <w:rFonts w:hint="eastAsia" w:ascii="宋体" w:hAnsi="宋体" w:eastAsia="宋体" w:cs="Times New Roman"/>
          <w:b/>
          <w:color w:val="000000"/>
          <w:sz w:val="24"/>
        </w:rPr>
      </w:pPr>
    </w:p>
    <w:p w14:paraId="3E6CF412">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4DC22D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C308252">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62"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62" DrawAspect="Content" ObjectID="_1468075762" r:id="rId48">
            <o:LockedField>false</o:LockedField>
          </o:OLEObject>
        </w:object>
      </w:r>
    </w:p>
    <w:p w14:paraId="2C0447E7">
      <w:pPr>
        <w:spacing w:line="360" w:lineRule="auto"/>
        <w:ind w:firstLine="551" w:firstLineChars="196"/>
        <w:jc w:val="left"/>
        <w:rPr>
          <w:rFonts w:hint="eastAsia" w:ascii="宋体" w:hAnsi="宋体" w:eastAsia="宋体" w:cs="Times New Roman"/>
          <w:b/>
          <w:color w:val="000000"/>
          <w:sz w:val="28"/>
          <w:szCs w:val="28"/>
        </w:rPr>
      </w:pPr>
    </w:p>
    <w:p w14:paraId="3B4720AA">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32BCF8F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16A8FCF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6BFC8D21">
      <w:pPr>
        <w:spacing w:line="360" w:lineRule="auto"/>
        <w:jc w:val="left"/>
        <w:rPr>
          <w:rFonts w:ascii="Times New Roman" w:hAnsi="Times New Roman" w:eastAsia="宋体" w:cs="Times New Roman"/>
          <w:b/>
          <w:szCs w:val="21"/>
        </w:rPr>
      </w:pPr>
    </w:p>
    <w:p w14:paraId="52BF143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0776502E">
      <w:pPr>
        <w:spacing w:line="360" w:lineRule="auto"/>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《概率论与数理统计》，陈荣军，南京大学出版社，2008.5</w:t>
      </w:r>
    </w:p>
    <w:p w14:paraId="60EEA6E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3E862D4F">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1.宋立新 概率论与数理统计       北京：人民教育出版社</w:t>
      </w:r>
    </w:p>
    <w:p w14:paraId="3C85026C">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2.盛骤等 概率论与数理统计       北京：浙江大学出版社</w:t>
      </w:r>
    </w:p>
    <w:p w14:paraId="55BAB117">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 xml:space="preserve">                                                       </w:t>
      </w:r>
    </w:p>
    <w:p w14:paraId="7628A09C">
      <w:pPr>
        <w:spacing w:line="360" w:lineRule="auto"/>
        <w:ind w:right="1920"/>
        <w:rPr>
          <w:rFonts w:ascii="Times New Roman" w:hAnsi="Times New Roman" w:eastAsia="宋体" w:cs="Times New Roman"/>
          <w:sz w:val="24"/>
        </w:rPr>
      </w:pPr>
      <w:r>
        <w:rPr>
          <w:rFonts w:hint="eastAsia" w:ascii="Times New Roman" w:hAnsi="Times New Roman" w:eastAsia="宋体" w:cs="Times New Roman"/>
          <w:sz w:val="24"/>
        </w:rPr>
        <w:t xml:space="preserve">                                        执笔人：罗昕祺</w:t>
      </w:r>
    </w:p>
    <w:p w14:paraId="0FA67809">
      <w:pPr>
        <w:spacing w:line="360" w:lineRule="auto"/>
        <w:ind w:right="192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审定人：张志欣</w:t>
      </w:r>
    </w:p>
    <w:p w14:paraId="0057B263">
      <w:pPr>
        <w:spacing w:line="360" w:lineRule="auto"/>
        <w:ind w:left="3352" w:leftChars="1596" w:right="1920" w:firstLine="1440" w:firstLineChars="600"/>
        <w:rPr>
          <w:rFonts w:ascii="Times New Roman" w:hAnsi="Times New Roman" w:eastAsia="宋体" w:cs="Times New Roman"/>
          <w:sz w:val="24"/>
        </w:rPr>
      </w:pPr>
      <w:r>
        <w:rPr>
          <w:rFonts w:hint="eastAsia" w:ascii="Times New Roman" w:hAnsi="Times New Roman" w:eastAsia="宋体" w:cs="Times New Roman"/>
          <w:sz w:val="24"/>
        </w:rPr>
        <w:t>审批人：张建波批准时间：2024年8月修订</w:t>
      </w:r>
    </w:p>
    <w:p w14:paraId="3F632D86">
      <w:pPr>
        <w:spacing w:line="360" w:lineRule="auto"/>
        <w:ind w:right="1920"/>
        <w:rPr>
          <w:rFonts w:ascii="Times New Roman" w:hAnsi="Times New Roman" w:eastAsia="宋体" w:cs="Times New Roman"/>
          <w:sz w:val="24"/>
        </w:rPr>
      </w:pPr>
    </w:p>
    <w:p w14:paraId="5AD631F1">
      <w:pPr>
        <w:spacing w:line="360" w:lineRule="auto"/>
        <w:ind w:right="1920"/>
        <w:jc w:val="right"/>
        <w:rPr>
          <w:rFonts w:ascii="Times New Roman" w:hAnsi="Times New Roman" w:eastAsia="宋体" w:cs="Times New Roman"/>
          <w:sz w:val="24"/>
        </w:rPr>
      </w:pPr>
    </w:p>
    <w:p w14:paraId="6646BE9E">
      <w:pPr>
        <w:widowControl/>
        <w:jc w:val="left"/>
        <w:rPr>
          <w:rFonts w:hint="eastAsia" w:ascii="宋体" w:hAnsi="宋体" w:eastAsia="宋体" w:cs="Times New Roman"/>
          <w:kern w:val="0"/>
          <w:sz w:val="24"/>
          <w:szCs w:val="21"/>
        </w:rPr>
      </w:pPr>
      <w:r>
        <w:rPr>
          <w:rFonts w:ascii="宋体" w:hAnsi="宋体" w:eastAsia="宋体" w:cs="Times New Roman"/>
          <w:kern w:val="0"/>
          <w:sz w:val="24"/>
          <w:szCs w:val="21"/>
        </w:rPr>
        <w:br w:type="page"/>
      </w:r>
    </w:p>
    <w:p w14:paraId="430BABF5">
      <w:pPr>
        <w:pStyle w:val="2"/>
        <w:tabs>
          <w:tab w:val="left" w:pos="720"/>
          <w:tab w:val="left" w:pos="2700"/>
        </w:tabs>
      </w:pPr>
      <w:bookmarkStart w:id="220" w:name="_Toc3667"/>
      <w:bookmarkStart w:id="221" w:name="_Toc2579"/>
      <w:r>
        <w:rPr>
          <w:rFonts w:hint="eastAsia"/>
        </w:rPr>
        <w:t>《</w:t>
      </w:r>
      <w:r>
        <w:t>初等数论</w:t>
      </w:r>
      <w:r>
        <w:rPr>
          <w:rFonts w:hint="eastAsia"/>
        </w:rPr>
        <w:t>》</w:t>
      </w:r>
      <w:r>
        <w:t>课程教学大纲</w:t>
      </w:r>
      <w:bookmarkEnd w:id="220"/>
      <w:bookmarkEnd w:id="221"/>
    </w:p>
    <w:p w14:paraId="31D0B9CF">
      <w:pPr>
        <w:spacing w:line="312" w:lineRule="auto"/>
        <w:jc w:val="center"/>
        <w:rPr>
          <w:rFonts w:ascii="Times New Roman" w:hAnsi="Times New Roman"/>
          <w:b/>
          <w:bCs/>
          <w:sz w:val="30"/>
        </w:rPr>
      </w:pPr>
      <w:r>
        <w:rPr>
          <w:rFonts w:ascii="Times New Roman" w:hAnsi="Times New Roman"/>
          <w:b/>
          <w:bCs/>
          <w:sz w:val="30"/>
        </w:rPr>
        <w:t>（Elementary Number Theory）</w:t>
      </w:r>
    </w:p>
    <w:p w14:paraId="2F7511F1">
      <w:pPr>
        <w:spacing w:line="360" w:lineRule="auto"/>
        <w:ind w:firstLine="551" w:firstLineChars="196"/>
        <w:rPr>
          <w:rFonts w:ascii="Times New Roman" w:hAnsi="Times New Roman"/>
          <w:b/>
          <w:sz w:val="28"/>
          <w:szCs w:val="28"/>
        </w:rPr>
      </w:pPr>
      <w:r>
        <w:rPr>
          <w:rFonts w:ascii="Times New Roman" w:hAnsi="Times New Roman"/>
          <w:b/>
          <w:sz w:val="28"/>
          <w:szCs w:val="28"/>
        </w:rPr>
        <w:t>一、课程概况</w:t>
      </w:r>
    </w:p>
    <w:p w14:paraId="393E18ED">
      <w:pPr>
        <w:spacing w:line="360" w:lineRule="auto"/>
        <w:ind w:firstLine="482" w:firstLineChars="200"/>
        <w:rPr>
          <w:rFonts w:ascii="Times New Roman" w:hAnsi="Times New Roman"/>
          <w:b/>
          <w:sz w:val="28"/>
          <w:szCs w:val="28"/>
        </w:rPr>
      </w:pPr>
      <w:r>
        <w:rPr>
          <w:rFonts w:ascii="Times New Roman" w:hAnsi="Times New Roman"/>
          <w:b/>
          <w:bCs/>
          <w:kern w:val="0"/>
          <w:sz w:val="24"/>
        </w:rPr>
        <w:t>课程代码</w:t>
      </w:r>
      <w:r>
        <w:rPr>
          <w:rFonts w:ascii="Times New Roman" w:hAnsi="Times New Roman"/>
          <w:b/>
          <w:kern w:val="0"/>
          <w:sz w:val="24"/>
        </w:rPr>
        <w:t>：</w:t>
      </w:r>
      <w:r>
        <w:rPr>
          <w:rFonts w:ascii="Times New Roman" w:hAnsi="Times New Roman"/>
          <w:sz w:val="24"/>
        </w:rPr>
        <w:t>0821014</w:t>
      </w:r>
    </w:p>
    <w:p w14:paraId="1E4F15CA">
      <w:pPr>
        <w:spacing w:line="360" w:lineRule="auto"/>
        <w:ind w:firstLine="482" w:firstLineChars="200"/>
        <w:rPr>
          <w:rFonts w:ascii="Times New Roman" w:hAnsi="Times New Roman"/>
          <w:b/>
          <w:kern w:val="0"/>
          <w:sz w:val="24"/>
        </w:rPr>
      </w:pPr>
      <w:r>
        <w:rPr>
          <w:rFonts w:ascii="Times New Roman" w:hAnsi="Times New Roman"/>
          <w:b/>
          <w:bCs/>
          <w:kern w:val="0"/>
          <w:sz w:val="24"/>
        </w:rPr>
        <w:t>学    分</w:t>
      </w:r>
      <w:r>
        <w:rPr>
          <w:rFonts w:ascii="Times New Roman" w:hAnsi="Times New Roman"/>
          <w:b/>
          <w:kern w:val="0"/>
          <w:sz w:val="24"/>
        </w:rPr>
        <w:t xml:space="preserve">： </w:t>
      </w:r>
      <w:r>
        <w:rPr>
          <w:rFonts w:ascii="Times New Roman" w:hAnsi="Times New Roman"/>
          <w:kern w:val="0"/>
          <w:sz w:val="24"/>
        </w:rPr>
        <w:t>3</w:t>
      </w:r>
    </w:p>
    <w:p w14:paraId="5B03AA1E">
      <w:pPr>
        <w:spacing w:line="360" w:lineRule="auto"/>
        <w:ind w:firstLine="482" w:firstLineChars="200"/>
        <w:rPr>
          <w:rFonts w:ascii="Times New Roman" w:hAnsi="Times New Roman"/>
          <w:kern w:val="0"/>
          <w:sz w:val="24"/>
        </w:rPr>
      </w:pPr>
      <w:r>
        <w:rPr>
          <w:rFonts w:ascii="Times New Roman" w:hAnsi="Times New Roman"/>
          <w:b/>
          <w:bCs/>
          <w:kern w:val="0"/>
          <w:sz w:val="24"/>
        </w:rPr>
        <w:t>学    时</w:t>
      </w:r>
      <w:r>
        <w:rPr>
          <w:rFonts w:ascii="Times New Roman" w:hAnsi="Times New Roman"/>
          <w:b/>
          <w:kern w:val="0"/>
          <w:sz w:val="24"/>
        </w:rPr>
        <w:t>：</w:t>
      </w:r>
      <w:r>
        <w:rPr>
          <w:rFonts w:ascii="Times New Roman" w:hAnsi="Times New Roman"/>
          <w:kern w:val="0"/>
          <w:sz w:val="24"/>
        </w:rPr>
        <w:t>48（其中：讲授学时48  ， 实验学时0  ，上机学时0）</w:t>
      </w:r>
    </w:p>
    <w:p w14:paraId="36A22288">
      <w:pPr>
        <w:spacing w:line="360" w:lineRule="auto"/>
        <w:ind w:firstLine="482" w:firstLineChars="200"/>
        <w:rPr>
          <w:rFonts w:ascii="Times New Roman" w:hAnsi="Times New Roman"/>
          <w:b/>
          <w:bCs/>
          <w:kern w:val="0"/>
          <w:sz w:val="24"/>
        </w:rPr>
      </w:pPr>
      <w:r>
        <w:rPr>
          <w:rFonts w:ascii="Times New Roman" w:hAnsi="Times New Roman"/>
          <w:b/>
          <w:bCs/>
          <w:kern w:val="0"/>
          <w:sz w:val="24"/>
        </w:rPr>
        <w:t>先修课程</w:t>
      </w:r>
      <w:r>
        <w:rPr>
          <w:rFonts w:ascii="Times New Roman" w:hAnsi="Times New Roman"/>
          <w:b/>
          <w:kern w:val="0"/>
          <w:sz w:val="24"/>
        </w:rPr>
        <w:t>：</w:t>
      </w:r>
      <w:r>
        <w:rPr>
          <w:rFonts w:ascii="Times New Roman" w:hAnsi="Times New Roman"/>
          <w:sz w:val="24"/>
        </w:rPr>
        <w:t>数学分析、空间解析几何等</w:t>
      </w:r>
    </w:p>
    <w:p w14:paraId="051388E3">
      <w:pPr>
        <w:spacing w:line="360" w:lineRule="auto"/>
        <w:ind w:firstLine="482" w:firstLineChars="200"/>
        <w:rPr>
          <w:rFonts w:ascii="Times New Roman" w:hAnsi="Times New Roman"/>
          <w:kern w:val="0"/>
          <w:sz w:val="24"/>
        </w:rPr>
      </w:pPr>
      <w:r>
        <w:rPr>
          <w:rFonts w:ascii="Times New Roman" w:hAnsi="Times New Roman"/>
          <w:b/>
          <w:bCs/>
          <w:kern w:val="0"/>
          <w:sz w:val="24"/>
        </w:rPr>
        <w:t>适用专业</w:t>
      </w:r>
      <w:r>
        <w:rPr>
          <w:rFonts w:ascii="Times New Roman" w:hAnsi="Times New Roman"/>
          <w:b/>
          <w:kern w:val="0"/>
          <w:sz w:val="24"/>
        </w:rPr>
        <w:t>：</w:t>
      </w:r>
      <w:r>
        <w:rPr>
          <w:rFonts w:ascii="Times New Roman" w:hAnsi="Times New Roman"/>
          <w:kern w:val="0"/>
          <w:sz w:val="24"/>
        </w:rPr>
        <w:t xml:space="preserve"> 小学教育（理）专业                      </w:t>
      </w:r>
    </w:p>
    <w:p w14:paraId="597718E5">
      <w:pPr>
        <w:spacing w:line="360" w:lineRule="auto"/>
        <w:ind w:firstLine="482" w:firstLineChars="200"/>
        <w:rPr>
          <w:rFonts w:ascii="Times New Roman" w:hAnsi="Times New Roman"/>
          <w:kern w:val="0"/>
          <w:sz w:val="24"/>
        </w:rPr>
      </w:pPr>
      <w:r>
        <w:rPr>
          <w:rFonts w:ascii="Times New Roman" w:hAnsi="Times New Roman"/>
          <w:b/>
          <w:bCs/>
          <w:kern w:val="0"/>
          <w:sz w:val="24"/>
        </w:rPr>
        <w:t>建议教材</w:t>
      </w:r>
      <w:r>
        <w:rPr>
          <w:rFonts w:ascii="Times New Roman" w:hAnsi="Times New Roman"/>
          <w:b/>
          <w:kern w:val="0"/>
          <w:sz w:val="24"/>
        </w:rPr>
        <w:t>：</w:t>
      </w:r>
      <w:r>
        <w:rPr>
          <w:rFonts w:ascii="Times New Roman" w:hAnsi="Times New Roman"/>
          <w:kern w:val="0"/>
          <w:sz w:val="24"/>
        </w:rPr>
        <w:t>《初等数论》，</w:t>
      </w:r>
      <w:r>
        <w:rPr>
          <w:rFonts w:hint="eastAsia" w:ascii="Times New Roman" w:hAnsi="Times New Roman"/>
          <w:kern w:val="0"/>
          <w:sz w:val="24"/>
        </w:rPr>
        <w:t>闵嗣鹤，严士健编</w:t>
      </w:r>
      <w:r>
        <w:rPr>
          <w:rFonts w:ascii="Times New Roman" w:hAnsi="Times New Roman"/>
          <w:kern w:val="0"/>
          <w:sz w:val="24"/>
        </w:rPr>
        <w:t>，</w:t>
      </w:r>
      <w:r>
        <w:rPr>
          <w:rFonts w:hint="eastAsia" w:ascii="Times New Roman" w:hAnsi="Times New Roman"/>
          <w:kern w:val="0"/>
          <w:sz w:val="24"/>
        </w:rPr>
        <w:t>高等教育出版社</w:t>
      </w:r>
      <w:r>
        <w:rPr>
          <w:rFonts w:ascii="Times New Roman" w:hAnsi="Times New Roman"/>
          <w:kern w:val="0"/>
          <w:sz w:val="24"/>
        </w:rPr>
        <w:t>，2020.5</w:t>
      </w:r>
    </w:p>
    <w:p w14:paraId="4902FE61">
      <w:pPr>
        <w:spacing w:line="360" w:lineRule="auto"/>
        <w:ind w:firstLine="482" w:firstLineChars="200"/>
        <w:rPr>
          <w:rFonts w:ascii="Times New Roman" w:hAnsi="Times New Roman"/>
          <w:kern w:val="0"/>
          <w:sz w:val="24"/>
        </w:rPr>
      </w:pPr>
      <w:r>
        <w:rPr>
          <w:rFonts w:ascii="Times New Roman" w:hAnsi="Times New Roman"/>
          <w:b/>
          <w:bCs/>
          <w:kern w:val="0"/>
          <w:sz w:val="24"/>
        </w:rPr>
        <w:t>课程归口：</w:t>
      </w:r>
      <w:r>
        <w:rPr>
          <w:rFonts w:ascii="Times New Roman" w:hAnsi="Times New Roman"/>
          <w:bCs/>
          <w:kern w:val="0"/>
          <w:sz w:val="24"/>
        </w:rPr>
        <w:t>理</w:t>
      </w:r>
      <w:r>
        <w:rPr>
          <w:rFonts w:ascii="Times New Roman" w:hAnsi="Times New Roman"/>
          <w:kern w:val="0"/>
          <w:sz w:val="24"/>
        </w:rPr>
        <w:t>学院</w:t>
      </w:r>
    </w:p>
    <w:p w14:paraId="12E5AC61">
      <w:pPr>
        <w:autoSpaceDE w:val="0"/>
        <w:autoSpaceDN w:val="0"/>
        <w:adjustRightInd w:val="0"/>
        <w:spacing w:line="360" w:lineRule="auto"/>
        <w:ind w:firstLine="482" w:firstLineChars="200"/>
        <w:jc w:val="left"/>
        <w:rPr>
          <w:rFonts w:ascii="Times New Roman" w:hAnsi="Times New Roman"/>
          <w:sz w:val="24"/>
        </w:rPr>
      </w:pPr>
      <w:r>
        <w:rPr>
          <w:rFonts w:ascii="Times New Roman" w:hAnsi="Times New Roman"/>
          <w:b/>
          <w:bCs/>
          <w:kern w:val="0"/>
          <w:sz w:val="24"/>
        </w:rPr>
        <w:t>课程的性质与任务：</w:t>
      </w:r>
      <w:r>
        <w:rPr>
          <w:rFonts w:ascii="Times New Roman" w:hAnsi="Times New Roman"/>
          <w:kern w:val="0"/>
          <w:sz w:val="24"/>
        </w:rPr>
        <w:t>本课程是小学教育（理）专业的一门</w:t>
      </w:r>
      <w:r>
        <w:rPr>
          <w:rFonts w:ascii="Times New Roman" w:hAnsi="Times New Roman"/>
          <w:color w:val="000000"/>
          <w:sz w:val="24"/>
        </w:rPr>
        <w:t>重要基础课</w:t>
      </w:r>
      <w:r>
        <w:rPr>
          <w:rFonts w:ascii="Times New Roman" w:hAnsi="Times New Roman"/>
          <w:sz w:val="24"/>
        </w:rPr>
        <w:t>。</w:t>
      </w:r>
      <w:r>
        <w:rPr>
          <w:rFonts w:ascii="Times New Roman" w:hAnsi="Times New Roman"/>
          <w:color w:val="000000"/>
          <w:kern w:val="0"/>
          <w:sz w:val="24"/>
        </w:rPr>
        <w:t>通过本课程的学习，使学生系统地获得初等数论的基本知识、必要的基础理论和常用的运算方法；提高学生的运算能力、随机数学思维能力、逻辑推理能力；并能运用数学知识、理论、方法解决相关的实际应用问题；提高学生的数学素养，为学生学习后续相关课程及终身学习奠定必要的数学基础。</w:t>
      </w:r>
    </w:p>
    <w:p w14:paraId="1012B040">
      <w:pPr>
        <w:spacing w:line="360" w:lineRule="auto"/>
        <w:ind w:firstLine="562" w:firstLineChars="200"/>
        <w:rPr>
          <w:rFonts w:ascii="Times New Roman" w:hAnsi="Times New Roman"/>
          <w:b/>
          <w:sz w:val="28"/>
          <w:szCs w:val="28"/>
        </w:rPr>
      </w:pPr>
      <w:r>
        <w:rPr>
          <w:rFonts w:ascii="Times New Roman" w:hAnsi="Times New Roman"/>
          <w:b/>
          <w:sz w:val="28"/>
          <w:szCs w:val="28"/>
        </w:rPr>
        <w:t>二、课程目标</w:t>
      </w:r>
    </w:p>
    <w:p w14:paraId="380044C4">
      <w:pPr>
        <w:spacing w:line="360" w:lineRule="auto"/>
        <w:ind w:firstLine="482"/>
        <w:jc w:val="left"/>
        <w:rPr>
          <w:rFonts w:ascii="Times New Roman" w:hAnsi="Times New Roman"/>
          <w:sz w:val="24"/>
        </w:rPr>
      </w:pPr>
      <w:r>
        <w:rPr>
          <w:rFonts w:ascii="Times New Roman" w:hAnsi="Times New Roman"/>
          <w:sz w:val="24"/>
        </w:rPr>
        <w:t>目标1.</w:t>
      </w:r>
      <w:r>
        <w:rPr>
          <w:rFonts w:ascii="Times New Roman" w:hAnsi="Times New Roman"/>
        </w:rPr>
        <w:t xml:space="preserve"> </w:t>
      </w:r>
      <w:r>
        <w:rPr>
          <w:rFonts w:ascii="Times New Roman" w:hAnsi="Times New Roman"/>
          <w:color w:val="000000"/>
          <w:sz w:val="24"/>
        </w:rPr>
        <w:t>能够获得课程基本概念与性质</w:t>
      </w:r>
      <w:r>
        <w:rPr>
          <w:rFonts w:ascii="Times New Roman" w:hAnsi="Times New Roman"/>
          <w:sz w:val="24"/>
        </w:rPr>
        <w:t>。</w:t>
      </w:r>
    </w:p>
    <w:p w14:paraId="7D5AF1E9">
      <w:pPr>
        <w:spacing w:line="360" w:lineRule="auto"/>
        <w:ind w:firstLine="482"/>
        <w:jc w:val="left"/>
        <w:rPr>
          <w:rFonts w:ascii="Times New Roman" w:hAnsi="Times New Roman"/>
          <w:sz w:val="24"/>
        </w:rPr>
      </w:pPr>
      <w:r>
        <w:rPr>
          <w:rFonts w:ascii="Times New Roman" w:hAnsi="Times New Roman"/>
          <w:sz w:val="24"/>
        </w:rPr>
        <w:t xml:space="preserve">目标2. </w:t>
      </w:r>
      <w:r>
        <w:rPr>
          <w:rFonts w:ascii="Times New Roman" w:hAnsi="Times New Roman"/>
          <w:color w:val="000000"/>
          <w:sz w:val="24"/>
        </w:rPr>
        <w:t>能够掌握本课程要求的计算方法</w:t>
      </w:r>
      <w:r>
        <w:rPr>
          <w:rFonts w:ascii="Times New Roman" w:hAnsi="Times New Roman"/>
          <w:sz w:val="24"/>
        </w:rPr>
        <w:t>。</w:t>
      </w:r>
    </w:p>
    <w:p w14:paraId="24FF6844">
      <w:pPr>
        <w:spacing w:line="360" w:lineRule="auto"/>
        <w:ind w:firstLine="482"/>
        <w:jc w:val="left"/>
        <w:rPr>
          <w:rFonts w:ascii="Times New Roman" w:hAnsi="Times New Roman"/>
          <w:sz w:val="24"/>
        </w:rPr>
      </w:pPr>
      <w:r>
        <w:rPr>
          <w:rFonts w:ascii="Times New Roman" w:hAnsi="Times New Roman"/>
          <w:sz w:val="24"/>
        </w:rPr>
        <w:t xml:space="preserve">目标3. </w:t>
      </w:r>
      <w:r>
        <w:rPr>
          <w:rFonts w:ascii="Times New Roman" w:hAnsi="Times New Roman"/>
          <w:color w:val="000000"/>
          <w:sz w:val="24"/>
        </w:rPr>
        <w:t>能够具有一定的</w:t>
      </w:r>
      <w:r>
        <w:rPr>
          <w:rFonts w:ascii="Times New Roman" w:hAnsi="Times New Roman"/>
          <w:sz w:val="24"/>
        </w:rPr>
        <w:t>抽象概括、逻辑推理等能力。</w:t>
      </w:r>
    </w:p>
    <w:p w14:paraId="754FAC7A">
      <w:pPr>
        <w:spacing w:line="360" w:lineRule="auto"/>
        <w:ind w:firstLine="482"/>
        <w:jc w:val="left"/>
        <w:rPr>
          <w:rFonts w:ascii="Times New Roman" w:hAnsi="Times New Roman"/>
          <w:sz w:val="24"/>
        </w:rPr>
      </w:pPr>
      <w:r>
        <w:rPr>
          <w:rFonts w:ascii="Times New Roman" w:hAnsi="Times New Roman"/>
          <w:sz w:val="24"/>
        </w:rPr>
        <w:t xml:space="preserve">目标4. </w:t>
      </w:r>
      <w:r>
        <w:rPr>
          <w:rFonts w:ascii="Times New Roman" w:hAnsi="Times New Roman"/>
          <w:color w:val="000000"/>
          <w:sz w:val="24"/>
        </w:rPr>
        <w:t>能够</w:t>
      </w:r>
      <w:r>
        <w:rPr>
          <w:rFonts w:ascii="Times New Roman" w:hAnsi="Times New Roman"/>
          <w:sz w:val="24"/>
        </w:rPr>
        <w:t>具有一定的运算能力。</w:t>
      </w:r>
    </w:p>
    <w:p w14:paraId="0C98B1DE">
      <w:pPr>
        <w:spacing w:line="360" w:lineRule="auto"/>
        <w:ind w:firstLine="482"/>
        <w:jc w:val="left"/>
        <w:rPr>
          <w:rFonts w:ascii="Times New Roman" w:hAnsi="Times New Roman"/>
          <w:sz w:val="24"/>
        </w:rPr>
      </w:pPr>
      <w:r>
        <w:rPr>
          <w:rFonts w:ascii="Times New Roman" w:hAnsi="Times New Roman"/>
          <w:sz w:val="24"/>
        </w:rPr>
        <w:t xml:space="preserve">目标5. </w:t>
      </w:r>
      <w:r>
        <w:rPr>
          <w:rFonts w:ascii="Times New Roman" w:hAnsi="Times New Roman"/>
          <w:color w:val="000000"/>
          <w:sz w:val="24"/>
        </w:rPr>
        <w:t>能够具有一定的</w:t>
      </w:r>
      <w:r>
        <w:rPr>
          <w:rFonts w:ascii="Times New Roman" w:hAnsi="Times New Roman"/>
          <w:sz w:val="24"/>
        </w:rPr>
        <w:t>数学思维与分析能力。</w:t>
      </w:r>
    </w:p>
    <w:p w14:paraId="58EC5AB4">
      <w:pPr>
        <w:spacing w:line="360" w:lineRule="auto"/>
        <w:ind w:firstLine="480" w:firstLineChars="200"/>
        <w:rPr>
          <w:rFonts w:ascii="Times New Roman" w:hAnsi="Times New Roman"/>
          <w:color w:val="000000"/>
          <w:sz w:val="24"/>
        </w:rPr>
      </w:pPr>
      <w:r>
        <w:rPr>
          <w:rFonts w:ascii="Times New Roman" w:hAnsi="Times New Roman"/>
          <w:color w:val="000000"/>
          <w:sz w:val="24"/>
        </w:rPr>
        <w:t>本课程支撑专业人才培养方案中毕业要求</w:t>
      </w:r>
      <w:r>
        <w:rPr>
          <w:rFonts w:ascii="Times New Roman" w:hAnsi="Times New Roman"/>
          <w:sz w:val="24"/>
        </w:rPr>
        <w:t>3</w:t>
      </w:r>
      <w:r>
        <w:rPr>
          <w:rFonts w:ascii="Times New Roman" w:hAnsi="Times New Roman"/>
          <w:szCs w:val="21"/>
        </w:rPr>
        <w:t>-1</w:t>
      </w:r>
      <w:r>
        <w:rPr>
          <w:rFonts w:ascii="Times New Roman" w:hAnsi="Times New Roman"/>
          <w:color w:val="000000"/>
          <w:sz w:val="24"/>
        </w:rPr>
        <w:t>、毕业要求</w:t>
      </w:r>
      <w:r>
        <w:rPr>
          <w:rFonts w:ascii="Times New Roman" w:hAnsi="Times New Roman"/>
          <w:sz w:val="24"/>
        </w:rPr>
        <w:t>3</w:t>
      </w:r>
      <w:r>
        <w:rPr>
          <w:rFonts w:ascii="Times New Roman" w:hAnsi="Times New Roman"/>
          <w:szCs w:val="21"/>
        </w:rPr>
        <w:t>-2</w:t>
      </w:r>
      <w:r>
        <w:rPr>
          <w:rFonts w:ascii="Times New Roman" w:hAnsi="Times New Roman"/>
          <w:color w:val="000000"/>
          <w:sz w:val="24"/>
        </w:rPr>
        <w:t>，毕业要求</w:t>
      </w:r>
      <w:r>
        <w:rPr>
          <w:rFonts w:ascii="Times New Roman" w:hAnsi="Times New Roman"/>
          <w:sz w:val="24"/>
        </w:rPr>
        <w:t>6</w:t>
      </w:r>
      <w:r>
        <w:rPr>
          <w:rFonts w:ascii="Times New Roman" w:hAnsi="Times New Roman"/>
          <w:szCs w:val="21"/>
        </w:rPr>
        <w:t>-2</w:t>
      </w:r>
      <w:r>
        <w:rPr>
          <w:rFonts w:ascii="Times New Roman" w:hAnsi="Times New Roman"/>
          <w:color w:val="000000"/>
          <w:sz w:val="24"/>
        </w:rPr>
        <w:t>对应关系如表所示。</w:t>
      </w:r>
    </w:p>
    <w:tbl>
      <w:tblPr>
        <w:tblStyle w:val="13"/>
        <w:tblW w:w="9255" w:type="dxa"/>
        <w:tblInd w:w="93" w:type="dxa"/>
        <w:tblLayout w:type="fixed"/>
        <w:tblCellMar>
          <w:top w:w="0" w:type="dxa"/>
          <w:left w:w="108" w:type="dxa"/>
          <w:bottom w:w="0" w:type="dxa"/>
          <w:right w:w="108" w:type="dxa"/>
        </w:tblCellMar>
      </w:tblPr>
      <w:tblGrid>
        <w:gridCol w:w="1695"/>
        <w:gridCol w:w="945"/>
        <w:gridCol w:w="945"/>
        <w:gridCol w:w="945"/>
        <w:gridCol w:w="945"/>
        <w:gridCol w:w="945"/>
        <w:gridCol w:w="945"/>
        <w:gridCol w:w="945"/>
        <w:gridCol w:w="945"/>
      </w:tblGrid>
      <w:tr w14:paraId="71FDC7F6">
        <w:tblPrEx>
          <w:tblCellMar>
            <w:top w:w="0" w:type="dxa"/>
            <w:left w:w="108" w:type="dxa"/>
            <w:bottom w:w="0" w:type="dxa"/>
            <w:right w:w="108" w:type="dxa"/>
          </w:tblCellMar>
        </w:tblPrEx>
        <w:trPr>
          <w:trHeight w:val="514"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E60890C">
            <w:pPr>
              <w:widowControl/>
              <w:jc w:val="center"/>
              <w:rPr>
                <w:rFonts w:ascii="Times New Roman" w:hAnsi="Times New Roman"/>
                <w:kern w:val="0"/>
                <w:szCs w:val="21"/>
              </w:rPr>
            </w:pPr>
            <w:r>
              <w:rPr>
                <w:rFonts w:ascii="Times New Roman" w:hAnsi="Times New Roman"/>
                <w:kern w:val="0"/>
                <w:szCs w:val="21"/>
              </w:rPr>
              <w:t>毕业要求</w:t>
            </w:r>
          </w:p>
          <w:p w14:paraId="58769382">
            <w:pPr>
              <w:widowControl/>
              <w:jc w:val="center"/>
              <w:rPr>
                <w:rFonts w:ascii="Times New Roman" w:hAnsi="Times New Roman"/>
                <w:kern w:val="0"/>
                <w:szCs w:val="21"/>
              </w:rPr>
            </w:pPr>
            <w:r>
              <w:rPr>
                <w:rFonts w:ascii="Times New Roman" w:hAnsi="Times New Roman"/>
                <w:kern w:val="0"/>
                <w:szCs w:val="21"/>
              </w:rPr>
              <w:t>指标点</w:t>
            </w:r>
          </w:p>
        </w:tc>
        <w:tc>
          <w:tcPr>
            <w:tcW w:w="7560" w:type="dxa"/>
            <w:gridSpan w:val="8"/>
            <w:tcBorders>
              <w:top w:val="single" w:color="auto" w:sz="4" w:space="0"/>
              <w:left w:val="nil"/>
              <w:bottom w:val="single" w:color="auto" w:sz="4" w:space="0"/>
              <w:right w:val="single" w:color="auto" w:sz="4" w:space="0"/>
            </w:tcBorders>
            <w:shd w:val="clear" w:color="auto" w:fill="FFFFFF"/>
            <w:vAlign w:val="center"/>
          </w:tcPr>
          <w:p w14:paraId="5805CFB2">
            <w:pPr>
              <w:widowControl/>
              <w:jc w:val="center"/>
              <w:rPr>
                <w:rFonts w:ascii="Times New Roman" w:hAnsi="Times New Roman"/>
                <w:kern w:val="0"/>
                <w:szCs w:val="21"/>
              </w:rPr>
            </w:pPr>
            <w:r>
              <w:rPr>
                <w:rFonts w:ascii="Times New Roman" w:hAnsi="Times New Roman"/>
                <w:kern w:val="0"/>
                <w:szCs w:val="21"/>
              </w:rPr>
              <w:t>课程目标</w:t>
            </w:r>
          </w:p>
        </w:tc>
      </w:tr>
      <w:tr w14:paraId="5301A783">
        <w:tblPrEx>
          <w:tblCellMar>
            <w:top w:w="0" w:type="dxa"/>
            <w:left w:w="108" w:type="dxa"/>
            <w:bottom w:w="0" w:type="dxa"/>
            <w:right w:w="108" w:type="dxa"/>
          </w:tblCellMar>
        </w:tblPrEx>
        <w:trPr>
          <w:trHeight w:val="491" w:hRule="atLeast"/>
        </w:trPr>
        <w:tc>
          <w:tcPr>
            <w:tcW w:w="169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FED2294">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37544522">
            <w:pPr>
              <w:widowControl/>
              <w:jc w:val="center"/>
              <w:rPr>
                <w:rFonts w:ascii="Times New Roman" w:hAnsi="Times New Roman"/>
                <w:kern w:val="0"/>
                <w:szCs w:val="21"/>
              </w:rPr>
            </w:pPr>
            <w:r>
              <w:rPr>
                <w:rFonts w:ascii="Times New Roman" w:hAnsi="Times New Roman"/>
                <w:kern w:val="0"/>
                <w:szCs w:val="21"/>
              </w:rPr>
              <w:t>目标1</w:t>
            </w:r>
          </w:p>
        </w:tc>
        <w:tc>
          <w:tcPr>
            <w:tcW w:w="945" w:type="dxa"/>
            <w:tcBorders>
              <w:top w:val="nil"/>
              <w:left w:val="nil"/>
              <w:bottom w:val="single" w:color="auto" w:sz="4" w:space="0"/>
              <w:right w:val="single" w:color="auto" w:sz="4" w:space="0"/>
            </w:tcBorders>
            <w:shd w:val="clear" w:color="auto" w:fill="FFFFFF"/>
            <w:vAlign w:val="center"/>
          </w:tcPr>
          <w:p w14:paraId="36ECFA20">
            <w:pPr>
              <w:widowControl/>
              <w:jc w:val="center"/>
              <w:rPr>
                <w:rFonts w:ascii="Times New Roman" w:hAnsi="Times New Roman"/>
                <w:kern w:val="0"/>
                <w:szCs w:val="21"/>
              </w:rPr>
            </w:pPr>
            <w:r>
              <w:rPr>
                <w:rFonts w:ascii="Times New Roman" w:hAnsi="Times New Roman"/>
                <w:kern w:val="0"/>
                <w:szCs w:val="21"/>
              </w:rPr>
              <w:t>目标2</w:t>
            </w:r>
          </w:p>
        </w:tc>
        <w:tc>
          <w:tcPr>
            <w:tcW w:w="945" w:type="dxa"/>
            <w:tcBorders>
              <w:top w:val="nil"/>
              <w:left w:val="nil"/>
              <w:bottom w:val="single" w:color="auto" w:sz="4" w:space="0"/>
              <w:right w:val="single" w:color="auto" w:sz="4" w:space="0"/>
            </w:tcBorders>
            <w:shd w:val="clear" w:color="auto" w:fill="FFFFFF"/>
            <w:vAlign w:val="center"/>
          </w:tcPr>
          <w:p w14:paraId="3C44701F">
            <w:pPr>
              <w:widowControl/>
              <w:jc w:val="center"/>
              <w:rPr>
                <w:rFonts w:ascii="Times New Roman" w:hAnsi="Times New Roman"/>
                <w:kern w:val="0"/>
                <w:szCs w:val="21"/>
              </w:rPr>
            </w:pPr>
            <w:r>
              <w:rPr>
                <w:rFonts w:ascii="Times New Roman" w:hAnsi="Times New Roman"/>
                <w:kern w:val="0"/>
                <w:szCs w:val="21"/>
              </w:rPr>
              <w:t>目标3</w:t>
            </w:r>
          </w:p>
        </w:tc>
        <w:tc>
          <w:tcPr>
            <w:tcW w:w="945" w:type="dxa"/>
            <w:tcBorders>
              <w:top w:val="nil"/>
              <w:left w:val="nil"/>
              <w:bottom w:val="single" w:color="auto" w:sz="4" w:space="0"/>
              <w:right w:val="single" w:color="auto" w:sz="4" w:space="0"/>
            </w:tcBorders>
            <w:shd w:val="clear" w:color="auto" w:fill="FFFFFF"/>
            <w:vAlign w:val="center"/>
          </w:tcPr>
          <w:p w14:paraId="288E2E94">
            <w:pPr>
              <w:widowControl/>
              <w:jc w:val="center"/>
              <w:rPr>
                <w:rFonts w:ascii="Times New Roman" w:hAnsi="Times New Roman"/>
                <w:kern w:val="0"/>
                <w:szCs w:val="21"/>
              </w:rPr>
            </w:pPr>
            <w:r>
              <w:rPr>
                <w:rFonts w:ascii="Times New Roman" w:hAnsi="Times New Roman"/>
                <w:kern w:val="0"/>
                <w:szCs w:val="21"/>
              </w:rPr>
              <w:t>目标4</w:t>
            </w:r>
          </w:p>
        </w:tc>
        <w:tc>
          <w:tcPr>
            <w:tcW w:w="945" w:type="dxa"/>
            <w:tcBorders>
              <w:top w:val="nil"/>
              <w:left w:val="nil"/>
              <w:bottom w:val="single" w:color="auto" w:sz="4" w:space="0"/>
              <w:right w:val="single" w:color="auto" w:sz="4" w:space="0"/>
            </w:tcBorders>
            <w:shd w:val="clear" w:color="auto" w:fill="FFFFFF"/>
            <w:vAlign w:val="center"/>
          </w:tcPr>
          <w:p w14:paraId="719DAB05">
            <w:pPr>
              <w:widowControl/>
              <w:jc w:val="center"/>
              <w:rPr>
                <w:rFonts w:ascii="Times New Roman" w:hAnsi="Times New Roman"/>
                <w:kern w:val="0"/>
                <w:szCs w:val="21"/>
              </w:rPr>
            </w:pPr>
            <w:r>
              <w:rPr>
                <w:rFonts w:ascii="Times New Roman" w:hAnsi="Times New Roman"/>
                <w:kern w:val="0"/>
                <w:szCs w:val="21"/>
              </w:rPr>
              <w:t>目标5</w:t>
            </w:r>
          </w:p>
        </w:tc>
        <w:tc>
          <w:tcPr>
            <w:tcW w:w="945" w:type="dxa"/>
            <w:tcBorders>
              <w:top w:val="nil"/>
              <w:left w:val="nil"/>
              <w:bottom w:val="single" w:color="auto" w:sz="4" w:space="0"/>
              <w:right w:val="single" w:color="auto" w:sz="4" w:space="0"/>
            </w:tcBorders>
            <w:shd w:val="clear" w:color="auto" w:fill="FFFFFF"/>
            <w:vAlign w:val="center"/>
          </w:tcPr>
          <w:p w14:paraId="48B6D50E">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291845D7">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233C1516">
            <w:pPr>
              <w:widowControl/>
              <w:jc w:val="center"/>
              <w:rPr>
                <w:rFonts w:ascii="Times New Roman" w:hAnsi="Times New Roman"/>
                <w:kern w:val="0"/>
                <w:szCs w:val="21"/>
              </w:rPr>
            </w:pPr>
          </w:p>
        </w:tc>
      </w:tr>
      <w:tr w14:paraId="77218A43">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0184211D">
            <w:pPr>
              <w:widowControl/>
              <w:jc w:val="center"/>
              <w:rPr>
                <w:rFonts w:ascii="Times New Roman" w:hAnsi="Times New Roman"/>
                <w:kern w:val="0"/>
                <w:szCs w:val="21"/>
              </w:rPr>
            </w:pPr>
            <w:r>
              <w:rPr>
                <w:rFonts w:ascii="Times New Roman" w:hAnsi="Times New Roman"/>
                <w:kern w:val="0"/>
                <w:szCs w:val="21"/>
              </w:rPr>
              <w:t>毕业要求</w:t>
            </w:r>
            <w:r>
              <w:rPr>
                <w:rFonts w:ascii="Times New Roman" w:hAnsi="Times New Roman"/>
                <w:szCs w:val="21"/>
              </w:rPr>
              <w:t>3-1</w:t>
            </w:r>
          </w:p>
        </w:tc>
        <w:tc>
          <w:tcPr>
            <w:tcW w:w="945" w:type="dxa"/>
            <w:tcBorders>
              <w:top w:val="nil"/>
              <w:left w:val="nil"/>
              <w:bottom w:val="single" w:color="auto" w:sz="4" w:space="0"/>
              <w:right w:val="single" w:color="auto" w:sz="4" w:space="0"/>
            </w:tcBorders>
            <w:vAlign w:val="center"/>
          </w:tcPr>
          <w:p w14:paraId="44F704D1">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53809101">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0647B8D2">
            <w:pPr>
              <w:widowControl/>
              <w:jc w:val="center"/>
              <w:rPr>
                <w:rFonts w:ascii="Times New Roman" w:hAnsi="Times New Roman"/>
                <w:kern w:val="0"/>
                <w:szCs w:val="21"/>
              </w:rPr>
            </w:pPr>
            <w:r>
              <w:rPr>
                <w:rFonts w:ascii="Times New Roman" w:hAnsi="Times New Roman"/>
                <w:kern w:val="0"/>
                <w:szCs w:val="21"/>
              </w:rPr>
              <w:t>√</w:t>
            </w:r>
          </w:p>
        </w:tc>
        <w:tc>
          <w:tcPr>
            <w:tcW w:w="945" w:type="dxa"/>
            <w:tcBorders>
              <w:top w:val="nil"/>
              <w:left w:val="nil"/>
              <w:bottom w:val="single" w:color="auto" w:sz="4" w:space="0"/>
              <w:right w:val="single" w:color="auto" w:sz="4" w:space="0"/>
            </w:tcBorders>
            <w:vAlign w:val="center"/>
          </w:tcPr>
          <w:p w14:paraId="088A0185">
            <w:pPr>
              <w:widowControl/>
              <w:jc w:val="center"/>
              <w:rPr>
                <w:rFonts w:ascii="Times New Roman" w:hAnsi="Times New Roman"/>
                <w:kern w:val="0"/>
                <w:szCs w:val="21"/>
              </w:rPr>
            </w:pPr>
            <w:r>
              <w:rPr>
                <w:rFonts w:ascii="Times New Roman" w:hAnsi="Times New Roman"/>
                <w:kern w:val="0"/>
                <w:szCs w:val="21"/>
              </w:rPr>
              <w:t>√</w:t>
            </w:r>
          </w:p>
        </w:tc>
        <w:tc>
          <w:tcPr>
            <w:tcW w:w="945" w:type="dxa"/>
            <w:tcBorders>
              <w:top w:val="nil"/>
              <w:left w:val="nil"/>
              <w:bottom w:val="single" w:color="auto" w:sz="4" w:space="0"/>
              <w:right w:val="single" w:color="auto" w:sz="4" w:space="0"/>
            </w:tcBorders>
            <w:vAlign w:val="center"/>
          </w:tcPr>
          <w:p w14:paraId="31690BC2">
            <w:pPr>
              <w:widowControl/>
              <w:jc w:val="center"/>
              <w:rPr>
                <w:rFonts w:ascii="Times New Roman" w:hAnsi="Times New Roman"/>
                <w:kern w:val="0"/>
                <w:szCs w:val="21"/>
              </w:rPr>
            </w:pPr>
            <w:r>
              <w:rPr>
                <w:rFonts w:ascii="Times New Roman" w:hAnsi="Times New Roman"/>
                <w:kern w:val="0"/>
                <w:szCs w:val="21"/>
              </w:rPr>
              <w:t>√</w:t>
            </w:r>
          </w:p>
        </w:tc>
        <w:tc>
          <w:tcPr>
            <w:tcW w:w="945" w:type="dxa"/>
            <w:tcBorders>
              <w:top w:val="nil"/>
              <w:left w:val="nil"/>
              <w:bottom w:val="single" w:color="auto" w:sz="4" w:space="0"/>
              <w:right w:val="single" w:color="auto" w:sz="4" w:space="0"/>
            </w:tcBorders>
            <w:vAlign w:val="center"/>
          </w:tcPr>
          <w:p w14:paraId="25F4CD0C">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3B6B0859">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142C00A6">
            <w:pPr>
              <w:widowControl/>
              <w:jc w:val="center"/>
              <w:rPr>
                <w:rFonts w:ascii="Times New Roman" w:hAnsi="Times New Roman"/>
                <w:kern w:val="0"/>
                <w:szCs w:val="21"/>
              </w:rPr>
            </w:pPr>
          </w:p>
        </w:tc>
      </w:tr>
      <w:tr w14:paraId="3DB9C0CB">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5CC221C0">
            <w:pPr>
              <w:widowControl/>
              <w:jc w:val="center"/>
              <w:rPr>
                <w:rFonts w:ascii="Times New Roman" w:hAnsi="Times New Roman"/>
                <w:kern w:val="0"/>
                <w:szCs w:val="21"/>
              </w:rPr>
            </w:pPr>
            <w:r>
              <w:rPr>
                <w:rFonts w:ascii="Times New Roman" w:hAnsi="Times New Roman"/>
                <w:kern w:val="0"/>
                <w:szCs w:val="21"/>
              </w:rPr>
              <w:t>毕业要求</w:t>
            </w:r>
            <w:r>
              <w:rPr>
                <w:rFonts w:ascii="Times New Roman" w:hAnsi="Times New Roman"/>
                <w:szCs w:val="21"/>
              </w:rPr>
              <w:t>3-2</w:t>
            </w:r>
          </w:p>
        </w:tc>
        <w:tc>
          <w:tcPr>
            <w:tcW w:w="945" w:type="dxa"/>
            <w:tcBorders>
              <w:top w:val="nil"/>
              <w:left w:val="nil"/>
              <w:bottom w:val="single" w:color="auto" w:sz="4" w:space="0"/>
              <w:right w:val="single" w:color="auto" w:sz="4" w:space="0"/>
            </w:tcBorders>
            <w:vAlign w:val="center"/>
          </w:tcPr>
          <w:p w14:paraId="1E95B4DE">
            <w:pPr>
              <w:widowControl/>
              <w:jc w:val="center"/>
              <w:rPr>
                <w:rFonts w:ascii="Times New Roman" w:hAnsi="Times New Roman"/>
                <w:kern w:val="0"/>
                <w:szCs w:val="21"/>
              </w:rPr>
            </w:pPr>
            <w:r>
              <w:rPr>
                <w:rFonts w:ascii="Times New Roman" w:hAnsi="Times New Roman"/>
                <w:kern w:val="0"/>
                <w:szCs w:val="21"/>
              </w:rPr>
              <w:t>√</w:t>
            </w:r>
          </w:p>
        </w:tc>
        <w:tc>
          <w:tcPr>
            <w:tcW w:w="945" w:type="dxa"/>
            <w:tcBorders>
              <w:top w:val="nil"/>
              <w:left w:val="nil"/>
              <w:bottom w:val="single" w:color="auto" w:sz="4" w:space="0"/>
              <w:right w:val="single" w:color="auto" w:sz="4" w:space="0"/>
            </w:tcBorders>
            <w:vAlign w:val="center"/>
          </w:tcPr>
          <w:p w14:paraId="704874A0">
            <w:pPr>
              <w:widowControl/>
              <w:jc w:val="center"/>
              <w:rPr>
                <w:rFonts w:ascii="Times New Roman" w:hAnsi="Times New Roman"/>
                <w:kern w:val="0"/>
                <w:szCs w:val="21"/>
              </w:rPr>
            </w:pPr>
            <w:r>
              <w:rPr>
                <w:rFonts w:ascii="Times New Roman" w:hAnsi="Times New Roman"/>
                <w:kern w:val="0"/>
                <w:szCs w:val="21"/>
              </w:rPr>
              <w:t>√</w:t>
            </w:r>
          </w:p>
        </w:tc>
        <w:tc>
          <w:tcPr>
            <w:tcW w:w="945" w:type="dxa"/>
            <w:tcBorders>
              <w:top w:val="nil"/>
              <w:left w:val="nil"/>
              <w:bottom w:val="single" w:color="auto" w:sz="4" w:space="0"/>
              <w:right w:val="single" w:color="auto" w:sz="4" w:space="0"/>
            </w:tcBorders>
            <w:vAlign w:val="center"/>
          </w:tcPr>
          <w:p w14:paraId="26AEFF02">
            <w:pPr>
              <w:widowControl/>
              <w:jc w:val="center"/>
              <w:rPr>
                <w:rFonts w:ascii="Times New Roman" w:hAnsi="Times New Roman"/>
                <w:kern w:val="0"/>
                <w:szCs w:val="21"/>
              </w:rPr>
            </w:pPr>
            <w:r>
              <w:rPr>
                <w:rFonts w:ascii="Times New Roman" w:hAnsi="Times New Roman"/>
                <w:kern w:val="0"/>
                <w:szCs w:val="21"/>
              </w:rPr>
              <w:t>√</w:t>
            </w:r>
          </w:p>
        </w:tc>
        <w:tc>
          <w:tcPr>
            <w:tcW w:w="945" w:type="dxa"/>
            <w:tcBorders>
              <w:top w:val="nil"/>
              <w:left w:val="nil"/>
              <w:bottom w:val="single" w:color="auto" w:sz="4" w:space="0"/>
              <w:right w:val="single" w:color="auto" w:sz="4" w:space="0"/>
            </w:tcBorders>
            <w:vAlign w:val="center"/>
          </w:tcPr>
          <w:p w14:paraId="2279C453">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346D5A67">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6231E860">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2FAC853D">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08805140">
            <w:pPr>
              <w:widowControl/>
              <w:jc w:val="center"/>
              <w:rPr>
                <w:rFonts w:ascii="Times New Roman" w:hAnsi="Times New Roman"/>
                <w:kern w:val="0"/>
                <w:szCs w:val="21"/>
              </w:rPr>
            </w:pPr>
          </w:p>
        </w:tc>
      </w:tr>
      <w:tr w14:paraId="7930AFC2">
        <w:tblPrEx>
          <w:tblCellMar>
            <w:top w:w="0" w:type="dxa"/>
            <w:left w:w="108" w:type="dxa"/>
            <w:bottom w:w="0" w:type="dxa"/>
            <w:right w:w="108" w:type="dxa"/>
          </w:tblCellMar>
        </w:tblPrEx>
        <w:trPr>
          <w:trHeight w:val="470" w:hRule="atLeast"/>
        </w:trPr>
        <w:tc>
          <w:tcPr>
            <w:tcW w:w="1695" w:type="dxa"/>
            <w:tcBorders>
              <w:top w:val="nil"/>
              <w:left w:val="single" w:color="auto" w:sz="4" w:space="0"/>
              <w:bottom w:val="single" w:color="auto" w:sz="4" w:space="0"/>
              <w:right w:val="single" w:color="auto" w:sz="4" w:space="0"/>
            </w:tcBorders>
            <w:vAlign w:val="center"/>
          </w:tcPr>
          <w:p w14:paraId="1A25FC99">
            <w:pPr>
              <w:widowControl/>
              <w:jc w:val="center"/>
              <w:rPr>
                <w:rFonts w:ascii="Times New Roman" w:hAnsi="Times New Roman"/>
                <w:kern w:val="0"/>
                <w:szCs w:val="21"/>
              </w:rPr>
            </w:pPr>
            <w:r>
              <w:rPr>
                <w:rFonts w:ascii="Times New Roman" w:hAnsi="Times New Roman"/>
                <w:kern w:val="0"/>
                <w:szCs w:val="21"/>
              </w:rPr>
              <w:t>毕业要求</w:t>
            </w:r>
            <w:r>
              <w:rPr>
                <w:rFonts w:ascii="Times New Roman" w:hAnsi="Times New Roman"/>
                <w:szCs w:val="21"/>
              </w:rPr>
              <w:t>6-2</w:t>
            </w:r>
          </w:p>
        </w:tc>
        <w:tc>
          <w:tcPr>
            <w:tcW w:w="945" w:type="dxa"/>
            <w:tcBorders>
              <w:top w:val="nil"/>
              <w:left w:val="nil"/>
              <w:bottom w:val="single" w:color="auto" w:sz="4" w:space="0"/>
              <w:right w:val="single" w:color="auto" w:sz="4" w:space="0"/>
            </w:tcBorders>
            <w:vAlign w:val="center"/>
          </w:tcPr>
          <w:p w14:paraId="3E582CAF">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57B70AC4">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2424EF33">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37F943E1">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70ADEC19">
            <w:pPr>
              <w:widowControl/>
              <w:jc w:val="center"/>
              <w:rPr>
                <w:rFonts w:ascii="Times New Roman" w:hAnsi="Times New Roman"/>
                <w:kern w:val="0"/>
                <w:szCs w:val="21"/>
              </w:rPr>
            </w:pPr>
            <w:r>
              <w:rPr>
                <w:rFonts w:ascii="Times New Roman" w:hAnsi="Times New Roman"/>
                <w:kern w:val="0"/>
                <w:szCs w:val="21"/>
              </w:rPr>
              <w:t>√</w:t>
            </w:r>
          </w:p>
        </w:tc>
        <w:tc>
          <w:tcPr>
            <w:tcW w:w="945" w:type="dxa"/>
            <w:tcBorders>
              <w:top w:val="nil"/>
              <w:left w:val="nil"/>
              <w:bottom w:val="single" w:color="auto" w:sz="4" w:space="0"/>
              <w:right w:val="single" w:color="auto" w:sz="4" w:space="0"/>
            </w:tcBorders>
            <w:vAlign w:val="center"/>
          </w:tcPr>
          <w:p w14:paraId="5B47615C">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5C6EDE03">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2447FFE5">
            <w:pPr>
              <w:widowControl/>
              <w:jc w:val="center"/>
              <w:rPr>
                <w:rFonts w:ascii="Times New Roman" w:hAnsi="Times New Roman"/>
                <w:kern w:val="0"/>
                <w:szCs w:val="21"/>
              </w:rPr>
            </w:pPr>
          </w:p>
        </w:tc>
      </w:tr>
    </w:tbl>
    <w:p w14:paraId="5BD38ED3">
      <w:pPr>
        <w:spacing w:line="360" w:lineRule="auto"/>
        <w:ind w:firstLine="562" w:firstLineChars="200"/>
        <w:rPr>
          <w:rFonts w:ascii="Times New Roman" w:hAnsi="Times New Roman"/>
          <w:b/>
          <w:sz w:val="28"/>
          <w:szCs w:val="28"/>
        </w:rPr>
      </w:pPr>
      <w:r>
        <w:rPr>
          <w:rFonts w:ascii="Times New Roman" w:hAnsi="Times New Roman"/>
          <w:b/>
          <w:sz w:val="28"/>
          <w:szCs w:val="28"/>
        </w:rPr>
        <w:t>三、课程内容及要求</w:t>
      </w:r>
    </w:p>
    <w:p w14:paraId="5E1B1D7A">
      <w:pPr>
        <w:spacing w:line="360" w:lineRule="auto"/>
        <w:ind w:firstLine="472" w:firstLineChars="196"/>
        <w:rPr>
          <w:rFonts w:ascii="Times New Roman" w:hAnsi="Times New Roman"/>
          <w:b/>
          <w:sz w:val="24"/>
        </w:rPr>
      </w:pPr>
      <w:r>
        <w:rPr>
          <w:rFonts w:ascii="Times New Roman" w:hAnsi="Times New Roman"/>
          <w:b/>
          <w:sz w:val="24"/>
        </w:rPr>
        <w:t>（一）整数的整除性</w:t>
      </w:r>
    </w:p>
    <w:p w14:paraId="5146AF94">
      <w:pPr>
        <w:spacing w:line="360" w:lineRule="auto"/>
        <w:ind w:firstLine="480" w:firstLineChars="200"/>
        <w:rPr>
          <w:rFonts w:ascii="Times New Roman" w:hAnsi="Times New Roman"/>
          <w:sz w:val="24"/>
        </w:rPr>
      </w:pPr>
      <w:r>
        <w:rPr>
          <w:rFonts w:ascii="Times New Roman" w:hAnsi="Times New Roman"/>
          <w:sz w:val="24"/>
        </w:rPr>
        <w:t>1.教学内容</w:t>
      </w:r>
    </w:p>
    <w:p w14:paraId="1FCAADF0">
      <w:pPr>
        <w:spacing w:line="360" w:lineRule="auto"/>
        <w:ind w:firstLine="480" w:firstLineChars="200"/>
        <w:rPr>
          <w:rFonts w:ascii="Times New Roman" w:hAnsi="Times New Roman"/>
          <w:sz w:val="24"/>
          <w:szCs w:val="21"/>
        </w:rPr>
      </w:pPr>
      <w:r>
        <w:rPr>
          <w:rFonts w:ascii="Times New Roman" w:hAnsi="Times New Roman"/>
          <w:sz w:val="24"/>
        </w:rPr>
        <w:t>（1）能够</w:t>
      </w:r>
      <w:r>
        <w:rPr>
          <w:rFonts w:ascii="Times New Roman" w:hAnsi="Times New Roman"/>
          <w:sz w:val="24"/>
          <w:szCs w:val="21"/>
        </w:rPr>
        <w:t>理解</w:t>
      </w:r>
      <w:r>
        <w:rPr>
          <w:rFonts w:ascii="Times New Roman" w:hAnsi="Times New Roman"/>
          <w:sz w:val="24"/>
        </w:rPr>
        <w:t>整除的整除理论</w:t>
      </w:r>
    </w:p>
    <w:p w14:paraId="3D7F9C9D">
      <w:pPr>
        <w:spacing w:line="360" w:lineRule="auto"/>
        <w:ind w:firstLine="480" w:firstLineChars="200"/>
        <w:rPr>
          <w:rFonts w:ascii="Times New Roman" w:hAnsi="Times New Roman"/>
          <w:sz w:val="24"/>
          <w:szCs w:val="21"/>
        </w:rPr>
      </w:pPr>
      <w:r>
        <w:rPr>
          <w:rFonts w:ascii="Times New Roman" w:hAnsi="Times New Roman"/>
          <w:sz w:val="24"/>
          <w:szCs w:val="21"/>
        </w:rPr>
        <w:t>（2）</w:t>
      </w:r>
      <w:r>
        <w:rPr>
          <w:rFonts w:ascii="Times New Roman" w:hAnsi="Times New Roman"/>
          <w:sz w:val="24"/>
        </w:rPr>
        <w:t>能够</w:t>
      </w:r>
      <w:r>
        <w:rPr>
          <w:rFonts w:ascii="Times New Roman" w:hAnsi="Times New Roman"/>
          <w:sz w:val="24"/>
          <w:szCs w:val="21"/>
        </w:rPr>
        <w:t>理解</w:t>
      </w:r>
      <w:r>
        <w:rPr>
          <w:rFonts w:ascii="Times New Roman" w:hAnsi="Times New Roman"/>
          <w:sz w:val="24"/>
        </w:rPr>
        <w:t>质数与合数</w:t>
      </w:r>
    </w:p>
    <w:p w14:paraId="63A8175D">
      <w:pPr>
        <w:spacing w:line="360" w:lineRule="auto"/>
        <w:ind w:firstLine="480" w:firstLineChars="200"/>
        <w:rPr>
          <w:rFonts w:ascii="Times New Roman" w:hAnsi="Times New Roman"/>
          <w:sz w:val="24"/>
        </w:rPr>
      </w:pPr>
      <w:r>
        <w:rPr>
          <w:rFonts w:ascii="Times New Roman" w:hAnsi="Times New Roman"/>
          <w:sz w:val="24"/>
        </w:rPr>
        <w:t>（3）能够</w:t>
      </w:r>
      <w:r>
        <w:rPr>
          <w:rFonts w:ascii="Times New Roman" w:hAnsi="Times New Roman"/>
          <w:sz w:val="24"/>
          <w:szCs w:val="21"/>
        </w:rPr>
        <w:t>掌握</w:t>
      </w:r>
      <w:r>
        <w:rPr>
          <w:rFonts w:ascii="Times New Roman" w:hAnsi="Times New Roman"/>
          <w:sz w:val="24"/>
        </w:rPr>
        <w:t>最大公约数与最小公倍数</w:t>
      </w:r>
    </w:p>
    <w:p w14:paraId="42952CF1">
      <w:pPr>
        <w:spacing w:line="360" w:lineRule="auto"/>
        <w:ind w:firstLine="480" w:firstLineChars="200"/>
        <w:rPr>
          <w:rFonts w:ascii="Times New Roman" w:hAnsi="Times New Roman"/>
          <w:sz w:val="24"/>
          <w:szCs w:val="21"/>
        </w:rPr>
      </w:pPr>
      <w:r>
        <w:rPr>
          <w:rFonts w:ascii="Times New Roman" w:hAnsi="Times New Roman"/>
          <w:sz w:val="24"/>
        </w:rPr>
        <w:t>（4）能够</w:t>
      </w:r>
      <w:r>
        <w:rPr>
          <w:rFonts w:ascii="Times New Roman" w:hAnsi="Times New Roman"/>
          <w:sz w:val="24"/>
          <w:szCs w:val="21"/>
        </w:rPr>
        <w:t>理解</w:t>
      </w:r>
      <w:r>
        <w:rPr>
          <w:rFonts w:ascii="Times New Roman" w:hAnsi="Times New Roman"/>
          <w:sz w:val="24"/>
        </w:rPr>
        <w:t>算术基本定理</w:t>
      </w:r>
    </w:p>
    <w:p w14:paraId="6FE9F170">
      <w:pPr>
        <w:spacing w:line="360" w:lineRule="auto"/>
        <w:ind w:firstLine="480" w:firstLineChars="200"/>
        <w:rPr>
          <w:rFonts w:ascii="Times New Roman" w:hAnsi="Times New Roman"/>
          <w:sz w:val="24"/>
          <w:szCs w:val="21"/>
        </w:rPr>
      </w:pPr>
      <w:r>
        <w:rPr>
          <w:rFonts w:ascii="Times New Roman" w:hAnsi="Times New Roman"/>
          <w:sz w:val="24"/>
        </w:rPr>
        <w:t>（5）能够</w:t>
      </w:r>
      <w:r>
        <w:rPr>
          <w:rFonts w:ascii="Times New Roman" w:hAnsi="Times New Roman"/>
          <w:sz w:val="24"/>
          <w:szCs w:val="21"/>
        </w:rPr>
        <w:t>掌握</w:t>
      </w:r>
      <w:r>
        <w:rPr>
          <w:rFonts w:ascii="Times New Roman" w:hAnsi="Times New Roman"/>
          <w:sz w:val="24"/>
        </w:rPr>
        <w:t>数的进位制</w:t>
      </w:r>
    </w:p>
    <w:p w14:paraId="7CE0585C">
      <w:pPr>
        <w:spacing w:line="360" w:lineRule="auto"/>
        <w:ind w:firstLine="480" w:firstLineChars="200"/>
        <w:rPr>
          <w:rFonts w:ascii="Times New Roman" w:hAnsi="Times New Roman"/>
          <w:sz w:val="24"/>
          <w:szCs w:val="21"/>
        </w:rPr>
      </w:pPr>
      <w:r>
        <w:rPr>
          <w:rFonts w:ascii="Times New Roman" w:hAnsi="Times New Roman"/>
          <w:sz w:val="24"/>
        </w:rPr>
        <w:t>（6）能够</w:t>
      </w:r>
      <w:r>
        <w:rPr>
          <w:rFonts w:ascii="Times New Roman" w:hAnsi="Times New Roman"/>
          <w:sz w:val="24"/>
          <w:szCs w:val="21"/>
        </w:rPr>
        <w:t>掌握</w:t>
      </w:r>
      <w:r>
        <w:rPr>
          <w:rFonts w:ascii="Times New Roman" w:hAnsi="Times New Roman"/>
          <w:sz w:val="24"/>
        </w:rPr>
        <w:t>高斯函数</w:t>
      </w:r>
    </w:p>
    <w:p w14:paraId="45AAB93B">
      <w:pPr>
        <w:spacing w:line="360" w:lineRule="auto"/>
        <w:ind w:firstLine="480" w:firstLineChars="200"/>
        <w:rPr>
          <w:rFonts w:ascii="Times New Roman" w:hAnsi="Times New Roman"/>
          <w:color w:val="000000"/>
          <w:sz w:val="24"/>
        </w:rPr>
      </w:pPr>
      <w:r>
        <w:rPr>
          <w:rFonts w:ascii="Times New Roman" w:hAnsi="Times New Roman"/>
          <w:color w:val="000000"/>
          <w:sz w:val="24"/>
        </w:rPr>
        <w:t>2.基本要求</w:t>
      </w:r>
    </w:p>
    <w:p w14:paraId="4190F75B">
      <w:pPr>
        <w:spacing w:line="360" w:lineRule="auto"/>
        <w:ind w:firstLine="480" w:firstLineChars="200"/>
        <w:rPr>
          <w:rFonts w:ascii="Times New Roman" w:hAnsi="Times New Roman"/>
          <w:sz w:val="24"/>
        </w:rPr>
      </w:pPr>
      <w:r>
        <w:rPr>
          <w:rFonts w:ascii="Times New Roman" w:hAnsi="Times New Roman"/>
          <w:sz w:val="24"/>
        </w:rPr>
        <w:t>（1）重点与</w:t>
      </w:r>
      <w:r>
        <w:rPr>
          <w:rFonts w:ascii="Times New Roman" w:hAnsi="Times New Roman"/>
          <w:color w:val="000000"/>
          <w:sz w:val="24"/>
        </w:rPr>
        <w:t>难点：</w:t>
      </w:r>
      <w:r>
        <w:rPr>
          <w:rFonts w:ascii="Times New Roman" w:hAnsi="Times New Roman"/>
          <w:sz w:val="24"/>
        </w:rPr>
        <w:t>最大公约数和算数基本定理，高斯函数</w:t>
      </w:r>
      <w:r>
        <w:rPr>
          <w:rFonts w:ascii="Times New Roman" w:hAnsi="Times New Roman"/>
          <w:sz w:val="24"/>
          <w:szCs w:val="21"/>
        </w:rPr>
        <w:t>。</w:t>
      </w:r>
    </w:p>
    <w:p w14:paraId="716E3F9D">
      <w:pPr>
        <w:spacing w:line="360" w:lineRule="auto"/>
        <w:ind w:firstLine="480" w:firstLineChars="200"/>
        <w:rPr>
          <w:rFonts w:ascii="Times New Roman" w:hAnsi="Times New Roman"/>
          <w:color w:val="000000"/>
          <w:sz w:val="24"/>
        </w:rPr>
      </w:pPr>
      <w:r>
        <w:rPr>
          <w:rFonts w:ascii="Times New Roman" w:hAnsi="Times New Roman"/>
          <w:sz w:val="24"/>
        </w:rPr>
        <w:t>（2）教</w:t>
      </w:r>
      <w:r>
        <w:rPr>
          <w:rFonts w:ascii="Times New Roman" w:hAnsi="Times New Roman"/>
          <w:color w:val="000000"/>
          <w:sz w:val="24"/>
        </w:rPr>
        <w:t>学方法：启发式互动讲授结合多媒体辅助；适当课堂练习；及时了解学生的作业状况并对共同的问题作及时解答；安排好课后答疑。</w:t>
      </w:r>
    </w:p>
    <w:p w14:paraId="2D8B56E8">
      <w:pPr>
        <w:spacing w:line="360" w:lineRule="auto"/>
        <w:ind w:firstLine="480" w:firstLineChars="200"/>
        <w:rPr>
          <w:rFonts w:ascii="Times New Roman" w:hAnsi="Times New Roman"/>
          <w:sz w:val="24"/>
        </w:rPr>
      </w:pPr>
      <w:r>
        <w:rPr>
          <w:rFonts w:ascii="Times New Roman" w:hAnsi="Times New Roman"/>
          <w:sz w:val="24"/>
        </w:rPr>
        <w:t>3.思政内容</w:t>
      </w:r>
    </w:p>
    <w:p w14:paraId="5591D946">
      <w:pPr>
        <w:spacing w:line="360" w:lineRule="auto"/>
        <w:ind w:firstLine="480" w:firstLineChars="200"/>
        <w:rPr>
          <w:rFonts w:ascii="Times New Roman" w:hAnsi="Times New Roman"/>
          <w:color w:val="000000"/>
          <w:sz w:val="24"/>
        </w:rPr>
      </w:pPr>
      <w:r>
        <w:rPr>
          <w:rFonts w:ascii="Times New Roman" w:hAnsi="Times New Roman"/>
          <w:sz w:val="24"/>
        </w:rPr>
        <w:t>注重理论联系实际，尊重客观规律，树立社会主义核心价值观，增强专业素养，强调理论对实践的指导意义。</w:t>
      </w:r>
    </w:p>
    <w:p w14:paraId="574927D9">
      <w:pPr>
        <w:spacing w:line="360" w:lineRule="auto"/>
        <w:ind w:firstLine="472" w:firstLineChars="196"/>
        <w:rPr>
          <w:rFonts w:ascii="Times New Roman" w:hAnsi="Times New Roman"/>
          <w:b/>
          <w:sz w:val="24"/>
        </w:rPr>
      </w:pPr>
      <w:r>
        <w:rPr>
          <w:rFonts w:ascii="Times New Roman" w:hAnsi="Times New Roman"/>
          <w:b/>
          <w:sz w:val="24"/>
        </w:rPr>
        <w:t>（二）同余与同余方程</w:t>
      </w:r>
    </w:p>
    <w:p w14:paraId="2C8A8C5F">
      <w:pPr>
        <w:spacing w:line="360" w:lineRule="auto"/>
        <w:ind w:firstLine="480" w:firstLineChars="200"/>
        <w:rPr>
          <w:rFonts w:ascii="Times New Roman" w:hAnsi="Times New Roman"/>
          <w:sz w:val="24"/>
        </w:rPr>
      </w:pPr>
      <w:r>
        <w:rPr>
          <w:rFonts w:ascii="Times New Roman" w:hAnsi="Times New Roman"/>
          <w:sz w:val="24"/>
        </w:rPr>
        <w:t>1.教学内容</w:t>
      </w:r>
    </w:p>
    <w:p w14:paraId="5A37D880">
      <w:pPr>
        <w:spacing w:line="360" w:lineRule="auto"/>
        <w:ind w:firstLine="480" w:firstLineChars="200"/>
        <w:rPr>
          <w:rFonts w:ascii="Times New Roman" w:hAnsi="Times New Roman"/>
          <w:color w:val="000000"/>
          <w:sz w:val="24"/>
        </w:rPr>
      </w:pPr>
      <w:r>
        <w:rPr>
          <w:rFonts w:ascii="Times New Roman" w:hAnsi="Times New Roman"/>
          <w:color w:val="000000"/>
          <w:sz w:val="24"/>
        </w:rPr>
        <w:t>（1）</w:t>
      </w:r>
      <w:r>
        <w:rPr>
          <w:rFonts w:ascii="Times New Roman" w:hAnsi="Times New Roman"/>
          <w:sz w:val="24"/>
        </w:rPr>
        <w:t>能够</w:t>
      </w:r>
      <w:r>
        <w:rPr>
          <w:rFonts w:ascii="Times New Roman" w:hAnsi="Times New Roman"/>
          <w:sz w:val="24"/>
          <w:szCs w:val="21"/>
        </w:rPr>
        <w:t>理解</w:t>
      </w:r>
      <w:r>
        <w:rPr>
          <w:rFonts w:ascii="Times New Roman" w:hAnsi="Times New Roman"/>
          <w:sz w:val="24"/>
        </w:rPr>
        <w:t>同余的概念与性质</w:t>
      </w:r>
    </w:p>
    <w:p w14:paraId="2B7984FC">
      <w:pPr>
        <w:spacing w:line="360" w:lineRule="auto"/>
        <w:ind w:firstLine="480" w:firstLineChars="200"/>
        <w:rPr>
          <w:rFonts w:ascii="Times New Roman" w:hAnsi="Times New Roman"/>
          <w:color w:val="000000"/>
          <w:sz w:val="24"/>
        </w:rPr>
      </w:pPr>
      <w:r>
        <w:rPr>
          <w:rFonts w:ascii="Times New Roman" w:hAnsi="Times New Roman"/>
          <w:color w:val="000000"/>
          <w:sz w:val="24"/>
        </w:rPr>
        <w:t>（2）</w:t>
      </w:r>
      <w:r>
        <w:rPr>
          <w:rFonts w:ascii="Times New Roman" w:hAnsi="Times New Roman"/>
          <w:sz w:val="24"/>
        </w:rPr>
        <w:t>能够</w:t>
      </w:r>
      <w:r>
        <w:rPr>
          <w:rFonts w:ascii="Times New Roman" w:hAnsi="Times New Roman"/>
          <w:sz w:val="24"/>
          <w:szCs w:val="21"/>
        </w:rPr>
        <w:t>掌握</w:t>
      </w:r>
      <w:r>
        <w:rPr>
          <w:rFonts w:ascii="Times New Roman" w:hAnsi="Times New Roman"/>
          <w:sz w:val="24"/>
        </w:rPr>
        <w:t>剩余类与剩余系</w:t>
      </w:r>
    </w:p>
    <w:p w14:paraId="6FEF9342">
      <w:pPr>
        <w:spacing w:line="360" w:lineRule="auto"/>
        <w:ind w:firstLine="480" w:firstLineChars="200"/>
        <w:rPr>
          <w:rFonts w:ascii="Times New Roman" w:hAnsi="Times New Roman"/>
          <w:color w:val="000000"/>
          <w:sz w:val="24"/>
        </w:rPr>
      </w:pPr>
      <w:r>
        <w:rPr>
          <w:rFonts w:ascii="Times New Roman" w:hAnsi="Times New Roman"/>
          <w:color w:val="000000"/>
          <w:sz w:val="24"/>
        </w:rPr>
        <w:t>（3）</w:t>
      </w:r>
      <w:r>
        <w:rPr>
          <w:rFonts w:ascii="Times New Roman" w:hAnsi="Times New Roman"/>
          <w:sz w:val="24"/>
        </w:rPr>
        <w:t>能够</w:t>
      </w:r>
      <w:r>
        <w:rPr>
          <w:rFonts w:ascii="Times New Roman" w:hAnsi="Times New Roman"/>
          <w:sz w:val="24"/>
          <w:szCs w:val="21"/>
        </w:rPr>
        <w:t>理解</w:t>
      </w:r>
      <w:r>
        <w:rPr>
          <w:rFonts w:ascii="Times New Roman" w:hAnsi="Times New Roman"/>
          <w:sz w:val="24"/>
        </w:rPr>
        <w:t>欧拉定理</w:t>
      </w:r>
    </w:p>
    <w:p w14:paraId="54F13167">
      <w:pPr>
        <w:spacing w:line="360" w:lineRule="auto"/>
        <w:ind w:firstLine="480" w:firstLineChars="200"/>
        <w:rPr>
          <w:rFonts w:ascii="Times New Roman" w:hAnsi="Times New Roman"/>
          <w:color w:val="000000"/>
          <w:sz w:val="24"/>
        </w:rPr>
      </w:pPr>
      <w:r>
        <w:rPr>
          <w:rFonts w:ascii="Times New Roman" w:hAnsi="Times New Roman"/>
          <w:color w:val="000000"/>
          <w:sz w:val="24"/>
        </w:rPr>
        <w:t>（4）</w:t>
      </w:r>
      <w:r>
        <w:rPr>
          <w:rFonts w:ascii="Times New Roman" w:hAnsi="Times New Roman"/>
          <w:sz w:val="24"/>
        </w:rPr>
        <w:t>能够</w:t>
      </w:r>
      <w:r>
        <w:rPr>
          <w:rFonts w:ascii="Times New Roman" w:hAnsi="Times New Roman"/>
          <w:sz w:val="24"/>
          <w:szCs w:val="21"/>
        </w:rPr>
        <w:t>理解</w:t>
      </w:r>
      <w:r>
        <w:rPr>
          <w:rFonts w:ascii="Times New Roman" w:hAnsi="Times New Roman"/>
          <w:sz w:val="24"/>
        </w:rPr>
        <w:t>循环小数</w:t>
      </w:r>
    </w:p>
    <w:p w14:paraId="440121F2">
      <w:pPr>
        <w:spacing w:line="360" w:lineRule="auto"/>
        <w:ind w:firstLine="480" w:firstLineChars="200"/>
        <w:rPr>
          <w:rFonts w:ascii="Times New Roman" w:hAnsi="Times New Roman"/>
          <w:color w:val="000000"/>
          <w:sz w:val="24"/>
        </w:rPr>
      </w:pPr>
      <w:r>
        <w:rPr>
          <w:rFonts w:ascii="Times New Roman" w:hAnsi="Times New Roman"/>
          <w:color w:val="000000"/>
          <w:sz w:val="24"/>
        </w:rPr>
        <w:t>（5）</w:t>
      </w:r>
      <w:r>
        <w:rPr>
          <w:rFonts w:ascii="Times New Roman" w:hAnsi="Times New Roman"/>
          <w:sz w:val="24"/>
        </w:rPr>
        <w:t>能够</w:t>
      </w:r>
      <w:r>
        <w:rPr>
          <w:rFonts w:ascii="Times New Roman" w:hAnsi="Times New Roman"/>
          <w:sz w:val="24"/>
          <w:szCs w:val="21"/>
        </w:rPr>
        <w:t>理解</w:t>
      </w:r>
      <w:r>
        <w:rPr>
          <w:rFonts w:ascii="Times New Roman" w:hAnsi="Times New Roman"/>
          <w:sz w:val="24"/>
        </w:rPr>
        <w:t>一次同余方程（组）</w:t>
      </w:r>
    </w:p>
    <w:p w14:paraId="7A801F78">
      <w:pPr>
        <w:spacing w:line="360" w:lineRule="auto"/>
        <w:ind w:firstLine="480" w:firstLineChars="200"/>
        <w:rPr>
          <w:rFonts w:ascii="Times New Roman" w:hAnsi="Times New Roman"/>
          <w:color w:val="000000"/>
          <w:sz w:val="24"/>
        </w:rPr>
      </w:pPr>
      <w:r>
        <w:rPr>
          <w:rFonts w:ascii="Times New Roman" w:hAnsi="Times New Roman"/>
          <w:color w:val="000000"/>
          <w:sz w:val="24"/>
        </w:rPr>
        <w:t>2.基本要求</w:t>
      </w:r>
    </w:p>
    <w:p w14:paraId="204447A4">
      <w:pPr>
        <w:spacing w:line="360" w:lineRule="auto"/>
        <w:ind w:firstLine="480" w:firstLineChars="200"/>
        <w:rPr>
          <w:rFonts w:ascii="Times New Roman" w:hAnsi="Times New Roman"/>
          <w:sz w:val="24"/>
        </w:rPr>
      </w:pPr>
      <w:r>
        <w:rPr>
          <w:rFonts w:ascii="Times New Roman" w:hAnsi="Times New Roman"/>
          <w:sz w:val="24"/>
        </w:rPr>
        <w:t>（1）重点与</w:t>
      </w:r>
      <w:r>
        <w:rPr>
          <w:rFonts w:ascii="Times New Roman" w:hAnsi="Times New Roman"/>
          <w:color w:val="000000"/>
          <w:sz w:val="24"/>
        </w:rPr>
        <w:t>难点：</w:t>
      </w:r>
      <w:r>
        <w:rPr>
          <w:rFonts w:ascii="Times New Roman" w:hAnsi="Times New Roman"/>
          <w:sz w:val="24"/>
        </w:rPr>
        <w:t>同余的性质，同余方程组的解法</w:t>
      </w:r>
      <w:r>
        <w:rPr>
          <w:rFonts w:ascii="Times New Roman" w:hAnsi="Times New Roman"/>
          <w:sz w:val="24"/>
          <w:szCs w:val="21"/>
        </w:rPr>
        <w:t>。</w:t>
      </w:r>
    </w:p>
    <w:p w14:paraId="767D1A98">
      <w:pPr>
        <w:spacing w:line="360" w:lineRule="auto"/>
        <w:ind w:firstLine="480" w:firstLineChars="200"/>
        <w:rPr>
          <w:rFonts w:ascii="Times New Roman" w:hAnsi="Times New Roman"/>
          <w:color w:val="000000"/>
          <w:sz w:val="24"/>
        </w:rPr>
      </w:pPr>
      <w:r>
        <w:rPr>
          <w:rFonts w:ascii="Times New Roman" w:hAnsi="Times New Roman"/>
          <w:sz w:val="24"/>
        </w:rPr>
        <w:t>（2）教</w:t>
      </w:r>
      <w:r>
        <w:rPr>
          <w:rFonts w:ascii="Times New Roman" w:hAnsi="Times New Roman"/>
          <w:color w:val="000000"/>
          <w:sz w:val="24"/>
        </w:rPr>
        <w:t>学方法：启发式互动讲授结合多媒体辅助；适当课堂练习；及时了解学生的作业状况并对共同的问题作及时解答；安排好课后答疑。</w:t>
      </w:r>
    </w:p>
    <w:p w14:paraId="38722604">
      <w:pPr>
        <w:spacing w:line="360" w:lineRule="auto"/>
        <w:ind w:firstLine="480" w:firstLineChars="200"/>
        <w:rPr>
          <w:rFonts w:ascii="Times New Roman" w:hAnsi="Times New Roman"/>
          <w:sz w:val="24"/>
        </w:rPr>
      </w:pPr>
      <w:r>
        <w:rPr>
          <w:rFonts w:ascii="Times New Roman" w:hAnsi="Times New Roman"/>
          <w:sz w:val="24"/>
        </w:rPr>
        <w:t>3.思政内容</w:t>
      </w:r>
    </w:p>
    <w:p w14:paraId="0E293768">
      <w:pPr>
        <w:spacing w:line="360" w:lineRule="auto"/>
        <w:ind w:firstLine="480" w:firstLineChars="200"/>
        <w:rPr>
          <w:rFonts w:ascii="Times New Roman" w:hAnsi="Times New Roman"/>
          <w:color w:val="000000"/>
          <w:sz w:val="24"/>
        </w:rPr>
      </w:pPr>
      <w:r>
        <w:rPr>
          <w:rFonts w:ascii="Times New Roman" w:hAnsi="Times New Roman"/>
          <w:sz w:val="24"/>
        </w:rPr>
        <w:t>注重理论联系实际，尊重客观规律，树立社会主义核心价值观，增强专业素养，强调理论对实践的指导意义。</w:t>
      </w:r>
    </w:p>
    <w:p w14:paraId="5E3F3CFD">
      <w:pPr>
        <w:spacing w:line="360" w:lineRule="auto"/>
        <w:ind w:firstLine="472" w:firstLineChars="196"/>
        <w:rPr>
          <w:rFonts w:ascii="Times New Roman" w:hAnsi="Times New Roman"/>
          <w:b/>
          <w:sz w:val="24"/>
        </w:rPr>
      </w:pPr>
      <w:r>
        <w:rPr>
          <w:rFonts w:ascii="Times New Roman" w:hAnsi="Times New Roman"/>
          <w:b/>
          <w:sz w:val="24"/>
        </w:rPr>
        <w:t>（三）不定方程</w:t>
      </w:r>
    </w:p>
    <w:p w14:paraId="3B139632">
      <w:pPr>
        <w:spacing w:line="360" w:lineRule="auto"/>
        <w:ind w:firstLine="480" w:firstLineChars="200"/>
        <w:rPr>
          <w:rFonts w:ascii="Times New Roman" w:hAnsi="Times New Roman"/>
          <w:color w:val="000000"/>
          <w:sz w:val="24"/>
        </w:rPr>
      </w:pPr>
      <w:r>
        <w:rPr>
          <w:rFonts w:ascii="Times New Roman" w:hAnsi="Times New Roman"/>
          <w:color w:val="000000"/>
          <w:sz w:val="24"/>
        </w:rPr>
        <w:t>1.教学内容</w:t>
      </w:r>
    </w:p>
    <w:p w14:paraId="7975BF4C">
      <w:pPr>
        <w:spacing w:line="360" w:lineRule="auto"/>
        <w:ind w:firstLine="480" w:firstLineChars="200"/>
        <w:rPr>
          <w:rFonts w:ascii="Times New Roman" w:hAnsi="Times New Roman"/>
          <w:color w:val="000000"/>
          <w:sz w:val="24"/>
        </w:rPr>
      </w:pPr>
      <w:r>
        <w:rPr>
          <w:rFonts w:ascii="Times New Roman" w:hAnsi="Times New Roman"/>
          <w:color w:val="000000"/>
          <w:sz w:val="24"/>
        </w:rPr>
        <w:t>（1）</w:t>
      </w:r>
      <w:r>
        <w:rPr>
          <w:rFonts w:ascii="Times New Roman" w:hAnsi="Times New Roman"/>
          <w:sz w:val="24"/>
        </w:rPr>
        <w:t>能够</w:t>
      </w:r>
      <w:r>
        <w:rPr>
          <w:rFonts w:ascii="Times New Roman" w:hAnsi="Times New Roman"/>
          <w:sz w:val="24"/>
          <w:szCs w:val="21"/>
        </w:rPr>
        <w:t>掌握</w:t>
      </w:r>
      <w:r>
        <w:rPr>
          <w:rFonts w:ascii="Times New Roman" w:hAnsi="Times New Roman"/>
          <w:sz w:val="24"/>
        </w:rPr>
        <w:t>二元一次不定方程</w:t>
      </w:r>
    </w:p>
    <w:p w14:paraId="3538BD39">
      <w:pPr>
        <w:spacing w:line="360" w:lineRule="auto"/>
        <w:ind w:firstLine="480" w:firstLineChars="200"/>
        <w:rPr>
          <w:rFonts w:ascii="Times New Roman" w:hAnsi="Times New Roman"/>
          <w:color w:val="000000"/>
          <w:sz w:val="24"/>
        </w:rPr>
      </w:pPr>
      <w:r>
        <w:rPr>
          <w:rFonts w:ascii="Times New Roman" w:hAnsi="Times New Roman"/>
          <w:color w:val="000000"/>
          <w:sz w:val="24"/>
        </w:rPr>
        <w:t>（2）</w:t>
      </w:r>
      <w:r>
        <w:rPr>
          <w:rFonts w:ascii="Times New Roman" w:hAnsi="Times New Roman"/>
          <w:sz w:val="24"/>
        </w:rPr>
        <w:t>能够</w:t>
      </w:r>
      <w:r>
        <w:rPr>
          <w:rFonts w:ascii="Times New Roman" w:hAnsi="Times New Roman"/>
          <w:sz w:val="24"/>
          <w:szCs w:val="21"/>
        </w:rPr>
        <w:t>掌握</w:t>
      </w:r>
      <w:r>
        <w:rPr>
          <w:rFonts w:ascii="Times New Roman" w:hAnsi="Times New Roman"/>
          <w:sz w:val="24"/>
        </w:rPr>
        <w:t>多元一次不定方程</w:t>
      </w:r>
    </w:p>
    <w:p w14:paraId="5CBFFBDD">
      <w:pPr>
        <w:spacing w:line="360" w:lineRule="auto"/>
        <w:ind w:firstLine="480" w:firstLineChars="200"/>
        <w:rPr>
          <w:rFonts w:ascii="Times New Roman" w:hAnsi="Times New Roman"/>
          <w:color w:val="000000"/>
          <w:sz w:val="24"/>
        </w:rPr>
      </w:pPr>
      <w:r>
        <w:rPr>
          <w:rFonts w:ascii="Times New Roman" w:hAnsi="Times New Roman"/>
          <w:color w:val="000000"/>
          <w:sz w:val="24"/>
        </w:rPr>
        <w:t>（3）</w:t>
      </w:r>
      <w:r>
        <w:rPr>
          <w:rFonts w:ascii="Times New Roman" w:hAnsi="Times New Roman"/>
          <w:sz w:val="24"/>
        </w:rPr>
        <w:t>能够</w:t>
      </w:r>
      <w:r>
        <w:rPr>
          <w:rFonts w:ascii="Times New Roman" w:hAnsi="Times New Roman"/>
          <w:sz w:val="24"/>
          <w:szCs w:val="21"/>
        </w:rPr>
        <w:t>掌握</w:t>
      </w:r>
      <w:r>
        <w:rPr>
          <w:rFonts w:ascii="Times New Roman" w:hAnsi="Times New Roman"/>
          <w:sz w:val="24"/>
        </w:rPr>
        <w:t>一次不定方程组</w:t>
      </w:r>
    </w:p>
    <w:p w14:paraId="4C2E240D">
      <w:pPr>
        <w:spacing w:line="360" w:lineRule="auto"/>
        <w:ind w:firstLine="480" w:firstLineChars="200"/>
        <w:rPr>
          <w:rFonts w:ascii="Times New Roman" w:hAnsi="Times New Roman"/>
          <w:color w:val="000000"/>
          <w:sz w:val="24"/>
        </w:rPr>
      </w:pPr>
      <w:r>
        <w:rPr>
          <w:rFonts w:ascii="Times New Roman" w:hAnsi="Times New Roman"/>
          <w:color w:val="000000"/>
          <w:sz w:val="24"/>
        </w:rPr>
        <w:t>（4）</w:t>
      </w:r>
      <w:r>
        <w:rPr>
          <w:rFonts w:ascii="Times New Roman" w:hAnsi="Times New Roman"/>
          <w:sz w:val="24"/>
        </w:rPr>
        <w:t>能够</w:t>
      </w:r>
      <w:r>
        <w:rPr>
          <w:rFonts w:ascii="Times New Roman" w:hAnsi="Times New Roman"/>
          <w:sz w:val="24"/>
          <w:szCs w:val="21"/>
        </w:rPr>
        <w:t>了解</w:t>
      </w:r>
      <w:r>
        <w:rPr>
          <w:rFonts w:ascii="Times New Roman" w:hAnsi="Times New Roman"/>
          <w:sz w:val="24"/>
        </w:rPr>
        <w:t>商高不定方程</w:t>
      </w:r>
    </w:p>
    <w:p w14:paraId="2129ED9A">
      <w:pPr>
        <w:pStyle w:val="8"/>
        <w:spacing w:line="400" w:lineRule="exact"/>
        <w:ind w:firstLine="480" w:firstLineChars="200"/>
        <w:rPr>
          <w:rFonts w:ascii="Times New Roman" w:hAnsi="Times New Roman"/>
          <w:sz w:val="24"/>
          <w:szCs w:val="24"/>
        </w:rPr>
      </w:pPr>
      <w:r>
        <w:rPr>
          <w:rFonts w:ascii="Times New Roman" w:hAnsi="Times New Roman"/>
          <w:color w:val="000000"/>
          <w:sz w:val="24"/>
        </w:rPr>
        <w:t>（5）</w:t>
      </w:r>
      <w:r>
        <w:rPr>
          <w:rFonts w:ascii="Times New Roman" w:hAnsi="Times New Roman"/>
          <w:sz w:val="24"/>
        </w:rPr>
        <w:t>能够了解</w:t>
      </w:r>
      <w:r>
        <w:rPr>
          <w:rFonts w:ascii="Times New Roman" w:hAnsi="Times New Roman"/>
          <w:sz w:val="24"/>
          <w:szCs w:val="24"/>
        </w:rPr>
        <w:t>特殊的高次不定方程</w:t>
      </w:r>
    </w:p>
    <w:p w14:paraId="608CEF7B">
      <w:pPr>
        <w:spacing w:line="360" w:lineRule="auto"/>
        <w:ind w:firstLine="480" w:firstLineChars="200"/>
        <w:rPr>
          <w:rFonts w:ascii="Times New Roman" w:hAnsi="Times New Roman"/>
          <w:color w:val="000000"/>
          <w:sz w:val="24"/>
        </w:rPr>
      </w:pPr>
      <w:r>
        <w:rPr>
          <w:rFonts w:ascii="Times New Roman" w:hAnsi="Times New Roman"/>
          <w:color w:val="000000"/>
          <w:sz w:val="24"/>
        </w:rPr>
        <w:t>2.基本要求</w:t>
      </w:r>
    </w:p>
    <w:p w14:paraId="19CC26EA">
      <w:pPr>
        <w:spacing w:line="360" w:lineRule="auto"/>
        <w:ind w:firstLine="480" w:firstLineChars="200"/>
        <w:rPr>
          <w:rFonts w:ascii="Times New Roman" w:hAnsi="Times New Roman"/>
          <w:color w:val="000000"/>
          <w:sz w:val="24"/>
        </w:rPr>
      </w:pPr>
      <w:r>
        <w:rPr>
          <w:rFonts w:ascii="Times New Roman" w:hAnsi="Times New Roman"/>
          <w:color w:val="000000"/>
          <w:sz w:val="24"/>
        </w:rPr>
        <w:t>（1）重点与难点：</w:t>
      </w:r>
      <w:r>
        <w:rPr>
          <w:rFonts w:ascii="Times New Roman" w:hAnsi="Times New Roman"/>
          <w:sz w:val="24"/>
        </w:rPr>
        <w:t>二元一次不定方程，多元一次不定方程</w:t>
      </w:r>
      <w:r>
        <w:rPr>
          <w:rFonts w:ascii="Times New Roman" w:hAnsi="Times New Roman"/>
          <w:color w:val="000000"/>
          <w:sz w:val="24"/>
        </w:rPr>
        <w:t>。</w:t>
      </w:r>
    </w:p>
    <w:p w14:paraId="47FDA1B2">
      <w:pPr>
        <w:spacing w:line="360" w:lineRule="auto"/>
        <w:ind w:firstLine="480" w:firstLineChars="200"/>
        <w:rPr>
          <w:rFonts w:ascii="Times New Roman" w:hAnsi="Times New Roman"/>
          <w:color w:val="000000"/>
          <w:sz w:val="24"/>
        </w:rPr>
      </w:pPr>
      <w:r>
        <w:rPr>
          <w:rFonts w:ascii="Times New Roman" w:hAnsi="Times New Roman"/>
          <w:sz w:val="24"/>
        </w:rPr>
        <w:t>（2）教</w:t>
      </w:r>
      <w:r>
        <w:rPr>
          <w:rFonts w:ascii="Times New Roman" w:hAnsi="Times New Roman"/>
          <w:color w:val="000000"/>
          <w:sz w:val="24"/>
        </w:rPr>
        <w:t>学方法：启发式互动讲授结合多媒体辅助；适当课堂练习；及时了解学生的作业状况并对共同的问题作及时解答；安排好课后答疑。</w:t>
      </w:r>
    </w:p>
    <w:p w14:paraId="6830F677">
      <w:pPr>
        <w:spacing w:line="360" w:lineRule="auto"/>
        <w:ind w:firstLine="480" w:firstLineChars="200"/>
        <w:rPr>
          <w:rFonts w:ascii="Times New Roman" w:hAnsi="Times New Roman"/>
          <w:sz w:val="24"/>
        </w:rPr>
      </w:pPr>
      <w:r>
        <w:rPr>
          <w:rFonts w:ascii="Times New Roman" w:hAnsi="Times New Roman"/>
          <w:sz w:val="24"/>
        </w:rPr>
        <w:t>3.思政内容</w:t>
      </w:r>
    </w:p>
    <w:p w14:paraId="396C140A">
      <w:pPr>
        <w:spacing w:line="360" w:lineRule="auto"/>
        <w:ind w:firstLine="480" w:firstLineChars="200"/>
        <w:rPr>
          <w:rFonts w:ascii="Times New Roman" w:hAnsi="Times New Roman"/>
          <w:color w:val="000000"/>
          <w:sz w:val="24"/>
        </w:rPr>
      </w:pPr>
      <w:r>
        <w:rPr>
          <w:rFonts w:ascii="Times New Roman" w:hAnsi="Times New Roman"/>
          <w:sz w:val="24"/>
        </w:rPr>
        <w:t>注重理论联系实际，尊重客观规律，树立社会主义核心价值观，增强专业素养，强调理论对实践的指导意义。</w:t>
      </w:r>
    </w:p>
    <w:p w14:paraId="02499130">
      <w:pPr>
        <w:spacing w:line="360" w:lineRule="auto"/>
        <w:ind w:firstLine="472" w:firstLineChars="196"/>
        <w:rPr>
          <w:rFonts w:ascii="Times New Roman" w:hAnsi="Times New Roman"/>
          <w:b/>
          <w:sz w:val="24"/>
        </w:rPr>
      </w:pPr>
      <w:r>
        <w:rPr>
          <w:rFonts w:ascii="Times New Roman" w:hAnsi="Times New Roman"/>
          <w:b/>
          <w:sz w:val="24"/>
        </w:rPr>
        <w:t>（四）简单连分数</w:t>
      </w:r>
    </w:p>
    <w:p w14:paraId="5B5391D6">
      <w:pPr>
        <w:spacing w:line="360" w:lineRule="auto"/>
        <w:ind w:firstLine="480" w:firstLineChars="200"/>
        <w:rPr>
          <w:rFonts w:ascii="Times New Roman" w:hAnsi="Times New Roman"/>
          <w:color w:val="000000"/>
          <w:sz w:val="24"/>
        </w:rPr>
      </w:pPr>
      <w:r>
        <w:rPr>
          <w:rFonts w:ascii="Times New Roman" w:hAnsi="Times New Roman"/>
          <w:color w:val="000000"/>
          <w:sz w:val="24"/>
        </w:rPr>
        <w:t>1.教学内容</w:t>
      </w:r>
    </w:p>
    <w:p w14:paraId="300EAFD0">
      <w:pPr>
        <w:spacing w:line="360" w:lineRule="auto"/>
        <w:ind w:firstLine="480" w:firstLineChars="200"/>
        <w:rPr>
          <w:rFonts w:ascii="Times New Roman" w:hAnsi="Times New Roman"/>
          <w:color w:val="000000"/>
          <w:sz w:val="24"/>
        </w:rPr>
      </w:pPr>
      <w:r>
        <w:rPr>
          <w:rFonts w:ascii="Times New Roman" w:hAnsi="Times New Roman"/>
          <w:color w:val="000000"/>
          <w:sz w:val="24"/>
        </w:rPr>
        <w:t>（1）</w:t>
      </w:r>
      <w:r>
        <w:rPr>
          <w:rFonts w:ascii="Times New Roman" w:hAnsi="Times New Roman"/>
          <w:sz w:val="24"/>
        </w:rPr>
        <w:t>能够</w:t>
      </w:r>
      <w:r>
        <w:rPr>
          <w:rFonts w:ascii="Times New Roman" w:hAnsi="Times New Roman"/>
          <w:sz w:val="24"/>
          <w:szCs w:val="21"/>
        </w:rPr>
        <w:t>理解</w:t>
      </w:r>
      <w:r>
        <w:rPr>
          <w:rFonts w:ascii="Times New Roman" w:hAnsi="Times New Roman"/>
          <w:sz w:val="24"/>
        </w:rPr>
        <w:t>连分数的概念</w:t>
      </w:r>
    </w:p>
    <w:p w14:paraId="3E7B8CB7">
      <w:pPr>
        <w:spacing w:line="360" w:lineRule="auto"/>
        <w:ind w:firstLine="480" w:firstLineChars="200"/>
        <w:rPr>
          <w:rFonts w:ascii="Times New Roman" w:hAnsi="Times New Roman"/>
          <w:color w:val="000000"/>
          <w:sz w:val="24"/>
        </w:rPr>
      </w:pPr>
      <w:r>
        <w:rPr>
          <w:rFonts w:ascii="Times New Roman" w:hAnsi="Times New Roman"/>
          <w:color w:val="000000"/>
          <w:sz w:val="24"/>
        </w:rPr>
        <w:t>（2）</w:t>
      </w:r>
      <w:r>
        <w:rPr>
          <w:rFonts w:ascii="Times New Roman" w:hAnsi="Times New Roman"/>
          <w:sz w:val="24"/>
        </w:rPr>
        <w:t>能够</w:t>
      </w:r>
      <w:r>
        <w:rPr>
          <w:rFonts w:ascii="Times New Roman" w:hAnsi="Times New Roman"/>
          <w:sz w:val="24"/>
          <w:szCs w:val="21"/>
        </w:rPr>
        <w:t>掌握</w:t>
      </w:r>
      <w:r>
        <w:rPr>
          <w:rFonts w:ascii="Times New Roman" w:hAnsi="Times New Roman"/>
          <w:sz w:val="24"/>
        </w:rPr>
        <w:t>有限连分数与有理数</w:t>
      </w:r>
    </w:p>
    <w:p w14:paraId="24D20D44">
      <w:pPr>
        <w:spacing w:line="360" w:lineRule="auto"/>
        <w:ind w:firstLine="480" w:firstLineChars="200"/>
        <w:rPr>
          <w:rFonts w:ascii="Times New Roman" w:hAnsi="Times New Roman"/>
          <w:color w:val="000000"/>
          <w:sz w:val="24"/>
        </w:rPr>
      </w:pPr>
      <w:r>
        <w:rPr>
          <w:rFonts w:ascii="Times New Roman" w:hAnsi="Times New Roman"/>
          <w:color w:val="000000"/>
          <w:sz w:val="24"/>
        </w:rPr>
        <w:t>（3）</w:t>
      </w:r>
      <w:r>
        <w:rPr>
          <w:rFonts w:ascii="Times New Roman" w:hAnsi="Times New Roman"/>
          <w:sz w:val="24"/>
        </w:rPr>
        <w:t>能够</w:t>
      </w:r>
      <w:r>
        <w:rPr>
          <w:rFonts w:ascii="Times New Roman" w:hAnsi="Times New Roman"/>
          <w:sz w:val="24"/>
          <w:szCs w:val="21"/>
        </w:rPr>
        <w:t>理解</w:t>
      </w:r>
      <w:r>
        <w:rPr>
          <w:rFonts w:ascii="Times New Roman" w:hAnsi="Times New Roman"/>
          <w:sz w:val="24"/>
        </w:rPr>
        <w:t>渐进分数</w:t>
      </w:r>
    </w:p>
    <w:p w14:paraId="2953B9CE">
      <w:pPr>
        <w:spacing w:line="360" w:lineRule="auto"/>
        <w:ind w:firstLine="480" w:firstLineChars="200"/>
        <w:rPr>
          <w:rFonts w:ascii="Times New Roman" w:hAnsi="Times New Roman"/>
          <w:color w:val="000000"/>
          <w:sz w:val="24"/>
        </w:rPr>
      </w:pPr>
      <w:r>
        <w:rPr>
          <w:rFonts w:ascii="Times New Roman" w:hAnsi="Times New Roman"/>
          <w:color w:val="000000"/>
          <w:sz w:val="24"/>
        </w:rPr>
        <w:t>（4）</w:t>
      </w:r>
      <w:r>
        <w:rPr>
          <w:rFonts w:ascii="Times New Roman" w:hAnsi="Times New Roman"/>
          <w:sz w:val="24"/>
        </w:rPr>
        <w:t>能够</w:t>
      </w:r>
      <w:r>
        <w:rPr>
          <w:rFonts w:ascii="Times New Roman" w:hAnsi="Times New Roman"/>
          <w:sz w:val="24"/>
          <w:szCs w:val="21"/>
        </w:rPr>
        <w:t>掌握</w:t>
      </w:r>
      <w:r>
        <w:rPr>
          <w:rFonts w:ascii="Times New Roman" w:hAnsi="Times New Roman"/>
          <w:sz w:val="24"/>
        </w:rPr>
        <w:t>无限连分数</w:t>
      </w:r>
    </w:p>
    <w:p w14:paraId="0C0BCDFC">
      <w:pPr>
        <w:spacing w:line="360" w:lineRule="auto"/>
        <w:ind w:firstLine="480" w:firstLineChars="200"/>
        <w:rPr>
          <w:rFonts w:ascii="Times New Roman" w:hAnsi="Times New Roman"/>
          <w:color w:val="000000"/>
          <w:sz w:val="24"/>
        </w:rPr>
      </w:pPr>
      <w:r>
        <w:rPr>
          <w:rFonts w:ascii="Times New Roman" w:hAnsi="Times New Roman"/>
          <w:color w:val="000000"/>
          <w:sz w:val="24"/>
        </w:rPr>
        <w:t>（5）</w:t>
      </w:r>
      <w:r>
        <w:rPr>
          <w:rFonts w:ascii="Times New Roman" w:hAnsi="Times New Roman"/>
          <w:sz w:val="24"/>
        </w:rPr>
        <w:t>能够</w:t>
      </w:r>
      <w:r>
        <w:rPr>
          <w:rFonts w:ascii="Times New Roman" w:hAnsi="Times New Roman"/>
          <w:sz w:val="24"/>
          <w:szCs w:val="21"/>
        </w:rPr>
        <w:t>理解</w:t>
      </w:r>
      <w:r>
        <w:rPr>
          <w:rFonts w:ascii="Times New Roman" w:hAnsi="Times New Roman"/>
          <w:sz w:val="24"/>
        </w:rPr>
        <w:t>循环连分数</w:t>
      </w:r>
    </w:p>
    <w:p w14:paraId="3BE9EE3A">
      <w:pPr>
        <w:spacing w:line="360" w:lineRule="auto"/>
        <w:ind w:firstLine="480" w:firstLineChars="200"/>
        <w:rPr>
          <w:rFonts w:ascii="Times New Roman" w:hAnsi="Times New Roman"/>
          <w:color w:val="000000"/>
          <w:sz w:val="24"/>
        </w:rPr>
      </w:pPr>
      <w:r>
        <w:rPr>
          <w:rFonts w:ascii="Times New Roman" w:hAnsi="Times New Roman"/>
          <w:color w:val="000000"/>
          <w:sz w:val="24"/>
        </w:rPr>
        <w:t>（6）</w:t>
      </w:r>
      <w:r>
        <w:rPr>
          <w:rFonts w:ascii="Times New Roman" w:hAnsi="Times New Roman"/>
          <w:sz w:val="24"/>
        </w:rPr>
        <w:t>能够</w:t>
      </w:r>
      <w:r>
        <w:rPr>
          <w:rFonts w:ascii="Times New Roman" w:hAnsi="Times New Roman"/>
          <w:sz w:val="24"/>
          <w:szCs w:val="21"/>
        </w:rPr>
        <w:t>掌握</w:t>
      </w:r>
      <w:r>
        <w:rPr>
          <w:rFonts w:ascii="Times New Roman" w:hAnsi="Times New Roman"/>
          <w:sz w:val="24"/>
        </w:rPr>
        <w:t>无理数与无限连分数</w:t>
      </w:r>
    </w:p>
    <w:p w14:paraId="1864EAF5">
      <w:pPr>
        <w:spacing w:line="360" w:lineRule="auto"/>
        <w:ind w:firstLine="480" w:firstLineChars="200"/>
        <w:rPr>
          <w:rFonts w:ascii="Times New Roman" w:hAnsi="Times New Roman"/>
          <w:color w:val="000000"/>
          <w:sz w:val="24"/>
        </w:rPr>
      </w:pPr>
      <w:r>
        <w:rPr>
          <w:rFonts w:ascii="Times New Roman" w:hAnsi="Times New Roman"/>
          <w:color w:val="000000"/>
          <w:sz w:val="24"/>
        </w:rPr>
        <w:t>（7）</w:t>
      </w:r>
      <w:r>
        <w:rPr>
          <w:rFonts w:ascii="Times New Roman" w:hAnsi="Times New Roman"/>
          <w:sz w:val="24"/>
        </w:rPr>
        <w:t>能够</w:t>
      </w:r>
      <w:r>
        <w:rPr>
          <w:rFonts w:ascii="Times New Roman" w:hAnsi="Times New Roman"/>
          <w:sz w:val="24"/>
          <w:szCs w:val="21"/>
        </w:rPr>
        <w:t>了解</w:t>
      </w:r>
      <w:r>
        <w:rPr>
          <w:rFonts w:ascii="Times New Roman" w:hAnsi="Times New Roman"/>
          <w:sz w:val="24"/>
        </w:rPr>
        <w:t>连分数的应用</w:t>
      </w:r>
    </w:p>
    <w:p w14:paraId="72968235">
      <w:pPr>
        <w:spacing w:line="360" w:lineRule="auto"/>
        <w:ind w:firstLine="480" w:firstLineChars="200"/>
        <w:rPr>
          <w:rFonts w:ascii="Times New Roman" w:hAnsi="Times New Roman"/>
          <w:color w:val="000000"/>
          <w:sz w:val="24"/>
        </w:rPr>
      </w:pPr>
      <w:r>
        <w:rPr>
          <w:rFonts w:ascii="Times New Roman" w:hAnsi="Times New Roman"/>
          <w:color w:val="000000"/>
          <w:sz w:val="24"/>
        </w:rPr>
        <w:t>2.基本要求</w:t>
      </w:r>
    </w:p>
    <w:p w14:paraId="130E16DB">
      <w:pPr>
        <w:spacing w:line="360" w:lineRule="auto"/>
        <w:ind w:firstLine="480" w:firstLineChars="200"/>
        <w:rPr>
          <w:rFonts w:ascii="Times New Roman" w:hAnsi="Times New Roman"/>
          <w:color w:val="000000"/>
          <w:sz w:val="24"/>
        </w:rPr>
      </w:pPr>
      <w:r>
        <w:rPr>
          <w:rFonts w:ascii="Times New Roman" w:hAnsi="Times New Roman"/>
          <w:color w:val="000000"/>
          <w:sz w:val="24"/>
        </w:rPr>
        <w:t>（1）重点与难点：</w:t>
      </w:r>
      <w:r>
        <w:rPr>
          <w:rFonts w:ascii="Times New Roman" w:hAnsi="Times New Roman"/>
          <w:sz w:val="24"/>
        </w:rPr>
        <w:t>循环连分数</w:t>
      </w:r>
      <w:r>
        <w:rPr>
          <w:rFonts w:ascii="Times New Roman" w:hAnsi="Times New Roman"/>
          <w:color w:val="000000"/>
          <w:sz w:val="24"/>
        </w:rPr>
        <w:t>。</w:t>
      </w:r>
    </w:p>
    <w:p w14:paraId="1E8F7CBE">
      <w:pPr>
        <w:spacing w:line="360" w:lineRule="auto"/>
        <w:ind w:firstLine="480" w:firstLineChars="200"/>
        <w:rPr>
          <w:rFonts w:ascii="Times New Roman" w:hAnsi="Times New Roman"/>
          <w:color w:val="000000"/>
          <w:sz w:val="24"/>
        </w:rPr>
      </w:pPr>
      <w:r>
        <w:rPr>
          <w:rFonts w:ascii="Times New Roman" w:hAnsi="Times New Roman"/>
          <w:sz w:val="24"/>
        </w:rPr>
        <w:t>（2）教</w:t>
      </w:r>
      <w:r>
        <w:rPr>
          <w:rFonts w:ascii="Times New Roman" w:hAnsi="Times New Roman"/>
          <w:color w:val="000000"/>
          <w:sz w:val="24"/>
        </w:rPr>
        <w:t>学方法：启发式互动讲授结合多媒体辅助；适当课堂练习；及时了解学生的作业状况并对共同的问题作及时解答；安排好课后答疑。</w:t>
      </w:r>
    </w:p>
    <w:p w14:paraId="01B14CCF">
      <w:pPr>
        <w:spacing w:line="360" w:lineRule="auto"/>
        <w:ind w:firstLine="480" w:firstLineChars="200"/>
        <w:rPr>
          <w:rFonts w:ascii="Times New Roman" w:hAnsi="Times New Roman"/>
          <w:sz w:val="24"/>
        </w:rPr>
      </w:pPr>
      <w:r>
        <w:rPr>
          <w:rFonts w:ascii="Times New Roman" w:hAnsi="Times New Roman"/>
          <w:sz w:val="24"/>
        </w:rPr>
        <w:t>3.思政内容</w:t>
      </w:r>
    </w:p>
    <w:p w14:paraId="09DC5521">
      <w:pPr>
        <w:spacing w:line="360" w:lineRule="auto"/>
        <w:ind w:firstLine="480" w:firstLineChars="200"/>
        <w:rPr>
          <w:rFonts w:ascii="Times New Roman" w:hAnsi="Times New Roman"/>
          <w:color w:val="000000"/>
          <w:sz w:val="24"/>
        </w:rPr>
      </w:pPr>
      <w:r>
        <w:rPr>
          <w:rFonts w:ascii="Times New Roman" w:hAnsi="Times New Roman"/>
          <w:sz w:val="24"/>
        </w:rPr>
        <w:t>注重理论联系实际，尊重客观规律，树立社会主义核心价值观，增强专业素养，强调理论对实践的指导意义。</w:t>
      </w:r>
    </w:p>
    <w:p w14:paraId="64BA81BE">
      <w:pPr>
        <w:spacing w:line="360" w:lineRule="auto"/>
        <w:ind w:firstLine="480" w:firstLineChars="200"/>
        <w:rPr>
          <w:rFonts w:ascii="Times New Roman" w:hAnsi="Times New Roman"/>
          <w:color w:val="000000"/>
          <w:sz w:val="24"/>
        </w:rPr>
      </w:pPr>
      <w:r>
        <w:rPr>
          <w:rFonts w:ascii="Times New Roman" w:hAnsi="Times New Roman"/>
          <w:color w:val="000000"/>
          <w:sz w:val="24"/>
        </w:rPr>
        <w:t>教学内容与课程目标的对应关系及学时分配如表所示。</w:t>
      </w:r>
    </w:p>
    <w:tbl>
      <w:tblPr>
        <w:tblStyle w:val="13"/>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4B1F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6210540B">
            <w:pPr>
              <w:jc w:val="center"/>
              <w:rPr>
                <w:rFonts w:ascii="Times New Roman" w:hAnsi="Times New Roman"/>
                <w:color w:val="000000"/>
                <w:szCs w:val="21"/>
              </w:rPr>
            </w:pPr>
            <w:r>
              <w:rPr>
                <w:rFonts w:ascii="Times New Roman" w:hAnsi="Times New Roman"/>
                <w:color w:val="000000"/>
                <w:szCs w:val="21"/>
              </w:rPr>
              <w:t>序号</w:t>
            </w:r>
          </w:p>
        </w:tc>
        <w:tc>
          <w:tcPr>
            <w:tcW w:w="3476" w:type="dxa"/>
            <w:shd w:val="clear" w:color="auto" w:fill="FFFFFF"/>
            <w:vAlign w:val="center"/>
          </w:tcPr>
          <w:p w14:paraId="2775087C">
            <w:pPr>
              <w:jc w:val="center"/>
              <w:rPr>
                <w:rFonts w:ascii="Times New Roman" w:hAnsi="Times New Roman"/>
                <w:color w:val="000000"/>
                <w:szCs w:val="21"/>
              </w:rPr>
            </w:pPr>
            <w:r>
              <w:rPr>
                <w:rFonts w:ascii="Times New Roman" w:hAnsi="Times New Roman"/>
                <w:color w:val="000000"/>
                <w:szCs w:val="21"/>
              </w:rPr>
              <w:t>教学内容</w:t>
            </w:r>
          </w:p>
        </w:tc>
        <w:tc>
          <w:tcPr>
            <w:tcW w:w="1701" w:type="dxa"/>
            <w:shd w:val="clear" w:color="auto" w:fill="FFFFFF"/>
            <w:vAlign w:val="center"/>
          </w:tcPr>
          <w:p w14:paraId="4FD33265">
            <w:pPr>
              <w:jc w:val="center"/>
              <w:rPr>
                <w:rFonts w:ascii="Times New Roman" w:hAnsi="Times New Roman"/>
                <w:color w:val="000000"/>
                <w:szCs w:val="21"/>
              </w:rPr>
            </w:pPr>
            <w:r>
              <w:rPr>
                <w:rFonts w:ascii="Times New Roman" w:hAnsi="Times New Roman"/>
                <w:color w:val="000000"/>
                <w:szCs w:val="21"/>
              </w:rPr>
              <w:t>支撑的课程目标</w:t>
            </w:r>
          </w:p>
        </w:tc>
        <w:tc>
          <w:tcPr>
            <w:tcW w:w="1853" w:type="dxa"/>
            <w:shd w:val="clear" w:color="auto" w:fill="FFFFFF"/>
            <w:vAlign w:val="center"/>
          </w:tcPr>
          <w:p w14:paraId="7441331E">
            <w:pPr>
              <w:jc w:val="center"/>
              <w:rPr>
                <w:rFonts w:ascii="Times New Roman" w:hAnsi="Times New Roman"/>
                <w:color w:val="000000"/>
                <w:szCs w:val="21"/>
              </w:rPr>
            </w:pPr>
            <w:r>
              <w:rPr>
                <w:rFonts w:ascii="Times New Roman" w:hAnsi="Times New Roman"/>
                <w:color w:val="000000"/>
                <w:szCs w:val="21"/>
              </w:rPr>
              <w:t>支撑的毕业要求</w:t>
            </w:r>
          </w:p>
          <w:p w14:paraId="0452EB5B">
            <w:pPr>
              <w:jc w:val="center"/>
              <w:rPr>
                <w:rFonts w:ascii="Times New Roman" w:hAnsi="Times New Roman"/>
                <w:color w:val="000000"/>
                <w:szCs w:val="21"/>
              </w:rPr>
            </w:pPr>
            <w:r>
              <w:rPr>
                <w:rFonts w:ascii="Times New Roman" w:hAnsi="Times New Roman"/>
                <w:color w:val="000000"/>
                <w:szCs w:val="21"/>
              </w:rPr>
              <w:t>指标点</w:t>
            </w:r>
          </w:p>
        </w:tc>
        <w:tc>
          <w:tcPr>
            <w:tcW w:w="735" w:type="dxa"/>
            <w:shd w:val="clear" w:color="auto" w:fill="FFFFFF"/>
            <w:vAlign w:val="center"/>
          </w:tcPr>
          <w:p w14:paraId="7C1BB36F">
            <w:pPr>
              <w:jc w:val="center"/>
              <w:rPr>
                <w:rFonts w:ascii="Times New Roman" w:hAnsi="Times New Roman"/>
                <w:color w:val="000000"/>
                <w:szCs w:val="21"/>
              </w:rPr>
            </w:pPr>
            <w:r>
              <w:rPr>
                <w:rFonts w:ascii="Times New Roman" w:hAnsi="Times New Roman"/>
                <w:color w:val="000000"/>
                <w:szCs w:val="21"/>
              </w:rPr>
              <w:t>讲授学时</w:t>
            </w:r>
          </w:p>
        </w:tc>
        <w:tc>
          <w:tcPr>
            <w:tcW w:w="735" w:type="dxa"/>
            <w:shd w:val="clear" w:color="auto" w:fill="FFFFFF"/>
            <w:vAlign w:val="center"/>
          </w:tcPr>
          <w:p w14:paraId="4DBF9E10">
            <w:pPr>
              <w:jc w:val="center"/>
              <w:rPr>
                <w:rFonts w:ascii="Times New Roman" w:hAnsi="Times New Roman"/>
                <w:color w:val="000000"/>
                <w:szCs w:val="21"/>
              </w:rPr>
            </w:pPr>
            <w:r>
              <w:rPr>
                <w:rFonts w:ascii="Times New Roman" w:hAnsi="Times New Roman"/>
                <w:color w:val="000000"/>
                <w:szCs w:val="21"/>
              </w:rPr>
              <w:t>实验学时</w:t>
            </w:r>
          </w:p>
        </w:tc>
      </w:tr>
      <w:tr w14:paraId="5A27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822C958">
            <w:pPr>
              <w:jc w:val="center"/>
              <w:rPr>
                <w:rFonts w:ascii="Times New Roman" w:hAnsi="Times New Roman"/>
                <w:szCs w:val="21"/>
              </w:rPr>
            </w:pPr>
            <w:r>
              <w:rPr>
                <w:rFonts w:ascii="Times New Roman" w:hAnsi="Times New Roman"/>
                <w:szCs w:val="21"/>
              </w:rPr>
              <w:t>1</w:t>
            </w:r>
          </w:p>
        </w:tc>
        <w:tc>
          <w:tcPr>
            <w:tcW w:w="3476" w:type="dxa"/>
          </w:tcPr>
          <w:p w14:paraId="0992E800">
            <w:pPr>
              <w:jc w:val="center"/>
              <w:rPr>
                <w:rFonts w:ascii="Times New Roman" w:hAnsi="Times New Roman"/>
              </w:rPr>
            </w:pPr>
            <w:r>
              <w:rPr>
                <w:rFonts w:ascii="Times New Roman" w:hAnsi="Times New Roman"/>
              </w:rPr>
              <w:t>整数的整除性</w:t>
            </w:r>
          </w:p>
        </w:tc>
        <w:tc>
          <w:tcPr>
            <w:tcW w:w="1701" w:type="dxa"/>
            <w:vAlign w:val="center"/>
          </w:tcPr>
          <w:p w14:paraId="63DAEFDC">
            <w:pPr>
              <w:spacing w:line="276" w:lineRule="auto"/>
              <w:jc w:val="center"/>
              <w:rPr>
                <w:rFonts w:ascii="Times New Roman" w:hAnsi="Times New Roman"/>
                <w:szCs w:val="21"/>
              </w:rPr>
            </w:pPr>
            <w:r>
              <w:rPr>
                <w:rFonts w:ascii="Times New Roman" w:hAnsi="Times New Roman"/>
                <w:szCs w:val="21"/>
              </w:rPr>
              <w:t>课程目标1-3</w:t>
            </w:r>
          </w:p>
        </w:tc>
        <w:tc>
          <w:tcPr>
            <w:tcW w:w="1853" w:type="dxa"/>
            <w:vAlign w:val="center"/>
          </w:tcPr>
          <w:p w14:paraId="6130BD09">
            <w:pPr>
              <w:jc w:val="center"/>
              <w:rPr>
                <w:rFonts w:ascii="Times New Roman" w:hAnsi="Times New Roman"/>
                <w:szCs w:val="21"/>
              </w:rPr>
            </w:pPr>
            <w:r>
              <w:rPr>
                <w:rFonts w:ascii="Times New Roman" w:hAnsi="Times New Roman"/>
                <w:szCs w:val="21"/>
              </w:rPr>
              <w:t>6-2</w:t>
            </w:r>
          </w:p>
        </w:tc>
        <w:tc>
          <w:tcPr>
            <w:tcW w:w="735" w:type="dxa"/>
          </w:tcPr>
          <w:p w14:paraId="25D0F49D">
            <w:pPr>
              <w:jc w:val="center"/>
              <w:rPr>
                <w:rFonts w:ascii="Times New Roman" w:hAnsi="Times New Roman"/>
              </w:rPr>
            </w:pPr>
            <w:r>
              <w:rPr>
                <w:rFonts w:ascii="Times New Roman" w:hAnsi="Times New Roman"/>
              </w:rPr>
              <w:t>18</w:t>
            </w:r>
          </w:p>
        </w:tc>
        <w:tc>
          <w:tcPr>
            <w:tcW w:w="735" w:type="dxa"/>
            <w:vAlign w:val="center"/>
          </w:tcPr>
          <w:p w14:paraId="5C44E58E">
            <w:pPr>
              <w:jc w:val="center"/>
              <w:rPr>
                <w:rFonts w:ascii="Times New Roman" w:hAnsi="Times New Roman"/>
                <w:szCs w:val="21"/>
              </w:rPr>
            </w:pPr>
          </w:p>
        </w:tc>
      </w:tr>
      <w:tr w14:paraId="3BC3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0C5DA74">
            <w:pPr>
              <w:jc w:val="center"/>
              <w:rPr>
                <w:rFonts w:ascii="Times New Roman" w:hAnsi="Times New Roman"/>
                <w:szCs w:val="21"/>
              </w:rPr>
            </w:pPr>
            <w:r>
              <w:rPr>
                <w:rFonts w:ascii="Times New Roman" w:hAnsi="Times New Roman"/>
                <w:szCs w:val="21"/>
              </w:rPr>
              <w:t>2</w:t>
            </w:r>
          </w:p>
        </w:tc>
        <w:tc>
          <w:tcPr>
            <w:tcW w:w="3476" w:type="dxa"/>
          </w:tcPr>
          <w:p w14:paraId="315A5F38">
            <w:pPr>
              <w:jc w:val="center"/>
              <w:rPr>
                <w:rFonts w:ascii="Times New Roman" w:hAnsi="Times New Roman"/>
              </w:rPr>
            </w:pPr>
            <w:r>
              <w:rPr>
                <w:rFonts w:ascii="Times New Roman" w:hAnsi="Times New Roman"/>
              </w:rPr>
              <w:t>同余与同余方程</w:t>
            </w:r>
          </w:p>
        </w:tc>
        <w:tc>
          <w:tcPr>
            <w:tcW w:w="1701" w:type="dxa"/>
            <w:vAlign w:val="center"/>
          </w:tcPr>
          <w:p w14:paraId="7303C154">
            <w:pPr>
              <w:spacing w:line="276" w:lineRule="auto"/>
              <w:jc w:val="center"/>
              <w:rPr>
                <w:rFonts w:ascii="Times New Roman" w:hAnsi="Times New Roman"/>
                <w:szCs w:val="21"/>
              </w:rPr>
            </w:pPr>
            <w:r>
              <w:rPr>
                <w:rFonts w:ascii="Times New Roman" w:hAnsi="Times New Roman"/>
                <w:szCs w:val="21"/>
              </w:rPr>
              <w:t>课程目标1-5</w:t>
            </w:r>
          </w:p>
        </w:tc>
        <w:tc>
          <w:tcPr>
            <w:tcW w:w="1853" w:type="dxa"/>
          </w:tcPr>
          <w:p w14:paraId="721CB97C">
            <w:pPr>
              <w:jc w:val="center"/>
              <w:rPr>
                <w:rFonts w:ascii="Times New Roman" w:hAnsi="Times New Roman"/>
              </w:rPr>
            </w:pPr>
            <w:r>
              <w:rPr>
                <w:rFonts w:ascii="Times New Roman" w:hAnsi="Times New Roman"/>
                <w:szCs w:val="21"/>
              </w:rPr>
              <w:t>3-1</w:t>
            </w:r>
            <w:r>
              <w:rPr>
                <w:rFonts w:ascii="Times New Roman" w:hAnsi="Times New Roman"/>
                <w:color w:val="000000"/>
                <w:szCs w:val="21"/>
              </w:rPr>
              <w:t>、</w:t>
            </w:r>
            <w:r>
              <w:rPr>
                <w:rFonts w:ascii="Times New Roman" w:hAnsi="Times New Roman"/>
                <w:szCs w:val="21"/>
              </w:rPr>
              <w:t>3-2</w:t>
            </w:r>
          </w:p>
        </w:tc>
        <w:tc>
          <w:tcPr>
            <w:tcW w:w="735" w:type="dxa"/>
          </w:tcPr>
          <w:p w14:paraId="5304C18F">
            <w:pPr>
              <w:jc w:val="center"/>
              <w:rPr>
                <w:rFonts w:ascii="Times New Roman" w:hAnsi="Times New Roman"/>
              </w:rPr>
            </w:pPr>
            <w:r>
              <w:rPr>
                <w:rFonts w:ascii="Times New Roman" w:hAnsi="Times New Roman"/>
              </w:rPr>
              <w:t>18</w:t>
            </w:r>
          </w:p>
        </w:tc>
        <w:tc>
          <w:tcPr>
            <w:tcW w:w="735" w:type="dxa"/>
            <w:vAlign w:val="center"/>
          </w:tcPr>
          <w:p w14:paraId="788259FF">
            <w:pPr>
              <w:jc w:val="center"/>
              <w:rPr>
                <w:rFonts w:ascii="Times New Roman" w:hAnsi="Times New Roman"/>
                <w:szCs w:val="21"/>
              </w:rPr>
            </w:pPr>
          </w:p>
        </w:tc>
      </w:tr>
      <w:tr w14:paraId="7F38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5B9415E">
            <w:pPr>
              <w:jc w:val="center"/>
              <w:rPr>
                <w:rFonts w:ascii="Times New Roman" w:hAnsi="Times New Roman"/>
                <w:szCs w:val="21"/>
              </w:rPr>
            </w:pPr>
            <w:r>
              <w:rPr>
                <w:rFonts w:ascii="Times New Roman" w:hAnsi="Times New Roman"/>
                <w:szCs w:val="21"/>
              </w:rPr>
              <w:t>3</w:t>
            </w:r>
          </w:p>
        </w:tc>
        <w:tc>
          <w:tcPr>
            <w:tcW w:w="3476" w:type="dxa"/>
          </w:tcPr>
          <w:p w14:paraId="3F0DA617">
            <w:pPr>
              <w:jc w:val="center"/>
              <w:rPr>
                <w:rFonts w:ascii="Times New Roman" w:hAnsi="Times New Roman"/>
              </w:rPr>
            </w:pPr>
            <w:r>
              <w:rPr>
                <w:rFonts w:ascii="Times New Roman" w:hAnsi="Times New Roman"/>
              </w:rPr>
              <w:t>不定方程</w:t>
            </w:r>
          </w:p>
        </w:tc>
        <w:tc>
          <w:tcPr>
            <w:tcW w:w="1701" w:type="dxa"/>
            <w:vAlign w:val="center"/>
          </w:tcPr>
          <w:p w14:paraId="09A98C43">
            <w:pPr>
              <w:spacing w:line="276" w:lineRule="auto"/>
              <w:jc w:val="center"/>
              <w:rPr>
                <w:rFonts w:ascii="Times New Roman" w:hAnsi="Times New Roman"/>
                <w:szCs w:val="21"/>
              </w:rPr>
            </w:pPr>
            <w:r>
              <w:rPr>
                <w:rFonts w:ascii="Times New Roman" w:hAnsi="Times New Roman"/>
                <w:szCs w:val="21"/>
              </w:rPr>
              <w:t>课程目标1-5</w:t>
            </w:r>
          </w:p>
        </w:tc>
        <w:tc>
          <w:tcPr>
            <w:tcW w:w="1853" w:type="dxa"/>
          </w:tcPr>
          <w:p w14:paraId="487699E4">
            <w:pPr>
              <w:jc w:val="center"/>
              <w:rPr>
                <w:rFonts w:ascii="Times New Roman" w:hAnsi="Times New Roman"/>
              </w:rPr>
            </w:pPr>
            <w:r>
              <w:rPr>
                <w:rFonts w:ascii="Times New Roman" w:hAnsi="Times New Roman"/>
                <w:szCs w:val="21"/>
              </w:rPr>
              <w:t>3-1</w:t>
            </w:r>
            <w:r>
              <w:rPr>
                <w:rFonts w:ascii="Times New Roman" w:hAnsi="Times New Roman"/>
                <w:color w:val="000000"/>
                <w:szCs w:val="21"/>
              </w:rPr>
              <w:t>、</w:t>
            </w:r>
            <w:r>
              <w:rPr>
                <w:rFonts w:ascii="Times New Roman" w:hAnsi="Times New Roman"/>
                <w:szCs w:val="21"/>
              </w:rPr>
              <w:t>3-2</w:t>
            </w:r>
          </w:p>
        </w:tc>
        <w:tc>
          <w:tcPr>
            <w:tcW w:w="735" w:type="dxa"/>
          </w:tcPr>
          <w:p w14:paraId="08FA9879">
            <w:pPr>
              <w:jc w:val="center"/>
              <w:rPr>
                <w:rFonts w:ascii="Times New Roman" w:hAnsi="Times New Roman"/>
              </w:rPr>
            </w:pPr>
            <w:r>
              <w:rPr>
                <w:rFonts w:ascii="Times New Roman" w:hAnsi="Times New Roman"/>
              </w:rPr>
              <w:t>6</w:t>
            </w:r>
          </w:p>
        </w:tc>
        <w:tc>
          <w:tcPr>
            <w:tcW w:w="735" w:type="dxa"/>
            <w:vAlign w:val="center"/>
          </w:tcPr>
          <w:p w14:paraId="10B808DE">
            <w:pPr>
              <w:jc w:val="center"/>
              <w:rPr>
                <w:rFonts w:ascii="Times New Roman" w:hAnsi="Times New Roman"/>
                <w:szCs w:val="21"/>
              </w:rPr>
            </w:pPr>
          </w:p>
        </w:tc>
      </w:tr>
      <w:tr w14:paraId="122D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4BD0B2">
            <w:pPr>
              <w:jc w:val="center"/>
              <w:rPr>
                <w:rFonts w:ascii="Times New Roman" w:hAnsi="Times New Roman"/>
                <w:szCs w:val="21"/>
              </w:rPr>
            </w:pPr>
            <w:r>
              <w:rPr>
                <w:rFonts w:ascii="Times New Roman" w:hAnsi="Times New Roman"/>
                <w:szCs w:val="21"/>
              </w:rPr>
              <w:t>4</w:t>
            </w:r>
          </w:p>
        </w:tc>
        <w:tc>
          <w:tcPr>
            <w:tcW w:w="3476" w:type="dxa"/>
          </w:tcPr>
          <w:p w14:paraId="71921A66">
            <w:pPr>
              <w:jc w:val="center"/>
              <w:rPr>
                <w:rFonts w:ascii="Times New Roman" w:hAnsi="Times New Roman"/>
              </w:rPr>
            </w:pPr>
            <w:r>
              <w:rPr>
                <w:rFonts w:ascii="Times New Roman" w:hAnsi="Times New Roman"/>
              </w:rPr>
              <w:t>简单连分数</w:t>
            </w:r>
          </w:p>
        </w:tc>
        <w:tc>
          <w:tcPr>
            <w:tcW w:w="1701" w:type="dxa"/>
            <w:vAlign w:val="center"/>
          </w:tcPr>
          <w:p w14:paraId="0D0B9DD0">
            <w:pPr>
              <w:spacing w:line="276" w:lineRule="auto"/>
              <w:jc w:val="center"/>
              <w:rPr>
                <w:rFonts w:ascii="Times New Roman" w:hAnsi="Times New Roman"/>
                <w:szCs w:val="21"/>
              </w:rPr>
            </w:pPr>
            <w:r>
              <w:rPr>
                <w:rFonts w:ascii="Times New Roman" w:hAnsi="Times New Roman"/>
                <w:szCs w:val="21"/>
              </w:rPr>
              <w:t>课程目标1-3</w:t>
            </w:r>
          </w:p>
        </w:tc>
        <w:tc>
          <w:tcPr>
            <w:tcW w:w="1853" w:type="dxa"/>
          </w:tcPr>
          <w:p w14:paraId="11B1F7A0">
            <w:pPr>
              <w:jc w:val="center"/>
              <w:rPr>
                <w:rFonts w:ascii="Times New Roman" w:hAnsi="Times New Roman"/>
              </w:rPr>
            </w:pPr>
            <w:r>
              <w:rPr>
                <w:rFonts w:ascii="Times New Roman" w:hAnsi="Times New Roman"/>
                <w:szCs w:val="21"/>
              </w:rPr>
              <w:t>3-1</w:t>
            </w:r>
            <w:r>
              <w:rPr>
                <w:rFonts w:ascii="Times New Roman" w:hAnsi="Times New Roman"/>
                <w:color w:val="000000"/>
                <w:szCs w:val="21"/>
              </w:rPr>
              <w:t>、</w:t>
            </w:r>
            <w:r>
              <w:rPr>
                <w:rFonts w:ascii="Times New Roman" w:hAnsi="Times New Roman"/>
                <w:szCs w:val="21"/>
              </w:rPr>
              <w:t>3-2</w:t>
            </w:r>
          </w:p>
        </w:tc>
        <w:tc>
          <w:tcPr>
            <w:tcW w:w="735" w:type="dxa"/>
          </w:tcPr>
          <w:p w14:paraId="73757E67">
            <w:pPr>
              <w:jc w:val="center"/>
              <w:rPr>
                <w:rFonts w:ascii="Times New Roman" w:hAnsi="Times New Roman"/>
              </w:rPr>
            </w:pPr>
            <w:r>
              <w:rPr>
                <w:rFonts w:ascii="Times New Roman" w:hAnsi="Times New Roman"/>
              </w:rPr>
              <w:t>6</w:t>
            </w:r>
          </w:p>
        </w:tc>
        <w:tc>
          <w:tcPr>
            <w:tcW w:w="735" w:type="dxa"/>
            <w:vAlign w:val="center"/>
          </w:tcPr>
          <w:p w14:paraId="7D7F27FB">
            <w:pPr>
              <w:jc w:val="center"/>
              <w:rPr>
                <w:rFonts w:ascii="Times New Roman" w:hAnsi="Times New Roman"/>
                <w:szCs w:val="21"/>
              </w:rPr>
            </w:pPr>
          </w:p>
        </w:tc>
      </w:tr>
      <w:tr w14:paraId="59CC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7FE0A18E">
            <w:pPr>
              <w:jc w:val="center"/>
              <w:rPr>
                <w:rFonts w:ascii="Times New Roman" w:hAnsi="Times New Roman"/>
                <w:szCs w:val="21"/>
              </w:rPr>
            </w:pPr>
            <w:r>
              <w:rPr>
                <w:rFonts w:ascii="Times New Roman" w:hAnsi="Times New Roman"/>
                <w:szCs w:val="21"/>
              </w:rPr>
              <w:t>合计</w:t>
            </w:r>
          </w:p>
        </w:tc>
        <w:tc>
          <w:tcPr>
            <w:tcW w:w="735" w:type="dxa"/>
            <w:vAlign w:val="center"/>
          </w:tcPr>
          <w:p w14:paraId="67A2C490">
            <w:pPr>
              <w:jc w:val="center"/>
              <w:rPr>
                <w:rFonts w:ascii="Times New Roman" w:hAnsi="Times New Roman"/>
                <w:szCs w:val="21"/>
              </w:rPr>
            </w:pPr>
            <w:r>
              <w:rPr>
                <w:rFonts w:ascii="Times New Roman" w:hAnsi="Times New Roman"/>
                <w:szCs w:val="21"/>
              </w:rPr>
              <w:t>48</w:t>
            </w:r>
          </w:p>
        </w:tc>
        <w:tc>
          <w:tcPr>
            <w:tcW w:w="735" w:type="dxa"/>
            <w:vAlign w:val="center"/>
          </w:tcPr>
          <w:p w14:paraId="6A5BAB71">
            <w:pPr>
              <w:jc w:val="center"/>
              <w:rPr>
                <w:rFonts w:ascii="Times New Roman" w:hAnsi="Times New Roman"/>
                <w:szCs w:val="21"/>
              </w:rPr>
            </w:pPr>
          </w:p>
        </w:tc>
      </w:tr>
    </w:tbl>
    <w:p w14:paraId="26B1F2F0">
      <w:pPr>
        <w:spacing w:line="360" w:lineRule="auto"/>
        <w:ind w:firstLine="562" w:firstLineChars="200"/>
        <w:rPr>
          <w:rFonts w:ascii="Times New Roman" w:hAnsi="Times New Roman"/>
          <w:b/>
          <w:sz w:val="28"/>
          <w:szCs w:val="28"/>
        </w:rPr>
      </w:pPr>
      <w:r>
        <w:rPr>
          <w:rFonts w:ascii="Times New Roman" w:hAnsi="Times New Roman"/>
          <w:b/>
          <w:sz w:val="28"/>
          <w:szCs w:val="28"/>
        </w:rPr>
        <w:t>四、课程实施</w:t>
      </w:r>
    </w:p>
    <w:p w14:paraId="13C1B782">
      <w:pPr>
        <w:spacing w:line="360" w:lineRule="auto"/>
        <w:ind w:firstLine="480" w:firstLineChars="200"/>
        <w:rPr>
          <w:rFonts w:ascii="Times New Roman" w:hAnsi="Times New Roman"/>
          <w:sz w:val="24"/>
        </w:rPr>
      </w:pPr>
      <w:r>
        <w:rPr>
          <w:rFonts w:ascii="Times New Roman" w:hAnsi="Times New Roman"/>
          <w:sz w:val="24"/>
        </w:rPr>
        <w:t>主要教学环节质量要求如表所示。</w:t>
      </w:r>
    </w:p>
    <w:p w14:paraId="09A9B34C">
      <w:pPr>
        <w:spacing w:line="360" w:lineRule="auto"/>
        <w:ind w:firstLine="480" w:firstLineChars="200"/>
        <w:rPr>
          <w:rFonts w:ascii="Times New Roman" w:hAnsi="Times New Roman"/>
          <w:sz w:val="24"/>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0896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4E501F82">
            <w:pPr>
              <w:jc w:val="center"/>
              <w:rPr>
                <w:rFonts w:ascii="Times New Roman" w:hAnsi="Times New Roman"/>
                <w:szCs w:val="21"/>
              </w:rPr>
            </w:pPr>
            <w:r>
              <w:rPr>
                <w:rFonts w:ascii="Times New Roman" w:hAnsi="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72D5A134">
            <w:pPr>
              <w:jc w:val="center"/>
              <w:rPr>
                <w:rFonts w:ascii="Times New Roman" w:hAnsi="Times New Roman"/>
                <w:szCs w:val="21"/>
              </w:rPr>
            </w:pPr>
            <w:r>
              <w:rPr>
                <w:rFonts w:ascii="Times New Roman" w:hAnsi="Times New Roman"/>
                <w:bCs/>
                <w:szCs w:val="21"/>
              </w:rPr>
              <w:t>质量要求</w:t>
            </w:r>
          </w:p>
        </w:tc>
      </w:tr>
      <w:tr w14:paraId="67DC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80AF5E3">
            <w:pPr>
              <w:jc w:val="center"/>
              <w:rPr>
                <w:rFonts w:ascii="Times New Roman" w:hAnsi="Times New Roman"/>
                <w:szCs w:val="21"/>
              </w:rPr>
            </w:pPr>
            <w:r>
              <w:rPr>
                <w:rFonts w:ascii="Times New Roman" w:hAnsi="Times New Roman"/>
                <w:szCs w:val="21"/>
              </w:rPr>
              <w:t>1</w:t>
            </w:r>
          </w:p>
        </w:tc>
        <w:tc>
          <w:tcPr>
            <w:tcW w:w="1691" w:type="dxa"/>
            <w:tcMar>
              <w:left w:w="28" w:type="dxa"/>
              <w:right w:w="28" w:type="dxa"/>
            </w:tcMar>
            <w:vAlign w:val="center"/>
          </w:tcPr>
          <w:p w14:paraId="2787B4AC">
            <w:pPr>
              <w:jc w:val="center"/>
              <w:rPr>
                <w:rFonts w:ascii="Times New Roman" w:hAnsi="Times New Roman"/>
                <w:szCs w:val="21"/>
              </w:rPr>
            </w:pPr>
            <w:r>
              <w:rPr>
                <w:rFonts w:ascii="Times New Roman" w:hAnsi="Times New Roman"/>
                <w:szCs w:val="21"/>
              </w:rPr>
              <w:t>备课</w:t>
            </w:r>
          </w:p>
        </w:tc>
        <w:tc>
          <w:tcPr>
            <w:tcW w:w="6773" w:type="dxa"/>
            <w:tcBorders>
              <w:right w:val="single" w:color="auto" w:sz="8" w:space="0"/>
            </w:tcBorders>
            <w:vAlign w:val="center"/>
          </w:tcPr>
          <w:p w14:paraId="1C2AEE99">
            <w:pPr>
              <w:spacing w:line="276" w:lineRule="auto"/>
              <w:rPr>
                <w:rFonts w:ascii="Times New Roman" w:hAnsi="Times New Roman"/>
                <w:szCs w:val="21"/>
              </w:rPr>
            </w:pPr>
            <w:r>
              <w:rPr>
                <w:rFonts w:ascii="Times New Roman" w:hAnsi="Times New Roman"/>
                <w:szCs w:val="21"/>
              </w:rPr>
              <w:t>（1）掌握本课程教学大纲内容，严格按照教学大纲要求进行本课程教学内容的组织；</w:t>
            </w:r>
          </w:p>
          <w:p w14:paraId="36101B54">
            <w:pPr>
              <w:spacing w:line="276" w:lineRule="auto"/>
              <w:rPr>
                <w:rFonts w:ascii="Times New Roman" w:hAnsi="Times New Roman"/>
                <w:szCs w:val="21"/>
              </w:rPr>
            </w:pPr>
            <w:r>
              <w:rPr>
                <w:rFonts w:ascii="Times New Roman" w:hAnsi="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22F544C0">
            <w:pPr>
              <w:spacing w:line="276" w:lineRule="auto"/>
              <w:rPr>
                <w:rFonts w:ascii="Times New Roman" w:hAnsi="Times New Roman"/>
                <w:szCs w:val="21"/>
              </w:rPr>
            </w:pPr>
            <w:r>
              <w:rPr>
                <w:rFonts w:ascii="Times New Roman" w:hAnsi="Times New Roman"/>
                <w:szCs w:val="21"/>
              </w:rPr>
              <w:t xml:space="preserve">（3）结合课程特点，适度运用多媒体教学手段讲授部分教学内容； </w:t>
            </w:r>
          </w:p>
          <w:p w14:paraId="365B4E6B">
            <w:pPr>
              <w:spacing w:line="276" w:lineRule="auto"/>
              <w:rPr>
                <w:rFonts w:ascii="Times New Roman" w:hAnsi="Times New Roman"/>
                <w:sz w:val="24"/>
              </w:rPr>
            </w:pPr>
            <w:r>
              <w:rPr>
                <w:rFonts w:ascii="Times New Roman" w:hAnsi="Times New Roman"/>
                <w:szCs w:val="21"/>
              </w:rPr>
              <w:t>（4）确定各章节课程内容的教学方法，构思授课思路、技巧和方法。</w:t>
            </w:r>
          </w:p>
        </w:tc>
      </w:tr>
      <w:tr w14:paraId="3D80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7EE1EFB">
            <w:pPr>
              <w:jc w:val="center"/>
              <w:rPr>
                <w:rFonts w:ascii="Times New Roman" w:hAnsi="Times New Roman"/>
                <w:szCs w:val="21"/>
              </w:rPr>
            </w:pPr>
            <w:r>
              <w:rPr>
                <w:rFonts w:ascii="Times New Roman" w:hAnsi="Times New Roman"/>
                <w:szCs w:val="21"/>
              </w:rPr>
              <w:t>2</w:t>
            </w:r>
          </w:p>
        </w:tc>
        <w:tc>
          <w:tcPr>
            <w:tcW w:w="1691" w:type="dxa"/>
            <w:tcMar>
              <w:left w:w="28" w:type="dxa"/>
              <w:right w:w="28" w:type="dxa"/>
            </w:tcMar>
            <w:vAlign w:val="center"/>
          </w:tcPr>
          <w:p w14:paraId="5527378F">
            <w:pPr>
              <w:jc w:val="center"/>
              <w:rPr>
                <w:rFonts w:ascii="Times New Roman" w:hAnsi="Times New Roman"/>
                <w:szCs w:val="21"/>
              </w:rPr>
            </w:pPr>
            <w:r>
              <w:rPr>
                <w:rFonts w:ascii="Times New Roman" w:hAnsi="Times New Roman"/>
                <w:szCs w:val="21"/>
              </w:rPr>
              <w:t>讲授</w:t>
            </w:r>
          </w:p>
        </w:tc>
        <w:tc>
          <w:tcPr>
            <w:tcW w:w="6773" w:type="dxa"/>
            <w:tcBorders>
              <w:right w:val="single" w:color="auto" w:sz="8" w:space="0"/>
            </w:tcBorders>
            <w:vAlign w:val="center"/>
          </w:tcPr>
          <w:p w14:paraId="5C8B4183">
            <w:pPr>
              <w:spacing w:line="276" w:lineRule="auto"/>
              <w:rPr>
                <w:rFonts w:ascii="Times New Roman" w:hAnsi="Times New Roman"/>
                <w:szCs w:val="21"/>
              </w:rPr>
            </w:pPr>
            <w:r>
              <w:rPr>
                <w:rFonts w:ascii="Times New Roman" w:hAnsi="Times New Roman"/>
                <w:szCs w:val="21"/>
              </w:rPr>
              <w:t>（1）要点准确，推理正确，条理清晰，重点突出，理论联系实际，熟练地解答和讲解例题。</w:t>
            </w:r>
          </w:p>
          <w:p w14:paraId="655D3340">
            <w:pPr>
              <w:spacing w:line="276" w:lineRule="auto"/>
              <w:rPr>
                <w:rFonts w:ascii="Times New Roman" w:hAnsi="Times New Roman"/>
                <w:szCs w:val="21"/>
              </w:rPr>
            </w:pPr>
            <w:r>
              <w:rPr>
                <w:rFonts w:ascii="Times New Roman" w:hAnsi="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43841756">
            <w:pPr>
              <w:rPr>
                <w:rFonts w:ascii="Times New Roman" w:hAnsi="Times New Roman"/>
                <w:szCs w:val="21"/>
              </w:rPr>
            </w:pPr>
            <w:r>
              <w:rPr>
                <w:rFonts w:ascii="Times New Roman" w:hAnsi="Times New Roman"/>
                <w:szCs w:val="21"/>
              </w:rPr>
              <w:t>（3）表达方式尽量便于学生理解、接受，力求形象生动，使学生在掌握知识的过程中，保持较为浓厚的兴趣。</w:t>
            </w:r>
          </w:p>
        </w:tc>
      </w:tr>
      <w:tr w14:paraId="799D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376CE56">
            <w:pPr>
              <w:jc w:val="center"/>
              <w:rPr>
                <w:rFonts w:ascii="Times New Roman" w:hAnsi="Times New Roman"/>
                <w:szCs w:val="21"/>
              </w:rPr>
            </w:pPr>
            <w:r>
              <w:rPr>
                <w:rFonts w:ascii="Times New Roman" w:hAnsi="Times New Roman"/>
                <w:szCs w:val="21"/>
              </w:rPr>
              <w:t>3</w:t>
            </w:r>
          </w:p>
        </w:tc>
        <w:tc>
          <w:tcPr>
            <w:tcW w:w="1691" w:type="dxa"/>
            <w:tcMar>
              <w:left w:w="28" w:type="dxa"/>
              <w:right w:w="28" w:type="dxa"/>
            </w:tcMar>
            <w:vAlign w:val="center"/>
          </w:tcPr>
          <w:p w14:paraId="2FD6B09B">
            <w:pPr>
              <w:jc w:val="center"/>
              <w:rPr>
                <w:rFonts w:ascii="Times New Roman" w:hAnsi="Times New Roman"/>
                <w:szCs w:val="21"/>
              </w:rPr>
            </w:pPr>
            <w:r>
              <w:rPr>
                <w:rFonts w:ascii="Times New Roman" w:hAnsi="Times New Roman"/>
                <w:szCs w:val="21"/>
              </w:rPr>
              <w:t>作业布置与批改</w:t>
            </w:r>
          </w:p>
        </w:tc>
        <w:tc>
          <w:tcPr>
            <w:tcW w:w="6773" w:type="dxa"/>
            <w:tcBorders>
              <w:right w:val="single" w:color="auto" w:sz="8" w:space="0"/>
            </w:tcBorders>
            <w:vAlign w:val="center"/>
          </w:tcPr>
          <w:p w14:paraId="5A41EB6C">
            <w:pPr>
              <w:spacing w:line="276" w:lineRule="auto"/>
              <w:rPr>
                <w:rFonts w:ascii="Times New Roman" w:hAnsi="Times New Roman"/>
                <w:szCs w:val="21"/>
              </w:rPr>
            </w:pPr>
            <w:r>
              <w:rPr>
                <w:rFonts w:ascii="Times New Roman" w:hAnsi="Times New Roman"/>
                <w:szCs w:val="21"/>
              </w:rPr>
              <w:t>学生必须完成一定数量的作业题，是本课程教学的基本要求，是实现人才培养目标的必要手段。</w:t>
            </w:r>
          </w:p>
          <w:p w14:paraId="2DF16228">
            <w:pPr>
              <w:spacing w:line="276" w:lineRule="auto"/>
              <w:rPr>
                <w:rFonts w:ascii="Times New Roman" w:hAnsi="Times New Roman"/>
                <w:szCs w:val="21"/>
              </w:rPr>
            </w:pPr>
            <w:r>
              <w:rPr>
                <w:rFonts w:ascii="Times New Roman" w:hAnsi="Times New Roman"/>
                <w:szCs w:val="21"/>
              </w:rPr>
              <w:t>学生完成的作业必须达到以下基本要求：</w:t>
            </w:r>
          </w:p>
          <w:p w14:paraId="204F5CCB">
            <w:pPr>
              <w:spacing w:line="276" w:lineRule="auto"/>
              <w:rPr>
                <w:rFonts w:ascii="Times New Roman" w:hAnsi="Times New Roman"/>
                <w:szCs w:val="21"/>
              </w:rPr>
            </w:pPr>
            <w:r>
              <w:rPr>
                <w:rFonts w:ascii="Times New Roman" w:hAnsi="Times New Roman"/>
                <w:szCs w:val="21"/>
              </w:rPr>
              <w:t>（1）按时按量完成作业，不缺交，不抄袭；</w:t>
            </w:r>
          </w:p>
          <w:p w14:paraId="1FA79D6F">
            <w:pPr>
              <w:spacing w:line="276" w:lineRule="auto"/>
              <w:rPr>
                <w:rFonts w:ascii="Times New Roman" w:hAnsi="Times New Roman"/>
                <w:szCs w:val="21"/>
              </w:rPr>
            </w:pPr>
            <w:r>
              <w:rPr>
                <w:rFonts w:ascii="Times New Roman" w:hAnsi="Times New Roman"/>
                <w:szCs w:val="21"/>
              </w:rPr>
              <w:t>（2）作业本规范，书写清晰；</w:t>
            </w:r>
          </w:p>
          <w:p w14:paraId="7C4F5BF3">
            <w:pPr>
              <w:spacing w:line="276" w:lineRule="auto"/>
              <w:rPr>
                <w:rFonts w:ascii="Times New Roman" w:hAnsi="Times New Roman"/>
                <w:szCs w:val="21"/>
              </w:rPr>
            </w:pPr>
            <w:r>
              <w:rPr>
                <w:rFonts w:ascii="Times New Roman" w:hAnsi="Times New Roman"/>
                <w:szCs w:val="21"/>
              </w:rPr>
              <w:t>（3）解题方法和步骤正确。</w:t>
            </w:r>
          </w:p>
          <w:p w14:paraId="0B877510">
            <w:pPr>
              <w:spacing w:line="276" w:lineRule="auto"/>
              <w:rPr>
                <w:rFonts w:ascii="Times New Roman" w:hAnsi="Times New Roman"/>
                <w:szCs w:val="21"/>
              </w:rPr>
            </w:pPr>
            <w:r>
              <w:rPr>
                <w:rFonts w:ascii="Times New Roman" w:hAnsi="Times New Roman"/>
                <w:szCs w:val="21"/>
              </w:rPr>
              <w:t>教师批改或讲评作业要求如下：</w:t>
            </w:r>
          </w:p>
          <w:p w14:paraId="66A29CFC">
            <w:pPr>
              <w:spacing w:line="276" w:lineRule="auto"/>
              <w:rPr>
                <w:rFonts w:ascii="Times New Roman" w:hAnsi="Times New Roman"/>
                <w:szCs w:val="21"/>
              </w:rPr>
            </w:pPr>
            <w:r>
              <w:rPr>
                <w:rFonts w:ascii="Times New Roman" w:hAnsi="Times New Roman"/>
                <w:szCs w:val="21"/>
              </w:rPr>
              <w:t>（1）学生的作业要全批全改，并按时批改、讲评学生每次交来的作业；</w:t>
            </w:r>
          </w:p>
          <w:p w14:paraId="076D55E7">
            <w:pPr>
              <w:spacing w:line="276" w:lineRule="auto"/>
              <w:rPr>
                <w:rFonts w:ascii="Times New Roman" w:hAnsi="Times New Roman"/>
                <w:szCs w:val="21"/>
              </w:rPr>
            </w:pPr>
            <w:r>
              <w:rPr>
                <w:rFonts w:ascii="Times New Roman" w:hAnsi="Times New Roman"/>
                <w:szCs w:val="21"/>
              </w:rPr>
              <w:t>（2）教师批改或讲评作业要认真、细致，每次批改或讲评作业后，按百分制评定成绩，并写明日期；</w:t>
            </w:r>
          </w:p>
          <w:p w14:paraId="0885370B">
            <w:pPr>
              <w:rPr>
                <w:rFonts w:ascii="Times New Roman" w:hAnsi="Times New Roman"/>
                <w:szCs w:val="21"/>
              </w:rPr>
            </w:pPr>
            <w:r>
              <w:rPr>
                <w:rFonts w:ascii="Times New Roman" w:hAnsi="Times New Roman"/>
                <w:szCs w:val="21"/>
              </w:rPr>
              <w:t>（3）期末按每个学生作业的平均成绩，作为本课程总评成绩中平时成绩的重要组成部分。</w:t>
            </w:r>
          </w:p>
        </w:tc>
      </w:tr>
      <w:tr w14:paraId="6E5E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4065466">
            <w:pPr>
              <w:jc w:val="center"/>
              <w:rPr>
                <w:rFonts w:ascii="Times New Roman" w:hAnsi="Times New Roman"/>
                <w:szCs w:val="21"/>
              </w:rPr>
            </w:pPr>
            <w:r>
              <w:rPr>
                <w:rFonts w:ascii="Times New Roman" w:hAnsi="Times New Roman"/>
                <w:szCs w:val="21"/>
              </w:rPr>
              <w:t>4</w:t>
            </w:r>
          </w:p>
        </w:tc>
        <w:tc>
          <w:tcPr>
            <w:tcW w:w="1691" w:type="dxa"/>
            <w:tcMar>
              <w:left w:w="28" w:type="dxa"/>
              <w:right w:w="28" w:type="dxa"/>
            </w:tcMar>
            <w:vAlign w:val="center"/>
          </w:tcPr>
          <w:p w14:paraId="21E08C39">
            <w:pPr>
              <w:jc w:val="center"/>
              <w:rPr>
                <w:rFonts w:ascii="Times New Roman" w:hAnsi="Times New Roman"/>
                <w:szCs w:val="21"/>
              </w:rPr>
            </w:pPr>
            <w:r>
              <w:rPr>
                <w:rFonts w:ascii="Times New Roman" w:hAnsi="Times New Roman"/>
                <w:szCs w:val="21"/>
              </w:rPr>
              <w:t>课外答疑</w:t>
            </w:r>
          </w:p>
        </w:tc>
        <w:tc>
          <w:tcPr>
            <w:tcW w:w="6773" w:type="dxa"/>
            <w:tcBorders>
              <w:right w:val="single" w:color="auto" w:sz="8" w:space="0"/>
            </w:tcBorders>
            <w:vAlign w:val="center"/>
          </w:tcPr>
          <w:p w14:paraId="3E701EE7">
            <w:pPr>
              <w:rPr>
                <w:rFonts w:ascii="Times New Roman" w:hAnsi="Times New Roman"/>
                <w:szCs w:val="21"/>
              </w:rPr>
            </w:pPr>
            <w:r>
              <w:rPr>
                <w:rFonts w:ascii="Times New Roman" w:hAnsi="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12D6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692DDE4">
            <w:pPr>
              <w:jc w:val="center"/>
              <w:rPr>
                <w:rFonts w:ascii="Times New Roman" w:hAnsi="Times New Roman"/>
                <w:szCs w:val="21"/>
              </w:rPr>
            </w:pPr>
            <w:r>
              <w:rPr>
                <w:rFonts w:ascii="Times New Roman" w:hAnsi="Times New Roman"/>
                <w:szCs w:val="21"/>
              </w:rPr>
              <w:t>5</w:t>
            </w:r>
          </w:p>
        </w:tc>
        <w:tc>
          <w:tcPr>
            <w:tcW w:w="1691" w:type="dxa"/>
            <w:tcMar>
              <w:left w:w="28" w:type="dxa"/>
              <w:right w:w="28" w:type="dxa"/>
            </w:tcMar>
            <w:vAlign w:val="center"/>
          </w:tcPr>
          <w:p w14:paraId="3B57334B">
            <w:pPr>
              <w:jc w:val="center"/>
              <w:rPr>
                <w:rFonts w:ascii="Times New Roman" w:hAnsi="Times New Roman"/>
                <w:szCs w:val="21"/>
              </w:rPr>
            </w:pPr>
            <w:r>
              <w:rPr>
                <w:rFonts w:ascii="Times New Roman" w:hAnsi="Times New Roman"/>
                <w:szCs w:val="21"/>
              </w:rPr>
              <w:t>成绩考核</w:t>
            </w:r>
          </w:p>
        </w:tc>
        <w:tc>
          <w:tcPr>
            <w:tcW w:w="6773" w:type="dxa"/>
            <w:tcBorders>
              <w:right w:val="single" w:color="auto" w:sz="8" w:space="0"/>
            </w:tcBorders>
            <w:vAlign w:val="center"/>
          </w:tcPr>
          <w:p w14:paraId="1B579851">
            <w:pPr>
              <w:rPr>
                <w:rFonts w:ascii="Times New Roman" w:hAnsi="Times New Roman"/>
              </w:rPr>
            </w:pPr>
            <w:r>
              <w:rPr>
                <w:rFonts w:ascii="Times New Roman" w:hAnsi="Times New Roman"/>
              </w:rPr>
              <w:t>本课程考核的方式：考试。考试试卷采取抽卷形式，统一安排监考。总评成绩的评定见课程评分方案。有下列情况之一者，总评成绩为不及格：</w:t>
            </w:r>
          </w:p>
          <w:p w14:paraId="0A7B2DA0">
            <w:pPr>
              <w:rPr>
                <w:rFonts w:ascii="Times New Roman" w:hAnsi="Times New Roman"/>
              </w:rPr>
            </w:pPr>
            <w:r>
              <w:rPr>
                <w:rFonts w:ascii="Times New Roman" w:hAnsi="Times New Roman"/>
                <w:szCs w:val="21"/>
              </w:rPr>
              <w:t>（1）</w:t>
            </w:r>
            <w:r>
              <w:rPr>
                <w:rFonts w:ascii="Times New Roman" w:hAnsi="Times New Roman"/>
              </w:rPr>
              <w:t>缺交作业次数达1/3以上者；</w:t>
            </w:r>
          </w:p>
          <w:p w14:paraId="32921091">
            <w:pPr>
              <w:rPr>
                <w:rFonts w:ascii="Times New Roman" w:hAnsi="Times New Roman"/>
              </w:rPr>
            </w:pPr>
            <w:r>
              <w:rPr>
                <w:rFonts w:ascii="Times New Roman" w:hAnsi="Times New Roman"/>
                <w:szCs w:val="21"/>
              </w:rPr>
              <w:t>（2）</w:t>
            </w:r>
            <w:r>
              <w:rPr>
                <w:rFonts w:ascii="Times New Roman" w:hAnsi="Times New Roman"/>
              </w:rPr>
              <w:t>缺课次数达本学期总授课学时的1/3以上者。</w:t>
            </w:r>
          </w:p>
          <w:p w14:paraId="2892626B">
            <w:pPr>
              <w:rPr>
                <w:rFonts w:ascii="Times New Roman" w:hAnsi="Times New Roman"/>
                <w:szCs w:val="21"/>
              </w:rPr>
            </w:pPr>
          </w:p>
        </w:tc>
      </w:tr>
    </w:tbl>
    <w:p w14:paraId="47C35793">
      <w:pPr>
        <w:spacing w:line="360" w:lineRule="auto"/>
        <w:ind w:firstLine="562" w:firstLineChars="200"/>
        <w:rPr>
          <w:rFonts w:ascii="Times New Roman" w:hAnsi="Times New Roman"/>
          <w:b/>
          <w:sz w:val="28"/>
          <w:szCs w:val="28"/>
        </w:rPr>
      </w:pPr>
      <w:r>
        <w:rPr>
          <w:rFonts w:ascii="Times New Roman" w:hAnsi="Times New Roman"/>
          <w:b/>
          <w:sz w:val="28"/>
          <w:szCs w:val="28"/>
        </w:rPr>
        <w:t>五、课程考核</w:t>
      </w:r>
    </w:p>
    <w:p w14:paraId="2C038C81">
      <w:pPr>
        <w:spacing w:line="360" w:lineRule="auto"/>
        <w:ind w:firstLine="480" w:firstLineChars="200"/>
        <w:rPr>
          <w:rFonts w:ascii="Times New Roman" w:hAnsi="Times New Roman"/>
          <w:sz w:val="24"/>
        </w:rPr>
      </w:pPr>
      <w:r>
        <w:rPr>
          <w:rFonts w:ascii="Times New Roman" w:hAnsi="Times New Roman"/>
          <w:sz w:val="24"/>
        </w:rPr>
        <w:t>（一）课程考核包括期末考试、平时及作业考核等，期末考试采用闭卷考试方式。</w:t>
      </w:r>
    </w:p>
    <w:p w14:paraId="1F31EC22">
      <w:pPr>
        <w:spacing w:line="360" w:lineRule="auto"/>
        <w:ind w:firstLine="480" w:firstLineChars="200"/>
        <w:rPr>
          <w:rFonts w:ascii="Times New Roman" w:hAnsi="Times New Roman"/>
          <w:sz w:val="24"/>
        </w:rPr>
      </w:pPr>
      <w:r>
        <w:rPr>
          <w:rFonts w:ascii="Times New Roman" w:hAnsi="Times New Roman"/>
          <w:sz w:val="24"/>
        </w:rPr>
        <w:t>（二）课程总评成绩=出勤情况成绩×10% +师生互动成绩×10% +作业成绩×30%+期末考试成绩×50%。具体内容和比例如表所示。</w:t>
      </w:r>
    </w:p>
    <w:tbl>
      <w:tblPr>
        <w:tblStyle w:val="13"/>
        <w:tblW w:w="9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581"/>
        <w:gridCol w:w="1037"/>
        <w:gridCol w:w="4030"/>
        <w:gridCol w:w="1429"/>
      </w:tblGrid>
      <w:tr w14:paraId="36DA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117"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593CA1D4">
            <w:pPr>
              <w:pStyle w:val="12"/>
              <w:spacing w:line="360" w:lineRule="auto"/>
              <w:jc w:val="center"/>
              <w:rPr>
                <w:rFonts w:ascii="Times New Roman" w:hAnsi="Times New Roman"/>
              </w:rPr>
            </w:pPr>
            <w:r>
              <w:rPr>
                <w:rFonts w:ascii="Times New Roman" w:hAnsi="Times New Roman"/>
                <w:sz w:val="21"/>
                <w:lang w:bidi="ar"/>
              </w:rPr>
              <w:t>成绩组成</w:t>
            </w:r>
          </w:p>
        </w:tc>
        <w:tc>
          <w:tcPr>
            <w:tcW w:w="1581" w:type="dxa"/>
            <w:tcBorders>
              <w:top w:val="single" w:color="auto" w:sz="4" w:space="0"/>
              <w:left w:val="single" w:color="auto" w:sz="4" w:space="0"/>
              <w:bottom w:val="single" w:color="auto" w:sz="4" w:space="0"/>
              <w:right w:val="single" w:color="auto" w:sz="4" w:space="0"/>
            </w:tcBorders>
            <w:shd w:val="clear" w:color="auto" w:fill="FFFFFF"/>
            <w:vAlign w:val="center"/>
          </w:tcPr>
          <w:p w14:paraId="061914D1">
            <w:pPr>
              <w:pStyle w:val="12"/>
              <w:spacing w:line="360" w:lineRule="auto"/>
              <w:jc w:val="center"/>
              <w:rPr>
                <w:rFonts w:ascii="Times New Roman" w:hAnsi="Times New Roman"/>
              </w:rPr>
            </w:pPr>
            <w:r>
              <w:rPr>
                <w:rFonts w:ascii="Times New Roman" w:hAnsi="Times New Roman"/>
                <w:sz w:val="21"/>
                <w:lang w:bidi="ar"/>
              </w:rPr>
              <w:t>考核/评价环节</w:t>
            </w:r>
          </w:p>
        </w:tc>
        <w:tc>
          <w:tcPr>
            <w:tcW w:w="1037" w:type="dxa"/>
            <w:tcBorders>
              <w:top w:val="single" w:color="auto" w:sz="4" w:space="0"/>
              <w:left w:val="single" w:color="auto" w:sz="4" w:space="0"/>
              <w:bottom w:val="single" w:color="auto" w:sz="4" w:space="0"/>
              <w:right w:val="single" w:color="auto" w:sz="4" w:space="0"/>
            </w:tcBorders>
            <w:shd w:val="clear" w:color="auto" w:fill="FFFFFF"/>
            <w:vAlign w:val="center"/>
          </w:tcPr>
          <w:p w14:paraId="0B403E64">
            <w:pPr>
              <w:pStyle w:val="12"/>
              <w:spacing w:line="360" w:lineRule="auto"/>
              <w:jc w:val="center"/>
              <w:rPr>
                <w:rFonts w:ascii="Times New Roman" w:hAnsi="Times New Roman"/>
              </w:rPr>
            </w:pPr>
            <w:r>
              <w:rPr>
                <w:rFonts w:ascii="Times New Roman" w:hAnsi="Times New Roman"/>
                <w:sz w:val="21"/>
                <w:lang w:bidi="ar"/>
              </w:rPr>
              <w:t>权重</w:t>
            </w:r>
          </w:p>
        </w:tc>
        <w:tc>
          <w:tcPr>
            <w:tcW w:w="4030" w:type="dxa"/>
            <w:tcBorders>
              <w:top w:val="single" w:color="auto" w:sz="4" w:space="0"/>
              <w:left w:val="single" w:color="auto" w:sz="4" w:space="0"/>
              <w:bottom w:val="single" w:color="auto" w:sz="4" w:space="0"/>
              <w:right w:val="single" w:color="auto" w:sz="4" w:space="0"/>
            </w:tcBorders>
            <w:shd w:val="clear" w:color="auto" w:fill="FFFFFF"/>
            <w:vAlign w:val="center"/>
          </w:tcPr>
          <w:p w14:paraId="3AA6391A">
            <w:pPr>
              <w:pStyle w:val="12"/>
              <w:spacing w:line="360" w:lineRule="auto"/>
              <w:jc w:val="center"/>
              <w:rPr>
                <w:rFonts w:ascii="Times New Roman" w:hAnsi="Times New Roman"/>
              </w:rPr>
            </w:pPr>
            <w:r>
              <w:rPr>
                <w:rFonts w:ascii="Times New Roman" w:hAnsi="Times New Roman"/>
                <w:sz w:val="21"/>
                <w:lang w:bidi="ar"/>
              </w:rPr>
              <w:t>考核/评价细则</w:t>
            </w:r>
          </w:p>
        </w:tc>
        <w:tc>
          <w:tcPr>
            <w:tcW w:w="1429" w:type="dxa"/>
            <w:tcBorders>
              <w:top w:val="single" w:color="auto" w:sz="4" w:space="0"/>
              <w:left w:val="single" w:color="auto" w:sz="4" w:space="0"/>
              <w:bottom w:val="single" w:color="auto" w:sz="4" w:space="0"/>
              <w:right w:val="single" w:color="auto" w:sz="4" w:space="0"/>
            </w:tcBorders>
            <w:shd w:val="clear" w:color="auto" w:fill="FFFFFF"/>
            <w:vAlign w:val="center"/>
          </w:tcPr>
          <w:p w14:paraId="15E96BD2">
            <w:pPr>
              <w:pStyle w:val="12"/>
              <w:spacing w:line="360" w:lineRule="auto"/>
              <w:jc w:val="center"/>
              <w:rPr>
                <w:rFonts w:ascii="Times New Roman" w:hAnsi="Times New Roman"/>
              </w:rPr>
            </w:pPr>
            <w:r>
              <w:rPr>
                <w:rFonts w:ascii="Times New Roman" w:hAnsi="Times New Roman"/>
                <w:sz w:val="21"/>
                <w:lang w:bidi="ar"/>
              </w:rPr>
              <w:t>对应的毕业要求指标点</w:t>
            </w:r>
          </w:p>
        </w:tc>
      </w:tr>
      <w:tr w14:paraId="2E46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117" w:type="dxa"/>
            <w:vMerge w:val="restart"/>
            <w:tcBorders>
              <w:top w:val="single" w:color="auto" w:sz="4" w:space="0"/>
              <w:left w:val="single" w:color="auto" w:sz="4" w:space="0"/>
              <w:right w:val="single" w:color="auto" w:sz="4" w:space="0"/>
            </w:tcBorders>
            <w:tcMar>
              <w:left w:w="57" w:type="dxa"/>
              <w:right w:w="57" w:type="dxa"/>
            </w:tcMar>
            <w:vAlign w:val="center"/>
          </w:tcPr>
          <w:p w14:paraId="675D018B">
            <w:pPr>
              <w:pStyle w:val="12"/>
              <w:spacing w:line="360" w:lineRule="auto"/>
              <w:jc w:val="center"/>
              <w:rPr>
                <w:rFonts w:ascii="Times New Roman" w:hAnsi="Times New Roman"/>
                <w:sz w:val="21"/>
                <w:lang w:bidi="ar"/>
              </w:rPr>
            </w:pPr>
            <w:r>
              <w:rPr>
                <w:rFonts w:ascii="Times New Roman" w:hAnsi="Times New Roman"/>
                <w:sz w:val="21"/>
                <w:lang w:bidi="ar"/>
              </w:rPr>
              <w:t>平时</w:t>
            </w:r>
          </w:p>
          <w:p w14:paraId="7611221C">
            <w:pPr>
              <w:pStyle w:val="12"/>
              <w:spacing w:line="360" w:lineRule="auto"/>
              <w:jc w:val="center"/>
              <w:rPr>
                <w:rFonts w:ascii="Times New Roman" w:hAnsi="Times New Roman"/>
              </w:rPr>
            </w:pPr>
            <w:r>
              <w:rPr>
                <w:rFonts w:ascii="Times New Roman" w:hAnsi="Times New Roman"/>
                <w:sz w:val="21"/>
                <w:lang w:bidi="ar"/>
              </w:rPr>
              <w:t>成绩</w:t>
            </w:r>
          </w:p>
        </w:tc>
        <w:tc>
          <w:tcPr>
            <w:tcW w:w="1581" w:type="dxa"/>
            <w:tcBorders>
              <w:top w:val="single" w:color="auto" w:sz="4" w:space="0"/>
              <w:left w:val="single" w:color="auto" w:sz="4" w:space="0"/>
              <w:bottom w:val="single" w:color="auto" w:sz="4" w:space="0"/>
              <w:right w:val="single" w:color="auto" w:sz="4" w:space="0"/>
            </w:tcBorders>
            <w:vAlign w:val="center"/>
          </w:tcPr>
          <w:p w14:paraId="0A568C9A">
            <w:pPr>
              <w:pStyle w:val="12"/>
              <w:spacing w:line="360" w:lineRule="auto"/>
              <w:jc w:val="center"/>
              <w:rPr>
                <w:rFonts w:ascii="Times New Roman" w:hAnsi="Times New Roman"/>
              </w:rPr>
            </w:pPr>
            <w:r>
              <w:rPr>
                <w:rFonts w:ascii="Times New Roman" w:hAnsi="Times New Roman"/>
                <w:sz w:val="21"/>
                <w:lang w:bidi="ar"/>
              </w:rPr>
              <w:t>出勤情况</w:t>
            </w:r>
          </w:p>
        </w:tc>
        <w:tc>
          <w:tcPr>
            <w:tcW w:w="1037" w:type="dxa"/>
            <w:tcBorders>
              <w:top w:val="single" w:color="auto" w:sz="4" w:space="0"/>
              <w:left w:val="single" w:color="auto" w:sz="4" w:space="0"/>
              <w:bottom w:val="single" w:color="auto" w:sz="4" w:space="0"/>
              <w:right w:val="single" w:color="auto" w:sz="4" w:space="0"/>
            </w:tcBorders>
            <w:vAlign w:val="center"/>
          </w:tcPr>
          <w:p w14:paraId="355CB04F">
            <w:pPr>
              <w:pStyle w:val="12"/>
              <w:spacing w:line="360" w:lineRule="auto"/>
              <w:jc w:val="center"/>
              <w:rPr>
                <w:rFonts w:ascii="Times New Roman" w:hAnsi="Times New Roman"/>
              </w:rPr>
            </w:pPr>
            <w:r>
              <w:rPr>
                <w:rFonts w:ascii="Times New Roman" w:hAnsi="Times New Roman"/>
                <w:sz w:val="21"/>
              </w:rPr>
              <w:t>10%</w:t>
            </w:r>
          </w:p>
        </w:tc>
        <w:tc>
          <w:tcPr>
            <w:tcW w:w="4030" w:type="dxa"/>
            <w:tcBorders>
              <w:top w:val="single" w:color="auto" w:sz="4" w:space="0"/>
              <w:left w:val="single" w:color="auto" w:sz="4" w:space="0"/>
              <w:bottom w:val="single" w:color="auto" w:sz="4" w:space="0"/>
              <w:right w:val="single" w:color="auto" w:sz="4" w:space="0"/>
            </w:tcBorders>
            <w:vAlign w:val="center"/>
          </w:tcPr>
          <w:p w14:paraId="3FE4A1AA">
            <w:pPr>
              <w:spacing w:line="360" w:lineRule="auto"/>
              <w:jc w:val="left"/>
              <w:rPr>
                <w:rFonts w:ascii="Times New Roman" w:hAnsi="Times New Roman"/>
              </w:rPr>
            </w:pPr>
            <w:r>
              <w:rPr>
                <w:rFonts w:ascii="Times New Roman" w:hAnsi="Times New Roman"/>
                <w:lang w:bidi="ar"/>
              </w:rPr>
              <w:t>课堂不定期点名，考核出勤情况并打分。</w:t>
            </w:r>
          </w:p>
        </w:tc>
        <w:tc>
          <w:tcPr>
            <w:tcW w:w="1429" w:type="dxa"/>
            <w:tcBorders>
              <w:top w:val="single" w:color="auto" w:sz="4" w:space="0"/>
              <w:left w:val="single" w:color="auto" w:sz="4" w:space="0"/>
              <w:right w:val="single" w:color="auto" w:sz="4" w:space="0"/>
            </w:tcBorders>
            <w:vAlign w:val="center"/>
          </w:tcPr>
          <w:p w14:paraId="411ABDDD">
            <w:pPr>
              <w:pStyle w:val="34"/>
              <w:jc w:val="center"/>
              <w:rPr>
                <w:szCs w:val="21"/>
              </w:rPr>
            </w:pPr>
            <w:r>
              <w:rPr>
                <w:rFonts w:eastAsia="宋体"/>
                <w:color w:val="000000"/>
                <w:szCs w:val="21"/>
              </w:rPr>
              <w:t xml:space="preserve"> </w:t>
            </w:r>
            <w:r>
              <w:rPr>
                <w:szCs w:val="21"/>
              </w:rPr>
              <w:t>3-1</w:t>
            </w:r>
            <w:r>
              <w:rPr>
                <w:color w:val="000000"/>
                <w:szCs w:val="21"/>
              </w:rPr>
              <w:t>、</w:t>
            </w:r>
            <w:r>
              <w:rPr>
                <w:szCs w:val="21"/>
              </w:rPr>
              <w:t>3-2</w:t>
            </w:r>
          </w:p>
          <w:p w14:paraId="39F2AF96">
            <w:pPr>
              <w:pStyle w:val="12"/>
              <w:spacing w:line="360" w:lineRule="auto"/>
              <w:jc w:val="center"/>
              <w:rPr>
                <w:rFonts w:ascii="Times New Roman" w:hAnsi="Times New Roman"/>
                <w:sz w:val="21"/>
                <w:szCs w:val="21"/>
              </w:rPr>
            </w:pPr>
            <w:r>
              <w:rPr>
                <w:rFonts w:ascii="Times New Roman" w:hAnsi="Times New Roman"/>
                <w:sz w:val="21"/>
                <w:szCs w:val="21"/>
              </w:rPr>
              <w:t>6-2</w:t>
            </w:r>
          </w:p>
        </w:tc>
      </w:tr>
      <w:tr w14:paraId="605F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1117" w:type="dxa"/>
            <w:vMerge w:val="continue"/>
            <w:tcBorders>
              <w:left w:val="single" w:color="auto" w:sz="4" w:space="0"/>
              <w:right w:val="single" w:color="auto" w:sz="4" w:space="0"/>
            </w:tcBorders>
            <w:tcMar>
              <w:left w:w="57" w:type="dxa"/>
              <w:right w:w="57" w:type="dxa"/>
            </w:tcMar>
            <w:vAlign w:val="center"/>
          </w:tcPr>
          <w:p w14:paraId="703F83E5">
            <w:pPr>
              <w:spacing w:line="360" w:lineRule="auto"/>
              <w:rPr>
                <w:rFonts w:ascii="Times New Roman" w:hAnsi="Times New Roman"/>
                <w:sz w:val="20"/>
                <w:szCs w:val="20"/>
              </w:rPr>
            </w:pPr>
          </w:p>
        </w:tc>
        <w:tc>
          <w:tcPr>
            <w:tcW w:w="1581" w:type="dxa"/>
            <w:tcBorders>
              <w:top w:val="single" w:color="auto" w:sz="4" w:space="0"/>
              <w:left w:val="single" w:color="auto" w:sz="4" w:space="0"/>
              <w:bottom w:val="single" w:color="auto" w:sz="4" w:space="0"/>
              <w:right w:val="single" w:color="auto" w:sz="4" w:space="0"/>
            </w:tcBorders>
            <w:vAlign w:val="center"/>
          </w:tcPr>
          <w:p w14:paraId="4FB3D85C">
            <w:pPr>
              <w:pStyle w:val="12"/>
              <w:spacing w:line="360" w:lineRule="auto"/>
              <w:jc w:val="center"/>
              <w:rPr>
                <w:rFonts w:ascii="Times New Roman" w:hAnsi="Times New Roman"/>
              </w:rPr>
            </w:pPr>
            <w:r>
              <w:rPr>
                <w:rFonts w:ascii="Times New Roman" w:hAnsi="Times New Roman"/>
                <w:sz w:val="21"/>
                <w:lang w:bidi="ar"/>
              </w:rPr>
              <w:t>师生互动</w:t>
            </w:r>
          </w:p>
        </w:tc>
        <w:tc>
          <w:tcPr>
            <w:tcW w:w="1037" w:type="dxa"/>
            <w:tcBorders>
              <w:top w:val="single" w:color="auto" w:sz="4" w:space="0"/>
              <w:left w:val="single" w:color="auto" w:sz="4" w:space="0"/>
              <w:bottom w:val="single" w:color="auto" w:sz="4" w:space="0"/>
              <w:right w:val="single" w:color="auto" w:sz="4" w:space="0"/>
            </w:tcBorders>
            <w:vAlign w:val="center"/>
          </w:tcPr>
          <w:p w14:paraId="4180181D">
            <w:pPr>
              <w:spacing w:line="360" w:lineRule="auto"/>
              <w:jc w:val="center"/>
              <w:rPr>
                <w:rFonts w:ascii="Times New Roman" w:hAnsi="Times New Roman"/>
                <w:sz w:val="20"/>
                <w:szCs w:val="20"/>
              </w:rPr>
            </w:pPr>
            <w:r>
              <w:rPr>
                <w:rFonts w:ascii="Times New Roman" w:hAnsi="Times New Roman"/>
              </w:rPr>
              <w:t>10%</w:t>
            </w:r>
          </w:p>
        </w:tc>
        <w:tc>
          <w:tcPr>
            <w:tcW w:w="4030" w:type="dxa"/>
            <w:tcBorders>
              <w:top w:val="single" w:color="auto" w:sz="4" w:space="0"/>
              <w:left w:val="single" w:color="auto" w:sz="4" w:space="0"/>
              <w:bottom w:val="single" w:color="auto" w:sz="4" w:space="0"/>
              <w:right w:val="single" w:color="auto" w:sz="4" w:space="0"/>
            </w:tcBorders>
            <w:vAlign w:val="center"/>
          </w:tcPr>
          <w:p w14:paraId="6A29F071">
            <w:pPr>
              <w:jc w:val="left"/>
              <w:rPr>
                <w:rFonts w:ascii="Times New Roman" w:hAnsi="Times New Roman"/>
              </w:rPr>
            </w:pPr>
            <w:r>
              <w:rPr>
                <w:rFonts w:ascii="Times New Roman" w:hAnsi="Times New Roman"/>
              </w:rPr>
              <w:t>课堂不定期通过提问或小练习实施师生互动，考核考核学生课堂学习情况，按照互动情况打分。</w:t>
            </w:r>
          </w:p>
        </w:tc>
        <w:tc>
          <w:tcPr>
            <w:tcW w:w="1429" w:type="dxa"/>
            <w:tcBorders>
              <w:left w:val="single" w:color="auto" w:sz="4" w:space="0"/>
              <w:right w:val="single" w:color="auto" w:sz="4" w:space="0"/>
            </w:tcBorders>
            <w:vAlign w:val="center"/>
          </w:tcPr>
          <w:p w14:paraId="65FA0C12">
            <w:pPr>
              <w:pStyle w:val="34"/>
              <w:jc w:val="center"/>
              <w:rPr>
                <w:szCs w:val="21"/>
              </w:rPr>
            </w:pPr>
            <w:r>
              <w:rPr>
                <w:rFonts w:eastAsia="宋体"/>
                <w:color w:val="000000"/>
                <w:szCs w:val="21"/>
              </w:rPr>
              <w:t xml:space="preserve"> </w:t>
            </w:r>
            <w:r>
              <w:rPr>
                <w:szCs w:val="21"/>
              </w:rPr>
              <w:t>3-1</w:t>
            </w:r>
            <w:r>
              <w:rPr>
                <w:color w:val="000000"/>
                <w:szCs w:val="21"/>
              </w:rPr>
              <w:t>、</w:t>
            </w:r>
            <w:r>
              <w:rPr>
                <w:szCs w:val="21"/>
              </w:rPr>
              <w:t>3-2</w:t>
            </w:r>
          </w:p>
          <w:p w14:paraId="44ADF365">
            <w:pPr>
              <w:spacing w:line="360" w:lineRule="auto"/>
              <w:jc w:val="center"/>
              <w:rPr>
                <w:rFonts w:ascii="Times New Roman" w:hAnsi="Times New Roman"/>
                <w:szCs w:val="21"/>
              </w:rPr>
            </w:pPr>
            <w:r>
              <w:rPr>
                <w:rFonts w:ascii="Times New Roman" w:hAnsi="Times New Roman"/>
                <w:szCs w:val="21"/>
              </w:rPr>
              <w:t>6-2</w:t>
            </w:r>
          </w:p>
        </w:tc>
      </w:tr>
      <w:tr w14:paraId="618C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117" w:type="dxa"/>
            <w:vMerge w:val="continue"/>
            <w:tcBorders>
              <w:left w:val="single" w:color="auto" w:sz="4" w:space="0"/>
              <w:bottom w:val="single" w:color="auto" w:sz="4" w:space="0"/>
              <w:right w:val="single" w:color="auto" w:sz="4" w:space="0"/>
            </w:tcBorders>
            <w:tcMar>
              <w:left w:w="57" w:type="dxa"/>
              <w:right w:w="57" w:type="dxa"/>
            </w:tcMar>
            <w:vAlign w:val="center"/>
          </w:tcPr>
          <w:p w14:paraId="3EBD6BF6">
            <w:pPr>
              <w:spacing w:line="360" w:lineRule="auto"/>
              <w:rPr>
                <w:rFonts w:ascii="Times New Roman" w:hAnsi="Times New Roman"/>
                <w:sz w:val="20"/>
                <w:szCs w:val="20"/>
              </w:rPr>
            </w:pPr>
          </w:p>
        </w:tc>
        <w:tc>
          <w:tcPr>
            <w:tcW w:w="1581" w:type="dxa"/>
            <w:tcBorders>
              <w:top w:val="single" w:color="auto" w:sz="4" w:space="0"/>
              <w:left w:val="single" w:color="auto" w:sz="4" w:space="0"/>
              <w:bottom w:val="single" w:color="auto" w:sz="4" w:space="0"/>
              <w:right w:val="single" w:color="auto" w:sz="4" w:space="0"/>
            </w:tcBorders>
            <w:vAlign w:val="center"/>
          </w:tcPr>
          <w:p w14:paraId="03E39B4E">
            <w:pPr>
              <w:pStyle w:val="12"/>
              <w:spacing w:line="360" w:lineRule="auto"/>
              <w:jc w:val="center"/>
              <w:rPr>
                <w:rFonts w:ascii="Times New Roman" w:hAnsi="Times New Roman"/>
                <w:sz w:val="21"/>
                <w:lang w:bidi="ar"/>
              </w:rPr>
            </w:pPr>
            <w:r>
              <w:rPr>
                <w:rFonts w:ascii="Times New Roman" w:hAnsi="Times New Roman"/>
                <w:sz w:val="21"/>
                <w:lang w:bidi="ar"/>
              </w:rPr>
              <w:t>平时作业</w:t>
            </w:r>
          </w:p>
        </w:tc>
        <w:tc>
          <w:tcPr>
            <w:tcW w:w="1037" w:type="dxa"/>
            <w:tcBorders>
              <w:top w:val="single" w:color="auto" w:sz="4" w:space="0"/>
              <w:left w:val="single" w:color="auto" w:sz="4" w:space="0"/>
              <w:bottom w:val="single" w:color="auto" w:sz="4" w:space="0"/>
              <w:right w:val="single" w:color="auto" w:sz="4" w:space="0"/>
            </w:tcBorders>
            <w:vAlign w:val="center"/>
          </w:tcPr>
          <w:p w14:paraId="4DC9B822">
            <w:pPr>
              <w:spacing w:line="360" w:lineRule="auto"/>
              <w:jc w:val="center"/>
              <w:rPr>
                <w:rFonts w:ascii="Times New Roman" w:hAnsi="Times New Roman"/>
                <w:sz w:val="20"/>
                <w:szCs w:val="20"/>
              </w:rPr>
            </w:pPr>
            <w:r>
              <w:rPr>
                <w:rFonts w:ascii="Times New Roman" w:hAnsi="Times New Roman"/>
                <w:sz w:val="20"/>
                <w:szCs w:val="20"/>
              </w:rPr>
              <w:t>30%</w:t>
            </w:r>
          </w:p>
        </w:tc>
        <w:tc>
          <w:tcPr>
            <w:tcW w:w="4030" w:type="dxa"/>
            <w:tcBorders>
              <w:top w:val="single" w:color="auto" w:sz="4" w:space="0"/>
              <w:left w:val="single" w:color="auto" w:sz="4" w:space="0"/>
              <w:bottom w:val="single" w:color="auto" w:sz="4" w:space="0"/>
              <w:right w:val="single" w:color="auto" w:sz="4" w:space="0"/>
            </w:tcBorders>
            <w:vAlign w:val="center"/>
          </w:tcPr>
          <w:p w14:paraId="4EA9BE0D">
            <w:pPr>
              <w:jc w:val="left"/>
              <w:rPr>
                <w:rFonts w:ascii="Times New Roman" w:hAnsi="Times New Roman"/>
                <w:lang w:bidi="ar"/>
              </w:rPr>
            </w:pPr>
            <w:r>
              <w:rPr>
                <w:rFonts w:ascii="Times New Roman" w:hAnsi="Times New Roman"/>
                <w:lang w:bidi="ar"/>
              </w:rPr>
              <w:t>定期布置习题，考核学生对所学知识点的复习、理解和掌握度。对作业完成情况做记录并百分制打分，计算作业的平均成绩。</w:t>
            </w:r>
          </w:p>
        </w:tc>
        <w:tc>
          <w:tcPr>
            <w:tcW w:w="1429" w:type="dxa"/>
            <w:tcBorders>
              <w:left w:val="single" w:color="auto" w:sz="4" w:space="0"/>
              <w:bottom w:val="single" w:color="auto" w:sz="4" w:space="0"/>
              <w:right w:val="single" w:color="auto" w:sz="4" w:space="0"/>
            </w:tcBorders>
            <w:vAlign w:val="center"/>
          </w:tcPr>
          <w:p w14:paraId="60ECE06C">
            <w:pPr>
              <w:pStyle w:val="34"/>
              <w:jc w:val="center"/>
              <w:rPr>
                <w:szCs w:val="21"/>
              </w:rPr>
            </w:pPr>
            <w:r>
              <w:rPr>
                <w:rFonts w:eastAsia="宋体"/>
                <w:color w:val="000000"/>
                <w:szCs w:val="21"/>
              </w:rPr>
              <w:t xml:space="preserve"> </w:t>
            </w:r>
            <w:r>
              <w:rPr>
                <w:szCs w:val="21"/>
              </w:rPr>
              <w:t>3-1</w:t>
            </w:r>
            <w:r>
              <w:rPr>
                <w:color w:val="000000"/>
                <w:szCs w:val="21"/>
              </w:rPr>
              <w:t>、</w:t>
            </w:r>
            <w:r>
              <w:rPr>
                <w:szCs w:val="21"/>
              </w:rPr>
              <w:t>3-2</w:t>
            </w:r>
          </w:p>
          <w:p w14:paraId="7A6A780E">
            <w:pPr>
              <w:spacing w:line="360" w:lineRule="auto"/>
              <w:jc w:val="center"/>
              <w:rPr>
                <w:rFonts w:ascii="Times New Roman" w:hAnsi="Times New Roman"/>
                <w:szCs w:val="21"/>
              </w:rPr>
            </w:pPr>
            <w:r>
              <w:rPr>
                <w:rFonts w:ascii="Times New Roman" w:hAnsi="Times New Roman"/>
                <w:szCs w:val="21"/>
              </w:rPr>
              <w:t>6-2</w:t>
            </w:r>
          </w:p>
        </w:tc>
      </w:tr>
      <w:tr w14:paraId="7982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117"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E23CE12">
            <w:pPr>
              <w:pStyle w:val="12"/>
              <w:spacing w:line="360" w:lineRule="auto"/>
              <w:jc w:val="center"/>
              <w:rPr>
                <w:rFonts w:ascii="Times New Roman" w:hAnsi="Times New Roman"/>
                <w:color w:val="FF0000"/>
              </w:rPr>
            </w:pPr>
            <w:r>
              <w:rPr>
                <w:rFonts w:ascii="Times New Roman" w:hAnsi="Times New Roman"/>
                <w:sz w:val="21"/>
                <w:lang w:bidi="ar"/>
              </w:rPr>
              <w:t>期末考试成绩</w:t>
            </w:r>
          </w:p>
        </w:tc>
        <w:tc>
          <w:tcPr>
            <w:tcW w:w="1581" w:type="dxa"/>
            <w:tcBorders>
              <w:top w:val="single" w:color="auto" w:sz="4" w:space="0"/>
              <w:left w:val="single" w:color="auto" w:sz="4" w:space="0"/>
              <w:bottom w:val="single" w:color="auto" w:sz="4" w:space="0"/>
              <w:right w:val="single" w:color="auto" w:sz="4" w:space="0"/>
            </w:tcBorders>
            <w:vAlign w:val="center"/>
          </w:tcPr>
          <w:p w14:paraId="6EA58943">
            <w:pPr>
              <w:pStyle w:val="12"/>
              <w:spacing w:line="360" w:lineRule="auto"/>
              <w:jc w:val="center"/>
              <w:rPr>
                <w:rFonts w:ascii="Times New Roman" w:hAnsi="Times New Roman"/>
              </w:rPr>
            </w:pPr>
            <w:r>
              <w:rPr>
                <w:rFonts w:ascii="Times New Roman" w:hAnsi="Times New Roman"/>
                <w:sz w:val="21"/>
                <w:lang w:bidi="ar"/>
              </w:rPr>
              <w:t>试卷考试</w:t>
            </w:r>
          </w:p>
        </w:tc>
        <w:tc>
          <w:tcPr>
            <w:tcW w:w="1037" w:type="dxa"/>
            <w:tcBorders>
              <w:top w:val="single" w:color="auto" w:sz="4" w:space="0"/>
              <w:left w:val="single" w:color="auto" w:sz="4" w:space="0"/>
              <w:bottom w:val="single" w:color="auto" w:sz="4" w:space="0"/>
              <w:right w:val="single" w:color="auto" w:sz="4" w:space="0"/>
            </w:tcBorders>
            <w:vAlign w:val="center"/>
          </w:tcPr>
          <w:p w14:paraId="5F8FD1F0">
            <w:pPr>
              <w:pStyle w:val="12"/>
              <w:spacing w:line="360" w:lineRule="auto"/>
              <w:jc w:val="center"/>
              <w:rPr>
                <w:rFonts w:ascii="Times New Roman" w:hAnsi="Times New Roman"/>
              </w:rPr>
            </w:pPr>
            <w:r>
              <w:rPr>
                <w:rFonts w:ascii="Times New Roman" w:hAnsi="Times New Roman"/>
                <w:sz w:val="21"/>
                <w:lang w:bidi="ar"/>
              </w:rPr>
              <w:t>50 %</w:t>
            </w:r>
          </w:p>
        </w:tc>
        <w:tc>
          <w:tcPr>
            <w:tcW w:w="4030" w:type="dxa"/>
            <w:tcBorders>
              <w:top w:val="single" w:color="auto" w:sz="4" w:space="0"/>
              <w:left w:val="single" w:color="auto" w:sz="4" w:space="0"/>
              <w:bottom w:val="single" w:color="auto" w:sz="4" w:space="0"/>
              <w:right w:val="single" w:color="auto" w:sz="4" w:space="0"/>
            </w:tcBorders>
            <w:vAlign w:val="center"/>
          </w:tcPr>
          <w:p w14:paraId="2B75D51B">
            <w:pPr>
              <w:spacing w:line="360" w:lineRule="auto"/>
              <w:jc w:val="left"/>
              <w:rPr>
                <w:rFonts w:ascii="Times New Roman" w:hAnsi="Times New Roman"/>
              </w:rPr>
            </w:pPr>
            <w:r>
              <w:rPr>
                <w:rFonts w:ascii="Times New Roman" w:hAnsi="Times New Roman"/>
                <w:lang w:bidi="ar"/>
              </w:rPr>
              <w:t>试卷题型包括选择题、计算题、解答题等。</w:t>
            </w:r>
          </w:p>
        </w:tc>
        <w:tc>
          <w:tcPr>
            <w:tcW w:w="1429" w:type="dxa"/>
            <w:tcBorders>
              <w:top w:val="single" w:color="auto" w:sz="4" w:space="0"/>
              <w:left w:val="single" w:color="auto" w:sz="4" w:space="0"/>
              <w:bottom w:val="single" w:color="auto" w:sz="4" w:space="0"/>
              <w:right w:val="single" w:color="auto" w:sz="4" w:space="0"/>
            </w:tcBorders>
            <w:vAlign w:val="center"/>
          </w:tcPr>
          <w:p w14:paraId="627D3C61">
            <w:pPr>
              <w:pStyle w:val="12"/>
              <w:spacing w:line="360" w:lineRule="auto"/>
              <w:jc w:val="center"/>
              <w:rPr>
                <w:rFonts w:ascii="Times New Roman" w:hAnsi="Times New Roman"/>
                <w:sz w:val="21"/>
                <w:szCs w:val="21"/>
              </w:rPr>
            </w:pPr>
            <w:r>
              <w:rPr>
                <w:rFonts w:ascii="Times New Roman" w:hAnsi="Times New Roman"/>
                <w:sz w:val="21"/>
                <w:szCs w:val="21"/>
              </w:rPr>
              <w:t xml:space="preserve">3-1、3-2 </w:t>
            </w:r>
          </w:p>
        </w:tc>
      </w:tr>
    </w:tbl>
    <w:p w14:paraId="1784E831">
      <w:pPr>
        <w:spacing w:line="360" w:lineRule="auto"/>
        <w:ind w:firstLine="562" w:firstLineChars="200"/>
        <w:rPr>
          <w:rFonts w:ascii="Times New Roman" w:hAnsi="Times New Roman"/>
          <w:b/>
          <w:sz w:val="28"/>
          <w:szCs w:val="28"/>
        </w:rPr>
      </w:pPr>
    </w:p>
    <w:p w14:paraId="60CC6110">
      <w:pPr>
        <w:spacing w:line="360" w:lineRule="auto"/>
        <w:ind w:firstLine="562" w:firstLineChars="200"/>
        <w:rPr>
          <w:rFonts w:ascii="Times New Roman" w:hAnsi="Times New Roman"/>
          <w:b/>
          <w:sz w:val="28"/>
          <w:szCs w:val="28"/>
        </w:rPr>
      </w:pPr>
      <w:r>
        <w:rPr>
          <w:rFonts w:ascii="Times New Roman" w:hAnsi="Times New Roman"/>
          <w:b/>
          <w:sz w:val="28"/>
          <w:szCs w:val="28"/>
        </w:rPr>
        <w:t>六、有关说明</w:t>
      </w:r>
    </w:p>
    <w:p w14:paraId="1BB484AC">
      <w:pPr>
        <w:spacing w:line="360" w:lineRule="auto"/>
        <w:ind w:firstLine="482" w:firstLineChars="200"/>
        <w:rPr>
          <w:rFonts w:ascii="Times New Roman" w:hAnsi="Times New Roman"/>
          <w:b/>
          <w:color w:val="000000"/>
          <w:sz w:val="24"/>
        </w:rPr>
      </w:pPr>
      <w:r>
        <w:rPr>
          <w:rFonts w:ascii="Times New Roman" w:hAnsi="Times New Roman"/>
          <w:b/>
          <w:color w:val="000000"/>
          <w:sz w:val="24"/>
        </w:rPr>
        <w:t>（一）持续改进</w:t>
      </w:r>
    </w:p>
    <w:p w14:paraId="77527680">
      <w:pPr>
        <w:spacing w:line="360" w:lineRule="auto"/>
        <w:ind w:firstLine="480" w:firstLineChars="200"/>
        <w:rPr>
          <w:rFonts w:ascii="Times New Roman" w:hAnsi="Times New Roman"/>
          <w:color w:val="000000"/>
          <w:sz w:val="24"/>
        </w:rPr>
      </w:pPr>
      <w:r>
        <w:rPr>
          <w:rFonts w:ascii="Times New Roman" w:hAnsi="Times New Roman"/>
          <w:color w:val="000000"/>
          <w:sz w:val="24"/>
        </w:rPr>
        <w:t>1. 提倡改革教学方法，强调应用现代化教学手段，如课件、互联网视频教学和网络答疑等。</w:t>
      </w:r>
    </w:p>
    <w:p w14:paraId="3198F94C">
      <w:pPr>
        <w:spacing w:line="360" w:lineRule="auto"/>
        <w:ind w:firstLine="480" w:firstLineChars="200"/>
        <w:rPr>
          <w:rFonts w:ascii="Times New Roman" w:hAnsi="Times New Roman"/>
          <w:color w:val="000000"/>
          <w:sz w:val="24"/>
        </w:rPr>
      </w:pPr>
      <w:r>
        <w:rPr>
          <w:rFonts w:ascii="Times New Roman" w:hAnsi="Times New Roman"/>
          <w:color w:val="000000"/>
          <w:sz w:val="24"/>
        </w:rPr>
        <w:t>2.合理安排教学课时，加强课堂提问、课堂小测验等旨在督促学生自主学习的教学环节；引导学生做好课前预习、课后整理笔记并及时完成作业的复习工作；保证学生完成一定数量的作业和习题。</w:t>
      </w:r>
    </w:p>
    <w:p w14:paraId="54A0A88F">
      <w:pPr>
        <w:spacing w:line="360" w:lineRule="auto"/>
        <w:ind w:firstLine="480" w:firstLineChars="200"/>
        <w:rPr>
          <w:rFonts w:ascii="Times New Roman" w:hAnsi="Times New Roman"/>
          <w:color w:val="000000"/>
          <w:sz w:val="24"/>
        </w:rPr>
      </w:pPr>
      <w:r>
        <w:rPr>
          <w:rFonts w:ascii="Times New Roman" w:hAnsi="Times New Roman"/>
          <w:color w:val="000000"/>
          <w:sz w:val="24"/>
        </w:rPr>
        <w:t>3．教学用的例题和习题，应适当结合实际。</w:t>
      </w:r>
    </w:p>
    <w:p w14:paraId="326F4885">
      <w:pPr>
        <w:spacing w:line="360" w:lineRule="auto"/>
        <w:ind w:firstLine="482" w:firstLineChars="200"/>
        <w:rPr>
          <w:rFonts w:ascii="Times New Roman" w:hAnsi="Times New Roman"/>
          <w:b/>
          <w:color w:val="000000"/>
          <w:sz w:val="24"/>
        </w:rPr>
      </w:pPr>
      <w:r>
        <w:rPr>
          <w:rFonts w:ascii="Times New Roman" w:hAnsi="Times New Roman"/>
          <w:b/>
          <w:color w:val="000000"/>
          <w:sz w:val="24"/>
        </w:rPr>
        <w:t>（二）参考书目及学习资料</w:t>
      </w:r>
    </w:p>
    <w:p w14:paraId="723DF699">
      <w:pPr>
        <w:spacing w:line="400" w:lineRule="atLeast"/>
        <w:ind w:firstLine="480" w:firstLineChars="200"/>
        <w:rPr>
          <w:rFonts w:ascii="Times New Roman" w:hAnsi="Times New Roman"/>
          <w:sz w:val="24"/>
        </w:rPr>
      </w:pPr>
      <w:r>
        <w:rPr>
          <w:rFonts w:ascii="Times New Roman" w:hAnsi="Times New Roman"/>
          <w:sz w:val="24"/>
        </w:rPr>
        <w:t>1. 王进明   初等数论 北京：人民教育出版社</w:t>
      </w:r>
    </w:p>
    <w:p w14:paraId="4E2A3515">
      <w:pPr>
        <w:spacing w:line="400" w:lineRule="atLeast"/>
        <w:ind w:firstLine="480" w:firstLineChars="200"/>
        <w:rPr>
          <w:rFonts w:ascii="Times New Roman" w:hAnsi="Times New Roman"/>
          <w:sz w:val="24"/>
        </w:rPr>
      </w:pPr>
      <w:r>
        <w:rPr>
          <w:rFonts w:ascii="Times New Roman" w:hAnsi="Times New Roman"/>
          <w:sz w:val="24"/>
        </w:rPr>
        <w:t>2. 潘承洞等 初等数论 北京：北京大学出版社</w:t>
      </w:r>
    </w:p>
    <w:p w14:paraId="444336E1">
      <w:pPr>
        <w:autoSpaceDE w:val="0"/>
        <w:autoSpaceDN w:val="0"/>
        <w:adjustRightInd w:val="0"/>
        <w:spacing w:line="360" w:lineRule="auto"/>
        <w:ind w:firstLine="480" w:firstLineChars="200"/>
        <w:jc w:val="left"/>
        <w:rPr>
          <w:rFonts w:ascii="Times New Roman" w:hAnsi="Times New Roman"/>
          <w:kern w:val="0"/>
          <w:sz w:val="24"/>
          <w:szCs w:val="21"/>
        </w:rPr>
      </w:pPr>
      <w:r>
        <w:rPr>
          <w:rFonts w:ascii="Times New Roman" w:hAnsi="Times New Roman"/>
          <w:sz w:val="24"/>
        </w:rPr>
        <w:t xml:space="preserve">                                                    </w:t>
      </w:r>
      <w:r>
        <w:rPr>
          <w:rFonts w:ascii="Times New Roman" w:hAnsi="Times New Roman"/>
          <w:kern w:val="0"/>
          <w:sz w:val="24"/>
          <w:szCs w:val="21"/>
        </w:rPr>
        <w:t>执笔人：</w:t>
      </w:r>
      <w:r>
        <w:rPr>
          <w:rFonts w:hint="eastAsia" w:ascii="Times New Roman" w:hAnsi="Times New Roman"/>
          <w:kern w:val="0"/>
          <w:sz w:val="24"/>
          <w:szCs w:val="21"/>
        </w:rPr>
        <w:t>傅蕾</w:t>
      </w:r>
    </w:p>
    <w:p w14:paraId="619D1DD1">
      <w:pPr>
        <w:autoSpaceDE w:val="0"/>
        <w:autoSpaceDN w:val="0"/>
        <w:adjustRightInd w:val="0"/>
        <w:spacing w:line="360" w:lineRule="auto"/>
        <w:ind w:firstLine="6720" w:firstLineChars="2800"/>
        <w:jc w:val="left"/>
        <w:rPr>
          <w:rFonts w:ascii="Times New Roman" w:hAnsi="Times New Roman"/>
          <w:kern w:val="0"/>
          <w:sz w:val="24"/>
          <w:szCs w:val="21"/>
        </w:rPr>
      </w:pPr>
      <w:r>
        <w:rPr>
          <w:rFonts w:ascii="Times New Roman" w:hAnsi="Times New Roman"/>
          <w:kern w:val="0"/>
          <w:sz w:val="24"/>
          <w:szCs w:val="21"/>
        </w:rPr>
        <w:t>审定人：</w:t>
      </w:r>
      <w:r>
        <w:rPr>
          <w:rFonts w:hint="eastAsia" w:ascii="Times New Roman" w:hAnsi="Times New Roman"/>
          <w:kern w:val="0"/>
          <w:sz w:val="24"/>
          <w:szCs w:val="21"/>
        </w:rPr>
        <w:t>王健</w:t>
      </w:r>
    </w:p>
    <w:p w14:paraId="638DD116">
      <w:pPr>
        <w:autoSpaceDE w:val="0"/>
        <w:autoSpaceDN w:val="0"/>
        <w:adjustRightInd w:val="0"/>
        <w:spacing w:line="360" w:lineRule="auto"/>
        <w:ind w:firstLine="6720" w:firstLineChars="2800"/>
        <w:jc w:val="left"/>
        <w:rPr>
          <w:rFonts w:ascii="Times New Roman" w:hAnsi="Times New Roman"/>
          <w:kern w:val="0"/>
          <w:sz w:val="24"/>
          <w:szCs w:val="21"/>
        </w:rPr>
      </w:pPr>
      <w:r>
        <w:rPr>
          <w:rFonts w:ascii="Times New Roman" w:hAnsi="Times New Roman"/>
          <w:kern w:val="0"/>
          <w:sz w:val="24"/>
          <w:szCs w:val="21"/>
        </w:rPr>
        <w:t>审批人：</w:t>
      </w:r>
      <w:r>
        <w:rPr>
          <w:rFonts w:hint="eastAsia" w:ascii="Times New Roman" w:hAnsi="Times New Roman"/>
          <w:kern w:val="0"/>
          <w:sz w:val="24"/>
          <w:szCs w:val="21"/>
        </w:rPr>
        <w:t>张志欣</w:t>
      </w:r>
    </w:p>
    <w:p w14:paraId="529B23FD">
      <w:pPr>
        <w:autoSpaceDE w:val="0"/>
        <w:autoSpaceDN w:val="0"/>
        <w:adjustRightInd w:val="0"/>
        <w:spacing w:line="360" w:lineRule="auto"/>
        <w:ind w:firstLine="6480" w:firstLineChars="2700"/>
        <w:jc w:val="left"/>
        <w:rPr>
          <w:rFonts w:ascii="Times New Roman" w:hAnsi="Times New Roman"/>
          <w:kern w:val="0"/>
          <w:sz w:val="24"/>
          <w:szCs w:val="21"/>
        </w:rPr>
      </w:pPr>
      <w:r>
        <w:rPr>
          <w:rFonts w:ascii="Times New Roman" w:hAnsi="Times New Roman"/>
          <w:kern w:val="0"/>
          <w:sz w:val="24"/>
          <w:szCs w:val="21"/>
        </w:rPr>
        <w:t>批准时间：2024.9</w:t>
      </w:r>
    </w:p>
    <w:p w14:paraId="24C08970">
      <w:pPr>
        <w:rPr>
          <w:rFonts w:hint="eastAsia" w:ascii="等线" w:hAnsi="等线" w:eastAsia="等线" w:cs="等线"/>
          <w:b/>
          <w:bCs/>
          <w:sz w:val="44"/>
          <w:szCs w:val="44"/>
        </w:rPr>
      </w:pPr>
      <w:r>
        <w:rPr>
          <w:rFonts w:hint="eastAsia" w:ascii="等线" w:hAnsi="等线" w:eastAsia="等线" w:cs="等线"/>
          <w:b/>
          <w:bCs/>
          <w:sz w:val="44"/>
          <w:szCs w:val="44"/>
        </w:rPr>
        <w:br w:type="page"/>
      </w:r>
    </w:p>
    <w:p w14:paraId="09655014">
      <w:pPr>
        <w:pStyle w:val="2"/>
      </w:pPr>
      <w:bookmarkStart w:id="222" w:name="_Toc9180"/>
      <w:bookmarkStart w:id="223" w:name="_Toc166165214"/>
      <w:bookmarkStart w:id="224" w:name="_Toc19199"/>
      <w:r>
        <w:rPr>
          <w:rFonts w:hint="eastAsia"/>
        </w:rPr>
        <w:t>《</w:t>
      </w:r>
      <w:r>
        <w:t>数学思想方法</w:t>
      </w:r>
      <w:r>
        <w:rPr>
          <w:rFonts w:hint="eastAsia"/>
        </w:rPr>
        <w:t>》</w:t>
      </w:r>
      <w:r>
        <w:t>课程教学大纲</w:t>
      </w:r>
      <w:bookmarkEnd w:id="222"/>
      <w:bookmarkEnd w:id="223"/>
      <w:bookmarkEnd w:id="224"/>
    </w:p>
    <w:p w14:paraId="0EBDC032">
      <w:pPr>
        <w:spacing w:line="312" w:lineRule="auto"/>
        <w:jc w:val="center"/>
        <w:rPr>
          <w:rFonts w:ascii="Times New Roman" w:hAnsi="Times New Roman" w:eastAsia="宋体" w:cs="Times New Roman"/>
          <w:b/>
          <w:bCs/>
          <w:sz w:val="30"/>
        </w:rPr>
      </w:pPr>
      <w:r>
        <w:rPr>
          <w:rFonts w:ascii="Times New Roman" w:hAnsi="Times New Roman" w:eastAsia="宋体" w:cs="Times New Roman"/>
          <w:b/>
          <w:bCs/>
          <w:sz w:val="30"/>
        </w:rPr>
        <w:t>（Mathematical Thinking and Methods）</w:t>
      </w:r>
    </w:p>
    <w:p w14:paraId="20830918">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5E00A9C5">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rPr>
        <w:t>课程代码</w:t>
      </w:r>
      <w:r>
        <w:rPr>
          <w:rFonts w:ascii="Times New Roman" w:hAnsi="Times New Roman" w:eastAsia="宋体" w:cs="Times New Roman"/>
          <w:b/>
          <w:kern w:val="0"/>
          <w:sz w:val="24"/>
        </w:rPr>
        <w:t>：</w:t>
      </w:r>
      <w:r>
        <w:rPr>
          <w:rFonts w:ascii="Times New Roman" w:hAnsi="Times New Roman" w:eastAsia="宋体" w:cs="Times New Roman"/>
          <w:sz w:val="24"/>
        </w:rPr>
        <w:t>0821024</w:t>
      </w:r>
    </w:p>
    <w:p w14:paraId="5A7DD26A">
      <w:pPr>
        <w:spacing w:line="360" w:lineRule="auto"/>
        <w:ind w:firstLine="482" w:firstLineChars="200"/>
        <w:rPr>
          <w:rFonts w:ascii="Times New Roman" w:hAnsi="Times New Roman" w:eastAsia="宋体" w:cs="Times New Roman"/>
          <w:b/>
          <w:kern w:val="0"/>
          <w:sz w:val="24"/>
        </w:rPr>
      </w:pPr>
      <w:r>
        <w:rPr>
          <w:rFonts w:ascii="Times New Roman" w:hAnsi="Times New Roman" w:eastAsia="宋体" w:cs="Times New Roman"/>
          <w:b/>
          <w:bCs/>
          <w:kern w:val="0"/>
          <w:sz w:val="24"/>
        </w:rPr>
        <w:t>学    分</w:t>
      </w:r>
      <w:r>
        <w:rPr>
          <w:rFonts w:ascii="Times New Roman" w:hAnsi="Times New Roman" w:eastAsia="宋体" w:cs="Times New Roman"/>
          <w:b/>
          <w:kern w:val="0"/>
          <w:sz w:val="24"/>
        </w:rPr>
        <w:t xml:space="preserve">： </w:t>
      </w:r>
      <w:r>
        <w:rPr>
          <w:rFonts w:ascii="Times New Roman" w:hAnsi="Times New Roman" w:eastAsia="宋体" w:cs="Times New Roman"/>
          <w:kern w:val="0"/>
          <w:sz w:val="24"/>
        </w:rPr>
        <w:t>2</w:t>
      </w:r>
    </w:p>
    <w:p w14:paraId="27FE2345">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学    时</w:t>
      </w:r>
      <w:r>
        <w:rPr>
          <w:rFonts w:ascii="Times New Roman" w:hAnsi="Times New Roman" w:eastAsia="宋体" w:cs="Times New Roman"/>
          <w:b/>
          <w:kern w:val="0"/>
          <w:sz w:val="24"/>
        </w:rPr>
        <w:t>：</w:t>
      </w:r>
      <w:r>
        <w:rPr>
          <w:rFonts w:ascii="Times New Roman" w:hAnsi="Times New Roman" w:eastAsia="宋体" w:cs="Times New Roman"/>
          <w:kern w:val="0"/>
          <w:sz w:val="24"/>
        </w:rPr>
        <w:t>32（其中：讲授学时48， 实验学时0  ，上机学时0）</w:t>
      </w:r>
    </w:p>
    <w:p w14:paraId="5B9BE415">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先修课程</w:t>
      </w:r>
      <w:r>
        <w:rPr>
          <w:rFonts w:ascii="Times New Roman" w:hAnsi="Times New Roman" w:eastAsia="宋体" w:cs="Times New Roman"/>
          <w:b/>
          <w:kern w:val="0"/>
          <w:sz w:val="24"/>
        </w:rPr>
        <w:t>：</w:t>
      </w:r>
      <w:r>
        <w:rPr>
          <w:rFonts w:ascii="Times New Roman" w:hAnsi="Times New Roman" w:eastAsia="宋体" w:cs="Times New Roman"/>
          <w:sz w:val="24"/>
        </w:rPr>
        <w:t>无</w:t>
      </w:r>
    </w:p>
    <w:p w14:paraId="0689E78D">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适用专业</w:t>
      </w:r>
      <w:r>
        <w:rPr>
          <w:rFonts w:ascii="Times New Roman" w:hAnsi="Times New Roman" w:eastAsia="宋体" w:cs="Times New Roman"/>
          <w:b/>
          <w:kern w:val="0"/>
          <w:sz w:val="24"/>
        </w:rPr>
        <w:t>：</w:t>
      </w:r>
      <w:r>
        <w:rPr>
          <w:rFonts w:ascii="Times New Roman" w:hAnsi="Times New Roman" w:eastAsia="宋体" w:cs="Times New Roman"/>
          <w:kern w:val="0"/>
          <w:sz w:val="24"/>
        </w:rPr>
        <w:t xml:space="preserve"> 小学教育（理）专业                      </w:t>
      </w:r>
    </w:p>
    <w:p w14:paraId="7384D19A">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建议教材</w:t>
      </w:r>
      <w:r>
        <w:rPr>
          <w:rFonts w:ascii="Times New Roman" w:hAnsi="Times New Roman" w:eastAsia="宋体" w:cs="Times New Roman"/>
          <w:b/>
          <w:kern w:val="0"/>
          <w:sz w:val="24"/>
        </w:rPr>
        <w:t>：</w:t>
      </w:r>
      <w:r>
        <w:rPr>
          <w:rFonts w:ascii="Times New Roman" w:hAnsi="Times New Roman" w:eastAsia="宋体" w:cs="Times New Roman"/>
          <w:kern w:val="0"/>
          <w:sz w:val="24"/>
        </w:rPr>
        <w:t>《</w:t>
      </w:r>
      <w:r>
        <w:rPr>
          <w:rFonts w:ascii="Times New Roman" w:hAnsi="Times New Roman" w:eastAsia="宋体" w:cs="Times New Roman"/>
          <w:sz w:val="24"/>
        </w:rPr>
        <w:t>小学数学与数学思想方法</w:t>
      </w:r>
      <w:r>
        <w:rPr>
          <w:rFonts w:ascii="Times New Roman" w:hAnsi="Times New Roman" w:eastAsia="宋体" w:cs="Times New Roman"/>
          <w:kern w:val="0"/>
          <w:sz w:val="24"/>
        </w:rPr>
        <w:t>》，</w:t>
      </w:r>
      <w:r>
        <w:rPr>
          <w:rFonts w:ascii="Times New Roman" w:hAnsi="Times New Roman" w:eastAsia="宋体" w:cs="Times New Roman"/>
          <w:sz w:val="24"/>
        </w:rPr>
        <w:t>王永春</w:t>
      </w:r>
      <w:r>
        <w:rPr>
          <w:rFonts w:ascii="Times New Roman" w:hAnsi="Times New Roman" w:eastAsia="宋体" w:cs="Times New Roman"/>
          <w:kern w:val="0"/>
          <w:sz w:val="24"/>
        </w:rPr>
        <w:t>，</w:t>
      </w:r>
      <w:r>
        <w:rPr>
          <w:rFonts w:ascii="Times New Roman" w:hAnsi="Times New Roman" w:eastAsia="宋体" w:cs="Times New Roman"/>
          <w:sz w:val="24"/>
        </w:rPr>
        <w:t>华东师范大学出版社</w:t>
      </w:r>
      <w:r>
        <w:rPr>
          <w:rFonts w:ascii="Times New Roman" w:hAnsi="Times New Roman" w:eastAsia="宋体" w:cs="Times New Roman"/>
          <w:kern w:val="0"/>
          <w:sz w:val="24"/>
        </w:rPr>
        <w:t>，2014.7</w:t>
      </w:r>
    </w:p>
    <w:p w14:paraId="496A08CA">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课程归口：</w:t>
      </w:r>
      <w:r>
        <w:rPr>
          <w:rFonts w:ascii="Times New Roman" w:hAnsi="Times New Roman" w:eastAsia="宋体" w:cs="Times New Roman"/>
          <w:bCs/>
          <w:kern w:val="0"/>
          <w:sz w:val="24"/>
        </w:rPr>
        <w:t>理</w:t>
      </w:r>
      <w:r>
        <w:rPr>
          <w:rFonts w:ascii="Times New Roman" w:hAnsi="Times New Roman" w:eastAsia="宋体" w:cs="Times New Roman"/>
          <w:kern w:val="0"/>
          <w:sz w:val="24"/>
        </w:rPr>
        <w:t>学院</w:t>
      </w:r>
    </w:p>
    <w:p w14:paraId="03E0135D">
      <w:pPr>
        <w:autoSpaceDE w:val="0"/>
        <w:autoSpaceDN w:val="0"/>
        <w:adjustRightInd w:val="0"/>
        <w:spacing w:line="360" w:lineRule="auto"/>
        <w:ind w:firstLine="482" w:firstLineChars="200"/>
        <w:jc w:val="left"/>
        <w:rPr>
          <w:rFonts w:ascii="Times New Roman" w:hAnsi="Times New Roman" w:eastAsia="宋体" w:cs="Times New Roman"/>
          <w:sz w:val="24"/>
        </w:rPr>
      </w:pPr>
      <w:r>
        <w:rPr>
          <w:rFonts w:ascii="Times New Roman" w:hAnsi="Times New Roman" w:eastAsia="宋体" w:cs="Times New Roman"/>
          <w:b/>
          <w:bCs/>
          <w:kern w:val="0"/>
          <w:sz w:val="24"/>
        </w:rPr>
        <w:t>课程的性质与任务：</w:t>
      </w:r>
      <w:r>
        <w:rPr>
          <w:rFonts w:ascii="Times New Roman" w:hAnsi="Times New Roman" w:eastAsia="宋体" w:cs="Times New Roman"/>
          <w:kern w:val="0"/>
          <w:sz w:val="24"/>
        </w:rPr>
        <w:t>本课程是小学教育（理）专业的一门</w:t>
      </w:r>
      <w:r>
        <w:rPr>
          <w:rFonts w:ascii="Times New Roman" w:hAnsi="Times New Roman" w:eastAsia="宋体" w:cs="Times New Roman"/>
          <w:color w:val="000000"/>
          <w:sz w:val="24"/>
        </w:rPr>
        <w:t>重要基础课</w:t>
      </w:r>
      <w:r>
        <w:rPr>
          <w:rFonts w:ascii="Times New Roman" w:hAnsi="Times New Roman" w:eastAsia="宋体" w:cs="Times New Roman"/>
          <w:sz w:val="24"/>
        </w:rPr>
        <w:t>。</w:t>
      </w:r>
      <w:r>
        <w:rPr>
          <w:rFonts w:ascii="Times New Roman" w:hAnsi="Times New Roman" w:eastAsia="宋体" w:cs="Times New Roman"/>
          <w:color w:val="000000"/>
          <w:kern w:val="0"/>
          <w:sz w:val="24"/>
        </w:rPr>
        <w:t>通过本课程的学习，使学生系统地获得数学思想方法的基本知识、必要的基础理论；提高学生的数学视野、数学思维能力、逻辑推理能力；提高学生的数学素养，为学生学习后续相关课程及终身学习奠定必要的数学基础。</w:t>
      </w:r>
    </w:p>
    <w:p w14:paraId="4653926E">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二、课程目标</w:t>
      </w:r>
    </w:p>
    <w:p w14:paraId="0F254FEB">
      <w:pPr>
        <w:spacing w:line="348" w:lineRule="auto"/>
        <w:ind w:firstLine="482" w:firstLineChars="200"/>
        <w:rPr>
          <w:rFonts w:ascii="Times New Roman" w:hAnsi="Times New Roman" w:eastAsia="宋体" w:cs="Times New Roman"/>
          <w:sz w:val="24"/>
        </w:rPr>
      </w:pPr>
      <w:r>
        <w:rPr>
          <w:rFonts w:ascii="Calibri" w:hAnsi="Calibri" w:eastAsia="宋体" w:cs="Times New Roman"/>
          <w:b/>
          <w:sz w:val="24"/>
        </w:rPr>
        <w:t>（一）课程具体目标</w:t>
      </w:r>
    </w:p>
    <w:p w14:paraId="2577A890">
      <w:pPr>
        <w:spacing w:line="360" w:lineRule="auto"/>
        <w:ind w:firstLine="482"/>
        <w:jc w:val="left"/>
        <w:rPr>
          <w:rFonts w:ascii="Times New Roman" w:hAnsi="Times New Roman" w:eastAsia="宋体" w:cs="Times New Roman"/>
          <w:sz w:val="24"/>
        </w:rPr>
      </w:pPr>
      <w:r>
        <w:rPr>
          <w:rFonts w:ascii="Times New Roman" w:hAnsi="Times New Roman" w:eastAsia="宋体" w:cs="Times New Roman"/>
          <w:sz w:val="24"/>
        </w:rPr>
        <w:t>目标1.</w:t>
      </w:r>
      <w:r>
        <w:rPr>
          <w:rFonts w:ascii="Times New Roman" w:hAnsi="Times New Roman" w:eastAsia="宋体" w:cs="Times New Roman"/>
        </w:rPr>
        <w:t xml:space="preserve"> </w:t>
      </w:r>
      <w:r>
        <w:rPr>
          <w:rFonts w:ascii="Times New Roman" w:hAnsi="Times New Roman" w:eastAsia="宋体" w:cs="Times New Roman"/>
          <w:color w:val="000000"/>
          <w:sz w:val="24"/>
        </w:rPr>
        <w:t>能够获得课程基本概念与性质</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掌握本课程要求的计算方法</w:t>
      </w:r>
      <w:r>
        <w:rPr>
          <w:rFonts w:ascii="Times New Roman" w:hAnsi="Times New Roman" w:eastAsia="宋体" w:cs="Times New Roman"/>
          <w:sz w:val="24"/>
        </w:rPr>
        <w:t>。</w:t>
      </w:r>
    </w:p>
    <w:p w14:paraId="7A8A6D02">
      <w:pPr>
        <w:spacing w:line="360" w:lineRule="auto"/>
        <w:ind w:firstLine="482"/>
        <w:jc w:val="left"/>
        <w:rPr>
          <w:rFonts w:ascii="Times New Roman" w:hAnsi="Times New Roman" w:eastAsia="宋体" w:cs="Times New Roman"/>
          <w:sz w:val="24"/>
        </w:rPr>
      </w:pPr>
      <w:r>
        <w:rPr>
          <w:rFonts w:ascii="Times New Roman" w:hAnsi="Times New Roman" w:eastAsia="宋体" w:cs="Times New Roman"/>
          <w:sz w:val="24"/>
        </w:rPr>
        <w:t xml:space="preserve">目标2. </w:t>
      </w:r>
      <w:r>
        <w:rPr>
          <w:rFonts w:ascii="Times New Roman" w:hAnsi="Times New Roman" w:eastAsia="宋体" w:cs="Times New Roman"/>
          <w:color w:val="000000"/>
          <w:sz w:val="24"/>
        </w:rPr>
        <w:t>能够具有一定的</w:t>
      </w:r>
      <w:r>
        <w:rPr>
          <w:rFonts w:ascii="Times New Roman" w:hAnsi="Times New Roman" w:eastAsia="宋体" w:cs="Times New Roman"/>
          <w:sz w:val="24"/>
        </w:rPr>
        <w:t>抽象概括、逻辑推理等能力</w:t>
      </w:r>
      <w:r>
        <w:rPr>
          <w:rFonts w:hint="eastAsia" w:ascii="Times New Roman" w:hAnsi="Times New Roman" w:eastAsia="宋体" w:cs="Times New Roman"/>
          <w:sz w:val="24"/>
        </w:rPr>
        <w:t>；</w:t>
      </w:r>
      <w:r>
        <w:rPr>
          <w:rFonts w:ascii="Times New Roman" w:hAnsi="Times New Roman" w:eastAsia="宋体" w:cs="Times New Roman"/>
          <w:color w:val="000000"/>
          <w:sz w:val="24"/>
        </w:rPr>
        <w:t>能够</w:t>
      </w:r>
      <w:r>
        <w:rPr>
          <w:rFonts w:ascii="Times New Roman" w:hAnsi="Times New Roman" w:eastAsia="宋体" w:cs="Times New Roman"/>
          <w:sz w:val="24"/>
        </w:rPr>
        <w:t>具有一定的运算能力</w:t>
      </w:r>
      <w:r>
        <w:rPr>
          <w:rFonts w:hint="eastAsia" w:ascii="Times New Roman" w:hAnsi="Times New Roman" w:eastAsia="宋体" w:cs="Times New Roman"/>
          <w:sz w:val="24"/>
        </w:rPr>
        <w:t>；</w:t>
      </w:r>
      <w:r>
        <w:rPr>
          <w:rFonts w:ascii="Times New Roman" w:hAnsi="Times New Roman" w:eastAsia="宋体" w:cs="Times New Roman"/>
          <w:color w:val="000000"/>
          <w:sz w:val="24"/>
        </w:rPr>
        <w:t>能够具有一定的</w:t>
      </w:r>
      <w:r>
        <w:rPr>
          <w:rFonts w:ascii="Times New Roman" w:hAnsi="Times New Roman" w:eastAsia="宋体" w:cs="Times New Roman"/>
          <w:sz w:val="24"/>
        </w:rPr>
        <w:t>数学思维与分析能力。</w:t>
      </w:r>
    </w:p>
    <w:p w14:paraId="2B84D79E">
      <w:pPr>
        <w:spacing w:line="360" w:lineRule="auto"/>
        <w:ind w:firstLine="482" w:firstLineChars="200"/>
        <w:rPr>
          <w:rFonts w:ascii="Calibri" w:hAnsi="Calibri" w:eastAsia="宋体" w:cs="Times New Roman"/>
          <w:b/>
          <w:sz w:val="28"/>
          <w:szCs w:val="28"/>
        </w:rPr>
      </w:pPr>
      <w:r>
        <w:rPr>
          <w:rFonts w:ascii="Calibri" w:hAnsi="Calibri" w:eastAsia="宋体" w:cs="Times New Roman"/>
          <w:b/>
          <w:sz w:val="24"/>
        </w:rPr>
        <w:t>（二）课程目标</w:t>
      </w:r>
      <w:r>
        <w:rPr>
          <w:rFonts w:hint="eastAsia" w:ascii="Calibri" w:hAnsi="Calibri" w:eastAsia="宋体" w:cs="Times New Roman"/>
          <w:b/>
          <w:sz w:val="24"/>
        </w:rPr>
        <w:t>及其对</w:t>
      </w:r>
      <w:r>
        <w:rPr>
          <w:rFonts w:ascii="Calibri" w:hAnsi="Calibri" w:eastAsia="宋体" w:cs="Times New Roman"/>
          <w:b/>
          <w:sz w:val="24"/>
        </w:rPr>
        <w:t>毕业要求</w:t>
      </w:r>
      <w:r>
        <w:rPr>
          <w:rFonts w:hint="eastAsia" w:ascii="Calibri" w:hAnsi="Calibri" w:eastAsia="宋体" w:cs="Times New Roman"/>
          <w:b/>
          <w:sz w:val="24"/>
        </w:rPr>
        <w:t>指标点</w:t>
      </w:r>
      <w:r>
        <w:rPr>
          <w:rFonts w:ascii="Calibri" w:hAnsi="Calibri" w:eastAsia="宋体" w:cs="Times New Roman"/>
          <w:b/>
          <w:sz w:val="24"/>
        </w:rPr>
        <w:t>的</w:t>
      </w:r>
      <w:r>
        <w:rPr>
          <w:rFonts w:hint="eastAsia" w:ascii="Calibri" w:hAnsi="Calibri" w:eastAsia="宋体" w:cs="Times New Roman"/>
          <w:b/>
          <w:sz w:val="24"/>
        </w:rPr>
        <w:t>支撑</w:t>
      </w:r>
    </w:p>
    <w:tbl>
      <w:tblPr>
        <w:tblStyle w:val="13"/>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223"/>
        <w:gridCol w:w="4977"/>
      </w:tblGrid>
      <w:tr w14:paraId="3316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2250A5D6">
            <w:pPr>
              <w:jc w:val="center"/>
              <w:rPr>
                <w:rFonts w:hint="eastAsia" w:ascii="宋体" w:hAnsi="宋体" w:eastAsia="宋体" w:cs="Times New Roman"/>
                <w:b/>
                <w:bCs/>
                <w:szCs w:val="21"/>
              </w:rPr>
            </w:pPr>
            <w:r>
              <w:rPr>
                <w:rFonts w:ascii="宋体" w:hAnsi="宋体" w:eastAsia="宋体" w:cs="Times New Roman"/>
                <w:b/>
                <w:bCs/>
                <w:szCs w:val="21"/>
              </w:rPr>
              <w:t>课程目标</w:t>
            </w:r>
          </w:p>
        </w:tc>
        <w:tc>
          <w:tcPr>
            <w:tcW w:w="2223" w:type="dxa"/>
            <w:vAlign w:val="center"/>
          </w:tcPr>
          <w:p w14:paraId="0AF6C9A1">
            <w:pPr>
              <w:jc w:val="center"/>
              <w:rPr>
                <w:rFonts w:hint="eastAsia" w:ascii="宋体" w:hAnsi="宋体" w:eastAsia="宋体" w:cs="Times New Roman"/>
                <w:b/>
                <w:bCs/>
                <w:szCs w:val="21"/>
              </w:rPr>
            </w:pPr>
            <w:r>
              <w:rPr>
                <w:rFonts w:ascii="宋体" w:hAnsi="宋体" w:eastAsia="宋体" w:cs="Times New Roman"/>
                <w:b/>
                <w:bCs/>
                <w:szCs w:val="21"/>
              </w:rPr>
              <w:t>支撑的毕业要求</w:t>
            </w:r>
          </w:p>
        </w:tc>
        <w:tc>
          <w:tcPr>
            <w:tcW w:w="4977" w:type="dxa"/>
            <w:vAlign w:val="center"/>
          </w:tcPr>
          <w:p w14:paraId="38A1D285">
            <w:pPr>
              <w:jc w:val="center"/>
              <w:rPr>
                <w:rFonts w:hint="eastAsia" w:ascii="宋体" w:hAnsi="宋体" w:eastAsia="宋体" w:cs="Times New Roman"/>
                <w:b/>
                <w:bCs/>
                <w:szCs w:val="21"/>
              </w:rPr>
            </w:pPr>
            <w:r>
              <w:rPr>
                <w:rFonts w:ascii="宋体" w:hAnsi="宋体" w:eastAsia="宋体" w:cs="Times New Roman"/>
                <w:b/>
                <w:bCs/>
                <w:szCs w:val="21"/>
              </w:rPr>
              <w:t>支撑的毕业要求指标点</w:t>
            </w:r>
          </w:p>
        </w:tc>
      </w:tr>
      <w:tr w14:paraId="0314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71B7AF35">
            <w:pPr>
              <w:jc w:val="center"/>
              <w:rPr>
                <w:rFonts w:hint="eastAsia" w:ascii="宋体" w:hAnsi="宋体" w:eastAsia="宋体" w:cs="Times New Roman"/>
                <w:bCs/>
                <w:szCs w:val="21"/>
              </w:rPr>
            </w:pPr>
            <w:r>
              <w:rPr>
                <w:rFonts w:ascii="宋体" w:hAnsi="宋体" w:eastAsia="宋体" w:cs="Times New Roman"/>
                <w:bCs/>
                <w:szCs w:val="21"/>
              </w:rPr>
              <w:t>课程目标</w:t>
            </w:r>
            <w:r>
              <w:rPr>
                <w:rFonts w:hint="eastAsia" w:ascii="宋体" w:hAnsi="宋体" w:eastAsia="宋体" w:cs="Times New Roman"/>
                <w:bCs/>
                <w:szCs w:val="21"/>
              </w:rPr>
              <w:t>1</w:t>
            </w:r>
          </w:p>
        </w:tc>
        <w:tc>
          <w:tcPr>
            <w:tcW w:w="2223" w:type="dxa"/>
            <w:vAlign w:val="center"/>
          </w:tcPr>
          <w:p w14:paraId="2EC97EFD">
            <w:pPr>
              <w:rPr>
                <w:rFonts w:hint="eastAsia" w:ascii="宋体" w:hAnsi="宋体" w:eastAsia="宋体" w:cs="Times New Roman"/>
                <w:kern w:val="0"/>
                <w:szCs w:val="21"/>
              </w:rPr>
            </w:pPr>
            <w:r>
              <w:rPr>
                <w:rFonts w:ascii="宋体" w:hAnsi="宋体" w:eastAsia="宋体" w:cs="Times New Roman"/>
                <w:kern w:val="0"/>
                <w:szCs w:val="21"/>
              </w:rPr>
              <w:t>毕业要求3.</w:t>
            </w:r>
            <w:r>
              <w:rPr>
                <w:rFonts w:hint="eastAsia" w:ascii="宋体" w:hAnsi="宋体" w:eastAsia="宋体" w:cs="Times New Roman"/>
                <w:kern w:val="0"/>
                <w:szCs w:val="21"/>
              </w:rPr>
              <w:t>学科</w:t>
            </w:r>
            <w:r>
              <w:rPr>
                <w:rFonts w:ascii="宋体" w:hAnsi="宋体" w:eastAsia="宋体" w:cs="Times New Roman"/>
                <w:kern w:val="0"/>
                <w:szCs w:val="21"/>
              </w:rPr>
              <w:t>素养</w:t>
            </w:r>
          </w:p>
        </w:tc>
        <w:tc>
          <w:tcPr>
            <w:tcW w:w="4977" w:type="dxa"/>
            <w:vAlign w:val="center"/>
          </w:tcPr>
          <w:p w14:paraId="031977C5">
            <w:pPr>
              <w:jc w:val="left"/>
              <w:rPr>
                <w:rFonts w:hint="eastAsia" w:ascii="宋体" w:hAnsi="宋体" w:eastAsia="宋体" w:cs="Times New Roman"/>
                <w:kern w:val="0"/>
                <w:sz w:val="18"/>
                <w:szCs w:val="18"/>
              </w:rPr>
            </w:pPr>
            <w:r>
              <w:rPr>
                <w:rFonts w:hint="eastAsia" w:ascii="宋体" w:hAnsi="宋体" w:eastAsia="宋体" w:cs="Times New Roman"/>
                <w:szCs w:val="23"/>
              </w:rPr>
              <w:t>3-2：【学科知识扎实】具有学科专业能力，掌握小学数学学科的基本知识、原理和技能。熟悉小学科学的知识体系，掌握小学科学的基本知识、原理和技能。</w:t>
            </w:r>
          </w:p>
        </w:tc>
      </w:tr>
      <w:tr w14:paraId="3556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43D12EDE">
            <w:pPr>
              <w:jc w:val="center"/>
              <w:rPr>
                <w:rFonts w:hint="eastAsia" w:ascii="宋体" w:hAnsi="宋体" w:eastAsia="宋体" w:cs="Times New Roman"/>
                <w:bCs/>
                <w:szCs w:val="21"/>
              </w:rPr>
            </w:pPr>
            <w:r>
              <w:rPr>
                <w:rFonts w:hint="eastAsia" w:ascii="宋体" w:hAnsi="宋体" w:eastAsia="宋体" w:cs="Times New Roman"/>
                <w:bCs/>
                <w:szCs w:val="21"/>
              </w:rPr>
              <w:t>课程目标2</w:t>
            </w:r>
          </w:p>
        </w:tc>
        <w:tc>
          <w:tcPr>
            <w:tcW w:w="2223" w:type="dxa"/>
            <w:vAlign w:val="center"/>
          </w:tcPr>
          <w:p w14:paraId="4AFFD2AF">
            <w:pPr>
              <w:rPr>
                <w:rFonts w:hint="eastAsia" w:ascii="宋体" w:hAnsi="宋体" w:eastAsia="宋体" w:cs="Times New Roman"/>
                <w:kern w:val="0"/>
                <w:szCs w:val="21"/>
              </w:rPr>
            </w:pPr>
            <w:r>
              <w:rPr>
                <w:rFonts w:ascii="宋体" w:hAnsi="宋体" w:eastAsia="宋体" w:cs="Times New Roman"/>
                <w:kern w:val="0"/>
                <w:szCs w:val="21"/>
              </w:rPr>
              <w:t>毕业要求3.</w:t>
            </w:r>
            <w:r>
              <w:rPr>
                <w:rFonts w:hint="eastAsia" w:ascii="宋体" w:hAnsi="宋体" w:eastAsia="宋体" w:cs="Times New Roman"/>
                <w:kern w:val="0"/>
                <w:szCs w:val="21"/>
              </w:rPr>
              <w:t>学科</w:t>
            </w:r>
            <w:r>
              <w:rPr>
                <w:rFonts w:ascii="宋体" w:hAnsi="宋体" w:eastAsia="宋体" w:cs="Times New Roman"/>
                <w:kern w:val="0"/>
                <w:szCs w:val="21"/>
              </w:rPr>
              <w:t>素养</w:t>
            </w:r>
          </w:p>
        </w:tc>
        <w:tc>
          <w:tcPr>
            <w:tcW w:w="4977" w:type="dxa"/>
            <w:vAlign w:val="center"/>
          </w:tcPr>
          <w:p w14:paraId="5342662E">
            <w:pPr>
              <w:jc w:val="left"/>
              <w:rPr>
                <w:rFonts w:hint="eastAsia" w:ascii="宋体" w:hAnsi="宋体" w:eastAsia="宋体" w:cs="Times New Roman"/>
                <w:szCs w:val="23"/>
              </w:rPr>
            </w:pPr>
            <w:r>
              <w:rPr>
                <w:rFonts w:hint="eastAsia" w:ascii="宋体" w:hAnsi="宋体" w:eastAsia="宋体" w:cs="Times New Roman"/>
                <w:szCs w:val="23"/>
              </w:rPr>
              <w:t>3-2：【学科知识扎实】具有学科专业能力，掌握小学数学学科的基本知识、原理和技能。熟悉小学科学的知识体系，掌握小学科学的基本知识、原理和技能。</w:t>
            </w:r>
          </w:p>
        </w:tc>
      </w:tr>
    </w:tbl>
    <w:p w14:paraId="5E2B8C4E">
      <w:pPr>
        <w:spacing w:before="156" w:beforeLines="50" w:line="360" w:lineRule="auto"/>
        <w:ind w:firstLine="281" w:firstLineChars="100"/>
        <w:jc w:val="left"/>
        <w:rPr>
          <w:rFonts w:hint="eastAsia" w:ascii="宋体" w:hAnsi="宋体" w:eastAsia="宋体" w:cs="Times New Roman"/>
          <w:b/>
          <w:color w:val="000000"/>
          <w:sz w:val="24"/>
        </w:rPr>
      </w:pPr>
      <w:r>
        <w:rPr>
          <w:rFonts w:hint="eastAsia" w:ascii="Calibri" w:hAnsi="Calibri" w:eastAsia="宋体" w:cs="Times New Roman"/>
          <w:b/>
          <w:sz w:val="28"/>
          <w:szCs w:val="28"/>
        </w:rPr>
        <w:t>（三）</w:t>
      </w:r>
      <w:r>
        <w:rPr>
          <w:rFonts w:hint="eastAsia" w:ascii="宋体" w:hAnsi="宋体" w:eastAsia="宋体" w:cs="Times New Roman"/>
          <w:b/>
          <w:color w:val="000000"/>
          <w:sz w:val="24"/>
        </w:rPr>
        <w:t>课程思政目标</w:t>
      </w:r>
    </w:p>
    <w:p w14:paraId="47B28665">
      <w:pPr>
        <w:spacing w:line="360" w:lineRule="auto"/>
        <w:ind w:firstLine="480" w:firstLineChars="200"/>
        <w:rPr>
          <w:rFonts w:ascii="Times New Roman" w:hAnsi="Times New Roman" w:eastAsia="宋体" w:cs="Times New Roman"/>
          <w:b/>
          <w:sz w:val="28"/>
          <w:szCs w:val="28"/>
        </w:rPr>
      </w:pPr>
      <w:r>
        <w:rPr>
          <w:rFonts w:hint="eastAsia" w:ascii="宋体" w:hAnsi="宋体" w:eastAsia="宋体" w:cs="Times New Roman"/>
          <w:color w:val="000000"/>
          <w:sz w:val="24"/>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26DAA669">
      <w:pPr>
        <w:numPr>
          <w:ilvl w:val="0"/>
          <w:numId w:val="57"/>
        </w:num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课程内容及要求</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2932"/>
        <w:gridCol w:w="1077"/>
        <w:gridCol w:w="2223"/>
        <w:gridCol w:w="1615"/>
      </w:tblGrid>
      <w:tr w14:paraId="6966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Align w:val="center"/>
          </w:tcPr>
          <w:p w14:paraId="2D2EDC3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79C219A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932" w:type="dxa"/>
            <w:vAlign w:val="center"/>
          </w:tcPr>
          <w:p w14:paraId="265F951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077" w:type="dxa"/>
            <w:vAlign w:val="center"/>
          </w:tcPr>
          <w:p w14:paraId="3BE7FA8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4D8234E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223" w:type="dxa"/>
            <w:vAlign w:val="center"/>
          </w:tcPr>
          <w:p w14:paraId="173550E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615" w:type="dxa"/>
            <w:vAlign w:val="center"/>
          </w:tcPr>
          <w:p w14:paraId="736E4BF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r>
      <w:tr w14:paraId="23D7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restart"/>
            <w:vAlign w:val="center"/>
          </w:tcPr>
          <w:p w14:paraId="1229ADEB">
            <w:pPr>
              <w:numPr>
                <w:ilvl w:val="0"/>
                <w:numId w:val="58"/>
              </w:numPr>
              <w:spacing w:line="360" w:lineRule="auto"/>
              <w:rPr>
                <w:rFonts w:ascii="Times New Roman" w:hAnsi="Times New Roman" w:eastAsia="宋体" w:cs="Times New Roman"/>
                <w:sz w:val="24"/>
              </w:rPr>
            </w:pPr>
            <w:r>
              <w:rPr>
                <w:rFonts w:ascii="Times New Roman" w:hAnsi="Times New Roman" w:eastAsia="宋体" w:cs="Times New Roman"/>
                <w:sz w:val="24"/>
              </w:rPr>
              <w:t>数学思想方法简介</w:t>
            </w:r>
          </w:p>
          <w:p w14:paraId="6401D54E">
            <w:pPr>
              <w:spacing w:line="264" w:lineRule="auto"/>
              <w:jc w:val="center"/>
              <w:rPr>
                <w:rFonts w:hint="eastAsia" w:ascii="宋体" w:hAnsi="宋体" w:eastAsia="宋体" w:cs="Times New Roman"/>
                <w:color w:val="000000"/>
                <w:szCs w:val="21"/>
              </w:rPr>
            </w:pPr>
          </w:p>
        </w:tc>
        <w:tc>
          <w:tcPr>
            <w:tcW w:w="2932" w:type="dxa"/>
            <w:vAlign w:val="center"/>
          </w:tcPr>
          <w:p w14:paraId="3560EF5F">
            <w:pPr>
              <w:spacing w:line="300" w:lineRule="auto"/>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1）能够</w:t>
            </w:r>
            <w:r>
              <w:rPr>
                <w:rFonts w:ascii="Times New Roman" w:hAnsi="Times New Roman" w:eastAsia="宋体" w:cs="Times New Roman"/>
                <w:sz w:val="24"/>
                <w:szCs w:val="21"/>
              </w:rPr>
              <w:t>了解</w:t>
            </w:r>
            <w:r>
              <w:rPr>
                <w:rFonts w:ascii="Times New Roman" w:hAnsi="Times New Roman" w:eastAsia="宋体" w:cs="Times New Roman"/>
                <w:sz w:val="24"/>
              </w:rPr>
              <w:t>对数学思想方法的认识</w:t>
            </w:r>
          </w:p>
          <w:p w14:paraId="62CBE7C7">
            <w:pPr>
              <w:spacing w:line="300" w:lineRule="auto"/>
              <w:rPr>
                <w:rFonts w:hint="eastAsia" w:ascii="宋体" w:hAnsi="宋体" w:eastAsia="宋体" w:cs="Times New Roman"/>
                <w:color w:val="000000"/>
                <w:szCs w:val="21"/>
              </w:rPr>
            </w:pPr>
            <w:r>
              <w:rPr>
                <w:rFonts w:ascii="Times New Roman" w:hAnsi="Times New Roman" w:eastAsia="宋体" w:cs="Times New Roman"/>
                <w:sz w:val="24"/>
              </w:rPr>
              <w:t>（2）能够</w:t>
            </w:r>
            <w:r>
              <w:rPr>
                <w:rFonts w:ascii="Times New Roman" w:hAnsi="Times New Roman" w:eastAsia="宋体" w:cs="Times New Roman"/>
                <w:sz w:val="24"/>
                <w:szCs w:val="21"/>
              </w:rPr>
              <w:t>了解</w:t>
            </w:r>
            <w:r>
              <w:rPr>
                <w:rFonts w:ascii="Times New Roman" w:hAnsi="Times New Roman" w:eastAsia="宋体" w:cs="Times New Roman"/>
                <w:sz w:val="24"/>
              </w:rPr>
              <w:t>数学思想方法的教学</w:t>
            </w:r>
          </w:p>
        </w:tc>
        <w:tc>
          <w:tcPr>
            <w:tcW w:w="1077" w:type="dxa"/>
            <w:vAlign w:val="center"/>
          </w:tcPr>
          <w:p w14:paraId="4387961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223" w:type="dxa"/>
            <w:vAlign w:val="center"/>
          </w:tcPr>
          <w:p w14:paraId="439586D6">
            <w:pPr>
              <w:spacing w:line="360" w:lineRule="auto"/>
              <w:rPr>
                <w:rFonts w:ascii="Times New Roman" w:hAnsi="Times New Roman" w:eastAsia="宋体" w:cs="Times New Roman"/>
                <w:color w:val="000000"/>
                <w:sz w:val="24"/>
              </w:rPr>
            </w:pPr>
            <w:r>
              <w:rPr>
                <w:rFonts w:hint="eastAsia" w:ascii="Times New Roman" w:hAnsi="Times New Roman" w:eastAsia="宋体" w:cs="Times New Roman"/>
                <w:color w:val="000000"/>
                <w:sz w:val="24"/>
              </w:rPr>
              <w:t>了解对数学思想方法的认识；了解数学思想方法的教学。</w:t>
            </w:r>
          </w:p>
          <w:p w14:paraId="5A628619">
            <w:pPr>
              <w:spacing w:line="269" w:lineRule="auto"/>
              <w:jc w:val="left"/>
              <w:rPr>
                <w:rFonts w:hint="eastAsia" w:ascii="宋体" w:hAnsi="宋体" w:eastAsia="宋体" w:cs="Times New Roman"/>
                <w:color w:val="000000"/>
                <w:szCs w:val="21"/>
              </w:rPr>
            </w:pPr>
          </w:p>
        </w:tc>
        <w:tc>
          <w:tcPr>
            <w:tcW w:w="1615" w:type="dxa"/>
            <w:vAlign w:val="center"/>
          </w:tcPr>
          <w:p w14:paraId="10BF5C6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849984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5A642EC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5063E86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r>
      <w:tr w14:paraId="2916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continue"/>
            <w:vAlign w:val="center"/>
          </w:tcPr>
          <w:p w14:paraId="2192EFA4">
            <w:pPr>
              <w:spacing w:line="264" w:lineRule="auto"/>
              <w:jc w:val="center"/>
              <w:rPr>
                <w:rFonts w:hint="eastAsia" w:ascii="宋体" w:hAnsi="宋体" w:eastAsia="宋体" w:cs="Times New Roman"/>
                <w:color w:val="000000"/>
                <w:szCs w:val="21"/>
              </w:rPr>
            </w:pPr>
          </w:p>
        </w:tc>
        <w:tc>
          <w:tcPr>
            <w:tcW w:w="7847" w:type="dxa"/>
            <w:gridSpan w:val="4"/>
            <w:vAlign w:val="center"/>
          </w:tcPr>
          <w:p w14:paraId="1D0021A0">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29BD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restart"/>
            <w:vAlign w:val="center"/>
          </w:tcPr>
          <w:p w14:paraId="665F1ED2">
            <w:pPr>
              <w:numPr>
                <w:ilvl w:val="0"/>
                <w:numId w:val="58"/>
              </w:numPr>
              <w:spacing w:line="300" w:lineRule="auto"/>
              <w:rPr>
                <w:rFonts w:ascii="Times New Roman" w:hAnsi="Times New Roman" w:eastAsia="宋体" w:cs="Times New Roman"/>
                <w:sz w:val="24"/>
              </w:rPr>
            </w:pPr>
            <w:r>
              <w:rPr>
                <w:rFonts w:ascii="Times New Roman" w:hAnsi="Times New Roman" w:eastAsia="宋体" w:cs="Times New Roman"/>
                <w:sz w:val="24"/>
              </w:rPr>
              <w:t>与抽象有关的数学思想</w:t>
            </w:r>
          </w:p>
          <w:p w14:paraId="6A2E525A">
            <w:pPr>
              <w:spacing w:line="264" w:lineRule="auto"/>
              <w:jc w:val="center"/>
              <w:rPr>
                <w:rFonts w:hint="eastAsia" w:ascii="宋体" w:hAnsi="宋体" w:eastAsia="宋体" w:cs="Times New Roman"/>
                <w:color w:val="000000"/>
                <w:szCs w:val="21"/>
              </w:rPr>
            </w:pPr>
          </w:p>
        </w:tc>
        <w:tc>
          <w:tcPr>
            <w:tcW w:w="2932" w:type="dxa"/>
            <w:vAlign w:val="center"/>
          </w:tcPr>
          <w:p w14:paraId="0E1A2E66">
            <w:pPr>
              <w:widowControl/>
              <w:spacing w:line="300" w:lineRule="auto"/>
              <w:rPr>
                <w:rFonts w:ascii="Times New Roman" w:hAnsi="Times New Roman" w:eastAsia="宋体" w:cs="Times New Roman"/>
                <w:bCs/>
                <w:sz w:val="24"/>
              </w:rPr>
            </w:pPr>
            <w:r>
              <w:rPr>
                <w:rFonts w:ascii="Times New Roman" w:hAnsi="Times New Roman" w:eastAsia="宋体" w:cs="Times New Roman"/>
                <w:bCs/>
                <w:sz w:val="24"/>
              </w:rPr>
              <w:t>（1）</w:t>
            </w:r>
            <w:r>
              <w:rPr>
                <w:rFonts w:ascii="Times New Roman" w:hAnsi="Times New Roman" w:eastAsia="宋体" w:cs="Times New Roman"/>
                <w:sz w:val="24"/>
              </w:rPr>
              <w:t>能够</w:t>
            </w:r>
            <w:r>
              <w:rPr>
                <w:rFonts w:ascii="Times New Roman" w:hAnsi="Times New Roman" w:eastAsia="宋体" w:cs="Times New Roman"/>
                <w:sz w:val="24"/>
                <w:szCs w:val="21"/>
              </w:rPr>
              <w:t>掌握</w:t>
            </w:r>
            <w:r>
              <w:rPr>
                <w:rFonts w:ascii="Times New Roman" w:hAnsi="Times New Roman" w:eastAsia="宋体" w:cs="Times New Roman"/>
                <w:bCs/>
                <w:sz w:val="24"/>
              </w:rPr>
              <w:t>抽象思想</w:t>
            </w:r>
          </w:p>
          <w:p w14:paraId="1D72C185">
            <w:pPr>
              <w:widowControl/>
              <w:spacing w:line="300" w:lineRule="auto"/>
              <w:rPr>
                <w:rFonts w:ascii="Times New Roman" w:hAnsi="Times New Roman" w:eastAsia="宋体" w:cs="Times New Roman"/>
                <w:bCs/>
                <w:sz w:val="24"/>
              </w:rPr>
            </w:pPr>
            <w:r>
              <w:rPr>
                <w:rFonts w:ascii="Times New Roman" w:hAnsi="Times New Roman" w:eastAsia="宋体" w:cs="Times New Roman"/>
                <w:bCs/>
                <w:sz w:val="24"/>
              </w:rPr>
              <w:t>（2）</w:t>
            </w:r>
            <w:r>
              <w:rPr>
                <w:rFonts w:ascii="Times New Roman" w:hAnsi="Times New Roman" w:eastAsia="宋体" w:cs="Times New Roman"/>
                <w:sz w:val="24"/>
              </w:rPr>
              <w:t>能够</w:t>
            </w:r>
            <w:r>
              <w:rPr>
                <w:rFonts w:ascii="Times New Roman" w:hAnsi="Times New Roman" w:eastAsia="宋体" w:cs="Times New Roman"/>
                <w:sz w:val="24"/>
                <w:szCs w:val="21"/>
              </w:rPr>
              <w:t>掌握</w:t>
            </w:r>
            <w:r>
              <w:rPr>
                <w:rFonts w:ascii="Times New Roman" w:hAnsi="Times New Roman" w:eastAsia="宋体" w:cs="Times New Roman"/>
                <w:bCs/>
                <w:sz w:val="24"/>
              </w:rPr>
              <w:t>符号化思想</w:t>
            </w:r>
          </w:p>
          <w:p w14:paraId="5676C336">
            <w:pPr>
              <w:spacing w:line="300" w:lineRule="auto"/>
              <w:rPr>
                <w:rFonts w:ascii="Times New Roman" w:hAnsi="Times New Roman" w:eastAsia="宋体" w:cs="Times New Roman"/>
                <w:bCs/>
                <w:sz w:val="24"/>
              </w:rPr>
            </w:pPr>
            <w:r>
              <w:rPr>
                <w:rFonts w:ascii="Times New Roman" w:hAnsi="Times New Roman" w:eastAsia="宋体" w:cs="Times New Roman"/>
                <w:bCs/>
                <w:sz w:val="24"/>
              </w:rPr>
              <w:t>（3）</w:t>
            </w:r>
            <w:r>
              <w:rPr>
                <w:rFonts w:ascii="Times New Roman" w:hAnsi="Times New Roman" w:eastAsia="宋体" w:cs="Times New Roman"/>
                <w:sz w:val="24"/>
              </w:rPr>
              <w:t>能够</w:t>
            </w:r>
            <w:r>
              <w:rPr>
                <w:rFonts w:ascii="Times New Roman" w:hAnsi="Times New Roman" w:eastAsia="宋体" w:cs="Times New Roman"/>
                <w:sz w:val="24"/>
                <w:szCs w:val="21"/>
              </w:rPr>
              <w:t>掌握</w:t>
            </w:r>
            <w:r>
              <w:rPr>
                <w:rFonts w:ascii="Times New Roman" w:hAnsi="Times New Roman" w:eastAsia="宋体" w:cs="Times New Roman"/>
                <w:bCs/>
                <w:sz w:val="24"/>
              </w:rPr>
              <w:t>分类思想</w:t>
            </w:r>
          </w:p>
          <w:p w14:paraId="252BDBCA">
            <w:pPr>
              <w:spacing w:line="300" w:lineRule="auto"/>
              <w:rPr>
                <w:rFonts w:ascii="Times New Roman" w:hAnsi="Times New Roman" w:eastAsia="宋体" w:cs="Times New Roman"/>
                <w:bCs/>
                <w:sz w:val="24"/>
              </w:rPr>
            </w:pPr>
            <w:r>
              <w:rPr>
                <w:rFonts w:ascii="Times New Roman" w:hAnsi="Times New Roman" w:eastAsia="宋体" w:cs="Times New Roman"/>
                <w:bCs/>
                <w:sz w:val="24"/>
              </w:rPr>
              <w:t>（4）</w:t>
            </w:r>
            <w:r>
              <w:rPr>
                <w:rFonts w:ascii="Times New Roman" w:hAnsi="Times New Roman" w:eastAsia="宋体" w:cs="Times New Roman"/>
                <w:sz w:val="24"/>
              </w:rPr>
              <w:t>能够</w:t>
            </w:r>
            <w:r>
              <w:rPr>
                <w:rFonts w:ascii="Times New Roman" w:hAnsi="Times New Roman" w:eastAsia="宋体" w:cs="Times New Roman"/>
                <w:sz w:val="24"/>
                <w:szCs w:val="21"/>
              </w:rPr>
              <w:t>了解</w:t>
            </w:r>
            <w:r>
              <w:rPr>
                <w:rFonts w:ascii="Times New Roman" w:hAnsi="Times New Roman" w:eastAsia="宋体" w:cs="Times New Roman"/>
                <w:bCs/>
                <w:sz w:val="24"/>
              </w:rPr>
              <w:t>集合思想</w:t>
            </w:r>
          </w:p>
          <w:p w14:paraId="1E9BA0D0">
            <w:pPr>
              <w:spacing w:line="300" w:lineRule="auto"/>
              <w:rPr>
                <w:rFonts w:ascii="Times New Roman" w:hAnsi="Times New Roman" w:eastAsia="宋体" w:cs="Times New Roman"/>
                <w:bCs/>
                <w:sz w:val="24"/>
              </w:rPr>
            </w:pPr>
            <w:r>
              <w:rPr>
                <w:rFonts w:ascii="Times New Roman" w:hAnsi="Times New Roman" w:eastAsia="宋体" w:cs="Times New Roman"/>
                <w:bCs/>
                <w:sz w:val="24"/>
              </w:rPr>
              <w:t>（5）</w:t>
            </w:r>
            <w:r>
              <w:rPr>
                <w:rFonts w:ascii="Times New Roman" w:hAnsi="Times New Roman" w:eastAsia="宋体" w:cs="Times New Roman"/>
                <w:sz w:val="24"/>
              </w:rPr>
              <w:t>能够</w:t>
            </w:r>
            <w:r>
              <w:rPr>
                <w:rFonts w:ascii="Times New Roman" w:hAnsi="Times New Roman" w:eastAsia="宋体" w:cs="Times New Roman"/>
                <w:sz w:val="24"/>
                <w:szCs w:val="21"/>
              </w:rPr>
              <w:t>了解</w:t>
            </w:r>
            <w:r>
              <w:rPr>
                <w:rFonts w:ascii="Times New Roman" w:hAnsi="Times New Roman" w:eastAsia="宋体" w:cs="Times New Roman"/>
                <w:bCs/>
                <w:sz w:val="24"/>
              </w:rPr>
              <w:t>变中有不变思想</w:t>
            </w:r>
          </w:p>
          <w:p w14:paraId="53750987">
            <w:pPr>
              <w:spacing w:line="300" w:lineRule="auto"/>
              <w:rPr>
                <w:rFonts w:ascii="Times New Roman" w:hAnsi="Times New Roman" w:eastAsia="宋体" w:cs="Times New Roman"/>
                <w:bCs/>
                <w:sz w:val="24"/>
              </w:rPr>
            </w:pPr>
            <w:r>
              <w:rPr>
                <w:rFonts w:ascii="Times New Roman" w:hAnsi="Times New Roman" w:eastAsia="宋体" w:cs="Times New Roman"/>
                <w:bCs/>
                <w:sz w:val="24"/>
              </w:rPr>
              <w:t>（6）</w:t>
            </w:r>
            <w:r>
              <w:rPr>
                <w:rFonts w:ascii="Times New Roman" w:hAnsi="Times New Roman" w:eastAsia="宋体" w:cs="Times New Roman"/>
                <w:sz w:val="24"/>
              </w:rPr>
              <w:t>能够</w:t>
            </w:r>
            <w:r>
              <w:rPr>
                <w:rFonts w:ascii="Times New Roman" w:hAnsi="Times New Roman" w:eastAsia="宋体" w:cs="Times New Roman"/>
                <w:sz w:val="24"/>
                <w:szCs w:val="21"/>
              </w:rPr>
              <w:t>理解</w:t>
            </w:r>
            <w:r>
              <w:rPr>
                <w:rFonts w:ascii="Times New Roman" w:hAnsi="Times New Roman" w:eastAsia="宋体" w:cs="Times New Roman"/>
                <w:bCs/>
                <w:sz w:val="24"/>
              </w:rPr>
              <w:t>有限与无限思想</w:t>
            </w:r>
          </w:p>
          <w:p w14:paraId="4BFB6233">
            <w:pPr>
              <w:spacing w:line="269" w:lineRule="auto"/>
              <w:jc w:val="left"/>
              <w:rPr>
                <w:rFonts w:hint="eastAsia" w:ascii="宋体" w:hAnsi="宋体" w:eastAsia="宋体" w:cs="Times New Roman"/>
                <w:color w:val="000000"/>
                <w:szCs w:val="21"/>
              </w:rPr>
            </w:pPr>
          </w:p>
        </w:tc>
        <w:tc>
          <w:tcPr>
            <w:tcW w:w="1077" w:type="dxa"/>
            <w:vAlign w:val="center"/>
          </w:tcPr>
          <w:p w14:paraId="05F3166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223" w:type="dxa"/>
            <w:vAlign w:val="center"/>
          </w:tcPr>
          <w:p w14:paraId="59AFE32E">
            <w:pPr>
              <w:spacing w:line="360" w:lineRule="auto"/>
              <w:rPr>
                <w:rFonts w:ascii="Times New Roman" w:hAnsi="Times New Roman" w:eastAsia="宋体" w:cs="Times New Roman"/>
                <w:color w:val="000000"/>
                <w:sz w:val="24"/>
              </w:rPr>
            </w:pPr>
            <w:r>
              <w:rPr>
                <w:rFonts w:hint="eastAsia" w:ascii="Times New Roman" w:hAnsi="Times New Roman" w:eastAsia="宋体" w:cs="Times New Roman"/>
                <w:color w:val="000000"/>
                <w:sz w:val="24"/>
              </w:rPr>
              <w:t>了解掌握</w:t>
            </w:r>
            <w:r>
              <w:rPr>
                <w:rFonts w:ascii="Times New Roman" w:hAnsi="Times New Roman" w:eastAsia="宋体" w:cs="Times New Roman"/>
                <w:bCs/>
                <w:sz w:val="24"/>
              </w:rPr>
              <w:t>抽象思想，符号化思想，分类思想，有限与无限思想</w:t>
            </w:r>
            <w:r>
              <w:rPr>
                <w:rFonts w:ascii="Times New Roman" w:hAnsi="Times New Roman" w:eastAsia="宋体" w:cs="Times New Roman"/>
                <w:sz w:val="24"/>
                <w:szCs w:val="21"/>
              </w:rPr>
              <w:t>。</w:t>
            </w:r>
          </w:p>
          <w:p w14:paraId="4BAB5385">
            <w:pPr>
              <w:spacing w:line="360" w:lineRule="auto"/>
              <w:rPr>
                <w:rFonts w:ascii="Calibri" w:hAnsi="Calibri" w:eastAsia="宋体" w:cs="Times New Roman"/>
                <w:sz w:val="24"/>
              </w:rPr>
            </w:pPr>
          </w:p>
          <w:p w14:paraId="06B0002B">
            <w:pPr>
              <w:spacing w:line="269" w:lineRule="auto"/>
              <w:jc w:val="left"/>
              <w:rPr>
                <w:rFonts w:hint="eastAsia" w:ascii="宋体" w:hAnsi="宋体" w:eastAsia="宋体" w:cs="Times New Roman"/>
                <w:color w:val="000000"/>
                <w:szCs w:val="21"/>
              </w:rPr>
            </w:pPr>
          </w:p>
        </w:tc>
        <w:tc>
          <w:tcPr>
            <w:tcW w:w="1615" w:type="dxa"/>
            <w:vAlign w:val="center"/>
          </w:tcPr>
          <w:p w14:paraId="290325D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78CFC07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5517456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78CE9F3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r>
      <w:tr w14:paraId="0EEF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continue"/>
            <w:vAlign w:val="center"/>
          </w:tcPr>
          <w:p w14:paraId="76C6B040">
            <w:pPr>
              <w:spacing w:line="264" w:lineRule="auto"/>
              <w:jc w:val="center"/>
              <w:rPr>
                <w:rFonts w:hint="eastAsia" w:ascii="宋体" w:hAnsi="宋体" w:eastAsia="宋体" w:cs="Times New Roman"/>
                <w:color w:val="000000"/>
                <w:szCs w:val="21"/>
              </w:rPr>
            </w:pPr>
          </w:p>
        </w:tc>
        <w:tc>
          <w:tcPr>
            <w:tcW w:w="7847" w:type="dxa"/>
            <w:gridSpan w:val="4"/>
            <w:vAlign w:val="center"/>
          </w:tcPr>
          <w:p w14:paraId="3F64892D">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4D72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restart"/>
            <w:vAlign w:val="center"/>
          </w:tcPr>
          <w:p w14:paraId="0FA8CE2F">
            <w:pPr>
              <w:spacing w:line="264" w:lineRule="auto"/>
              <w:jc w:val="center"/>
              <w:rPr>
                <w:rFonts w:hint="eastAsia" w:ascii="宋体" w:hAnsi="宋体" w:eastAsia="宋体" w:cs="Times New Roman"/>
                <w:color w:val="000000"/>
                <w:szCs w:val="21"/>
              </w:rPr>
            </w:pPr>
            <w:r>
              <w:rPr>
                <w:rFonts w:hint="eastAsia" w:ascii="Times New Roman" w:hAnsi="Times New Roman" w:eastAsia="宋体" w:cs="Times New Roman"/>
                <w:sz w:val="24"/>
              </w:rPr>
              <w:t>3.</w:t>
            </w:r>
            <w:r>
              <w:rPr>
                <w:rFonts w:ascii="Times New Roman" w:hAnsi="Times New Roman" w:eastAsia="宋体" w:cs="Times New Roman"/>
                <w:sz w:val="24"/>
              </w:rPr>
              <w:t>与推理有关的数学思想</w:t>
            </w:r>
          </w:p>
        </w:tc>
        <w:tc>
          <w:tcPr>
            <w:tcW w:w="2932" w:type="dxa"/>
            <w:vAlign w:val="center"/>
          </w:tcPr>
          <w:p w14:paraId="59FA894F">
            <w:pPr>
              <w:widowControl/>
              <w:spacing w:line="300" w:lineRule="auto"/>
              <w:rPr>
                <w:rFonts w:ascii="Times New Roman" w:hAnsi="Times New Roman" w:eastAsia="宋体" w:cs="Times New Roman"/>
                <w:bCs/>
                <w:sz w:val="24"/>
              </w:rPr>
            </w:pPr>
            <w:r>
              <w:rPr>
                <w:rFonts w:ascii="Times New Roman" w:hAnsi="Times New Roman" w:eastAsia="宋体" w:cs="Times New Roman"/>
                <w:bCs/>
                <w:sz w:val="24"/>
              </w:rPr>
              <w:t>（1）</w:t>
            </w:r>
            <w:r>
              <w:rPr>
                <w:rFonts w:ascii="Times New Roman" w:hAnsi="Times New Roman" w:eastAsia="宋体" w:cs="Times New Roman"/>
                <w:sz w:val="24"/>
              </w:rPr>
              <w:t>能够</w:t>
            </w:r>
            <w:r>
              <w:rPr>
                <w:rFonts w:ascii="Times New Roman" w:hAnsi="Times New Roman" w:eastAsia="宋体" w:cs="Times New Roman"/>
                <w:sz w:val="24"/>
                <w:szCs w:val="21"/>
              </w:rPr>
              <w:t>掌握</w:t>
            </w:r>
            <w:r>
              <w:rPr>
                <w:rFonts w:ascii="Times New Roman" w:hAnsi="Times New Roman" w:eastAsia="宋体" w:cs="Times New Roman"/>
                <w:bCs/>
                <w:sz w:val="24"/>
              </w:rPr>
              <w:t>归纳推理</w:t>
            </w:r>
          </w:p>
          <w:p w14:paraId="7B728A4A">
            <w:pPr>
              <w:widowControl/>
              <w:spacing w:line="300" w:lineRule="auto"/>
              <w:rPr>
                <w:rFonts w:ascii="Times New Roman" w:hAnsi="Times New Roman" w:eastAsia="宋体" w:cs="Times New Roman"/>
                <w:bCs/>
                <w:sz w:val="24"/>
              </w:rPr>
            </w:pPr>
            <w:r>
              <w:rPr>
                <w:rFonts w:ascii="Times New Roman" w:hAnsi="Times New Roman" w:eastAsia="宋体" w:cs="Times New Roman"/>
                <w:bCs/>
                <w:sz w:val="24"/>
              </w:rPr>
              <w:t>（2）</w:t>
            </w:r>
            <w:r>
              <w:rPr>
                <w:rFonts w:ascii="Times New Roman" w:hAnsi="Times New Roman" w:eastAsia="宋体" w:cs="Times New Roman"/>
                <w:sz w:val="24"/>
              </w:rPr>
              <w:t>能够</w:t>
            </w:r>
            <w:r>
              <w:rPr>
                <w:rFonts w:ascii="Times New Roman" w:hAnsi="Times New Roman" w:eastAsia="宋体" w:cs="Times New Roman"/>
                <w:sz w:val="24"/>
                <w:szCs w:val="21"/>
              </w:rPr>
              <w:t>理解</w:t>
            </w:r>
            <w:r>
              <w:rPr>
                <w:rFonts w:ascii="Times New Roman" w:hAnsi="Times New Roman" w:eastAsia="宋体" w:cs="Times New Roman"/>
                <w:bCs/>
                <w:sz w:val="24"/>
              </w:rPr>
              <w:t>类比推理</w:t>
            </w:r>
          </w:p>
          <w:p w14:paraId="74303CFB">
            <w:pPr>
              <w:widowControl/>
              <w:spacing w:line="300" w:lineRule="auto"/>
              <w:rPr>
                <w:rFonts w:ascii="Times New Roman" w:hAnsi="Times New Roman" w:eastAsia="宋体" w:cs="Times New Roman"/>
                <w:bCs/>
                <w:sz w:val="24"/>
              </w:rPr>
            </w:pPr>
            <w:r>
              <w:rPr>
                <w:rFonts w:ascii="Times New Roman" w:hAnsi="Times New Roman" w:eastAsia="宋体" w:cs="Times New Roman"/>
                <w:bCs/>
                <w:sz w:val="24"/>
              </w:rPr>
              <w:t>（3）</w:t>
            </w:r>
            <w:r>
              <w:rPr>
                <w:rFonts w:ascii="Times New Roman" w:hAnsi="Times New Roman" w:eastAsia="宋体" w:cs="Times New Roman"/>
                <w:sz w:val="24"/>
              </w:rPr>
              <w:t>能够</w:t>
            </w:r>
            <w:r>
              <w:rPr>
                <w:rFonts w:ascii="Times New Roman" w:hAnsi="Times New Roman" w:eastAsia="宋体" w:cs="Times New Roman"/>
                <w:sz w:val="24"/>
                <w:szCs w:val="21"/>
              </w:rPr>
              <w:t>掌握</w:t>
            </w:r>
            <w:r>
              <w:rPr>
                <w:rFonts w:ascii="Times New Roman" w:hAnsi="Times New Roman" w:eastAsia="宋体" w:cs="Times New Roman"/>
                <w:bCs/>
                <w:sz w:val="24"/>
              </w:rPr>
              <w:t>演绎推理</w:t>
            </w:r>
          </w:p>
          <w:p w14:paraId="79A04C03">
            <w:pPr>
              <w:widowControl/>
              <w:spacing w:line="300" w:lineRule="auto"/>
              <w:rPr>
                <w:rFonts w:ascii="Times New Roman" w:hAnsi="Times New Roman" w:eastAsia="宋体" w:cs="Times New Roman"/>
                <w:bCs/>
                <w:sz w:val="24"/>
              </w:rPr>
            </w:pPr>
            <w:r>
              <w:rPr>
                <w:rFonts w:ascii="Times New Roman" w:hAnsi="Times New Roman" w:eastAsia="宋体" w:cs="Times New Roman"/>
                <w:bCs/>
                <w:sz w:val="24"/>
              </w:rPr>
              <w:t>（4）</w:t>
            </w:r>
            <w:r>
              <w:rPr>
                <w:rFonts w:ascii="Times New Roman" w:hAnsi="Times New Roman" w:eastAsia="宋体" w:cs="Times New Roman"/>
                <w:sz w:val="24"/>
              </w:rPr>
              <w:t>能够</w:t>
            </w:r>
            <w:r>
              <w:rPr>
                <w:rFonts w:ascii="Times New Roman" w:hAnsi="Times New Roman" w:eastAsia="宋体" w:cs="Times New Roman"/>
                <w:sz w:val="24"/>
                <w:szCs w:val="21"/>
              </w:rPr>
              <w:t>理解</w:t>
            </w:r>
            <w:r>
              <w:rPr>
                <w:rFonts w:ascii="Times New Roman" w:hAnsi="Times New Roman" w:eastAsia="宋体" w:cs="Times New Roman"/>
                <w:bCs/>
                <w:sz w:val="24"/>
              </w:rPr>
              <w:t>转化思想</w:t>
            </w:r>
          </w:p>
          <w:p w14:paraId="1590FF69">
            <w:pPr>
              <w:widowControl/>
              <w:spacing w:line="300" w:lineRule="auto"/>
              <w:rPr>
                <w:rFonts w:ascii="Times New Roman" w:hAnsi="Times New Roman" w:eastAsia="宋体" w:cs="Times New Roman"/>
                <w:bCs/>
                <w:sz w:val="24"/>
              </w:rPr>
            </w:pPr>
            <w:r>
              <w:rPr>
                <w:rFonts w:ascii="Times New Roman" w:hAnsi="Times New Roman" w:eastAsia="宋体" w:cs="Times New Roman"/>
                <w:bCs/>
                <w:sz w:val="24"/>
              </w:rPr>
              <w:t>（5）</w:t>
            </w:r>
            <w:r>
              <w:rPr>
                <w:rFonts w:ascii="Times New Roman" w:hAnsi="Times New Roman" w:eastAsia="宋体" w:cs="Times New Roman"/>
                <w:sz w:val="24"/>
              </w:rPr>
              <w:t>能够</w:t>
            </w:r>
            <w:r>
              <w:rPr>
                <w:rFonts w:ascii="Times New Roman" w:hAnsi="Times New Roman" w:eastAsia="宋体" w:cs="Times New Roman"/>
                <w:sz w:val="24"/>
                <w:szCs w:val="21"/>
              </w:rPr>
              <w:t>掌握</w:t>
            </w:r>
            <w:r>
              <w:rPr>
                <w:rFonts w:ascii="Times New Roman" w:hAnsi="Times New Roman" w:eastAsia="宋体" w:cs="Times New Roman"/>
                <w:bCs/>
                <w:sz w:val="24"/>
              </w:rPr>
              <w:t>数形结合思想</w:t>
            </w:r>
          </w:p>
          <w:p w14:paraId="76A31D68">
            <w:pPr>
              <w:widowControl/>
              <w:spacing w:line="300" w:lineRule="auto"/>
              <w:rPr>
                <w:rFonts w:ascii="Times New Roman" w:hAnsi="Times New Roman" w:eastAsia="宋体" w:cs="Times New Roman"/>
                <w:bCs/>
                <w:sz w:val="24"/>
              </w:rPr>
            </w:pPr>
            <w:r>
              <w:rPr>
                <w:rFonts w:ascii="Times New Roman" w:hAnsi="Times New Roman" w:eastAsia="宋体" w:cs="Times New Roman"/>
                <w:bCs/>
                <w:sz w:val="24"/>
              </w:rPr>
              <w:t>（6）</w:t>
            </w:r>
            <w:r>
              <w:rPr>
                <w:rFonts w:ascii="Times New Roman" w:hAnsi="Times New Roman" w:eastAsia="宋体" w:cs="Times New Roman"/>
                <w:sz w:val="24"/>
              </w:rPr>
              <w:t>能够</w:t>
            </w:r>
            <w:r>
              <w:rPr>
                <w:rFonts w:ascii="Times New Roman" w:hAnsi="Times New Roman" w:eastAsia="宋体" w:cs="Times New Roman"/>
                <w:sz w:val="24"/>
                <w:szCs w:val="21"/>
              </w:rPr>
              <w:t>了解</w:t>
            </w:r>
            <w:r>
              <w:rPr>
                <w:rFonts w:ascii="Times New Roman" w:hAnsi="Times New Roman" w:eastAsia="宋体" w:cs="Times New Roman"/>
                <w:bCs/>
                <w:sz w:val="24"/>
              </w:rPr>
              <w:t>几何变换思想</w:t>
            </w:r>
          </w:p>
          <w:p w14:paraId="6AAC1CCF">
            <w:pPr>
              <w:widowControl/>
              <w:spacing w:line="300" w:lineRule="auto"/>
              <w:rPr>
                <w:rFonts w:ascii="Times New Roman" w:hAnsi="Times New Roman" w:eastAsia="宋体" w:cs="Times New Roman"/>
                <w:bCs/>
                <w:sz w:val="24"/>
              </w:rPr>
            </w:pPr>
            <w:r>
              <w:rPr>
                <w:rFonts w:ascii="Times New Roman" w:hAnsi="Times New Roman" w:eastAsia="宋体" w:cs="Times New Roman"/>
                <w:bCs/>
                <w:sz w:val="24"/>
              </w:rPr>
              <w:t>（7）</w:t>
            </w:r>
            <w:r>
              <w:rPr>
                <w:rFonts w:ascii="Times New Roman" w:hAnsi="Times New Roman" w:eastAsia="宋体" w:cs="Times New Roman"/>
                <w:sz w:val="24"/>
              </w:rPr>
              <w:t>能够</w:t>
            </w:r>
            <w:r>
              <w:rPr>
                <w:rFonts w:ascii="Times New Roman" w:hAnsi="Times New Roman" w:eastAsia="宋体" w:cs="Times New Roman"/>
                <w:sz w:val="24"/>
                <w:szCs w:val="21"/>
              </w:rPr>
              <w:t>理解</w:t>
            </w:r>
            <w:r>
              <w:rPr>
                <w:rFonts w:ascii="Times New Roman" w:hAnsi="Times New Roman" w:eastAsia="宋体" w:cs="Times New Roman"/>
                <w:bCs/>
                <w:sz w:val="24"/>
              </w:rPr>
              <w:t>极限思想</w:t>
            </w:r>
          </w:p>
          <w:p w14:paraId="67DA1F1E">
            <w:pPr>
              <w:widowControl/>
              <w:spacing w:line="300" w:lineRule="auto"/>
              <w:rPr>
                <w:rFonts w:ascii="Times New Roman" w:hAnsi="Times New Roman" w:eastAsia="宋体" w:cs="Times New Roman"/>
                <w:bCs/>
                <w:sz w:val="24"/>
              </w:rPr>
            </w:pPr>
            <w:r>
              <w:rPr>
                <w:rFonts w:ascii="Times New Roman" w:hAnsi="Times New Roman" w:eastAsia="宋体" w:cs="Times New Roman"/>
                <w:bCs/>
                <w:sz w:val="24"/>
              </w:rPr>
              <w:t>（8）</w:t>
            </w:r>
            <w:r>
              <w:rPr>
                <w:rFonts w:ascii="Times New Roman" w:hAnsi="Times New Roman" w:eastAsia="宋体" w:cs="Times New Roman"/>
                <w:sz w:val="24"/>
              </w:rPr>
              <w:t>能够</w:t>
            </w:r>
            <w:r>
              <w:rPr>
                <w:rFonts w:ascii="Times New Roman" w:hAnsi="Times New Roman" w:eastAsia="宋体" w:cs="Times New Roman"/>
                <w:sz w:val="24"/>
                <w:szCs w:val="21"/>
              </w:rPr>
              <w:t>掌握</w:t>
            </w:r>
            <w:r>
              <w:rPr>
                <w:rFonts w:ascii="Times New Roman" w:hAnsi="Times New Roman" w:eastAsia="宋体" w:cs="Times New Roman"/>
                <w:bCs/>
                <w:sz w:val="24"/>
              </w:rPr>
              <w:t>代换思想</w:t>
            </w:r>
          </w:p>
          <w:p w14:paraId="35E8ADA5">
            <w:pPr>
              <w:spacing w:line="269" w:lineRule="auto"/>
              <w:jc w:val="left"/>
              <w:rPr>
                <w:rFonts w:hint="eastAsia" w:ascii="宋体" w:hAnsi="宋体" w:eastAsia="宋体" w:cs="Times New Roman"/>
                <w:color w:val="000000"/>
                <w:szCs w:val="21"/>
              </w:rPr>
            </w:pPr>
          </w:p>
        </w:tc>
        <w:tc>
          <w:tcPr>
            <w:tcW w:w="1077" w:type="dxa"/>
            <w:vAlign w:val="center"/>
          </w:tcPr>
          <w:p w14:paraId="3A5A746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223" w:type="dxa"/>
            <w:vAlign w:val="center"/>
          </w:tcPr>
          <w:p w14:paraId="3B313923">
            <w:pPr>
              <w:spacing w:line="360" w:lineRule="auto"/>
              <w:rPr>
                <w:rFonts w:ascii="Times New Roman" w:hAnsi="Times New Roman" w:eastAsia="宋体" w:cs="Times New Roman"/>
                <w:color w:val="000000"/>
                <w:sz w:val="24"/>
              </w:rPr>
            </w:pPr>
            <w:r>
              <w:rPr>
                <w:rFonts w:hint="eastAsia" w:ascii="Times New Roman" w:hAnsi="Times New Roman" w:eastAsia="宋体" w:cs="Times New Roman"/>
                <w:bCs/>
                <w:sz w:val="24"/>
              </w:rPr>
              <w:t>了解掌握</w:t>
            </w:r>
            <w:r>
              <w:rPr>
                <w:rFonts w:ascii="Times New Roman" w:hAnsi="Times New Roman" w:eastAsia="宋体" w:cs="Times New Roman"/>
                <w:bCs/>
                <w:sz w:val="24"/>
              </w:rPr>
              <w:t>归纳推理，类比推理，转化思想，数形结合思想，几何变换思想，极限思想</w:t>
            </w:r>
            <w:r>
              <w:rPr>
                <w:rFonts w:ascii="Times New Roman" w:hAnsi="Times New Roman" w:eastAsia="宋体" w:cs="Times New Roman"/>
                <w:color w:val="000000"/>
                <w:sz w:val="24"/>
              </w:rPr>
              <w:t>。</w:t>
            </w:r>
          </w:p>
          <w:p w14:paraId="6A69CEC0">
            <w:pPr>
              <w:spacing w:line="269" w:lineRule="auto"/>
              <w:jc w:val="left"/>
              <w:rPr>
                <w:rFonts w:hint="eastAsia" w:ascii="宋体" w:hAnsi="宋体" w:eastAsia="宋体" w:cs="Times New Roman"/>
                <w:color w:val="000000"/>
                <w:szCs w:val="21"/>
              </w:rPr>
            </w:pPr>
          </w:p>
        </w:tc>
        <w:tc>
          <w:tcPr>
            <w:tcW w:w="1615" w:type="dxa"/>
            <w:vAlign w:val="center"/>
          </w:tcPr>
          <w:p w14:paraId="782D902F">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701659F">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p>
          <w:p w14:paraId="5BA432B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3.课堂讨论</w:t>
            </w:r>
          </w:p>
          <w:p w14:paraId="45399767">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r>
      <w:tr w14:paraId="1697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continue"/>
            <w:vAlign w:val="center"/>
          </w:tcPr>
          <w:p w14:paraId="2E89CDCA">
            <w:pPr>
              <w:spacing w:line="264" w:lineRule="auto"/>
              <w:jc w:val="center"/>
              <w:rPr>
                <w:rFonts w:hint="eastAsia" w:ascii="宋体" w:hAnsi="宋体" w:eastAsia="宋体" w:cs="Times New Roman"/>
                <w:color w:val="000000"/>
                <w:szCs w:val="21"/>
              </w:rPr>
            </w:pPr>
          </w:p>
        </w:tc>
        <w:tc>
          <w:tcPr>
            <w:tcW w:w="7847" w:type="dxa"/>
            <w:gridSpan w:val="4"/>
            <w:vAlign w:val="center"/>
          </w:tcPr>
          <w:p w14:paraId="77A88231">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0E1D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restart"/>
            <w:vAlign w:val="center"/>
          </w:tcPr>
          <w:p w14:paraId="4C3F8AC6">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与模型有关的数学思想</w:t>
            </w:r>
          </w:p>
          <w:p w14:paraId="3CBBA11A">
            <w:pPr>
              <w:spacing w:line="276" w:lineRule="auto"/>
              <w:jc w:val="center"/>
              <w:rPr>
                <w:rFonts w:hint="eastAsia" w:ascii="宋体" w:hAnsi="宋体" w:eastAsia="宋体" w:cs="Times New Roman"/>
                <w:color w:val="000000"/>
                <w:szCs w:val="21"/>
              </w:rPr>
            </w:pPr>
          </w:p>
        </w:tc>
        <w:tc>
          <w:tcPr>
            <w:tcW w:w="2932" w:type="dxa"/>
            <w:vAlign w:val="center"/>
          </w:tcPr>
          <w:p w14:paraId="05202DC1">
            <w:pPr>
              <w:spacing w:line="300" w:lineRule="auto"/>
              <w:rPr>
                <w:rFonts w:ascii="Times New Roman" w:hAnsi="Times New Roman" w:eastAsia="宋体" w:cs="Times New Roman"/>
                <w:sz w:val="24"/>
              </w:rPr>
            </w:pPr>
            <w:r>
              <w:rPr>
                <w:rFonts w:ascii="Times New Roman" w:hAnsi="Times New Roman" w:eastAsia="宋体" w:cs="Times New Roman"/>
                <w:sz w:val="24"/>
              </w:rPr>
              <w:t>（1）能够</w:t>
            </w:r>
            <w:r>
              <w:rPr>
                <w:rFonts w:ascii="Times New Roman" w:hAnsi="Times New Roman" w:eastAsia="宋体" w:cs="Times New Roman"/>
                <w:sz w:val="24"/>
                <w:szCs w:val="21"/>
              </w:rPr>
              <w:t>了解</w:t>
            </w:r>
            <w:r>
              <w:rPr>
                <w:rFonts w:ascii="Times New Roman" w:hAnsi="Times New Roman" w:eastAsia="宋体" w:cs="Times New Roman"/>
                <w:sz w:val="24"/>
              </w:rPr>
              <w:t>模型思想</w:t>
            </w:r>
          </w:p>
          <w:p w14:paraId="3E87E748">
            <w:pPr>
              <w:spacing w:line="300" w:lineRule="auto"/>
              <w:rPr>
                <w:rFonts w:ascii="Times New Roman" w:hAnsi="Times New Roman" w:eastAsia="宋体" w:cs="Times New Roman"/>
                <w:sz w:val="24"/>
              </w:rPr>
            </w:pPr>
            <w:r>
              <w:rPr>
                <w:rFonts w:ascii="Times New Roman" w:hAnsi="Times New Roman" w:eastAsia="宋体" w:cs="Times New Roman"/>
                <w:sz w:val="24"/>
              </w:rPr>
              <w:t>（2）能够</w:t>
            </w:r>
            <w:r>
              <w:rPr>
                <w:rFonts w:ascii="Times New Roman" w:hAnsi="Times New Roman" w:eastAsia="宋体" w:cs="Times New Roman"/>
                <w:sz w:val="24"/>
                <w:szCs w:val="21"/>
              </w:rPr>
              <w:t>理解</w:t>
            </w:r>
            <w:r>
              <w:rPr>
                <w:rFonts w:ascii="Times New Roman" w:hAnsi="Times New Roman" w:eastAsia="宋体" w:cs="Times New Roman"/>
                <w:sz w:val="24"/>
              </w:rPr>
              <w:t>方程思想</w:t>
            </w:r>
          </w:p>
          <w:p w14:paraId="7EC08866">
            <w:pPr>
              <w:spacing w:line="300" w:lineRule="auto"/>
              <w:rPr>
                <w:rFonts w:ascii="Times New Roman" w:hAnsi="Times New Roman" w:eastAsia="宋体" w:cs="Times New Roman"/>
                <w:sz w:val="24"/>
              </w:rPr>
            </w:pPr>
            <w:r>
              <w:rPr>
                <w:rFonts w:ascii="Times New Roman" w:hAnsi="Times New Roman" w:eastAsia="宋体" w:cs="Times New Roman"/>
                <w:sz w:val="24"/>
              </w:rPr>
              <w:t>（3）能够</w:t>
            </w:r>
            <w:r>
              <w:rPr>
                <w:rFonts w:ascii="Times New Roman" w:hAnsi="Times New Roman" w:eastAsia="宋体" w:cs="Times New Roman"/>
                <w:sz w:val="24"/>
                <w:szCs w:val="21"/>
              </w:rPr>
              <w:t>理解</w:t>
            </w:r>
            <w:r>
              <w:rPr>
                <w:rFonts w:ascii="Times New Roman" w:hAnsi="Times New Roman" w:eastAsia="宋体" w:cs="Times New Roman"/>
                <w:sz w:val="24"/>
              </w:rPr>
              <w:t>函数思想</w:t>
            </w:r>
          </w:p>
          <w:p w14:paraId="3B3DA9B1">
            <w:pPr>
              <w:spacing w:line="300" w:lineRule="auto"/>
              <w:rPr>
                <w:rFonts w:ascii="Times New Roman" w:hAnsi="Times New Roman" w:eastAsia="宋体" w:cs="Times New Roman"/>
                <w:sz w:val="24"/>
              </w:rPr>
            </w:pPr>
            <w:r>
              <w:rPr>
                <w:rFonts w:ascii="Times New Roman" w:hAnsi="Times New Roman" w:eastAsia="宋体" w:cs="Times New Roman"/>
                <w:sz w:val="24"/>
              </w:rPr>
              <w:t>（4）能够</w:t>
            </w:r>
            <w:r>
              <w:rPr>
                <w:rFonts w:ascii="Times New Roman" w:hAnsi="Times New Roman" w:eastAsia="宋体" w:cs="Times New Roman"/>
                <w:sz w:val="24"/>
                <w:szCs w:val="21"/>
              </w:rPr>
              <w:t>理解</w:t>
            </w:r>
            <w:r>
              <w:rPr>
                <w:rFonts w:ascii="Times New Roman" w:hAnsi="Times New Roman" w:eastAsia="宋体" w:cs="Times New Roman"/>
                <w:sz w:val="24"/>
              </w:rPr>
              <w:t>优化思想</w:t>
            </w:r>
          </w:p>
          <w:p w14:paraId="47A3AFDC">
            <w:pPr>
              <w:spacing w:line="300" w:lineRule="auto"/>
              <w:rPr>
                <w:rFonts w:ascii="Times New Roman" w:hAnsi="Times New Roman" w:eastAsia="宋体" w:cs="Times New Roman"/>
                <w:sz w:val="24"/>
              </w:rPr>
            </w:pPr>
            <w:r>
              <w:rPr>
                <w:rFonts w:ascii="Times New Roman" w:hAnsi="Times New Roman" w:eastAsia="宋体" w:cs="Times New Roman"/>
                <w:sz w:val="24"/>
              </w:rPr>
              <w:t>（5）能够</w:t>
            </w:r>
            <w:r>
              <w:rPr>
                <w:rFonts w:ascii="Times New Roman" w:hAnsi="Times New Roman" w:eastAsia="宋体" w:cs="Times New Roman"/>
                <w:sz w:val="24"/>
                <w:szCs w:val="21"/>
              </w:rPr>
              <w:t>了解</w:t>
            </w:r>
            <w:r>
              <w:rPr>
                <w:rFonts w:ascii="Times New Roman" w:hAnsi="Times New Roman" w:eastAsia="宋体" w:cs="Times New Roman"/>
                <w:sz w:val="24"/>
              </w:rPr>
              <w:t>统计思想</w:t>
            </w:r>
          </w:p>
          <w:p w14:paraId="6D9E6C7A">
            <w:pPr>
              <w:spacing w:line="300" w:lineRule="auto"/>
              <w:rPr>
                <w:rFonts w:ascii="Times New Roman" w:hAnsi="Times New Roman" w:eastAsia="宋体" w:cs="Times New Roman"/>
                <w:sz w:val="24"/>
              </w:rPr>
            </w:pPr>
            <w:r>
              <w:rPr>
                <w:rFonts w:ascii="Times New Roman" w:hAnsi="Times New Roman" w:eastAsia="宋体" w:cs="Times New Roman"/>
                <w:sz w:val="24"/>
              </w:rPr>
              <w:t>（6）能够</w:t>
            </w:r>
            <w:r>
              <w:rPr>
                <w:rFonts w:ascii="Times New Roman" w:hAnsi="Times New Roman" w:eastAsia="宋体" w:cs="Times New Roman"/>
                <w:sz w:val="24"/>
                <w:szCs w:val="21"/>
              </w:rPr>
              <w:t>了解</w:t>
            </w:r>
            <w:r>
              <w:rPr>
                <w:rFonts w:ascii="Times New Roman" w:hAnsi="Times New Roman" w:eastAsia="宋体" w:cs="Times New Roman"/>
                <w:sz w:val="24"/>
              </w:rPr>
              <w:t>随机思想</w:t>
            </w:r>
          </w:p>
          <w:p w14:paraId="71B47130">
            <w:pPr>
              <w:spacing w:line="276" w:lineRule="auto"/>
              <w:jc w:val="left"/>
              <w:rPr>
                <w:rFonts w:hint="eastAsia" w:ascii="宋体" w:hAnsi="宋体" w:eastAsia="宋体" w:cs="Times New Roman"/>
                <w:color w:val="000000"/>
                <w:szCs w:val="21"/>
              </w:rPr>
            </w:pPr>
          </w:p>
        </w:tc>
        <w:tc>
          <w:tcPr>
            <w:tcW w:w="1077" w:type="dxa"/>
            <w:vAlign w:val="center"/>
          </w:tcPr>
          <w:p w14:paraId="32673BC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223" w:type="dxa"/>
            <w:vAlign w:val="center"/>
          </w:tcPr>
          <w:p w14:paraId="3D6DB03D">
            <w:pPr>
              <w:spacing w:line="360" w:lineRule="auto"/>
              <w:rPr>
                <w:rFonts w:ascii="Times New Roman" w:hAnsi="Times New Roman" w:eastAsia="宋体" w:cs="Times New Roman"/>
                <w:color w:val="000000"/>
                <w:sz w:val="24"/>
              </w:rPr>
            </w:pPr>
            <w:r>
              <w:rPr>
                <w:rFonts w:hint="eastAsia" w:ascii="Times New Roman" w:hAnsi="Times New Roman" w:eastAsia="宋体" w:cs="Times New Roman"/>
                <w:sz w:val="24"/>
              </w:rPr>
              <w:t>了解掌握</w:t>
            </w:r>
            <w:r>
              <w:rPr>
                <w:rFonts w:ascii="Times New Roman" w:hAnsi="Times New Roman" w:eastAsia="宋体" w:cs="Times New Roman"/>
                <w:sz w:val="24"/>
              </w:rPr>
              <w:t>方程思想，模型思想，函数思想，优化思想，统计思想</w:t>
            </w:r>
            <w:r>
              <w:rPr>
                <w:rFonts w:ascii="Times New Roman" w:hAnsi="Times New Roman" w:eastAsia="宋体" w:cs="Times New Roman"/>
                <w:color w:val="000000"/>
                <w:sz w:val="24"/>
              </w:rPr>
              <w:t>。</w:t>
            </w:r>
          </w:p>
          <w:p w14:paraId="340EF7AA">
            <w:pPr>
              <w:spacing w:line="360" w:lineRule="auto"/>
              <w:rPr>
                <w:rFonts w:ascii="Calibri" w:hAnsi="Calibri" w:eastAsia="宋体" w:cs="Times New Roman"/>
                <w:sz w:val="24"/>
              </w:rPr>
            </w:pPr>
          </w:p>
          <w:p w14:paraId="3D4016FD">
            <w:pPr>
              <w:spacing w:line="276" w:lineRule="auto"/>
              <w:jc w:val="left"/>
              <w:rPr>
                <w:rFonts w:hint="eastAsia" w:ascii="宋体" w:hAnsi="宋体" w:eastAsia="宋体" w:cs="Times New Roman"/>
                <w:color w:val="000000"/>
                <w:szCs w:val="21"/>
              </w:rPr>
            </w:pPr>
          </w:p>
        </w:tc>
        <w:tc>
          <w:tcPr>
            <w:tcW w:w="1615" w:type="dxa"/>
            <w:vAlign w:val="center"/>
          </w:tcPr>
          <w:p w14:paraId="5EBEC6C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7DC4BC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p>
          <w:p w14:paraId="3953234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3.课堂讨论</w:t>
            </w:r>
          </w:p>
          <w:p w14:paraId="457E01E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r>
      <w:tr w14:paraId="427A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continue"/>
            <w:vAlign w:val="center"/>
          </w:tcPr>
          <w:p w14:paraId="0D81D67D">
            <w:pPr>
              <w:spacing w:line="276" w:lineRule="auto"/>
              <w:jc w:val="center"/>
              <w:rPr>
                <w:rFonts w:hint="eastAsia" w:ascii="宋体" w:hAnsi="宋体" w:eastAsia="宋体" w:cs="Times New Roman"/>
                <w:color w:val="000000"/>
                <w:szCs w:val="21"/>
              </w:rPr>
            </w:pPr>
          </w:p>
        </w:tc>
        <w:tc>
          <w:tcPr>
            <w:tcW w:w="7847" w:type="dxa"/>
            <w:gridSpan w:val="4"/>
            <w:vAlign w:val="center"/>
          </w:tcPr>
          <w:p w14:paraId="490E3E58">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0B1A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restart"/>
            <w:vAlign w:val="center"/>
          </w:tcPr>
          <w:p w14:paraId="738CC2A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 w:val="24"/>
              </w:rPr>
              <w:t>5.</w:t>
            </w:r>
            <w:r>
              <w:rPr>
                <w:rFonts w:ascii="宋体" w:hAnsi="宋体" w:eastAsia="宋体" w:cs="Times New Roman"/>
                <w:color w:val="000000"/>
                <w:sz w:val="24"/>
              </w:rPr>
              <w:t>其他数学思想方法</w:t>
            </w:r>
          </w:p>
        </w:tc>
        <w:tc>
          <w:tcPr>
            <w:tcW w:w="2932" w:type="dxa"/>
            <w:vAlign w:val="center"/>
          </w:tcPr>
          <w:p w14:paraId="7A137346">
            <w:pPr>
              <w:spacing w:line="300" w:lineRule="auto"/>
              <w:rPr>
                <w:rFonts w:ascii="Times New Roman" w:hAnsi="Times New Roman" w:eastAsia="宋体" w:cs="Times New Roman"/>
                <w:bCs/>
                <w:kern w:val="24"/>
                <w:sz w:val="24"/>
              </w:rPr>
            </w:pPr>
            <w:r>
              <w:rPr>
                <w:rFonts w:ascii="Times New Roman" w:hAnsi="Times New Roman" w:eastAsia="宋体" w:cs="Times New Roman"/>
                <w:bCs/>
                <w:kern w:val="24"/>
                <w:sz w:val="24"/>
              </w:rPr>
              <w:t>（1）</w:t>
            </w:r>
            <w:r>
              <w:rPr>
                <w:rFonts w:ascii="Times New Roman" w:hAnsi="Times New Roman" w:eastAsia="宋体" w:cs="Times New Roman"/>
                <w:sz w:val="24"/>
              </w:rPr>
              <w:t>能够</w:t>
            </w:r>
            <w:r>
              <w:rPr>
                <w:rFonts w:ascii="Times New Roman" w:hAnsi="Times New Roman" w:eastAsia="宋体" w:cs="Times New Roman"/>
                <w:sz w:val="24"/>
                <w:szCs w:val="21"/>
              </w:rPr>
              <w:t>了解</w:t>
            </w:r>
            <w:r>
              <w:rPr>
                <w:rFonts w:ascii="Times New Roman" w:hAnsi="Times New Roman" w:eastAsia="宋体" w:cs="Times New Roman"/>
                <w:bCs/>
                <w:kern w:val="24"/>
                <w:sz w:val="24"/>
              </w:rPr>
              <w:t>数学美思想（了解）</w:t>
            </w:r>
          </w:p>
          <w:p w14:paraId="573A4E12">
            <w:pPr>
              <w:spacing w:line="300" w:lineRule="auto"/>
              <w:rPr>
                <w:rFonts w:ascii="Times New Roman" w:hAnsi="Times New Roman" w:eastAsia="宋体" w:cs="Times New Roman"/>
                <w:bCs/>
                <w:kern w:val="11"/>
                <w:sz w:val="24"/>
              </w:rPr>
            </w:pPr>
            <w:r>
              <w:rPr>
                <w:rFonts w:ascii="Times New Roman" w:hAnsi="Times New Roman" w:eastAsia="宋体" w:cs="Times New Roman"/>
                <w:bCs/>
                <w:kern w:val="11"/>
                <w:sz w:val="24"/>
              </w:rPr>
              <w:t>（2）</w:t>
            </w:r>
            <w:r>
              <w:rPr>
                <w:rFonts w:ascii="Times New Roman" w:hAnsi="Times New Roman" w:eastAsia="宋体" w:cs="Times New Roman"/>
                <w:sz w:val="24"/>
              </w:rPr>
              <w:t>能够</w:t>
            </w:r>
            <w:r>
              <w:rPr>
                <w:rFonts w:ascii="Times New Roman" w:hAnsi="Times New Roman" w:eastAsia="宋体" w:cs="Times New Roman"/>
                <w:sz w:val="24"/>
                <w:szCs w:val="21"/>
              </w:rPr>
              <w:t>理解</w:t>
            </w:r>
            <w:r>
              <w:rPr>
                <w:rFonts w:ascii="Times New Roman" w:hAnsi="Times New Roman" w:eastAsia="宋体" w:cs="Times New Roman"/>
                <w:bCs/>
                <w:kern w:val="11"/>
                <w:sz w:val="24"/>
              </w:rPr>
              <w:t>分析法和综合法（理解）</w:t>
            </w:r>
          </w:p>
          <w:p w14:paraId="72D1FC4D">
            <w:pPr>
              <w:spacing w:line="300" w:lineRule="auto"/>
              <w:rPr>
                <w:rFonts w:ascii="Times New Roman" w:hAnsi="Times New Roman" w:eastAsia="宋体" w:cs="Times New Roman"/>
                <w:bCs/>
                <w:kern w:val="11"/>
                <w:sz w:val="24"/>
              </w:rPr>
            </w:pPr>
            <w:r>
              <w:rPr>
                <w:rFonts w:ascii="Times New Roman" w:hAnsi="Times New Roman" w:eastAsia="宋体" w:cs="Times New Roman"/>
                <w:bCs/>
                <w:kern w:val="11"/>
                <w:sz w:val="24"/>
              </w:rPr>
              <w:t>（3）</w:t>
            </w:r>
            <w:r>
              <w:rPr>
                <w:rFonts w:ascii="Times New Roman" w:hAnsi="Times New Roman" w:eastAsia="宋体" w:cs="Times New Roman"/>
                <w:sz w:val="24"/>
              </w:rPr>
              <w:t>能够</w:t>
            </w:r>
            <w:r>
              <w:rPr>
                <w:rFonts w:ascii="Times New Roman" w:hAnsi="Times New Roman" w:eastAsia="宋体" w:cs="Times New Roman"/>
                <w:sz w:val="24"/>
                <w:szCs w:val="21"/>
              </w:rPr>
              <w:t>掌握</w:t>
            </w:r>
            <w:r>
              <w:rPr>
                <w:rFonts w:ascii="Times New Roman" w:hAnsi="Times New Roman" w:eastAsia="宋体" w:cs="Times New Roman"/>
                <w:bCs/>
                <w:kern w:val="11"/>
                <w:sz w:val="24"/>
              </w:rPr>
              <w:t xml:space="preserve"> 反证法</w:t>
            </w:r>
            <w:r>
              <w:rPr>
                <w:rFonts w:ascii="Times New Roman" w:hAnsi="Times New Roman" w:eastAsia="宋体" w:cs="Times New Roman"/>
                <w:bCs/>
                <w:sz w:val="24"/>
              </w:rPr>
              <w:t>（掌握）</w:t>
            </w:r>
          </w:p>
          <w:p w14:paraId="7CC90829">
            <w:pPr>
              <w:spacing w:line="300" w:lineRule="auto"/>
              <w:rPr>
                <w:rFonts w:ascii="Times New Roman" w:hAnsi="Times New Roman" w:eastAsia="宋体" w:cs="Times New Roman"/>
                <w:bCs/>
                <w:kern w:val="11"/>
                <w:sz w:val="24"/>
              </w:rPr>
            </w:pPr>
            <w:r>
              <w:rPr>
                <w:rFonts w:ascii="Times New Roman" w:hAnsi="Times New Roman" w:eastAsia="宋体" w:cs="Times New Roman"/>
                <w:bCs/>
                <w:kern w:val="11"/>
                <w:sz w:val="24"/>
              </w:rPr>
              <w:t>（4）</w:t>
            </w:r>
            <w:r>
              <w:rPr>
                <w:rFonts w:ascii="Times New Roman" w:hAnsi="Times New Roman" w:eastAsia="宋体" w:cs="Times New Roman"/>
                <w:sz w:val="24"/>
              </w:rPr>
              <w:t>能够</w:t>
            </w:r>
            <w:r>
              <w:rPr>
                <w:rFonts w:ascii="Times New Roman" w:hAnsi="Times New Roman" w:eastAsia="宋体" w:cs="Times New Roman"/>
                <w:sz w:val="24"/>
                <w:szCs w:val="21"/>
              </w:rPr>
              <w:t>掌握</w:t>
            </w:r>
            <w:r>
              <w:rPr>
                <w:rFonts w:ascii="Times New Roman" w:hAnsi="Times New Roman" w:eastAsia="宋体" w:cs="Times New Roman"/>
                <w:bCs/>
                <w:kern w:val="11"/>
                <w:sz w:val="24"/>
              </w:rPr>
              <w:t>假设法</w:t>
            </w:r>
            <w:r>
              <w:rPr>
                <w:rFonts w:ascii="Times New Roman" w:hAnsi="Times New Roman" w:eastAsia="宋体" w:cs="Times New Roman"/>
                <w:bCs/>
                <w:sz w:val="24"/>
              </w:rPr>
              <w:t>（掌握）</w:t>
            </w:r>
          </w:p>
          <w:p w14:paraId="474B0634">
            <w:pPr>
              <w:spacing w:line="300" w:lineRule="auto"/>
              <w:rPr>
                <w:rFonts w:ascii="Times New Roman" w:hAnsi="Times New Roman" w:eastAsia="宋体" w:cs="Times New Roman"/>
                <w:bCs/>
                <w:kern w:val="11"/>
                <w:sz w:val="24"/>
              </w:rPr>
            </w:pPr>
            <w:r>
              <w:rPr>
                <w:rFonts w:ascii="Times New Roman" w:hAnsi="Times New Roman" w:eastAsia="宋体" w:cs="Times New Roman"/>
                <w:bCs/>
                <w:kern w:val="11"/>
                <w:sz w:val="24"/>
              </w:rPr>
              <w:t>（5）</w:t>
            </w:r>
            <w:r>
              <w:rPr>
                <w:rFonts w:ascii="Times New Roman" w:hAnsi="Times New Roman" w:eastAsia="宋体" w:cs="Times New Roman"/>
                <w:sz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rPr>
              <w:t>穷举法</w:t>
            </w:r>
            <w:r>
              <w:rPr>
                <w:rFonts w:ascii="Times New Roman" w:hAnsi="Times New Roman" w:eastAsia="宋体" w:cs="Times New Roman"/>
                <w:bCs/>
                <w:sz w:val="24"/>
              </w:rPr>
              <w:t>（了解）</w:t>
            </w:r>
          </w:p>
          <w:p w14:paraId="2439D5BB">
            <w:pPr>
              <w:spacing w:line="300" w:lineRule="auto"/>
              <w:rPr>
                <w:rFonts w:ascii="Times New Roman" w:hAnsi="Times New Roman" w:eastAsia="宋体" w:cs="Times New Roman"/>
                <w:bCs/>
                <w:kern w:val="11"/>
                <w:sz w:val="24"/>
              </w:rPr>
            </w:pPr>
            <w:r>
              <w:rPr>
                <w:rFonts w:ascii="Times New Roman" w:hAnsi="Times New Roman" w:eastAsia="宋体" w:cs="Times New Roman"/>
                <w:bCs/>
                <w:kern w:val="11"/>
                <w:sz w:val="24"/>
              </w:rPr>
              <w:t>（6）</w:t>
            </w:r>
            <w:r>
              <w:rPr>
                <w:rFonts w:ascii="Times New Roman" w:hAnsi="Times New Roman" w:eastAsia="宋体" w:cs="Times New Roman"/>
                <w:sz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rPr>
              <w:t>数学思想方法的综合应用</w:t>
            </w:r>
            <w:r>
              <w:rPr>
                <w:rFonts w:ascii="Times New Roman" w:hAnsi="Times New Roman" w:eastAsia="宋体" w:cs="Times New Roman"/>
                <w:bCs/>
                <w:sz w:val="24"/>
              </w:rPr>
              <w:t>（了解）</w:t>
            </w:r>
          </w:p>
          <w:p w14:paraId="59C91C6E">
            <w:pPr>
              <w:spacing w:line="276" w:lineRule="auto"/>
              <w:jc w:val="left"/>
              <w:rPr>
                <w:rFonts w:hint="eastAsia" w:ascii="宋体" w:hAnsi="宋体" w:eastAsia="宋体" w:cs="Times New Roman"/>
                <w:color w:val="000000"/>
                <w:szCs w:val="21"/>
              </w:rPr>
            </w:pPr>
          </w:p>
        </w:tc>
        <w:tc>
          <w:tcPr>
            <w:tcW w:w="1077" w:type="dxa"/>
            <w:vAlign w:val="center"/>
          </w:tcPr>
          <w:p w14:paraId="13549C5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223" w:type="dxa"/>
            <w:vAlign w:val="center"/>
          </w:tcPr>
          <w:p w14:paraId="2FFDF95D">
            <w:pPr>
              <w:spacing w:line="360" w:lineRule="auto"/>
              <w:rPr>
                <w:rFonts w:ascii="Times New Roman" w:hAnsi="Times New Roman" w:eastAsia="宋体" w:cs="Times New Roman"/>
                <w:color w:val="000000"/>
                <w:sz w:val="24"/>
              </w:rPr>
            </w:pPr>
            <w:r>
              <w:rPr>
                <w:rFonts w:hint="eastAsia" w:ascii="Times New Roman" w:hAnsi="Times New Roman" w:eastAsia="宋体" w:cs="Times New Roman"/>
                <w:bCs/>
                <w:kern w:val="11"/>
                <w:sz w:val="24"/>
              </w:rPr>
              <w:t>了解掌握</w:t>
            </w:r>
            <w:r>
              <w:rPr>
                <w:rFonts w:ascii="Times New Roman" w:hAnsi="Times New Roman" w:eastAsia="宋体" w:cs="Times New Roman"/>
                <w:bCs/>
                <w:kern w:val="11"/>
                <w:sz w:val="24"/>
              </w:rPr>
              <w:t>数学美思想，分析法和综合法，反证法，数学思想方法的综合应用</w:t>
            </w:r>
            <w:r>
              <w:rPr>
                <w:rFonts w:ascii="Times New Roman" w:hAnsi="Times New Roman" w:eastAsia="宋体" w:cs="Times New Roman"/>
                <w:color w:val="000000"/>
                <w:sz w:val="24"/>
              </w:rPr>
              <w:t>。</w:t>
            </w:r>
          </w:p>
          <w:p w14:paraId="3D543D20">
            <w:pPr>
              <w:spacing w:line="276" w:lineRule="auto"/>
              <w:jc w:val="left"/>
              <w:rPr>
                <w:rFonts w:hint="eastAsia" w:ascii="宋体" w:hAnsi="宋体" w:eastAsia="宋体" w:cs="Times New Roman"/>
                <w:color w:val="000000"/>
                <w:szCs w:val="21"/>
              </w:rPr>
            </w:pPr>
          </w:p>
        </w:tc>
        <w:tc>
          <w:tcPr>
            <w:tcW w:w="1615" w:type="dxa"/>
            <w:vAlign w:val="center"/>
          </w:tcPr>
          <w:p w14:paraId="63B9D46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B1592A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p>
          <w:p w14:paraId="35A930A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3.课堂讨论</w:t>
            </w:r>
          </w:p>
          <w:p w14:paraId="36BCFBF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r>
      <w:tr w14:paraId="533B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vMerge w:val="continue"/>
            <w:vAlign w:val="center"/>
          </w:tcPr>
          <w:p w14:paraId="077022C9">
            <w:pPr>
              <w:spacing w:line="276" w:lineRule="auto"/>
              <w:jc w:val="center"/>
              <w:rPr>
                <w:rFonts w:hint="eastAsia" w:ascii="宋体" w:hAnsi="宋体" w:eastAsia="宋体" w:cs="Times New Roman"/>
                <w:color w:val="000000"/>
                <w:szCs w:val="21"/>
              </w:rPr>
            </w:pPr>
          </w:p>
        </w:tc>
        <w:tc>
          <w:tcPr>
            <w:tcW w:w="7847" w:type="dxa"/>
            <w:gridSpan w:val="4"/>
            <w:vAlign w:val="center"/>
          </w:tcPr>
          <w:p w14:paraId="73F32E11">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2A93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1" w:type="dxa"/>
            <w:vMerge w:val="restart"/>
            <w:vAlign w:val="center"/>
          </w:tcPr>
          <w:p w14:paraId="2123EF5F">
            <w:pPr>
              <w:spacing w:line="276" w:lineRule="auto"/>
              <w:jc w:val="center"/>
              <w:rPr>
                <w:rFonts w:hint="eastAsia" w:ascii="宋体" w:hAnsi="宋体" w:eastAsia="宋体" w:cs="Times New Roman"/>
                <w:color w:val="000000"/>
                <w:sz w:val="24"/>
              </w:rPr>
            </w:pPr>
          </w:p>
          <w:p w14:paraId="7AA2C635">
            <w:pPr>
              <w:spacing w:line="276" w:lineRule="auto"/>
              <w:jc w:val="center"/>
              <w:rPr>
                <w:rFonts w:hint="eastAsia" w:ascii="宋体" w:hAnsi="宋体" w:eastAsia="宋体" w:cs="Times New Roman"/>
                <w:color w:val="000000"/>
                <w:sz w:val="24"/>
              </w:rPr>
            </w:pPr>
          </w:p>
          <w:p w14:paraId="519AD005">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6.</w:t>
            </w:r>
            <w:r>
              <w:rPr>
                <w:rFonts w:ascii="宋体" w:hAnsi="宋体" w:eastAsia="宋体" w:cs="Times New Roman"/>
                <w:color w:val="000000"/>
                <w:sz w:val="24"/>
              </w:rPr>
              <w:t>分组讨论教学——小学数学教学</w:t>
            </w:r>
          </w:p>
          <w:p w14:paraId="3B2B37E4">
            <w:pPr>
              <w:spacing w:line="276" w:lineRule="auto"/>
              <w:jc w:val="center"/>
              <w:rPr>
                <w:rFonts w:hint="eastAsia" w:ascii="宋体" w:hAnsi="宋体" w:eastAsia="宋体" w:cs="Times New Roman"/>
                <w:color w:val="000000"/>
                <w:szCs w:val="21"/>
              </w:rPr>
            </w:pPr>
          </w:p>
        </w:tc>
        <w:tc>
          <w:tcPr>
            <w:tcW w:w="2932" w:type="dxa"/>
            <w:vAlign w:val="center"/>
          </w:tcPr>
          <w:p w14:paraId="040C0B23">
            <w:pPr>
              <w:spacing w:line="300" w:lineRule="auto"/>
              <w:jc w:val="left"/>
              <w:rPr>
                <w:rFonts w:ascii="Times New Roman" w:hAnsi="Times New Roman" w:eastAsia="宋体" w:cs="Times New Roman"/>
                <w:bCs/>
                <w:kern w:val="11"/>
                <w:sz w:val="24"/>
              </w:rPr>
            </w:pPr>
            <w:r>
              <w:rPr>
                <w:rFonts w:hint="eastAsia" w:ascii="Times New Roman" w:hAnsi="Times New Roman" w:eastAsia="宋体" w:cs="Times New Roman"/>
                <w:sz w:val="24"/>
              </w:rPr>
              <w:t>（1）</w:t>
            </w:r>
            <w:r>
              <w:rPr>
                <w:rFonts w:ascii="Times New Roman" w:hAnsi="Times New Roman" w:eastAsia="宋体" w:cs="Times New Roman"/>
                <w:sz w:val="24"/>
              </w:rPr>
              <w:t>能够</w:t>
            </w:r>
            <w:r>
              <w:rPr>
                <w:rFonts w:ascii="Times New Roman" w:hAnsi="Times New Roman" w:eastAsia="宋体" w:cs="Times New Roman"/>
                <w:sz w:val="24"/>
                <w:szCs w:val="21"/>
              </w:rPr>
              <w:t>掌握</w:t>
            </w:r>
            <w:r>
              <w:rPr>
                <w:rFonts w:ascii="Times New Roman" w:hAnsi="Times New Roman" w:eastAsia="宋体" w:cs="Times New Roman"/>
                <w:bCs/>
                <w:kern w:val="11"/>
                <w:sz w:val="24"/>
              </w:rPr>
              <w:t>结合案例分组讨论教学</w:t>
            </w:r>
          </w:p>
          <w:p w14:paraId="5D13E101">
            <w:pPr>
              <w:spacing w:line="300" w:lineRule="auto"/>
              <w:jc w:val="left"/>
              <w:rPr>
                <w:rFonts w:ascii="Times New Roman" w:hAnsi="Times New Roman" w:eastAsia="宋体" w:cs="Times New Roman"/>
                <w:bCs/>
                <w:kern w:val="11"/>
                <w:sz w:val="24"/>
              </w:rPr>
            </w:pPr>
            <w:r>
              <w:rPr>
                <w:rFonts w:ascii="Times New Roman" w:hAnsi="Times New Roman" w:eastAsia="宋体" w:cs="Times New Roman"/>
                <w:bCs/>
                <w:kern w:val="11"/>
                <w:sz w:val="24"/>
              </w:rPr>
              <w:t>（2）</w:t>
            </w:r>
            <w:r>
              <w:rPr>
                <w:rFonts w:ascii="Times New Roman" w:hAnsi="Times New Roman" w:eastAsia="宋体" w:cs="Times New Roman"/>
                <w:sz w:val="24"/>
              </w:rPr>
              <w:t>能够</w:t>
            </w:r>
            <w:r>
              <w:rPr>
                <w:rFonts w:ascii="Times New Roman" w:hAnsi="Times New Roman" w:eastAsia="宋体" w:cs="Times New Roman"/>
                <w:sz w:val="24"/>
                <w:szCs w:val="21"/>
              </w:rPr>
              <w:t>掌握</w:t>
            </w:r>
            <w:r>
              <w:rPr>
                <w:rFonts w:ascii="Times New Roman" w:hAnsi="Times New Roman" w:eastAsia="宋体" w:cs="Times New Roman"/>
                <w:bCs/>
                <w:kern w:val="11"/>
                <w:sz w:val="24"/>
              </w:rPr>
              <w:t>各组派代表上讲台教学</w:t>
            </w:r>
          </w:p>
          <w:p w14:paraId="5EABD268">
            <w:pPr>
              <w:spacing w:line="360" w:lineRule="auto"/>
              <w:ind w:firstLine="422" w:firstLineChars="200"/>
              <w:rPr>
                <w:rFonts w:hint="eastAsia" w:ascii="宋体" w:hAnsi="宋体" w:eastAsia="宋体" w:cs="Times New Roman"/>
                <w:b/>
                <w:color w:val="000000"/>
                <w:szCs w:val="21"/>
              </w:rPr>
            </w:pPr>
          </w:p>
          <w:p w14:paraId="00B3C0F8">
            <w:pPr>
              <w:spacing w:line="360" w:lineRule="auto"/>
              <w:ind w:firstLine="422" w:firstLineChars="200"/>
              <w:rPr>
                <w:rFonts w:hint="eastAsia" w:ascii="宋体" w:hAnsi="宋体" w:eastAsia="宋体" w:cs="Times New Roman"/>
                <w:b/>
                <w:color w:val="000000"/>
                <w:szCs w:val="21"/>
              </w:rPr>
            </w:pPr>
          </w:p>
        </w:tc>
        <w:tc>
          <w:tcPr>
            <w:tcW w:w="1077" w:type="dxa"/>
            <w:vAlign w:val="center"/>
          </w:tcPr>
          <w:p w14:paraId="0AFE8DC3">
            <w:pPr>
              <w:spacing w:line="360" w:lineRule="auto"/>
              <w:jc w:val="center"/>
              <w:rPr>
                <w:rFonts w:hint="eastAsia" w:ascii="宋体" w:hAnsi="宋体" w:eastAsia="宋体" w:cs="Times New Roman"/>
                <w:color w:val="000000"/>
                <w:szCs w:val="21"/>
              </w:rPr>
            </w:pPr>
          </w:p>
          <w:p w14:paraId="629136FF">
            <w:pPr>
              <w:spacing w:line="360" w:lineRule="auto"/>
              <w:jc w:val="center"/>
              <w:rPr>
                <w:rFonts w:hint="eastAsia" w:ascii="宋体" w:hAnsi="宋体" w:eastAsia="宋体" w:cs="Times New Roman"/>
                <w:color w:val="000000"/>
                <w:szCs w:val="21"/>
              </w:rPr>
            </w:pPr>
          </w:p>
          <w:p w14:paraId="77F7D313">
            <w:pPr>
              <w:spacing w:line="360" w:lineRule="auto"/>
              <w:rPr>
                <w:rFonts w:hint="eastAsia" w:ascii="宋体" w:hAnsi="宋体" w:eastAsia="宋体" w:cs="Times New Roman"/>
                <w:b/>
                <w:color w:val="000000"/>
                <w:szCs w:val="21"/>
              </w:rPr>
            </w:pPr>
            <w:r>
              <w:rPr>
                <w:rFonts w:hint="eastAsia" w:ascii="宋体" w:hAnsi="宋体" w:eastAsia="宋体" w:cs="Times New Roman"/>
                <w:color w:val="000000"/>
                <w:szCs w:val="21"/>
              </w:rPr>
              <w:t>课程目标1、2</w:t>
            </w:r>
          </w:p>
        </w:tc>
        <w:tc>
          <w:tcPr>
            <w:tcW w:w="2223" w:type="dxa"/>
            <w:vAlign w:val="center"/>
          </w:tcPr>
          <w:p w14:paraId="796980C7">
            <w:pPr>
              <w:spacing w:line="360" w:lineRule="auto"/>
              <w:rPr>
                <w:rFonts w:ascii="Times New Roman" w:hAnsi="Times New Roman" w:eastAsia="宋体" w:cs="Times New Roman"/>
                <w:bCs/>
                <w:kern w:val="11"/>
                <w:sz w:val="24"/>
              </w:rPr>
            </w:pPr>
          </w:p>
          <w:p w14:paraId="5F7E3C51">
            <w:pPr>
              <w:spacing w:line="360" w:lineRule="auto"/>
              <w:rPr>
                <w:rFonts w:ascii="Times New Roman" w:hAnsi="Times New Roman" w:eastAsia="宋体" w:cs="Times New Roman"/>
                <w:bCs/>
                <w:kern w:val="11"/>
                <w:sz w:val="24"/>
              </w:rPr>
            </w:pPr>
          </w:p>
          <w:p w14:paraId="08DCCA2B">
            <w:pPr>
              <w:spacing w:line="360" w:lineRule="auto"/>
              <w:rPr>
                <w:rFonts w:hint="eastAsia" w:ascii="宋体" w:hAnsi="宋体" w:eastAsia="宋体" w:cs="Times New Roman"/>
                <w:b/>
                <w:color w:val="000000"/>
                <w:szCs w:val="21"/>
              </w:rPr>
            </w:pPr>
            <w:r>
              <w:rPr>
                <w:rFonts w:hint="eastAsia" w:ascii="Times New Roman" w:hAnsi="Times New Roman" w:eastAsia="宋体" w:cs="Times New Roman"/>
                <w:bCs/>
                <w:kern w:val="11"/>
                <w:sz w:val="24"/>
              </w:rPr>
              <w:t>能够</w:t>
            </w:r>
            <w:r>
              <w:rPr>
                <w:rFonts w:ascii="Times New Roman" w:hAnsi="Times New Roman" w:eastAsia="宋体" w:cs="Times New Roman"/>
                <w:bCs/>
                <w:kern w:val="11"/>
                <w:sz w:val="24"/>
              </w:rPr>
              <w:t>分组讨论教学</w:t>
            </w:r>
            <w:r>
              <w:rPr>
                <w:rFonts w:ascii="Times New Roman" w:hAnsi="Times New Roman" w:eastAsia="宋体" w:cs="Times New Roman"/>
                <w:color w:val="000000"/>
                <w:sz w:val="24"/>
              </w:rPr>
              <w:t>。</w:t>
            </w:r>
          </w:p>
        </w:tc>
        <w:tc>
          <w:tcPr>
            <w:tcW w:w="1615" w:type="dxa"/>
            <w:vAlign w:val="center"/>
          </w:tcPr>
          <w:p w14:paraId="194485D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4CEBDF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p>
          <w:p w14:paraId="3A5A0C5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3.课堂讨论</w:t>
            </w:r>
          </w:p>
          <w:p w14:paraId="2B9913A5">
            <w:pPr>
              <w:spacing w:line="360" w:lineRule="auto"/>
              <w:rPr>
                <w:rFonts w:hint="eastAsia" w:ascii="宋体" w:hAnsi="宋体" w:eastAsia="宋体" w:cs="Times New Roman"/>
                <w:b/>
                <w:color w:val="000000"/>
                <w:szCs w:val="21"/>
              </w:rPr>
            </w:pPr>
            <w:r>
              <w:rPr>
                <w:rFonts w:ascii="宋体" w:hAnsi="宋体" w:eastAsia="宋体" w:cs="Times New Roman"/>
                <w:color w:val="000000"/>
                <w:szCs w:val="21"/>
              </w:rPr>
              <w:t>4.单元测验</w:t>
            </w:r>
          </w:p>
        </w:tc>
      </w:tr>
      <w:tr w14:paraId="23B5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1" w:type="dxa"/>
            <w:vMerge w:val="continue"/>
            <w:vAlign w:val="center"/>
          </w:tcPr>
          <w:p w14:paraId="7236F1BD">
            <w:pPr>
              <w:spacing w:line="360" w:lineRule="auto"/>
              <w:ind w:firstLine="420" w:firstLineChars="200"/>
            </w:pPr>
          </w:p>
        </w:tc>
        <w:tc>
          <w:tcPr>
            <w:tcW w:w="7847" w:type="dxa"/>
            <w:gridSpan w:val="4"/>
            <w:vAlign w:val="center"/>
          </w:tcPr>
          <w:p w14:paraId="40E4C710">
            <w:pPr>
              <w:spacing w:line="336"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bl>
    <w:p w14:paraId="04A69096">
      <w:pPr>
        <w:spacing w:line="336" w:lineRule="auto"/>
        <w:rPr>
          <w:rFonts w:ascii="Times New Roman" w:hAnsi="Times New Roman" w:eastAsia="宋体" w:cs="Times New Roman"/>
          <w:color w:val="000000"/>
          <w:sz w:val="24"/>
        </w:rPr>
      </w:pPr>
    </w:p>
    <w:p w14:paraId="05058FCE">
      <w:pPr>
        <w:spacing w:line="336"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教学内容与课程目标的对应关系及学时分配如表所示。</w:t>
      </w:r>
    </w:p>
    <w:tbl>
      <w:tblPr>
        <w:tblStyle w:val="13"/>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3260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416A85FC">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3476" w:type="dxa"/>
            <w:shd w:val="clear" w:color="auto" w:fill="FFFFFF"/>
            <w:vAlign w:val="center"/>
          </w:tcPr>
          <w:p w14:paraId="2EA2FE9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701" w:type="dxa"/>
            <w:shd w:val="clear" w:color="auto" w:fill="FFFFFF"/>
            <w:vAlign w:val="center"/>
          </w:tcPr>
          <w:p w14:paraId="3E0D01B4">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支撑的课程目标</w:t>
            </w:r>
          </w:p>
        </w:tc>
        <w:tc>
          <w:tcPr>
            <w:tcW w:w="1853" w:type="dxa"/>
            <w:shd w:val="clear" w:color="auto" w:fill="FFFFFF"/>
            <w:vAlign w:val="center"/>
          </w:tcPr>
          <w:p w14:paraId="140727F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支撑的毕业要求</w:t>
            </w:r>
          </w:p>
          <w:p w14:paraId="7195E754">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指标点</w:t>
            </w:r>
          </w:p>
        </w:tc>
        <w:tc>
          <w:tcPr>
            <w:tcW w:w="735" w:type="dxa"/>
            <w:shd w:val="clear" w:color="auto" w:fill="FFFFFF"/>
            <w:vAlign w:val="center"/>
          </w:tcPr>
          <w:p w14:paraId="1ED87A3A">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讲授学时</w:t>
            </w:r>
          </w:p>
        </w:tc>
        <w:tc>
          <w:tcPr>
            <w:tcW w:w="735" w:type="dxa"/>
            <w:shd w:val="clear" w:color="auto" w:fill="FFFFFF"/>
            <w:vAlign w:val="center"/>
          </w:tcPr>
          <w:p w14:paraId="71D5CE85">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2C6D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DE99F5">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3476" w:type="dxa"/>
            <w:vAlign w:val="center"/>
          </w:tcPr>
          <w:p w14:paraId="2AC52CF6">
            <w:pPr>
              <w:jc w:val="center"/>
              <w:rPr>
                <w:rFonts w:ascii="Times New Roman" w:hAnsi="Times New Roman" w:eastAsia="宋体" w:cs="Times New Roman"/>
                <w:szCs w:val="21"/>
              </w:rPr>
            </w:pPr>
            <w:r>
              <w:rPr>
                <w:rFonts w:ascii="Times New Roman" w:hAnsi="Times New Roman" w:eastAsia="宋体" w:cs="Times New Roman"/>
                <w:szCs w:val="21"/>
              </w:rPr>
              <w:t>数学思想方法简介</w:t>
            </w:r>
          </w:p>
        </w:tc>
        <w:tc>
          <w:tcPr>
            <w:tcW w:w="1701" w:type="dxa"/>
            <w:vAlign w:val="center"/>
          </w:tcPr>
          <w:p w14:paraId="695AB4DA">
            <w:pPr>
              <w:jc w:val="center"/>
              <w:rPr>
                <w:rFonts w:ascii="Times New Roman" w:hAnsi="Times New Roman" w:eastAsia="宋体" w:cs="Times New Roman"/>
                <w:szCs w:val="21"/>
              </w:rPr>
            </w:pPr>
            <w:r>
              <w:rPr>
                <w:rFonts w:ascii="Times New Roman" w:hAnsi="Times New Roman" w:eastAsia="宋体" w:cs="Times New Roman"/>
                <w:szCs w:val="21"/>
              </w:rPr>
              <w:t>课程目标1</w:t>
            </w:r>
            <w:r>
              <w:rPr>
                <w:rFonts w:hint="eastAsia" w:ascii="Times New Roman" w:hAnsi="Times New Roman" w:eastAsia="宋体" w:cs="Times New Roman"/>
                <w:szCs w:val="21"/>
              </w:rPr>
              <w:t>、2</w:t>
            </w:r>
          </w:p>
        </w:tc>
        <w:tc>
          <w:tcPr>
            <w:tcW w:w="1853" w:type="dxa"/>
            <w:vAlign w:val="center"/>
          </w:tcPr>
          <w:p w14:paraId="57D90714">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-2</w:t>
            </w:r>
          </w:p>
        </w:tc>
        <w:tc>
          <w:tcPr>
            <w:tcW w:w="735" w:type="dxa"/>
            <w:vAlign w:val="center"/>
          </w:tcPr>
          <w:p w14:paraId="3BF17C15">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735" w:type="dxa"/>
            <w:vAlign w:val="center"/>
          </w:tcPr>
          <w:p w14:paraId="3A320819">
            <w:pPr>
              <w:jc w:val="center"/>
              <w:rPr>
                <w:rFonts w:ascii="Times New Roman" w:hAnsi="Times New Roman" w:eastAsia="宋体" w:cs="Times New Roman"/>
                <w:szCs w:val="21"/>
              </w:rPr>
            </w:pPr>
          </w:p>
        </w:tc>
      </w:tr>
      <w:tr w14:paraId="0435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BE8902">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3476" w:type="dxa"/>
            <w:vAlign w:val="center"/>
          </w:tcPr>
          <w:p w14:paraId="119B1BD3">
            <w:pPr>
              <w:jc w:val="center"/>
              <w:rPr>
                <w:rFonts w:ascii="Times New Roman" w:hAnsi="Times New Roman" w:eastAsia="宋体" w:cs="Times New Roman"/>
                <w:szCs w:val="21"/>
              </w:rPr>
            </w:pPr>
            <w:r>
              <w:rPr>
                <w:rFonts w:ascii="Times New Roman" w:hAnsi="Times New Roman" w:eastAsia="宋体" w:cs="Times New Roman"/>
                <w:szCs w:val="21"/>
              </w:rPr>
              <w:t>与抽象有关的数学思想</w:t>
            </w:r>
          </w:p>
        </w:tc>
        <w:tc>
          <w:tcPr>
            <w:tcW w:w="1701" w:type="dxa"/>
            <w:vAlign w:val="center"/>
          </w:tcPr>
          <w:p w14:paraId="06871824">
            <w:pPr>
              <w:jc w:val="center"/>
              <w:rPr>
                <w:rFonts w:ascii="Times New Roman" w:hAnsi="Times New Roman" w:eastAsia="宋体" w:cs="Times New Roman"/>
                <w:szCs w:val="21"/>
              </w:rPr>
            </w:pPr>
            <w:r>
              <w:rPr>
                <w:rFonts w:ascii="Times New Roman" w:hAnsi="Times New Roman" w:eastAsia="宋体" w:cs="Times New Roman"/>
                <w:szCs w:val="21"/>
              </w:rPr>
              <w:t>课程目标1</w:t>
            </w:r>
            <w:r>
              <w:rPr>
                <w:rFonts w:hint="eastAsia" w:ascii="Times New Roman" w:hAnsi="Times New Roman" w:eastAsia="宋体" w:cs="Times New Roman"/>
                <w:szCs w:val="21"/>
              </w:rPr>
              <w:t>、2</w:t>
            </w:r>
          </w:p>
        </w:tc>
        <w:tc>
          <w:tcPr>
            <w:tcW w:w="1853" w:type="dxa"/>
            <w:vAlign w:val="center"/>
          </w:tcPr>
          <w:p w14:paraId="07B5D02F">
            <w:pPr>
              <w:jc w:val="center"/>
              <w:rPr>
                <w:rFonts w:ascii="Times New Roman" w:hAnsi="Times New Roman" w:eastAsia="宋体" w:cs="Times New Roman"/>
              </w:rPr>
            </w:pPr>
            <w:r>
              <w:rPr>
                <w:rFonts w:ascii="Times New Roman" w:hAnsi="Times New Roman" w:eastAsia="宋体" w:cs="Times New Roman"/>
                <w:szCs w:val="21"/>
              </w:rPr>
              <w:t>3-2</w:t>
            </w:r>
          </w:p>
        </w:tc>
        <w:tc>
          <w:tcPr>
            <w:tcW w:w="735" w:type="dxa"/>
            <w:vAlign w:val="center"/>
          </w:tcPr>
          <w:p w14:paraId="650049E7">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735" w:type="dxa"/>
            <w:vAlign w:val="center"/>
          </w:tcPr>
          <w:p w14:paraId="572010E9">
            <w:pPr>
              <w:jc w:val="center"/>
              <w:rPr>
                <w:rFonts w:ascii="Times New Roman" w:hAnsi="Times New Roman" w:eastAsia="宋体" w:cs="Times New Roman"/>
                <w:szCs w:val="21"/>
              </w:rPr>
            </w:pPr>
          </w:p>
        </w:tc>
      </w:tr>
      <w:tr w14:paraId="2D7B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A487FC9">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3476" w:type="dxa"/>
            <w:vAlign w:val="center"/>
          </w:tcPr>
          <w:p w14:paraId="6A5B01EE">
            <w:pPr>
              <w:jc w:val="center"/>
              <w:rPr>
                <w:rFonts w:ascii="Times New Roman" w:hAnsi="Times New Roman" w:eastAsia="宋体" w:cs="Times New Roman"/>
                <w:szCs w:val="21"/>
              </w:rPr>
            </w:pPr>
            <w:r>
              <w:rPr>
                <w:rFonts w:ascii="Times New Roman" w:hAnsi="Times New Roman" w:eastAsia="宋体" w:cs="Times New Roman"/>
                <w:szCs w:val="21"/>
              </w:rPr>
              <w:t>与推理有关的数学思想</w:t>
            </w:r>
          </w:p>
        </w:tc>
        <w:tc>
          <w:tcPr>
            <w:tcW w:w="1701" w:type="dxa"/>
            <w:vAlign w:val="center"/>
          </w:tcPr>
          <w:p w14:paraId="40660557">
            <w:pPr>
              <w:jc w:val="center"/>
              <w:rPr>
                <w:rFonts w:ascii="Times New Roman" w:hAnsi="Times New Roman" w:eastAsia="宋体" w:cs="Times New Roman"/>
                <w:szCs w:val="21"/>
              </w:rPr>
            </w:pPr>
            <w:r>
              <w:rPr>
                <w:rFonts w:ascii="Times New Roman" w:hAnsi="Times New Roman" w:eastAsia="宋体" w:cs="Times New Roman"/>
                <w:szCs w:val="21"/>
              </w:rPr>
              <w:t>课程目标1</w:t>
            </w:r>
            <w:r>
              <w:rPr>
                <w:rFonts w:hint="eastAsia" w:ascii="Times New Roman" w:hAnsi="Times New Roman" w:eastAsia="宋体" w:cs="Times New Roman"/>
                <w:szCs w:val="21"/>
              </w:rPr>
              <w:t>、2</w:t>
            </w:r>
          </w:p>
        </w:tc>
        <w:tc>
          <w:tcPr>
            <w:tcW w:w="1853" w:type="dxa"/>
            <w:vAlign w:val="center"/>
          </w:tcPr>
          <w:p w14:paraId="24E7BA71">
            <w:pPr>
              <w:jc w:val="center"/>
              <w:rPr>
                <w:rFonts w:ascii="Times New Roman" w:hAnsi="Times New Roman" w:eastAsia="宋体" w:cs="Times New Roman"/>
              </w:rPr>
            </w:pPr>
            <w:r>
              <w:rPr>
                <w:rFonts w:ascii="Times New Roman" w:hAnsi="Times New Roman" w:eastAsia="宋体" w:cs="Times New Roman"/>
                <w:szCs w:val="21"/>
              </w:rPr>
              <w:t>3-2</w:t>
            </w:r>
          </w:p>
        </w:tc>
        <w:tc>
          <w:tcPr>
            <w:tcW w:w="735" w:type="dxa"/>
            <w:vAlign w:val="center"/>
          </w:tcPr>
          <w:p w14:paraId="68E840BD">
            <w:pPr>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735" w:type="dxa"/>
            <w:vAlign w:val="center"/>
          </w:tcPr>
          <w:p w14:paraId="31087BA3">
            <w:pPr>
              <w:jc w:val="center"/>
              <w:rPr>
                <w:rFonts w:ascii="Times New Roman" w:hAnsi="Times New Roman" w:eastAsia="宋体" w:cs="Times New Roman"/>
                <w:szCs w:val="21"/>
              </w:rPr>
            </w:pPr>
          </w:p>
        </w:tc>
      </w:tr>
      <w:tr w14:paraId="51B0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49BCB4B">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3476" w:type="dxa"/>
            <w:vAlign w:val="center"/>
          </w:tcPr>
          <w:p w14:paraId="67D2A30F">
            <w:pPr>
              <w:jc w:val="center"/>
              <w:rPr>
                <w:rFonts w:ascii="Times New Roman" w:hAnsi="Times New Roman" w:eastAsia="宋体" w:cs="Times New Roman"/>
                <w:szCs w:val="21"/>
              </w:rPr>
            </w:pPr>
            <w:r>
              <w:rPr>
                <w:rFonts w:ascii="Times New Roman" w:hAnsi="Times New Roman" w:eastAsia="宋体" w:cs="Times New Roman"/>
                <w:szCs w:val="21"/>
              </w:rPr>
              <w:t>与模型有关的数学思想</w:t>
            </w:r>
          </w:p>
        </w:tc>
        <w:tc>
          <w:tcPr>
            <w:tcW w:w="1701" w:type="dxa"/>
            <w:vAlign w:val="center"/>
          </w:tcPr>
          <w:p w14:paraId="16C653BD">
            <w:pPr>
              <w:jc w:val="center"/>
              <w:rPr>
                <w:rFonts w:ascii="Times New Roman" w:hAnsi="Times New Roman" w:eastAsia="宋体" w:cs="Times New Roman"/>
                <w:szCs w:val="21"/>
              </w:rPr>
            </w:pPr>
            <w:r>
              <w:rPr>
                <w:rFonts w:ascii="Times New Roman" w:hAnsi="Times New Roman" w:eastAsia="宋体" w:cs="Times New Roman"/>
                <w:szCs w:val="21"/>
              </w:rPr>
              <w:t>课程目标1</w:t>
            </w:r>
            <w:r>
              <w:rPr>
                <w:rFonts w:hint="eastAsia" w:ascii="Times New Roman" w:hAnsi="Times New Roman" w:eastAsia="宋体" w:cs="Times New Roman"/>
                <w:szCs w:val="21"/>
              </w:rPr>
              <w:t>、2</w:t>
            </w:r>
          </w:p>
        </w:tc>
        <w:tc>
          <w:tcPr>
            <w:tcW w:w="1853" w:type="dxa"/>
            <w:vAlign w:val="center"/>
          </w:tcPr>
          <w:p w14:paraId="5187329B">
            <w:pPr>
              <w:jc w:val="center"/>
              <w:rPr>
                <w:rFonts w:ascii="Times New Roman" w:hAnsi="Times New Roman" w:eastAsia="宋体" w:cs="Times New Roman"/>
              </w:rPr>
            </w:pPr>
            <w:r>
              <w:rPr>
                <w:rFonts w:ascii="Times New Roman" w:hAnsi="Times New Roman" w:eastAsia="宋体" w:cs="Times New Roman"/>
                <w:szCs w:val="21"/>
              </w:rPr>
              <w:t>3-2</w:t>
            </w:r>
          </w:p>
        </w:tc>
        <w:tc>
          <w:tcPr>
            <w:tcW w:w="735" w:type="dxa"/>
            <w:vAlign w:val="center"/>
          </w:tcPr>
          <w:p w14:paraId="4AAD3FF2">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735" w:type="dxa"/>
            <w:vAlign w:val="center"/>
          </w:tcPr>
          <w:p w14:paraId="737B065F">
            <w:pPr>
              <w:jc w:val="center"/>
              <w:rPr>
                <w:rFonts w:ascii="Times New Roman" w:hAnsi="Times New Roman" w:eastAsia="宋体" w:cs="Times New Roman"/>
                <w:szCs w:val="21"/>
              </w:rPr>
            </w:pPr>
          </w:p>
        </w:tc>
      </w:tr>
      <w:tr w14:paraId="176E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496A748">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3476" w:type="dxa"/>
            <w:vAlign w:val="center"/>
          </w:tcPr>
          <w:p w14:paraId="529C6672">
            <w:pPr>
              <w:jc w:val="center"/>
              <w:rPr>
                <w:rFonts w:ascii="Times New Roman" w:hAnsi="Times New Roman" w:eastAsia="宋体" w:cs="Times New Roman"/>
                <w:szCs w:val="21"/>
              </w:rPr>
            </w:pPr>
            <w:r>
              <w:rPr>
                <w:rFonts w:ascii="Times New Roman" w:hAnsi="Times New Roman" w:eastAsia="宋体" w:cs="Times New Roman"/>
                <w:szCs w:val="21"/>
              </w:rPr>
              <w:t>其他数学思想方法</w:t>
            </w:r>
          </w:p>
        </w:tc>
        <w:tc>
          <w:tcPr>
            <w:tcW w:w="1701" w:type="dxa"/>
            <w:vAlign w:val="center"/>
          </w:tcPr>
          <w:p w14:paraId="551315D4">
            <w:pPr>
              <w:jc w:val="center"/>
              <w:rPr>
                <w:rFonts w:ascii="Times New Roman" w:hAnsi="Times New Roman" w:eastAsia="宋体" w:cs="Times New Roman"/>
                <w:szCs w:val="21"/>
              </w:rPr>
            </w:pPr>
            <w:r>
              <w:rPr>
                <w:rFonts w:ascii="Times New Roman" w:hAnsi="Times New Roman" w:eastAsia="宋体" w:cs="Times New Roman"/>
                <w:szCs w:val="21"/>
              </w:rPr>
              <w:t>课程目标1</w:t>
            </w:r>
            <w:r>
              <w:rPr>
                <w:rFonts w:hint="eastAsia" w:ascii="Times New Roman" w:hAnsi="Times New Roman" w:eastAsia="宋体" w:cs="Times New Roman"/>
                <w:szCs w:val="21"/>
              </w:rPr>
              <w:t>、2</w:t>
            </w:r>
          </w:p>
        </w:tc>
        <w:tc>
          <w:tcPr>
            <w:tcW w:w="1853" w:type="dxa"/>
            <w:vAlign w:val="center"/>
          </w:tcPr>
          <w:p w14:paraId="58394DDD">
            <w:pPr>
              <w:jc w:val="center"/>
              <w:rPr>
                <w:rFonts w:ascii="Times New Roman" w:hAnsi="Times New Roman" w:eastAsia="宋体" w:cs="Times New Roman"/>
              </w:rPr>
            </w:pPr>
            <w:r>
              <w:rPr>
                <w:rFonts w:ascii="Times New Roman" w:hAnsi="Times New Roman" w:eastAsia="宋体" w:cs="Times New Roman"/>
                <w:szCs w:val="21"/>
              </w:rPr>
              <w:t>3-2</w:t>
            </w:r>
          </w:p>
        </w:tc>
        <w:tc>
          <w:tcPr>
            <w:tcW w:w="735" w:type="dxa"/>
            <w:vAlign w:val="center"/>
          </w:tcPr>
          <w:p w14:paraId="296D0E0C">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735" w:type="dxa"/>
            <w:vAlign w:val="center"/>
          </w:tcPr>
          <w:p w14:paraId="57C0B860">
            <w:pPr>
              <w:jc w:val="center"/>
              <w:rPr>
                <w:rFonts w:ascii="Times New Roman" w:hAnsi="Times New Roman" w:eastAsia="宋体" w:cs="Times New Roman"/>
                <w:szCs w:val="21"/>
              </w:rPr>
            </w:pPr>
          </w:p>
        </w:tc>
      </w:tr>
      <w:tr w14:paraId="0732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81FDF7D">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3476" w:type="dxa"/>
            <w:vAlign w:val="center"/>
          </w:tcPr>
          <w:p w14:paraId="79CDC640">
            <w:pPr>
              <w:jc w:val="center"/>
              <w:rPr>
                <w:rFonts w:ascii="Times New Roman" w:hAnsi="Times New Roman" w:eastAsia="宋体" w:cs="Times New Roman"/>
                <w:szCs w:val="21"/>
              </w:rPr>
            </w:pPr>
            <w:r>
              <w:rPr>
                <w:rFonts w:ascii="Times New Roman" w:hAnsi="Times New Roman" w:eastAsia="宋体" w:cs="Times New Roman"/>
                <w:szCs w:val="21"/>
              </w:rPr>
              <w:t>分组讨论教学</w:t>
            </w:r>
          </w:p>
        </w:tc>
        <w:tc>
          <w:tcPr>
            <w:tcW w:w="1701" w:type="dxa"/>
            <w:vAlign w:val="center"/>
          </w:tcPr>
          <w:p w14:paraId="663B9197">
            <w:pPr>
              <w:jc w:val="center"/>
              <w:rPr>
                <w:rFonts w:ascii="Times New Roman" w:hAnsi="Times New Roman" w:eastAsia="宋体" w:cs="Times New Roman"/>
                <w:szCs w:val="21"/>
              </w:rPr>
            </w:pPr>
            <w:r>
              <w:rPr>
                <w:rFonts w:ascii="Times New Roman" w:hAnsi="Times New Roman" w:eastAsia="宋体" w:cs="Times New Roman"/>
                <w:szCs w:val="21"/>
              </w:rPr>
              <w:t>课程目标1</w:t>
            </w:r>
            <w:r>
              <w:rPr>
                <w:rFonts w:hint="eastAsia" w:ascii="Times New Roman" w:hAnsi="Times New Roman" w:eastAsia="宋体" w:cs="Times New Roman"/>
                <w:szCs w:val="21"/>
              </w:rPr>
              <w:t>、2</w:t>
            </w:r>
          </w:p>
        </w:tc>
        <w:tc>
          <w:tcPr>
            <w:tcW w:w="1853" w:type="dxa"/>
            <w:vAlign w:val="center"/>
          </w:tcPr>
          <w:p w14:paraId="164D2FF1">
            <w:pPr>
              <w:jc w:val="center"/>
              <w:rPr>
                <w:rFonts w:ascii="Times New Roman" w:hAnsi="Times New Roman" w:eastAsia="宋体" w:cs="Times New Roman"/>
              </w:rPr>
            </w:pPr>
            <w:r>
              <w:rPr>
                <w:rFonts w:ascii="Times New Roman" w:hAnsi="Times New Roman" w:eastAsia="宋体" w:cs="Times New Roman"/>
                <w:szCs w:val="21"/>
              </w:rPr>
              <w:t>3-2</w:t>
            </w:r>
          </w:p>
        </w:tc>
        <w:tc>
          <w:tcPr>
            <w:tcW w:w="735" w:type="dxa"/>
            <w:vAlign w:val="center"/>
          </w:tcPr>
          <w:p w14:paraId="2A34DB1D">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w:t>
            </w:r>
          </w:p>
        </w:tc>
        <w:tc>
          <w:tcPr>
            <w:tcW w:w="735" w:type="dxa"/>
            <w:vAlign w:val="center"/>
          </w:tcPr>
          <w:p w14:paraId="48C6A19B">
            <w:pPr>
              <w:jc w:val="center"/>
              <w:rPr>
                <w:rFonts w:ascii="Times New Roman" w:hAnsi="Times New Roman" w:eastAsia="宋体" w:cs="Times New Roman"/>
                <w:szCs w:val="21"/>
              </w:rPr>
            </w:pPr>
          </w:p>
        </w:tc>
      </w:tr>
      <w:tr w14:paraId="1940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38A6DF9C">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735" w:type="dxa"/>
            <w:vAlign w:val="center"/>
          </w:tcPr>
          <w:p w14:paraId="74DD2C80">
            <w:pPr>
              <w:jc w:val="center"/>
              <w:rPr>
                <w:rFonts w:ascii="Times New Roman" w:hAnsi="Times New Roman" w:eastAsia="宋体" w:cs="Times New Roman"/>
                <w:szCs w:val="21"/>
              </w:rPr>
            </w:pPr>
            <w:r>
              <w:rPr>
                <w:rFonts w:hint="eastAsia" w:ascii="Times New Roman" w:hAnsi="Times New Roman" w:eastAsia="宋体" w:cs="Times New Roman"/>
                <w:szCs w:val="21"/>
              </w:rPr>
              <w:t>48</w:t>
            </w:r>
          </w:p>
        </w:tc>
        <w:tc>
          <w:tcPr>
            <w:tcW w:w="735" w:type="dxa"/>
            <w:vAlign w:val="center"/>
          </w:tcPr>
          <w:p w14:paraId="6401199E">
            <w:pPr>
              <w:jc w:val="center"/>
              <w:rPr>
                <w:rFonts w:ascii="Times New Roman" w:hAnsi="Times New Roman" w:eastAsia="宋体" w:cs="Times New Roman"/>
                <w:szCs w:val="21"/>
              </w:rPr>
            </w:pPr>
          </w:p>
        </w:tc>
      </w:tr>
    </w:tbl>
    <w:p w14:paraId="60DE8900">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四、课程实施</w:t>
      </w:r>
    </w:p>
    <w:p w14:paraId="543AACC6">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主要教学环节质量要求如表所示。</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2C11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A0317B8">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13B1EE59">
            <w:pPr>
              <w:jc w:val="center"/>
              <w:rPr>
                <w:rFonts w:ascii="Times New Roman" w:hAnsi="Times New Roman" w:eastAsia="宋体" w:cs="Times New Roman"/>
                <w:szCs w:val="21"/>
              </w:rPr>
            </w:pPr>
            <w:r>
              <w:rPr>
                <w:rFonts w:ascii="Times New Roman" w:hAnsi="Times New Roman" w:eastAsia="宋体" w:cs="Times New Roman"/>
                <w:bCs/>
                <w:szCs w:val="21"/>
              </w:rPr>
              <w:t>质量要求</w:t>
            </w:r>
          </w:p>
        </w:tc>
      </w:tr>
      <w:tr w14:paraId="096B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954F7DC">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91" w:type="dxa"/>
            <w:tcMar>
              <w:left w:w="28" w:type="dxa"/>
              <w:right w:w="28" w:type="dxa"/>
            </w:tcMar>
            <w:vAlign w:val="center"/>
          </w:tcPr>
          <w:p w14:paraId="0BB582A6">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773" w:type="dxa"/>
            <w:tcBorders>
              <w:right w:val="single" w:color="auto" w:sz="8" w:space="0"/>
            </w:tcBorders>
            <w:vAlign w:val="center"/>
          </w:tcPr>
          <w:p w14:paraId="4D61D7F8">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（1）掌握本课程教学大纲内容，严格按照教学大纲要求进行本课程教学内容的组织；</w:t>
            </w:r>
          </w:p>
          <w:p w14:paraId="3DA731BE">
            <w:pPr>
              <w:rPr>
                <w:rFonts w:ascii="Times New Roman" w:hAnsi="Times New Roman" w:eastAsia="宋体" w:cs="Times New Roman"/>
                <w:szCs w:val="21"/>
              </w:rPr>
            </w:pPr>
            <w:r>
              <w:rPr>
                <w:rFonts w:ascii="Times New Roman" w:hAnsi="Times New Roman" w:eastAsia="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522C0809">
            <w:pPr>
              <w:rPr>
                <w:rFonts w:ascii="Times New Roman" w:hAnsi="Times New Roman" w:eastAsia="宋体" w:cs="Times New Roman"/>
                <w:szCs w:val="21"/>
              </w:rPr>
            </w:pPr>
            <w:r>
              <w:rPr>
                <w:rFonts w:ascii="Times New Roman" w:hAnsi="Times New Roman" w:eastAsia="宋体" w:cs="Times New Roman"/>
                <w:szCs w:val="21"/>
              </w:rPr>
              <w:t xml:space="preserve">（3）结合课程特点，适度运用多媒体教学手段讲授部分教学内容； </w:t>
            </w:r>
          </w:p>
          <w:p w14:paraId="7E3D1C14">
            <w:pPr>
              <w:rPr>
                <w:rFonts w:ascii="Times New Roman" w:hAnsi="Times New Roman" w:eastAsia="宋体" w:cs="Times New Roman"/>
                <w:sz w:val="24"/>
              </w:rPr>
            </w:pPr>
            <w:r>
              <w:rPr>
                <w:rFonts w:ascii="Times New Roman" w:hAnsi="Times New Roman" w:eastAsia="宋体" w:cs="Times New Roman"/>
                <w:szCs w:val="21"/>
              </w:rPr>
              <w:t>（4）确定各章节课程内容的教学方法，构思授课思路、技巧和方法。</w:t>
            </w:r>
          </w:p>
        </w:tc>
      </w:tr>
      <w:tr w14:paraId="391B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049E282">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91" w:type="dxa"/>
            <w:tcMar>
              <w:left w:w="28" w:type="dxa"/>
              <w:right w:w="28" w:type="dxa"/>
            </w:tcMar>
            <w:vAlign w:val="center"/>
          </w:tcPr>
          <w:p w14:paraId="5D8395A7">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773" w:type="dxa"/>
            <w:tcBorders>
              <w:right w:val="single" w:color="auto" w:sz="8" w:space="0"/>
            </w:tcBorders>
            <w:vAlign w:val="center"/>
          </w:tcPr>
          <w:p w14:paraId="1C110E66">
            <w:pPr>
              <w:rPr>
                <w:rFonts w:ascii="Times New Roman" w:hAnsi="Times New Roman" w:eastAsia="宋体" w:cs="Times New Roman"/>
                <w:szCs w:val="21"/>
              </w:rPr>
            </w:pPr>
            <w:r>
              <w:rPr>
                <w:rFonts w:ascii="Times New Roman" w:hAnsi="Times New Roman" w:eastAsia="宋体" w:cs="Times New Roman"/>
                <w:szCs w:val="21"/>
              </w:rPr>
              <w:t>（1）要点准确，推理正确，条理清晰，重点突出，理论联系实际，熟练地解答和讲解例题。</w:t>
            </w:r>
          </w:p>
          <w:p w14:paraId="556213A7">
            <w:pPr>
              <w:rPr>
                <w:rFonts w:ascii="Times New Roman" w:hAnsi="Times New Roman" w:eastAsia="宋体" w:cs="Times New Roman"/>
                <w:szCs w:val="21"/>
              </w:rPr>
            </w:pPr>
            <w:r>
              <w:rPr>
                <w:rFonts w:ascii="Times New Roman" w:hAnsi="Times New Roman" w:eastAsia="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2E98DB24">
            <w:pPr>
              <w:rPr>
                <w:rFonts w:ascii="Times New Roman" w:hAnsi="Times New Roman" w:eastAsia="宋体" w:cs="Times New Roman"/>
                <w:szCs w:val="21"/>
              </w:rPr>
            </w:pPr>
            <w:r>
              <w:rPr>
                <w:rFonts w:ascii="Times New Roman" w:hAnsi="Times New Roman" w:eastAsia="宋体" w:cs="Times New Roman"/>
                <w:szCs w:val="21"/>
              </w:rPr>
              <w:t>（3）表达方式尽量便于学生理解、接受，力求形象生动，使学生在掌握知识的过程中，保持较为浓厚的兴趣。</w:t>
            </w:r>
          </w:p>
        </w:tc>
      </w:tr>
      <w:tr w14:paraId="1C99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7228B4B">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91" w:type="dxa"/>
            <w:tcMar>
              <w:left w:w="28" w:type="dxa"/>
              <w:right w:w="28" w:type="dxa"/>
            </w:tcMar>
            <w:vAlign w:val="center"/>
          </w:tcPr>
          <w:p w14:paraId="0346C645">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773" w:type="dxa"/>
            <w:tcBorders>
              <w:right w:val="single" w:color="auto" w:sz="8" w:space="0"/>
            </w:tcBorders>
            <w:vAlign w:val="center"/>
          </w:tcPr>
          <w:p w14:paraId="4D30E8A8">
            <w:pPr>
              <w:rPr>
                <w:rFonts w:ascii="Times New Roman" w:hAnsi="Times New Roman" w:eastAsia="宋体" w:cs="Times New Roman"/>
                <w:szCs w:val="21"/>
              </w:rPr>
            </w:pPr>
            <w:r>
              <w:rPr>
                <w:rFonts w:ascii="Times New Roman" w:hAnsi="Times New Roman" w:eastAsia="宋体" w:cs="Times New Roman"/>
                <w:szCs w:val="21"/>
              </w:rPr>
              <w:t>学生必须完成一定数量的作业题，是本课程教学的基本要求，是实现人才培养目标的必要手段。</w:t>
            </w:r>
          </w:p>
          <w:p w14:paraId="685A5996">
            <w:pPr>
              <w:rPr>
                <w:rFonts w:ascii="Times New Roman" w:hAnsi="Times New Roman" w:eastAsia="宋体" w:cs="Times New Roman"/>
                <w:szCs w:val="21"/>
              </w:rPr>
            </w:pPr>
            <w:r>
              <w:rPr>
                <w:rFonts w:ascii="Times New Roman" w:hAnsi="Times New Roman" w:eastAsia="宋体" w:cs="Times New Roman"/>
                <w:szCs w:val="21"/>
              </w:rPr>
              <w:t>学生完成的作业必须达到以下基本要求：</w:t>
            </w:r>
          </w:p>
          <w:p w14:paraId="6D2BB731">
            <w:pPr>
              <w:rPr>
                <w:rFonts w:ascii="Times New Roman" w:hAnsi="Times New Roman" w:eastAsia="宋体" w:cs="Times New Roman"/>
                <w:szCs w:val="21"/>
              </w:rPr>
            </w:pPr>
            <w:r>
              <w:rPr>
                <w:rFonts w:ascii="Times New Roman" w:hAnsi="Times New Roman" w:eastAsia="宋体" w:cs="Times New Roman"/>
                <w:szCs w:val="21"/>
              </w:rPr>
              <w:t>（1）按时按量完成作业，不缺交，不抄袭；</w:t>
            </w:r>
          </w:p>
          <w:p w14:paraId="411FBBA0">
            <w:pPr>
              <w:rPr>
                <w:rFonts w:ascii="Times New Roman" w:hAnsi="Times New Roman" w:eastAsia="宋体" w:cs="Times New Roman"/>
                <w:szCs w:val="21"/>
              </w:rPr>
            </w:pPr>
            <w:r>
              <w:rPr>
                <w:rFonts w:ascii="Times New Roman" w:hAnsi="Times New Roman" w:eastAsia="宋体" w:cs="Times New Roman"/>
                <w:szCs w:val="21"/>
              </w:rPr>
              <w:t>（2）作业本规范，书写清晰；</w:t>
            </w:r>
          </w:p>
          <w:p w14:paraId="796DC775">
            <w:pPr>
              <w:rPr>
                <w:rFonts w:ascii="Times New Roman" w:hAnsi="Times New Roman" w:eastAsia="宋体" w:cs="Times New Roman"/>
                <w:szCs w:val="21"/>
              </w:rPr>
            </w:pPr>
            <w:r>
              <w:rPr>
                <w:rFonts w:ascii="Times New Roman" w:hAnsi="Times New Roman" w:eastAsia="宋体" w:cs="Times New Roman"/>
                <w:szCs w:val="21"/>
              </w:rPr>
              <w:t>（3）解题方法和步骤正确。</w:t>
            </w:r>
          </w:p>
          <w:p w14:paraId="0389C7A6">
            <w:pPr>
              <w:rPr>
                <w:rFonts w:ascii="Times New Roman" w:hAnsi="Times New Roman" w:eastAsia="宋体" w:cs="Times New Roman"/>
                <w:szCs w:val="21"/>
              </w:rPr>
            </w:pPr>
            <w:r>
              <w:rPr>
                <w:rFonts w:ascii="Times New Roman" w:hAnsi="Times New Roman" w:eastAsia="宋体" w:cs="Times New Roman"/>
                <w:szCs w:val="21"/>
              </w:rPr>
              <w:t>教师批改或讲评作业要求如下：</w:t>
            </w:r>
          </w:p>
          <w:p w14:paraId="57BCCD65">
            <w:pPr>
              <w:rPr>
                <w:rFonts w:ascii="Times New Roman" w:hAnsi="Times New Roman" w:eastAsia="宋体" w:cs="Times New Roman"/>
                <w:szCs w:val="21"/>
              </w:rPr>
            </w:pPr>
            <w:r>
              <w:rPr>
                <w:rFonts w:ascii="Times New Roman" w:hAnsi="Times New Roman" w:eastAsia="宋体" w:cs="Times New Roman"/>
                <w:szCs w:val="21"/>
              </w:rPr>
              <w:t>（1）学生的作业要全批全改，并按时批改、讲评学生每次交来的作业；</w:t>
            </w:r>
          </w:p>
          <w:p w14:paraId="01208E56">
            <w:pPr>
              <w:rPr>
                <w:rFonts w:ascii="Times New Roman" w:hAnsi="Times New Roman" w:eastAsia="宋体" w:cs="Times New Roman"/>
                <w:szCs w:val="21"/>
              </w:rPr>
            </w:pPr>
            <w:r>
              <w:rPr>
                <w:rFonts w:ascii="Times New Roman" w:hAnsi="Times New Roman" w:eastAsia="宋体" w:cs="Times New Roman"/>
                <w:szCs w:val="21"/>
              </w:rPr>
              <w:t>（2）教师批改或讲评作业要认真、细致，每次批改或讲评作业后，按百分制评定成绩，并写明日期；</w:t>
            </w:r>
          </w:p>
          <w:p w14:paraId="59012945">
            <w:pPr>
              <w:rPr>
                <w:rFonts w:ascii="Times New Roman" w:hAnsi="Times New Roman" w:eastAsia="宋体" w:cs="Times New Roman"/>
                <w:szCs w:val="21"/>
              </w:rPr>
            </w:pPr>
            <w:r>
              <w:rPr>
                <w:rFonts w:ascii="Times New Roman" w:hAnsi="Times New Roman" w:eastAsia="宋体" w:cs="Times New Roman"/>
                <w:szCs w:val="21"/>
              </w:rPr>
              <w:t>（3）期末按每个学生作业的平均成绩，作为本课程总评成绩中平时成绩的重要组成部分。</w:t>
            </w:r>
          </w:p>
        </w:tc>
      </w:tr>
      <w:tr w14:paraId="3395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A6585D6">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691" w:type="dxa"/>
            <w:tcMar>
              <w:left w:w="28" w:type="dxa"/>
              <w:right w:w="28" w:type="dxa"/>
            </w:tcMar>
            <w:vAlign w:val="center"/>
          </w:tcPr>
          <w:p w14:paraId="63CC3E14">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773" w:type="dxa"/>
            <w:tcBorders>
              <w:right w:val="single" w:color="auto" w:sz="8" w:space="0"/>
            </w:tcBorders>
            <w:vAlign w:val="center"/>
          </w:tcPr>
          <w:p w14:paraId="2D766F37">
            <w:pPr>
              <w:rPr>
                <w:rFonts w:ascii="Times New Roman" w:hAnsi="Times New Roman" w:eastAsia="宋体" w:cs="Times New Roman"/>
                <w:szCs w:val="21"/>
              </w:rPr>
            </w:pPr>
            <w:r>
              <w:rPr>
                <w:rFonts w:ascii="Times New Roman" w:hAnsi="Times New Roman"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3123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5441692">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691" w:type="dxa"/>
            <w:tcMar>
              <w:left w:w="28" w:type="dxa"/>
              <w:right w:w="28" w:type="dxa"/>
            </w:tcMar>
            <w:vAlign w:val="center"/>
          </w:tcPr>
          <w:p w14:paraId="20228AB9">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773" w:type="dxa"/>
            <w:tcBorders>
              <w:right w:val="single" w:color="auto" w:sz="8" w:space="0"/>
            </w:tcBorders>
            <w:vAlign w:val="center"/>
          </w:tcPr>
          <w:p w14:paraId="6830B113">
            <w:pPr>
              <w:rPr>
                <w:rFonts w:ascii="Times New Roman" w:hAnsi="Times New Roman" w:eastAsia="宋体" w:cs="Times New Roman"/>
              </w:rPr>
            </w:pPr>
            <w:r>
              <w:rPr>
                <w:rFonts w:ascii="Times New Roman" w:hAnsi="Times New Roman" w:eastAsia="宋体" w:cs="Times New Roman"/>
              </w:rPr>
              <w:t>本课程考核的方式：考试。考试试卷采取抽卷形式，统一安排监考。总评成绩的评定见课程评分方案。有下列情况之一者，总评成绩为不及格：</w:t>
            </w:r>
          </w:p>
          <w:p w14:paraId="2F0605E3">
            <w:pPr>
              <w:rPr>
                <w:rFonts w:ascii="Times New Roman" w:hAnsi="Times New Roman" w:eastAsia="宋体" w:cs="Times New Roman"/>
              </w:rPr>
            </w:pPr>
            <w:r>
              <w:rPr>
                <w:rFonts w:ascii="Times New Roman" w:hAnsi="Times New Roman" w:eastAsia="宋体" w:cs="Times New Roman"/>
                <w:szCs w:val="21"/>
              </w:rPr>
              <w:t>（1）</w:t>
            </w:r>
            <w:r>
              <w:rPr>
                <w:rFonts w:ascii="Times New Roman" w:hAnsi="Times New Roman" w:eastAsia="宋体" w:cs="Times New Roman"/>
              </w:rPr>
              <w:t>缺交作业次数达1/3以上者；</w:t>
            </w:r>
          </w:p>
          <w:p w14:paraId="151CA318">
            <w:pPr>
              <w:rPr>
                <w:rFonts w:ascii="Times New Roman" w:hAnsi="Times New Roman" w:eastAsia="宋体" w:cs="Times New Roman"/>
              </w:rPr>
            </w:pPr>
            <w:r>
              <w:rPr>
                <w:rFonts w:ascii="Times New Roman" w:hAnsi="Times New Roman" w:eastAsia="宋体" w:cs="Times New Roman"/>
                <w:szCs w:val="21"/>
              </w:rPr>
              <w:t>（2）</w:t>
            </w:r>
            <w:r>
              <w:rPr>
                <w:rFonts w:ascii="Times New Roman" w:hAnsi="Times New Roman" w:eastAsia="宋体" w:cs="Times New Roman"/>
              </w:rPr>
              <w:t>缺课次数达本学期总授课学时的1/3以上者。</w:t>
            </w:r>
          </w:p>
          <w:p w14:paraId="06A98A17">
            <w:pPr>
              <w:rPr>
                <w:rFonts w:ascii="Times New Roman" w:hAnsi="Times New Roman" w:eastAsia="宋体" w:cs="Times New Roman"/>
                <w:szCs w:val="21"/>
              </w:rPr>
            </w:pPr>
          </w:p>
        </w:tc>
      </w:tr>
    </w:tbl>
    <w:p w14:paraId="34648713">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六、课程考核</w:t>
      </w:r>
    </w:p>
    <w:p w14:paraId="0F9EAE3C">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（一）课程考核包括期末考试、平时及作业考核等，期末考试采用闭卷考试方式。</w:t>
      </w:r>
    </w:p>
    <w:p w14:paraId="558EEE77">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（二）课程总评成绩=出勤情况成绩×10% +师生互动成绩×10% +作业成绩×30%+期末考试成绩×50%。具体内容和比例如表所示。</w:t>
      </w:r>
    </w:p>
    <w:tbl>
      <w:tblPr>
        <w:tblStyle w:val="1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58"/>
        <w:gridCol w:w="739"/>
        <w:gridCol w:w="4255"/>
        <w:gridCol w:w="1408"/>
      </w:tblGrid>
      <w:tr w14:paraId="39D6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10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675F2DAF">
            <w:pPr>
              <w:jc w:val="center"/>
              <w:rPr>
                <w:rFonts w:ascii="Times New Roman" w:hAnsi="Times New Roman" w:eastAsia="宋体" w:cs="Times New Roman"/>
                <w:sz w:val="24"/>
              </w:rPr>
            </w:pPr>
            <w:r>
              <w:rPr>
                <w:rFonts w:ascii="Times New Roman" w:hAnsi="Times New Roman" w:eastAsia="宋体" w:cs="Times New Roman"/>
                <w:lang w:bidi="ar"/>
              </w:rPr>
              <w:t>成绩组成</w:t>
            </w:r>
          </w:p>
        </w:tc>
        <w:tc>
          <w:tcPr>
            <w:tcW w:w="1558" w:type="dxa"/>
            <w:tcBorders>
              <w:top w:val="single" w:color="auto" w:sz="4" w:space="0"/>
              <w:left w:val="single" w:color="auto" w:sz="4" w:space="0"/>
              <w:bottom w:val="single" w:color="auto" w:sz="4" w:space="0"/>
              <w:right w:val="single" w:color="auto" w:sz="4" w:space="0"/>
            </w:tcBorders>
            <w:shd w:val="clear" w:color="auto" w:fill="FFFFFF"/>
            <w:vAlign w:val="center"/>
          </w:tcPr>
          <w:p w14:paraId="49688657">
            <w:pPr>
              <w:jc w:val="center"/>
              <w:rPr>
                <w:rFonts w:ascii="Times New Roman" w:hAnsi="Times New Roman" w:eastAsia="宋体" w:cs="Times New Roman"/>
                <w:sz w:val="24"/>
              </w:rPr>
            </w:pPr>
            <w:r>
              <w:rPr>
                <w:rFonts w:ascii="Times New Roman" w:hAnsi="Times New Roman" w:eastAsia="宋体" w:cs="Times New Roman"/>
                <w:lang w:bidi="ar"/>
              </w:rPr>
              <w:t>考核/评价环节</w:t>
            </w:r>
          </w:p>
        </w:tc>
        <w:tc>
          <w:tcPr>
            <w:tcW w:w="739" w:type="dxa"/>
            <w:tcBorders>
              <w:top w:val="single" w:color="auto" w:sz="4" w:space="0"/>
              <w:left w:val="single" w:color="auto" w:sz="4" w:space="0"/>
              <w:bottom w:val="single" w:color="auto" w:sz="4" w:space="0"/>
              <w:right w:val="single" w:color="auto" w:sz="4" w:space="0"/>
            </w:tcBorders>
            <w:shd w:val="clear" w:color="auto" w:fill="FFFFFF"/>
            <w:vAlign w:val="center"/>
          </w:tcPr>
          <w:p w14:paraId="49F6836F">
            <w:pPr>
              <w:jc w:val="center"/>
              <w:rPr>
                <w:rFonts w:ascii="Times New Roman" w:hAnsi="Times New Roman" w:eastAsia="宋体" w:cs="Times New Roman"/>
                <w:sz w:val="24"/>
              </w:rPr>
            </w:pPr>
            <w:r>
              <w:rPr>
                <w:rFonts w:ascii="Times New Roman" w:hAnsi="Times New Roman" w:eastAsia="宋体" w:cs="Times New Roman"/>
                <w:lang w:bidi="ar"/>
              </w:rPr>
              <w:t>权重</w:t>
            </w:r>
          </w:p>
        </w:tc>
        <w:tc>
          <w:tcPr>
            <w:tcW w:w="4255" w:type="dxa"/>
            <w:tcBorders>
              <w:top w:val="single" w:color="auto" w:sz="4" w:space="0"/>
              <w:left w:val="single" w:color="auto" w:sz="4" w:space="0"/>
              <w:bottom w:val="single" w:color="auto" w:sz="4" w:space="0"/>
              <w:right w:val="single" w:color="auto" w:sz="4" w:space="0"/>
            </w:tcBorders>
            <w:shd w:val="clear" w:color="auto" w:fill="FFFFFF"/>
            <w:vAlign w:val="center"/>
          </w:tcPr>
          <w:p w14:paraId="111D0C46">
            <w:pPr>
              <w:jc w:val="center"/>
              <w:rPr>
                <w:rFonts w:ascii="Times New Roman" w:hAnsi="Times New Roman" w:eastAsia="宋体" w:cs="Times New Roman"/>
                <w:sz w:val="24"/>
              </w:rPr>
            </w:pPr>
            <w:r>
              <w:rPr>
                <w:rFonts w:ascii="Times New Roman" w:hAnsi="Times New Roman" w:eastAsia="宋体" w:cs="Times New Roman"/>
                <w:lang w:bidi="ar"/>
              </w:rPr>
              <w:t>考核/评价细则</w:t>
            </w:r>
          </w:p>
        </w:tc>
        <w:tc>
          <w:tcPr>
            <w:tcW w:w="1408" w:type="dxa"/>
            <w:tcBorders>
              <w:top w:val="single" w:color="auto" w:sz="4" w:space="0"/>
              <w:left w:val="single" w:color="auto" w:sz="4" w:space="0"/>
              <w:bottom w:val="single" w:color="auto" w:sz="4" w:space="0"/>
              <w:right w:val="single" w:color="auto" w:sz="4" w:space="0"/>
            </w:tcBorders>
            <w:shd w:val="clear" w:color="auto" w:fill="FFFFFF"/>
            <w:vAlign w:val="center"/>
          </w:tcPr>
          <w:p w14:paraId="226C8FD4">
            <w:pPr>
              <w:jc w:val="center"/>
              <w:rPr>
                <w:rFonts w:ascii="Times New Roman" w:hAnsi="Times New Roman" w:eastAsia="宋体" w:cs="Times New Roman"/>
                <w:sz w:val="24"/>
              </w:rPr>
            </w:pPr>
            <w:r>
              <w:rPr>
                <w:rFonts w:ascii="Times New Roman" w:hAnsi="Times New Roman" w:eastAsia="宋体" w:cs="Times New Roman"/>
                <w:lang w:bidi="ar"/>
              </w:rPr>
              <w:t>对应的毕业要求指标点</w:t>
            </w:r>
          </w:p>
        </w:tc>
      </w:tr>
      <w:tr w14:paraId="7CA2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00" w:type="dxa"/>
            <w:vMerge w:val="restart"/>
            <w:tcBorders>
              <w:top w:val="single" w:color="auto" w:sz="4" w:space="0"/>
              <w:left w:val="single" w:color="auto" w:sz="4" w:space="0"/>
              <w:right w:val="single" w:color="auto" w:sz="4" w:space="0"/>
            </w:tcBorders>
            <w:tcMar>
              <w:left w:w="57" w:type="dxa"/>
              <w:right w:w="57" w:type="dxa"/>
            </w:tcMar>
            <w:vAlign w:val="center"/>
          </w:tcPr>
          <w:p w14:paraId="76E898C3">
            <w:pPr>
              <w:jc w:val="center"/>
              <w:rPr>
                <w:rFonts w:ascii="Times New Roman" w:hAnsi="Times New Roman" w:eastAsia="宋体" w:cs="Times New Roman"/>
                <w:lang w:bidi="ar"/>
              </w:rPr>
            </w:pPr>
            <w:r>
              <w:rPr>
                <w:rFonts w:ascii="Times New Roman" w:hAnsi="Times New Roman" w:eastAsia="宋体" w:cs="Times New Roman"/>
                <w:lang w:bidi="ar"/>
              </w:rPr>
              <w:t>平时</w:t>
            </w:r>
          </w:p>
          <w:p w14:paraId="5439740A">
            <w:pPr>
              <w:jc w:val="center"/>
              <w:rPr>
                <w:rFonts w:ascii="Times New Roman" w:hAnsi="Times New Roman" w:eastAsia="宋体" w:cs="Times New Roman"/>
                <w:sz w:val="24"/>
              </w:rPr>
            </w:pPr>
            <w:r>
              <w:rPr>
                <w:rFonts w:ascii="Times New Roman" w:hAnsi="Times New Roman" w:eastAsia="宋体" w:cs="Times New Roman"/>
                <w:lang w:bidi="ar"/>
              </w:rPr>
              <w:t>成绩</w:t>
            </w:r>
          </w:p>
        </w:tc>
        <w:tc>
          <w:tcPr>
            <w:tcW w:w="1558" w:type="dxa"/>
            <w:tcBorders>
              <w:top w:val="single" w:color="auto" w:sz="4" w:space="0"/>
              <w:left w:val="single" w:color="auto" w:sz="4" w:space="0"/>
              <w:bottom w:val="single" w:color="auto" w:sz="4" w:space="0"/>
              <w:right w:val="single" w:color="auto" w:sz="4" w:space="0"/>
            </w:tcBorders>
            <w:vAlign w:val="center"/>
          </w:tcPr>
          <w:p w14:paraId="3B257F92">
            <w:pPr>
              <w:jc w:val="center"/>
              <w:rPr>
                <w:rFonts w:ascii="Times New Roman" w:hAnsi="Times New Roman" w:eastAsia="宋体" w:cs="Times New Roman"/>
                <w:sz w:val="24"/>
              </w:rPr>
            </w:pPr>
            <w:r>
              <w:rPr>
                <w:rFonts w:ascii="Times New Roman" w:hAnsi="Times New Roman" w:eastAsia="宋体" w:cs="Times New Roman"/>
                <w:lang w:bidi="ar"/>
              </w:rPr>
              <w:t>出勤情况</w:t>
            </w:r>
          </w:p>
        </w:tc>
        <w:tc>
          <w:tcPr>
            <w:tcW w:w="739" w:type="dxa"/>
            <w:tcBorders>
              <w:top w:val="single" w:color="auto" w:sz="4" w:space="0"/>
              <w:left w:val="single" w:color="auto" w:sz="4" w:space="0"/>
              <w:bottom w:val="single" w:color="auto" w:sz="4" w:space="0"/>
              <w:right w:val="single" w:color="auto" w:sz="4" w:space="0"/>
            </w:tcBorders>
            <w:vAlign w:val="center"/>
          </w:tcPr>
          <w:p w14:paraId="289BD902">
            <w:pPr>
              <w:jc w:val="center"/>
              <w:rPr>
                <w:rFonts w:ascii="Times New Roman" w:hAnsi="Times New Roman" w:eastAsia="宋体" w:cs="Times New Roman"/>
                <w:sz w:val="24"/>
              </w:rPr>
            </w:pPr>
            <w:r>
              <w:rPr>
                <w:rFonts w:ascii="Times New Roman" w:hAnsi="Times New Roman" w:eastAsia="宋体" w:cs="Times New Roman"/>
              </w:rPr>
              <w:t>10%</w:t>
            </w:r>
          </w:p>
        </w:tc>
        <w:tc>
          <w:tcPr>
            <w:tcW w:w="4255" w:type="dxa"/>
            <w:tcBorders>
              <w:top w:val="single" w:color="auto" w:sz="4" w:space="0"/>
              <w:left w:val="single" w:color="auto" w:sz="4" w:space="0"/>
              <w:bottom w:val="single" w:color="auto" w:sz="4" w:space="0"/>
              <w:right w:val="single" w:color="auto" w:sz="4" w:space="0"/>
            </w:tcBorders>
            <w:vAlign w:val="center"/>
          </w:tcPr>
          <w:p w14:paraId="7DE0FAD0">
            <w:pPr>
              <w:jc w:val="left"/>
              <w:rPr>
                <w:rFonts w:ascii="Times New Roman" w:hAnsi="Times New Roman" w:eastAsia="宋体" w:cs="Times New Roman"/>
              </w:rPr>
            </w:pPr>
            <w:r>
              <w:rPr>
                <w:rFonts w:ascii="Times New Roman" w:hAnsi="Times New Roman" w:eastAsia="宋体" w:cs="Times New Roman"/>
                <w:lang w:bidi="ar"/>
              </w:rPr>
              <w:t>课堂不定期点名，考核出勤情况并打分。</w:t>
            </w:r>
          </w:p>
        </w:tc>
        <w:tc>
          <w:tcPr>
            <w:tcW w:w="1408" w:type="dxa"/>
            <w:tcBorders>
              <w:top w:val="single" w:color="auto" w:sz="4" w:space="0"/>
              <w:left w:val="single" w:color="auto" w:sz="4" w:space="0"/>
              <w:right w:val="single" w:color="auto" w:sz="4" w:space="0"/>
            </w:tcBorders>
            <w:vAlign w:val="center"/>
          </w:tcPr>
          <w:p w14:paraId="3B02FCA4">
            <w:pPr>
              <w:jc w:val="center"/>
              <w:rPr>
                <w:rFonts w:ascii="Times New Roman" w:hAnsi="Times New Roman" w:eastAsia="宋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3-2</w:t>
            </w:r>
          </w:p>
        </w:tc>
      </w:tr>
      <w:tr w14:paraId="6761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100" w:type="dxa"/>
            <w:vMerge w:val="continue"/>
            <w:tcBorders>
              <w:left w:val="single" w:color="auto" w:sz="4" w:space="0"/>
              <w:right w:val="single" w:color="auto" w:sz="4" w:space="0"/>
            </w:tcBorders>
            <w:tcMar>
              <w:left w:w="57" w:type="dxa"/>
              <w:right w:w="57" w:type="dxa"/>
            </w:tcMar>
            <w:vAlign w:val="center"/>
          </w:tcPr>
          <w:p w14:paraId="13A34B68">
            <w:pPr>
              <w:rPr>
                <w:rFonts w:ascii="Times New Roman" w:hAnsi="Times New Roman" w:eastAsia="宋体" w:cs="Times New Roman"/>
                <w:sz w:val="20"/>
                <w:szCs w:val="20"/>
              </w:rPr>
            </w:pPr>
          </w:p>
        </w:tc>
        <w:tc>
          <w:tcPr>
            <w:tcW w:w="1558" w:type="dxa"/>
            <w:tcBorders>
              <w:top w:val="single" w:color="auto" w:sz="4" w:space="0"/>
              <w:left w:val="single" w:color="auto" w:sz="4" w:space="0"/>
              <w:bottom w:val="single" w:color="auto" w:sz="4" w:space="0"/>
              <w:right w:val="single" w:color="auto" w:sz="4" w:space="0"/>
            </w:tcBorders>
            <w:vAlign w:val="center"/>
          </w:tcPr>
          <w:p w14:paraId="7A909D89">
            <w:pPr>
              <w:jc w:val="center"/>
              <w:rPr>
                <w:rFonts w:ascii="Times New Roman" w:hAnsi="Times New Roman" w:eastAsia="宋体" w:cs="Times New Roman"/>
                <w:sz w:val="24"/>
              </w:rPr>
            </w:pPr>
            <w:r>
              <w:rPr>
                <w:rFonts w:ascii="Times New Roman" w:hAnsi="Times New Roman" w:eastAsia="宋体" w:cs="Times New Roman"/>
                <w:lang w:bidi="ar"/>
              </w:rPr>
              <w:t>师生互动</w:t>
            </w:r>
          </w:p>
        </w:tc>
        <w:tc>
          <w:tcPr>
            <w:tcW w:w="739" w:type="dxa"/>
            <w:tcBorders>
              <w:top w:val="single" w:color="auto" w:sz="4" w:space="0"/>
              <w:left w:val="single" w:color="auto" w:sz="4" w:space="0"/>
              <w:bottom w:val="single" w:color="auto" w:sz="4" w:space="0"/>
              <w:right w:val="single" w:color="auto" w:sz="4" w:space="0"/>
            </w:tcBorders>
            <w:vAlign w:val="center"/>
          </w:tcPr>
          <w:p w14:paraId="18F878EC">
            <w:pPr>
              <w:jc w:val="center"/>
              <w:rPr>
                <w:rFonts w:ascii="Times New Roman" w:hAnsi="Times New Roman" w:eastAsia="宋体" w:cs="Times New Roman"/>
                <w:sz w:val="20"/>
                <w:szCs w:val="20"/>
              </w:rPr>
            </w:pPr>
            <w:r>
              <w:rPr>
                <w:rFonts w:ascii="Times New Roman" w:hAnsi="Times New Roman" w:eastAsia="宋体" w:cs="Times New Roman"/>
              </w:rPr>
              <w:t>10%</w:t>
            </w:r>
          </w:p>
        </w:tc>
        <w:tc>
          <w:tcPr>
            <w:tcW w:w="4255" w:type="dxa"/>
            <w:tcBorders>
              <w:top w:val="single" w:color="auto" w:sz="4" w:space="0"/>
              <w:left w:val="single" w:color="auto" w:sz="4" w:space="0"/>
              <w:bottom w:val="single" w:color="auto" w:sz="4" w:space="0"/>
              <w:right w:val="single" w:color="auto" w:sz="4" w:space="0"/>
            </w:tcBorders>
            <w:vAlign w:val="center"/>
          </w:tcPr>
          <w:p w14:paraId="0F43BBCC">
            <w:pPr>
              <w:jc w:val="left"/>
              <w:rPr>
                <w:rFonts w:ascii="Times New Roman" w:hAnsi="Times New Roman" w:eastAsia="宋体" w:cs="Times New Roman"/>
              </w:rPr>
            </w:pPr>
            <w:r>
              <w:rPr>
                <w:rFonts w:ascii="Times New Roman" w:hAnsi="Times New Roman" w:eastAsia="宋体" w:cs="Times New Roman"/>
              </w:rPr>
              <w:t>课堂不定期通过提问或小练习实施师生互动，考核考核学生课堂学习情况，按照互动情况打分。</w:t>
            </w:r>
          </w:p>
        </w:tc>
        <w:tc>
          <w:tcPr>
            <w:tcW w:w="1408" w:type="dxa"/>
            <w:tcBorders>
              <w:left w:val="single" w:color="auto" w:sz="4" w:space="0"/>
              <w:right w:val="single" w:color="auto" w:sz="4" w:space="0"/>
            </w:tcBorders>
            <w:vAlign w:val="center"/>
          </w:tcPr>
          <w:p w14:paraId="34882E38">
            <w:pPr>
              <w:jc w:val="center"/>
              <w:rPr>
                <w:rFonts w:ascii="Times New Roman" w:hAnsi="Times New Roman" w:eastAsia="宋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3-2</w:t>
            </w:r>
          </w:p>
        </w:tc>
      </w:tr>
      <w:tr w14:paraId="1622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00" w:type="dxa"/>
            <w:vMerge w:val="continue"/>
            <w:tcBorders>
              <w:left w:val="single" w:color="auto" w:sz="4" w:space="0"/>
              <w:bottom w:val="single" w:color="auto" w:sz="4" w:space="0"/>
              <w:right w:val="single" w:color="auto" w:sz="4" w:space="0"/>
            </w:tcBorders>
            <w:tcMar>
              <w:left w:w="57" w:type="dxa"/>
              <w:right w:w="57" w:type="dxa"/>
            </w:tcMar>
            <w:vAlign w:val="center"/>
          </w:tcPr>
          <w:p w14:paraId="30216BF1">
            <w:pPr>
              <w:rPr>
                <w:rFonts w:ascii="Times New Roman" w:hAnsi="Times New Roman" w:eastAsia="宋体" w:cs="Times New Roman"/>
                <w:sz w:val="20"/>
                <w:szCs w:val="20"/>
              </w:rPr>
            </w:pPr>
          </w:p>
        </w:tc>
        <w:tc>
          <w:tcPr>
            <w:tcW w:w="1558" w:type="dxa"/>
            <w:tcBorders>
              <w:top w:val="single" w:color="auto" w:sz="4" w:space="0"/>
              <w:left w:val="single" w:color="auto" w:sz="4" w:space="0"/>
              <w:bottom w:val="single" w:color="auto" w:sz="4" w:space="0"/>
              <w:right w:val="single" w:color="auto" w:sz="4" w:space="0"/>
            </w:tcBorders>
            <w:vAlign w:val="center"/>
          </w:tcPr>
          <w:p w14:paraId="0D36D14C">
            <w:pPr>
              <w:jc w:val="center"/>
              <w:rPr>
                <w:rFonts w:ascii="Times New Roman" w:hAnsi="Times New Roman" w:eastAsia="宋体" w:cs="Times New Roman"/>
                <w:lang w:bidi="ar"/>
              </w:rPr>
            </w:pPr>
            <w:r>
              <w:rPr>
                <w:rFonts w:ascii="Times New Roman" w:hAnsi="Times New Roman" w:eastAsia="宋体" w:cs="Times New Roman"/>
                <w:lang w:bidi="ar"/>
              </w:rPr>
              <w:t>平时作业</w:t>
            </w:r>
          </w:p>
        </w:tc>
        <w:tc>
          <w:tcPr>
            <w:tcW w:w="739" w:type="dxa"/>
            <w:tcBorders>
              <w:top w:val="single" w:color="auto" w:sz="4" w:space="0"/>
              <w:left w:val="single" w:color="auto" w:sz="4" w:space="0"/>
              <w:bottom w:val="single" w:color="auto" w:sz="4" w:space="0"/>
              <w:right w:val="single" w:color="auto" w:sz="4" w:space="0"/>
            </w:tcBorders>
            <w:vAlign w:val="center"/>
          </w:tcPr>
          <w:p w14:paraId="0B0814CC">
            <w:pPr>
              <w:jc w:val="center"/>
              <w:rPr>
                <w:rFonts w:ascii="Times New Roman" w:hAnsi="Times New Roman" w:eastAsia="宋体" w:cs="Times New Roman"/>
                <w:sz w:val="20"/>
                <w:szCs w:val="20"/>
              </w:rPr>
            </w:pPr>
            <w:r>
              <w:rPr>
                <w:rFonts w:ascii="Times New Roman" w:hAnsi="Times New Roman" w:eastAsia="宋体" w:cs="Times New Roman"/>
                <w:sz w:val="20"/>
                <w:szCs w:val="20"/>
              </w:rPr>
              <w:t>30%</w:t>
            </w:r>
          </w:p>
        </w:tc>
        <w:tc>
          <w:tcPr>
            <w:tcW w:w="4255" w:type="dxa"/>
            <w:tcBorders>
              <w:top w:val="single" w:color="auto" w:sz="4" w:space="0"/>
              <w:left w:val="single" w:color="auto" w:sz="4" w:space="0"/>
              <w:bottom w:val="single" w:color="auto" w:sz="4" w:space="0"/>
              <w:right w:val="single" w:color="auto" w:sz="4" w:space="0"/>
            </w:tcBorders>
            <w:vAlign w:val="center"/>
          </w:tcPr>
          <w:p w14:paraId="501294D3">
            <w:pPr>
              <w:jc w:val="left"/>
              <w:rPr>
                <w:rFonts w:ascii="Times New Roman" w:hAnsi="Times New Roman" w:eastAsia="宋体" w:cs="Times New Roman"/>
                <w:lang w:bidi="ar"/>
              </w:rPr>
            </w:pPr>
            <w:r>
              <w:rPr>
                <w:rFonts w:ascii="Times New Roman" w:hAnsi="Times New Roman" w:eastAsia="宋体" w:cs="Times New Roman"/>
                <w:lang w:bidi="ar"/>
              </w:rPr>
              <w:t>定期布置习题，考核学生对所学知识点的复习、理解和掌握度。对作业完成情况做记录并百分制打分，计算作业的平均成绩。</w:t>
            </w:r>
          </w:p>
        </w:tc>
        <w:tc>
          <w:tcPr>
            <w:tcW w:w="1408" w:type="dxa"/>
            <w:tcBorders>
              <w:left w:val="single" w:color="auto" w:sz="4" w:space="0"/>
              <w:bottom w:val="single" w:color="auto" w:sz="4" w:space="0"/>
              <w:right w:val="single" w:color="auto" w:sz="4" w:space="0"/>
            </w:tcBorders>
            <w:vAlign w:val="center"/>
          </w:tcPr>
          <w:p w14:paraId="73E43DC3">
            <w:pPr>
              <w:jc w:val="center"/>
              <w:rPr>
                <w:rFonts w:ascii="Times New Roman" w:hAnsi="Times New Roman" w:eastAsia="宋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3-2</w:t>
            </w:r>
          </w:p>
        </w:tc>
      </w:tr>
      <w:tr w14:paraId="7BC4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0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F601A05">
            <w:pPr>
              <w:jc w:val="center"/>
              <w:rPr>
                <w:rFonts w:ascii="Times New Roman" w:hAnsi="Times New Roman" w:eastAsia="宋体" w:cs="Times New Roman"/>
                <w:color w:val="FF0000"/>
                <w:sz w:val="24"/>
              </w:rPr>
            </w:pPr>
            <w:r>
              <w:rPr>
                <w:rFonts w:ascii="Times New Roman" w:hAnsi="Times New Roman" w:eastAsia="宋体" w:cs="Times New Roman"/>
                <w:lang w:bidi="ar"/>
              </w:rPr>
              <w:t>期末考试成绩</w:t>
            </w:r>
          </w:p>
        </w:tc>
        <w:tc>
          <w:tcPr>
            <w:tcW w:w="1558" w:type="dxa"/>
            <w:tcBorders>
              <w:top w:val="single" w:color="auto" w:sz="4" w:space="0"/>
              <w:left w:val="single" w:color="auto" w:sz="4" w:space="0"/>
              <w:bottom w:val="single" w:color="auto" w:sz="4" w:space="0"/>
              <w:right w:val="single" w:color="auto" w:sz="4" w:space="0"/>
            </w:tcBorders>
            <w:vAlign w:val="center"/>
          </w:tcPr>
          <w:p w14:paraId="64D30D60">
            <w:pPr>
              <w:jc w:val="center"/>
              <w:rPr>
                <w:rFonts w:ascii="Times New Roman" w:hAnsi="Times New Roman" w:eastAsia="宋体" w:cs="Times New Roman"/>
                <w:sz w:val="24"/>
              </w:rPr>
            </w:pPr>
            <w:r>
              <w:rPr>
                <w:rFonts w:ascii="Times New Roman" w:hAnsi="Times New Roman" w:eastAsia="宋体" w:cs="Times New Roman"/>
                <w:lang w:bidi="ar"/>
              </w:rPr>
              <w:t>试卷考试</w:t>
            </w:r>
          </w:p>
        </w:tc>
        <w:tc>
          <w:tcPr>
            <w:tcW w:w="739" w:type="dxa"/>
            <w:tcBorders>
              <w:top w:val="single" w:color="auto" w:sz="4" w:space="0"/>
              <w:left w:val="single" w:color="auto" w:sz="4" w:space="0"/>
              <w:bottom w:val="single" w:color="auto" w:sz="4" w:space="0"/>
              <w:right w:val="single" w:color="auto" w:sz="4" w:space="0"/>
            </w:tcBorders>
            <w:vAlign w:val="center"/>
          </w:tcPr>
          <w:p w14:paraId="0FB51ABB">
            <w:pPr>
              <w:jc w:val="center"/>
              <w:rPr>
                <w:rFonts w:ascii="Times New Roman" w:hAnsi="Times New Roman" w:eastAsia="宋体" w:cs="Times New Roman"/>
                <w:sz w:val="24"/>
              </w:rPr>
            </w:pPr>
            <w:r>
              <w:rPr>
                <w:rFonts w:ascii="Times New Roman" w:hAnsi="Times New Roman" w:eastAsia="宋体" w:cs="Times New Roman"/>
                <w:lang w:bidi="ar"/>
              </w:rPr>
              <w:t>50 %</w:t>
            </w:r>
          </w:p>
        </w:tc>
        <w:tc>
          <w:tcPr>
            <w:tcW w:w="4255" w:type="dxa"/>
            <w:tcBorders>
              <w:top w:val="single" w:color="auto" w:sz="4" w:space="0"/>
              <w:left w:val="single" w:color="auto" w:sz="4" w:space="0"/>
              <w:bottom w:val="single" w:color="auto" w:sz="4" w:space="0"/>
              <w:right w:val="single" w:color="auto" w:sz="4" w:space="0"/>
            </w:tcBorders>
            <w:vAlign w:val="center"/>
          </w:tcPr>
          <w:p w14:paraId="31CF3F44">
            <w:pPr>
              <w:jc w:val="left"/>
              <w:rPr>
                <w:rFonts w:ascii="Times New Roman" w:hAnsi="Times New Roman" w:eastAsia="宋体" w:cs="Times New Roman"/>
              </w:rPr>
            </w:pPr>
            <w:r>
              <w:rPr>
                <w:rFonts w:ascii="Times New Roman" w:hAnsi="Times New Roman" w:eastAsia="宋体" w:cs="Times New Roman"/>
                <w:lang w:bidi="ar"/>
              </w:rPr>
              <w:t>试卷题型包括选择题、计算题、解答题等。</w:t>
            </w:r>
          </w:p>
        </w:tc>
        <w:tc>
          <w:tcPr>
            <w:tcW w:w="1408" w:type="dxa"/>
            <w:tcBorders>
              <w:top w:val="single" w:color="auto" w:sz="4" w:space="0"/>
              <w:left w:val="single" w:color="auto" w:sz="4" w:space="0"/>
              <w:bottom w:val="single" w:color="auto" w:sz="4" w:space="0"/>
              <w:right w:val="single" w:color="auto" w:sz="4" w:space="0"/>
            </w:tcBorders>
            <w:vAlign w:val="center"/>
          </w:tcPr>
          <w:p w14:paraId="76BAEA8B">
            <w:pPr>
              <w:jc w:val="center"/>
              <w:rPr>
                <w:rFonts w:ascii="Times New Roman" w:hAnsi="Times New Roman" w:eastAsia="宋体" w:cs="Times New Roman"/>
                <w:szCs w:val="21"/>
              </w:rPr>
            </w:pPr>
            <w:r>
              <w:rPr>
                <w:rFonts w:ascii="Times New Roman" w:hAnsi="Times New Roman" w:eastAsia="宋体" w:cs="Times New Roman"/>
                <w:szCs w:val="21"/>
              </w:rPr>
              <w:t xml:space="preserve">3-2 </w:t>
            </w:r>
          </w:p>
        </w:tc>
      </w:tr>
    </w:tbl>
    <w:p w14:paraId="46AD2289">
      <w:pPr>
        <w:spacing w:line="360" w:lineRule="auto"/>
        <w:ind w:firstLine="562" w:firstLineChars="200"/>
        <w:rPr>
          <w:rFonts w:ascii="Times New Roman" w:hAnsi="Times New Roman" w:eastAsia="宋体" w:cs="Times New Roman"/>
          <w:b/>
          <w:sz w:val="28"/>
          <w:szCs w:val="28"/>
        </w:rPr>
      </w:pPr>
    </w:p>
    <w:p w14:paraId="7B12AF04">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七、有关说明</w:t>
      </w:r>
    </w:p>
    <w:p w14:paraId="16D13713">
      <w:pPr>
        <w:spacing w:line="360" w:lineRule="auto"/>
        <w:ind w:firstLine="482" w:firstLineChars="200"/>
        <w:rPr>
          <w:rFonts w:ascii="Times New Roman" w:hAnsi="Times New Roman" w:eastAsia="宋体" w:cs="Times New Roman"/>
          <w:b/>
          <w:color w:val="000000"/>
          <w:sz w:val="24"/>
        </w:rPr>
      </w:pPr>
      <w:r>
        <w:rPr>
          <w:rFonts w:ascii="Times New Roman" w:hAnsi="Times New Roman" w:eastAsia="宋体" w:cs="Times New Roman"/>
          <w:b/>
          <w:color w:val="000000"/>
          <w:sz w:val="24"/>
        </w:rPr>
        <w:t>（一）持续改进</w:t>
      </w:r>
    </w:p>
    <w:p w14:paraId="733A88E0">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1. 提倡改革教学方法，强调应用现代化教学手段，如课件、互联网视频教学和网络答疑等。</w:t>
      </w:r>
    </w:p>
    <w:p w14:paraId="27A1E353">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2.合理安排教学课时，加强课堂提问、课堂小测验等旨在督促学生自主学习的教学环节；引导学生做好课前预习、课后整理笔记并及时完成作业的复习工作；保证学生完成一定数量的作业和习题。</w:t>
      </w:r>
    </w:p>
    <w:p w14:paraId="089ABB00">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3．教学用的例题和习题，应适当结合实际。</w:t>
      </w:r>
    </w:p>
    <w:p w14:paraId="3304AC4B">
      <w:pPr>
        <w:spacing w:line="360" w:lineRule="auto"/>
        <w:ind w:firstLine="482" w:firstLineChars="200"/>
        <w:rPr>
          <w:rFonts w:ascii="Times New Roman" w:hAnsi="Times New Roman" w:eastAsia="宋体" w:cs="Times New Roman"/>
          <w:b/>
          <w:color w:val="000000"/>
          <w:sz w:val="24"/>
        </w:rPr>
      </w:pPr>
      <w:r>
        <w:rPr>
          <w:rFonts w:ascii="Times New Roman" w:hAnsi="Times New Roman" w:eastAsia="宋体" w:cs="Times New Roman"/>
          <w:b/>
          <w:color w:val="000000"/>
          <w:sz w:val="24"/>
        </w:rPr>
        <w:t>（二）参考书目及学习资料</w:t>
      </w:r>
    </w:p>
    <w:p w14:paraId="5552830D">
      <w:pPr>
        <w:spacing w:line="300" w:lineRule="auto"/>
        <w:ind w:firstLine="480" w:firstLineChars="200"/>
        <w:rPr>
          <w:rFonts w:ascii="Times New Roman" w:hAnsi="Times New Roman" w:eastAsia="宋体" w:cs="Times New Roman"/>
          <w:kern w:val="10"/>
          <w:sz w:val="24"/>
        </w:rPr>
      </w:pPr>
      <w:r>
        <w:rPr>
          <w:rFonts w:ascii="Times New Roman" w:hAnsi="Times New Roman" w:eastAsia="宋体" w:cs="Times New Roman"/>
          <w:sz w:val="24"/>
        </w:rPr>
        <w:t>1. 徐品方. 数学趣史. 北京：科学出版社，2013.</w:t>
      </w:r>
    </w:p>
    <w:p w14:paraId="597A6057">
      <w:pPr>
        <w:spacing w:line="30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 基础教育教学研究课题组. 小学数学教学指导. 北京：高等教育出版社，2015.</w:t>
      </w:r>
    </w:p>
    <w:p w14:paraId="46CEC28C">
      <w:pPr>
        <w:spacing w:line="300" w:lineRule="auto"/>
        <w:ind w:firstLine="480" w:firstLineChars="200"/>
        <w:rPr>
          <w:rFonts w:ascii="Times New Roman" w:hAnsi="Times New Roman" w:eastAsia="宋体" w:cs="Times New Roman"/>
          <w:sz w:val="24"/>
        </w:rPr>
      </w:pPr>
    </w:p>
    <w:p w14:paraId="050A3FA4">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ascii="Times New Roman" w:hAnsi="Times New Roman" w:eastAsia="宋体" w:cs="Times New Roman"/>
          <w:sz w:val="24"/>
        </w:rPr>
        <w:t xml:space="preserve">                                                   </w:t>
      </w:r>
      <w:r>
        <w:rPr>
          <w:rFonts w:ascii="Times New Roman" w:hAnsi="Times New Roman" w:eastAsia="宋体" w:cs="Times New Roman"/>
          <w:kern w:val="0"/>
          <w:sz w:val="24"/>
          <w:szCs w:val="21"/>
        </w:rPr>
        <w:t>执笔人：王君甫</w:t>
      </w:r>
    </w:p>
    <w:p w14:paraId="753834B1">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ascii="Times New Roman" w:hAnsi="Times New Roman" w:eastAsia="宋体" w:cs="Times New Roman"/>
          <w:color w:val="000000"/>
          <w:sz w:val="24"/>
          <w:szCs w:val="21"/>
        </w:rPr>
        <w:t>钱  峰</w:t>
      </w:r>
    </w:p>
    <w:p w14:paraId="084A5A66">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审批人：王献东</w:t>
      </w:r>
    </w:p>
    <w:p w14:paraId="277AA458">
      <w:pPr>
        <w:wordWrap w:val="0"/>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批准时间：20</w:t>
      </w:r>
      <w:r>
        <w:rPr>
          <w:rFonts w:hint="eastAsia" w:ascii="Times New Roman" w:hAnsi="Times New Roman" w:eastAsia="宋体" w:cs="Times New Roman"/>
          <w:kern w:val="0"/>
          <w:sz w:val="24"/>
          <w:szCs w:val="21"/>
        </w:rPr>
        <w:t>24年8月</w:t>
      </w:r>
    </w:p>
    <w:p w14:paraId="26FF7AAB">
      <w:pP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br w:type="page"/>
      </w:r>
    </w:p>
    <w:p w14:paraId="4F79DE5D">
      <w:pPr>
        <w:pStyle w:val="2"/>
        <w:bidi w:val="0"/>
      </w:pPr>
      <w:bookmarkStart w:id="225" w:name="_Toc19047"/>
      <w:r>
        <w:rPr>
          <w:rFonts w:hint="eastAsia"/>
        </w:rPr>
        <w:t>《小学数学课程标准与教材分析》课程教学大纲</w:t>
      </w:r>
      <w:bookmarkEnd w:id="225"/>
    </w:p>
    <w:p w14:paraId="11546789">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（Analysis on Mathematics Curriculum Standard and Textbook in Primary School）</w:t>
      </w:r>
    </w:p>
    <w:p w14:paraId="6E14ACC3">
      <w:pPr>
        <w:spacing w:line="360" w:lineRule="auto"/>
        <w:jc w:val="center"/>
        <w:rPr>
          <w:rFonts w:ascii="Times New Roman" w:hAnsi="Times New Roman" w:eastAsia="宋体" w:cs="Times New Roman"/>
          <w:bCs/>
          <w:sz w:val="30"/>
          <w:szCs w:val="30"/>
        </w:rPr>
      </w:pPr>
    </w:p>
    <w:p w14:paraId="2A34A54F">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课程名称：小学数学课程标准与教材分析</w:t>
      </w:r>
    </w:p>
    <w:p w14:paraId="40B693E7">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课程代码：2401077</w:t>
      </w:r>
    </w:p>
    <w:p w14:paraId="3754D45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分：</w:t>
      </w:r>
      <w:r>
        <w:rPr>
          <w:rFonts w:hint="eastAsia" w:ascii="Times New Roman" w:hAnsi="Times New Roman" w:eastAsia="宋体" w:cs="Times New Roman"/>
          <w:b/>
          <w:sz w:val="24"/>
          <w:szCs w:val="24"/>
        </w:rPr>
        <w:t>3</w:t>
      </w:r>
    </w:p>
    <w:p w14:paraId="4C62FC2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时：</w:t>
      </w:r>
      <w:r>
        <w:rPr>
          <w:rFonts w:hint="eastAsia" w:ascii="Times New Roman" w:hAnsi="Times New Roman" w:eastAsia="宋体" w:cs="Times New Roman"/>
          <w:b/>
          <w:sz w:val="24"/>
          <w:szCs w:val="24"/>
        </w:rPr>
        <w:t>48</w:t>
      </w:r>
      <w:r>
        <w:rPr>
          <w:rFonts w:ascii="Times New Roman" w:hAnsi="Times New Roman" w:eastAsia="宋体" w:cs="Times New Roman"/>
          <w:b/>
          <w:sz w:val="24"/>
          <w:szCs w:val="24"/>
        </w:rPr>
        <w:t xml:space="preserve"> （其中：讲授学时</w:t>
      </w:r>
      <w:r>
        <w:rPr>
          <w:rFonts w:hint="eastAsia" w:ascii="Times New Roman" w:hAnsi="Times New Roman" w:eastAsia="宋体" w:cs="Times New Roman"/>
          <w:b/>
          <w:sz w:val="24"/>
          <w:szCs w:val="24"/>
        </w:rPr>
        <w:t>32</w:t>
      </w:r>
      <w:r>
        <w:rPr>
          <w:rFonts w:ascii="Times New Roman" w:hAnsi="Times New Roman" w:eastAsia="宋体" w:cs="Times New Roman"/>
          <w:b/>
          <w:sz w:val="24"/>
          <w:szCs w:val="24"/>
        </w:rPr>
        <w:t>， 实践学时</w:t>
      </w:r>
      <w:r>
        <w:rPr>
          <w:rFonts w:hint="eastAsia" w:ascii="Times New Roman" w:hAnsi="Times New Roman" w:eastAsia="宋体" w:cs="Times New Roman"/>
          <w:b/>
          <w:sz w:val="24"/>
          <w:szCs w:val="24"/>
        </w:rPr>
        <w:t>16</w:t>
      </w:r>
      <w:r>
        <w:rPr>
          <w:rFonts w:ascii="Times New Roman" w:hAnsi="Times New Roman" w:eastAsia="宋体" w:cs="Times New Roman"/>
          <w:b/>
          <w:sz w:val="24"/>
          <w:szCs w:val="24"/>
        </w:rPr>
        <w:t>）</w:t>
      </w:r>
    </w:p>
    <w:p w14:paraId="0C6F2E65">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先修课程：小学心理学、教育原理、教育心理学、课程与教学论、初等数论</w:t>
      </w:r>
    </w:p>
    <w:p w14:paraId="2053993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适用专业：小学教育（理）</w:t>
      </w:r>
    </w:p>
    <w:p w14:paraId="422948CA">
      <w:pPr>
        <w:spacing w:line="360" w:lineRule="auto"/>
        <w:jc w:val="left"/>
        <w:rPr>
          <w:rFonts w:ascii="Times New Roman" w:hAnsi="Times New Roman" w:eastAsia="宋体" w:cs="Times New Roman"/>
          <w:b/>
          <w:sz w:val="24"/>
          <w:szCs w:val="24"/>
        </w:rPr>
      </w:pPr>
    </w:p>
    <w:p w14:paraId="44DA529C">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06A013BA">
      <w:pPr>
        <w:spacing w:line="360" w:lineRule="auto"/>
        <w:ind w:firstLine="420" w:firstLineChars="200"/>
        <w:jc w:val="left"/>
        <w:rPr>
          <w:rFonts w:hint="eastAsia" w:ascii="宋体" w:hAnsi="宋体" w:eastAsia="宋体" w:cs="Times New Roman"/>
          <w:b/>
          <w:color w:val="000000"/>
          <w:szCs w:val="21"/>
        </w:rPr>
      </w:pPr>
      <w:r>
        <w:rPr>
          <w:rFonts w:hint="eastAsia" w:ascii="Times New Roman" w:hAnsi="Times New Roman" w:eastAsia="宋体" w:cs="Times New Roman"/>
          <w:szCs w:val="21"/>
        </w:rPr>
        <w:t>本课程是小学教育专业的一门专业必修课程。通过本门课程学习，学生能够理解小学数学课程的性质和基本理念，明确小学数学课程目标，熟悉小学数学课程的主要内容。能依据数学课程标准的理念对小学数学教材进行科学的分析，明确“数与代数”“图形与几何”“统计与概率”“综合与实践”等领域教材的编写意图、逻辑结构与编写特点，能在教材分析的基础上尝试进行小学数学教学设计并付诸实施，不断提高小学数学教学的能力。</w:t>
      </w:r>
    </w:p>
    <w:p w14:paraId="46216D02">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0B5FC68A">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4504351">
      <w:pPr>
        <w:spacing w:line="360" w:lineRule="auto"/>
        <w:ind w:firstLine="422" w:firstLineChars="200"/>
        <w:rPr>
          <w:rFonts w:hint="eastAsia" w:ascii="宋体" w:hAnsi="宋体" w:eastAsia="宋体"/>
          <w:kern w:val="0"/>
          <w:szCs w:val="21"/>
        </w:rPr>
      </w:pPr>
      <w:r>
        <w:rPr>
          <w:rFonts w:hint="eastAsia" w:ascii="宋体" w:hAnsi="宋体" w:eastAsia="宋体"/>
          <w:b/>
          <w:kern w:val="0"/>
          <w:szCs w:val="21"/>
        </w:rPr>
        <w:t>目标</w:t>
      </w:r>
      <w:r>
        <w:rPr>
          <w:rFonts w:ascii="宋体" w:hAnsi="宋体" w:eastAsia="宋体"/>
          <w:b/>
          <w:kern w:val="0"/>
          <w:szCs w:val="21"/>
        </w:rPr>
        <w:t>1.</w:t>
      </w:r>
      <w:r>
        <w:rPr>
          <w:rFonts w:hint="eastAsia" w:ascii="宋体" w:hAnsi="宋体" w:eastAsia="宋体"/>
          <w:kern w:val="0"/>
          <w:szCs w:val="21"/>
        </w:rPr>
        <w:t>理解义务教育数学课程标准的基本理念以及</w:t>
      </w:r>
      <w:r>
        <w:rPr>
          <w:rFonts w:ascii="宋体" w:hAnsi="宋体" w:eastAsia="宋体"/>
          <w:kern w:val="0"/>
          <w:szCs w:val="21"/>
        </w:rPr>
        <w:t>数学素养的</w:t>
      </w:r>
      <w:r>
        <w:rPr>
          <w:rFonts w:hint="eastAsia" w:ascii="宋体" w:hAnsi="宋体" w:eastAsia="宋体"/>
          <w:kern w:val="0"/>
          <w:szCs w:val="21"/>
        </w:rPr>
        <w:t>相关概念，明确</w:t>
      </w:r>
      <w:r>
        <w:rPr>
          <w:rFonts w:ascii="宋体" w:hAnsi="宋体" w:eastAsia="宋体"/>
          <w:kern w:val="0"/>
          <w:szCs w:val="21"/>
        </w:rPr>
        <w:t>小学数学课程的</w:t>
      </w:r>
      <w:r>
        <w:rPr>
          <w:rFonts w:hint="eastAsia" w:ascii="宋体" w:hAnsi="宋体" w:eastAsia="宋体"/>
          <w:kern w:val="0"/>
          <w:szCs w:val="21"/>
        </w:rPr>
        <w:t>总体目标，了解小学教材</w:t>
      </w:r>
      <w:r>
        <w:rPr>
          <w:rFonts w:ascii="宋体" w:hAnsi="宋体" w:eastAsia="宋体"/>
          <w:kern w:val="0"/>
          <w:szCs w:val="21"/>
        </w:rPr>
        <w:t>的</w:t>
      </w:r>
      <w:r>
        <w:rPr>
          <w:rFonts w:hint="eastAsia" w:ascii="宋体" w:hAnsi="宋体" w:eastAsia="宋体"/>
          <w:kern w:val="0"/>
          <w:szCs w:val="21"/>
        </w:rPr>
        <w:t>逻辑</w:t>
      </w:r>
      <w:r>
        <w:rPr>
          <w:rFonts w:ascii="宋体" w:hAnsi="宋体" w:eastAsia="宋体"/>
          <w:kern w:val="0"/>
          <w:szCs w:val="21"/>
        </w:rPr>
        <w:t>结构，</w:t>
      </w:r>
      <w:r>
        <w:rPr>
          <w:rFonts w:hint="eastAsia" w:ascii="宋体" w:hAnsi="宋体" w:eastAsia="宋体"/>
          <w:kern w:val="0"/>
          <w:szCs w:val="21"/>
        </w:rPr>
        <w:t>熟悉“数与代数”“图形与几何”“统计与概率”“综合与实践”等领域的具体内容。</w:t>
      </w:r>
    </w:p>
    <w:p w14:paraId="46337A8E">
      <w:pPr>
        <w:spacing w:line="360" w:lineRule="auto"/>
        <w:ind w:firstLine="422" w:firstLineChars="200"/>
        <w:rPr>
          <w:rFonts w:hint="eastAsia" w:ascii="宋体" w:hAnsi="宋体" w:eastAsia="宋体"/>
          <w:kern w:val="0"/>
          <w:szCs w:val="21"/>
        </w:rPr>
      </w:pPr>
      <w:r>
        <w:rPr>
          <w:rFonts w:hint="eastAsia" w:ascii="宋体" w:hAnsi="宋体" w:eastAsia="宋体"/>
          <w:b/>
          <w:kern w:val="0"/>
          <w:szCs w:val="21"/>
        </w:rPr>
        <w:t>目标</w:t>
      </w:r>
      <w:r>
        <w:rPr>
          <w:rFonts w:ascii="宋体" w:hAnsi="宋体" w:eastAsia="宋体"/>
          <w:b/>
          <w:kern w:val="0"/>
          <w:szCs w:val="21"/>
        </w:rPr>
        <w:t>2.</w:t>
      </w:r>
      <w:r>
        <w:rPr>
          <w:rFonts w:hint="eastAsia" w:ascii="宋体" w:hAnsi="宋体" w:eastAsia="宋体"/>
          <w:kern w:val="0"/>
          <w:szCs w:val="21"/>
        </w:rPr>
        <w:t>能够依据小学数学课程的基本理念、学业质量要求和实施建议，</w:t>
      </w:r>
      <w:r>
        <w:rPr>
          <w:rFonts w:ascii="宋体" w:hAnsi="宋体" w:eastAsia="宋体"/>
          <w:kern w:val="0"/>
          <w:szCs w:val="21"/>
        </w:rPr>
        <w:t>尝试进行小学数学教学设计并付诸实施</w:t>
      </w:r>
      <w:r>
        <w:rPr>
          <w:rFonts w:hint="eastAsia" w:ascii="宋体" w:hAnsi="宋体" w:eastAsia="宋体"/>
          <w:kern w:val="0"/>
          <w:szCs w:val="21"/>
        </w:rPr>
        <w:t>，具有初步的小学数学教学能力。</w:t>
      </w:r>
    </w:p>
    <w:p w14:paraId="3FF16471">
      <w:pPr>
        <w:spacing w:line="360" w:lineRule="auto"/>
        <w:ind w:firstLine="422" w:firstLineChars="200"/>
        <w:rPr>
          <w:rFonts w:hint="eastAsia" w:ascii="宋体" w:hAnsi="宋体" w:eastAsia="宋体"/>
          <w:kern w:val="0"/>
          <w:szCs w:val="21"/>
        </w:rPr>
      </w:pPr>
      <w:r>
        <w:rPr>
          <w:rFonts w:hint="eastAsia" w:ascii="宋体" w:hAnsi="宋体" w:eastAsia="宋体"/>
          <w:b/>
          <w:kern w:val="0"/>
          <w:szCs w:val="21"/>
        </w:rPr>
        <w:t>目标</w:t>
      </w:r>
      <w:r>
        <w:rPr>
          <w:rFonts w:ascii="宋体" w:hAnsi="宋体" w:eastAsia="宋体"/>
          <w:b/>
          <w:kern w:val="0"/>
          <w:szCs w:val="21"/>
        </w:rPr>
        <w:t>3.</w:t>
      </w:r>
      <w:r>
        <w:rPr>
          <w:rFonts w:hint="eastAsia" w:ascii="宋体" w:hAnsi="宋体" w:eastAsia="宋体"/>
          <w:kern w:val="0"/>
          <w:szCs w:val="21"/>
        </w:rPr>
        <w:t>能够结合小学课程内容及小学生的年龄特点，挖掘小学数学课程中的思政元素，确立综合育人的意识。</w:t>
      </w:r>
    </w:p>
    <w:p w14:paraId="2AA70823">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552"/>
        <w:gridCol w:w="1327"/>
      </w:tblGrid>
      <w:tr w14:paraId="71D9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4EFEC5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552" w:type="dxa"/>
            <w:vAlign w:val="center"/>
          </w:tcPr>
          <w:p w14:paraId="6349FC2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285C23E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A8A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Merge w:val="restart"/>
            <w:vAlign w:val="center"/>
          </w:tcPr>
          <w:p w14:paraId="439ABF0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4. 教学能力</w:t>
            </w:r>
          </w:p>
        </w:tc>
        <w:tc>
          <w:tcPr>
            <w:tcW w:w="5552" w:type="dxa"/>
            <w:vAlign w:val="center"/>
          </w:tcPr>
          <w:p w14:paraId="229E2FCE">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327" w:type="dxa"/>
            <w:vAlign w:val="center"/>
          </w:tcPr>
          <w:p w14:paraId="299CAC4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1</w:t>
            </w:r>
          </w:p>
        </w:tc>
      </w:tr>
      <w:tr w14:paraId="42DA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Merge w:val="continue"/>
            <w:vAlign w:val="center"/>
          </w:tcPr>
          <w:p w14:paraId="1E22E085">
            <w:pPr>
              <w:spacing w:line="276" w:lineRule="auto"/>
              <w:jc w:val="left"/>
              <w:rPr>
                <w:rFonts w:ascii="Times New Roman" w:hAnsi="Times New Roman" w:eastAsia="宋体" w:cs="Times New Roman"/>
                <w:szCs w:val="21"/>
              </w:rPr>
            </w:pPr>
          </w:p>
        </w:tc>
        <w:tc>
          <w:tcPr>
            <w:tcW w:w="5552" w:type="dxa"/>
            <w:vAlign w:val="center"/>
          </w:tcPr>
          <w:p w14:paraId="3B0C192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5A2E721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tc>
      </w:tr>
      <w:tr w14:paraId="6535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2229BD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6. 综合育人</w:t>
            </w:r>
          </w:p>
        </w:tc>
        <w:tc>
          <w:tcPr>
            <w:tcW w:w="5552" w:type="dxa"/>
            <w:vAlign w:val="center"/>
          </w:tcPr>
          <w:p w14:paraId="64C0ED8E">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58663CB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bl>
    <w:p w14:paraId="4A14B811">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17E63E0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坚持马克思主义的全面发展观，树立“德育为先”的教学理念，坚持数学课程为社会主义现代化建设服务的思想。</w:t>
      </w:r>
      <w:r>
        <w:rPr>
          <w:rFonts w:ascii="宋体" w:hAnsi="宋体" w:eastAsia="宋体" w:cs="Times New Roman"/>
          <w:color w:val="000000"/>
          <w:szCs w:val="21"/>
        </w:rPr>
        <w:t>了解数</w:t>
      </w:r>
      <w:r>
        <w:rPr>
          <w:rFonts w:hint="eastAsia" w:ascii="宋体" w:hAnsi="宋体" w:eastAsia="宋体" w:cs="Times New Roman"/>
          <w:color w:val="000000"/>
          <w:szCs w:val="21"/>
        </w:rPr>
        <w:t>学</w:t>
      </w:r>
      <w:r>
        <w:rPr>
          <w:rFonts w:ascii="宋体" w:hAnsi="宋体" w:eastAsia="宋体" w:cs="Times New Roman"/>
          <w:color w:val="000000"/>
          <w:szCs w:val="21"/>
        </w:rPr>
        <w:t>教学内容中蕴含的数学思想与文化，增强文化自信。激发参与数学教学改革的热情，增强社会现任感。</w:t>
      </w:r>
    </w:p>
    <w:p w14:paraId="76E5F11F">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2901"/>
        <w:gridCol w:w="1559"/>
        <w:gridCol w:w="798"/>
      </w:tblGrid>
      <w:tr w14:paraId="6224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E60320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7B6B91C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8C36BE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2C0F988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6D5BF09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901" w:type="dxa"/>
            <w:vAlign w:val="center"/>
          </w:tcPr>
          <w:p w14:paraId="7B2A113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59" w:type="dxa"/>
            <w:vAlign w:val="center"/>
          </w:tcPr>
          <w:p w14:paraId="17E28F7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98" w:type="dxa"/>
            <w:vAlign w:val="center"/>
          </w:tcPr>
          <w:p w14:paraId="69A7B70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1745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D57E2E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绪论</w:t>
            </w:r>
          </w:p>
        </w:tc>
        <w:tc>
          <w:tcPr>
            <w:tcW w:w="1701" w:type="dxa"/>
            <w:vAlign w:val="center"/>
          </w:tcPr>
          <w:p w14:paraId="1FA8636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1）《数学课程标准》与教材分析的目标与价值</w:t>
            </w:r>
          </w:p>
          <w:p w14:paraId="19F9413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2）课程标准（教学大纲）的历史回顾</w:t>
            </w:r>
          </w:p>
        </w:tc>
        <w:tc>
          <w:tcPr>
            <w:tcW w:w="1134" w:type="dxa"/>
            <w:vAlign w:val="center"/>
          </w:tcPr>
          <w:p w14:paraId="0A472DE1">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2901" w:type="dxa"/>
            <w:vAlign w:val="center"/>
          </w:tcPr>
          <w:p w14:paraId="67B7B6E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1）理解《数学课程标准》与教材分析的目标与价值</w:t>
            </w:r>
            <w:r>
              <w:rPr>
                <w:rFonts w:hint="eastAsia" w:ascii="宋体" w:hAnsi="宋体" w:eastAsia="宋体" w:cs="Times New Roman"/>
                <w:color w:val="000000"/>
                <w:szCs w:val="21"/>
              </w:rPr>
              <w:t>。</w:t>
            </w:r>
          </w:p>
          <w:p w14:paraId="0DEF9AA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2）了解课程标准（教学大纲）的发展情况</w:t>
            </w:r>
            <w:r>
              <w:rPr>
                <w:rFonts w:hint="eastAsia" w:ascii="宋体" w:hAnsi="宋体" w:eastAsia="宋体" w:cs="Times New Roman"/>
                <w:color w:val="000000"/>
                <w:szCs w:val="21"/>
              </w:rPr>
              <w:t>。</w:t>
            </w:r>
          </w:p>
          <w:p w14:paraId="3C0D968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3）激发参与数学课程改革的愿望，增强热爱数学的积极情感</w:t>
            </w:r>
            <w:r>
              <w:rPr>
                <w:rFonts w:hint="eastAsia" w:ascii="宋体" w:hAnsi="宋体" w:eastAsia="宋体" w:cs="Times New Roman"/>
                <w:color w:val="000000"/>
                <w:szCs w:val="21"/>
              </w:rPr>
              <w:t>。</w:t>
            </w:r>
          </w:p>
        </w:tc>
        <w:tc>
          <w:tcPr>
            <w:tcW w:w="1559" w:type="dxa"/>
            <w:vAlign w:val="center"/>
          </w:tcPr>
          <w:p w14:paraId="7054449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6BD7E0E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53DC7AA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4C5A261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798" w:type="dxa"/>
            <w:vAlign w:val="center"/>
          </w:tcPr>
          <w:p w14:paraId="39734C5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讲授3</w:t>
            </w:r>
          </w:p>
        </w:tc>
      </w:tr>
      <w:tr w14:paraId="2E00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10FC67A">
            <w:pPr>
              <w:spacing w:line="264" w:lineRule="auto"/>
              <w:jc w:val="center"/>
              <w:rPr>
                <w:rFonts w:hint="eastAsia" w:ascii="宋体" w:hAnsi="宋体" w:eastAsia="宋体" w:cs="Times New Roman"/>
                <w:color w:val="000000"/>
                <w:szCs w:val="21"/>
              </w:rPr>
            </w:pPr>
          </w:p>
        </w:tc>
        <w:tc>
          <w:tcPr>
            <w:tcW w:w="8093" w:type="dxa"/>
            <w:gridSpan w:val="5"/>
            <w:vAlign w:val="center"/>
          </w:tcPr>
          <w:p w14:paraId="353E3194">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1）了解中国灿烂的数学文化，增强文化自信和民族自豪感。</w:t>
            </w:r>
            <w:r>
              <w:rPr>
                <w:rFonts w:hint="eastAsia" w:ascii="宋体" w:hAnsi="宋体" w:eastAsia="宋体" w:cs="Times New Roman"/>
                <w:color w:val="000000"/>
                <w:szCs w:val="21"/>
              </w:rPr>
              <w:t>（</w:t>
            </w:r>
            <w:r>
              <w:rPr>
                <w:rFonts w:ascii="宋体" w:hAnsi="宋体" w:eastAsia="宋体" w:cs="Times New Roman"/>
                <w:color w:val="000000"/>
                <w:szCs w:val="21"/>
              </w:rPr>
              <w:t>2）激发参与数学课程改革的愿望，增强热爱数学的积极情感。</w:t>
            </w:r>
          </w:p>
        </w:tc>
      </w:tr>
      <w:tr w14:paraId="6CF5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FC0FD4C">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数学课程的性质和基本理念</w:t>
            </w:r>
          </w:p>
        </w:tc>
        <w:tc>
          <w:tcPr>
            <w:tcW w:w="1701" w:type="dxa"/>
            <w:vAlign w:val="center"/>
          </w:tcPr>
          <w:p w14:paraId="59C24ED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1）数学课程的基本性质</w:t>
            </w:r>
          </w:p>
          <w:p w14:paraId="0E5735E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2）数学课程的基本理念</w:t>
            </w:r>
          </w:p>
          <w:p w14:paraId="42BB56FA">
            <w:pPr>
              <w:spacing w:line="269" w:lineRule="auto"/>
              <w:jc w:val="left"/>
              <w:rPr>
                <w:rFonts w:hint="eastAsia" w:ascii="宋体" w:hAnsi="宋体" w:eastAsia="宋体" w:cs="Times New Roman"/>
                <w:color w:val="000000"/>
                <w:szCs w:val="21"/>
              </w:rPr>
            </w:pPr>
          </w:p>
        </w:tc>
        <w:tc>
          <w:tcPr>
            <w:tcW w:w="1134" w:type="dxa"/>
            <w:vAlign w:val="center"/>
          </w:tcPr>
          <w:p w14:paraId="280484E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2901" w:type="dxa"/>
            <w:vAlign w:val="center"/>
          </w:tcPr>
          <w:p w14:paraId="506C0BE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1）理解数学的本质，明确数学课程的基本性质</w:t>
            </w:r>
            <w:r>
              <w:rPr>
                <w:rFonts w:hint="eastAsia" w:ascii="宋体" w:hAnsi="宋体" w:eastAsia="宋体" w:cs="Times New Roman"/>
                <w:color w:val="000000"/>
                <w:szCs w:val="21"/>
              </w:rPr>
              <w:t>。</w:t>
            </w:r>
          </w:p>
          <w:p w14:paraId="5C108EC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2）掌握数学课程的基本理念</w:t>
            </w:r>
            <w:r>
              <w:rPr>
                <w:rFonts w:hint="eastAsia" w:ascii="宋体" w:hAnsi="宋体" w:eastAsia="宋体" w:cs="Times New Roman"/>
                <w:color w:val="000000"/>
                <w:szCs w:val="21"/>
              </w:rPr>
              <w:t>。</w:t>
            </w:r>
          </w:p>
          <w:p w14:paraId="0242528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3）能够初步运用数学课程的基本理念分析和解决实际问题</w:t>
            </w:r>
            <w:r>
              <w:rPr>
                <w:rFonts w:hint="eastAsia" w:ascii="宋体" w:hAnsi="宋体" w:eastAsia="宋体" w:cs="Times New Roman"/>
                <w:color w:val="000000"/>
                <w:szCs w:val="21"/>
              </w:rPr>
              <w:t>。</w:t>
            </w:r>
          </w:p>
        </w:tc>
        <w:tc>
          <w:tcPr>
            <w:tcW w:w="1559" w:type="dxa"/>
            <w:vAlign w:val="center"/>
          </w:tcPr>
          <w:p w14:paraId="456567B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5E4829A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1171C9A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5552B09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798" w:type="dxa"/>
            <w:vAlign w:val="center"/>
          </w:tcPr>
          <w:p w14:paraId="604C5F6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讲授6</w:t>
            </w:r>
          </w:p>
        </w:tc>
      </w:tr>
      <w:tr w14:paraId="69A2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8134CA3">
            <w:pPr>
              <w:spacing w:line="264" w:lineRule="auto"/>
              <w:jc w:val="center"/>
              <w:rPr>
                <w:rFonts w:hint="eastAsia" w:ascii="宋体" w:hAnsi="宋体" w:eastAsia="宋体" w:cs="Times New Roman"/>
                <w:color w:val="000000"/>
                <w:szCs w:val="21"/>
              </w:rPr>
            </w:pPr>
          </w:p>
        </w:tc>
        <w:tc>
          <w:tcPr>
            <w:tcW w:w="8093" w:type="dxa"/>
            <w:gridSpan w:val="5"/>
            <w:vAlign w:val="center"/>
          </w:tcPr>
          <w:p w14:paraId="076FDDF6">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1）坚持数学课程为社会主义现代化建设服务的思想。</w:t>
            </w:r>
            <w:r>
              <w:rPr>
                <w:rFonts w:hint="eastAsia" w:ascii="宋体" w:hAnsi="宋体" w:eastAsia="宋体" w:cs="Times New Roman"/>
                <w:color w:val="000000"/>
                <w:szCs w:val="21"/>
              </w:rPr>
              <w:t>（</w:t>
            </w:r>
            <w:r>
              <w:rPr>
                <w:rFonts w:ascii="宋体" w:hAnsi="宋体" w:eastAsia="宋体" w:cs="Times New Roman"/>
                <w:color w:val="000000"/>
                <w:szCs w:val="21"/>
              </w:rPr>
              <w:t>2）践行社会主义核心价值观，树立全面的数学素养观。</w:t>
            </w:r>
          </w:p>
        </w:tc>
      </w:tr>
      <w:tr w14:paraId="0C9F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A0D084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数学课程目标与内容</w:t>
            </w:r>
          </w:p>
        </w:tc>
        <w:tc>
          <w:tcPr>
            <w:tcW w:w="1701" w:type="dxa"/>
            <w:vAlign w:val="center"/>
          </w:tcPr>
          <w:p w14:paraId="51044D1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1）数学核心素养解析</w:t>
            </w:r>
          </w:p>
          <w:p w14:paraId="2D0E1A0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2）数学课程的总体目标分析</w:t>
            </w:r>
          </w:p>
          <w:p w14:paraId="1109AB5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3）数学课程的具体目标分析</w:t>
            </w:r>
          </w:p>
          <w:p w14:paraId="3AFE8A1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4）数学课程的内容结构分析</w:t>
            </w:r>
          </w:p>
        </w:tc>
        <w:tc>
          <w:tcPr>
            <w:tcW w:w="1134" w:type="dxa"/>
            <w:vAlign w:val="center"/>
          </w:tcPr>
          <w:p w14:paraId="520530C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2901" w:type="dxa"/>
            <w:vAlign w:val="center"/>
          </w:tcPr>
          <w:p w14:paraId="72DAEE9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（1）理解数学核心素养的概念。</w:t>
            </w:r>
          </w:p>
          <w:p w14:paraId="6248322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）理解数学课程的总体目标</w:t>
            </w:r>
            <w:r>
              <w:rPr>
                <w:rFonts w:hint="eastAsia" w:ascii="宋体" w:hAnsi="宋体" w:eastAsia="宋体" w:cs="Times New Roman"/>
                <w:color w:val="000000"/>
                <w:szCs w:val="21"/>
              </w:rPr>
              <w:t>；</w:t>
            </w:r>
            <w:r>
              <w:rPr>
                <w:rFonts w:ascii="宋体" w:hAnsi="宋体" w:eastAsia="宋体" w:cs="Times New Roman"/>
                <w:color w:val="000000"/>
                <w:szCs w:val="21"/>
              </w:rPr>
              <w:t>明确</w:t>
            </w:r>
            <w:r>
              <w:rPr>
                <w:rFonts w:hint="eastAsia" w:ascii="宋体" w:hAnsi="宋体" w:eastAsia="宋体" w:cs="Times New Roman"/>
                <w:color w:val="000000"/>
                <w:szCs w:val="21"/>
              </w:rPr>
              <w:t>各学段</w:t>
            </w:r>
            <w:r>
              <w:rPr>
                <w:rFonts w:ascii="宋体" w:hAnsi="宋体" w:eastAsia="宋体" w:cs="Times New Roman"/>
                <w:color w:val="000000"/>
                <w:szCs w:val="21"/>
              </w:rPr>
              <w:t>的具体目标</w:t>
            </w:r>
            <w:r>
              <w:rPr>
                <w:rFonts w:hint="eastAsia" w:ascii="宋体" w:hAnsi="宋体" w:eastAsia="宋体" w:cs="Times New Roman"/>
                <w:color w:val="000000"/>
                <w:szCs w:val="21"/>
              </w:rPr>
              <w:t>。</w:t>
            </w:r>
          </w:p>
          <w:p w14:paraId="06BA112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）了解“数与代数”“图形</w:t>
            </w:r>
            <w:r>
              <w:rPr>
                <w:rFonts w:hint="eastAsia" w:ascii="宋体" w:hAnsi="宋体" w:eastAsia="宋体" w:cs="Times New Roman"/>
                <w:color w:val="000000"/>
                <w:szCs w:val="21"/>
              </w:rPr>
              <w:t>与几何</w:t>
            </w:r>
            <w:r>
              <w:rPr>
                <w:rFonts w:ascii="宋体" w:hAnsi="宋体" w:eastAsia="宋体" w:cs="Times New Roman"/>
                <w:color w:val="000000"/>
                <w:szCs w:val="21"/>
              </w:rPr>
              <w:t>”“概率与统计”“综合与实践”四部分内容的知识结构</w:t>
            </w:r>
            <w:r>
              <w:rPr>
                <w:rFonts w:hint="eastAsia" w:ascii="宋体" w:hAnsi="宋体" w:eastAsia="宋体" w:cs="Times New Roman"/>
                <w:color w:val="000000"/>
                <w:szCs w:val="21"/>
              </w:rPr>
              <w:t>。</w:t>
            </w:r>
          </w:p>
          <w:p w14:paraId="2B3134C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）了解小学数学课程的内容构成与具体安排</w:t>
            </w:r>
            <w:r>
              <w:rPr>
                <w:rFonts w:hint="eastAsia" w:ascii="宋体" w:hAnsi="宋体" w:eastAsia="宋体" w:cs="Times New Roman"/>
                <w:color w:val="000000"/>
                <w:szCs w:val="21"/>
              </w:rPr>
              <w:t>。</w:t>
            </w:r>
          </w:p>
          <w:p w14:paraId="19C36D5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）能够依据数学课程目标进行初步的教学内容分析和目标设计</w:t>
            </w:r>
            <w:r>
              <w:rPr>
                <w:rFonts w:hint="eastAsia" w:ascii="宋体" w:hAnsi="宋体" w:eastAsia="宋体" w:cs="Times New Roman"/>
                <w:color w:val="000000"/>
                <w:szCs w:val="21"/>
              </w:rPr>
              <w:t>。</w:t>
            </w:r>
          </w:p>
        </w:tc>
        <w:tc>
          <w:tcPr>
            <w:tcW w:w="1559" w:type="dxa"/>
            <w:vAlign w:val="center"/>
          </w:tcPr>
          <w:p w14:paraId="7945BC4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0353DED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439772E8">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2420019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798" w:type="dxa"/>
            <w:vAlign w:val="center"/>
          </w:tcPr>
          <w:p w14:paraId="7AEA612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讲授6</w:t>
            </w:r>
          </w:p>
        </w:tc>
      </w:tr>
      <w:tr w14:paraId="7F74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6345713">
            <w:pPr>
              <w:spacing w:line="264" w:lineRule="auto"/>
              <w:jc w:val="center"/>
              <w:rPr>
                <w:rFonts w:hint="eastAsia" w:ascii="宋体" w:hAnsi="宋体" w:eastAsia="宋体" w:cs="Times New Roman"/>
                <w:color w:val="000000"/>
                <w:szCs w:val="21"/>
              </w:rPr>
            </w:pPr>
          </w:p>
        </w:tc>
        <w:tc>
          <w:tcPr>
            <w:tcW w:w="8093" w:type="dxa"/>
            <w:gridSpan w:val="5"/>
            <w:vAlign w:val="center"/>
          </w:tcPr>
          <w:p w14:paraId="30FD4606">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1）坚持马克思主义的全面发展观，树立“德育为先”的教学理念。</w:t>
            </w:r>
            <w:r>
              <w:rPr>
                <w:rFonts w:hint="eastAsia" w:ascii="宋体" w:hAnsi="宋体" w:eastAsia="宋体" w:cs="Times New Roman"/>
                <w:color w:val="000000"/>
                <w:szCs w:val="21"/>
              </w:rPr>
              <w:t>（</w:t>
            </w:r>
            <w:r>
              <w:rPr>
                <w:rFonts w:ascii="宋体" w:hAnsi="宋体" w:eastAsia="宋体" w:cs="Times New Roman"/>
                <w:color w:val="000000"/>
                <w:szCs w:val="21"/>
              </w:rPr>
              <w:t>2）重视创新精神和实践能力的提高，做一个担当的小学数学教师。</w:t>
            </w:r>
            <w:r>
              <w:rPr>
                <w:rFonts w:hint="eastAsia" w:ascii="宋体" w:hAnsi="宋体" w:eastAsia="宋体" w:cs="Times New Roman"/>
                <w:color w:val="000000"/>
                <w:szCs w:val="21"/>
              </w:rPr>
              <w:t>（</w:t>
            </w:r>
            <w:r>
              <w:rPr>
                <w:rFonts w:ascii="宋体" w:hAnsi="宋体" w:eastAsia="宋体" w:cs="Times New Roman"/>
                <w:color w:val="000000"/>
                <w:szCs w:val="21"/>
              </w:rPr>
              <w:t>3）树立全面育人的思想。</w:t>
            </w:r>
          </w:p>
        </w:tc>
      </w:tr>
      <w:tr w14:paraId="06DE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789425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小学数学教材简介</w:t>
            </w:r>
          </w:p>
        </w:tc>
        <w:tc>
          <w:tcPr>
            <w:tcW w:w="1701" w:type="dxa"/>
            <w:vAlign w:val="center"/>
          </w:tcPr>
          <w:p w14:paraId="57C1EB9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1）小学数学教材概述</w:t>
            </w:r>
          </w:p>
          <w:p w14:paraId="4577518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2）人教版教材介绍</w:t>
            </w:r>
          </w:p>
          <w:p w14:paraId="0D805E5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3）苏教版教材介绍</w:t>
            </w:r>
          </w:p>
          <w:p w14:paraId="10AF504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4）北师大版教材介绍</w:t>
            </w:r>
          </w:p>
        </w:tc>
        <w:tc>
          <w:tcPr>
            <w:tcW w:w="1134" w:type="dxa"/>
            <w:vAlign w:val="center"/>
          </w:tcPr>
          <w:p w14:paraId="30A84BA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2901" w:type="dxa"/>
            <w:vAlign w:val="center"/>
          </w:tcPr>
          <w:p w14:paraId="436B098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1）了解教材与教科书的区别，了解教材研制与开发的基本过程，了解当今数学教材的使用现状</w:t>
            </w:r>
            <w:r>
              <w:rPr>
                <w:rFonts w:hint="eastAsia" w:ascii="宋体" w:hAnsi="宋体" w:eastAsia="宋体" w:cs="Times New Roman"/>
                <w:color w:val="000000"/>
                <w:szCs w:val="21"/>
              </w:rPr>
              <w:t>。</w:t>
            </w:r>
          </w:p>
          <w:p w14:paraId="7C5A55C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2）了解各版本教材的内容构成</w:t>
            </w:r>
            <w:r>
              <w:rPr>
                <w:rFonts w:hint="eastAsia" w:ascii="宋体" w:hAnsi="宋体" w:eastAsia="宋体" w:cs="Times New Roman"/>
                <w:color w:val="000000"/>
                <w:szCs w:val="21"/>
              </w:rPr>
              <w:t>。</w:t>
            </w:r>
          </w:p>
          <w:p w14:paraId="309A11F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3）掌握各版本教材的编写特色</w:t>
            </w:r>
            <w:r>
              <w:rPr>
                <w:rFonts w:hint="eastAsia" w:ascii="宋体" w:hAnsi="宋体" w:eastAsia="宋体" w:cs="Times New Roman"/>
                <w:color w:val="000000"/>
                <w:szCs w:val="21"/>
              </w:rPr>
              <w:t>。</w:t>
            </w:r>
          </w:p>
        </w:tc>
        <w:tc>
          <w:tcPr>
            <w:tcW w:w="1559" w:type="dxa"/>
            <w:vAlign w:val="center"/>
          </w:tcPr>
          <w:p w14:paraId="21B09DB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0F9FD6B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01FD04C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62ACCEA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798" w:type="dxa"/>
            <w:vAlign w:val="center"/>
          </w:tcPr>
          <w:p w14:paraId="1A81F69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讲授3</w:t>
            </w:r>
          </w:p>
        </w:tc>
      </w:tr>
      <w:tr w14:paraId="5EA5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B195828">
            <w:pPr>
              <w:spacing w:line="276" w:lineRule="auto"/>
              <w:jc w:val="center"/>
              <w:rPr>
                <w:rFonts w:hint="eastAsia" w:ascii="宋体" w:hAnsi="宋体" w:eastAsia="宋体" w:cs="Times New Roman"/>
                <w:color w:val="000000"/>
                <w:szCs w:val="21"/>
              </w:rPr>
            </w:pPr>
          </w:p>
        </w:tc>
        <w:tc>
          <w:tcPr>
            <w:tcW w:w="8093" w:type="dxa"/>
            <w:gridSpan w:val="5"/>
            <w:vAlign w:val="center"/>
          </w:tcPr>
          <w:p w14:paraId="3657BACB">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1）了解中国灿烂的数学教材文化，数学文化自信和民族自豪感。</w:t>
            </w:r>
            <w:r>
              <w:rPr>
                <w:rFonts w:hint="eastAsia" w:ascii="宋体" w:hAnsi="宋体" w:eastAsia="宋体" w:cs="Times New Roman"/>
                <w:color w:val="000000"/>
                <w:szCs w:val="21"/>
              </w:rPr>
              <w:t>（</w:t>
            </w:r>
            <w:r>
              <w:rPr>
                <w:rFonts w:ascii="宋体" w:hAnsi="宋体" w:eastAsia="宋体" w:cs="Times New Roman"/>
                <w:color w:val="000000"/>
                <w:szCs w:val="21"/>
              </w:rPr>
              <w:t>2）树立着眼于“立德树人”的教材开发和利用意识。</w:t>
            </w:r>
          </w:p>
        </w:tc>
      </w:tr>
      <w:tr w14:paraId="68CE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84729F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w:t>
            </w:r>
            <w:r>
              <w:rPr>
                <w:rFonts w:hint="eastAsia" w:ascii="宋体" w:hAnsi="宋体" w:eastAsia="宋体" w:cs="Times New Roman"/>
                <w:color w:val="000000"/>
                <w:szCs w:val="21"/>
              </w:rPr>
              <w:t>“数与代数”内容与教材分析</w:t>
            </w:r>
          </w:p>
        </w:tc>
        <w:tc>
          <w:tcPr>
            <w:tcW w:w="1701" w:type="dxa"/>
            <w:vAlign w:val="center"/>
          </w:tcPr>
          <w:p w14:paraId="7D214B0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数的认识</w:t>
            </w:r>
            <w:r>
              <w:rPr>
                <w:rFonts w:ascii="宋体" w:hAnsi="宋体" w:eastAsia="宋体" w:cs="Times New Roman"/>
                <w:color w:val="000000"/>
                <w:szCs w:val="21"/>
              </w:rPr>
              <w:t>”内容与教材分析</w:t>
            </w:r>
          </w:p>
          <w:p w14:paraId="5123DDA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（3）“数的运算”内容与教材分析</w:t>
            </w:r>
          </w:p>
          <w:p w14:paraId="01495AF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数量关系</w:t>
            </w:r>
            <w:r>
              <w:rPr>
                <w:rFonts w:ascii="宋体" w:hAnsi="宋体" w:eastAsia="宋体" w:cs="Times New Roman"/>
                <w:color w:val="000000"/>
                <w:szCs w:val="21"/>
              </w:rPr>
              <w:t>”内容与教材分析</w:t>
            </w:r>
          </w:p>
          <w:p w14:paraId="4B9581C6">
            <w:pPr>
              <w:spacing w:line="276" w:lineRule="auto"/>
              <w:jc w:val="left"/>
              <w:rPr>
                <w:rFonts w:hint="eastAsia" w:ascii="宋体" w:hAnsi="宋体" w:eastAsia="宋体" w:cs="Times New Roman"/>
                <w:color w:val="000000"/>
                <w:szCs w:val="21"/>
              </w:rPr>
            </w:pPr>
          </w:p>
        </w:tc>
        <w:tc>
          <w:tcPr>
            <w:tcW w:w="1134" w:type="dxa"/>
            <w:vAlign w:val="center"/>
          </w:tcPr>
          <w:p w14:paraId="41A06EA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901" w:type="dxa"/>
            <w:vAlign w:val="center"/>
          </w:tcPr>
          <w:p w14:paraId="42C2FCA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1）了解整数、小数、分数的内容安排，理解整数、小数、分数的意义</w:t>
            </w:r>
            <w:r>
              <w:rPr>
                <w:rFonts w:hint="eastAsia" w:ascii="宋体" w:hAnsi="宋体" w:eastAsia="宋体" w:cs="Times New Roman"/>
                <w:color w:val="000000"/>
                <w:szCs w:val="21"/>
              </w:rPr>
              <w:t>。</w:t>
            </w:r>
          </w:p>
          <w:p w14:paraId="08CF25E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（2）理解</w:t>
            </w:r>
            <w:r>
              <w:rPr>
                <w:rFonts w:ascii="宋体" w:hAnsi="宋体" w:eastAsia="宋体" w:cs="Times New Roman"/>
                <w:color w:val="000000"/>
                <w:szCs w:val="21"/>
              </w:rPr>
              <w:t>整数、小数、分数运算的算理</w:t>
            </w:r>
            <w:r>
              <w:rPr>
                <w:rFonts w:hint="eastAsia" w:ascii="宋体" w:hAnsi="宋体" w:eastAsia="宋体" w:cs="Times New Roman"/>
                <w:color w:val="000000"/>
                <w:szCs w:val="21"/>
              </w:rPr>
              <w:t>，</w:t>
            </w:r>
            <w:r>
              <w:rPr>
                <w:rFonts w:ascii="宋体" w:hAnsi="宋体" w:eastAsia="宋体" w:cs="Times New Roman"/>
                <w:color w:val="000000"/>
                <w:szCs w:val="21"/>
              </w:rPr>
              <w:t>掌握整数、小数、分数运算的</w:t>
            </w:r>
            <w:r>
              <w:rPr>
                <w:rFonts w:hint="eastAsia" w:ascii="宋体" w:hAnsi="宋体" w:eastAsia="宋体" w:cs="Times New Roman"/>
                <w:color w:val="000000"/>
                <w:szCs w:val="21"/>
              </w:rPr>
              <w:t>算法。</w:t>
            </w:r>
          </w:p>
          <w:p w14:paraId="4D644F2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理解数量关系的意义。</w:t>
            </w:r>
          </w:p>
          <w:p w14:paraId="1C3DE1B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明确“数与代数”领域的学业质量要求，</w:t>
            </w:r>
            <w:r>
              <w:rPr>
                <w:rFonts w:ascii="宋体" w:hAnsi="宋体" w:eastAsia="宋体" w:cs="Times New Roman"/>
                <w:color w:val="000000"/>
                <w:szCs w:val="21"/>
              </w:rPr>
              <w:t>能够独立进行教学内容分析并进行教学设计。</w:t>
            </w:r>
          </w:p>
        </w:tc>
        <w:tc>
          <w:tcPr>
            <w:tcW w:w="1559" w:type="dxa"/>
            <w:vAlign w:val="center"/>
          </w:tcPr>
          <w:p w14:paraId="0D07F83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05C99F8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22F9160B">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48CF795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课内实践</w:t>
            </w:r>
          </w:p>
        </w:tc>
        <w:tc>
          <w:tcPr>
            <w:tcW w:w="798" w:type="dxa"/>
            <w:vAlign w:val="center"/>
          </w:tcPr>
          <w:p w14:paraId="2E627E7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讲授4</w:t>
            </w:r>
          </w:p>
          <w:p w14:paraId="5A6ED42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实践5</w:t>
            </w:r>
          </w:p>
        </w:tc>
      </w:tr>
      <w:tr w14:paraId="0B58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609149D">
            <w:pPr>
              <w:spacing w:line="276" w:lineRule="auto"/>
              <w:jc w:val="center"/>
              <w:rPr>
                <w:rFonts w:hint="eastAsia" w:ascii="宋体" w:hAnsi="宋体" w:eastAsia="宋体" w:cs="Times New Roman"/>
                <w:color w:val="000000"/>
                <w:szCs w:val="21"/>
              </w:rPr>
            </w:pPr>
          </w:p>
        </w:tc>
        <w:tc>
          <w:tcPr>
            <w:tcW w:w="8093" w:type="dxa"/>
            <w:gridSpan w:val="5"/>
            <w:vAlign w:val="center"/>
          </w:tcPr>
          <w:p w14:paraId="3568AA45">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1）了解“数与代数”教学内容中蕴含的数学思想与文化，增强文化自信。</w:t>
            </w:r>
            <w:r>
              <w:rPr>
                <w:rFonts w:hint="eastAsia" w:ascii="宋体" w:hAnsi="宋体" w:eastAsia="宋体" w:cs="Times New Roman"/>
                <w:color w:val="000000"/>
                <w:szCs w:val="21"/>
              </w:rPr>
              <w:t>（</w:t>
            </w:r>
            <w:r>
              <w:rPr>
                <w:rFonts w:ascii="宋体" w:hAnsi="宋体" w:eastAsia="宋体" w:cs="Times New Roman"/>
                <w:color w:val="000000"/>
                <w:szCs w:val="21"/>
              </w:rPr>
              <w:t>2）激发参与数学教学改革的热情，增强社会现任感。</w:t>
            </w:r>
          </w:p>
        </w:tc>
      </w:tr>
      <w:tr w14:paraId="6D8E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DA528E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w:t>
            </w:r>
            <w:r>
              <w:rPr>
                <w:rFonts w:hint="eastAsia" w:ascii="宋体" w:hAnsi="宋体" w:eastAsia="宋体" w:cs="Times New Roman"/>
                <w:color w:val="000000"/>
                <w:szCs w:val="21"/>
              </w:rPr>
              <w:t>“图形与几何”内容与教材分析</w:t>
            </w:r>
          </w:p>
        </w:tc>
        <w:tc>
          <w:tcPr>
            <w:tcW w:w="1701" w:type="dxa"/>
            <w:vAlign w:val="center"/>
          </w:tcPr>
          <w:p w14:paraId="741E029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1）“图形的认识”内容与教材分析</w:t>
            </w:r>
          </w:p>
          <w:p w14:paraId="3E559C2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图形和</w:t>
            </w:r>
            <w:r>
              <w:rPr>
                <w:rFonts w:ascii="宋体" w:hAnsi="宋体" w:eastAsia="宋体" w:cs="Times New Roman"/>
                <w:color w:val="000000"/>
                <w:szCs w:val="21"/>
              </w:rPr>
              <w:t>测量”内容与教材分析</w:t>
            </w:r>
          </w:p>
          <w:p w14:paraId="7553E9B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3）“图形的</w:t>
            </w:r>
            <w:r>
              <w:rPr>
                <w:rFonts w:hint="eastAsia" w:ascii="宋体" w:hAnsi="宋体" w:eastAsia="宋体" w:cs="Times New Roman"/>
                <w:color w:val="000000"/>
                <w:szCs w:val="21"/>
              </w:rPr>
              <w:t>位置</w:t>
            </w:r>
            <w:r>
              <w:rPr>
                <w:rFonts w:ascii="宋体" w:hAnsi="宋体" w:eastAsia="宋体" w:cs="Times New Roman"/>
                <w:color w:val="000000"/>
                <w:szCs w:val="21"/>
              </w:rPr>
              <w:t>”内容与教材分析</w:t>
            </w:r>
          </w:p>
          <w:p w14:paraId="2F3A0D1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4）“图形</w:t>
            </w:r>
            <w:r>
              <w:rPr>
                <w:rFonts w:hint="eastAsia" w:ascii="宋体" w:hAnsi="宋体" w:eastAsia="宋体" w:cs="Times New Roman"/>
                <w:color w:val="000000"/>
                <w:szCs w:val="21"/>
              </w:rPr>
              <w:t>的运动</w:t>
            </w:r>
            <w:r>
              <w:rPr>
                <w:rFonts w:ascii="宋体" w:hAnsi="宋体" w:eastAsia="宋体" w:cs="Times New Roman"/>
                <w:color w:val="000000"/>
                <w:szCs w:val="21"/>
              </w:rPr>
              <w:t>”内容与教材分析</w:t>
            </w:r>
          </w:p>
        </w:tc>
        <w:tc>
          <w:tcPr>
            <w:tcW w:w="1134" w:type="dxa"/>
            <w:vAlign w:val="center"/>
          </w:tcPr>
          <w:p w14:paraId="6115E04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901" w:type="dxa"/>
            <w:vAlign w:val="center"/>
          </w:tcPr>
          <w:p w14:paraId="1F4A26B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1）理解《数学课程标准》中关于</w:t>
            </w:r>
            <w:r>
              <w:rPr>
                <w:rFonts w:hint="eastAsia" w:ascii="宋体" w:hAnsi="宋体" w:eastAsia="宋体" w:cs="Times New Roman"/>
                <w:color w:val="000000"/>
                <w:szCs w:val="21"/>
              </w:rPr>
              <w:t>“图形的认识”“图形的测量”“图形的位置”“图形的运动”</w:t>
            </w:r>
            <w:r>
              <w:rPr>
                <w:rFonts w:ascii="宋体" w:hAnsi="宋体" w:eastAsia="宋体" w:cs="Times New Roman"/>
                <w:color w:val="000000"/>
                <w:szCs w:val="21"/>
              </w:rPr>
              <w:t>等内容的要求</w:t>
            </w:r>
            <w:r>
              <w:rPr>
                <w:rFonts w:hint="eastAsia" w:ascii="宋体" w:hAnsi="宋体" w:eastAsia="宋体" w:cs="Times New Roman"/>
                <w:color w:val="000000"/>
                <w:szCs w:val="21"/>
              </w:rPr>
              <w:t>。</w:t>
            </w:r>
          </w:p>
          <w:p w14:paraId="7ABB036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2）理解小学数学教材中“图形的认识”“</w:t>
            </w:r>
            <w:r>
              <w:rPr>
                <w:rFonts w:hint="eastAsia" w:ascii="宋体" w:hAnsi="宋体" w:eastAsia="宋体" w:cs="Times New Roman"/>
                <w:color w:val="000000"/>
                <w:szCs w:val="21"/>
              </w:rPr>
              <w:t>图形的</w:t>
            </w:r>
            <w:r>
              <w:rPr>
                <w:rFonts w:ascii="宋体" w:hAnsi="宋体" w:eastAsia="宋体" w:cs="Times New Roman"/>
                <w:color w:val="000000"/>
                <w:szCs w:val="21"/>
              </w:rPr>
              <w:t>测量”“图形</w:t>
            </w:r>
            <w:r>
              <w:rPr>
                <w:rFonts w:hint="eastAsia" w:ascii="宋体" w:hAnsi="宋体" w:eastAsia="宋体" w:cs="Times New Roman"/>
                <w:color w:val="000000"/>
                <w:szCs w:val="21"/>
              </w:rPr>
              <w:t>的</w:t>
            </w:r>
            <w:r>
              <w:rPr>
                <w:rFonts w:ascii="宋体" w:hAnsi="宋体" w:eastAsia="宋体" w:cs="Times New Roman"/>
                <w:color w:val="000000"/>
                <w:szCs w:val="21"/>
              </w:rPr>
              <w:t>位置”“图形的运动”等内容的编排及意义</w:t>
            </w:r>
            <w:r>
              <w:rPr>
                <w:rFonts w:hint="eastAsia" w:ascii="宋体" w:hAnsi="宋体" w:eastAsia="宋体" w:cs="Times New Roman"/>
                <w:color w:val="000000"/>
                <w:szCs w:val="21"/>
              </w:rPr>
              <w:t>。</w:t>
            </w:r>
          </w:p>
          <w:p w14:paraId="737F767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明确“图形与几何”领域的学业质量要求，</w:t>
            </w:r>
            <w:r>
              <w:rPr>
                <w:rFonts w:ascii="宋体" w:hAnsi="宋体" w:eastAsia="宋体" w:cs="Times New Roman"/>
                <w:color w:val="000000"/>
                <w:szCs w:val="21"/>
              </w:rPr>
              <w:t>能够独立进行“图形与几何”教学内容分析并进行教学设计</w:t>
            </w:r>
            <w:r>
              <w:rPr>
                <w:rFonts w:hint="eastAsia" w:ascii="宋体" w:hAnsi="宋体" w:eastAsia="宋体" w:cs="Times New Roman"/>
                <w:color w:val="000000"/>
                <w:szCs w:val="21"/>
              </w:rPr>
              <w:t>。</w:t>
            </w:r>
          </w:p>
        </w:tc>
        <w:tc>
          <w:tcPr>
            <w:tcW w:w="1559" w:type="dxa"/>
            <w:vAlign w:val="center"/>
          </w:tcPr>
          <w:p w14:paraId="7BF0957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57A2AEC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1718CDB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2D986D6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课内实践</w:t>
            </w:r>
          </w:p>
        </w:tc>
        <w:tc>
          <w:tcPr>
            <w:tcW w:w="798" w:type="dxa"/>
            <w:vAlign w:val="center"/>
          </w:tcPr>
          <w:p w14:paraId="4E63E2D2">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讲授4</w:t>
            </w:r>
          </w:p>
          <w:p w14:paraId="4BAAABD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实践5</w:t>
            </w:r>
          </w:p>
        </w:tc>
      </w:tr>
      <w:tr w14:paraId="7F68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3649A95">
            <w:pPr>
              <w:spacing w:line="276" w:lineRule="auto"/>
              <w:jc w:val="center"/>
              <w:rPr>
                <w:rFonts w:hint="eastAsia" w:ascii="宋体" w:hAnsi="宋体" w:eastAsia="宋体" w:cs="Times New Roman"/>
                <w:color w:val="000000"/>
                <w:szCs w:val="21"/>
              </w:rPr>
            </w:pPr>
          </w:p>
        </w:tc>
        <w:tc>
          <w:tcPr>
            <w:tcW w:w="8093" w:type="dxa"/>
            <w:gridSpan w:val="5"/>
            <w:vAlign w:val="center"/>
          </w:tcPr>
          <w:p w14:paraId="458AF868">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1）了解“图形与几何”教学内容中蕴含的数学思想与文化，增强文化自信。</w:t>
            </w:r>
            <w:r>
              <w:rPr>
                <w:rFonts w:hint="eastAsia" w:ascii="宋体" w:hAnsi="宋体" w:eastAsia="宋体" w:cs="Times New Roman"/>
                <w:color w:val="000000"/>
                <w:szCs w:val="21"/>
              </w:rPr>
              <w:t>（</w:t>
            </w:r>
            <w:r>
              <w:rPr>
                <w:rFonts w:ascii="宋体" w:hAnsi="宋体" w:eastAsia="宋体" w:cs="Times New Roman"/>
                <w:color w:val="000000"/>
                <w:szCs w:val="21"/>
              </w:rPr>
              <w:t>2）激发参与数学教学改革的热情，增强社会现任感。</w:t>
            </w:r>
          </w:p>
        </w:tc>
      </w:tr>
      <w:tr w14:paraId="6657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7785852">
            <w:pPr>
              <w:spacing w:line="276" w:lineRule="auto"/>
              <w:jc w:val="center"/>
              <w:rPr>
                <w:rFonts w:hint="eastAsia"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w:t>
            </w:r>
            <w:r>
              <w:rPr>
                <w:rFonts w:hint="eastAsia" w:ascii="宋体" w:hAnsi="宋体" w:eastAsia="宋体" w:cs="Times New Roman"/>
                <w:szCs w:val="21"/>
              </w:rPr>
              <w:t>“统计与概率”内容与教材分析</w:t>
            </w:r>
          </w:p>
        </w:tc>
        <w:tc>
          <w:tcPr>
            <w:tcW w:w="1701" w:type="dxa"/>
            <w:vAlign w:val="center"/>
          </w:tcPr>
          <w:p w14:paraId="0EE13076">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数据分类</w:t>
            </w:r>
            <w:r>
              <w:rPr>
                <w:rFonts w:ascii="宋体" w:hAnsi="宋体" w:eastAsia="宋体" w:cs="Times New Roman"/>
                <w:szCs w:val="21"/>
              </w:rPr>
              <w:t>”内容与教材分析</w:t>
            </w:r>
          </w:p>
          <w:p w14:paraId="700CDD34">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数据的收集、整理与表达</w:t>
            </w:r>
            <w:r>
              <w:rPr>
                <w:rFonts w:ascii="宋体" w:hAnsi="宋体" w:eastAsia="宋体" w:cs="Times New Roman"/>
                <w:szCs w:val="21"/>
              </w:rPr>
              <w:t>”内容与教材分析</w:t>
            </w:r>
          </w:p>
          <w:p w14:paraId="388F18E4">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3）“随机现象发生</w:t>
            </w:r>
            <w:r>
              <w:rPr>
                <w:rFonts w:hint="eastAsia" w:ascii="宋体" w:hAnsi="宋体" w:eastAsia="宋体" w:cs="Times New Roman"/>
                <w:szCs w:val="21"/>
              </w:rPr>
              <w:t>的</w:t>
            </w:r>
            <w:r>
              <w:rPr>
                <w:rFonts w:ascii="宋体" w:hAnsi="宋体" w:eastAsia="宋体" w:cs="Times New Roman"/>
                <w:szCs w:val="21"/>
              </w:rPr>
              <w:t>可能性”内容与教材分析</w:t>
            </w:r>
          </w:p>
        </w:tc>
        <w:tc>
          <w:tcPr>
            <w:tcW w:w="1134" w:type="dxa"/>
            <w:vAlign w:val="center"/>
          </w:tcPr>
          <w:p w14:paraId="64BAA63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901" w:type="dxa"/>
            <w:vAlign w:val="center"/>
          </w:tcPr>
          <w:p w14:paraId="6786649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1）理解《数学课程标准》中关于“</w:t>
            </w:r>
            <w:r>
              <w:rPr>
                <w:rFonts w:hint="eastAsia" w:ascii="宋体" w:hAnsi="宋体" w:eastAsia="宋体" w:cs="Times New Roman"/>
                <w:color w:val="000000"/>
                <w:szCs w:val="21"/>
              </w:rPr>
              <w:t>数据分类</w:t>
            </w:r>
            <w:r>
              <w:rPr>
                <w:rFonts w:ascii="宋体" w:hAnsi="宋体" w:eastAsia="宋体" w:cs="Times New Roman"/>
                <w:color w:val="000000"/>
                <w:szCs w:val="21"/>
              </w:rPr>
              <w:t>”“</w:t>
            </w:r>
            <w:r>
              <w:rPr>
                <w:rFonts w:hint="eastAsia" w:ascii="宋体" w:hAnsi="宋体" w:eastAsia="宋体" w:cs="Times New Roman"/>
                <w:color w:val="000000"/>
                <w:szCs w:val="21"/>
              </w:rPr>
              <w:t>数据的收集、整理与表达</w:t>
            </w:r>
            <w:r>
              <w:rPr>
                <w:rFonts w:ascii="宋体" w:hAnsi="宋体" w:eastAsia="宋体" w:cs="Times New Roman"/>
                <w:color w:val="000000"/>
                <w:szCs w:val="21"/>
              </w:rPr>
              <w:t>”“随机现象发生</w:t>
            </w:r>
            <w:r>
              <w:rPr>
                <w:rFonts w:hint="eastAsia" w:ascii="宋体" w:hAnsi="宋体" w:eastAsia="宋体" w:cs="Times New Roman"/>
                <w:color w:val="000000"/>
                <w:szCs w:val="21"/>
              </w:rPr>
              <w:t>的</w:t>
            </w:r>
            <w:r>
              <w:rPr>
                <w:rFonts w:ascii="宋体" w:hAnsi="宋体" w:eastAsia="宋体" w:cs="Times New Roman"/>
                <w:color w:val="000000"/>
                <w:szCs w:val="21"/>
              </w:rPr>
              <w:t>可能性”等内容的要求</w:t>
            </w:r>
            <w:r>
              <w:rPr>
                <w:rFonts w:hint="eastAsia" w:ascii="宋体" w:hAnsi="宋体" w:eastAsia="宋体" w:cs="Times New Roman"/>
                <w:color w:val="000000"/>
                <w:szCs w:val="21"/>
              </w:rPr>
              <w:t>。</w:t>
            </w:r>
          </w:p>
          <w:p w14:paraId="29CDD6F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2）理解小学数学教材中</w:t>
            </w:r>
            <w:r>
              <w:rPr>
                <w:rFonts w:hint="eastAsia" w:ascii="宋体" w:hAnsi="宋体" w:eastAsia="宋体" w:cs="Times New Roman"/>
                <w:color w:val="000000"/>
                <w:szCs w:val="21"/>
              </w:rPr>
              <w:t>“数据分类”“数据的收集、整理与表达”“随机现象发生的可能性”</w:t>
            </w:r>
            <w:r>
              <w:rPr>
                <w:rFonts w:ascii="宋体" w:hAnsi="宋体" w:eastAsia="宋体" w:cs="Times New Roman"/>
                <w:color w:val="000000"/>
                <w:szCs w:val="21"/>
              </w:rPr>
              <w:t>等内容的编排及意义</w:t>
            </w:r>
            <w:r>
              <w:rPr>
                <w:rFonts w:hint="eastAsia" w:ascii="宋体" w:hAnsi="宋体" w:eastAsia="宋体" w:cs="Times New Roman"/>
                <w:color w:val="000000"/>
                <w:szCs w:val="21"/>
              </w:rPr>
              <w:t>。</w:t>
            </w:r>
          </w:p>
          <w:p w14:paraId="58BB861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明确“统计与概率”领域的学业质量要求，</w:t>
            </w:r>
            <w:r>
              <w:rPr>
                <w:rFonts w:ascii="宋体" w:hAnsi="宋体" w:eastAsia="宋体" w:cs="Times New Roman"/>
                <w:color w:val="000000"/>
                <w:szCs w:val="21"/>
              </w:rPr>
              <w:t>能够独立进行“统计与概率”教学内容分析并进行教学设计</w:t>
            </w:r>
            <w:r>
              <w:rPr>
                <w:rFonts w:hint="eastAsia" w:ascii="宋体" w:hAnsi="宋体" w:eastAsia="宋体" w:cs="Times New Roman"/>
                <w:color w:val="000000"/>
                <w:szCs w:val="21"/>
              </w:rPr>
              <w:t>。</w:t>
            </w:r>
          </w:p>
        </w:tc>
        <w:tc>
          <w:tcPr>
            <w:tcW w:w="1559" w:type="dxa"/>
            <w:vAlign w:val="center"/>
          </w:tcPr>
          <w:p w14:paraId="2D14C09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102DCB6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47E0369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7F9BC78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课内实践</w:t>
            </w:r>
          </w:p>
        </w:tc>
        <w:tc>
          <w:tcPr>
            <w:tcW w:w="798" w:type="dxa"/>
            <w:vAlign w:val="center"/>
          </w:tcPr>
          <w:p w14:paraId="531D361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讲授3</w:t>
            </w:r>
          </w:p>
          <w:p w14:paraId="1641689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实践3</w:t>
            </w:r>
          </w:p>
        </w:tc>
      </w:tr>
      <w:tr w14:paraId="304C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0AF9000">
            <w:pPr>
              <w:spacing w:line="276" w:lineRule="auto"/>
              <w:jc w:val="center"/>
              <w:rPr>
                <w:rFonts w:hint="eastAsia" w:ascii="宋体" w:hAnsi="宋体" w:eastAsia="宋体" w:cs="Times New Roman"/>
                <w:color w:val="000000"/>
                <w:szCs w:val="21"/>
              </w:rPr>
            </w:pPr>
          </w:p>
        </w:tc>
        <w:tc>
          <w:tcPr>
            <w:tcW w:w="8093" w:type="dxa"/>
            <w:gridSpan w:val="5"/>
            <w:vAlign w:val="center"/>
          </w:tcPr>
          <w:p w14:paraId="2A3437C7">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1）了解“统计与概率”教学内容中蕴含的数学思想与文化，增强文化自信。</w:t>
            </w:r>
            <w:r>
              <w:rPr>
                <w:rFonts w:hint="eastAsia" w:ascii="宋体" w:hAnsi="宋体" w:eastAsia="宋体" w:cs="Times New Roman"/>
                <w:color w:val="000000"/>
                <w:szCs w:val="21"/>
              </w:rPr>
              <w:t>（</w:t>
            </w:r>
            <w:r>
              <w:rPr>
                <w:rFonts w:ascii="宋体" w:hAnsi="宋体" w:eastAsia="宋体" w:cs="Times New Roman"/>
                <w:color w:val="000000"/>
                <w:szCs w:val="21"/>
              </w:rPr>
              <w:t>2）激发参与数学教学改革的热情，增强社会现任感。</w:t>
            </w:r>
          </w:p>
        </w:tc>
      </w:tr>
      <w:tr w14:paraId="6785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53F115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w:t>
            </w:r>
            <w:r>
              <w:rPr>
                <w:rFonts w:hint="eastAsia" w:ascii="宋体" w:hAnsi="宋体" w:eastAsia="宋体" w:cs="Times New Roman"/>
                <w:color w:val="000000"/>
                <w:szCs w:val="21"/>
              </w:rPr>
              <w:t>“综合与实践”内容与教材分析</w:t>
            </w:r>
          </w:p>
        </w:tc>
        <w:tc>
          <w:tcPr>
            <w:tcW w:w="1701" w:type="dxa"/>
            <w:vAlign w:val="center"/>
          </w:tcPr>
          <w:p w14:paraId="5F894A83">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1）“综合与实践”的总体要求</w:t>
            </w:r>
          </w:p>
          <w:p w14:paraId="30FC72DC">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2）“综合与实践”内容与教材分析</w:t>
            </w:r>
          </w:p>
        </w:tc>
        <w:tc>
          <w:tcPr>
            <w:tcW w:w="1134" w:type="dxa"/>
            <w:vAlign w:val="center"/>
          </w:tcPr>
          <w:p w14:paraId="5FCF31A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901" w:type="dxa"/>
            <w:vAlign w:val="center"/>
          </w:tcPr>
          <w:p w14:paraId="2AB06AF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1）了解“综合与实践”的总体要求以及不同学段的具体要求</w:t>
            </w:r>
            <w:r>
              <w:rPr>
                <w:rFonts w:hint="eastAsia" w:ascii="宋体" w:hAnsi="宋体" w:eastAsia="宋体" w:cs="Times New Roman"/>
                <w:color w:val="000000"/>
                <w:szCs w:val="21"/>
              </w:rPr>
              <w:t>。</w:t>
            </w:r>
          </w:p>
          <w:p w14:paraId="4D0498B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2）理解小学数学教材中“综合与实践”的内容编排及意义</w:t>
            </w:r>
            <w:r>
              <w:rPr>
                <w:rFonts w:hint="eastAsia" w:ascii="宋体" w:hAnsi="宋体" w:eastAsia="宋体" w:cs="Times New Roman"/>
                <w:color w:val="000000"/>
                <w:szCs w:val="21"/>
              </w:rPr>
              <w:t>。</w:t>
            </w:r>
          </w:p>
          <w:p w14:paraId="4464730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明确“综合与实践”领域的学业质量要求，能够独立进行“综合与实践”教学内容分析并进行教学设计。</w:t>
            </w:r>
          </w:p>
        </w:tc>
        <w:tc>
          <w:tcPr>
            <w:tcW w:w="1559" w:type="dxa"/>
            <w:vAlign w:val="center"/>
          </w:tcPr>
          <w:p w14:paraId="5C9DFB1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33B6342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6FFBF96F">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309D10C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课内实践</w:t>
            </w:r>
          </w:p>
        </w:tc>
        <w:tc>
          <w:tcPr>
            <w:tcW w:w="798" w:type="dxa"/>
            <w:vAlign w:val="center"/>
          </w:tcPr>
          <w:p w14:paraId="07D234A2">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讲授3</w:t>
            </w:r>
          </w:p>
          <w:p w14:paraId="1499B36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实践3</w:t>
            </w:r>
          </w:p>
        </w:tc>
      </w:tr>
      <w:tr w14:paraId="1381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15760E2">
            <w:pPr>
              <w:spacing w:line="264" w:lineRule="auto"/>
              <w:jc w:val="center"/>
              <w:rPr>
                <w:rFonts w:hint="eastAsia" w:ascii="宋体" w:hAnsi="宋体" w:eastAsia="宋体" w:cs="Times New Roman"/>
                <w:color w:val="000000"/>
                <w:szCs w:val="21"/>
              </w:rPr>
            </w:pPr>
          </w:p>
        </w:tc>
        <w:tc>
          <w:tcPr>
            <w:tcW w:w="8093" w:type="dxa"/>
            <w:gridSpan w:val="5"/>
            <w:vAlign w:val="center"/>
          </w:tcPr>
          <w:p w14:paraId="102C6DE9">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1）了解“综合与实践”教学内容中蕴含的数学思想与文化，增强文化自信。</w:t>
            </w:r>
            <w:r>
              <w:rPr>
                <w:rFonts w:hint="eastAsia" w:ascii="宋体" w:hAnsi="宋体" w:eastAsia="宋体" w:cs="Times New Roman"/>
                <w:color w:val="000000"/>
                <w:szCs w:val="21"/>
              </w:rPr>
              <w:t>（</w:t>
            </w:r>
            <w:r>
              <w:rPr>
                <w:rFonts w:ascii="宋体" w:hAnsi="宋体" w:eastAsia="宋体" w:cs="Times New Roman"/>
                <w:color w:val="000000"/>
                <w:szCs w:val="21"/>
              </w:rPr>
              <w:t>2）激发参与数学教学改革的热情，增强社会现任感。</w:t>
            </w:r>
          </w:p>
        </w:tc>
      </w:tr>
    </w:tbl>
    <w:p w14:paraId="5E85C4EF">
      <w:pPr>
        <w:spacing w:line="360" w:lineRule="auto"/>
        <w:jc w:val="left"/>
        <w:rPr>
          <w:rFonts w:ascii="Times New Roman" w:hAnsi="Times New Roman" w:eastAsia="宋体" w:cs="Times New Roman"/>
          <w:sz w:val="24"/>
          <w:szCs w:val="24"/>
        </w:rPr>
      </w:pPr>
    </w:p>
    <w:p w14:paraId="4CE0F5B4">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D3ED9B2">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F3283A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FF1F04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2625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2F9C376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170723D9">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7F6E7BE">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7B3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7A8CFDF1">
            <w:pPr>
              <w:spacing w:line="360" w:lineRule="auto"/>
              <w:jc w:val="center"/>
              <w:rPr>
                <w:rFonts w:hint="eastAsia" w:ascii="宋体" w:hAnsi="宋体" w:eastAsia="宋体" w:cs="Times New Roman"/>
                <w:szCs w:val="21"/>
              </w:rPr>
            </w:pPr>
          </w:p>
        </w:tc>
        <w:tc>
          <w:tcPr>
            <w:tcW w:w="0" w:type="auto"/>
            <w:vAlign w:val="center"/>
          </w:tcPr>
          <w:p w14:paraId="0DF6FBAB">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w:t>
            </w:r>
            <w:r>
              <w:rPr>
                <w:rFonts w:ascii="宋体" w:hAnsi="宋体" w:eastAsia="宋体" w:cs="Times New Roman"/>
                <w:szCs w:val="21"/>
              </w:rPr>
              <w:t>+考勤</w:t>
            </w:r>
          </w:p>
        </w:tc>
        <w:tc>
          <w:tcPr>
            <w:tcW w:w="0" w:type="auto"/>
            <w:vAlign w:val="center"/>
          </w:tcPr>
          <w:p w14:paraId="57217F00">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3B11FF76">
            <w:pPr>
              <w:spacing w:line="360" w:lineRule="auto"/>
              <w:jc w:val="center"/>
              <w:rPr>
                <w:rFonts w:hint="eastAsia" w:ascii="宋体" w:hAnsi="宋体" w:eastAsia="宋体" w:cs="Times New Roman"/>
                <w:szCs w:val="21"/>
              </w:rPr>
            </w:pPr>
            <w:r>
              <w:rPr>
                <w:rFonts w:hint="eastAsia" w:ascii="宋体" w:hAnsi="宋体" w:eastAsia="宋体" w:cs="Times New Roman"/>
                <w:szCs w:val="21"/>
              </w:rPr>
              <w:t>课内实践</w:t>
            </w:r>
          </w:p>
        </w:tc>
        <w:tc>
          <w:tcPr>
            <w:tcW w:w="0" w:type="auto"/>
            <w:vAlign w:val="center"/>
          </w:tcPr>
          <w:p w14:paraId="3C823140">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69A846DA">
            <w:pPr>
              <w:spacing w:line="360" w:lineRule="auto"/>
              <w:jc w:val="center"/>
              <w:rPr>
                <w:rFonts w:hint="eastAsia" w:ascii="宋体" w:hAnsi="宋体" w:eastAsia="宋体" w:cs="Times New Roman"/>
                <w:szCs w:val="21"/>
              </w:rPr>
            </w:pPr>
          </w:p>
        </w:tc>
      </w:tr>
      <w:tr w14:paraId="677D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2D1BAD2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19CE11E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1926E6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9A1BC2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CBB3AF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5D2150A">
            <w:pPr>
              <w:spacing w:line="360" w:lineRule="auto"/>
              <w:jc w:val="center"/>
              <w:rPr>
                <w:rFonts w:hint="eastAsia"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0</w:t>
            </w:r>
          </w:p>
        </w:tc>
      </w:tr>
      <w:tr w14:paraId="4668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5EFD41D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34D39ED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581476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B9CA46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35B5AB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2B49FEF">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6F4B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2FF05CA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331FFAC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CE4FC1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7A7B6A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81601D9">
            <w:pPr>
              <w:spacing w:line="360" w:lineRule="auto"/>
              <w:jc w:val="center"/>
              <w:rPr>
                <w:rFonts w:hint="eastAsia" w:ascii="宋体" w:hAnsi="宋体" w:eastAsia="宋体" w:cs="Times New Roman"/>
                <w:szCs w:val="21"/>
              </w:rPr>
            </w:pPr>
          </w:p>
        </w:tc>
        <w:tc>
          <w:tcPr>
            <w:tcW w:w="0" w:type="auto"/>
            <w:vAlign w:val="center"/>
          </w:tcPr>
          <w:p w14:paraId="2F51C6FD">
            <w:pPr>
              <w:spacing w:line="360" w:lineRule="auto"/>
              <w:jc w:val="cente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0</w:t>
            </w:r>
          </w:p>
        </w:tc>
      </w:tr>
      <w:tr w14:paraId="06A8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416B5869">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4E2B9494">
            <w:pPr>
              <w:spacing w:line="360" w:lineRule="auto"/>
              <w:jc w:val="center"/>
              <w:rPr>
                <w:rFonts w:hint="eastAsia" w:ascii="宋体" w:hAnsi="宋体" w:eastAsia="宋体" w:cs="Times New Roman"/>
                <w:szCs w:val="21"/>
              </w:rPr>
            </w:pPr>
            <w:r>
              <w:rPr>
                <w:rFonts w:ascii="宋体" w:hAnsi="宋体" w:eastAsia="宋体" w:cs="Times New Roman"/>
                <w:szCs w:val="21"/>
              </w:rPr>
              <w:t>20</w:t>
            </w:r>
          </w:p>
        </w:tc>
        <w:tc>
          <w:tcPr>
            <w:tcW w:w="0" w:type="auto"/>
            <w:vAlign w:val="center"/>
          </w:tcPr>
          <w:p w14:paraId="78EFC2D6">
            <w:pPr>
              <w:spacing w:line="360"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p>
        </w:tc>
        <w:tc>
          <w:tcPr>
            <w:tcW w:w="0" w:type="auto"/>
            <w:vAlign w:val="center"/>
          </w:tcPr>
          <w:p w14:paraId="21127A1D">
            <w:pPr>
              <w:spacing w:line="360" w:lineRule="auto"/>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0" w:type="auto"/>
            <w:vAlign w:val="center"/>
          </w:tcPr>
          <w:p w14:paraId="5CE37370">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0</w:t>
            </w:r>
          </w:p>
        </w:tc>
        <w:tc>
          <w:tcPr>
            <w:tcW w:w="0" w:type="auto"/>
            <w:vAlign w:val="center"/>
          </w:tcPr>
          <w:p w14:paraId="1CD085C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7CB03A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257DFA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02CF10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4FE4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72752B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4" w:type="dxa"/>
            <w:vAlign w:val="center"/>
          </w:tcPr>
          <w:p w14:paraId="7A9D00A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42F267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302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A4A02C6">
            <w:pPr>
              <w:rPr>
                <w:rFonts w:ascii="Times New Roman" w:hAnsi="Times New Roman" w:eastAsia="宋体" w:cs="Times New Roman"/>
                <w:szCs w:val="21"/>
              </w:rPr>
            </w:pPr>
            <w:r>
              <w:rPr>
                <w:rFonts w:hint="eastAsia" w:ascii="Times New Roman" w:hAnsi="Times New Roman" w:eastAsia="宋体" w:cs="Times New Roman"/>
                <w:szCs w:val="21"/>
              </w:rPr>
              <w:t>作业</w:t>
            </w:r>
            <w:r>
              <w:rPr>
                <w:rFonts w:ascii="Times New Roman" w:hAnsi="Times New Roman" w:eastAsia="宋体" w:cs="Times New Roman"/>
                <w:szCs w:val="21"/>
              </w:rPr>
              <w:t>+考勤</w:t>
            </w:r>
          </w:p>
        </w:tc>
        <w:tc>
          <w:tcPr>
            <w:tcW w:w="6924" w:type="dxa"/>
            <w:vAlign w:val="center"/>
          </w:tcPr>
          <w:p w14:paraId="5459154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平时作业共5次，平时总评</w:t>
            </w:r>
            <w:r>
              <w:rPr>
                <w:rFonts w:ascii="Times New Roman" w:hAnsi="Times New Roman" w:eastAsia="宋体" w:cs="Times New Roman"/>
                <w:szCs w:val="21"/>
              </w:rPr>
              <w:t>=作业平均—考勤扣分，旷课1次扣5分，事假一次扣2分，迟到1次扣1分，病假不扣分（但病假次数达本学期总授课学时的1/3以上者不得参加考核）。</w:t>
            </w:r>
          </w:p>
        </w:tc>
        <w:tc>
          <w:tcPr>
            <w:tcW w:w="0" w:type="auto"/>
            <w:vAlign w:val="center"/>
          </w:tcPr>
          <w:p w14:paraId="78926390">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7556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316BFA1">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924" w:type="dxa"/>
            <w:vAlign w:val="center"/>
          </w:tcPr>
          <w:p w14:paraId="0AC25F0E">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课堂表现。</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按照对应的课程目标及权重给予评定</w:t>
            </w:r>
            <w:r>
              <w:rPr>
                <w:rFonts w:hint="eastAsia" w:ascii="宋体" w:hAnsi="宋体" w:eastAsia="宋体" w:cs="宋体"/>
                <w:color w:val="000000"/>
                <w:kern w:val="0"/>
                <w:szCs w:val="21"/>
                <w:lang w:bidi="ar"/>
              </w:rPr>
              <w:t>。</w:t>
            </w:r>
          </w:p>
        </w:tc>
        <w:tc>
          <w:tcPr>
            <w:tcW w:w="0" w:type="auto"/>
            <w:vAlign w:val="center"/>
          </w:tcPr>
          <w:p w14:paraId="5DC54E36">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E6A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CF9E2E8">
            <w:pP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6924" w:type="dxa"/>
            <w:vAlign w:val="center"/>
          </w:tcPr>
          <w:p w14:paraId="6982A5D6">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认真完成</w:t>
            </w:r>
            <w:r>
              <w:rPr>
                <w:rFonts w:ascii="宋体" w:hAnsi="宋体" w:eastAsia="宋体" w:cs="宋体"/>
                <w:color w:val="000000"/>
                <w:kern w:val="0"/>
                <w:szCs w:val="21"/>
                <w:lang w:bidi="ar"/>
              </w:rPr>
              <w:t>4个项目的课内实践，提交相应的教材分析报告和教学方案，并尝试进行模拟教学；实行组内互评与教师评价相结合的方式。4个项目成绩取平均分作为课内实践分。</w:t>
            </w:r>
          </w:p>
        </w:tc>
        <w:tc>
          <w:tcPr>
            <w:tcW w:w="0" w:type="auto"/>
            <w:vAlign w:val="center"/>
          </w:tcPr>
          <w:p w14:paraId="5420EE7D">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3B84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6639ABC">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924" w:type="dxa"/>
            <w:vAlign w:val="center"/>
          </w:tcPr>
          <w:p w14:paraId="0633D2FA">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试卷题型包括填空题、选择题、简答题、分析题、设计题等题型，一方面考核师范生小学数学教学理论知识的掌握情况，另一方面考核师范生运用所学理论解决问题的能力</w:t>
            </w:r>
            <w:r>
              <w:rPr>
                <w:rFonts w:ascii="Times New Roman" w:hAnsi="Times New Roman" w:eastAsia="宋体" w:cs="Times New Roman"/>
                <w:color w:val="000000"/>
                <w:szCs w:val="21"/>
              </w:rPr>
              <w:t>。</w:t>
            </w:r>
          </w:p>
        </w:tc>
        <w:tc>
          <w:tcPr>
            <w:tcW w:w="0" w:type="auto"/>
            <w:vAlign w:val="center"/>
          </w:tcPr>
          <w:p w14:paraId="0D316889">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567D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40A07B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FD6B141">
            <w:pPr>
              <w:jc w:val="left"/>
              <w:rPr>
                <w:rFonts w:ascii="Times New Roman" w:hAnsi="Times New Roman" w:eastAsia="宋体" w:cs="Times New Roman"/>
                <w:szCs w:val="21"/>
              </w:rPr>
            </w:pPr>
          </w:p>
        </w:tc>
        <w:tc>
          <w:tcPr>
            <w:tcW w:w="0" w:type="auto"/>
            <w:vAlign w:val="center"/>
          </w:tcPr>
          <w:p w14:paraId="0A5ABFD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3E74B6B">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B451EB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5B819F7">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63" o:spt="75" type="#_x0000_t75" style="height:24.85pt;width:404.55pt;" o:ole="t" filled="f" o:preferrelative="t" stroked="f" coordsize="21600,21600">
            <v:path/>
            <v:fill on="f" focussize="0,0"/>
            <v:stroke on="f" joinstyle="miter"/>
            <v:imagedata r:id="rId5" o:title=""/>
            <o:lock v:ext="edit" aspectratio="t"/>
            <w10:wrap type="none"/>
            <w10:anchorlock/>
          </v:shape>
          <o:OLEObject Type="Embed" ProgID="Equation.3" ShapeID="_x0000_i1063" DrawAspect="Content" ObjectID="_1468075763" r:id="rId49">
            <o:LockedField>false</o:LockedField>
          </o:OLEObject>
        </w:object>
      </w:r>
    </w:p>
    <w:p w14:paraId="22C8D74C">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课内实践</w:t>
      </w:r>
    </w:p>
    <w:p w14:paraId="0DF84BCA">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本课程在理论教学的基础上，安排了4个课内实践项目（共16学时），体现了理论与实践的结合，强化对学生的课程思政。</w:t>
      </w:r>
    </w:p>
    <w:p w14:paraId="09803B4F">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3206"/>
        <w:gridCol w:w="740"/>
        <w:gridCol w:w="3160"/>
      </w:tblGrid>
      <w:tr w14:paraId="27FD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413" w:type="dxa"/>
            <w:vAlign w:val="center"/>
          </w:tcPr>
          <w:p w14:paraId="176FFEA6">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206" w:type="dxa"/>
            <w:vAlign w:val="center"/>
          </w:tcPr>
          <w:p w14:paraId="3E88DB94">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235C9C3A">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32E22048">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0E72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413" w:type="dxa"/>
            <w:vAlign w:val="center"/>
          </w:tcPr>
          <w:p w14:paraId="39C1C3D6">
            <w:pPr>
              <w:rPr>
                <w:rFonts w:hint="eastAsia" w:ascii="宋体" w:hAnsi="宋体" w:eastAsia="宋体"/>
                <w:szCs w:val="21"/>
              </w:rPr>
            </w:pPr>
            <w:r>
              <w:rPr>
                <w:rFonts w:hint="eastAsia" w:ascii="宋体" w:hAnsi="宋体" w:eastAsia="宋体"/>
                <w:szCs w:val="21"/>
              </w:rPr>
              <w:t>“</w:t>
            </w:r>
            <w:r>
              <w:rPr>
                <w:rFonts w:ascii="宋体" w:hAnsi="宋体" w:eastAsia="宋体"/>
                <w:szCs w:val="21"/>
              </w:rPr>
              <w:t>数与代数</w:t>
            </w:r>
            <w:r>
              <w:rPr>
                <w:rFonts w:hint="eastAsia" w:ascii="宋体" w:hAnsi="宋体" w:eastAsia="宋体"/>
                <w:szCs w:val="21"/>
              </w:rPr>
              <w:t>”教材分析与</w:t>
            </w:r>
            <w:r>
              <w:rPr>
                <w:rFonts w:ascii="宋体" w:hAnsi="宋体" w:eastAsia="宋体"/>
                <w:szCs w:val="21"/>
              </w:rPr>
              <w:t>教学设计</w:t>
            </w:r>
            <w:r>
              <w:rPr>
                <w:rFonts w:hint="eastAsia" w:ascii="宋体" w:hAnsi="宋体" w:eastAsia="宋体"/>
                <w:szCs w:val="21"/>
              </w:rPr>
              <w:t>（5学时）</w:t>
            </w:r>
          </w:p>
        </w:tc>
        <w:tc>
          <w:tcPr>
            <w:tcW w:w="3206" w:type="dxa"/>
            <w:vAlign w:val="center"/>
          </w:tcPr>
          <w:p w14:paraId="5982B8EA">
            <w:pPr>
              <w:rPr>
                <w:rFonts w:hint="eastAsia" w:ascii="宋体" w:hAnsi="宋体" w:eastAsia="宋体"/>
              </w:rPr>
            </w:pPr>
            <w:r>
              <w:rPr>
                <w:rFonts w:hint="eastAsia" w:ascii="宋体" w:hAnsi="宋体" w:eastAsia="宋体"/>
              </w:rPr>
              <w:t>选择两个单元“数与代数”领域的内容，深入钻研教材，依据数学课程标准要求，撰写2</w:t>
            </w:r>
            <w:r>
              <w:rPr>
                <w:rFonts w:ascii="宋体" w:hAnsi="宋体" w:eastAsia="宋体"/>
              </w:rPr>
              <w:t>份教材分析</w:t>
            </w:r>
            <w:r>
              <w:rPr>
                <w:rFonts w:hint="eastAsia" w:ascii="宋体" w:hAnsi="宋体" w:eastAsia="宋体"/>
              </w:rPr>
              <w:t>报告</w:t>
            </w:r>
            <w:r>
              <w:rPr>
                <w:rFonts w:ascii="宋体" w:hAnsi="宋体" w:eastAsia="宋体"/>
              </w:rPr>
              <w:t>，并设计</w:t>
            </w:r>
            <w:r>
              <w:rPr>
                <w:rFonts w:hint="eastAsia" w:ascii="宋体" w:hAnsi="宋体" w:eastAsia="宋体"/>
              </w:rPr>
              <w:t>1份</w:t>
            </w:r>
            <w:r>
              <w:rPr>
                <w:rFonts w:ascii="宋体" w:hAnsi="宋体" w:eastAsia="宋体"/>
              </w:rPr>
              <w:t>教学方案。</w:t>
            </w:r>
          </w:p>
        </w:tc>
        <w:tc>
          <w:tcPr>
            <w:tcW w:w="740" w:type="dxa"/>
            <w:vAlign w:val="center"/>
          </w:tcPr>
          <w:p w14:paraId="06FCD07D">
            <w:pPr>
              <w:spacing w:line="276" w:lineRule="auto"/>
              <w:jc w:val="center"/>
              <w:rPr>
                <w:rFonts w:hint="eastAsia" w:ascii="宋体" w:hAnsi="宋体" w:eastAsia="宋体" w:cs="宋体"/>
                <w:szCs w:val="21"/>
              </w:rPr>
            </w:pPr>
            <w:r>
              <w:rPr>
                <w:rFonts w:hint="eastAsia" w:ascii="宋体" w:hAnsi="宋体" w:eastAsia="宋体" w:cs="宋体"/>
                <w:szCs w:val="21"/>
              </w:rPr>
              <w:t>交流</w:t>
            </w:r>
          </w:p>
          <w:p w14:paraId="2BD6F8F8">
            <w:pPr>
              <w:spacing w:line="276" w:lineRule="auto"/>
              <w:jc w:val="center"/>
              <w:rPr>
                <w:rFonts w:hint="eastAsia" w:ascii="宋体" w:hAnsi="宋体" w:eastAsia="宋体" w:cs="宋体"/>
                <w:szCs w:val="21"/>
              </w:rPr>
            </w:pPr>
            <w:r>
              <w:rPr>
                <w:rFonts w:hint="eastAsia" w:ascii="宋体" w:hAnsi="宋体" w:eastAsia="宋体" w:cs="宋体"/>
                <w:szCs w:val="21"/>
              </w:rPr>
              <w:t>设计</w:t>
            </w:r>
          </w:p>
        </w:tc>
        <w:tc>
          <w:tcPr>
            <w:tcW w:w="3160" w:type="dxa"/>
            <w:vAlign w:val="center"/>
          </w:tcPr>
          <w:p w14:paraId="711A065A">
            <w:pPr>
              <w:rPr>
                <w:rFonts w:hint="eastAsia" w:ascii="宋体" w:hAnsi="宋体" w:eastAsia="宋体"/>
              </w:rPr>
            </w:pPr>
            <w:r>
              <w:rPr>
                <w:rFonts w:ascii="宋体" w:hAnsi="宋体" w:eastAsia="宋体"/>
              </w:rPr>
              <w:t>了解“</w:t>
            </w:r>
            <w:r>
              <w:rPr>
                <w:rFonts w:hint="eastAsia" w:ascii="宋体" w:hAnsi="宋体" w:eastAsia="宋体"/>
              </w:rPr>
              <w:t>数与代数</w:t>
            </w:r>
            <w:r>
              <w:rPr>
                <w:rFonts w:ascii="宋体" w:hAnsi="宋体" w:eastAsia="宋体"/>
              </w:rPr>
              <w:t>”教学内容中蕴含的数学思想与文化，增强文化自信</w:t>
            </w:r>
            <w:r>
              <w:rPr>
                <w:rFonts w:hint="eastAsia" w:ascii="宋体" w:hAnsi="宋体" w:eastAsia="宋体"/>
              </w:rPr>
              <w:t>；初步养成严谨的设计态度和风格</w:t>
            </w:r>
            <w:r>
              <w:rPr>
                <w:rFonts w:ascii="宋体" w:hAnsi="宋体" w:eastAsia="宋体"/>
              </w:rPr>
              <w:t>。</w:t>
            </w:r>
          </w:p>
        </w:tc>
      </w:tr>
      <w:tr w14:paraId="7BA3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413" w:type="dxa"/>
            <w:vAlign w:val="center"/>
          </w:tcPr>
          <w:p w14:paraId="5D0DCE2A">
            <w:pPr>
              <w:rPr>
                <w:rFonts w:hint="eastAsia" w:ascii="宋体" w:hAnsi="宋体" w:eastAsia="宋体"/>
                <w:szCs w:val="21"/>
              </w:rPr>
            </w:pPr>
            <w:r>
              <w:rPr>
                <w:rFonts w:hint="eastAsia" w:ascii="宋体" w:hAnsi="宋体" w:eastAsia="宋体"/>
                <w:szCs w:val="21"/>
              </w:rPr>
              <w:t>“</w:t>
            </w:r>
            <w:r>
              <w:rPr>
                <w:rFonts w:ascii="宋体" w:hAnsi="宋体" w:eastAsia="宋体"/>
                <w:szCs w:val="21"/>
              </w:rPr>
              <w:t>图形</w:t>
            </w:r>
            <w:r>
              <w:rPr>
                <w:rFonts w:hint="eastAsia" w:ascii="宋体" w:hAnsi="宋体" w:eastAsia="宋体"/>
                <w:szCs w:val="21"/>
              </w:rPr>
              <w:t>与几何”教材分析与</w:t>
            </w:r>
            <w:r>
              <w:rPr>
                <w:rFonts w:ascii="宋体" w:hAnsi="宋体" w:eastAsia="宋体"/>
                <w:szCs w:val="21"/>
              </w:rPr>
              <w:t>教学设计</w:t>
            </w:r>
            <w:r>
              <w:rPr>
                <w:rFonts w:hint="eastAsia" w:ascii="宋体" w:hAnsi="宋体" w:eastAsia="宋体"/>
                <w:szCs w:val="21"/>
              </w:rPr>
              <w:t>（5学时）</w:t>
            </w:r>
          </w:p>
        </w:tc>
        <w:tc>
          <w:tcPr>
            <w:tcW w:w="3206" w:type="dxa"/>
            <w:vAlign w:val="center"/>
          </w:tcPr>
          <w:p w14:paraId="75AB049C">
            <w:pPr>
              <w:rPr>
                <w:rFonts w:hint="eastAsia" w:ascii="宋体" w:hAnsi="宋体" w:eastAsia="宋体"/>
              </w:rPr>
            </w:pPr>
            <w:r>
              <w:rPr>
                <w:rFonts w:hint="eastAsia" w:ascii="宋体" w:hAnsi="宋体" w:eastAsia="宋体"/>
              </w:rPr>
              <w:t>选择两个单元“图形与几何”领域的内容，深入钻研教材，依据数学课程标准要求，撰写2</w:t>
            </w:r>
            <w:r>
              <w:rPr>
                <w:rFonts w:ascii="宋体" w:hAnsi="宋体" w:eastAsia="宋体"/>
              </w:rPr>
              <w:t>份教材分析</w:t>
            </w:r>
            <w:r>
              <w:rPr>
                <w:rFonts w:hint="eastAsia" w:ascii="宋体" w:hAnsi="宋体" w:eastAsia="宋体"/>
              </w:rPr>
              <w:t>报告</w:t>
            </w:r>
            <w:r>
              <w:rPr>
                <w:rFonts w:ascii="宋体" w:hAnsi="宋体" w:eastAsia="宋体"/>
              </w:rPr>
              <w:t>，并设计</w:t>
            </w:r>
            <w:r>
              <w:rPr>
                <w:rFonts w:hint="eastAsia" w:ascii="宋体" w:hAnsi="宋体" w:eastAsia="宋体"/>
              </w:rPr>
              <w:t>1份</w:t>
            </w:r>
            <w:r>
              <w:rPr>
                <w:rFonts w:ascii="宋体" w:hAnsi="宋体" w:eastAsia="宋体"/>
              </w:rPr>
              <w:t>教学方案。</w:t>
            </w:r>
          </w:p>
        </w:tc>
        <w:tc>
          <w:tcPr>
            <w:tcW w:w="740" w:type="dxa"/>
            <w:vAlign w:val="center"/>
          </w:tcPr>
          <w:p w14:paraId="3CDCCF54">
            <w:pPr>
              <w:spacing w:line="276" w:lineRule="auto"/>
              <w:jc w:val="center"/>
              <w:rPr>
                <w:rFonts w:hint="eastAsia" w:ascii="宋体" w:hAnsi="宋体" w:eastAsia="宋体" w:cs="宋体"/>
                <w:szCs w:val="21"/>
              </w:rPr>
            </w:pPr>
            <w:r>
              <w:rPr>
                <w:rFonts w:hint="eastAsia" w:ascii="宋体" w:hAnsi="宋体" w:eastAsia="宋体" w:cs="宋体"/>
                <w:szCs w:val="21"/>
              </w:rPr>
              <w:t>交流</w:t>
            </w:r>
          </w:p>
          <w:p w14:paraId="7E0AB0B0">
            <w:pPr>
              <w:spacing w:line="276" w:lineRule="auto"/>
              <w:jc w:val="center"/>
              <w:rPr>
                <w:rFonts w:hint="eastAsia" w:ascii="宋体" w:hAnsi="宋体" w:eastAsia="宋体" w:cs="宋体"/>
                <w:szCs w:val="21"/>
              </w:rPr>
            </w:pPr>
            <w:r>
              <w:rPr>
                <w:rFonts w:hint="eastAsia" w:ascii="宋体" w:hAnsi="宋体" w:eastAsia="宋体" w:cs="宋体"/>
                <w:szCs w:val="21"/>
              </w:rPr>
              <w:t>设计</w:t>
            </w:r>
          </w:p>
        </w:tc>
        <w:tc>
          <w:tcPr>
            <w:tcW w:w="3160" w:type="dxa"/>
            <w:vAlign w:val="center"/>
          </w:tcPr>
          <w:p w14:paraId="7B2954B5">
            <w:pPr>
              <w:rPr>
                <w:rFonts w:hint="eastAsia" w:ascii="宋体" w:hAnsi="宋体" w:eastAsia="宋体"/>
              </w:rPr>
            </w:pPr>
            <w:r>
              <w:rPr>
                <w:rFonts w:ascii="宋体" w:hAnsi="宋体" w:eastAsia="宋体"/>
              </w:rPr>
              <w:t>了解“图形与几何”教学内容中蕴含的数学思想与文化，增强文化自信</w:t>
            </w:r>
            <w:r>
              <w:rPr>
                <w:rFonts w:hint="eastAsia" w:ascii="宋体" w:hAnsi="宋体" w:eastAsia="宋体"/>
              </w:rPr>
              <w:t>。</w:t>
            </w:r>
          </w:p>
        </w:tc>
      </w:tr>
      <w:tr w14:paraId="3BD2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413" w:type="dxa"/>
            <w:vAlign w:val="center"/>
          </w:tcPr>
          <w:p w14:paraId="4F12488B">
            <w:pPr>
              <w:rPr>
                <w:rFonts w:hint="eastAsia" w:ascii="宋体" w:hAnsi="宋体" w:eastAsia="宋体"/>
                <w:szCs w:val="21"/>
              </w:rPr>
            </w:pPr>
            <w:r>
              <w:rPr>
                <w:rFonts w:hint="eastAsia" w:ascii="宋体" w:hAnsi="宋体" w:eastAsia="宋体"/>
                <w:szCs w:val="21"/>
              </w:rPr>
              <w:t>“</w:t>
            </w:r>
            <w:r>
              <w:rPr>
                <w:rFonts w:ascii="宋体" w:hAnsi="宋体" w:eastAsia="宋体"/>
                <w:szCs w:val="21"/>
              </w:rPr>
              <w:t>统计与概率</w:t>
            </w:r>
            <w:r>
              <w:rPr>
                <w:rFonts w:hint="eastAsia" w:ascii="宋体" w:hAnsi="宋体" w:eastAsia="宋体"/>
                <w:szCs w:val="21"/>
              </w:rPr>
              <w:t>”教材分析与</w:t>
            </w:r>
            <w:r>
              <w:rPr>
                <w:rFonts w:ascii="宋体" w:hAnsi="宋体" w:eastAsia="宋体"/>
                <w:szCs w:val="21"/>
              </w:rPr>
              <w:t>教学设计</w:t>
            </w:r>
            <w:r>
              <w:rPr>
                <w:rFonts w:hint="eastAsia" w:ascii="宋体" w:hAnsi="宋体" w:eastAsia="宋体"/>
                <w:szCs w:val="21"/>
              </w:rPr>
              <w:t>（3学时）</w:t>
            </w:r>
          </w:p>
        </w:tc>
        <w:tc>
          <w:tcPr>
            <w:tcW w:w="3206" w:type="dxa"/>
            <w:vAlign w:val="center"/>
          </w:tcPr>
          <w:p w14:paraId="0B75E89F">
            <w:pPr>
              <w:rPr>
                <w:rFonts w:hint="eastAsia" w:ascii="宋体" w:hAnsi="宋体" w:eastAsia="宋体"/>
              </w:rPr>
            </w:pPr>
            <w:r>
              <w:rPr>
                <w:rFonts w:hint="eastAsia" w:ascii="宋体" w:hAnsi="宋体" w:eastAsia="宋体"/>
              </w:rPr>
              <w:t>选择一个单元“统计与概率”领域的内容，深入钻研教材，依据数学课程标准要求，撰写1</w:t>
            </w:r>
            <w:r>
              <w:rPr>
                <w:rFonts w:ascii="宋体" w:hAnsi="宋体" w:eastAsia="宋体"/>
              </w:rPr>
              <w:t>份教材分析</w:t>
            </w:r>
            <w:r>
              <w:rPr>
                <w:rFonts w:hint="eastAsia" w:ascii="宋体" w:hAnsi="宋体" w:eastAsia="宋体"/>
              </w:rPr>
              <w:t>报告</w:t>
            </w:r>
            <w:r>
              <w:rPr>
                <w:rFonts w:ascii="宋体" w:hAnsi="宋体" w:eastAsia="宋体"/>
              </w:rPr>
              <w:t>，并设计</w:t>
            </w:r>
            <w:r>
              <w:rPr>
                <w:rFonts w:hint="eastAsia" w:ascii="宋体" w:hAnsi="宋体" w:eastAsia="宋体"/>
              </w:rPr>
              <w:t>1份</w:t>
            </w:r>
            <w:r>
              <w:rPr>
                <w:rFonts w:ascii="宋体" w:hAnsi="宋体" w:eastAsia="宋体"/>
              </w:rPr>
              <w:t>教学方案。</w:t>
            </w:r>
          </w:p>
        </w:tc>
        <w:tc>
          <w:tcPr>
            <w:tcW w:w="740" w:type="dxa"/>
            <w:vAlign w:val="center"/>
          </w:tcPr>
          <w:p w14:paraId="4569D35C">
            <w:pPr>
              <w:spacing w:line="276" w:lineRule="auto"/>
              <w:jc w:val="center"/>
              <w:rPr>
                <w:rFonts w:hint="eastAsia" w:ascii="宋体" w:hAnsi="宋体" w:eastAsia="宋体" w:cs="宋体"/>
                <w:szCs w:val="21"/>
              </w:rPr>
            </w:pPr>
            <w:r>
              <w:rPr>
                <w:rFonts w:hint="eastAsia" w:ascii="宋体" w:hAnsi="宋体" w:eastAsia="宋体" w:cs="宋体"/>
                <w:szCs w:val="21"/>
              </w:rPr>
              <w:t>交流</w:t>
            </w:r>
          </w:p>
          <w:p w14:paraId="07DE41B9">
            <w:pPr>
              <w:spacing w:line="276" w:lineRule="auto"/>
              <w:jc w:val="center"/>
              <w:rPr>
                <w:rFonts w:hint="eastAsia" w:ascii="宋体" w:hAnsi="宋体" w:eastAsia="宋体" w:cs="宋体"/>
                <w:szCs w:val="21"/>
              </w:rPr>
            </w:pPr>
            <w:r>
              <w:rPr>
                <w:rFonts w:hint="eastAsia" w:ascii="宋体" w:hAnsi="宋体" w:eastAsia="宋体" w:cs="宋体"/>
                <w:szCs w:val="21"/>
              </w:rPr>
              <w:t>设计</w:t>
            </w:r>
          </w:p>
        </w:tc>
        <w:tc>
          <w:tcPr>
            <w:tcW w:w="3160" w:type="dxa"/>
            <w:vAlign w:val="center"/>
          </w:tcPr>
          <w:p w14:paraId="748C0CC0">
            <w:pPr>
              <w:spacing w:line="276" w:lineRule="auto"/>
              <w:rPr>
                <w:rFonts w:hint="eastAsia" w:ascii="宋体" w:hAnsi="宋体" w:eastAsia="宋体" w:cs="宋体"/>
                <w:szCs w:val="21"/>
              </w:rPr>
            </w:pPr>
            <w:r>
              <w:rPr>
                <w:rFonts w:ascii="宋体" w:hAnsi="宋体" w:eastAsia="宋体" w:cs="宋体"/>
                <w:szCs w:val="21"/>
              </w:rPr>
              <w:t>了解“统计与概率”教学内容中蕴含的数学思想与文化，</w:t>
            </w:r>
            <w:r>
              <w:rPr>
                <w:rFonts w:hint="eastAsia" w:ascii="宋体" w:hAnsi="宋体" w:eastAsia="宋体"/>
              </w:rPr>
              <w:t>养成数据分析的观念</w:t>
            </w:r>
            <w:r>
              <w:rPr>
                <w:rFonts w:ascii="宋体" w:hAnsi="宋体" w:eastAsia="宋体"/>
              </w:rPr>
              <w:t>。</w:t>
            </w:r>
          </w:p>
        </w:tc>
      </w:tr>
      <w:tr w14:paraId="4CD2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413" w:type="dxa"/>
            <w:vAlign w:val="center"/>
          </w:tcPr>
          <w:p w14:paraId="08C64FDF">
            <w:pPr>
              <w:rPr>
                <w:rFonts w:hint="eastAsia" w:ascii="宋体" w:hAnsi="宋体" w:eastAsia="宋体"/>
                <w:szCs w:val="21"/>
              </w:rPr>
            </w:pPr>
            <w:r>
              <w:rPr>
                <w:rFonts w:hint="eastAsia" w:ascii="宋体" w:hAnsi="宋体" w:eastAsia="宋体"/>
                <w:szCs w:val="21"/>
              </w:rPr>
              <w:t>“</w:t>
            </w:r>
            <w:r>
              <w:rPr>
                <w:rFonts w:ascii="宋体" w:hAnsi="宋体" w:eastAsia="宋体"/>
                <w:szCs w:val="21"/>
              </w:rPr>
              <w:t>综合</w:t>
            </w:r>
            <w:r>
              <w:rPr>
                <w:rFonts w:hint="eastAsia" w:ascii="宋体" w:hAnsi="宋体" w:eastAsia="宋体"/>
                <w:szCs w:val="21"/>
              </w:rPr>
              <w:t>与实践”教材分析与</w:t>
            </w:r>
            <w:r>
              <w:rPr>
                <w:rFonts w:ascii="宋体" w:hAnsi="宋体" w:eastAsia="宋体"/>
                <w:szCs w:val="21"/>
              </w:rPr>
              <w:t>教学</w:t>
            </w:r>
            <w:r>
              <w:rPr>
                <w:rFonts w:hint="eastAsia" w:ascii="宋体" w:hAnsi="宋体" w:eastAsia="宋体"/>
                <w:szCs w:val="21"/>
              </w:rPr>
              <w:t>设计（3学时）</w:t>
            </w:r>
          </w:p>
        </w:tc>
        <w:tc>
          <w:tcPr>
            <w:tcW w:w="3206" w:type="dxa"/>
            <w:vAlign w:val="center"/>
          </w:tcPr>
          <w:p w14:paraId="3AF2DC34">
            <w:pPr>
              <w:rPr>
                <w:rFonts w:hint="eastAsia" w:ascii="宋体" w:hAnsi="宋体" w:eastAsia="宋体"/>
              </w:rPr>
            </w:pPr>
            <w:r>
              <w:rPr>
                <w:rFonts w:hint="eastAsia" w:ascii="宋体" w:hAnsi="宋体" w:eastAsia="宋体"/>
              </w:rPr>
              <w:t>选择一个单元“综合与实践”领域的内容，深入钻研教材，依据数学课程标准要求，撰写1</w:t>
            </w:r>
            <w:r>
              <w:rPr>
                <w:rFonts w:ascii="宋体" w:hAnsi="宋体" w:eastAsia="宋体"/>
              </w:rPr>
              <w:t>份教材分析</w:t>
            </w:r>
            <w:r>
              <w:rPr>
                <w:rFonts w:hint="eastAsia" w:ascii="宋体" w:hAnsi="宋体" w:eastAsia="宋体"/>
              </w:rPr>
              <w:t>报告</w:t>
            </w:r>
            <w:r>
              <w:rPr>
                <w:rFonts w:ascii="宋体" w:hAnsi="宋体" w:eastAsia="宋体"/>
              </w:rPr>
              <w:t>，并设计</w:t>
            </w:r>
            <w:r>
              <w:rPr>
                <w:rFonts w:hint="eastAsia" w:ascii="宋体" w:hAnsi="宋体" w:eastAsia="宋体"/>
              </w:rPr>
              <w:t>1份</w:t>
            </w:r>
            <w:r>
              <w:rPr>
                <w:rFonts w:ascii="宋体" w:hAnsi="宋体" w:eastAsia="宋体"/>
              </w:rPr>
              <w:t>教学方案。</w:t>
            </w:r>
          </w:p>
        </w:tc>
        <w:tc>
          <w:tcPr>
            <w:tcW w:w="740" w:type="dxa"/>
            <w:vAlign w:val="center"/>
          </w:tcPr>
          <w:p w14:paraId="11F68797">
            <w:pPr>
              <w:spacing w:line="276" w:lineRule="auto"/>
              <w:jc w:val="center"/>
              <w:rPr>
                <w:rFonts w:hint="eastAsia" w:ascii="宋体" w:hAnsi="宋体" w:eastAsia="宋体" w:cs="宋体"/>
                <w:szCs w:val="21"/>
              </w:rPr>
            </w:pPr>
            <w:r>
              <w:rPr>
                <w:rFonts w:hint="eastAsia" w:ascii="宋体" w:hAnsi="宋体" w:eastAsia="宋体" w:cs="宋体"/>
                <w:szCs w:val="21"/>
              </w:rPr>
              <w:t>交流</w:t>
            </w:r>
          </w:p>
          <w:p w14:paraId="39BC7762">
            <w:pPr>
              <w:spacing w:line="276" w:lineRule="auto"/>
              <w:jc w:val="center"/>
              <w:rPr>
                <w:rFonts w:hint="eastAsia" w:ascii="宋体" w:hAnsi="宋体" w:eastAsia="宋体" w:cs="宋体"/>
                <w:szCs w:val="21"/>
              </w:rPr>
            </w:pPr>
            <w:r>
              <w:rPr>
                <w:rFonts w:hint="eastAsia" w:ascii="宋体" w:hAnsi="宋体" w:eastAsia="宋体" w:cs="宋体"/>
                <w:szCs w:val="21"/>
              </w:rPr>
              <w:t>设计</w:t>
            </w:r>
          </w:p>
        </w:tc>
        <w:tc>
          <w:tcPr>
            <w:tcW w:w="3160" w:type="dxa"/>
            <w:vAlign w:val="center"/>
          </w:tcPr>
          <w:p w14:paraId="0E3CC80A">
            <w:pPr>
              <w:spacing w:line="276" w:lineRule="auto"/>
              <w:rPr>
                <w:rFonts w:hint="eastAsia" w:ascii="宋体" w:hAnsi="宋体" w:eastAsia="宋体" w:cs="宋体"/>
                <w:szCs w:val="21"/>
              </w:rPr>
            </w:pPr>
            <w:r>
              <w:rPr>
                <w:rFonts w:ascii="宋体" w:hAnsi="宋体" w:eastAsia="宋体" w:cs="宋体"/>
                <w:szCs w:val="21"/>
              </w:rPr>
              <w:t>了解“综合与实践”教学内容中蕴含的数学思想与文化，</w:t>
            </w:r>
            <w:r>
              <w:rPr>
                <w:rFonts w:hint="eastAsia" w:ascii="宋体" w:hAnsi="宋体" w:eastAsia="宋体" w:cs="宋体"/>
                <w:szCs w:val="21"/>
              </w:rPr>
              <w:t>在实践过程养成创新的态度和习惯。</w:t>
            </w:r>
          </w:p>
        </w:tc>
      </w:tr>
    </w:tbl>
    <w:p w14:paraId="53151159">
      <w:pPr>
        <w:spacing w:line="360" w:lineRule="auto"/>
        <w:ind w:firstLine="551" w:firstLineChars="196"/>
        <w:jc w:val="left"/>
        <w:rPr>
          <w:rFonts w:hint="eastAsia" w:ascii="宋体" w:hAnsi="宋体" w:eastAsia="宋体" w:cs="Times New Roman"/>
          <w:b/>
          <w:color w:val="000000"/>
          <w:sz w:val="28"/>
          <w:szCs w:val="28"/>
        </w:rPr>
      </w:pPr>
    </w:p>
    <w:p w14:paraId="6A47638A">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4FC287AA">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4DB592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本课程根据学生作业、课堂讨论、实践环节和学生、教学督导等的反馈，及时对教学中的不足之处进行改进，并在下一轮课程教学中整改完善，确保相应毕业要求指标点达成。</w:t>
      </w:r>
    </w:p>
    <w:p w14:paraId="1DF70EB2">
      <w:pPr>
        <w:spacing w:line="360" w:lineRule="auto"/>
        <w:jc w:val="left"/>
        <w:rPr>
          <w:rFonts w:ascii="Times New Roman" w:hAnsi="Times New Roman" w:eastAsia="宋体" w:cs="Times New Roman"/>
          <w:b/>
          <w:szCs w:val="21"/>
        </w:rPr>
      </w:pPr>
    </w:p>
    <w:p w14:paraId="29FB961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3B89DA9">
      <w:pPr>
        <w:spacing w:line="360" w:lineRule="auto"/>
        <w:ind w:firstLine="420" w:firstLineChars="20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马云鹏，王艳玲</w:t>
      </w:r>
      <w:r>
        <w:rPr>
          <w:rFonts w:ascii="Times New Roman" w:hAnsi="Times New Roman" w:eastAsia="宋体" w:cs="Times New Roman"/>
          <w:bCs/>
          <w:color w:val="000000"/>
          <w:szCs w:val="21"/>
        </w:rPr>
        <w:t>.小学数学课程标准与教材研究</w:t>
      </w:r>
      <w:r>
        <w:rPr>
          <w:rFonts w:hint="eastAsia" w:ascii="Times New Roman" w:hAnsi="Times New Roman" w:eastAsia="宋体" w:cs="Times New Roman"/>
          <w:bCs/>
          <w:color w:val="000000"/>
          <w:szCs w:val="21"/>
        </w:rPr>
        <w:t>（第二版）</w:t>
      </w:r>
      <w:r>
        <w:rPr>
          <w:rFonts w:ascii="Times New Roman" w:hAnsi="Times New Roman" w:eastAsia="宋体" w:cs="Times New Roman"/>
          <w:bCs/>
          <w:color w:val="000000"/>
          <w:szCs w:val="21"/>
        </w:rPr>
        <w:t>.北京：高等教育出版社，2023.</w:t>
      </w:r>
    </w:p>
    <w:p w14:paraId="4C85189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290C20AF">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w:t>
      </w:r>
      <w:r>
        <w:rPr>
          <w:rFonts w:ascii="Times New Roman" w:hAnsi="Times New Roman" w:eastAsia="宋体" w:cs="Times New Roman"/>
          <w:bCs/>
          <w:color w:val="000000"/>
          <w:szCs w:val="21"/>
        </w:rPr>
        <w:t>.</w:t>
      </w:r>
      <w:r>
        <w:rPr>
          <w:rFonts w:hint="eastAsia" w:ascii="Times New Roman" w:hAnsi="Times New Roman" w:eastAsia="宋体" w:cs="Times New Roman"/>
          <w:bCs/>
          <w:color w:val="000000"/>
          <w:szCs w:val="21"/>
        </w:rPr>
        <w:t>教育部</w:t>
      </w:r>
      <w:r>
        <w:rPr>
          <w:rFonts w:ascii="Times New Roman" w:hAnsi="Times New Roman" w:eastAsia="宋体" w:cs="Times New Roman"/>
          <w:bCs/>
          <w:color w:val="000000"/>
          <w:szCs w:val="21"/>
        </w:rPr>
        <w:t>.义务教育数学课程标准（2022年版）.北京：北京师范大学大学出版社</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2022.</w:t>
      </w:r>
    </w:p>
    <w:p w14:paraId="514EA148">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w:t>
      </w:r>
      <w:r>
        <w:rPr>
          <w:rFonts w:ascii="Times New Roman" w:hAnsi="Times New Roman" w:eastAsia="宋体" w:cs="Times New Roman"/>
          <w:bCs/>
          <w:color w:val="000000"/>
          <w:szCs w:val="21"/>
        </w:rPr>
        <w:t>.</w:t>
      </w:r>
      <w:r>
        <w:rPr>
          <w:rFonts w:hint="eastAsia" w:ascii="Times New Roman" w:hAnsi="Times New Roman" w:eastAsia="宋体" w:cs="Times New Roman"/>
          <w:bCs/>
          <w:color w:val="000000"/>
          <w:szCs w:val="21"/>
        </w:rPr>
        <w:t>教育部</w:t>
      </w:r>
      <w:r>
        <w:rPr>
          <w:rFonts w:ascii="Times New Roman" w:hAnsi="Times New Roman" w:eastAsia="宋体" w:cs="Times New Roman"/>
          <w:bCs/>
          <w:color w:val="000000"/>
          <w:szCs w:val="21"/>
        </w:rPr>
        <w:t>.义务教育数学课程标准（2011年版）.北京：北京师范大学大学出版社</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2012.</w:t>
      </w:r>
    </w:p>
    <w:p w14:paraId="508E1A7A">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3</w:t>
      </w:r>
      <w:r>
        <w:rPr>
          <w:rFonts w:ascii="Times New Roman" w:hAnsi="Times New Roman" w:eastAsia="宋体" w:cs="Times New Roman"/>
          <w:bCs/>
          <w:color w:val="000000"/>
          <w:szCs w:val="21"/>
        </w:rPr>
        <w:t>.</w:t>
      </w:r>
      <w:r>
        <w:rPr>
          <w:rFonts w:hint="eastAsia" w:ascii="Times New Roman" w:hAnsi="Times New Roman" w:eastAsia="宋体" w:cs="Times New Roman"/>
          <w:bCs/>
          <w:color w:val="000000"/>
          <w:szCs w:val="21"/>
        </w:rPr>
        <w:t>乔桂香.</w:t>
      </w:r>
      <w:r>
        <w:rPr>
          <w:rFonts w:ascii="Times New Roman" w:hAnsi="Times New Roman" w:eastAsia="宋体" w:cs="Times New Roman"/>
          <w:bCs/>
          <w:color w:val="000000"/>
          <w:szCs w:val="21"/>
        </w:rPr>
        <w:t>小学数学课程标准与教材研究</w:t>
      </w:r>
      <w:r>
        <w:rPr>
          <w:rFonts w:hint="eastAsia" w:ascii="Times New Roman" w:hAnsi="Times New Roman" w:eastAsia="宋体" w:cs="Times New Roman"/>
          <w:bCs/>
          <w:color w:val="000000"/>
          <w:szCs w:val="21"/>
        </w:rPr>
        <w:t>.上海：上海交通大学出版社，2</w:t>
      </w:r>
      <w:r>
        <w:rPr>
          <w:rFonts w:ascii="Times New Roman" w:hAnsi="Times New Roman" w:eastAsia="宋体" w:cs="Times New Roman"/>
          <w:bCs/>
          <w:color w:val="000000"/>
          <w:szCs w:val="21"/>
        </w:rPr>
        <w:t>023</w:t>
      </w:r>
      <w:r>
        <w:rPr>
          <w:rFonts w:hint="eastAsia" w:ascii="Times New Roman" w:hAnsi="Times New Roman" w:eastAsia="宋体" w:cs="Times New Roman"/>
          <w:bCs/>
          <w:color w:val="000000"/>
          <w:szCs w:val="21"/>
        </w:rPr>
        <w:t>.</w:t>
      </w:r>
    </w:p>
    <w:p w14:paraId="769A938F">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w:t>
      </w:r>
      <w:r>
        <w:rPr>
          <w:rFonts w:ascii="Times New Roman" w:hAnsi="Times New Roman" w:eastAsia="宋体" w:cs="Times New Roman"/>
          <w:bCs/>
          <w:color w:val="000000"/>
          <w:szCs w:val="21"/>
        </w:rPr>
        <w:t>.</w:t>
      </w:r>
      <w:r>
        <w:rPr>
          <w:rFonts w:hint="eastAsia" w:ascii="Times New Roman" w:hAnsi="Times New Roman" w:eastAsia="宋体" w:cs="Times New Roman"/>
          <w:bCs/>
          <w:color w:val="000000"/>
          <w:szCs w:val="21"/>
        </w:rPr>
        <w:t>马云鹏</w:t>
      </w:r>
      <w:r>
        <w:rPr>
          <w:rFonts w:ascii="Times New Roman" w:hAnsi="Times New Roman" w:eastAsia="宋体" w:cs="Times New Roman"/>
          <w:bCs/>
          <w:color w:val="000000"/>
          <w:szCs w:val="21"/>
        </w:rPr>
        <w:t>.小学数学教学论（第四版）.北京：人民教育出版社，2013.</w:t>
      </w:r>
    </w:p>
    <w:p w14:paraId="231BBB9A">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5</w:t>
      </w:r>
      <w:r>
        <w:rPr>
          <w:rFonts w:ascii="Times New Roman" w:hAnsi="Times New Roman" w:eastAsia="宋体" w:cs="Times New Roman"/>
          <w:bCs/>
          <w:color w:val="000000"/>
          <w:szCs w:val="21"/>
        </w:rPr>
        <w:t>.</w:t>
      </w:r>
      <w:r>
        <w:rPr>
          <w:rFonts w:hint="eastAsia" w:ascii="Times New Roman" w:hAnsi="Times New Roman" w:eastAsia="宋体" w:cs="Times New Roman"/>
          <w:bCs/>
          <w:color w:val="000000"/>
          <w:szCs w:val="21"/>
        </w:rPr>
        <w:t>周淑红</w:t>
      </w:r>
      <w:r>
        <w:rPr>
          <w:rFonts w:ascii="Times New Roman" w:hAnsi="Times New Roman" w:eastAsia="宋体" w:cs="Times New Roman"/>
          <w:bCs/>
          <w:color w:val="000000"/>
          <w:szCs w:val="21"/>
        </w:rPr>
        <w:t>.小学数学课程与教学.北京：教育科学出版社，2013.</w:t>
      </w:r>
    </w:p>
    <w:p w14:paraId="79F8D716">
      <w:pPr>
        <w:rPr>
          <w:rFonts w:hint="eastAsia"/>
        </w:rPr>
      </w:pPr>
    </w:p>
    <w:p w14:paraId="5A606685">
      <w:pPr>
        <w:rPr>
          <w:rFonts w:hint="eastAsia"/>
        </w:rPr>
      </w:pPr>
    </w:p>
    <w:p w14:paraId="3F49DC26">
      <w:pPr>
        <w:rPr>
          <w:rFonts w:hint="eastAsia"/>
        </w:rPr>
      </w:pPr>
    </w:p>
    <w:p w14:paraId="0F8F83DC">
      <w:pPr>
        <w:rPr>
          <w:rFonts w:hint="eastAsia"/>
        </w:rPr>
      </w:pPr>
    </w:p>
    <w:p w14:paraId="0FC25189">
      <w:pPr>
        <w:rPr>
          <w:rFonts w:hint="eastAsia"/>
        </w:rPr>
      </w:pPr>
    </w:p>
    <w:p w14:paraId="2CBEBA9B">
      <w:pPr>
        <w:spacing w:line="360" w:lineRule="auto"/>
        <w:ind w:right="120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执 笔 人：谢国忠</w:t>
      </w:r>
    </w:p>
    <w:p w14:paraId="2C098AE0">
      <w:pPr>
        <w:wordWrap w:val="0"/>
        <w:spacing w:line="360" w:lineRule="auto"/>
        <w:ind w:right="144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审 定 人：王 健</w:t>
      </w:r>
    </w:p>
    <w:p w14:paraId="0521808E">
      <w:pPr>
        <w:spacing w:line="360" w:lineRule="auto"/>
        <w:ind w:right="120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714D7E81">
      <w:pPr>
        <w:spacing w:line="360" w:lineRule="auto"/>
        <w:ind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44FB2089">
      <w:pPr>
        <w:rPr>
          <w:rFonts w:hint="eastAsia"/>
        </w:rPr>
      </w:pPr>
    </w:p>
    <w:p w14:paraId="711C0367">
      <w:pPr>
        <w:rPr>
          <w:rFonts w:hint="eastAsia"/>
        </w:rPr>
      </w:pPr>
    </w:p>
    <w:p w14:paraId="355EA0C1">
      <w:pPr>
        <w:spacing w:line="360" w:lineRule="auto"/>
        <w:ind w:firstLine="4800" w:firstLineChars="2000"/>
        <w:rPr>
          <w:rFonts w:ascii="Times New Roman" w:hAnsi="Times New Roman" w:eastAsia="宋体" w:cs="Times New Roman"/>
          <w:sz w:val="24"/>
        </w:rPr>
      </w:pPr>
    </w:p>
    <w:p w14:paraId="21020DEE">
      <w:pPr>
        <w:wordWrap w:val="0"/>
        <w:autoSpaceDE w:val="0"/>
        <w:autoSpaceDN w:val="0"/>
        <w:adjustRightInd w:val="0"/>
        <w:spacing w:line="360" w:lineRule="auto"/>
        <w:jc w:val="right"/>
        <w:rPr>
          <w:rFonts w:ascii="Times New Roman" w:hAnsi="Times New Roman" w:eastAsia="宋体" w:cs="Times New Roman"/>
          <w:kern w:val="0"/>
          <w:sz w:val="24"/>
          <w:szCs w:val="21"/>
        </w:rPr>
      </w:pPr>
    </w:p>
    <w:p w14:paraId="66DD2B9C">
      <w:pPr>
        <w:rPr>
          <w:rFonts w:hint="eastAsia" w:ascii="等线" w:hAnsi="等线" w:eastAsia="等线" w:cs="等线"/>
          <w:b/>
          <w:bCs/>
          <w:sz w:val="44"/>
          <w:szCs w:val="44"/>
        </w:rPr>
      </w:pPr>
      <w:r>
        <w:rPr>
          <w:rFonts w:hint="eastAsia" w:ascii="等线" w:hAnsi="等线" w:eastAsia="等线" w:cs="等线"/>
          <w:b/>
          <w:bCs/>
          <w:sz w:val="44"/>
          <w:szCs w:val="44"/>
        </w:rPr>
        <w:br w:type="page"/>
      </w:r>
    </w:p>
    <w:p w14:paraId="4DDEF529">
      <w:pPr>
        <w:pStyle w:val="2"/>
        <w:tabs>
          <w:tab w:val="left" w:pos="720"/>
          <w:tab w:val="left" w:pos="2700"/>
        </w:tabs>
        <w:rPr>
          <w:rFonts w:ascii="Times New Roman" w:hAnsi="Times New Roman" w:eastAsia="宋体" w:cs="Times New Roman"/>
          <w:szCs w:val="36"/>
        </w:rPr>
      </w:pPr>
      <w:bookmarkStart w:id="226" w:name="_Toc20440"/>
      <w:bookmarkStart w:id="227" w:name="_Toc29136"/>
      <w:r>
        <w:rPr>
          <w:rFonts w:hint="eastAsia"/>
        </w:rPr>
        <w:t>《小学数学教学设计与实施》课程教学大纲</w:t>
      </w:r>
      <w:bookmarkEnd w:id="226"/>
      <w:bookmarkEnd w:id="227"/>
    </w:p>
    <w:p w14:paraId="7D6FF889">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（Design and Implementation of Mathematics teaching in Primary School）</w:t>
      </w:r>
    </w:p>
    <w:p w14:paraId="4B9EAD62">
      <w:pPr>
        <w:spacing w:line="360" w:lineRule="auto"/>
        <w:jc w:val="center"/>
        <w:rPr>
          <w:rFonts w:ascii="Times New Roman" w:hAnsi="Times New Roman" w:eastAsia="宋体" w:cs="Times New Roman"/>
          <w:bCs/>
          <w:sz w:val="30"/>
          <w:szCs w:val="30"/>
        </w:rPr>
      </w:pPr>
    </w:p>
    <w:p w14:paraId="216E6E2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课程名称：小学数学教学设计与实施</w:t>
      </w:r>
    </w:p>
    <w:p w14:paraId="2483C68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240102</w:t>
      </w:r>
      <w:r>
        <w:rPr>
          <w:rFonts w:hint="eastAsia" w:ascii="Times New Roman" w:hAnsi="Times New Roman" w:eastAsia="宋体" w:cs="Times New Roman"/>
          <w:b/>
          <w:sz w:val="24"/>
        </w:rPr>
        <w:t>7</w:t>
      </w:r>
    </w:p>
    <w:p w14:paraId="6E64CB8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分：3</w:t>
      </w:r>
    </w:p>
    <w:p w14:paraId="2BE14F7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时：48 （其中：讲授学时32， 实践学时16）</w:t>
      </w:r>
    </w:p>
    <w:p w14:paraId="7DB1618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先修课程：小学心理学、教育原理、教育心理学、课程与教学论、初等数论、小学数学课程标准与教材分析</w:t>
      </w:r>
    </w:p>
    <w:p w14:paraId="18F6D907">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适用专业：小学教育（理）</w:t>
      </w:r>
    </w:p>
    <w:p w14:paraId="50F08D86">
      <w:pPr>
        <w:spacing w:line="360" w:lineRule="auto"/>
        <w:jc w:val="left"/>
        <w:rPr>
          <w:rFonts w:ascii="Times New Roman" w:hAnsi="Times New Roman" w:eastAsia="宋体" w:cs="Times New Roman"/>
          <w:b/>
          <w:sz w:val="28"/>
          <w:szCs w:val="28"/>
        </w:rPr>
      </w:pPr>
    </w:p>
    <w:p w14:paraId="37723F6C">
      <w:pPr>
        <w:spacing w:line="360" w:lineRule="auto"/>
        <w:jc w:val="left"/>
        <w:rPr>
          <w:rFonts w:ascii="Times New Roman" w:hAnsi="Times New Roman" w:eastAsia="宋体" w:cs="Times New Roman"/>
          <w:sz w:val="28"/>
          <w:szCs w:val="28"/>
        </w:rPr>
      </w:pPr>
      <w:r>
        <w:rPr>
          <w:rFonts w:hint="eastAsia" w:ascii="Times New Roman" w:hAnsi="Times New Roman" w:eastAsia="宋体" w:cs="Times New Roman"/>
          <w:b/>
          <w:sz w:val="28"/>
          <w:szCs w:val="28"/>
        </w:rPr>
        <w:t>一、课程简介</w:t>
      </w:r>
    </w:p>
    <w:p w14:paraId="34F7E1BC">
      <w:pPr>
        <w:spacing w:line="360" w:lineRule="auto"/>
        <w:ind w:firstLine="480" w:firstLineChars="200"/>
        <w:jc w:val="left"/>
        <w:rPr>
          <w:rFonts w:hint="eastAsia" w:ascii="宋体" w:hAnsi="宋体" w:eastAsia="宋体" w:cs="Times New Roman"/>
          <w:b/>
          <w:color w:val="000000"/>
          <w:sz w:val="24"/>
        </w:rPr>
      </w:pPr>
      <w:r>
        <w:rPr>
          <w:rFonts w:hint="eastAsia" w:ascii="Times New Roman" w:hAnsi="Times New Roman" w:eastAsia="宋体" w:cs="Times New Roman"/>
          <w:sz w:val="24"/>
        </w:rPr>
        <w:t>本课程是小学教育专业的一门专业必修课程。通过本门课程学习，学生能够理解小学数学教学设计的基本理论，掌握小学数学教学设计的一般流程，能够依据小学数学课程的基本理念独立开展小学数学教学设计，并能将教学方案付诸实施，能根据实际教学情况不断调整教学方案，具有较强的研究与反思能力，能在实践中不断提升自己的教学实践能力。</w:t>
      </w:r>
    </w:p>
    <w:p w14:paraId="249BB86C">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p>
    <w:p w14:paraId="04FED9E2">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（一）课程具体目标</w:t>
      </w:r>
    </w:p>
    <w:p w14:paraId="3FF973FD">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1.</w:t>
      </w:r>
      <w:r>
        <w:rPr>
          <w:rFonts w:hint="eastAsia" w:ascii="Times New Roman" w:hAnsi="Times New Roman" w:eastAsia="宋体" w:cs="Times New Roman"/>
          <w:sz w:val="24"/>
        </w:rPr>
        <w:t>理解</w:t>
      </w:r>
      <w:r>
        <w:rPr>
          <w:rFonts w:ascii="Times New Roman" w:hAnsi="Times New Roman" w:eastAsia="宋体" w:cs="Times New Roman"/>
          <w:sz w:val="24"/>
        </w:rPr>
        <w:t>小学数学教学设计的</w:t>
      </w:r>
      <w:r>
        <w:rPr>
          <w:rFonts w:hint="eastAsia" w:ascii="Times New Roman" w:hAnsi="Times New Roman" w:eastAsia="宋体" w:cs="Times New Roman"/>
          <w:sz w:val="24"/>
        </w:rPr>
        <w:t>概念</w:t>
      </w:r>
      <w:r>
        <w:rPr>
          <w:rFonts w:ascii="Times New Roman" w:hAnsi="Times New Roman" w:eastAsia="宋体" w:cs="Times New Roman"/>
          <w:sz w:val="24"/>
        </w:rPr>
        <w:t>和核心理念，能够进行小学生</w:t>
      </w:r>
      <w:r>
        <w:rPr>
          <w:rFonts w:hint="eastAsia" w:ascii="Times New Roman" w:hAnsi="Times New Roman" w:eastAsia="宋体" w:cs="Times New Roman"/>
          <w:sz w:val="24"/>
        </w:rPr>
        <w:t>学习</w:t>
      </w:r>
      <w:r>
        <w:rPr>
          <w:rFonts w:ascii="Times New Roman" w:hAnsi="Times New Roman" w:eastAsia="宋体" w:cs="Times New Roman"/>
          <w:sz w:val="24"/>
        </w:rPr>
        <w:t>数学的心理分析</w:t>
      </w:r>
      <w:r>
        <w:rPr>
          <w:rFonts w:hint="eastAsia" w:ascii="Times New Roman" w:hAnsi="Times New Roman" w:eastAsia="宋体" w:cs="Times New Roman"/>
          <w:sz w:val="24"/>
        </w:rPr>
        <w:t>。了解小学</w:t>
      </w:r>
      <w:r>
        <w:rPr>
          <w:rFonts w:ascii="Times New Roman" w:hAnsi="Times New Roman" w:eastAsia="宋体" w:cs="Times New Roman"/>
          <w:sz w:val="24"/>
        </w:rPr>
        <w:t>数学教学设计的</w:t>
      </w:r>
      <w:r>
        <w:rPr>
          <w:rFonts w:hint="eastAsia" w:ascii="Times New Roman" w:hAnsi="Times New Roman" w:eastAsia="宋体" w:cs="Times New Roman"/>
          <w:sz w:val="24"/>
        </w:rPr>
        <w:t>基本</w:t>
      </w:r>
      <w:r>
        <w:rPr>
          <w:rFonts w:ascii="Times New Roman" w:hAnsi="Times New Roman" w:eastAsia="宋体" w:cs="Times New Roman"/>
          <w:sz w:val="24"/>
        </w:rPr>
        <w:t>流程，知道</w:t>
      </w:r>
      <w:r>
        <w:rPr>
          <w:rFonts w:hint="eastAsia" w:ascii="Times New Roman" w:hAnsi="Times New Roman" w:eastAsia="宋体" w:cs="Times New Roman"/>
          <w:sz w:val="24"/>
        </w:rPr>
        <w:t>进行</w:t>
      </w:r>
      <w:r>
        <w:rPr>
          <w:rFonts w:ascii="Times New Roman" w:hAnsi="Times New Roman" w:eastAsia="宋体" w:cs="Times New Roman"/>
          <w:sz w:val="24"/>
        </w:rPr>
        <w:t>小学数学教学设计应做好哪些准备</w:t>
      </w:r>
      <w:r>
        <w:rPr>
          <w:rFonts w:hint="eastAsia" w:ascii="Times New Roman" w:hAnsi="Times New Roman" w:eastAsia="宋体" w:cs="Times New Roman"/>
          <w:sz w:val="24"/>
        </w:rPr>
        <w:t>，</w:t>
      </w:r>
      <w:r>
        <w:rPr>
          <w:rFonts w:ascii="Times New Roman" w:hAnsi="Times New Roman" w:eastAsia="宋体" w:cs="Times New Roman"/>
          <w:sz w:val="24"/>
        </w:rPr>
        <w:t>了解小学数学</w:t>
      </w:r>
      <w:r>
        <w:rPr>
          <w:rFonts w:hint="eastAsia" w:ascii="Times New Roman" w:hAnsi="Times New Roman" w:eastAsia="宋体" w:cs="Times New Roman"/>
          <w:sz w:val="24"/>
        </w:rPr>
        <w:t>教学</w:t>
      </w:r>
      <w:r>
        <w:rPr>
          <w:rFonts w:ascii="Times New Roman" w:hAnsi="Times New Roman" w:eastAsia="宋体" w:cs="Times New Roman"/>
          <w:sz w:val="24"/>
        </w:rPr>
        <w:t>的结构</w:t>
      </w:r>
      <w:r>
        <w:rPr>
          <w:rFonts w:hint="eastAsia" w:ascii="Times New Roman" w:hAnsi="Times New Roman" w:eastAsia="宋体" w:cs="Times New Roman"/>
          <w:sz w:val="24"/>
        </w:rPr>
        <w:t>、</w:t>
      </w:r>
      <w:r>
        <w:rPr>
          <w:rFonts w:ascii="Times New Roman" w:hAnsi="Times New Roman" w:eastAsia="宋体" w:cs="Times New Roman"/>
          <w:sz w:val="24"/>
        </w:rPr>
        <w:t>类型</w:t>
      </w:r>
      <w:r>
        <w:rPr>
          <w:rFonts w:hint="eastAsia" w:ascii="Times New Roman" w:hAnsi="Times New Roman" w:eastAsia="宋体" w:cs="Times New Roman"/>
          <w:sz w:val="24"/>
        </w:rPr>
        <w:t>，</w:t>
      </w:r>
      <w:r>
        <w:rPr>
          <w:rFonts w:ascii="Times New Roman" w:hAnsi="Times New Roman" w:eastAsia="宋体" w:cs="Times New Roman"/>
          <w:sz w:val="24"/>
        </w:rPr>
        <w:t>熟悉小学数学教学的常用方法，</w:t>
      </w:r>
      <w:r>
        <w:rPr>
          <w:rFonts w:hint="eastAsia" w:ascii="Times New Roman" w:hAnsi="Times New Roman" w:eastAsia="宋体" w:cs="Times New Roman"/>
          <w:sz w:val="24"/>
        </w:rPr>
        <w:t>明确</w:t>
      </w:r>
      <w:r>
        <w:rPr>
          <w:rFonts w:ascii="Times New Roman" w:hAnsi="Times New Roman" w:eastAsia="宋体" w:cs="Times New Roman"/>
          <w:sz w:val="24"/>
        </w:rPr>
        <w:t>课</w:t>
      </w:r>
      <w:r>
        <w:rPr>
          <w:rFonts w:hint="eastAsia" w:ascii="Times New Roman" w:hAnsi="Times New Roman" w:eastAsia="宋体" w:cs="Times New Roman"/>
          <w:sz w:val="24"/>
        </w:rPr>
        <w:t>堂</w:t>
      </w:r>
      <w:r>
        <w:rPr>
          <w:rFonts w:ascii="Times New Roman" w:hAnsi="Times New Roman" w:eastAsia="宋体" w:cs="Times New Roman"/>
          <w:sz w:val="24"/>
        </w:rPr>
        <w:t>教学活动</w:t>
      </w:r>
      <w:r>
        <w:rPr>
          <w:rFonts w:hint="eastAsia" w:ascii="Times New Roman" w:hAnsi="Times New Roman" w:eastAsia="宋体" w:cs="Times New Roman"/>
          <w:sz w:val="24"/>
        </w:rPr>
        <w:t>的</w:t>
      </w:r>
      <w:r>
        <w:rPr>
          <w:rFonts w:ascii="Times New Roman" w:hAnsi="Times New Roman" w:eastAsia="宋体" w:cs="Times New Roman"/>
          <w:sz w:val="24"/>
        </w:rPr>
        <w:t>基本要求</w:t>
      </w:r>
      <w:r>
        <w:rPr>
          <w:rFonts w:hint="eastAsia" w:ascii="Times New Roman" w:hAnsi="Times New Roman" w:eastAsia="宋体" w:cs="Times New Roman"/>
          <w:sz w:val="24"/>
        </w:rPr>
        <w:t>。</w:t>
      </w:r>
    </w:p>
    <w:p w14:paraId="5FE39649">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2.</w:t>
      </w:r>
      <w:r>
        <w:rPr>
          <w:rFonts w:hint="eastAsia" w:ascii="Times New Roman" w:hAnsi="Times New Roman" w:eastAsia="宋体" w:cs="Times New Roman"/>
          <w:sz w:val="24"/>
        </w:rPr>
        <w:t>了解“数与代数”、“空间与图形”、“概率与统计”、综合与实践”等内容</w:t>
      </w:r>
      <w:r>
        <w:rPr>
          <w:rFonts w:ascii="Times New Roman" w:hAnsi="Times New Roman" w:eastAsia="宋体" w:cs="Times New Roman"/>
          <w:sz w:val="24"/>
        </w:rPr>
        <w:t>领域的教学设计</w:t>
      </w:r>
      <w:r>
        <w:rPr>
          <w:rFonts w:hint="eastAsia" w:ascii="Times New Roman" w:hAnsi="Times New Roman" w:eastAsia="宋体" w:cs="Times New Roman"/>
          <w:sz w:val="24"/>
        </w:rPr>
        <w:t>要</w:t>
      </w:r>
      <w:r>
        <w:rPr>
          <w:rFonts w:ascii="Times New Roman" w:hAnsi="Times New Roman" w:eastAsia="宋体" w:cs="Times New Roman"/>
          <w:sz w:val="24"/>
        </w:rPr>
        <w:t>点</w:t>
      </w:r>
      <w:r>
        <w:rPr>
          <w:rFonts w:hint="eastAsia" w:ascii="Times New Roman" w:hAnsi="Times New Roman" w:eastAsia="宋体" w:cs="Times New Roman"/>
          <w:sz w:val="24"/>
        </w:rPr>
        <w:t>，</w:t>
      </w:r>
      <w:r>
        <w:rPr>
          <w:rFonts w:ascii="Times New Roman" w:hAnsi="Times New Roman" w:eastAsia="宋体" w:cs="Times New Roman"/>
          <w:sz w:val="24"/>
        </w:rPr>
        <w:t>能独立</w:t>
      </w:r>
      <w:r>
        <w:rPr>
          <w:rFonts w:hint="eastAsia" w:ascii="Times New Roman" w:hAnsi="Times New Roman" w:eastAsia="宋体" w:cs="Times New Roman"/>
          <w:sz w:val="24"/>
        </w:rPr>
        <w:t>进行</w:t>
      </w:r>
      <w:r>
        <w:rPr>
          <w:rFonts w:ascii="Times New Roman" w:hAnsi="Times New Roman" w:eastAsia="宋体" w:cs="Times New Roman"/>
          <w:sz w:val="24"/>
        </w:rPr>
        <w:t>相应内容的教学设计，</w:t>
      </w:r>
      <w:r>
        <w:rPr>
          <w:rFonts w:hint="eastAsia" w:ascii="Times New Roman" w:hAnsi="Times New Roman" w:eastAsia="宋体" w:cs="Times New Roman"/>
          <w:sz w:val="24"/>
        </w:rPr>
        <w:t>能够</w:t>
      </w:r>
      <w:r>
        <w:rPr>
          <w:rFonts w:ascii="Times New Roman" w:hAnsi="Times New Roman" w:eastAsia="宋体" w:cs="Times New Roman"/>
          <w:sz w:val="24"/>
        </w:rPr>
        <w:t>选择运用多种教学方法</w:t>
      </w:r>
      <w:r>
        <w:rPr>
          <w:rFonts w:hint="eastAsia" w:ascii="Times New Roman" w:hAnsi="Times New Roman" w:eastAsia="宋体" w:cs="Times New Roman"/>
          <w:sz w:val="24"/>
        </w:rPr>
        <w:t>进行课堂</w:t>
      </w:r>
      <w:r>
        <w:rPr>
          <w:rFonts w:ascii="Times New Roman" w:hAnsi="Times New Roman" w:eastAsia="宋体" w:cs="Times New Roman"/>
          <w:sz w:val="24"/>
        </w:rPr>
        <w:t>教学</w:t>
      </w:r>
      <w:r>
        <w:rPr>
          <w:rFonts w:hint="eastAsia" w:ascii="Times New Roman" w:hAnsi="Times New Roman" w:eastAsia="宋体" w:cs="Times New Roman"/>
          <w:sz w:val="24"/>
        </w:rPr>
        <w:t>，</w:t>
      </w:r>
      <w:r>
        <w:rPr>
          <w:rFonts w:ascii="Times New Roman" w:hAnsi="Times New Roman" w:eastAsia="宋体" w:cs="Times New Roman"/>
          <w:sz w:val="24"/>
        </w:rPr>
        <w:t>能够及时对自己的教学进行总结反思，具有较强的</w:t>
      </w:r>
      <w:r>
        <w:rPr>
          <w:rFonts w:hint="eastAsia" w:ascii="Times New Roman" w:hAnsi="Times New Roman" w:eastAsia="宋体" w:cs="Times New Roman"/>
          <w:sz w:val="24"/>
        </w:rPr>
        <w:t>“</w:t>
      </w:r>
      <w:r>
        <w:rPr>
          <w:rFonts w:ascii="Times New Roman" w:hAnsi="Times New Roman" w:eastAsia="宋体" w:cs="Times New Roman"/>
          <w:sz w:val="24"/>
        </w:rPr>
        <w:t>数与代数”内容的教学设计</w:t>
      </w:r>
      <w:r>
        <w:rPr>
          <w:rFonts w:hint="eastAsia" w:ascii="Times New Roman" w:hAnsi="Times New Roman" w:eastAsia="宋体" w:cs="Times New Roman"/>
          <w:sz w:val="24"/>
        </w:rPr>
        <w:t>和</w:t>
      </w:r>
      <w:r>
        <w:rPr>
          <w:rFonts w:ascii="Times New Roman" w:hAnsi="Times New Roman" w:eastAsia="宋体" w:cs="Times New Roman"/>
          <w:sz w:val="24"/>
        </w:rPr>
        <w:t>实施能力</w:t>
      </w:r>
      <w:r>
        <w:rPr>
          <w:rFonts w:hint="eastAsia" w:ascii="Times New Roman" w:hAnsi="Times New Roman" w:eastAsia="宋体" w:cs="Times New Roman"/>
          <w:sz w:val="24"/>
        </w:rPr>
        <w:t>。</w:t>
      </w:r>
    </w:p>
    <w:p w14:paraId="39096582">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目标3</w:t>
      </w:r>
      <w:r>
        <w:rPr>
          <w:rFonts w:hint="eastAsia" w:ascii="Times New Roman" w:hAnsi="Times New Roman" w:eastAsia="宋体" w:cs="Times New Roman"/>
          <w:sz w:val="24"/>
        </w:rPr>
        <w:t>.能够依据</w:t>
      </w:r>
      <w:r>
        <w:rPr>
          <w:rFonts w:ascii="Times New Roman" w:hAnsi="Times New Roman" w:eastAsia="宋体" w:cs="Times New Roman"/>
          <w:sz w:val="24"/>
        </w:rPr>
        <w:t>学生的心理特点和已有知识基础进行课堂教学，</w:t>
      </w:r>
      <w:r>
        <w:rPr>
          <w:rFonts w:hint="eastAsia" w:ascii="Times New Roman" w:hAnsi="Times New Roman" w:eastAsia="宋体" w:cs="Times New Roman"/>
          <w:sz w:val="24"/>
        </w:rPr>
        <w:t>注重</w:t>
      </w:r>
      <w:r>
        <w:rPr>
          <w:rFonts w:ascii="Times New Roman" w:hAnsi="Times New Roman" w:eastAsia="宋体" w:cs="Times New Roman"/>
          <w:sz w:val="24"/>
        </w:rPr>
        <w:t>教学中的师生合作。</w:t>
      </w:r>
      <w:r>
        <w:rPr>
          <w:rFonts w:hint="eastAsia" w:ascii="Times New Roman" w:hAnsi="Times New Roman" w:eastAsia="宋体" w:cs="Times New Roman"/>
          <w:sz w:val="24"/>
        </w:rPr>
        <w:t>坚持马克思主义的全面发展观，具有较强的学科育人意识，养成科学、严谨的设计态度，能充分发掘小学数学教材中的德育元素，具有进行小学教学的自信心。</w:t>
      </w:r>
    </w:p>
    <w:p w14:paraId="3887F0C9">
      <w:pPr>
        <w:spacing w:before="156" w:beforeLines="50" w:after="156" w:afterLines="50"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0A03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22D3093">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w:t>
            </w:r>
          </w:p>
        </w:tc>
        <w:tc>
          <w:tcPr>
            <w:tcW w:w="5688" w:type="dxa"/>
            <w:vAlign w:val="center"/>
          </w:tcPr>
          <w:p w14:paraId="2AAD6446">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毕业要求指标点</w:t>
            </w:r>
          </w:p>
        </w:tc>
        <w:tc>
          <w:tcPr>
            <w:tcW w:w="1191" w:type="dxa"/>
            <w:vAlign w:val="center"/>
          </w:tcPr>
          <w:p w14:paraId="58ECA858">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r>
      <w:tr w14:paraId="648E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Merge w:val="restart"/>
            <w:vAlign w:val="center"/>
          </w:tcPr>
          <w:p w14:paraId="36D9D551">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4. 教学能力</w:t>
            </w:r>
          </w:p>
        </w:tc>
        <w:tc>
          <w:tcPr>
            <w:tcW w:w="5688" w:type="dxa"/>
            <w:vAlign w:val="center"/>
          </w:tcPr>
          <w:p w14:paraId="5DD9440A">
            <w:pPr>
              <w:spacing w:line="276" w:lineRule="auto"/>
              <w:jc w:val="left"/>
              <w:rPr>
                <w:rFonts w:ascii="Times New Roman" w:hAnsi="Times New Roman" w:eastAsia="宋体" w:cs="Times New Roman"/>
                <w:sz w:val="24"/>
              </w:rPr>
            </w:pPr>
            <w:r>
              <w:rPr>
                <w:rFonts w:hint="eastAsia" w:ascii="宋体" w:hAnsi="宋体" w:eastAsia="宋体" w:cs="Times New Roman"/>
                <w:color w:val="000000"/>
                <w:spacing w:val="2"/>
                <w:kern w:val="0"/>
                <w:sz w:val="24"/>
              </w:rPr>
              <w:t>指标点</w:t>
            </w:r>
            <w:r>
              <w:rPr>
                <w:rFonts w:ascii="宋体" w:hAnsi="宋体" w:eastAsia="宋体" w:cs="Times New Roman"/>
                <w:color w:val="000000"/>
                <w:spacing w:val="2"/>
                <w:kern w:val="0"/>
                <w:sz w:val="24"/>
              </w:rPr>
              <w:t>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731415A3">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1</w:t>
            </w:r>
          </w:p>
        </w:tc>
      </w:tr>
      <w:tr w14:paraId="58E6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Merge w:val="continue"/>
            <w:vAlign w:val="center"/>
          </w:tcPr>
          <w:p w14:paraId="5CC78C09">
            <w:pPr>
              <w:spacing w:line="276" w:lineRule="auto"/>
              <w:jc w:val="left"/>
              <w:rPr>
                <w:rFonts w:ascii="Times New Roman" w:hAnsi="Times New Roman" w:eastAsia="宋体" w:cs="Times New Roman"/>
                <w:sz w:val="24"/>
              </w:rPr>
            </w:pPr>
          </w:p>
        </w:tc>
        <w:tc>
          <w:tcPr>
            <w:tcW w:w="5688" w:type="dxa"/>
            <w:vAlign w:val="center"/>
          </w:tcPr>
          <w:p w14:paraId="6E540CEF">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指标点</w:t>
            </w:r>
            <w:r>
              <w:rPr>
                <w:rFonts w:ascii="Times New Roman" w:hAnsi="Times New Roman" w:eastAsia="宋体" w:cs="Times New Roman"/>
                <w:sz w:val="24"/>
              </w:rPr>
              <w:t>4-3：【教学实施与评价科学】掌握小学教师基本功技能，包括书写技能、沟通与表达技能、信息技术运用技能等。获得全面的小学教学体验，掌握学科教学的基本方法与策略，能独立进行教学实施和评价。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29811A99">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2</w:t>
            </w:r>
          </w:p>
        </w:tc>
      </w:tr>
      <w:tr w14:paraId="7D22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E113124">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6. 综合育人</w:t>
            </w:r>
          </w:p>
        </w:tc>
        <w:tc>
          <w:tcPr>
            <w:tcW w:w="5688" w:type="dxa"/>
            <w:vAlign w:val="center"/>
          </w:tcPr>
          <w:p w14:paraId="4496ECBF">
            <w:pPr>
              <w:spacing w:line="276" w:lineRule="auto"/>
              <w:jc w:val="left"/>
              <w:rPr>
                <w:rFonts w:ascii="Times New Roman" w:hAnsi="Times New Roman" w:eastAsia="宋体" w:cs="Times New Roman"/>
                <w:sz w:val="24"/>
              </w:rPr>
            </w:pPr>
            <w:r>
              <w:rPr>
                <w:rFonts w:hint="eastAsia" w:ascii="宋体" w:hAnsi="宋体" w:eastAsia="宋体" w:cs="Times New Roman"/>
                <w:color w:val="000000"/>
                <w:spacing w:val="2"/>
                <w:kern w:val="0"/>
                <w:sz w:val="24"/>
              </w:rPr>
              <w:t>指标点</w:t>
            </w:r>
            <w:r>
              <w:rPr>
                <w:rFonts w:ascii="宋体" w:hAnsi="宋体" w:eastAsia="宋体" w:cs="Times New Roman"/>
                <w:color w:val="000000"/>
                <w:spacing w:val="2"/>
                <w:kern w:val="0"/>
                <w:sz w:val="24"/>
              </w:rPr>
              <w:t>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1" w:type="dxa"/>
            <w:vAlign w:val="center"/>
          </w:tcPr>
          <w:p w14:paraId="6D053DD7">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3</w:t>
            </w:r>
          </w:p>
        </w:tc>
      </w:tr>
    </w:tbl>
    <w:p w14:paraId="291EBAEA">
      <w:pPr>
        <w:spacing w:before="156" w:beforeLines="50"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（三）课程思政目标</w:t>
      </w:r>
    </w:p>
    <w:p w14:paraId="1AF57D00">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坚持马克思主义的全面发展观，具有较强的学科育人意识，养成科学、严谨的教学态度，能充分发掘小学数学教材中的德育元素，具有初步的学科育人能力，具有良好的团队合作意识，具有进行小学教学的自信心。</w:t>
      </w:r>
    </w:p>
    <w:p w14:paraId="56C9223F">
      <w:pPr>
        <w:spacing w:line="360" w:lineRule="auto"/>
        <w:jc w:val="left"/>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698"/>
        <w:gridCol w:w="1132"/>
        <w:gridCol w:w="3252"/>
        <w:gridCol w:w="1556"/>
        <w:gridCol w:w="457"/>
      </w:tblGrid>
      <w:tr w14:paraId="753D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D339C08">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w:t>
            </w:r>
          </w:p>
          <w:p w14:paraId="3FF5D43F">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单元</w:t>
            </w:r>
          </w:p>
        </w:tc>
        <w:tc>
          <w:tcPr>
            <w:tcW w:w="1701" w:type="dxa"/>
            <w:vAlign w:val="center"/>
          </w:tcPr>
          <w:p w14:paraId="54DC39BF">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知识点</w:t>
            </w:r>
          </w:p>
        </w:tc>
        <w:tc>
          <w:tcPr>
            <w:tcW w:w="1134" w:type="dxa"/>
            <w:vAlign w:val="center"/>
          </w:tcPr>
          <w:p w14:paraId="1FA02B75">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对应</w:t>
            </w:r>
          </w:p>
          <w:p w14:paraId="5EAFDD87">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课程目标</w:t>
            </w:r>
          </w:p>
        </w:tc>
        <w:tc>
          <w:tcPr>
            <w:tcW w:w="3260" w:type="dxa"/>
            <w:vAlign w:val="center"/>
          </w:tcPr>
          <w:p w14:paraId="1BD25C76">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预期学习成效</w:t>
            </w:r>
          </w:p>
        </w:tc>
        <w:tc>
          <w:tcPr>
            <w:tcW w:w="1560" w:type="dxa"/>
            <w:vAlign w:val="center"/>
          </w:tcPr>
          <w:p w14:paraId="7031DB3A">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实现环节</w:t>
            </w:r>
          </w:p>
        </w:tc>
        <w:tc>
          <w:tcPr>
            <w:tcW w:w="438" w:type="dxa"/>
            <w:vAlign w:val="center"/>
          </w:tcPr>
          <w:p w14:paraId="43B44166">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学时</w:t>
            </w:r>
          </w:p>
        </w:tc>
      </w:tr>
      <w:tr w14:paraId="707A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A2EA5EF">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小学数学教学设计的基本理论</w:t>
            </w:r>
          </w:p>
        </w:tc>
        <w:tc>
          <w:tcPr>
            <w:tcW w:w="1701" w:type="dxa"/>
            <w:vAlign w:val="center"/>
          </w:tcPr>
          <w:p w14:paraId="4AA0B3F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1）小学数学教学设计的内涵</w:t>
            </w:r>
          </w:p>
          <w:p w14:paraId="1223F088">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2）小学数学教学设计的核心理念</w:t>
            </w:r>
          </w:p>
          <w:p w14:paraId="07CF4BE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3）小学生数学学习的心理分析</w:t>
            </w:r>
          </w:p>
        </w:tc>
        <w:tc>
          <w:tcPr>
            <w:tcW w:w="1134" w:type="dxa"/>
            <w:vAlign w:val="center"/>
          </w:tcPr>
          <w:p w14:paraId="36A0979E">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课程目标1、3</w:t>
            </w:r>
          </w:p>
        </w:tc>
        <w:tc>
          <w:tcPr>
            <w:tcW w:w="3260" w:type="dxa"/>
            <w:vAlign w:val="center"/>
          </w:tcPr>
          <w:p w14:paraId="49E55E0B">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1）理解小学数学教学设计的内涵</w:t>
            </w:r>
          </w:p>
          <w:p w14:paraId="7F559712">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2）理解小学数学教学设计的核心理念，明确小学数学教学设计应关注哪些问题</w:t>
            </w:r>
          </w:p>
          <w:p w14:paraId="11918DE5">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3）了解小学生数学学习的心理特点和心理需求</w:t>
            </w:r>
          </w:p>
        </w:tc>
        <w:tc>
          <w:tcPr>
            <w:tcW w:w="1560" w:type="dxa"/>
            <w:vAlign w:val="center"/>
          </w:tcPr>
          <w:p w14:paraId="17FD4384">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6A13D0B4">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153A7A9C">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7F7E77C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31C51316">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6</w:t>
            </w:r>
          </w:p>
        </w:tc>
      </w:tr>
      <w:tr w14:paraId="4564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3D569DE">
            <w:pPr>
              <w:spacing w:line="264" w:lineRule="auto"/>
              <w:jc w:val="center"/>
              <w:rPr>
                <w:rFonts w:hint="eastAsia" w:ascii="宋体" w:hAnsi="宋体" w:eastAsia="宋体" w:cs="Times New Roman"/>
                <w:color w:val="000000"/>
                <w:sz w:val="24"/>
              </w:rPr>
            </w:pPr>
          </w:p>
        </w:tc>
        <w:tc>
          <w:tcPr>
            <w:tcW w:w="8093" w:type="dxa"/>
            <w:gridSpan w:val="5"/>
            <w:vAlign w:val="center"/>
          </w:tcPr>
          <w:p w14:paraId="7D4B1B53">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1）践行社会主义核心价值观，树立全面育人的思想。</w:t>
            </w:r>
            <w:r>
              <w:rPr>
                <w:rFonts w:hint="eastAsia" w:ascii="宋体" w:hAnsi="宋体" w:eastAsia="宋体" w:cs="Times New Roman"/>
                <w:color w:val="000000"/>
                <w:sz w:val="24"/>
              </w:rPr>
              <w:t>（</w:t>
            </w:r>
            <w:r>
              <w:rPr>
                <w:rFonts w:ascii="宋体" w:hAnsi="宋体" w:eastAsia="宋体" w:cs="Times New Roman"/>
                <w:color w:val="000000"/>
                <w:sz w:val="24"/>
              </w:rPr>
              <w:t>2）</w:t>
            </w:r>
            <w:r>
              <w:rPr>
                <w:rFonts w:hint="eastAsia" w:ascii="宋体" w:hAnsi="宋体" w:eastAsia="宋体" w:cs="Times New Roman"/>
                <w:color w:val="000000"/>
                <w:sz w:val="24"/>
              </w:rPr>
              <w:t>具有</w:t>
            </w:r>
            <w:r>
              <w:rPr>
                <w:rFonts w:ascii="宋体" w:hAnsi="宋体" w:eastAsia="宋体" w:cs="Times New Roman"/>
                <w:color w:val="000000"/>
                <w:sz w:val="24"/>
              </w:rPr>
              <w:t>科学、严谨的教学</w:t>
            </w:r>
            <w:r>
              <w:rPr>
                <w:rFonts w:hint="eastAsia" w:ascii="宋体" w:hAnsi="宋体" w:eastAsia="宋体" w:cs="Times New Roman"/>
                <w:color w:val="000000"/>
                <w:sz w:val="24"/>
              </w:rPr>
              <w:t>意识</w:t>
            </w:r>
            <w:r>
              <w:rPr>
                <w:rFonts w:ascii="宋体" w:hAnsi="宋体" w:eastAsia="宋体" w:cs="Times New Roman"/>
                <w:color w:val="000000"/>
                <w:sz w:val="24"/>
              </w:rPr>
              <w:t>。</w:t>
            </w:r>
          </w:p>
        </w:tc>
      </w:tr>
      <w:tr w14:paraId="1075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E951DC6">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小学数学教学设计的一般流程</w:t>
            </w:r>
          </w:p>
        </w:tc>
        <w:tc>
          <w:tcPr>
            <w:tcW w:w="1701" w:type="dxa"/>
            <w:vAlign w:val="center"/>
          </w:tcPr>
          <w:p w14:paraId="29A4081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1）小学数学教学设计的前期准备</w:t>
            </w:r>
          </w:p>
          <w:p w14:paraId="14D798C0">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2）小学数学教学设计的基本流程</w:t>
            </w:r>
          </w:p>
          <w:p w14:paraId="2E0BC648">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3）小学数学教学设计方案的撰写</w:t>
            </w:r>
          </w:p>
        </w:tc>
        <w:tc>
          <w:tcPr>
            <w:tcW w:w="1134" w:type="dxa"/>
            <w:vAlign w:val="center"/>
          </w:tcPr>
          <w:p w14:paraId="14C28B68">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课程目标1、3</w:t>
            </w:r>
          </w:p>
        </w:tc>
        <w:tc>
          <w:tcPr>
            <w:tcW w:w="3260" w:type="dxa"/>
            <w:vAlign w:val="center"/>
          </w:tcPr>
          <w:p w14:paraId="066AC0B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1）明确小学数学教学设计要做好哪些前期准备</w:t>
            </w:r>
          </w:p>
          <w:p w14:paraId="486F0AB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2）知道小学数学教学设计的基本流程</w:t>
            </w:r>
          </w:p>
          <w:p w14:paraId="66FABBB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3）能够独立撰写小学数学教学方案</w:t>
            </w:r>
          </w:p>
        </w:tc>
        <w:tc>
          <w:tcPr>
            <w:tcW w:w="1560" w:type="dxa"/>
            <w:vAlign w:val="center"/>
          </w:tcPr>
          <w:p w14:paraId="3C01106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0FDF625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07CB6C8F">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22106718">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6A4FBF96">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6</w:t>
            </w:r>
          </w:p>
        </w:tc>
      </w:tr>
      <w:tr w14:paraId="13BC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C7A0E4">
            <w:pPr>
              <w:spacing w:line="264" w:lineRule="auto"/>
              <w:jc w:val="center"/>
              <w:rPr>
                <w:rFonts w:hint="eastAsia" w:ascii="宋体" w:hAnsi="宋体" w:eastAsia="宋体" w:cs="Times New Roman"/>
                <w:color w:val="000000"/>
                <w:sz w:val="24"/>
              </w:rPr>
            </w:pPr>
          </w:p>
        </w:tc>
        <w:tc>
          <w:tcPr>
            <w:tcW w:w="8093" w:type="dxa"/>
            <w:gridSpan w:val="5"/>
            <w:vAlign w:val="center"/>
          </w:tcPr>
          <w:p w14:paraId="7873F649">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1）树立全方位育人的思想。</w:t>
            </w:r>
            <w:r>
              <w:rPr>
                <w:rFonts w:hint="eastAsia" w:ascii="宋体" w:hAnsi="宋体" w:eastAsia="宋体" w:cs="Times New Roman"/>
                <w:color w:val="000000"/>
                <w:sz w:val="24"/>
              </w:rPr>
              <w:t>（</w:t>
            </w:r>
            <w:r>
              <w:rPr>
                <w:rFonts w:ascii="宋体" w:hAnsi="宋体" w:eastAsia="宋体" w:cs="Times New Roman"/>
                <w:color w:val="000000"/>
                <w:sz w:val="24"/>
              </w:rPr>
              <w:t>2）注重教学设计的严谨性。</w:t>
            </w:r>
          </w:p>
        </w:tc>
      </w:tr>
      <w:tr w14:paraId="406B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66A8BE4">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小学数学教学的实施</w:t>
            </w:r>
          </w:p>
        </w:tc>
        <w:tc>
          <w:tcPr>
            <w:tcW w:w="1701" w:type="dxa"/>
            <w:vAlign w:val="center"/>
          </w:tcPr>
          <w:p w14:paraId="30857D4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1）小学数学教学的结构与类型</w:t>
            </w:r>
          </w:p>
          <w:p w14:paraId="0C24B3C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2）小学数学教学方法的选择</w:t>
            </w:r>
          </w:p>
          <w:p w14:paraId="7712046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3）小学数学教学的具体实施</w:t>
            </w:r>
          </w:p>
          <w:p w14:paraId="0940C4B5">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4）小学数学教学评价</w:t>
            </w:r>
          </w:p>
        </w:tc>
        <w:tc>
          <w:tcPr>
            <w:tcW w:w="1134" w:type="dxa"/>
            <w:vAlign w:val="center"/>
          </w:tcPr>
          <w:p w14:paraId="14C71804">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课程目标2、3</w:t>
            </w:r>
          </w:p>
        </w:tc>
        <w:tc>
          <w:tcPr>
            <w:tcW w:w="3260" w:type="dxa"/>
            <w:vAlign w:val="center"/>
          </w:tcPr>
          <w:p w14:paraId="34F1172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1）了解小学数学教学的一般结构和常见类型</w:t>
            </w:r>
          </w:p>
          <w:p w14:paraId="201170B5">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2）了解常用的数学教学方法，能够根据课程目标、教学内容、学生特点等选择最适合的教学方法</w:t>
            </w:r>
          </w:p>
          <w:p w14:paraId="581DA52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3）能够在理论的指导下有效地进行具体的小学数学教学，并能进行及时的评价与调整。</w:t>
            </w:r>
          </w:p>
        </w:tc>
        <w:tc>
          <w:tcPr>
            <w:tcW w:w="1560" w:type="dxa"/>
            <w:vAlign w:val="center"/>
          </w:tcPr>
          <w:p w14:paraId="0456658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018185A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60F1CF9B">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37B6490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671C36B5">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6</w:t>
            </w:r>
          </w:p>
        </w:tc>
      </w:tr>
      <w:tr w14:paraId="574C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B2D6DAE">
            <w:pPr>
              <w:spacing w:line="264" w:lineRule="auto"/>
              <w:jc w:val="center"/>
              <w:rPr>
                <w:rFonts w:hint="eastAsia" w:ascii="宋体" w:hAnsi="宋体" w:eastAsia="宋体" w:cs="Times New Roman"/>
                <w:color w:val="000000"/>
                <w:sz w:val="24"/>
              </w:rPr>
            </w:pPr>
          </w:p>
        </w:tc>
        <w:tc>
          <w:tcPr>
            <w:tcW w:w="8093" w:type="dxa"/>
            <w:gridSpan w:val="5"/>
            <w:vAlign w:val="center"/>
          </w:tcPr>
          <w:p w14:paraId="18D5A5F9">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1）注重教学过程中情感、态度与价值观目标的实现。</w:t>
            </w:r>
            <w:r>
              <w:rPr>
                <w:rFonts w:hint="eastAsia" w:ascii="宋体" w:hAnsi="宋体" w:eastAsia="宋体" w:cs="Times New Roman"/>
                <w:color w:val="000000"/>
                <w:sz w:val="24"/>
              </w:rPr>
              <w:t>（</w:t>
            </w:r>
            <w:r>
              <w:rPr>
                <w:rFonts w:ascii="宋体" w:hAnsi="宋体" w:eastAsia="宋体" w:cs="Times New Roman"/>
                <w:color w:val="000000"/>
                <w:sz w:val="24"/>
              </w:rPr>
              <w:t>2）养成科学、严谨的教学习惯。</w:t>
            </w:r>
          </w:p>
        </w:tc>
      </w:tr>
      <w:tr w14:paraId="2907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F547B60">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“数与代数”教学设计与实施</w:t>
            </w:r>
          </w:p>
        </w:tc>
        <w:tc>
          <w:tcPr>
            <w:tcW w:w="1701" w:type="dxa"/>
            <w:vAlign w:val="center"/>
          </w:tcPr>
          <w:p w14:paraId="270DE220">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1）“数与代数”教学设计的基本要求</w:t>
            </w:r>
          </w:p>
          <w:p w14:paraId="5AA8ADB4">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2）“数与代数”教学设计要点与案例分析</w:t>
            </w:r>
          </w:p>
          <w:p w14:paraId="141CC88E">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3）“数与代数”教学的具体实施</w:t>
            </w:r>
          </w:p>
        </w:tc>
        <w:tc>
          <w:tcPr>
            <w:tcW w:w="1134" w:type="dxa"/>
            <w:vAlign w:val="center"/>
          </w:tcPr>
          <w:p w14:paraId="2F46B439">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课程目标2、3</w:t>
            </w:r>
          </w:p>
        </w:tc>
        <w:tc>
          <w:tcPr>
            <w:tcW w:w="3260" w:type="dxa"/>
            <w:vAlign w:val="center"/>
          </w:tcPr>
          <w:p w14:paraId="467CB0DE">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1）理解“数与代数”教学设计的基本要求</w:t>
            </w:r>
          </w:p>
          <w:p w14:paraId="389A1D66">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2）了解“数与代数”教学设计的要点，能够依据相关教学理论对有关教学设计案例进行全面分析与评价</w:t>
            </w:r>
          </w:p>
          <w:p w14:paraId="0B66A95A">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3）能够独立进行“数与代数”教学设计并付诸实施</w:t>
            </w:r>
          </w:p>
        </w:tc>
        <w:tc>
          <w:tcPr>
            <w:tcW w:w="1560" w:type="dxa"/>
            <w:vAlign w:val="center"/>
          </w:tcPr>
          <w:p w14:paraId="7C7B8642">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29DA8465">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3F15D841">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44160CFB">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1CFCCB15">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8</w:t>
            </w:r>
          </w:p>
        </w:tc>
      </w:tr>
      <w:tr w14:paraId="38CA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673D22D">
            <w:pPr>
              <w:spacing w:line="276" w:lineRule="auto"/>
              <w:jc w:val="center"/>
              <w:rPr>
                <w:rFonts w:hint="eastAsia" w:ascii="宋体" w:hAnsi="宋体" w:eastAsia="宋体" w:cs="Times New Roman"/>
                <w:color w:val="000000"/>
                <w:sz w:val="24"/>
              </w:rPr>
            </w:pPr>
          </w:p>
        </w:tc>
        <w:tc>
          <w:tcPr>
            <w:tcW w:w="8093" w:type="dxa"/>
            <w:gridSpan w:val="5"/>
            <w:vAlign w:val="center"/>
          </w:tcPr>
          <w:p w14:paraId="4452D539">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1）能根据全面育人的思想进行具体的“数与代数”教学设计。</w:t>
            </w:r>
            <w:r>
              <w:rPr>
                <w:rFonts w:hint="eastAsia" w:ascii="宋体" w:hAnsi="宋体" w:eastAsia="宋体" w:cs="Times New Roman"/>
                <w:color w:val="000000"/>
                <w:sz w:val="24"/>
              </w:rPr>
              <w:t>（</w:t>
            </w:r>
            <w:r>
              <w:rPr>
                <w:rFonts w:ascii="宋体" w:hAnsi="宋体" w:eastAsia="宋体" w:cs="Times New Roman"/>
                <w:color w:val="000000"/>
                <w:sz w:val="24"/>
              </w:rPr>
              <w:t>2）能在学习他人教学经验的基础上增强教学自信心。</w:t>
            </w:r>
          </w:p>
        </w:tc>
      </w:tr>
      <w:tr w14:paraId="3E32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820057A">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5</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“图形与几何”教学设计与实施</w:t>
            </w:r>
          </w:p>
        </w:tc>
        <w:tc>
          <w:tcPr>
            <w:tcW w:w="1701" w:type="dxa"/>
            <w:vAlign w:val="center"/>
          </w:tcPr>
          <w:p w14:paraId="5F7EF375">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1）“图形与几何”教学设计的基本要求</w:t>
            </w:r>
          </w:p>
          <w:p w14:paraId="244EBD0D">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2）“图形与几何”教学设计要点与案例分析</w:t>
            </w:r>
          </w:p>
          <w:p w14:paraId="7BB764A0">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3）“图形与几何”教学的具体实施</w:t>
            </w:r>
          </w:p>
        </w:tc>
        <w:tc>
          <w:tcPr>
            <w:tcW w:w="1134" w:type="dxa"/>
            <w:vAlign w:val="center"/>
          </w:tcPr>
          <w:p w14:paraId="459C4436">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课程目标2、3</w:t>
            </w:r>
          </w:p>
        </w:tc>
        <w:tc>
          <w:tcPr>
            <w:tcW w:w="3260" w:type="dxa"/>
            <w:vAlign w:val="center"/>
          </w:tcPr>
          <w:p w14:paraId="16F1AFA6">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1）理解“图形与几何”教学设计的基本要求</w:t>
            </w:r>
          </w:p>
          <w:p w14:paraId="50EC3996">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2）了解“图形与几何”教学设计的要点，能够依据相关教学理论对有关教学设计案例进行全面分析与评价</w:t>
            </w:r>
          </w:p>
          <w:p w14:paraId="116A17DF">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3）能够独立进行“图形与几何”教学设计并付诸实施</w:t>
            </w:r>
          </w:p>
        </w:tc>
        <w:tc>
          <w:tcPr>
            <w:tcW w:w="1560" w:type="dxa"/>
            <w:vAlign w:val="center"/>
          </w:tcPr>
          <w:p w14:paraId="2E227A77">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7BC0E06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316D9999">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54AA55D4">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25AB784A">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8</w:t>
            </w:r>
          </w:p>
        </w:tc>
      </w:tr>
      <w:tr w14:paraId="3533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07DD7DE">
            <w:pPr>
              <w:spacing w:line="276" w:lineRule="auto"/>
              <w:jc w:val="center"/>
              <w:rPr>
                <w:rFonts w:hint="eastAsia" w:ascii="宋体" w:hAnsi="宋体" w:eastAsia="宋体" w:cs="Times New Roman"/>
                <w:color w:val="000000"/>
                <w:sz w:val="24"/>
              </w:rPr>
            </w:pPr>
          </w:p>
        </w:tc>
        <w:tc>
          <w:tcPr>
            <w:tcW w:w="8093" w:type="dxa"/>
            <w:gridSpan w:val="5"/>
            <w:vAlign w:val="center"/>
          </w:tcPr>
          <w:p w14:paraId="66CF2E65">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1）能根据全面育人的思想进行具体的“图形与几何”教学设计。</w:t>
            </w:r>
            <w:r>
              <w:rPr>
                <w:rFonts w:hint="eastAsia" w:ascii="宋体" w:hAnsi="宋体" w:eastAsia="宋体" w:cs="Times New Roman"/>
                <w:color w:val="000000"/>
                <w:sz w:val="24"/>
              </w:rPr>
              <w:t>（</w:t>
            </w:r>
            <w:r>
              <w:rPr>
                <w:rFonts w:ascii="宋体" w:hAnsi="宋体" w:eastAsia="宋体" w:cs="Times New Roman"/>
                <w:color w:val="000000"/>
                <w:sz w:val="24"/>
              </w:rPr>
              <w:t>2）能在学习他人教学经验的基础上增强教学自信心。</w:t>
            </w:r>
          </w:p>
        </w:tc>
      </w:tr>
      <w:tr w14:paraId="6BC0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087C134">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6</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“统计与概率”教学设计与实施</w:t>
            </w:r>
          </w:p>
        </w:tc>
        <w:tc>
          <w:tcPr>
            <w:tcW w:w="1701" w:type="dxa"/>
            <w:vAlign w:val="center"/>
          </w:tcPr>
          <w:p w14:paraId="130BA509">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1）“统计与概率”教学设计的基本要求</w:t>
            </w:r>
          </w:p>
          <w:p w14:paraId="40C70623">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2）“统计与概率”教学设计要点与案例分析</w:t>
            </w:r>
          </w:p>
          <w:p w14:paraId="2E434B93">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3）“统计与概率”教学的具体实施</w:t>
            </w:r>
          </w:p>
        </w:tc>
        <w:tc>
          <w:tcPr>
            <w:tcW w:w="1134" w:type="dxa"/>
            <w:vAlign w:val="center"/>
          </w:tcPr>
          <w:p w14:paraId="66B71E97">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课程目标2、3</w:t>
            </w:r>
          </w:p>
        </w:tc>
        <w:tc>
          <w:tcPr>
            <w:tcW w:w="3260" w:type="dxa"/>
            <w:vAlign w:val="center"/>
          </w:tcPr>
          <w:p w14:paraId="1A1D7F0B">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1）理解“统计与概率”教学设计的基本要求</w:t>
            </w:r>
          </w:p>
          <w:p w14:paraId="789F89F5">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2）了解“统计与概率”教学设计的要点，能够依据相关教学理论对有关教学设计案例进行全面分析与评价</w:t>
            </w:r>
          </w:p>
          <w:p w14:paraId="1B7C685A">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3）能够独立进行“统计与概率”教学设计并付诸实施</w:t>
            </w:r>
          </w:p>
        </w:tc>
        <w:tc>
          <w:tcPr>
            <w:tcW w:w="1560" w:type="dxa"/>
            <w:vAlign w:val="center"/>
          </w:tcPr>
          <w:p w14:paraId="0EBC115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5FF2563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6EE1DEAE">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6A28B89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373E4A9A">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8</w:t>
            </w:r>
          </w:p>
        </w:tc>
      </w:tr>
      <w:tr w14:paraId="60E3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FEA3870">
            <w:pPr>
              <w:spacing w:line="276" w:lineRule="auto"/>
              <w:jc w:val="center"/>
              <w:rPr>
                <w:rFonts w:hint="eastAsia" w:ascii="宋体" w:hAnsi="宋体" w:eastAsia="宋体" w:cs="Times New Roman"/>
                <w:color w:val="000000"/>
                <w:sz w:val="24"/>
              </w:rPr>
            </w:pPr>
          </w:p>
        </w:tc>
        <w:tc>
          <w:tcPr>
            <w:tcW w:w="8093" w:type="dxa"/>
            <w:gridSpan w:val="5"/>
            <w:vAlign w:val="center"/>
          </w:tcPr>
          <w:p w14:paraId="37841341">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1）能根据全面育人的思想进行具体的“统计与概率”教学设计。</w:t>
            </w:r>
            <w:r>
              <w:rPr>
                <w:rFonts w:hint="eastAsia" w:ascii="宋体" w:hAnsi="宋体" w:eastAsia="宋体" w:cs="Times New Roman"/>
                <w:color w:val="000000"/>
                <w:sz w:val="24"/>
              </w:rPr>
              <w:t>（</w:t>
            </w:r>
            <w:r>
              <w:rPr>
                <w:rFonts w:ascii="宋体" w:hAnsi="宋体" w:eastAsia="宋体" w:cs="Times New Roman"/>
                <w:color w:val="000000"/>
                <w:sz w:val="24"/>
              </w:rPr>
              <w:t>2）能在学习他人教学经验的基础上增强教学自信心。</w:t>
            </w:r>
          </w:p>
        </w:tc>
      </w:tr>
      <w:tr w14:paraId="1DA1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0E76BCB">
            <w:pPr>
              <w:spacing w:line="276" w:lineRule="auto"/>
              <w:jc w:val="center"/>
              <w:rPr>
                <w:rFonts w:hint="eastAsia" w:ascii="宋体" w:hAnsi="宋体" w:eastAsia="宋体" w:cs="Times New Roman"/>
                <w:sz w:val="24"/>
              </w:rPr>
            </w:pPr>
            <w:r>
              <w:rPr>
                <w:rFonts w:hint="eastAsia" w:ascii="宋体" w:hAnsi="宋体" w:eastAsia="宋体" w:cs="Times New Roman"/>
                <w:sz w:val="24"/>
              </w:rPr>
              <w:t>7</w:t>
            </w:r>
            <w:r>
              <w:rPr>
                <w:rFonts w:ascii="宋体" w:hAnsi="宋体" w:eastAsia="宋体" w:cs="Times New Roman"/>
                <w:sz w:val="24"/>
              </w:rPr>
              <w:t>.</w:t>
            </w:r>
            <w:r>
              <w:rPr>
                <w:rFonts w:hint="eastAsia"/>
                <w:sz w:val="24"/>
              </w:rPr>
              <w:t xml:space="preserve"> </w:t>
            </w:r>
            <w:r>
              <w:rPr>
                <w:rFonts w:hint="eastAsia" w:ascii="宋体" w:hAnsi="宋体" w:eastAsia="宋体" w:cs="Times New Roman"/>
                <w:sz w:val="24"/>
              </w:rPr>
              <w:t>“综合与实践”教学设计与实施</w:t>
            </w:r>
          </w:p>
        </w:tc>
        <w:tc>
          <w:tcPr>
            <w:tcW w:w="1701" w:type="dxa"/>
            <w:vAlign w:val="center"/>
          </w:tcPr>
          <w:p w14:paraId="191EFB27">
            <w:pPr>
              <w:spacing w:line="276" w:lineRule="auto"/>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1）“综合与实践”教学设计的基本要求</w:t>
            </w:r>
          </w:p>
          <w:p w14:paraId="5495C7AE">
            <w:pPr>
              <w:spacing w:line="276" w:lineRule="auto"/>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2）“综合与实践”教学设计要点与案例分析</w:t>
            </w:r>
          </w:p>
          <w:p w14:paraId="111A471D">
            <w:pPr>
              <w:spacing w:line="276" w:lineRule="auto"/>
              <w:jc w:val="left"/>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3）“综合与实践”教学的具体实施</w:t>
            </w:r>
          </w:p>
        </w:tc>
        <w:tc>
          <w:tcPr>
            <w:tcW w:w="1134" w:type="dxa"/>
            <w:vAlign w:val="center"/>
          </w:tcPr>
          <w:p w14:paraId="3826E267">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课程目标2、3</w:t>
            </w:r>
          </w:p>
        </w:tc>
        <w:tc>
          <w:tcPr>
            <w:tcW w:w="3260" w:type="dxa"/>
            <w:vAlign w:val="center"/>
          </w:tcPr>
          <w:p w14:paraId="46C84C1B">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1）理解“综合与实践”教学设计的基本要求</w:t>
            </w:r>
          </w:p>
          <w:p w14:paraId="0D1C749D">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2）了解“综合与实践”教学设计的要点，能够依据相关教学理论对有关教学设计案例进行全面分析与评价</w:t>
            </w:r>
          </w:p>
          <w:p w14:paraId="17B2657B">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3）能够独立进行“综合与实践”教学设计并付诸实施</w:t>
            </w:r>
          </w:p>
        </w:tc>
        <w:tc>
          <w:tcPr>
            <w:tcW w:w="1560" w:type="dxa"/>
            <w:vAlign w:val="center"/>
          </w:tcPr>
          <w:p w14:paraId="31EBED3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42F8F090">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63318F04">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7F4869F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1815F695">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6</w:t>
            </w:r>
          </w:p>
        </w:tc>
      </w:tr>
      <w:tr w14:paraId="4F5A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7F10CDF">
            <w:pPr>
              <w:spacing w:line="264" w:lineRule="auto"/>
              <w:jc w:val="center"/>
              <w:rPr>
                <w:rFonts w:hint="eastAsia" w:ascii="宋体" w:hAnsi="宋体" w:eastAsia="宋体" w:cs="Times New Roman"/>
                <w:color w:val="000000"/>
                <w:sz w:val="24"/>
              </w:rPr>
            </w:pPr>
          </w:p>
        </w:tc>
        <w:tc>
          <w:tcPr>
            <w:tcW w:w="8093" w:type="dxa"/>
            <w:gridSpan w:val="5"/>
            <w:vAlign w:val="center"/>
          </w:tcPr>
          <w:p w14:paraId="5587A1E6">
            <w:pPr>
              <w:spacing w:line="264"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1）能根据全面育人的思想进行具体的“综合与实践”教学设计。</w:t>
            </w:r>
            <w:r>
              <w:rPr>
                <w:rFonts w:hint="eastAsia" w:ascii="宋体" w:hAnsi="宋体" w:eastAsia="宋体" w:cs="Times New Roman"/>
                <w:color w:val="000000"/>
                <w:sz w:val="24"/>
              </w:rPr>
              <w:t>（</w:t>
            </w:r>
            <w:r>
              <w:rPr>
                <w:rFonts w:ascii="宋体" w:hAnsi="宋体" w:eastAsia="宋体" w:cs="Times New Roman"/>
                <w:color w:val="000000"/>
                <w:sz w:val="24"/>
              </w:rPr>
              <w:t>2）能在学习他人教学经验的基础上增强教学自信心。</w:t>
            </w:r>
          </w:p>
        </w:tc>
      </w:tr>
    </w:tbl>
    <w:p w14:paraId="6B929481">
      <w:pPr>
        <w:spacing w:line="360" w:lineRule="auto"/>
        <w:jc w:val="left"/>
        <w:rPr>
          <w:rFonts w:ascii="Times New Roman" w:hAnsi="Times New Roman" w:eastAsia="宋体" w:cs="Times New Roman"/>
          <w:sz w:val="24"/>
        </w:rPr>
      </w:pPr>
    </w:p>
    <w:p w14:paraId="715812B2">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四、目标评价与成绩评定</w:t>
      </w:r>
    </w:p>
    <w:p w14:paraId="5AD21DFD">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49D55F55">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19B7135A">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14"/>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550"/>
        <w:gridCol w:w="1406"/>
        <w:gridCol w:w="1406"/>
        <w:gridCol w:w="1406"/>
        <w:gridCol w:w="832"/>
      </w:tblGrid>
      <w:tr w14:paraId="69C1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1F6E2483">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w:t>
            </w:r>
          </w:p>
        </w:tc>
        <w:tc>
          <w:tcPr>
            <w:tcW w:w="0" w:type="auto"/>
            <w:gridSpan w:val="4"/>
            <w:vAlign w:val="center"/>
          </w:tcPr>
          <w:p w14:paraId="5F7B6DA2">
            <w:pPr>
              <w:spacing w:line="360" w:lineRule="auto"/>
              <w:jc w:val="center"/>
              <w:rPr>
                <w:rFonts w:hint="eastAsia" w:ascii="宋体" w:hAnsi="宋体" w:eastAsia="宋体" w:cs="Times New Roman"/>
                <w:sz w:val="24"/>
              </w:rPr>
            </w:pPr>
            <w:r>
              <w:rPr>
                <w:rFonts w:hint="eastAsia" w:ascii="宋体" w:hAnsi="宋体" w:eastAsia="宋体" w:cs="Times New Roman"/>
                <w:sz w:val="24"/>
              </w:rPr>
              <w:t>评价与成绩评定方法</w:t>
            </w:r>
          </w:p>
        </w:tc>
        <w:tc>
          <w:tcPr>
            <w:tcW w:w="0" w:type="auto"/>
            <w:vMerge w:val="restart"/>
            <w:vAlign w:val="center"/>
          </w:tcPr>
          <w:p w14:paraId="1D29DAF6">
            <w:pPr>
              <w:spacing w:line="360" w:lineRule="auto"/>
              <w:jc w:val="center"/>
              <w:rPr>
                <w:rFonts w:hint="eastAsia" w:ascii="宋体" w:hAnsi="宋体" w:eastAsia="宋体" w:cs="Times New Roman"/>
                <w:sz w:val="24"/>
              </w:rPr>
            </w:pPr>
            <w:r>
              <w:rPr>
                <w:rFonts w:hint="eastAsia" w:ascii="宋体" w:hAnsi="宋体" w:eastAsia="宋体" w:cs="Times New Roman"/>
                <w:sz w:val="24"/>
              </w:rPr>
              <w:t>分值</w:t>
            </w:r>
          </w:p>
        </w:tc>
      </w:tr>
      <w:tr w14:paraId="389D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4BDDAD4D">
            <w:pPr>
              <w:spacing w:line="360" w:lineRule="auto"/>
              <w:jc w:val="center"/>
              <w:rPr>
                <w:rFonts w:hint="eastAsia" w:ascii="宋体" w:hAnsi="宋体" w:eastAsia="宋体" w:cs="Times New Roman"/>
                <w:sz w:val="24"/>
              </w:rPr>
            </w:pPr>
          </w:p>
        </w:tc>
        <w:tc>
          <w:tcPr>
            <w:tcW w:w="0" w:type="auto"/>
            <w:vAlign w:val="center"/>
          </w:tcPr>
          <w:p w14:paraId="124E3E17">
            <w:pPr>
              <w:spacing w:line="360" w:lineRule="auto"/>
              <w:jc w:val="center"/>
              <w:rPr>
                <w:rFonts w:hint="eastAsia" w:ascii="宋体" w:hAnsi="宋体" w:eastAsia="宋体" w:cs="Times New Roman"/>
                <w:sz w:val="24"/>
              </w:rPr>
            </w:pPr>
            <w:r>
              <w:rPr>
                <w:rFonts w:hint="eastAsia" w:ascii="宋体" w:hAnsi="宋体" w:eastAsia="宋体" w:cs="Times New Roman"/>
                <w:sz w:val="24"/>
              </w:rPr>
              <w:t>作业</w:t>
            </w:r>
            <w:r>
              <w:rPr>
                <w:rFonts w:ascii="宋体" w:hAnsi="宋体" w:eastAsia="宋体" w:cs="Times New Roman"/>
                <w:sz w:val="24"/>
              </w:rPr>
              <w:t>+考勤</w:t>
            </w:r>
          </w:p>
        </w:tc>
        <w:tc>
          <w:tcPr>
            <w:tcW w:w="0" w:type="auto"/>
            <w:vAlign w:val="center"/>
          </w:tcPr>
          <w:p w14:paraId="5EB0A709">
            <w:pPr>
              <w:spacing w:line="360" w:lineRule="auto"/>
              <w:jc w:val="center"/>
              <w:rPr>
                <w:rFonts w:hint="eastAsia" w:ascii="宋体" w:hAnsi="宋体" w:eastAsia="宋体" w:cs="Times New Roman"/>
                <w:sz w:val="24"/>
              </w:rPr>
            </w:pPr>
            <w:r>
              <w:rPr>
                <w:rFonts w:hint="eastAsia" w:ascii="宋体" w:hAnsi="宋体" w:eastAsia="宋体" w:cs="Times New Roman"/>
                <w:sz w:val="24"/>
              </w:rPr>
              <w:t>课堂表现</w:t>
            </w:r>
          </w:p>
        </w:tc>
        <w:tc>
          <w:tcPr>
            <w:tcW w:w="0" w:type="auto"/>
            <w:vAlign w:val="center"/>
          </w:tcPr>
          <w:p w14:paraId="3A04E454">
            <w:pPr>
              <w:spacing w:line="360" w:lineRule="auto"/>
              <w:jc w:val="center"/>
              <w:rPr>
                <w:rFonts w:hint="eastAsia" w:ascii="宋体" w:hAnsi="宋体" w:eastAsia="宋体" w:cs="Times New Roman"/>
                <w:sz w:val="24"/>
              </w:rPr>
            </w:pPr>
            <w:r>
              <w:rPr>
                <w:rFonts w:hint="eastAsia" w:ascii="宋体" w:hAnsi="宋体" w:eastAsia="宋体" w:cs="Times New Roman"/>
                <w:sz w:val="24"/>
              </w:rPr>
              <w:t>课内实践</w:t>
            </w:r>
          </w:p>
        </w:tc>
        <w:tc>
          <w:tcPr>
            <w:tcW w:w="0" w:type="auto"/>
            <w:vAlign w:val="center"/>
          </w:tcPr>
          <w:p w14:paraId="68B83F1C">
            <w:pPr>
              <w:spacing w:line="360" w:lineRule="auto"/>
              <w:jc w:val="center"/>
              <w:rPr>
                <w:rFonts w:hint="eastAsia" w:ascii="宋体" w:hAnsi="宋体" w:eastAsia="宋体" w:cs="Times New Roman"/>
                <w:sz w:val="24"/>
              </w:rPr>
            </w:pPr>
            <w:r>
              <w:rPr>
                <w:rFonts w:hint="eastAsia" w:ascii="宋体" w:hAnsi="宋体" w:eastAsia="宋体" w:cs="Times New Roman"/>
                <w:sz w:val="24"/>
              </w:rPr>
              <w:t>期末考试</w:t>
            </w:r>
          </w:p>
        </w:tc>
        <w:tc>
          <w:tcPr>
            <w:tcW w:w="0" w:type="auto"/>
            <w:vMerge w:val="continue"/>
            <w:vAlign w:val="center"/>
          </w:tcPr>
          <w:p w14:paraId="7F59F1C8">
            <w:pPr>
              <w:spacing w:line="360" w:lineRule="auto"/>
              <w:jc w:val="center"/>
              <w:rPr>
                <w:rFonts w:hint="eastAsia" w:ascii="宋体" w:hAnsi="宋体" w:eastAsia="宋体" w:cs="Times New Roman"/>
                <w:sz w:val="24"/>
              </w:rPr>
            </w:pPr>
          </w:p>
        </w:tc>
      </w:tr>
      <w:tr w14:paraId="5CD1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0B50BB43">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0" w:type="auto"/>
            <w:vAlign w:val="center"/>
          </w:tcPr>
          <w:p w14:paraId="332CB608">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5502FB1">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0426A87">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EFD6CA0">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2B3CF6B7">
            <w:pPr>
              <w:spacing w:line="360" w:lineRule="auto"/>
              <w:jc w:val="center"/>
              <w:rPr>
                <w:rFonts w:hint="eastAsia" w:ascii="宋体" w:hAnsi="宋体" w:eastAsia="宋体" w:cs="Times New Roman"/>
                <w:sz w:val="24"/>
              </w:rPr>
            </w:pPr>
            <w:r>
              <w:rPr>
                <w:rFonts w:ascii="宋体" w:hAnsi="宋体" w:eastAsia="宋体" w:cs="Times New Roman"/>
                <w:sz w:val="24"/>
              </w:rPr>
              <w:t>4</w:t>
            </w:r>
            <w:r>
              <w:rPr>
                <w:rFonts w:hint="eastAsia" w:ascii="宋体" w:hAnsi="宋体" w:eastAsia="宋体" w:cs="Times New Roman"/>
                <w:sz w:val="24"/>
              </w:rPr>
              <w:t>0</w:t>
            </w:r>
          </w:p>
        </w:tc>
      </w:tr>
      <w:tr w14:paraId="0041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714E3ADF">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0" w:type="auto"/>
            <w:vAlign w:val="center"/>
          </w:tcPr>
          <w:p w14:paraId="61357798">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B39E25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6AD7242">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7052677">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7BA190EC">
            <w:pPr>
              <w:spacing w:line="360" w:lineRule="auto"/>
              <w:jc w:val="center"/>
              <w:rPr>
                <w:rFonts w:hint="eastAsia" w:ascii="宋体" w:hAnsi="宋体" w:eastAsia="宋体" w:cs="Times New Roman"/>
                <w:sz w:val="24"/>
              </w:rPr>
            </w:pPr>
            <w:r>
              <w:rPr>
                <w:rFonts w:hint="eastAsia" w:ascii="宋体" w:hAnsi="宋体" w:eastAsia="宋体" w:cs="Times New Roman"/>
                <w:sz w:val="24"/>
              </w:rPr>
              <w:t>40</w:t>
            </w:r>
          </w:p>
        </w:tc>
      </w:tr>
      <w:tr w14:paraId="4546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7247A71B">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0" w:type="auto"/>
            <w:vAlign w:val="center"/>
          </w:tcPr>
          <w:p w14:paraId="41E2A28F">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2E831175">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7541703F">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6A7C0A4F">
            <w:pPr>
              <w:spacing w:line="360" w:lineRule="auto"/>
              <w:jc w:val="center"/>
              <w:rPr>
                <w:rFonts w:hint="eastAsia" w:ascii="宋体" w:hAnsi="宋体" w:eastAsia="宋体" w:cs="Times New Roman"/>
                <w:sz w:val="24"/>
              </w:rPr>
            </w:pPr>
          </w:p>
        </w:tc>
        <w:tc>
          <w:tcPr>
            <w:tcW w:w="0" w:type="auto"/>
            <w:vAlign w:val="center"/>
          </w:tcPr>
          <w:p w14:paraId="33A4686B">
            <w:pPr>
              <w:spacing w:line="360" w:lineRule="auto"/>
              <w:jc w:val="center"/>
              <w:rPr>
                <w:rFonts w:hint="eastAsia"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0</w:t>
            </w:r>
          </w:p>
        </w:tc>
      </w:tr>
      <w:tr w14:paraId="3189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4210054D">
            <w:pPr>
              <w:spacing w:line="360"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0" w:type="auto"/>
            <w:vAlign w:val="center"/>
          </w:tcPr>
          <w:p w14:paraId="7BA82380">
            <w:pPr>
              <w:spacing w:line="360" w:lineRule="auto"/>
              <w:jc w:val="center"/>
              <w:rPr>
                <w:rFonts w:hint="eastAsia" w:ascii="宋体" w:hAnsi="宋体" w:eastAsia="宋体" w:cs="Times New Roman"/>
                <w:sz w:val="24"/>
              </w:rPr>
            </w:pPr>
            <w:r>
              <w:rPr>
                <w:rFonts w:ascii="宋体" w:hAnsi="宋体" w:eastAsia="宋体" w:cs="Times New Roman"/>
                <w:sz w:val="24"/>
              </w:rPr>
              <w:t>20</w:t>
            </w:r>
          </w:p>
        </w:tc>
        <w:tc>
          <w:tcPr>
            <w:tcW w:w="0" w:type="auto"/>
            <w:vAlign w:val="center"/>
          </w:tcPr>
          <w:p w14:paraId="7C66DF1B">
            <w:pPr>
              <w:spacing w:line="360" w:lineRule="auto"/>
              <w:jc w:val="center"/>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0</w:t>
            </w:r>
          </w:p>
        </w:tc>
        <w:tc>
          <w:tcPr>
            <w:tcW w:w="0" w:type="auto"/>
            <w:vAlign w:val="center"/>
          </w:tcPr>
          <w:p w14:paraId="118A0785">
            <w:pPr>
              <w:spacing w:line="360" w:lineRule="auto"/>
              <w:jc w:val="center"/>
              <w:rPr>
                <w:rFonts w:hint="eastAsia"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0</w:t>
            </w:r>
          </w:p>
        </w:tc>
        <w:tc>
          <w:tcPr>
            <w:tcW w:w="0" w:type="auto"/>
            <w:vAlign w:val="center"/>
          </w:tcPr>
          <w:p w14:paraId="774F44C4">
            <w:pPr>
              <w:spacing w:line="360" w:lineRule="auto"/>
              <w:jc w:val="center"/>
              <w:rPr>
                <w:rFonts w:hint="eastAsia" w:ascii="宋体" w:hAnsi="宋体" w:eastAsia="宋体" w:cs="Times New Roman"/>
                <w:sz w:val="24"/>
              </w:rPr>
            </w:pPr>
            <w:r>
              <w:rPr>
                <w:rFonts w:hint="eastAsia" w:ascii="宋体" w:hAnsi="宋体" w:eastAsia="宋体" w:cs="Times New Roman"/>
                <w:sz w:val="24"/>
              </w:rPr>
              <w:t>5</w:t>
            </w:r>
            <w:r>
              <w:rPr>
                <w:rFonts w:ascii="宋体" w:hAnsi="宋体" w:eastAsia="宋体" w:cs="Times New Roman"/>
                <w:sz w:val="24"/>
              </w:rPr>
              <w:t>0</w:t>
            </w:r>
          </w:p>
        </w:tc>
        <w:tc>
          <w:tcPr>
            <w:tcW w:w="0" w:type="auto"/>
            <w:vAlign w:val="center"/>
          </w:tcPr>
          <w:p w14:paraId="370E1009">
            <w:pPr>
              <w:spacing w:line="360"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1472B432">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0F77974B">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79F3C367">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6924"/>
        <w:gridCol w:w="776"/>
      </w:tblGrid>
      <w:tr w14:paraId="017E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79C383D">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6924" w:type="dxa"/>
            <w:vAlign w:val="center"/>
          </w:tcPr>
          <w:p w14:paraId="5F262C56">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567FD793">
            <w:pPr>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7B17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D5EB8DC">
            <w:pPr>
              <w:rPr>
                <w:rFonts w:ascii="Times New Roman" w:hAnsi="Times New Roman" w:eastAsia="宋体" w:cs="Times New Roman"/>
                <w:sz w:val="24"/>
              </w:rPr>
            </w:pPr>
            <w:r>
              <w:rPr>
                <w:rFonts w:hint="eastAsia" w:ascii="Times New Roman" w:hAnsi="Times New Roman" w:eastAsia="宋体" w:cs="Times New Roman"/>
                <w:sz w:val="24"/>
              </w:rPr>
              <w:t>作业</w:t>
            </w:r>
            <w:r>
              <w:rPr>
                <w:rFonts w:ascii="Times New Roman" w:hAnsi="Times New Roman" w:eastAsia="宋体" w:cs="Times New Roman"/>
                <w:sz w:val="24"/>
              </w:rPr>
              <w:t>+考勤</w:t>
            </w:r>
          </w:p>
        </w:tc>
        <w:tc>
          <w:tcPr>
            <w:tcW w:w="6924" w:type="dxa"/>
            <w:vAlign w:val="center"/>
          </w:tcPr>
          <w:p w14:paraId="15E6C38A">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平时作业共</w:t>
            </w:r>
            <w:r>
              <w:rPr>
                <w:rFonts w:ascii="Times New Roman" w:hAnsi="Times New Roman" w:eastAsia="宋体" w:cs="Times New Roman"/>
                <w:sz w:val="24"/>
              </w:rPr>
              <w:t>5</w:t>
            </w:r>
            <w:r>
              <w:rPr>
                <w:rFonts w:hint="eastAsia" w:ascii="Times New Roman" w:hAnsi="Times New Roman" w:eastAsia="宋体" w:cs="Times New Roman"/>
                <w:sz w:val="24"/>
              </w:rPr>
              <w:t>次，平时总评</w:t>
            </w:r>
            <w:r>
              <w:rPr>
                <w:rFonts w:ascii="Times New Roman" w:hAnsi="Times New Roman" w:eastAsia="宋体" w:cs="Times New Roman"/>
                <w:sz w:val="24"/>
              </w:rPr>
              <w:t>=作业平均—考勤扣分，旷课1次扣5分，事假一次扣2分，迟到1次扣1分，病假不扣分（但病假次数达本学期总授课学时的1/3以上者不得参加考核）。</w:t>
            </w:r>
          </w:p>
        </w:tc>
        <w:tc>
          <w:tcPr>
            <w:tcW w:w="0" w:type="auto"/>
            <w:vAlign w:val="center"/>
          </w:tcPr>
          <w:p w14:paraId="50E84E7D">
            <w:pPr>
              <w:jc w:val="center"/>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0%</w:t>
            </w:r>
          </w:p>
        </w:tc>
      </w:tr>
      <w:tr w14:paraId="66DD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EA8F36E">
            <w:pPr>
              <w:rPr>
                <w:rFonts w:ascii="Times New Roman" w:hAnsi="Times New Roman" w:eastAsia="宋体" w:cs="Times New Roman"/>
                <w:sz w:val="24"/>
              </w:rPr>
            </w:pPr>
            <w:r>
              <w:rPr>
                <w:rFonts w:hint="eastAsia" w:ascii="Times New Roman" w:hAnsi="Times New Roman" w:eastAsia="宋体" w:cs="Times New Roman"/>
                <w:sz w:val="24"/>
              </w:rPr>
              <w:t>课堂表现</w:t>
            </w:r>
          </w:p>
        </w:tc>
        <w:tc>
          <w:tcPr>
            <w:tcW w:w="6924" w:type="dxa"/>
            <w:vAlign w:val="center"/>
          </w:tcPr>
          <w:p w14:paraId="128FB1EF">
            <w:pPr>
              <w:widowControl/>
              <w:spacing w:line="264" w:lineRule="auto"/>
              <w:jc w:val="left"/>
              <w:rPr>
                <w:rFonts w:ascii="Times New Roman" w:hAnsi="Times New Roman" w:eastAsia="宋体" w:cs="Times New Roman"/>
                <w:sz w:val="24"/>
              </w:rPr>
            </w:pPr>
            <w:r>
              <w:rPr>
                <w:rFonts w:hint="eastAsia" w:ascii="宋体" w:hAnsi="宋体" w:eastAsia="宋体" w:cs="宋体"/>
                <w:color w:val="000000"/>
                <w:kern w:val="0"/>
                <w:sz w:val="24"/>
                <w:lang w:bidi="ar"/>
              </w:rPr>
              <w:t>课堂表现。</w:t>
            </w:r>
            <w:r>
              <w:rPr>
                <w:rFonts w:ascii="宋体" w:hAnsi="宋体" w:eastAsia="宋体" w:cs="宋体"/>
                <w:color w:val="000000"/>
                <w:kern w:val="0"/>
                <w:sz w:val="24"/>
                <w:lang w:bidi="ar"/>
              </w:rPr>
              <w:t>主要指课上教师随机提问、组织课堂讨论等，观察学生参与程度</w:t>
            </w:r>
            <w:r>
              <w:rPr>
                <w:rFonts w:hint="eastAsia" w:ascii="宋体" w:hAnsi="宋体" w:eastAsia="宋体" w:cs="宋体"/>
                <w:color w:val="000000"/>
                <w:kern w:val="0"/>
                <w:sz w:val="24"/>
                <w:lang w:bidi="ar"/>
              </w:rPr>
              <w:t>，</w:t>
            </w:r>
            <w:r>
              <w:rPr>
                <w:rFonts w:ascii="宋体" w:hAnsi="宋体" w:eastAsia="宋体" w:cs="宋体"/>
                <w:color w:val="000000"/>
                <w:kern w:val="0"/>
                <w:sz w:val="24"/>
                <w:lang w:bidi="ar"/>
              </w:rPr>
              <w:t>按照对应的课程目标及权重给予评定</w:t>
            </w:r>
            <w:r>
              <w:rPr>
                <w:rFonts w:hint="eastAsia" w:ascii="宋体" w:hAnsi="宋体" w:eastAsia="宋体" w:cs="宋体"/>
                <w:color w:val="000000"/>
                <w:kern w:val="0"/>
                <w:sz w:val="24"/>
                <w:lang w:bidi="ar"/>
              </w:rPr>
              <w:t>。</w:t>
            </w:r>
          </w:p>
        </w:tc>
        <w:tc>
          <w:tcPr>
            <w:tcW w:w="0" w:type="auto"/>
            <w:vAlign w:val="center"/>
          </w:tcPr>
          <w:p w14:paraId="2DA9D1AD">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129C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082CCC8">
            <w:pPr>
              <w:rPr>
                <w:rFonts w:ascii="Times New Roman" w:hAnsi="Times New Roman" w:eastAsia="宋体" w:cs="Times New Roman"/>
                <w:sz w:val="24"/>
              </w:rPr>
            </w:pPr>
            <w:r>
              <w:rPr>
                <w:rFonts w:hint="eastAsia" w:ascii="Times New Roman" w:hAnsi="Times New Roman" w:eastAsia="宋体" w:cs="Times New Roman"/>
                <w:sz w:val="24"/>
              </w:rPr>
              <w:t>课内实践</w:t>
            </w:r>
          </w:p>
        </w:tc>
        <w:tc>
          <w:tcPr>
            <w:tcW w:w="6924" w:type="dxa"/>
            <w:vAlign w:val="center"/>
          </w:tcPr>
          <w:p w14:paraId="14F70B1F">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认真完成</w:t>
            </w:r>
            <w:r>
              <w:rPr>
                <w:rFonts w:ascii="宋体" w:hAnsi="宋体" w:eastAsia="宋体" w:cs="宋体"/>
                <w:color w:val="000000"/>
                <w:kern w:val="0"/>
                <w:sz w:val="24"/>
                <w:lang w:bidi="ar"/>
              </w:rPr>
              <w:t>4个项目的课内实践，提交相应的教材教学</w:t>
            </w:r>
            <w:r>
              <w:rPr>
                <w:rFonts w:hint="eastAsia" w:ascii="宋体" w:hAnsi="宋体" w:eastAsia="宋体" w:cs="宋体"/>
                <w:color w:val="000000"/>
                <w:kern w:val="0"/>
                <w:sz w:val="24"/>
                <w:lang w:bidi="ar"/>
              </w:rPr>
              <w:t>设计</w:t>
            </w:r>
            <w:r>
              <w:rPr>
                <w:rFonts w:ascii="宋体" w:hAnsi="宋体" w:eastAsia="宋体" w:cs="宋体"/>
                <w:color w:val="000000"/>
                <w:kern w:val="0"/>
                <w:sz w:val="24"/>
                <w:lang w:bidi="ar"/>
              </w:rPr>
              <w:t>，并尝试进行模拟教学；实行组内互评与教师评价相结合的方式。4个项目成绩取平均分作为课内实践分。</w:t>
            </w:r>
          </w:p>
        </w:tc>
        <w:tc>
          <w:tcPr>
            <w:tcW w:w="0" w:type="auto"/>
            <w:vAlign w:val="center"/>
          </w:tcPr>
          <w:p w14:paraId="64725E67">
            <w:pPr>
              <w:jc w:val="center"/>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0%</w:t>
            </w:r>
          </w:p>
        </w:tc>
      </w:tr>
      <w:tr w14:paraId="1EA9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BDFC98A">
            <w:pPr>
              <w:rPr>
                <w:rFonts w:ascii="Times New Roman" w:hAnsi="Times New Roman" w:eastAsia="宋体" w:cs="Times New Roman"/>
                <w:sz w:val="24"/>
              </w:rPr>
            </w:pPr>
            <w:r>
              <w:rPr>
                <w:rFonts w:hint="eastAsia" w:ascii="Times New Roman" w:hAnsi="Times New Roman" w:eastAsia="宋体" w:cs="Times New Roman"/>
                <w:sz w:val="24"/>
              </w:rPr>
              <w:t>期末考试</w:t>
            </w:r>
          </w:p>
        </w:tc>
        <w:tc>
          <w:tcPr>
            <w:tcW w:w="6924" w:type="dxa"/>
            <w:vAlign w:val="center"/>
          </w:tcPr>
          <w:p w14:paraId="73437C56">
            <w:pPr>
              <w:spacing w:line="264" w:lineRule="auto"/>
              <w:jc w:val="left"/>
              <w:rPr>
                <w:rFonts w:ascii="Times New Roman" w:hAnsi="Times New Roman" w:eastAsia="宋体" w:cs="Times New Roman"/>
                <w:sz w:val="24"/>
              </w:rPr>
            </w:pPr>
            <w:r>
              <w:rPr>
                <w:rFonts w:hint="eastAsia" w:ascii="Times New Roman" w:hAnsi="Times New Roman" w:eastAsia="宋体" w:cs="Times New Roman"/>
                <w:color w:val="000000"/>
                <w:sz w:val="24"/>
              </w:rPr>
              <w:t>试卷题型包括选择题、简答题、论述题、设计题等题型，一方面考核师范生小学数学教学设计知识的掌握情况，另一方面考核师范生进行数学</w:t>
            </w:r>
            <w:r>
              <w:rPr>
                <w:rFonts w:ascii="Times New Roman" w:hAnsi="Times New Roman" w:eastAsia="宋体" w:cs="Times New Roman"/>
                <w:color w:val="000000"/>
                <w:sz w:val="24"/>
              </w:rPr>
              <w:t>教学</w:t>
            </w:r>
            <w:r>
              <w:rPr>
                <w:rFonts w:hint="eastAsia" w:ascii="Times New Roman" w:hAnsi="Times New Roman" w:eastAsia="宋体" w:cs="Times New Roman"/>
                <w:color w:val="000000"/>
                <w:sz w:val="24"/>
              </w:rPr>
              <w:t>的能力</w:t>
            </w:r>
            <w:r>
              <w:rPr>
                <w:rFonts w:ascii="Times New Roman" w:hAnsi="Times New Roman" w:eastAsia="宋体" w:cs="Times New Roman"/>
                <w:color w:val="000000"/>
                <w:sz w:val="24"/>
              </w:rPr>
              <w:t>。</w:t>
            </w:r>
          </w:p>
        </w:tc>
        <w:tc>
          <w:tcPr>
            <w:tcW w:w="0" w:type="auto"/>
            <w:vAlign w:val="center"/>
          </w:tcPr>
          <w:p w14:paraId="7F05DAD6">
            <w:pPr>
              <w:jc w:val="center"/>
              <w:rPr>
                <w:rFonts w:ascii="Times New Roman" w:hAnsi="Times New Roman" w:eastAsia="宋体" w:cs="Times New Roman"/>
                <w:sz w:val="24"/>
              </w:rPr>
            </w:pPr>
            <w:r>
              <w:rPr>
                <w:rFonts w:hint="eastAsia" w:ascii="Times New Roman" w:hAnsi="Times New Roman" w:eastAsia="宋体" w:cs="Times New Roman"/>
                <w:sz w:val="24"/>
              </w:rPr>
              <w:t>50%</w:t>
            </w:r>
          </w:p>
        </w:tc>
      </w:tr>
      <w:tr w14:paraId="40A0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DAEF786">
            <w:pPr>
              <w:jc w:val="center"/>
              <w:rPr>
                <w:rFonts w:ascii="Times New Roman" w:hAnsi="Times New Roman" w:eastAsia="宋体" w:cs="Times New Roman"/>
                <w:b/>
                <w:bCs/>
                <w:sz w:val="24"/>
              </w:rPr>
            </w:pPr>
            <w:r>
              <w:rPr>
                <w:rFonts w:hint="eastAsia" w:ascii="Times New Roman" w:hAnsi="Times New Roman" w:eastAsia="宋体" w:cs="Times New Roman"/>
                <w:b/>
                <w:bCs/>
                <w:sz w:val="24"/>
              </w:rPr>
              <w:t>合计</w:t>
            </w:r>
          </w:p>
        </w:tc>
        <w:tc>
          <w:tcPr>
            <w:tcW w:w="0" w:type="auto"/>
            <w:vAlign w:val="center"/>
          </w:tcPr>
          <w:p w14:paraId="1C5AB0F0">
            <w:pPr>
              <w:jc w:val="left"/>
              <w:rPr>
                <w:rFonts w:ascii="Times New Roman" w:hAnsi="Times New Roman" w:eastAsia="宋体" w:cs="Times New Roman"/>
                <w:sz w:val="24"/>
              </w:rPr>
            </w:pPr>
          </w:p>
        </w:tc>
        <w:tc>
          <w:tcPr>
            <w:tcW w:w="0" w:type="auto"/>
            <w:vAlign w:val="center"/>
          </w:tcPr>
          <w:p w14:paraId="5E42B82F">
            <w:pPr>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73847745">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（三）课程目标达成度计算方法</w:t>
      </w:r>
    </w:p>
    <w:p w14:paraId="3BE080D0">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2EBA7106">
      <w:pPr>
        <w:spacing w:before="156" w:beforeLines="50"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object>
          <v:shape id="_x0000_i1064"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64" DrawAspect="Content" ObjectID="_1468075764" r:id="rId50">
            <o:LockedField>false</o:LockedField>
          </o:OLEObject>
        </w:object>
      </w:r>
    </w:p>
    <w:p w14:paraId="418EB544">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课内实践</w:t>
      </w:r>
    </w:p>
    <w:p w14:paraId="1ACCD37D">
      <w:pPr>
        <w:spacing w:after="156" w:afterLines="50" w:line="360" w:lineRule="auto"/>
        <w:ind w:firstLine="480" w:firstLineChars="200"/>
        <w:rPr>
          <w:rFonts w:hint="eastAsia" w:ascii="宋体" w:hAnsi="宋体" w:eastAsia="宋体"/>
          <w:sz w:val="24"/>
        </w:rPr>
      </w:pPr>
      <w:r>
        <w:rPr>
          <w:rFonts w:hint="eastAsia" w:ascii="宋体" w:hAnsi="宋体" w:eastAsia="宋体"/>
          <w:sz w:val="24"/>
        </w:rPr>
        <w:t>本课程在理论教学的基础上，安排了4个课内实践项目（共</w:t>
      </w:r>
      <w:r>
        <w:rPr>
          <w:rFonts w:ascii="宋体" w:hAnsi="宋体" w:eastAsia="宋体"/>
          <w:sz w:val="24"/>
        </w:rPr>
        <w:t>16</w:t>
      </w:r>
      <w:r>
        <w:rPr>
          <w:rFonts w:hint="eastAsia" w:ascii="宋体" w:hAnsi="宋体" w:eastAsia="宋体"/>
          <w:sz w:val="24"/>
        </w:rPr>
        <w:t>学时），体现了理论与实践的结合，强化对学生的课程思政。</w:t>
      </w:r>
    </w:p>
    <w:p w14:paraId="3EDA1776">
      <w:pPr>
        <w:spacing w:line="276" w:lineRule="auto"/>
        <w:ind w:firstLine="482" w:firstLineChars="200"/>
        <w:jc w:val="center"/>
        <w:rPr>
          <w:rFonts w:hint="eastAsia" w:ascii="宋体" w:hAnsi="宋体" w:eastAsia="宋体" w:cs="宋体"/>
          <w:b/>
          <w:bCs/>
          <w:sz w:val="24"/>
        </w:rPr>
      </w:pPr>
      <w:r>
        <w:rPr>
          <w:rFonts w:hint="eastAsia" w:ascii="宋体" w:hAnsi="宋体" w:eastAsia="宋体" w:cs="宋体"/>
          <w:b/>
          <w:bCs/>
          <w:sz w:val="24"/>
        </w:rPr>
        <w:t>过程学习及考核与思政教育</w:t>
      </w:r>
    </w:p>
    <w:tbl>
      <w:tblPr>
        <w:tblStyle w:val="2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2902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4FC2D46C">
            <w:pPr>
              <w:spacing w:line="240" w:lineRule="exact"/>
              <w:jc w:val="center"/>
              <w:rPr>
                <w:rFonts w:hint="eastAsia" w:ascii="宋体" w:hAnsi="宋体" w:eastAsia="宋体" w:cs="宋体"/>
                <w:b/>
                <w:bCs/>
                <w:sz w:val="24"/>
              </w:rPr>
            </w:pPr>
            <w:r>
              <w:rPr>
                <w:rFonts w:hint="eastAsia" w:ascii="宋体" w:hAnsi="宋体" w:eastAsia="宋体" w:cs="宋体"/>
                <w:b/>
                <w:bCs/>
                <w:sz w:val="24"/>
              </w:rPr>
              <w:t>活动主题</w:t>
            </w:r>
          </w:p>
        </w:tc>
        <w:tc>
          <w:tcPr>
            <w:tcW w:w="3407" w:type="dxa"/>
            <w:vAlign w:val="center"/>
          </w:tcPr>
          <w:p w14:paraId="005C02D0">
            <w:pPr>
              <w:spacing w:line="240" w:lineRule="exact"/>
              <w:jc w:val="center"/>
              <w:rPr>
                <w:rFonts w:hint="eastAsia" w:ascii="宋体" w:hAnsi="宋体" w:eastAsia="宋体" w:cs="宋体"/>
                <w:b/>
                <w:bCs/>
                <w:sz w:val="24"/>
              </w:rPr>
            </w:pPr>
            <w:r>
              <w:rPr>
                <w:rFonts w:hint="eastAsia" w:ascii="宋体" w:hAnsi="宋体" w:eastAsia="宋体" w:cs="宋体"/>
                <w:b/>
                <w:bCs/>
                <w:sz w:val="24"/>
              </w:rPr>
              <w:t>活动内容</w:t>
            </w:r>
          </w:p>
        </w:tc>
        <w:tc>
          <w:tcPr>
            <w:tcW w:w="740" w:type="dxa"/>
            <w:vAlign w:val="center"/>
          </w:tcPr>
          <w:p w14:paraId="64E4954A">
            <w:pPr>
              <w:spacing w:line="240" w:lineRule="exact"/>
              <w:jc w:val="center"/>
              <w:rPr>
                <w:rFonts w:hint="eastAsia" w:ascii="宋体" w:hAnsi="宋体" w:eastAsia="宋体" w:cs="宋体"/>
                <w:b/>
                <w:bCs/>
                <w:sz w:val="24"/>
              </w:rPr>
            </w:pPr>
            <w:r>
              <w:rPr>
                <w:rFonts w:hint="eastAsia" w:ascii="宋体" w:hAnsi="宋体" w:eastAsia="宋体" w:cs="宋体"/>
                <w:b/>
                <w:bCs/>
                <w:sz w:val="24"/>
              </w:rPr>
              <w:t>活动方式</w:t>
            </w:r>
          </w:p>
        </w:tc>
        <w:tc>
          <w:tcPr>
            <w:tcW w:w="3160" w:type="dxa"/>
            <w:vAlign w:val="center"/>
          </w:tcPr>
          <w:p w14:paraId="30402CC6">
            <w:pPr>
              <w:spacing w:line="240" w:lineRule="exact"/>
              <w:jc w:val="center"/>
              <w:rPr>
                <w:rFonts w:hint="eastAsia" w:ascii="宋体" w:hAnsi="宋体" w:eastAsia="宋体" w:cs="宋体"/>
                <w:b/>
                <w:bCs/>
                <w:sz w:val="24"/>
              </w:rPr>
            </w:pPr>
            <w:r>
              <w:rPr>
                <w:rFonts w:hint="eastAsia" w:ascii="宋体" w:hAnsi="宋体" w:eastAsia="宋体" w:cs="宋体"/>
                <w:b/>
                <w:bCs/>
                <w:sz w:val="24"/>
              </w:rPr>
              <w:t>思政目标</w:t>
            </w:r>
          </w:p>
        </w:tc>
      </w:tr>
      <w:tr w14:paraId="3AD4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EB245D3">
            <w:pPr>
              <w:rPr>
                <w:rFonts w:hint="eastAsia" w:ascii="宋体" w:hAnsi="宋体" w:eastAsia="宋体" w:cs="Times New Roman"/>
                <w:sz w:val="24"/>
              </w:rPr>
            </w:pPr>
            <w:r>
              <w:rPr>
                <w:rFonts w:hint="eastAsia" w:ascii="宋体" w:hAnsi="宋体" w:eastAsia="宋体" w:cs="Times New Roman"/>
                <w:sz w:val="24"/>
              </w:rPr>
              <w:t>“数与代数”教材教学设计与模拟教学</w:t>
            </w:r>
          </w:p>
        </w:tc>
        <w:tc>
          <w:tcPr>
            <w:tcW w:w="3407" w:type="dxa"/>
            <w:vAlign w:val="center"/>
          </w:tcPr>
          <w:p w14:paraId="782DA06B">
            <w:pPr>
              <w:rPr>
                <w:rFonts w:hint="eastAsia" w:ascii="宋体" w:hAnsi="宋体" w:eastAsia="宋体" w:cs="Times New Roman"/>
                <w:sz w:val="24"/>
              </w:rPr>
            </w:pPr>
            <w:r>
              <w:rPr>
                <w:rFonts w:hint="eastAsia" w:ascii="宋体" w:hAnsi="宋体" w:eastAsia="宋体" w:cs="Times New Roman"/>
                <w:sz w:val="24"/>
              </w:rPr>
              <w:t>选择一个“数与代数”领域的内容，深入钻研教材，撰写一份教学方案，并进行模拟教学。</w:t>
            </w:r>
          </w:p>
        </w:tc>
        <w:tc>
          <w:tcPr>
            <w:tcW w:w="740" w:type="dxa"/>
            <w:vAlign w:val="center"/>
          </w:tcPr>
          <w:p w14:paraId="097010E0">
            <w:pPr>
              <w:spacing w:line="276" w:lineRule="auto"/>
              <w:jc w:val="center"/>
              <w:rPr>
                <w:rFonts w:hint="eastAsia" w:ascii="宋体" w:hAnsi="宋体" w:eastAsia="宋体" w:cs="宋体"/>
                <w:sz w:val="24"/>
              </w:rPr>
            </w:pPr>
            <w:r>
              <w:rPr>
                <w:rFonts w:hint="eastAsia" w:ascii="宋体" w:hAnsi="宋体" w:eastAsia="宋体" w:cs="宋体"/>
                <w:sz w:val="24"/>
              </w:rPr>
              <w:t>设计</w:t>
            </w:r>
          </w:p>
          <w:p w14:paraId="2B441959">
            <w:pPr>
              <w:spacing w:line="276" w:lineRule="auto"/>
              <w:jc w:val="center"/>
              <w:rPr>
                <w:rFonts w:hint="eastAsia" w:ascii="宋体" w:hAnsi="宋体" w:eastAsia="宋体" w:cs="宋体"/>
                <w:sz w:val="24"/>
              </w:rPr>
            </w:pPr>
            <w:r>
              <w:rPr>
                <w:rFonts w:hint="eastAsia" w:ascii="宋体" w:hAnsi="宋体" w:eastAsia="宋体" w:cs="宋体"/>
                <w:sz w:val="24"/>
              </w:rPr>
              <w:t>教学</w:t>
            </w:r>
          </w:p>
        </w:tc>
        <w:tc>
          <w:tcPr>
            <w:tcW w:w="3160" w:type="dxa"/>
          </w:tcPr>
          <w:p w14:paraId="6E8D391B">
            <w:pPr>
              <w:rPr>
                <w:rFonts w:hint="eastAsia" w:ascii="宋体" w:hAnsi="宋体" w:eastAsia="宋体" w:cs="Times New Roman"/>
                <w:sz w:val="24"/>
              </w:rPr>
            </w:pPr>
            <w:r>
              <w:rPr>
                <w:rFonts w:hint="eastAsia" w:ascii="宋体" w:hAnsi="宋体" w:eastAsia="宋体" w:cs="Times New Roman"/>
                <w:sz w:val="24"/>
              </w:rPr>
              <w:t>能根据全面育人的思想进行具体的“数与代数”教学设计。养成科学、严谨的教学态度，增强教学自信心。</w:t>
            </w:r>
          </w:p>
        </w:tc>
      </w:tr>
      <w:tr w14:paraId="3969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0C5CC01A">
            <w:pPr>
              <w:rPr>
                <w:rFonts w:hint="eastAsia" w:ascii="宋体" w:hAnsi="宋体" w:eastAsia="宋体" w:cs="Times New Roman"/>
                <w:sz w:val="24"/>
              </w:rPr>
            </w:pPr>
            <w:r>
              <w:rPr>
                <w:rFonts w:hint="eastAsia" w:ascii="宋体" w:hAnsi="宋体" w:eastAsia="宋体" w:cs="Times New Roman"/>
                <w:sz w:val="24"/>
              </w:rPr>
              <w:t>“图形与几何”教材教学设计与模拟教学</w:t>
            </w:r>
          </w:p>
        </w:tc>
        <w:tc>
          <w:tcPr>
            <w:tcW w:w="3407" w:type="dxa"/>
            <w:vAlign w:val="center"/>
          </w:tcPr>
          <w:p w14:paraId="5D4264AF">
            <w:pPr>
              <w:rPr>
                <w:rFonts w:hint="eastAsia" w:ascii="宋体" w:hAnsi="宋体" w:eastAsia="宋体" w:cs="Times New Roman"/>
                <w:sz w:val="24"/>
              </w:rPr>
            </w:pPr>
            <w:r>
              <w:rPr>
                <w:rFonts w:hint="eastAsia" w:ascii="宋体" w:hAnsi="宋体" w:eastAsia="宋体" w:cs="Times New Roman"/>
                <w:sz w:val="24"/>
              </w:rPr>
              <w:t>选择一个“图形与几何”领域的内容，深入钻研教材，撰写一份教学方案，并进行模拟教学。</w:t>
            </w:r>
          </w:p>
        </w:tc>
        <w:tc>
          <w:tcPr>
            <w:tcW w:w="740" w:type="dxa"/>
            <w:vAlign w:val="center"/>
          </w:tcPr>
          <w:p w14:paraId="571D731A">
            <w:pPr>
              <w:spacing w:line="276" w:lineRule="auto"/>
              <w:jc w:val="center"/>
              <w:rPr>
                <w:rFonts w:hint="eastAsia" w:ascii="宋体" w:hAnsi="宋体" w:eastAsia="宋体" w:cs="宋体"/>
                <w:sz w:val="24"/>
              </w:rPr>
            </w:pPr>
            <w:r>
              <w:rPr>
                <w:rFonts w:hint="eastAsia" w:ascii="宋体" w:hAnsi="宋体" w:eastAsia="宋体" w:cs="宋体"/>
                <w:sz w:val="24"/>
              </w:rPr>
              <w:t>设计</w:t>
            </w:r>
          </w:p>
          <w:p w14:paraId="1FD58B02">
            <w:pPr>
              <w:spacing w:line="276" w:lineRule="auto"/>
              <w:jc w:val="center"/>
              <w:rPr>
                <w:rFonts w:hint="eastAsia" w:ascii="宋体" w:hAnsi="宋体" w:eastAsia="宋体" w:cs="宋体"/>
                <w:sz w:val="24"/>
              </w:rPr>
            </w:pPr>
            <w:r>
              <w:rPr>
                <w:rFonts w:hint="eastAsia" w:ascii="宋体" w:hAnsi="宋体" w:eastAsia="宋体" w:cs="宋体"/>
                <w:sz w:val="24"/>
              </w:rPr>
              <w:t>教学</w:t>
            </w:r>
          </w:p>
        </w:tc>
        <w:tc>
          <w:tcPr>
            <w:tcW w:w="3160" w:type="dxa"/>
          </w:tcPr>
          <w:p w14:paraId="5E42880B">
            <w:pPr>
              <w:rPr>
                <w:rFonts w:hint="eastAsia" w:ascii="宋体" w:hAnsi="宋体" w:eastAsia="宋体" w:cs="Times New Roman"/>
                <w:sz w:val="24"/>
              </w:rPr>
            </w:pPr>
            <w:r>
              <w:rPr>
                <w:rFonts w:hint="eastAsia" w:ascii="宋体" w:hAnsi="宋体" w:eastAsia="宋体" w:cs="Times New Roman"/>
                <w:sz w:val="24"/>
              </w:rPr>
              <w:t>能根据全面育人的思想进行具体的“图形与几何”教学设计。养成科学、严谨的教学态度，增强教学自信心。</w:t>
            </w:r>
          </w:p>
        </w:tc>
      </w:tr>
      <w:tr w14:paraId="1025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0349FCD">
            <w:pPr>
              <w:rPr>
                <w:rFonts w:hint="eastAsia" w:ascii="宋体" w:hAnsi="宋体" w:eastAsia="宋体" w:cs="Times New Roman"/>
                <w:sz w:val="24"/>
              </w:rPr>
            </w:pPr>
            <w:r>
              <w:rPr>
                <w:rFonts w:hint="eastAsia" w:ascii="宋体" w:hAnsi="宋体" w:eastAsia="宋体" w:cs="Times New Roman"/>
                <w:sz w:val="24"/>
              </w:rPr>
              <w:t>“统计与概率”教材教学设计与模拟教学</w:t>
            </w:r>
          </w:p>
        </w:tc>
        <w:tc>
          <w:tcPr>
            <w:tcW w:w="3407" w:type="dxa"/>
            <w:vAlign w:val="center"/>
          </w:tcPr>
          <w:p w14:paraId="6DE34F8A">
            <w:pPr>
              <w:rPr>
                <w:rFonts w:hint="eastAsia" w:ascii="宋体" w:hAnsi="宋体" w:eastAsia="宋体" w:cs="Times New Roman"/>
                <w:sz w:val="24"/>
              </w:rPr>
            </w:pPr>
            <w:r>
              <w:rPr>
                <w:rFonts w:hint="eastAsia" w:ascii="宋体" w:hAnsi="宋体" w:eastAsia="宋体" w:cs="Times New Roman"/>
                <w:sz w:val="24"/>
              </w:rPr>
              <w:t>选择一个“统计与概率”领域的内容，深入钻研教材，撰写一份教学方案，并进行模拟教学。</w:t>
            </w:r>
          </w:p>
        </w:tc>
        <w:tc>
          <w:tcPr>
            <w:tcW w:w="740" w:type="dxa"/>
            <w:vAlign w:val="center"/>
          </w:tcPr>
          <w:p w14:paraId="446F59B1">
            <w:pPr>
              <w:spacing w:line="276" w:lineRule="auto"/>
              <w:jc w:val="center"/>
              <w:rPr>
                <w:rFonts w:hint="eastAsia" w:ascii="宋体" w:hAnsi="宋体" w:eastAsia="宋体" w:cs="宋体"/>
                <w:sz w:val="24"/>
              </w:rPr>
            </w:pPr>
            <w:r>
              <w:rPr>
                <w:rFonts w:hint="eastAsia" w:ascii="宋体" w:hAnsi="宋体" w:eastAsia="宋体" w:cs="宋体"/>
                <w:sz w:val="24"/>
              </w:rPr>
              <w:t>设计</w:t>
            </w:r>
          </w:p>
          <w:p w14:paraId="7ED0BF2D">
            <w:pPr>
              <w:spacing w:line="276" w:lineRule="auto"/>
              <w:jc w:val="center"/>
              <w:rPr>
                <w:rFonts w:hint="eastAsia" w:ascii="宋体" w:hAnsi="宋体" w:eastAsia="宋体" w:cs="宋体"/>
                <w:sz w:val="24"/>
              </w:rPr>
            </w:pPr>
            <w:r>
              <w:rPr>
                <w:rFonts w:hint="eastAsia" w:ascii="宋体" w:hAnsi="宋体" w:eastAsia="宋体" w:cs="宋体"/>
                <w:sz w:val="24"/>
              </w:rPr>
              <w:t>教学</w:t>
            </w:r>
          </w:p>
        </w:tc>
        <w:tc>
          <w:tcPr>
            <w:tcW w:w="3160" w:type="dxa"/>
          </w:tcPr>
          <w:p w14:paraId="2943266C">
            <w:pPr>
              <w:rPr>
                <w:rFonts w:hint="eastAsia" w:ascii="宋体" w:hAnsi="宋体" w:eastAsia="宋体" w:cs="Times New Roman"/>
                <w:sz w:val="24"/>
              </w:rPr>
            </w:pPr>
            <w:r>
              <w:rPr>
                <w:rFonts w:hint="eastAsia" w:ascii="宋体" w:hAnsi="宋体" w:eastAsia="宋体" w:cs="Times New Roman"/>
                <w:sz w:val="24"/>
              </w:rPr>
              <w:t>能根据全面育人的思想进行具体的“统计与概率”教学设计。养成科学、严谨的教学态度，增强教学自信心。</w:t>
            </w:r>
          </w:p>
        </w:tc>
      </w:tr>
      <w:tr w14:paraId="5E47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1462E07A">
            <w:pPr>
              <w:jc w:val="center"/>
              <w:rPr>
                <w:rFonts w:hint="eastAsia" w:ascii="宋体" w:hAnsi="宋体" w:eastAsia="宋体" w:cs="Times New Roman"/>
                <w:sz w:val="24"/>
              </w:rPr>
            </w:pPr>
            <w:r>
              <w:rPr>
                <w:rFonts w:hint="eastAsia" w:ascii="宋体" w:hAnsi="宋体" w:eastAsia="宋体" w:cs="Times New Roman"/>
                <w:sz w:val="24"/>
              </w:rPr>
              <w:t>“综合与实践”教材教学设计与模拟教学</w:t>
            </w:r>
          </w:p>
        </w:tc>
        <w:tc>
          <w:tcPr>
            <w:tcW w:w="3407" w:type="dxa"/>
            <w:vAlign w:val="center"/>
          </w:tcPr>
          <w:p w14:paraId="304A6889">
            <w:pPr>
              <w:rPr>
                <w:rFonts w:hint="eastAsia" w:ascii="宋体" w:hAnsi="宋体" w:eastAsia="宋体" w:cs="Times New Roman"/>
                <w:sz w:val="24"/>
              </w:rPr>
            </w:pPr>
            <w:r>
              <w:rPr>
                <w:rFonts w:hint="eastAsia" w:ascii="宋体" w:hAnsi="宋体" w:eastAsia="宋体" w:cs="Times New Roman"/>
                <w:sz w:val="24"/>
              </w:rPr>
              <w:t>选择一个“综合与实践”领域的内容，深入钻研教材，撰写一份教学方案，并进行模拟教学。</w:t>
            </w:r>
          </w:p>
        </w:tc>
        <w:tc>
          <w:tcPr>
            <w:tcW w:w="740" w:type="dxa"/>
            <w:vAlign w:val="center"/>
          </w:tcPr>
          <w:p w14:paraId="31991CCC">
            <w:pPr>
              <w:spacing w:line="276" w:lineRule="auto"/>
              <w:jc w:val="center"/>
              <w:rPr>
                <w:rFonts w:hint="eastAsia" w:ascii="宋体" w:hAnsi="宋体" w:eastAsia="宋体" w:cs="宋体"/>
                <w:sz w:val="24"/>
              </w:rPr>
            </w:pPr>
            <w:r>
              <w:rPr>
                <w:rFonts w:hint="eastAsia" w:ascii="宋体" w:hAnsi="宋体" w:eastAsia="宋体" w:cs="宋体"/>
                <w:sz w:val="24"/>
              </w:rPr>
              <w:t>设计</w:t>
            </w:r>
          </w:p>
          <w:p w14:paraId="59F28D75">
            <w:pPr>
              <w:spacing w:line="276" w:lineRule="auto"/>
              <w:jc w:val="center"/>
              <w:rPr>
                <w:rFonts w:hint="eastAsia" w:ascii="宋体" w:hAnsi="宋体" w:eastAsia="宋体" w:cs="宋体"/>
                <w:sz w:val="24"/>
              </w:rPr>
            </w:pPr>
            <w:r>
              <w:rPr>
                <w:rFonts w:hint="eastAsia" w:ascii="宋体" w:hAnsi="宋体" w:eastAsia="宋体" w:cs="宋体"/>
                <w:sz w:val="24"/>
              </w:rPr>
              <w:t>教学</w:t>
            </w:r>
          </w:p>
        </w:tc>
        <w:tc>
          <w:tcPr>
            <w:tcW w:w="3160" w:type="dxa"/>
            <w:vAlign w:val="center"/>
          </w:tcPr>
          <w:p w14:paraId="4929A90E">
            <w:pPr>
              <w:spacing w:line="276" w:lineRule="auto"/>
              <w:jc w:val="left"/>
              <w:rPr>
                <w:rFonts w:hint="eastAsia" w:ascii="宋体" w:hAnsi="宋体" w:eastAsia="宋体" w:cs="宋体"/>
                <w:sz w:val="24"/>
              </w:rPr>
            </w:pPr>
            <w:r>
              <w:rPr>
                <w:rFonts w:hint="eastAsia" w:ascii="宋体" w:hAnsi="宋体" w:eastAsia="宋体" w:cs="宋体"/>
                <w:sz w:val="24"/>
              </w:rPr>
              <w:t>能根据全面育人的思想进行具体的“综合与实践”教学设计。</w:t>
            </w:r>
            <w:r>
              <w:rPr>
                <w:rFonts w:hint="eastAsia" w:ascii="宋体" w:hAnsi="宋体" w:eastAsia="宋体" w:cs="Times New Roman"/>
                <w:sz w:val="24"/>
              </w:rPr>
              <w:t>养成科学、严谨的教学态度，增强教学自信心。</w:t>
            </w:r>
          </w:p>
        </w:tc>
      </w:tr>
    </w:tbl>
    <w:p w14:paraId="722D2EF5">
      <w:pPr>
        <w:spacing w:line="360" w:lineRule="auto"/>
        <w:ind w:firstLine="472" w:firstLineChars="196"/>
        <w:jc w:val="left"/>
        <w:rPr>
          <w:rFonts w:hint="eastAsia" w:ascii="宋体" w:hAnsi="宋体" w:eastAsia="宋体" w:cs="Times New Roman"/>
          <w:b/>
          <w:color w:val="000000"/>
          <w:sz w:val="24"/>
        </w:rPr>
      </w:pPr>
    </w:p>
    <w:p w14:paraId="4A6F596D">
      <w:pPr>
        <w:spacing w:line="360" w:lineRule="auto"/>
        <w:jc w:val="left"/>
        <w:rPr>
          <w:rFonts w:ascii="Times New Roman" w:hAnsi="Times New Roman" w:eastAsia="宋体" w:cs="Times New Roman"/>
          <w:b/>
          <w:bCs/>
          <w:sz w:val="28"/>
          <w:szCs w:val="28"/>
        </w:rPr>
      </w:pPr>
      <w:r>
        <w:rPr>
          <w:rFonts w:hint="eastAsia" w:ascii="宋体" w:hAnsi="宋体" w:eastAsia="宋体" w:cs="Times New Roman"/>
          <w:b/>
          <w:color w:val="000000"/>
          <w:sz w:val="28"/>
          <w:szCs w:val="28"/>
        </w:rPr>
        <w:t>六、有关说明</w:t>
      </w:r>
    </w:p>
    <w:p w14:paraId="2CC67E25">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55E21939">
      <w:pPr>
        <w:spacing w:line="360" w:lineRule="auto"/>
        <w:ind w:firstLine="360" w:firstLineChars="150"/>
        <w:jc w:val="left"/>
        <w:rPr>
          <w:rFonts w:ascii="Times New Roman" w:hAnsi="Times New Roman" w:eastAsia="宋体" w:cs="Times New Roman"/>
          <w:b/>
          <w:sz w:val="24"/>
        </w:rPr>
      </w:pPr>
      <w:r>
        <w:rPr>
          <w:rFonts w:hint="eastAsia" w:ascii="Times New Roman" w:hAnsi="Times New Roman" w:eastAsia="宋体" w:cs="Times New Roman"/>
          <w:sz w:val="24"/>
        </w:rPr>
        <w:t>本课程根据学生作业、课堂讨论、实践环节和学生、教学督导等的反馈，及时对教学中的不足之处进行改进，并在下一轮课程教学中整改完善，确保相应毕业要求指标点达成。</w:t>
      </w:r>
      <w:r>
        <w:rPr>
          <w:rFonts w:hint="eastAsia" w:ascii="Times New Roman" w:hAnsi="Times New Roman" w:eastAsia="宋体" w:cs="Times New Roman"/>
          <w:b/>
          <w:sz w:val="24"/>
        </w:rPr>
        <w:t>（二）建议教材</w:t>
      </w:r>
    </w:p>
    <w:p w14:paraId="5DEE79FE">
      <w:pPr>
        <w:spacing w:line="360" w:lineRule="auto"/>
        <w:ind w:firstLine="600" w:firstLineChars="250"/>
        <w:jc w:val="left"/>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沈丹丹,杨宏</w:t>
      </w:r>
      <w:r>
        <w:rPr>
          <w:rFonts w:ascii="Times New Roman" w:hAnsi="Times New Roman" w:eastAsia="宋体" w:cs="Times New Roman"/>
          <w:bCs/>
          <w:color w:val="000000"/>
          <w:sz w:val="24"/>
        </w:rPr>
        <w:t>.小学数学教学设计与案例分析</w:t>
      </w:r>
      <w:r>
        <w:rPr>
          <w:rFonts w:hint="eastAsia" w:ascii="Times New Roman" w:hAnsi="Times New Roman" w:eastAsia="宋体" w:cs="Times New Roman"/>
          <w:bCs/>
          <w:color w:val="000000"/>
          <w:sz w:val="24"/>
        </w:rPr>
        <w:t>（第二版）</w:t>
      </w:r>
      <w:r>
        <w:rPr>
          <w:rFonts w:ascii="Times New Roman" w:hAnsi="Times New Roman" w:eastAsia="宋体" w:cs="Times New Roman"/>
          <w:bCs/>
          <w:color w:val="000000"/>
          <w:sz w:val="24"/>
        </w:rPr>
        <w:t>.北京：中国人民大学出版社，2023.</w:t>
      </w:r>
    </w:p>
    <w:p w14:paraId="20CB00C2">
      <w:pPr>
        <w:spacing w:line="360" w:lineRule="auto"/>
        <w:ind w:firstLine="602" w:firstLineChars="250"/>
        <w:jc w:val="left"/>
        <w:rPr>
          <w:rFonts w:ascii="Times New Roman" w:hAnsi="Times New Roman" w:eastAsia="宋体" w:cs="Times New Roman"/>
          <w:b/>
          <w:sz w:val="24"/>
        </w:rPr>
      </w:pPr>
      <w:r>
        <w:rPr>
          <w:rFonts w:hint="eastAsia" w:ascii="Times New Roman" w:hAnsi="Times New Roman" w:eastAsia="宋体" w:cs="Times New Roman"/>
          <w:b/>
          <w:sz w:val="24"/>
        </w:rPr>
        <w:t>（三）参考书目</w:t>
      </w:r>
    </w:p>
    <w:p w14:paraId="26E8D324">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w:t>
      </w:r>
      <w:r>
        <w:rPr>
          <w:rFonts w:hint="eastAsia" w:ascii="宋体" w:hAnsi="宋体" w:eastAsia="宋体" w:cs="Times New Roman"/>
          <w:sz w:val="24"/>
        </w:rPr>
        <w:t>教育部.义务教育</w:t>
      </w:r>
      <w:r>
        <w:rPr>
          <w:rFonts w:ascii="宋体" w:hAnsi="宋体" w:eastAsia="宋体" w:cs="Times New Roman"/>
          <w:sz w:val="24"/>
        </w:rPr>
        <w:t>数学课程标准</w:t>
      </w:r>
      <w:r>
        <w:rPr>
          <w:rFonts w:hint="eastAsia" w:ascii="宋体" w:hAnsi="宋体" w:eastAsia="宋体" w:cs="Times New Roman"/>
          <w:sz w:val="24"/>
        </w:rPr>
        <w:t>（20</w:t>
      </w:r>
      <w:r>
        <w:rPr>
          <w:rFonts w:ascii="宋体" w:hAnsi="宋体" w:eastAsia="宋体" w:cs="Times New Roman"/>
          <w:sz w:val="24"/>
        </w:rPr>
        <w:t>22</w:t>
      </w:r>
      <w:r>
        <w:rPr>
          <w:rFonts w:hint="eastAsia" w:ascii="宋体" w:hAnsi="宋体" w:eastAsia="宋体" w:cs="Times New Roman"/>
          <w:sz w:val="24"/>
        </w:rPr>
        <w:t>年</w:t>
      </w:r>
      <w:r>
        <w:rPr>
          <w:rFonts w:ascii="宋体" w:hAnsi="宋体" w:eastAsia="宋体" w:cs="Times New Roman"/>
          <w:sz w:val="24"/>
        </w:rPr>
        <w:t>版）</w:t>
      </w:r>
      <w:r>
        <w:rPr>
          <w:rFonts w:hint="eastAsia" w:ascii="宋体" w:hAnsi="宋体" w:eastAsia="宋体" w:cs="Times New Roman"/>
          <w:sz w:val="24"/>
        </w:rPr>
        <w:t>.北京：北京师范</w:t>
      </w:r>
      <w:r>
        <w:rPr>
          <w:rFonts w:ascii="宋体" w:hAnsi="宋体" w:eastAsia="宋体" w:cs="Times New Roman"/>
          <w:sz w:val="24"/>
        </w:rPr>
        <w:t>大学</w:t>
      </w:r>
      <w:r>
        <w:rPr>
          <w:rFonts w:hint="eastAsia" w:ascii="宋体" w:hAnsi="宋体" w:eastAsia="宋体" w:cs="Times New Roman"/>
          <w:sz w:val="24"/>
        </w:rPr>
        <w:t>大学出版社.20</w:t>
      </w:r>
      <w:r>
        <w:rPr>
          <w:rFonts w:ascii="宋体" w:hAnsi="宋体" w:eastAsia="宋体" w:cs="Times New Roman"/>
          <w:sz w:val="24"/>
        </w:rPr>
        <w:t>22</w:t>
      </w:r>
      <w:r>
        <w:rPr>
          <w:rFonts w:hint="eastAsia" w:ascii="宋体" w:hAnsi="宋体" w:eastAsia="宋体" w:cs="Times New Roman"/>
          <w:sz w:val="24"/>
        </w:rPr>
        <w:t>.</w:t>
      </w:r>
    </w:p>
    <w:p w14:paraId="4CF8DC8D">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教育部.义务教育</w:t>
      </w:r>
      <w:r>
        <w:rPr>
          <w:rFonts w:ascii="宋体" w:hAnsi="宋体" w:eastAsia="宋体" w:cs="Times New Roman"/>
          <w:sz w:val="24"/>
        </w:rPr>
        <w:t>数学课程标准</w:t>
      </w:r>
      <w:r>
        <w:rPr>
          <w:rFonts w:hint="eastAsia" w:ascii="宋体" w:hAnsi="宋体" w:eastAsia="宋体" w:cs="Times New Roman"/>
          <w:sz w:val="24"/>
        </w:rPr>
        <w:t>（2011年</w:t>
      </w:r>
      <w:r>
        <w:rPr>
          <w:rFonts w:ascii="宋体" w:hAnsi="宋体" w:eastAsia="宋体" w:cs="Times New Roman"/>
          <w:sz w:val="24"/>
        </w:rPr>
        <w:t>版）</w:t>
      </w:r>
      <w:r>
        <w:rPr>
          <w:rFonts w:hint="eastAsia" w:ascii="宋体" w:hAnsi="宋体" w:eastAsia="宋体" w:cs="Times New Roman"/>
          <w:sz w:val="24"/>
        </w:rPr>
        <w:t>.北京：北京师范</w:t>
      </w:r>
      <w:r>
        <w:rPr>
          <w:rFonts w:ascii="宋体" w:hAnsi="宋体" w:eastAsia="宋体" w:cs="Times New Roman"/>
          <w:sz w:val="24"/>
        </w:rPr>
        <w:t>大学</w:t>
      </w:r>
      <w:r>
        <w:rPr>
          <w:rFonts w:hint="eastAsia" w:ascii="宋体" w:hAnsi="宋体" w:eastAsia="宋体" w:cs="Times New Roman"/>
          <w:sz w:val="24"/>
        </w:rPr>
        <w:t>大学出版社.201</w:t>
      </w:r>
      <w:r>
        <w:rPr>
          <w:rFonts w:ascii="宋体" w:hAnsi="宋体" w:eastAsia="宋体" w:cs="Times New Roman"/>
          <w:sz w:val="24"/>
        </w:rPr>
        <w:t>2</w:t>
      </w:r>
      <w:r>
        <w:rPr>
          <w:rFonts w:hint="eastAsia" w:ascii="宋体" w:hAnsi="宋体" w:eastAsia="宋体" w:cs="Times New Roman"/>
          <w:sz w:val="24"/>
        </w:rPr>
        <w:t>.</w:t>
      </w:r>
    </w:p>
    <w:p w14:paraId="0231EA36">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张奠宙，宋乃庆，金成梁.小学数学教学案例研究.北京:高等教育出版社，2010.</w:t>
      </w:r>
    </w:p>
    <w:p w14:paraId="4FF2DD0D">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4</w:t>
      </w:r>
      <w:r>
        <w:rPr>
          <w:rFonts w:ascii="宋体" w:hAnsi="宋体" w:eastAsia="宋体" w:cs="Times New Roman"/>
          <w:sz w:val="24"/>
        </w:rPr>
        <w:t>.</w:t>
      </w:r>
      <w:r>
        <w:rPr>
          <w:rFonts w:hint="eastAsia" w:ascii="宋体" w:hAnsi="宋体" w:eastAsia="宋体" w:cs="Times New Roman"/>
          <w:sz w:val="24"/>
        </w:rPr>
        <w:t>吕彬.小学数学课程教学与示例导引.北京：教育科学出版社，2014.</w:t>
      </w:r>
    </w:p>
    <w:p w14:paraId="331727D9">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5.</w:t>
      </w:r>
      <w:r>
        <w:rPr>
          <w:rFonts w:hint="eastAsia" w:ascii="宋体" w:hAnsi="宋体" w:eastAsia="宋体" w:cs="Times New Roman"/>
          <w:sz w:val="24"/>
        </w:rPr>
        <w:t>马云鹏</w:t>
      </w:r>
      <w:r>
        <w:rPr>
          <w:rFonts w:ascii="宋体" w:hAnsi="宋体" w:eastAsia="宋体" w:cs="Times New Roman"/>
          <w:sz w:val="24"/>
        </w:rPr>
        <w:t>.小学数学教学论（第四版）.北京：人民教育出版社，2013.</w:t>
      </w:r>
    </w:p>
    <w:p w14:paraId="1A607E6F">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6</w:t>
      </w:r>
      <w:r>
        <w:rPr>
          <w:rFonts w:ascii="宋体" w:hAnsi="宋体" w:eastAsia="宋体" w:cs="Times New Roman"/>
          <w:sz w:val="24"/>
        </w:rPr>
        <w:t>.</w:t>
      </w:r>
      <w:r>
        <w:rPr>
          <w:rFonts w:hint="eastAsia" w:ascii="宋体" w:hAnsi="宋体" w:eastAsia="宋体" w:cs="Times New Roman"/>
          <w:sz w:val="24"/>
        </w:rPr>
        <w:t>周淑红.小学数学课程与教学.北京：教育科学出版社，2013.</w:t>
      </w:r>
    </w:p>
    <w:p w14:paraId="02DF308F">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7</w:t>
      </w:r>
      <w:r>
        <w:rPr>
          <w:rFonts w:ascii="宋体" w:hAnsi="宋体" w:eastAsia="宋体" w:cs="Times New Roman"/>
          <w:sz w:val="24"/>
        </w:rPr>
        <w:t>.</w:t>
      </w:r>
      <w:r>
        <w:rPr>
          <w:rFonts w:hint="eastAsia" w:ascii="宋体" w:hAnsi="宋体" w:eastAsia="宋体" w:cs="Times New Roman"/>
          <w:sz w:val="24"/>
        </w:rPr>
        <w:t>课程教材研究所,数学课程教材研究开发中心.小学数学教学与研究.北京:人民教育出版社，2003.</w:t>
      </w:r>
    </w:p>
    <w:p w14:paraId="47569552">
      <w:pPr>
        <w:rPr>
          <w:sz w:val="24"/>
        </w:rPr>
      </w:pPr>
    </w:p>
    <w:p w14:paraId="5FAB4D8C">
      <w:pPr>
        <w:rPr>
          <w:sz w:val="24"/>
        </w:rPr>
      </w:pPr>
    </w:p>
    <w:p w14:paraId="49CACDC6">
      <w:pPr>
        <w:rPr>
          <w:sz w:val="24"/>
        </w:rPr>
      </w:pPr>
    </w:p>
    <w:p w14:paraId="0444FD93">
      <w:pPr>
        <w:rPr>
          <w:sz w:val="24"/>
        </w:rPr>
      </w:pPr>
    </w:p>
    <w:p w14:paraId="65C09F4E">
      <w:pPr>
        <w:rPr>
          <w:sz w:val="24"/>
        </w:rPr>
      </w:pPr>
    </w:p>
    <w:p w14:paraId="29AC684D">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执 笔 人：谢国忠</w:t>
      </w:r>
    </w:p>
    <w:p w14:paraId="562A1A34">
      <w:pPr>
        <w:wordWrap w:val="0"/>
        <w:spacing w:line="360" w:lineRule="auto"/>
        <w:ind w:right="144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定 人：王 健</w:t>
      </w:r>
    </w:p>
    <w:p w14:paraId="283C1AA1">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24D64EE2">
      <w:pPr>
        <w:spacing w:line="360" w:lineRule="auto"/>
        <w:ind w:firstLine="4800" w:firstLineChars="2000"/>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4C9CF703">
      <w:pPr>
        <w:rPr>
          <w:rFonts w:hint="eastAsia" w:ascii="等线" w:hAnsi="等线" w:eastAsia="等线" w:cs="等线"/>
          <w:b/>
          <w:bCs/>
          <w:sz w:val="44"/>
          <w:szCs w:val="44"/>
        </w:rPr>
      </w:pPr>
      <w:r>
        <w:rPr>
          <w:rFonts w:hint="eastAsia" w:ascii="等线" w:hAnsi="等线" w:eastAsia="等线" w:cs="等线"/>
          <w:b/>
          <w:bCs/>
          <w:sz w:val="44"/>
          <w:szCs w:val="44"/>
        </w:rPr>
        <w:br w:type="page"/>
      </w:r>
    </w:p>
    <w:p w14:paraId="3CBD0FCC">
      <w:pPr>
        <w:pStyle w:val="2"/>
        <w:tabs>
          <w:tab w:val="left" w:pos="720"/>
          <w:tab w:val="left" w:pos="2700"/>
        </w:tabs>
        <w:rPr>
          <w:rFonts w:ascii="Times New Roman" w:hAnsi="Times New Roman" w:eastAsia="宋体" w:cs="Times New Roman"/>
          <w:szCs w:val="44"/>
        </w:rPr>
      </w:pPr>
      <w:bookmarkStart w:id="228" w:name="_Toc11679"/>
      <w:bookmarkStart w:id="229" w:name="_Toc5625"/>
      <w:r>
        <w:rPr>
          <w:rFonts w:hint="eastAsia"/>
        </w:rPr>
        <w:t>《社会统计软件》课程教学大纲</w:t>
      </w:r>
      <w:bookmarkEnd w:id="228"/>
      <w:bookmarkEnd w:id="229"/>
    </w:p>
    <w:p w14:paraId="3C13D98E">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Social Statistics Software</w:t>
      </w:r>
      <w:r>
        <w:rPr>
          <w:rFonts w:ascii="Times New Roman" w:hAnsi="Times New Roman" w:eastAsia="宋体" w:cs="Times New Roman"/>
          <w:b/>
          <w:bCs/>
          <w:sz w:val="28"/>
          <w:szCs w:val="28"/>
        </w:rPr>
        <w:t>）</w:t>
      </w:r>
    </w:p>
    <w:p w14:paraId="608DEB42">
      <w:pPr>
        <w:spacing w:line="360" w:lineRule="auto"/>
        <w:jc w:val="center"/>
        <w:rPr>
          <w:rFonts w:ascii="Times New Roman" w:hAnsi="Times New Roman" w:eastAsia="宋体" w:cs="Times New Roman"/>
          <w:bCs/>
          <w:sz w:val="30"/>
          <w:szCs w:val="30"/>
        </w:rPr>
      </w:pPr>
    </w:p>
    <w:p w14:paraId="3F87388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课程名称：社会统计软件</w:t>
      </w:r>
    </w:p>
    <w:p w14:paraId="4190DFB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课程代码：2401030</w:t>
      </w:r>
    </w:p>
    <w:p w14:paraId="6DE4858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分：3</w:t>
      </w:r>
    </w:p>
    <w:p w14:paraId="72E2FEB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时：48</w:t>
      </w:r>
    </w:p>
    <w:p w14:paraId="0952330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先修课程：概率与统计、教育统计与测量</w:t>
      </w:r>
    </w:p>
    <w:p w14:paraId="317B91B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6C911574">
      <w:pPr>
        <w:spacing w:line="360" w:lineRule="auto"/>
        <w:jc w:val="left"/>
        <w:rPr>
          <w:rFonts w:ascii="Times New Roman" w:hAnsi="Times New Roman" w:eastAsia="宋体" w:cs="Times New Roman"/>
          <w:b/>
          <w:sz w:val="24"/>
        </w:rPr>
      </w:pPr>
    </w:p>
    <w:p w14:paraId="14F10166">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7CCF5C13">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必修课。通过本课程的学习，加强学生对教育统计理论的认识；培养学生解决各种教育统计问题的能力，掌握各种统计分析方法在SPSS软件中的实现，并且能够正确解释SPSS软件的运行结果；提高学生教育科研的基本能力；培养学生创新精神和实践能力，为后续《教育科学研究方法》等课程和毕业论文等实践环节以及未来分析与解决教育实际问题奠定基础。</w:t>
      </w:r>
    </w:p>
    <w:p w14:paraId="3A0C43AF">
      <w:pPr>
        <w:spacing w:line="360" w:lineRule="auto"/>
        <w:ind w:firstLine="411" w:firstLineChars="196"/>
        <w:rPr>
          <w:rFonts w:ascii="Times New Roman" w:hAnsi="Times New Roman" w:eastAsia="宋体" w:cs="Times New Roman"/>
          <w:szCs w:val="21"/>
        </w:rPr>
      </w:pPr>
    </w:p>
    <w:p w14:paraId="038D50F1">
      <w:pPr>
        <w:spacing w:line="360" w:lineRule="auto"/>
        <w:rPr>
          <w:rFonts w:hint="eastAsia" w:ascii="宋体" w:hAnsi="宋体" w:eastAsia="宋体" w:cs="Times New Roman"/>
          <w:b/>
          <w:sz w:val="24"/>
        </w:rPr>
      </w:pPr>
      <w:r>
        <w:rPr>
          <w:rFonts w:hint="eastAsia" w:ascii="宋体" w:hAnsi="宋体" w:eastAsia="宋体" w:cs="Times New Roman"/>
          <w:b/>
          <w:sz w:val="24"/>
        </w:rPr>
        <w:t>二</w:t>
      </w:r>
      <w:r>
        <w:rPr>
          <w:rFonts w:ascii="宋体" w:hAnsi="宋体" w:eastAsia="宋体" w:cs="Times New Roman"/>
          <w:b/>
          <w:sz w:val="24"/>
        </w:rPr>
        <w:t>、课程目标</w:t>
      </w:r>
    </w:p>
    <w:p w14:paraId="5F66E226">
      <w:pPr>
        <w:spacing w:line="360" w:lineRule="auto"/>
        <w:ind w:firstLine="442" w:firstLineChars="200"/>
        <w:rPr>
          <w:rFonts w:hint="eastAsia" w:ascii="宋体" w:hAnsi="宋体" w:eastAsia="宋体" w:cs="Times New Roman"/>
          <w:b/>
          <w:sz w:val="22"/>
          <w:szCs w:val="22"/>
        </w:rPr>
      </w:pPr>
      <w:r>
        <w:rPr>
          <w:rFonts w:hint="eastAsia" w:ascii="宋体" w:hAnsi="宋体" w:eastAsia="宋体" w:cs="Times New Roman"/>
          <w:b/>
          <w:sz w:val="22"/>
          <w:szCs w:val="22"/>
        </w:rPr>
        <w:t>（一）课程具体目标</w:t>
      </w:r>
    </w:p>
    <w:p w14:paraId="08FEB947">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kern w:val="0"/>
          <w:szCs w:val="20"/>
        </w:rPr>
        <w:t>掌握数据的录入、整理、分析与可视化处理方法，掌握教育统计与测量的原理；</w:t>
      </w:r>
    </w:p>
    <w:p w14:paraId="2F169ABB">
      <w:pPr>
        <w:spacing w:line="360" w:lineRule="auto"/>
        <w:ind w:firstLine="422" w:firstLineChars="200"/>
        <w:rPr>
          <w:rFonts w:hint="eastAsia" w:ascii="宋体" w:hAnsi="宋体" w:eastAsia="宋体" w:cs="Times New Roman"/>
          <w:kern w:val="0"/>
          <w:szCs w:val="20"/>
        </w:rPr>
      </w:pPr>
      <w:r>
        <w:rPr>
          <w:rFonts w:hint="eastAsia" w:ascii="Times New Roman" w:hAnsi="Times New Roman" w:eastAsia="宋体" w:cs="Times New Roman"/>
          <w:b/>
          <w:szCs w:val="21"/>
        </w:rPr>
        <w:t xml:space="preserve">目标2. </w:t>
      </w:r>
      <w:r>
        <w:rPr>
          <w:rFonts w:hint="eastAsia" w:ascii="宋体" w:hAnsi="宋体" w:eastAsia="宋体" w:cs="Times New Roman"/>
          <w:kern w:val="0"/>
          <w:szCs w:val="20"/>
        </w:rPr>
        <w:t>能运用社会统计软件分析和解决小学教育实践中的问题，形成一定的教学研究能力。</w:t>
      </w:r>
    </w:p>
    <w:p w14:paraId="113ACBC8">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（二）课程目标与专业毕业要求的关系</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53C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7A874F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49B581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468EF43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454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3D7CA8CB">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pacing w:val="-6"/>
                <w:szCs w:val="21"/>
              </w:rPr>
              <w:t>毕业要求4 教学能力</w:t>
            </w:r>
          </w:p>
        </w:tc>
        <w:tc>
          <w:tcPr>
            <w:tcW w:w="5688" w:type="dxa"/>
            <w:vAlign w:val="center"/>
          </w:tcPr>
          <w:p w14:paraId="7264585F">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指标点4-4：【具备教学研究能力】掌握教育研究的基本方法，</w:t>
            </w:r>
          </w:p>
          <w:p w14:paraId="0E9F328B">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在教育教学实践中，结合小学教育教学实践进行研究，具有一定的教学研究能力。</w:t>
            </w:r>
          </w:p>
        </w:tc>
        <w:tc>
          <w:tcPr>
            <w:tcW w:w="1191" w:type="dxa"/>
            <w:vAlign w:val="center"/>
          </w:tcPr>
          <w:p w14:paraId="0C62C60E">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r>
      <w:tr w14:paraId="4E29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434F914">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pacing w:val="-6"/>
                <w:szCs w:val="21"/>
              </w:rPr>
              <w:t>毕业要求4 教学能力</w:t>
            </w:r>
          </w:p>
        </w:tc>
        <w:tc>
          <w:tcPr>
            <w:tcW w:w="5688" w:type="dxa"/>
            <w:vAlign w:val="center"/>
          </w:tcPr>
          <w:p w14:paraId="7F4433CD">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指标点4-4：【具备教学研究能力】掌握教育研究的基本方法，</w:t>
            </w:r>
          </w:p>
          <w:p w14:paraId="768440DF">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在教育教学实践中，结合小学教育教学实践进行研究，具有一定的教学研究能力。</w:t>
            </w:r>
          </w:p>
        </w:tc>
        <w:tc>
          <w:tcPr>
            <w:tcW w:w="1191" w:type="dxa"/>
            <w:vAlign w:val="center"/>
          </w:tcPr>
          <w:p w14:paraId="4AB99F86">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r>
    </w:tbl>
    <w:p w14:paraId="3326EEFC">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7AB15E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社会统计软件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79754A3D">
      <w:pPr>
        <w:spacing w:line="360" w:lineRule="auto"/>
        <w:ind w:firstLine="411" w:firstLineChars="196"/>
        <w:jc w:val="left"/>
        <w:rPr>
          <w:rFonts w:hint="eastAsia" w:ascii="宋体" w:hAnsi="宋体" w:eastAsia="宋体" w:cs="Times New Roman"/>
          <w:color w:val="000000"/>
          <w:szCs w:val="21"/>
        </w:rPr>
      </w:pPr>
    </w:p>
    <w:p w14:paraId="23ADECE4">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12D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2659B8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F0B71F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51EE85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2DC5327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12D002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366BAF9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5C3CCC8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37F996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0F7C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819CDC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1.SPSS操作基础</w:t>
            </w:r>
          </w:p>
        </w:tc>
        <w:tc>
          <w:tcPr>
            <w:tcW w:w="1701" w:type="dxa"/>
            <w:vAlign w:val="center"/>
          </w:tcPr>
          <w:p w14:paraId="40F8CAE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（1）数据/变量的类型</w:t>
            </w:r>
          </w:p>
          <w:p w14:paraId="238BBCF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（2）数据的编码与录入</w:t>
            </w:r>
          </w:p>
          <w:p w14:paraId="42DCC4B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（3）数据文件的导入</w:t>
            </w:r>
          </w:p>
          <w:p w14:paraId="2A7385C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（4）数据文件的管理</w:t>
            </w:r>
          </w:p>
        </w:tc>
        <w:tc>
          <w:tcPr>
            <w:tcW w:w="1134" w:type="dxa"/>
            <w:vAlign w:val="center"/>
          </w:tcPr>
          <w:p w14:paraId="2CE039A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31116A8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（1）了解数据/变量的分类；</w:t>
            </w:r>
          </w:p>
          <w:p w14:paraId="04309E3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（2）能根据数据的类型进行编码与录入；</w:t>
            </w:r>
          </w:p>
          <w:p w14:paraId="5832E11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掌握</w:t>
            </w:r>
            <w:r>
              <w:rPr>
                <w:rFonts w:hint="eastAsia" w:ascii="宋体" w:hAnsi="宋体" w:eastAsia="宋体" w:cs="Times New Roman"/>
                <w:color w:val="000000"/>
                <w:szCs w:val="21"/>
              </w:rPr>
              <w:t>数据文件的导入方式；</w:t>
            </w:r>
          </w:p>
          <w:p w14:paraId="32F2679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（4）能对数据文件进行初步整理（排序、合并、筛选、编码、转换、计算、拆分与分类汇总等）。</w:t>
            </w:r>
          </w:p>
        </w:tc>
        <w:tc>
          <w:tcPr>
            <w:tcW w:w="1560" w:type="dxa"/>
            <w:vAlign w:val="center"/>
          </w:tcPr>
          <w:p w14:paraId="187D71E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F86DD5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2.多媒体教学3.课堂练习</w:t>
            </w:r>
          </w:p>
          <w:p w14:paraId="13E7391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2884F37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59A1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60A50BF">
            <w:pPr>
              <w:spacing w:line="264" w:lineRule="auto"/>
              <w:jc w:val="center"/>
              <w:rPr>
                <w:rFonts w:hint="eastAsia" w:ascii="宋体" w:hAnsi="宋体" w:eastAsia="宋体" w:cs="Times New Roman"/>
                <w:color w:val="000000"/>
                <w:szCs w:val="21"/>
              </w:rPr>
            </w:pPr>
          </w:p>
        </w:tc>
        <w:tc>
          <w:tcPr>
            <w:tcW w:w="8093" w:type="dxa"/>
            <w:gridSpan w:val="5"/>
            <w:vAlign w:val="center"/>
          </w:tcPr>
          <w:p w14:paraId="44C8779E">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了解社会科学软件对数据知识的处理能力；尊重科学技术，形成初步的科学技术应用思想。</w:t>
            </w:r>
          </w:p>
        </w:tc>
      </w:tr>
      <w:tr w14:paraId="128E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E3AE91C">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2.描述性分析</w:t>
            </w:r>
          </w:p>
        </w:tc>
        <w:tc>
          <w:tcPr>
            <w:tcW w:w="1701" w:type="dxa"/>
            <w:vAlign w:val="center"/>
          </w:tcPr>
          <w:p w14:paraId="250D9A1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（1）频数统计（2）描述统计</w:t>
            </w:r>
          </w:p>
        </w:tc>
        <w:tc>
          <w:tcPr>
            <w:tcW w:w="1134" w:type="dxa"/>
            <w:vAlign w:val="center"/>
          </w:tcPr>
          <w:p w14:paraId="15DCF95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59562CA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（1）能运用SPSS对单变量与多变量数据的分布频次进行分析，并进行可视化操作；</w:t>
            </w:r>
          </w:p>
          <w:p w14:paraId="59FD2A9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（2）能运用SPSS对数据的集中趋势与离散趋势进行分析，并进行可视化操作；</w:t>
            </w:r>
          </w:p>
          <w:p w14:paraId="6058983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（3）能运用SPSS对数据的分布形态进行分析，并进行可视化操作。</w:t>
            </w:r>
          </w:p>
        </w:tc>
        <w:tc>
          <w:tcPr>
            <w:tcW w:w="1560" w:type="dxa"/>
            <w:vAlign w:val="center"/>
          </w:tcPr>
          <w:p w14:paraId="41D50F6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25BD124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2.多媒体教学3.课堂练习</w:t>
            </w:r>
          </w:p>
          <w:p w14:paraId="6172ED2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1101F12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0B8E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1AE5A2F">
            <w:pPr>
              <w:spacing w:line="264" w:lineRule="auto"/>
              <w:jc w:val="center"/>
              <w:rPr>
                <w:rFonts w:hint="eastAsia" w:ascii="宋体" w:hAnsi="宋体" w:eastAsia="宋体" w:cs="Times New Roman"/>
                <w:color w:val="000000"/>
                <w:szCs w:val="21"/>
              </w:rPr>
            </w:pPr>
          </w:p>
        </w:tc>
        <w:tc>
          <w:tcPr>
            <w:tcW w:w="8093" w:type="dxa"/>
            <w:gridSpan w:val="5"/>
            <w:vAlign w:val="center"/>
          </w:tcPr>
          <w:p w14:paraId="48C6BEB3">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认识到人类社会中的不同类型的数据有不同的分布特点；掌握大千世界中一些看似杂乱的数据背后的规律。</w:t>
            </w:r>
          </w:p>
        </w:tc>
      </w:tr>
      <w:tr w14:paraId="6908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DD5304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3.参数</w:t>
            </w:r>
          </w:p>
          <w:p w14:paraId="76AA2D9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检验</w:t>
            </w:r>
          </w:p>
        </w:tc>
        <w:tc>
          <w:tcPr>
            <w:tcW w:w="1701" w:type="dxa"/>
            <w:vAlign w:val="center"/>
          </w:tcPr>
          <w:p w14:paraId="79A5032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（1）单样本t检验</w:t>
            </w:r>
          </w:p>
          <w:p w14:paraId="4A76D9A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（2）独立样本t检验</w:t>
            </w:r>
          </w:p>
          <w:p w14:paraId="4C8846C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（3）相关样本t检验</w:t>
            </w:r>
          </w:p>
        </w:tc>
        <w:tc>
          <w:tcPr>
            <w:tcW w:w="1134" w:type="dxa"/>
            <w:vAlign w:val="center"/>
          </w:tcPr>
          <w:p w14:paraId="230F8D0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26A2AF8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（1）把握单样本t检验的适用条件、SPSS的操作过程、数据的可视化处理及结果解释；</w:t>
            </w:r>
          </w:p>
          <w:p w14:paraId="4A354B73">
            <w:pPr>
              <w:spacing w:line="269" w:lineRule="auto"/>
              <w:jc w:val="left"/>
              <w:rPr>
                <w:rFonts w:hint="eastAsia" w:ascii="宋体" w:hAnsi="宋体" w:eastAsia="宋体" w:cs="Times New Roman"/>
                <w:color w:val="000000"/>
                <w:szCs w:val="21"/>
              </w:rPr>
            </w:pPr>
          </w:p>
          <w:p w14:paraId="799C607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（2）把握独立样本t检验的适用条件、SPSS的操作过程、数据的可视化输出及结果解释；</w:t>
            </w:r>
          </w:p>
          <w:p w14:paraId="7F2D2EA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（3）把握相关样本t检验的适用条件、SPSS的操作过程、数据的可视化处理及结果解释</w:t>
            </w:r>
            <w:r>
              <w:rPr>
                <w:rFonts w:ascii="宋体" w:hAnsi="宋体" w:eastAsia="宋体" w:cs="Times New Roman"/>
                <w:color w:val="000000"/>
                <w:szCs w:val="21"/>
              </w:rPr>
              <w:t>。</w:t>
            </w:r>
          </w:p>
        </w:tc>
        <w:tc>
          <w:tcPr>
            <w:tcW w:w="1560" w:type="dxa"/>
            <w:vAlign w:val="center"/>
          </w:tcPr>
          <w:p w14:paraId="0362FDA8">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7A9D2C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1908C1D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0002086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p>
        </w:tc>
      </w:tr>
      <w:tr w14:paraId="47CC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92D7197">
            <w:pPr>
              <w:spacing w:line="264" w:lineRule="auto"/>
              <w:jc w:val="center"/>
              <w:rPr>
                <w:rFonts w:hint="eastAsia" w:ascii="宋体" w:hAnsi="宋体" w:eastAsia="宋体" w:cs="Times New Roman"/>
                <w:color w:val="000000"/>
                <w:szCs w:val="21"/>
              </w:rPr>
            </w:pPr>
          </w:p>
        </w:tc>
        <w:tc>
          <w:tcPr>
            <w:tcW w:w="8093" w:type="dxa"/>
            <w:gridSpan w:val="5"/>
            <w:vAlign w:val="center"/>
          </w:tcPr>
          <w:p w14:paraId="2F6B709E">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了解人类社会同一群体所简化为数据背后的内在关联；学会用科学的检验方法去认识教育现象与社会现象。</w:t>
            </w:r>
          </w:p>
        </w:tc>
      </w:tr>
      <w:tr w14:paraId="3D76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F871B4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4.方差分析</w:t>
            </w:r>
          </w:p>
        </w:tc>
        <w:tc>
          <w:tcPr>
            <w:tcW w:w="1701" w:type="dxa"/>
            <w:vAlign w:val="center"/>
          </w:tcPr>
          <w:p w14:paraId="7D2F739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（1）实验设计方式</w:t>
            </w:r>
          </w:p>
          <w:p w14:paraId="2073975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（2）单因素完全随机设计的方差分析</w:t>
            </w:r>
          </w:p>
          <w:p w14:paraId="0D82CDB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（3）单因素重复测量设计的方差分析</w:t>
            </w:r>
          </w:p>
          <w:p w14:paraId="6E1998E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（4）两因素完全随机设计的方差分析</w:t>
            </w:r>
          </w:p>
          <w:p w14:paraId="670C9A9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（5）两因素混合设计的方差分析</w:t>
            </w:r>
          </w:p>
        </w:tc>
        <w:tc>
          <w:tcPr>
            <w:tcW w:w="1134" w:type="dxa"/>
            <w:vAlign w:val="center"/>
          </w:tcPr>
          <w:p w14:paraId="699321E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4C88FB6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（1）理解并掌握各种实验设计方式；</w:t>
            </w:r>
          </w:p>
          <w:p w14:paraId="3E217FC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（2）把</w:t>
            </w:r>
            <w:r>
              <w:rPr>
                <w:rFonts w:ascii="宋体" w:hAnsi="宋体" w:eastAsia="宋体" w:cs="Times New Roman"/>
                <w:color w:val="000000"/>
                <w:szCs w:val="21"/>
              </w:rPr>
              <w:t>解</w:t>
            </w:r>
            <w:r>
              <w:rPr>
                <w:rFonts w:hint="eastAsia" w:ascii="宋体" w:hAnsi="宋体" w:eastAsia="宋体" w:cs="Times New Roman"/>
                <w:color w:val="000000"/>
                <w:szCs w:val="21"/>
              </w:rPr>
              <w:t>各类实验设计的适用条件、SPSS的操作过程、数据的可视化处理及结果解释。</w:t>
            </w:r>
          </w:p>
        </w:tc>
        <w:tc>
          <w:tcPr>
            <w:tcW w:w="1560" w:type="dxa"/>
            <w:vAlign w:val="center"/>
          </w:tcPr>
          <w:p w14:paraId="262EC0B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AA40FC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32FD792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11E2B7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p>
        </w:tc>
      </w:tr>
      <w:tr w14:paraId="0FCA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5327624">
            <w:pPr>
              <w:spacing w:line="276" w:lineRule="auto"/>
              <w:jc w:val="center"/>
              <w:rPr>
                <w:rFonts w:hint="eastAsia" w:ascii="宋体" w:hAnsi="宋体" w:eastAsia="宋体" w:cs="Times New Roman"/>
                <w:color w:val="000000"/>
                <w:szCs w:val="21"/>
              </w:rPr>
            </w:pPr>
          </w:p>
        </w:tc>
        <w:tc>
          <w:tcPr>
            <w:tcW w:w="8093" w:type="dxa"/>
            <w:gridSpan w:val="5"/>
            <w:vAlign w:val="center"/>
          </w:tcPr>
          <w:p w14:paraId="4BEAF52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认识到任何一种教育结果的发生之前，有众多不同的因素的影响；能用统计学的语言描述教育现象。</w:t>
            </w:r>
          </w:p>
        </w:tc>
      </w:tr>
      <w:tr w14:paraId="3AD2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40F1C7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5.相关分析</w:t>
            </w:r>
          </w:p>
        </w:tc>
        <w:tc>
          <w:tcPr>
            <w:tcW w:w="1701" w:type="dxa"/>
            <w:vAlign w:val="center"/>
          </w:tcPr>
          <w:p w14:paraId="02C3088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（1）积差相关（2）等级相关</w:t>
            </w:r>
          </w:p>
          <w:p w14:paraId="0F2ABEB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（3）品质相关</w:t>
            </w:r>
          </w:p>
          <w:p w14:paraId="75E2671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（4）质与量相关</w:t>
            </w:r>
          </w:p>
          <w:p w14:paraId="099ABA1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（5）偏相关</w:t>
            </w:r>
          </w:p>
        </w:tc>
        <w:tc>
          <w:tcPr>
            <w:tcW w:w="1134" w:type="dxa"/>
            <w:vAlign w:val="center"/>
          </w:tcPr>
          <w:p w14:paraId="0FE12C2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4C68291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掌握</w:t>
            </w:r>
            <w:r>
              <w:rPr>
                <w:rFonts w:hint="eastAsia" w:ascii="宋体" w:hAnsi="宋体" w:eastAsia="宋体" w:cs="Times New Roman"/>
                <w:color w:val="000000"/>
                <w:szCs w:val="21"/>
              </w:rPr>
              <w:t>相关的</w:t>
            </w:r>
            <w:r>
              <w:rPr>
                <w:rFonts w:ascii="宋体" w:hAnsi="宋体" w:eastAsia="宋体" w:cs="Times New Roman"/>
                <w:color w:val="000000"/>
                <w:szCs w:val="21"/>
              </w:rPr>
              <w:t>基本概念</w:t>
            </w:r>
            <w:r>
              <w:rPr>
                <w:rFonts w:hint="eastAsia" w:ascii="宋体" w:hAnsi="宋体" w:eastAsia="宋体" w:cs="Times New Roman"/>
                <w:color w:val="000000"/>
                <w:szCs w:val="21"/>
              </w:rPr>
              <w:t>和类型；</w:t>
            </w:r>
          </w:p>
          <w:p w14:paraId="52FE1FE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（2）把</w:t>
            </w:r>
            <w:r>
              <w:rPr>
                <w:rFonts w:ascii="宋体" w:hAnsi="宋体" w:eastAsia="宋体" w:cs="Times New Roman"/>
                <w:color w:val="000000"/>
                <w:szCs w:val="21"/>
              </w:rPr>
              <w:t>解</w:t>
            </w:r>
            <w:r>
              <w:rPr>
                <w:rFonts w:hint="eastAsia" w:ascii="宋体" w:hAnsi="宋体" w:eastAsia="宋体" w:cs="Times New Roman"/>
                <w:color w:val="000000"/>
                <w:szCs w:val="21"/>
              </w:rPr>
              <w:t>各类相关的适用条件、SPSS的操作过程、数据的可视化处理及结果解释。</w:t>
            </w:r>
          </w:p>
        </w:tc>
        <w:tc>
          <w:tcPr>
            <w:tcW w:w="1560" w:type="dxa"/>
            <w:vAlign w:val="center"/>
          </w:tcPr>
          <w:p w14:paraId="7A1B40C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291EEC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338267A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CCFCC0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5A39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47DAABB">
            <w:pPr>
              <w:spacing w:line="276" w:lineRule="auto"/>
              <w:jc w:val="center"/>
              <w:rPr>
                <w:rFonts w:hint="eastAsia" w:ascii="宋体" w:hAnsi="宋体" w:eastAsia="宋体" w:cs="Times New Roman"/>
                <w:color w:val="000000"/>
                <w:szCs w:val="21"/>
              </w:rPr>
            </w:pPr>
          </w:p>
        </w:tc>
        <w:tc>
          <w:tcPr>
            <w:tcW w:w="8093" w:type="dxa"/>
            <w:gridSpan w:val="5"/>
            <w:vAlign w:val="center"/>
          </w:tcPr>
          <w:p w14:paraId="540B8D5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了解并学习历史上的统计学家对认识世界的那种孜孜以求的精神；掌握主要的相关分析手段背后所反映的社会现象之间的关系。</w:t>
            </w:r>
          </w:p>
        </w:tc>
      </w:tr>
      <w:tr w14:paraId="08F2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108D32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6.回归分析</w:t>
            </w:r>
          </w:p>
        </w:tc>
        <w:tc>
          <w:tcPr>
            <w:tcW w:w="1701" w:type="dxa"/>
            <w:vAlign w:val="center"/>
          </w:tcPr>
          <w:p w14:paraId="2A9A8D1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（1）影响因素的回归分析</w:t>
            </w:r>
          </w:p>
          <w:p w14:paraId="06245F9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（2）作用机制的中介与调节效应模型</w:t>
            </w:r>
          </w:p>
        </w:tc>
        <w:tc>
          <w:tcPr>
            <w:tcW w:w="1134" w:type="dxa"/>
            <w:vAlign w:val="center"/>
          </w:tcPr>
          <w:p w14:paraId="3C74C7D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6723CA6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（1）掌握各类回归分析的适用条件、SPSS的操作过程、数据的可视化处理及结果解释；</w:t>
            </w:r>
          </w:p>
          <w:p w14:paraId="631924A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（2）掌握各类中介效应调节效应模型的适用条件、SPSS的操作过程、数据的可视化处理及结果解释。</w:t>
            </w:r>
          </w:p>
        </w:tc>
        <w:tc>
          <w:tcPr>
            <w:tcW w:w="1560" w:type="dxa"/>
            <w:vAlign w:val="center"/>
          </w:tcPr>
          <w:p w14:paraId="569F832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076D49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29C5AC5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F728F5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w:t>
            </w:r>
          </w:p>
        </w:tc>
      </w:tr>
      <w:tr w14:paraId="44DE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FB5BE9">
            <w:pPr>
              <w:spacing w:line="276" w:lineRule="auto"/>
              <w:jc w:val="center"/>
              <w:rPr>
                <w:rFonts w:hint="eastAsia" w:ascii="宋体" w:hAnsi="宋体" w:eastAsia="宋体" w:cs="Times New Roman"/>
                <w:color w:val="000000"/>
                <w:szCs w:val="21"/>
              </w:rPr>
            </w:pPr>
          </w:p>
        </w:tc>
        <w:tc>
          <w:tcPr>
            <w:tcW w:w="8093" w:type="dxa"/>
            <w:gridSpan w:val="5"/>
            <w:vAlign w:val="center"/>
          </w:tcPr>
          <w:p w14:paraId="4A01DF3F">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认识到教育和社会中的现象之间联系的复杂性，树立认识事物的联系观、发展观，形成建模思想。</w:t>
            </w:r>
          </w:p>
        </w:tc>
      </w:tr>
      <w:tr w14:paraId="5A6F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1191612">
            <w:pPr>
              <w:spacing w:line="276" w:lineRule="auto"/>
              <w:jc w:val="center"/>
              <w:rPr>
                <w:rFonts w:hint="eastAsia" w:ascii="宋体" w:hAnsi="宋体" w:eastAsia="宋体" w:cs="Times New Roman"/>
                <w:szCs w:val="21"/>
              </w:rPr>
            </w:pPr>
            <w:r>
              <w:rPr>
                <w:rFonts w:hint="eastAsia" w:ascii="宋体" w:hAnsi="宋体" w:eastAsia="宋体" w:cs="Times New Roman"/>
                <w:szCs w:val="21"/>
              </w:rPr>
              <w:t>7.非参数检验</w:t>
            </w:r>
          </w:p>
        </w:tc>
        <w:tc>
          <w:tcPr>
            <w:tcW w:w="1701" w:type="dxa"/>
            <w:vAlign w:val="center"/>
          </w:tcPr>
          <w:p w14:paraId="5A706CDB">
            <w:pPr>
              <w:spacing w:line="276" w:lineRule="auto"/>
              <w:jc w:val="left"/>
              <w:rPr>
                <w:rFonts w:hint="eastAsia" w:ascii="宋体" w:hAnsi="宋体" w:eastAsia="宋体" w:cs="Times New Roman"/>
                <w:szCs w:val="21"/>
              </w:rPr>
            </w:pPr>
            <w:r>
              <w:rPr>
                <w:rFonts w:hint="eastAsia" w:ascii="宋体" w:hAnsi="宋体" w:eastAsia="宋体" w:cs="Times New Roman"/>
                <w:szCs w:val="21"/>
              </w:rPr>
              <w:t>（1）计数数据的卡方分析</w:t>
            </w:r>
          </w:p>
          <w:p w14:paraId="260CEFDE">
            <w:pPr>
              <w:spacing w:line="276" w:lineRule="auto"/>
              <w:jc w:val="left"/>
              <w:rPr>
                <w:rFonts w:hint="eastAsia" w:ascii="宋体" w:hAnsi="宋体" w:eastAsia="宋体" w:cs="Times New Roman"/>
                <w:szCs w:val="21"/>
              </w:rPr>
            </w:pPr>
            <w:r>
              <w:rPr>
                <w:rFonts w:hint="eastAsia" w:ascii="宋体" w:hAnsi="宋体" w:eastAsia="宋体" w:cs="Times New Roman"/>
                <w:szCs w:val="21"/>
              </w:rPr>
              <w:t>（2）连续数据的独立样本非参数检验</w:t>
            </w:r>
          </w:p>
          <w:p w14:paraId="595AD71D">
            <w:pPr>
              <w:spacing w:line="276" w:lineRule="auto"/>
              <w:jc w:val="left"/>
              <w:rPr>
                <w:rFonts w:hint="eastAsia" w:ascii="宋体" w:hAnsi="宋体" w:eastAsia="宋体" w:cs="Times New Roman"/>
                <w:szCs w:val="21"/>
              </w:rPr>
            </w:pPr>
            <w:r>
              <w:rPr>
                <w:rFonts w:hint="eastAsia" w:ascii="宋体" w:hAnsi="宋体" w:eastAsia="宋体" w:cs="Times New Roman"/>
                <w:szCs w:val="21"/>
              </w:rPr>
              <w:t>（3）连续数据的相关样本非参数检验</w:t>
            </w:r>
          </w:p>
        </w:tc>
        <w:tc>
          <w:tcPr>
            <w:tcW w:w="1134" w:type="dxa"/>
            <w:vAlign w:val="center"/>
          </w:tcPr>
          <w:p w14:paraId="0CFB479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1EF6D782">
            <w:pPr>
              <w:numPr>
                <w:ilvl w:val="0"/>
                <w:numId w:val="49"/>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掌握卡方分析的适用条件、SPSS的操作过程、数据的可视化处理及结果解释；</w:t>
            </w:r>
          </w:p>
          <w:p w14:paraId="7EB653A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掌握独立样本非参数检验的适用条件、SPSS的操作过程、数据的可视化处理及结果解释；</w:t>
            </w:r>
          </w:p>
          <w:p w14:paraId="33B49ED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掌握相关样本非参数检验的适用条件、SPSS的操作过程、数据的可视化处理及结果解释。</w:t>
            </w:r>
          </w:p>
        </w:tc>
        <w:tc>
          <w:tcPr>
            <w:tcW w:w="1560" w:type="dxa"/>
            <w:vAlign w:val="center"/>
          </w:tcPr>
          <w:p w14:paraId="333F52B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1F55D6F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3B24349E">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7703736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2926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52DDEEC">
            <w:pPr>
              <w:spacing w:line="276" w:lineRule="auto"/>
              <w:jc w:val="center"/>
              <w:rPr>
                <w:rFonts w:hint="eastAsia" w:ascii="宋体" w:hAnsi="宋体" w:eastAsia="宋体" w:cs="Times New Roman"/>
                <w:color w:val="000000"/>
                <w:szCs w:val="21"/>
              </w:rPr>
            </w:pPr>
          </w:p>
        </w:tc>
        <w:tc>
          <w:tcPr>
            <w:tcW w:w="8093" w:type="dxa"/>
            <w:gridSpan w:val="5"/>
            <w:vAlign w:val="center"/>
          </w:tcPr>
          <w:p w14:paraId="7BCE01C3">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了解人类社会同一群体所简化为数据背后的内在关联；学会用科学的检验方法去认识教育现象与社会现象。</w:t>
            </w:r>
          </w:p>
        </w:tc>
      </w:tr>
      <w:tr w14:paraId="3F7E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599954C">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8.测验信度分析</w:t>
            </w:r>
          </w:p>
        </w:tc>
        <w:tc>
          <w:tcPr>
            <w:tcW w:w="1701" w:type="dxa"/>
            <w:vAlign w:val="center"/>
          </w:tcPr>
          <w:p w14:paraId="30016D1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Arial" w:hAnsi="Arial" w:eastAsia="宋体" w:cs="Arial"/>
                <w:color w:val="000000"/>
                <w:szCs w:val="21"/>
              </w:rPr>
              <w:t>α</w:t>
            </w:r>
            <w:r>
              <w:rPr>
                <w:rFonts w:hint="eastAsia" w:ascii="宋体" w:hAnsi="宋体" w:eastAsia="宋体" w:cs="Times New Roman"/>
                <w:color w:val="000000"/>
                <w:szCs w:val="21"/>
              </w:rPr>
              <w:t>系数与分半信度</w:t>
            </w:r>
          </w:p>
          <w:p w14:paraId="41C1BA3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（2）评分者一致性系数</w:t>
            </w:r>
          </w:p>
        </w:tc>
        <w:tc>
          <w:tcPr>
            <w:tcW w:w="1134" w:type="dxa"/>
            <w:vAlign w:val="center"/>
          </w:tcPr>
          <w:p w14:paraId="401244D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17E80363">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把握测量的信度与效度等测量学指标概念与类别；</w:t>
            </w:r>
          </w:p>
          <w:p w14:paraId="3AD6BC8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掌握测量的各类信度检验的适用条件、SPSS的操作过程、数据的可视化处理及结果解释。</w:t>
            </w:r>
          </w:p>
        </w:tc>
        <w:tc>
          <w:tcPr>
            <w:tcW w:w="1560" w:type="dxa"/>
            <w:vAlign w:val="center"/>
          </w:tcPr>
          <w:p w14:paraId="5B0BD039">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F400F98">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w:t>
            </w:r>
            <w:r>
              <w:rPr>
                <w:rFonts w:hint="eastAsia" w:ascii="宋体" w:hAnsi="宋体" w:eastAsia="宋体" w:cs="Times New Roman"/>
                <w:color w:val="000000"/>
                <w:szCs w:val="21"/>
              </w:rPr>
              <w:t>3.课堂练习</w:t>
            </w:r>
          </w:p>
          <w:p w14:paraId="07A321D9">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8563D67">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3363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D856717">
            <w:pPr>
              <w:spacing w:line="264" w:lineRule="auto"/>
              <w:jc w:val="center"/>
              <w:rPr>
                <w:rFonts w:hint="eastAsia" w:ascii="宋体" w:hAnsi="宋体" w:eastAsia="宋体" w:cs="Times New Roman"/>
                <w:color w:val="000000"/>
                <w:szCs w:val="21"/>
              </w:rPr>
            </w:pPr>
          </w:p>
        </w:tc>
        <w:tc>
          <w:tcPr>
            <w:tcW w:w="8093" w:type="dxa"/>
            <w:gridSpan w:val="5"/>
            <w:vAlign w:val="center"/>
          </w:tcPr>
          <w:p w14:paraId="31D0D40B">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理解认识事物的规律需要依靠可靠的工具，了解判别可靠性的客观化标准。</w:t>
            </w:r>
          </w:p>
        </w:tc>
      </w:tr>
    </w:tbl>
    <w:p w14:paraId="0A278D0A">
      <w:pPr>
        <w:spacing w:line="360" w:lineRule="auto"/>
        <w:jc w:val="left"/>
        <w:rPr>
          <w:rFonts w:ascii="Times New Roman" w:hAnsi="Times New Roman" w:eastAsia="宋体" w:cs="Times New Roman"/>
          <w:sz w:val="24"/>
        </w:rPr>
      </w:pPr>
    </w:p>
    <w:p w14:paraId="2A5A7DA5">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6C92E19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9E4E54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D3C87A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481"/>
        <w:gridCol w:w="1481"/>
        <w:gridCol w:w="1481"/>
        <w:gridCol w:w="1483"/>
        <w:gridCol w:w="891"/>
      </w:tblGrid>
      <w:tr w14:paraId="67AC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vAlign w:val="center"/>
          </w:tcPr>
          <w:p w14:paraId="562D91C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477" w:type="pct"/>
            <w:gridSpan w:val="4"/>
            <w:vAlign w:val="center"/>
          </w:tcPr>
          <w:p w14:paraId="2D3E2CED">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523" w:type="pct"/>
            <w:vMerge w:val="restart"/>
            <w:vAlign w:val="center"/>
          </w:tcPr>
          <w:p w14:paraId="454E4B53">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5E6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632CB1A1">
            <w:pPr>
              <w:spacing w:line="360" w:lineRule="auto"/>
              <w:jc w:val="center"/>
              <w:rPr>
                <w:rFonts w:hint="eastAsia" w:ascii="宋体" w:hAnsi="宋体" w:eastAsia="宋体" w:cs="Times New Roman"/>
                <w:szCs w:val="21"/>
              </w:rPr>
            </w:pPr>
          </w:p>
        </w:tc>
        <w:tc>
          <w:tcPr>
            <w:tcW w:w="869" w:type="pct"/>
            <w:vAlign w:val="center"/>
          </w:tcPr>
          <w:p w14:paraId="44A765C0">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869" w:type="pct"/>
            <w:vAlign w:val="center"/>
          </w:tcPr>
          <w:p w14:paraId="64F73EAE">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869" w:type="pct"/>
            <w:vAlign w:val="center"/>
          </w:tcPr>
          <w:p w14:paraId="7C2C816F">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870" w:type="pct"/>
          </w:tcPr>
          <w:p w14:paraId="526E7290">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523" w:type="pct"/>
            <w:vMerge w:val="continue"/>
            <w:vAlign w:val="center"/>
          </w:tcPr>
          <w:p w14:paraId="722DE63C">
            <w:pPr>
              <w:spacing w:line="360" w:lineRule="auto"/>
              <w:jc w:val="center"/>
              <w:rPr>
                <w:rFonts w:hint="eastAsia" w:ascii="宋体" w:hAnsi="宋体" w:eastAsia="宋体" w:cs="Times New Roman"/>
                <w:szCs w:val="21"/>
              </w:rPr>
            </w:pPr>
          </w:p>
        </w:tc>
      </w:tr>
      <w:tr w14:paraId="2431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5836D21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869" w:type="pct"/>
            <w:vAlign w:val="center"/>
          </w:tcPr>
          <w:p w14:paraId="4A26923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44C474B1">
            <w:pPr>
              <w:spacing w:line="360" w:lineRule="auto"/>
              <w:jc w:val="center"/>
              <w:rPr>
                <w:rFonts w:hint="eastAsia" w:ascii="宋体" w:hAnsi="宋体" w:eastAsia="宋体" w:cs="Times New Roman"/>
                <w:szCs w:val="21"/>
              </w:rPr>
            </w:pPr>
            <w:r>
              <w:rPr>
                <w:rFonts w:hint="eastAsia" w:ascii="宋体" w:hAnsi="宋体" w:eastAsia="宋体" w:cs="Times New Roman"/>
                <w:szCs w:val="21"/>
              </w:rPr>
              <w:sym w:font="Wingdings 2" w:char="F050"/>
            </w:r>
          </w:p>
        </w:tc>
        <w:tc>
          <w:tcPr>
            <w:tcW w:w="869" w:type="pct"/>
            <w:vAlign w:val="center"/>
          </w:tcPr>
          <w:p w14:paraId="3FBD77E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70" w:type="pct"/>
          </w:tcPr>
          <w:p w14:paraId="62AE9FD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23" w:type="pct"/>
            <w:vAlign w:val="center"/>
          </w:tcPr>
          <w:p w14:paraId="603674F6">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217A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284E8AF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869" w:type="pct"/>
            <w:vAlign w:val="center"/>
          </w:tcPr>
          <w:p w14:paraId="6835209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592FD69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1B4805E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70" w:type="pct"/>
          </w:tcPr>
          <w:p w14:paraId="3516EE0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23" w:type="pct"/>
            <w:vAlign w:val="center"/>
          </w:tcPr>
          <w:p w14:paraId="4BB608C3">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30C8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065FD1D8">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869" w:type="pct"/>
            <w:vAlign w:val="center"/>
          </w:tcPr>
          <w:p w14:paraId="2501F73B">
            <w:pPr>
              <w:spacing w:line="360" w:lineRule="auto"/>
              <w:jc w:val="center"/>
              <w:rPr>
                <w:rFonts w:hint="eastAsia" w:ascii="宋体" w:hAnsi="宋体" w:eastAsia="宋体" w:cs="Times New Roman"/>
                <w:szCs w:val="21"/>
              </w:rPr>
            </w:pPr>
          </w:p>
        </w:tc>
        <w:tc>
          <w:tcPr>
            <w:tcW w:w="869" w:type="pct"/>
            <w:vAlign w:val="center"/>
          </w:tcPr>
          <w:p w14:paraId="577648E8">
            <w:pPr>
              <w:spacing w:line="360" w:lineRule="auto"/>
              <w:jc w:val="center"/>
              <w:rPr>
                <w:rFonts w:hint="eastAsia" w:ascii="宋体" w:hAnsi="宋体" w:eastAsia="宋体" w:cs="Times New Roman"/>
                <w:szCs w:val="21"/>
              </w:rPr>
            </w:pPr>
          </w:p>
        </w:tc>
        <w:tc>
          <w:tcPr>
            <w:tcW w:w="869" w:type="pct"/>
            <w:vAlign w:val="center"/>
          </w:tcPr>
          <w:p w14:paraId="6FD7C824">
            <w:pPr>
              <w:spacing w:line="360" w:lineRule="auto"/>
              <w:jc w:val="center"/>
              <w:rPr>
                <w:rFonts w:hint="eastAsia" w:ascii="宋体" w:hAnsi="宋体" w:eastAsia="宋体" w:cs="Times New Roman"/>
                <w:szCs w:val="21"/>
              </w:rPr>
            </w:pPr>
          </w:p>
        </w:tc>
        <w:tc>
          <w:tcPr>
            <w:tcW w:w="870" w:type="pct"/>
          </w:tcPr>
          <w:p w14:paraId="44260171">
            <w:pPr>
              <w:spacing w:line="360" w:lineRule="auto"/>
              <w:jc w:val="center"/>
              <w:rPr>
                <w:rFonts w:hint="eastAsia" w:ascii="宋体" w:hAnsi="宋体" w:eastAsia="宋体" w:cs="Times New Roman"/>
                <w:szCs w:val="21"/>
              </w:rPr>
            </w:pPr>
          </w:p>
        </w:tc>
        <w:tc>
          <w:tcPr>
            <w:tcW w:w="523" w:type="pct"/>
            <w:vAlign w:val="center"/>
          </w:tcPr>
          <w:p w14:paraId="0112295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CD0A7DD">
      <w:pPr>
        <w:spacing w:before="156" w:beforeLines="50" w:line="360" w:lineRule="auto"/>
        <w:jc w:val="left"/>
        <w:rPr>
          <w:rFonts w:ascii="Times New Roman" w:hAnsi="Times New Roman" w:eastAsia="宋体" w:cs="Times New Roman"/>
          <w:b/>
          <w:szCs w:val="21"/>
        </w:rPr>
      </w:pPr>
    </w:p>
    <w:p w14:paraId="0BC48DE3">
      <w:pPr>
        <w:spacing w:before="156" w:beforeLines="50" w:line="360" w:lineRule="auto"/>
        <w:jc w:val="left"/>
        <w:rPr>
          <w:rFonts w:ascii="Times New Roman" w:hAnsi="Times New Roman" w:eastAsia="宋体" w:cs="Times New Roman"/>
          <w:b/>
          <w:szCs w:val="21"/>
        </w:rPr>
      </w:pPr>
    </w:p>
    <w:p w14:paraId="0E83E8F7">
      <w:pPr>
        <w:spacing w:before="156" w:beforeLines="50" w:line="360" w:lineRule="auto"/>
        <w:jc w:val="left"/>
        <w:rPr>
          <w:rFonts w:ascii="Times New Roman" w:hAnsi="Times New Roman" w:eastAsia="宋体" w:cs="Times New Roman"/>
          <w:b/>
          <w:szCs w:val="21"/>
        </w:rPr>
      </w:pPr>
    </w:p>
    <w:p w14:paraId="758CFCFE">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CD299B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660DAD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38C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CB7B17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E1FC96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47EE7B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CB6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D53D8C7">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4AFF22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平时作业共5次，包括SPSS操作的规范性、数据输出的准确性、结果解释的合理性。</w:t>
            </w:r>
          </w:p>
        </w:tc>
        <w:tc>
          <w:tcPr>
            <w:tcW w:w="0" w:type="auto"/>
            <w:vAlign w:val="center"/>
          </w:tcPr>
          <w:p w14:paraId="4CE9B449">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68B2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098905">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32DA5956">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7DA20DE2">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CFB888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0F8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31B3266">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15693BF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12E1C18">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052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AED640">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65E22BA">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操作题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统计基本理论和知识型题目占2</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%；考核学生的统计操作题（输出可视化与结果解释）占8</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04670C5F">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6A03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E936D9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8E03198">
            <w:pPr>
              <w:jc w:val="left"/>
              <w:rPr>
                <w:rFonts w:ascii="Times New Roman" w:hAnsi="Times New Roman" w:eastAsia="宋体" w:cs="Times New Roman"/>
                <w:szCs w:val="21"/>
              </w:rPr>
            </w:pPr>
          </w:p>
        </w:tc>
        <w:tc>
          <w:tcPr>
            <w:tcW w:w="0" w:type="auto"/>
            <w:vAlign w:val="center"/>
          </w:tcPr>
          <w:p w14:paraId="3BDB601F">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E6719FD">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45CD42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844B750">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65"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65" DrawAspect="Content" ObjectID="_1468075765" r:id="rId51">
            <o:LockedField>false</o:LockedField>
          </o:OLEObject>
        </w:object>
      </w:r>
    </w:p>
    <w:p w14:paraId="6F39405E">
      <w:pPr>
        <w:spacing w:before="156" w:beforeLines="50"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五、有关说明</w:t>
      </w:r>
    </w:p>
    <w:p w14:paraId="02673AD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D499BD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1BEBFDA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476F57F2">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刘红云编著.SPSS基础与应用.北京：中国人民出版社，2</w:t>
      </w:r>
      <w:r>
        <w:rPr>
          <w:rFonts w:ascii="Times New Roman" w:hAnsi="Times New Roman" w:eastAsia="宋体" w:cs="Times New Roman"/>
          <w:bCs/>
          <w:color w:val="000000"/>
          <w:szCs w:val="21"/>
        </w:rPr>
        <w:t>0</w:t>
      </w:r>
      <w:r>
        <w:rPr>
          <w:rFonts w:hint="eastAsia" w:ascii="Times New Roman" w:hAnsi="Times New Roman" w:eastAsia="宋体" w:cs="Times New Roman"/>
          <w:bCs/>
          <w:color w:val="000000"/>
          <w:szCs w:val="21"/>
        </w:rPr>
        <w:t>22.</w:t>
      </w:r>
    </w:p>
    <w:p w14:paraId="158DBC0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79741017">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1.张厚粲、徐建平主编.现代心理与教育统计学（第5版）.北京：北京师范大学出版社，2020.</w:t>
      </w:r>
    </w:p>
    <w:p w14:paraId="749A4C98">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2.戴海琦，张峰主编.心理与教育测量（第4版）.广州：暨南大学出版社，2018</w:t>
      </w:r>
      <w:r>
        <w:rPr>
          <w:rFonts w:ascii="Times New Roman" w:hAnsi="Times New Roman" w:eastAsia="宋体" w:cs="Times New Roman"/>
          <w:bCs/>
          <w:color w:val="000000"/>
          <w:szCs w:val="21"/>
        </w:rPr>
        <w:t>.</w:t>
      </w:r>
    </w:p>
    <w:p w14:paraId="5E79685D">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3.张屹，周平红.教育研究中定量数据的统计与分析：基于SPSS的应用案例解析.北京：北京大学出版社，2015.</w:t>
      </w:r>
    </w:p>
    <w:p w14:paraId="72A5AF71">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执笔人：巫文胜</w:t>
      </w:r>
    </w:p>
    <w:p w14:paraId="59488553">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 xml:space="preserve">                                                     审定人：王健</w:t>
      </w:r>
    </w:p>
    <w:p w14:paraId="4E2FA3FB">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审批人：张志欣</w:t>
      </w:r>
    </w:p>
    <w:p w14:paraId="14B2C46E">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2926672F">
      <w:pPr>
        <w:spacing w:line="360" w:lineRule="auto"/>
        <w:ind w:firstLine="411" w:firstLineChars="196"/>
        <w:jc w:val="left"/>
        <w:rPr>
          <w:rFonts w:hint="eastAsia" w:ascii="宋体" w:hAnsi="宋体" w:eastAsia="宋体" w:cs="Times New Roman"/>
          <w:color w:val="000000"/>
          <w:szCs w:val="21"/>
        </w:rPr>
      </w:pPr>
    </w:p>
    <w:p w14:paraId="41514AE5">
      <w:pPr>
        <w:spacing w:line="360" w:lineRule="auto"/>
        <w:ind w:firstLine="4200" w:firstLineChars="2000"/>
        <w:rPr>
          <w:rFonts w:ascii="Times New Roman" w:hAnsi="Times New Roman" w:eastAsia="宋体" w:cs="Times New Roman"/>
          <w:sz w:val="24"/>
        </w:rPr>
      </w:pPr>
      <w:r>
        <w:rPr>
          <w:rFonts w:hint="eastAsia"/>
        </w:rPr>
        <w:br w:type="page"/>
      </w:r>
    </w:p>
    <w:p w14:paraId="66B2FE58">
      <w:pPr>
        <w:spacing w:line="360" w:lineRule="auto"/>
        <w:jc w:val="center"/>
        <w:outlineLvl w:val="0"/>
        <w:rPr>
          <w:rFonts w:ascii="Times New Roman" w:hAnsi="Times New Roman" w:eastAsia="宋体" w:cs="Times New Roman"/>
          <w:b/>
          <w:sz w:val="44"/>
          <w:szCs w:val="44"/>
        </w:rPr>
      </w:pPr>
      <w:bookmarkStart w:id="230" w:name="_Toc20254"/>
      <w:bookmarkStart w:id="231" w:name="_Toc23533"/>
      <w:r>
        <w:rPr>
          <w:rStyle w:val="29"/>
          <w:rFonts w:hint="eastAsia"/>
        </w:rPr>
        <w:t>《科学概论》课程教学大纲</w:t>
      </w:r>
      <w:bookmarkEnd w:id="230"/>
      <w:bookmarkEnd w:id="231"/>
    </w:p>
    <w:p w14:paraId="7BD456EC">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（Introduction to Science）</w:t>
      </w:r>
    </w:p>
    <w:p w14:paraId="1C179D96">
      <w:pPr>
        <w:spacing w:line="360" w:lineRule="auto"/>
        <w:jc w:val="center"/>
        <w:rPr>
          <w:rFonts w:ascii="Times New Roman" w:hAnsi="Times New Roman" w:eastAsia="宋体" w:cs="Times New Roman"/>
          <w:bCs/>
          <w:sz w:val="30"/>
          <w:szCs w:val="30"/>
        </w:rPr>
      </w:pPr>
    </w:p>
    <w:p w14:paraId="51055517">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sz w:val="24"/>
        </w:rPr>
        <w:t>课程名称：</w:t>
      </w:r>
      <w:r>
        <w:rPr>
          <w:rFonts w:ascii="Times New Roman" w:hAnsi="Times New Roman" w:eastAsia="宋体" w:cs="Times New Roman"/>
          <w:b/>
          <w:bCs/>
          <w:sz w:val="24"/>
        </w:rPr>
        <w:t xml:space="preserve"> </w:t>
      </w:r>
      <w:r>
        <w:rPr>
          <w:rFonts w:hint="eastAsia" w:ascii="Times New Roman" w:hAnsi="Times New Roman" w:eastAsia="宋体" w:cs="Times New Roman"/>
          <w:b/>
          <w:sz w:val="24"/>
        </w:rPr>
        <w:t>科学概论</w:t>
      </w:r>
    </w:p>
    <w:p w14:paraId="549E25C7">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课程代码：</w:t>
      </w:r>
      <w:r>
        <w:rPr>
          <w:rFonts w:ascii="Times New Roman" w:hAnsi="Times New Roman" w:eastAsia="宋体" w:cs="Times New Roman"/>
          <w:b/>
          <w:sz w:val="24"/>
        </w:rPr>
        <w:t>2401031</w:t>
      </w:r>
    </w:p>
    <w:p w14:paraId="521C15A3">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学 分：</w:t>
      </w:r>
      <w:r>
        <w:rPr>
          <w:rFonts w:hint="eastAsia" w:ascii="Times New Roman" w:hAnsi="Times New Roman" w:eastAsia="宋体" w:cs="Times New Roman"/>
          <w:b/>
          <w:sz w:val="24"/>
        </w:rPr>
        <w:t>2</w:t>
      </w:r>
    </w:p>
    <w:p w14:paraId="1A76FFF5">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学 时：</w:t>
      </w:r>
      <w:r>
        <w:rPr>
          <w:rFonts w:hint="eastAsia" w:ascii="Times New Roman" w:hAnsi="Times New Roman" w:eastAsia="宋体" w:cs="Times New Roman"/>
          <w:b/>
          <w:sz w:val="24"/>
        </w:rPr>
        <w:t>32</w:t>
      </w:r>
      <w:r>
        <w:rPr>
          <w:rFonts w:ascii="Times New Roman" w:hAnsi="Times New Roman" w:eastAsia="宋体" w:cs="Times New Roman"/>
          <w:b/>
          <w:sz w:val="24"/>
        </w:rPr>
        <w:t>（其中：讲授学时</w:t>
      </w:r>
      <w:r>
        <w:rPr>
          <w:rFonts w:hint="eastAsia" w:ascii="Times New Roman" w:hAnsi="Times New Roman" w:eastAsia="宋体" w:cs="Times New Roman"/>
          <w:b/>
          <w:sz w:val="24"/>
        </w:rPr>
        <w:t>32</w:t>
      </w:r>
      <w:r>
        <w:rPr>
          <w:rFonts w:ascii="Times New Roman" w:hAnsi="Times New Roman" w:eastAsia="宋体" w:cs="Times New Roman"/>
          <w:b/>
          <w:sz w:val="24"/>
        </w:rPr>
        <w:t>）</w:t>
      </w:r>
    </w:p>
    <w:p w14:paraId="62462980">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先修课程：</w:t>
      </w:r>
      <w:r>
        <w:rPr>
          <w:rFonts w:ascii="Times New Roman" w:hAnsi="Times New Roman" w:eastAsia="宋体" w:cs="Times New Roman"/>
          <w:b/>
          <w:sz w:val="24"/>
        </w:rPr>
        <w:t>无</w:t>
      </w:r>
    </w:p>
    <w:p w14:paraId="38B308FD">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适用专业：</w:t>
      </w:r>
      <w:r>
        <w:rPr>
          <w:rFonts w:ascii="Times New Roman" w:hAnsi="Times New Roman" w:eastAsia="宋体" w:cs="Times New Roman"/>
          <w:b/>
          <w:sz w:val="24"/>
        </w:rPr>
        <w:t>小学教育（</w:t>
      </w:r>
      <w:r>
        <w:rPr>
          <w:rFonts w:hint="eastAsia" w:ascii="Times New Roman" w:hAnsi="Times New Roman" w:eastAsia="宋体" w:cs="Times New Roman"/>
          <w:b/>
          <w:sz w:val="24"/>
        </w:rPr>
        <w:t>理</w:t>
      </w:r>
      <w:r>
        <w:rPr>
          <w:rFonts w:ascii="Times New Roman" w:hAnsi="Times New Roman" w:eastAsia="宋体" w:cs="Times New Roman"/>
          <w:b/>
          <w:sz w:val="24"/>
        </w:rPr>
        <w:t>）</w:t>
      </w:r>
    </w:p>
    <w:p w14:paraId="476CA48E">
      <w:pPr>
        <w:spacing w:line="360" w:lineRule="auto"/>
        <w:ind w:firstLine="482" w:firstLineChars="200"/>
        <w:jc w:val="left"/>
        <w:rPr>
          <w:rFonts w:ascii="Times New Roman" w:hAnsi="Times New Roman" w:eastAsia="宋体" w:cs="Times New Roman"/>
          <w:b/>
          <w:sz w:val="24"/>
        </w:rPr>
      </w:pPr>
    </w:p>
    <w:p w14:paraId="2DF1C2D7">
      <w:pPr>
        <w:spacing w:line="360" w:lineRule="auto"/>
        <w:ind w:firstLine="562" w:firstLineChars="200"/>
        <w:jc w:val="left"/>
        <w:rPr>
          <w:rFonts w:ascii="Times New Roman" w:hAnsi="Times New Roman" w:eastAsia="宋体" w:cs="Times New Roman"/>
          <w:b/>
          <w:bCs/>
          <w:sz w:val="28"/>
          <w:szCs w:val="28"/>
        </w:rPr>
      </w:pPr>
      <w:r>
        <w:rPr>
          <w:rFonts w:ascii="Times New Roman" w:hAnsi="Times New Roman" w:eastAsia="宋体" w:cs="Times New Roman"/>
          <w:b/>
          <w:bCs/>
          <w:sz w:val="28"/>
          <w:szCs w:val="28"/>
        </w:rPr>
        <w:t>一、课程简介</w:t>
      </w:r>
    </w:p>
    <w:p w14:paraId="2ECC711F">
      <w:pPr>
        <w:spacing w:line="360" w:lineRule="auto"/>
        <w:ind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本课程是小学教育的专业基础必修课，以自然科学的基础知识、基本概念、基本原理和基本方法为基础，主线围绕人与自然的关系协调，核心关注学生发展，紧密联系小学科学教育教学实际。课程旨在培养具有一定科学素养的合格小学教师。通过学习，本课程帮助学生掌握自然科学基础知识，学习自然科学的基本思想和方法，提高分析问题和解决问题的能力，开阔眼界，完善知识结构，培养科学态度，提高科学素养，以适应小学教师教育教学的需求。</w:t>
      </w:r>
    </w:p>
    <w:p w14:paraId="741C82E2">
      <w:pPr>
        <w:spacing w:line="360" w:lineRule="auto"/>
        <w:ind w:firstLine="482" w:firstLineChars="200"/>
        <w:jc w:val="left"/>
        <w:rPr>
          <w:rFonts w:ascii="Times New Roman" w:hAnsi="Times New Roman" w:eastAsia="宋体" w:cs="Times New Roman"/>
          <w:b/>
          <w:sz w:val="24"/>
        </w:rPr>
      </w:pPr>
    </w:p>
    <w:p w14:paraId="04D60307">
      <w:pPr>
        <w:spacing w:line="360" w:lineRule="auto"/>
        <w:jc w:val="left"/>
        <w:rPr>
          <w:rFonts w:hint="eastAsia" w:ascii="宋体" w:hAnsi="宋体" w:eastAsia="宋体" w:cs="Times New Roman"/>
          <w:b/>
          <w:color w:val="000000"/>
          <w:sz w:val="24"/>
        </w:rPr>
      </w:pPr>
    </w:p>
    <w:p w14:paraId="213EDED0">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p>
    <w:p w14:paraId="03F69F0B">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（一）课程具体目标</w:t>
      </w:r>
    </w:p>
    <w:p w14:paraId="2740156E">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 xml:space="preserve">目标1. </w:t>
      </w:r>
      <w:r>
        <w:rPr>
          <w:rFonts w:hint="eastAsia" w:ascii="宋体" w:hAnsi="宋体" w:eastAsia="宋体" w:cs="Times New Roman"/>
          <w:bCs/>
          <w:color w:val="000000"/>
          <w:sz w:val="24"/>
        </w:rPr>
        <w:t>掌握自然科学的基础知识、基本概念和基本原理，理解科学研究的基本方法，形成自然科学的整体认知和科学素养。</w:t>
      </w:r>
    </w:p>
    <w:p w14:paraId="6082EBC9">
      <w:pPr>
        <w:spacing w:line="360" w:lineRule="auto"/>
        <w:ind w:firstLine="482" w:firstLineChars="200"/>
        <w:rPr>
          <w:rFonts w:hint="eastAsia" w:ascii="宋体" w:hAnsi="宋体" w:eastAsia="宋体"/>
          <w:bCs/>
          <w:color w:val="000000"/>
          <w:sz w:val="24"/>
        </w:rPr>
      </w:pPr>
      <w:r>
        <w:rPr>
          <w:rFonts w:hint="eastAsia" w:ascii="宋体" w:hAnsi="宋体" w:eastAsia="宋体" w:cs="Times New Roman"/>
          <w:b/>
          <w:color w:val="000000"/>
          <w:sz w:val="24"/>
        </w:rPr>
        <w:t>目标2.</w:t>
      </w:r>
      <w:r>
        <w:rPr>
          <w:rFonts w:hint="eastAsia" w:ascii="宋体" w:hAnsi="宋体" w:eastAsia="宋体"/>
          <w:b/>
          <w:bCs/>
          <w:color w:val="000000"/>
          <w:sz w:val="24"/>
        </w:rPr>
        <w:t xml:space="preserve"> </w:t>
      </w:r>
      <w:r>
        <w:rPr>
          <w:rFonts w:ascii="宋体" w:hAnsi="宋体" w:eastAsia="宋体"/>
          <w:bCs/>
          <w:color w:val="000000"/>
          <w:sz w:val="24"/>
        </w:rPr>
        <w:t>熟悉小学科学教育的知识体系，掌握小学科学领域的核心概念、基本原理和主要技能；能够结合小学教育实际，运用科学实验和探究活动提升学生的科学思维能力，为小学科学课程教学提供扎实的学科支撑。</w:t>
      </w:r>
    </w:p>
    <w:p w14:paraId="199C5B28">
      <w:pPr>
        <w:spacing w:line="360" w:lineRule="auto"/>
        <w:ind w:firstLine="482" w:firstLineChars="200"/>
        <w:rPr>
          <w:rFonts w:hint="eastAsia" w:ascii="宋体" w:hAnsi="宋体" w:eastAsia="宋体" w:cs="Times New Roman"/>
          <w:bCs/>
          <w:color w:val="000000"/>
          <w:sz w:val="24"/>
        </w:rPr>
      </w:pPr>
      <w:r>
        <w:rPr>
          <w:rFonts w:hint="eastAsia" w:ascii="宋体" w:hAnsi="宋体" w:eastAsia="宋体" w:cs="Times New Roman"/>
          <w:b/>
          <w:color w:val="000000"/>
          <w:sz w:val="24"/>
        </w:rPr>
        <w:t xml:space="preserve">目标3. </w:t>
      </w:r>
      <w:r>
        <w:rPr>
          <w:rFonts w:ascii="宋体" w:hAnsi="宋体" w:eastAsia="宋体" w:cs="Times New Roman"/>
          <w:bCs/>
          <w:color w:val="000000"/>
          <w:sz w:val="24"/>
        </w:rPr>
        <w:t>具备科学知识的整合能力，能够结合小学其他课程及社会实践，设计跨学科综合性科学活动，提升小学教育的知识传授能力和科学实践能力。</w:t>
      </w:r>
    </w:p>
    <w:p w14:paraId="1E61DEE8">
      <w:pPr>
        <w:spacing w:before="156" w:beforeLines="50" w:after="156" w:afterLines="50"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（二）课程目标及其对毕业要求指标点的支撑</w:t>
      </w:r>
    </w:p>
    <w:tbl>
      <w:tblPr>
        <w:tblStyle w:val="14"/>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0"/>
        <w:gridCol w:w="5722"/>
        <w:gridCol w:w="1198"/>
      </w:tblGrid>
      <w:tr w14:paraId="68BA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110" w:type="dxa"/>
            <w:vAlign w:val="center"/>
          </w:tcPr>
          <w:p w14:paraId="2BB127CD">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w:t>
            </w:r>
          </w:p>
        </w:tc>
        <w:tc>
          <w:tcPr>
            <w:tcW w:w="5722" w:type="dxa"/>
            <w:vAlign w:val="center"/>
          </w:tcPr>
          <w:p w14:paraId="46509BD2">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毕业要求指标点</w:t>
            </w:r>
          </w:p>
        </w:tc>
        <w:tc>
          <w:tcPr>
            <w:tcW w:w="1198" w:type="dxa"/>
            <w:vAlign w:val="center"/>
          </w:tcPr>
          <w:p w14:paraId="1D76918C">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r>
      <w:tr w14:paraId="54DB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110" w:type="dxa"/>
            <w:vAlign w:val="center"/>
          </w:tcPr>
          <w:p w14:paraId="50576386">
            <w:pPr>
              <w:spacing w:line="276" w:lineRule="auto"/>
              <w:jc w:val="left"/>
              <w:rPr>
                <w:rFonts w:ascii="Times New Roman" w:hAnsi="Times New Roman" w:eastAsia="宋体" w:cs="Times New Roman"/>
                <w:sz w:val="24"/>
              </w:rPr>
            </w:pPr>
            <w:r>
              <w:rPr>
                <w:rFonts w:ascii="Times New Roman" w:hAnsi="Times New Roman" w:eastAsia="宋体" w:cs="Times New Roman"/>
                <w:sz w:val="24"/>
              </w:rPr>
              <w:t>毕业要求3：学科素养</w:t>
            </w:r>
          </w:p>
        </w:tc>
        <w:tc>
          <w:tcPr>
            <w:tcW w:w="5722" w:type="dxa"/>
            <w:vAlign w:val="center"/>
          </w:tcPr>
          <w:p w14:paraId="4391FF12">
            <w:pPr>
              <w:spacing w:line="276" w:lineRule="auto"/>
              <w:jc w:val="left"/>
              <w:rPr>
                <w:rFonts w:hint="eastAsia" w:ascii="宋体" w:hAnsi="宋体" w:eastAsia="宋体" w:cs="Times New Roman"/>
                <w:sz w:val="24"/>
              </w:rPr>
            </w:pPr>
            <w:r>
              <w:rPr>
                <w:rFonts w:hint="eastAsia" w:ascii="宋体" w:hAnsi="宋体" w:eastAsia="宋体" w:cs="宋体"/>
                <w:kern w:val="0"/>
                <w:sz w:val="24"/>
              </w:rPr>
              <w:t>指标点</w:t>
            </w:r>
            <w:r>
              <w:rPr>
                <w:rFonts w:hint="eastAsia" w:ascii="宋体" w:hAnsi="宋体" w:eastAsia="宋体" w:cs="宋体"/>
                <w:sz w:val="24"/>
              </w:rPr>
              <w:t>3-1：【通识知识广博】具有小学教育本科专业相应的自然科学和人文社会科学知识素养。</w:t>
            </w:r>
          </w:p>
        </w:tc>
        <w:tc>
          <w:tcPr>
            <w:tcW w:w="1198" w:type="dxa"/>
            <w:vAlign w:val="center"/>
          </w:tcPr>
          <w:p w14:paraId="52F324E3">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目标1</w:t>
            </w:r>
          </w:p>
        </w:tc>
      </w:tr>
      <w:tr w14:paraId="7C4B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jc w:val="center"/>
        </w:trPr>
        <w:tc>
          <w:tcPr>
            <w:tcW w:w="2110" w:type="dxa"/>
            <w:vAlign w:val="center"/>
          </w:tcPr>
          <w:p w14:paraId="709C7457">
            <w:pPr>
              <w:spacing w:line="276" w:lineRule="auto"/>
              <w:jc w:val="left"/>
              <w:rPr>
                <w:rFonts w:ascii="Times New Roman" w:hAnsi="Times New Roman" w:eastAsia="宋体" w:cs="Times New Roman"/>
                <w:sz w:val="24"/>
              </w:rPr>
            </w:pPr>
            <w:r>
              <w:rPr>
                <w:rFonts w:ascii="Times New Roman" w:hAnsi="Times New Roman" w:eastAsia="宋体" w:cs="Times New Roman"/>
                <w:sz w:val="24"/>
              </w:rPr>
              <w:t>毕业要求3：学科素养</w:t>
            </w:r>
          </w:p>
        </w:tc>
        <w:tc>
          <w:tcPr>
            <w:tcW w:w="5722" w:type="dxa"/>
            <w:vAlign w:val="center"/>
          </w:tcPr>
          <w:p w14:paraId="3D28141C">
            <w:pPr>
              <w:spacing w:line="276" w:lineRule="auto"/>
              <w:jc w:val="left"/>
              <w:rPr>
                <w:rFonts w:hint="eastAsia" w:ascii="宋体" w:hAnsi="宋体" w:eastAsia="宋体" w:cs="Times New Roman"/>
                <w:sz w:val="24"/>
              </w:rPr>
            </w:pPr>
            <w:r>
              <w:rPr>
                <w:rFonts w:hint="eastAsia" w:ascii="宋体" w:hAnsi="宋体" w:eastAsia="宋体" w:cs="宋体"/>
                <w:kern w:val="0"/>
                <w:sz w:val="24"/>
              </w:rPr>
              <w:t>指标点</w:t>
            </w:r>
            <w:r>
              <w:rPr>
                <w:rFonts w:hint="eastAsia" w:ascii="宋体" w:hAnsi="宋体" w:eastAsia="宋体" w:cs="宋体"/>
                <w:sz w:val="24"/>
              </w:rPr>
              <w:t>3-2：【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8" w:type="dxa"/>
            <w:vAlign w:val="center"/>
          </w:tcPr>
          <w:p w14:paraId="45983C3B">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目标2</w:t>
            </w:r>
          </w:p>
        </w:tc>
      </w:tr>
      <w:tr w14:paraId="0FFE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2110" w:type="dxa"/>
            <w:vAlign w:val="center"/>
          </w:tcPr>
          <w:p w14:paraId="761D6317">
            <w:pPr>
              <w:spacing w:line="276" w:lineRule="auto"/>
              <w:jc w:val="left"/>
              <w:rPr>
                <w:rFonts w:ascii="Times New Roman" w:hAnsi="Times New Roman" w:eastAsia="宋体" w:cs="Times New Roman"/>
                <w:sz w:val="24"/>
              </w:rPr>
            </w:pPr>
            <w:r>
              <w:rPr>
                <w:rFonts w:ascii="Times New Roman" w:hAnsi="Times New Roman" w:eastAsia="宋体" w:cs="Times New Roman"/>
                <w:sz w:val="24"/>
              </w:rPr>
              <w:t>毕业要求3：学科素养</w:t>
            </w:r>
          </w:p>
        </w:tc>
        <w:tc>
          <w:tcPr>
            <w:tcW w:w="5722" w:type="dxa"/>
            <w:vAlign w:val="center"/>
          </w:tcPr>
          <w:p w14:paraId="606F6E34">
            <w:pPr>
              <w:spacing w:line="276" w:lineRule="auto"/>
              <w:jc w:val="left"/>
              <w:rPr>
                <w:rFonts w:hint="eastAsia" w:ascii="宋体" w:hAnsi="宋体" w:eastAsia="宋体" w:cs="Times New Roman"/>
                <w:sz w:val="24"/>
              </w:rPr>
            </w:pPr>
            <w:r>
              <w:rPr>
                <w:rFonts w:hint="eastAsia" w:ascii="宋体" w:hAnsi="宋体" w:eastAsia="宋体" w:cs="宋体"/>
                <w:kern w:val="0"/>
                <w:sz w:val="24"/>
              </w:rPr>
              <w:t>指标点</w:t>
            </w:r>
            <w:r>
              <w:rPr>
                <w:rFonts w:hint="eastAsia" w:ascii="宋体" w:hAnsi="宋体" w:eastAsia="宋体" w:cs="宋体"/>
                <w:sz w:val="24"/>
              </w:rPr>
              <w:t>3-3：【注重知识整合】了解所教学科与小学其他学科及与社会实践、小学生生活实践之间的联系，了解学科整合在小学教育中的价值，具有跨学科解决问题的意识和能力，能指导综合性学科教学活动。</w:t>
            </w:r>
          </w:p>
        </w:tc>
        <w:tc>
          <w:tcPr>
            <w:tcW w:w="1198" w:type="dxa"/>
            <w:vAlign w:val="center"/>
          </w:tcPr>
          <w:p w14:paraId="2DE39CAE">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目标3</w:t>
            </w:r>
          </w:p>
        </w:tc>
      </w:tr>
    </w:tbl>
    <w:p w14:paraId="3270D9DB">
      <w:pPr>
        <w:spacing w:before="156" w:beforeLines="50" w:line="360" w:lineRule="auto"/>
        <w:jc w:val="left"/>
        <w:rPr>
          <w:rFonts w:hint="eastAsia" w:ascii="宋体" w:hAnsi="宋体" w:eastAsia="宋体" w:cs="Times New Roman"/>
          <w:b/>
          <w:color w:val="000000"/>
          <w:sz w:val="24"/>
        </w:rPr>
      </w:pPr>
    </w:p>
    <w:p w14:paraId="2E627E87">
      <w:pPr>
        <w:spacing w:before="156" w:beforeLines="50"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（三）课程思政目标</w:t>
      </w:r>
    </w:p>
    <w:p w14:paraId="139CBDF6">
      <w:pPr>
        <w:spacing w:line="360" w:lineRule="auto"/>
        <w:ind w:left="450" w:leftChars="100" w:hanging="240" w:hangingChars="100"/>
        <w:jc w:val="left"/>
        <w:rPr>
          <w:rFonts w:hint="eastAsia" w:ascii="宋体" w:hAnsi="宋体" w:eastAsia="宋体" w:cs="Times New Roman"/>
          <w:color w:val="000000"/>
          <w:sz w:val="24"/>
        </w:rPr>
      </w:pPr>
      <w:r>
        <w:rPr>
          <w:rFonts w:hint="eastAsia" w:ascii="宋体" w:hAnsi="宋体" w:eastAsia="宋体" w:cs="Times New Roman"/>
          <w:color w:val="000000"/>
          <w:sz w:val="24"/>
        </w:rPr>
        <w:t xml:space="preserve">1. </w:t>
      </w:r>
      <w:r>
        <w:rPr>
          <w:rFonts w:ascii="宋体" w:hAnsi="宋体" w:eastAsia="宋体" w:cs="Times New Roman"/>
          <w:b/>
          <w:bCs/>
          <w:color w:val="000000"/>
          <w:sz w:val="24"/>
        </w:rPr>
        <w:t>培养科学精神与责任意识</w:t>
      </w:r>
    </w:p>
    <w:p w14:paraId="7F3053B1">
      <w:pPr>
        <w:spacing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t>帮助学生树立尊重科学、崇尚探索的科学精神，认识科学技术对社会进步的重要意义，同时增强社会责任感，为培养具有科学素养的小学生打下思想基础。</w:t>
      </w:r>
    </w:p>
    <w:p w14:paraId="7C079885">
      <w:pPr>
        <w:spacing w:line="360" w:lineRule="auto"/>
        <w:ind w:left="450" w:leftChars="100" w:hanging="240" w:hangingChars="100"/>
        <w:jc w:val="left"/>
        <w:rPr>
          <w:rFonts w:hint="eastAsia" w:ascii="宋体" w:hAnsi="宋体" w:eastAsia="宋体" w:cs="Times New Roman"/>
          <w:color w:val="000000"/>
          <w:sz w:val="24"/>
        </w:rPr>
      </w:pPr>
      <w:r>
        <w:rPr>
          <w:rFonts w:hint="eastAsia" w:ascii="宋体" w:hAnsi="宋体" w:eastAsia="宋体" w:cs="Times New Roman"/>
          <w:color w:val="000000"/>
          <w:sz w:val="24"/>
        </w:rPr>
        <w:t xml:space="preserve">2. </w:t>
      </w:r>
      <w:r>
        <w:rPr>
          <w:rFonts w:ascii="宋体" w:hAnsi="宋体" w:eastAsia="宋体" w:cs="Times New Roman"/>
          <w:b/>
          <w:bCs/>
          <w:color w:val="000000"/>
          <w:sz w:val="24"/>
        </w:rPr>
        <w:t>增强生态文明意识</w:t>
      </w:r>
    </w:p>
    <w:p w14:paraId="4A7323D2">
      <w:pPr>
        <w:spacing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t>通过对自然科学知识的学习，引导学生树立人与自然和谐共生的理念，强化生态保护意识，践行可持续发展观。</w:t>
      </w:r>
    </w:p>
    <w:p w14:paraId="3E3212B8">
      <w:pPr>
        <w:spacing w:line="360" w:lineRule="auto"/>
        <w:ind w:left="450" w:leftChars="100" w:hanging="240" w:hangingChars="100"/>
        <w:jc w:val="left"/>
        <w:rPr>
          <w:rFonts w:hint="eastAsia" w:ascii="宋体" w:hAnsi="宋体" w:eastAsia="宋体" w:cs="Times New Roman"/>
          <w:color w:val="000000"/>
          <w:sz w:val="24"/>
        </w:rPr>
      </w:pPr>
      <w:r>
        <w:rPr>
          <w:rFonts w:hint="eastAsia" w:ascii="宋体" w:hAnsi="宋体" w:eastAsia="宋体" w:cs="Times New Roman"/>
          <w:color w:val="000000"/>
          <w:sz w:val="24"/>
        </w:rPr>
        <w:t xml:space="preserve">3. </w:t>
      </w:r>
      <w:r>
        <w:rPr>
          <w:rFonts w:ascii="宋体" w:hAnsi="宋体" w:eastAsia="宋体" w:cs="Times New Roman"/>
          <w:b/>
          <w:bCs/>
          <w:color w:val="000000"/>
          <w:sz w:val="24"/>
        </w:rPr>
        <w:t>弘扬科学伦理与价值观</w:t>
      </w:r>
    </w:p>
    <w:p w14:paraId="2204F81C">
      <w:pPr>
        <w:spacing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t>帮助学生认识科技发展对社会的双重影响，正确看待科技进步中的伦理问题，形成对科学技术的理性态度和批判性思维。</w:t>
      </w:r>
    </w:p>
    <w:p w14:paraId="33AF06CA">
      <w:pPr>
        <w:spacing w:line="360" w:lineRule="auto"/>
        <w:ind w:left="210" w:leftChars="100"/>
        <w:jc w:val="left"/>
        <w:rPr>
          <w:rFonts w:hint="eastAsia" w:ascii="宋体" w:hAnsi="宋体" w:eastAsia="宋体" w:cs="Times New Roman"/>
          <w:color w:val="000000"/>
          <w:sz w:val="24"/>
        </w:rPr>
      </w:pPr>
      <w:r>
        <w:rPr>
          <w:rFonts w:hint="eastAsia" w:ascii="宋体" w:hAnsi="宋体" w:eastAsia="宋体" w:cs="Times New Roman"/>
          <w:color w:val="000000"/>
          <w:sz w:val="24"/>
        </w:rPr>
        <w:t xml:space="preserve">4. </w:t>
      </w:r>
      <w:r>
        <w:rPr>
          <w:rFonts w:ascii="宋体" w:hAnsi="宋体" w:eastAsia="宋体" w:cs="Times New Roman"/>
          <w:b/>
          <w:bCs/>
          <w:color w:val="000000"/>
          <w:sz w:val="24"/>
        </w:rPr>
        <w:t>激发爱国热情与家国情怀</w:t>
      </w:r>
      <w:r>
        <w:rPr>
          <w:rFonts w:hint="eastAsia" w:ascii="宋体" w:hAnsi="宋体" w:eastAsia="宋体" w:cs="Times New Roman"/>
          <w:color w:val="000000"/>
          <w:sz w:val="24"/>
        </w:rPr>
        <w:t xml:space="preserve"> </w:t>
      </w:r>
    </w:p>
    <w:p w14:paraId="5CA44B33">
      <w:pPr>
        <w:spacing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t>结合科学发展史中的经典案例，引导学生认识中国科学技术的贡献，增强民族自信心和自豪感，为培养德才兼备的小学教师提供思想支撑。</w:t>
      </w:r>
    </w:p>
    <w:p w14:paraId="25E5B8DF">
      <w:pPr>
        <w:spacing w:line="360" w:lineRule="auto"/>
        <w:jc w:val="left"/>
        <w:rPr>
          <w:rFonts w:hint="eastAsia" w:ascii="宋体" w:hAnsi="宋体" w:eastAsia="宋体" w:cs="Times New Roman"/>
          <w:color w:val="000000"/>
          <w:sz w:val="24"/>
        </w:rPr>
      </w:pPr>
    </w:p>
    <w:p w14:paraId="78F21894">
      <w:pPr>
        <w:spacing w:line="360" w:lineRule="auto"/>
        <w:jc w:val="left"/>
        <w:rPr>
          <w:rFonts w:hint="eastAsia" w:ascii="宋体" w:hAnsi="宋体" w:eastAsia="宋体" w:cs="Times New Roman"/>
          <w:color w:val="000000"/>
          <w:sz w:val="24"/>
        </w:rPr>
      </w:pPr>
    </w:p>
    <w:p w14:paraId="7AA5D03C">
      <w:pPr>
        <w:spacing w:line="360" w:lineRule="auto"/>
        <w:jc w:val="left"/>
        <w:rPr>
          <w:rFonts w:hint="eastAsia" w:ascii="宋体" w:hAnsi="宋体" w:eastAsia="宋体" w:cs="Times New Roman"/>
          <w:color w:val="000000"/>
          <w:sz w:val="24"/>
        </w:rPr>
      </w:pPr>
    </w:p>
    <w:p w14:paraId="46329258">
      <w:pPr>
        <w:spacing w:line="360" w:lineRule="auto"/>
        <w:jc w:val="left"/>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rPr>
        <w:t>三、教学内容与预期学习成效</w:t>
      </w:r>
    </w:p>
    <w:tbl>
      <w:tblPr>
        <w:tblStyle w:val="14"/>
        <w:tblW w:w="9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714"/>
        <w:gridCol w:w="1143"/>
        <w:gridCol w:w="3709"/>
        <w:gridCol w:w="1145"/>
        <w:gridCol w:w="457"/>
      </w:tblGrid>
      <w:tr w14:paraId="3515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16" w:type="dxa"/>
            <w:vAlign w:val="center"/>
          </w:tcPr>
          <w:p w14:paraId="1D252040">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w:t>
            </w:r>
          </w:p>
          <w:p w14:paraId="3452E867">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单元</w:t>
            </w:r>
          </w:p>
        </w:tc>
        <w:tc>
          <w:tcPr>
            <w:tcW w:w="1716" w:type="dxa"/>
            <w:vAlign w:val="center"/>
          </w:tcPr>
          <w:p w14:paraId="6BAA9740">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知识点</w:t>
            </w:r>
          </w:p>
        </w:tc>
        <w:tc>
          <w:tcPr>
            <w:tcW w:w="1144" w:type="dxa"/>
            <w:vAlign w:val="center"/>
          </w:tcPr>
          <w:p w14:paraId="0A79584E">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对应</w:t>
            </w:r>
          </w:p>
          <w:p w14:paraId="6C3D6B18">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课程目标</w:t>
            </w:r>
          </w:p>
        </w:tc>
        <w:tc>
          <w:tcPr>
            <w:tcW w:w="3716" w:type="dxa"/>
            <w:vAlign w:val="center"/>
          </w:tcPr>
          <w:p w14:paraId="0B4271DB">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预期学习成效</w:t>
            </w:r>
          </w:p>
        </w:tc>
        <w:tc>
          <w:tcPr>
            <w:tcW w:w="1147" w:type="dxa"/>
            <w:vAlign w:val="center"/>
          </w:tcPr>
          <w:p w14:paraId="0F169509">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实现环节</w:t>
            </w:r>
          </w:p>
        </w:tc>
        <w:tc>
          <w:tcPr>
            <w:tcW w:w="443" w:type="dxa"/>
            <w:vAlign w:val="center"/>
          </w:tcPr>
          <w:p w14:paraId="70602FC4">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学时</w:t>
            </w:r>
          </w:p>
        </w:tc>
      </w:tr>
      <w:tr w14:paraId="5668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1216" w:type="dxa"/>
            <w:vMerge w:val="restart"/>
          </w:tcPr>
          <w:p w14:paraId="110CA5F7">
            <w:pPr>
              <w:spacing w:line="264" w:lineRule="auto"/>
              <w:jc w:val="center"/>
              <w:rPr>
                <w:rFonts w:hint="eastAsia" w:ascii="宋体" w:hAnsi="宋体" w:eastAsia="宋体" w:cs="Times New Roman"/>
                <w:color w:val="000000"/>
                <w:sz w:val="24"/>
              </w:rPr>
            </w:pPr>
            <w:r>
              <w:rPr>
                <w:rFonts w:hint="eastAsia" w:ascii="宋体" w:hAnsi="宋体" w:eastAsia="宋体"/>
                <w:sz w:val="24"/>
              </w:rPr>
              <w:t>绪论</w:t>
            </w:r>
          </w:p>
        </w:tc>
        <w:tc>
          <w:tcPr>
            <w:tcW w:w="1716" w:type="dxa"/>
          </w:tcPr>
          <w:p w14:paraId="2D47ADAD">
            <w:pPr>
              <w:spacing w:line="269" w:lineRule="auto"/>
              <w:jc w:val="left"/>
              <w:rPr>
                <w:rFonts w:hint="eastAsia" w:ascii="宋体" w:hAnsi="宋体" w:eastAsia="宋体" w:cs="Times New Roman"/>
                <w:color w:val="000000"/>
                <w:sz w:val="24"/>
              </w:rPr>
            </w:pPr>
            <w:r>
              <w:rPr>
                <w:rFonts w:hint="eastAsia" w:ascii="宋体" w:hAnsi="宋体" w:eastAsia="宋体"/>
                <w:sz w:val="24"/>
              </w:rPr>
              <w:t>自然科学的基本概念与研究方法；科学教育课程标准</w:t>
            </w:r>
          </w:p>
        </w:tc>
        <w:tc>
          <w:tcPr>
            <w:tcW w:w="1144" w:type="dxa"/>
          </w:tcPr>
          <w:p w14:paraId="31DEA17C">
            <w:pPr>
              <w:spacing w:line="269" w:lineRule="auto"/>
              <w:jc w:val="center"/>
              <w:rPr>
                <w:rFonts w:hint="eastAsia" w:ascii="宋体" w:hAnsi="宋体" w:eastAsia="宋体" w:cs="Times New Roman"/>
                <w:color w:val="000000"/>
                <w:sz w:val="24"/>
              </w:rPr>
            </w:pPr>
            <w:r>
              <w:rPr>
                <w:rFonts w:hint="eastAsia" w:ascii="宋体" w:hAnsi="宋体" w:eastAsia="宋体"/>
                <w:sz w:val="24"/>
              </w:rPr>
              <w:t>目标1</w:t>
            </w:r>
          </w:p>
        </w:tc>
        <w:tc>
          <w:tcPr>
            <w:tcW w:w="3716" w:type="dxa"/>
          </w:tcPr>
          <w:p w14:paraId="44E5F181">
            <w:pPr>
              <w:spacing w:line="269" w:lineRule="auto"/>
              <w:jc w:val="left"/>
              <w:rPr>
                <w:rFonts w:hint="eastAsia" w:ascii="宋体" w:hAnsi="宋体" w:eastAsia="宋体" w:cs="Times New Roman"/>
                <w:color w:val="000000"/>
                <w:sz w:val="24"/>
              </w:rPr>
            </w:pPr>
            <w:r>
              <w:rPr>
                <w:rFonts w:hint="eastAsia" w:ascii="宋体" w:hAnsi="宋体" w:eastAsia="宋体"/>
                <w:sz w:val="24"/>
              </w:rPr>
              <w:t>理解自然科学的基本概念与研究方法，掌握科学教育的基本要求；增强科学学习的兴趣和信心。</w:t>
            </w:r>
          </w:p>
        </w:tc>
        <w:tc>
          <w:tcPr>
            <w:tcW w:w="1147" w:type="dxa"/>
          </w:tcPr>
          <w:p w14:paraId="446ECB70">
            <w:pPr>
              <w:spacing w:line="269" w:lineRule="auto"/>
              <w:jc w:val="left"/>
              <w:rPr>
                <w:rFonts w:hint="eastAsia" w:ascii="宋体" w:hAnsi="宋体" w:eastAsia="宋体" w:cs="Times New Roman"/>
                <w:color w:val="000000"/>
                <w:sz w:val="24"/>
              </w:rPr>
            </w:pPr>
            <w:r>
              <w:rPr>
                <w:rFonts w:hint="eastAsia" w:ascii="宋体" w:hAnsi="宋体" w:eastAsia="宋体"/>
                <w:sz w:val="24"/>
              </w:rPr>
              <w:t>课堂讲授与案例讨论</w:t>
            </w:r>
          </w:p>
        </w:tc>
        <w:tc>
          <w:tcPr>
            <w:tcW w:w="443" w:type="dxa"/>
          </w:tcPr>
          <w:p w14:paraId="697F5EE7">
            <w:pPr>
              <w:spacing w:line="269" w:lineRule="auto"/>
              <w:jc w:val="center"/>
              <w:rPr>
                <w:rFonts w:hint="eastAsia" w:ascii="宋体" w:hAnsi="宋体" w:eastAsia="宋体" w:cs="Times New Roman"/>
                <w:color w:val="000000"/>
                <w:sz w:val="24"/>
              </w:rPr>
            </w:pPr>
            <w:r>
              <w:rPr>
                <w:rFonts w:hint="eastAsia" w:ascii="宋体" w:hAnsi="宋体" w:eastAsia="宋体"/>
                <w:sz w:val="24"/>
              </w:rPr>
              <w:t>9</w:t>
            </w:r>
          </w:p>
        </w:tc>
      </w:tr>
      <w:tr w14:paraId="3EAF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08F150B3">
            <w:pPr>
              <w:spacing w:line="264" w:lineRule="auto"/>
              <w:jc w:val="center"/>
              <w:rPr>
                <w:rFonts w:hint="eastAsia" w:ascii="宋体" w:hAnsi="宋体" w:eastAsia="宋体" w:cs="Times New Roman"/>
                <w:color w:val="000000"/>
                <w:sz w:val="24"/>
              </w:rPr>
            </w:pPr>
          </w:p>
        </w:tc>
        <w:tc>
          <w:tcPr>
            <w:tcW w:w="8166" w:type="dxa"/>
            <w:gridSpan w:val="5"/>
            <w:vAlign w:val="center"/>
          </w:tcPr>
          <w:p w14:paraId="2CB1A424">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ascii="宋体" w:hAnsi="宋体" w:eastAsia="宋体" w:cs="Times New Roman"/>
                <w:color w:val="000000"/>
                <w:sz w:val="24"/>
              </w:rPr>
              <w:t>激发科学精神，增强对科学研究和科学教育的责任感。</w:t>
            </w:r>
          </w:p>
          <w:p w14:paraId="35F2CD00">
            <w:pPr>
              <w:spacing w:line="269" w:lineRule="auto"/>
              <w:jc w:val="left"/>
              <w:rPr>
                <w:rFonts w:hint="eastAsia" w:ascii="宋体" w:hAnsi="宋体" w:eastAsia="宋体" w:cs="Times New Roman"/>
                <w:color w:val="000000"/>
                <w:sz w:val="24"/>
              </w:rPr>
            </w:pPr>
          </w:p>
        </w:tc>
      </w:tr>
      <w:tr w14:paraId="01BF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216" w:type="dxa"/>
            <w:vMerge w:val="restart"/>
          </w:tcPr>
          <w:p w14:paraId="63CDF905">
            <w:pPr>
              <w:spacing w:line="264" w:lineRule="auto"/>
              <w:jc w:val="center"/>
              <w:rPr>
                <w:rFonts w:hint="eastAsia" w:ascii="宋体" w:hAnsi="宋体" w:eastAsia="宋体" w:cs="Times New Roman"/>
                <w:color w:val="000000"/>
                <w:sz w:val="24"/>
              </w:rPr>
            </w:pPr>
            <w:r>
              <w:rPr>
                <w:rFonts w:hint="eastAsia" w:ascii="宋体" w:hAnsi="宋体" w:eastAsia="宋体"/>
                <w:sz w:val="24"/>
              </w:rPr>
              <w:t>地球与宇宙</w:t>
            </w:r>
          </w:p>
        </w:tc>
        <w:tc>
          <w:tcPr>
            <w:tcW w:w="1716" w:type="dxa"/>
          </w:tcPr>
          <w:p w14:paraId="6FD7322B">
            <w:pPr>
              <w:spacing w:line="269" w:lineRule="auto"/>
              <w:jc w:val="left"/>
              <w:rPr>
                <w:rFonts w:hint="eastAsia" w:ascii="宋体" w:hAnsi="宋体" w:eastAsia="宋体" w:cs="Times New Roman"/>
                <w:color w:val="000000"/>
                <w:sz w:val="24"/>
              </w:rPr>
            </w:pPr>
            <w:r>
              <w:rPr>
                <w:rFonts w:hint="eastAsia" w:ascii="宋体" w:hAnsi="宋体" w:eastAsia="宋体"/>
                <w:sz w:val="24"/>
              </w:rPr>
              <w:t>太阳系结构、恒星的诞生与演化、宇宙的起源与演化</w:t>
            </w:r>
          </w:p>
        </w:tc>
        <w:tc>
          <w:tcPr>
            <w:tcW w:w="1144" w:type="dxa"/>
          </w:tcPr>
          <w:p w14:paraId="2DAC9767">
            <w:pPr>
              <w:spacing w:line="269" w:lineRule="auto"/>
              <w:jc w:val="center"/>
              <w:rPr>
                <w:rFonts w:hint="eastAsia" w:ascii="宋体" w:hAnsi="宋体" w:eastAsia="宋体" w:cs="Times New Roman"/>
                <w:color w:val="000000"/>
                <w:sz w:val="24"/>
              </w:rPr>
            </w:pPr>
            <w:r>
              <w:rPr>
                <w:rFonts w:hint="eastAsia" w:ascii="宋体" w:hAnsi="宋体" w:eastAsia="宋体"/>
                <w:sz w:val="24"/>
              </w:rPr>
              <w:t>目标1、目标2</w:t>
            </w:r>
          </w:p>
        </w:tc>
        <w:tc>
          <w:tcPr>
            <w:tcW w:w="3716" w:type="dxa"/>
          </w:tcPr>
          <w:p w14:paraId="513926F4">
            <w:pPr>
              <w:spacing w:line="269" w:lineRule="auto"/>
              <w:jc w:val="left"/>
              <w:rPr>
                <w:rFonts w:hint="eastAsia" w:ascii="宋体" w:hAnsi="宋体" w:eastAsia="宋体" w:cs="Times New Roman"/>
                <w:color w:val="000000"/>
                <w:sz w:val="24"/>
              </w:rPr>
            </w:pPr>
            <w:r>
              <w:rPr>
                <w:rFonts w:hint="eastAsia" w:ascii="宋体" w:hAnsi="宋体" w:eastAsia="宋体"/>
                <w:sz w:val="24"/>
              </w:rPr>
              <w:t>掌握太阳系及宇宙的基本知识；理解恒星与宇宙演化的过程，形成自然科学整体认知；增强对人类探究宇宙的科学精神的敬意。</w:t>
            </w:r>
          </w:p>
        </w:tc>
        <w:tc>
          <w:tcPr>
            <w:tcW w:w="1147" w:type="dxa"/>
          </w:tcPr>
          <w:p w14:paraId="189844FF">
            <w:pPr>
              <w:spacing w:line="269" w:lineRule="auto"/>
              <w:jc w:val="left"/>
              <w:rPr>
                <w:rFonts w:hint="eastAsia" w:ascii="宋体" w:hAnsi="宋体" w:eastAsia="宋体" w:cs="Times New Roman"/>
                <w:color w:val="000000"/>
                <w:sz w:val="24"/>
              </w:rPr>
            </w:pPr>
            <w:r>
              <w:rPr>
                <w:rFonts w:hint="eastAsia" w:ascii="宋体" w:hAnsi="宋体" w:eastAsia="宋体"/>
                <w:sz w:val="24"/>
              </w:rPr>
              <w:t>课堂讲授与问题研讨</w:t>
            </w:r>
          </w:p>
        </w:tc>
        <w:tc>
          <w:tcPr>
            <w:tcW w:w="443" w:type="dxa"/>
          </w:tcPr>
          <w:p w14:paraId="249BA2C3">
            <w:pPr>
              <w:spacing w:line="269" w:lineRule="auto"/>
              <w:jc w:val="center"/>
              <w:rPr>
                <w:rFonts w:hint="eastAsia" w:ascii="宋体" w:hAnsi="宋体" w:eastAsia="宋体" w:cs="Times New Roman"/>
                <w:color w:val="000000"/>
                <w:sz w:val="24"/>
              </w:rPr>
            </w:pPr>
            <w:r>
              <w:rPr>
                <w:rFonts w:hint="eastAsia" w:ascii="宋体" w:hAnsi="宋体" w:eastAsia="宋体"/>
                <w:sz w:val="24"/>
              </w:rPr>
              <w:t>12</w:t>
            </w:r>
          </w:p>
        </w:tc>
      </w:tr>
      <w:tr w14:paraId="4512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356FBFDE">
            <w:pPr>
              <w:spacing w:line="264" w:lineRule="auto"/>
              <w:jc w:val="center"/>
              <w:rPr>
                <w:rFonts w:hint="eastAsia" w:ascii="宋体" w:hAnsi="宋体" w:eastAsia="宋体" w:cs="Times New Roman"/>
                <w:color w:val="000000"/>
                <w:sz w:val="24"/>
              </w:rPr>
            </w:pPr>
          </w:p>
        </w:tc>
        <w:tc>
          <w:tcPr>
            <w:tcW w:w="8166" w:type="dxa"/>
            <w:gridSpan w:val="5"/>
            <w:vAlign w:val="center"/>
          </w:tcPr>
          <w:p w14:paraId="1B2066BE">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ascii="宋体" w:hAnsi="宋体" w:eastAsia="宋体" w:cs="Times New Roman"/>
                <w:color w:val="000000"/>
                <w:sz w:val="24"/>
              </w:rPr>
              <w:t>树立科学探索精神，激发对科技进步和宇宙奥秘的好奇心，培养爱国情怀（例如介绍中国航天成就）。</w:t>
            </w:r>
          </w:p>
        </w:tc>
      </w:tr>
      <w:tr w14:paraId="1FBE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216" w:type="dxa"/>
            <w:vMerge w:val="restart"/>
          </w:tcPr>
          <w:p w14:paraId="6A774E59">
            <w:pPr>
              <w:spacing w:line="264" w:lineRule="auto"/>
              <w:jc w:val="center"/>
              <w:rPr>
                <w:rFonts w:hint="eastAsia" w:ascii="宋体" w:hAnsi="宋体" w:eastAsia="宋体" w:cs="Times New Roman"/>
                <w:color w:val="000000"/>
                <w:sz w:val="24"/>
              </w:rPr>
            </w:pPr>
            <w:r>
              <w:rPr>
                <w:rFonts w:hint="eastAsia" w:ascii="宋体" w:hAnsi="宋体" w:eastAsia="宋体"/>
                <w:sz w:val="24"/>
              </w:rPr>
              <w:t>奇妙的生命世界</w:t>
            </w:r>
          </w:p>
        </w:tc>
        <w:tc>
          <w:tcPr>
            <w:tcW w:w="1716" w:type="dxa"/>
          </w:tcPr>
          <w:p w14:paraId="7E058F16">
            <w:pPr>
              <w:spacing w:line="269" w:lineRule="auto"/>
              <w:jc w:val="left"/>
              <w:rPr>
                <w:rFonts w:hint="eastAsia" w:ascii="宋体" w:hAnsi="宋体" w:eastAsia="宋体" w:cs="Times New Roman"/>
                <w:color w:val="000000"/>
                <w:sz w:val="24"/>
              </w:rPr>
            </w:pPr>
            <w:r>
              <w:rPr>
                <w:rFonts w:hint="eastAsia" w:ascii="宋体" w:hAnsi="宋体" w:eastAsia="宋体"/>
                <w:sz w:val="24"/>
              </w:rPr>
              <w:t>生物多样性、生物结构与功能、生命系统的层次结构；生命进化</w:t>
            </w:r>
          </w:p>
        </w:tc>
        <w:tc>
          <w:tcPr>
            <w:tcW w:w="1144" w:type="dxa"/>
          </w:tcPr>
          <w:p w14:paraId="364F2844">
            <w:pPr>
              <w:spacing w:line="269" w:lineRule="auto"/>
              <w:jc w:val="center"/>
              <w:rPr>
                <w:rFonts w:hint="eastAsia" w:ascii="宋体" w:hAnsi="宋体" w:eastAsia="宋体" w:cs="Times New Roman"/>
                <w:color w:val="000000"/>
                <w:sz w:val="24"/>
              </w:rPr>
            </w:pPr>
            <w:r>
              <w:rPr>
                <w:rFonts w:hint="eastAsia" w:ascii="宋体" w:hAnsi="宋体" w:eastAsia="宋体"/>
                <w:sz w:val="24"/>
              </w:rPr>
              <w:t>目标1、目标2</w:t>
            </w:r>
          </w:p>
        </w:tc>
        <w:tc>
          <w:tcPr>
            <w:tcW w:w="3716" w:type="dxa"/>
          </w:tcPr>
          <w:p w14:paraId="15C89A7D">
            <w:pPr>
              <w:spacing w:line="269" w:lineRule="auto"/>
              <w:jc w:val="left"/>
              <w:rPr>
                <w:rFonts w:hint="eastAsia" w:ascii="宋体" w:hAnsi="宋体" w:eastAsia="宋体" w:cs="Times New Roman"/>
                <w:color w:val="000000"/>
                <w:sz w:val="24"/>
              </w:rPr>
            </w:pPr>
            <w:r>
              <w:rPr>
                <w:rFonts w:hint="eastAsia" w:ascii="宋体" w:hAnsi="宋体" w:eastAsia="宋体"/>
                <w:sz w:val="24"/>
              </w:rPr>
              <w:t>了解生命现象的共性与差异，掌握生物多样性保护的重要性；理解生命进化的科学依据；培养学生生态保护的意识和对生命的敬畏。</w:t>
            </w:r>
          </w:p>
        </w:tc>
        <w:tc>
          <w:tcPr>
            <w:tcW w:w="1147" w:type="dxa"/>
          </w:tcPr>
          <w:p w14:paraId="4BDB6276">
            <w:pPr>
              <w:spacing w:line="269" w:lineRule="auto"/>
              <w:jc w:val="left"/>
              <w:rPr>
                <w:rFonts w:hint="eastAsia" w:ascii="宋体" w:hAnsi="宋体" w:eastAsia="宋体" w:cs="Times New Roman"/>
                <w:color w:val="000000"/>
                <w:sz w:val="24"/>
              </w:rPr>
            </w:pPr>
            <w:r>
              <w:rPr>
                <w:rFonts w:hint="eastAsia" w:ascii="宋体" w:hAnsi="宋体" w:eastAsia="宋体"/>
                <w:sz w:val="24"/>
              </w:rPr>
              <w:t>课堂讲授与演示</w:t>
            </w:r>
          </w:p>
        </w:tc>
        <w:tc>
          <w:tcPr>
            <w:tcW w:w="443" w:type="dxa"/>
          </w:tcPr>
          <w:p w14:paraId="3A5D136C">
            <w:pPr>
              <w:spacing w:line="269" w:lineRule="auto"/>
              <w:jc w:val="center"/>
              <w:rPr>
                <w:rFonts w:hint="eastAsia" w:ascii="宋体" w:hAnsi="宋体" w:eastAsia="宋体" w:cs="Times New Roman"/>
                <w:color w:val="000000"/>
                <w:sz w:val="24"/>
              </w:rPr>
            </w:pPr>
            <w:r>
              <w:rPr>
                <w:rFonts w:hint="eastAsia" w:ascii="宋体" w:hAnsi="宋体" w:eastAsia="宋体"/>
                <w:sz w:val="24"/>
              </w:rPr>
              <w:t>9</w:t>
            </w:r>
          </w:p>
        </w:tc>
      </w:tr>
      <w:tr w14:paraId="2048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79830C4A">
            <w:pPr>
              <w:spacing w:line="264" w:lineRule="auto"/>
              <w:jc w:val="center"/>
              <w:rPr>
                <w:rFonts w:hint="eastAsia" w:ascii="宋体" w:hAnsi="宋体" w:eastAsia="宋体" w:cs="Times New Roman"/>
                <w:color w:val="000000"/>
                <w:sz w:val="24"/>
              </w:rPr>
            </w:pPr>
          </w:p>
        </w:tc>
        <w:tc>
          <w:tcPr>
            <w:tcW w:w="8166" w:type="dxa"/>
            <w:gridSpan w:val="5"/>
            <w:vAlign w:val="center"/>
          </w:tcPr>
          <w:p w14:paraId="337B67C6">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ascii="宋体" w:hAnsi="宋体" w:eastAsia="宋体" w:cs="Times New Roman"/>
                <w:color w:val="000000"/>
                <w:sz w:val="24"/>
              </w:rPr>
              <w:t>强化生态文明理念，培养尊重生命、珍惜自然资源的责任感。</w:t>
            </w:r>
          </w:p>
        </w:tc>
      </w:tr>
      <w:tr w14:paraId="45A3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1216" w:type="dxa"/>
            <w:vMerge w:val="restart"/>
          </w:tcPr>
          <w:p w14:paraId="259AB1A9">
            <w:pPr>
              <w:spacing w:line="276" w:lineRule="auto"/>
              <w:jc w:val="center"/>
              <w:rPr>
                <w:rFonts w:hint="eastAsia" w:ascii="宋体" w:hAnsi="宋体" w:eastAsia="宋体" w:cs="Times New Roman"/>
                <w:color w:val="000000"/>
                <w:sz w:val="24"/>
              </w:rPr>
            </w:pPr>
            <w:r>
              <w:rPr>
                <w:rFonts w:hint="eastAsia" w:ascii="宋体" w:hAnsi="宋体" w:eastAsia="宋体"/>
                <w:sz w:val="24"/>
              </w:rPr>
              <w:t>环境与我们</w:t>
            </w:r>
          </w:p>
        </w:tc>
        <w:tc>
          <w:tcPr>
            <w:tcW w:w="1716" w:type="dxa"/>
          </w:tcPr>
          <w:p w14:paraId="3A9E5C6A">
            <w:pPr>
              <w:spacing w:line="276" w:lineRule="auto"/>
              <w:jc w:val="left"/>
              <w:rPr>
                <w:rFonts w:hint="eastAsia" w:ascii="宋体" w:hAnsi="宋体" w:eastAsia="宋体" w:cs="Times New Roman"/>
                <w:color w:val="000000"/>
                <w:sz w:val="24"/>
              </w:rPr>
            </w:pPr>
            <w:r>
              <w:rPr>
                <w:rFonts w:hint="eastAsia" w:ascii="宋体" w:hAnsi="宋体" w:eastAsia="宋体"/>
                <w:sz w:val="24"/>
              </w:rPr>
              <w:t>生态系统的组成与功能、环境保护的意义与措施</w:t>
            </w:r>
          </w:p>
        </w:tc>
        <w:tc>
          <w:tcPr>
            <w:tcW w:w="1144" w:type="dxa"/>
          </w:tcPr>
          <w:p w14:paraId="684C14F0">
            <w:pPr>
              <w:spacing w:line="276" w:lineRule="auto"/>
              <w:jc w:val="center"/>
              <w:rPr>
                <w:rFonts w:hint="eastAsia" w:ascii="宋体" w:hAnsi="宋体" w:eastAsia="宋体" w:cs="Times New Roman"/>
                <w:color w:val="000000"/>
                <w:sz w:val="24"/>
              </w:rPr>
            </w:pPr>
            <w:r>
              <w:rPr>
                <w:rFonts w:hint="eastAsia" w:ascii="宋体" w:hAnsi="宋体" w:eastAsia="宋体"/>
                <w:sz w:val="24"/>
              </w:rPr>
              <w:t>目标3</w:t>
            </w:r>
          </w:p>
        </w:tc>
        <w:tc>
          <w:tcPr>
            <w:tcW w:w="3716" w:type="dxa"/>
          </w:tcPr>
          <w:p w14:paraId="49CC3180">
            <w:pPr>
              <w:spacing w:line="276" w:lineRule="auto"/>
              <w:jc w:val="left"/>
              <w:rPr>
                <w:rFonts w:hint="eastAsia" w:ascii="宋体" w:hAnsi="宋体" w:eastAsia="宋体" w:cs="Times New Roman"/>
                <w:color w:val="000000"/>
                <w:sz w:val="24"/>
              </w:rPr>
            </w:pPr>
            <w:r>
              <w:rPr>
                <w:rFonts w:hint="eastAsia" w:ascii="宋体" w:hAnsi="宋体" w:eastAsia="宋体"/>
                <w:sz w:val="24"/>
              </w:rPr>
              <w:t>理解生态系统的基本结构与功能，掌握生态保护的主要措施；增强环保意识，践行可持续发展理念，关注人与自然的关系。</w:t>
            </w:r>
          </w:p>
        </w:tc>
        <w:tc>
          <w:tcPr>
            <w:tcW w:w="1147" w:type="dxa"/>
          </w:tcPr>
          <w:p w14:paraId="3993CE12">
            <w:pPr>
              <w:spacing w:line="276" w:lineRule="auto"/>
              <w:jc w:val="left"/>
              <w:rPr>
                <w:rFonts w:hint="eastAsia" w:ascii="宋体" w:hAnsi="宋体" w:eastAsia="宋体" w:cs="Times New Roman"/>
                <w:color w:val="000000"/>
                <w:sz w:val="24"/>
              </w:rPr>
            </w:pPr>
            <w:r>
              <w:rPr>
                <w:rFonts w:hint="eastAsia" w:ascii="宋体" w:hAnsi="宋体" w:eastAsia="宋体"/>
                <w:sz w:val="24"/>
              </w:rPr>
              <w:t>情境教学与案例分析</w:t>
            </w:r>
          </w:p>
        </w:tc>
        <w:tc>
          <w:tcPr>
            <w:tcW w:w="443" w:type="dxa"/>
          </w:tcPr>
          <w:p w14:paraId="765568D2">
            <w:pPr>
              <w:spacing w:line="276" w:lineRule="auto"/>
              <w:jc w:val="center"/>
              <w:rPr>
                <w:rFonts w:hint="eastAsia" w:ascii="宋体" w:hAnsi="宋体" w:eastAsia="宋体" w:cs="Times New Roman"/>
                <w:color w:val="000000"/>
                <w:sz w:val="24"/>
              </w:rPr>
            </w:pPr>
            <w:r>
              <w:rPr>
                <w:rFonts w:hint="eastAsia" w:ascii="宋体" w:hAnsi="宋体" w:eastAsia="宋体"/>
                <w:sz w:val="24"/>
              </w:rPr>
              <w:t>3</w:t>
            </w:r>
          </w:p>
        </w:tc>
      </w:tr>
      <w:tr w14:paraId="6547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1F86FAA2">
            <w:pPr>
              <w:spacing w:line="276" w:lineRule="auto"/>
              <w:jc w:val="center"/>
              <w:rPr>
                <w:rFonts w:hint="eastAsia" w:ascii="宋体" w:hAnsi="宋体" w:eastAsia="宋体" w:cs="Times New Roman"/>
                <w:color w:val="000000"/>
                <w:sz w:val="24"/>
              </w:rPr>
            </w:pPr>
          </w:p>
        </w:tc>
        <w:tc>
          <w:tcPr>
            <w:tcW w:w="8166" w:type="dxa"/>
            <w:gridSpan w:val="5"/>
            <w:vAlign w:val="center"/>
          </w:tcPr>
          <w:p w14:paraId="1849E0EF">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ascii="宋体" w:hAnsi="宋体" w:eastAsia="宋体" w:cs="Times New Roman"/>
                <w:color w:val="000000"/>
                <w:sz w:val="24"/>
              </w:rPr>
              <w:t>树立可持续发展观念，增强学生生态保护的意识和实践能力。</w:t>
            </w:r>
          </w:p>
        </w:tc>
      </w:tr>
      <w:tr w14:paraId="607A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1216" w:type="dxa"/>
            <w:vMerge w:val="restart"/>
          </w:tcPr>
          <w:p w14:paraId="6FEFBEC2">
            <w:pPr>
              <w:spacing w:line="276" w:lineRule="auto"/>
              <w:jc w:val="center"/>
              <w:rPr>
                <w:rFonts w:hint="eastAsia" w:ascii="宋体" w:hAnsi="宋体" w:eastAsia="宋体" w:cs="Times New Roman"/>
                <w:color w:val="000000"/>
                <w:sz w:val="24"/>
              </w:rPr>
            </w:pPr>
            <w:r>
              <w:rPr>
                <w:rFonts w:hint="eastAsia" w:ascii="宋体" w:hAnsi="宋体" w:eastAsia="宋体"/>
                <w:sz w:val="24"/>
              </w:rPr>
              <w:t>多姿多彩的物质世界</w:t>
            </w:r>
          </w:p>
        </w:tc>
        <w:tc>
          <w:tcPr>
            <w:tcW w:w="1716" w:type="dxa"/>
          </w:tcPr>
          <w:p w14:paraId="5B760100">
            <w:pPr>
              <w:spacing w:line="276" w:lineRule="auto"/>
              <w:jc w:val="left"/>
              <w:rPr>
                <w:rFonts w:hint="eastAsia" w:ascii="宋体" w:hAnsi="宋体" w:eastAsia="宋体" w:cs="Times New Roman"/>
                <w:color w:val="000000"/>
                <w:sz w:val="24"/>
              </w:rPr>
            </w:pPr>
            <w:r>
              <w:rPr>
                <w:rFonts w:hint="eastAsia" w:ascii="宋体" w:hAnsi="宋体" w:eastAsia="宋体"/>
                <w:sz w:val="24"/>
              </w:rPr>
              <w:t>物质结构、能量与其转化、物体的运动</w:t>
            </w:r>
          </w:p>
        </w:tc>
        <w:tc>
          <w:tcPr>
            <w:tcW w:w="1144" w:type="dxa"/>
          </w:tcPr>
          <w:p w14:paraId="591145D3">
            <w:pPr>
              <w:spacing w:line="276" w:lineRule="auto"/>
              <w:jc w:val="center"/>
              <w:rPr>
                <w:rFonts w:hint="eastAsia" w:ascii="宋体" w:hAnsi="宋体" w:eastAsia="宋体" w:cs="Times New Roman"/>
                <w:color w:val="000000"/>
                <w:sz w:val="24"/>
              </w:rPr>
            </w:pPr>
            <w:r>
              <w:rPr>
                <w:rFonts w:hint="eastAsia" w:ascii="宋体" w:hAnsi="宋体" w:eastAsia="宋体"/>
                <w:sz w:val="24"/>
              </w:rPr>
              <w:t>目标2、目标3</w:t>
            </w:r>
          </w:p>
        </w:tc>
        <w:tc>
          <w:tcPr>
            <w:tcW w:w="3716" w:type="dxa"/>
          </w:tcPr>
          <w:p w14:paraId="06B08DEA">
            <w:pPr>
              <w:spacing w:line="276" w:lineRule="auto"/>
              <w:jc w:val="left"/>
              <w:rPr>
                <w:rFonts w:hint="eastAsia" w:ascii="宋体" w:hAnsi="宋体" w:eastAsia="宋体" w:cs="Times New Roman"/>
                <w:color w:val="000000"/>
                <w:sz w:val="24"/>
              </w:rPr>
            </w:pPr>
            <w:r>
              <w:rPr>
                <w:rFonts w:hint="eastAsia" w:ascii="宋体" w:hAnsi="宋体" w:eastAsia="宋体"/>
                <w:sz w:val="24"/>
              </w:rPr>
              <w:t>掌握物质与能量转化的基本知识；理解科学技术在生活实践中的应用，培养跨学科思维能力；激发学生对科学探索的热情。</w:t>
            </w:r>
          </w:p>
        </w:tc>
        <w:tc>
          <w:tcPr>
            <w:tcW w:w="1147" w:type="dxa"/>
          </w:tcPr>
          <w:p w14:paraId="3E4110D1">
            <w:pPr>
              <w:spacing w:line="276" w:lineRule="auto"/>
              <w:jc w:val="left"/>
              <w:rPr>
                <w:rFonts w:hint="eastAsia" w:ascii="宋体" w:hAnsi="宋体" w:eastAsia="宋体" w:cs="Times New Roman"/>
                <w:color w:val="000000"/>
                <w:sz w:val="24"/>
              </w:rPr>
            </w:pPr>
            <w:r>
              <w:rPr>
                <w:rFonts w:hint="eastAsia" w:ascii="宋体" w:hAnsi="宋体" w:eastAsia="宋体"/>
                <w:sz w:val="24"/>
              </w:rPr>
              <w:t>实验演示与小组讨论</w:t>
            </w:r>
          </w:p>
        </w:tc>
        <w:tc>
          <w:tcPr>
            <w:tcW w:w="443" w:type="dxa"/>
          </w:tcPr>
          <w:p w14:paraId="612EEE5A">
            <w:pPr>
              <w:spacing w:line="276" w:lineRule="auto"/>
              <w:jc w:val="center"/>
              <w:rPr>
                <w:rFonts w:hint="eastAsia" w:ascii="宋体" w:hAnsi="宋体" w:eastAsia="宋体" w:cs="Times New Roman"/>
                <w:color w:val="000000"/>
                <w:sz w:val="24"/>
              </w:rPr>
            </w:pPr>
            <w:r>
              <w:rPr>
                <w:rFonts w:hint="eastAsia" w:ascii="宋体" w:hAnsi="宋体" w:eastAsia="宋体"/>
                <w:sz w:val="24"/>
              </w:rPr>
              <w:t>6</w:t>
            </w:r>
          </w:p>
        </w:tc>
      </w:tr>
      <w:tr w14:paraId="7705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6397E355">
            <w:pPr>
              <w:spacing w:line="276" w:lineRule="auto"/>
              <w:jc w:val="center"/>
              <w:rPr>
                <w:rFonts w:hint="eastAsia" w:ascii="宋体" w:hAnsi="宋体" w:eastAsia="宋体" w:cs="Times New Roman"/>
                <w:color w:val="000000"/>
                <w:sz w:val="24"/>
              </w:rPr>
            </w:pPr>
          </w:p>
        </w:tc>
        <w:tc>
          <w:tcPr>
            <w:tcW w:w="8166" w:type="dxa"/>
            <w:gridSpan w:val="5"/>
            <w:vAlign w:val="center"/>
          </w:tcPr>
          <w:p w14:paraId="54F93222">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ascii="宋体" w:hAnsi="宋体" w:eastAsia="宋体" w:cs="Times New Roman"/>
                <w:color w:val="000000"/>
                <w:sz w:val="24"/>
              </w:rPr>
              <w:t>理解科学知识的实际应用价值，培养科学技术服务社会的意识和实践能力。</w:t>
            </w:r>
          </w:p>
        </w:tc>
      </w:tr>
      <w:tr w14:paraId="17FA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216" w:type="dxa"/>
            <w:vMerge w:val="restart"/>
          </w:tcPr>
          <w:p w14:paraId="1A763135">
            <w:pPr>
              <w:spacing w:line="276" w:lineRule="auto"/>
              <w:jc w:val="center"/>
              <w:rPr>
                <w:rFonts w:hint="eastAsia" w:ascii="宋体" w:hAnsi="宋体" w:eastAsia="宋体" w:cs="Times New Roman"/>
                <w:color w:val="000000"/>
                <w:sz w:val="24"/>
              </w:rPr>
            </w:pPr>
            <w:r>
              <w:rPr>
                <w:rFonts w:hint="eastAsia" w:ascii="宋体" w:hAnsi="宋体" w:eastAsia="宋体"/>
                <w:sz w:val="24"/>
              </w:rPr>
              <w:t>科学技术与人类</w:t>
            </w:r>
          </w:p>
        </w:tc>
        <w:tc>
          <w:tcPr>
            <w:tcW w:w="1716" w:type="dxa"/>
          </w:tcPr>
          <w:p w14:paraId="434A82D0">
            <w:pPr>
              <w:spacing w:line="276" w:lineRule="auto"/>
              <w:jc w:val="left"/>
              <w:rPr>
                <w:rFonts w:hint="eastAsia" w:ascii="宋体" w:hAnsi="宋体" w:eastAsia="宋体" w:cs="Times New Roman"/>
                <w:color w:val="000000"/>
                <w:sz w:val="24"/>
              </w:rPr>
            </w:pPr>
            <w:r>
              <w:rPr>
                <w:rFonts w:hint="eastAsia" w:ascii="宋体" w:hAnsi="宋体" w:eastAsia="宋体"/>
                <w:sz w:val="24"/>
              </w:rPr>
              <w:t>科学技术的发展历程及其对社会的双重影响</w:t>
            </w:r>
          </w:p>
        </w:tc>
        <w:tc>
          <w:tcPr>
            <w:tcW w:w="1144" w:type="dxa"/>
          </w:tcPr>
          <w:p w14:paraId="1C89471F">
            <w:pPr>
              <w:spacing w:line="276" w:lineRule="auto"/>
              <w:jc w:val="center"/>
              <w:rPr>
                <w:rFonts w:hint="eastAsia" w:ascii="宋体" w:hAnsi="宋体" w:eastAsia="宋体" w:cs="Times New Roman"/>
                <w:color w:val="000000"/>
                <w:sz w:val="24"/>
              </w:rPr>
            </w:pPr>
            <w:r>
              <w:rPr>
                <w:rFonts w:hint="eastAsia" w:ascii="宋体" w:hAnsi="宋体" w:eastAsia="宋体"/>
                <w:sz w:val="24"/>
              </w:rPr>
              <w:t>目标3</w:t>
            </w:r>
          </w:p>
        </w:tc>
        <w:tc>
          <w:tcPr>
            <w:tcW w:w="3716" w:type="dxa"/>
          </w:tcPr>
          <w:p w14:paraId="597A36C5">
            <w:pPr>
              <w:spacing w:line="276" w:lineRule="auto"/>
              <w:jc w:val="left"/>
              <w:rPr>
                <w:rFonts w:hint="eastAsia" w:ascii="宋体" w:hAnsi="宋体" w:eastAsia="宋体" w:cs="Times New Roman"/>
                <w:color w:val="000000"/>
                <w:sz w:val="24"/>
              </w:rPr>
            </w:pPr>
            <w:r>
              <w:rPr>
                <w:rFonts w:hint="eastAsia" w:ascii="宋体" w:hAnsi="宋体" w:eastAsia="宋体"/>
                <w:sz w:val="24"/>
              </w:rPr>
              <w:t>理解科技发展的历史与现状，认识科学技术对人类生活的积极作用及潜在影响；增强学生对科技伦理问题的关注和思考能力。</w:t>
            </w:r>
          </w:p>
        </w:tc>
        <w:tc>
          <w:tcPr>
            <w:tcW w:w="1147" w:type="dxa"/>
            <w:vAlign w:val="center"/>
          </w:tcPr>
          <w:p w14:paraId="4093FA7C">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小组汇报</w:t>
            </w:r>
          </w:p>
        </w:tc>
        <w:tc>
          <w:tcPr>
            <w:tcW w:w="443" w:type="dxa"/>
            <w:vAlign w:val="center"/>
          </w:tcPr>
          <w:p w14:paraId="07FD3580">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9</w:t>
            </w:r>
          </w:p>
        </w:tc>
      </w:tr>
      <w:tr w14:paraId="7191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732236B8">
            <w:pPr>
              <w:spacing w:line="276" w:lineRule="auto"/>
              <w:jc w:val="center"/>
              <w:rPr>
                <w:rFonts w:hint="eastAsia" w:ascii="宋体" w:hAnsi="宋体" w:eastAsia="宋体" w:cs="Times New Roman"/>
                <w:color w:val="000000"/>
                <w:sz w:val="24"/>
              </w:rPr>
            </w:pPr>
          </w:p>
        </w:tc>
        <w:tc>
          <w:tcPr>
            <w:tcW w:w="8166" w:type="dxa"/>
            <w:gridSpan w:val="5"/>
            <w:vAlign w:val="center"/>
          </w:tcPr>
          <w:p w14:paraId="029A3938">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ascii="宋体" w:hAnsi="宋体" w:eastAsia="宋体" w:cs="Times New Roman"/>
                <w:color w:val="000000"/>
                <w:sz w:val="24"/>
              </w:rPr>
              <w:t>正确看待科技进步的利弊，增强对科技伦理的思考能力，同时通过中国科技发展的成就案例，培养民族自豪感与爱国</w:t>
            </w:r>
          </w:p>
        </w:tc>
      </w:tr>
    </w:tbl>
    <w:p w14:paraId="7F0A0160">
      <w:pPr>
        <w:spacing w:line="360" w:lineRule="auto"/>
        <w:jc w:val="left"/>
        <w:rPr>
          <w:rFonts w:ascii="Times New Roman" w:hAnsi="Times New Roman" w:eastAsia="宋体" w:cs="Times New Roman"/>
          <w:sz w:val="24"/>
        </w:rPr>
      </w:pPr>
    </w:p>
    <w:p w14:paraId="3DE3CE04">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四、目标评价与成绩评定</w:t>
      </w:r>
    </w:p>
    <w:p w14:paraId="676338F5">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648CF01C">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0DE44B99">
      <w:pPr>
        <w:spacing w:line="360" w:lineRule="auto"/>
        <w:ind w:firstLine="480" w:firstLineChars="200"/>
        <w:jc w:val="left"/>
        <w:rPr>
          <w:rFonts w:ascii="Times New Roman" w:hAnsi="Times New Roman" w:eastAsia="宋体" w:cs="Times New Roman"/>
          <w:sz w:val="24"/>
        </w:rPr>
      </w:pPr>
    </w:p>
    <w:p w14:paraId="0A34F5DE">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176"/>
        <w:gridCol w:w="1176"/>
        <w:gridCol w:w="1176"/>
        <w:gridCol w:w="1176"/>
        <w:gridCol w:w="1176"/>
        <w:gridCol w:w="696"/>
      </w:tblGrid>
      <w:tr w14:paraId="35DA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CC8EB7D">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w:t>
            </w:r>
          </w:p>
        </w:tc>
        <w:tc>
          <w:tcPr>
            <w:tcW w:w="0" w:type="auto"/>
            <w:gridSpan w:val="5"/>
            <w:vAlign w:val="center"/>
          </w:tcPr>
          <w:p w14:paraId="32FEE9D6">
            <w:pPr>
              <w:spacing w:line="360" w:lineRule="auto"/>
              <w:jc w:val="center"/>
              <w:rPr>
                <w:rFonts w:hint="eastAsia" w:ascii="宋体" w:hAnsi="宋体" w:eastAsia="宋体" w:cs="Times New Roman"/>
                <w:sz w:val="24"/>
              </w:rPr>
            </w:pPr>
            <w:r>
              <w:rPr>
                <w:rFonts w:hint="eastAsia" w:ascii="宋体" w:hAnsi="宋体" w:eastAsia="宋体" w:cs="Times New Roman"/>
                <w:sz w:val="24"/>
              </w:rPr>
              <w:t>评价与成绩评定方法</w:t>
            </w:r>
          </w:p>
        </w:tc>
        <w:tc>
          <w:tcPr>
            <w:tcW w:w="0" w:type="auto"/>
            <w:vMerge w:val="restart"/>
            <w:vAlign w:val="center"/>
          </w:tcPr>
          <w:p w14:paraId="785D7EE5">
            <w:pPr>
              <w:spacing w:line="360" w:lineRule="auto"/>
              <w:jc w:val="center"/>
              <w:rPr>
                <w:rFonts w:hint="eastAsia" w:ascii="宋体" w:hAnsi="宋体" w:eastAsia="宋体" w:cs="Times New Roman"/>
                <w:sz w:val="24"/>
              </w:rPr>
            </w:pPr>
            <w:r>
              <w:rPr>
                <w:rFonts w:hint="eastAsia" w:ascii="宋体" w:hAnsi="宋体" w:eastAsia="宋体" w:cs="Times New Roman"/>
                <w:sz w:val="24"/>
              </w:rPr>
              <w:t>分值</w:t>
            </w:r>
          </w:p>
        </w:tc>
      </w:tr>
      <w:tr w14:paraId="5C4C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A4A74D2">
            <w:pPr>
              <w:spacing w:line="360" w:lineRule="auto"/>
              <w:jc w:val="center"/>
              <w:rPr>
                <w:rFonts w:hint="eastAsia" w:ascii="宋体" w:hAnsi="宋体" w:eastAsia="宋体" w:cs="Times New Roman"/>
                <w:sz w:val="24"/>
              </w:rPr>
            </w:pPr>
          </w:p>
        </w:tc>
        <w:tc>
          <w:tcPr>
            <w:tcW w:w="0" w:type="auto"/>
            <w:vAlign w:val="center"/>
          </w:tcPr>
          <w:p w14:paraId="65704666">
            <w:pPr>
              <w:spacing w:line="360" w:lineRule="auto"/>
              <w:jc w:val="center"/>
              <w:rPr>
                <w:rFonts w:hint="eastAsia" w:ascii="宋体" w:hAnsi="宋体" w:eastAsia="宋体" w:cs="Times New Roman"/>
                <w:sz w:val="24"/>
              </w:rPr>
            </w:pPr>
            <w:r>
              <w:rPr>
                <w:rFonts w:hint="eastAsia" w:ascii="宋体" w:hAnsi="宋体" w:eastAsia="宋体" w:cs="Times New Roman"/>
                <w:sz w:val="24"/>
              </w:rPr>
              <w:t>平时作业</w:t>
            </w:r>
          </w:p>
        </w:tc>
        <w:tc>
          <w:tcPr>
            <w:tcW w:w="0" w:type="auto"/>
            <w:vAlign w:val="center"/>
          </w:tcPr>
          <w:p w14:paraId="1F49940B">
            <w:pPr>
              <w:spacing w:line="360" w:lineRule="auto"/>
              <w:jc w:val="center"/>
              <w:rPr>
                <w:rFonts w:hint="eastAsia" w:ascii="宋体" w:hAnsi="宋体" w:eastAsia="宋体" w:cs="Times New Roman"/>
                <w:sz w:val="24"/>
              </w:rPr>
            </w:pPr>
            <w:r>
              <w:rPr>
                <w:rFonts w:hint="eastAsia" w:ascii="宋体" w:hAnsi="宋体" w:eastAsia="宋体" w:cs="Times New Roman"/>
                <w:sz w:val="24"/>
              </w:rPr>
              <w:t>课堂表现</w:t>
            </w:r>
          </w:p>
        </w:tc>
        <w:tc>
          <w:tcPr>
            <w:tcW w:w="0" w:type="auto"/>
            <w:vAlign w:val="center"/>
          </w:tcPr>
          <w:p w14:paraId="64C12D6E">
            <w:pPr>
              <w:spacing w:line="360" w:lineRule="auto"/>
              <w:jc w:val="center"/>
              <w:rPr>
                <w:rFonts w:hint="eastAsia" w:ascii="宋体" w:hAnsi="宋体" w:eastAsia="宋体" w:cs="Times New Roman"/>
                <w:sz w:val="24"/>
              </w:rPr>
            </w:pPr>
            <w:r>
              <w:rPr>
                <w:rFonts w:hint="eastAsia" w:ascii="宋体" w:hAnsi="宋体" w:eastAsia="宋体" w:cs="Times New Roman"/>
                <w:sz w:val="24"/>
              </w:rPr>
              <w:t>期中测验</w:t>
            </w:r>
          </w:p>
        </w:tc>
        <w:tc>
          <w:tcPr>
            <w:tcW w:w="0" w:type="auto"/>
            <w:vAlign w:val="center"/>
          </w:tcPr>
          <w:p w14:paraId="61F8C115">
            <w:pPr>
              <w:spacing w:line="360" w:lineRule="auto"/>
              <w:jc w:val="center"/>
              <w:rPr>
                <w:rFonts w:hint="eastAsia" w:ascii="宋体" w:hAnsi="宋体" w:eastAsia="宋体" w:cs="Times New Roman"/>
                <w:sz w:val="24"/>
              </w:rPr>
            </w:pPr>
            <w:r>
              <w:rPr>
                <w:rFonts w:hint="eastAsia" w:ascii="宋体" w:hAnsi="宋体" w:eastAsia="宋体" w:cs="Times New Roman"/>
                <w:sz w:val="24"/>
              </w:rPr>
              <w:t>小组汇报</w:t>
            </w:r>
          </w:p>
        </w:tc>
        <w:tc>
          <w:tcPr>
            <w:tcW w:w="0" w:type="auto"/>
            <w:vAlign w:val="center"/>
          </w:tcPr>
          <w:p w14:paraId="1F142097">
            <w:pPr>
              <w:spacing w:line="360" w:lineRule="auto"/>
              <w:jc w:val="center"/>
              <w:rPr>
                <w:rFonts w:hint="eastAsia" w:ascii="宋体" w:hAnsi="宋体" w:eastAsia="宋体" w:cs="Times New Roman"/>
                <w:sz w:val="24"/>
              </w:rPr>
            </w:pPr>
            <w:r>
              <w:rPr>
                <w:rFonts w:hint="eastAsia" w:ascii="宋体" w:hAnsi="宋体" w:eastAsia="宋体" w:cs="Times New Roman"/>
                <w:sz w:val="24"/>
              </w:rPr>
              <w:t>期末考试</w:t>
            </w:r>
          </w:p>
        </w:tc>
        <w:tc>
          <w:tcPr>
            <w:tcW w:w="0" w:type="auto"/>
            <w:vMerge w:val="continue"/>
            <w:vAlign w:val="center"/>
          </w:tcPr>
          <w:p w14:paraId="62331227">
            <w:pPr>
              <w:spacing w:line="360" w:lineRule="auto"/>
              <w:jc w:val="center"/>
              <w:rPr>
                <w:rFonts w:hint="eastAsia" w:ascii="宋体" w:hAnsi="宋体" w:eastAsia="宋体" w:cs="Times New Roman"/>
                <w:sz w:val="24"/>
              </w:rPr>
            </w:pPr>
          </w:p>
        </w:tc>
      </w:tr>
      <w:tr w14:paraId="5EFD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1CC518">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0" w:type="auto"/>
            <w:vAlign w:val="center"/>
          </w:tcPr>
          <w:p w14:paraId="0EC219F7">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76AD01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67BE5833">
            <w:pPr>
              <w:spacing w:line="360" w:lineRule="auto"/>
              <w:jc w:val="center"/>
              <w:rPr>
                <w:rFonts w:hint="eastAsia" w:ascii="宋体" w:hAnsi="宋体" w:eastAsia="宋体" w:cs="Times New Roman"/>
                <w:sz w:val="24"/>
              </w:rPr>
            </w:pPr>
          </w:p>
        </w:tc>
        <w:tc>
          <w:tcPr>
            <w:tcW w:w="0" w:type="auto"/>
            <w:vAlign w:val="center"/>
          </w:tcPr>
          <w:p w14:paraId="0C4A85C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21FBEB2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87A1827">
            <w:pPr>
              <w:spacing w:line="360" w:lineRule="auto"/>
              <w:jc w:val="center"/>
              <w:rPr>
                <w:rFonts w:hint="eastAsia" w:ascii="宋体" w:hAnsi="宋体" w:eastAsia="宋体" w:cs="Times New Roman"/>
                <w:sz w:val="24"/>
              </w:rPr>
            </w:pPr>
            <w:r>
              <w:rPr>
                <w:rFonts w:hint="eastAsia" w:ascii="宋体" w:hAnsi="宋体" w:eastAsia="宋体" w:cs="Times New Roman"/>
                <w:sz w:val="24"/>
              </w:rPr>
              <w:t>30</w:t>
            </w:r>
          </w:p>
        </w:tc>
      </w:tr>
      <w:tr w14:paraId="7670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EC1174">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0" w:type="auto"/>
            <w:vAlign w:val="center"/>
          </w:tcPr>
          <w:p w14:paraId="016668C2">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0CD973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7A300B46">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202D7B5C">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BE246E0">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2C5B9AC">
            <w:pPr>
              <w:spacing w:line="360" w:lineRule="auto"/>
              <w:jc w:val="center"/>
              <w:rPr>
                <w:rFonts w:hint="eastAsia" w:ascii="宋体" w:hAnsi="宋体" w:eastAsia="宋体" w:cs="Times New Roman"/>
                <w:sz w:val="24"/>
              </w:rPr>
            </w:pPr>
            <w:r>
              <w:rPr>
                <w:rFonts w:hint="eastAsia" w:ascii="宋体" w:hAnsi="宋体" w:eastAsia="宋体" w:cs="Times New Roman"/>
                <w:sz w:val="24"/>
              </w:rPr>
              <w:t>40</w:t>
            </w:r>
          </w:p>
        </w:tc>
      </w:tr>
      <w:tr w14:paraId="1BD1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C69017">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0" w:type="auto"/>
            <w:vAlign w:val="center"/>
          </w:tcPr>
          <w:p w14:paraId="2592A364">
            <w:pPr>
              <w:spacing w:line="360" w:lineRule="auto"/>
              <w:jc w:val="center"/>
              <w:rPr>
                <w:rFonts w:hint="eastAsia" w:ascii="宋体" w:hAnsi="宋体" w:eastAsia="宋体" w:cs="Times New Roman"/>
                <w:sz w:val="24"/>
              </w:rPr>
            </w:pPr>
          </w:p>
        </w:tc>
        <w:tc>
          <w:tcPr>
            <w:tcW w:w="0" w:type="auto"/>
            <w:vAlign w:val="center"/>
          </w:tcPr>
          <w:p w14:paraId="0592EF6D">
            <w:pPr>
              <w:spacing w:line="360" w:lineRule="auto"/>
              <w:jc w:val="center"/>
              <w:rPr>
                <w:rFonts w:hint="eastAsia" w:ascii="宋体" w:hAnsi="宋体" w:eastAsia="宋体" w:cs="Times New Roman"/>
                <w:sz w:val="24"/>
              </w:rPr>
            </w:pPr>
          </w:p>
        </w:tc>
        <w:tc>
          <w:tcPr>
            <w:tcW w:w="0" w:type="auto"/>
            <w:vAlign w:val="center"/>
          </w:tcPr>
          <w:p w14:paraId="70F7CFA2">
            <w:pPr>
              <w:spacing w:line="360" w:lineRule="auto"/>
              <w:jc w:val="center"/>
              <w:rPr>
                <w:rFonts w:hint="eastAsia" w:ascii="宋体" w:hAnsi="宋体" w:eastAsia="宋体" w:cs="Times New Roman"/>
                <w:sz w:val="24"/>
              </w:rPr>
            </w:pPr>
          </w:p>
        </w:tc>
        <w:tc>
          <w:tcPr>
            <w:tcW w:w="0" w:type="auto"/>
            <w:vAlign w:val="center"/>
          </w:tcPr>
          <w:p w14:paraId="6DE56C0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56EB4F2">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3205E63">
            <w:pPr>
              <w:spacing w:line="360" w:lineRule="auto"/>
              <w:jc w:val="center"/>
              <w:rPr>
                <w:rFonts w:hint="eastAsia" w:ascii="宋体" w:hAnsi="宋体" w:eastAsia="宋体" w:cs="Times New Roman"/>
                <w:sz w:val="24"/>
              </w:rPr>
            </w:pPr>
            <w:r>
              <w:rPr>
                <w:rFonts w:hint="eastAsia" w:ascii="宋体" w:hAnsi="宋体" w:eastAsia="宋体" w:cs="Times New Roman"/>
                <w:sz w:val="24"/>
              </w:rPr>
              <w:t>30</w:t>
            </w:r>
          </w:p>
        </w:tc>
      </w:tr>
      <w:tr w14:paraId="51D2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51AE04">
            <w:pPr>
              <w:spacing w:line="360"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0" w:type="auto"/>
            <w:vAlign w:val="center"/>
          </w:tcPr>
          <w:p w14:paraId="448DACAA">
            <w:pPr>
              <w:spacing w:line="360" w:lineRule="auto"/>
              <w:jc w:val="center"/>
              <w:rPr>
                <w:rFonts w:hint="eastAsia" w:ascii="宋体" w:hAnsi="宋体" w:eastAsia="宋体" w:cs="Times New Roman"/>
                <w:sz w:val="24"/>
              </w:rPr>
            </w:pPr>
          </w:p>
        </w:tc>
        <w:tc>
          <w:tcPr>
            <w:tcW w:w="0" w:type="auto"/>
            <w:vAlign w:val="center"/>
          </w:tcPr>
          <w:p w14:paraId="0A25CE1A">
            <w:pPr>
              <w:spacing w:line="360" w:lineRule="auto"/>
              <w:jc w:val="center"/>
              <w:rPr>
                <w:rFonts w:hint="eastAsia" w:ascii="宋体" w:hAnsi="宋体" w:eastAsia="宋体" w:cs="Times New Roman"/>
                <w:sz w:val="24"/>
              </w:rPr>
            </w:pPr>
          </w:p>
        </w:tc>
        <w:tc>
          <w:tcPr>
            <w:tcW w:w="0" w:type="auto"/>
            <w:vAlign w:val="center"/>
          </w:tcPr>
          <w:p w14:paraId="676074D7">
            <w:pPr>
              <w:spacing w:line="360" w:lineRule="auto"/>
              <w:jc w:val="center"/>
              <w:rPr>
                <w:rFonts w:hint="eastAsia" w:ascii="宋体" w:hAnsi="宋体" w:eastAsia="宋体" w:cs="Times New Roman"/>
                <w:sz w:val="24"/>
              </w:rPr>
            </w:pPr>
          </w:p>
        </w:tc>
        <w:tc>
          <w:tcPr>
            <w:tcW w:w="0" w:type="auto"/>
            <w:vAlign w:val="center"/>
          </w:tcPr>
          <w:p w14:paraId="7A6F3B30">
            <w:pPr>
              <w:spacing w:line="360" w:lineRule="auto"/>
              <w:jc w:val="center"/>
              <w:rPr>
                <w:rFonts w:hint="eastAsia" w:ascii="宋体" w:hAnsi="宋体" w:eastAsia="宋体" w:cs="Times New Roman"/>
                <w:sz w:val="24"/>
              </w:rPr>
            </w:pPr>
          </w:p>
        </w:tc>
        <w:tc>
          <w:tcPr>
            <w:tcW w:w="0" w:type="auto"/>
            <w:vAlign w:val="center"/>
          </w:tcPr>
          <w:p w14:paraId="183E8D89">
            <w:pPr>
              <w:spacing w:line="360" w:lineRule="auto"/>
              <w:jc w:val="center"/>
              <w:rPr>
                <w:rFonts w:hint="eastAsia" w:ascii="宋体" w:hAnsi="宋体" w:eastAsia="宋体" w:cs="Times New Roman"/>
                <w:sz w:val="24"/>
              </w:rPr>
            </w:pPr>
          </w:p>
        </w:tc>
        <w:tc>
          <w:tcPr>
            <w:tcW w:w="0" w:type="auto"/>
            <w:vAlign w:val="center"/>
          </w:tcPr>
          <w:p w14:paraId="32C8863B">
            <w:pPr>
              <w:spacing w:line="360"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0B0E9B1A">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4A60E97F">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02EA77B2">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7051"/>
        <w:gridCol w:w="776"/>
      </w:tblGrid>
      <w:tr w14:paraId="65A1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7FE90DF">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7141" w:type="dxa"/>
            <w:vAlign w:val="center"/>
          </w:tcPr>
          <w:p w14:paraId="7C08B777">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75735C1E">
            <w:pPr>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4ADE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7D0DEB">
            <w:pPr>
              <w:rPr>
                <w:rFonts w:ascii="Times New Roman" w:hAnsi="Times New Roman" w:eastAsia="宋体" w:cs="Times New Roman"/>
                <w:sz w:val="24"/>
              </w:rPr>
            </w:pPr>
            <w:r>
              <w:rPr>
                <w:rFonts w:hint="eastAsia" w:ascii="Times New Roman" w:hAnsi="Times New Roman" w:eastAsia="宋体" w:cs="Times New Roman"/>
                <w:sz w:val="24"/>
              </w:rPr>
              <w:t>平时作业</w:t>
            </w:r>
          </w:p>
        </w:tc>
        <w:tc>
          <w:tcPr>
            <w:tcW w:w="7141" w:type="dxa"/>
            <w:vAlign w:val="center"/>
          </w:tcPr>
          <w:p w14:paraId="288BAF2A">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平时作业共2次，以简答题形式，以回答内容的准确性、规范性、逻辑性、创新性及整洁性为评分的主要依据。</w:t>
            </w:r>
          </w:p>
        </w:tc>
        <w:tc>
          <w:tcPr>
            <w:tcW w:w="0" w:type="auto"/>
            <w:vAlign w:val="center"/>
          </w:tcPr>
          <w:p w14:paraId="11CB99FB">
            <w:pPr>
              <w:jc w:val="center"/>
              <w:rPr>
                <w:rFonts w:ascii="Times New Roman" w:hAnsi="Times New Roman" w:eastAsia="宋体" w:cs="Times New Roman"/>
                <w:sz w:val="24"/>
              </w:rPr>
            </w:pPr>
            <w:r>
              <w:rPr>
                <w:rFonts w:hint="eastAsia" w:ascii="Times New Roman" w:hAnsi="Times New Roman" w:eastAsia="宋体" w:cs="Times New Roman"/>
                <w:sz w:val="24"/>
              </w:rPr>
              <w:t>20%</w:t>
            </w:r>
          </w:p>
        </w:tc>
      </w:tr>
      <w:tr w14:paraId="38B3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2C74574">
            <w:pPr>
              <w:rPr>
                <w:rFonts w:ascii="Times New Roman" w:hAnsi="Times New Roman" w:eastAsia="宋体" w:cs="Times New Roman"/>
                <w:sz w:val="24"/>
              </w:rPr>
            </w:pPr>
            <w:r>
              <w:rPr>
                <w:rFonts w:hint="eastAsia" w:ascii="Times New Roman" w:hAnsi="Times New Roman" w:eastAsia="宋体" w:cs="Times New Roman"/>
                <w:sz w:val="24"/>
              </w:rPr>
              <w:t>课堂表现</w:t>
            </w:r>
          </w:p>
        </w:tc>
        <w:tc>
          <w:tcPr>
            <w:tcW w:w="7141" w:type="dxa"/>
            <w:vAlign w:val="center"/>
          </w:tcPr>
          <w:p w14:paraId="11C06A94">
            <w:pPr>
              <w:widowControl/>
              <w:spacing w:line="264" w:lineRule="auto"/>
              <w:jc w:val="left"/>
              <w:rPr>
                <w:rFonts w:ascii="Times New Roman" w:hAnsi="Times New Roman" w:eastAsia="宋体" w:cs="Times New Roman"/>
                <w:sz w:val="24"/>
              </w:rPr>
            </w:pPr>
            <w:r>
              <w:rPr>
                <w:rFonts w:hint="eastAsia" w:ascii="宋体" w:hAnsi="宋体" w:eastAsia="宋体" w:cs="宋体"/>
                <w:color w:val="000000"/>
                <w:kern w:val="0"/>
                <w:sz w:val="24"/>
                <w:lang w:bidi="ar"/>
              </w:rPr>
              <w:t>一是课题考勤情况</w:t>
            </w:r>
            <w:r>
              <w:rPr>
                <w:rFonts w:ascii="宋体" w:hAnsi="宋体" w:eastAsia="宋体" w:cs="宋体"/>
                <w:color w:val="000000"/>
                <w:kern w:val="0"/>
                <w:sz w:val="24"/>
                <w:lang w:bidi="ar"/>
              </w:rPr>
              <w:t>。</w:t>
            </w:r>
            <w:r>
              <w:rPr>
                <w:rFonts w:hint="eastAsia" w:ascii="Times New Roman" w:hAnsi="Times New Roman" w:eastAsia="宋体" w:cs="Times New Roman"/>
                <w:sz w:val="24"/>
              </w:rPr>
              <w:t>迟到一次扣2分，无故缺席一次扣5分，累计达</w:t>
            </w:r>
            <w:r>
              <w:rPr>
                <w:rFonts w:ascii="Times New Roman" w:hAnsi="Times New Roman" w:eastAsia="宋体" w:cs="Times New Roman"/>
                <w:sz w:val="24"/>
              </w:rPr>
              <w:t>3</w:t>
            </w:r>
            <w:r>
              <w:rPr>
                <w:rFonts w:hint="eastAsia" w:ascii="Times New Roman" w:hAnsi="Times New Roman" w:eastAsia="宋体" w:cs="Times New Roman"/>
                <w:sz w:val="24"/>
              </w:rPr>
              <w:t>次以上（不含</w:t>
            </w:r>
            <w:r>
              <w:rPr>
                <w:rFonts w:ascii="Times New Roman" w:hAnsi="Times New Roman" w:eastAsia="宋体" w:cs="Times New Roman"/>
                <w:sz w:val="24"/>
              </w:rPr>
              <w:t>3</w:t>
            </w:r>
            <w:r>
              <w:rPr>
                <w:rFonts w:hint="eastAsia" w:ascii="Times New Roman" w:hAnsi="Times New Roman" w:eastAsia="宋体" w:cs="Times New Roman"/>
                <w:sz w:val="24"/>
              </w:rPr>
              <w:t>次）取消课程成绩。</w:t>
            </w:r>
          </w:p>
          <w:p w14:paraId="1DC577C6">
            <w:pPr>
              <w:widowControl/>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二是</w:t>
            </w:r>
            <w:r>
              <w:rPr>
                <w:rFonts w:ascii="宋体" w:hAnsi="宋体" w:eastAsia="宋体" w:cs="宋体"/>
                <w:color w:val="000000"/>
                <w:kern w:val="0"/>
                <w:sz w:val="24"/>
                <w:lang w:bidi="ar"/>
              </w:rPr>
              <w:t>课堂参与</w:t>
            </w:r>
            <w:r>
              <w:rPr>
                <w:rFonts w:hint="eastAsia" w:ascii="宋体" w:hAnsi="宋体" w:eastAsia="宋体" w:cs="宋体"/>
                <w:color w:val="000000"/>
                <w:kern w:val="0"/>
                <w:sz w:val="24"/>
                <w:lang w:bidi="ar"/>
              </w:rPr>
              <w:t>情况。</w:t>
            </w:r>
            <w:r>
              <w:rPr>
                <w:rFonts w:ascii="宋体" w:hAnsi="宋体" w:eastAsia="宋体" w:cs="宋体"/>
                <w:color w:val="000000"/>
                <w:kern w:val="0"/>
                <w:sz w:val="24"/>
                <w:lang w:bidi="ar"/>
              </w:rPr>
              <w:t>主要指课上教师</w:t>
            </w:r>
            <w:r>
              <w:rPr>
                <w:rFonts w:hint="eastAsia" w:ascii="宋体" w:hAnsi="宋体" w:eastAsia="宋体" w:cs="宋体"/>
                <w:color w:val="000000"/>
                <w:kern w:val="0"/>
                <w:sz w:val="24"/>
                <w:lang w:bidi="ar"/>
              </w:rPr>
              <w:t>组织抢答</w:t>
            </w:r>
            <w:r>
              <w:rPr>
                <w:rFonts w:ascii="宋体" w:hAnsi="宋体" w:eastAsia="宋体" w:cs="宋体"/>
                <w:color w:val="000000"/>
                <w:kern w:val="0"/>
                <w:sz w:val="24"/>
                <w:lang w:bidi="ar"/>
              </w:rPr>
              <w:t>、课堂讨论等，观察学生参与程度</w:t>
            </w:r>
            <w:r>
              <w:rPr>
                <w:rFonts w:hint="eastAsia" w:ascii="宋体" w:hAnsi="宋体" w:eastAsia="宋体" w:cs="宋体"/>
                <w:color w:val="000000"/>
                <w:kern w:val="0"/>
                <w:sz w:val="24"/>
                <w:lang w:bidi="ar"/>
              </w:rPr>
              <w:t>，</w:t>
            </w:r>
            <w:r>
              <w:rPr>
                <w:rFonts w:ascii="宋体" w:hAnsi="宋体" w:eastAsia="宋体" w:cs="宋体"/>
                <w:color w:val="000000"/>
                <w:kern w:val="0"/>
                <w:sz w:val="24"/>
                <w:lang w:bidi="ar"/>
              </w:rPr>
              <w:t>表现良好，按照对应的课程目标及权重给予评定</w:t>
            </w:r>
            <w:r>
              <w:rPr>
                <w:rFonts w:hint="eastAsia" w:ascii="宋体" w:hAnsi="宋体" w:eastAsia="宋体" w:cs="宋体"/>
                <w:color w:val="000000"/>
                <w:kern w:val="0"/>
                <w:sz w:val="24"/>
                <w:lang w:bidi="ar"/>
              </w:rPr>
              <w:t>。</w:t>
            </w:r>
          </w:p>
        </w:tc>
        <w:tc>
          <w:tcPr>
            <w:tcW w:w="0" w:type="auto"/>
            <w:vAlign w:val="center"/>
          </w:tcPr>
          <w:p w14:paraId="3B90AFC3">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2827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C58735E">
            <w:pPr>
              <w:rPr>
                <w:rFonts w:ascii="Times New Roman" w:hAnsi="Times New Roman" w:eastAsia="宋体" w:cs="Times New Roman"/>
                <w:sz w:val="24"/>
              </w:rPr>
            </w:pPr>
            <w:r>
              <w:rPr>
                <w:rFonts w:hint="eastAsia" w:ascii="Times New Roman" w:hAnsi="Times New Roman" w:eastAsia="宋体" w:cs="Times New Roman"/>
                <w:sz w:val="24"/>
              </w:rPr>
              <w:t>期中检测</w:t>
            </w:r>
          </w:p>
        </w:tc>
        <w:tc>
          <w:tcPr>
            <w:tcW w:w="7141" w:type="dxa"/>
            <w:vAlign w:val="center"/>
          </w:tcPr>
          <w:p w14:paraId="484EC96B">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期中</w:t>
            </w:r>
            <w:r>
              <w:rPr>
                <w:rFonts w:ascii="宋体" w:hAnsi="宋体" w:eastAsia="宋体" w:cs="宋体"/>
                <w:color w:val="000000"/>
                <w:kern w:val="0"/>
                <w:sz w:val="24"/>
                <w:lang w:bidi="ar"/>
              </w:rPr>
              <w:t>在线上进行测验，重点考察学生对基础科学知识、核心概念及基本原理的掌握情况，评分以题目正确率为依据。</w:t>
            </w:r>
          </w:p>
        </w:tc>
        <w:tc>
          <w:tcPr>
            <w:tcW w:w="0" w:type="auto"/>
            <w:vAlign w:val="center"/>
          </w:tcPr>
          <w:p w14:paraId="1191F9C5">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2392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88886D">
            <w:pPr>
              <w:rPr>
                <w:rFonts w:ascii="Times New Roman" w:hAnsi="Times New Roman" w:eastAsia="宋体" w:cs="Times New Roman"/>
                <w:sz w:val="24"/>
              </w:rPr>
            </w:pPr>
            <w:r>
              <w:rPr>
                <w:rFonts w:hint="eastAsia" w:ascii="Times New Roman" w:hAnsi="Times New Roman" w:eastAsia="宋体" w:cs="Times New Roman"/>
                <w:sz w:val="24"/>
              </w:rPr>
              <w:t>小组汇报</w:t>
            </w:r>
          </w:p>
        </w:tc>
        <w:tc>
          <w:tcPr>
            <w:tcW w:w="7141" w:type="dxa"/>
            <w:vAlign w:val="center"/>
          </w:tcPr>
          <w:p w14:paraId="48E67305">
            <w:pPr>
              <w:widowControl/>
              <w:spacing w:line="264" w:lineRule="auto"/>
              <w:jc w:val="left"/>
              <w:rPr>
                <w:rFonts w:hint="eastAsia" w:ascii="宋体" w:hAnsi="宋体" w:eastAsia="宋体" w:cs="宋体"/>
                <w:color w:val="000000"/>
                <w:kern w:val="0"/>
                <w:sz w:val="24"/>
                <w:lang w:bidi="ar"/>
              </w:rPr>
            </w:pPr>
            <w:r>
              <w:rPr>
                <w:rFonts w:ascii="宋体" w:hAnsi="宋体" w:eastAsia="宋体" w:cs="宋体"/>
                <w:color w:val="000000"/>
                <w:kern w:val="0"/>
                <w:sz w:val="24"/>
                <w:lang w:bidi="ar"/>
              </w:rPr>
              <w:t>学生以小组为单位完成任务，</w:t>
            </w:r>
            <w:r>
              <w:rPr>
                <w:rFonts w:hint="eastAsia" w:ascii="宋体" w:hAnsi="宋体" w:eastAsia="宋体" w:cs="宋体"/>
                <w:color w:val="000000"/>
                <w:kern w:val="0"/>
                <w:sz w:val="24"/>
                <w:lang w:bidi="ar"/>
              </w:rPr>
              <w:t>以</w:t>
            </w:r>
            <w:r>
              <w:rPr>
                <w:rFonts w:ascii="宋体" w:hAnsi="宋体" w:eastAsia="宋体" w:cs="宋体"/>
                <w:color w:val="000000"/>
                <w:kern w:val="0"/>
                <w:sz w:val="24"/>
                <w:lang w:bidi="ar"/>
              </w:rPr>
              <w:t>读书报告、科学家介绍、科技前沿介绍等</w:t>
            </w:r>
            <w:r>
              <w:rPr>
                <w:rFonts w:hint="eastAsia" w:ascii="宋体" w:hAnsi="宋体" w:eastAsia="宋体" w:cs="宋体"/>
                <w:color w:val="000000"/>
                <w:kern w:val="0"/>
                <w:sz w:val="24"/>
                <w:lang w:bidi="ar"/>
              </w:rPr>
              <w:t>为主题</w:t>
            </w:r>
            <w:r>
              <w:rPr>
                <w:rFonts w:ascii="宋体" w:hAnsi="宋体" w:eastAsia="宋体" w:cs="宋体"/>
                <w:color w:val="000000"/>
                <w:kern w:val="0"/>
                <w:sz w:val="24"/>
                <w:lang w:bidi="ar"/>
              </w:rPr>
              <w:t>。评分依据为报告内容的完整性、逻辑性、创新性，媒体制作的质量，以及学生表达的</w:t>
            </w:r>
            <w:r>
              <w:rPr>
                <w:rFonts w:hint="eastAsia" w:ascii="宋体" w:hAnsi="宋体" w:eastAsia="宋体" w:cs="宋体"/>
                <w:color w:val="000000"/>
                <w:kern w:val="0"/>
                <w:sz w:val="24"/>
                <w:lang w:bidi="ar"/>
              </w:rPr>
              <w:t>流畅</w:t>
            </w:r>
            <w:r>
              <w:rPr>
                <w:rFonts w:ascii="宋体" w:hAnsi="宋体" w:eastAsia="宋体" w:cs="宋体"/>
                <w:color w:val="000000"/>
                <w:kern w:val="0"/>
                <w:sz w:val="24"/>
                <w:lang w:bidi="ar"/>
              </w:rPr>
              <w:t>性、逻辑性和分析的深度，反映学生科学知识应用能力和团队合作意识。</w:t>
            </w:r>
          </w:p>
        </w:tc>
        <w:tc>
          <w:tcPr>
            <w:tcW w:w="0" w:type="auto"/>
            <w:vAlign w:val="center"/>
          </w:tcPr>
          <w:p w14:paraId="4BD77436">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692E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76D6E3E">
            <w:pPr>
              <w:rPr>
                <w:rFonts w:ascii="Times New Roman" w:hAnsi="Times New Roman" w:eastAsia="宋体" w:cs="Times New Roman"/>
                <w:sz w:val="24"/>
              </w:rPr>
            </w:pPr>
            <w:r>
              <w:rPr>
                <w:rFonts w:hint="eastAsia" w:ascii="Times New Roman" w:hAnsi="Times New Roman" w:eastAsia="宋体" w:cs="Times New Roman"/>
                <w:sz w:val="24"/>
              </w:rPr>
              <w:t>期末考试</w:t>
            </w:r>
          </w:p>
        </w:tc>
        <w:tc>
          <w:tcPr>
            <w:tcW w:w="7141" w:type="dxa"/>
            <w:vAlign w:val="center"/>
          </w:tcPr>
          <w:p w14:paraId="7C2B23CD">
            <w:pPr>
              <w:spacing w:line="264" w:lineRule="auto"/>
              <w:jc w:val="left"/>
              <w:rPr>
                <w:rFonts w:ascii="Times New Roman" w:hAnsi="Times New Roman" w:eastAsia="宋体" w:cs="Times New Roman"/>
                <w:sz w:val="24"/>
              </w:rPr>
            </w:pPr>
            <w:r>
              <w:rPr>
                <w:rFonts w:ascii="Times New Roman" w:hAnsi="Times New Roman" w:eastAsia="宋体" w:cs="Times New Roman"/>
                <w:color w:val="000000"/>
                <w:sz w:val="24"/>
              </w:rPr>
              <w:t>试卷题型包括</w:t>
            </w:r>
            <w:r>
              <w:rPr>
                <w:rFonts w:hint="eastAsia" w:ascii="Times New Roman" w:hAnsi="Times New Roman" w:eastAsia="宋体" w:cs="Times New Roman"/>
                <w:color w:val="000000"/>
                <w:sz w:val="24"/>
              </w:rPr>
              <w:t>选择题</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辨析</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简答题、论述题</w:t>
            </w:r>
            <w:r>
              <w:rPr>
                <w:rFonts w:ascii="Times New Roman" w:hAnsi="Times New Roman" w:eastAsia="宋体" w:cs="Times New Roman"/>
                <w:color w:val="000000"/>
                <w:sz w:val="24"/>
              </w:rPr>
              <w:t>等，以卷面成绩的50%计入课程总成绩。其中考核</w:t>
            </w:r>
            <w:r>
              <w:rPr>
                <w:rFonts w:hint="eastAsia" w:ascii="Times New Roman" w:hAnsi="Times New Roman" w:eastAsia="宋体" w:cs="Times New Roman"/>
                <w:color w:val="000000"/>
                <w:sz w:val="24"/>
              </w:rPr>
              <w:t>科学核心概念、基础知识和基本原理和方法的题目占3</w:t>
            </w:r>
            <w:r>
              <w:rPr>
                <w:rFonts w:ascii="Times New Roman" w:hAnsi="Times New Roman" w:eastAsia="宋体" w:cs="Times New Roman"/>
                <w:color w:val="000000"/>
                <w:sz w:val="24"/>
              </w:rPr>
              <w:t>0</w:t>
            </w:r>
            <w:r>
              <w:rPr>
                <w:rFonts w:hint="eastAsia" w:ascii="Times New Roman" w:hAnsi="Times New Roman" w:eastAsia="宋体" w:cs="Times New Roman"/>
                <w:color w:val="000000"/>
                <w:sz w:val="24"/>
              </w:rPr>
              <w:t>%；考核学生运用科学原理分析问题，设计问题可涉及科学知识的整合运用占</w:t>
            </w:r>
            <w:r>
              <w:rPr>
                <w:rFonts w:ascii="Times New Roman" w:hAnsi="Times New Roman" w:eastAsia="宋体" w:cs="Times New Roman"/>
                <w:color w:val="000000"/>
                <w:sz w:val="24"/>
              </w:rPr>
              <w:t>30</w:t>
            </w:r>
            <w:r>
              <w:rPr>
                <w:rFonts w:hint="eastAsia" w:ascii="Times New Roman" w:hAnsi="Times New Roman" w:eastAsia="宋体" w:cs="Times New Roman"/>
                <w:color w:val="000000"/>
                <w:sz w:val="24"/>
              </w:rPr>
              <w:t>%；考核学生结合小学教育实际的教学设计能力，题型占</w:t>
            </w:r>
            <w:r>
              <w:rPr>
                <w:rFonts w:ascii="Times New Roman" w:hAnsi="Times New Roman" w:eastAsia="宋体" w:cs="Times New Roman"/>
                <w:color w:val="000000"/>
                <w:sz w:val="24"/>
              </w:rPr>
              <w:t>30</w:t>
            </w:r>
            <w:r>
              <w:rPr>
                <w:rFonts w:hint="eastAsia" w:ascii="Times New Roman" w:hAnsi="Times New Roman" w:eastAsia="宋体" w:cs="Times New Roman"/>
                <w:color w:val="000000"/>
                <w:sz w:val="24"/>
              </w:rPr>
              <w:t>%；考核学生设计跨学科综合性教学活动或研究性问题解决方案的题型占1</w:t>
            </w:r>
            <w:r>
              <w:rPr>
                <w:rFonts w:ascii="Times New Roman" w:hAnsi="Times New Roman" w:eastAsia="宋体" w:cs="Times New Roman"/>
                <w:color w:val="000000"/>
                <w:sz w:val="24"/>
              </w:rPr>
              <w:t>0</w:t>
            </w:r>
            <w:r>
              <w:rPr>
                <w:rFonts w:hint="eastAsia" w:ascii="Times New Roman" w:hAnsi="Times New Roman" w:eastAsia="宋体" w:cs="Times New Roman"/>
                <w:color w:val="000000"/>
                <w:sz w:val="24"/>
              </w:rPr>
              <w:t>%。</w:t>
            </w:r>
          </w:p>
        </w:tc>
        <w:tc>
          <w:tcPr>
            <w:tcW w:w="0" w:type="auto"/>
            <w:vAlign w:val="center"/>
          </w:tcPr>
          <w:p w14:paraId="1E09632A">
            <w:pPr>
              <w:jc w:val="center"/>
              <w:rPr>
                <w:rFonts w:ascii="Times New Roman" w:hAnsi="Times New Roman" w:eastAsia="宋体" w:cs="Times New Roman"/>
                <w:sz w:val="24"/>
              </w:rPr>
            </w:pPr>
            <w:r>
              <w:rPr>
                <w:rFonts w:hint="eastAsia" w:ascii="Times New Roman" w:hAnsi="Times New Roman" w:eastAsia="宋体" w:cs="Times New Roman"/>
                <w:sz w:val="24"/>
              </w:rPr>
              <w:t>50%</w:t>
            </w:r>
          </w:p>
        </w:tc>
      </w:tr>
      <w:tr w14:paraId="33FB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5D3E0F8">
            <w:pPr>
              <w:jc w:val="center"/>
              <w:rPr>
                <w:rFonts w:ascii="Times New Roman" w:hAnsi="Times New Roman" w:eastAsia="宋体" w:cs="Times New Roman"/>
                <w:b/>
                <w:bCs/>
                <w:sz w:val="24"/>
              </w:rPr>
            </w:pPr>
            <w:r>
              <w:rPr>
                <w:rFonts w:hint="eastAsia" w:ascii="Times New Roman" w:hAnsi="Times New Roman" w:eastAsia="宋体" w:cs="Times New Roman"/>
                <w:b/>
                <w:bCs/>
                <w:sz w:val="24"/>
              </w:rPr>
              <w:t>合计</w:t>
            </w:r>
          </w:p>
        </w:tc>
        <w:tc>
          <w:tcPr>
            <w:tcW w:w="0" w:type="auto"/>
            <w:vAlign w:val="center"/>
          </w:tcPr>
          <w:p w14:paraId="4C6A401E">
            <w:pPr>
              <w:jc w:val="left"/>
              <w:rPr>
                <w:rFonts w:ascii="Times New Roman" w:hAnsi="Times New Roman" w:eastAsia="宋体" w:cs="Times New Roman"/>
                <w:sz w:val="24"/>
              </w:rPr>
            </w:pPr>
          </w:p>
        </w:tc>
        <w:tc>
          <w:tcPr>
            <w:tcW w:w="0" w:type="auto"/>
            <w:vAlign w:val="center"/>
          </w:tcPr>
          <w:p w14:paraId="232A9751">
            <w:pPr>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5BD32658">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（三）课程目标达成度计算方法</w:t>
      </w:r>
    </w:p>
    <w:p w14:paraId="4E72EB70">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29BF0FFD">
      <w:pPr>
        <w:spacing w:before="156" w:beforeLines="50"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object>
          <v:shape id="_x0000_i1066"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66" DrawAspect="Content" ObjectID="_1468075766" r:id="rId52">
            <o:LockedField>false</o:LockedField>
          </o:OLEObject>
        </w:object>
      </w:r>
    </w:p>
    <w:p w14:paraId="21D530C2">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课程实践</w:t>
      </w:r>
      <w:r>
        <w:rPr>
          <w:rFonts w:hint="eastAsia" w:ascii="Times New Roman" w:hAnsi="Times New Roman" w:eastAsia="宋体" w:cs="Times New Roman"/>
          <w:bCs/>
          <w:sz w:val="28"/>
          <w:szCs w:val="28"/>
        </w:rPr>
        <w:t>（利用第二课堂，不占总学时）</w:t>
      </w:r>
    </w:p>
    <w:p w14:paraId="0ABC3FC6">
      <w:pPr>
        <w:spacing w:after="156" w:afterLines="50" w:line="360" w:lineRule="auto"/>
        <w:ind w:firstLine="480" w:firstLineChars="200"/>
        <w:rPr>
          <w:rFonts w:hint="eastAsia" w:ascii="宋体" w:hAnsi="宋体" w:eastAsia="宋体"/>
          <w:sz w:val="24"/>
        </w:rPr>
      </w:pPr>
      <w:r>
        <w:rPr>
          <w:rFonts w:hint="eastAsia" w:ascii="宋体" w:hAnsi="宋体" w:eastAsia="宋体"/>
          <w:sz w:val="24"/>
        </w:rPr>
        <w:t>本课程在系统教学的基础上，以学生为主题，整合各类教育资源，科学设计实践活动，丰富教育教学形式，提升教育教学效果，从而实现思政育人。</w:t>
      </w:r>
    </w:p>
    <w:p w14:paraId="72E7325E">
      <w:pPr>
        <w:spacing w:line="276" w:lineRule="auto"/>
        <w:ind w:firstLine="482" w:firstLineChars="200"/>
        <w:jc w:val="center"/>
        <w:rPr>
          <w:rFonts w:hint="eastAsia" w:ascii="宋体" w:hAnsi="宋体" w:eastAsia="宋体" w:cs="宋体"/>
          <w:b/>
          <w:bCs/>
          <w:sz w:val="24"/>
        </w:rPr>
      </w:pPr>
      <w:r>
        <w:rPr>
          <w:rFonts w:hint="eastAsia" w:ascii="宋体" w:hAnsi="宋体" w:eastAsia="宋体" w:cs="宋体"/>
          <w:b/>
          <w:bCs/>
          <w:sz w:val="24"/>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1159"/>
        <w:gridCol w:w="2741"/>
      </w:tblGrid>
      <w:tr w14:paraId="176C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A843D21">
            <w:pPr>
              <w:spacing w:line="240" w:lineRule="exact"/>
              <w:jc w:val="center"/>
              <w:rPr>
                <w:rFonts w:hint="eastAsia" w:ascii="宋体" w:hAnsi="宋体" w:eastAsia="宋体" w:cs="宋体"/>
                <w:b/>
                <w:bCs/>
                <w:sz w:val="24"/>
              </w:rPr>
            </w:pPr>
            <w:r>
              <w:rPr>
                <w:rFonts w:hint="eastAsia" w:ascii="宋体" w:hAnsi="宋体" w:eastAsia="宋体" w:cs="宋体"/>
                <w:b/>
                <w:bCs/>
                <w:sz w:val="24"/>
              </w:rPr>
              <w:t>活动主题</w:t>
            </w:r>
          </w:p>
        </w:tc>
        <w:tc>
          <w:tcPr>
            <w:tcW w:w="3407" w:type="dxa"/>
            <w:vAlign w:val="center"/>
          </w:tcPr>
          <w:p w14:paraId="2E29F3EE">
            <w:pPr>
              <w:spacing w:line="240" w:lineRule="exact"/>
              <w:jc w:val="center"/>
              <w:rPr>
                <w:rFonts w:hint="eastAsia" w:ascii="宋体" w:hAnsi="宋体" w:eastAsia="宋体" w:cs="宋体"/>
                <w:b/>
                <w:bCs/>
                <w:sz w:val="24"/>
              </w:rPr>
            </w:pPr>
            <w:r>
              <w:rPr>
                <w:rFonts w:hint="eastAsia" w:ascii="宋体" w:hAnsi="宋体" w:eastAsia="宋体" w:cs="宋体"/>
                <w:b/>
                <w:bCs/>
                <w:sz w:val="24"/>
              </w:rPr>
              <w:t>活动内容</w:t>
            </w:r>
          </w:p>
        </w:tc>
        <w:tc>
          <w:tcPr>
            <w:tcW w:w="1159" w:type="dxa"/>
            <w:vAlign w:val="center"/>
          </w:tcPr>
          <w:p w14:paraId="1A7FBC3E">
            <w:pPr>
              <w:spacing w:line="240" w:lineRule="exact"/>
              <w:jc w:val="center"/>
              <w:rPr>
                <w:rFonts w:hint="eastAsia" w:ascii="宋体" w:hAnsi="宋体" w:eastAsia="宋体" w:cs="宋体"/>
                <w:b/>
                <w:bCs/>
                <w:sz w:val="24"/>
              </w:rPr>
            </w:pPr>
            <w:r>
              <w:rPr>
                <w:rFonts w:hint="eastAsia" w:ascii="宋体" w:hAnsi="宋体" w:eastAsia="宋体" w:cs="宋体"/>
                <w:b/>
                <w:bCs/>
                <w:sz w:val="24"/>
              </w:rPr>
              <w:t>活动方式</w:t>
            </w:r>
          </w:p>
        </w:tc>
        <w:tc>
          <w:tcPr>
            <w:tcW w:w="2741" w:type="dxa"/>
            <w:vAlign w:val="center"/>
          </w:tcPr>
          <w:p w14:paraId="316554A4">
            <w:pPr>
              <w:spacing w:line="240" w:lineRule="exact"/>
              <w:jc w:val="center"/>
              <w:rPr>
                <w:rFonts w:hint="eastAsia" w:ascii="宋体" w:hAnsi="宋体" w:eastAsia="宋体" w:cs="宋体"/>
                <w:b/>
                <w:bCs/>
                <w:sz w:val="24"/>
              </w:rPr>
            </w:pPr>
            <w:r>
              <w:rPr>
                <w:rFonts w:hint="eastAsia" w:ascii="宋体" w:hAnsi="宋体" w:eastAsia="宋体" w:cs="宋体"/>
                <w:b/>
                <w:bCs/>
                <w:sz w:val="24"/>
              </w:rPr>
              <w:t>思政目标</w:t>
            </w:r>
          </w:p>
        </w:tc>
      </w:tr>
      <w:tr w14:paraId="0259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212" w:type="dxa"/>
          </w:tcPr>
          <w:p w14:paraId="470C6359">
            <w:pPr>
              <w:spacing w:line="276" w:lineRule="auto"/>
              <w:jc w:val="left"/>
              <w:rPr>
                <w:rFonts w:hint="eastAsia" w:ascii="宋体" w:hAnsi="宋体" w:eastAsia="宋体" w:cs="宋体"/>
                <w:sz w:val="24"/>
              </w:rPr>
            </w:pPr>
            <w:r>
              <w:rPr>
                <w:rFonts w:hint="eastAsia" w:ascii="宋体" w:hAnsi="宋体" w:eastAsia="宋体" w:cs="Times New Roman"/>
                <w:sz w:val="24"/>
              </w:rPr>
              <w:t>讲解天宫计划</w:t>
            </w:r>
          </w:p>
        </w:tc>
        <w:tc>
          <w:tcPr>
            <w:tcW w:w="3407" w:type="dxa"/>
          </w:tcPr>
          <w:p w14:paraId="414C2A65">
            <w:pPr>
              <w:spacing w:line="276" w:lineRule="auto"/>
              <w:jc w:val="left"/>
              <w:rPr>
                <w:rFonts w:hint="eastAsia" w:ascii="宋体" w:hAnsi="宋体" w:eastAsia="宋体" w:cs="宋体"/>
                <w:sz w:val="24"/>
              </w:rPr>
            </w:pPr>
            <w:r>
              <w:rPr>
                <w:rFonts w:hint="eastAsia" w:ascii="宋体" w:hAnsi="宋体" w:eastAsia="宋体" w:cs="Times New Roman"/>
                <w:sz w:val="24"/>
              </w:rPr>
              <w:t>到小学为小学生讲解中国天宫计划的科技成就，介绍中国航天发展的历史与意义。</w:t>
            </w:r>
          </w:p>
        </w:tc>
        <w:tc>
          <w:tcPr>
            <w:tcW w:w="1159" w:type="dxa"/>
          </w:tcPr>
          <w:p w14:paraId="22032F19">
            <w:pPr>
              <w:spacing w:line="276" w:lineRule="auto"/>
              <w:jc w:val="left"/>
              <w:rPr>
                <w:rFonts w:hint="eastAsia" w:ascii="宋体" w:hAnsi="宋体" w:eastAsia="宋体" w:cs="宋体"/>
                <w:sz w:val="24"/>
              </w:rPr>
            </w:pPr>
            <w:r>
              <w:rPr>
                <w:rFonts w:hint="eastAsia" w:ascii="宋体" w:hAnsi="宋体" w:eastAsia="宋体" w:cs="Times New Roman"/>
                <w:sz w:val="24"/>
              </w:rPr>
              <w:t>实地讲解与互动教学</w:t>
            </w:r>
          </w:p>
        </w:tc>
        <w:tc>
          <w:tcPr>
            <w:tcW w:w="2741" w:type="dxa"/>
          </w:tcPr>
          <w:p w14:paraId="6F3293B7">
            <w:pPr>
              <w:spacing w:line="276" w:lineRule="auto"/>
              <w:jc w:val="left"/>
              <w:rPr>
                <w:rFonts w:hint="eastAsia" w:ascii="宋体" w:hAnsi="宋体" w:eastAsia="宋体" w:cs="宋体"/>
                <w:sz w:val="24"/>
              </w:rPr>
            </w:pPr>
            <w:r>
              <w:rPr>
                <w:rFonts w:hint="eastAsia" w:ascii="宋体" w:hAnsi="宋体" w:eastAsia="宋体" w:cs="Times New Roman"/>
                <w:sz w:val="24"/>
              </w:rPr>
              <w:t>培养学生的家国情怀和民族自豪感，增强对科技发展的责任感和探索精神。</w:t>
            </w:r>
          </w:p>
        </w:tc>
      </w:tr>
      <w:tr w14:paraId="0EF4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tcPr>
          <w:p w14:paraId="4BC72A90">
            <w:pPr>
              <w:spacing w:line="276" w:lineRule="auto"/>
              <w:jc w:val="left"/>
              <w:rPr>
                <w:rFonts w:hint="eastAsia" w:ascii="宋体" w:hAnsi="宋体" w:eastAsia="宋体" w:cs="宋体"/>
                <w:sz w:val="24"/>
              </w:rPr>
            </w:pPr>
            <w:r>
              <w:rPr>
                <w:rFonts w:hint="eastAsia" w:ascii="宋体" w:hAnsi="宋体" w:eastAsia="宋体" w:cs="Times New Roman"/>
                <w:sz w:val="24"/>
              </w:rPr>
              <w:t>科学实验体验活动</w:t>
            </w:r>
          </w:p>
        </w:tc>
        <w:tc>
          <w:tcPr>
            <w:tcW w:w="3407" w:type="dxa"/>
          </w:tcPr>
          <w:p w14:paraId="32B8A597">
            <w:pPr>
              <w:spacing w:line="276" w:lineRule="auto"/>
              <w:jc w:val="left"/>
              <w:rPr>
                <w:rFonts w:hint="eastAsia" w:ascii="宋体" w:hAnsi="宋体" w:eastAsia="宋体" w:cs="宋体"/>
                <w:sz w:val="24"/>
              </w:rPr>
            </w:pPr>
            <w:r>
              <w:rPr>
                <w:rFonts w:hint="eastAsia" w:ascii="宋体" w:hAnsi="宋体" w:eastAsia="宋体" w:cs="Times New Roman"/>
                <w:sz w:val="24"/>
              </w:rPr>
              <w:t>为小学生设计和演示基础科学实验，如水的净化实验、空气压力实验等，结合实验内容讲解相关的科学知识。</w:t>
            </w:r>
          </w:p>
        </w:tc>
        <w:tc>
          <w:tcPr>
            <w:tcW w:w="1159" w:type="dxa"/>
          </w:tcPr>
          <w:p w14:paraId="70B56313">
            <w:pPr>
              <w:spacing w:line="276" w:lineRule="auto"/>
              <w:jc w:val="left"/>
              <w:rPr>
                <w:rFonts w:hint="eastAsia" w:ascii="宋体" w:hAnsi="宋体" w:eastAsia="宋体" w:cs="宋体"/>
                <w:sz w:val="24"/>
              </w:rPr>
            </w:pPr>
            <w:r>
              <w:rPr>
                <w:rFonts w:hint="eastAsia" w:ascii="宋体" w:hAnsi="宋体" w:eastAsia="宋体" w:cs="Times New Roman"/>
                <w:sz w:val="24"/>
              </w:rPr>
              <w:t>实验设计与互动演示</w:t>
            </w:r>
          </w:p>
        </w:tc>
        <w:tc>
          <w:tcPr>
            <w:tcW w:w="2741" w:type="dxa"/>
          </w:tcPr>
          <w:p w14:paraId="79A6CC35">
            <w:pPr>
              <w:spacing w:line="276" w:lineRule="auto"/>
              <w:jc w:val="left"/>
              <w:rPr>
                <w:rFonts w:hint="eastAsia" w:ascii="宋体" w:hAnsi="宋体" w:eastAsia="宋体" w:cs="宋体"/>
                <w:sz w:val="24"/>
              </w:rPr>
            </w:pPr>
            <w:r>
              <w:rPr>
                <w:rFonts w:hint="eastAsia" w:ascii="宋体" w:hAnsi="宋体" w:eastAsia="宋体" w:cs="Times New Roman"/>
                <w:sz w:val="24"/>
              </w:rPr>
              <w:t>培养学生尊重科学和探索未知的精神，增强学生的社会责任感，关注科技对社会生活的实际影响。</w:t>
            </w:r>
          </w:p>
        </w:tc>
      </w:tr>
      <w:tr w14:paraId="070A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tcPr>
          <w:p w14:paraId="664C3EB4">
            <w:pPr>
              <w:spacing w:line="276" w:lineRule="auto"/>
              <w:jc w:val="left"/>
              <w:rPr>
                <w:rFonts w:hint="eastAsia" w:ascii="宋体" w:hAnsi="宋体" w:eastAsia="宋体" w:cs="宋体"/>
                <w:sz w:val="24"/>
              </w:rPr>
            </w:pPr>
            <w:r>
              <w:rPr>
                <w:rFonts w:hint="eastAsia" w:ascii="宋体" w:hAnsi="宋体" w:eastAsia="宋体" w:cs="Times New Roman"/>
                <w:sz w:val="24"/>
              </w:rPr>
              <w:t>水与环境保护主题教育</w:t>
            </w:r>
          </w:p>
        </w:tc>
        <w:tc>
          <w:tcPr>
            <w:tcW w:w="3407" w:type="dxa"/>
          </w:tcPr>
          <w:p w14:paraId="160E6359">
            <w:pPr>
              <w:spacing w:line="276" w:lineRule="auto"/>
              <w:jc w:val="left"/>
              <w:rPr>
                <w:rFonts w:hint="eastAsia" w:ascii="宋体" w:hAnsi="宋体" w:eastAsia="宋体" w:cs="宋体"/>
                <w:sz w:val="24"/>
              </w:rPr>
            </w:pPr>
            <w:r>
              <w:rPr>
                <w:rFonts w:hint="eastAsia" w:ascii="宋体" w:hAnsi="宋体" w:eastAsia="宋体" w:cs="Times New Roman"/>
                <w:sz w:val="24"/>
              </w:rPr>
              <w:t>通过活动讲解水资源的重要性和保护水环境的方法，结合案例分析水污染对生态系统的影响，并设计趣味实验让小学生参与。</w:t>
            </w:r>
          </w:p>
        </w:tc>
        <w:tc>
          <w:tcPr>
            <w:tcW w:w="1159" w:type="dxa"/>
          </w:tcPr>
          <w:p w14:paraId="41060CA6">
            <w:pPr>
              <w:spacing w:line="276" w:lineRule="auto"/>
              <w:jc w:val="left"/>
              <w:rPr>
                <w:rFonts w:hint="eastAsia" w:ascii="宋体" w:hAnsi="宋体" w:eastAsia="宋体" w:cs="宋体"/>
                <w:sz w:val="24"/>
              </w:rPr>
            </w:pPr>
            <w:r>
              <w:rPr>
                <w:rFonts w:hint="eastAsia" w:ascii="宋体" w:hAnsi="宋体" w:eastAsia="宋体" w:cs="Times New Roman"/>
                <w:sz w:val="24"/>
              </w:rPr>
              <w:t>科学讲座、案例分析与实验演示</w:t>
            </w:r>
          </w:p>
        </w:tc>
        <w:tc>
          <w:tcPr>
            <w:tcW w:w="2741" w:type="dxa"/>
          </w:tcPr>
          <w:p w14:paraId="20200271">
            <w:pPr>
              <w:spacing w:line="276" w:lineRule="auto"/>
              <w:jc w:val="left"/>
              <w:rPr>
                <w:rFonts w:hint="eastAsia" w:ascii="宋体" w:hAnsi="宋体" w:eastAsia="宋体" w:cs="宋体"/>
                <w:sz w:val="24"/>
              </w:rPr>
            </w:pPr>
            <w:r>
              <w:rPr>
                <w:rFonts w:hint="eastAsia" w:ascii="宋体" w:hAnsi="宋体" w:eastAsia="宋体" w:cs="Times New Roman"/>
                <w:sz w:val="24"/>
              </w:rPr>
              <w:t>强化可持续发展理念，增强学生的环保意识和生态文明观念。</w:t>
            </w:r>
          </w:p>
        </w:tc>
      </w:tr>
      <w:tr w14:paraId="6BDA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tcPr>
          <w:p w14:paraId="33A377AE">
            <w:pPr>
              <w:spacing w:line="276" w:lineRule="auto"/>
              <w:jc w:val="left"/>
              <w:rPr>
                <w:rFonts w:hint="eastAsia" w:ascii="宋体" w:hAnsi="宋体" w:eastAsia="宋体" w:cs="宋体"/>
                <w:sz w:val="24"/>
              </w:rPr>
            </w:pPr>
            <w:r>
              <w:rPr>
                <w:rFonts w:hint="eastAsia" w:ascii="宋体" w:hAnsi="宋体" w:eastAsia="宋体" w:cs="Times New Roman"/>
                <w:sz w:val="24"/>
              </w:rPr>
              <w:t>小学科学教师讲座</w:t>
            </w:r>
          </w:p>
        </w:tc>
        <w:tc>
          <w:tcPr>
            <w:tcW w:w="3407" w:type="dxa"/>
          </w:tcPr>
          <w:p w14:paraId="21332CFF">
            <w:pPr>
              <w:spacing w:line="276" w:lineRule="auto"/>
              <w:jc w:val="left"/>
              <w:rPr>
                <w:rFonts w:hint="eastAsia" w:ascii="宋体" w:hAnsi="宋体" w:eastAsia="宋体" w:cs="宋体"/>
                <w:sz w:val="24"/>
              </w:rPr>
            </w:pPr>
            <w:r>
              <w:rPr>
                <w:rFonts w:hint="eastAsia" w:ascii="宋体" w:hAnsi="宋体" w:eastAsia="宋体" w:cs="Times New Roman"/>
                <w:sz w:val="24"/>
              </w:rPr>
              <w:t>邀请一线小学科学教师分享科学课程教学经验，探讨如何有效开展小学科学课程教学，交流融入思政教育的实际案例和方法。</w:t>
            </w:r>
          </w:p>
        </w:tc>
        <w:tc>
          <w:tcPr>
            <w:tcW w:w="1159" w:type="dxa"/>
          </w:tcPr>
          <w:p w14:paraId="435203DC">
            <w:pPr>
              <w:spacing w:line="276" w:lineRule="auto"/>
              <w:jc w:val="left"/>
              <w:rPr>
                <w:rFonts w:hint="eastAsia" w:ascii="宋体" w:hAnsi="宋体" w:eastAsia="宋体" w:cs="宋体"/>
                <w:sz w:val="24"/>
              </w:rPr>
            </w:pPr>
            <w:r>
              <w:rPr>
                <w:rFonts w:hint="eastAsia" w:ascii="宋体" w:hAnsi="宋体" w:eastAsia="宋体" w:cs="Times New Roman"/>
                <w:sz w:val="24"/>
              </w:rPr>
              <w:t>专家讲座与互动交流</w:t>
            </w:r>
          </w:p>
        </w:tc>
        <w:tc>
          <w:tcPr>
            <w:tcW w:w="2741" w:type="dxa"/>
          </w:tcPr>
          <w:p w14:paraId="3C6AE4DD">
            <w:pPr>
              <w:spacing w:line="276" w:lineRule="auto"/>
              <w:jc w:val="left"/>
              <w:rPr>
                <w:rFonts w:hint="eastAsia" w:ascii="宋体" w:hAnsi="宋体" w:eastAsia="宋体" w:cs="宋体"/>
                <w:sz w:val="24"/>
              </w:rPr>
            </w:pPr>
            <w:r>
              <w:rPr>
                <w:rFonts w:hint="eastAsia" w:ascii="宋体" w:hAnsi="宋体" w:eastAsia="宋体" w:cs="Times New Roman"/>
                <w:sz w:val="24"/>
              </w:rPr>
              <w:t>提高学生的教学设计能力，帮助学生理解科学教育的育人价值和实践路径。</w:t>
            </w:r>
          </w:p>
        </w:tc>
      </w:tr>
    </w:tbl>
    <w:p w14:paraId="45CCC2AA">
      <w:pPr>
        <w:spacing w:line="360" w:lineRule="auto"/>
        <w:ind w:firstLine="472" w:firstLineChars="196"/>
        <w:jc w:val="left"/>
        <w:rPr>
          <w:rFonts w:hint="eastAsia" w:ascii="宋体" w:hAnsi="宋体" w:eastAsia="宋体" w:cs="Times New Roman"/>
          <w:b/>
          <w:color w:val="000000"/>
          <w:sz w:val="24"/>
        </w:rPr>
      </w:pPr>
    </w:p>
    <w:p w14:paraId="5B54D4F0">
      <w:pPr>
        <w:spacing w:line="360" w:lineRule="auto"/>
        <w:jc w:val="left"/>
        <w:rPr>
          <w:rFonts w:ascii="Times New Roman" w:hAnsi="Times New Roman" w:eastAsia="宋体" w:cs="Times New Roman"/>
          <w:b/>
          <w:bCs/>
          <w:sz w:val="28"/>
          <w:szCs w:val="28"/>
        </w:rPr>
      </w:pPr>
      <w:r>
        <w:rPr>
          <w:rFonts w:hint="eastAsia" w:ascii="宋体" w:hAnsi="宋体" w:eastAsia="宋体" w:cs="Times New Roman"/>
          <w:b/>
          <w:color w:val="000000"/>
          <w:sz w:val="28"/>
          <w:szCs w:val="28"/>
        </w:rPr>
        <w:t>六、有关说明</w:t>
      </w:r>
    </w:p>
    <w:p w14:paraId="6079EB94">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404F784A">
      <w:pPr>
        <w:spacing w:line="360" w:lineRule="auto"/>
        <w:jc w:val="left"/>
        <w:rPr>
          <w:rFonts w:ascii="Times New Roman" w:hAnsi="Times New Roman" w:eastAsia="宋体" w:cs="Times New Roman"/>
          <w:bCs/>
          <w:sz w:val="24"/>
        </w:rPr>
      </w:pPr>
      <w:r>
        <w:rPr>
          <w:rFonts w:ascii="Times New Roman" w:hAnsi="Times New Roman" w:eastAsia="宋体" w:cs="Times New Roman"/>
          <w:bCs/>
          <w:sz w:val="24"/>
        </w:rPr>
        <w:t>本课程结合学生学习过程中的反馈意见、课堂教学效果以及考核结果，持续优化课程内容与教学方法。定期总结教学中的不足之处，并根据以下方面进行改进：</w:t>
      </w:r>
    </w:p>
    <w:p w14:paraId="43C67B76">
      <w:pPr>
        <w:spacing w:line="360" w:lineRule="auto"/>
        <w:ind w:firstLine="480" w:firstLineChars="200"/>
        <w:jc w:val="left"/>
        <w:rPr>
          <w:rFonts w:ascii="Times New Roman" w:hAnsi="Times New Roman" w:eastAsia="宋体" w:cs="Times New Roman"/>
          <w:bCs/>
          <w:sz w:val="24"/>
        </w:rPr>
      </w:pPr>
      <w:r>
        <w:rPr>
          <w:rFonts w:hint="eastAsia" w:ascii="Times New Roman" w:hAnsi="Times New Roman" w:eastAsia="宋体" w:cs="Times New Roman"/>
          <w:bCs/>
          <w:sz w:val="24"/>
        </w:rPr>
        <w:t>1.</w:t>
      </w:r>
      <w:r>
        <w:rPr>
          <w:rFonts w:ascii="Times New Roman" w:hAnsi="Times New Roman" w:eastAsia="宋体" w:cs="Times New Roman"/>
          <w:bCs/>
          <w:sz w:val="24"/>
        </w:rPr>
        <w:t>依据学生平时作业、课堂表现、期中检测及期末考试的成绩分析，调整教学重点与难点。</w:t>
      </w:r>
    </w:p>
    <w:p w14:paraId="307B29C5">
      <w:pPr>
        <w:spacing w:line="360" w:lineRule="auto"/>
        <w:ind w:firstLine="480" w:firstLineChars="200"/>
        <w:jc w:val="left"/>
        <w:rPr>
          <w:rFonts w:ascii="Times New Roman" w:hAnsi="Times New Roman" w:eastAsia="宋体" w:cs="Times New Roman"/>
          <w:bCs/>
          <w:sz w:val="24"/>
        </w:rPr>
      </w:pPr>
      <w:r>
        <w:rPr>
          <w:rFonts w:hint="eastAsia" w:ascii="Times New Roman" w:hAnsi="Times New Roman" w:eastAsia="宋体" w:cs="Times New Roman"/>
          <w:bCs/>
          <w:sz w:val="24"/>
        </w:rPr>
        <w:t>2.</w:t>
      </w:r>
      <w:r>
        <w:rPr>
          <w:rFonts w:ascii="Times New Roman" w:hAnsi="Times New Roman" w:eastAsia="宋体" w:cs="Times New Roman"/>
          <w:bCs/>
          <w:sz w:val="24"/>
        </w:rPr>
        <w:t>通过教师间的教学交流和教学督导意见，不断完善教学设计和活动组织。</w:t>
      </w:r>
    </w:p>
    <w:p w14:paraId="7FFE447A">
      <w:pPr>
        <w:spacing w:line="360" w:lineRule="auto"/>
        <w:ind w:firstLine="480" w:firstLineChars="200"/>
        <w:jc w:val="left"/>
        <w:rPr>
          <w:rFonts w:ascii="Times New Roman" w:hAnsi="Times New Roman" w:eastAsia="宋体" w:cs="Times New Roman"/>
          <w:b/>
          <w:sz w:val="24"/>
        </w:rPr>
      </w:pPr>
      <w:r>
        <w:rPr>
          <w:rFonts w:hint="eastAsia" w:ascii="Times New Roman" w:hAnsi="Times New Roman" w:eastAsia="宋体" w:cs="Times New Roman"/>
          <w:bCs/>
          <w:sz w:val="24"/>
        </w:rPr>
        <w:t>3.</w:t>
      </w:r>
      <w:r>
        <w:rPr>
          <w:rFonts w:ascii="Times New Roman" w:hAnsi="Times New Roman" w:eastAsia="宋体" w:cs="Times New Roman"/>
          <w:bCs/>
          <w:sz w:val="24"/>
        </w:rPr>
        <w:t>引入最新的科学教育研究成果，丰富教学案例，增强教学内容的实用性与前沿</w:t>
      </w:r>
      <w:r>
        <w:rPr>
          <w:rFonts w:ascii="Times New Roman" w:hAnsi="Times New Roman" w:eastAsia="宋体" w:cs="Times New Roman"/>
          <w:b/>
          <w:sz w:val="24"/>
        </w:rPr>
        <w:t>性。</w:t>
      </w:r>
    </w:p>
    <w:p w14:paraId="5895FB53">
      <w:pPr>
        <w:spacing w:line="360" w:lineRule="auto"/>
        <w:ind w:firstLine="480" w:firstLineChars="200"/>
        <w:jc w:val="left"/>
        <w:rPr>
          <w:rFonts w:ascii="Times New Roman" w:hAnsi="Times New Roman" w:eastAsia="宋体" w:cs="Times New Roman"/>
          <w:bCs/>
          <w:sz w:val="24"/>
        </w:rPr>
      </w:pPr>
      <w:r>
        <w:rPr>
          <w:rFonts w:hint="eastAsia" w:ascii="Times New Roman" w:hAnsi="Times New Roman" w:eastAsia="宋体" w:cs="Times New Roman"/>
          <w:bCs/>
          <w:sz w:val="24"/>
        </w:rPr>
        <w:t>4.</w:t>
      </w:r>
      <w:r>
        <w:rPr>
          <w:rFonts w:ascii="Times New Roman" w:hAnsi="Times New Roman" w:eastAsia="宋体" w:cs="Times New Roman"/>
          <w:bCs/>
          <w:sz w:val="24"/>
        </w:rPr>
        <w:t>优化思政教育内容设计，更有效地融入课程教学，强化学生的社会责任感和科学素养。</w:t>
      </w:r>
    </w:p>
    <w:p w14:paraId="0CD77480">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（二）建议教材</w:t>
      </w:r>
    </w:p>
    <w:p w14:paraId="409D01B5">
      <w:pPr>
        <w:spacing w:line="360" w:lineRule="auto"/>
        <w:ind w:firstLine="480" w:firstLineChars="200"/>
        <w:jc w:val="left"/>
        <w:rPr>
          <w:rFonts w:ascii="Times New Roman" w:hAnsi="Times New Roman" w:eastAsia="宋体" w:cs="Times New Roman"/>
          <w:color w:val="000000"/>
          <w:sz w:val="24"/>
        </w:rPr>
      </w:pPr>
      <w:r>
        <w:rPr>
          <w:rFonts w:ascii="Times New Roman" w:hAnsi="Times New Roman" w:eastAsia="宋体" w:cs="Times New Roman"/>
          <w:color w:val="000000"/>
          <w:sz w:val="24"/>
        </w:rPr>
        <w:t>刘金寿. 现代科学技术概论. 北京：高等教育出版社，2021.</w:t>
      </w:r>
    </w:p>
    <w:p w14:paraId="625740DD">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（三）参考书目</w:t>
      </w:r>
    </w:p>
    <w:p w14:paraId="48603C65">
      <w:pPr>
        <w:rPr>
          <w:rFonts w:hint="eastAsia" w:ascii="宋体" w:hAnsi="宋体" w:eastAsia="宋体"/>
          <w:sz w:val="24"/>
        </w:rPr>
      </w:pPr>
      <w:r>
        <w:rPr>
          <w:rFonts w:ascii="宋体" w:hAnsi="宋体" w:eastAsia="宋体"/>
          <w:sz w:val="24"/>
        </w:rPr>
        <w:t xml:space="preserve">  </w:t>
      </w:r>
      <w:r>
        <w:rPr>
          <w:rFonts w:hint="eastAsia" w:ascii="宋体" w:hAnsi="宋体" w:eastAsia="宋体"/>
          <w:sz w:val="24"/>
        </w:rPr>
        <w:t>1.</w:t>
      </w:r>
      <w:r>
        <w:rPr>
          <w:rFonts w:ascii="宋体" w:hAnsi="宋体" w:eastAsia="宋体"/>
          <w:sz w:val="24"/>
        </w:rPr>
        <w:t>吴国盛. 科学的历程（修订第4版）. 长沙：湖南科学技术出版社，2018.</w:t>
      </w:r>
    </w:p>
    <w:p w14:paraId="2EF9CDED">
      <w:pPr>
        <w:rPr>
          <w:rFonts w:hint="eastAsia" w:ascii="宋体" w:hAnsi="宋体" w:eastAsia="宋体"/>
          <w:sz w:val="24"/>
        </w:rPr>
      </w:pPr>
      <w:r>
        <w:rPr>
          <w:rFonts w:ascii="宋体" w:hAnsi="宋体" w:eastAsia="宋体"/>
          <w:sz w:val="24"/>
        </w:rPr>
        <w:t xml:space="preserve">  </w:t>
      </w:r>
      <w:r>
        <w:rPr>
          <w:rFonts w:hint="eastAsia" w:ascii="宋体" w:hAnsi="宋体" w:eastAsia="宋体"/>
          <w:sz w:val="24"/>
        </w:rPr>
        <w:t>2.</w:t>
      </w:r>
      <w:r>
        <w:rPr>
          <w:rFonts w:ascii="宋体" w:hAnsi="宋体" w:eastAsia="宋体"/>
          <w:sz w:val="24"/>
        </w:rPr>
        <w:t>张二庆，乔建生. 小学科学课程与教学论. 北京：北京师范大学出版社，2016.</w:t>
      </w:r>
    </w:p>
    <w:p w14:paraId="405DD1C4">
      <w:pPr>
        <w:rPr>
          <w:rFonts w:hint="eastAsia" w:ascii="宋体" w:hAnsi="宋体" w:eastAsia="宋体"/>
          <w:sz w:val="24"/>
        </w:rPr>
      </w:pPr>
      <w:r>
        <w:rPr>
          <w:rFonts w:ascii="宋体" w:hAnsi="宋体" w:eastAsia="宋体"/>
          <w:sz w:val="24"/>
        </w:rPr>
        <w:t xml:space="preserve">  </w:t>
      </w:r>
      <w:r>
        <w:rPr>
          <w:rFonts w:hint="eastAsia" w:ascii="宋体" w:hAnsi="宋体" w:eastAsia="宋体"/>
          <w:sz w:val="24"/>
        </w:rPr>
        <w:t>3.</w:t>
      </w:r>
      <w:r>
        <w:rPr>
          <w:rFonts w:ascii="宋体" w:hAnsi="宋体" w:eastAsia="宋体"/>
          <w:sz w:val="24"/>
        </w:rPr>
        <w:t>尹显明，王银铃. 科学技术概论. 北京：科学出版社，2018.</w:t>
      </w:r>
    </w:p>
    <w:p w14:paraId="6A452FC8">
      <w:pPr>
        <w:rPr>
          <w:rFonts w:hint="eastAsia" w:ascii="宋体" w:hAnsi="宋体" w:eastAsia="宋体"/>
          <w:sz w:val="24"/>
        </w:rPr>
      </w:pPr>
      <w:r>
        <w:rPr>
          <w:rFonts w:ascii="宋体" w:hAnsi="宋体" w:eastAsia="宋体"/>
          <w:sz w:val="24"/>
        </w:rPr>
        <w:t xml:space="preserve">  </w:t>
      </w:r>
      <w:r>
        <w:rPr>
          <w:rFonts w:hint="eastAsia" w:ascii="宋体" w:hAnsi="宋体" w:eastAsia="宋体"/>
          <w:sz w:val="24"/>
        </w:rPr>
        <w:t>4.</w:t>
      </w:r>
      <w:r>
        <w:rPr>
          <w:rFonts w:ascii="宋体" w:hAnsi="宋体" w:eastAsia="宋体"/>
          <w:sz w:val="24"/>
        </w:rPr>
        <w:t>毕毓俊. 自然科学基础知识. 北京：高等教育出版社，2008.</w:t>
      </w:r>
    </w:p>
    <w:p w14:paraId="7B46F4DA">
      <w:pPr>
        <w:rPr>
          <w:rFonts w:hint="eastAsia" w:ascii="宋体" w:hAnsi="宋体" w:eastAsia="宋体"/>
          <w:sz w:val="24"/>
        </w:rPr>
      </w:pPr>
      <w:r>
        <w:rPr>
          <w:rFonts w:ascii="宋体" w:hAnsi="宋体" w:eastAsia="宋体"/>
          <w:sz w:val="24"/>
        </w:rPr>
        <w:t xml:space="preserve">  </w:t>
      </w:r>
      <w:r>
        <w:rPr>
          <w:rFonts w:hint="eastAsia" w:ascii="宋体" w:hAnsi="宋体" w:eastAsia="宋体"/>
          <w:sz w:val="24"/>
        </w:rPr>
        <w:t>5.</w:t>
      </w:r>
      <w:r>
        <w:rPr>
          <w:rFonts w:ascii="宋体" w:hAnsi="宋体" w:eastAsia="宋体"/>
          <w:sz w:val="24"/>
        </w:rPr>
        <w:t>叶勤. 人类与自然. 北京：高等教育出版社，2009.</w:t>
      </w:r>
    </w:p>
    <w:p w14:paraId="6C2C504B"/>
    <w:p w14:paraId="7B114C3F"/>
    <w:p w14:paraId="61A70897"/>
    <w:p w14:paraId="600184DC">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执 笔 人：</w:t>
      </w:r>
      <w:r>
        <w:rPr>
          <w:rFonts w:ascii="Times New Roman" w:hAnsi="Times New Roman" w:eastAsia="宋体" w:cs="Times New Roman"/>
          <w:sz w:val="24"/>
        </w:rPr>
        <w:t xml:space="preserve"> </w:t>
      </w:r>
      <w:r>
        <w:rPr>
          <w:rFonts w:hint="eastAsia" w:ascii="Times New Roman" w:hAnsi="Times New Roman" w:eastAsia="宋体" w:cs="Times New Roman"/>
          <w:sz w:val="24"/>
        </w:rPr>
        <w:t>金玉宏</w:t>
      </w:r>
    </w:p>
    <w:p w14:paraId="3552DD5D">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审 定 人：</w:t>
      </w:r>
      <w:r>
        <w:rPr>
          <w:rFonts w:ascii="Times New Roman" w:hAnsi="Times New Roman" w:eastAsia="宋体" w:cs="Times New Roman"/>
          <w:sz w:val="24"/>
        </w:rPr>
        <w:t xml:space="preserve"> </w:t>
      </w:r>
      <w:r>
        <w:rPr>
          <w:rFonts w:hint="eastAsia" w:ascii="Times New Roman" w:hAnsi="Times New Roman" w:eastAsia="宋体" w:cs="Times New Roman"/>
          <w:sz w:val="24"/>
        </w:rPr>
        <w:t>王健</w:t>
      </w:r>
    </w:p>
    <w:p w14:paraId="470312C6">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5BF41589">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3DEB2048">
      <w:pPr>
        <w:rPr>
          <w:rFonts w:ascii="Times New Roman" w:hAnsi="Times New Roman" w:eastAsia="宋体" w:cs="Times New Roman"/>
          <w:sz w:val="24"/>
        </w:rPr>
      </w:pPr>
      <w:r>
        <w:rPr>
          <w:rFonts w:ascii="Times New Roman" w:hAnsi="Times New Roman" w:eastAsia="宋体" w:cs="Times New Roman"/>
          <w:sz w:val="24"/>
        </w:rPr>
        <w:br w:type="page"/>
      </w:r>
    </w:p>
    <w:p w14:paraId="00423923">
      <w:pPr>
        <w:pStyle w:val="2"/>
      </w:pPr>
      <w:bookmarkStart w:id="232" w:name="_Toc57017184"/>
      <w:bookmarkStart w:id="233" w:name="_Toc11773"/>
      <w:r>
        <w:rPr>
          <w:rFonts w:hint="eastAsia"/>
        </w:rPr>
        <w:t>《美术基础》课程教学大纲</w:t>
      </w:r>
      <w:bookmarkEnd w:id="232"/>
      <w:bookmarkEnd w:id="233"/>
    </w:p>
    <w:p w14:paraId="07969211">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Art Basics</w:t>
      </w:r>
      <w:r>
        <w:rPr>
          <w:rFonts w:ascii="Times New Roman" w:hAnsi="Times New Roman" w:eastAsia="宋体" w:cs="Times New Roman"/>
          <w:b/>
          <w:bCs/>
          <w:sz w:val="28"/>
          <w:szCs w:val="28"/>
        </w:rPr>
        <w:t>）</w:t>
      </w:r>
    </w:p>
    <w:p w14:paraId="366E38F2">
      <w:pPr>
        <w:spacing w:line="360" w:lineRule="auto"/>
        <w:jc w:val="center"/>
        <w:rPr>
          <w:rFonts w:ascii="Times New Roman" w:hAnsi="Times New Roman" w:eastAsia="宋体" w:cs="Times New Roman"/>
          <w:bCs/>
          <w:sz w:val="30"/>
          <w:szCs w:val="30"/>
        </w:rPr>
      </w:pPr>
    </w:p>
    <w:p w14:paraId="3D8B688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课程名称：美术基础</w:t>
      </w:r>
    </w:p>
    <w:p w14:paraId="2836F98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课程代码：2401005</w:t>
      </w:r>
    </w:p>
    <w:p w14:paraId="600FD07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分：3</w:t>
      </w:r>
    </w:p>
    <w:p w14:paraId="59BD3AF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时：48</w:t>
      </w:r>
    </w:p>
    <w:p w14:paraId="4B8B4E5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先修课程：素描画技法、创意绘画</w:t>
      </w:r>
    </w:p>
    <w:p w14:paraId="3A489C0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0E964BCE">
      <w:pPr>
        <w:spacing w:line="360" w:lineRule="auto"/>
        <w:jc w:val="left"/>
        <w:rPr>
          <w:rFonts w:ascii="Times New Roman" w:hAnsi="Times New Roman" w:eastAsia="宋体" w:cs="Times New Roman"/>
          <w:b/>
          <w:sz w:val="24"/>
        </w:rPr>
      </w:pPr>
    </w:p>
    <w:p w14:paraId="36E6C519">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4E2430D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必修课。通过本课程的学习，不仅可以提升学生的审美，而且在提升学生审美能力、创造力和想象力方面能够带来很大帮助。首先，使学生从现有的绘画基础之上提升更高的台阶，并能够通过绘画提升学生的综合素养。在学习素描的基础之上再进行拓展训练，了解更多关于美术方面的绘画分类，包括色彩、卡通画、漫画的绘画技法。在此基础上，形成学生美术正确地教育意识和观念；其次，让学生了解我国美术的发展及美术教育现状，提高学生在其美术方面的教育理论素养，为今后的工作实践奠定坚实的理论基础；最后，引导学生运用所学的基本理论进行一定数量不同风格的绘画练习实践，将所学理论知识和实践结合起来，增强分析和解决实际问题的能力。</w:t>
      </w:r>
    </w:p>
    <w:p w14:paraId="5D718882">
      <w:pPr>
        <w:spacing w:line="360" w:lineRule="auto"/>
        <w:jc w:val="left"/>
        <w:rPr>
          <w:rFonts w:hint="eastAsia" w:ascii="宋体" w:hAnsi="宋体" w:eastAsia="宋体" w:cs="Times New Roman"/>
          <w:b/>
          <w:color w:val="000000"/>
          <w:szCs w:val="21"/>
        </w:rPr>
      </w:pPr>
    </w:p>
    <w:p w14:paraId="678EC11C">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6A933FDD">
      <w:pPr>
        <w:spacing w:line="360" w:lineRule="auto"/>
        <w:ind w:firstLine="422" w:firstLineChars="200"/>
        <w:rPr>
          <w:rFonts w:hint="eastAsia" w:ascii="宋体" w:hAnsi="宋体" w:eastAsia="宋体" w:cs="Times New Roman"/>
          <w:b/>
          <w:color w:val="000000"/>
          <w:szCs w:val="21"/>
        </w:rPr>
      </w:pPr>
      <w:bookmarkStart w:id="234" w:name="OLE_LINK2"/>
      <w:r>
        <w:rPr>
          <w:rFonts w:hint="eastAsia" w:ascii="宋体" w:hAnsi="宋体" w:eastAsia="宋体" w:cs="Times New Roman"/>
          <w:b/>
          <w:color w:val="000000"/>
          <w:szCs w:val="21"/>
        </w:rPr>
        <w:t>（一）课程具体目标</w:t>
      </w:r>
    </w:p>
    <w:p w14:paraId="2E05E252">
      <w:pPr>
        <w:spacing w:line="360" w:lineRule="auto"/>
        <w:ind w:firstLine="482"/>
        <w:jc w:val="left"/>
        <w:rPr>
          <w:rFonts w:ascii="Times New Roman" w:hAnsi="Times New Roman" w:eastAsia="宋体" w:cs="Times New Roman"/>
          <w:b/>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培养审美意识：</w:t>
      </w:r>
      <w:r>
        <w:rPr>
          <w:rFonts w:hint="eastAsia" w:ascii="Times New Roman" w:hAnsi="Times New Roman" w:eastAsia="宋体" w:cs="Times New Roman"/>
          <w:bCs/>
          <w:szCs w:val="21"/>
        </w:rPr>
        <w:t>使学生能够欣赏和理解不同风格的艺术作品。通过观察、体验与 创作，提升学生的审美意识和艺术鉴赏能力。</w:t>
      </w:r>
    </w:p>
    <w:p w14:paraId="32C81FE2">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hint="eastAsia" w:ascii="Times New Roman" w:hAnsi="Times New Roman" w:eastAsia="宋体" w:cs="Times New Roman"/>
          <w:b/>
          <w:szCs w:val="21"/>
        </w:rPr>
        <w:t xml:space="preserve"> 提升绘画技能：</w:t>
      </w:r>
      <w:r>
        <w:rPr>
          <w:rFonts w:hint="eastAsia" w:ascii="Times New Roman" w:hAnsi="Times New Roman" w:eastAsia="宋体" w:cs="Times New Roman"/>
          <w:bCs/>
          <w:szCs w:val="21"/>
        </w:rPr>
        <w:t>通过实践掌握线条、色彩、光影等绘画要素的运用。通过不同的美术活动，使学生掌握基础的漫画、插画等技巧。</w:t>
      </w:r>
    </w:p>
    <w:p w14:paraId="427BEE81">
      <w:pPr>
        <w:spacing w:line="360" w:lineRule="auto"/>
        <w:ind w:firstLine="422" w:firstLineChars="200"/>
        <w:jc w:val="left"/>
        <w:rPr>
          <w:rFonts w:ascii="Times New Roman" w:hAnsi="Times New Roman" w:eastAsia="宋体" w:cs="Times New Roman"/>
          <w:bCs/>
          <w:kern w:val="0"/>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．技法创造力：</w:t>
      </w:r>
      <w:r>
        <w:rPr>
          <w:rFonts w:hint="eastAsia" w:ascii="Times New Roman" w:hAnsi="Times New Roman" w:eastAsia="宋体" w:cs="Times New Roman"/>
          <w:bCs/>
          <w:kern w:val="0"/>
          <w:szCs w:val="21"/>
        </w:rPr>
        <w:t>鼓励学生运用丰富的思维和创意，表达自己的想法和感受。培养他们的想象力和创造性思维。</w:t>
      </w:r>
    </w:p>
    <w:p w14:paraId="277996B1">
      <w:pPr>
        <w:spacing w:line="360" w:lineRule="auto"/>
        <w:ind w:firstLine="422" w:firstLineChars="200"/>
        <w:jc w:val="left"/>
        <w:rPr>
          <w:rFonts w:ascii="Times New Roman" w:hAnsi="Times New Roman" w:eastAsia="宋体" w:cs="Times New Roman"/>
          <w:bCs/>
          <w:kern w:val="0"/>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
          <w:kern w:val="0"/>
          <w:szCs w:val="21"/>
        </w:rPr>
        <w:t>．增强艺术表达能力：</w:t>
      </w:r>
      <w:r>
        <w:rPr>
          <w:rFonts w:hint="eastAsia" w:ascii="Times New Roman" w:hAnsi="Times New Roman" w:eastAsia="宋体" w:cs="Times New Roman"/>
          <w:bCs/>
          <w:kern w:val="0"/>
          <w:szCs w:val="21"/>
        </w:rPr>
        <w:t>通过团队合作与项目实践，培养学生的沟通能力、协作精神和社会责任感。通过作品展示和交流，提升学生的自信心和艺术表达能力。</w:t>
      </w:r>
    </w:p>
    <w:p w14:paraId="7E96D73E">
      <w:pPr>
        <w:spacing w:line="360" w:lineRule="auto"/>
        <w:ind w:firstLine="420" w:firstLineChars="200"/>
        <w:jc w:val="left"/>
        <w:rPr>
          <w:rFonts w:ascii="Times New Roman" w:hAnsi="Times New Roman" w:eastAsia="宋体" w:cs="Times New Roman"/>
          <w:bCs/>
          <w:kern w:val="0"/>
          <w:szCs w:val="21"/>
        </w:rPr>
      </w:pPr>
    </w:p>
    <w:bookmarkEnd w:id="234"/>
    <w:p w14:paraId="7BCC68A5">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AC3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BD77D5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44F09F7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E2273D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2D7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91F546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毕业要求1.美术学知识的掌握与运用：具备美术、及技法领域的专业知识，能够运用上述知识解决专业领域中所遇到的专业问题。</w:t>
            </w:r>
          </w:p>
        </w:tc>
        <w:tc>
          <w:tcPr>
            <w:tcW w:w="5688" w:type="dxa"/>
            <w:vAlign w:val="center"/>
          </w:tcPr>
          <w:p w14:paraId="41F50AD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w:t>
            </w:r>
            <w:r>
              <w:rPr>
                <w:rFonts w:hint="eastAsia" w:ascii="Times New Roman" w:hAnsi="Times New Roman" w:eastAsia="宋体" w:cs="Times New Roman"/>
                <w:szCs w:val="21"/>
              </w:rPr>
              <w:t>了解和掌握素描的基本绘画技法；工具材料选择回个特性；临本的选择和使用；用笔的基本方法和技巧。</w:t>
            </w:r>
          </w:p>
        </w:tc>
        <w:tc>
          <w:tcPr>
            <w:tcW w:w="1191" w:type="dxa"/>
            <w:vAlign w:val="center"/>
          </w:tcPr>
          <w:p w14:paraId="70ACDE3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722A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F2ACFD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 针对美术基础课程的理论和作品分析学习能够提升一定的审美判断能力。</w:t>
            </w:r>
          </w:p>
        </w:tc>
        <w:tc>
          <w:tcPr>
            <w:tcW w:w="5688" w:type="dxa"/>
            <w:vAlign w:val="center"/>
          </w:tcPr>
          <w:p w14:paraId="28750CC8">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w:t>
            </w:r>
            <w:r>
              <w:rPr>
                <w:rFonts w:hint="eastAsia" w:ascii="宋体" w:hAnsi="宋体" w:eastAsia="宋体" w:cs="Times New Roman"/>
                <w:color w:val="000000"/>
                <w:spacing w:val="2"/>
                <w:kern w:val="0"/>
                <w:szCs w:val="21"/>
              </w:rPr>
              <w:t>了解不同绘画风格的绘画技法及工具使用，了解美术的发展历史，能够学会用专业名词分析绘画作品</w:t>
            </w:r>
            <w:r>
              <w:rPr>
                <w:rFonts w:ascii="宋体" w:hAnsi="宋体" w:eastAsia="宋体" w:cs="Times New Roman"/>
                <w:color w:val="000000"/>
                <w:spacing w:val="2"/>
                <w:kern w:val="0"/>
                <w:szCs w:val="21"/>
              </w:rPr>
              <w:t>。</w:t>
            </w:r>
          </w:p>
        </w:tc>
        <w:tc>
          <w:tcPr>
            <w:tcW w:w="1191" w:type="dxa"/>
            <w:vAlign w:val="center"/>
          </w:tcPr>
          <w:p w14:paraId="2D7810D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012D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A5A04E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 分析能力：针对课程实践中遇到的复杂问题，能够通过美术绘画基本功，能够判断出问题及很快的做出解决问题的方法。</w:t>
            </w:r>
          </w:p>
        </w:tc>
        <w:tc>
          <w:tcPr>
            <w:tcW w:w="5688" w:type="dxa"/>
            <w:vAlign w:val="center"/>
          </w:tcPr>
          <w:p w14:paraId="4A7A4BDC">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w:t>
            </w:r>
            <w:r>
              <w:rPr>
                <w:rFonts w:hint="eastAsia" w:ascii="宋体" w:hAnsi="宋体" w:eastAsia="宋体" w:cs="Times New Roman"/>
                <w:color w:val="000000"/>
                <w:spacing w:val="2"/>
                <w:kern w:val="0"/>
                <w:szCs w:val="21"/>
              </w:rPr>
              <w:t>能够对课程设计、实践过程中的复杂问题，提出解决方案，提出解决方案的思路和理论引导。</w:t>
            </w:r>
          </w:p>
        </w:tc>
        <w:tc>
          <w:tcPr>
            <w:tcW w:w="1191" w:type="dxa"/>
            <w:vAlign w:val="center"/>
          </w:tcPr>
          <w:p w14:paraId="50BD172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67E9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D84D5B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毕业要求7. 针对实践教学环节的要求，能够科学的与同学之间进行互动学习，并能够合理地互相提出问题及互相解决问题。</w:t>
            </w:r>
          </w:p>
        </w:tc>
        <w:tc>
          <w:tcPr>
            <w:tcW w:w="5688" w:type="dxa"/>
            <w:vAlign w:val="center"/>
          </w:tcPr>
          <w:p w14:paraId="2C0688A6">
            <w:pPr>
              <w:spacing w:line="276" w:lineRule="auto"/>
              <w:jc w:val="left"/>
              <w:rPr>
                <w:rFonts w:ascii="Times New Roman" w:hAnsi="Times New Roman" w:eastAsia="宋体" w:cs="Times New Roman"/>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rPr>
              <w:t>4-4</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集体性地学习需要通过绘画作品的点评、专业词汇分析并能够提出解决问题的方法。养成互相指导学习的习惯，通过别人作品中出现的问题能够提升悟性解决自己的问题。</w:t>
            </w:r>
          </w:p>
        </w:tc>
        <w:tc>
          <w:tcPr>
            <w:tcW w:w="1191" w:type="dxa"/>
            <w:vAlign w:val="center"/>
          </w:tcPr>
          <w:p w14:paraId="11B500B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课程目标4</w:t>
            </w:r>
          </w:p>
        </w:tc>
      </w:tr>
    </w:tbl>
    <w:p w14:paraId="0B3031B1">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52EF13E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38DADB55">
      <w:pPr>
        <w:spacing w:line="360" w:lineRule="auto"/>
        <w:jc w:val="left"/>
        <w:rPr>
          <w:rFonts w:hint="eastAsia" w:ascii="宋体" w:hAnsi="宋体" w:eastAsia="宋体" w:cs="Times New Roman"/>
          <w:b/>
          <w:color w:val="000000"/>
          <w:sz w:val="28"/>
          <w:szCs w:val="28"/>
        </w:rPr>
      </w:pPr>
    </w:p>
    <w:p w14:paraId="3F1D2CFD">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B9C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D53A8F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D8621B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DC91BD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73EBCC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7CDD3A2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4E0C701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E34E35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5E0186C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458F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07B354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1.创意造型</w:t>
            </w:r>
          </w:p>
        </w:tc>
        <w:tc>
          <w:tcPr>
            <w:tcW w:w="1701" w:type="dxa"/>
            <w:vAlign w:val="center"/>
          </w:tcPr>
          <w:p w14:paraId="01B7030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（1）美术发展概括</w:t>
            </w:r>
          </w:p>
          <w:p w14:paraId="64FB625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（2）创意素描</w:t>
            </w:r>
          </w:p>
          <w:p w14:paraId="1AF915D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（3）素描的构图</w:t>
            </w:r>
          </w:p>
          <w:p w14:paraId="60C8200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（4）素描的透视</w:t>
            </w:r>
          </w:p>
          <w:p w14:paraId="78820349">
            <w:pPr>
              <w:spacing w:line="269" w:lineRule="auto"/>
              <w:jc w:val="left"/>
              <w:rPr>
                <w:rFonts w:hint="eastAsia" w:ascii="宋体" w:hAnsi="宋体" w:eastAsia="宋体" w:cs="Times New Roman"/>
                <w:color w:val="000000"/>
                <w:szCs w:val="21"/>
              </w:rPr>
            </w:pPr>
          </w:p>
        </w:tc>
        <w:tc>
          <w:tcPr>
            <w:tcW w:w="1134" w:type="dxa"/>
            <w:vAlign w:val="center"/>
          </w:tcPr>
          <w:p w14:paraId="2EC4F7B0">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p>
          <w:p w14:paraId="555EF1A1">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w:t>
            </w:r>
          </w:p>
        </w:tc>
        <w:tc>
          <w:tcPr>
            <w:tcW w:w="3260" w:type="dxa"/>
            <w:vAlign w:val="center"/>
          </w:tcPr>
          <w:p w14:paraId="36688D6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了解美术发展的概括，提升修养；</w:t>
            </w:r>
          </w:p>
          <w:p w14:paraId="640548B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2.了解</w:t>
            </w:r>
            <w:r>
              <w:rPr>
                <w:rFonts w:hint="eastAsia" w:ascii="宋体" w:hAnsi="宋体" w:eastAsia="宋体" w:cs="Times New Roman"/>
                <w:color w:val="000000"/>
                <w:szCs w:val="21"/>
              </w:rPr>
              <w:t>素描的绘画工具、绘画技法；</w:t>
            </w:r>
          </w:p>
          <w:p w14:paraId="39C352F9">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学会使用铅笔排线；</w:t>
            </w:r>
          </w:p>
          <w:p w14:paraId="1552E0AB">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理解物体的块面关系。</w:t>
            </w:r>
          </w:p>
        </w:tc>
        <w:tc>
          <w:tcPr>
            <w:tcW w:w="1560" w:type="dxa"/>
            <w:vAlign w:val="center"/>
          </w:tcPr>
          <w:p w14:paraId="2781BB2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1.线下学习</w:t>
            </w:r>
          </w:p>
          <w:p w14:paraId="36F6193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A314BF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4.实践</w:t>
            </w:r>
          </w:p>
        </w:tc>
        <w:tc>
          <w:tcPr>
            <w:tcW w:w="438" w:type="dxa"/>
            <w:vAlign w:val="center"/>
          </w:tcPr>
          <w:p w14:paraId="703BEA11">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08AF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BA9FB34">
            <w:pPr>
              <w:spacing w:line="264" w:lineRule="auto"/>
              <w:jc w:val="center"/>
              <w:rPr>
                <w:rFonts w:hint="eastAsia" w:ascii="宋体" w:hAnsi="宋体" w:eastAsia="宋体" w:cs="Times New Roman"/>
                <w:color w:val="000000"/>
                <w:szCs w:val="21"/>
              </w:rPr>
            </w:pPr>
          </w:p>
        </w:tc>
        <w:tc>
          <w:tcPr>
            <w:tcW w:w="8093" w:type="dxa"/>
            <w:gridSpan w:val="5"/>
            <w:vAlign w:val="center"/>
          </w:tcPr>
          <w:p w14:paraId="3316B1CA">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通过对美术发展中美术教育家的了解，增强爱国情怀及热爱教育事业，学习他们刻苦专研，不怕困难的精神。</w:t>
            </w:r>
          </w:p>
        </w:tc>
      </w:tr>
      <w:tr w14:paraId="65BD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9FD793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2.素描创作实践</w:t>
            </w:r>
          </w:p>
        </w:tc>
        <w:tc>
          <w:tcPr>
            <w:tcW w:w="1701" w:type="dxa"/>
            <w:vAlign w:val="center"/>
          </w:tcPr>
          <w:p w14:paraId="1C208A6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（1）结构素描</w:t>
            </w:r>
          </w:p>
          <w:p w14:paraId="276A4D3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（2）明暗素描</w:t>
            </w:r>
          </w:p>
          <w:p w14:paraId="3420E88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（3）意象素描</w:t>
            </w:r>
          </w:p>
        </w:tc>
        <w:tc>
          <w:tcPr>
            <w:tcW w:w="1134" w:type="dxa"/>
            <w:vAlign w:val="center"/>
          </w:tcPr>
          <w:p w14:paraId="6D849F89">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vAlign w:val="center"/>
          </w:tcPr>
          <w:p w14:paraId="13E9429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1.掌握结构素描的绘画方法；</w:t>
            </w:r>
          </w:p>
          <w:p w14:paraId="76AC12A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2.学会结构线描的布线；</w:t>
            </w:r>
          </w:p>
          <w:p w14:paraId="4255CB7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3.掌握结构素描的联想拓展</w:t>
            </w:r>
            <w:r>
              <w:rPr>
                <w:rFonts w:ascii="宋体" w:hAnsi="宋体" w:eastAsia="宋体" w:cs="Times New Roman"/>
                <w:color w:val="000000"/>
                <w:szCs w:val="21"/>
              </w:rPr>
              <w:t>。</w:t>
            </w:r>
          </w:p>
        </w:tc>
        <w:tc>
          <w:tcPr>
            <w:tcW w:w="1560" w:type="dxa"/>
            <w:vAlign w:val="center"/>
          </w:tcPr>
          <w:p w14:paraId="706C8DC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1.线下学习</w:t>
            </w:r>
          </w:p>
          <w:p w14:paraId="0F88899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4139F4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4.实践</w:t>
            </w:r>
          </w:p>
        </w:tc>
        <w:tc>
          <w:tcPr>
            <w:tcW w:w="438" w:type="dxa"/>
            <w:vAlign w:val="center"/>
          </w:tcPr>
          <w:p w14:paraId="7FD33C50">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w:t>
            </w:r>
          </w:p>
        </w:tc>
      </w:tr>
      <w:tr w14:paraId="0EEC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C664CE2">
            <w:pPr>
              <w:spacing w:line="264" w:lineRule="auto"/>
              <w:jc w:val="center"/>
              <w:rPr>
                <w:rFonts w:hint="eastAsia" w:ascii="宋体" w:hAnsi="宋体" w:eastAsia="宋体" w:cs="Times New Roman"/>
                <w:color w:val="000000"/>
                <w:szCs w:val="21"/>
              </w:rPr>
            </w:pPr>
          </w:p>
        </w:tc>
        <w:tc>
          <w:tcPr>
            <w:tcW w:w="8093" w:type="dxa"/>
            <w:gridSpan w:val="5"/>
            <w:vAlign w:val="center"/>
          </w:tcPr>
          <w:p w14:paraId="3BA047BA">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通过结构素描的绘画过程学习做事情要有条理，要从整体到局部，循序渐进的进行，不能心急及急于出效果，错误百出。</w:t>
            </w:r>
          </w:p>
        </w:tc>
      </w:tr>
      <w:tr w14:paraId="137F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3A8F5EC">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3.儿童画创编</w:t>
            </w:r>
          </w:p>
        </w:tc>
        <w:tc>
          <w:tcPr>
            <w:tcW w:w="1701" w:type="dxa"/>
            <w:vAlign w:val="center"/>
          </w:tcPr>
          <w:p w14:paraId="23EF164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（1）学习儿童画的意义</w:t>
            </w:r>
          </w:p>
          <w:p w14:paraId="2635AC4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（2）儿童画的创作方法及不同工具的使用</w:t>
            </w:r>
          </w:p>
          <w:p w14:paraId="74200D5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（3）儿童画的创意表现</w:t>
            </w:r>
          </w:p>
          <w:p w14:paraId="0CADB19C">
            <w:pPr>
              <w:spacing w:line="269" w:lineRule="auto"/>
              <w:jc w:val="left"/>
              <w:rPr>
                <w:rFonts w:hint="eastAsia" w:ascii="宋体" w:hAnsi="宋体" w:eastAsia="宋体" w:cs="Times New Roman"/>
                <w:color w:val="000000"/>
                <w:szCs w:val="21"/>
              </w:rPr>
            </w:pPr>
          </w:p>
        </w:tc>
        <w:tc>
          <w:tcPr>
            <w:tcW w:w="1134" w:type="dxa"/>
            <w:vAlign w:val="center"/>
          </w:tcPr>
          <w:p w14:paraId="7E8354D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vAlign w:val="center"/>
          </w:tcPr>
          <w:p w14:paraId="0F5B55B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1.了解儿童画对少儿教育的意义；</w:t>
            </w:r>
          </w:p>
          <w:p w14:paraId="3DF30BC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2.掌握儿童画的绘画技法；</w:t>
            </w:r>
          </w:p>
          <w:p w14:paraId="30182FD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 掌握创意技巧</w:t>
            </w:r>
          </w:p>
        </w:tc>
        <w:tc>
          <w:tcPr>
            <w:tcW w:w="1560" w:type="dxa"/>
            <w:vAlign w:val="center"/>
          </w:tcPr>
          <w:p w14:paraId="2AEFC3F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rPr>
              <w:t>下</w:t>
            </w:r>
            <w:r>
              <w:rPr>
                <w:rFonts w:ascii="宋体" w:hAnsi="宋体" w:eastAsia="宋体" w:cs="Times New Roman"/>
                <w:color w:val="000000"/>
                <w:szCs w:val="21"/>
              </w:rPr>
              <w:t>学习</w:t>
            </w:r>
          </w:p>
          <w:p w14:paraId="4B3E90EF">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A4AFA5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实践</w:t>
            </w:r>
          </w:p>
        </w:tc>
        <w:tc>
          <w:tcPr>
            <w:tcW w:w="438" w:type="dxa"/>
            <w:vAlign w:val="center"/>
          </w:tcPr>
          <w:p w14:paraId="69739DF2">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4CCD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265B01D">
            <w:pPr>
              <w:spacing w:line="264" w:lineRule="auto"/>
              <w:jc w:val="center"/>
              <w:rPr>
                <w:rFonts w:hint="eastAsia" w:ascii="宋体" w:hAnsi="宋体" w:eastAsia="宋体" w:cs="Times New Roman"/>
                <w:color w:val="000000"/>
                <w:szCs w:val="21"/>
              </w:rPr>
            </w:pPr>
          </w:p>
        </w:tc>
        <w:tc>
          <w:tcPr>
            <w:tcW w:w="8093" w:type="dxa"/>
            <w:gridSpan w:val="5"/>
            <w:vAlign w:val="center"/>
          </w:tcPr>
          <w:p w14:paraId="6221FC02">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从辩证思维的角度掌握对不同事情的正确看法和处理方式。</w:t>
            </w:r>
          </w:p>
        </w:tc>
      </w:tr>
      <w:tr w14:paraId="530A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CEA23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4.创意色彩</w:t>
            </w:r>
          </w:p>
        </w:tc>
        <w:tc>
          <w:tcPr>
            <w:tcW w:w="1701" w:type="dxa"/>
            <w:vAlign w:val="center"/>
          </w:tcPr>
          <w:p w14:paraId="28327FA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（1）色彩形成原理</w:t>
            </w:r>
          </w:p>
          <w:p w14:paraId="3458422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（2）印象派绘画分析</w:t>
            </w:r>
          </w:p>
          <w:p w14:paraId="38EE77C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（3）色彩的调色和关系</w:t>
            </w:r>
          </w:p>
        </w:tc>
        <w:tc>
          <w:tcPr>
            <w:tcW w:w="1134" w:type="dxa"/>
            <w:vAlign w:val="center"/>
          </w:tcPr>
          <w:p w14:paraId="2F76148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FFEC6A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1.掌握色彩的形成原理；</w:t>
            </w:r>
          </w:p>
          <w:p w14:paraId="4C17CA5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2.学会色彩的调色技巧和色彩关系的表达。</w:t>
            </w:r>
          </w:p>
        </w:tc>
        <w:tc>
          <w:tcPr>
            <w:tcW w:w="1560" w:type="dxa"/>
            <w:vAlign w:val="center"/>
          </w:tcPr>
          <w:p w14:paraId="47B92A2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rPr>
              <w:t>下</w:t>
            </w:r>
            <w:r>
              <w:rPr>
                <w:rFonts w:ascii="宋体" w:hAnsi="宋体" w:eastAsia="宋体" w:cs="Times New Roman"/>
                <w:color w:val="000000"/>
                <w:szCs w:val="21"/>
              </w:rPr>
              <w:t>学习</w:t>
            </w:r>
          </w:p>
          <w:p w14:paraId="2592811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06E48C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实践</w:t>
            </w:r>
          </w:p>
        </w:tc>
        <w:tc>
          <w:tcPr>
            <w:tcW w:w="438" w:type="dxa"/>
            <w:vAlign w:val="center"/>
          </w:tcPr>
          <w:p w14:paraId="21EB182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35A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6EFD5CA">
            <w:pPr>
              <w:spacing w:line="276" w:lineRule="auto"/>
              <w:jc w:val="center"/>
              <w:rPr>
                <w:rFonts w:hint="eastAsia" w:ascii="宋体" w:hAnsi="宋体" w:eastAsia="宋体" w:cs="Times New Roman"/>
                <w:color w:val="000000"/>
                <w:szCs w:val="21"/>
              </w:rPr>
            </w:pPr>
          </w:p>
        </w:tc>
        <w:tc>
          <w:tcPr>
            <w:tcW w:w="8093" w:type="dxa"/>
            <w:gridSpan w:val="5"/>
            <w:vAlign w:val="center"/>
          </w:tcPr>
          <w:p w14:paraId="19E9A49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通过对色彩的学习使学生学会观察周围的人和事，从中学会找联系，</w:t>
            </w:r>
            <w:r>
              <w:rPr>
                <w:rFonts w:hint="eastAsia" w:ascii="宋体" w:hAnsi="宋体" w:eastAsia="宋体" w:cs="Times New Roman"/>
                <w:color w:val="000000"/>
                <w:szCs w:val="21"/>
              </w:rPr>
              <w:t>。</w:t>
            </w:r>
          </w:p>
        </w:tc>
      </w:tr>
      <w:tr w14:paraId="5687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4C1EB9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5.色彩表达</w:t>
            </w:r>
          </w:p>
        </w:tc>
        <w:tc>
          <w:tcPr>
            <w:tcW w:w="1701" w:type="dxa"/>
            <w:vAlign w:val="center"/>
          </w:tcPr>
          <w:p w14:paraId="5E78370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（1）色彩肌理表达</w:t>
            </w:r>
          </w:p>
          <w:p w14:paraId="44E4F23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（2）色彩的构成形式</w:t>
            </w:r>
          </w:p>
          <w:p w14:paraId="1E2C476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（3）色彩创作原理</w:t>
            </w:r>
          </w:p>
        </w:tc>
        <w:tc>
          <w:tcPr>
            <w:tcW w:w="1134" w:type="dxa"/>
            <w:vAlign w:val="center"/>
          </w:tcPr>
          <w:p w14:paraId="23BBE8B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7ADBE4C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1.掌握各种材料对色彩肌理表达的实践方法；</w:t>
            </w:r>
          </w:p>
          <w:p w14:paraId="60E4DC3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2.掌握色彩构成方法；</w:t>
            </w:r>
          </w:p>
          <w:p w14:paraId="46E12B1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3.色彩创意实践</w:t>
            </w:r>
            <w:r>
              <w:rPr>
                <w:rFonts w:ascii="宋体" w:hAnsi="宋体" w:eastAsia="宋体" w:cs="Times New Roman"/>
                <w:color w:val="000000"/>
                <w:szCs w:val="21"/>
              </w:rPr>
              <w:t>。</w:t>
            </w:r>
          </w:p>
        </w:tc>
        <w:tc>
          <w:tcPr>
            <w:tcW w:w="1560" w:type="dxa"/>
            <w:vAlign w:val="center"/>
          </w:tcPr>
          <w:p w14:paraId="473E9D3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rPr>
              <w:t>下</w:t>
            </w:r>
            <w:r>
              <w:rPr>
                <w:rFonts w:ascii="宋体" w:hAnsi="宋体" w:eastAsia="宋体" w:cs="Times New Roman"/>
                <w:color w:val="000000"/>
                <w:szCs w:val="21"/>
              </w:rPr>
              <w:t>学习</w:t>
            </w:r>
          </w:p>
          <w:p w14:paraId="4821557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41D888F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实践</w:t>
            </w:r>
          </w:p>
        </w:tc>
        <w:tc>
          <w:tcPr>
            <w:tcW w:w="438" w:type="dxa"/>
            <w:vAlign w:val="center"/>
          </w:tcPr>
          <w:p w14:paraId="2B0AC08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7CEF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D7A58B1">
            <w:pPr>
              <w:spacing w:line="276" w:lineRule="auto"/>
              <w:jc w:val="center"/>
              <w:rPr>
                <w:rFonts w:hint="eastAsia" w:ascii="宋体" w:hAnsi="宋体" w:eastAsia="宋体" w:cs="Times New Roman"/>
                <w:color w:val="000000"/>
                <w:szCs w:val="21"/>
              </w:rPr>
            </w:pPr>
          </w:p>
        </w:tc>
        <w:tc>
          <w:tcPr>
            <w:tcW w:w="8093" w:type="dxa"/>
            <w:gridSpan w:val="5"/>
            <w:vAlign w:val="center"/>
          </w:tcPr>
          <w:p w14:paraId="49A93F57">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通过对色彩的表达学习，可以拓展思维，用科学的思维处理问题，理解创造力的重要性。</w:t>
            </w:r>
          </w:p>
        </w:tc>
      </w:tr>
      <w:tr w14:paraId="0C58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AE6B5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6.色彩探索</w:t>
            </w:r>
          </w:p>
        </w:tc>
        <w:tc>
          <w:tcPr>
            <w:tcW w:w="1701" w:type="dxa"/>
            <w:vAlign w:val="center"/>
          </w:tcPr>
          <w:p w14:paraId="2558615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（1）物料的创作特性及实验</w:t>
            </w:r>
          </w:p>
          <w:p w14:paraId="4A9B08B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（2）不同绘画语言的绘画技法掌握</w:t>
            </w:r>
          </w:p>
          <w:p w14:paraId="38A9501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（3）对艺术与科学的理解</w:t>
            </w:r>
          </w:p>
          <w:p w14:paraId="5272110A">
            <w:pPr>
              <w:spacing w:line="276" w:lineRule="auto"/>
              <w:jc w:val="left"/>
              <w:rPr>
                <w:rFonts w:hint="eastAsia" w:ascii="宋体" w:hAnsi="宋体" w:eastAsia="宋体" w:cs="Times New Roman"/>
                <w:color w:val="000000"/>
                <w:szCs w:val="21"/>
              </w:rPr>
            </w:pPr>
          </w:p>
        </w:tc>
        <w:tc>
          <w:tcPr>
            <w:tcW w:w="1134" w:type="dxa"/>
            <w:vAlign w:val="center"/>
          </w:tcPr>
          <w:p w14:paraId="7D049D8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w:t>
            </w:r>
          </w:p>
        </w:tc>
        <w:tc>
          <w:tcPr>
            <w:tcW w:w="3260" w:type="dxa"/>
            <w:vAlign w:val="center"/>
          </w:tcPr>
          <w:p w14:paraId="351CF9C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1.了解不同物料的创作特性及效果表现；</w:t>
            </w:r>
          </w:p>
          <w:p w14:paraId="33A7DD5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2.各种绘画颜料的使用及技法掌握；</w:t>
            </w:r>
          </w:p>
          <w:p w14:paraId="49E3A22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3.了解艺术与科技的关系。</w:t>
            </w:r>
          </w:p>
        </w:tc>
        <w:tc>
          <w:tcPr>
            <w:tcW w:w="1560" w:type="dxa"/>
            <w:vAlign w:val="center"/>
          </w:tcPr>
          <w:p w14:paraId="3CD0B7E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rPr>
              <w:t>下</w:t>
            </w:r>
            <w:r>
              <w:rPr>
                <w:rFonts w:ascii="宋体" w:hAnsi="宋体" w:eastAsia="宋体" w:cs="Times New Roman"/>
                <w:color w:val="000000"/>
                <w:szCs w:val="21"/>
              </w:rPr>
              <w:t>学习</w:t>
            </w:r>
          </w:p>
          <w:p w14:paraId="2E2C6E9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799C585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实践</w:t>
            </w:r>
          </w:p>
        </w:tc>
        <w:tc>
          <w:tcPr>
            <w:tcW w:w="438" w:type="dxa"/>
            <w:vAlign w:val="center"/>
          </w:tcPr>
          <w:p w14:paraId="7DF71E7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4C01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6B5F1D9">
            <w:pPr>
              <w:spacing w:line="276" w:lineRule="auto"/>
              <w:jc w:val="center"/>
              <w:rPr>
                <w:rFonts w:hint="eastAsia" w:ascii="宋体" w:hAnsi="宋体" w:eastAsia="宋体" w:cs="Times New Roman"/>
                <w:color w:val="000000"/>
                <w:szCs w:val="21"/>
              </w:rPr>
            </w:pPr>
          </w:p>
        </w:tc>
        <w:tc>
          <w:tcPr>
            <w:tcW w:w="8093" w:type="dxa"/>
            <w:gridSpan w:val="5"/>
            <w:vAlign w:val="center"/>
          </w:tcPr>
          <w:p w14:paraId="7D0BE29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通过对色彩的探索学习，学会在不同实践中找联系，以跨界融合的思维进行学习。</w:t>
            </w:r>
          </w:p>
        </w:tc>
      </w:tr>
    </w:tbl>
    <w:p w14:paraId="633A8639">
      <w:pPr>
        <w:spacing w:line="360" w:lineRule="auto"/>
        <w:jc w:val="left"/>
        <w:rPr>
          <w:rFonts w:ascii="Times New Roman" w:hAnsi="Times New Roman" w:eastAsia="宋体" w:cs="Times New Roman"/>
          <w:sz w:val="24"/>
        </w:rPr>
      </w:pPr>
    </w:p>
    <w:p w14:paraId="573C2D4B">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3AA2885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85623C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BA6D0B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6A75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79A21DB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5B5B3E36">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566E8F22">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C71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8F76E30">
            <w:pPr>
              <w:spacing w:line="360" w:lineRule="auto"/>
              <w:jc w:val="center"/>
              <w:rPr>
                <w:rFonts w:hint="eastAsia" w:ascii="宋体" w:hAnsi="宋体" w:eastAsia="宋体" w:cs="Times New Roman"/>
                <w:szCs w:val="21"/>
              </w:rPr>
            </w:pPr>
          </w:p>
        </w:tc>
        <w:tc>
          <w:tcPr>
            <w:tcW w:w="0" w:type="auto"/>
            <w:vAlign w:val="center"/>
          </w:tcPr>
          <w:p w14:paraId="574AF8F5">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723DC0D1">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461B0EC2">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1711F3A2">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26BC4873">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203418E7">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09AC2772">
            <w:pPr>
              <w:spacing w:line="360" w:lineRule="auto"/>
              <w:jc w:val="center"/>
              <w:rPr>
                <w:rFonts w:hint="eastAsia" w:ascii="宋体" w:hAnsi="宋体" w:eastAsia="宋体" w:cs="Times New Roman"/>
                <w:szCs w:val="21"/>
              </w:rPr>
            </w:pPr>
          </w:p>
        </w:tc>
      </w:tr>
      <w:tr w14:paraId="5625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7E5C5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12A8F3E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6A0F81E">
            <w:pPr>
              <w:spacing w:line="360" w:lineRule="auto"/>
              <w:jc w:val="center"/>
              <w:rPr>
                <w:rFonts w:hint="eastAsia" w:ascii="宋体" w:hAnsi="宋体" w:eastAsia="宋体" w:cs="Times New Roman"/>
                <w:szCs w:val="21"/>
              </w:rPr>
            </w:pPr>
          </w:p>
        </w:tc>
        <w:tc>
          <w:tcPr>
            <w:tcW w:w="0" w:type="auto"/>
            <w:vAlign w:val="center"/>
          </w:tcPr>
          <w:p w14:paraId="185BA0F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E3C012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F03DBBA">
            <w:pPr>
              <w:spacing w:line="360" w:lineRule="auto"/>
              <w:jc w:val="center"/>
              <w:rPr>
                <w:rFonts w:hint="eastAsia" w:ascii="宋体" w:hAnsi="宋体" w:eastAsia="宋体" w:cs="Times New Roman"/>
                <w:szCs w:val="21"/>
              </w:rPr>
            </w:pPr>
          </w:p>
        </w:tc>
        <w:tc>
          <w:tcPr>
            <w:tcW w:w="0" w:type="auto"/>
          </w:tcPr>
          <w:p w14:paraId="421143C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B617DD6">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5F23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F25411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033E828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022E61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5E1C0C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0AE24A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3C2077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15A6564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9488BAE">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5A6B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A4BBF0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76ECF3F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B593FC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9F15DF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BAD782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8E78AA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25BFB0C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5EE1A16">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BBC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648FC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0" w:type="auto"/>
            <w:vAlign w:val="center"/>
          </w:tcPr>
          <w:p w14:paraId="45EC7D1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C88A7D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19AAE1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615151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1D74622">
            <w:pPr>
              <w:spacing w:line="360" w:lineRule="auto"/>
              <w:jc w:val="center"/>
              <w:rPr>
                <w:rFonts w:hint="eastAsia" w:ascii="宋体" w:hAnsi="宋体" w:eastAsia="宋体" w:cs="Times New Roman"/>
                <w:szCs w:val="21"/>
              </w:rPr>
            </w:pPr>
          </w:p>
        </w:tc>
        <w:tc>
          <w:tcPr>
            <w:tcW w:w="0" w:type="auto"/>
          </w:tcPr>
          <w:p w14:paraId="4AAA6F53">
            <w:pPr>
              <w:spacing w:line="360" w:lineRule="auto"/>
              <w:jc w:val="center"/>
              <w:rPr>
                <w:rFonts w:hint="eastAsia" w:ascii="宋体" w:hAnsi="宋体" w:eastAsia="宋体" w:cs="Times New Roman"/>
                <w:szCs w:val="21"/>
              </w:rPr>
            </w:pPr>
          </w:p>
        </w:tc>
        <w:tc>
          <w:tcPr>
            <w:tcW w:w="0" w:type="auto"/>
            <w:vAlign w:val="center"/>
          </w:tcPr>
          <w:p w14:paraId="077DAF5A">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0E41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541AD85">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13AA7E64">
            <w:pPr>
              <w:spacing w:line="360" w:lineRule="auto"/>
              <w:jc w:val="center"/>
              <w:rPr>
                <w:rFonts w:hint="eastAsia" w:ascii="宋体" w:hAnsi="宋体" w:eastAsia="宋体" w:cs="Times New Roman"/>
                <w:szCs w:val="21"/>
              </w:rPr>
            </w:pPr>
          </w:p>
        </w:tc>
        <w:tc>
          <w:tcPr>
            <w:tcW w:w="0" w:type="auto"/>
            <w:vAlign w:val="center"/>
          </w:tcPr>
          <w:p w14:paraId="0EBF8937">
            <w:pPr>
              <w:spacing w:line="360" w:lineRule="auto"/>
              <w:jc w:val="center"/>
              <w:rPr>
                <w:rFonts w:hint="eastAsia" w:ascii="宋体" w:hAnsi="宋体" w:eastAsia="宋体" w:cs="Times New Roman"/>
                <w:szCs w:val="21"/>
              </w:rPr>
            </w:pPr>
          </w:p>
        </w:tc>
        <w:tc>
          <w:tcPr>
            <w:tcW w:w="0" w:type="auto"/>
            <w:vAlign w:val="center"/>
          </w:tcPr>
          <w:p w14:paraId="64FFB003">
            <w:pPr>
              <w:spacing w:line="360" w:lineRule="auto"/>
              <w:jc w:val="center"/>
              <w:rPr>
                <w:rFonts w:hint="eastAsia" w:ascii="宋体" w:hAnsi="宋体" w:eastAsia="宋体" w:cs="Times New Roman"/>
                <w:szCs w:val="21"/>
              </w:rPr>
            </w:pPr>
          </w:p>
        </w:tc>
        <w:tc>
          <w:tcPr>
            <w:tcW w:w="0" w:type="auto"/>
            <w:vAlign w:val="center"/>
          </w:tcPr>
          <w:p w14:paraId="4010434C">
            <w:pPr>
              <w:spacing w:line="360" w:lineRule="auto"/>
              <w:jc w:val="center"/>
              <w:rPr>
                <w:rFonts w:hint="eastAsia" w:ascii="宋体" w:hAnsi="宋体" w:eastAsia="宋体" w:cs="Times New Roman"/>
                <w:szCs w:val="21"/>
              </w:rPr>
            </w:pPr>
          </w:p>
        </w:tc>
        <w:tc>
          <w:tcPr>
            <w:tcW w:w="0" w:type="auto"/>
            <w:vAlign w:val="center"/>
          </w:tcPr>
          <w:p w14:paraId="4AF29D24">
            <w:pPr>
              <w:spacing w:line="360" w:lineRule="auto"/>
              <w:jc w:val="center"/>
              <w:rPr>
                <w:rFonts w:hint="eastAsia" w:ascii="宋体" w:hAnsi="宋体" w:eastAsia="宋体" w:cs="Times New Roman"/>
                <w:szCs w:val="21"/>
              </w:rPr>
            </w:pPr>
          </w:p>
        </w:tc>
        <w:tc>
          <w:tcPr>
            <w:tcW w:w="0" w:type="auto"/>
          </w:tcPr>
          <w:p w14:paraId="58834272">
            <w:pPr>
              <w:spacing w:line="360" w:lineRule="auto"/>
              <w:jc w:val="center"/>
              <w:rPr>
                <w:rFonts w:hint="eastAsia" w:ascii="宋体" w:hAnsi="宋体" w:eastAsia="宋体" w:cs="Times New Roman"/>
                <w:szCs w:val="21"/>
              </w:rPr>
            </w:pPr>
          </w:p>
        </w:tc>
        <w:tc>
          <w:tcPr>
            <w:tcW w:w="0" w:type="auto"/>
            <w:vAlign w:val="center"/>
          </w:tcPr>
          <w:p w14:paraId="3E98FD7C">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7ADB5C6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C74289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F47098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6D9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45F2A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D7B1D1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717606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519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EE277E2">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11E05E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4次，一是素描静物，以静物素描中的造型、明暗、整体关系来作为评分的主要依据。二是结构素描，以结构静物中造型、线条、结构透视作为评分的主要依据。三是插画线稿绘制，以插画中的线条、造型、构图作为评分的主要依据。四是色彩插画绘制，以色彩表现、构图、造型、整体性作为评分的主要依据。</w:t>
            </w:r>
          </w:p>
        </w:tc>
        <w:tc>
          <w:tcPr>
            <w:tcW w:w="0" w:type="auto"/>
            <w:vAlign w:val="center"/>
          </w:tcPr>
          <w:p w14:paraId="67D5188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0EE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C9D859B">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21B74E2">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325FD965">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2223C29F">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156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9612869">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7F583AE7">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每一章节进行课上实践</w:t>
            </w:r>
          </w:p>
        </w:tc>
        <w:tc>
          <w:tcPr>
            <w:tcW w:w="0" w:type="auto"/>
            <w:vAlign w:val="center"/>
          </w:tcPr>
          <w:p w14:paraId="76D8AC4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E93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179FDE">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675CC9CF">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课前5分钟左右，学生互相点评作业，以学生表达的流程性、逻辑性和分析的深度为评分的主要依据。</w:t>
            </w:r>
          </w:p>
        </w:tc>
        <w:tc>
          <w:tcPr>
            <w:tcW w:w="0" w:type="auto"/>
            <w:vAlign w:val="center"/>
          </w:tcPr>
          <w:p w14:paraId="6DB6F2F2">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r>
      <w:tr w14:paraId="12BA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EFB4B0C">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597AB80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53F2552F">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r>
      <w:tr w14:paraId="10AB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0EBA355">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0AE5A6D5">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w:t>
            </w:r>
            <w:r>
              <w:rPr>
                <w:rFonts w:hint="eastAsia" w:ascii="Times New Roman" w:hAnsi="Times New Roman" w:eastAsia="宋体" w:cs="Times New Roman"/>
                <w:color w:val="000000"/>
                <w:szCs w:val="21"/>
              </w:rPr>
              <w:t>为插画作品创作</w:t>
            </w:r>
            <w:r>
              <w:rPr>
                <w:rFonts w:ascii="Times New Roman" w:hAnsi="Times New Roman" w:eastAsia="宋体" w:cs="Times New Roman"/>
                <w:color w:val="000000"/>
                <w:szCs w:val="21"/>
              </w:rPr>
              <w:t>，以</w:t>
            </w:r>
            <w:r>
              <w:rPr>
                <w:rFonts w:hint="eastAsia" w:ascii="Times New Roman" w:hAnsi="Times New Roman" w:eastAsia="宋体" w:cs="Times New Roman"/>
                <w:color w:val="000000"/>
                <w:szCs w:val="21"/>
              </w:rPr>
              <w:t>作品成绩</w:t>
            </w:r>
            <w:r>
              <w:rPr>
                <w:rFonts w:ascii="Times New Roman" w:hAnsi="Times New Roman" w:eastAsia="宋体" w:cs="Times New Roman"/>
                <w:color w:val="000000"/>
                <w:szCs w:val="21"/>
              </w:rPr>
              <w:t>的</w:t>
            </w:r>
            <w:r>
              <w:rPr>
                <w:rFonts w:hint="eastAsia" w:ascii="Times New Roman" w:hAnsi="Times New Roman" w:eastAsia="宋体" w:cs="Times New Roman"/>
                <w:color w:val="000000"/>
                <w:szCs w:val="21"/>
              </w:rPr>
              <w:t>60</w:t>
            </w:r>
            <w:r>
              <w:rPr>
                <w:rFonts w:ascii="Times New Roman" w:hAnsi="Times New Roman" w:eastAsia="宋体" w:cs="Times New Roman"/>
                <w:color w:val="000000"/>
                <w:szCs w:val="21"/>
              </w:rPr>
              <w:t>%计入课程总成绩。其中</w:t>
            </w:r>
            <w:r>
              <w:rPr>
                <w:rFonts w:hint="eastAsia" w:ascii="Times New Roman" w:hAnsi="Times New Roman" w:eastAsia="宋体" w:cs="Times New Roman"/>
                <w:color w:val="000000"/>
                <w:szCs w:val="21"/>
              </w:rPr>
              <w:t>绘画技法掌握占20%；造型能力占30%；构图及整体关系处理20%；色彩运用30%。</w:t>
            </w:r>
          </w:p>
        </w:tc>
        <w:tc>
          <w:tcPr>
            <w:tcW w:w="0" w:type="auto"/>
            <w:vAlign w:val="center"/>
          </w:tcPr>
          <w:p w14:paraId="273E00A3">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6CF0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45366F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EA1A968">
            <w:pPr>
              <w:jc w:val="left"/>
              <w:rPr>
                <w:rFonts w:ascii="Times New Roman" w:hAnsi="Times New Roman" w:eastAsia="宋体" w:cs="Times New Roman"/>
                <w:szCs w:val="21"/>
              </w:rPr>
            </w:pPr>
          </w:p>
        </w:tc>
        <w:tc>
          <w:tcPr>
            <w:tcW w:w="0" w:type="auto"/>
            <w:vAlign w:val="center"/>
          </w:tcPr>
          <w:p w14:paraId="7AECE3E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07E428F">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6CC43E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555306F">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67"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67" DrawAspect="Content" ObjectID="_1468075767" r:id="rId53">
            <o:LockedField>false</o:LockedField>
          </o:OLEObject>
        </w:object>
      </w:r>
    </w:p>
    <w:p w14:paraId="202FEB6B">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69671A39">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3365D8F2">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2822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5408664">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7770994B">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35B5D2D3">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1B65B6CE">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799A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86AC0DC">
            <w:pPr>
              <w:spacing w:line="276" w:lineRule="auto"/>
              <w:jc w:val="left"/>
              <w:rPr>
                <w:rFonts w:hint="eastAsia" w:ascii="宋体" w:hAnsi="宋体" w:eastAsia="宋体" w:cs="宋体"/>
                <w:szCs w:val="21"/>
              </w:rPr>
            </w:pPr>
            <w:r>
              <w:rPr>
                <w:rFonts w:hint="eastAsia" w:ascii="宋体" w:hAnsi="宋体" w:eastAsia="宋体" w:cs="宋体"/>
                <w:szCs w:val="21"/>
              </w:rPr>
              <w:t>美术家精神</w:t>
            </w:r>
          </w:p>
        </w:tc>
        <w:tc>
          <w:tcPr>
            <w:tcW w:w="3407" w:type="dxa"/>
            <w:vAlign w:val="center"/>
          </w:tcPr>
          <w:p w14:paraId="1275986F">
            <w:pPr>
              <w:spacing w:line="276" w:lineRule="auto"/>
              <w:jc w:val="left"/>
              <w:rPr>
                <w:rFonts w:hint="eastAsia" w:ascii="宋体" w:hAnsi="宋体" w:eastAsia="宋体" w:cs="宋体"/>
                <w:szCs w:val="21"/>
              </w:rPr>
            </w:pPr>
            <w:r>
              <w:rPr>
                <w:rFonts w:hint="eastAsia" w:ascii="宋体" w:hAnsi="宋体" w:eastAsia="宋体" w:cs="宋体"/>
                <w:szCs w:val="21"/>
              </w:rPr>
              <w:t>通过阅读相关书籍或讲述中国美术教育家的故事，进行课堂主题讨论，让学生领会美术教育家精神</w:t>
            </w:r>
          </w:p>
        </w:tc>
        <w:tc>
          <w:tcPr>
            <w:tcW w:w="740" w:type="dxa"/>
            <w:vAlign w:val="center"/>
          </w:tcPr>
          <w:p w14:paraId="44658C00">
            <w:pPr>
              <w:spacing w:line="276" w:lineRule="auto"/>
              <w:jc w:val="center"/>
              <w:rPr>
                <w:rFonts w:hint="eastAsia" w:ascii="宋体" w:hAnsi="宋体" w:eastAsia="宋体" w:cs="宋体"/>
                <w:szCs w:val="21"/>
              </w:rPr>
            </w:pPr>
            <w:r>
              <w:rPr>
                <w:rFonts w:hint="eastAsia" w:ascii="宋体" w:hAnsi="宋体" w:eastAsia="宋体" w:cs="宋体"/>
                <w:szCs w:val="21"/>
              </w:rPr>
              <w:t>读书笔记</w:t>
            </w:r>
          </w:p>
        </w:tc>
        <w:tc>
          <w:tcPr>
            <w:tcW w:w="3160" w:type="dxa"/>
            <w:vAlign w:val="center"/>
          </w:tcPr>
          <w:p w14:paraId="06B8C641">
            <w:pPr>
              <w:spacing w:line="276" w:lineRule="auto"/>
              <w:jc w:val="left"/>
              <w:rPr>
                <w:rFonts w:hint="eastAsia" w:ascii="宋体" w:hAnsi="宋体" w:eastAsia="宋体" w:cs="宋体"/>
                <w:szCs w:val="21"/>
              </w:rPr>
            </w:pPr>
            <w:r>
              <w:rPr>
                <w:rFonts w:hint="eastAsia" w:ascii="宋体" w:hAnsi="宋体" w:eastAsia="宋体" w:cs="宋体"/>
                <w:szCs w:val="21"/>
              </w:rPr>
              <w:t>通过对美术教育家精神的领会，使学立志成为有理想信念、有道德情操、有扎实学识、有仁爱之心的“四有”好老师。</w:t>
            </w:r>
          </w:p>
        </w:tc>
      </w:tr>
      <w:tr w14:paraId="7F0E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2FC0A3BD">
            <w:pPr>
              <w:spacing w:line="276" w:lineRule="auto"/>
              <w:jc w:val="left"/>
              <w:rPr>
                <w:rFonts w:hint="eastAsia" w:ascii="宋体" w:hAnsi="宋体" w:eastAsia="宋体" w:cs="宋体"/>
                <w:szCs w:val="21"/>
              </w:rPr>
            </w:pPr>
            <w:r>
              <w:rPr>
                <w:rFonts w:hint="eastAsia" w:ascii="宋体" w:hAnsi="宋体" w:eastAsia="宋体" w:cs="宋体"/>
                <w:szCs w:val="21"/>
              </w:rPr>
              <w:t>趣味美术史</w:t>
            </w:r>
          </w:p>
        </w:tc>
        <w:tc>
          <w:tcPr>
            <w:tcW w:w="3407" w:type="dxa"/>
            <w:vAlign w:val="center"/>
          </w:tcPr>
          <w:p w14:paraId="0C565D35">
            <w:pPr>
              <w:spacing w:line="276" w:lineRule="auto"/>
              <w:jc w:val="left"/>
              <w:rPr>
                <w:rFonts w:hint="eastAsia" w:ascii="宋体" w:hAnsi="宋体" w:eastAsia="宋体" w:cs="宋体"/>
                <w:szCs w:val="21"/>
              </w:rPr>
            </w:pPr>
            <w:r>
              <w:rPr>
                <w:rFonts w:hint="eastAsia" w:ascii="宋体" w:hAnsi="宋体" w:eastAsia="宋体" w:cs="宋体"/>
                <w:szCs w:val="21"/>
              </w:rPr>
              <w:t>了解美术史经典故事和促进美术史发展、改革的人物。</w:t>
            </w:r>
          </w:p>
        </w:tc>
        <w:tc>
          <w:tcPr>
            <w:tcW w:w="740" w:type="dxa"/>
            <w:vAlign w:val="center"/>
          </w:tcPr>
          <w:p w14:paraId="68428208">
            <w:pPr>
              <w:spacing w:line="276" w:lineRule="auto"/>
              <w:jc w:val="center"/>
              <w:rPr>
                <w:rFonts w:hint="eastAsia" w:ascii="宋体" w:hAnsi="宋体" w:eastAsia="宋体" w:cs="宋体"/>
                <w:szCs w:val="21"/>
              </w:rPr>
            </w:pPr>
            <w:r>
              <w:rPr>
                <w:rFonts w:hint="eastAsia" w:ascii="宋体" w:hAnsi="宋体" w:eastAsia="宋体" w:cs="宋体"/>
                <w:szCs w:val="21"/>
              </w:rPr>
              <w:t>专题报告</w:t>
            </w:r>
          </w:p>
        </w:tc>
        <w:tc>
          <w:tcPr>
            <w:tcW w:w="3160" w:type="dxa"/>
            <w:vAlign w:val="center"/>
          </w:tcPr>
          <w:p w14:paraId="5A836D8F">
            <w:pPr>
              <w:spacing w:line="276" w:lineRule="auto"/>
              <w:jc w:val="left"/>
              <w:rPr>
                <w:rFonts w:hint="eastAsia" w:ascii="宋体" w:hAnsi="宋体" w:eastAsia="宋体" w:cs="宋体"/>
                <w:szCs w:val="21"/>
              </w:rPr>
            </w:pPr>
            <w:r>
              <w:rPr>
                <w:rFonts w:hint="eastAsia" w:ascii="宋体" w:hAnsi="宋体" w:eastAsia="宋体" w:cs="宋体"/>
                <w:szCs w:val="21"/>
              </w:rPr>
              <w:t>培养民族团结意识，回顾优良传统道德、树立正确的理想与奋斗目标。</w:t>
            </w:r>
          </w:p>
        </w:tc>
      </w:tr>
      <w:tr w14:paraId="1EEA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81D5F33">
            <w:pPr>
              <w:spacing w:line="276" w:lineRule="auto"/>
              <w:jc w:val="left"/>
              <w:rPr>
                <w:rFonts w:hint="eastAsia" w:ascii="宋体" w:hAnsi="宋体" w:eastAsia="宋体" w:cs="宋体"/>
                <w:szCs w:val="21"/>
              </w:rPr>
            </w:pPr>
            <w:r>
              <w:rPr>
                <w:rFonts w:hint="eastAsia" w:ascii="宋体" w:hAnsi="宋体" w:eastAsia="宋体" w:cs="宋体"/>
                <w:szCs w:val="21"/>
              </w:rPr>
              <w:t>非物质文化遗产</w:t>
            </w:r>
          </w:p>
        </w:tc>
        <w:tc>
          <w:tcPr>
            <w:tcW w:w="3407" w:type="dxa"/>
            <w:vAlign w:val="center"/>
          </w:tcPr>
          <w:p w14:paraId="19DA1E71">
            <w:pPr>
              <w:spacing w:line="276" w:lineRule="auto"/>
              <w:jc w:val="left"/>
              <w:rPr>
                <w:rFonts w:hint="eastAsia" w:ascii="宋体" w:hAnsi="宋体" w:eastAsia="宋体" w:cs="宋体"/>
                <w:szCs w:val="21"/>
              </w:rPr>
            </w:pPr>
            <w:r>
              <w:rPr>
                <w:rFonts w:hint="eastAsia" w:ascii="宋体" w:hAnsi="宋体" w:eastAsia="宋体" w:cs="宋体"/>
                <w:szCs w:val="21"/>
              </w:rPr>
              <w:t>了解传统造纸材料和造纸的工艺流程。</w:t>
            </w:r>
          </w:p>
        </w:tc>
        <w:tc>
          <w:tcPr>
            <w:tcW w:w="740" w:type="dxa"/>
            <w:vAlign w:val="center"/>
          </w:tcPr>
          <w:p w14:paraId="5FCE92B7">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12DF6321">
            <w:pPr>
              <w:spacing w:line="276" w:lineRule="auto"/>
              <w:jc w:val="left"/>
              <w:rPr>
                <w:rFonts w:hint="eastAsia" w:ascii="宋体" w:hAnsi="宋体" w:eastAsia="宋体" w:cs="宋体"/>
                <w:szCs w:val="21"/>
              </w:rPr>
            </w:pPr>
            <w:r>
              <w:rPr>
                <w:rFonts w:hint="eastAsia" w:ascii="宋体" w:hAnsi="宋体" w:eastAsia="宋体" w:cs="宋体"/>
                <w:szCs w:val="21"/>
              </w:rPr>
              <w:t>弘扬中华文化，传承优秀民族魁宝；在实践中培养学生吃苦耐劳、持之以恒、团队协作的精神。</w:t>
            </w:r>
          </w:p>
        </w:tc>
      </w:tr>
      <w:tr w14:paraId="34DC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2BAEF9D1">
            <w:pPr>
              <w:spacing w:line="276" w:lineRule="auto"/>
              <w:jc w:val="left"/>
              <w:rPr>
                <w:rFonts w:hint="eastAsia" w:ascii="宋体" w:hAnsi="宋体" w:eastAsia="宋体" w:cs="宋体"/>
                <w:szCs w:val="21"/>
              </w:rPr>
            </w:pPr>
            <w:r>
              <w:rPr>
                <w:rFonts w:hint="eastAsia" w:ascii="宋体" w:hAnsi="宋体" w:eastAsia="宋体" w:cs="宋体"/>
                <w:szCs w:val="21"/>
              </w:rPr>
              <w:t>速写故乡</w:t>
            </w:r>
          </w:p>
        </w:tc>
        <w:tc>
          <w:tcPr>
            <w:tcW w:w="3407" w:type="dxa"/>
            <w:vAlign w:val="center"/>
          </w:tcPr>
          <w:p w14:paraId="72B28018">
            <w:pPr>
              <w:spacing w:line="276" w:lineRule="auto"/>
              <w:jc w:val="left"/>
              <w:rPr>
                <w:rFonts w:hint="eastAsia" w:ascii="宋体" w:hAnsi="宋体" w:eastAsia="宋体" w:cs="宋体"/>
                <w:szCs w:val="21"/>
              </w:rPr>
            </w:pPr>
            <w:r>
              <w:rPr>
                <w:rFonts w:hint="eastAsia" w:ascii="宋体" w:hAnsi="宋体" w:eastAsia="宋体" w:cs="宋体"/>
                <w:szCs w:val="21"/>
              </w:rPr>
              <w:t>了解速写常用材料及特性、了解速写的内涵及标准。</w:t>
            </w:r>
          </w:p>
        </w:tc>
        <w:tc>
          <w:tcPr>
            <w:tcW w:w="740" w:type="dxa"/>
            <w:vAlign w:val="center"/>
          </w:tcPr>
          <w:p w14:paraId="44E90943">
            <w:pPr>
              <w:spacing w:line="276" w:lineRule="auto"/>
              <w:jc w:val="center"/>
              <w:rPr>
                <w:rFonts w:hint="eastAsia" w:ascii="宋体" w:hAnsi="宋体" w:eastAsia="宋体" w:cs="宋体"/>
                <w:szCs w:val="21"/>
              </w:rPr>
            </w:pPr>
            <w:r>
              <w:rPr>
                <w:rFonts w:hint="eastAsia" w:ascii="宋体" w:hAnsi="宋体" w:eastAsia="宋体" w:cs="宋体"/>
                <w:szCs w:val="21"/>
              </w:rPr>
              <w:t>第二课堂</w:t>
            </w:r>
          </w:p>
        </w:tc>
        <w:tc>
          <w:tcPr>
            <w:tcW w:w="3160" w:type="dxa"/>
            <w:vAlign w:val="center"/>
          </w:tcPr>
          <w:p w14:paraId="3B152296">
            <w:pPr>
              <w:spacing w:line="276" w:lineRule="auto"/>
              <w:jc w:val="left"/>
              <w:rPr>
                <w:rFonts w:hint="eastAsia" w:ascii="宋体" w:hAnsi="宋体" w:eastAsia="宋体" w:cs="宋体"/>
                <w:szCs w:val="21"/>
              </w:rPr>
            </w:pPr>
            <w:r>
              <w:rPr>
                <w:rFonts w:hint="eastAsia" w:ascii="宋体" w:hAnsi="宋体" w:eastAsia="宋体" w:cs="宋体"/>
                <w:szCs w:val="21"/>
              </w:rPr>
              <w:t>描绘故乡风景，激发热爱祖国大好河山、家乡和大自然、自觉保护环境的精神。</w:t>
            </w:r>
          </w:p>
        </w:tc>
      </w:tr>
    </w:tbl>
    <w:p w14:paraId="0FF6719E">
      <w:pPr>
        <w:spacing w:line="360" w:lineRule="auto"/>
        <w:ind w:firstLine="551" w:firstLineChars="196"/>
        <w:jc w:val="left"/>
        <w:rPr>
          <w:rFonts w:hint="eastAsia" w:ascii="宋体" w:hAnsi="宋体" w:eastAsia="宋体" w:cs="Times New Roman"/>
          <w:b/>
          <w:color w:val="000000"/>
          <w:sz w:val="28"/>
          <w:szCs w:val="28"/>
        </w:rPr>
      </w:pPr>
    </w:p>
    <w:p w14:paraId="7C7167A7">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25A266C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624DDCE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根据学生课堂教学中的反应、课后反馈、作业质量，以及领导、督导、教师同行等的听课情况，及时发现和改进教学中的不足之处，确保相应毕业要求指标点达成。</w:t>
      </w:r>
    </w:p>
    <w:p w14:paraId="60204004">
      <w:pPr>
        <w:spacing w:line="360" w:lineRule="auto"/>
        <w:jc w:val="left"/>
        <w:rPr>
          <w:rFonts w:ascii="Times New Roman" w:hAnsi="Times New Roman" w:eastAsia="宋体" w:cs="Times New Roman"/>
          <w:b/>
          <w:szCs w:val="21"/>
        </w:rPr>
      </w:pPr>
    </w:p>
    <w:p w14:paraId="5044B8D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773CC58">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《美术基础》编写组.</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美术基础，西南大学出版社，2023.（全国小学教育专业艺术类规划教材）</w:t>
      </w:r>
    </w:p>
    <w:p w14:paraId="30734DA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52778325">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1.代秀芳</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图案装饰与应用</w:t>
      </w:r>
      <w:r>
        <w:rPr>
          <w:rFonts w:hint="eastAsia" w:ascii="宋体" w:hAnsi="宋体" w:eastAsia="宋体" w:cs="宋体"/>
          <w:bCs/>
          <w:color w:val="000000"/>
          <w:szCs w:val="21"/>
        </w:rPr>
        <w:t>[M]</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天津</w:t>
      </w:r>
      <w:r>
        <w:rPr>
          <w:rFonts w:ascii="Times New Roman" w:hAnsi="Times New Roman" w:eastAsia="宋体" w:cs="Times New Roman"/>
          <w:bCs/>
          <w:color w:val="000000"/>
          <w:szCs w:val="21"/>
        </w:rPr>
        <w:t>：</w:t>
      </w:r>
      <w:r>
        <w:rPr>
          <w:rFonts w:hint="eastAsia" w:ascii="Times New Roman" w:hAnsi="Times New Roman" w:eastAsia="宋体" w:cs="Times New Roman"/>
          <w:bCs/>
          <w:color w:val="000000"/>
          <w:szCs w:val="21"/>
        </w:rPr>
        <w:t>天津人民</w:t>
      </w:r>
      <w:r>
        <w:rPr>
          <w:rFonts w:ascii="Times New Roman" w:hAnsi="Times New Roman" w:eastAsia="宋体" w:cs="Times New Roman"/>
          <w:bCs/>
          <w:color w:val="000000"/>
          <w:szCs w:val="21"/>
        </w:rPr>
        <w:t>出版社，20</w:t>
      </w:r>
      <w:r>
        <w:rPr>
          <w:rFonts w:hint="eastAsia" w:ascii="Times New Roman" w:hAnsi="Times New Roman" w:eastAsia="宋体" w:cs="Times New Roman"/>
          <w:bCs/>
          <w:color w:val="000000"/>
          <w:szCs w:val="21"/>
        </w:rPr>
        <w:t>11</w:t>
      </w:r>
      <w:r>
        <w:rPr>
          <w:rFonts w:ascii="Times New Roman" w:hAnsi="Times New Roman" w:eastAsia="宋体" w:cs="Times New Roman"/>
          <w:bCs/>
          <w:color w:val="000000"/>
          <w:szCs w:val="21"/>
        </w:rPr>
        <w:t>.</w:t>
      </w:r>
    </w:p>
    <w:p w14:paraId="4DEEFD1B">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2.徐戈，徐楠，柳润红</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美术基础</w:t>
      </w:r>
      <w:r>
        <w:rPr>
          <w:rFonts w:hint="eastAsia" w:ascii="宋体" w:hAnsi="宋体" w:eastAsia="宋体" w:cs="宋体"/>
          <w:bCs/>
          <w:color w:val="000000"/>
          <w:szCs w:val="21"/>
        </w:rPr>
        <w:t>[M]</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石家庄</w:t>
      </w:r>
      <w:r>
        <w:rPr>
          <w:rFonts w:ascii="Times New Roman" w:hAnsi="Times New Roman" w:eastAsia="宋体" w:cs="Times New Roman"/>
          <w:bCs/>
          <w:color w:val="000000"/>
          <w:szCs w:val="21"/>
        </w:rPr>
        <w:t>：</w:t>
      </w:r>
      <w:r>
        <w:rPr>
          <w:rFonts w:hint="eastAsia" w:ascii="Times New Roman" w:hAnsi="Times New Roman" w:eastAsia="宋体" w:cs="Times New Roman"/>
          <w:bCs/>
          <w:color w:val="000000"/>
          <w:szCs w:val="21"/>
        </w:rPr>
        <w:t>河北美术</w:t>
      </w:r>
      <w:r>
        <w:rPr>
          <w:rFonts w:ascii="Times New Roman" w:hAnsi="Times New Roman" w:eastAsia="宋体" w:cs="Times New Roman"/>
          <w:bCs/>
          <w:color w:val="000000"/>
          <w:szCs w:val="21"/>
        </w:rPr>
        <w:t>出版社，20</w:t>
      </w:r>
      <w:r>
        <w:rPr>
          <w:rFonts w:hint="eastAsia" w:ascii="Times New Roman" w:hAnsi="Times New Roman" w:eastAsia="宋体" w:cs="Times New Roman"/>
          <w:bCs/>
          <w:color w:val="000000"/>
          <w:szCs w:val="21"/>
        </w:rPr>
        <w:t>17</w:t>
      </w:r>
      <w:r>
        <w:rPr>
          <w:rFonts w:ascii="Times New Roman" w:hAnsi="Times New Roman" w:eastAsia="宋体" w:cs="Times New Roman"/>
          <w:bCs/>
          <w:color w:val="000000"/>
          <w:szCs w:val="21"/>
        </w:rPr>
        <w:t>.</w:t>
      </w:r>
    </w:p>
    <w:p w14:paraId="6470C667">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3.黄兵</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素描基础教程</w:t>
      </w:r>
      <w:r>
        <w:rPr>
          <w:rFonts w:hint="eastAsia" w:ascii="宋体" w:hAnsi="宋体" w:eastAsia="宋体" w:cs="宋体"/>
          <w:bCs/>
          <w:color w:val="000000"/>
          <w:szCs w:val="21"/>
        </w:rPr>
        <w:t>[M].</w:t>
      </w:r>
      <w:r>
        <w:rPr>
          <w:rFonts w:ascii="Times New Roman" w:hAnsi="Times New Roman" w:eastAsia="宋体" w:cs="Times New Roman"/>
          <w:bCs/>
          <w:color w:val="000000"/>
          <w:szCs w:val="21"/>
        </w:rPr>
        <w:t>北京：</w:t>
      </w:r>
      <w:r>
        <w:rPr>
          <w:rFonts w:hint="eastAsia" w:ascii="Times New Roman" w:hAnsi="Times New Roman" w:eastAsia="宋体" w:cs="Times New Roman"/>
          <w:bCs/>
          <w:color w:val="000000"/>
          <w:szCs w:val="21"/>
        </w:rPr>
        <w:t>清华大学</w:t>
      </w:r>
      <w:r>
        <w:rPr>
          <w:rFonts w:ascii="Times New Roman" w:hAnsi="Times New Roman" w:eastAsia="宋体" w:cs="Times New Roman"/>
          <w:bCs/>
          <w:color w:val="000000"/>
          <w:szCs w:val="21"/>
        </w:rPr>
        <w:t>出版社，</w:t>
      </w:r>
      <w:r>
        <w:rPr>
          <w:rFonts w:hint="eastAsia" w:ascii="Times New Roman" w:hAnsi="Times New Roman" w:eastAsia="宋体" w:cs="Times New Roman"/>
          <w:bCs/>
          <w:color w:val="000000"/>
          <w:szCs w:val="21"/>
        </w:rPr>
        <w:t>2017</w:t>
      </w:r>
      <w:r>
        <w:rPr>
          <w:rFonts w:ascii="Times New Roman" w:hAnsi="Times New Roman" w:eastAsia="宋体" w:cs="Times New Roman"/>
          <w:bCs/>
          <w:color w:val="000000"/>
          <w:szCs w:val="21"/>
        </w:rPr>
        <w:t>.</w:t>
      </w:r>
    </w:p>
    <w:p w14:paraId="55785634">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4.于国瑞</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色彩构成</w:t>
      </w:r>
      <w:r>
        <w:rPr>
          <w:rFonts w:hint="eastAsia" w:ascii="宋体" w:hAnsi="宋体" w:eastAsia="宋体" w:cs="宋体"/>
          <w:bCs/>
          <w:color w:val="000000"/>
          <w:szCs w:val="21"/>
        </w:rPr>
        <w:t>[M]</w:t>
      </w:r>
      <w:r>
        <w:rPr>
          <w:rFonts w:ascii="Times New Roman" w:hAnsi="Times New Roman" w:eastAsia="宋体" w:cs="Times New Roman"/>
          <w:bCs/>
          <w:color w:val="000000"/>
          <w:szCs w:val="21"/>
        </w:rPr>
        <w:t>. 北京</w:t>
      </w:r>
      <w:r>
        <w:rPr>
          <w:rFonts w:hint="eastAsia" w:ascii="Times New Roman" w:hAnsi="Times New Roman" w:eastAsia="宋体" w:cs="Times New Roman"/>
          <w:bCs/>
          <w:color w:val="000000"/>
          <w:szCs w:val="21"/>
        </w:rPr>
        <w:t>：清华大学</w:t>
      </w:r>
      <w:r>
        <w:rPr>
          <w:rFonts w:ascii="Times New Roman" w:hAnsi="Times New Roman" w:eastAsia="宋体" w:cs="Times New Roman"/>
          <w:bCs/>
          <w:color w:val="000000"/>
          <w:szCs w:val="21"/>
        </w:rPr>
        <w:t>出版社，20</w:t>
      </w:r>
      <w:r>
        <w:rPr>
          <w:rFonts w:hint="eastAsia" w:ascii="Times New Roman" w:hAnsi="Times New Roman" w:eastAsia="宋体" w:cs="Times New Roman"/>
          <w:bCs/>
          <w:color w:val="000000"/>
          <w:szCs w:val="21"/>
        </w:rPr>
        <w:t>19</w:t>
      </w:r>
      <w:r>
        <w:rPr>
          <w:rFonts w:ascii="Times New Roman" w:hAnsi="Times New Roman" w:eastAsia="宋体" w:cs="Times New Roman"/>
          <w:bCs/>
          <w:color w:val="000000"/>
          <w:szCs w:val="21"/>
        </w:rPr>
        <w:t>.</w:t>
      </w:r>
    </w:p>
    <w:p w14:paraId="048FDB3E">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5.黄喆</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色彩</w:t>
      </w:r>
      <w:r>
        <w:rPr>
          <w:rFonts w:hint="eastAsia" w:ascii="宋体" w:hAnsi="宋体" w:eastAsia="宋体" w:cs="宋体"/>
          <w:bCs/>
          <w:color w:val="000000"/>
          <w:szCs w:val="21"/>
        </w:rPr>
        <w:t>[M]</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镇江</w:t>
      </w:r>
      <w:r>
        <w:rPr>
          <w:rFonts w:ascii="Times New Roman" w:hAnsi="Times New Roman" w:eastAsia="宋体" w:cs="Times New Roman"/>
          <w:bCs/>
          <w:color w:val="000000"/>
          <w:szCs w:val="21"/>
        </w:rPr>
        <w:t>：</w:t>
      </w:r>
      <w:r>
        <w:rPr>
          <w:rFonts w:hint="eastAsia" w:ascii="Times New Roman" w:hAnsi="Times New Roman" w:eastAsia="宋体" w:cs="Times New Roman"/>
          <w:bCs/>
          <w:color w:val="000000"/>
          <w:szCs w:val="21"/>
        </w:rPr>
        <w:t>江苏</w:t>
      </w:r>
      <w:r>
        <w:rPr>
          <w:rFonts w:ascii="Times New Roman" w:hAnsi="Times New Roman" w:eastAsia="宋体" w:cs="Times New Roman"/>
          <w:bCs/>
          <w:color w:val="000000"/>
          <w:szCs w:val="21"/>
        </w:rPr>
        <w:t>大学出版社，20</w:t>
      </w:r>
      <w:r>
        <w:rPr>
          <w:rFonts w:hint="eastAsia" w:ascii="Times New Roman" w:hAnsi="Times New Roman" w:eastAsia="宋体" w:cs="Times New Roman"/>
          <w:bCs/>
          <w:color w:val="000000"/>
          <w:szCs w:val="21"/>
        </w:rPr>
        <w:t>20</w:t>
      </w:r>
      <w:r>
        <w:rPr>
          <w:rFonts w:ascii="Times New Roman" w:hAnsi="Times New Roman" w:eastAsia="宋体" w:cs="Times New Roman"/>
          <w:bCs/>
          <w:color w:val="000000"/>
          <w:szCs w:val="21"/>
        </w:rPr>
        <w:t>.</w:t>
      </w:r>
    </w:p>
    <w:p w14:paraId="1DDA7E8A"/>
    <w:p w14:paraId="623543A1"/>
    <w:p w14:paraId="30706CFA"/>
    <w:p w14:paraId="64118577"/>
    <w:p w14:paraId="0F3A0D7C"/>
    <w:p w14:paraId="41240D10">
      <w:pPr>
        <w:spacing w:line="360" w:lineRule="auto"/>
        <w:ind w:right="1218"/>
        <w:jc w:val="center"/>
        <w:rPr>
          <w:rFonts w:ascii="Times New Roman" w:hAnsi="Times New Roman" w:eastAsia="宋体" w:cs="Times New Roman"/>
          <w:sz w:val="24"/>
        </w:rPr>
      </w:pPr>
      <w:r>
        <w:rPr>
          <w:rFonts w:hint="eastAsia" w:ascii="Times New Roman" w:hAnsi="Times New Roman" w:eastAsia="宋体" w:cs="Times New Roman"/>
          <w:sz w:val="24"/>
        </w:rPr>
        <w:t xml:space="preserve">                                         执 笔 人：</w:t>
      </w:r>
      <w:r>
        <w:rPr>
          <w:rFonts w:ascii="Times New Roman" w:hAnsi="Times New Roman" w:eastAsia="宋体" w:cs="Times New Roman"/>
          <w:sz w:val="24"/>
        </w:rPr>
        <w:t xml:space="preserve"> </w:t>
      </w:r>
      <w:r>
        <w:rPr>
          <w:rFonts w:hint="eastAsia" w:ascii="Times New Roman" w:hAnsi="Times New Roman" w:eastAsia="宋体" w:cs="Times New Roman"/>
          <w:sz w:val="24"/>
        </w:rPr>
        <w:t>赵千千</w:t>
      </w:r>
    </w:p>
    <w:p w14:paraId="1F15EF70">
      <w:pPr>
        <w:wordWrap w:val="0"/>
        <w:spacing w:line="360" w:lineRule="auto"/>
        <w:ind w:right="1502"/>
        <w:jc w:val="right"/>
        <w:rPr>
          <w:rFonts w:ascii="Times New Roman" w:hAnsi="Times New Roman" w:eastAsia="宋体" w:cs="Times New Roman"/>
          <w:sz w:val="24"/>
        </w:rPr>
      </w:pPr>
      <w:r>
        <w:rPr>
          <w:rFonts w:hint="eastAsia" w:ascii="Times New Roman" w:hAnsi="Times New Roman" w:eastAsia="宋体" w:cs="Times New Roman"/>
          <w:sz w:val="24"/>
        </w:rPr>
        <w:t>审 定 人：</w:t>
      </w:r>
      <w:r>
        <w:rPr>
          <w:rFonts w:ascii="Times New Roman" w:hAnsi="Times New Roman" w:eastAsia="宋体" w:cs="Times New Roman"/>
          <w:sz w:val="24"/>
        </w:rPr>
        <w:t xml:space="preserve"> </w:t>
      </w:r>
      <w:r>
        <w:rPr>
          <w:rFonts w:hint="eastAsia" w:ascii="Times New Roman" w:hAnsi="Times New Roman" w:eastAsia="宋体" w:cs="Times New Roman"/>
          <w:sz w:val="24"/>
        </w:rPr>
        <w:t>王健</w:t>
      </w:r>
    </w:p>
    <w:p w14:paraId="278F6040">
      <w:pPr>
        <w:spacing w:line="360" w:lineRule="auto"/>
        <w:ind w:right="1200"/>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426C3272">
      <w:pPr>
        <w:spacing w:line="360" w:lineRule="auto"/>
        <w:jc w:val="right"/>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4BD805EC">
      <w:bookmarkStart w:id="235" w:name="_Toc17529"/>
      <w:r>
        <w:rPr>
          <w:rFonts w:hint="eastAsia"/>
        </w:rPr>
        <w:br w:type="page"/>
      </w:r>
    </w:p>
    <w:p w14:paraId="396805A7">
      <w:pPr>
        <w:pStyle w:val="2"/>
      </w:pPr>
      <w:bookmarkStart w:id="236" w:name="_Toc17719"/>
      <w:r>
        <w:rPr>
          <w:rFonts w:hint="eastAsia"/>
        </w:rPr>
        <w:t>《音乐基础》课程教学大纲</w:t>
      </w:r>
      <w:bookmarkEnd w:id="236"/>
    </w:p>
    <w:p w14:paraId="66ADA61E">
      <w:pPr>
        <w:spacing w:line="312" w:lineRule="auto"/>
        <w:jc w:val="center"/>
        <w:rPr>
          <w:rFonts w:hint="eastAsia" w:ascii="宋体" w:hAnsi="宋体" w:eastAsia="宋体"/>
          <w:b/>
          <w:bCs/>
          <w:sz w:val="30"/>
        </w:rPr>
      </w:pPr>
      <w:r>
        <w:rPr>
          <w:rFonts w:ascii="宋体" w:hAnsi="宋体" w:eastAsia="宋体"/>
          <w:b/>
          <w:bCs/>
          <w:sz w:val="30"/>
        </w:rPr>
        <w:t>（</w:t>
      </w:r>
      <w:r>
        <w:rPr>
          <w:rFonts w:hint="eastAsia" w:ascii="宋体" w:hAnsi="宋体" w:eastAsia="宋体"/>
          <w:b/>
          <w:bCs/>
          <w:sz w:val="30"/>
        </w:rPr>
        <w:t>Basic Music Theory</w:t>
      </w:r>
      <w:r>
        <w:rPr>
          <w:rFonts w:ascii="宋体" w:hAnsi="宋体" w:eastAsia="宋体"/>
          <w:b/>
          <w:bCs/>
          <w:sz w:val="30"/>
        </w:rPr>
        <w:t>）</w:t>
      </w:r>
    </w:p>
    <w:p w14:paraId="2ECAAD8F">
      <w:pPr>
        <w:spacing w:line="360" w:lineRule="auto"/>
        <w:jc w:val="center"/>
        <w:rPr>
          <w:rFonts w:ascii="Times New Roman" w:hAnsi="Times New Roman" w:eastAsia="宋体" w:cs="Times New Roman"/>
          <w:bCs/>
          <w:sz w:val="30"/>
          <w:szCs w:val="30"/>
        </w:rPr>
      </w:pPr>
    </w:p>
    <w:p w14:paraId="3071069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课程名称：音乐基础</w:t>
      </w:r>
    </w:p>
    <w:p w14:paraId="7B15A45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课程代码：2401032</w:t>
      </w:r>
    </w:p>
    <w:p w14:paraId="084DA7B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分：3</w:t>
      </w:r>
    </w:p>
    <w:p w14:paraId="262908A7">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时：48</w:t>
      </w:r>
    </w:p>
    <w:p w14:paraId="0F3DC65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先修课程：小学心理学、专业导论</w:t>
      </w:r>
    </w:p>
    <w:p w14:paraId="4FEE98A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0F62F61E">
      <w:pPr>
        <w:spacing w:line="360" w:lineRule="auto"/>
        <w:jc w:val="left"/>
        <w:rPr>
          <w:rFonts w:ascii="Times New Roman" w:hAnsi="Times New Roman" w:eastAsia="宋体" w:cs="Times New Roman"/>
          <w:b/>
          <w:sz w:val="24"/>
        </w:rPr>
      </w:pPr>
    </w:p>
    <w:p w14:paraId="6288A042">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2E78E922">
      <w:pPr>
        <w:spacing w:line="360" w:lineRule="auto"/>
        <w:ind w:firstLine="480" w:firstLineChars="200"/>
        <w:rPr>
          <w:rFonts w:hint="eastAsia" w:ascii="宋体" w:hAnsi="宋体" w:eastAsia="宋体"/>
          <w:kern w:val="0"/>
          <w:sz w:val="24"/>
        </w:rPr>
      </w:pPr>
      <w:r>
        <w:rPr>
          <w:rFonts w:hint="eastAsia" w:ascii="宋体" w:hAnsi="宋体" w:eastAsia="宋体"/>
          <w:kern w:val="0"/>
          <w:sz w:val="24"/>
        </w:rPr>
        <w:t>本课程</w:t>
      </w:r>
      <w:r>
        <w:rPr>
          <w:rFonts w:ascii="宋体" w:hAnsi="宋体" w:eastAsia="宋体"/>
          <w:kern w:val="0"/>
          <w:sz w:val="24"/>
        </w:rPr>
        <w:t>是</w:t>
      </w:r>
      <w:r>
        <w:rPr>
          <w:rFonts w:hint="eastAsia" w:ascii="宋体" w:hAnsi="宋体" w:eastAsia="宋体"/>
          <w:kern w:val="0"/>
          <w:sz w:val="24"/>
        </w:rPr>
        <w:t>小学教育</w:t>
      </w:r>
      <w:r>
        <w:rPr>
          <w:rFonts w:ascii="宋体" w:hAnsi="宋体" w:eastAsia="宋体"/>
          <w:kern w:val="0"/>
          <w:sz w:val="24"/>
        </w:rPr>
        <w:t>专业</w:t>
      </w:r>
      <w:r>
        <w:rPr>
          <w:rFonts w:hint="eastAsia" w:ascii="宋体" w:hAnsi="宋体" w:eastAsia="宋体"/>
          <w:kern w:val="0"/>
          <w:sz w:val="24"/>
        </w:rPr>
        <w:t>的</w:t>
      </w:r>
      <w:r>
        <w:rPr>
          <w:rFonts w:ascii="宋体" w:hAnsi="宋体" w:eastAsia="宋体"/>
          <w:kern w:val="0"/>
          <w:sz w:val="24"/>
        </w:rPr>
        <w:t>专业基础必修课，也可作为</w:t>
      </w:r>
      <w:r>
        <w:rPr>
          <w:rFonts w:hint="eastAsia" w:ascii="宋体" w:hAnsi="宋体" w:eastAsia="宋体"/>
          <w:kern w:val="0"/>
          <w:sz w:val="24"/>
        </w:rPr>
        <w:t>学前教育</w:t>
      </w:r>
      <w:r>
        <w:rPr>
          <w:rFonts w:ascii="宋体" w:hAnsi="宋体" w:eastAsia="宋体"/>
          <w:kern w:val="0"/>
          <w:sz w:val="24"/>
        </w:rPr>
        <w:t>专业和其它有关专业的必修课或选修课。通过本课程的学习，培养学</w:t>
      </w:r>
      <w:r>
        <w:rPr>
          <w:rFonts w:hint="eastAsia" w:ascii="宋体" w:hAnsi="宋体" w:eastAsia="宋体"/>
          <w:kern w:val="0"/>
          <w:sz w:val="24"/>
        </w:rPr>
        <w:t>生</w:t>
      </w:r>
      <w:r>
        <w:rPr>
          <w:rFonts w:ascii="宋体" w:hAnsi="宋体" w:eastAsia="宋体"/>
          <w:kern w:val="0"/>
          <w:sz w:val="24"/>
        </w:rPr>
        <w:t>扎实的音乐专业知识和运用知识的能力</w:t>
      </w:r>
      <w:r>
        <w:rPr>
          <w:rFonts w:hint="eastAsia" w:ascii="宋体" w:hAnsi="宋体" w:eastAsia="宋体"/>
          <w:kern w:val="0"/>
          <w:sz w:val="24"/>
        </w:rPr>
        <w:t>，</w:t>
      </w:r>
      <w:r>
        <w:rPr>
          <w:rFonts w:ascii="宋体" w:hAnsi="宋体" w:eastAsia="宋体"/>
          <w:kern w:val="0"/>
          <w:sz w:val="24"/>
        </w:rPr>
        <w:t>掌握基本的中</w:t>
      </w:r>
      <w:r>
        <w:rPr>
          <w:rFonts w:hint="eastAsia" w:ascii="宋体" w:hAnsi="宋体" w:eastAsia="宋体"/>
          <w:kern w:val="0"/>
          <w:sz w:val="24"/>
        </w:rPr>
        <w:t>外</w:t>
      </w:r>
      <w:r>
        <w:rPr>
          <w:rFonts w:ascii="宋体" w:hAnsi="宋体" w:eastAsia="宋体"/>
          <w:kern w:val="0"/>
          <w:sz w:val="24"/>
        </w:rPr>
        <w:t>音乐历史知识</w:t>
      </w:r>
      <w:r>
        <w:rPr>
          <w:rFonts w:hint="eastAsia" w:ascii="宋体" w:hAnsi="宋体" w:eastAsia="宋体"/>
          <w:kern w:val="0"/>
          <w:sz w:val="24"/>
        </w:rPr>
        <w:t>，熟悉</w:t>
      </w:r>
      <w:r>
        <w:rPr>
          <w:rFonts w:ascii="宋体" w:hAnsi="宋体" w:eastAsia="宋体"/>
          <w:kern w:val="0"/>
          <w:sz w:val="24"/>
        </w:rPr>
        <w:t>一定数量的</w:t>
      </w:r>
      <w:r>
        <w:rPr>
          <w:rFonts w:hint="eastAsia" w:ascii="宋体" w:hAnsi="宋体" w:eastAsia="宋体"/>
          <w:kern w:val="0"/>
          <w:sz w:val="24"/>
        </w:rPr>
        <w:t>各个历史时期</w:t>
      </w:r>
      <w:r>
        <w:rPr>
          <w:rFonts w:ascii="宋体" w:hAnsi="宋体" w:eastAsia="宋体"/>
          <w:kern w:val="0"/>
          <w:sz w:val="24"/>
        </w:rPr>
        <w:t>优秀音乐作品</w:t>
      </w:r>
      <w:r>
        <w:rPr>
          <w:rFonts w:hint="eastAsia" w:ascii="宋体" w:hAnsi="宋体" w:eastAsia="宋体"/>
          <w:kern w:val="0"/>
          <w:sz w:val="24"/>
        </w:rPr>
        <w:t>。</w:t>
      </w:r>
    </w:p>
    <w:p w14:paraId="6F947911">
      <w:pPr>
        <w:spacing w:line="360" w:lineRule="auto"/>
        <w:jc w:val="left"/>
        <w:rPr>
          <w:rFonts w:hint="eastAsia" w:ascii="宋体" w:hAnsi="宋体" w:eastAsia="宋体" w:cs="Times New Roman"/>
          <w:b/>
          <w:color w:val="000000"/>
          <w:szCs w:val="21"/>
        </w:rPr>
      </w:pPr>
    </w:p>
    <w:p w14:paraId="2DF57877">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3D1B274D">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5BF860B">
      <w:pPr>
        <w:spacing w:line="360" w:lineRule="auto"/>
        <w:ind w:firstLine="482"/>
        <w:jc w:val="left"/>
        <w:rPr>
          <w:rFonts w:hint="eastAsia" w:ascii="宋体" w:hAnsi="宋体" w:eastAsia="宋体"/>
          <w:sz w:val="24"/>
        </w:rPr>
      </w:pPr>
      <w:r>
        <w:rPr>
          <w:rFonts w:hint="eastAsia" w:ascii="宋体" w:hAnsi="宋体" w:eastAsia="宋体"/>
          <w:sz w:val="24"/>
        </w:rPr>
        <w:t>目标1.了解基础的音乐理论知识（音符、节奏型组合、速度力度术语等）、能让学生能够读懂简单的五线谱。</w:t>
      </w:r>
    </w:p>
    <w:p w14:paraId="2F86425E">
      <w:pPr>
        <w:spacing w:line="360" w:lineRule="auto"/>
        <w:ind w:firstLine="482"/>
        <w:jc w:val="left"/>
        <w:rPr>
          <w:rFonts w:hint="eastAsia" w:ascii="宋体" w:hAnsi="宋体" w:eastAsia="宋体"/>
          <w:sz w:val="24"/>
        </w:rPr>
      </w:pPr>
      <w:r>
        <w:rPr>
          <w:rFonts w:hint="eastAsia" w:ascii="宋体" w:hAnsi="宋体" w:eastAsia="宋体"/>
          <w:sz w:val="24"/>
        </w:rPr>
        <w:t>目标</w:t>
      </w:r>
      <w:r>
        <w:rPr>
          <w:rFonts w:ascii="宋体" w:hAnsi="宋体" w:eastAsia="宋体"/>
          <w:sz w:val="24"/>
        </w:rPr>
        <w:t>2</w:t>
      </w:r>
      <w:r>
        <w:rPr>
          <w:rFonts w:hint="eastAsia" w:ascii="宋体" w:hAnsi="宋体" w:eastAsia="宋体"/>
          <w:sz w:val="24"/>
        </w:rPr>
        <w:t>.能够运用音乐形态学和音乐史学相结合的方法对各历史时期的重要音乐家和音乐作品进行分析与解读。能够运用中外音乐史的理论与方法分析问题，在分析问题是具备基本的音乐史学表达能力。</w:t>
      </w:r>
    </w:p>
    <w:p w14:paraId="4CACD8FA">
      <w:pPr>
        <w:spacing w:line="360" w:lineRule="auto"/>
        <w:ind w:firstLine="482"/>
        <w:jc w:val="left"/>
        <w:rPr>
          <w:rFonts w:hint="eastAsia" w:ascii="宋体" w:hAnsi="宋体" w:eastAsia="宋体"/>
          <w:sz w:val="24"/>
        </w:rPr>
      </w:pPr>
      <w:r>
        <w:rPr>
          <w:rFonts w:hint="eastAsia" w:ascii="宋体" w:hAnsi="宋体" w:eastAsia="宋体"/>
          <w:sz w:val="24"/>
        </w:rPr>
        <w:t>目标</w:t>
      </w:r>
      <w:r>
        <w:rPr>
          <w:rFonts w:ascii="宋体" w:hAnsi="宋体" w:eastAsia="宋体"/>
          <w:sz w:val="24"/>
        </w:rPr>
        <w:t>3</w:t>
      </w:r>
      <w:r>
        <w:rPr>
          <w:rFonts w:hint="eastAsia" w:ascii="宋体" w:hAnsi="宋体" w:eastAsia="宋体"/>
          <w:sz w:val="24"/>
        </w:rPr>
        <w:t>.通过对音乐基础的学习，让学生具备一定的人文素养和美学意识，达成人才培养的这一高校基础职能。</w:t>
      </w:r>
    </w:p>
    <w:p w14:paraId="1E0CDDF1">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991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EAB285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737578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125288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699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E2478C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783A6CD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理想信念坚定】了解我国国情及国际局势，深刻理解新时代中国特色社会主义思想内涵；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746D77C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597A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3721E4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7C01B794">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68ECA4C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4D5C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A08059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60CB26FA">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3-3：【教育教学知识牢固】掌握教育教学基本理论知识，熟悉所教学科课程标准和教材、教学内容。在教育教学实践中，具有一定的教材解读能力，具有依据课标进行教学的意识和习惯。</w:t>
            </w:r>
          </w:p>
        </w:tc>
        <w:tc>
          <w:tcPr>
            <w:tcW w:w="1191" w:type="dxa"/>
            <w:vAlign w:val="center"/>
          </w:tcPr>
          <w:p w14:paraId="6CA33CB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1925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8ED42C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毕业要求7学会反思</w:t>
            </w:r>
          </w:p>
        </w:tc>
        <w:tc>
          <w:tcPr>
            <w:tcW w:w="5688" w:type="dxa"/>
            <w:vAlign w:val="center"/>
          </w:tcPr>
          <w:p w14:paraId="41285E15">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rPr>
              <w:t>7</w:t>
            </w:r>
            <w:r>
              <w:rPr>
                <w:rFonts w:ascii="宋体" w:hAnsi="宋体" w:eastAsia="宋体" w:cs="Times New Roman"/>
                <w:color w:val="000000"/>
                <w:kern w:val="0"/>
                <w:szCs w:val="21"/>
              </w:rPr>
              <w:t>-1：</w:t>
            </w:r>
            <w:r>
              <w:rPr>
                <w:rFonts w:hint="eastAsia" w:ascii="宋体" w:hAnsi="宋体" w:eastAsia="宋体" w:cs="Times New Roman"/>
                <w:color w:val="000000"/>
                <w:kern w:val="0"/>
                <w:szCs w:val="21"/>
              </w:rPr>
              <w:t>【教育视野开阔】积极参加基础教育领域的国内外交流，了解国内外基础教育改革发展的动态，具有宽广的教育视野，能够主动适应新时代和教育发展需求。</w:t>
            </w:r>
          </w:p>
          <w:p w14:paraId="44AE1AAE">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vAlign w:val="center"/>
          </w:tcPr>
          <w:p w14:paraId="664250E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课程目标2、3</w:t>
            </w:r>
          </w:p>
        </w:tc>
      </w:tr>
    </w:tbl>
    <w:p w14:paraId="61D499BE">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41B0888">
      <w:pPr>
        <w:spacing w:line="360" w:lineRule="auto"/>
        <w:ind w:firstLine="480" w:firstLineChars="200"/>
        <w:rPr>
          <w:rFonts w:hint="eastAsia" w:ascii="宋体" w:hAnsi="宋体" w:eastAsia="宋体"/>
          <w:sz w:val="24"/>
        </w:rPr>
      </w:pPr>
      <w:r>
        <w:rPr>
          <w:rFonts w:hint="eastAsia" w:ascii="宋体" w:hAnsi="宋体" w:eastAsia="宋体"/>
          <w:sz w:val="24"/>
        </w:rPr>
        <w:t>以习近平总书记提出的“培育时代新人是教育的重要使命和根本任务”为指导思想，围绕正确育人的整体目标和价值方向，扎实推进课程思政的育人大格局。课程将思想政治工作贯穿于中国音乐历史和鉴赏中国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0C232293">
      <w:pPr>
        <w:spacing w:line="360" w:lineRule="auto"/>
        <w:jc w:val="left"/>
        <w:rPr>
          <w:rFonts w:hint="eastAsia" w:ascii="宋体" w:hAnsi="宋体" w:eastAsia="宋体" w:cs="Times New Roman"/>
          <w:b/>
          <w:color w:val="000000"/>
          <w:sz w:val="28"/>
          <w:szCs w:val="28"/>
        </w:rPr>
      </w:pPr>
    </w:p>
    <w:p w14:paraId="3AF21AB9">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230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4F8035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9A4520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5FEADBE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5002600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62B51E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46F1BE7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324DA3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7D5051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2955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D0C399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1.音乐学绪论</w:t>
            </w:r>
          </w:p>
        </w:tc>
        <w:tc>
          <w:tcPr>
            <w:tcW w:w="1701" w:type="dxa"/>
            <w:vAlign w:val="center"/>
          </w:tcPr>
          <w:p w14:paraId="690A8749">
            <w:pPr>
              <w:spacing w:line="360" w:lineRule="auto"/>
              <w:rPr>
                <w:rFonts w:hint="eastAsia" w:ascii="宋体" w:hAnsi="宋体" w:eastAsia="宋体"/>
                <w:szCs w:val="21"/>
              </w:rPr>
            </w:pPr>
            <w:r>
              <w:rPr>
                <w:rFonts w:ascii="宋体" w:hAnsi="宋体" w:eastAsia="宋体"/>
                <w:szCs w:val="21"/>
              </w:rPr>
              <w:t>（1）</w:t>
            </w:r>
            <w:r>
              <w:rPr>
                <w:rFonts w:hint="eastAsia" w:ascii="宋体" w:hAnsi="宋体" w:eastAsia="宋体"/>
                <w:szCs w:val="21"/>
              </w:rPr>
              <w:t>乐音的基本特征与构成要素</w:t>
            </w:r>
          </w:p>
          <w:p w14:paraId="53F4DA27">
            <w:pPr>
              <w:spacing w:line="360" w:lineRule="auto"/>
              <w:rPr>
                <w:rFonts w:hint="eastAsia"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简要的中外音乐发展和历史沿革</w:t>
            </w:r>
          </w:p>
        </w:tc>
        <w:tc>
          <w:tcPr>
            <w:tcW w:w="1134" w:type="dxa"/>
            <w:vAlign w:val="center"/>
          </w:tcPr>
          <w:p w14:paraId="7361F3D0">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0FD3771D">
            <w:pPr>
              <w:spacing w:line="360" w:lineRule="auto"/>
              <w:jc w:val="left"/>
              <w:rPr>
                <w:rFonts w:hint="eastAsia" w:ascii="宋体" w:hAnsi="宋体" w:eastAsia="宋体"/>
                <w:szCs w:val="21"/>
              </w:rPr>
            </w:pPr>
            <w:r>
              <w:rPr>
                <w:rFonts w:ascii="宋体" w:hAnsi="宋体" w:eastAsia="宋体"/>
                <w:szCs w:val="21"/>
              </w:rPr>
              <w:t>（1）了解并掌握</w:t>
            </w:r>
            <w:r>
              <w:rPr>
                <w:rFonts w:hint="eastAsia" w:ascii="宋体" w:hAnsi="宋体" w:eastAsia="宋体"/>
                <w:szCs w:val="21"/>
              </w:rPr>
              <w:t>基础的乐理知识</w:t>
            </w:r>
          </w:p>
          <w:p w14:paraId="3E8D5373">
            <w:pPr>
              <w:spacing w:line="360" w:lineRule="auto"/>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能简单地阅读和应用五线谱和简谱</w:t>
            </w:r>
          </w:p>
          <w:p w14:paraId="4EC73A4B">
            <w:pPr>
              <w:spacing w:line="360" w:lineRule="auto"/>
              <w:jc w:val="left"/>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szCs w:val="21"/>
              </w:rPr>
              <w:t>（3）</w:t>
            </w:r>
            <w:r>
              <w:rPr>
                <w:rFonts w:hint="eastAsia" w:ascii="宋体" w:hAnsi="宋体" w:eastAsia="宋体"/>
                <w:szCs w:val="21"/>
              </w:rPr>
              <w:t>了解中外音乐的发展与沿革</w:t>
            </w:r>
          </w:p>
        </w:tc>
        <w:tc>
          <w:tcPr>
            <w:tcW w:w="1560" w:type="dxa"/>
            <w:vAlign w:val="center"/>
          </w:tcPr>
          <w:p w14:paraId="4C142F1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D5EF85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F69246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7FA6493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5C5D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D1B0EF6">
            <w:pPr>
              <w:spacing w:line="264" w:lineRule="auto"/>
              <w:jc w:val="center"/>
              <w:rPr>
                <w:rFonts w:hint="eastAsia" w:ascii="宋体" w:hAnsi="宋体" w:eastAsia="宋体" w:cs="Times New Roman"/>
                <w:color w:val="000000"/>
                <w:szCs w:val="21"/>
              </w:rPr>
            </w:pPr>
          </w:p>
        </w:tc>
        <w:tc>
          <w:tcPr>
            <w:tcW w:w="8093" w:type="dxa"/>
            <w:gridSpan w:val="5"/>
            <w:vAlign w:val="center"/>
          </w:tcPr>
          <w:p w14:paraId="5219D79F">
            <w:pPr>
              <w:spacing w:line="360" w:lineRule="auto"/>
              <w:ind w:firstLine="422" w:firstLineChars="200"/>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s="Times New Roman"/>
                <w:color w:val="000000" w:themeColor="text1"/>
                <w:szCs w:val="21"/>
                <w14:textFill>
                  <w14:solidFill>
                    <w14:schemeClr w14:val="tx1"/>
                  </w14:solidFill>
                </w14:textFill>
              </w:rPr>
              <w:t>依法履行教师职责权利</w:t>
            </w:r>
            <w:r>
              <w:rPr>
                <w:rFonts w:hint="eastAsia" w:ascii="宋体" w:hAnsi="宋体" w:eastAsia="宋体" w:cs="Times New Roman"/>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p w14:paraId="4471C9F3">
            <w:pPr>
              <w:spacing w:line="269" w:lineRule="auto"/>
              <w:jc w:val="left"/>
              <w:rPr>
                <w:rFonts w:hint="eastAsia" w:ascii="宋体" w:hAnsi="宋体" w:eastAsia="宋体" w:cs="Times New Roman"/>
                <w:color w:val="000000"/>
                <w:szCs w:val="21"/>
              </w:rPr>
            </w:pPr>
          </w:p>
        </w:tc>
      </w:tr>
      <w:tr w14:paraId="320D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21E31D3">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 基础乐理知识（音值节奏）</w:t>
            </w:r>
          </w:p>
        </w:tc>
        <w:tc>
          <w:tcPr>
            <w:tcW w:w="1701" w:type="dxa"/>
            <w:vAlign w:val="center"/>
          </w:tcPr>
          <w:p w14:paraId="5B6A1A42">
            <w:pPr>
              <w:spacing w:line="360" w:lineRule="auto"/>
              <w:rPr>
                <w:rFonts w:hint="eastAsia" w:ascii="宋体" w:hAnsi="宋体" w:eastAsia="宋体"/>
                <w:szCs w:val="21"/>
              </w:rPr>
            </w:pPr>
            <w:r>
              <w:rPr>
                <w:rFonts w:ascii="宋体" w:hAnsi="宋体" w:eastAsia="宋体"/>
                <w:szCs w:val="21"/>
              </w:rPr>
              <w:t>（1）</w:t>
            </w:r>
            <w:r>
              <w:rPr>
                <w:rFonts w:hint="eastAsia" w:ascii="宋体" w:hAnsi="宋体" w:eastAsia="宋体"/>
                <w:szCs w:val="21"/>
              </w:rPr>
              <w:t>基础音符与简易节奏型组合</w:t>
            </w:r>
          </w:p>
          <w:p w14:paraId="107E2F12">
            <w:pPr>
              <w:spacing w:line="360" w:lineRule="auto"/>
              <w:rPr>
                <w:rFonts w:hint="eastAsia" w:ascii="宋体" w:hAnsi="宋体" w:eastAsia="宋体"/>
                <w:szCs w:val="21"/>
              </w:rPr>
            </w:pPr>
            <w:r>
              <w:rPr>
                <w:rFonts w:ascii="宋体" w:hAnsi="宋体" w:eastAsia="宋体"/>
                <w:szCs w:val="21"/>
              </w:rPr>
              <w:t>（2）</w:t>
            </w:r>
            <w:r>
              <w:rPr>
                <w:rFonts w:hint="eastAsia" w:ascii="宋体" w:hAnsi="宋体" w:eastAsia="宋体"/>
                <w:szCs w:val="21"/>
              </w:rPr>
              <w:t>附点与休止符</w:t>
            </w:r>
          </w:p>
          <w:p w14:paraId="53E08EE5">
            <w:pPr>
              <w:spacing w:line="360" w:lineRule="auto"/>
              <w:rPr>
                <w:rFonts w:hint="eastAsia" w:ascii="宋体" w:hAnsi="宋体" w:eastAsia="宋体"/>
                <w:sz w:val="24"/>
              </w:rPr>
            </w:pPr>
            <w:r>
              <w:rPr>
                <w:rFonts w:hint="eastAsia" w:ascii="宋体" w:hAnsi="宋体" w:eastAsia="宋体"/>
                <w:szCs w:val="21"/>
              </w:rPr>
              <w:t>（3）谱号与拍号</w:t>
            </w:r>
          </w:p>
        </w:tc>
        <w:tc>
          <w:tcPr>
            <w:tcW w:w="1134" w:type="dxa"/>
            <w:vAlign w:val="center"/>
          </w:tcPr>
          <w:p w14:paraId="68D6BA5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10B84D17">
            <w:pPr>
              <w:spacing w:line="360" w:lineRule="auto"/>
              <w:rPr>
                <w:rFonts w:hint="eastAsia" w:ascii="宋体" w:hAnsi="宋体" w:eastAsia="宋体"/>
                <w:szCs w:val="21"/>
              </w:rPr>
            </w:pPr>
            <w:r>
              <w:rPr>
                <w:rFonts w:ascii="宋体" w:hAnsi="宋体" w:eastAsia="宋体"/>
                <w:szCs w:val="21"/>
              </w:rPr>
              <w:t>（1）了解</w:t>
            </w:r>
            <w:r>
              <w:rPr>
                <w:rFonts w:hint="eastAsia" w:ascii="宋体" w:hAnsi="宋体" w:eastAsia="宋体"/>
                <w:szCs w:val="21"/>
              </w:rPr>
              <w:t>乐音的基础属性之——音值（节奏）的有关知识</w:t>
            </w:r>
          </w:p>
          <w:p w14:paraId="097233E4">
            <w:pPr>
              <w:spacing w:line="360" w:lineRule="auto"/>
              <w:rPr>
                <w:rFonts w:hint="eastAsia" w:ascii="宋体" w:hAnsi="宋体" w:eastAsia="宋体"/>
                <w:szCs w:val="21"/>
              </w:rPr>
            </w:pPr>
            <w:r>
              <w:rPr>
                <w:rFonts w:ascii="宋体" w:hAnsi="宋体" w:eastAsia="宋体"/>
                <w:szCs w:val="21"/>
              </w:rPr>
              <w:t>（2）</w:t>
            </w:r>
            <w:r>
              <w:rPr>
                <w:rFonts w:hint="eastAsia" w:ascii="宋体" w:hAnsi="宋体" w:eastAsia="宋体"/>
                <w:szCs w:val="21"/>
              </w:rPr>
              <w:t>了解五线谱记谱法中的法则和书写规范</w:t>
            </w:r>
          </w:p>
          <w:p w14:paraId="7D3D5EB5">
            <w:pPr>
              <w:spacing w:line="269" w:lineRule="auto"/>
              <w:jc w:val="left"/>
              <w:rPr>
                <w:rFonts w:hint="eastAsia" w:ascii="宋体" w:hAnsi="宋体" w:eastAsia="宋体" w:cs="Times New Roman"/>
                <w:color w:val="000000"/>
                <w:szCs w:val="21"/>
              </w:rPr>
            </w:pPr>
          </w:p>
        </w:tc>
        <w:tc>
          <w:tcPr>
            <w:tcW w:w="1560" w:type="dxa"/>
            <w:vAlign w:val="center"/>
          </w:tcPr>
          <w:p w14:paraId="36673E6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1D146E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499540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493930B0">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p>
        </w:tc>
      </w:tr>
      <w:tr w14:paraId="3F79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C6EE02">
            <w:pPr>
              <w:spacing w:line="264" w:lineRule="auto"/>
              <w:jc w:val="center"/>
              <w:rPr>
                <w:rFonts w:hint="eastAsia" w:ascii="宋体" w:hAnsi="宋体" w:eastAsia="宋体" w:cs="Times New Roman"/>
                <w:color w:val="000000"/>
                <w:szCs w:val="21"/>
              </w:rPr>
            </w:pPr>
          </w:p>
        </w:tc>
        <w:tc>
          <w:tcPr>
            <w:tcW w:w="8093" w:type="dxa"/>
            <w:gridSpan w:val="5"/>
            <w:vAlign w:val="center"/>
          </w:tcPr>
          <w:p w14:paraId="7AA5A361">
            <w:pPr>
              <w:autoSpaceDE w:val="0"/>
              <w:autoSpaceDN w:val="0"/>
              <w:adjustRightInd w:val="0"/>
              <w:spacing w:line="360" w:lineRule="auto"/>
              <w:ind w:firstLine="422" w:firstLineChars="200"/>
              <w:jc w:val="left"/>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s="Times New Roman"/>
                <w:color w:val="000000" w:themeColor="text1"/>
                <w:szCs w:val="21"/>
                <w14:textFill>
                  <w14:solidFill>
                    <w14:schemeClr w14:val="tx1"/>
                  </w14:solidFill>
                </w14:textFill>
              </w:rPr>
              <w:t>结合中外优秀传统音乐文化，树立学生产生强烈的文化认同感和民族自豪感，培养具有为中华民族复兴培养全面发展的社会主义建设者和接班人的职业理想。</w:t>
            </w:r>
          </w:p>
        </w:tc>
      </w:tr>
      <w:tr w14:paraId="6CB6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AA2BD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3.基础乐理知识（音调音高）</w:t>
            </w:r>
          </w:p>
        </w:tc>
        <w:tc>
          <w:tcPr>
            <w:tcW w:w="1701" w:type="dxa"/>
            <w:vAlign w:val="center"/>
          </w:tcPr>
          <w:p w14:paraId="2160F4C2">
            <w:pPr>
              <w:spacing w:line="360" w:lineRule="auto"/>
              <w:rPr>
                <w:rFonts w:hint="eastAsia" w:ascii="宋体" w:hAnsi="宋体" w:eastAsia="宋体"/>
                <w:bCs/>
                <w:szCs w:val="21"/>
              </w:rPr>
            </w:pPr>
            <w:r>
              <w:rPr>
                <w:rFonts w:ascii="宋体" w:hAnsi="宋体" w:eastAsia="宋体"/>
                <w:szCs w:val="21"/>
              </w:rPr>
              <w:t>（</w:t>
            </w:r>
            <w:r>
              <w:rPr>
                <w:rFonts w:hint="eastAsia" w:ascii="宋体" w:hAnsi="宋体" w:eastAsia="宋体"/>
                <w:szCs w:val="21"/>
              </w:rPr>
              <w:t>1</w:t>
            </w:r>
            <w:r>
              <w:rPr>
                <w:rFonts w:ascii="宋体" w:hAnsi="宋体" w:eastAsia="宋体"/>
                <w:szCs w:val="21"/>
              </w:rPr>
              <w:t>）</w:t>
            </w:r>
            <w:r>
              <w:rPr>
                <w:rFonts w:hint="eastAsia" w:ascii="宋体" w:hAnsi="宋体" w:eastAsia="宋体"/>
                <w:szCs w:val="21"/>
              </w:rPr>
              <w:t>简谱记谱法和唱名</w:t>
            </w:r>
          </w:p>
          <w:p w14:paraId="1F9A708C">
            <w:pPr>
              <w:spacing w:line="360" w:lineRule="auto"/>
              <w:rPr>
                <w:rFonts w:hint="eastAsia"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五线谱记谱法和音名</w:t>
            </w:r>
          </w:p>
          <w:p w14:paraId="02DC7BF0">
            <w:pPr>
              <w:spacing w:line="360" w:lineRule="auto"/>
              <w:rPr>
                <w:rFonts w:hint="eastAsia" w:ascii="宋体" w:hAnsi="宋体" w:eastAsia="宋体"/>
                <w:szCs w:val="21"/>
              </w:rPr>
            </w:pPr>
            <w:r>
              <w:rPr>
                <w:rFonts w:hint="eastAsia" w:ascii="宋体" w:hAnsi="宋体" w:eastAsia="宋体"/>
                <w:szCs w:val="21"/>
              </w:rPr>
              <w:t>（3）简易调式</w:t>
            </w:r>
          </w:p>
          <w:p w14:paraId="5F8B47D4">
            <w:pPr>
              <w:spacing w:line="269" w:lineRule="auto"/>
              <w:jc w:val="left"/>
              <w:rPr>
                <w:rFonts w:hint="eastAsia" w:ascii="宋体" w:hAnsi="宋体" w:eastAsia="宋体" w:cs="Times New Roman"/>
                <w:color w:val="000000"/>
                <w:szCs w:val="21"/>
              </w:rPr>
            </w:pPr>
          </w:p>
        </w:tc>
        <w:tc>
          <w:tcPr>
            <w:tcW w:w="1134" w:type="dxa"/>
            <w:vAlign w:val="center"/>
          </w:tcPr>
          <w:p w14:paraId="7D4F7F3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6DD01A60">
            <w:pPr>
              <w:spacing w:line="360" w:lineRule="auto"/>
              <w:rPr>
                <w:rFonts w:hint="eastAsia" w:ascii="宋体" w:hAnsi="宋体" w:eastAsia="宋体"/>
                <w:szCs w:val="21"/>
              </w:rPr>
            </w:pPr>
            <w:r>
              <w:rPr>
                <w:rFonts w:ascii="宋体" w:hAnsi="宋体" w:eastAsia="宋体"/>
                <w:szCs w:val="21"/>
              </w:rPr>
              <w:t>（1）了解</w:t>
            </w:r>
            <w:r>
              <w:rPr>
                <w:rFonts w:hint="eastAsia" w:ascii="宋体" w:hAnsi="宋体" w:eastAsia="宋体"/>
                <w:szCs w:val="21"/>
              </w:rPr>
              <w:t>乐音的基础属性之——音调（音高）的有关知识</w:t>
            </w:r>
          </w:p>
          <w:p w14:paraId="6390B41B">
            <w:pPr>
              <w:spacing w:line="360" w:lineRule="auto"/>
              <w:rPr>
                <w:rFonts w:hint="eastAsia" w:ascii="宋体" w:hAnsi="宋体" w:eastAsia="宋体"/>
                <w:szCs w:val="21"/>
              </w:rPr>
            </w:pPr>
            <w:r>
              <w:rPr>
                <w:rFonts w:ascii="宋体" w:hAnsi="宋体" w:eastAsia="宋体"/>
                <w:szCs w:val="21"/>
              </w:rPr>
              <w:t>（2）</w:t>
            </w:r>
            <w:r>
              <w:rPr>
                <w:rFonts w:hint="eastAsia" w:ascii="宋体" w:hAnsi="宋体" w:eastAsia="宋体"/>
                <w:szCs w:val="21"/>
              </w:rPr>
              <w:t>能简单地阅读和应用五线谱和简谱</w:t>
            </w:r>
          </w:p>
          <w:p w14:paraId="415A6AEB">
            <w:pPr>
              <w:spacing w:line="360" w:lineRule="auto"/>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szCs w:val="21"/>
              </w:rPr>
              <w:t>（3）</w:t>
            </w:r>
            <w:r>
              <w:rPr>
                <w:rFonts w:hint="eastAsia" w:ascii="宋体" w:hAnsi="宋体" w:eastAsia="宋体"/>
                <w:szCs w:val="21"/>
              </w:rPr>
              <w:t>了解中外音乐在不同的文化背景下，所演变出的不同调式。</w:t>
            </w:r>
          </w:p>
          <w:p w14:paraId="44C47D8E">
            <w:pPr>
              <w:spacing w:line="269" w:lineRule="auto"/>
              <w:jc w:val="left"/>
              <w:rPr>
                <w:rFonts w:hint="eastAsia" w:ascii="宋体" w:hAnsi="宋体" w:eastAsia="宋体" w:cs="Times New Roman"/>
                <w:color w:val="000000"/>
                <w:szCs w:val="21"/>
              </w:rPr>
            </w:pPr>
          </w:p>
        </w:tc>
        <w:tc>
          <w:tcPr>
            <w:tcW w:w="1560" w:type="dxa"/>
            <w:vAlign w:val="center"/>
          </w:tcPr>
          <w:p w14:paraId="411195AA">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AA775DF">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6561C10E">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7238162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p>
        </w:tc>
      </w:tr>
      <w:tr w14:paraId="31C5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B425BF5">
            <w:pPr>
              <w:spacing w:line="264" w:lineRule="auto"/>
              <w:jc w:val="center"/>
              <w:rPr>
                <w:rFonts w:hint="eastAsia" w:ascii="宋体" w:hAnsi="宋体" w:eastAsia="宋体" w:cs="Times New Roman"/>
                <w:color w:val="000000"/>
                <w:szCs w:val="21"/>
              </w:rPr>
            </w:pPr>
          </w:p>
        </w:tc>
        <w:tc>
          <w:tcPr>
            <w:tcW w:w="8093" w:type="dxa"/>
            <w:gridSpan w:val="5"/>
            <w:vAlign w:val="center"/>
          </w:tcPr>
          <w:p w14:paraId="2BCE9401">
            <w:pPr>
              <w:spacing w:line="360" w:lineRule="auto"/>
              <w:ind w:firstLine="422"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s="Times New Roman"/>
                <w:color w:val="000000" w:themeColor="text1"/>
                <w:szCs w:val="21"/>
                <w14:textFill>
                  <w14:solidFill>
                    <w14:schemeClr w14:val="tx1"/>
                  </w14:solidFill>
                </w14:textFill>
              </w:rPr>
              <w:t>依法履行教师职责权利</w:t>
            </w:r>
            <w:r>
              <w:rPr>
                <w:rFonts w:hint="eastAsia" w:ascii="宋体" w:hAnsi="宋体" w:eastAsia="宋体" w:cs="Times New Roman"/>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p w14:paraId="2F10C79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bl>
    <w:p w14:paraId="74059AC7">
      <w:pPr>
        <w:spacing w:line="360" w:lineRule="auto"/>
        <w:jc w:val="left"/>
        <w:rPr>
          <w:rFonts w:ascii="Times New Roman" w:hAnsi="Times New Roman" w:eastAsia="宋体" w:cs="Times New Roman"/>
          <w:sz w:val="24"/>
        </w:rPr>
      </w:pP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
        <w:gridCol w:w="1181"/>
        <w:gridCol w:w="1701"/>
        <w:gridCol w:w="1134"/>
        <w:gridCol w:w="3260"/>
        <w:gridCol w:w="1560"/>
        <w:gridCol w:w="438"/>
      </w:tblGrid>
      <w:tr w14:paraId="3BDD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gridSpan w:val="2"/>
            <w:vMerge w:val="restart"/>
            <w:vAlign w:val="center"/>
          </w:tcPr>
          <w:p w14:paraId="160FC9B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 xml:space="preserve">4.基础乐理知识（音强和音色） </w:t>
            </w:r>
          </w:p>
        </w:tc>
        <w:tc>
          <w:tcPr>
            <w:tcW w:w="1701" w:type="dxa"/>
            <w:vAlign w:val="center"/>
          </w:tcPr>
          <w:p w14:paraId="76BB44D4">
            <w:pPr>
              <w:spacing w:line="360" w:lineRule="auto"/>
              <w:rPr>
                <w:rFonts w:hint="eastAsia" w:ascii="宋体" w:hAnsi="宋体" w:eastAsia="宋体"/>
                <w:bCs/>
                <w:szCs w:val="21"/>
              </w:rPr>
            </w:pPr>
            <w:r>
              <w:rPr>
                <w:rFonts w:ascii="宋体" w:hAnsi="宋体" w:eastAsia="宋体"/>
                <w:szCs w:val="21"/>
              </w:rPr>
              <w:t>（</w:t>
            </w:r>
            <w:r>
              <w:rPr>
                <w:rFonts w:hint="eastAsia" w:ascii="宋体" w:hAnsi="宋体" w:eastAsia="宋体"/>
                <w:szCs w:val="21"/>
              </w:rPr>
              <w:t>1</w:t>
            </w:r>
            <w:r>
              <w:rPr>
                <w:rFonts w:ascii="宋体" w:hAnsi="宋体" w:eastAsia="宋体"/>
                <w:szCs w:val="21"/>
              </w:rPr>
              <w:t>）</w:t>
            </w:r>
            <w:r>
              <w:rPr>
                <w:rFonts w:hint="eastAsia" w:ascii="宋体" w:hAnsi="宋体" w:eastAsia="宋体"/>
                <w:szCs w:val="21"/>
              </w:rPr>
              <w:t>与音强有关的力度术语</w:t>
            </w:r>
          </w:p>
          <w:p w14:paraId="094C6BCF">
            <w:pPr>
              <w:spacing w:line="360" w:lineRule="auto"/>
              <w:rPr>
                <w:rFonts w:hint="eastAsia"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与速度有关的力度术语</w:t>
            </w:r>
          </w:p>
          <w:p w14:paraId="53D0A22A">
            <w:pPr>
              <w:spacing w:line="360" w:lineRule="auto"/>
              <w:rPr>
                <w:rFonts w:hint="eastAsia" w:ascii="宋体" w:hAnsi="宋体" w:eastAsia="宋体"/>
                <w:szCs w:val="21"/>
              </w:rPr>
            </w:pPr>
            <w:r>
              <w:rPr>
                <w:rFonts w:hint="eastAsia" w:ascii="宋体" w:hAnsi="宋体" w:eastAsia="宋体"/>
                <w:szCs w:val="21"/>
              </w:rPr>
              <w:t>（3）了解不同的乐器音色</w:t>
            </w:r>
          </w:p>
          <w:p w14:paraId="05EA076B">
            <w:pPr>
              <w:spacing w:line="269" w:lineRule="auto"/>
              <w:jc w:val="left"/>
              <w:rPr>
                <w:rFonts w:hint="eastAsia" w:ascii="宋体" w:hAnsi="宋体" w:eastAsia="宋体" w:cs="Times New Roman"/>
                <w:color w:val="000000"/>
                <w:szCs w:val="21"/>
              </w:rPr>
            </w:pPr>
          </w:p>
        </w:tc>
        <w:tc>
          <w:tcPr>
            <w:tcW w:w="1134" w:type="dxa"/>
            <w:vAlign w:val="center"/>
          </w:tcPr>
          <w:p w14:paraId="7E2B456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D12365D">
            <w:pPr>
              <w:spacing w:line="360" w:lineRule="auto"/>
              <w:rPr>
                <w:rFonts w:hint="eastAsia" w:ascii="宋体" w:hAnsi="宋体" w:eastAsia="宋体"/>
                <w:szCs w:val="21"/>
              </w:rPr>
            </w:pPr>
            <w:r>
              <w:rPr>
                <w:rFonts w:ascii="宋体" w:hAnsi="宋体" w:eastAsia="宋体"/>
                <w:szCs w:val="21"/>
              </w:rPr>
              <w:t>（1）了解</w:t>
            </w:r>
            <w:r>
              <w:rPr>
                <w:rFonts w:hint="eastAsia" w:ascii="宋体" w:hAnsi="宋体" w:eastAsia="宋体"/>
                <w:szCs w:val="21"/>
              </w:rPr>
              <w:t>乐谱谱面上出现的各种音乐术语（力度和速度术语）</w:t>
            </w:r>
          </w:p>
          <w:p w14:paraId="1EBC8599">
            <w:pPr>
              <w:spacing w:line="360" w:lineRule="auto"/>
              <w:rPr>
                <w:rFonts w:hint="eastAsia" w:ascii="宋体" w:hAnsi="宋体" w:eastAsia="宋体"/>
                <w:szCs w:val="21"/>
              </w:rPr>
            </w:pPr>
            <w:r>
              <w:rPr>
                <w:rFonts w:ascii="宋体" w:hAnsi="宋体" w:eastAsia="宋体"/>
                <w:szCs w:val="21"/>
              </w:rPr>
              <w:t>（2）</w:t>
            </w:r>
            <w:r>
              <w:rPr>
                <w:rFonts w:hint="eastAsia" w:ascii="宋体" w:hAnsi="宋体" w:eastAsia="宋体"/>
                <w:szCs w:val="21"/>
              </w:rPr>
              <w:t>简单了解交响乐团的配器法</w:t>
            </w:r>
          </w:p>
          <w:p w14:paraId="415E0311">
            <w:pPr>
              <w:spacing w:line="360" w:lineRule="auto"/>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szCs w:val="21"/>
              </w:rPr>
              <w:t>（3）</w:t>
            </w:r>
            <w:r>
              <w:rPr>
                <w:rFonts w:hint="eastAsia" w:ascii="宋体" w:hAnsi="宋体" w:eastAsia="宋体"/>
                <w:szCs w:val="21"/>
              </w:rPr>
              <w:t>简单了解中外不同的乐器构造与音色</w:t>
            </w:r>
          </w:p>
          <w:p w14:paraId="4EA87DC3">
            <w:pPr>
              <w:spacing w:line="269" w:lineRule="auto"/>
              <w:jc w:val="left"/>
              <w:rPr>
                <w:rFonts w:hint="eastAsia" w:ascii="宋体" w:hAnsi="宋体" w:eastAsia="宋体" w:cs="Times New Roman"/>
                <w:color w:val="000000"/>
                <w:szCs w:val="21"/>
              </w:rPr>
            </w:pPr>
          </w:p>
        </w:tc>
        <w:tc>
          <w:tcPr>
            <w:tcW w:w="1560" w:type="dxa"/>
            <w:vAlign w:val="center"/>
          </w:tcPr>
          <w:p w14:paraId="30ED92D5">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526CBE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5C69EEB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66F764A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p>
        </w:tc>
      </w:tr>
      <w:tr w14:paraId="0D5F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gridSpan w:val="2"/>
            <w:vMerge w:val="continue"/>
            <w:vAlign w:val="center"/>
          </w:tcPr>
          <w:p w14:paraId="31BDFF2F">
            <w:pPr>
              <w:spacing w:line="264" w:lineRule="auto"/>
              <w:jc w:val="center"/>
              <w:rPr>
                <w:rFonts w:hint="eastAsia" w:ascii="宋体" w:hAnsi="宋体" w:eastAsia="宋体" w:cs="Times New Roman"/>
                <w:color w:val="000000"/>
                <w:szCs w:val="21"/>
              </w:rPr>
            </w:pPr>
          </w:p>
        </w:tc>
        <w:tc>
          <w:tcPr>
            <w:tcW w:w="8093" w:type="dxa"/>
            <w:gridSpan w:val="5"/>
            <w:vAlign w:val="center"/>
          </w:tcPr>
          <w:p w14:paraId="60F36BF7">
            <w:pPr>
              <w:spacing w:line="360" w:lineRule="auto"/>
              <w:ind w:firstLine="422"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s="Times New Roman"/>
                <w:color w:val="000000" w:themeColor="text1"/>
                <w:szCs w:val="21"/>
                <w14:textFill>
                  <w14:solidFill>
                    <w14:schemeClr w14:val="tx1"/>
                  </w14:solidFill>
                </w14:textFill>
              </w:rPr>
              <w:t>依法履行教师职责权利</w:t>
            </w:r>
            <w:r>
              <w:rPr>
                <w:rFonts w:hint="eastAsia" w:ascii="宋体" w:hAnsi="宋体" w:eastAsia="宋体" w:cs="Times New Roman"/>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p w14:paraId="7581BDE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B01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restart"/>
            <w:vAlign w:val="center"/>
          </w:tcPr>
          <w:p w14:paraId="2CCAD78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5.音乐风格鉴赏</w:t>
            </w:r>
          </w:p>
        </w:tc>
        <w:tc>
          <w:tcPr>
            <w:tcW w:w="1701" w:type="dxa"/>
            <w:vAlign w:val="center"/>
          </w:tcPr>
          <w:p w14:paraId="7CBB9E19">
            <w:pPr>
              <w:spacing w:line="360" w:lineRule="auto"/>
              <w:rPr>
                <w:rFonts w:hint="eastAsia" w:ascii="宋体" w:hAnsi="宋体" w:eastAsia="宋体"/>
                <w:bCs/>
                <w:szCs w:val="21"/>
              </w:rPr>
            </w:pPr>
            <w:r>
              <w:rPr>
                <w:rFonts w:ascii="宋体" w:hAnsi="宋体" w:eastAsia="宋体"/>
                <w:szCs w:val="21"/>
              </w:rPr>
              <w:t>（</w:t>
            </w:r>
            <w:r>
              <w:rPr>
                <w:rFonts w:hint="eastAsia" w:ascii="宋体" w:hAnsi="宋体" w:eastAsia="宋体"/>
                <w:szCs w:val="21"/>
              </w:rPr>
              <w:t>1</w:t>
            </w:r>
            <w:r>
              <w:rPr>
                <w:rFonts w:ascii="宋体" w:hAnsi="宋体" w:eastAsia="宋体"/>
                <w:szCs w:val="21"/>
              </w:rPr>
              <w:t>）</w:t>
            </w:r>
            <w:r>
              <w:rPr>
                <w:rFonts w:hint="eastAsia" w:ascii="宋体" w:hAnsi="宋体" w:eastAsia="宋体"/>
                <w:szCs w:val="21"/>
              </w:rPr>
              <w:t>巴洛克时期音乐鉴赏（3课时）</w:t>
            </w:r>
          </w:p>
          <w:p w14:paraId="44AD2489">
            <w:pPr>
              <w:spacing w:line="360" w:lineRule="auto"/>
              <w:rPr>
                <w:rFonts w:hint="eastAsia" w:ascii="宋体" w:hAnsi="宋体" w:eastAsia="宋体"/>
                <w:szCs w:val="21"/>
              </w:rPr>
            </w:pPr>
            <w:r>
              <w:rPr>
                <w:rFonts w:ascii="宋体" w:hAnsi="宋体" w:eastAsia="宋体"/>
                <w:szCs w:val="21"/>
              </w:rPr>
              <w:t>（3）</w:t>
            </w:r>
            <w:r>
              <w:rPr>
                <w:rFonts w:hint="eastAsia" w:ascii="宋体" w:hAnsi="宋体" w:eastAsia="宋体"/>
                <w:szCs w:val="21"/>
              </w:rPr>
              <w:t>古典主义时期音乐鉴赏（6课时）</w:t>
            </w:r>
          </w:p>
          <w:p w14:paraId="415F748F">
            <w:pPr>
              <w:spacing w:line="360" w:lineRule="auto"/>
              <w:rPr>
                <w:rFonts w:hint="eastAsia" w:ascii="宋体" w:hAnsi="宋体" w:eastAsia="宋体"/>
                <w:szCs w:val="21"/>
              </w:rPr>
            </w:pPr>
            <w:r>
              <w:rPr>
                <w:rFonts w:hint="eastAsia" w:ascii="宋体" w:hAnsi="宋体" w:eastAsia="宋体"/>
                <w:szCs w:val="21"/>
              </w:rPr>
              <w:t>（4）浪漫主义时期音乐鉴赏（3课时）</w:t>
            </w:r>
          </w:p>
          <w:p w14:paraId="06077528">
            <w:pPr>
              <w:spacing w:line="269" w:lineRule="auto"/>
              <w:jc w:val="left"/>
              <w:rPr>
                <w:rFonts w:hint="eastAsia" w:ascii="宋体" w:hAnsi="宋体" w:eastAsia="宋体" w:cs="Times New Roman"/>
                <w:color w:val="000000"/>
                <w:szCs w:val="21"/>
              </w:rPr>
            </w:pPr>
          </w:p>
        </w:tc>
        <w:tc>
          <w:tcPr>
            <w:tcW w:w="1134" w:type="dxa"/>
            <w:vAlign w:val="center"/>
          </w:tcPr>
          <w:p w14:paraId="672645E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425404CF">
            <w:pPr>
              <w:spacing w:line="360" w:lineRule="auto"/>
              <w:rPr>
                <w:rFonts w:hint="eastAsia" w:ascii="宋体" w:hAnsi="宋体" w:eastAsia="宋体"/>
                <w:szCs w:val="21"/>
              </w:rPr>
            </w:pPr>
            <w:r>
              <w:rPr>
                <w:rFonts w:ascii="宋体" w:hAnsi="宋体" w:eastAsia="宋体"/>
                <w:szCs w:val="21"/>
              </w:rPr>
              <w:t>（1）了解</w:t>
            </w:r>
            <w:r>
              <w:rPr>
                <w:rFonts w:hint="eastAsia" w:ascii="宋体" w:hAnsi="宋体" w:eastAsia="宋体"/>
                <w:szCs w:val="21"/>
              </w:rPr>
              <w:t>乐音的基础属性之——音调（音高）的有关知识</w:t>
            </w:r>
          </w:p>
          <w:p w14:paraId="2C494FE5">
            <w:pPr>
              <w:spacing w:line="360" w:lineRule="auto"/>
              <w:rPr>
                <w:rFonts w:hint="eastAsia" w:ascii="宋体" w:hAnsi="宋体" w:eastAsia="宋体"/>
                <w:szCs w:val="21"/>
              </w:rPr>
            </w:pPr>
            <w:r>
              <w:rPr>
                <w:rFonts w:ascii="宋体" w:hAnsi="宋体" w:eastAsia="宋体"/>
                <w:szCs w:val="21"/>
              </w:rPr>
              <w:t>（2）</w:t>
            </w:r>
            <w:r>
              <w:rPr>
                <w:rFonts w:hint="eastAsia" w:ascii="宋体" w:hAnsi="宋体" w:eastAsia="宋体"/>
                <w:szCs w:val="21"/>
              </w:rPr>
              <w:t>能简单地阅读和应用五线谱和简谱</w:t>
            </w:r>
          </w:p>
          <w:p w14:paraId="138ABDBD">
            <w:pPr>
              <w:spacing w:line="360" w:lineRule="auto"/>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szCs w:val="21"/>
              </w:rPr>
              <w:t>（3）</w:t>
            </w:r>
            <w:r>
              <w:rPr>
                <w:rFonts w:hint="eastAsia" w:ascii="宋体" w:hAnsi="宋体" w:eastAsia="宋体"/>
                <w:szCs w:val="21"/>
              </w:rPr>
              <w:t>了解中外音乐在不同的文化背景下，所演变出的不同调式。</w:t>
            </w:r>
          </w:p>
          <w:p w14:paraId="4C9DC251">
            <w:pPr>
              <w:spacing w:line="269" w:lineRule="auto"/>
              <w:jc w:val="left"/>
              <w:rPr>
                <w:rFonts w:hint="eastAsia" w:ascii="宋体" w:hAnsi="宋体" w:eastAsia="宋体" w:cs="Times New Roman"/>
                <w:color w:val="000000"/>
                <w:szCs w:val="21"/>
              </w:rPr>
            </w:pPr>
          </w:p>
        </w:tc>
        <w:tc>
          <w:tcPr>
            <w:tcW w:w="1560" w:type="dxa"/>
            <w:vAlign w:val="center"/>
          </w:tcPr>
          <w:p w14:paraId="5B348247">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876CA5E">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503E333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7D3EBDB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w:t>
            </w:r>
          </w:p>
        </w:tc>
      </w:tr>
      <w:tr w14:paraId="3386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continue"/>
            <w:vAlign w:val="center"/>
          </w:tcPr>
          <w:p w14:paraId="3B74BA5B">
            <w:pPr>
              <w:spacing w:line="264" w:lineRule="auto"/>
              <w:jc w:val="center"/>
              <w:rPr>
                <w:rFonts w:hint="eastAsia" w:ascii="宋体" w:hAnsi="宋体" w:eastAsia="宋体" w:cs="Times New Roman"/>
                <w:color w:val="000000"/>
                <w:szCs w:val="21"/>
              </w:rPr>
            </w:pPr>
          </w:p>
        </w:tc>
        <w:tc>
          <w:tcPr>
            <w:tcW w:w="8093" w:type="dxa"/>
            <w:gridSpan w:val="5"/>
            <w:vAlign w:val="center"/>
          </w:tcPr>
          <w:p w14:paraId="081E0469">
            <w:pPr>
              <w:spacing w:line="360" w:lineRule="auto"/>
              <w:ind w:firstLine="422"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s="Times New Roman"/>
                <w:color w:val="000000" w:themeColor="text1"/>
                <w:szCs w:val="21"/>
                <w14:textFill>
                  <w14:solidFill>
                    <w14:schemeClr w14:val="tx1"/>
                  </w14:solidFill>
                </w14:textFill>
              </w:rPr>
              <w:t>依法履行教师职责权利</w:t>
            </w:r>
            <w:r>
              <w:rPr>
                <w:rFonts w:hint="eastAsia" w:ascii="宋体" w:hAnsi="宋体" w:eastAsia="宋体" w:cs="Times New Roman"/>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p w14:paraId="029BF15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6E0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restart"/>
            <w:vAlign w:val="center"/>
          </w:tcPr>
          <w:p w14:paraId="3C3D59B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6.中国音乐鉴赏</w:t>
            </w:r>
          </w:p>
        </w:tc>
        <w:tc>
          <w:tcPr>
            <w:tcW w:w="1701" w:type="dxa"/>
            <w:vAlign w:val="center"/>
          </w:tcPr>
          <w:p w14:paraId="18A751D1">
            <w:pPr>
              <w:spacing w:line="360" w:lineRule="auto"/>
              <w:rPr>
                <w:rFonts w:hint="eastAsia" w:ascii="宋体" w:hAnsi="宋体" w:eastAsia="宋体"/>
                <w:szCs w:val="21"/>
              </w:rPr>
            </w:pPr>
            <w:r>
              <w:rPr>
                <w:rFonts w:ascii="宋体" w:hAnsi="宋体" w:eastAsia="宋体"/>
                <w:szCs w:val="21"/>
              </w:rPr>
              <w:t>（1）</w:t>
            </w:r>
            <w:r>
              <w:rPr>
                <w:rFonts w:hint="eastAsia" w:ascii="宋体" w:hAnsi="宋体" w:eastAsia="宋体"/>
                <w:szCs w:val="21"/>
              </w:rPr>
              <w:t>中国音乐的传统调式</w:t>
            </w:r>
          </w:p>
          <w:p w14:paraId="65FA8954">
            <w:pPr>
              <w:spacing w:line="360" w:lineRule="auto"/>
              <w:rPr>
                <w:rFonts w:hint="eastAsia"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民乐的当今发展现状</w:t>
            </w:r>
          </w:p>
          <w:p w14:paraId="57734384">
            <w:pPr>
              <w:spacing w:line="360" w:lineRule="auto"/>
              <w:rPr>
                <w:rFonts w:hint="eastAsia" w:ascii="宋体" w:hAnsi="宋体" w:eastAsia="宋体"/>
                <w:szCs w:val="21"/>
              </w:rPr>
            </w:pPr>
            <w:r>
              <w:rPr>
                <w:rFonts w:hint="eastAsia" w:ascii="宋体" w:hAnsi="宋体" w:eastAsia="宋体"/>
                <w:szCs w:val="21"/>
              </w:rPr>
              <w:t>（3）民乐中的经典作品</w:t>
            </w:r>
          </w:p>
          <w:p w14:paraId="7BF1FD49">
            <w:pPr>
              <w:spacing w:line="360" w:lineRule="auto"/>
              <w:rPr>
                <w:rFonts w:hint="eastAsia" w:ascii="宋体" w:hAnsi="宋体" w:eastAsia="宋体"/>
                <w:szCs w:val="21"/>
              </w:rPr>
            </w:pPr>
            <w:r>
              <w:rPr>
                <w:rFonts w:hint="eastAsia" w:ascii="宋体" w:hAnsi="宋体" w:eastAsia="宋体"/>
                <w:szCs w:val="21"/>
              </w:rPr>
              <w:t>（4）非遗民间音乐艺术形式</w:t>
            </w:r>
          </w:p>
        </w:tc>
        <w:tc>
          <w:tcPr>
            <w:tcW w:w="1134" w:type="dxa"/>
            <w:vAlign w:val="center"/>
          </w:tcPr>
          <w:p w14:paraId="0D8ECDA9">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vAlign w:val="center"/>
          </w:tcPr>
          <w:p w14:paraId="3A7494DA">
            <w:pPr>
              <w:spacing w:line="360" w:lineRule="auto"/>
              <w:jc w:val="left"/>
              <w:rPr>
                <w:rFonts w:hint="eastAsia" w:ascii="宋体" w:hAnsi="宋体" w:eastAsia="宋体"/>
                <w:szCs w:val="21"/>
              </w:rPr>
            </w:pPr>
            <w:r>
              <w:rPr>
                <w:rFonts w:ascii="宋体" w:hAnsi="宋体" w:eastAsia="宋体"/>
                <w:szCs w:val="21"/>
              </w:rPr>
              <w:t>（1）了解</w:t>
            </w:r>
            <w:r>
              <w:rPr>
                <w:rFonts w:hint="eastAsia" w:ascii="宋体" w:hAnsi="宋体" w:eastAsia="宋体"/>
                <w:szCs w:val="21"/>
              </w:rPr>
              <w:t>我国音乐的传统调式</w:t>
            </w:r>
          </w:p>
          <w:p w14:paraId="257F3B79">
            <w:pPr>
              <w:spacing w:line="360" w:lineRule="auto"/>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能简单阅读民乐经典选段的乐谱</w:t>
            </w:r>
          </w:p>
          <w:p w14:paraId="1D19675A">
            <w:pPr>
              <w:spacing w:line="360" w:lineRule="auto"/>
              <w:jc w:val="left"/>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szCs w:val="21"/>
              </w:rPr>
              <w:t>（3）</w:t>
            </w:r>
            <w:r>
              <w:rPr>
                <w:rFonts w:hint="eastAsia" w:ascii="宋体" w:hAnsi="宋体" w:eastAsia="宋体"/>
                <w:szCs w:val="21"/>
              </w:rPr>
              <w:t>了解民乐中最为璀璨辉煌，并被联合国教科文列为为物质文化遗产的民间音乐艺术形式。</w:t>
            </w:r>
          </w:p>
        </w:tc>
        <w:tc>
          <w:tcPr>
            <w:tcW w:w="1560" w:type="dxa"/>
            <w:vAlign w:val="center"/>
          </w:tcPr>
          <w:p w14:paraId="729EABB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4C2EFC1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189485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4AA8C02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p>
        </w:tc>
      </w:tr>
      <w:tr w14:paraId="204A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continue"/>
            <w:vAlign w:val="center"/>
          </w:tcPr>
          <w:p w14:paraId="1BA1FF45">
            <w:pPr>
              <w:spacing w:line="264" w:lineRule="auto"/>
              <w:jc w:val="center"/>
              <w:rPr>
                <w:rFonts w:hint="eastAsia" w:ascii="宋体" w:hAnsi="宋体" w:eastAsia="宋体" w:cs="Times New Roman"/>
                <w:color w:val="000000"/>
                <w:szCs w:val="21"/>
              </w:rPr>
            </w:pPr>
          </w:p>
        </w:tc>
        <w:tc>
          <w:tcPr>
            <w:tcW w:w="8093" w:type="dxa"/>
            <w:gridSpan w:val="5"/>
            <w:vAlign w:val="center"/>
          </w:tcPr>
          <w:p w14:paraId="30CAA90C">
            <w:pPr>
              <w:spacing w:line="360" w:lineRule="auto"/>
              <w:ind w:firstLine="422" w:firstLineChars="200"/>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s="Times New Roman"/>
                <w:color w:val="000000" w:themeColor="text1"/>
                <w:szCs w:val="21"/>
                <w14:textFill>
                  <w14:solidFill>
                    <w14:schemeClr w14:val="tx1"/>
                  </w14:solidFill>
                </w14:textFill>
              </w:rPr>
              <w:t>依法履行教师职责权利</w:t>
            </w:r>
            <w:r>
              <w:rPr>
                <w:rFonts w:hint="eastAsia" w:ascii="宋体" w:hAnsi="宋体" w:eastAsia="宋体" w:cs="Times New Roman"/>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p w14:paraId="69C406ED">
            <w:pPr>
              <w:spacing w:line="269" w:lineRule="auto"/>
              <w:jc w:val="left"/>
              <w:rPr>
                <w:rFonts w:hint="eastAsia" w:ascii="宋体" w:hAnsi="宋体" w:eastAsia="宋体" w:cs="Times New Roman"/>
                <w:color w:val="000000"/>
                <w:szCs w:val="21"/>
              </w:rPr>
            </w:pPr>
          </w:p>
        </w:tc>
      </w:tr>
    </w:tbl>
    <w:p w14:paraId="69656B26">
      <w:pPr>
        <w:spacing w:line="360" w:lineRule="auto"/>
        <w:jc w:val="left"/>
        <w:rPr>
          <w:rFonts w:hint="eastAsia" w:ascii="宋体" w:hAnsi="宋体" w:eastAsia="宋体" w:cs="Times New Roman"/>
          <w:b/>
          <w:color w:val="000000"/>
          <w:sz w:val="24"/>
        </w:rPr>
      </w:pPr>
    </w:p>
    <w:p w14:paraId="72CC7009">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27F3044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0F8E1B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6F7872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4653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710928C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076D4D6E">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7403C39">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90B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93C2FF1">
            <w:pPr>
              <w:spacing w:line="360" w:lineRule="auto"/>
              <w:jc w:val="center"/>
              <w:rPr>
                <w:rFonts w:hint="eastAsia" w:ascii="宋体" w:hAnsi="宋体" w:eastAsia="宋体" w:cs="Times New Roman"/>
                <w:szCs w:val="21"/>
              </w:rPr>
            </w:pPr>
          </w:p>
        </w:tc>
        <w:tc>
          <w:tcPr>
            <w:tcW w:w="0" w:type="auto"/>
            <w:vAlign w:val="center"/>
          </w:tcPr>
          <w:p w14:paraId="15083B52">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77D87B8C">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4708A3FE">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3188241C">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4EDE2209">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3ACC8145">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52881147">
            <w:pPr>
              <w:spacing w:line="360" w:lineRule="auto"/>
              <w:jc w:val="center"/>
              <w:rPr>
                <w:rFonts w:hint="eastAsia" w:ascii="宋体" w:hAnsi="宋体" w:eastAsia="宋体" w:cs="Times New Roman"/>
                <w:szCs w:val="21"/>
              </w:rPr>
            </w:pPr>
          </w:p>
        </w:tc>
      </w:tr>
      <w:tr w14:paraId="5CDD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F645D1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2854DA4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A45DCB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530F79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296AADB">
            <w:pPr>
              <w:spacing w:line="360" w:lineRule="auto"/>
              <w:jc w:val="center"/>
              <w:rPr>
                <w:rFonts w:hint="eastAsia" w:ascii="宋体" w:hAnsi="宋体" w:eastAsia="宋体" w:cs="Times New Roman"/>
                <w:szCs w:val="21"/>
              </w:rPr>
            </w:pPr>
          </w:p>
        </w:tc>
        <w:tc>
          <w:tcPr>
            <w:tcW w:w="0" w:type="auto"/>
            <w:vAlign w:val="center"/>
          </w:tcPr>
          <w:p w14:paraId="69254EF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5753A83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F69E75B">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00E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02159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150336A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7551EC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78A9E45">
            <w:pPr>
              <w:spacing w:line="360" w:lineRule="auto"/>
              <w:jc w:val="center"/>
              <w:rPr>
                <w:rFonts w:hint="eastAsia" w:ascii="宋体" w:hAnsi="宋体" w:eastAsia="宋体" w:cs="Times New Roman"/>
                <w:szCs w:val="21"/>
              </w:rPr>
            </w:pPr>
          </w:p>
        </w:tc>
        <w:tc>
          <w:tcPr>
            <w:tcW w:w="0" w:type="auto"/>
            <w:vAlign w:val="center"/>
          </w:tcPr>
          <w:p w14:paraId="7BE69F1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97165D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6E5D672F">
            <w:pPr>
              <w:spacing w:line="360" w:lineRule="auto"/>
              <w:jc w:val="center"/>
              <w:rPr>
                <w:rFonts w:hint="eastAsia" w:ascii="宋体" w:hAnsi="宋体" w:eastAsia="宋体" w:cs="Times New Roman"/>
                <w:szCs w:val="21"/>
              </w:rPr>
            </w:pPr>
          </w:p>
        </w:tc>
        <w:tc>
          <w:tcPr>
            <w:tcW w:w="0" w:type="auto"/>
            <w:vAlign w:val="center"/>
          </w:tcPr>
          <w:p w14:paraId="104C741B">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7253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934968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317FC0E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D17AA5F">
            <w:pPr>
              <w:spacing w:line="360" w:lineRule="auto"/>
              <w:jc w:val="center"/>
              <w:rPr>
                <w:rFonts w:hint="eastAsia" w:ascii="宋体" w:hAnsi="宋体" w:eastAsia="宋体" w:cs="Times New Roman"/>
                <w:szCs w:val="21"/>
              </w:rPr>
            </w:pPr>
          </w:p>
        </w:tc>
        <w:tc>
          <w:tcPr>
            <w:tcW w:w="0" w:type="auto"/>
            <w:vAlign w:val="center"/>
          </w:tcPr>
          <w:p w14:paraId="5FEFB32F">
            <w:pPr>
              <w:spacing w:line="360" w:lineRule="auto"/>
              <w:jc w:val="center"/>
              <w:rPr>
                <w:rFonts w:hint="eastAsia" w:ascii="宋体" w:hAnsi="宋体" w:eastAsia="宋体" w:cs="Times New Roman"/>
                <w:szCs w:val="21"/>
              </w:rPr>
            </w:pPr>
          </w:p>
        </w:tc>
        <w:tc>
          <w:tcPr>
            <w:tcW w:w="0" w:type="auto"/>
            <w:vAlign w:val="center"/>
          </w:tcPr>
          <w:p w14:paraId="09BA0684">
            <w:pPr>
              <w:spacing w:line="360" w:lineRule="auto"/>
              <w:jc w:val="center"/>
              <w:rPr>
                <w:rFonts w:hint="eastAsia" w:ascii="宋体" w:hAnsi="宋体" w:eastAsia="宋体" w:cs="Times New Roman"/>
                <w:szCs w:val="21"/>
              </w:rPr>
            </w:pPr>
          </w:p>
        </w:tc>
        <w:tc>
          <w:tcPr>
            <w:tcW w:w="0" w:type="auto"/>
            <w:vAlign w:val="center"/>
          </w:tcPr>
          <w:p w14:paraId="4098B3C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3D3560C9">
            <w:pPr>
              <w:spacing w:line="360" w:lineRule="auto"/>
              <w:jc w:val="center"/>
              <w:rPr>
                <w:rFonts w:hint="eastAsia" w:ascii="宋体" w:hAnsi="宋体" w:eastAsia="宋体" w:cs="Times New Roman"/>
                <w:szCs w:val="21"/>
              </w:rPr>
            </w:pPr>
          </w:p>
        </w:tc>
        <w:tc>
          <w:tcPr>
            <w:tcW w:w="0" w:type="auto"/>
            <w:vAlign w:val="center"/>
          </w:tcPr>
          <w:p w14:paraId="43CEDF27">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974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095FC6D">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6501A901">
            <w:pPr>
              <w:spacing w:line="360" w:lineRule="auto"/>
              <w:jc w:val="center"/>
              <w:rPr>
                <w:rFonts w:hint="eastAsia" w:ascii="宋体" w:hAnsi="宋体" w:eastAsia="宋体" w:cs="Times New Roman"/>
                <w:szCs w:val="21"/>
              </w:rPr>
            </w:pPr>
          </w:p>
        </w:tc>
        <w:tc>
          <w:tcPr>
            <w:tcW w:w="0" w:type="auto"/>
            <w:vAlign w:val="center"/>
          </w:tcPr>
          <w:p w14:paraId="0BBD692D">
            <w:pPr>
              <w:spacing w:line="360" w:lineRule="auto"/>
              <w:jc w:val="center"/>
              <w:rPr>
                <w:rFonts w:hint="eastAsia" w:ascii="宋体" w:hAnsi="宋体" w:eastAsia="宋体" w:cs="Times New Roman"/>
                <w:szCs w:val="21"/>
              </w:rPr>
            </w:pPr>
          </w:p>
        </w:tc>
        <w:tc>
          <w:tcPr>
            <w:tcW w:w="0" w:type="auto"/>
            <w:vAlign w:val="center"/>
          </w:tcPr>
          <w:p w14:paraId="7C78A6B4">
            <w:pPr>
              <w:spacing w:line="360" w:lineRule="auto"/>
              <w:jc w:val="center"/>
              <w:rPr>
                <w:rFonts w:hint="eastAsia" w:ascii="宋体" w:hAnsi="宋体" w:eastAsia="宋体" w:cs="Times New Roman"/>
                <w:szCs w:val="21"/>
              </w:rPr>
            </w:pPr>
          </w:p>
        </w:tc>
        <w:tc>
          <w:tcPr>
            <w:tcW w:w="0" w:type="auto"/>
            <w:vAlign w:val="center"/>
          </w:tcPr>
          <w:p w14:paraId="3BA052E8">
            <w:pPr>
              <w:spacing w:line="360" w:lineRule="auto"/>
              <w:jc w:val="center"/>
              <w:rPr>
                <w:rFonts w:hint="eastAsia" w:ascii="宋体" w:hAnsi="宋体" w:eastAsia="宋体" w:cs="Times New Roman"/>
                <w:szCs w:val="21"/>
              </w:rPr>
            </w:pPr>
          </w:p>
        </w:tc>
        <w:tc>
          <w:tcPr>
            <w:tcW w:w="0" w:type="auto"/>
            <w:vAlign w:val="center"/>
          </w:tcPr>
          <w:p w14:paraId="10997084">
            <w:pPr>
              <w:spacing w:line="360" w:lineRule="auto"/>
              <w:jc w:val="center"/>
              <w:rPr>
                <w:rFonts w:hint="eastAsia" w:ascii="宋体" w:hAnsi="宋体" w:eastAsia="宋体" w:cs="Times New Roman"/>
                <w:szCs w:val="21"/>
              </w:rPr>
            </w:pPr>
          </w:p>
        </w:tc>
        <w:tc>
          <w:tcPr>
            <w:tcW w:w="0" w:type="auto"/>
          </w:tcPr>
          <w:p w14:paraId="697E3072">
            <w:pPr>
              <w:spacing w:line="360" w:lineRule="auto"/>
              <w:jc w:val="center"/>
              <w:rPr>
                <w:rFonts w:hint="eastAsia" w:ascii="宋体" w:hAnsi="宋体" w:eastAsia="宋体" w:cs="Times New Roman"/>
                <w:szCs w:val="21"/>
              </w:rPr>
            </w:pPr>
          </w:p>
        </w:tc>
        <w:tc>
          <w:tcPr>
            <w:tcW w:w="0" w:type="auto"/>
            <w:vAlign w:val="center"/>
          </w:tcPr>
          <w:p w14:paraId="291583F8">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835025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4A7633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496749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B46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02F05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ACAF14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697092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A4C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0A61A21">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F4526B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5次，一为读书笔记，学期初即提供阅读书目，要求每位学生至少选择一本认真阅读并作读书笔记，读书笔记完成情况将作为评分的主要依据。二为四次整理提纲，全面认真梳理课上所学内容（基础乐理知识、鉴赏部分的相关知识点）</w:t>
            </w:r>
          </w:p>
        </w:tc>
        <w:tc>
          <w:tcPr>
            <w:tcW w:w="0" w:type="auto"/>
            <w:vAlign w:val="center"/>
          </w:tcPr>
          <w:p w14:paraId="1AEC6786">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BF3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A7B3E5F">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514AA70">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44DB620E">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2F4D84F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763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6E538B">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3E87EEBC">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每单元在线下进行测验（课内实践），主要考查基础知识和基本理论的掌握，以题目的正确率为得分依据。</w:t>
            </w:r>
          </w:p>
        </w:tc>
        <w:tc>
          <w:tcPr>
            <w:tcW w:w="0" w:type="auto"/>
            <w:vAlign w:val="center"/>
          </w:tcPr>
          <w:p w14:paraId="7FDE8A1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E95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6FCB04">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00CC4601">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课前5分钟左右，每位同学评说音乐时事、音乐史中的重大事件或音乐教育现象等，以学生表达的流程性、逻辑性和分析的深度为评分的主要依据。</w:t>
            </w:r>
          </w:p>
        </w:tc>
        <w:tc>
          <w:tcPr>
            <w:tcW w:w="0" w:type="auto"/>
            <w:vAlign w:val="center"/>
          </w:tcPr>
          <w:p w14:paraId="37A636E8">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885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CAC3FDB">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371A993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12739E1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FC7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F0D0C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686BF1C">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4A5E53F6">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2F24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2E09AB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D9BA577">
            <w:pPr>
              <w:jc w:val="left"/>
              <w:rPr>
                <w:rFonts w:ascii="Times New Roman" w:hAnsi="Times New Roman" w:eastAsia="宋体" w:cs="Times New Roman"/>
                <w:szCs w:val="21"/>
              </w:rPr>
            </w:pPr>
          </w:p>
        </w:tc>
        <w:tc>
          <w:tcPr>
            <w:tcW w:w="0" w:type="auto"/>
            <w:vAlign w:val="center"/>
          </w:tcPr>
          <w:p w14:paraId="272770F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98A57C8">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B565C6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B24104B">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drawing>
          <wp:inline distT="0" distB="0" distL="0" distR="0">
            <wp:extent cx="5138420" cy="320040"/>
            <wp:effectExtent l="0" t="0" r="0" b="3175"/>
            <wp:docPr id="1" name="_x0000_i1025"/>
            <wp:cNvGraphicFramePr/>
            <a:graphic xmlns:a="http://schemas.openxmlformats.org/drawingml/2006/main">
              <a:graphicData uri="http://schemas.openxmlformats.org/drawingml/2006/picture">
                <pic:pic xmlns:pic="http://schemas.openxmlformats.org/drawingml/2006/picture">
                  <pic:nvPicPr>
                    <pic:cNvPr id="1" name="_x0000_i1025"/>
                    <pic:cNvPicPr/>
                  </pic:nvPicPr>
                  <pic:blipFill>
                    <a:blip r:embed="rId5"/>
                    <a:stretch>
                      <a:fillRect/>
                    </a:stretch>
                  </pic:blipFill>
                  <pic:spPr>
                    <a:xfrm>
                      <a:off x="0" y="0"/>
                      <a:ext cx="5138420" cy="320040"/>
                    </a:xfrm>
                    <a:prstGeom prst="rect">
                      <a:avLst/>
                    </a:prstGeom>
                  </pic:spPr>
                </pic:pic>
              </a:graphicData>
            </a:graphic>
          </wp:inline>
        </w:drawing>
      </w:r>
    </w:p>
    <w:p w14:paraId="3191F985">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481E28ED">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4814DC1F">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E5C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34D6ACD">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C0716A3">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26FC2EBA">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3399624C">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4AB1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AC22872">
            <w:pPr>
              <w:spacing w:line="276" w:lineRule="auto"/>
              <w:jc w:val="left"/>
              <w:rPr>
                <w:rFonts w:hint="eastAsia" w:ascii="宋体" w:hAnsi="宋体" w:eastAsia="宋体" w:cs="宋体"/>
                <w:szCs w:val="21"/>
              </w:rPr>
            </w:pPr>
            <w:r>
              <w:rPr>
                <w:rFonts w:hint="eastAsia" w:ascii="宋体" w:hAnsi="宋体" w:eastAsia="宋体" w:cs="宋体"/>
                <w:szCs w:val="21"/>
              </w:rPr>
              <w:t>音乐匠人精神</w:t>
            </w:r>
          </w:p>
        </w:tc>
        <w:tc>
          <w:tcPr>
            <w:tcW w:w="3407" w:type="dxa"/>
            <w:vAlign w:val="center"/>
          </w:tcPr>
          <w:p w14:paraId="35969D2B">
            <w:pPr>
              <w:spacing w:line="276" w:lineRule="auto"/>
              <w:jc w:val="left"/>
              <w:rPr>
                <w:rFonts w:hint="eastAsia" w:ascii="宋体" w:hAnsi="宋体" w:eastAsia="宋体" w:cs="宋体"/>
                <w:szCs w:val="21"/>
              </w:rPr>
            </w:pPr>
            <w:r>
              <w:rPr>
                <w:rFonts w:hint="eastAsia" w:ascii="宋体" w:hAnsi="宋体" w:eastAsia="宋体" w:cs="宋体"/>
                <w:szCs w:val="21"/>
              </w:rPr>
              <w:t>通过阅读相关书籍或讲述国内外音乐家、音乐教育家的故事，进行课堂主题讨论，让学生领会艺术以及艺术教育中所展现的匠人精神</w:t>
            </w:r>
          </w:p>
        </w:tc>
        <w:tc>
          <w:tcPr>
            <w:tcW w:w="740" w:type="dxa"/>
            <w:vAlign w:val="center"/>
          </w:tcPr>
          <w:p w14:paraId="6E1848D8">
            <w:pPr>
              <w:spacing w:line="276" w:lineRule="auto"/>
              <w:jc w:val="center"/>
              <w:rPr>
                <w:rFonts w:hint="eastAsia" w:ascii="宋体" w:hAnsi="宋体" w:eastAsia="宋体" w:cs="宋体"/>
                <w:szCs w:val="21"/>
              </w:rPr>
            </w:pPr>
            <w:r>
              <w:rPr>
                <w:rFonts w:hint="eastAsia" w:ascii="宋体" w:hAnsi="宋体" w:eastAsia="宋体" w:cs="宋体"/>
                <w:szCs w:val="21"/>
              </w:rPr>
              <w:t>读书笔记</w:t>
            </w:r>
          </w:p>
        </w:tc>
        <w:tc>
          <w:tcPr>
            <w:tcW w:w="3160" w:type="dxa"/>
            <w:vAlign w:val="center"/>
          </w:tcPr>
          <w:p w14:paraId="34AF7896">
            <w:pPr>
              <w:spacing w:line="276" w:lineRule="auto"/>
              <w:jc w:val="left"/>
              <w:rPr>
                <w:rFonts w:hint="eastAsia" w:ascii="宋体" w:hAnsi="宋体" w:eastAsia="宋体" w:cs="宋体"/>
                <w:szCs w:val="21"/>
              </w:rPr>
            </w:pPr>
            <w:r>
              <w:rPr>
                <w:rFonts w:hint="eastAsia" w:ascii="宋体" w:hAnsi="宋体" w:eastAsia="宋体" w:cs="宋体"/>
                <w:szCs w:val="21"/>
              </w:rPr>
              <w:t>通过对教育家精神的领会，使学立志成为有理想信念、有道德情操、有扎实学识、有仁爱之心的“四有”好老师。</w:t>
            </w:r>
          </w:p>
        </w:tc>
      </w:tr>
      <w:tr w14:paraId="5AE8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24B36259">
            <w:pPr>
              <w:spacing w:line="276" w:lineRule="auto"/>
              <w:jc w:val="left"/>
              <w:rPr>
                <w:rFonts w:hint="eastAsia" w:ascii="宋体" w:hAnsi="宋体" w:eastAsia="宋体" w:cs="宋体"/>
                <w:szCs w:val="21"/>
              </w:rPr>
            </w:pPr>
            <w:r>
              <w:rPr>
                <w:rFonts w:hint="eastAsia" w:ascii="宋体" w:hAnsi="宋体" w:eastAsia="宋体" w:cs="宋体"/>
                <w:szCs w:val="21"/>
              </w:rPr>
              <w:t>最美教师或师德模范进课堂</w:t>
            </w:r>
          </w:p>
        </w:tc>
        <w:tc>
          <w:tcPr>
            <w:tcW w:w="3407" w:type="dxa"/>
            <w:vAlign w:val="center"/>
          </w:tcPr>
          <w:p w14:paraId="10D0C0BC">
            <w:pPr>
              <w:spacing w:line="276" w:lineRule="auto"/>
              <w:jc w:val="left"/>
              <w:rPr>
                <w:rFonts w:hint="eastAsia" w:ascii="宋体" w:hAnsi="宋体" w:eastAsia="宋体" w:cs="宋体"/>
                <w:szCs w:val="21"/>
              </w:rPr>
            </w:pPr>
            <w:r>
              <w:rPr>
                <w:rFonts w:hint="eastAsia" w:ascii="宋体" w:hAnsi="宋体" w:eastAsia="宋体" w:cs="宋体"/>
                <w:szCs w:val="21"/>
              </w:rPr>
              <w:t>邀请当地获得最美教师、师德模范等荣誉称号的教师做报告，让学生进一步认识基础一线优秀教师的优秀事迹并向他们学习。</w:t>
            </w:r>
          </w:p>
        </w:tc>
        <w:tc>
          <w:tcPr>
            <w:tcW w:w="740" w:type="dxa"/>
            <w:vAlign w:val="center"/>
          </w:tcPr>
          <w:p w14:paraId="337E9BF4">
            <w:pPr>
              <w:spacing w:line="276" w:lineRule="auto"/>
              <w:jc w:val="center"/>
              <w:rPr>
                <w:rFonts w:hint="eastAsia" w:ascii="宋体" w:hAnsi="宋体" w:eastAsia="宋体" w:cs="宋体"/>
                <w:szCs w:val="21"/>
              </w:rPr>
            </w:pPr>
            <w:r>
              <w:rPr>
                <w:rFonts w:hint="eastAsia" w:ascii="宋体" w:hAnsi="宋体" w:eastAsia="宋体" w:cs="宋体"/>
                <w:szCs w:val="21"/>
              </w:rPr>
              <w:t>专题报告</w:t>
            </w:r>
          </w:p>
        </w:tc>
        <w:tc>
          <w:tcPr>
            <w:tcW w:w="3160" w:type="dxa"/>
            <w:vAlign w:val="center"/>
          </w:tcPr>
          <w:p w14:paraId="1B31A733">
            <w:pPr>
              <w:spacing w:line="276" w:lineRule="auto"/>
              <w:jc w:val="left"/>
              <w:rPr>
                <w:rFonts w:hint="eastAsia" w:ascii="宋体" w:hAnsi="宋体" w:eastAsia="宋体" w:cs="宋体"/>
                <w:szCs w:val="21"/>
              </w:rPr>
            </w:pPr>
            <w:r>
              <w:rPr>
                <w:rFonts w:hint="eastAsia" w:ascii="宋体" w:hAnsi="宋体" w:eastAsia="宋体" w:cs="宋体"/>
                <w:szCs w:val="21"/>
              </w:rPr>
              <w:t>用榜样的力量激发学生爱岗敬业、立志成为卓越教师，为党和国家的发展做出贡献。</w:t>
            </w:r>
          </w:p>
        </w:tc>
      </w:tr>
      <w:tr w14:paraId="4B81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4771021">
            <w:pPr>
              <w:spacing w:line="276" w:lineRule="auto"/>
              <w:jc w:val="left"/>
              <w:rPr>
                <w:rFonts w:hint="eastAsia" w:ascii="宋体" w:hAnsi="宋体" w:eastAsia="宋体" w:cs="宋体"/>
                <w:szCs w:val="21"/>
              </w:rPr>
            </w:pPr>
            <w:r>
              <w:rPr>
                <w:rFonts w:hint="eastAsia" w:ascii="宋体" w:hAnsi="宋体" w:eastAsia="宋体" w:cs="宋体"/>
                <w:szCs w:val="21"/>
              </w:rPr>
              <w:t>寻找最感动我的音乐作品</w:t>
            </w:r>
          </w:p>
        </w:tc>
        <w:tc>
          <w:tcPr>
            <w:tcW w:w="3407" w:type="dxa"/>
            <w:vAlign w:val="center"/>
          </w:tcPr>
          <w:p w14:paraId="36B28187">
            <w:pPr>
              <w:spacing w:line="276" w:lineRule="auto"/>
              <w:jc w:val="left"/>
              <w:rPr>
                <w:rFonts w:hint="eastAsia" w:ascii="宋体" w:hAnsi="宋体" w:eastAsia="宋体" w:cs="宋体"/>
                <w:szCs w:val="21"/>
              </w:rPr>
            </w:pPr>
            <w:r>
              <w:rPr>
                <w:rFonts w:hint="eastAsia" w:ascii="宋体" w:hAnsi="宋体" w:eastAsia="宋体" w:cs="宋体"/>
                <w:szCs w:val="21"/>
              </w:rPr>
              <w:t>利用假期，让学生访谈自己听后最感动自己的音乐作品，在调查中加强对艺术所具备的美育教育属性、人文素养属性的任职</w:t>
            </w:r>
          </w:p>
        </w:tc>
        <w:tc>
          <w:tcPr>
            <w:tcW w:w="740" w:type="dxa"/>
            <w:vAlign w:val="center"/>
          </w:tcPr>
          <w:p w14:paraId="791FF314">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59BD3AB4">
            <w:pPr>
              <w:spacing w:line="276" w:lineRule="auto"/>
              <w:jc w:val="left"/>
              <w:rPr>
                <w:rFonts w:hint="eastAsia" w:ascii="宋体" w:hAnsi="宋体" w:eastAsia="宋体" w:cs="宋体"/>
                <w:szCs w:val="21"/>
              </w:rPr>
            </w:pPr>
            <w:r>
              <w:rPr>
                <w:rFonts w:hint="eastAsia" w:ascii="宋体" w:hAnsi="宋体" w:eastAsia="宋体" w:cs="宋体"/>
                <w:szCs w:val="21"/>
              </w:rPr>
              <w:t>提高学生对教师职业特性的认识，增强学生从教意愿、责任感、使命感和职业荣耀感， 愿意为党和国家的教育事业奉献终身。</w:t>
            </w:r>
          </w:p>
        </w:tc>
      </w:tr>
      <w:tr w14:paraId="09FB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52D64800">
            <w:pPr>
              <w:spacing w:line="276" w:lineRule="auto"/>
              <w:jc w:val="left"/>
              <w:rPr>
                <w:rFonts w:hint="eastAsia" w:ascii="宋体" w:hAnsi="宋体" w:eastAsia="宋体" w:cs="宋体"/>
                <w:szCs w:val="21"/>
              </w:rPr>
            </w:pPr>
            <w:r>
              <w:rPr>
                <w:rFonts w:hint="eastAsia" w:ascii="宋体" w:hAnsi="宋体" w:eastAsia="宋体" w:cs="宋体"/>
                <w:szCs w:val="21"/>
              </w:rPr>
              <w:t>师范生从教宣誓</w:t>
            </w:r>
          </w:p>
        </w:tc>
        <w:tc>
          <w:tcPr>
            <w:tcW w:w="3407" w:type="dxa"/>
            <w:vAlign w:val="center"/>
          </w:tcPr>
          <w:p w14:paraId="0194FFE5">
            <w:pPr>
              <w:spacing w:line="276" w:lineRule="auto"/>
              <w:jc w:val="left"/>
              <w:rPr>
                <w:rFonts w:hint="eastAsia" w:ascii="宋体" w:hAnsi="宋体" w:eastAsia="宋体" w:cs="宋体"/>
                <w:szCs w:val="21"/>
              </w:rPr>
            </w:pPr>
            <w:r>
              <w:rPr>
                <w:rFonts w:hint="eastAsia" w:ascii="宋体" w:hAnsi="宋体" w:eastAsia="宋体" w:cs="宋体"/>
                <w:szCs w:val="21"/>
              </w:rPr>
              <w:t>学期末，结合课程中的所思、所感、和所得 ，以活动展示的新式进行从教宣誓活动。</w:t>
            </w:r>
          </w:p>
        </w:tc>
        <w:tc>
          <w:tcPr>
            <w:tcW w:w="740" w:type="dxa"/>
            <w:vAlign w:val="center"/>
          </w:tcPr>
          <w:p w14:paraId="4C29AA24">
            <w:pPr>
              <w:spacing w:line="276" w:lineRule="auto"/>
              <w:jc w:val="center"/>
              <w:rPr>
                <w:rFonts w:hint="eastAsia" w:ascii="宋体" w:hAnsi="宋体" w:eastAsia="宋体" w:cs="宋体"/>
                <w:szCs w:val="21"/>
              </w:rPr>
            </w:pPr>
            <w:r>
              <w:rPr>
                <w:rFonts w:hint="eastAsia" w:ascii="宋体" w:hAnsi="宋体" w:eastAsia="宋体" w:cs="宋体"/>
                <w:szCs w:val="21"/>
              </w:rPr>
              <w:t>第二课堂</w:t>
            </w:r>
          </w:p>
        </w:tc>
        <w:tc>
          <w:tcPr>
            <w:tcW w:w="3160" w:type="dxa"/>
            <w:vAlign w:val="center"/>
          </w:tcPr>
          <w:p w14:paraId="7570F886">
            <w:pPr>
              <w:spacing w:line="276" w:lineRule="auto"/>
              <w:jc w:val="left"/>
              <w:rPr>
                <w:rFonts w:hint="eastAsia" w:ascii="宋体" w:hAnsi="宋体" w:eastAsia="宋体" w:cs="宋体"/>
                <w:szCs w:val="21"/>
              </w:rPr>
            </w:pPr>
            <w:r>
              <w:rPr>
                <w:rFonts w:hint="eastAsia" w:ascii="宋体" w:hAnsi="宋体" w:eastAsia="宋体" w:cs="宋体"/>
                <w:szCs w:val="21"/>
              </w:rPr>
              <w:t>用庄严的意识，增强学生从教的意愿，以及成为人民教师的荣耀感、责任感和使命感。</w:t>
            </w:r>
          </w:p>
        </w:tc>
      </w:tr>
    </w:tbl>
    <w:p w14:paraId="027A3CEC">
      <w:pPr>
        <w:spacing w:line="360" w:lineRule="auto"/>
        <w:ind w:firstLine="551" w:firstLineChars="196"/>
        <w:jc w:val="left"/>
        <w:rPr>
          <w:rFonts w:hint="eastAsia" w:ascii="宋体" w:hAnsi="宋体" w:eastAsia="宋体" w:cs="Times New Roman"/>
          <w:b/>
          <w:color w:val="000000"/>
          <w:sz w:val="28"/>
          <w:szCs w:val="28"/>
        </w:rPr>
      </w:pPr>
    </w:p>
    <w:p w14:paraId="267FEAA0">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1458BB2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2B103BB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28CF4A40">
      <w:pPr>
        <w:spacing w:line="360" w:lineRule="auto"/>
        <w:jc w:val="left"/>
        <w:rPr>
          <w:rFonts w:ascii="Times New Roman" w:hAnsi="Times New Roman" w:eastAsia="宋体" w:cs="Times New Roman"/>
          <w:b/>
          <w:szCs w:val="21"/>
        </w:rPr>
      </w:pPr>
    </w:p>
    <w:p w14:paraId="3360354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0CE85E81">
      <w:pPr>
        <w:spacing w:line="360" w:lineRule="auto"/>
        <w:jc w:val="left"/>
        <w:rPr>
          <w:rFonts w:hint="eastAsia" w:ascii="宋体" w:hAnsi="宋体" w:eastAsia="宋体"/>
          <w:szCs w:val="21"/>
        </w:rPr>
      </w:pPr>
      <w:r>
        <w:rPr>
          <w:rFonts w:ascii="宋体" w:hAnsi="宋体" w:eastAsia="宋体"/>
          <w:szCs w:val="21"/>
        </w:rPr>
        <w:t>《</w:t>
      </w:r>
      <w:r>
        <w:rPr>
          <w:rFonts w:hint="eastAsia" w:ascii="宋体" w:hAnsi="宋体" w:eastAsia="宋体"/>
          <w:szCs w:val="21"/>
        </w:rPr>
        <w:t>音乐基础理论与欣赏</w:t>
      </w:r>
      <w:r>
        <w:rPr>
          <w:rFonts w:ascii="宋体" w:hAnsi="宋体" w:eastAsia="宋体"/>
          <w:szCs w:val="21"/>
        </w:rPr>
        <w:t>》，</w:t>
      </w:r>
      <w:r>
        <w:rPr>
          <w:rFonts w:hint="eastAsia" w:ascii="宋体" w:hAnsi="宋体" w:eastAsia="宋体"/>
          <w:szCs w:val="21"/>
        </w:rPr>
        <w:t>于芳、蔡霞著</w:t>
      </w:r>
      <w:r>
        <w:rPr>
          <w:rFonts w:ascii="宋体" w:hAnsi="宋体" w:eastAsia="宋体"/>
          <w:szCs w:val="21"/>
        </w:rPr>
        <w:t>，</w:t>
      </w:r>
      <w:r>
        <w:rPr>
          <w:rFonts w:hint="eastAsia" w:ascii="宋体" w:hAnsi="宋体" w:eastAsia="宋体"/>
          <w:szCs w:val="21"/>
        </w:rPr>
        <w:t>北京师范大学</w:t>
      </w:r>
      <w:r>
        <w:rPr>
          <w:rFonts w:ascii="宋体" w:hAnsi="宋体" w:eastAsia="宋体"/>
          <w:szCs w:val="21"/>
        </w:rPr>
        <w:t>出版社</w:t>
      </w:r>
      <w:r>
        <w:rPr>
          <w:rFonts w:hint="eastAsia" w:ascii="宋体" w:hAnsi="宋体" w:eastAsia="宋体"/>
          <w:szCs w:val="21"/>
        </w:rPr>
        <w:t>。</w:t>
      </w:r>
    </w:p>
    <w:p w14:paraId="497E247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749225A">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1.王道俊、王汉澜</w:t>
      </w:r>
      <w:r>
        <w:rPr>
          <w:rFonts w:ascii="Times New Roman" w:hAnsi="Times New Roman" w:eastAsia="宋体" w:cs="Times New Roman"/>
          <w:bCs/>
          <w:color w:val="000000"/>
          <w:szCs w:val="21"/>
        </w:rPr>
        <w:t>. 教育学. 北京：人民教育出版社，1989.</w:t>
      </w:r>
    </w:p>
    <w:p w14:paraId="1BB7909E">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2.黄济、王策三</w:t>
      </w:r>
      <w:r>
        <w:rPr>
          <w:rFonts w:ascii="Times New Roman" w:hAnsi="Times New Roman" w:eastAsia="宋体" w:cs="Times New Roman"/>
          <w:bCs/>
          <w:color w:val="000000"/>
          <w:szCs w:val="21"/>
        </w:rPr>
        <w:t>. 现代教育论. 北京人民教育出版社，2004.</w:t>
      </w:r>
    </w:p>
    <w:p w14:paraId="6C33C088">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3.贾馥茗. 教育的本质：什么是真正的教育</w:t>
      </w:r>
      <w:r>
        <w:rPr>
          <w:rFonts w:ascii="Times New Roman" w:hAnsi="Times New Roman" w:eastAsia="宋体" w:cs="Times New Roman"/>
          <w:bCs/>
          <w:color w:val="000000"/>
          <w:szCs w:val="21"/>
        </w:rPr>
        <w:t>. 北京：世界图书出版公司北京公司，2006</w:t>
      </w:r>
      <w:r>
        <w:rPr>
          <w:rFonts w:hint="eastAsia" w:ascii="Times New Roman" w:hAnsi="Times New Roman" w:eastAsia="宋体" w:cs="Times New Roman"/>
          <w:bCs/>
          <w:color w:val="000000"/>
          <w:szCs w:val="21"/>
        </w:rPr>
        <w:t>.</w:t>
      </w:r>
    </w:p>
    <w:p w14:paraId="186E1805">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4.胡郁青、赵玲. 中国音乐史</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西南大学出版社，2022年.</w:t>
      </w:r>
    </w:p>
    <w:p w14:paraId="529C3FF9"/>
    <w:p w14:paraId="4F4F0A39"/>
    <w:p w14:paraId="26481396"/>
    <w:p w14:paraId="36242408"/>
    <w:p w14:paraId="238705C6"/>
    <w:p w14:paraId="0DF53F9F">
      <w:pPr>
        <w:spacing w:line="360" w:lineRule="auto"/>
        <w:ind w:right="1920"/>
        <w:jc w:val="right"/>
        <w:rPr>
          <w:rFonts w:ascii="Times New Roman" w:hAnsi="Times New Roman" w:eastAsia="宋体" w:cs="Times New Roman"/>
          <w:sz w:val="24"/>
        </w:rPr>
      </w:pPr>
      <w:r>
        <w:rPr>
          <w:rFonts w:hint="eastAsia" w:ascii="Times New Roman" w:hAnsi="Times New Roman" w:eastAsia="宋体" w:cs="Times New Roman"/>
          <w:sz w:val="24"/>
        </w:rPr>
        <w:t>执 笔 人：姚雨豪</w:t>
      </w:r>
    </w:p>
    <w:p w14:paraId="14965D34">
      <w:pPr>
        <w:wordWrap w:val="0"/>
        <w:spacing w:line="360" w:lineRule="auto"/>
        <w:ind w:right="2400"/>
        <w:jc w:val="right"/>
        <w:rPr>
          <w:rFonts w:ascii="Times New Roman" w:hAnsi="Times New Roman" w:eastAsia="宋体" w:cs="Times New Roman"/>
          <w:sz w:val="24"/>
        </w:rPr>
      </w:pPr>
      <w:r>
        <w:rPr>
          <w:rFonts w:hint="eastAsia" w:ascii="Times New Roman" w:hAnsi="Times New Roman" w:eastAsia="宋体" w:cs="Times New Roman"/>
          <w:sz w:val="24"/>
        </w:rPr>
        <w:t>审 定 人：</w:t>
      </w:r>
    </w:p>
    <w:p w14:paraId="67824E55">
      <w:pPr>
        <w:spacing w:line="360" w:lineRule="auto"/>
        <w:ind w:right="1680"/>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杨丽莉</w:t>
      </w:r>
    </w:p>
    <w:p w14:paraId="0D0406CC">
      <w:pPr>
        <w:spacing w:line="360" w:lineRule="auto"/>
        <w:ind w:right="480"/>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6E857382">
      <w:r>
        <w:rPr>
          <w:rFonts w:hint="eastAsia"/>
        </w:rPr>
        <w:br w:type="page"/>
      </w:r>
    </w:p>
    <w:p w14:paraId="10AD334C">
      <w:pPr>
        <w:pStyle w:val="2"/>
        <w:tabs>
          <w:tab w:val="left" w:pos="720"/>
          <w:tab w:val="left" w:pos="2700"/>
        </w:tabs>
      </w:pPr>
      <w:bookmarkStart w:id="237" w:name="_Toc11195"/>
      <w:r>
        <w:rPr>
          <w:rFonts w:hint="eastAsia"/>
        </w:rPr>
        <w:t>《小学科学课程与教学论》课程教学大纲</w:t>
      </w:r>
      <w:bookmarkEnd w:id="235"/>
      <w:bookmarkEnd w:id="237"/>
    </w:p>
    <w:p w14:paraId="5F95A1D4">
      <w:pPr>
        <w:spacing w:line="360" w:lineRule="auto"/>
        <w:jc w:val="center"/>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w:t>
      </w:r>
      <w:r>
        <w:rPr>
          <w:rFonts w:ascii="Times New Roman" w:hAnsi="Times New Roman" w:eastAsia="宋体" w:cs="Times New Roman"/>
          <w:b/>
          <w:sz w:val="24"/>
          <w:szCs w:val="28"/>
        </w:rPr>
        <w:t>The Theory of Curriculum and Instruction in Primary School Science</w:t>
      </w:r>
      <w:r>
        <w:rPr>
          <w:rFonts w:hint="eastAsia" w:ascii="Times New Roman" w:hAnsi="Times New Roman" w:eastAsia="宋体" w:cs="Times New Roman"/>
          <w:b/>
          <w:bCs/>
          <w:sz w:val="24"/>
          <w:szCs w:val="28"/>
        </w:rPr>
        <w:t>）</w:t>
      </w:r>
    </w:p>
    <w:p w14:paraId="0A6E3D34">
      <w:pPr>
        <w:spacing w:line="360" w:lineRule="auto"/>
        <w:jc w:val="center"/>
        <w:rPr>
          <w:rFonts w:ascii="Times New Roman" w:hAnsi="Times New Roman" w:eastAsia="宋体" w:cs="Times New Roman"/>
          <w:bCs/>
          <w:sz w:val="30"/>
          <w:szCs w:val="30"/>
        </w:rPr>
      </w:pPr>
    </w:p>
    <w:p w14:paraId="422E98AE">
      <w:pPr>
        <w:spacing w:line="360" w:lineRule="auto"/>
        <w:ind w:firstLine="482" w:firstLineChars="200"/>
        <w:jc w:val="left"/>
        <w:rPr>
          <w:rFonts w:ascii="Times New Roman" w:hAnsi="Times New Roman" w:eastAsia="宋体" w:cs="Times New Roman"/>
          <w:bCs/>
          <w:sz w:val="24"/>
        </w:rPr>
      </w:pPr>
      <w:r>
        <w:rPr>
          <w:rFonts w:hint="eastAsia" w:ascii="Times New Roman" w:hAnsi="Times New Roman" w:eastAsia="宋体" w:cs="Times New Roman"/>
          <w:b/>
          <w:sz w:val="24"/>
        </w:rPr>
        <w:t>课程名称：</w:t>
      </w:r>
      <w:r>
        <w:rPr>
          <w:rFonts w:ascii="Times New Roman" w:hAnsi="Times New Roman" w:eastAsia="宋体" w:cs="Times New Roman"/>
          <w:b/>
          <w:sz w:val="24"/>
        </w:rPr>
        <w:t xml:space="preserve"> </w:t>
      </w:r>
      <w:r>
        <w:rPr>
          <w:rFonts w:hint="eastAsia" w:ascii="Times New Roman" w:hAnsi="Times New Roman" w:eastAsia="宋体" w:cs="Times New Roman"/>
          <w:bCs/>
          <w:sz w:val="24"/>
        </w:rPr>
        <w:t>小学科学课程与教学论</w:t>
      </w:r>
    </w:p>
    <w:p w14:paraId="10A42C2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kern w:val="0"/>
          <w:sz w:val="24"/>
        </w:rPr>
        <w:t>2401037</w:t>
      </w:r>
    </w:p>
    <w:p w14:paraId="053F491D">
      <w:pPr>
        <w:spacing w:line="360" w:lineRule="auto"/>
        <w:ind w:firstLine="482" w:firstLineChars="200"/>
        <w:jc w:val="left"/>
        <w:rPr>
          <w:rFonts w:ascii="Times New Roman" w:hAnsi="Times New Roman" w:eastAsia="宋体" w:cs="Times New Roman"/>
          <w:bCs/>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hint="eastAsia" w:ascii="Times New Roman" w:hAnsi="Times New Roman" w:eastAsia="宋体" w:cs="Times New Roman"/>
          <w:bCs/>
          <w:sz w:val="24"/>
        </w:rPr>
        <w:t>3</w:t>
      </w:r>
    </w:p>
    <w:p w14:paraId="67E488B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Times New Roman" w:hAnsi="Times New Roman" w:eastAsia="宋体" w:cs="Times New Roman"/>
          <w:bCs/>
          <w:sz w:val="24"/>
        </w:rPr>
        <w:t>48</w:t>
      </w:r>
      <w:r>
        <w:rPr>
          <w:rFonts w:hint="eastAsia" w:ascii="Times New Roman" w:hAnsi="Times New Roman" w:eastAsia="宋体" w:cs="Times New Roman"/>
          <w:kern w:val="0"/>
          <w:sz w:val="24"/>
        </w:rPr>
        <w:t>（其中：讲授学时</w:t>
      </w:r>
      <w:r>
        <w:rPr>
          <w:rFonts w:ascii="Times New Roman" w:hAnsi="Times New Roman" w:eastAsia="宋体" w:cs="Times New Roman"/>
          <w:kern w:val="0"/>
          <w:sz w:val="24"/>
        </w:rPr>
        <w:t>32</w:t>
      </w:r>
      <w:r>
        <w:rPr>
          <w:rFonts w:hint="eastAsia" w:ascii="Times New Roman" w:hAnsi="Times New Roman" w:eastAsia="宋体" w:cs="Times New Roman"/>
          <w:kern w:val="0"/>
          <w:sz w:val="24"/>
        </w:rPr>
        <w:t>，实践学时</w:t>
      </w:r>
      <w:r>
        <w:rPr>
          <w:rFonts w:ascii="Times New Roman" w:hAnsi="Times New Roman" w:eastAsia="宋体" w:cs="Times New Roman"/>
          <w:kern w:val="0"/>
          <w:sz w:val="24"/>
        </w:rPr>
        <w:t>16</w:t>
      </w:r>
      <w:r>
        <w:rPr>
          <w:rFonts w:hint="eastAsia" w:ascii="Times New Roman" w:hAnsi="Times New Roman" w:eastAsia="宋体" w:cs="Times New Roman"/>
          <w:kern w:val="0"/>
          <w:sz w:val="24"/>
        </w:rPr>
        <w:t>）</w:t>
      </w:r>
    </w:p>
    <w:p w14:paraId="455CE01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hint="eastAsia" w:ascii="Times New Roman" w:hAnsi="Times New Roman" w:eastAsia="宋体" w:cs="Times New Roman"/>
          <w:kern w:val="0"/>
          <w:sz w:val="24"/>
        </w:rPr>
        <w:t>教育心理学、课程与教学论</w:t>
      </w:r>
    </w:p>
    <w:p w14:paraId="170EB55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w:t>
      </w:r>
      <w:r>
        <w:rPr>
          <w:rFonts w:hint="eastAsia" w:ascii="Times New Roman" w:hAnsi="Times New Roman" w:eastAsia="宋体" w:cs="Times New Roman"/>
          <w:bCs/>
          <w:sz w:val="24"/>
        </w:rPr>
        <w:t>小学教育</w:t>
      </w:r>
      <w:r>
        <w:rPr>
          <w:rFonts w:hint="eastAsia" w:ascii="Times New Roman" w:hAnsi="Times New Roman" w:eastAsia="宋体" w:cs="Times New Roman"/>
          <w:kern w:val="0"/>
          <w:sz w:val="24"/>
        </w:rPr>
        <w:t>（理）</w:t>
      </w:r>
    </w:p>
    <w:p w14:paraId="2A50A227">
      <w:pPr>
        <w:spacing w:line="360" w:lineRule="auto"/>
        <w:jc w:val="left"/>
        <w:rPr>
          <w:rFonts w:ascii="Times New Roman" w:hAnsi="Times New Roman" w:eastAsia="宋体" w:cs="Times New Roman"/>
          <w:b/>
          <w:sz w:val="24"/>
        </w:rPr>
      </w:pPr>
    </w:p>
    <w:p w14:paraId="72698530">
      <w:pPr>
        <w:spacing w:line="360" w:lineRule="auto"/>
        <w:jc w:val="left"/>
        <w:rPr>
          <w:rFonts w:ascii="Times New Roman" w:hAnsi="Times New Roman" w:eastAsia="宋体" w:cs="Times New Roman"/>
          <w:sz w:val="28"/>
          <w:szCs w:val="28"/>
        </w:rPr>
      </w:pPr>
      <w:r>
        <w:rPr>
          <w:rFonts w:hint="eastAsia" w:ascii="Times New Roman" w:hAnsi="Times New Roman" w:eastAsia="宋体" w:cs="Times New Roman"/>
          <w:b/>
          <w:sz w:val="28"/>
          <w:szCs w:val="28"/>
        </w:rPr>
        <w:t>一、课程简介</w:t>
      </w:r>
    </w:p>
    <w:p w14:paraId="5527662B">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课程是小学教育专业（理）的专业选修课程，旨在培养未来的小学科学教师的教学能力和实践能力。课程结合最新的科学教育理论，注重学生的教学设计、实施与评价能力，帮助学生掌握教育教学基本理论，熟悉课程标准和教材内容，适应现代教育技术（如信息化、人工智能）带来的变革。课程通过理论学习与实践结合，强化学生的教学创新与能力应用，培养具备教书育人意识的专业化教师。课程内容涵盖科学教学设计、教学方法应用、课堂管理与评价等，重视学生的综合能力提升。在教学过程中融入社会主义核心价值观，培养学生的社会责任感、创新精神和团队合作意识，推动学生全面发展，为培养具备学科素养和育人能力的小学科学教师奠定基础。</w:t>
      </w:r>
    </w:p>
    <w:p w14:paraId="63875078">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p>
    <w:p w14:paraId="5926E50F">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（一）课程具体目标</w:t>
      </w:r>
    </w:p>
    <w:p w14:paraId="442E45A5">
      <w:pPr>
        <w:spacing w:line="360" w:lineRule="auto"/>
        <w:ind w:firstLine="482"/>
        <w:jc w:val="left"/>
        <w:rPr>
          <w:rFonts w:ascii="Times New Roman" w:hAnsi="Times New Roman" w:eastAsia="宋体" w:cs="Times New Roman"/>
          <w:bCs/>
          <w:sz w:val="24"/>
        </w:rPr>
      </w:pPr>
      <w:r>
        <w:rPr>
          <w:rFonts w:hint="eastAsia" w:ascii="Times New Roman" w:hAnsi="Times New Roman" w:eastAsia="宋体" w:cs="Times New Roman"/>
          <w:b/>
          <w:sz w:val="24"/>
        </w:rPr>
        <w:t>目标1：</w:t>
      </w:r>
      <w:r>
        <w:rPr>
          <w:rFonts w:hint="eastAsia" w:ascii="Times New Roman" w:hAnsi="Times New Roman" w:eastAsia="宋体" w:cs="Times New Roman"/>
          <w:bCs/>
          <w:sz w:val="24"/>
        </w:rPr>
        <w:t>掌握教育教学基本理论，认识科学本质及其特征，分析科学本质观对小学科学教学的启示。深入理解行为主义、认知主义、建构主义学习理论及脑科学对科学教学的影响，能够结合现代教育技术，设计有效的教学方案。</w:t>
      </w:r>
    </w:p>
    <w:p w14:paraId="3E329293">
      <w:pPr>
        <w:spacing w:line="360" w:lineRule="auto"/>
        <w:ind w:firstLine="482"/>
        <w:jc w:val="left"/>
        <w:rPr>
          <w:rFonts w:ascii="Times New Roman" w:hAnsi="Times New Roman" w:eastAsia="宋体" w:cs="Times New Roman"/>
          <w:bCs/>
          <w:sz w:val="24"/>
        </w:rPr>
      </w:pPr>
      <w:r>
        <w:rPr>
          <w:rFonts w:hint="eastAsia" w:ascii="Times New Roman" w:hAnsi="Times New Roman" w:eastAsia="宋体" w:cs="Times New Roman"/>
          <w:b/>
          <w:sz w:val="24"/>
        </w:rPr>
        <w:t>目标2：</w:t>
      </w:r>
      <w:r>
        <w:rPr>
          <w:rFonts w:hint="eastAsia" w:ascii="Times New Roman" w:hAnsi="Times New Roman" w:eastAsia="宋体" w:cs="Times New Roman"/>
          <w:bCs/>
          <w:sz w:val="24"/>
        </w:rPr>
        <w:t>阐释现行小学科学课程标准的发展历程，学会解读课程的性质、理念、目标与内容；熟悉教材编排特点及内容体系，能够依据课程标准和教材设计合理的教学方案，注重课程内容的育人功能。</w:t>
      </w:r>
    </w:p>
    <w:p w14:paraId="352DDDC1">
      <w:pPr>
        <w:spacing w:line="360" w:lineRule="auto"/>
        <w:ind w:firstLine="482"/>
        <w:jc w:val="left"/>
        <w:rPr>
          <w:rFonts w:ascii="Times New Roman" w:hAnsi="Times New Roman" w:eastAsia="宋体" w:cs="Times New Roman"/>
          <w:sz w:val="24"/>
        </w:rPr>
      </w:pPr>
      <w:r>
        <w:rPr>
          <w:rFonts w:hint="eastAsia" w:ascii="Times New Roman" w:hAnsi="Times New Roman" w:eastAsia="宋体" w:cs="Times New Roman"/>
          <w:b/>
          <w:sz w:val="24"/>
        </w:rPr>
        <w:t>目标3：</w:t>
      </w:r>
      <w:r>
        <w:rPr>
          <w:rFonts w:hint="eastAsia" w:ascii="Times New Roman" w:hAnsi="Times New Roman" w:eastAsia="宋体" w:cs="Times New Roman"/>
          <w:bCs/>
          <w:sz w:val="24"/>
        </w:rPr>
        <w:t>学会应用科学方法教育的基本原理，依据科学教学设计理论和方法，结合教材内容进行合理的教学设计与课堂演示；能够运用教学评估与反馈改进教学效果，提升学生的综合能力。</w:t>
      </w:r>
    </w:p>
    <w:p w14:paraId="3BA11279">
      <w:pPr>
        <w:spacing w:line="360" w:lineRule="auto"/>
        <w:ind w:firstLine="482"/>
        <w:jc w:val="left"/>
        <w:rPr>
          <w:rFonts w:ascii="Times New Roman" w:hAnsi="Times New Roman" w:eastAsia="宋体" w:cs="Times New Roman"/>
          <w:sz w:val="24"/>
        </w:rPr>
      </w:pPr>
      <w:r>
        <w:rPr>
          <w:rFonts w:hint="eastAsia" w:ascii="Times New Roman" w:hAnsi="Times New Roman" w:eastAsia="宋体" w:cs="Times New Roman"/>
          <w:b/>
          <w:bCs/>
          <w:sz w:val="24"/>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5896"/>
        <w:gridCol w:w="1611"/>
      </w:tblGrid>
      <w:tr w14:paraId="0BDD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vAlign w:val="center"/>
          </w:tcPr>
          <w:p w14:paraId="2D4E923C">
            <w:pPr>
              <w:spacing w:line="360" w:lineRule="auto"/>
              <w:jc w:val="center"/>
              <w:rPr>
                <w:rFonts w:hint="eastAsia" w:ascii="宋体" w:hAnsi="宋体" w:eastAsia="宋体" w:cs="Times New Roman"/>
                <w:b/>
                <w:bCs/>
                <w:sz w:val="24"/>
              </w:rPr>
            </w:pPr>
            <w:r>
              <w:rPr>
                <w:rFonts w:hint="eastAsia" w:ascii="宋体" w:hAnsi="宋体" w:eastAsia="宋体" w:cs="Times New Roman"/>
                <w:b/>
                <w:bCs/>
                <w:sz w:val="24"/>
              </w:rPr>
              <w:t>毕业要求</w:t>
            </w:r>
          </w:p>
        </w:tc>
        <w:tc>
          <w:tcPr>
            <w:tcW w:w="5896" w:type="dxa"/>
            <w:vAlign w:val="center"/>
          </w:tcPr>
          <w:p w14:paraId="3A4CDF50">
            <w:pPr>
              <w:spacing w:line="360" w:lineRule="auto"/>
              <w:jc w:val="center"/>
              <w:rPr>
                <w:rFonts w:hint="eastAsia" w:ascii="宋体" w:hAnsi="宋体" w:eastAsia="宋体" w:cs="Times New Roman"/>
                <w:b/>
                <w:bCs/>
                <w:sz w:val="24"/>
              </w:rPr>
            </w:pPr>
            <w:r>
              <w:rPr>
                <w:rFonts w:hint="eastAsia" w:ascii="宋体" w:hAnsi="宋体" w:eastAsia="宋体" w:cs="Times New Roman"/>
                <w:b/>
                <w:bCs/>
                <w:sz w:val="24"/>
              </w:rPr>
              <w:t>毕业要求指标点</w:t>
            </w:r>
          </w:p>
        </w:tc>
        <w:tc>
          <w:tcPr>
            <w:tcW w:w="1611" w:type="dxa"/>
            <w:vAlign w:val="center"/>
          </w:tcPr>
          <w:p w14:paraId="321FDFE6">
            <w:pPr>
              <w:spacing w:line="360" w:lineRule="auto"/>
              <w:jc w:val="center"/>
              <w:rPr>
                <w:rFonts w:hint="eastAsia" w:ascii="宋体" w:hAnsi="宋体" w:eastAsia="宋体" w:cs="Times New Roman"/>
                <w:b/>
                <w:bCs/>
                <w:sz w:val="24"/>
              </w:rPr>
            </w:pPr>
            <w:r>
              <w:rPr>
                <w:rFonts w:hint="eastAsia" w:ascii="宋体" w:hAnsi="宋体" w:eastAsia="宋体" w:cs="Times New Roman"/>
                <w:b/>
                <w:bCs/>
                <w:sz w:val="24"/>
              </w:rPr>
              <w:t>课程目标</w:t>
            </w:r>
          </w:p>
        </w:tc>
      </w:tr>
      <w:tr w14:paraId="0AD5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Pr>
          <w:p w14:paraId="41104580">
            <w:pPr>
              <w:spacing w:line="276" w:lineRule="auto"/>
              <w:jc w:val="left"/>
              <w:rPr>
                <w:rFonts w:hint="eastAsia" w:ascii="宋体" w:hAnsi="宋体" w:eastAsia="宋体" w:cs="Times New Roman"/>
                <w:sz w:val="24"/>
              </w:rPr>
            </w:pPr>
            <w:r>
              <w:rPr>
                <w:rFonts w:hint="eastAsia" w:ascii="宋体" w:hAnsi="宋体" w:eastAsia="宋体"/>
                <w:sz w:val="24"/>
              </w:rPr>
              <w:t>毕业要求4：教学能力</w:t>
            </w:r>
          </w:p>
        </w:tc>
        <w:tc>
          <w:tcPr>
            <w:tcW w:w="5896" w:type="dxa"/>
          </w:tcPr>
          <w:p w14:paraId="28470556">
            <w:pPr>
              <w:spacing w:line="276" w:lineRule="auto"/>
              <w:jc w:val="left"/>
              <w:rPr>
                <w:rFonts w:hint="eastAsia" w:ascii="宋体" w:hAnsi="宋体" w:eastAsia="宋体" w:cs="Times New Roman"/>
                <w:sz w:val="24"/>
              </w:rPr>
            </w:pPr>
            <w:r>
              <w:rPr>
                <w:rFonts w:hint="eastAsia" w:ascii="宋体" w:hAnsi="宋体" w:eastAsia="宋体"/>
                <w:sz w:val="24"/>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611" w:type="dxa"/>
          </w:tcPr>
          <w:p w14:paraId="47A472CF">
            <w:pPr>
              <w:spacing w:line="276" w:lineRule="auto"/>
              <w:jc w:val="left"/>
              <w:rPr>
                <w:rFonts w:hint="eastAsia" w:ascii="宋体" w:hAnsi="宋体" w:eastAsia="宋体" w:cs="Times New Roman"/>
                <w:sz w:val="24"/>
              </w:rPr>
            </w:pPr>
            <w:r>
              <w:rPr>
                <w:rFonts w:hint="eastAsia" w:ascii="宋体" w:hAnsi="宋体" w:eastAsia="宋体"/>
                <w:sz w:val="24"/>
              </w:rPr>
              <w:t>目标1</w:t>
            </w:r>
          </w:p>
        </w:tc>
      </w:tr>
      <w:tr w14:paraId="7EE9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Pr>
          <w:p w14:paraId="317A0C29">
            <w:pPr>
              <w:spacing w:line="276" w:lineRule="auto"/>
              <w:jc w:val="left"/>
              <w:rPr>
                <w:rFonts w:hint="eastAsia" w:ascii="宋体" w:hAnsi="宋体" w:eastAsia="宋体" w:cs="Times New Roman"/>
                <w:sz w:val="24"/>
              </w:rPr>
            </w:pPr>
            <w:r>
              <w:rPr>
                <w:rFonts w:hint="eastAsia" w:ascii="宋体" w:hAnsi="宋体" w:eastAsia="宋体"/>
                <w:sz w:val="24"/>
              </w:rPr>
              <w:t>毕业要求4：教学能力</w:t>
            </w:r>
          </w:p>
        </w:tc>
        <w:tc>
          <w:tcPr>
            <w:tcW w:w="5896" w:type="dxa"/>
          </w:tcPr>
          <w:p w14:paraId="32316034">
            <w:pPr>
              <w:spacing w:line="276" w:lineRule="auto"/>
              <w:jc w:val="left"/>
              <w:rPr>
                <w:rFonts w:hint="eastAsia" w:ascii="宋体" w:hAnsi="宋体" w:eastAsia="宋体" w:cs="Times New Roman"/>
                <w:sz w:val="24"/>
              </w:rPr>
            </w:pPr>
            <w:r>
              <w:rPr>
                <w:rFonts w:hint="eastAsia" w:ascii="宋体" w:hAnsi="宋体" w:eastAsia="宋体"/>
                <w:sz w:val="24"/>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611" w:type="dxa"/>
          </w:tcPr>
          <w:p w14:paraId="2B448688">
            <w:pPr>
              <w:spacing w:line="276" w:lineRule="auto"/>
              <w:jc w:val="left"/>
              <w:rPr>
                <w:rFonts w:hint="eastAsia" w:ascii="宋体" w:hAnsi="宋体" w:eastAsia="宋体" w:cs="Times New Roman"/>
                <w:sz w:val="24"/>
              </w:rPr>
            </w:pPr>
            <w:r>
              <w:rPr>
                <w:rFonts w:hint="eastAsia" w:ascii="宋体" w:hAnsi="宋体" w:eastAsia="宋体"/>
                <w:sz w:val="24"/>
              </w:rPr>
              <w:t>目标2</w:t>
            </w:r>
          </w:p>
        </w:tc>
      </w:tr>
      <w:tr w14:paraId="273A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Pr>
          <w:p w14:paraId="69BDC012">
            <w:pPr>
              <w:spacing w:line="276" w:lineRule="auto"/>
              <w:jc w:val="left"/>
              <w:rPr>
                <w:rFonts w:hint="eastAsia" w:ascii="宋体" w:hAnsi="宋体" w:eastAsia="宋体" w:cs="Times New Roman"/>
                <w:sz w:val="24"/>
              </w:rPr>
            </w:pPr>
            <w:r>
              <w:rPr>
                <w:rFonts w:hint="eastAsia" w:ascii="宋体" w:hAnsi="宋体" w:eastAsia="宋体"/>
                <w:sz w:val="24"/>
              </w:rPr>
              <w:t>毕业要求6：综合育人</w:t>
            </w:r>
          </w:p>
        </w:tc>
        <w:tc>
          <w:tcPr>
            <w:tcW w:w="5896" w:type="dxa"/>
          </w:tcPr>
          <w:p w14:paraId="2F7E7032">
            <w:pPr>
              <w:spacing w:line="276" w:lineRule="auto"/>
              <w:jc w:val="left"/>
              <w:rPr>
                <w:rFonts w:hint="eastAsia" w:ascii="宋体" w:hAnsi="宋体" w:eastAsia="宋体" w:cs="Times New Roman"/>
                <w:sz w:val="24"/>
              </w:rPr>
            </w:pPr>
            <w:r>
              <w:rPr>
                <w:rFonts w:hint="eastAsia" w:ascii="宋体" w:hAnsi="宋体" w:eastAsia="宋体"/>
                <w:sz w:val="24"/>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611" w:type="dxa"/>
          </w:tcPr>
          <w:p w14:paraId="20A2F918">
            <w:pPr>
              <w:spacing w:line="276" w:lineRule="auto"/>
              <w:jc w:val="left"/>
              <w:rPr>
                <w:rFonts w:hint="eastAsia" w:ascii="宋体" w:hAnsi="宋体" w:eastAsia="宋体" w:cs="Times New Roman"/>
                <w:sz w:val="24"/>
              </w:rPr>
            </w:pPr>
            <w:r>
              <w:rPr>
                <w:rFonts w:hint="eastAsia" w:ascii="宋体" w:hAnsi="宋体" w:eastAsia="宋体"/>
                <w:sz w:val="24"/>
              </w:rPr>
              <w:t>目标3</w:t>
            </w:r>
          </w:p>
        </w:tc>
      </w:tr>
    </w:tbl>
    <w:p w14:paraId="17C1426B">
      <w:pPr>
        <w:spacing w:before="156" w:beforeLines="50"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（三）课程思政目标</w:t>
      </w:r>
    </w:p>
    <w:p w14:paraId="6C1DD344">
      <w:pPr>
        <w:spacing w:line="360" w:lineRule="auto"/>
        <w:ind w:firstLine="480" w:firstLineChars="200"/>
        <w:jc w:val="left"/>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b/>
          <w:bCs/>
          <w:color w:val="000000"/>
          <w:sz w:val="24"/>
        </w:rPr>
        <w:t>培养科学精神与社会责任感</w:t>
      </w:r>
    </w:p>
    <w:p w14:paraId="4F3ED415">
      <w:pPr>
        <w:spacing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t>通过科学教学设计的理论教学，引导学生认识科学的本质，树立求真务实的科学精神，并将其应用于教育实践中。同时，引导学生关注科学技术与社会发展的关系，增强学生的社会责任感，特别是如何通过科学教育为社会进步和科技创新贡献力量。</w:t>
      </w:r>
    </w:p>
    <w:p w14:paraId="385B178D">
      <w:pPr>
        <w:spacing w:line="360" w:lineRule="auto"/>
        <w:ind w:firstLine="480" w:firstLineChars="200"/>
        <w:jc w:val="left"/>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b/>
          <w:bCs/>
          <w:color w:val="000000"/>
          <w:sz w:val="24"/>
        </w:rPr>
        <w:t>弘扬社会主义核心价值观</w:t>
      </w:r>
    </w:p>
    <w:p w14:paraId="19A3419C">
      <w:pPr>
        <w:spacing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t>科学教育过程中，渗透社会主义核心价值观，尤其是对集体主义、创新精神和责任感的培养。通过课堂讨论、案例分析等方式，鼓励学生理解科技创新与社会发展之间的密切关系，促进学生树立正确的价值观，推动学生全面发展。</w:t>
      </w:r>
    </w:p>
    <w:p w14:paraId="2718B8CB">
      <w:pPr>
        <w:spacing w:line="360" w:lineRule="auto"/>
        <w:ind w:firstLine="480" w:firstLineChars="200"/>
        <w:jc w:val="left"/>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b/>
          <w:bCs/>
          <w:color w:val="000000"/>
          <w:sz w:val="24"/>
        </w:rPr>
        <w:t>注重教育的育人功能</w:t>
      </w:r>
    </w:p>
    <w:p w14:paraId="7A760348">
      <w:pPr>
        <w:spacing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t>强调科学课程不仅是知识的传授，更是品德和能力的培养。课程设计中将知识学习、能力发展与品德养成有机结合，特别是在探究学习和合作学习过程中，培养学生的团队精神、合作意识和社会责任感。通过对科学课程的育人功能的认知和理解，使学生能够在未来的教育教学实践中，以更全面的视角看待教育教学的意义。</w:t>
      </w:r>
    </w:p>
    <w:p w14:paraId="1C68E28F">
      <w:pPr>
        <w:spacing w:line="360" w:lineRule="auto"/>
        <w:jc w:val="left"/>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2344"/>
        <w:gridCol w:w="1131"/>
        <w:gridCol w:w="2543"/>
        <w:gridCol w:w="1640"/>
        <w:gridCol w:w="458"/>
      </w:tblGrid>
      <w:tr w14:paraId="52A6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7EC85619">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w:t>
            </w:r>
          </w:p>
          <w:p w14:paraId="669BE83A">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单元</w:t>
            </w:r>
          </w:p>
        </w:tc>
        <w:tc>
          <w:tcPr>
            <w:tcW w:w="2353" w:type="dxa"/>
            <w:vAlign w:val="center"/>
          </w:tcPr>
          <w:p w14:paraId="0628EFB0">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知识点</w:t>
            </w:r>
          </w:p>
        </w:tc>
        <w:tc>
          <w:tcPr>
            <w:tcW w:w="1134" w:type="dxa"/>
            <w:vAlign w:val="center"/>
          </w:tcPr>
          <w:p w14:paraId="6B7FD4A7">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对应</w:t>
            </w:r>
          </w:p>
          <w:p w14:paraId="220E00D5">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课程目标</w:t>
            </w:r>
          </w:p>
        </w:tc>
        <w:tc>
          <w:tcPr>
            <w:tcW w:w="2552" w:type="dxa"/>
            <w:vAlign w:val="center"/>
          </w:tcPr>
          <w:p w14:paraId="0E42B017">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预期学习成效</w:t>
            </w:r>
          </w:p>
        </w:tc>
        <w:tc>
          <w:tcPr>
            <w:tcW w:w="1646" w:type="dxa"/>
            <w:vAlign w:val="center"/>
          </w:tcPr>
          <w:p w14:paraId="2F6A2B7D">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实现环节</w:t>
            </w:r>
          </w:p>
        </w:tc>
        <w:tc>
          <w:tcPr>
            <w:tcW w:w="427" w:type="dxa"/>
            <w:vAlign w:val="center"/>
          </w:tcPr>
          <w:p w14:paraId="171318AE">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学时</w:t>
            </w:r>
          </w:p>
        </w:tc>
      </w:tr>
      <w:tr w14:paraId="7A4C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tcPr>
          <w:p w14:paraId="58039B5C">
            <w:pPr>
              <w:spacing w:line="264" w:lineRule="auto"/>
              <w:jc w:val="center"/>
              <w:rPr>
                <w:rFonts w:hint="eastAsia" w:ascii="宋体" w:hAnsi="宋体" w:eastAsia="宋体"/>
                <w:sz w:val="24"/>
              </w:rPr>
            </w:pPr>
            <w:r>
              <w:rPr>
                <w:rFonts w:hint="eastAsia" w:ascii="宋体" w:hAnsi="宋体" w:eastAsia="宋体"/>
                <w:sz w:val="24"/>
              </w:rPr>
              <w:t>第一章</w:t>
            </w:r>
          </w:p>
          <w:p w14:paraId="1D6BF63C">
            <w:pPr>
              <w:spacing w:line="264" w:lineRule="auto"/>
              <w:jc w:val="center"/>
              <w:rPr>
                <w:rFonts w:hint="eastAsia" w:ascii="宋体" w:hAnsi="宋体" w:eastAsia="宋体" w:cs="Times New Roman"/>
                <w:color w:val="000000"/>
                <w:sz w:val="24"/>
              </w:rPr>
            </w:pPr>
            <w:r>
              <w:rPr>
                <w:rFonts w:hint="eastAsia" w:ascii="宋体" w:hAnsi="宋体" w:eastAsia="宋体"/>
                <w:sz w:val="24"/>
              </w:rPr>
              <w:t>科学与科学教育概述</w:t>
            </w:r>
          </w:p>
        </w:tc>
        <w:tc>
          <w:tcPr>
            <w:tcW w:w="2353" w:type="dxa"/>
          </w:tcPr>
          <w:p w14:paraId="51D21F28">
            <w:pPr>
              <w:spacing w:line="269" w:lineRule="auto"/>
              <w:jc w:val="left"/>
              <w:rPr>
                <w:rFonts w:hint="eastAsia" w:ascii="宋体" w:hAnsi="宋体" w:eastAsia="宋体"/>
                <w:sz w:val="24"/>
              </w:rPr>
            </w:pPr>
            <w:r>
              <w:rPr>
                <w:rFonts w:hint="eastAsia" w:ascii="宋体" w:hAnsi="宋体" w:eastAsia="宋体"/>
                <w:sz w:val="24"/>
              </w:rPr>
              <w:t>1.科学的本质</w:t>
            </w:r>
          </w:p>
          <w:p w14:paraId="050226B0">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2.科学本质观下的科学教育</w:t>
            </w:r>
          </w:p>
        </w:tc>
        <w:tc>
          <w:tcPr>
            <w:tcW w:w="1134" w:type="dxa"/>
          </w:tcPr>
          <w:p w14:paraId="3E92E9A8">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目标1</w:t>
            </w:r>
          </w:p>
        </w:tc>
        <w:tc>
          <w:tcPr>
            <w:tcW w:w="2552" w:type="dxa"/>
          </w:tcPr>
          <w:p w14:paraId="251AA2F5">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理解科学本质，分析其对科学教学的启示，掌握科学教育的基本理论。</w:t>
            </w:r>
          </w:p>
        </w:tc>
        <w:tc>
          <w:tcPr>
            <w:tcW w:w="1646" w:type="dxa"/>
          </w:tcPr>
          <w:p w14:paraId="09EA4B14">
            <w:pPr>
              <w:spacing w:line="269" w:lineRule="auto"/>
              <w:jc w:val="left"/>
              <w:rPr>
                <w:rFonts w:hint="eastAsia" w:ascii="宋体" w:hAnsi="宋体" w:eastAsia="宋体" w:cs="Times New Roman"/>
                <w:color w:val="000000"/>
                <w:sz w:val="24"/>
              </w:rPr>
            </w:pPr>
            <w:r>
              <w:rPr>
                <w:rFonts w:hint="eastAsia" w:ascii="宋体" w:hAnsi="宋体" w:eastAsia="宋体"/>
                <w:sz w:val="24"/>
              </w:rPr>
              <w:t>1</w:t>
            </w:r>
            <w:r>
              <w:rPr>
                <w:rFonts w:ascii="宋体" w:hAnsi="宋体" w:eastAsia="宋体"/>
                <w:sz w:val="24"/>
              </w:rPr>
              <w:t>. 多媒体教学</w:t>
            </w:r>
            <w:r>
              <w:rPr>
                <w:rFonts w:ascii="宋体" w:hAnsi="宋体" w:eastAsia="宋体"/>
                <w:sz w:val="24"/>
              </w:rPr>
              <w:br w:type="textWrapping"/>
            </w:r>
            <w:r>
              <w:rPr>
                <w:rFonts w:hint="eastAsia" w:ascii="宋体" w:hAnsi="宋体" w:eastAsia="宋体"/>
                <w:sz w:val="24"/>
              </w:rPr>
              <w:t>2</w:t>
            </w:r>
            <w:r>
              <w:rPr>
                <w:rFonts w:ascii="宋体" w:hAnsi="宋体" w:eastAsia="宋体"/>
                <w:sz w:val="24"/>
              </w:rPr>
              <w:t>. 课堂讨论</w:t>
            </w:r>
          </w:p>
        </w:tc>
        <w:tc>
          <w:tcPr>
            <w:tcW w:w="427" w:type="dxa"/>
          </w:tcPr>
          <w:p w14:paraId="7C4EE8F9">
            <w:pPr>
              <w:spacing w:line="269" w:lineRule="auto"/>
              <w:jc w:val="center"/>
              <w:rPr>
                <w:rFonts w:hint="eastAsia" w:ascii="宋体" w:hAnsi="宋体" w:eastAsia="宋体" w:cs="Times New Roman"/>
                <w:color w:val="000000"/>
                <w:sz w:val="24"/>
              </w:rPr>
            </w:pPr>
            <w:r>
              <w:rPr>
                <w:rFonts w:hint="eastAsia" w:ascii="宋体" w:hAnsi="宋体" w:eastAsia="宋体"/>
                <w:color w:val="000000"/>
                <w:sz w:val="24"/>
              </w:rPr>
              <w:t>2</w:t>
            </w:r>
          </w:p>
        </w:tc>
      </w:tr>
      <w:tr w14:paraId="53F3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64DD3BEB">
            <w:pPr>
              <w:spacing w:line="264" w:lineRule="auto"/>
              <w:jc w:val="center"/>
              <w:rPr>
                <w:rFonts w:hint="eastAsia" w:ascii="宋体" w:hAnsi="宋体" w:eastAsia="宋体" w:cs="Times New Roman"/>
                <w:color w:val="000000"/>
                <w:sz w:val="24"/>
              </w:rPr>
            </w:pPr>
          </w:p>
        </w:tc>
        <w:tc>
          <w:tcPr>
            <w:tcW w:w="8112" w:type="dxa"/>
            <w:gridSpan w:val="5"/>
            <w:vAlign w:val="center"/>
          </w:tcPr>
          <w:p w14:paraId="16509C89">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b/>
                <w:bCs/>
                <w:color w:val="000000"/>
                <w:sz w:val="24"/>
              </w:rPr>
              <w:t>培养科学精神与社会责任感</w:t>
            </w:r>
            <w:r>
              <w:rPr>
                <w:rFonts w:hint="eastAsia" w:ascii="宋体" w:hAnsi="宋体" w:eastAsia="宋体" w:cs="Times New Roman"/>
                <w:b/>
                <w:bCs/>
                <w:color w:val="000000"/>
                <w:sz w:val="24"/>
              </w:rPr>
              <w:t>。</w:t>
            </w:r>
            <w:r>
              <w:rPr>
                <w:rFonts w:ascii="宋体" w:hAnsi="宋体" w:eastAsia="宋体" w:cs="Times New Roman"/>
                <w:color w:val="000000"/>
                <w:sz w:val="24"/>
              </w:rPr>
              <w:t>通过分析科学本质，树立求真务实的科学精神。</w:t>
            </w:r>
          </w:p>
          <w:p w14:paraId="2D91F868">
            <w:pPr>
              <w:spacing w:line="269" w:lineRule="auto"/>
              <w:jc w:val="left"/>
              <w:rPr>
                <w:rFonts w:hint="eastAsia" w:ascii="宋体" w:hAnsi="宋体" w:eastAsia="宋体" w:cs="Times New Roman"/>
                <w:color w:val="000000"/>
                <w:sz w:val="24"/>
              </w:rPr>
            </w:pPr>
          </w:p>
        </w:tc>
      </w:tr>
      <w:tr w14:paraId="4148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tcPr>
          <w:p w14:paraId="3D1A594D">
            <w:pPr>
              <w:spacing w:line="264" w:lineRule="auto"/>
              <w:jc w:val="center"/>
              <w:rPr>
                <w:rFonts w:hint="eastAsia" w:ascii="宋体" w:hAnsi="宋体" w:eastAsia="宋体"/>
                <w:sz w:val="24"/>
              </w:rPr>
            </w:pPr>
            <w:r>
              <w:rPr>
                <w:rFonts w:hint="eastAsia" w:ascii="宋体" w:hAnsi="宋体" w:eastAsia="宋体"/>
                <w:sz w:val="24"/>
              </w:rPr>
              <w:t>第二章</w:t>
            </w:r>
          </w:p>
          <w:p w14:paraId="36E0B644">
            <w:pPr>
              <w:spacing w:line="264" w:lineRule="auto"/>
              <w:jc w:val="center"/>
              <w:rPr>
                <w:rFonts w:hint="eastAsia" w:ascii="宋体" w:hAnsi="宋体" w:eastAsia="宋体" w:cs="Times New Roman"/>
                <w:color w:val="000000"/>
                <w:sz w:val="24"/>
              </w:rPr>
            </w:pPr>
            <w:r>
              <w:rPr>
                <w:rFonts w:hint="eastAsia" w:ascii="宋体" w:hAnsi="宋体" w:eastAsia="宋体"/>
                <w:sz w:val="24"/>
              </w:rPr>
              <w:t>科学教育相关的理论</w:t>
            </w:r>
          </w:p>
        </w:tc>
        <w:tc>
          <w:tcPr>
            <w:tcW w:w="2353" w:type="dxa"/>
          </w:tcPr>
          <w:p w14:paraId="65BD19A1">
            <w:pPr>
              <w:spacing w:line="269" w:lineRule="auto"/>
              <w:jc w:val="left"/>
              <w:rPr>
                <w:rFonts w:hint="eastAsia" w:ascii="宋体" w:hAnsi="宋体" w:eastAsia="宋体"/>
                <w:sz w:val="24"/>
              </w:rPr>
            </w:pPr>
            <w:r>
              <w:rPr>
                <w:rFonts w:hint="eastAsia" w:ascii="宋体" w:hAnsi="宋体" w:eastAsia="宋体"/>
                <w:sz w:val="24"/>
              </w:rPr>
              <w:t>1.行为主义学习理论</w:t>
            </w:r>
          </w:p>
          <w:p w14:paraId="228D27E8">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认知主义学习理论</w:t>
            </w:r>
            <w:r>
              <w:rPr>
                <w:rFonts w:ascii="宋体" w:hAnsi="宋体" w:eastAsia="宋体" w:cs="Times New Roman"/>
                <w:color w:val="000000"/>
                <w:sz w:val="24"/>
              </w:rPr>
              <w:br w:type="textWrapping"/>
            </w:r>
            <w:r>
              <w:rPr>
                <w:rFonts w:hint="eastAsia" w:ascii="宋体" w:hAnsi="宋体" w:eastAsia="宋体" w:cs="Times New Roman"/>
                <w:color w:val="000000"/>
                <w:sz w:val="24"/>
              </w:rPr>
              <w:t>3.</w:t>
            </w:r>
            <w:r>
              <w:rPr>
                <w:rFonts w:ascii="宋体" w:hAnsi="宋体" w:eastAsia="宋体" w:cs="Times New Roman"/>
                <w:color w:val="000000"/>
                <w:sz w:val="24"/>
              </w:rPr>
              <w:t>建构主义学习理论</w:t>
            </w:r>
            <w:r>
              <w:rPr>
                <w:rFonts w:ascii="宋体" w:hAnsi="宋体" w:eastAsia="宋体" w:cs="Times New Roman"/>
                <w:color w:val="000000"/>
                <w:sz w:val="24"/>
              </w:rPr>
              <w:br w:type="textWrapping"/>
            </w:r>
            <w:r>
              <w:rPr>
                <w:rFonts w:hint="eastAsia" w:ascii="宋体" w:hAnsi="宋体" w:eastAsia="宋体" w:cs="Times New Roman"/>
                <w:color w:val="000000"/>
                <w:sz w:val="24"/>
              </w:rPr>
              <w:t>4.</w:t>
            </w:r>
            <w:r>
              <w:rPr>
                <w:rFonts w:ascii="宋体" w:hAnsi="宋体" w:eastAsia="宋体" w:cs="Times New Roman"/>
                <w:color w:val="000000"/>
                <w:sz w:val="24"/>
              </w:rPr>
              <w:t>脑科学与科学教育</w:t>
            </w:r>
          </w:p>
        </w:tc>
        <w:tc>
          <w:tcPr>
            <w:tcW w:w="1134" w:type="dxa"/>
            <w:vAlign w:val="center"/>
          </w:tcPr>
          <w:p w14:paraId="1C40B0C5">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目标1</w:t>
            </w:r>
          </w:p>
        </w:tc>
        <w:tc>
          <w:tcPr>
            <w:tcW w:w="2552" w:type="dxa"/>
            <w:vAlign w:val="center"/>
          </w:tcPr>
          <w:p w14:paraId="78CA45F6">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掌握主要学习理论，分析其对教学实践的指导意义，理解脑科学应用。</w:t>
            </w:r>
          </w:p>
        </w:tc>
        <w:tc>
          <w:tcPr>
            <w:tcW w:w="1646" w:type="dxa"/>
            <w:vAlign w:val="center"/>
          </w:tcPr>
          <w:p w14:paraId="02EAEAC1">
            <w:pPr>
              <w:spacing w:line="276" w:lineRule="auto"/>
              <w:jc w:val="left"/>
              <w:rPr>
                <w:rFonts w:hint="eastAsia" w:ascii="宋体" w:hAnsi="宋体" w:eastAsia="宋体"/>
                <w:sz w:val="24"/>
              </w:rPr>
            </w:pPr>
            <w:r>
              <w:rPr>
                <w:rFonts w:hint="eastAsia" w:ascii="宋体" w:hAnsi="宋体"/>
                <w:sz w:val="24"/>
              </w:rPr>
              <w:t>1</w:t>
            </w:r>
            <w:r>
              <w:rPr>
                <w:rFonts w:hint="eastAsia" w:ascii="宋体" w:hAnsi="宋体" w:eastAsia="宋体"/>
                <w:sz w:val="24"/>
              </w:rPr>
              <w:t>.多媒体教学</w:t>
            </w:r>
          </w:p>
          <w:p w14:paraId="093C8F4F">
            <w:pPr>
              <w:spacing w:line="276" w:lineRule="auto"/>
              <w:jc w:val="left"/>
              <w:rPr>
                <w:rFonts w:hint="eastAsia" w:ascii="宋体" w:hAnsi="宋体"/>
                <w:sz w:val="24"/>
              </w:rPr>
            </w:pPr>
            <w:r>
              <w:rPr>
                <w:rFonts w:hint="eastAsia" w:ascii="宋体" w:hAnsi="宋体" w:eastAsia="宋体"/>
                <w:sz w:val="24"/>
              </w:rPr>
              <w:t>2.课堂</w:t>
            </w:r>
            <w:r>
              <w:rPr>
                <w:rFonts w:hint="eastAsia" w:ascii="宋体" w:hAnsi="宋体"/>
                <w:sz w:val="24"/>
              </w:rPr>
              <w:t>讨论</w:t>
            </w:r>
            <w:r>
              <w:rPr>
                <w:rFonts w:ascii="宋体" w:hAnsi="宋体" w:eastAsia="宋体" w:cs="Times New Roman"/>
                <w:color w:val="000000"/>
                <w:sz w:val="24"/>
              </w:rPr>
              <w:br w:type="textWrapping"/>
            </w:r>
            <w:r>
              <w:rPr>
                <w:rFonts w:hint="eastAsia" w:ascii="宋体" w:hAnsi="宋体" w:eastAsia="宋体" w:cs="Times New Roman"/>
                <w:color w:val="000000"/>
                <w:sz w:val="24"/>
              </w:rPr>
              <w:t>2</w:t>
            </w:r>
            <w:r>
              <w:rPr>
                <w:rFonts w:ascii="宋体" w:hAnsi="宋体" w:eastAsia="宋体" w:cs="Times New Roman"/>
                <w:color w:val="000000"/>
                <w:sz w:val="24"/>
              </w:rPr>
              <w:t>. 案例分析</w:t>
            </w:r>
          </w:p>
        </w:tc>
        <w:tc>
          <w:tcPr>
            <w:tcW w:w="427" w:type="dxa"/>
            <w:vAlign w:val="center"/>
          </w:tcPr>
          <w:p w14:paraId="73528F15">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p>
        </w:tc>
      </w:tr>
      <w:tr w14:paraId="751F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04C50683">
            <w:pPr>
              <w:spacing w:line="264" w:lineRule="auto"/>
              <w:jc w:val="center"/>
              <w:rPr>
                <w:rFonts w:hint="eastAsia" w:ascii="宋体" w:hAnsi="宋体" w:eastAsia="宋体" w:cs="Times New Roman"/>
                <w:color w:val="000000"/>
                <w:sz w:val="24"/>
              </w:rPr>
            </w:pPr>
          </w:p>
        </w:tc>
        <w:tc>
          <w:tcPr>
            <w:tcW w:w="8112" w:type="dxa"/>
            <w:gridSpan w:val="5"/>
            <w:vAlign w:val="center"/>
          </w:tcPr>
          <w:p w14:paraId="159790EE">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b/>
                <w:bCs/>
                <w:color w:val="000000"/>
                <w:sz w:val="24"/>
              </w:rPr>
              <w:t>弘扬社会主义核心价值观</w:t>
            </w:r>
            <w:r>
              <w:rPr>
                <w:rFonts w:hint="eastAsia" w:ascii="宋体" w:hAnsi="宋体" w:eastAsia="宋体" w:cs="Times New Roman"/>
                <w:color w:val="000000"/>
                <w:sz w:val="24"/>
              </w:rPr>
              <w:t>。</w:t>
            </w:r>
            <w:r>
              <w:rPr>
                <w:rFonts w:ascii="宋体" w:hAnsi="宋体" w:eastAsia="宋体" w:cs="Times New Roman"/>
                <w:color w:val="000000"/>
                <w:sz w:val="24"/>
              </w:rPr>
              <w:t>理解教育教学理论中的社会价值，培养责任感与创新精神。</w:t>
            </w:r>
          </w:p>
          <w:p w14:paraId="729FBCEB">
            <w:pPr>
              <w:spacing w:line="269" w:lineRule="auto"/>
              <w:jc w:val="left"/>
              <w:rPr>
                <w:rFonts w:hint="eastAsia" w:ascii="宋体" w:hAnsi="宋体" w:eastAsia="宋体" w:cs="Times New Roman"/>
                <w:color w:val="000000"/>
                <w:sz w:val="24"/>
              </w:rPr>
            </w:pPr>
          </w:p>
        </w:tc>
      </w:tr>
      <w:tr w14:paraId="39BD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55B10898">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第三章</w:t>
            </w:r>
          </w:p>
          <w:p w14:paraId="03A389A9">
            <w:pPr>
              <w:spacing w:line="264" w:lineRule="auto"/>
              <w:jc w:val="center"/>
              <w:rPr>
                <w:rFonts w:hint="eastAsia" w:ascii="宋体" w:hAnsi="宋体" w:eastAsia="宋体" w:cs="Times New Roman"/>
                <w:color w:val="000000"/>
                <w:sz w:val="24"/>
              </w:rPr>
            </w:pPr>
            <w:r>
              <w:rPr>
                <w:rFonts w:ascii="宋体" w:hAnsi="宋体" w:eastAsia="宋体" w:cs="Times New Roman"/>
                <w:color w:val="000000"/>
                <w:sz w:val="24"/>
              </w:rPr>
              <w:t>小学科学课程标准与教材分析</w:t>
            </w:r>
          </w:p>
          <w:p w14:paraId="33E4D516">
            <w:pPr>
              <w:spacing w:line="264" w:lineRule="auto"/>
              <w:rPr>
                <w:rFonts w:hint="eastAsia" w:ascii="宋体" w:hAnsi="宋体" w:eastAsia="宋体" w:cs="Times New Roman"/>
                <w:color w:val="000000"/>
                <w:sz w:val="24"/>
              </w:rPr>
            </w:pPr>
          </w:p>
          <w:p w14:paraId="6CCF8BC6">
            <w:pPr>
              <w:spacing w:line="264" w:lineRule="auto"/>
              <w:jc w:val="center"/>
              <w:rPr>
                <w:rFonts w:hint="eastAsia" w:ascii="宋体" w:hAnsi="宋体" w:eastAsia="宋体" w:cs="Times New Roman"/>
                <w:color w:val="000000"/>
                <w:sz w:val="24"/>
              </w:rPr>
            </w:pPr>
          </w:p>
        </w:tc>
        <w:tc>
          <w:tcPr>
            <w:tcW w:w="2353" w:type="dxa"/>
            <w:vAlign w:val="center"/>
          </w:tcPr>
          <w:p w14:paraId="7132228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小学科学课程标准解析</w:t>
            </w:r>
            <w:r>
              <w:rPr>
                <w:rFonts w:ascii="宋体" w:hAnsi="宋体" w:eastAsia="宋体" w:cs="Times New Roman"/>
                <w:color w:val="000000"/>
                <w:sz w:val="24"/>
              </w:rPr>
              <w:br w:type="textWrapping"/>
            </w:r>
            <w:r>
              <w:rPr>
                <w:rFonts w:hint="eastAsia" w:ascii="宋体" w:hAnsi="宋体" w:eastAsia="宋体" w:cs="Times New Roman"/>
                <w:color w:val="000000"/>
                <w:sz w:val="24"/>
              </w:rPr>
              <w:t>2.</w:t>
            </w:r>
            <w:r>
              <w:rPr>
                <w:rFonts w:ascii="宋体" w:hAnsi="宋体" w:eastAsia="宋体" w:cs="Times New Roman"/>
                <w:color w:val="000000"/>
                <w:sz w:val="24"/>
              </w:rPr>
              <w:t>小学科学教材分析</w:t>
            </w:r>
          </w:p>
        </w:tc>
        <w:tc>
          <w:tcPr>
            <w:tcW w:w="1134" w:type="dxa"/>
            <w:vAlign w:val="center"/>
          </w:tcPr>
          <w:p w14:paraId="2B62F7E6">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目标</w:t>
            </w:r>
            <w:r>
              <w:rPr>
                <w:rFonts w:hint="eastAsia" w:ascii="宋体" w:hAnsi="宋体" w:eastAsia="宋体" w:cs="Times New Roman"/>
                <w:color w:val="000000"/>
                <w:sz w:val="24"/>
              </w:rPr>
              <w:t>2</w:t>
            </w:r>
          </w:p>
        </w:tc>
        <w:tc>
          <w:tcPr>
            <w:tcW w:w="2552" w:type="dxa"/>
            <w:vAlign w:val="center"/>
          </w:tcPr>
          <w:p w14:paraId="0ECCF339">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解读课程标准，理解教材内容和编排特点，能够基于标准设计教学。</w:t>
            </w:r>
          </w:p>
        </w:tc>
        <w:tc>
          <w:tcPr>
            <w:tcW w:w="1646" w:type="dxa"/>
            <w:vAlign w:val="center"/>
          </w:tcPr>
          <w:p w14:paraId="679B7BD1">
            <w:pPr>
              <w:spacing w:line="276" w:lineRule="auto"/>
              <w:jc w:val="left"/>
              <w:rPr>
                <w:rFonts w:hint="eastAsia" w:ascii="宋体" w:hAnsi="宋体" w:eastAsia="宋体"/>
                <w:sz w:val="24"/>
              </w:rPr>
            </w:pPr>
            <w:r>
              <w:rPr>
                <w:rFonts w:hint="eastAsia" w:ascii="宋体" w:hAnsi="宋体" w:eastAsia="宋体"/>
                <w:sz w:val="24"/>
              </w:rPr>
              <w:t>1.多媒体教学</w:t>
            </w:r>
          </w:p>
          <w:p w14:paraId="52E9DDE9">
            <w:pPr>
              <w:spacing w:line="276" w:lineRule="auto"/>
              <w:jc w:val="left"/>
              <w:rPr>
                <w:rFonts w:hint="eastAsia" w:ascii="宋体" w:hAnsi="宋体"/>
                <w:sz w:val="24"/>
              </w:rPr>
            </w:pPr>
            <w:r>
              <w:rPr>
                <w:rFonts w:hint="eastAsia" w:ascii="宋体" w:hAnsi="宋体" w:eastAsia="宋体"/>
                <w:sz w:val="24"/>
              </w:rPr>
              <w:t>2.课堂讨论</w:t>
            </w:r>
            <w:r>
              <w:rPr>
                <w:rFonts w:ascii="宋体" w:hAnsi="宋体" w:eastAsia="宋体" w:cs="Times New Roman"/>
                <w:color w:val="000000"/>
                <w:sz w:val="24"/>
              </w:rPr>
              <w:br w:type="textWrapping"/>
            </w:r>
            <w:r>
              <w:rPr>
                <w:rFonts w:ascii="宋体" w:hAnsi="宋体" w:eastAsia="宋体" w:cs="Times New Roman"/>
                <w:color w:val="000000"/>
                <w:sz w:val="24"/>
              </w:rPr>
              <w:t>3. 教材分析</w:t>
            </w:r>
          </w:p>
        </w:tc>
        <w:tc>
          <w:tcPr>
            <w:tcW w:w="427" w:type="dxa"/>
            <w:vAlign w:val="center"/>
          </w:tcPr>
          <w:p w14:paraId="70F31D71">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8</w:t>
            </w:r>
          </w:p>
        </w:tc>
      </w:tr>
      <w:tr w14:paraId="20C8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31B8CA05">
            <w:pPr>
              <w:spacing w:line="264" w:lineRule="auto"/>
              <w:jc w:val="center"/>
              <w:rPr>
                <w:rFonts w:hint="eastAsia" w:ascii="宋体" w:hAnsi="宋体" w:eastAsia="宋体" w:cs="Times New Roman"/>
                <w:color w:val="000000"/>
                <w:sz w:val="24"/>
              </w:rPr>
            </w:pPr>
          </w:p>
        </w:tc>
        <w:tc>
          <w:tcPr>
            <w:tcW w:w="8112" w:type="dxa"/>
            <w:gridSpan w:val="5"/>
            <w:vAlign w:val="center"/>
          </w:tcPr>
          <w:p w14:paraId="192AFA16">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ascii="宋体" w:hAnsi="宋体" w:eastAsia="宋体" w:cs="Times New Roman"/>
                <w:b/>
                <w:bCs/>
                <w:color w:val="000000"/>
                <w:sz w:val="24"/>
              </w:rPr>
              <w:t>注重教育的育人功能</w:t>
            </w:r>
            <w:r>
              <w:rPr>
                <w:rFonts w:hint="eastAsia" w:ascii="宋体" w:hAnsi="宋体" w:eastAsia="宋体" w:cs="Times New Roman"/>
                <w:color w:val="000000"/>
                <w:sz w:val="24"/>
              </w:rPr>
              <w:t>。</w:t>
            </w:r>
            <w:r>
              <w:rPr>
                <w:rFonts w:ascii="宋体" w:hAnsi="宋体" w:eastAsia="宋体" w:cs="Times New Roman"/>
                <w:color w:val="000000"/>
                <w:sz w:val="24"/>
              </w:rPr>
              <w:t>将科学课程的知识学习与品德养成相结合，注重学生的全面发展。</w:t>
            </w:r>
          </w:p>
        </w:tc>
      </w:tr>
      <w:tr w14:paraId="018B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52F07C13">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第四章</w:t>
            </w:r>
          </w:p>
          <w:p w14:paraId="6ED4D19F">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科学方法教育</w:t>
            </w:r>
          </w:p>
        </w:tc>
        <w:tc>
          <w:tcPr>
            <w:tcW w:w="2353" w:type="dxa"/>
            <w:vAlign w:val="center"/>
          </w:tcPr>
          <w:p w14:paraId="757AB01A">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基本的科学方法</w:t>
            </w:r>
            <w:r>
              <w:rPr>
                <w:rFonts w:ascii="宋体" w:hAnsi="宋体" w:eastAsia="宋体" w:cs="Times New Roman"/>
                <w:color w:val="000000"/>
                <w:sz w:val="24"/>
              </w:rPr>
              <w:br w:type="textWrapping"/>
            </w:r>
            <w:r>
              <w:rPr>
                <w:rFonts w:hint="eastAsia" w:ascii="宋体" w:hAnsi="宋体" w:eastAsia="宋体" w:cs="Times New Roman"/>
                <w:color w:val="000000"/>
                <w:sz w:val="24"/>
              </w:rPr>
              <w:t>2.</w:t>
            </w:r>
            <w:r>
              <w:rPr>
                <w:rFonts w:ascii="宋体" w:hAnsi="宋体" w:eastAsia="宋体" w:cs="Times New Roman"/>
                <w:color w:val="000000"/>
                <w:sz w:val="24"/>
              </w:rPr>
              <w:t>科学研究方法</w:t>
            </w:r>
            <w:r>
              <w:rPr>
                <w:rFonts w:ascii="宋体" w:hAnsi="宋体" w:eastAsia="宋体" w:cs="Times New Roman"/>
                <w:color w:val="000000"/>
                <w:sz w:val="24"/>
              </w:rPr>
              <w:br w:type="textWrapping"/>
            </w:r>
            <w:r>
              <w:rPr>
                <w:rFonts w:hint="eastAsia" w:ascii="宋体" w:hAnsi="宋体" w:eastAsia="宋体" w:cs="Times New Roman"/>
                <w:color w:val="000000"/>
                <w:sz w:val="24"/>
              </w:rPr>
              <w:t>3.</w:t>
            </w:r>
            <w:r>
              <w:rPr>
                <w:rFonts w:ascii="宋体" w:hAnsi="宋体" w:eastAsia="宋体" w:cs="Times New Roman"/>
                <w:color w:val="000000"/>
                <w:sz w:val="24"/>
              </w:rPr>
              <w:t>科学思维方法</w:t>
            </w:r>
          </w:p>
        </w:tc>
        <w:tc>
          <w:tcPr>
            <w:tcW w:w="1134" w:type="dxa"/>
            <w:vAlign w:val="center"/>
          </w:tcPr>
          <w:p w14:paraId="7EC2D2A6">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目标</w:t>
            </w:r>
            <w:r>
              <w:rPr>
                <w:rFonts w:hint="eastAsia" w:ascii="宋体" w:hAnsi="宋体" w:eastAsia="宋体" w:cs="Times New Roman"/>
                <w:color w:val="000000"/>
                <w:sz w:val="24"/>
              </w:rPr>
              <w:t>1</w:t>
            </w:r>
          </w:p>
        </w:tc>
        <w:tc>
          <w:tcPr>
            <w:tcW w:w="2552" w:type="dxa"/>
            <w:vAlign w:val="center"/>
          </w:tcPr>
          <w:p w14:paraId="1318183A">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了解科学方法，掌握其在教学中的应用，设计科学思维训练活动。</w:t>
            </w:r>
          </w:p>
        </w:tc>
        <w:tc>
          <w:tcPr>
            <w:tcW w:w="1646" w:type="dxa"/>
            <w:vAlign w:val="center"/>
          </w:tcPr>
          <w:p w14:paraId="1E662E88">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1. 线上学习</w:t>
            </w:r>
            <w:r>
              <w:rPr>
                <w:rFonts w:ascii="宋体" w:hAnsi="宋体" w:eastAsia="宋体" w:cs="Times New Roman"/>
                <w:color w:val="000000"/>
                <w:sz w:val="24"/>
              </w:rPr>
              <w:br w:type="textWrapping"/>
            </w:r>
            <w:r>
              <w:rPr>
                <w:rFonts w:ascii="宋体" w:hAnsi="宋体" w:eastAsia="宋体" w:cs="Times New Roman"/>
                <w:color w:val="000000"/>
                <w:sz w:val="24"/>
              </w:rPr>
              <w:t>2. 案例分析</w:t>
            </w:r>
            <w:r>
              <w:rPr>
                <w:rFonts w:ascii="宋体" w:hAnsi="宋体" w:eastAsia="宋体" w:cs="Times New Roman"/>
                <w:color w:val="000000"/>
                <w:sz w:val="24"/>
              </w:rPr>
              <w:br w:type="textWrapping"/>
            </w:r>
            <w:r>
              <w:rPr>
                <w:rFonts w:ascii="宋体" w:hAnsi="宋体" w:eastAsia="宋体" w:cs="Times New Roman"/>
                <w:color w:val="000000"/>
                <w:sz w:val="24"/>
              </w:rPr>
              <w:t>3. 小组讨论</w:t>
            </w:r>
          </w:p>
        </w:tc>
        <w:tc>
          <w:tcPr>
            <w:tcW w:w="427" w:type="dxa"/>
            <w:vAlign w:val="center"/>
          </w:tcPr>
          <w:p w14:paraId="5113D97E">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p>
        </w:tc>
      </w:tr>
      <w:tr w14:paraId="51E1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63685AFF">
            <w:pPr>
              <w:spacing w:line="276" w:lineRule="auto"/>
              <w:jc w:val="center"/>
              <w:rPr>
                <w:rFonts w:hint="eastAsia" w:ascii="宋体" w:hAnsi="宋体" w:eastAsia="宋体" w:cs="Times New Roman"/>
                <w:color w:val="000000"/>
                <w:sz w:val="24"/>
              </w:rPr>
            </w:pPr>
          </w:p>
        </w:tc>
        <w:tc>
          <w:tcPr>
            <w:tcW w:w="8112" w:type="dxa"/>
            <w:gridSpan w:val="5"/>
            <w:vAlign w:val="center"/>
          </w:tcPr>
          <w:p w14:paraId="3577D98E">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ascii="宋体" w:hAnsi="宋体" w:eastAsia="宋体" w:cs="Times New Roman"/>
                <w:b/>
                <w:bCs/>
                <w:color w:val="000000"/>
                <w:sz w:val="24"/>
              </w:rPr>
              <w:t>培养批判性与创新性思维</w:t>
            </w:r>
            <w:r>
              <w:rPr>
                <w:rFonts w:hint="eastAsia" w:ascii="宋体" w:hAnsi="宋体" w:eastAsia="宋体" w:cs="Times New Roman"/>
                <w:color w:val="000000"/>
                <w:sz w:val="24"/>
              </w:rPr>
              <w:t>。</w:t>
            </w:r>
            <w:r>
              <w:rPr>
                <w:rFonts w:ascii="宋体" w:hAnsi="宋体" w:eastAsia="宋体" w:cs="Times New Roman"/>
                <w:color w:val="000000"/>
                <w:sz w:val="24"/>
              </w:rPr>
              <w:t>通过科学方法教育，培养学生的批判性思维和创新解决问题的能力。</w:t>
            </w:r>
          </w:p>
        </w:tc>
      </w:tr>
      <w:tr w14:paraId="79C6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64E58333">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第五章</w:t>
            </w:r>
          </w:p>
          <w:p w14:paraId="53E71FB5">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科学教学设计与基本技能</w:t>
            </w:r>
          </w:p>
        </w:tc>
        <w:tc>
          <w:tcPr>
            <w:tcW w:w="2353" w:type="dxa"/>
            <w:vAlign w:val="center"/>
          </w:tcPr>
          <w:p w14:paraId="64B836F9">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科学教学设计的基本原理</w:t>
            </w:r>
            <w:r>
              <w:rPr>
                <w:rFonts w:ascii="宋体" w:hAnsi="宋体" w:eastAsia="宋体" w:cs="Times New Roman"/>
                <w:color w:val="000000"/>
                <w:sz w:val="24"/>
              </w:rPr>
              <w:br w:type="textWrapping"/>
            </w:r>
            <w:r>
              <w:rPr>
                <w:rFonts w:hint="eastAsia" w:ascii="宋体" w:hAnsi="宋体" w:eastAsia="宋体" w:cs="Times New Roman"/>
                <w:color w:val="000000"/>
                <w:sz w:val="24"/>
              </w:rPr>
              <w:t>2.</w:t>
            </w:r>
            <w:r>
              <w:rPr>
                <w:rFonts w:ascii="宋体" w:hAnsi="宋体" w:eastAsia="宋体" w:cs="Times New Roman"/>
                <w:color w:val="000000"/>
                <w:sz w:val="24"/>
              </w:rPr>
              <w:t>教学目标与教学方法</w:t>
            </w:r>
          </w:p>
        </w:tc>
        <w:tc>
          <w:tcPr>
            <w:tcW w:w="1134" w:type="dxa"/>
            <w:vAlign w:val="center"/>
          </w:tcPr>
          <w:p w14:paraId="0A21CE98">
            <w:pPr>
              <w:spacing w:line="276" w:lineRule="auto"/>
              <w:jc w:val="left"/>
              <w:rPr>
                <w:rFonts w:hint="eastAsia" w:ascii="宋体" w:hAnsi="宋体" w:eastAsia="宋体" w:cs="Times New Roman"/>
                <w:color w:val="000000"/>
                <w:sz w:val="24"/>
              </w:rPr>
            </w:pPr>
            <w:bookmarkStart w:id="238" w:name="OLE_LINK4"/>
            <w:r>
              <w:rPr>
                <w:rFonts w:ascii="宋体" w:hAnsi="宋体" w:eastAsia="宋体" w:cs="Times New Roman"/>
                <w:color w:val="000000"/>
                <w:sz w:val="24"/>
              </w:rPr>
              <w:t>目标</w:t>
            </w:r>
            <w:r>
              <w:rPr>
                <w:rFonts w:hint="eastAsia" w:ascii="宋体" w:hAnsi="宋体" w:eastAsia="宋体" w:cs="Times New Roman"/>
                <w:color w:val="000000"/>
                <w:sz w:val="24"/>
              </w:rPr>
              <w:t>2</w:t>
            </w:r>
            <w:bookmarkEnd w:id="238"/>
          </w:p>
        </w:tc>
        <w:tc>
          <w:tcPr>
            <w:tcW w:w="2552" w:type="dxa"/>
            <w:vAlign w:val="center"/>
          </w:tcPr>
          <w:p w14:paraId="4DFF526B">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设计科学课程的教学目标与方法，掌握教学技能并能实施课堂教学。</w:t>
            </w:r>
          </w:p>
        </w:tc>
        <w:tc>
          <w:tcPr>
            <w:tcW w:w="1646" w:type="dxa"/>
            <w:vAlign w:val="center"/>
          </w:tcPr>
          <w:p w14:paraId="5709AB5C">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1. 线上学习</w:t>
            </w:r>
            <w:r>
              <w:rPr>
                <w:rFonts w:ascii="宋体" w:hAnsi="宋体" w:eastAsia="宋体" w:cs="Times New Roman"/>
                <w:color w:val="000000"/>
                <w:sz w:val="24"/>
              </w:rPr>
              <w:br w:type="textWrapping"/>
            </w:r>
            <w:r>
              <w:rPr>
                <w:rFonts w:ascii="宋体" w:hAnsi="宋体" w:eastAsia="宋体" w:cs="Times New Roman"/>
                <w:color w:val="000000"/>
                <w:sz w:val="24"/>
              </w:rPr>
              <w:t>2. 小组活动</w:t>
            </w:r>
            <w:r>
              <w:rPr>
                <w:rFonts w:ascii="宋体" w:hAnsi="宋体" w:eastAsia="宋体" w:cs="Times New Roman"/>
                <w:color w:val="000000"/>
                <w:sz w:val="24"/>
              </w:rPr>
              <w:br w:type="textWrapping"/>
            </w:r>
            <w:r>
              <w:rPr>
                <w:rFonts w:ascii="宋体" w:hAnsi="宋体" w:eastAsia="宋体" w:cs="Times New Roman"/>
                <w:color w:val="000000"/>
                <w:sz w:val="24"/>
              </w:rPr>
              <w:t>3. 教案写作</w:t>
            </w:r>
          </w:p>
        </w:tc>
        <w:tc>
          <w:tcPr>
            <w:tcW w:w="427" w:type="dxa"/>
            <w:vAlign w:val="center"/>
          </w:tcPr>
          <w:p w14:paraId="28FFD61E">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14</w:t>
            </w:r>
          </w:p>
        </w:tc>
      </w:tr>
      <w:tr w14:paraId="0EAF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3EF02781">
            <w:pPr>
              <w:spacing w:line="276" w:lineRule="auto"/>
              <w:jc w:val="center"/>
              <w:rPr>
                <w:rFonts w:hint="eastAsia" w:ascii="宋体" w:hAnsi="宋体" w:eastAsia="宋体" w:cs="Times New Roman"/>
                <w:color w:val="000000"/>
                <w:sz w:val="24"/>
              </w:rPr>
            </w:pPr>
          </w:p>
        </w:tc>
        <w:tc>
          <w:tcPr>
            <w:tcW w:w="8112" w:type="dxa"/>
            <w:gridSpan w:val="5"/>
            <w:vAlign w:val="center"/>
          </w:tcPr>
          <w:p w14:paraId="1E2864CB">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ascii="宋体" w:hAnsi="宋体" w:eastAsia="宋体" w:cs="Times New Roman"/>
                <w:b/>
                <w:bCs/>
                <w:color w:val="000000"/>
                <w:sz w:val="24"/>
              </w:rPr>
              <w:t>引导学生关注学科的育人资源与要素</w:t>
            </w:r>
            <w:r>
              <w:rPr>
                <w:rFonts w:hint="eastAsia" w:ascii="宋体" w:hAnsi="宋体" w:eastAsia="宋体" w:cs="Times New Roman"/>
                <w:color w:val="000000"/>
                <w:sz w:val="24"/>
              </w:rPr>
              <w:t>。</w:t>
            </w:r>
            <w:r>
              <w:rPr>
                <w:rFonts w:ascii="宋体" w:hAnsi="宋体" w:eastAsia="宋体" w:cs="Times New Roman"/>
                <w:color w:val="000000"/>
                <w:sz w:val="24"/>
              </w:rPr>
              <w:t>在设计教学时挖掘课程中的育人要素，注重德智体美劳的全面发展。</w:t>
            </w:r>
          </w:p>
        </w:tc>
      </w:tr>
      <w:tr w14:paraId="3C29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7FBE1704">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第六章</w:t>
            </w:r>
          </w:p>
          <w:p w14:paraId="3A85FA20">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科学教学方法</w:t>
            </w:r>
          </w:p>
        </w:tc>
        <w:tc>
          <w:tcPr>
            <w:tcW w:w="2353" w:type="dxa"/>
            <w:vAlign w:val="center"/>
          </w:tcPr>
          <w:p w14:paraId="40D97943">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讲授式教学与案例</w:t>
            </w:r>
            <w:r>
              <w:rPr>
                <w:rFonts w:ascii="宋体" w:hAnsi="宋体" w:eastAsia="宋体" w:cs="Times New Roman"/>
                <w:color w:val="000000"/>
                <w:sz w:val="24"/>
              </w:rPr>
              <w:br w:type="textWrapping"/>
            </w:r>
            <w:r>
              <w:rPr>
                <w:rFonts w:hint="eastAsia" w:ascii="宋体" w:hAnsi="宋体" w:eastAsia="宋体" w:cs="Times New Roman"/>
                <w:color w:val="000000"/>
                <w:sz w:val="24"/>
              </w:rPr>
              <w:t>2.</w:t>
            </w:r>
            <w:r>
              <w:rPr>
                <w:rFonts w:ascii="宋体" w:hAnsi="宋体" w:eastAsia="宋体" w:cs="Times New Roman"/>
                <w:color w:val="000000"/>
                <w:sz w:val="24"/>
              </w:rPr>
              <w:t xml:space="preserve"> 探究式教学与案例</w:t>
            </w:r>
            <w:r>
              <w:rPr>
                <w:rFonts w:ascii="宋体" w:hAnsi="宋体" w:eastAsia="宋体" w:cs="Times New Roman"/>
                <w:color w:val="000000"/>
                <w:sz w:val="24"/>
              </w:rPr>
              <w:br w:type="textWrapping"/>
            </w:r>
            <w:r>
              <w:rPr>
                <w:rFonts w:hint="eastAsia" w:ascii="宋体" w:hAnsi="宋体" w:eastAsia="宋体" w:cs="Times New Roman"/>
                <w:color w:val="000000"/>
                <w:sz w:val="24"/>
              </w:rPr>
              <w:t>3.</w:t>
            </w:r>
            <w:r>
              <w:rPr>
                <w:rFonts w:ascii="宋体" w:hAnsi="宋体" w:eastAsia="宋体" w:cs="Times New Roman"/>
                <w:color w:val="000000"/>
                <w:sz w:val="24"/>
              </w:rPr>
              <w:t xml:space="preserve"> 研究性学习与案例</w:t>
            </w:r>
            <w:r>
              <w:rPr>
                <w:rFonts w:ascii="宋体" w:hAnsi="宋体" w:eastAsia="宋体" w:cs="Times New Roman"/>
                <w:color w:val="000000"/>
                <w:sz w:val="24"/>
              </w:rPr>
              <w:br w:type="textWrapping"/>
            </w:r>
            <w:r>
              <w:rPr>
                <w:rFonts w:hint="eastAsia" w:ascii="宋体" w:hAnsi="宋体" w:eastAsia="宋体" w:cs="Times New Roman"/>
                <w:color w:val="000000"/>
                <w:sz w:val="24"/>
              </w:rPr>
              <w:t>4.</w:t>
            </w:r>
            <w:r>
              <w:rPr>
                <w:rFonts w:ascii="宋体" w:hAnsi="宋体" w:eastAsia="宋体" w:cs="Times New Roman"/>
                <w:color w:val="000000"/>
                <w:sz w:val="24"/>
              </w:rPr>
              <w:t xml:space="preserve"> HPS教学与案例</w:t>
            </w:r>
          </w:p>
        </w:tc>
        <w:tc>
          <w:tcPr>
            <w:tcW w:w="1134" w:type="dxa"/>
            <w:vAlign w:val="center"/>
          </w:tcPr>
          <w:p w14:paraId="720DDECC">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目标</w:t>
            </w:r>
            <w:r>
              <w:rPr>
                <w:rFonts w:hint="eastAsia" w:ascii="宋体" w:hAnsi="宋体" w:eastAsia="宋体" w:cs="Times New Roman"/>
                <w:color w:val="000000"/>
                <w:sz w:val="24"/>
              </w:rPr>
              <w:t>1、目标2</w:t>
            </w:r>
          </w:p>
        </w:tc>
        <w:tc>
          <w:tcPr>
            <w:tcW w:w="2552" w:type="dxa"/>
            <w:vAlign w:val="center"/>
          </w:tcPr>
          <w:p w14:paraId="192921B0">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掌握多种教学方法，能够灵活应用于不同教学情境，提升课堂互动性。</w:t>
            </w:r>
          </w:p>
        </w:tc>
        <w:tc>
          <w:tcPr>
            <w:tcW w:w="1646" w:type="dxa"/>
            <w:vAlign w:val="center"/>
          </w:tcPr>
          <w:p w14:paraId="59FE0DDD">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1. 线上学习</w:t>
            </w:r>
            <w:r>
              <w:rPr>
                <w:rFonts w:ascii="宋体" w:hAnsi="宋体" w:eastAsia="宋体" w:cs="Times New Roman"/>
                <w:color w:val="000000"/>
                <w:sz w:val="24"/>
              </w:rPr>
              <w:br w:type="textWrapping"/>
            </w:r>
            <w:r>
              <w:rPr>
                <w:rFonts w:ascii="宋体" w:hAnsi="宋体" w:eastAsia="宋体" w:cs="Times New Roman"/>
                <w:color w:val="000000"/>
                <w:sz w:val="24"/>
              </w:rPr>
              <w:t>2. 小组讨论</w:t>
            </w:r>
            <w:r>
              <w:rPr>
                <w:rFonts w:ascii="宋体" w:hAnsi="宋体" w:eastAsia="宋体" w:cs="Times New Roman"/>
                <w:color w:val="000000"/>
                <w:sz w:val="24"/>
              </w:rPr>
              <w:br w:type="textWrapping"/>
            </w:r>
            <w:r>
              <w:rPr>
                <w:rFonts w:ascii="宋体" w:hAnsi="宋体" w:eastAsia="宋体" w:cs="Times New Roman"/>
                <w:color w:val="000000"/>
                <w:sz w:val="24"/>
              </w:rPr>
              <w:t>3. 案例分析</w:t>
            </w:r>
          </w:p>
        </w:tc>
        <w:tc>
          <w:tcPr>
            <w:tcW w:w="427" w:type="dxa"/>
            <w:vAlign w:val="center"/>
          </w:tcPr>
          <w:p w14:paraId="0266C895">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8</w:t>
            </w:r>
          </w:p>
        </w:tc>
      </w:tr>
      <w:tr w14:paraId="3988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2431B6C8">
            <w:pPr>
              <w:spacing w:line="276" w:lineRule="auto"/>
              <w:jc w:val="center"/>
              <w:rPr>
                <w:rFonts w:hint="eastAsia" w:ascii="宋体" w:hAnsi="宋体" w:eastAsia="宋体" w:cs="Times New Roman"/>
                <w:color w:val="000000"/>
                <w:sz w:val="24"/>
              </w:rPr>
            </w:pPr>
          </w:p>
        </w:tc>
        <w:tc>
          <w:tcPr>
            <w:tcW w:w="8112" w:type="dxa"/>
            <w:gridSpan w:val="5"/>
            <w:vAlign w:val="center"/>
          </w:tcPr>
          <w:p w14:paraId="223DD7B2">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b/>
                <w:bCs/>
                <w:color w:val="000000"/>
                <w:sz w:val="24"/>
              </w:rPr>
              <w:t>强化教师职业素养和教育情怀</w:t>
            </w:r>
            <w:r>
              <w:rPr>
                <w:rFonts w:ascii="宋体" w:hAnsi="宋体" w:eastAsia="宋体" w:cs="Times New Roman"/>
                <w:color w:val="000000"/>
                <w:sz w:val="24"/>
              </w:rPr>
              <w:t>：通过教学方法的学习，树立教师职业责任感与教育情怀。</w:t>
            </w:r>
          </w:p>
        </w:tc>
      </w:tr>
      <w:tr w14:paraId="4BAB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47BA39C7">
            <w:pPr>
              <w:spacing w:line="276" w:lineRule="auto"/>
              <w:jc w:val="center"/>
              <w:rPr>
                <w:rFonts w:hint="eastAsia" w:ascii="宋体" w:hAnsi="宋体" w:eastAsia="宋体" w:cs="Times New Roman"/>
                <w:sz w:val="24"/>
              </w:rPr>
            </w:pPr>
            <w:r>
              <w:rPr>
                <w:rFonts w:hint="eastAsia" w:ascii="宋体" w:hAnsi="宋体" w:eastAsia="宋体" w:cs="Times New Roman"/>
                <w:sz w:val="24"/>
              </w:rPr>
              <w:t>第七章</w:t>
            </w:r>
          </w:p>
          <w:p w14:paraId="4E4772F7">
            <w:pPr>
              <w:spacing w:line="276" w:lineRule="auto"/>
              <w:jc w:val="center"/>
              <w:rPr>
                <w:rFonts w:hint="eastAsia" w:ascii="宋体" w:hAnsi="宋体" w:eastAsia="宋体" w:cs="Times New Roman"/>
                <w:sz w:val="24"/>
              </w:rPr>
            </w:pPr>
            <w:r>
              <w:rPr>
                <w:rFonts w:hint="eastAsia" w:ascii="宋体" w:hAnsi="宋体" w:eastAsia="宋体" w:cs="Times New Roman"/>
                <w:sz w:val="24"/>
              </w:rPr>
              <w:t>科学教学评价</w:t>
            </w:r>
          </w:p>
        </w:tc>
        <w:tc>
          <w:tcPr>
            <w:tcW w:w="2353" w:type="dxa"/>
            <w:vAlign w:val="center"/>
          </w:tcPr>
          <w:p w14:paraId="2612483F">
            <w:pPr>
              <w:spacing w:line="276" w:lineRule="auto"/>
              <w:jc w:val="left"/>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小学科学教学评价的功能与特征</w:t>
            </w:r>
            <w:r>
              <w:rPr>
                <w:rFonts w:ascii="宋体" w:hAnsi="宋体" w:eastAsia="宋体" w:cs="Times New Roman"/>
                <w:sz w:val="24"/>
              </w:rPr>
              <w:br w:type="textWrapping"/>
            </w:r>
            <w:r>
              <w:rPr>
                <w:rFonts w:hint="eastAsia" w:ascii="宋体" w:hAnsi="宋体" w:eastAsia="宋体" w:cs="Times New Roman"/>
                <w:sz w:val="24"/>
              </w:rPr>
              <w:t>2.</w:t>
            </w:r>
            <w:r>
              <w:rPr>
                <w:rFonts w:ascii="宋体" w:hAnsi="宋体" w:eastAsia="宋体" w:cs="Times New Roman"/>
                <w:sz w:val="24"/>
              </w:rPr>
              <w:t>小学科学教学评价的目标与类型</w:t>
            </w:r>
          </w:p>
        </w:tc>
        <w:tc>
          <w:tcPr>
            <w:tcW w:w="1134" w:type="dxa"/>
            <w:vAlign w:val="center"/>
          </w:tcPr>
          <w:p w14:paraId="266A5C8D">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目标2、目标3</w:t>
            </w:r>
          </w:p>
        </w:tc>
        <w:tc>
          <w:tcPr>
            <w:tcW w:w="2552" w:type="dxa"/>
            <w:vAlign w:val="center"/>
          </w:tcPr>
          <w:p w14:paraId="596D4185">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掌握教学评价方法，能独立进行科学课程的评价并提出改进方案。</w:t>
            </w:r>
          </w:p>
        </w:tc>
        <w:tc>
          <w:tcPr>
            <w:tcW w:w="1646" w:type="dxa"/>
            <w:vAlign w:val="center"/>
          </w:tcPr>
          <w:p w14:paraId="4F778347">
            <w:pPr>
              <w:spacing w:line="276" w:lineRule="auto"/>
              <w:jc w:val="left"/>
              <w:rPr>
                <w:rFonts w:hint="eastAsia" w:ascii="宋体" w:hAnsi="宋体" w:eastAsia="宋体" w:cs="Times New Roman"/>
                <w:color w:val="000000"/>
                <w:sz w:val="24"/>
              </w:rPr>
            </w:pPr>
            <w:r>
              <w:rPr>
                <w:rFonts w:ascii="宋体" w:hAnsi="宋体" w:eastAsia="宋体" w:cs="Times New Roman"/>
                <w:color w:val="000000"/>
                <w:sz w:val="24"/>
              </w:rPr>
              <w:t>1. 线上学习</w:t>
            </w:r>
            <w:r>
              <w:rPr>
                <w:rFonts w:ascii="宋体" w:hAnsi="宋体" w:eastAsia="宋体" w:cs="Times New Roman"/>
                <w:color w:val="000000"/>
                <w:sz w:val="24"/>
              </w:rPr>
              <w:br w:type="textWrapping"/>
            </w:r>
            <w:r>
              <w:rPr>
                <w:rFonts w:ascii="宋体" w:hAnsi="宋体" w:eastAsia="宋体" w:cs="Times New Roman"/>
                <w:color w:val="000000"/>
                <w:sz w:val="24"/>
              </w:rPr>
              <w:t>2. 小组讨论</w:t>
            </w:r>
            <w:r>
              <w:rPr>
                <w:rFonts w:ascii="宋体" w:hAnsi="宋体" w:eastAsia="宋体" w:cs="Times New Roman"/>
                <w:color w:val="000000"/>
                <w:sz w:val="24"/>
              </w:rPr>
              <w:br w:type="textWrapping"/>
            </w:r>
            <w:r>
              <w:rPr>
                <w:rFonts w:ascii="宋体" w:hAnsi="宋体" w:eastAsia="宋体" w:cs="Times New Roman"/>
                <w:color w:val="000000"/>
                <w:sz w:val="24"/>
              </w:rPr>
              <w:t>3. 教学评价实践</w:t>
            </w:r>
          </w:p>
        </w:tc>
        <w:tc>
          <w:tcPr>
            <w:tcW w:w="427" w:type="dxa"/>
            <w:vAlign w:val="center"/>
          </w:tcPr>
          <w:p w14:paraId="36F40D37">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8</w:t>
            </w:r>
          </w:p>
        </w:tc>
      </w:tr>
      <w:tr w14:paraId="36F3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185766E5">
            <w:pPr>
              <w:spacing w:line="276" w:lineRule="auto"/>
              <w:jc w:val="center"/>
              <w:rPr>
                <w:rFonts w:hint="eastAsia" w:ascii="宋体" w:hAnsi="宋体" w:eastAsia="宋体" w:cs="Times New Roman"/>
                <w:color w:val="000000"/>
                <w:sz w:val="24"/>
              </w:rPr>
            </w:pPr>
          </w:p>
        </w:tc>
        <w:tc>
          <w:tcPr>
            <w:tcW w:w="8112" w:type="dxa"/>
            <w:gridSpan w:val="5"/>
            <w:vAlign w:val="center"/>
          </w:tcPr>
          <w:p w14:paraId="6C132EB0">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b/>
                <w:bCs/>
                <w:color w:val="000000"/>
                <w:sz w:val="24"/>
              </w:rPr>
              <w:t>辩证认识评价的工具性与教育性</w:t>
            </w:r>
            <w:r>
              <w:rPr>
                <w:rFonts w:ascii="宋体" w:hAnsi="宋体" w:eastAsia="宋体" w:cs="Times New Roman"/>
                <w:color w:val="000000"/>
                <w:sz w:val="24"/>
              </w:rPr>
              <w:t>：通过科学的评价促进教学发展，帮助学生认识自我提升。</w:t>
            </w:r>
          </w:p>
        </w:tc>
      </w:tr>
      <w:tr w14:paraId="0949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14:paraId="250A273F">
            <w:pPr>
              <w:adjustRightInd w:val="0"/>
              <w:snapToGrid w:val="0"/>
              <w:spacing w:line="276" w:lineRule="auto"/>
              <w:jc w:val="center"/>
              <w:rPr>
                <w:rFonts w:hint="eastAsia" w:ascii="宋体" w:hAnsi="宋体" w:eastAsia="宋体"/>
                <w:bCs/>
                <w:color w:val="000000"/>
                <w:sz w:val="24"/>
              </w:rPr>
            </w:pPr>
            <w:bookmarkStart w:id="239" w:name="_Hlk184911855"/>
            <w:r>
              <w:rPr>
                <w:rFonts w:hint="eastAsia" w:ascii="宋体" w:hAnsi="宋体" w:eastAsia="宋体"/>
                <w:bCs/>
                <w:color w:val="000000"/>
                <w:sz w:val="24"/>
              </w:rPr>
              <w:t>第八章</w:t>
            </w:r>
          </w:p>
          <w:p w14:paraId="11905CC7">
            <w:pPr>
              <w:spacing w:line="264" w:lineRule="auto"/>
              <w:jc w:val="center"/>
              <w:rPr>
                <w:rFonts w:hint="eastAsia" w:ascii="宋体" w:hAnsi="宋体" w:eastAsia="宋体" w:cs="Times New Roman"/>
                <w:color w:val="000000"/>
                <w:sz w:val="24"/>
              </w:rPr>
            </w:pPr>
            <w:bookmarkStart w:id="240" w:name="_Hlk184911949"/>
            <w:r>
              <w:rPr>
                <w:rFonts w:hint="eastAsia" w:ascii="宋体" w:hAnsi="宋体" w:eastAsia="宋体"/>
                <w:bCs/>
                <w:color w:val="000000"/>
                <w:sz w:val="24"/>
              </w:rPr>
              <w:t>小学科学教师专业发展</w:t>
            </w:r>
            <w:bookmarkEnd w:id="240"/>
          </w:p>
        </w:tc>
        <w:tc>
          <w:tcPr>
            <w:tcW w:w="2353" w:type="dxa"/>
          </w:tcPr>
          <w:p w14:paraId="6A43FD4E">
            <w:pPr>
              <w:adjustRightInd w:val="0"/>
              <w:snapToGrid w:val="0"/>
              <w:spacing w:line="276" w:lineRule="auto"/>
              <w:rPr>
                <w:rFonts w:hint="eastAsia" w:ascii="宋体" w:hAnsi="宋体" w:eastAsia="宋体"/>
                <w:bCs/>
                <w:color w:val="000000"/>
                <w:sz w:val="24"/>
              </w:rPr>
            </w:pPr>
            <w:r>
              <w:rPr>
                <w:rFonts w:hint="eastAsia" w:ascii="宋体" w:hAnsi="宋体" w:eastAsia="宋体"/>
                <w:bCs/>
                <w:color w:val="000000"/>
                <w:sz w:val="24"/>
              </w:rPr>
              <w:t>1</w:t>
            </w:r>
            <w:r>
              <w:rPr>
                <w:rFonts w:ascii="宋体" w:hAnsi="宋体" w:eastAsia="宋体"/>
                <w:bCs/>
                <w:color w:val="000000"/>
                <w:sz w:val="24"/>
              </w:rPr>
              <w:t>.</w:t>
            </w:r>
            <w:r>
              <w:rPr>
                <w:rFonts w:hint="eastAsia" w:ascii="宋体" w:hAnsi="宋体" w:eastAsia="宋体"/>
                <w:bCs/>
                <w:color w:val="000000"/>
                <w:sz w:val="24"/>
              </w:rPr>
              <w:t>科学课教师的角色和行为</w:t>
            </w:r>
          </w:p>
          <w:p w14:paraId="4D599052">
            <w:pPr>
              <w:spacing w:line="264" w:lineRule="auto"/>
              <w:jc w:val="left"/>
              <w:rPr>
                <w:rFonts w:hint="eastAsia" w:ascii="宋体" w:hAnsi="宋体" w:eastAsia="宋体" w:cs="Times New Roman"/>
                <w:color w:val="000000"/>
                <w:sz w:val="24"/>
              </w:rPr>
            </w:pPr>
            <w:r>
              <w:rPr>
                <w:rFonts w:hint="eastAsia" w:ascii="宋体" w:hAnsi="宋体" w:eastAsia="宋体"/>
                <w:bCs/>
                <w:color w:val="000000"/>
                <w:sz w:val="24"/>
              </w:rPr>
              <w:t>2</w:t>
            </w:r>
            <w:r>
              <w:rPr>
                <w:rFonts w:ascii="宋体" w:hAnsi="宋体" w:eastAsia="宋体"/>
                <w:bCs/>
                <w:color w:val="000000"/>
                <w:sz w:val="24"/>
              </w:rPr>
              <w:t>.</w:t>
            </w:r>
            <w:r>
              <w:rPr>
                <w:rFonts w:hint="eastAsia" w:ascii="宋体" w:hAnsi="宋体" w:eastAsia="宋体"/>
                <w:bCs/>
                <w:color w:val="000000"/>
                <w:sz w:val="24"/>
              </w:rPr>
              <w:t>科学课教师的基本素质和专业化发展路径</w:t>
            </w:r>
          </w:p>
        </w:tc>
        <w:tc>
          <w:tcPr>
            <w:tcW w:w="1134" w:type="dxa"/>
            <w:vAlign w:val="center"/>
          </w:tcPr>
          <w:p w14:paraId="000284B7">
            <w:pPr>
              <w:spacing w:line="264" w:lineRule="auto"/>
              <w:jc w:val="center"/>
              <w:rPr>
                <w:rFonts w:hint="eastAsia" w:ascii="宋体" w:hAnsi="宋体" w:eastAsia="宋体" w:cs="Times New Roman"/>
                <w:color w:val="000000"/>
                <w:sz w:val="24"/>
              </w:rPr>
            </w:pPr>
            <w:r>
              <w:rPr>
                <w:rFonts w:hint="eastAsia" w:ascii="宋体" w:hAnsi="宋体" w:eastAsia="宋体"/>
                <w:bCs/>
                <w:color w:val="000000"/>
                <w:sz w:val="24"/>
              </w:rPr>
              <w:t>目标3</w:t>
            </w:r>
          </w:p>
        </w:tc>
        <w:tc>
          <w:tcPr>
            <w:tcW w:w="2552" w:type="dxa"/>
          </w:tcPr>
          <w:p w14:paraId="7BAA1BAC">
            <w:pPr>
              <w:spacing w:line="264" w:lineRule="auto"/>
              <w:jc w:val="left"/>
              <w:rPr>
                <w:rFonts w:hint="eastAsia" w:ascii="宋体" w:hAnsi="宋体" w:eastAsia="宋体" w:cs="Times New Roman"/>
                <w:color w:val="000000"/>
                <w:sz w:val="24"/>
              </w:rPr>
            </w:pPr>
            <w:r>
              <w:rPr>
                <w:rFonts w:hint="eastAsia" w:ascii="宋体" w:hAnsi="宋体" w:eastAsia="宋体"/>
                <w:bCs/>
                <w:color w:val="000000"/>
                <w:sz w:val="24"/>
              </w:rPr>
              <w:t>了解小学科学教师的专业发展趋势，掌握科学教师的专业角色与基本素养要求。</w:t>
            </w:r>
          </w:p>
        </w:tc>
        <w:tc>
          <w:tcPr>
            <w:tcW w:w="1646" w:type="dxa"/>
          </w:tcPr>
          <w:p w14:paraId="47F4825B">
            <w:pPr>
              <w:spacing w:line="276" w:lineRule="auto"/>
              <w:jc w:val="left"/>
              <w:rPr>
                <w:rFonts w:hint="eastAsia" w:ascii="宋体" w:hAnsi="宋体" w:eastAsia="宋体"/>
                <w:sz w:val="24"/>
              </w:rPr>
            </w:pPr>
            <w:r>
              <w:rPr>
                <w:rFonts w:hint="eastAsia" w:ascii="宋体" w:hAnsi="宋体" w:eastAsia="宋体"/>
                <w:sz w:val="24"/>
              </w:rPr>
              <w:t>1.多媒体教学</w:t>
            </w:r>
          </w:p>
          <w:p w14:paraId="0A39C1D7">
            <w:pPr>
              <w:spacing w:line="276" w:lineRule="auto"/>
              <w:jc w:val="left"/>
              <w:rPr>
                <w:rFonts w:hint="eastAsia" w:ascii="宋体" w:hAnsi="宋体" w:eastAsia="宋体"/>
                <w:sz w:val="24"/>
              </w:rPr>
            </w:pPr>
            <w:r>
              <w:rPr>
                <w:rFonts w:hint="eastAsia" w:ascii="宋体" w:hAnsi="宋体" w:eastAsia="宋体"/>
                <w:sz w:val="24"/>
              </w:rPr>
              <w:t>2.课堂讨论</w:t>
            </w:r>
          </w:p>
          <w:p w14:paraId="64CE1458">
            <w:pPr>
              <w:spacing w:line="264" w:lineRule="auto"/>
              <w:jc w:val="left"/>
              <w:rPr>
                <w:rFonts w:hint="eastAsia" w:ascii="宋体" w:hAnsi="宋体" w:eastAsia="宋体" w:cs="Times New Roman"/>
                <w:color w:val="000000"/>
                <w:sz w:val="24"/>
              </w:rPr>
            </w:pPr>
            <w:r>
              <w:rPr>
                <w:rFonts w:hint="eastAsia" w:ascii="宋体" w:hAnsi="宋体" w:eastAsia="宋体"/>
                <w:sz w:val="24"/>
              </w:rPr>
              <w:t>3</w:t>
            </w:r>
            <w:r>
              <w:rPr>
                <w:rFonts w:ascii="宋体" w:hAnsi="宋体" w:eastAsia="宋体"/>
                <w:sz w:val="24"/>
              </w:rPr>
              <w:t>.</w:t>
            </w:r>
            <w:r>
              <w:rPr>
                <w:rFonts w:hint="eastAsia" w:ascii="宋体" w:hAnsi="宋体" w:eastAsia="宋体"/>
                <w:sz w:val="24"/>
              </w:rPr>
              <w:t>案例分析</w:t>
            </w:r>
          </w:p>
        </w:tc>
        <w:tc>
          <w:tcPr>
            <w:tcW w:w="427" w:type="dxa"/>
            <w:vAlign w:val="center"/>
          </w:tcPr>
          <w:p w14:paraId="50EF597F">
            <w:pPr>
              <w:spacing w:line="264" w:lineRule="auto"/>
              <w:jc w:val="center"/>
              <w:rPr>
                <w:rFonts w:hint="eastAsia" w:ascii="宋体" w:hAnsi="宋体" w:eastAsia="宋体" w:cs="Times New Roman"/>
                <w:color w:val="000000"/>
                <w:sz w:val="24"/>
              </w:rPr>
            </w:pPr>
            <w:r>
              <w:rPr>
                <w:rFonts w:hint="eastAsia" w:ascii="宋体" w:hAnsi="宋体"/>
                <w:bCs/>
                <w:color w:val="000000"/>
                <w:sz w:val="24"/>
              </w:rPr>
              <w:t>2</w:t>
            </w:r>
          </w:p>
        </w:tc>
      </w:tr>
      <w:bookmarkEnd w:id="239"/>
      <w:tr w14:paraId="0F64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14:paraId="5983FE58">
            <w:pPr>
              <w:spacing w:line="264" w:lineRule="auto"/>
              <w:jc w:val="center"/>
              <w:rPr>
                <w:rFonts w:hint="eastAsia" w:ascii="宋体" w:hAnsi="宋体" w:eastAsia="宋体" w:cs="Times New Roman"/>
                <w:color w:val="000000"/>
                <w:sz w:val="24"/>
              </w:rPr>
            </w:pPr>
          </w:p>
        </w:tc>
        <w:tc>
          <w:tcPr>
            <w:tcW w:w="8112" w:type="dxa"/>
            <w:gridSpan w:val="5"/>
            <w:vAlign w:val="center"/>
          </w:tcPr>
          <w:p w14:paraId="37C15847">
            <w:pPr>
              <w:spacing w:line="264"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ascii="宋体" w:hAnsi="宋体" w:eastAsia="宋体" w:cs="Times New Roman"/>
                <w:b/>
                <w:bCs/>
                <w:color w:val="000000"/>
                <w:sz w:val="24"/>
              </w:rPr>
              <w:t>注重教育的育人功能</w:t>
            </w:r>
            <w:r>
              <w:rPr>
                <w:rFonts w:hint="eastAsia" w:ascii="宋体" w:hAnsi="宋体" w:eastAsia="宋体" w:cs="Times New Roman"/>
                <w:color w:val="000000"/>
                <w:sz w:val="24"/>
              </w:rPr>
              <w:t>。</w:t>
            </w:r>
            <w:r>
              <w:rPr>
                <w:rFonts w:ascii="宋体" w:hAnsi="宋体" w:eastAsia="宋体" w:cs="Times New Roman"/>
                <w:color w:val="000000"/>
                <w:sz w:val="24"/>
              </w:rPr>
              <w:t>通过对科学课程的育人功能的认知和理解，使学生能够在未来的教育教学实践中，以更全面的视角看待教育教学的意义。</w:t>
            </w:r>
          </w:p>
        </w:tc>
      </w:tr>
    </w:tbl>
    <w:p w14:paraId="180DC70D">
      <w:pPr>
        <w:spacing w:line="360" w:lineRule="auto"/>
        <w:jc w:val="left"/>
        <w:rPr>
          <w:rFonts w:ascii="Times New Roman" w:hAnsi="Times New Roman" w:eastAsia="宋体" w:cs="Times New Roman"/>
          <w:sz w:val="28"/>
          <w:szCs w:val="28"/>
        </w:rPr>
      </w:pPr>
    </w:p>
    <w:p w14:paraId="6399E98E">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四、目标评价与成绩评定</w:t>
      </w:r>
    </w:p>
    <w:p w14:paraId="22A1D064">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34C46412">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6D3FD4E9">
      <w:pPr>
        <w:spacing w:line="360" w:lineRule="auto"/>
        <w:ind w:firstLine="480" w:firstLineChars="200"/>
        <w:jc w:val="left"/>
        <w:rPr>
          <w:rFonts w:ascii="Times New Roman" w:hAnsi="Times New Roman" w:eastAsia="宋体" w:cs="Times New Roman"/>
          <w:sz w:val="24"/>
        </w:rPr>
      </w:pPr>
    </w:p>
    <w:p w14:paraId="44D7EEB2">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559"/>
        <w:gridCol w:w="1418"/>
        <w:gridCol w:w="1276"/>
        <w:gridCol w:w="1417"/>
        <w:gridCol w:w="1355"/>
      </w:tblGrid>
      <w:tr w14:paraId="4B62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71" w:type="dxa"/>
            <w:vMerge w:val="restart"/>
            <w:vAlign w:val="center"/>
          </w:tcPr>
          <w:p w14:paraId="2AED0CD7">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课程目标</w:t>
            </w:r>
          </w:p>
        </w:tc>
        <w:tc>
          <w:tcPr>
            <w:tcW w:w="5670" w:type="dxa"/>
            <w:gridSpan w:val="4"/>
          </w:tcPr>
          <w:p w14:paraId="63125657">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评价与成绩评定方法</w:t>
            </w:r>
          </w:p>
        </w:tc>
        <w:tc>
          <w:tcPr>
            <w:tcW w:w="1355" w:type="dxa"/>
            <w:vMerge w:val="restart"/>
            <w:vAlign w:val="center"/>
          </w:tcPr>
          <w:p w14:paraId="51873753">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分值</w:t>
            </w:r>
          </w:p>
        </w:tc>
      </w:tr>
      <w:tr w14:paraId="70D7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271" w:type="dxa"/>
            <w:vMerge w:val="continue"/>
            <w:vAlign w:val="center"/>
          </w:tcPr>
          <w:p w14:paraId="12FDC175">
            <w:pPr>
              <w:adjustRightInd w:val="0"/>
              <w:snapToGrid w:val="0"/>
              <w:spacing w:line="276" w:lineRule="auto"/>
              <w:jc w:val="center"/>
              <w:rPr>
                <w:rFonts w:hint="eastAsia" w:ascii="宋体" w:hAnsi="宋体" w:eastAsia="宋体" w:cs="Times New Roman"/>
                <w:sz w:val="24"/>
              </w:rPr>
            </w:pPr>
          </w:p>
        </w:tc>
        <w:tc>
          <w:tcPr>
            <w:tcW w:w="1559" w:type="dxa"/>
            <w:vAlign w:val="center"/>
          </w:tcPr>
          <w:p w14:paraId="2BF36E09">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课堂发言</w:t>
            </w:r>
          </w:p>
        </w:tc>
        <w:tc>
          <w:tcPr>
            <w:tcW w:w="1418" w:type="dxa"/>
            <w:vAlign w:val="center"/>
          </w:tcPr>
          <w:p w14:paraId="34D12284">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平时作业</w:t>
            </w:r>
          </w:p>
        </w:tc>
        <w:tc>
          <w:tcPr>
            <w:tcW w:w="1276" w:type="dxa"/>
            <w:vAlign w:val="center"/>
          </w:tcPr>
          <w:p w14:paraId="5625F439">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课内实践</w:t>
            </w:r>
          </w:p>
        </w:tc>
        <w:tc>
          <w:tcPr>
            <w:tcW w:w="1417" w:type="dxa"/>
            <w:vAlign w:val="center"/>
          </w:tcPr>
          <w:p w14:paraId="0917197C">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期末考试</w:t>
            </w:r>
          </w:p>
        </w:tc>
        <w:tc>
          <w:tcPr>
            <w:tcW w:w="1355" w:type="dxa"/>
            <w:vMerge w:val="continue"/>
            <w:vAlign w:val="center"/>
          </w:tcPr>
          <w:p w14:paraId="5639574D">
            <w:pPr>
              <w:adjustRightInd w:val="0"/>
              <w:snapToGrid w:val="0"/>
              <w:spacing w:line="276" w:lineRule="auto"/>
              <w:jc w:val="center"/>
              <w:rPr>
                <w:rFonts w:hint="eastAsia" w:ascii="宋体" w:hAnsi="宋体" w:eastAsia="宋体" w:cs="Times New Roman"/>
                <w:sz w:val="24"/>
              </w:rPr>
            </w:pPr>
          </w:p>
        </w:tc>
      </w:tr>
      <w:tr w14:paraId="6592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0710942A">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1559" w:type="dxa"/>
            <w:vAlign w:val="center"/>
          </w:tcPr>
          <w:p w14:paraId="2210BE8A">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8" w:type="dxa"/>
            <w:vAlign w:val="center"/>
          </w:tcPr>
          <w:p w14:paraId="776A7F35">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76" w:type="dxa"/>
            <w:vAlign w:val="center"/>
          </w:tcPr>
          <w:p w14:paraId="4B9F149B">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7" w:type="dxa"/>
            <w:vAlign w:val="center"/>
          </w:tcPr>
          <w:p w14:paraId="30E65DFE">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355" w:type="dxa"/>
            <w:vAlign w:val="center"/>
          </w:tcPr>
          <w:p w14:paraId="10B0B164">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4</w:t>
            </w:r>
            <w:r>
              <w:rPr>
                <w:rFonts w:ascii="宋体" w:hAnsi="宋体" w:eastAsia="宋体" w:cs="Times New Roman"/>
                <w:sz w:val="24"/>
              </w:rPr>
              <w:t>0</w:t>
            </w:r>
          </w:p>
        </w:tc>
      </w:tr>
      <w:tr w14:paraId="1C08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301D1429">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1559" w:type="dxa"/>
            <w:vAlign w:val="center"/>
          </w:tcPr>
          <w:p w14:paraId="669B2E80">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8" w:type="dxa"/>
            <w:vAlign w:val="center"/>
          </w:tcPr>
          <w:p w14:paraId="6A53DAE2">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76" w:type="dxa"/>
            <w:vAlign w:val="center"/>
          </w:tcPr>
          <w:p w14:paraId="2E011001">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7" w:type="dxa"/>
            <w:vAlign w:val="center"/>
          </w:tcPr>
          <w:p w14:paraId="79CFD286">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355" w:type="dxa"/>
            <w:vAlign w:val="center"/>
          </w:tcPr>
          <w:p w14:paraId="34CC488E">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t>30</w:t>
            </w:r>
          </w:p>
        </w:tc>
      </w:tr>
      <w:tr w14:paraId="53EF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030182C7">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1559" w:type="dxa"/>
            <w:vAlign w:val="center"/>
          </w:tcPr>
          <w:p w14:paraId="6C02B37A">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8" w:type="dxa"/>
            <w:vAlign w:val="center"/>
          </w:tcPr>
          <w:p w14:paraId="3EAC4F73">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76" w:type="dxa"/>
            <w:vAlign w:val="center"/>
          </w:tcPr>
          <w:p w14:paraId="7370D08E">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417" w:type="dxa"/>
            <w:vAlign w:val="center"/>
          </w:tcPr>
          <w:p w14:paraId="49FDD95D">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355" w:type="dxa"/>
            <w:vAlign w:val="center"/>
          </w:tcPr>
          <w:p w14:paraId="2A888F57">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t>30</w:t>
            </w:r>
          </w:p>
        </w:tc>
      </w:tr>
      <w:tr w14:paraId="0F66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3178D6CE">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1559" w:type="dxa"/>
            <w:vAlign w:val="center"/>
          </w:tcPr>
          <w:p w14:paraId="03D56B5D">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0</w:t>
            </w:r>
          </w:p>
        </w:tc>
        <w:tc>
          <w:tcPr>
            <w:tcW w:w="1418" w:type="dxa"/>
            <w:vAlign w:val="center"/>
          </w:tcPr>
          <w:p w14:paraId="2D84900D">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t>20</w:t>
            </w:r>
          </w:p>
        </w:tc>
        <w:tc>
          <w:tcPr>
            <w:tcW w:w="1276" w:type="dxa"/>
            <w:vAlign w:val="center"/>
          </w:tcPr>
          <w:p w14:paraId="5196FE37">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0</w:t>
            </w:r>
          </w:p>
        </w:tc>
        <w:tc>
          <w:tcPr>
            <w:tcW w:w="1417" w:type="dxa"/>
            <w:vAlign w:val="center"/>
          </w:tcPr>
          <w:p w14:paraId="28A3665D">
            <w:pPr>
              <w:adjustRightInd w:val="0"/>
              <w:snapToGrid w:val="0"/>
              <w:spacing w:line="276" w:lineRule="auto"/>
              <w:jc w:val="center"/>
              <w:rPr>
                <w:rFonts w:hint="eastAsia" w:ascii="宋体" w:hAnsi="宋体" w:eastAsia="宋体" w:cs="Times New Roman"/>
                <w:sz w:val="24"/>
              </w:rPr>
            </w:pPr>
            <w:r>
              <w:rPr>
                <w:rFonts w:ascii="宋体" w:hAnsi="宋体" w:eastAsia="宋体" w:cs="Times New Roman"/>
                <w:sz w:val="24"/>
              </w:rPr>
              <w:t>50</w:t>
            </w:r>
          </w:p>
        </w:tc>
        <w:tc>
          <w:tcPr>
            <w:tcW w:w="1355" w:type="dxa"/>
            <w:vAlign w:val="center"/>
          </w:tcPr>
          <w:p w14:paraId="1F9AC438">
            <w:pPr>
              <w:adjustRightInd w:val="0"/>
              <w:snapToGrid w:val="0"/>
              <w:spacing w:line="276"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66BBD7D1">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4F534D35">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49C5D3C1">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各部分的评价方式和成绩评定的细则</w:t>
      </w:r>
    </w:p>
    <w:tbl>
      <w:tblPr>
        <w:tblStyle w:val="14"/>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509"/>
        <w:gridCol w:w="757"/>
      </w:tblGrid>
      <w:tr w14:paraId="24FE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dxa"/>
            <w:vAlign w:val="center"/>
          </w:tcPr>
          <w:p w14:paraId="4559635D">
            <w:pPr>
              <w:adjustRightInd w:val="0"/>
              <w:snapToGrid w:val="0"/>
              <w:spacing w:line="276"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7509" w:type="dxa"/>
            <w:vAlign w:val="center"/>
          </w:tcPr>
          <w:p w14:paraId="1145AEDF">
            <w:pPr>
              <w:adjustRightInd w:val="0"/>
              <w:snapToGrid w:val="0"/>
              <w:spacing w:line="276"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39524A73">
            <w:pPr>
              <w:adjustRightInd w:val="0"/>
              <w:snapToGrid w:val="0"/>
              <w:spacing w:line="276"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290E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22" w:type="dxa"/>
            <w:tcBorders>
              <w:top w:val="single" w:color="auto" w:sz="4" w:space="0"/>
              <w:left w:val="single" w:color="auto" w:sz="4" w:space="0"/>
              <w:bottom w:val="single" w:color="auto" w:sz="4" w:space="0"/>
              <w:right w:val="single" w:color="auto" w:sz="4" w:space="0"/>
            </w:tcBorders>
            <w:vAlign w:val="center"/>
          </w:tcPr>
          <w:p w14:paraId="6140BEAB">
            <w:pPr>
              <w:snapToGrid w:val="0"/>
              <w:spacing w:line="276" w:lineRule="auto"/>
              <w:rPr>
                <w:rFonts w:hint="eastAsia" w:ascii="宋体" w:hAnsi="宋体" w:eastAsia="宋体"/>
                <w:sz w:val="24"/>
              </w:rPr>
            </w:pPr>
            <w:r>
              <w:rPr>
                <w:rFonts w:hint="eastAsia" w:ascii="宋体" w:hAnsi="宋体" w:eastAsia="宋体"/>
                <w:sz w:val="24"/>
              </w:rPr>
              <w:t>课堂发言</w:t>
            </w:r>
          </w:p>
        </w:tc>
        <w:tc>
          <w:tcPr>
            <w:tcW w:w="7509" w:type="dxa"/>
            <w:tcBorders>
              <w:top w:val="single" w:color="auto" w:sz="4" w:space="0"/>
              <w:left w:val="single" w:color="auto" w:sz="4" w:space="0"/>
              <w:bottom w:val="single" w:color="auto" w:sz="4" w:space="0"/>
              <w:right w:val="single" w:color="auto" w:sz="4" w:space="0"/>
            </w:tcBorders>
            <w:vAlign w:val="center"/>
          </w:tcPr>
          <w:p w14:paraId="0BDF8EE0">
            <w:pPr>
              <w:snapToGrid w:val="0"/>
              <w:spacing w:line="276" w:lineRule="auto"/>
              <w:rPr>
                <w:rFonts w:hint="eastAsia" w:ascii="宋体" w:hAnsi="宋体" w:eastAsia="宋体"/>
                <w:sz w:val="24"/>
              </w:rPr>
            </w:pPr>
            <w:r>
              <w:rPr>
                <w:rFonts w:hint="eastAsia" w:ascii="宋体" w:hAnsi="宋体" w:eastAsia="宋体"/>
                <w:sz w:val="24"/>
              </w:rPr>
              <w:t>根据学生课堂发言情况、学习</w:t>
            </w:r>
            <w:r>
              <w:rPr>
                <w:rFonts w:ascii="宋体" w:hAnsi="宋体" w:eastAsia="宋体"/>
                <w:sz w:val="24"/>
              </w:rPr>
              <w:t>态度</w:t>
            </w:r>
            <w:r>
              <w:rPr>
                <w:rFonts w:hint="eastAsia" w:ascii="宋体" w:hAnsi="宋体" w:eastAsia="宋体"/>
                <w:sz w:val="24"/>
              </w:rPr>
              <w:t>、回答质量进行评分，考察学生课堂听讲效果、课后预习和复习的效果，以及对基础知识的掌握情况。</w:t>
            </w:r>
          </w:p>
        </w:tc>
        <w:tc>
          <w:tcPr>
            <w:tcW w:w="0" w:type="auto"/>
            <w:tcBorders>
              <w:top w:val="single" w:color="auto" w:sz="4" w:space="0"/>
              <w:left w:val="single" w:color="auto" w:sz="4" w:space="0"/>
              <w:bottom w:val="single" w:color="auto" w:sz="4" w:space="0"/>
              <w:right w:val="single" w:color="auto" w:sz="4" w:space="0"/>
            </w:tcBorders>
            <w:vAlign w:val="center"/>
          </w:tcPr>
          <w:p w14:paraId="1A78D84E">
            <w:pPr>
              <w:snapToGrid w:val="0"/>
              <w:spacing w:line="276" w:lineRule="auto"/>
              <w:rPr>
                <w:rFonts w:hint="eastAsia" w:ascii="宋体" w:hAnsi="宋体" w:eastAsia="宋体"/>
                <w:sz w:val="24"/>
              </w:rPr>
            </w:pPr>
            <w:r>
              <w:rPr>
                <w:rFonts w:ascii="宋体" w:hAnsi="宋体" w:eastAsia="宋体"/>
                <w:sz w:val="24"/>
              </w:rPr>
              <w:t>10%</w:t>
            </w:r>
          </w:p>
        </w:tc>
      </w:tr>
      <w:tr w14:paraId="1C8D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2" w:type="dxa"/>
            <w:tcBorders>
              <w:top w:val="single" w:color="auto" w:sz="4" w:space="0"/>
              <w:left w:val="single" w:color="auto" w:sz="4" w:space="0"/>
              <w:bottom w:val="single" w:color="auto" w:sz="4" w:space="0"/>
              <w:right w:val="single" w:color="auto" w:sz="4" w:space="0"/>
            </w:tcBorders>
            <w:vAlign w:val="center"/>
          </w:tcPr>
          <w:p w14:paraId="3D9743C1">
            <w:pPr>
              <w:snapToGrid w:val="0"/>
              <w:spacing w:line="276" w:lineRule="auto"/>
              <w:rPr>
                <w:rFonts w:hint="eastAsia" w:ascii="宋体" w:hAnsi="宋体" w:eastAsia="宋体"/>
                <w:sz w:val="24"/>
              </w:rPr>
            </w:pPr>
            <w:r>
              <w:rPr>
                <w:rFonts w:hint="eastAsia" w:ascii="宋体" w:hAnsi="宋体" w:eastAsia="宋体"/>
                <w:sz w:val="24"/>
              </w:rPr>
              <w:t>平时作业</w:t>
            </w:r>
          </w:p>
        </w:tc>
        <w:tc>
          <w:tcPr>
            <w:tcW w:w="7509" w:type="dxa"/>
            <w:tcBorders>
              <w:top w:val="single" w:color="auto" w:sz="4" w:space="0"/>
              <w:left w:val="single" w:color="auto" w:sz="4" w:space="0"/>
              <w:bottom w:val="single" w:color="auto" w:sz="4" w:space="0"/>
              <w:right w:val="single" w:color="auto" w:sz="4" w:space="0"/>
            </w:tcBorders>
            <w:vAlign w:val="center"/>
          </w:tcPr>
          <w:p w14:paraId="6F0F2AF6">
            <w:pPr>
              <w:snapToGrid w:val="0"/>
              <w:spacing w:line="276" w:lineRule="auto"/>
              <w:rPr>
                <w:rFonts w:hint="eastAsia" w:ascii="宋体" w:hAnsi="宋体" w:eastAsia="宋体"/>
                <w:sz w:val="24"/>
              </w:rPr>
            </w:pPr>
            <w:r>
              <w:rPr>
                <w:rFonts w:ascii="宋体" w:hAnsi="宋体" w:eastAsia="宋体" w:cs="Times New Roman"/>
                <w:color w:val="000000" w:themeColor="text1"/>
                <w:sz w:val="24"/>
                <w14:textFill>
                  <w14:solidFill>
                    <w14:schemeClr w14:val="tx1"/>
                  </w14:solidFill>
                </w14:textFill>
              </w:rPr>
              <w:t>考核学生对</w:t>
            </w:r>
            <w:r>
              <w:rPr>
                <w:rFonts w:hint="eastAsia" w:ascii="宋体" w:hAnsi="宋体" w:eastAsia="宋体" w:cs="Times New Roman"/>
                <w:color w:val="000000" w:themeColor="text1"/>
                <w:sz w:val="24"/>
                <w14:textFill>
                  <w14:solidFill>
                    <w14:schemeClr w14:val="tx1"/>
                  </w14:solidFill>
                </w14:textFill>
              </w:rPr>
              <w:t>各章节重要</w:t>
            </w:r>
            <w:r>
              <w:rPr>
                <w:rFonts w:ascii="宋体" w:hAnsi="宋体" w:eastAsia="宋体" w:cs="Times New Roman"/>
                <w:color w:val="000000" w:themeColor="text1"/>
                <w:sz w:val="24"/>
                <w14:textFill>
                  <w14:solidFill>
                    <w14:schemeClr w14:val="tx1"/>
                  </w14:solidFill>
                </w14:textFill>
              </w:rPr>
              <w:t>知识点的理解和掌握</w:t>
            </w:r>
            <w:r>
              <w:rPr>
                <w:rFonts w:hint="eastAsia" w:ascii="宋体" w:hAnsi="宋体" w:eastAsia="宋体" w:cs="Times New Roman"/>
                <w:color w:val="000000" w:themeColor="text1"/>
                <w:sz w:val="24"/>
                <w14:textFill>
                  <w14:solidFill>
                    <w14:schemeClr w14:val="tx1"/>
                  </w14:solidFill>
                </w14:textFill>
              </w:rPr>
              <w:t>情况</w:t>
            </w:r>
            <w:r>
              <w:rPr>
                <w:rFonts w:ascii="宋体" w:hAnsi="宋体" w:eastAsia="宋体" w:cs="Times New Roman"/>
                <w:color w:val="000000" w:themeColor="text1"/>
                <w:sz w:val="24"/>
                <w14:textFill>
                  <w14:solidFill>
                    <w14:schemeClr w14:val="tx1"/>
                  </w14:solidFill>
                </w14:textFill>
              </w:rPr>
              <w:t>，</w:t>
            </w:r>
            <w:r>
              <w:rPr>
                <w:rFonts w:hint="eastAsia" w:ascii="宋体" w:hAnsi="宋体" w:eastAsia="宋体" w:cs="Times New Roman"/>
                <w:color w:val="000000" w:themeColor="text1"/>
                <w:sz w:val="24"/>
                <w14:textFill>
                  <w14:solidFill>
                    <w14:schemeClr w14:val="tx1"/>
                  </w14:solidFill>
                </w14:textFill>
              </w:rPr>
              <w:t>作业次数不少于3次，安排在课后，教师批改反馈并进行讲解。</w:t>
            </w:r>
          </w:p>
        </w:tc>
        <w:tc>
          <w:tcPr>
            <w:tcW w:w="0" w:type="auto"/>
            <w:tcBorders>
              <w:top w:val="single" w:color="auto" w:sz="4" w:space="0"/>
              <w:left w:val="single" w:color="auto" w:sz="4" w:space="0"/>
              <w:bottom w:val="single" w:color="auto" w:sz="4" w:space="0"/>
              <w:right w:val="single" w:color="auto" w:sz="4" w:space="0"/>
            </w:tcBorders>
            <w:vAlign w:val="center"/>
          </w:tcPr>
          <w:p w14:paraId="33F01621">
            <w:pPr>
              <w:snapToGrid w:val="0"/>
              <w:spacing w:line="276" w:lineRule="auto"/>
              <w:rPr>
                <w:rFonts w:hint="eastAsia" w:ascii="宋体" w:hAnsi="宋体" w:eastAsia="宋体"/>
                <w:sz w:val="24"/>
              </w:rPr>
            </w:pPr>
            <w:r>
              <w:rPr>
                <w:rFonts w:hint="eastAsia" w:ascii="宋体" w:hAnsi="宋体" w:eastAsia="宋体"/>
                <w:sz w:val="24"/>
              </w:rPr>
              <w:t>2</w:t>
            </w:r>
            <w:r>
              <w:rPr>
                <w:rFonts w:ascii="宋体" w:hAnsi="宋体" w:eastAsia="宋体"/>
                <w:sz w:val="24"/>
              </w:rPr>
              <w:t>0%</w:t>
            </w:r>
          </w:p>
        </w:tc>
      </w:tr>
      <w:tr w14:paraId="3560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22" w:type="dxa"/>
            <w:tcBorders>
              <w:top w:val="single" w:color="auto" w:sz="4" w:space="0"/>
              <w:left w:val="single" w:color="auto" w:sz="4" w:space="0"/>
              <w:bottom w:val="single" w:color="auto" w:sz="4" w:space="0"/>
              <w:right w:val="single" w:color="auto" w:sz="4" w:space="0"/>
            </w:tcBorders>
            <w:vAlign w:val="center"/>
          </w:tcPr>
          <w:p w14:paraId="05F4E228">
            <w:pPr>
              <w:snapToGrid w:val="0"/>
              <w:spacing w:line="276" w:lineRule="auto"/>
              <w:rPr>
                <w:rFonts w:hint="eastAsia" w:ascii="宋体" w:hAnsi="宋体" w:eastAsia="宋体"/>
                <w:sz w:val="24"/>
              </w:rPr>
            </w:pPr>
            <w:r>
              <w:rPr>
                <w:rFonts w:hint="eastAsia" w:ascii="宋体" w:hAnsi="宋体" w:eastAsia="宋体"/>
                <w:sz w:val="24"/>
              </w:rPr>
              <w:t>课内实践</w:t>
            </w:r>
          </w:p>
        </w:tc>
        <w:tc>
          <w:tcPr>
            <w:tcW w:w="7509" w:type="dxa"/>
            <w:tcBorders>
              <w:top w:val="single" w:color="auto" w:sz="4" w:space="0"/>
              <w:left w:val="single" w:color="auto" w:sz="4" w:space="0"/>
              <w:bottom w:val="single" w:color="auto" w:sz="4" w:space="0"/>
              <w:right w:val="single" w:color="auto" w:sz="4" w:space="0"/>
            </w:tcBorders>
            <w:vAlign w:val="center"/>
          </w:tcPr>
          <w:p w14:paraId="1E94D9CC">
            <w:pPr>
              <w:snapToGrid w:val="0"/>
              <w:spacing w:line="276" w:lineRule="auto"/>
              <w:rPr>
                <w:rFonts w:hint="eastAsia" w:ascii="宋体" w:hAnsi="宋体" w:eastAsia="宋体"/>
                <w:sz w:val="24"/>
              </w:rPr>
            </w:pPr>
            <w:r>
              <w:rPr>
                <w:rFonts w:hint="eastAsia" w:ascii="宋体" w:hAnsi="宋体" w:eastAsia="宋体" w:cs="Times New Roman"/>
                <w:color w:val="000000" w:themeColor="text1"/>
                <w:sz w:val="24"/>
                <w14:textFill>
                  <w14:solidFill>
                    <w14:schemeClr w14:val="tx1"/>
                  </w14:solidFill>
                </w14:textFill>
              </w:rPr>
              <w:t>按照实践主题要求，准备相应的实践内容，并进行汇报。部分主题需要小组合作。</w:t>
            </w:r>
            <w:r>
              <w:rPr>
                <w:rFonts w:ascii="宋体" w:hAnsi="宋体" w:eastAsia="宋体" w:cs="宋体"/>
                <w:color w:val="000000"/>
                <w:kern w:val="0"/>
                <w:sz w:val="24"/>
              </w:rPr>
              <w:t>主要考核学生应用</w:t>
            </w:r>
            <w:r>
              <w:rPr>
                <w:rFonts w:hint="eastAsia" w:ascii="宋体" w:hAnsi="宋体" w:eastAsia="宋体" w:cs="宋体"/>
                <w:color w:val="000000"/>
                <w:kern w:val="0"/>
                <w:sz w:val="24"/>
              </w:rPr>
              <w:t>科学教育教学理论进行课程分析、设计</w:t>
            </w:r>
            <w:r>
              <w:rPr>
                <w:rFonts w:ascii="宋体" w:hAnsi="宋体" w:eastAsia="宋体" w:cs="宋体"/>
                <w:color w:val="000000"/>
                <w:kern w:val="0"/>
                <w:sz w:val="24"/>
              </w:rPr>
              <w:t>与评价</w:t>
            </w:r>
            <w:r>
              <w:rPr>
                <w:rFonts w:hint="eastAsia" w:ascii="宋体" w:hAnsi="宋体" w:eastAsia="宋体" w:cs="宋体"/>
                <w:color w:val="000000"/>
                <w:kern w:val="0"/>
                <w:sz w:val="24"/>
              </w:rPr>
              <w:t>的</w:t>
            </w:r>
            <w:r>
              <w:rPr>
                <w:rFonts w:ascii="宋体" w:hAnsi="宋体" w:eastAsia="宋体" w:cs="宋体"/>
                <w:color w:val="000000"/>
                <w:kern w:val="0"/>
                <w:sz w:val="24"/>
              </w:rPr>
              <w:t>能力</w:t>
            </w:r>
            <w:r>
              <w:rPr>
                <w:rFonts w:hint="eastAsia" w:ascii="宋体" w:hAnsi="宋体" w:eastAsia="宋体" w:cs="宋体"/>
                <w:color w:val="000000"/>
                <w:kern w:val="0"/>
                <w:sz w:val="24"/>
              </w:rPr>
              <w:t>。</w:t>
            </w:r>
          </w:p>
        </w:tc>
        <w:tc>
          <w:tcPr>
            <w:tcW w:w="0" w:type="auto"/>
            <w:tcBorders>
              <w:top w:val="single" w:color="auto" w:sz="4" w:space="0"/>
              <w:left w:val="single" w:color="auto" w:sz="4" w:space="0"/>
              <w:bottom w:val="single" w:color="auto" w:sz="4" w:space="0"/>
              <w:right w:val="single" w:color="auto" w:sz="4" w:space="0"/>
            </w:tcBorders>
            <w:vAlign w:val="center"/>
          </w:tcPr>
          <w:p w14:paraId="4F74229A">
            <w:pPr>
              <w:snapToGrid w:val="0"/>
              <w:spacing w:line="276" w:lineRule="auto"/>
              <w:rPr>
                <w:rFonts w:hint="eastAsia" w:ascii="宋体" w:hAnsi="宋体" w:eastAsia="宋体"/>
                <w:sz w:val="24"/>
              </w:rPr>
            </w:pPr>
            <w:r>
              <w:rPr>
                <w:rFonts w:hint="eastAsia" w:ascii="宋体" w:hAnsi="宋体" w:eastAsia="宋体"/>
                <w:sz w:val="24"/>
              </w:rPr>
              <w:t>2</w:t>
            </w:r>
            <w:r>
              <w:rPr>
                <w:rFonts w:ascii="宋体" w:hAnsi="宋体" w:eastAsia="宋体"/>
                <w:sz w:val="24"/>
              </w:rPr>
              <w:t>0%</w:t>
            </w:r>
          </w:p>
        </w:tc>
      </w:tr>
      <w:tr w14:paraId="1A10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22" w:type="dxa"/>
            <w:tcBorders>
              <w:top w:val="single" w:color="auto" w:sz="4" w:space="0"/>
              <w:left w:val="single" w:color="auto" w:sz="4" w:space="0"/>
              <w:bottom w:val="single" w:color="auto" w:sz="4" w:space="0"/>
              <w:right w:val="single" w:color="auto" w:sz="4" w:space="0"/>
            </w:tcBorders>
            <w:vAlign w:val="center"/>
          </w:tcPr>
          <w:p w14:paraId="4AF66CF3">
            <w:pPr>
              <w:snapToGrid w:val="0"/>
              <w:spacing w:line="276" w:lineRule="auto"/>
              <w:rPr>
                <w:rFonts w:hint="eastAsia" w:ascii="宋体" w:hAnsi="宋体" w:eastAsia="宋体"/>
                <w:sz w:val="24"/>
              </w:rPr>
            </w:pPr>
            <w:r>
              <w:rPr>
                <w:rFonts w:hint="eastAsia" w:ascii="宋体" w:hAnsi="宋体" w:eastAsia="宋体"/>
                <w:sz w:val="24"/>
              </w:rPr>
              <w:t>期末考试</w:t>
            </w:r>
          </w:p>
        </w:tc>
        <w:tc>
          <w:tcPr>
            <w:tcW w:w="7509" w:type="dxa"/>
            <w:tcBorders>
              <w:top w:val="single" w:color="auto" w:sz="4" w:space="0"/>
              <w:left w:val="single" w:color="auto" w:sz="4" w:space="0"/>
              <w:bottom w:val="single" w:color="auto" w:sz="4" w:space="0"/>
              <w:right w:val="single" w:color="auto" w:sz="4" w:space="0"/>
            </w:tcBorders>
            <w:vAlign w:val="center"/>
          </w:tcPr>
          <w:p w14:paraId="6ABE7639">
            <w:pPr>
              <w:snapToGrid w:val="0"/>
              <w:spacing w:line="276" w:lineRule="auto"/>
              <w:rPr>
                <w:rFonts w:hint="eastAsia" w:ascii="宋体" w:hAnsi="宋体" w:eastAsia="宋体"/>
                <w:sz w:val="24"/>
              </w:rPr>
            </w:pPr>
            <w:r>
              <w:rPr>
                <w:rFonts w:hint="eastAsia" w:ascii="宋体" w:hAnsi="宋体" w:eastAsia="宋体"/>
                <w:sz w:val="24"/>
              </w:rPr>
              <w:t>考试形式由教师确定，</w:t>
            </w:r>
            <w:r>
              <w:rPr>
                <w:rFonts w:eastAsia="宋体"/>
                <w:color w:val="000000"/>
                <w:sz w:val="24"/>
              </w:rPr>
              <w:t>试卷题型包括填空题、简答题、</w:t>
            </w:r>
            <w:r>
              <w:rPr>
                <w:rFonts w:hint="eastAsia" w:eastAsia="宋体"/>
                <w:color w:val="000000"/>
                <w:sz w:val="24"/>
              </w:rPr>
              <w:t>论述</w:t>
            </w:r>
            <w:r>
              <w:rPr>
                <w:rFonts w:eastAsia="宋体"/>
                <w:color w:val="000000"/>
                <w:sz w:val="24"/>
              </w:rPr>
              <w:t>题和</w:t>
            </w:r>
            <w:r>
              <w:rPr>
                <w:rFonts w:hint="eastAsia" w:eastAsia="宋体"/>
                <w:color w:val="000000"/>
                <w:sz w:val="24"/>
              </w:rPr>
              <w:t>教学设计</w:t>
            </w:r>
            <w:r>
              <w:rPr>
                <w:rFonts w:eastAsia="宋体"/>
                <w:color w:val="000000"/>
                <w:sz w:val="24"/>
              </w:rPr>
              <w:t>题等</w:t>
            </w:r>
            <w:r>
              <w:rPr>
                <w:rFonts w:hint="eastAsia" w:eastAsia="宋体"/>
                <w:color w:val="000000"/>
                <w:sz w:val="24"/>
              </w:rPr>
              <w:t>。</w:t>
            </w:r>
            <w:r>
              <w:rPr>
                <w:rFonts w:ascii="宋体" w:hAnsi="宋体" w:eastAsia="宋体"/>
                <w:color w:val="000000"/>
                <w:sz w:val="24"/>
              </w:rPr>
              <w:t>其中</w:t>
            </w:r>
            <w:r>
              <w:rPr>
                <w:rFonts w:hint="eastAsia" w:ascii="宋体" w:hAnsi="宋体" w:eastAsia="宋体"/>
                <w:color w:val="000000"/>
                <w:sz w:val="24"/>
              </w:rPr>
              <w:t>：</w:t>
            </w:r>
            <w:r>
              <w:rPr>
                <w:rFonts w:ascii="宋体" w:hAnsi="宋体" w:eastAsia="宋体"/>
                <w:color w:val="000000"/>
                <w:sz w:val="24"/>
              </w:rPr>
              <w:t>考核</w:t>
            </w:r>
            <w:r>
              <w:rPr>
                <w:rFonts w:hint="eastAsia" w:ascii="宋体" w:hAnsi="宋体" w:eastAsia="宋体"/>
                <w:color w:val="000000"/>
                <w:sz w:val="24"/>
              </w:rPr>
              <w:t>基本概念</w:t>
            </w:r>
            <w:r>
              <w:rPr>
                <w:rFonts w:ascii="宋体" w:hAnsi="宋体" w:eastAsia="宋体"/>
                <w:color w:val="000000"/>
                <w:sz w:val="24"/>
              </w:rPr>
              <w:t>知识型题目占30%；</w:t>
            </w:r>
            <w:r>
              <w:rPr>
                <w:rFonts w:hint="eastAsia" w:ascii="宋体" w:hAnsi="宋体" w:eastAsia="宋体"/>
                <w:color w:val="000000"/>
                <w:sz w:val="24"/>
              </w:rPr>
              <w:t>考核科学教育学习方式占30%；考核教材分析与教学设计占40%。</w:t>
            </w:r>
          </w:p>
        </w:tc>
        <w:tc>
          <w:tcPr>
            <w:tcW w:w="0" w:type="auto"/>
            <w:tcBorders>
              <w:top w:val="single" w:color="auto" w:sz="4" w:space="0"/>
              <w:left w:val="single" w:color="auto" w:sz="4" w:space="0"/>
              <w:bottom w:val="single" w:color="auto" w:sz="4" w:space="0"/>
              <w:right w:val="single" w:color="auto" w:sz="4" w:space="0"/>
            </w:tcBorders>
            <w:vAlign w:val="center"/>
          </w:tcPr>
          <w:p w14:paraId="27CA61A5">
            <w:pPr>
              <w:snapToGrid w:val="0"/>
              <w:spacing w:line="276" w:lineRule="auto"/>
              <w:rPr>
                <w:rFonts w:hint="eastAsia" w:ascii="宋体" w:hAnsi="宋体" w:eastAsia="宋体"/>
                <w:sz w:val="24"/>
              </w:rPr>
            </w:pPr>
            <w:r>
              <w:rPr>
                <w:rFonts w:ascii="宋体" w:hAnsi="宋体" w:eastAsia="宋体"/>
                <w:sz w:val="24"/>
              </w:rPr>
              <w:t>50%</w:t>
            </w:r>
          </w:p>
        </w:tc>
      </w:tr>
      <w:tr w14:paraId="7378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231" w:type="dxa"/>
            <w:gridSpan w:val="2"/>
            <w:tcBorders>
              <w:top w:val="single" w:color="auto" w:sz="4" w:space="0"/>
              <w:left w:val="single" w:color="auto" w:sz="4" w:space="0"/>
              <w:bottom w:val="single" w:color="auto" w:sz="4" w:space="0"/>
              <w:right w:val="single" w:color="auto" w:sz="4" w:space="0"/>
            </w:tcBorders>
            <w:vAlign w:val="center"/>
          </w:tcPr>
          <w:p w14:paraId="0D5DD16D">
            <w:pPr>
              <w:snapToGrid w:val="0"/>
              <w:spacing w:line="276" w:lineRule="auto"/>
              <w:jc w:val="center"/>
              <w:rPr>
                <w:rFonts w:hint="eastAsia" w:ascii="宋体" w:hAnsi="宋体" w:eastAsia="宋体"/>
                <w:sz w:val="24"/>
              </w:rPr>
            </w:pPr>
            <w:r>
              <w:rPr>
                <w:rFonts w:hint="eastAsia" w:ascii="宋体" w:hAnsi="宋体" w:eastAsia="宋体"/>
                <w:sz w:val="24"/>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6337EC7B">
            <w:pPr>
              <w:snapToGrid w:val="0"/>
              <w:spacing w:line="276" w:lineRule="auto"/>
              <w:rPr>
                <w:rFonts w:hint="eastAsia" w:ascii="宋体" w:hAnsi="宋体" w:eastAsia="宋体"/>
                <w:sz w:val="24"/>
              </w:rPr>
            </w:pPr>
            <w:r>
              <w:rPr>
                <w:rFonts w:hint="eastAsia" w:ascii="宋体" w:hAnsi="宋体" w:eastAsia="宋体"/>
                <w:sz w:val="24"/>
              </w:rPr>
              <w:t>1</w:t>
            </w:r>
            <w:r>
              <w:rPr>
                <w:rFonts w:ascii="宋体" w:hAnsi="宋体" w:eastAsia="宋体"/>
                <w:sz w:val="24"/>
              </w:rPr>
              <w:t>00%</w:t>
            </w:r>
          </w:p>
        </w:tc>
      </w:tr>
    </w:tbl>
    <w:p w14:paraId="6168D6C9">
      <w:pPr>
        <w:spacing w:line="360" w:lineRule="auto"/>
        <w:jc w:val="left"/>
        <w:rPr>
          <w:rFonts w:hint="eastAsia" w:ascii="宋体" w:hAnsi="宋体" w:eastAsia="宋体" w:cs="Times New Roman"/>
          <w:b/>
          <w:color w:val="000000"/>
          <w:sz w:val="24"/>
        </w:rPr>
      </w:pPr>
    </w:p>
    <w:p w14:paraId="0E04C818">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（三）课程目标达成度计算方法</w:t>
      </w:r>
    </w:p>
    <w:p w14:paraId="687D09D9">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1FEFAE77">
      <w:pPr>
        <w:spacing w:before="156" w:beforeLines="50"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object>
          <v:shape id="_x0000_i1068"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68" DrawAspect="Content" ObjectID="_1468075768" r:id="rId54">
            <o:LockedField>false</o:LockedField>
          </o:OLEObject>
        </w:object>
      </w:r>
    </w:p>
    <w:p w14:paraId="4904BC88">
      <w:pPr>
        <w:spacing w:line="276" w:lineRule="auto"/>
        <w:rPr>
          <w:rFonts w:ascii="Calibri" w:hAnsi="Calibri" w:eastAsia="宋体" w:cs="Times New Roman"/>
          <w:b/>
          <w:sz w:val="28"/>
          <w:szCs w:val="28"/>
        </w:rPr>
      </w:pPr>
      <w:r>
        <w:rPr>
          <w:rFonts w:hint="eastAsia" w:ascii="Calibri" w:hAnsi="Calibri" w:eastAsia="宋体" w:cs="Times New Roman"/>
          <w:b/>
          <w:sz w:val="28"/>
          <w:szCs w:val="28"/>
        </w:rPr>
        <w:t>五、课内实践</w:t>
      </w:r>
    </w:p>
    <w:p w14:paraId="55C19B2D">
      <w:pPr>
        <w:spacing w:line="276" w:lineRule="auto"/>
        <w:ind w:firstLine="480" w:firstLineChars="200"/>
        <w:rPr>
          <w:rFonts w:ascii="Calibri" w:hAnsi="Calibri" w:eastAsia="宋体" w:cs="Times New Roman"/>
          <w:bCs/>
          <w:sz w:val="24"/>
        </w:rPr>
      </w:pPr>
      <w:r>
        <w:rPr>
          <w:rFonts w:hint="eastAsia" w:ascii="Calibri" w:hAnsi="Calibri" w:eastAsia="宋体" w:cs="Times New Roman"/>
          <w:bCs/>
          <w:sz w:val="24"/>
        </w:rPr>
        <w:t>本课程共有</w:t>
      </w:r>
      <w:r>
        <w:rPr>
          <w:rFonts w:ascii="Times New Roman" w:hAnsi="Times New Roman" w:eastAsia="宋体" w:cs="Times New Roman"/>
          <w:bCs/>
          <w:sz w:val="24"/>
        </w:rPr>
        <w:t>16</w:t>
      </w:r>
      <w:r>
        <w:rPr>
          <w:rFonts w:hint="eastAsia" w:ascii="Calibri" w:hAnsi="Calibri" w:eastAsia="宋体" w:cs="Times New Roman"/>
          <w:bCs/>
          <w:sz w:val="24"/>
        </w:rPr>
        <w:t>课时的课内实践学时，根据教学内容的安排，分别进行四次实践项目。具体项目内容及要求如下。</w:t>
      </w:r>
    </w:p>
    <w:p w14:paraId="7F6AEB28">
      <w:pPr>
        <w:spacing w:line="276" w:lineRule="auto"/>
        <w:ind w:firstLine="480" w:firstLineChars="200"/>
        <w:rPr>
          <w:rFonts w:ascii="Calibri" w:hAnsi="Calibri" w:eastAsia="宋体" w:cs="Times New Roman"/>
          <w:bCs/>
          <w:sz w:val="24"/>
        </w:rPr>
      </w:pPr>
    </w:p>
    <w:tbl>
      <w:tblPr>
        <w:tblStyle w:val="13"/>
        <w:tblW w:w="8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73"/>
        <w:gridCol w:w="3969"/>
        <w:gridCol w:w="755"/>
        <w:gridCol w:w="1399"/>
      </w:tblGrid>
      <w:tr w14:paraId="56F7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90" w:type="dxa"/>
            <w:shd w:val="clear" w:color="auto" w:fill="FFFFFF"/>
            <w:vAlign w:val="center"/>
          </w:tcPr>
          <w:p w14:paraId="43CC4741">
            <w:pPr>
              <w:adjustRightInd w:val="0"/>
              <w:snapToGrid w:val="0"/>
              <w:jc w:val="center"/>
              <w:rPr>
                <w:rFonts w:hint="eastAsia" w:ascii="宋体" w:hAnsi="宋体" w:eastAsia="宋体"/>
                <w:b/>
                <w:bCs/>
                <w:color w:val="000000" w:themeColor="text1"/>
                <w:spacing w:val="-20"/>
                <w:sz w:val="24"/>
                <w14:textFill>
                  <w14:solidFill>
                    <w14:schemeClr w14:val="tx1"/>
                  </w14:solidFill>
                </w14:textFill>
              </w:rPr>
            </w:pPr>
            <w:r>
              <w:rPr>
                <w:rFonts w:ascii="宋体" w:hAnsi="宋体" w:eastAsia="宋体"/>
                <w:b/>
                <w:bCs/>
                <w:color w:val="000000" w:themeColor="text1"/>
                <w:spacing w:val="-20"/>
                <w:sz w:val="24"/>
                <w14:textFill>
                  <w14:solidFill>
                    <w14:schemeClr w14:val="tx1"/>
                  </w14:solidFill>
                </w14:textFill>
              </w:rPr>
              <w:t>序号</w:t>
            </w:r>
          </w:p>
        </w:tc>
        <w:tc>
          <w:tcPr>
            <w:tcW w:w="1573" w:type="dxa"/>
            <w:shd w:val="clear" w:color="auto" w:fill="FFFFFF"/>
            <w:vAlign w:val="center"/>
          </w:tcPr>
          <w:p w14:paraId="0ED66DD8">
            <w:pPr>
              <w:adjustRightInd w:val="0"/>
              <w:snapToGrid w:val="0"/>
              <w:jc w:val="center"/>
              <w:rPr>
                <w:rFonts w:hint="eastAsia" w:ascii="宋体" w:hAnsi="宋体" w:eastAsia="宋体"/>
                <w:b/>
                <w:bCs/>
                <w:color w:val="000000" w:themeColor="text1"/>
                <w:sz w:val="24"/>
                <w14:textFill>
                  <w14:solidFill>
                    <w14:schemeClr w14:val="tx1"/>
                  </w14:solidFill>
                </w14:textFill>
              </w:rPr>
            </w:pPr>
            <w:r>
              <w:rPr>
                <w:rFonts w:hint="eastAsia" w:ascii="宋体" w:hAnsi="宋体" w:eastAsia="宋体"/>
                <w:b/>
                <w:bCs/>
                <w:color w:val="000000" w:themeColor="text1"/>
                <w:sz w:val="24"/>
                <w14:textFill>
                  <w14:solidFill>
                    <w14:schemeClr w14:val="tx1"/>
                  </w14:solidFill>
                </w14:textFill>
              </w:rPr>
              <w:t>实践</w:t>
            </w:r>
            <w:r>
              <w:rPr>
                <w:rFonts w:ascii="宋体" w:hAnsi="宋体" w:eastAsia="宋体"/>
                <w:b/>
                <w:bCs/>
                <w:color w:val="000000" w:themeColor="text1"/>
                <w:sz w:val="24"/>
                <w14:textFill>
                  <w14:solidFill>
                    <w14:schemeClr w14:val="tx1"/>
                  </w14:solidFill>
                </w14:textFill>
              </w:rPr>
              <w:t>项目名称</w:t>
            </w:r>
          </w:p>
        </w:tc>
        <w:tc>
          <w:tcPr>
            <w:tcW w:w="3969" w:type="dxa"/>
            <w:shd w:val="clear" w:color="auto" w:fill="FFFFFF"/>
            <w:vAlign w:val="center"/>
          </w:tcPr>
          <w:p w14:paraId="5340BA27">
            <w:pPr>
              <w:adjustRightInd w:val="0"/>
              <w:snapToGrid w:val="0"/>
              <w:jc w:val="center"/>
              <w:rPr>
                <w:rFonts w:hint="eastAsia" w:ascii="宋体" w:hAnsi="宋体" w:eastAsia="宋体"/>
                <w:b/>
                <w:bCs/>
                <w:color w:val="000000" w:themeColor="text1"/>
                <w:sz w:val="24"/>
                <w14:textFill>
                  <w14:solidFill>
                    <w14:schemeClr w14:val="tx1"/>
                  </w14:solidFill>
                </w14:textFill>
              </w:rPr>
            </w:pPr>
            <w:r>
              <w:rPr>
                <w:rFonts w:hint="eastAsia" w:ascii="宋体" w:hAnsi="宋体" w:eastAsia="宋体"/>
                <w:b/>
                <w:bCs/>
                <w:color w:val="000000" w:themeColor="text1"/>
                <w:sz w:val="24"/>
                <w14:textFill>
                  <w14:solidFill>
                    <w14:schemeClr w14:val="tx1"/>
                  </w14:solidFill>
                </w14:textFill>
              </w:rPr>
              <w:t>实践</w:t>
            </w:r>
            <w:r>
              <w:rPr>
                <w:rFonts w:ascii="宋体" w:hAnsi="宋体" w:eastAsia="宋体"/>
                <w:b/>
                <w:bCs/>
                <w:color w:val="000000" w:themeColor="text1"/>
                <w:sz w:val="24"/>
                <w14:textFill>
                  <w14:solidFill>
                    <w14:schemeClr w14:val="tx1"/>
                  </w14:solidFill>
                </w14:textFill>
              </w:rPr>
              <w:t>内容</w:t>
            </w:r>
            <w:r>
              <w:rPr>
                <w:rFonts w:hint="eastAsia" w:ascii="宋体" w:hAnsi="宋体" w:eastAsia="宋体"/>
                <w:b/>
                <w:bCs/>
                <w:color w:val="000000" w:themeColor="text1"/>
                <w:sz w:val="24"/>
                <w14:textFill>
                  <w14:solidFill>
                    <w14:schemeClr w14:val="tx1"/>
                  </w14:solidFill>
                </w14:textFill>
              </w:rPr>
              <w:t>及要求</w:t>
            </w:r>
          </w:p>
        </w:tc>
        <w:tc>
          <w:tcPr>
            <w:tcW w:w="755" w:type="dxa"/>
            <w:shd w:val="clear" w:color="auto" w:fill="FFFFFF"/>
            <w:vAlign w:val="center"/>
          </w:tcPr>
          <w:p w14:paraId="75325D54">
            <w:pPr>
              <w:adjustRightInd w:val="0"/>
              <w:snapToGrid w:val="0"/>
              <w:jc w:val="center"/>
              <w:rPr>
                <w:rFonts w:hint="eastAsia" w:ascii="宋体" w:hAnsi="宋体" w:eastAsia="宋体"/>
                <w:b/>
                <w:bCs/>
                <w:color w:val="000000" w:themeColor="text1"/>
                <w:sz w:val="24"/>
                <w14:textFill>
                  <w14:solidFill>
                    <w14:schemeClr w14:val="tx1"/>
                  </w14:solidFill>
                </w14:textFill>
              </w:rPr>
            </w:pPr>
            <w:r>
              <w:rPr>
                <w:rFonts w:ascii="宋体" w:hAnsi="宋体" w:eastAsia="宋体"/>
                <w:b/>
                <w:bCs/>
                <w:color w:val="000000" w:themeColor="text1"/>
                <w:sz w:val="24"/>
                <w14:textFill>
                  <w14:solidFill>
                    <w14:schemeClr w14:val="tx1"/>
                  </w14:solidFill>
                </w14:textFill>
              </w:rPr>
              <w:t>学时</w:t>
            </w:r>
          </w:p>
        </w:tc>
        <w:tc>
          <w:tcPr>
            <w:tcW w:w="1399" w:type="dxa"/>
            <w:shd w:val="clear" w:color="auto" w:fill="FFFFFF"/>
            <w:vAlign w:val="center"/>
          </w:tcPr>
          <w:p w14:paraId="283366B0">
            <w:pPr>
              <w:adjustRightInd w:val="0"/>
              <w:snapToGrid w:val="0"/>
              <w:jc w:val="center"/>
              <w:rPr>
                <w:rFonts w:hint="eastAsia" w:ascii="宋体" w:hAnsi="宋体" w:eastAsia="宋体"/>
                <w:b/>
                <w:bCs/>
                <w:color w:val="000000" w:themeColor="text1"/>
                <w:sz w:val="24"/>
                <w14:textFill>
                  <w14:solidFill>
                    <w14:schemeClr w14:val="tx1"/>
                  </w14:solidFill>
                </w14:textFill>
              </w:rPr>
            </w:pPr>
            <w:r>
              <w:rPr>
                <w:rFonts w:ascii="宋体" w:hAnsi="宋体" w:eastAsia="宋体"/>
                <w:b/>
                <w:bCs/>
                <w:color w:val="000000" w:themeColor="text1"/>
                <w:sz w:val="24"/>
                <w14:textFill>
                  <w14:solidFill>
                    <w14:schemeClr w14:val="tx1"/>
                  </w14:solidFill>
                </w14:textFill>
              </w:rPr>
              <w:t>对</w:t>
            </w:r>
            <w:r>
              <w:rPr>
                <w:rFonts w:hint="eastAsia" w:ascii="宋体" w:hAnsi="宋体" w:eastAsia="宋体"/>
                <w:b/>
                <w:bCs/>
                <w:color w:val="000000" w:themeColor="text1"/>
                <w:sz w:val="24"/>
                <w14:textFill>
                  <w14:solidFill>
                    <w14:schemeClr w14:val="tx1"/>
                  </w14:solidFill>
                </w14:textFill>
              </w:rPr>
              <w:t>应课程目标</w:t>
            </w:r>
          </w:p>
        </w:tc>
      </w:tr>
      <w:tr w14:paraId="35CA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690" w:type="dxa"/>
            <w:vAlign w:val="center"/>
          </w:tcPr>
          <w:p w14:paraId="65B2042C">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ascii="宋体" w:hAnsi="宋体" w:eastAsia="宋体"/>
                <w:bCs/>
                <w:color w:val="000000" w:themeColor="text1"/>
                <w:sz w:val="24"/>
                <w14:textFill>
                  <w14:solidFill>
                    <w14:schemeClr w14:val="tx1"/>
                  </w14:solidFill>
                </w14:textFill>
              </w:rPr>
              <w:t>1</w:t>
            </w:r>
          </w:p>
        </w:tc>
        <w:tc>
          <w:tcPr>
            <w:tcW w:w="1573" w:type="dxa"/>
            <w:vAlign w:val="center"/>
          </w:tcPr>
          <w:p w14:paraId="7956FD0C">
            <w:pPr>
              <w:adjustRightInd w:val="0"/>
              <w:snapToGrid w:val="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kern w:val="0"/>
                <w:sz w:val="24"/>
              </w:rPr>
              <w:t>小学科学教材分析</w:t>
            </w:r>
          </w:p>
        </w:tc>
        <w:tc>
          <w:tcPr>
            <w:tcW w:w="3969" w:type="dxa"/>
            <w:vAlign w:val="center"/>
          </w:tcPr>
          <w:p w14:paraId="1936B93C">
            <w:pPr>
              <w:rPr>
                <w:rFonts w:hint="eastAsia" w:ascii="宋体" w:hAnsi="宋体" w:eastAsia="宋体" w:cs="宋体"/>
                <w:kern w:val="0"/>
                <w:sz w:val="24"/>
              </w:rPr>
            </w:pPr>
            <w:r>
              <w:rPr>
                <w:rFonts w:hint="eastAsia" w:ascii="宋体" w:hAnsi="宋体" w:eastAsia="宋体" w:cs="宋体"/>
                <w:b/>
                <w:sz w:val="24"/>
              </w:rPr>
              <w:t>实践内容</w:t>
            </w:r>
            <w:r>
              <w:rPr>
                <w:rFonts w:hint="eastAsia" w:ascii="宋体" w:hAnsi="宋体" w:eastAsia="宋体" w:cs="宋体"/>
                <w:sz w:val="24"/>
              </w:rPr>
              <w:t>：选择小学</w:t>
            </w:r>
            <w:r>
              <w:rPr>
                <w:rFonts w:hint="eastAsia" w:ascii="宋体" w:hAnsi="宋体" w:eastAsia="宋体" w:cs="宋体"/>
                <w:kern w:val="0"/>
                <w:sz w:val="24"/>
              </w:rPr>
              <w:t>科学教材某个单元模块内容进行分析，合作完成一份教材研究报告。</w:t>
            </w:r>
          </w:p>
          <w:p w14:paraId="636D00A5">
            <w:pPr>
              <w:adjustRightInd w:val="0"/>
              <w:snapToGrid w:val="0"/>
              <w:rPr>
                <w:rFonts w:hint="eastAsia" w:ascii="宋体" w:hAnsi="宋体" w:eastAsia="宋体"/>
                <w:b/>
                <w:bCs/>
                <w:color w:val="000000" w:themeColor="text1"/>
                <w:sz w:val="24"/>
                <w14:textFill>
                  <w14:solidFill>
                    <w14:schemeClr w14:val="tx1"/>
                  </w14:solidFill>
                </w14:textFill>
              </w:rPr>
            </w:pPr>
            <w:r>
              <w:rPr>
                <w:rFonts w:hint="eastAsia" w:ascii="Calibri" w:hAnsi="Calibri" w:eastAsia="宋体" w:cs="Times New Roman"/>
                <w:b/>
                <w:bCs/>
                <w:sz w:val="24"/>
              </w:rPr>
              <w:t>实践要求</w:t>
            </w:r>
            <w:r>
              <w:rPr>
                <w:rFonts w:hint="eastAsia" w:ascii="Calibri" w:hAnsi="Calibri" w:eastAsia="宋体" w:cs="Times New Roman"/>
                <w:bCs/>
                <w:sz w:val="24"/>
              </w:rPr>
              <w:t>：小组提交一份教材研读报告。</w:t>
            </w:r>
          </w:p>
        </w:tc>
        <w:tc>
          <w:tcPr>
            <w:tcW w:w="755" w:type="dxa"/>
            <w:vAlign w:val="center"/>
          </w:tcPr>
          <w:p w14:paraId="67BEAF94">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ascii="宋体" w:hAnsi="宋体" w:eastAsia="宋体"/>
                <w:bCs/>
                <w:color w:val="000000" w:themeColor="text1"/>
                <w:sz w:val="24"/>
                <w14:textFill>
                  <w14:solidFill>
                    <w14:schemeClr w14:val="tx1"/>
                  </w14:solidFill>
                </w14:textFill>
              </w:rPr>
              <w:t>4</w:t>
            </w:r>
          </w:p>
        </w:tc>
        <w:tc>
          <w:tcPr>
            <w:tcW w:w="1399" w:type="dxa"/>
            <w:vAlign w:val="center"/>
          </w:tcPr>
          <w:p w14:paraId="1962A15A">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14:textFill>
                  <w14:solidFill>
                    <w14:schemeClr w14:val="tx1"/>
                  </w14:solidFill>
                </w14:textFill>
              </w:rPr>
              <w:t>目标1</w:t>
            </w:r>
          </w:p>
          <w:p w14:paraId="77D4B257">
            <w:pPr>
              <w:adjustRightInd w:val="0"/>
              <w:snapToGrid w:val="0"/>
              <w:jc w:val="center"/>
              <w:rPr>
                <w:rFonts w:hint="eastAsia" w:ascii="宋体" w:hAnsi="宋体" w:eastAsia="宋体"/>
                <w:bCs/>
                <w:color w:val="000000" w:themeColor="text1"/>
                <w:sz w:val="24"/>
                <w14:textFill>
                  <w14:solidFill>
                    <w14:schemeClr w14:val="tx1"/>
                  </w14:solidFill>
                </w14:textFill>
              </w:rPr>
            </w:pPr>
          </w:p>
        </w:tc>
      </w:tr>
      <w:tr w14:paraId="5295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90" w:type="dxa"/>
            <w:vAlign w:val="center"/>
          </w:tcPr>
          <w:p w14:paraId="38788AF4">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14:textFill>
                  <w14:solidFill>
                    <w14:schemeClr w14:val="tx1"/>
                  </w14:solidFill>
                </w14:textFill>
              </w:rPr>
              <w:t>2</w:t>
            </w:r>
          </w:p>
        </w:tc>
        <w:tc>
          <w:tcPr>
            <w:tcW w:w="1573" w:type="dxa"/>
            <w:vAlign w:val="center"/>
          </w:tcPr>
          <w:p w14:paraId="03777B53">
            <w:pPr>
              <w:adjustRightInd w:val="0"/>
              <w:snapToGrid w:val="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kern w:val="0"/>
                <w:sz w:val="24"/>
              </w:rPr>
              <w:t>小学科学教学设计</w:t>
            </w:r>
          </w:p>
        </w:tc>
        <w:tc>
          <w:tcPr>
            <w:tcW w:w="3969" w:type="dxa"/>
            <w:vAlign w:val="center"/>
          </w:tcPr>
          <w:p w14:paraId="19C2D9F9">
            <w:pPr>
              <w:rPr>
                <w:rFonts w:hint="eastAsia" w:ascii="宋体" w:hAnsi="宋体" w:eastAsia="宋体" w:cs="Times New Roman"/>
                <w:color w:val="000000"/>
                <w:sz w:val="24"/>
              </w:rPr>
            </w:pPr>
            <w:r>
              <w:rPr>
                <w:rFonts w:hint="eastAsia" w:ascii="宋体" w:hAnsi="宋体" w:eastAsia="宋体" w:cs="Times New Roman"/>
                <w:b/>
                <w:bCs/>
                <w:color w:val="000000"/>
                <w:sz w:val="24"/>
              </w:rPr>
              <w:t>实践内容：</w:t>
            </w:r>
            <w:r>
              <w:rPr>
                <w:rFonts w:hint="eastAsia" w:ascii="宋体" w:hAnsi="宋体" w:eastAsia="宋体" w:cs="Times New Roman"/>
                <w:color w:val="000000"/>
                <w:sz w:val="24"/>
              </w:rPr>
              <w:t>观摩一节科学课。小组选择一项</w:t>
            </w:r>
            <w:r>
              <w:rPr>
                <w:rFonts w:hint="eastAsia" w:ascii="宋体" w:hAnsi="宋体" w:eastAsia="宋体" w:cs="宋体"/>
                <w:color w:val="000000"/>
                <w:kern w:val="0"/>
                <w:sz w:val="24"/>
              </w:rPr>
              <w:t>科学教育</w:t>
            </w:r>
            <w:r>
              <w:rPr>
                <w:rFonts w:hint="eastAsia" w:ascii="宋体" w:hAnsi="宋体" w:eastAsia="宋体" w:cs="Times New Roman"/>
                <w:color w:val="000000"/>
                <w:sz w:val="24"/>
              </w:rPr>
              <w:t>内容，合作撰写教学设计方案。</w:t>
            </w:r>
          </w:p>
          <w:p w14:paraId="6330EF7C">
            <w:pPr>
              <w:adjustRightInd w:val="0"/>
              <w:snapToGrid w:val="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Times New Roman"/>
                <w:b/>
                <w:bCs/>
                <w:color w:val="000000"/>
                <w:sz w:val="24"/>
              </w:rPr>
              <w:t>实践要求：</w:t>
            </w:r>
            <w:r>
              <w:rPr>
                <w:rFonts w:hint="eastAsia" w:ascii="宋体" w:hAnsi="宋体" w:eastAsia="宋体" w:cs="Times New Roman"/>
                <w:bCs/>
                <w:color w:val="000000"/>
                <w:sz w:val="24"/>
              </w:rPr>
              <w:t>每人</w:t>
            </w:r>
            <w:r>
              <w:rPr>
                <w:rFonts w:hint="eastAsia" w:ascii="宋体" w:hAnsi="宋体" w:eastAsia="宋体" w:cs="Times New Roman"/>
                <w:color w:val="000000"/>
                <w:sz w:val="24"/>
              </w:rPr>
              <w:t>提交一篇观摩课教学记录与分析；每人提交一篇</w:t>
            </w:r>
            <w:r>
              <w:rPr>
                <w:rFonts w:hint="eastAsia" w:ascii="宋体" w:hAnsi="宋体" w:eastAsia="宋体" w:cs="宋体"/>
                <w:color w:val="000000"/>
                <w:kern w:val="0"/>
                <w:sz w:val="24"/>
              </w:rPr>
              <w:t>科学课（科学教育活动）设计方案。</w:t>
            </w:r>
          </w:p>
        </w:tc>
        <w:tc>
          <w:tcPr>
            <w:tcW w:w="755" w:type="dxa"/>
            <w:vAlign w:val="center"/>
          </w:tcPr>
          <w:p w14:paraId="67605391">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ascii="宋体" w:hAnsi="宋体" w:eastAsia="宋体"/>
                <w:bCs/>
                <w:color w:val="000000" w:themeColor="text1"/>
                <w:sz w:val="24"/>
                <w14:textFill>
                  <w14:solidFill>
                    <w14:schemeClr w14:val="tx1"/>
                  </w14:solidFill>
                </w14:textFill>
              </w:rPr>
              <w:t>4</w:t>
            </w:r>
          </w:p>
        </w:tc>
        <w:tc>
          <w:tcPr>
            <w:tcW w:w="1399" w:type="dxa"/>
            <w:vAlign w:val="center"/>
          </w:tcPr>
          <w:p w14:paraId="7572D49D">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14:textFill>
                  <w14:solidFill>
                    <w14:schemeClr w14:val="tx1"/>
                  </w14:solidFill>
                </w14:textFill>
              </w:rPr>
              <w:t>目标1</w:t>
            </w:r>
          </w:p>
          <w:p w14:paraId="51537D4D">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14:textFill>
                  <w14:solidFill>
                    <w14:schemeClr w14:val="tx1"/>
                  </w14:solidFill>
                </w14:textFill>
              </w:rPr>
              <w:t>目标2</w:t>
            </w:r>
          </w:p>
          <w:p w14:paraId="0AFACCF7">
            <w:pPr>
              <w:adjustRightInd w:val="0"/>
              <w:snapToGrid w:val="0"/>
              <w:jc w:val="center"/>
              <w:rPr>
                <w:rFonts w:hint="eastAsia" w:ascii="宋体" w:hAnsi="宋体" w:eastAsia="宋体"/>
                <w:bCs/>
                <w:color w:val="000000" w:themeColor="text1"/>
                <w:sz w:val="24"/>
                <w14:textFill>
                  <w14:solidFill>
                    <w14:schemeClr w14:val="tx1"/>
                  </w14:solidFill>
                </w14:textFill>
              </w:rPr>
            </w:pPr>
          </w:p>
        </w:tc>
      </w:tr>
      <w:tr w14:paraId="74D7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690" w:type="dxa"/>
            <w:vAlign w:val="center"/>
          </w:tcPr>
          <w:p w14:paraId="59B1BFF7">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14:textFill>
                  <w14:solidFill>
                    <w14:schemeClr w14:val="tx1"/>
                  </w14:solidFill>
                </w14:textFill>
              </w:rPr>
              <w:t>3</w:t>
            </w:r>
          </w:p>
        </w:tc>
        <w:tc>
          <w:tcPr>
            <w:tcW w:w="1573" w:type="dxa"/>
            <w:vAlign w:val="center"/>
          </w:tcPr>
          <w:p w14:paraId="131E5C12">
            <w:pPr>
              <w:adjustRightInd w:val="0"/>
              <w:snapToGrid w:val="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kern w:val="0"/>
                <w:sz w:val="24"/>
              </w:rPr>
              <w:t>小学科学教学实践</w:t>
            </w:r>
          </w:p>
        </w:tc>
        <w:tc>
          <w:tcPr>
            <w:tcW w:w="3969" w:type="dxa"/>
            <w:vAlign w:val="center"/>
          </w:tcPr>
          <w:p w14:paraId="0EBEE340">
            <w:pPr>
              <w:rPr>
                <w:rFonts w:hint="eastAsia" w:ascii="宋体" w:hAnsi="宋体" w:eastAsia="宋体" w:cs="Times New Roman"/>
                <w:color w:val="000000"/>
                <w:sz w:val="24"/>
              </w:rPr>
            </w:pPr>
            <w:r>
              <w:rPr>
                <w:rFonts w:hint="eastAsia" w:ascii="宋体" w:hAnsi="宋体" w:eastAsia="宋体" w:cs="Times New Roman"/>
                <w:b/>
                <w:bCs/>
                <w:color w:val="000000"/>
                <w:sz w:val="24"/>
              </w:rPr>
              <w:t>实践内容：</w:t>
            </w:r>
            <w:r>
              <w:rPr>
                <w:rFonts w:hint="eastAsia" w:ascii="宋体" w:hAnsi="宋体" w:eastAsia="宋体" w:cs="Times New Roman"/>
                <w:bCs/>
                <w:color w:val="000000"/>
                <w:sz w:val="24"/>
              </w:rPr>
              <w:t>小组内选择探究法，结合其他方法开展教学研究活动，打磨教案</w:t>
            </w:r>
            <w:r>
              <w:rPr>
                <w:rFonts w:hint="eastAsia" w:ascii="宋体" w:hAnsi="宋体" w:eastAsia="宋体" w:cs="Times New Roman"/>
                <w:color w:val="000000"/>
                <w:sz w:val="24"/>
              </w:rPr>
              <w:t>。将教案转化为教学活动，在微格教室完成试讲、录制后评课。</w:t>
            </w:r>
          </w:p>
          <w:p w14:paraId="4C20D761">
            <w:pPr>
              <w:adjustRightInd w:val="0"/>
              <w:snapToGrid w:val="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Times New Roman"/>
                <w:b/>
                <w:bCs/>
                <w:color w:val="000000"/>
                <w:sz w:val="24"/>
              </w:rPr>
              <w:t>实践要求：</w:t>
            </w:r>
            <w:r>
              <w:rPr>
                <w:rFonts w:hint="eastAsia" w:ascii="宋体" w:hAnsi="宋体" w:eastAsia="宋体" w:cs="Times New Roman"/>
                <w:color w:val="000000"/>
                <w:sz w:val="24"/>
              </w:rPr>
              <w:t>小组集体提交</w:t>
            </w:r>
            <w:r>
              <w:rPr>
                <w:rFonts w:hint="eastAsia" w:ascii="宋体" w:hAnsi="宋体" w:eastAsia="宋体" w:cs="宋体"/>
                <w:color w:val="000000"/>
                <w:kern w:val="0"/>
                <w:sz w:val="24"/>
              </w:rPr>
              <w:t>科学课设计方案、教学评价及模拟教学光盘。</w:t>
            </w:r>
          </w:p>
        </w:tc>
        <w:tc>
          <w:tcPr>
            <w:tcW w:w="755" w:type="dxa"/>
            <w:vAlign w:val="center"/>
          </w:tcPr>
          <w:p w14:paraId="22F388DE">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ascii="宋体" w:hAnsi="宋体" w:eastAsia="宋体"/>
                <w:bCs/>
                <w:color w:val="000000" w:themeColor="text1"/>
                <w:sz w:val="24"/>
                <w14:textFill>
                  <w14:solidFill>
                    <w14:schemeClr w14:val="tx1"/>
                  </w14:solidFill>
                </w14:textFill>
              </w:rPr>
              <w:t>4</w:t>
            </w:r>
          </w:p>
        </w:tc>
        <w:tc>
          <w:tcPr>
            <w:tcW w:w="1399" w:type="dxa"/>
            <w:vAlign w:val="center"/>
          </w:tcPr>
          <w:p w14:paraId="73D68450">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14:textFill>
                  <w14:solidFill>
                    <w14:schemeClr w14:val="tx1"/>
                  </w14:solidFill>
                </w14:textFill>
              </w:rPr>
              <w:t>目标2</w:t>
            </w:r>
          </w:p>
          <w:p w14:paraId="079EDED6">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14:textFill>
                  <w14:solidFill>
                    <w14:schemeClr w14:val="tx1"/>
                  </w14:solidFill>
                </w14:textFill>
              </w:rPr>
              <w:t>目标3</w:t>
            </w:r>
          </w:p>
        </w:tc>
      </w:tr>
      <w:tr w14:paraId="6B4E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690" w:type="dxa"/>
            <w:vAlign w:val="center"/>
          </w:tcPr>
          <w:p w14:paraId="07D44E09">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14:textFill>
                  <w14:solidFill>
                    <w14:schemeClr w14:val="tx1"/>
                  </w14:solidFill>
                </w14:textFill>
              </w:rPr>
              <w:t>4</w:t>
            </w:r>
          </w:p>
        </w:tc>
        <w:tc>
          <w:tcPr>
            <w:tcW w:w="1573" w:type="dxa"/>
            <w:vAlign w:val="center"/>
          </w:tcPr>
          <w:p w14:paraId="76C269EF">
            <w:pPr>
              <w:adjustRightInd w:val="0"/>
              <w:snapToGrid w:val="0"/>
              <w:rPr>
                <w:rFonts w:hint="eastAsia" w:ascii="宋体" w:hAnsi="宋体" w:eastAsia="宋体" w:cs="宋体"/>
                <w:color w:val="000000" w:themeColor="text1"/>
                <w:kern w:val="0"/>
                <w:sz w:val="24"/>
                <w14:textFill>
                  <w14:solidFill>
                    <w14:schemeClr w14:val="tx1"/>
                  </w14:solidFill>
                </w14:textFill>
              </w:rPr>
            </w:pPr>
            <w:r>
              <w:rPr>
                <w:rFonts w:hint="eastAsia" w:ascii="Calibri" w:hAnsi="Calibri" w:eastAsia="宋体" w:cs="Times New Roman"/>
                <w:bCs/>
                <w:sz w:val="24"/>
              </w:rPr>
              <w:t>小学科学教学评价</w:t>
            </w:r>
          </w:p>
        </w:tc>
        <w:tc>
          <w:tcPr>
            <w:tcW w:w="3969" w:type="dxa"/>
            <w:vAlign w:val="center"/>
          </w:tcPr>
          <w:p w14:paraId="1B66FEA5">
            <w:pPr>
              <w:rPr>
                <w:rFonts w:hint="eastAsia" w:ascii="宋体" w:hAnsi="宋体" w:eastAsia="宋体" w:cs="Times New Roman"/>
                <w:color w:val="000000"/>
                <w:sz w:val="24"/>
              </w:rPr>
            </w:pPr>
            <w:r>
              <w:rPr>
                <w:rFonts w:hint="eastAsia" w:ascii="宋体" w:hAnsi="宋体" w:eastAsia="宋体" w:cs="Times New Roman"/>
                <w:b/>
                <w:bCs/>
                <w:color w:val="000000"/>
                <w:sz w:val="24"/>
              </w:rPr>
              <w:t>实践内容：</w:t>
            </w:r>
            <w:r>
              <w:rPr>
                <w:rFonts w:hint="eastAsia" w:ascii="宋体" w:hAnsi="宋体" w:eastAsia="宋体" w:cs="Times New Roman"/>
                <w:color w:val="000000"/>
                <w:sz w:val="24"/>
              </w:rPr>
              <w:t>观摩小学科学教学视频，小组内进行评课，提出改进建议。</w:t>
            </w:r>
          </w:p>
          <w:p w14:paraId="5943CD7E">
            <w:pPr>
              <w:adjustRightInd w:val="0"/>
              <w:snapToGrid w:val="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Times New Roman"/>
                <w:b/>
                <w:bCs/>
                <w:color w:val="000000"/>
                <w:sz w:val="24"/>
              </w:rPr>
              <w:t>实践要求：</w:t>
            </w:r>
            <w:r>
              <w:rPr>
                <w:rFonts w:hint="eastAsia" w:ascii="宋体" w:hAnsi="宋体" w:eastAsia="宋体" w:cs="Times New Roman"/>
                <w:color w:val="000000"/>
                <w:sz w:val="24"/>
              </w:rPr>
              <w:t>小组集体提交一份</w:t>
            </w:r>
            <w:r>
              <w:rPr>
                <w:rFonts w:hint="eastAsia" w:ascii="宋体" w:hAnsi="宋体" w:eastAsia="宋体" w:cs="宋体"/>
                <w:color w:val="000000"/>
                <w:kern w:val="0"/>
                <w:sz w:val="24"/>
              </w:rPr>
              <w:t>教学评价。</w:t>
            </w:r>
          </w:p>
        </w:tc>
        <w:tc>
          <w:tcPr>
            <w:tcW w:w="755" w:type="dxa"/>
            <w:vAlign w:val="center"/>
          </w:tcPr>
          <w:p w14:paraId="192F348A">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ascii="宋体" w:hAnsi="宋体" w:eastAsia="宋体"/>
                <w:bCs/>
                <w:color w:val="000000" w:themeColor="text1"/>
                <w:sz w:val="24"/>
                <w14:textFill>
                  <w14:solidFill>
                    <w14:schemeClr w14:val="tx1"/>
                  </w14:solidFill>
                </w14:textFill>
              </w:rPr>
              <w:t>4</w:t>
            </w:r>
          </w:p>
        </w:tc>
        <w:tc>
          <w:tcPr>
            <w:tcW w:w="1399" w:type="dxa"/>
            <w:vAlign w:val="center"/>
          </w:tcPr>
          <w:p w14:paraId="42FF5CD6">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14:textFill>
                  <w14:solidFill>
                    <w14:schemeClr w14:val="tx1"/>
                  </w14:solidFill>
                </w14:textFill>
              </w:rPr>
              <w:t>目标2</w:t>
            </w:r>
          </w:p>
          <w:p w14:paraId="59995B40">
            <w:pPr>
              <w:adjustRightInd w:val="0"/>
              <w:snapToGrid w:val="0"/>
              <w:jc w:val="center"/>
              <w:rPr>
                <w:rFonts w:hint="eastAsia" w:ascii="宋体" w:hAnsi="宋体" w:eastAsia="宋体"/>
                <w:bCs/>
                <w:color w:val="000000" w:themeColor="text1"/>
                <w:sz w:val="24"/>
                <w14:textFill>
                  <w14:solidFill>
                    <w14:schemeClr w14:val="tx1"/>
                  </w14:solidFill>
                </w14:textFill>
              </w:rPr>
            </w:pPr>
            <w:r>
              <w:rPr>
                <w:rFonts w:hint="eastAsia" w:ascii="宋体" w:hAnsi="宋体" w:eastAsia="宋体"/>
                <w:bCs/>
                <w:color w:val="000000" w:themeColor="text1"/>
                <w:sz w:val="24"/>
                <w14:textFill>
                  <w14:solidFill>
                    <w14:schemeClr w14:val="tx1"/>
                  </w14:solidFill>
                </w14:textFill>
              </w:rPr>
              <w:t>目标3</w:t>
            </w:r>
          </w:p>
        </w:tc>
      </w:tr>
    </w:tbl>
    <w:p w14:paraId="41889681">
      <w:pPr>
        <w:spacing w:line="360" w:lineRule="auto"/>
        <w:ind w:firstLine="472" w:firstLineChars="196"/>
        <w:jc w:val="left"/>
        <w:rPr>
          <w:rFonts w:hint="eastAsia" w:ascii="宋体" w:hAnsi="宋体" w:eastAsia="宋体" w:cs="Times New Roman"/>
          <w:b/>
          <w:color w:val="000000"/>
          <w:sz w:val="24"/>
        </w:rPr>
      </w:pPr>
    </w:p>
    <w:p w14:paraId="3002B399">
      <w:pPr>
        <w:spacing w:line="360" w:lineRule="auto"/>
        <w:jc w:val="left"/>
        <w:rPr>
          <w:rFonts w:ascii="Times New Roman" w:hAnsi="Times New Roman" w:eastAsia="宋体" w:cs="Times New Roman"/>
          <w:b/>
          <w:bCs/>
          <w:sz w:val="28"/>
          <w:szCs w:val="28"/>
        </w:rPr>
      </w:pPr>
      <w:r>
        <w:rPr>
          <w:rFonts w:hint="eastAsia" w:ascii="宋体" w:hAnsi="宋体" w:eastAsia="宋体" w:cs="Times New Roman"/>
          <w:b/>
          <w:color w:val="000000"/>
          <w:sz w:val="28"/>
          <w:szCs w:val="28"/>
        </w:rPr>
        <w:t>六、有关说明</w:t>
      </w:r>
    </w:p>
    <w:p w14:paraId="72B0BB29">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01091826">
      <w:pPr>
        <w:spacing w:line="360" w:lineRule="auto"/>
        <w:ind w:firstLine="480" w:firstLineChars="200"/>
        <w:jc w:val="left"/>
        <w:rPr>
          <w:rFonts w:ascii="Times New Roman" w:hAnsi="Times New Roman" w:eastAsia="宋体" w:cs="Times New Roman"/>
          <w:bCs/>
          <w:sz w:val="24"/>
        </w:rPr>
      </w:pPr>
      <w:r>
        <w:rPr>
          <w:rFonts w:hint="eastAsia" w:ascii="Times New Roman" w:hAnsi="Times New Roman" w:eastAsia="宋体" w:cs="Times New Roman"/>
          <w:bCs/>
          <w:sz w:val="24"/>
        </w:rPr>
        <w:t>本课程根据学生作业、课堂讨论、教学环节、平时考核情况和学生、教学督导等的反馈，及时对教学中的不足之处进行改进，并在下一轮课程教学中整改完善，确保相应毕业要求指标点达成。</w:t>
      </w:r>
    </w:p>
    <w:p w14:paraId="54F00DD8">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（二）建议教材</w:t>
      </w:r>
    </w:p>
    <w:p w14:paraId="184FFF79">
      <w:pPr>
        <w:spacing w:line="360" w:lineRule="auto"/>
        <w:jc w:val="left"/>
        <w:rPr>
          <w:rFonts w:ascii="Times New Roman" w:hAnsi="Times New Roman" w:eastAsia="宋体" w:cs="Times New Roman"/>
          <w:bCs/>
          <w:color w:val="000000"/>
          <w:sz w:val="24"/>
        </w:rPr>
      </w:pPr>
      <w:r>
        <w:rPr>
          <w:rFonts w:hint="eastAsia" w:ascii="Times New Roman" w:hAnsi="Times New Roman" w:eastAsia="宋体" w:cs="Times New Roman"/>
          <w:kern w:val="0"/>
          <w:sz w:val="24"/>
        </w:rPr>
        <w:t>潘洪建</w:t>
      </w:r>
      <w:r>
        <w:rPr>
          <w:rFonts w:ascii="宋体" w:hAnsi="宋体" w:eastAsia="宋体" w:cs="Times New Roman"/>
          <w:sz w:val="24"/>
        </w:rPr>
        <w:t>,</w:t>
      </w:r>
      <w:r>
        <w:rPr>
          <w:rFonts w:hint="eastAsia" w:ascii="宋体" w:hAnsi="宋体" w:eastAsia="宋体" w:cs="Times New Roman"/>
          <w:sz w:val="24"/>
        </w:rPr>
        <w:t xml:space="preserve"> </w:t>
      </w:r>
      <w:r>
        <w:rPr>
          <w:rFonts w:hint="eastAsia" w:ascii="Times New Roman" w:hAnsi="Times New Roman" w:eastAsia="宋体" w:cs="Times New Roman"/>
          <w:kern w:val="0"/>
          <w:sz w:val="24"/>
        </w:rPr>
        <w:t>王天锋等</w:t>
      </w:r>
      <w:r>
        <w:rPr>
          <w:rFonts w:ascii="Times New Roman" w:hAnsi="Times New Roman" w:eastAsia="宋体" w:cs="Times New Roman"/>
          <w:kern w:val="0"/>
          <w:sz w:val="24"/>
        </w:rPr>
        <w:t xml:space="preserve"> 编</w:t>
      </w:r>
      <w:r>
        <w:rPr>
          <w:rFonts w:hint="eastAsia" w:ascii="Times New Roman" w:hAnsi="Times New Roman" w:eastAsia="宋体" w:cs="Times New Roman"/>
          <w:kern w:val="0"/>
          <w:sz w:val="24"/>
        </w:rPr>
        <w:t xml:space="preserve">. </w:t>
      </w:r>
      <w:r>
        <w:rPr>
          <w:rFonts w:ascii="Times New Roman" w:hAnsi="Times New Roman" w:eastAsia="宋体" w:cs="Times New Roman"/>
          <w:kern w:val="0"/>
          <w:sz w:val="24"/>
        </w:rPr>
        <w:t>小学科学课程与教学论</w:t>
      </w:r>
      <w:r>
        <w:rPr>
          <w:rFonts w:hint="eastAsia" w:ascii="Times New Roman" w:hAnsi="Times New Roman" w:eastAsia="宋体" w:cs="Times New Roman"/>
          <w:kern w:val="0"/>
          <w:sz w:val="24"/>
        </w:rPr>
        <w:t>. 南京：</w:t>
      </w:r>
      <w:r>
        <w:rPr>
          <w:rFonts w:ascii="Times New Roman" w:hAnsi="Times New Roman" w:eastAsia="宋体" w:cs="Times New Roman"/>
          <w:kern w:val="0"/>
          <w:sz w:val="24"/>
        </w:rPr>
        <w:t>江苏大学出版社</w:t>
      </w:r>
      <w:r>
        <w:rPr>
          <w:rFonts w:hint="eastAsia" w:ascii="Times New Roman" w:hAnsi="Times New Roman" w:eastAsia="宋体" w:cs="Times New Roman"/>
          <w:kern w:val="0"/>
          <w:sz w:val="24"/>
        </w:rPr>
        <w:t xml:space="preserve">, </w:t>
      </w:r>
      <w:r>
        <w:rPr>
          <w:rFonts w:ascii="Times New Roman" w:hAnsi="Times New Roman" w:eastAsia="宋体" w:cs="Times New Roman"/>
          <w:kern w:val="0"/>
          <w:sz w:val="24"/>
        </w:rPr>
        <w:t>2022</w:t>
      </w:r>
      <w:r>
        <w:rPr>
          <w:rFonts w:hint="eastAsia" w:ascii="Times New Roman" w:hAnsi="Times New Roman" w:eastAsia="宋体" w:cs="Times New Roman"/>
          <w:kern w:val="0"/>
          <w:sz w:val="24"/>
        </w:rPr>
        <w:t>.</w:t>
      </w:r>
      <w:r>
        <w:rPr>
          <w:rFonts w:ascii="Times New Roman" w:hAnsi="Times New Roman" w:eastAsia="宋体" w:cs="Times New Roman"/>
          <w:bCs/>
          <w:color w:val="000000"/>
          <w:sz w:val="24"/>
        </w:rPr>
        <w:t xml:space="preserve"> </w:t>
      </w:r>
    </w:p>
    <w:p w14:paraId="50088864">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（三）参考书目</w:t>
      </w:r>
    </w:p>
    <w:p w14:paraId="72655072">
      <w:pPr>
        <w:autoSpaceDE w:val="0"/>
        <w:autoSpaceDN w:val="0"/>
        <w:adjustRightInd w:val="0"/>
        <w:snapToGrid w:val="0"/>
        <w:spacing w:line="360" w:lineRule="auto"/>
        <w:jc w:val="left"/>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教育部. 义务教育科学课程标准（2022版）. 北京：北京师范大学出版社, 2022.</w:t>
      </w:r>
    </w:p>
    <w:p w14:paraId="33CC29BD">
      <w:pPr>
        <w:autoSpaceDE w:val="0"/>
        <w:autoSpaceDN w:val="0"/>
        <w:adjustRightInd w:val="0"/>
        <w:snapToGrid w:val="0"/>
        <w:spacing w:line="360" w:lineRule="auto"/>
        <w:jc w:val="left"/>
        <w:rPr>
          <w:rFonts w:hint="eastAsia"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胡卫平, 刘守印编. 义务教育科学课程标准（2022年版）解读. 北京：高等教育出版社, 2022.</w:t>
      </w:r>
    </w:p>
    <w:p w14:paraId="3A6A091C">
      <w:pPr>
        <w:autoSpaceDE w:val="0"/>
        <w:autoSpaceDN w:val="0"/>
        <w:adjustRightInd w:val="0"/>
        <w:snapToGrid w:val="0"/>
        <w:spacing w:line="360" w:lineRule="auto"/>
        <w:jc w:val="left"/>
        <w:rPr>
          <w:rFonts w:hint="eastAsia" w:ascii="宋体" w:hAnsi="宋体" w:eastAsia="宋体" w:cs="Times New Roman"/>
          <w:sz w:val="24"/>
        </w:rPr>
      </w:pPr>
      <w:r>
        <w:rPr>
          <w:rFonts w:hint="eastAsia" w:ascii="宋体" w:hAnsi="宋体" w:eastAsia="宋体" w:cs="Times New Roman"/>
          <w:sz w:val="24"/>
        </w:rPr>
        <w:t>3.</w:t>
      </w:r>
      <w:r>
        <w:rPr>
          <w:rFonts w:ascii="宋体" w:hAnsi="宋体" w:eastAsia="宋体" w:cs="Times New Roman"/>
          <w:sz w:val="24"/>
        </w:rPr>
        <w:t>张平柯, 范增. 小学科学教师成长指导与实践案例. 武汉：武汉大学出版社, 2018.</w:t>
      </w:r>
    </w:p>
    <w:p w14:paraId="10EC3BA9">
      <w:pPr>
        <w:autoSpaceDE w:val="0"/>
        <w:autoSpaceDN w:val="0"/>
        <w:adjustRightInd w:val="0"/>
        <w:snapToGrid w:val="0"/>
        <w:spacing w:line="360" w:lineRule="auto"/>
        <w:rPr>
          <w:rFonts w:hint="eastAsia" w:ascii="宋体" w:hAnsi="宋体" w:eastAsia="宋体" w:cs="Times New Roman"/>
          <w:sz w:val="24"/>
        </w:rPr>
      </w:pPr>
      <w:r>
        <w:rPr>
          <w:rFonts w:hint="eastAsia" w:ascii="宋体" w:hAnsi="宋体" w:eastAsia="宋体" w:cs="Times New Roman"/>
          <w:sz w:val="24"/>
        </w:rPr>
        <w:t>4.</w:t>
      </w:r>
      <w:r>
        <w:rPr>
          <w:rFonts w:ascii="宋体" w:hAnsi="宋体" w:eastAsia="宋体" w:cs="Times New Roman"/>
          <w:sz w:val="24"/>
        </w:rPr>
        <w:t>张二庆, 乔建生. 小学科学课程与教学论. 北京：北京师范大学出版社,</w:t>
      </w:r>
      <w:r>
        <w:rPr>
          <w:rFonts w:hint="eastAsia" w:ascii="宋体" w:hAnsi="宋体" w:eastAsia="宋体" w:cs="Times New Roman"/>
          <w:sz w:val="24"/>
        </w:rPr>
        <w:t xml:space="preserve"> </w:t>
      </w:r>
      <w:r>
        <w:rPr>
          <w:rFonts w:ascii="宋体" w:hAnsi="宋体" w:eastAsia="宋体" w:cs="Times New Roman"/>
          <w:sz w:val="24"/>
        </w:rPr>
        <w:t>2016.</w:t>
      </w:r>
    </w:p>
    <w:p w14:paraId="51B9769E"/>
    <w:p w14:paraId="53087C64"/>
    <w:p w14:paraId="0798DEE0"/>
    <w:p w14:paraId="0EAAE2FD"/>
    <w:p w14:paraId="4CD2AC72"/>
    <w:p w14:paraId="492E7585">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执 笔 人：</w:t>
      </w:r>
      <w:r>
        <w:rPr>
          <w:rFonts w:ascii="Times New Roman" w:hAnsi="Times New Roman" w:eastAsia="宋体" w:cs="Times New Roman"/>
          <w:sz w:val="24"/>
        </w:rPr>
        <w:t xml:space="preserve"> </w:t>
      </w:r>
      <w:r>
        <w:rPr>
          <w:rFonts w:hint="eastAsia" w:ascii="Times New Roman" w:hAnsi="Times New Roman" w:eastAsia="宋体" w:cs="Times New Roman"/>
          <w:sz w:val="24"/>
        </w:rPr>
        <w:t>金玉宏</w:t>
      </w:r>
    </w:p>
    <w:p w14:paraId="165F3C92">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审 定 人：</w:t>
      </w:r>
      <w:r>
        <w:rPr>
          <w:rFonts w:ascii="Times New Roman" w:hAnsi="Times New Roman" w:eastAsia="宋体" w:cs="Times New Roman"/>
          <w:sz w:val="24"/>
        </w:rPr>
        <w:t xml:space="preserve"> </w:t>
      </w:r>
      <w:r>
        <w:rPr>
          <w:rFonts w:hint="eastAsia" w:ascii="Times New Roman" w:hAnsi="Times New Roman" w:eastAsia="宋体" w:cs="Times New Roman"/>
          <w:sz w:val="24"/>
        </w:rPr>
        <w:t>王健</w:t>
      </w:r>
    </w:p>
    <w:p w14:paraId="5EA36AEE">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3E4A07A6">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39144751">
      <w:pPr>
        <w:rPr>
          <w:rFonts w:hint="eastAsia" w:ascii="等线" w:hAnsi="等线" w:eastAsia="等线" w:cs="等线"/>
          <w:b/>
          <w:bCs/>
          <w:sz w:val="44"/>
          <w:szCs w:val="44"/>
        </w:rPr>
      </w:pPr>
      <w:r>
        <w:rPr>
          <w:rFonts w:hint="eastAsia" w:ascii="等线" w:hAnsi="等线" w:eastAsia="等线" w:cs="等线"/>
          <w:b/>
          <w:bCs/>
          <w:sz w:val="44"/>
          <w:szCs w:val="44"/>
        </w:rPr>
        <w:br w:type="page"/>
      </w:r>
    </w:p>
    <w:p w14:paraId="5A00CA5D">
      <w:pPr>
        <w:pStyle w:val="2"/>
        <w:tabs>
          <w:tab w:val="left" w:pos="720"/>
          <w:tab w:val="left" w:pos="2700"/>
        </w:tabs>
      </w:pPr>
      <w:bookmarkStart w:id="241" w:name="_Toc13900"/>
      <w:bookmarkStart w:id="242" w:name="_Toc19850"/>
      <w:r>
        <w:rPr>
          <w:rFonts w:hint="eastAsia"/>
        </w:rPr>
        <w:t>《逻辑学》课程教学大纲</w:t>
      </w:r>
      <w:bookmarkEnd w:id="241"/>
      <w:bookmarkEnd w:id="242"/>
    </w:p>
    <w:p w14:paraId="6B6026C0">
      <w:pPr>
        <w:spacing w:line="312" w:lineRule="auto"/>
        <w:jc w:val="center"/>
        <w:rPr>
          <w:b/>
          <w:bCs/>
          <w:sz w:val="30"/>
        </w:rPr>
      </w:pPr>
      <w:r>
        <w:rPr>
          <w:b/>
          <w:bCs/>
          <w:sz w:val="30"/>
        </w:rPr>
        <w:t>（Logic）</w:t>
      </w:r>
    </w:p>
    <w:p w14:paraId="62BB9334">
      <w:pPr>
        <w:spacing w:line="360" w:lineRule="auto"/>
        <w:ind w:firstLine="482" w:firstLineChars="200"/>
        <w:jc w:val="left"/>
        <w:rPr>
          <w:b/>
          <w:sz w:val="24"/>
        </w:rPr>
      </w:pPr>
      <w:r>
        <w:rPr>
          <w:rFonts w:hint="eastAsia"/>
          <w:b/>
          <w:sz w:val="24"/>
        </w:rPr>
        <w:t>课程名称：逻辑学</w:t>
      </w:r>
    </w:p>
    <w:p w14:paraId="510B0AAE">
      <w:pPr>
        <w:spacing w:line="360" w:lineRule="auto"/>
        <w:ind w:firstLine="482" w:firstLineChars="200"/>
        <w:jc w:val="left"/>
        <w:rPr>
          <w:b/>
          <w:sz w:val="24"/>
        </w:rPr>
      </w:pPr>
      <w:r>
        <w:rPr>
          <w:rFonts w:hint="eastAsia"/>
          <w:b/>
          <w:sz w:val="24"/>
        </w:rPr>
        <w:t>课程代码：2401033</w:t>
      </w:r>
    </w:p>
    <w:p w14:paraId="2FA5986B">
      <w:pPr>
        <w:spacing w:line="360" w:lineRule="auto"/>
        <w:ind w:firstLine="482" w:firstLineChars="200"/>
        <w:jc w:val="left"/>
        <w:rPr>
          <w:sz w:val="24"/>
        </w:rPr>
      </w:pPr>
      <w:r>
        <w:rPr>
          <w:rFonts w:hint="eastAsia"/>
          <w:b/>
          <w:sz w:val="24"/>
        </w:rPr>
        <w:t xml:space="preserve">学 </w:t>
      </w:r>
      <w:r>
        <w:rPr>
          <w:b/>
          <w:sz w:val="24"/>
        </w:rPr>
        <w:t xml:space="preserve">   </w:t>
      </w:r>
      <w:r>
        <w:rPr>
          <w:rFonts w:hint="eastAsia"/>
          <w:b/>
          <w:sz w:val="24"/>
        </w:rPr>
        <w:t>分：2</w:t>
      </w:r>
    </w:p>
    <w:p w14:paraId="7ED5073A">
      <w:pPr>
        <w:spacing w:line="360" w:lineRule="auto"/>
        <w:ind w:firstLine="482" w:firstLineChars="200"/>
        <w:jc w:val="left"/>
        <w:rPr>
          <w:sz w:val="24"/>
        </w:rPr>
      </w:pPr>
      <w:r>
        <w:rPr>
          <w:rFonts w:hint="eastAsia"/>
          <w:b/>
          <w:sz w:val="24"/>
        </w:rPr>
        <w:t xml:space="preserve">学 </w:t>
      </w:r>
      <w:r>
        <w:rPr>
          <w:b/>
          <w:sz w:val="24"/>
        </w:rPr>
        <w:t xml:space="preserve">   </w:t>
      </w:r>
      <w:r>
        <w:rPr>
          <w:rFonts w:hint="eastAsia"/>
          <w:b/>
          <w:sz w:val="24"/>
        </w:rPr>
        <w:t>时：32</w:t>
      </w:r>
    </w:p>
    <w:p w14:paraId="4D832B6A">
      <w:pPr>
        <w:spacing w:line="360" w:lineRule="auto"/>
        <w:ind w:firstLine="482" w:firstLineChars="200"/>
        <w:jc w:val="left"/>
        <w:rPr>
          <w:sz w:val="24"/>
        </w:rPr>
      </w:pPr>
      <w:r>
        <w:rPr>
          <w:rFonts w:hint="eastAsia"/>
          <w:b/>
          <w:sz w:val="24"/>
        </w:rPr>
        <w:t>先修课程：无</w:t>
      </w:r>
    </w:p>
    <w:p w14:paraId="3C25585A">
      <w:pPr>
        <w:spacing w:line="360" w:lineRule="auto"/>
        <w:ind w:firstLine="482" w:firstLineChars="200"/>
        <w:jc w:val="left"/>
        <w:rPr>
          <w:b/>
          <w:sz w:val="24"/>
        </w:rPr>
      </w:pPr>
      <w:r>
        <w:rPr>
          <w:rFonts w:hint="eastAsia"/>
          <w:b/>
          <w:sz w:val="24"/>
        </w:rPr>
        <w:t>适用专业：小学教育</w:t>
      </w:r>
    </w:p>
    <w:p w14:paraId="7FBB3C2C">
      <w:pPr>
        <w:spacing w:line="360" w:lineRule="auto"/>
        <w:jc w:val="left"/>
        <w:rPr>
          <w:sz w:val="24"/>
        </w:rPr>
      </w:pPr>
      <w:r>
        <w:rPr>
          <w:rFonts w:hint="eastAsia"/>
          <w:b/>
          <w:sz w:val="24"/>
        </w:rPr>
        <w:t>一、课程简介</w:t>
      </w:r>
    </w:p>
    <w:p w14:paraId="4D006F20">
      <w:pPr>
        <w:spacing w:line="360" w:lineRule="auto"/>
        <w:ind w:firstLine="420" w:firstLineChars="200"/>
        <w:jc w:val="left"/>
        <w:rPr>
          <w:szCs w:val="21"/>
        </w:rPr>
      </w:pPr>
      <w:r>
        <w:rPr>
          <w:rFonts w:hint="eastAsia"/>
          <w:szCs w:val="21"/>
        </w:rPr>
        <w:t>逻辑学是以思维形式及其规律和某些简单的逻辑方法为研究对象的一门工具性学科，是高等院校文科专业学生必修的基础课程。本课程通过对概念、命题及推理等基本思维形式等的概念和规律等逻辑的基本内容的讲授，也对定义、划分、限制、概括、论证等等基本逻辑方法进行介绍，通过练习，学生能在日常生活中进行运用，学会基本的辩论和论述。</w:t>
      </w:r>
    </w:p>
    <w:p w14:paraId="24B4044E">
      <w:pPr>
        <w:spacing w:line="360" w:lineRule="auto"/>
        <w:jc w:val="left"/>
        <w:rPr>
          <w:sz w:val="24"/>
        </w:rPr>
      </w:pPr>
      <w:r>
        <w:rPr>
          <w:rFonts w:hint="eastAsia" w:ascii="宋体" w:hAnsi="宋体"/>
          <w:b/>
          <w:color w:val="000000"/>
          <w:sz w:val="24"/>
        </w:rPr>
        <w:t>二</w:t>
      </w:r>
      <w:r>
        <w:rPr>
          <w:rFonts w:ascii="宋体" w:hAnsi="宋体"/>
          <w:b/>
          <w:color w:val="000000"/>
          <w:sz w:val="24"/>
        </w:rPr>
        <w:t>、课程目标</w:t>
      </w:r>
    </w:p>
    <w:p w14:paraId="2915EA78">
      <w:pPr>
        <w:spacing w:line="360" w:lineRule="auto"/>
        <w:ind w:firstLine="422" w:firstLineChars="200"/>
        <w:rPr>
          <w:rFonts w:hint="eastAsia" w:ascii="宋体" w:hAnsi="宋体"/>
          <w:b/>
          <w:color w:val="000000"/>
          <w:szCs w:val="21"/>
        </w:rPr>
      </w:pPr>
      <w:r>
        <w:rPr>
          <w:rFonts w:hint="eastAsia" w:ascii="宋体" w:hAnsi="宋体"/>
          <w:b/>
          <w:color w:val="000000"/>
          <w:szCs w:val="21"/>
        </w:rPr>
        <w:t>（一）课程具体目标</w:t>
      </w:r>
    </w:p>
    <w:p w14:paraId="48D0D808">
      <w:pPr>
        <w:spacing w:line="360" w:lineRule="auto"/>
        <w:ind w:firstLine="482"/>
        <w:jc w:val="left"/>
        <w:rPr>
          <w:szCs w:val="21"/>
        </w:rPr>
      </w:pPr>
      <w:r>
        <w:rPr>
          <w:rFonts w:hint="eastAsia"/>
          <w:b/>
          <w:szCs w:val="21"/>
        </w:rPr>
        <w:t>目标</w:t>
      </w:r>
      <w:r>
        <w:rPr>
          <w:b/>
          <w:szCs w:val="21"/>
        </w:rPr>
        <w:t>1.</w:t>
      </w:r>
      <w:r>
        <w:rPr>
          <w:rFonts w:hint="eastAsia"/>
          <w:szCs w:val="21"/>
        </w:rPr>
        <w:t>了解逻辑学的学科特点，知道逻辑学与其他学科的关系，掌握逻辑学的研究对象及研究方法。</w:t>
      </w:r>
    </w:p>
    <w:p w14:paraId="0EFC8DF7">
      <w:pPr>
        <w:spacing w:line="360" w:lineRule="auto"/>
        <w:ind w:firstLine="482"/>
        <w:jc w:val="left"/>
        <w:rPr>
          <w:bCs/>
          <w:szCs w:val="21"/>
        </w:rPr>
      </w:pPr>
      <w:r>
        <w:rPr>
          <w:rFonts w:hint="eastAsia"/>
          <w:b/>
          <w:szCs w:val="21"/>
        </w:rPr>
        <w:t>目标2</w:t>
      </w:r>
      <w:r>
        <w:rPr>
          <w:b/>
          <w:szCs w:val="21"/>
        </w:rPr>
        <w:t>.</w:t>
      </w:r>
      <w:r>
        <w:rPr>
          <w:rFonts w:hint="eastAsia"/>
        </w:rPr>
        <w:t xml:space="preserve"> </w:t>
      </w:r>
      <w:r>
        <w:rPr>
          <w:rFonts w:hint="eastAsia"/>
          <w:bCs/>
          <w:szCs w:val="21"/>
        </w:rPr>
        <w:t>了解判断、推理的逻辑特征和类型；理解概念的特征、种类、概念间的关系，三段论推理的规则，定义、划分的方法与规则；能正确地对概念进行概括与限制；会用欧拉图解表示概念间的关系、分析三段论的构成，掌握复合判断的逻辑特征、逻辑结构式及其逻辑简式、真值表、归纳推理与演绎推理，能在生活中的运用二难推理，会用推理解决问题。</w:t>
      </w:r>
    </w:p>
    <w:p w14:paraId="09DEF528">
      <w:pPr>
        <w:spacing w:line="360" w:lineRule="auto"/>
        <w:ind w:firstLine="422" w:firstLineChars="200"/>
        <w:jc w:val="left"/>
        <w:rPr>
          <w:szCs w:val="21"/>
        </w:rPr>
      </w:pPr>
      <w:r>
        <w:rPr>
          <w:rFonts w:hint="eastAsia"/>
          <w:b/>
          <w:szCs w:val="21"/>
        </w:rPr>
        <w:t>目标3</w:t>
      </w:r>
      <w:r>
        <w:rPr>
          <w:rFonts w:hint="eastAsia"/>
          <w:b/>
          <w:kern w:val="0"/>
          <w:szCs w:val="21"/>
        </w:rPr>
        <w:t>．</w:t>
      </w:r>
      <w:r>
        <w:rPr>
          <w:rFonts w:hint="eastAsia"/>
          <w:szCs w:val="21"/>
        </w:rPr>
        <w:t>熟练掌握形式逻辑基本规律和论证的主要方法；能正确运用这些规律和方法解决现实问题。</w:t>
      </w:r>
    </w:p>
    <w:p w14:paraId="496FAA64">
      <w:pPr>
        <w:spacing w:before="156" w:beforeLines="50" w:after="156" w:afterLines="50" w:line="360" w:lineRule="auto"/>
        <w:jc w:val="left"/>
        <w:rPr>
          <w:b/>
          <w:bCs/>
          <w:szCs w:val="21"/>
        </w:rPr>
      </w:pPr>
      <w:r>
        <w:rPr>
          <w:rFonts w:hint="eastAsia"/>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C8A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BE89445">
            <w:pPr>
              <w:spacing w:line="360" w:lineRule="auto"/>
              <w:jc w:val="center"/>
              <w:rPr>
                <w:b/>
                <w:bCs/>
                <w:szCs w:val="21"/>
              </w:rPr>
            </w:pPr>
            <w:r>
              <w:rPr>
                <w:rFonts w:hint="eastAsia"/>
                <w:b/>
                <w:bCs/>
                <w:szCs w:val="21"/>
              </w:rPr>
              <w:t>毕业要求</w:t>
            </w:r>
          </w:p>
        </w:tc>
        <w:tc>
          <w:tcPr>
            <w:tcW w:w="5688" w:type="dxa"/>
            <w:vAlign w:val="center"/>
          </w:tcPr>
          <w:p w14:paraId="048D0206">
            <w:pPr>
              <w:spacing w:line="360" w:lineRule="auto"/>
              <w:jc w:val="center"/>
              <w:rPr>
                <w:b/>
                <w:bCs/>
                <w:szCs w:val="21"/>
              </w:rPr>
            </w:pPr>
            <w:r>
              <w:rPr>
                <w:rFonts w:hint="eastAsia"/>
                <w:b/>
                <w:bCs/>
                <w:szCs w:val="21"/>
              </w:rPr>
              <w:t>毕业要求指标点</w:t>
            </w:r>
          </w:p>
        </w:tc>
        <w:tc>
          <w:tcPr>
            <w:tcW w:w="1191" w:type="dxa"/>
            <w:vAlign w:val="center"/>
          </w:tcPr>
          <w:p w14:paraId="30934353">
            <w:pPr>
              <w:spacing w:line="360" w:lineRule="auto"/>
              <w:jc w:val="center"/>
              <w:rPr>
                <w:b/>
                <w:bCs/>
                <w:szCs w:val="21"/>
              </w:rPr>
            </w:pPr>
            <w:r>
              <w:rPr>
                <w:rFonts w:hint="eastAsia"/>
                <w:b/>
                <w:bCs/>
                <w:szCs w:val="21"/>
              </w:rPr>
              <w:t>课程目标</w:t>
            </w:r>
          </w:p>
        </w:tc>
      </w:tr>
      <w:tr w14:paraId="24CB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8A6179F">
            <w:pPr>
              <w:spacing w:line="276" w:lineRule="auto"/>
              <w:jc w:val="left"/>
              <w:rPr>
                <w:szCs w:val="21"/>
              </w:rPr>
            </w:pPr>
            <w:r>
              <w:rPr>
                <w:rFonts w:hint="eastAsia"/>
                <w:szCs w:val="21"/>
              </w:rPr>
              <w:t>毕业要求3学科素养</w:t>
            </w:r>
          </w:p>
        </w:tc>
        <w:tc>
          <w:tcPr>
            <w:tcW w:w="5688" w:type="dxa"/>
            <w:vAlign w:val="center"/>
          </w:tcPr>
          <w:p w14:paraId="66E4D1AD">
            <w:pPr>
              <w:spacing w:line="276" w:lineRule="auto"/>
              <w:jc w:val="left"/>
              <w:rPr>
                <w:szCs w:val="21"/>
              </w:rPr>
            </w:pPr>
            <w:r>
              <w:rPr>
                <w:rFonts w:hint="eastAsia" w:ascii="宋体" w:hAnsi="宋体"/>
                <w:color w:val="000000"/>
                <w:spacing w:val="2"/>
                <w:kern w:val="0"/>
                <w:szCs w:val="21"/>
              </w:rPr>
              <w:t>指标点3-1：【通识知识广博】具有小学教育本科专业相应的自然科学和人文社会科学知识素养。</w:t>
            </w:r>
          </w:p>
        </w:tc>
        <w:tc>
          <w:tcPr>
            <w:tcW w:w="1191" w:type="dxa"/>
            <w:vAlign w:val="center"/>
          </w:tcPr>
          <w:p w14:paraId="734CCC69">
            <w:pPr>
              <w:spacing w:line="276" w:lineRule="auto"/>
              <w:jc w:val="left"/>
              <w:rPr>
                <w:szCs w:val="21"/>
              </w:rPr>
            </w:pPr>
            <w:r>
              <w:rPr>
                <w:rFonts w:hint="eastAsia"/>
                <w:szCs w:val="21"/>
              </w:rPr>
              <w:t>课程目标1</w:t>
            </w:r>
          </w:p>
          <w:p w14:paraId="644ACDEE">
            <w:pPr>
              <w:spacing w:line="276" w:lineRule="auto"/>
              <w:jc w:val="left"/>
              <w:rPr>
                <w:szCs w:val="21"/>
              </w:rPr>
            </w:pPr>
            <w:r>
              <w:rPr>
                <w:rFonts w:hint="eastAsia"/>
                <w:szCs w:val="21"/>
              </w:rPr>
              <w:t>课程目标2</w:t>
            </w:r>
          </w:p>
        </w:tc>
      </w:tr>
      <w:tr w14:paraId="037F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D7DA0F4">
            <w:pPr>
              <w:spacing w:line="276" w:lineRule="auto"/>
              <w:jc w:val="left"/>
              <w:rPr>
                <w:szCs w:val="21"/>
              </w:rPr>
            </w:pPr>
            <w:r>
              <w:rPr>
                <w:rFonts w:hint="eastAsia"/>
                <w:szCs w:val="21"/>
              </w:rPr>
              <w:t>毕业要求8沟通合作</w:t>
            </w:r>
          </w:p>
        </w:tc>
        <w:tc>
          <w:tcPr>
            <w:tcW w:w="5688" w:type="dxa"/>
            <w:vAlign w:val="center"/>
          </w:tcPr>
          <w:p w14:paraId="77947127">
            <w:pPr>
              <w:spacing w:line="276" w:lineRule="auto"/>
              <w:jc w:val="left"/>
              <w:rPr>
                <w:szCs w:val="21"/>
              </w:rPr>
            </w:pPr>
            <w:r>
              <w:rPr>
                <w:rFonts w:hint="eastAsia"/>
                <w:szCs w:val="21"/>
              </w:rPr>
              <w:t>指标点8-2：【学会沟通交流】掌握人际沟通合作技能与方法，在教育教学实践中，能与学生和家长以及同行、同事、专家进行有效沟通与合作，实现共同发展。</w:t>
            </w:r>
          </w:p>
        </w:tc>
        <w:tc>
          <w:tcPr>
            <w:tcW w:w="1191" w:type="dxa"/>
            <w:vAlign w:val="center"/>
          </w:tcPr>
          <w:p w14:paraId="14C5CE12">
            <w:pPr>
              <w:spacing w:line="276" w:lineRule="auto"/>
              <w:jc w:val="left"/>
              <w:rPr>
                <w:szCs w:val="21"/>
              </w:rPr>
            </w:pPr>
            <w:r>
              <w:rPr>
                <w:rFonts w:hint="eastAsia"/>
                <w:szCs w:val="21"/>
              </w:rPr>
              <w:t>课程目标3</w:t>
            </w:r>
          </w:p>
        </w:tc>
      </w:tr>
    </w:tbl>
    <w:p w14:paraId="44E32378">
      <w:pPr>
        <w:spacing w:before="156" w:beforeLines="50" w:line="360" w:lineRule="auto"/>
        <w:jc w:val="left"/>
        <w:rPr>
          <w:rFonts w:hint="eastAsia" w:ascii="宋体" w:hAnsi="宋体"/>
          <w:b/>
          <w:color w:val="000000"/>
          <w:szCs w:val="21"/>
        </w:rPr>
      </w:pPr>
      <w:r>
        <w:rPr>
          <w:rFonts w:hint="eastAsia" w:ascii="宋体" w:hAnsi="宋体"/>
          <w:b/>
          <w:color w:val="000000"/>
          <w:szCs w:val="21"/>
        </w:rPr>
        <w:t>（三）课程思政目标</w:t>
      </w:r>
    </w:p>
    <w:p w14:paraId="58D47F65">
      <w:pPr>
        <w:spacing w:line="360" w:lineRule="auto"/>
        <w:ind w:firstLine="420" w:firstLineChars="200"/>
        <w:jc w:val="left"/>
        <w:rPr>
          <w:rFonts w:hint="eastAsia" w:ascii="宋体" w:hAnsi="宋体"/>
          <w:color w:val="000000"/>
          <w:szCs w:val="21"/>
        </w:rPr>
      </w:pPr>
      <w:r>
        <w:rPr>
          <w:rFonts w:hint="eastAsia" w:ascii="宋体" w:hAnsi="宋体"/>
          <w:color w:val="000000"/>
          <w:szCs w:val="21"/>
        </w:rPr>
        <w:t>促使学生基本养成科学思维的意识，提高学生对我国传统的逻辑学等传统文化的兴趣；通过例证渗透爱国主义思想，社会主义核心价值观，分析不当言论的逻辑错误，提高学生的判断能力，并通过辩论等形式提高学生解决问题的能力，学习理性思维，关注社会现象，提高批判思维能力。</w:t>
      </w:r>
    </w:p>
    <w:p w14:paraId="6B28267F">
      <w:pPr>
        <w:spacing w:line="360" w:lineRule="auto"/>
        <w:ind w:firstLine="420" w:firstLineChars="200"/>
        <w:jc w:val="left"/>
        <w:rPr>
          <w:szCs w:val="21"/>
        </w:rPr>
      </w:pPr>
    </w:p>
    <w:p w14:paraId="7E59CA0C">
      <w:pPr>
        <w:spacing w:line="360" w:lineRule="auto"/>
        <w:jc w:val="left"/>
        <w:rPr>
          <w:rFonts w:hint="eastAsia" w:ascii="宋体" w:hAnsi="宋体"/>
          <w:b/>
          <w:color w:val="000000"/>
          <w:sz w:val="24"/>
        </w:rPr>
      </w:pPr>
      <w:r>
        <w:rPr>
          <w:rFonts w:hint="eastAsia" w:ascii="宋体" w:hAnsi="宋体"/>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7DA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5A92E90">
            <w:pPr>
              <w:jc w:val="center"/>
              <w:rPr>
                <w:rFonts w:hint="eastAsia" w:ascii="宋体" w:hAnsi="宋体"/>
                <w:b/>
                <w:color w:val="000000"/>
                <w:szCs w:val="21"/>
              </w:rPr>
            </w:pPr>
            <w:r>
              <w:rPr>
                <w:rFonts w:hint="eastAsia" w:ascii="宋体" w:hAnsi="宋体"/>
                <w:b/>
                <w:color w:val="000000"/>
                <w:szCs w:val="21"/>
              </w:rPr>
              <w:t>知识</w:t>
            </w:r>
          </w:p>
          <w:p w14:paraId="566C1C0F">
            <w:pPr>
              <w:jc w:val="center"/>
              <w:rPr>
                <w:rFonts w:hint="eastAsia" w:ascii="宋体" w:hAnsi="宋体"/>
                <w:b/>
                <w:color w:val="000000"/>
                <w:szCs w:val="21"/>
              </w:rPr>
            </w:pPr>
            <w:r>
              <w:rPr>
                <w:rFonts w:hint="eastAsia" w:ascii="宋体" w:hAnsi="宋体"/>
                <w:b/>
                <w:color w:val="000000"/>
                <w:szCs w:val="21"/>
              </w:rPr>
              <w:t>单元</w:t>
            </w:r>
          </w:p>
        </w:tc>
        <w:tc>
          <w:tcPr>
            <w:tcW w:w="1701" w:type="dxa"/>
            <w:vAlign w:val="center"/>
          </w:tcPr>
          <w:p w14:paraId="0C7D4BCF">
            <w:pPr>
              <w:jc w:val="center"/>
              <w:rPr>
                <w:rFonts w:hint="eastAsia" w:ascii="宋体" w:hAnsi="宋体"/>
                <w:b/>
                <w:color w:val="000000"/>
                <w:szCs w:val="21"/>
              </w:rPr>
            </w:pPr>
            <w:r>
              <w:rPr>
                <w:rFonts w:hint="eastAsia" w:ascii="宋体" w:hAnsi="宋体"/>
                <w:b/>
                <w:color w:val="000000"/>
                <w:szCs w:val="21"/>
              </w:rPr>
              <w:t>知识点</w:t>
            </w:r>
          </w:p>
        </w:tc>
        <w:tc>
          <w:tcPr>
            <w:tcW w:w="1134" w:type="dxa"/>
            <w:vAlign w:val="center"/>
          </w:tcPr>
          <w:p w14:paraId="3DD20E4E">
            <w:pPr>
              <w:jc w:val="center"/>
              <w:rPr>
                <w:rFonts w:hint="eastAsia" w:ascii="宋体" w:hAnsi="宋体"/>
                <w:b/>
                <w:color w:val="000000"/>
                <w:szCs w:val="21"/>
              </w:rPr>
            </w:pPr>
            <w:r>
              <w:rPr>
                <w:rFonts w:hint="eastAsia" w:ascii="宋体" w:hAnsi="宋体"/>
                <w:b/>
                <w:color w:val="000000"/>
                <w:szCs w:val="21"/>
              </w:rPr>
              <w:t>对应</w:t>
            </w:r>
          </w:p>
          <w:p w14:paraId="3E7B9277">
            <w:pPr>
              <w:jc w:val="center"/>
              <w:rPr>
                <w:rFonts w:hint="eastAsia" w:ascii="宋体" w:hAnsi="宋体"/>
                <w:b/>
                <w:color w:val="000000"/>
                <w:szCs w:val="21"/>
              </w:rPr>
            </w:pPr>
            <w:r>
              <w:rPr>
                <w:rFonts w:hint="eastAsia" w:ascii="宋体" w:hAnsi="宋体"/>
                <w:b/>
                <w:color w:val="000000"/>
                <w:szCs w:val="21"/>
              </w:rPr>
              <w:t>课程目标</w:t>
            </w:r>
          </w:p>
        </w:tc>
        <w:tc>
          <w:tcPr>
            <w:tcW w:w="3260" w:type="dxa"/>
            <w:vAlign w:val="center"/>
          </w:tcPr>
          <w:p w14:paraId="25AEA7B0">
            <w:pPr>
              <w:jc w:val="center"/>
              <w:rPr>
                <w:rFonts w:hint="eastAsia" w:ascii="宋体" w:hAnsi="宋体"/>
                <w:b/>
                <w:color w:val="000000"/>
                <w:szCs w:val="21"/>
              </w:rPr>
            </w:pPr>
            <w:r>
              <w:rPr>
                <w:rFonts w:hint="eastAsia" w:ascii="宋体" w:hAnsi="宋体"/>
                <w:b/>
                <w:color w:val="000000"/>
                <w:szCs w:val="21"/>
              </w:rPr>
              <w:t>预期学习成效</w:t>
            </w:r>
          </w:p>
        </w:tc>
        <w:tc>
          <w:tcPr>
            <w:tcW w:w="1560" w:type="dxa"/>
            <w:vAlign w:val="center"/>
          </w:tcPr>
          <w:p w14:paraId="3863D737">
            <w:pPr>
              <w:jc w:val="center"/>
              <w:rPr>
                <w:rFonts w:hint="eastAsia" w:ascii="宋体" w:hAnsi="宋体"/>
                <w:b/>
                <w:color w:val="000000"/>
                <w:szCs w:val="21"/>
              </w:rPr>
            </w:pPr>
            <w:r>
              <w:rPr>
                <w:rFonts w:hint="eastAsia" w:ascii="宋体" w:hAnsi="宋体"/>
                <w:b/>
                <w:color w:val="000000"/>
                <w:szCs w:val="21"/>
              </w:rPr>
              <w:t>实现环节</w:t>
            </w:r>
          </w:p>
        </w:tc>
        <w:tc>
          <w:tcPr>
            <w:tcW w:w="438" w:type="dxa"/>
            <w:vAlign w:val="center"/>
          </w:tcPr>
          <w:p w14:paraId="69442F5F">
            <w:pPr>
              <w:jc w:val="center"/>
              <w:rPr>
                <w:rFonts w:hint="eastAsia" w:ascii="宋体" w:hAnsi="宋体"/>
                <w:b/>
                <w:color w:val="000000"/>
                <w:szCs w:val="21"/>
              </w:rPr>
            </w:pPr>
            <w:r>
              <w:rPr>
                <w:rFonts w:hint="eastAsia" w:ascii="宋体" w:hAnsi="宋体"/>
                <w:b/>
                <w:color w:val="000000"/>
                <w:szCs w:val="21"/>
              </w:rPr>
              <w:t>学时</w:t>
            </w:r>
          </w:p>
        </w:tc>
      </w:tr>
      <w:tr w14:paraId="0677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9EC76CA">
            <w:pPr>
              <w:spacing w:line="264" w:lineRule="auto"/>
              <w:jc w:val="center"/>
              <w:rPr>
                <w:rFonts w:hint="eastAsia" w:ascii="宋体" w:hAnsi="宋体"/>
                <w:color w:val="000000"/>
                <w:szCs w:val="21"/>
              </w:rPr>
            </w:pPr>
            <w:r>
              <w:rPr>
                <w:rFonts w:hint="eastAsia" w:ascii="宋体" w:hAnsi="宋体"/>
                <w:color w:val="000000"/>
                <w:szCs w:val="21"/>
              </w:rPr>
              <w:t>1. 绪论</w:t>
            </w:r>
          </w:p>
        </w:tc>
        <w:tc>
          <w:tcPr>
            <w:tcW w:w="1701" w:type="dxa"/>
            <w:vAlign w:val="center"/>
          </w:tcPr>
          <w:p w14:paraId="4F95E073">
            <w:pPr>
              <w:spacing w:line="269" w:lineRule="auto"/>
              <w:jc w:val="left"/>
              <w:rPr>
                <w:rFonts w:hint="eastAsia" w:ascii="宋体" w:hAnsi="宋体"/>
                <w:color w:val="000000"/>
                <w:szCs w:val="21"/>
              </w:rPr>
            </w:pPr>
            <w:r>
              <w:rPr>
                <w:rFonts w:hint="eastAsia" w:ascii="宋体" w:hAnsi="宋体"/>
                <w:color w:val="000000"/>
                <w:szCs w:val="21"/>
              </w:rPr>
              <w:t>1.形式逻辑的研究对象、性质和作用</w:t>
            </w:r>
          </w:p>
          <w:p w14:paraId="43D0770A">
            <w:pPr>
              <w:spacing w:line="269" w:lineRule="auto"/>
              <w:jc w:val="left"/>
              <w:rPr>
                <w:rFonts w:hint="eastAsia" w:ascii="宋体" w:hAnsi="宋体"/>
                <w:color w:val="000000"/>
                <w:szCs w:val="21"/>
              </w:rPr>
            </w:pPr>
            <w:r>
              <w:rPr>
                <w:rFonts w:hint="eastAsia" w:ascii="宋体" w:hAnsi="宋体"/>
                <w:color w:val="000000"/>
                <w:szCs w:val="21"/>
              </w:rPr>
              <w:t>2.形式逻辑、数理逻辑和辩证逻辑三者间的关系</w:t>
            </w:r>
          </w:p>
        </w:tc>
        <w:tc>
          <w:tcPr>
            <w:tcW w:w="1134" w:type="dxa"/>
            <w:vAlign w:val="center"/>
          </w:tcPr>
          <w:p w14:paraId="2F739D9D">
            <w:pPr>
              <w:spacing w:line="269" w:lineRule="auto"/>
              <w:jc w:val="center"/>
              <w:rPr>
                <w:rFonts w:hint="eastAsia" w:ascii="宋体" w:hAnsi="宋体"/>
                <w:color w:val="000000"/>
                <w:szCs w:val="21"/>
              </w:rPr>
            </w:pPr>
            <w:r>
              <w:rPr>
                <w:rFonts w:hint="eastAsia" w:ascii="宋体" w:hAnsi="宋体"/>
                <w:color w:val="000000"/>
                <w:szCs w:val="21"/>
              </w:rPr>
              <w:t>课程目标1</w:t>
            </w:r>
          </w:p>
        </w:tc>
        <w:tc>
          <w:tcPr>
            <w:tcW w:w="3260" w:type="dxa"/>
            <w:vAlign w:val="center"/>
          </w:tcPr>
          <w:p w14:paraId="017267DB">
            <w:pPr>
              <w:pStyle w:val="35"/>
              <w:numPr>
                <w:ilvl w:val="0"/>
                <w:numId w:val="59"/>
              </w:numPr>
              <w:spacing w:line="269" w:lineRule="auto"/>
              <w:ind w:firstLineChars="0"/>
              <w:jc w:val="left"/>
              <w:rPr>
                <w:rFonts w:hint="eastAsia" w:ascii="宋体" w:hAnsi="宋体"/>
                <w:color w:val="000000"/>
                <w:szCs w:val="21"/>
              </w:rPr>
            </w:pPr>
            <w:r>
              <w:rPr>
                <w:rFonts w:hint="eastAsia" w:ascii="宋体" w:hAnsi="宋体"/>
                <w:color w:val="000000"/>
                <w:szCs w:val="21"/>
              </w:rPr>
              <w:t>掌握形式逻辑的研究对象</w:t>
            </w:r>
          </w:p>
          <w:p w14:paraId="1D06EB8B">
            <w:pPr>
              <w:pStyle w:val="35"/>
              <w:numPr>
                <w:ilvl w:val="0"/>
                <w:numId w:val="59"/>
              </w:numPr>
              <w:spacing w:line="269" w:lineRule="auto"/>
              <w:ind w:firstLineChars="0"/>
              <w:jc w:val="left"/>
              <w:rPr>
                <w:rFonts w:hint="eastAsia" w:ascii="宋体" w:hAnsi="宋体"/>
                <w:color w:val="000000"/>
                <w:szCs w:val="21"/>
              </w:rPr>
            </w:pPr>
            <w:r>
              <w:rPr>
                <w:rFonts w:hint="eastAsia" w:ascii="宋体" w:hAnsi="宋体"/>
                <w:color w:val="000000"/>
                <w:szCs w:val="21"/>
              </w:rPr>
              <w:t>了解形式逻辑的性质、作用及其和数理逻辑、辩证逻辑的关系。</w:t>
            </w:r>
          </w:p>
        </w:tc>
        <w:tc>
          <w:tcPr>
            <w:tcW w:w="1560" w:type="dxa"/>
            <w:vAlign w:val="center"/>
          </w:tcPr>
          <w:p w14:paraId="2D86E2B4">
            <w:pPr>
              <w:spacing w:line="269" w:lineRule="auto"/>
              <w:jc w:val="left"/>
              <w:rPr>
                <w:rFonts w:hint="eastAsia" w:ascii="宋体" w:hAnsi="宋体"/>
                <w:color w:val="000000"/>
                <w:szCs w:val="21"/>
              </w:rPr>
            </w:pPr>
            <w:r>
              <w:rPr>
                <w:rFonts w:hint="eastAsia" w:ascii="宋体" w:hAnsi="宋体"/>
                <w:color w:val="000000"/>
                <w:szCs w:val="21"/>
              </w:rPr>
              <w:t>1.线上学习</w:t>
            </w:r>
          </w:p>
          <w:p w14:paraId="2AB3E301">
            <w:pPr>
              <w:spacing w:line="269" w:lineRule="auto"/>
              <w:jc w:val="left"/>
              <w:rPr>
                <w:rFonts w:hint="eastAsia" w:ascii="宋体" w:hAnsi="宋体"/>
                <w:color w:val="000000"/>
                <w:szCs w:val="21"/>
              </w:rPr>
            </w:pPr>
            <w:r>
              <w:rPr>
                <w:rFonts w:hint="eastAsia" w:ascii="宋体" w:hAnsi="宋体"/>
                <w:color w:val="000000"/>
                <w:szCs w:val="21"/>
              </w:rPr>
              <w:t>2.多媒体教学3.课堂讨论</w:t>
            </w:r>
          </w:p>
          <w:p w14:paraId="521863C2">
            <w:pPr>
              <w:spacing w:line="269" w:lineRule="auto"/>
              <w:jc w:val="left"/>
              <w:rPr>
                <w:rFonts w:hint="eastAsia" w:ascii="宋体" w:hAnsi="宋体"/>
                <w:color w:val="000000"/>
                <w:szCs w:val="21"/>
              </w:rPr>
            </w:pPr>
            <w:r>
              <w:rPr>
                <w:rFonts w:hint="eastAsia" w:ascii="宋体" w:hAnsi="宋体"/>
                <w:color w:val="000000"/>
                <w:szCs w:val="21"/>
              </w:rPr>
              <w:t>4.课内实践</w:t>
            </w:r>
          </w:p>
        </w:tc>
        <w:tc>
          <w:tcPr>
            <w:tcW w:w="438" w:type="dxa"/>
            <w:vAlign w:val="center"/>
          </w:tcPr>
          <w:p w14:paraId="0CB7E920">
            <w:pPr>
              <w:spacing w:line="269" w:lineRule="auto"/>
              <w:jc w:val="center"/>
              <w:rPr>
                <w:rFonts w:hint="eastAsia" w:ascii="宋体" w:hAnsi="宋体"/>
                <w:color w:val="000000"/>
                <w:szCs w:val="21"/>
              </w:rPr>
            </w:pPr>
            <w:r>
              <w:rPr>
                <w:rFonts w:hint="eastAsia" w:ascii="宋体" w:hAnsi="宋体"/>
                <w:color w:val="000000"/>
                <w:szCs w:val="21"/>
              </w:rPr>
              <w:t>2</w:t>
            </w:r>
          </w:p>
        </w:tc>
      </w:tr>
      <w:tr w14:paraId="6CE1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CA52EF">
            <w:pPr>
              <w:spacing w:line="264" w:lineRule="auto"/>
              <w:jc w:val="center"/>
              <w:rPr>
                <w:rFonts w:hint="eastAsia" w:ascii="宋体" w:hAnsi="宋体"/>
                <w:color w:val="000000"/>
                <w:szCs w:val="21"/>
              </w:rPr>
            </w:pPr>
          </w:p>
        </w:tc>
        <w:tc>
          <w:tcPr>
            <w:tcW w:w="8093" w:type="dxa"/>
            <w:gridSpan w:val="5"/>
            <w:vAlign w:val="center"/>
          </w:tcPr>
          <w:p w14:paraId="5DDC70D7">
            <w:pPr>
              <w:spacing w:line="269"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color w:val="000000"/>
                <w:szCs w:val="21"/>
              </w:rPr>
              <w:t>养成科学思维的意识，提高学生对我国传统的逻辑学等传统文化的兴趣</w:t>
            </w:r>
          </w:p>
        </w:tc>
      </w:tr>
      <w:tr w14:paraId="64D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EDC8FEE">
            <w:pPr>
              <w:spacing w:line="264" w:lineRule="auto"/>
              <w:jc w:val="center"/>
              <w:rPr>
                <w:rFonts w:hint="eastAsia" w:ascii="宋体" w:hAnsi="宋体"/>
                <w:color w:val="000000"/>
                <w:szCs w:val="21"/>
              </w:rPr>
            </w:pPr>
            <w:r>
              <w:rPr>
                <w:rFonts w:hint="eastAsia" w:ascii="宋体" w:hAnsi="宋体"/>
                <w:color w:val="000000"/>
                <w:szCs w:val="21"/>
              </w:rPr>
              <w:t>2．概念</w:t>
            </w:r>
          </w:p>
        </w:tc>
        <w:tc>
          <w:tcPr>
            <w:tcW w:w="1701" w:type="dxa"/>
            <w:vAlign w:val="center"/>
          </w:tcPr>
          <w:p w14:paraId="5E8A58BA">
            <w:pPr>
              <w:spacing w:line="269" w:lineRule="auto"/>
              <w:jc w:val="left"/>
              <w:rPr>
                <w:rFonts w:hint="eastAsia" w:ascii="宋体" w:hAnsi="宋体"/>
                <w:color w:val="000000"/>
                <w:szCs w:val="21"/>
              </w:rPr>
            </w:pPr>
            <w:r>
              <w:rPr>
                <w:rFonts w:hint="eastAsia" w:ascii="宋体" w:hAnsi="宋体"/>
                <w:color w:val="000000"/>
                <w:szCs w:val="21"/>
              </w:rPr>
              <w:t>1.概念的内涵与外延</w:t>
            </w:r>
          </w:p>
          <w:p w14:paraId="7C7ACB68">
            <w:pPr>
              <w:spacing w:line="269" w:lineRule="auto"/>
              <w:jc w:val="left"/>
              <w:rPr>
                <w:rFonts w:hint="eastAsia" w:ascii="宋体" w:hAnsi="宋体"/>
                <w:color w:val="000000"/>
                <w:szCs w:val="21"/>
              </w:rPr>
            </w:pPr>
            <w:r>
              <w:rPr>
                <w:rFonts w:hint="eastAsia" w:ascii="宋体" w:hAnsi="宋体"/>
                <w:color w:val="000000"/>
                <w:szCs w:val="21"/>
              </w:rPr>
              <w:t>2.概念的种类</w:t>
            </w:r>
          </w:p>
          <w:p w14:paraId="0DDA4DF2">
            <w:pPr>
              <w:spacing w:line="269" w:lineRule="auto"/>
              <w:jc w:val="left"/>
              <w:rPr>
                <w:rFonts w:hint="eastAsia" w:ascii="宋体" w:hAnsi="宋体"/>
                <w:color w:val="000000"/>
                <w:szCs w:val="21"/>
              </w:rPr>
            </w:pPr>
            <w:r>
              <w:rPr>
                <w:rFonts w:hint="eastAsia" w:ascii="宋体" w:hAnsi="宋体"/>
                <w:color w:val="000000"/>
                <w:szCs w:val="21"/>
              </w:rPr>
              <w:t>3.概念间的关系</w:t>
            </w:r>
          </w:p>
          <w:p w14:paraId="0AECE574">
            <w:pPr>
              <w:spacing w:line="269" w:lineRule="auto"/>
              <w:jc w:val="left"/>
              <w:rPr>
                <w:rFonts w:hint="eastAsia" w:ascii="宋体" w:hAnsi="宋体"/>
                <w:color w:val="000000"/>
                <w:szCs w:val="21"/>
              </w:rPr>
            </w:pPr>
            <w:r>
              <w:rPr>
                <w:rFonts w:hint="eastAsia" w:ascii="宋体" w:hAnsi="宋体"/>
                <w:color w:val="000000"/>
                <w:szCs w:val="21"/>
              </w:rPr>
              <w:t>4.定义</w:t>
            </w:r>
          </w:p>
          <w:p w14:paraId="3D2B50E2">
            <w:pPr>
              <w:spacing w:line="269" w:lineRule="auto"/>
              <w:jc w:val="left"/>
              <w:rPr>
                <w:rFonts w:hint="eastAsia" w:ascii="宋体" w:hAnsi="宋体"/>
                <w:color w:val="000000"/>
                <w:szCs w:val="21"/>
              </w:rPr>
            </w:pPr>
            <w:r>
              <w:rPr>
                <w:rFonts w:hint="eastAsia" w:ascii="宋体" w:hAnsi="宋体"/>
                <w:color w:val="000000"/>
                <w:szCs w:val="21"/>
              </w:rPr>
              <w:t>5.划分</w:t>
            </w:r>
          </w:p>
          <w:p w14:paraId="41CABB5A">
            <w:pPr>
              <w:spacing w:line="269" w:lineRule="auto"/>
              <w:jc w:val="left"/>
              <w:rPr>
                <w:rFonts w:hint="eastAsia" w:ascii="宋体" w:hAnsi="宋体"/>
                <w:color w:val="000000"/>
                <w:szCs w:val="21"/>
              </w:rPr>
            </w:pPr>
            <w:r>
              <w:rPr>
                <w:rFonts w:hint="eastAsia" w:ascii="宋体" w:hAnsi="宋体"/>
                <w:color w:val="000000"/>
                <w:szCs w:val="21"/>
              </w:rPr>
              <w:t>6.概括与限制</w:t>
            </w:r>
          </w:p>
        </w:tc>
        <w:tc>
          <w:tcPr>
            <w:tcW w:w="1134" w:type="dxa"/>
            <w:vAlign w:val="center"/>
          </w:tcPr>
          <w:p w14:paraId="19824FF4">
            <w:pPr>
              <w:spacing w:line="269" w:lineRule="auto"/>
              <w:jc w:val="center"/>
              <w:rPr>
                <w:rFonts w:hint="eastAsia" w:ascii="宋体" w:hAnsi="宋体"/>
                <w:color w:val="000000"/>
                <w:szCs w:val="21"/>
              </w:rPr>
            </w:pPr>
            <w:r>
              <w:rPr>
                <w:rFonts w:hint="eastAsia" w:ascii="宋体" w:hAnsi="宋体"/>
                <w:color w:val="000000"/>
                <w:szCs w:val="21"/>
              </w:rPr>
              <w:t>课程目标2</w:t>
            </w:r>
          </w:p>
        </w:tc>
        <w:tc>
          <w:tcPr>
            <w:tcW w:w="3260" w:type="dxa"/>
            <w:vAlign w:val="center"/>
          </w:tcPr>
          <w:p w14:paraId="3741F877">
            <w:pPr>
              <w:spacing w:line="269" w:lineRule="auto"/>
              <w:jc w:val="left"/>
              <w:rPr>
                <w:rFonts w:hint="eastAsia" w:ascii="宋体" w:hAnsi="宋体"/>
                <w:color w:val="000000"/>
                <w:szCs w:val="21"/>
              </w:rPr>
            </w:pPr>
            <w:r>
              <w:rPr>
                <w:rFonts w:hint="eastAsia" w:ascii="宋体" w:hAnsi="宋体"/>
                <w:color w:val="000000"/>
                <w:szCs w:val="21"/>
              </w:rPr>
              <w:t>1.理解概念的特征、种类、概念间的关系；</w:t>
            </w:r>
          </w:p>
          <w:p w14:paraId="78E5C93D">
            <w:pPr>
              <w:spacing w:line="269" w:lineRule="auto"/>
              <w:jc w:val="left"/>
              <w:rPr>
                <w:rFonts w:hint="eastAsia" w:ascii="宋体" w:hAnsi="宋体"/>
                <w:color w:val="000000"/>
                <w:szCs w:val="21"/>
              </w:rPr>
            </w:pPr>
            <w:r>
              <w:rPr>
                <w:rFonts w:hint="eastAsia" w:ascii="宋体" w:hAnsi="宋体"/>
                <w:color w:val="000000"/>
                <w:szCs w:val="21"/>
              </w:rPr>
              <w:t>2.掌握定义、划分的方法与规则；</w:t>
            </w:r>
          </w:p>
          <w:p w14:paraId="22662B76">
            <w:pPr>
              <w:spacing w:line="269" w:lineRule="auto"/>
              <w:jc w:val="left"/>
              <w:rPr>
                <w:rFonts w:hint="eastAsia" w:ascii="宋体" w:hAnsi="宋体"/>
                <w:color w:val="000000"/>
                <w:szCs w:val="21"/>
              </w:rPr>
            </w:pPr>
            <w:r>
              <w:rPr>
                <w:rFonts w:hint="eastAsia" w:ascii="宋体" w:hAnsi="宋体"/>
                <w:color w:val="000000"/>
                <w:szCs w:val="21"/>
              </w:rPr>
              <w:t>3.能正确地对概念进行概括与限制；会用欧拉图解表示概念间的关系。</w:t>
            </w:r>
          </w:p>
        </w:tc>
        <w:tc>
          <w:tcPr>
            <w:tcW w:w="1560" w:type="dxa"/>
            <w:vAlign w:val="center"/>
          </w:tcPr>
          <w:p w14:paraId="449E22E9">
            <w:pPr>
              <w:spacing w:line="269" w:lineRule="auto"/>
              <w:jc w:val="left"/>
              <w:rPr>
                <w:rFonts w:hint="eastAsia" w:ascii="宋体" w:hAnsi="宋体"/>
                <w:color w:val="000000"/>
                <w:szCs w:val="21"/>
              </w:rPr>
            </w:pPr>
            <w:r>
              <w:rPr>
                <w:rFonts w:hint="eastAsia" w:ascii="宋体" w:hAnsi="宋体"/>
                <w:color w:val="000000"/>
                <w:szCs w:val="21"/>
              </w:rPr>
              <w:t>1.线上学习</w:t>
            </w:r>
          </w:p>
          <w:p w14:paraId="01AE24B5">
            <w:pPr>
              <w:spacing w:line="269" w:lineRule="auto"/>
              <w:jc w:val="left"/>
              <w:rPr>
                <w:rFonts w:hint="eastAsia" w:ascii="宋体" w:hAnsi="宋体"/>
                <w:color w:val="000000"/>
                <w:szCs w:val="21"/>
              </w:rPr>
            </w:pPr>
            <w:r>
              <w:rPr>
                <w:rFonts w:hint="eastAsia" w:ascii="宋体" w:hAnsi="宋体"/>
                <w:color w:val="000000"/>
                <w:szCs w:val="21"/>
              </w:rPr>
              <w:t>2.多媒体教学3.课堂讨论</w:t>
            </w:r>
          </w:p>
          <w:p w14:paraId="10C2E1FD">
            <w:pPr>
              <w:spacing w:line="269" w:lineRule="auto"/>
              <w:jc w:val="left"/>
              <w:rPr>
                <w:rFonts w:hint="eastAsia" w:ascii="宋体" w:hAnsi="宋体"/>
                <w:color w:val="000000"/>
                <w:szCs w:val="21"/>
              </w:rPr>
            </w:pPr>
            <w:r>
              <w:rPr>
                <w:rFonts w:hint="eastAsia" w:ascii="宋体" w:hAnsi="宋体"/>
                <w:color w:val="000000"/>
                <w:szCs w:val="21"/>
              </w:rPr>
              <w:t>4.单元测验</w:t>
            </w:r>
          </w:p>
          <w:p w14:paraId="1F645D2A">
            <w:pPr>
              <w:spacing w:line="269" w:lineRule="auto"/>
              <w:jc w:val="left"/>
              <w:rPr>
                <w:rFonts w:hint="eastAsia" w:ascii="宋体" w:hAnsi="宋体"/>
                <w:color w:val="000000"/>
                <w:szCs w:val="21"/>
              </w:rPr>
            </w:pPr>
            <w:r>
              <w:rPr>
                <w:rFonts w:hint="eastAsia" w:ascii="宋体" w:hAnsi="宋体"/>
                <w:color w:val="000000"/>
                <w:szCs w:val="21"/>
              </w:rPr>
              <w:t>5.课内实践</w:t>
            </w:r>
          </w:p>
        </w:tc>
        <w:tc>
          <w:tcPr>
            <w:tcW w:w="438" w:type="dxa"/>
            <w:vAlign w:val="center"/>
          </w:tcPr>
          <w:p w14:paraId="6856CBDA">
            <w:pPr>
              <w:spacing w:line="269" w:lineRule="auto"/>
              <w:jc w:val="center"/>
              <w:rPr>
                <w:rFonts w:hint="eastAsia" w:ascii="宋体" w:hAnsi="宋体"/>
                <w:color w:val="000000"/>
                <w:szCs w:val="21"/>
              </w:rPr>
            </w:pPr>
            <w:r>
              <w:rPr>
                <w:rFonts w:hint="eastAsia" w:ascii="宋体" w:hAnsi="宋体"/>
                <w:color w:val="000000"/>
                <w:szCs w:val="21"/>
              </w:rPr>
              <w:t>6</w:t>
            </w:r>
          </w:p>
        </w:tc>
      </w:tr>
      <w:tr w14:paraId="1B98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5D1EB78">
            <w:pPr>
              <w:spacing w:line="264" w:lineRule="auto"/>
              <w:jc w:val="center"/>
              <w:rPr>
                <w:rFonts w:hint="eastAsia" w:ascii="宋体" w:hAnsi="宋体"/>
                <w:color w:val="000000"/>
                <w:szCs w:val="21"/>
              </w:rPr>
            </w:pPr>
          </w:p>
        </w:tc>
        <w:tc>
          <w:tcPr>
            <w:tcW w:w="8093" w:type="dxa"/>
            <w:gridSpan w:val="5"/>
            <w:vAlign w:val="center"/>
          </w:tcPr>
          <w:p w14:paraId="51433D6C">
            <w:pPr>
              <w:spacing w:line="269"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color w:val="000000"/>
                <w:szCs w:val="21"/>
              </w:rPr>
              <w:t>通过例证渗透爱国主义思想，社会主义核心价值观，分析不当言论的逻辑错误，提高学生的判断能力。</w:t>
            </w:r>
          </w:p>
        </w:tc>
      </w:tr>
      <w:tr w14:paraId="6675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214DE8">
            <w:pPr>
              <w:spacing w:line="264" w:lineRule="auto"/>
              <w:jc w:val="center"/>
              <w:rPr>
                <w:rFonts w:hint="eastAsia" w:ascii="宋体" w:hAnsi="宋体"/>
                <w:color w:val="000000"/>
                <w:szCs w:val="21"/>
              </w:rPr>
            </w:pPr>
            <w:r>
              <w:rPr>
                <w:rFonts w:hint="eastAsia" w:ascii="宋体" w:hAnsi="宋体"/>
                <w:color w:val="000000"/>
                <w:szCs w:val="21"/>
              </w:rPr>
              <w:t>3.直言命题及其推理</w:t>
            </w:r>
          </w:p>
        </w:tc>
        <w:tc>
          <w:tcPr>
            <w:tcW w:w="1701" w:type="dxa"/>
            <w:vAlign w:val="center"/>
          </w:tcPr>
          <w:p w14:paraId="64B69219">
            <w:pPr>
              <w:spacing w:line="269" w:lineRule="auto"/>
              <w:jc w:val="left"/>
              <w:rPr>
                <w:rFonts w:hint="eastAsia" w:ascii="宋体" w:hAnsi="宋体"/>
                <w:color w:val="000000"/>
                <w:szCs w:val="21"/>
              </w:rPr>
            </w:pPr>
            <w:r>
              <w:rPr>
                <w:rFonts w:hint="eastAsia" w:ascii="宋体" w:hAnsi="宋体"/>
                <w:color w:val="000000"/>
                <w:szCs w:val="21"/>
              </w:rPr>
              <w:t>1.命题的定义、表达与种类</w:t>
            </w:r>
          </w:p>
          <w:p w14:paraId="4B0FBA99">
            <w:pPr>
              <w:spacing w:line="269" w:lineRule="auto"/>
              <w:jc w:val="left"/>
              <w:rPr>
                <w:rFonts w:hint="eastAsia" w:ascii="宋体" w:hAnsi="宋体"/>
                <w:color w:val="000000"/>
                <w:szCs w:val="21"/>
              </w:rPr>
            </w:pPr>
            <w:r>
              <w:rPr>
                <w:rFonts w:hint="eastAsia" w:ascii="宋体" w:hAnsi="宋体"/>
                <w:color w:val="000000"/>
                <w:szCs w:val="21"/>
              </w:rPr>
              <w:t>2.直言命题</w:t>
            </w:r>
          </w:p>
          <w:p w14:paraId="3576608A">
            <w:pPr>
              <w:spacing w:line="269" w:lineRule="auto"/>
              <w:jc w:val="left"/>
              <w:rPr>
                <w:rFonts w:hint="eastAsia" w:ascii="宋体" w:hAnsi="宋体"/>
                <w:color w:val="000000"/>
                <w:szCs w:val="21"/>
              </w:rPr>
            </w:pPr>
            <w:r>
              <w:rPr>
                <w:rFonts w:hint="eastAsia" w:ascii="宋体" w:hAnsi="宋体"/>
                <w:color w:val="000000"/>
                <w:szCs w:val="21"/>
              </w:rPr>
              <w:t xml:space="preserve">3.推理的定义、表达与种类 </w:t>
            </w:r>
          </w:p>
          <w:p w14:paraId="1962699F">
            <w:pPr>
              <w:spacing w:line="269" w:lineRule="auto"/>
              <w:jc w:val="left"/>
              <w:rPr>
                <w:rFonts w:hint="eastAsia" w:ascii="宋体" w:hAnsi="宋体"/>
                <w:color w:val="000000"/>
                <w:szCs w:val="21"/>
              </w:rPr>
            </w:pPr>
            <w:r>
              <w:rPr>
                <w:rFonts w:hint="eastAsia" w:ascii="宋体" w:hAnsi="宋体"/>
                <w:color w:val="000000"/>
                <w:szCs w:val="21"/>
              </w:rPr>
              <w:t>4.直接推理</w:t>
            </w:r>
          </w:p>
          <w:p w14:paraId="6F7ACA48">
            <w:pPr>
              <w:spacing w:line="269" w:lineRule="auto"/>
              <w:jc w:val="left"/>
              <w:rPr>
                <w:rFonts w:hint="eastAsia" w:ascii="宋体" w:hAnsi="宋体"/>
                <w:color w:val="000000"/>
                <w:szCs w:val="21"/>
              </w:rPr>
            </w:pPr>
            <w:r>
              <w:rPr>
                <w:rFonts w:hint="eastAsia" w:ascii="宋体" w:hAnsi="宋体"/>
                <w:color w:val="000000"/>
                <w:szCs w:val="21"/>
              </w:rPr>
              <w:t>5.三段论</w:t>
            </w:r>
          </w:p>
        </w:tc>
        <w:tc>
          <w:tcPr>
            <w:tcW w:w="1134" w:type="dxa"/>
            <w:vAlign w:val="center"/>
          </w:tcPr>
          <w:p w14:paraId="54AF1DF9">
            <w:pPr>
              <w:spacing w:line="269" w:lineRule="auto"/>
              <w:jc w:val="center"/>
              <w:rPr>
                <w:rFonts w:hint="eastAsia" w:ascii="宋体" w:hAnsi="宋体"/>
                <w:color w:val="000000"/>
                <w:szCs w:val="21"/>
              </w:rPr>
            </w:pPr>
            <w:r>
              <w:rPr>
                <w:rFonts w:hint="eastAsia" w:ascii="宋体" w:hAnsi="宋体"/>
                <w:color w:val="000000"/>
                <w:szCs w:val="21"/>
              </w:rPr>
              <w:t>课程目标2、3</w:t>
            </w:r>
          </w:p>
        </w:tc>
        <w:tc>
          <w:tcPr>
            <w:tcW w:w="3260" w:type="dxa"/>
            <w:vAlign w:val="center"/>
          </w:tcPr>
          <w:p w14:paraId="5D1DAFFF">
            <w:pPr>
              <w:spacing w:line="269" w:lineRule="auto"/>
              <w:jc w:val="left"/>
              <w:rPr>
                <w:rFonts w:hint="eastAsia" w:ascii="宋体" w:hAnsi="宋体"/>
                <w:color w:val="000000"/>
                <w:szCs w:val="21"/>
              </w:rPr>
            </w:pPr>
            <w:r>
              <w:rPr>
                <w:rFonts w:hint="eastAsia" w:ascii="宋体" w:hAnsi="宋体"/>
                <w:color w:val="000000"/>
                <w:szCs w:val="21"/>
              </w:rPr>
              <w:t>1.了解判断、推理的逻辑特征和类型，常见直言命题及其推理；</w:t>
            </w:r>
          </w:p>
          <w:p w14:paraId="56F5C1F8">
            <w:pPr>
              <w:spacing w:line="269" w:lineRule="auto"/>
              <w:jc w:val="left"/>
              <w:rPr>
                <w:rFonts w:hint="eastAsia" w:ascii="宋体" w:hAnsi="宋体"/>
                <w:color w:val="000000"/>
                <w:szCs w:val="21"/>
              </w:rPr>
            </w:pPr>
            <w:r>
              <w:rPr>
                <w:rFonts w:hint="eastAsia" w:ascii="宋体" w:hAnsi="宋体"/>
                <w:color w:val="000000"/>
                <w:szCs w:val="21"/>
              </w:rPr>
              <w:t>2.掌握直言命题的种类，性质相同的A、E、I、O四种直言命题间的对当关系，直言命题构成的直接推理。</w:t>
            </w:r>
          </w:p>
          <w:p w14:paraId="2D1F3C5C">
            <w:pPr>
              <w:spacing w:line="269" w:lineRule="auto"/>
              <w:jc w:val="left"/>
              <w:rPr>
                <w:rFonts w:hint="eastAsia" w:ascii="宋体" w:hAnsi="宋体"/>
                <w:color w:val="000000"/>
                <w:szCs w:val="21"/>
              </w:rPr>
            </w:pPr>
            <w:r>
              <w:rPr>
                <w:rFonts w:hint="eastAsia" w:ascii="宋体" w:hAnsi="宋体"/>
                <w:color w:val="000000"/>
                <w:szCs w:val="21"/>
              </w:rPr>
              <w:t>3.掌握三段论推理的规则及省略三段论的补充；会分析三段论的构成。</w:t>
            </w:r>
          </w:p>
        </w:tc>
        <w:tc>
          <w:tcPr>
            <w:tcW w:w="1560" w:type="dxa"/>
            <w:vAlign w:val="center"/>
          </w:tcPr>
          <w:p w14:paraId="225B532A">
            <w:pPr>
              <w:spacing w:line="269" w:lineRule="auto"/>
              <w:jc w:val="left"/>
              <w:rPr>
                <w:rFonts w:hint="eastAsia" w:ascii="宋体" w:hAnsi="宋体"/>
                <w:color w:val="000000"/>
                <w:szCs w:val="21"/>
              </w:rPr>
            </w:pPr>
            <w:r>
              <w:rPr>
                <w:rFonts w:ascii="宋体" w:hAnsi="宋体"/>
                <w:color w:val="000000"/>
                <w:szCs w:val="21"/>
              </w:rPr>
              <w:t>1.线上学习</w:t>
            </w:r>
          </w:p>
          <w:p w14:paraId="24923F83">
            <w:pPr>
              <w:spacing w:line="269" w:lineRule="auto"/>
              <w:jc w:val="left"/>
              <w:rPr>
                <w:rFonts w:hint="eastAsia" w:ascii="宋体" w:hAnsi="宋体"/>
                <w:color w:val="000000"/>
                <w:szCs w:val="21"/>
              </w:rPr>
            </w:pPr>
            <w:r>
              <w:rPr>
                <w:rFonts w:ascii="宋体" w:hAnsi="宋体"/>
                <w:color w:val="000000"/>
                <w:szCs w:val="21"/>
              </w:rPr>
              <w:t>2.多媒体教学3.课堂讨论</w:t>
            </w:r>
          </w:p>
          <w:p w14:paraId="199B427C">
            <w:pPr>
              <w:spacing w:line="269" w:lineRule="auto"/>
              <w:jc w:val="left"/>
              <w:rPr>
                <w:rFonts w:hint="eastAsia" w:ascii="宋体" w:hAnsi="宋体"/>
                <w:color w:val="000000"/>
                <w:szCs w:val="21"/>
              </w:rPr>
            </w:pPr>
            <w:r>
              <w:rPr>
                <w:rFonts w:ascii="宋体" w:hAnsi="宋体"/>
                <w:color w:val="000000"/>
                <w:szCs w:val="21"/>
              </w:rPr>
              <w:t>4.单元测验</w:t>
            </w:r>
          </w:p>
          <w:p w14:paraId="745243DE">
            <w:pPr>
              <w:spacing w:line="269" w:lineRule="auto"/>
              <w:jc w:val="left"/>
              <w:rPr>
                <w:rFonts w:hint="eastAsia" w:ascii="宋体" w:hAnsi="宋体"/>
                <w:color w:val="000000"/>
                <w:szCs w:val="21"/>
              </w:rPr>
            </w:pPr>
            <w:r>
              <w:rPr>
                <w:rFonts w:hint="eastAsia" w:ascii="宋体" w:hAnsi="宋体"/>
                <w:color w:val="000000"/>
                <w:szCs w:val="21"/>
              </w:rPr>
              <w:t>5.课内实践</w:t>
            </w:r>
          </w:p>
        </w:tc>
        <w:tc>
          <w:tcPr>
            <w:tcW w:w="438" w:type="dxa"/>
            <w:vAlign w:val="center"/>
          </w:tcPr>
          <w:p w14:paraId="13029E07">
            <w:pPr>
              <w:spacing w:line="269" w:lineRule="auto"/>
              <w:jc w:val="center"/>
              <w:rPr>
                <w:rFonts w:hint="eastAsia" w:ascii="宋体" w:hAnsi="宋体"/>
                <w:color w:val="000000"/>
                <w:szCs w:val="21"/>
              </w:rPr>
            </w:pPr>
            <w:r>
              <w:rPr>
                <w:rFonts w:hint="eastAsia" w:ascii="宋体" w:hAnsi="宋体"/>
                <w:color w:val="000000"/>
                <w:szCs w:val="21"/>
              </w:rPr>
              <w:t>4</w:t>
            </w:r>
          </w:p>
        </w:tc>
      </w:tr>
      <w:tr w14:paraId="4AA2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790DBDE">
            <w:pPr>
              <w:spacing w:line="264" w:lineRule="auto"/>
              <w:jc w:val="center"/>
              <w:rPr>
                <w:rFonts w:hint="eastAsia" w:ascii="宋体" w:hAnsi="宋体"/>
                <w:color w:val="000000"/>
                <w:szCs w:val="21"/>
              </w:rPr>
            </w:pPr>
          </w:p>
        </w:tc>
        <w:tc>
          <w:tcPr>
            <w:tcW w:w="8093" w:type="dxa"/>
            <w:gridSpan w:val="5"/>
            <w:vAlign w:val="center"/>
          </w:tcPr>
          <w:p w14:paraId="4B4FACBD">
            <w:pPr>
              <w:spacing w:line="269"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color w:val="000000"/>
                <w:szCs w:val="21"/>
              </w:rPr>
              <w:t>通过例证渗透爱国主义思想，社会主义核心价值观，分析不当言论的逻辑错误，提高学生的判断能力，并通过辩论等形式提高学生解决问题的能力，学习理性思维，关注社会现象，提高批判思维能力。</w:t>
            </w:r>
          </w:p>
        </w:tc>
      </w:tr>
      <w:tr w14:paraId="2230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CFBEA1C">
            <w:pPr>
              <w:spacing w:line="276" w:lineRule="auto"/>
              <w:jc w:val="center"/>
              <w:rPr>
                <w:rFonts w:hint="eastAsia" w:ascii="宋体" w:hAnsi="宋体"/>
                <w:color w:val="000000"/>
                <w:szCs w:val="21"/>
              </w:rPr>
            </w:pPr>
            <w:r>
              <w:rPr>
                <w:rFonts w:hint="eastAsia" w:ascii="宋体" w:hAnsi="宋体"/>
                <w:color w:val="000000"/>
                <w:szCs w:val="21"/>
              </w:rPr>
              <w:t>4. 复合命题及其推理</w:t>
            </w:r>
          </w:p>
        </w:tc>
        <w:tc>
          <w:tcPr>
            <w:tcW w:w="1701" w:type="dxa"/>
            <w:vAlign w:val="center"/>
          </w:tcPr>
          <w:p w14:paraId="47512504">
            <w:pPr>
              <w:spacing w:line="276" w:lineRule="auto"/>
              <w:jc w:val="left"/>
              <w:rPr>
                <w:rFonts w:hint="eastAsia" w:ascii="宋体" w:hAnsi="宋体"/>
                <w:color w:val="000000"/>
                <w:szCs w:val="21"/>
              </w:rPr>
            </w:pPr>
            <w:r>
              <w:rPr>
                <w:rFonts w:hint="eastAsia" w:ascii="宋体" w:hAnsi="宋体"/>
                <w:color w:val="000000"/>
                <w:szCs w:val="21"/>
              </w:rPr>
              <w:t>1.联言判断及其推理</w:t>
            </w:r>
          </w:p>
          <w:p w14:paraId="0F05D310">
            <w:pPr>
              <w:spacing w:line="276" w:lineRule="auto"/>
              <w:jc w:val="left"/>
              <w:rPr>
                <w:rFonts w:hint="eastAsia" w:ascii="宋体" w:hAnsi="宋体"/>
                <w:color w:val="000000"/>
                <w:szCs w:val="21"/>
              </w:rPr>
            </w:pPr>
            <w:r>
              <w:rPr>
                <w:rFonts w:hint="eastAsia" w:ascii="宋体" w:hAnsi="宋体"/>
                <w:color w:val="000000"/>
                <w:szCs w:val="21"/>
              </w:rPr>
              <w:t>2.选言判断及其推理</w:t>
            </w:r>
          </w:p>
          <w:p w14:paraId="6D7EC0A9">
            <w:pPr>
              <w:spacing w:line="276" w:lineRule="auto"/>
              <w:jc w:val="left"/>
              <w:rPr>
                <w:rFonts w:hint="eastAsia" w:ascii="宋体" w:hAnsi="宋体"/>
                <w:color w:val="000000"/>
                <w:szCs w:val="21"/>
              </w:rPr>
            </w:pPr>
            <w:r>
              <w:rPr>
                <w:rFonts w:hint="eastAsia" w:ascii="宋体" w:hAnsi="宋体"/>
                <w:color w:val="000000"/>
                <w:szCs w:val="21"/>
              </w:rPr>
              <w:t>3.假言判断及其推理</w:t>
            </w:r>
          </w:p>
          <w:p w14:paraId="32B207E9">
            <w:pPr>
              <w:spacing w:line="276" w:lineRule="auto"/>
              <w:jc w:val="left"/>
              <w:rPr>
                <w:rFonts w:hint="eastAsia" w:ascii="宋体" w:hAnsi="宋体"/>
                <w:color w:val="000000"/>
                <w:szCs w:val="21"/>
              </w:rPr>
            </w:pPr>
            <w:r>
              <w:rPr>
                <w:rFonts w:hint="eastAsia" w:ascii="宋体" w:hAnsi="宋体"/>
                <w:color w:val="000000"/>
                <w:szCs w:val="21"/>
              </w:rPr>
              <w:t>4.负判断及其推理</w:t>
            </w:r>
          </w:p>
          <w:p w14:paraId="72E63A80">
            <w:pPr>
              <w:spacing w:line="276" w:lineRule="auto"/>
              <w:jc w:val="left"/>
              <w:rPr>
                <w:rFonts w:hint="eastAsia" w:ascii="宋体" w:hAnsi="宋体"/>
                <w:color w:val="000000"/>
                <w:szCs w:val="21"/>
              </w:rPr>
            </w:pPr>
            <w:r>
              <w:rPr>
                <w:rFonts w:hint="eastAsia" w:ascii="宋体" w:hAnsi="宋体"/>
                <w:color w:val="000000"/>
                <w:szCs w:val="21"/>
              </w:rPr>
              <w:t>5.真值表的判定作用</w:t>
            </w:r>
          </w:p>
          <w:p w14:paraId="055F3DEF">
            <w:pPr>
              <w:spacing w:line="276" w:lineRule="auto"/>
              <w:jc w:val="left"/>
              <w:rPr>
                <w:rFonts w:hint="eastAsia" w:ascii="宋体" w:hAnsi="宋体"/>
                <w:color w:val="000000"/>
                <w:szCs w:val="21"/>
              </w:rPr>
            </w:pPr>
            <w:r>
              <w:rPr>
                <w:rFonts w:hint="eastAsia" w:ascii="宋体" w:hAnsi="宋体"/>
                <w:color w:val="000000"/>
                <w:szCs w:val="21"/>
              </w:rPr>
              <w:t>6.二难推理</w:t>
            </w:r>
          </w:p>
        </w:tc>
        <w:tc>
          <w:tcPr>
            <w:tcW w:w="1134" w:type="dxa"/>
            <w:vAlign w:val="center"/>
          </w:tcPr>
          <w:p w14:paraId="31D7B000">
            <w:pPr>
              <w:spacing w:line="276" w:lineRule="auto"/>
              <w:jc w:val="center"/>
              <w:rPr>
                <w:rFonts w:hint="eastAsia" w:ascii="宋体" w:hAnsi="宋体"/>
                <w:color w:val="000000"/>
                <w:szCs w:val="21"/>
              </w:rPr>
            </w:pPr>
            <w:r>
              <w:rPr>
                <w:rFonts w:hint="eastAsia" w:ascii="宋体" w:hAnsi="宋体"/>
                <w:color w:val="000000"/>
                <w:szCs w:val="21"/>
              </w:rPr>
              <w:t>课程目标1、2、3</w:t>
            </w:r>
          </w:p>
        </w:tc>
        <w:tc>
          <w:tcPr>
            <w:tcW w:w="3260" w:type="dxa"/>
            <w:vAlign w:val="center"/>
          </w:tcPr>
          <w:p w14:paraId="3A87AFFD">
            <w:pPr>
              <w:spacing w:line="276" w:lineRule="auto"/>
              <w:jc w:val="left"/>
              <w:rPr>
                <w:rFonts w:hint="eastAsia" w:ascii="宋体" w:hAnsi="宋体"/>
                <w:color w:val="000000"/>
                <w:szCs w:val="21"/>
              </w:rPr>
            </w:pPr>
            <w:r>
              <w:rPr>
                <w:rFonts w:hint="eastAsia" w:ascii="宋体" w:hAnsi="宋体"/>
                <w:color w:val="000000"/>
                <w:szCs w:val="21"/>
              </w:rPr>
              <w:t>1.了解负命题及其等值命题；掌握三种复合命题的逻辑特征、逻辑结构式及其逻辑简式、真值表。</w:t>
            </w:r>
          </w:p>
          <w:p w14:paraId="02775B66">
            <w:pPr>
              <w:spacing w:line="276" w:lineRule="auto"/>
              <w:jc w:val="left"/>
              <w:rPr>
                <w:rFonts w:hint="eastAsia" w:ascii="宋体" w:hAnsi="宋体"/>
                <w:color w:val="000000"/>
                <w:szCs w:val="21"/>
              </w:rPr>
            </w:pPr>
            <w:r>
              <w:rPr>
                <w:rFonts w:hint="eastAsia" w:ascii="宋体" w:hAnsi="宋体"/>
                <w:color w:val="000000"/>
                <w:szCs w:val="21"/>
              </w:rPr>
              <w:t>2.学会运用三种复合推理的方法。</w:t>
            </w:r>
          </w:p>
          <w:p w14:paraId="37FA0D68">
            <w:pPr>
              <w:spacing w:line="276" w:lineRule="auto"/>
              <w:jc w:val="left"/>
              <w:rPr>
                <w:rFonts w:hint="eastAsia" w:ascii="宋体" w:hAnsi="宋体"/>
                <w:color w:val="000000"/>
                <w:szCs w:val="21"/>
              </w:rPr>
            </w:pPr>
            <w:r>
              <w:rPr>
                <w:rFonts w:hint="eastAsia" w:ascii="宋体" w:hAnsi="宋体"/>
                <w:color w:val="000000"/>
                <w:szCs w:val="21"/>
              </w:rPr>
              <w:t>3.把握真值表的两种判定作用；能在生活中的运用二难推理。</w:t>
            </w:r>
          </w:p>
        </w:tc>
        <w:tc>
          <w:tcPr>
            <w:tcW w:w="1560" w:type="dxa"/>
            <w:vAlign w:val="center"/>
          </w:tcPr>
          <w:p w14:paraId="0EE10EDA">
            <w:pPr>
              <w:spacing w:line="276" w:lineRule="auto"/>
              <w:jc w:val="left"/>
              <w:rPr>
                <w:rFonts w:hint="eastAsia" w:ascii="宋体" w:hAnsi="宋体"/>
                <w:color w:val="000000"/>
                <w:szCs w:val="21"/>
              </w:rPr>
            </w:pPr>
            <w:r>
              <w:rPr>
                <w:rFonts w:ascii="宋体" w:hAnsi="宋体"/>
                <w:color w:val="000000"/>
                <w:szCs w:val="21"/>
              </w:rPr>
              <w:t>1.线上学习</w:t>
            </w:r>
          </w:p>
          <w:p w14:paraId="6B0370EC">
            <w:pPr>
              <w:spacing w:line="276" w:lineRule="auto"/>
              <w:jc w:val="left"/>
              <w:rPr>
                <w:rFonts w:hint="eastAsia" w:ascii="宋体" w:hAnsi="宋体"/>
                <w:color w:val="000000"/>
                <w:szCs w:val="21"/>
              </w:rPr>
            </w:pPr>
            <w:r>
              <w:rPr>
                <w:rFonts w:ascii="宋体" w:hAnsi="宋体"/>
                <w:color w:val="000000"/>
                <w:szCs w:val="21"/>
              </w:rPr>
              <w:t>2.多媒体教学3.课堂讨论</w:t>
            </w:r>
          </w:p>
          <w:p w14:paraId="7E10029E">
            <w:pPr>
              <w:spacing w:line="276" w:lineRule="auto"/>
              <w:jc w:val="left"/>
              <w:rPr>
                <w:rFonts w:hint="eastAsia" w:ascii="宋体" w:hAnsi="宋体"/>
                <w:color w:val="000000"/>
                <w:szCs w:val="21"/>
              </w:rPr>
            </w:pPr>
            <w:r>
              <w:rPr>
                <w:rFonts w:ascii="宋体" w:hAnsi="宋体"/>
                <w:color w:val="000000"/>
                <w:szCs w:val="21"/>
              </w:rPr>
              <w:t>4.单元测验</w:t>
            </w:r>
          </w:p>
          <w:p w14:paraId="47417563">
            <w:pPr>
              <w:spacing w:line="276" w:lineRule="auto"/>
              <w:jc w:val="left"/>
              <w:rPr>
                <w:rFonts w:hint="eastAsia" w:ascii="宋体" w:hAnsi="宋体"/>
                <w:color w:val="000000"/>
                <w:szCs w:val="21"/>
              </w:rPr>
            </w:pPr>
            <w:r>
              <w:rPr>
                <w:rFonts w:hint="eastAsia" w:ascii="宋体" w:hAnsi="宋体"/>
                <w:color w:val="000000"/>
                <w:szCs w:val="21"/>
              </w:rPr>
              <w:t>5.课内实践</w:t>
            </w:r>
          </w:p>
        </w:tc>
        <w:tc>
          <w:tcPr>
            <w:tcW w:w="438" w:type="dxa"/>
            <w:vAlign w:val="center"/>
          </w:tcPr>
          <w:p w14:paraId="354138E6">
            <w:pPr>
              <w:spacing w:line="276" w:lineRule="auto"/>
              <w:jc w:val="center"/>
              <w:rPr>
                <w:rFonts w:hint="eastAsia" w:ascii="宋体" w:hAnsi="宋体"/>
                <w:color w:val="000000"/>
                <w:szCs w:val="21"/>
              </w:rPr>
            </w:pPr>
            <w:r>
              <w:rPr>
                <w:rFonts w:hint="eastAsia" w:ascii="宋体" w:hAnsi="宋体"/>
                <w:color w:val="000000"/>
                <w:szCs w:val="21"/>
              </w:rPr>
              <w:t>4</w:t>
            </w:r>
          </w:p>
        </w:tc>
      </w:tr>
      <w:tr w14:paraId="71CA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C72A0CF">
            <w:pPr>
              <w:spacing w:line="276" w:lineRule="auto"/>
              <w:jc w:val="center"/>
              <w:rPr>
                <w:rFonts w:hint="eastAsia" w:ascii="宋体" w:hAnsi="宋体"/>
                <w:color w:val="000000"/>
                <w:szCs w:val="21"/>
              </w:rPr>
            </w:pPr>
          </w:p>
        </w:tc>
        <w:tc>
          <w:tcPr>
            <w:tcW w:w="8093" w:type="dxa"/>
            <w:gridSpan w:val="5"/>
            <w:vAlign w:val="center"/>
          </w:tcPr>
          <w:p w14:paraId="148FF586">
            <w:pPr>
              <w:spacing w:line="276"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color w:val="000000"/>
                <w:szCs w:val="21"/>
              </w:rPr>
              <w:t>通过例证渗透爱国主义思想，社会主义核心价值观，分析不当言论的逻辑错误，提高学生的判断能力，学习理性思维，关注社会现象，提高批判思维能力。</w:t>
            </w:r>
          </w:p>
        </w:tc>
      </w:tr>
      <w:tr w14:paraId="662D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FB5A59D">
            <w:pPr>
              <w:spacing w:line="276" w:lineRule="auto"/>
              <w:jc w:val="center"/>
              <w:rPr>
                <w:rFonts w:hint="eastAsia" w:ascii="宋体" w:hAnsi="宋体"/>
                <w:color w:val="000000"/>
                <w:szCs w:val="21"/>
              </w:rPr>
            </w:pPr>
            <w:r>
              <w:rPr>
                <w:rFonts w:hint="eastAsia" w:ascii="宋体" w:hAnsi="宋体"/>
                <w:color w:val="000000"/>
                <w:szCs w:val="21"/>
              </w:rPr>
              <w:t>5. 模态命题其推理</w:t>
            </w:r>
          </w:p>
        </w:tc>
        <w:tc>
          <w:tcPr>
            <w:tcW w:w="1701" w:type="dxa"/>
            <w:vAlign w:val="center"/>
          </w:tcPr>
          <w:p w14:paraId="469F3D32">
            <w:pPr>
              <w:spacing w:line="276" w:lineRule="auto"/>
              <w:jc w:val="left"/>
              <w:rPr>
                <w:rFonts w:hint="eastAsia" w:ascii="宋体" w:hAnsi="宋体"/>
                <w:color w:val="000000"/>
                <w:szCs w:val="21"/>
              </w:rPr>
            </w:pPr>
            <w:r>
              <w:rPr>
                <w:rFonts w:hint="eastAsia" w:ascii="宋体" w:hAnsi="宋体"/>
                <w:color w:val="000000"/>
                <w:szCs w:val="21"/>
              </w:rPr>
              <w:t>1.模态判断</w:t>
            </w:r>
          </w:p>
          <w:p w14:paraId="65FB73BD">
            <w:pPr>
              <w:spacing w:line="276" w:lineRule="auto"/>
              <w:jc w:val="left"/>
              <w:rPr>
                <w:rFonts w:hint="eastAsia" w:ascii="宋体" w:hAnsi="宋体"/>
                <w:color w:val="000000"/>
                <w:szCs w:val="21"/>
              </w:rPr>
            </w:pPr>
            <w:r>
              <w:rPr>
                <w:rFonts w:hint="eastAsia" w:ascii="宋体" w:hAnsi="宋体"/>
                <w:color w:val="000000"/>
                <w:szCs w:val="21"/>
              </w:rPr>
              <w:t>2.模态推理</w:t>
            </w:r>
          </w:p>
        </w:tc>
        <w:tc>
          <w:tcPr>
            <w:tcW w:w="1134" w:type="dxa"/>
            <w:vAlign w:val="center"/>
          </w:tcPr>
          <w:p w14:paraId="7A940BEC">
            <w:pPr>
              <w:spacing w:line="276" w:lineRule="auto"/>
              <w:jc w:val="center"/>
              <w:rPr>
                <w:rFonts w:hint="eastAsia" w:ascii="宋体" w:hAnsi="宋体"/>
                <w:color w:val="000000"/>
                <w:szCs w:val="21"/>
              </w:rPr>
            </w:pPr>
            <w:r>
              <w:rPr>
                <w:rFonts w:hint="eastAsia" w:ascii="宋体" w:hAnsi="宋体"/>
                <w:color w:val="000000"/>
                <w:szCs w:val="21"/>
              </w:rPr>
              <w:t>课程目标2</w:t>
            </w:r>
          </w:p>
        </w:tc>
        <w:tc>
          <w:tcPr>
            <w:tcW w:w="3260" w:type="dxa"/>
            <w:vAlign w:val="center"/>
          </w:tcPr>
          <w:p w14:paraId="1C9A5D04">
            <w:pPr>
              <w:spacing w:line="276" w:lineRule="auto"/>
              <w:jc w:val="left"/>
              <w:rPr>
                <w:rFonts w:hint="eastAsia" w:ascii="宋体" w:hAnsi="宋体"/>
                <w:color w:val="000000"/>
                <w:szCs w:val="21"/>
              </w:rPr>
            </w:pPr>
            <w:r>
              <w:rPr>
                <w:rFonts w:hint="eastAsia" w:ascii="宋体" w:hAnsi="宋体"/>
                <w:color w:val="000000"/>
                <w:szCs w:val="21"/>
              </w:rPr>
              <w:t>了解常见模态判断、模态推理的种类与方法，能简单运用模态推理。</w:t>
            </w:r>
          </w:p>
        </w:tc>
        <w:tc>
          <w:tcPr>
            <w:tcW w:w="1560" w:type="dxa"/>
            <w:vAlign w:val="center"/>
          </w:tcPr>
          <w:p w14:paraId="68EF14BA">
            <w:pPr>
              <w:spacing w:line="276" w:lineRule="auto"/>
              <w:jc w:val="left"/>
              <w:rPr>
                <w:rFonts w:hint="eastAsia" w:ascii="宋体" w:hAnsi="宋体"/>
                <w:color w:val="000000"/>
                <w:szCs w:val="21"/>
              </w:rPr>
            </w:pPr>
            <w:r>
              <w:rPr>
                <w:rFonts w:ascii="宋体" w:hAnsi="宋体"/>
                <w:color w:val="000000"/>
                <w:szCs w:val="21"/>
              </w:rPr>
              <w:t>1.线上学习</w:t>
            </w:r>
          </w:p>
          <w:p w14:paraId="36FB1F34">
            <w:pPr>
              <w:spacing w:line="276" w:lineRule="auto"/>
              <w:jc w:val="left"/>
              <w:rPr>
                <w:rFonts w:hint="eastAsia" w:ascii="宋体" w:hAnsi="宋体"/>
                <w:color w:val="000000"/>
                <w:szCs w:val="21"/>
              </w:rPr>
            </w:pPr>
            <w:r>
              <w:rPr>
                <w:rFonts w:ascii="宋体" w:hAnsi="宋体"/>
                <w:color w:val="000000"/>
                <w:szCs w:val="21"/>
              </w:rPr>
              <w:t>2.多媒体教学3.课堂讨论</w:t>
            </w:r>
          </w:p>
          <w:p w14:paraId="5AE8DC7D">
            <w:pPr>
              <w:spacing w:line="276" w:lineRule="auto"/>
              <w:jc w:val="left"/>
              <w:rPr>
                <w:rFonts w:hint="eastAsia" w:ascii="宋体" w:hAnsi="宋体"/>
                <w:color w:val="000000"/>
                <w:szCs w:val="21"/>
              </w:rPr>
            </w:pPr>
            <w:r>
              <w:rPr>
                <w:rFonts w:ascii="宋体" w:hAnsi="宋体"/>
                <w:color w:val="000000"/>
                <w:szCs w:val="21"/>
              </w:rPr>
              <w:t>4.单元测验</w:t>
            </w:r>
          </w:p>
          <w:p w14:paraId="325F9601">
            <w:pPr>
              <w:spacing w:line="276" w:lineRule="auto"/>
              <w:jc w:val="left"/>
              <w:rPr>
                <w:rFonts w:hint="eastAsia" w:ascii="宋体" w:hAnsi="宋体"/>
                <w:color w:val="000000"/>
                <w:szCs w:val="21"/>
              </w:rPr>
            </w:pPr>
            <w:r>
              <w:rPr>
                <w:rFonts w:hint="eastAsia" w:ascii="宋体" w:hAnsi="宋体"/>
                <w:color w:val="000000"/>
                <w:szCs w:val="21"/>
              </w:rPr>
              <w:t>5.课内实践</w:t>
            </w:r>
          </w:p>
        </w:tc>
        <w:tc>
          <w:tcPr>
            <w:tcW w:w="438" w:type="dxa"/>
            <w:vAlign w:val="center"/>
          </w:tcPr>
          <w:p w14:paraId="180A821A">
            <w:pPr>
              <w:spacing w:line="276" w:lineRule="auto"/>
              <w:jc w:val="center"/>
              <w:rPr>
                <w:rFonts w:hint="eastAsia" w:ascii="宋体" w:hAnsi="宋体"/>
                <w:color w:val="000000"/>
                <w:szCs w:val="21"/>
              </w:rPr>
            </w:pPr>
            <w:r>
              <w:rPr>
                <w:rFonts w:hint="eastAsia" w:ascii="宋体" w:hAnsi="宋体"/>
                <w:color w:val="000000"/>
                <w:szCs w:val="21"/>
              </w:rPr>
              <w:t>2</w:t>
            </w:r>
          </w:p>
        </w:tc>
      </w:tr>
      <w:tr w14:paraId="12D8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8578A05">
            <w:pPr>
              <w:spacing w:line="276" w:lineRule="auto"/>
              <w:jc w:val="center"/>
              <w:rPr>
                <w:rFonts w:hint="eastAsia" w:ascii="宋体" w:hAnsi="宋体"/>
                <w:color w:val="000000"/>
                <w:szCs w:val="21"/>
              </w:rPr>
            </w:pPr>
          </w:p>
        </w:tc>
        <w:tc>
          <w:tcPr>
            <w:tcW w:w="8093" w:type="dxa"/>
            <w:gridSpan w:val="5"/>
            <w:vAlign w:val="center"/>
          </w:tcPr>
          <w:p w14:paraId="21569D29">
            <w:pPr>
              <w:spacing w:line="276"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color w:val="000000"/>
                <w:szCs w:val="21"/>
              </w:rPr>
              <w:t>通过例证渗透爱国主义思想，社会主义核心价值观，分析不当言论的逻辑错误，提高学生的判断能力。</w:t>
            </w:r>
          </w:p>
        </w:tc>
      </w:tr>
      <w:tr w14:paraId="7840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3DE9249">
            <w:pPr>
              <w:spacing w:line="276" w:lineRule="auto"/>
              <w:jc w:val="center"/>
              <w:rPr>
                <w:rFonts w:hint="eastAsia" w:ascii="宋体" w:hAnsi="宋体"/>
                <w:color w:val="000000"/>
                <w:szCs w:val="21"/>
              </w:rPr>
            </w:pPr>
            <w:r>
              <w:rPr>
                <w:rFonts w:hint="eastAsia" w:ascii="宋体" w:hAnsi="宋体"/>
                <w:color w:val="000000"/>
                <w:szCs w:val="21"/>
              </w:rPr>
              <w:t>6. 归纳推理</w:t>
            </w:r>
          </w:p>
        </w:tc>
        <w:tc>
          <w:tcPr>
            <w:tcW w:w="1701" w:type="dxa"/>
            <w:vAlign w:val="center"/>
          </w:tcPr>
          <w:p w14:paraId="0C9EA35C">
            <w:pPr>
              <w:spacing w:line="276" w:lineRule="auto"/>
              <w:jc w:val="left"/>
              <w:rPr>
                <w:rFonts w:hint="eastAsia" w:ascii="宋体" w:hAnsi="宋体"/>
                <w:color w:val="000000"/>
                <w:szCs w:val="21"/>
              </w:rPr>
            </w:pPr>
            <w:r>
              <w:rPr>
                <w:rFonts w:hint="eastAsia" w:ascii="宋体" w:hAnsi="宋体"/>
                <w:color w:val="000000"/>
                <w:szCs w:val="21"/>
              </w:rPr>
              <w:t>1.完全归纳推理</w:t>
            </w:r>
          </w:p>
          <w:p w14:paraId="3CEDB3AC">
            <w:pPr>
              <w:spacing w:line="276" w:lineRule="auto"/>
              <w:jc w:val="left"/>
              <w:rPr>
                <w:rFonts w:hint="eastAsia" w:ascii="宋体" w:hAnsi="宋体"/>
                <w:color w:val="000000"/>
                <w:szCs w:val="21"/>
              </w:rPr>
            </w:pPr>
            <w:r>
              <w:rPr>
                <w:rFonts w:hint="eastAsia" w:ascii="宋体" w:hAnsi="宋体"/>
                <w:color w:val="000000"/>
                <w:szCs w:val="21"/>
              </w:rPr>
              <w:t>2.简单枚举归纳推理</w:t>
            </w:r>
          </w:p>
          <w:p w14:paraId="0612B09E">
            <w:pPr>
              <w:spacing w:line="276" w:lineRule="auto"/>
              <w:jc w:val="left"/>
              <w:rPr>
                <w:rFonts w:hint="eastAsia" w:ascii="宋体" w:hAnsi="宋体"/>
                <w:color w:val="000000"/>
                <w:szCs w:val="21"/>
              </w:rPr>
            </w:pPr>
            <w:r>
              <w:rPr>
                <w:rFonts w:hint="eastAsia" w:ascii="宋体" w:hAnsi="宋体"/>
                <w:color w:val="000000"/>
                <w:szCs w:val="21"/>
              </w:rPr>
              <w:t>3.科学归纳推理</w:t>
            </w:r>
          </w:p>
          <w:p w14:paraId="160E5CCA">
            <w:pPr>
              <w:spacing w:line="276" w:lineRule="auto"/>
              <w:jc w:val="left"/>
              <w:rPr>
                <w:rFonts w:hint="eastAsia" w:ascii="宋体" w:hAnsi="宋体"/>
                <w:color w:val="000000"/>
                <w:szCs w:val="21"/>
              </w:rPr>
            </w:pPr>
            <w:r>
              <w:rPr>
                <w:rFonts w:hint="eastAsia" w:ascii="宋体" w:hAnsi="宋体"/>
                <w:color w:val="000000"/>
                <w:szCs w:val="21"/>
              </w:rPr>
              <w:t>4.归纳推理与演绎推理的异同</w:t>
            </w:r>
          </w:p>
          <w:p w14:paraId="400A7E7C">
            <w:pPr>
              <w:spacing w:line="276" w:lineRule="auto"/>
              <w:jc w:val="left"/>
              <w:rPr>
                <w:rFonts w:hint="eastAsia" w:ascii="宋体" w:hAnsi="宋体"/>
                <w:color w:val="000000"/>
                <w:szCs w:val="21"/>
              </w:rPr>
            </w:pPr>
            <w:r>
              <w:rPr>
                <w:rFonts w:hint="eastAsia" w:ascii="宋体" w:hAnsi="宋体"/>
                <w:color w:val="000000"/>
                <w:szCs w:val="21"/>
              </w:rPr>
              <w:t>5.探求现象间因果联系的方法</w:t>
            </w:r>
          </w:p>
        </w:tc>
        <w:tc>
          <w:tcPr>
            <w:tcW w:w="1134" w:type="dxa"/>
            <w:vAlign w:val="center"/>
          </w:tcPr>
          <w:p w14:paraId="6DA3315D">
            <w:pPr>
              <w:spacing w:line="276" w:lineRule="auto"/>
              <w:jc w:val="center"/>
              <w:rPr>
                <w:rFonts w:hint="eastAsia" w:ascii="宋体" w:hAnsi="宋体"/>
                <w:color w:val="000000"/>
                <w:szCs w:val="21"/>
              </w:rPr>
            </w:pPr>
            <w:r>
              <w:rPr>
                <w:rFonts w:hint="eastAsia" w:ascii="宋体" w:hAnsi="宋体"/>
                <w:color w:val="000000"/>
                <w:szCs w:val="21"/>
              </w:rPr>
              <w:t>课程目标2、3</w:t>
            </w:r>
          </w:p>
        </w:tc>
        <w:tc>
          <w:tcPr>
            <w:tcW w:w="3260" w:type="dxa"/>
            <w:vAlign w:val="center"/>
          </w:tcPr>
          <w:p w14:paraId="28A9A037">
            <w:pPr>
              <w:spacing w:line="276" w:lineRule="auto"/>
              <w:jc w:val="left"/>
              <w:rPr>
                <w:rFonts w:hint="eastAsia" w:ascii="宋体" w:hAnsi="宋体"/>
                <w:color w:val="000000"/>
                <w:szCs w:val="21"/>
              </w:rPr>
            </w:pPr>
            <w:r>
              <w:rPr>
                <w:rFonts w:hint="eastAsia" w:ascii="宋体" w:hAnsi="宋体"/>
                <w:color w:val="000000"/>
                <w:szCs w:val="21"/>
              </w:rPr>
              <w:t>1.了解归纳推理的三种方法的概念；掌握归纳推理与演绎推理的异同</w:t>
            </w:r>
          </w:p>
          <w:p w14:paraId="0E743952">
            <w:pPr>
              <w:spacing w:line="276" w:lineRule="auto"/>
              <w:jc w:val="left"/>
              <w:rPr>
                <w:rFonts w:hint="eastAsia" w:ascii="宋体" w:hAnsi="宋体"/>
                <w:color w:val="000000"/>
                <w:szCs w:val="21"/>
              </w:rPr>
            </w:pPr>
            <w:r>
              <w:rPr>
                <w:rFonts w:hint="eastAsia" w:ascii="宋体" w:hAnsi="宋体"/>
                <w:color w:val="000000"/>
                <w:szCs w:val="21"/>
              </w:rPr>
              <w:t>3.学会探求现象间因果联系的方法，能找出生活中的三种推理的事例</w:t>
            </w:r>
          </w:p>
        </w:tc>
        <w:tc>
          <w:tcPr>
            <w:tcW w:w="1560" w:type="dxa"/>
            <w:vAlign w:val="center"/>
          </w:tcPr>
          <w:p w14:paraId="1BC7C260">
            <w:pPr>
              <w:spacing w:line="276" w:lineRule="auto"/>
              <w:jc w:val="left"/>
              <w:rPr>
                <w:rFonts w:hint="eastAsia" w:ascii="宋体" w:hAnsi="宋体"/>
                <w:color w:val="000000"/>
                <w:szCs w:val="21"/>
              </w:rPr>
            </w:pPr>
            <w:r>
              <w:rPr>
                <w:rFonts w:ascii="宋体" w:hAnsi="宋体"/>
                <w:color w:val="000000"/>
                <w:szCs w:val="21"/>
              </w:rPr>
              <w:t>1.线上学习</w:t>
            </w:r>
          </w:p>
          <w:p w14:paraId="5978B092">
            <w:pPr>
              <w:spacing w:line="276" w:lineRule="auto"/>
              <w:jc w:val="left"/>
              <w:rPr>
                <w:rFonts w:hint="eastAsia" w:ascii="宋体" w:hAnsi="宋体"/>
                <w:color w:val="000000"/>
                <w:szCs w:val="21"/>
              </w:rPr>
            </w:pPr>
            <w:r>
              <w:rPr>
                <w:rFonts w:ascii="宋体" w:hAnsi="宋体"/>
                <w:color w:val="000000"/>
                <w:szCs w:val="21"/>
              </w:rPr>
              <w:t>2.多媒体教学3.课堂</w:t>
            </w:r>
            <w:r>
              <w:rPr>
                <w:rFonts w:hint="eastAsia" w:ascii="宋体" w:hAnsi="宋体"/>
                <w:color w:val="000000"/>
                <w:szCs w:val="21"/>
              </w:rPr>
              <w:t>辩论</w:t>
            </w:r>
          </w:p>
          <w:p w14:paraId="061AA6C3">
            <w:pPr>
              <w:spacing w:line="276" w:lineRule="auto"/>
              <w:jc w:val="left"/>
              <w:rPr>
                <w:rFonts w:hint="eastAsia" w:ascii="宋体" w:hAnsi="宋体"/>
                <w:color w:val="000000"/>
                <w:szCs w:val="21"/>
              </w:rPr>
            </w:pPr>
            <w:r>
              <w:rPr>
                <w:rFonts w:ascii="宋体" w:hAnsi="宋体"/>
                <w:color w:val="000000"/>
                <w:szCs w:val="21"/>
              </w:rPr>
              <w:t>4.单元测验</w:t>
            </w:r>
          </w:p>
          <w:p w14:paraId="477C3286">
            <w:pPr>
              <w:spacing w:line="276" w:lineRule="auto"/>
              <w:jc w:val="left"/>
              <w:rPr>
                <w:rFonts w:hint="eastAsia" w:ascii="宋体" w:hAnsi="宋体"/>
                <w:color w:val="000000"/>
                <w:szCs w:val="21"/>
              </w:rPr>
            </w:pPr>
            <w:r>
              <w:rPr>
                <w:rFonts w:hint="eastAsia" w:ascii="宋体" w:hAnsi="宋体"/>
                <w:color w:val="000000"/>
                <w:szCs w:val="21"/>
              </w:rPr>
              <w:t>5.课内实践</w:t>
            </w:r>
          </w:p>
        </w:tc>
        <w:tc>
          <w:tcPr>
            <w:tcW w:w="438" w:type="dxa"/>
            <w:vAlign w:val="center"/>
          </w:tcPr>
          <w:p w14:paraId="02AB148D">
            <w:pPr>
              <w:spacing w:line="276" w:lineRule="auto"/>
              <w:jc w:val="center"/>
              <w:rPr>
                <w:rFonts w:hint="eastAsia" w:ascii="宋体" w:hAnsi="宋体"/>
                <w:color w:val="000000"/>
                <w:szCs w:val="21"/>
              </w:rPr>
            </w:pPr>
            <w:r>
              <w:rPr>
                <w:rFonts w:hint="eastAsia" w:ascii="宋体" w:hAnsi="宋体"/>
                <w:color w:val="000000"/>
                <w:szCs w:val="21"/>
              </w:rPr>
              <w:t>4</w:t>
            </w:r>
          </w:p>
        </w:tc>
      </w:tr>
      <w:tr w14:paraId="1429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EEC1219">
            <w:pPr>
              <w:spacing w:line="276" w:lineRule="auto"/>
              <w:jc w:val="center"/>
              <w:rPr>
                <w:rFonts w:hint="eastAsia" w:ascii="宋体" w:hAnsi="宋体"/>
                <w:color w:val="000000"/>
                <w:szCs w:val="21"/>
              </w:rPr>
            </w:pPr>
          </w:p>
        </w:tc>
        <w:tc>
          <w:tcPr>
            <w:tcW w:w="8093" w:type="dxa"/>
            <w:gridSpan w:val="5"/>
            <w:vAlign w:val="center"/>
          </w:tcPr>
          <w:p w14:paraId="517F1A87">
            <w:pPr>
              <w:spacing w:line="276"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color w:val="000000"/>
                <w:szCs w:val="21"/>
              </w:rPr>
              <w:t>通过例证渗透爱国主义思想，社会主义核心价值观，分析不当言论的逻辑错误，提高学生的判断能力，并通过辩论等形式提高学生解决问题的能力，学习理性思维，关注社会现象，提高批判思维能力。</w:t>
            </w:r>
          </w:p>
        </w:tc>
      </w:tr>
      <w:tr w14:paraId="13AB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AB4E06B">
            <w:pPr>
              <w:spacing w:line="276" w:lineRule="auto"/>
              <w:jc w:val="center"/>
              <w:rPr>
                <w:rFonts w:hint="eastAsia" w:ascii="宋体" w:hAnsi="宋体"/>
                <w:szCs w:val="21"/>
              </w:rPr>
            </w:pPr>
            <w:r>
              <w:rPr>
                <w:rFonts w:hint="eastAsia" w:ascii="宋体" w:hAnsi="宋体"/>
                <w:szCs w:val="21"/>
              </w:rPr>
              <w:t>7. 类比推理与假说</w:t>
            </w:r>
          </w:p>
        </w:tc>
        <w:tc>
          <w:tcPr>
            <w:tcW w:w="1701" w:type="dxa"/>
            <w:vAlign w:val="center"/>
          </w:tcPr>
          <w:p w14:paraId="28123380">
            <w:pPr>
              <w:spacing w:line="276" w:lineRule="auto"/>
              <w:jc w:val="left"/>
              <w:rPr>
                <w:rFonts w:hint="eastAsia" w:ascii="宋体" w:hAnsi="宋体"/>
                <w:szCs w:val="21"/>
              </w:rPr>
            </w:pPr>
            <w:r>
              <w:rPr>
                <w:rFonts w:hint="eastAsia" w:ascii="宋体" w:hAnsi="宋体"/>
                <w:szCs w:val="21"/>
              </w:rPr>
              <w:t>1.类比推理</w:t>
            </w:r>
          </w:p>
          <w:p w14:paraId="5D4E8C0A">
            <w:pPr>
              <w:spacing w:line="276" w:lineRule="auto"/>
              <w:jc w:val="left"/>
              <w:rPr>
                <w:rFonts w:hint="eastAsia" w:ascii="宋体" w:hAnsi="宋体"/>
                <w:szCs w:val="21"/>
              </w:rPr>
            </w:pPr>
            <w:r>
              <w:rPr>
                <w:rFonts w:hint="eastAsia" w:ascii="宋体" w:hAnsi="宋体"/>
                <w:szCs w:val="21"/>
              </w:rPr>
              <w:t>2.假说</w:t>
            </w:r>
          </w:p>
        </w:tc>
        <w:tc>
          <w:tcPr>
            <w:tcW w:w="1134" w:type="dxa"/>
            <w:vAlign w:val="center"/>
          </w:tcPr>
          <w:p w14:paraId="295F53F8">
            <w:pPr>
              <w:spacing w:line="276" w:lineRule="auto"/>
              <w:jc w:val="center"/>
              <w:rPr>
                <w:rFonts w:hint="eastAsia" w:ascii="宋体" w:hAnsi="宋体"/>
                <w:color w:val="000000"/>
                <w:szCs w:val="21"/>
              </w:rPr>
            </w:pPr>
            <w:r>
              <w:rPr>
                <w:rFonts w:hint="eastAsia" w:ascii="宋体" w:hAnsi="宋体"/>
                <w:color w:val="000000"/>
                <w:szCs w:val="21"/>
              </w:rPr>
              <w:t>课程目标1、3</w:t>
            </w:r>
          </w:p>
        </w:tc>
        <w:tc>
          <w:tcPr>
            <w:tcW w:w="3260" w:type="dxa"/>
            <w:vAlign w:val="center"/>
          </w:tcPr>
          <w:p w14:paraId="49251FFE">
            <w:pPr>
              <w:spacing w:line="276" w:lineRule="auto"/>
              <w:jc w:val="left"/>
              <w:rPr>
                <w:rFonts w:hint="eastAsia" w:ascii="宋体" w:hAnsi="宋体"/>
                <w:color w:val="000000"/>
                <w:szCs w:val="21"/>
              </w:rPr>
            </w:pPr>
            <w:r>
              <w:rPr>
                <w:rFonts w:hint="eastAsia" w:ascii="宋体" w:hAnsi="宋体"/>
                <w:color w:val="000000"/>
                <w:szCs w:val="21"/>
              </w:rPr>
              <w:t>把握类比推理与归纳推理、演绎推理的区别；了解假说的构成与步骤</w:t>
            </w:r>
          </w:p>
        </w:tc>
        <w:tc>
          <w:tcPr>
            <w:tcW w:w="1560" w:type="dxa"/>
            <w:vAlign w:val="center"/>
          </w:tcPr>
          <w:p w14:paraId="30493761">
            <w:pPr>
              <w:spacing w:line="276" w:lineRule="auto"/>
              <w:jc w:val="left"/>
              <w:rPr>
                <w:rFonts w:hint="eastAsia" w:ascii="宋体" w:hAnsi="宋体"/>
                <w:color w:val="000000"/>
                <w:szCs w:val="21"/>
              </w:rPr>
            </w:pPr>
            <w:r>
              <w:rPr>
                <w:rFonts w:ascii="宋体" w:hAnsi="宋体"/>
                <w:color w:val="000000"/>
                <w:szCs w:val="21"/>
              </w:rPr>
              <w:t>1.线上学习</w:t>
            </w:r>
          </w:p>
          <w:p w14:paraId="03DE517E">
            <w:pPr>
              <w:spacing w:line="276" w:lineRule="auto"/>
              <w:jc w:val="left"/>
              <w:rPr>
                <w:rFonts w:hint="eastAsia" w:ascii="宋体" w:hAnsi="宋体"/>
                <w:color w:val="000000"/>
                <w:szCs w:val="21"/>
              </w:rPr>
            </w:pPr>
            <w:r>
              <w:rPr>
                <w:rFonts w:ascii="宋体" w:hAnsi="宋体"/>
                <w:color w:val="000000"/>
                <w:szCs w:val="21"/>
              </w:rPr>
              <w:t>2.多媒体教学3.课堂讨论</w:t>
            </w:r>
          </w:p>
          <w:p w14:paraId="02E90CAB">
            <w:pPr>
              <w:spacing w:line="276" w:lineRule="auto"/>
              <w:jc w:val="left"/>
              <w:rPr>
                <w:rFonts w:hint="eastAsia" w:ascii="宋体" w:hAnsi="宋体"/>
                <w:color w:val="000000"/>
                <w:szCs w:val="21"/>
              </w:rPr>
            </w:pPr>
            <w:r>
              <w:rPr>
                <w:rFonts w:ascii="宋体" w:hAnsi="宋体"/>
                <w:color w:val="000000"/>
                <w:szCs w:val="21"/>
              </w:rPr>
              <w:t>4.单元测验</w:t>
            </w:r>
          </w:p>
          <w:p w14:paraId="4197B0F2">
            <w:pPr>
              <w:spacing w:line="276" w:lineRule="auto"/>
              <w:jc w:val="left"/>
              <w:rPr>
                <w:rFonts w:hint="eastAsia" w:ascii="宋体" w:hAnsi="宋体"/>
                <w:color w:val="000000"/>
                <w:szCs w:val="21"/>
              </w:rPr>
            </w:pPr>
            <w:r>
              <w:rPr>
                <w:rFonts w:hint="eastAsia" w:ascii="宋体" w:hAnsi="宋体"/>
                <w:color w:val="000000"/>
                <w:szCs w:val="21"/>
              </w:rPr>
              <w:t>5.课内实践</w:t>
            </w:r>
          </w:p>
        </w:tc>
        <w:tc>
          <w:tcPr>
            <w:tcW w:w="438" w:type="dxa"/>
            <w:vAlign w:val="center"/>
          </w:tcPr>
          <w:p w14:paraId="736C0FED">
            <w:pPr>
              <w:spacing w:line="276" w:lineRule="auto"/>
              <w:jc w:val="center"/>
              <w:rPr>
                <w:rFonts w:hint="eastAsia" w:ascii="宋体" w:hAnsi="宋体"/>
                <w:color w:val="000000"/>
                <w:szCs w:val="21"/>
              </w:rPr>
            </w:pPr>
            <w:r>
              <w:rPr>
                <w:rFonts w:hint="eastAsia" w:ascii="宋体" w:hAnsi="宋体"/>
                <w:color w:val="000000"/>
                <w:szCs w:val="21"/>
              </w:rPr>
              <w:t>2</w:t>
            </w:r>
          </w:p>
        </w:tc>
      </w:tr>
      <w:tr w14:paraId="16FD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53E4DAF">
            <w:pPr>
              <w:spacing w:line="276" w:lineRule="auto"/>
              <w:jc w:val="center"/>
              <w:rPr>
                <w:rFonts w:hint="eastAsia" w:ascii="宋体" w:hAnsi="宋体"/>
                <w:color w:val="000000"/>
                <w:szCs w:val="21"/>
              </w:rPr>
            </w:pPr>
          </w:p>
        </w:tc>
        <w:tc>
          <w:tcPr>
            <w:tcW w:w="8093" w:type="dxa"/>
            <w:gridSpan w:val="5"/>
            <w:vAlign w:val="center"/>
          </w:tcPr>
          <w:p w14:paraId="02371A6E">
            <w:pPr>
              <w:spacing w:line="276"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color w:val="000000"/>
                <w:szCs w:val="21"/>
              </w:rPr>
              <w:t>学习理性思维，关注社会现象，提高批判思维能力。</w:t>
            </w:r>
          </w:p>
        </w:tc>
      </w:tr>
      <w:tr w14:paraId="62DB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9BCE7A9">
            <w:pPr>
              <w:spacing w:line="264" w:lineRule="auto"/>
              <w:jc w:val="center"/>
              <w:rPr>
                <w:rFonts w:hint="eastAsia" w:ascii="宋体" w:hAnsi="宋体"/>
                <w:color w:val="000000"/>
                <w:szCs w:val="21"/>
              </w:rPr>
            </w:pPr>
            <w:r>
              <w:rPr>
                <w:rFonts w:hint="eastAsia" w:ascii="宋体" w:hAnsi="宋体"/>
                <w:color w:val="000000"/>
                <w:szCs w:val="21"/>
              </w:rPr>
              <w:t>8. 普通逻辑的基本规律</w:t>
            </w:r>
          </w:p>
        </w:tc>
        <w:tc>
          <w:tcPr>
            <w:tcW w:w="1701" w:type="dxa"/>
            <w:vAlign w:val="center"/>
          </w:tcPr>
          <w:p w14:paraId="7F0FF696">
            <w:pPr>
              <w:spacing w:line="264" w:lineRule="auto"/>
              <w:jc w:val="left"/>
              <w:rPr>
                <w:rFonts w:hint="eastAsia" w:ascii="宋体" w:hAnsi="宋体"/>
                <w:color w:val="000000"/>
                <w:szCs w:val="21"/>
              </w:rPr>
            </w:pPr>
            <w:r>
              <w:rPr>
                <w:rFonts w:hint="eastAsia" w:ascii="宋体" w:hAnsi="宋体"/>
                <w:color w:val="000000"/>
                <w:szCs w:val="21"/>
              </w:rPr>
              <w:t>1.同一律</w:t>
            </w:r>
          </w:p>
          <w:p w14:paraId="2273E18A">
            <w:pPr>
              <w:spacing w:line="264" w:lineRule="auto"/>
              <w:jc w:val="left"/>
              <w:rPr>
                <w:rFonts w:hint="eastAsia" w:ascii="宋体" w:hAnsi="宋体"/>
                <w:color w:val="000000"/>
                <w:szCs w:val="21"/>
              </w:rPr>
            </w:pPr>
            <w:r>
              <w:rPr>
                <w:rFonts w:hint="eastAsia" w:ascii="宋体" w:hAnsi="宋体"/>
                <w:color w:val="000000"/>
                <w:szCs w:val="21"/>
              </w:rPr>
              <w:t>2.矛盾律</w:t>
            </w:r>
          </w:p>
          <w:p w14:paraId="52A02726">
            <w:pPr>
              <w:spacing w:line="264" w:lineRule="auto"/>
              <w:jc w:val="left"/>
              <w:rPr>
                <w:rFonts w:hint="eastAsia" w:ascii="宋体" w:hAnsi="宋体"/>
                <w:color w:val="000000"/>
                <w:szCs w:val="21"/>
              </w:rPr>
            </w:pPr>
            <w:r>
              <w:rPr>
                <w:rFonts w:hint="eastAsia" w:ascii="宋体" w:hAnsi="宋体"/>
                <w:color w:val="000000"/>
                <w:szCs w:val="21"/>
              </w:rPr>
              <w:t>3.排中律</w:t>
            </w:r>
          </w:p>
          <w:p w14:paraId="650AC999">
            <w:pPr>
              <w:spacing w:line="264" w:lineRule="auto"/>
              <w:jc w:val="left"/>
              <w:rPr>
                <w:rFonts w:hint="eastAsia" w:ascii="宋体" w:hAnsi="宋体"/>
                <w:color w:val="000000"/>
                <w:szCs w:val="21"/>
              </w:rPr>
            </w:pPr>
            <w:r>
              <w:rPr>
                <w:rFonts w:hint="eastAsia" w:ascii="宋体" w:hAnsi="宋体"/>
                <w:color w:val="000000"/>
                <w:szCs w:val="21"/>
              </w:rPr>
              <w:t>4.充足理由律</w:t>
            </w:r>
          </w:p>
        </w:tc>
        <w:tc>
          <w:tcPr>
            <w:tcW w:w="1134" w:type="dxa"/>
            <w:vAlign w:val="center"/>
          </w:tcPr>
          <w:p w14:paraId="69E4E8E4">
            <w:pPr>
              <w:spacing w:line="264" w:lineRule="auto"/>
              <w:jc w:val="center"/>
              <w:rPr>
                <w:rFonts w:hint="eastAsia" w:ascii="宋体" w:hAnsi="宋体"/>
                <w:color w:val="000000"/>
                <w:szCs w:val="21"/>
              </w:rPr>
            </w:pPr>
            <w:r>
              <w:rPr>
                <w:rFonts w:hint="eastAsia" w:ascii="宋体" w:hAnsi="宋体"/>
                <w:color w:val="000000"/>
                <w:szCs w:val="21"/>
              </w:rPr>
              <w:t>课程目标3</w:t>
            </w:r>
          </w:p>
        </w:tc>
        <w:tc>
          <w:tcPr>
            <w:tcW w:w="3260" w:type="dxa"/>
            <w:vAlign w:val="center"/>
          </w:tcPr>
          <w:p w14:paraId="0DC76BC4">
            <w:pPr>
              <w:spacing w:line="264" w:lineRule="auto"/>
              <w:jc w:val="left"/>
              <w:rPr>
                <w:rFonts w:hint="eastAsia" w:ascii="宋体" w:hAnsi="宋体"/>
                <w:color w:val="000000"/>
                <w:szCs w:val="21"/>
              </w:rPr>
            </w:pPr>
            <w:r>
              <w:rPr>
                <w:rFonts w:hint="eastAsia" w:ascii="宋体" w:hAnsi="宋体"/>
                <w:color w:val="000000"/>
                <w:szCs w:val="21"/>
              </w:rPr>
              <w:t>1.熟练掌握各条基本规律的基本内容、基本要求、作用以及违反该条规律所犯的逻辑错误；</w:t>
            </w:r>
          </w:p>
          <w:p w14:paraId="367DF820">
            <w:pPr>
              <w:spacing w:line="264" w:lineRule="auto"/>
              <w:jc w:val="left"/>
              <w:rPr>
                <w:rFonts w:hint="eastAsia" w:ascii="宋体" w:hAnsi="宋体"/>
                <w:color w:val="000000"/>
                <w:szCs w:val="21"/>
              </w:rPr>
            </w:pPr>
            <w:r>
              <w:rPr>
                <w:rFonts w:hint="eastAsia" w:ascii="宋体" w:hAnsi="宋体"/>
                <w:color w:val="000000"/>
                <w:szCs w:val="21"/>
              </w:rPr>
              <w:t>2.能正确运用这些规律分析现实中遇到的问题。掌握普通逻辑的研究对象；了解普通逻辑的性质、作用及其和数理逻辑、辩证逻辑的关系。</w:t>
            </w:r>
          </w:p>
        </w:tc>
        <w:tc>
          <w:tcPr>
            <w:tcW w:w="1560" w:type="dxa"/>
            <w:vAlign w:val="center"/>
          </w:tcPr>
          <w:p w14:paraId="19A4A6C3">
            <w:pPr>
              <w:spacing w:line="264" w:lineRule="auto"/>
              <w:jc w:val="left"/>
              <w:rPr>
                <w:rFonts w:hint="eastAsia" w:ascii="宋体" w:hAnsi="宋体"/>
                <w:color w:val="000000"/>
                <w:szCs w:val="21"/>
              </w:rPr>
            </w:pPr>
            <w:r>
              <w:rPr>
                <w:rFonts w:ascii="宋体" w:hAnsi="宋体"/>
                <w:color w:val="000000"/>
                <w:szCs w:val="21"/>
              </w:rPr>
              <w:t>1.线上学习</w:t>
            </w:r>
          </w:p>
          <w:p w14:paraId="5C9E5716">
            <w:pPr>
              <w:spacing w:line="264" w:lineRule="auto"/>
              <w:jc w:val="left"/>
              <w:rPr>
                <w:rFonts w:hint="eastAsia" w:ascii="宋体" w:hAnsi="宋体"/>
                <w:color w:val="000000"/>
                <w:szCs w:val="21"/>
              </w:rPr>
            </w:pPr>
            <w:r>
              <w:rPr>
                <w:rFonts w:ascii="宋体" w:hAnsi="宋体"/>
                <w:color w:val="000000"/>
                <w:szCs w:val="21"/>
              </w:rPr>
              <w:t>2.多媒体教学3.课堂讨论</w:t>
            </w:r>
          </w:p>
          <w:p w14:paraId="417FD570">
            <w:pPr>
              <w:spacing w:line="264" w:lineRule="auto"/>
              <w:jc w:val="left"/>
              <w:rPr>
                <w:rFonts w:hint="eastAsia" w:ascii="宋体" w:hAnsi="宋体"/>
                <w:color w:val="000000"/>
                <w:szCs w:val="21"/>
              </w:rPr>
            </w:pPr>
            <w:r>
              <w:rPr>
                <w:rFonts w:ascii="宋体" w:hAnsi="宋体"/>
                <w:color w:val="000000"/>
                <w:szCs w:val="21"/>
              </w:rPr>
              <w:t>4.单元测验</w:t>
            </w:r>
          </w:p>
          <w:p w14:paraId="602BF97C">
            <w:pPr>
              <w:spacing w:line="264" w:lineRule="auto"/>
              <w:jc w:val="left"/>
              <w:rPr>
                <w:rFonts w:hint="eastAsia" w:ascii="宋体" w:hAnsi="宋体"/>
                <w:color w:val="000000"/>
                <w:szCs w:val="21"/>
              </w:rPr>
            </w:pPr>
            <w:r>
              <w:rPr>
                <w:rFonts w:hint="eastAsia" w:ascii="宋体" w:hAnsi="宋体"/>
                <w:color w:val="000000"/>
                <w:szCs w:val="21"/>
              </w:rPr>
              <w:t>5.课内实践</w:t>
            </w:r>
          </w:p>
        </w:tc>
        <w:tc>
          <w:tcPr>
            <w:tcW w:w="438" w:type="dxa"/>
            <w:vAlign w:val="center"/>
          </w:tcPr>
          <w:p w14:paraId="120EF50C">
            <w:pPr>
              <w:spacing w:line="264" w:lineRule="auto"/>
              <w:jc w:val="center"/>
              <w:rPr>
                <w:rFonts w:hint="eastAsia" w:ascii="宋体" w:hAnsi="宋体"/>
                <w:color w:val="000000"/>
                <w:szCs w:val="21"/>
              </w:rPr>
            </w:pPr>
            <w:r>
              <w:rPr>
                <w:rFonts w:hint="eastAsia" w:ascii="宋体" w:hAnsi="宋体"/>
                <w:color w:val="000000"/>
                <w:szCs w:val="21"/>
              </w:rPr>
              <w:t>4</w:t>
            </w:r>
          </w:p>
        </w:tc>
      </w:tr>
      <w:tr w14:paraId="7FED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C1DCA12">
            <w:pPr>
              <w:spacing w:line="264" w:lineRule="auto"/>
              <w:jc w:val="center"/>
              <w:rPr>
                <w:rFonts w:hint="eastAsia" w:ascii="宋体" w:hAnsi="宋体"/>
                <w:color w:val="000000"/>
                <w:szCs w:val="21"/>
              </w:rPr>
            </w:pPr>
          </w:p>
        </w:tc>
        <w:tc>
          <w:tcPr>
            <w:tcW w:w="8093" w:type="dxa"/>
            <w:gridSpan w:val="5"/>
            <w:vAlign w:val="center"/>
          </w:tcPr>
          <w:p w14:paraId="3DDDC578">
            <w:pPr>
              <w:spacing w:line="264"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color w:val="000000"/>
                <w:szCs w:val="21"/>
              </w:rPr>
              <w:t>通过辩论等形式提高学生解决问题的能力，学习理性思维，关注社会现象，提高批判思维能力。</w:t>
            </w:r>
          </w:p>
        </w:tc>
      </w:tr>
      <w:tr w14:paraId="41EB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F437BBB">
            <w:pPr>
              <w:spacing w:line="264" w:lineRule="auto"/>
              <w:jc w:val="center"/>
              <w:rPr>
                <w:rFonts w:hint="eastAsia" w:ascii="宋体" w:hAnsi="宋体"/>
                <w:color w:val="000000"/>
                <w:szCs w:val="21"/>
              </w:rPr>
            </w:pPr>
            <w:r>
              <w:rPr>
                <w:rFonts w:hint="eastAsia" w:ascii="宋体" w:hAnsi="宋体"/>
                <w:color w:val="000000"/>
                <w:szCs w:val="21"/>
              </w:rPr>
              <w:t>9. 论证</w:t>
            </w:r>
          </w:p>
        </w:tc>
        <w:tc>
          <w:tcPr>
            <w:tcW w:w="1701" w:type="dxa"/>
            <w:vAlign w:val="center"/>
          </w:tcPr>
          <w:p w14:paraId="6AEE9CDB">
            <w:pPr>
              <w:spacing w:line="264" w:lineRule="auto"/>
              <w:jc w:val="left"/>
              <w:rPr>
                <w:rFonts w:hint="eastAsia" w:ascii="宋体" w:hAnsi="宋体"/>
                <w:color w:val="000000"/>
                <w:szCs w:val="21"/>
              </w:rPr>
            </w:pPr>
            <w:r>
              <w:rPr>
                <w:rFonts w:hint="eastAsia" w:ascii="宋体" w:hAnsi="宋体"/>
                <w:color w:val="000000"/>
                <w:szCs w:val="21"/>
              </w:rPr>
              <w:t>1.证明的种类与规则</w:t>
            </w:r>
          </w:p>
          <w:p w14:paraId="5F047B49">
            <w:pPr>
              <w:spacing w:line="264" w:lineRule="auto"/>
              <w:jc w:val="left"/>
              <w:rPr>
                <w:rFonts w:hint="eastAsia" w:ascii="宋体" w:hAnsi="宋体"/>
                <w:color w:val="000000"/>
                <w:szCs w:val="21"/>
              </w:rPr>
            </w:pPr>
            <w:r>
              <w:rPr>
                <w:rFonts w:hint="eastAsia" w:ascii="宋体" w:hAnsi="宋体"/>
                <w:color w:val="000000"/>
                <w:szCs w:val="21"/>
              </w:rPr>
              <w:t>2.反驳的种类与规则</w:t>
            </w:r>
          </w:p>
        </w:tc>
        <w:tc>
          <w:tcPr>
            <w:tcW w:w="1134" w:type="dxa"/>
            <w:vAlign w:val="center"/>
          </w:tcPr>
          <w:p w14:paraId="49FA97EE">
            <w:pPr>
              <w:spacing w:line="264" w:lineRule="auto"/>
              <w:jc w:val="center"/>
              <w:rPr>
                <w:rFonts w:hint="eastAsia" w:ascii="宋体" w:hAnsi="宋体"/>
                <w:color w:val="000000"/>
                <w:szCs w:val="21"/>
              </w:rPr>
            </w:pPr>
            <w:r>
              <w:rPr>
                <w:rFonts w:hint="eastAsia" w:ascii="宋体" w:hAnsi="宋体"/>
                <w:color w:val="000000"/>
                <w:szCs w:val="21"/>
              </w:rPr>
              <w:t>课程目标3</w:t>
            </w:r>
          </w:p>
        </w:tc>
        <w:tc>
          <w:tcPr>
            <w:tcW w:w="3260" w:type="dxa"/>
            <w:vAlign w:val="center"/>
          </w:tcPr>
          <w:p w14:paraId="2DA35B55">
            <w:pPr>
              <w:spacing w:line="264" w:lineRule="auto"/>
              <w:jc w:val="left"/>
              <w:rPr>
                <w:rFonts w:hint="eastAsia" w:ascii="宋体" w:hAnsi="宋体"/>
                <w:color w:val="000000"/>
                <w:szCs w:val="21"/>
              </w:rPr>
            </w:pPr>
            <w:r>
              <w:rPr>
                <w:rFonts w:hint="eastAsia" w:ascii="宋体" w:hAnsi="宋体"/>
                <w:color w:val="000000"/>
                <w:szCs w:val="21"/>
              </w:rPr>
              <w:t>掌握论证的主要方法，能运用论证的方法解决一些基本的现实问题。</w:t>
            </w:r>
          </w:p>
        </w:tc>
        <w:tc>
          <w:tcPr>
            <w:tcW w:w="1560" w:type="dxa"/>
            <w:vAlign w:val="center"/>
          </w:tcPr>
          <w:p w14:paraId="6EF3857F">
            <w:pPr>
              <w:spacing w:line="264" w:lineRule="auto"/>
              <w:jc w:val="left"/>
              <w:rPr>
                <w:rFonts w:hint="eastAsia" w:ascii="宋体" w:hAnsi="宋体"/>
                <w:color w:val="000000"/>
                <w:szCs w:val="21"/>
              </w:rPr>
            </w:pPr>
            <w:r>
              <w:rPr>
                <w:rFonts w:ascii="宋体" w:hAnsi="宋体"/>
                <w:color w:val="000000"/>
                <w:szCs w:val="21"/>
              </w:rPr>
              <w:t>1.线上学习</w:t>
            </w:r>
          </w:p>
          <w:p w14:paraId="0F554D21">
            <w:pPr>
              <w:spacing w:line="264" w:lineRule="auto"/>
              <w:jc w:val="left"/>
              <w:rPr>
                <w:rFonts w:hint="eastAsia" w:ascii="宋体" w:hAnsi="宋体"/>
                <w:color w:val="000000"/>
                <w:szCs w:val="21"/>
              </w:rPr>
            </w:pPr>
            <w:r>
              <w:rPr>
                <w:rFonts w:ascii="宋体" w:hAnsi="宋体"/>
                <w:color w:val="000000"/>
                <w:szCs w:val="21"/>
              </w:rPr>
              <w:t>2.多媒体教学3.课堂讨论</w:t>
            </w:r>
          </w:p>
          <w:p w14:paraId="567CA55B">
            <w:pPr>
              <w:spacing w:line="264" w:lineRule="auto"/>
              <w:jc w:val="left"/>
              <w:rPr>
                <w:rFonts w:hint="eastAsia" w:ascii="宋体" w:hAnsi="宋体"/>
                <w:color w:val="000000"/>
                <w:szCs w:val="21"/>
              </w:rPr>
            </w:pPr>
            <w:r>
              <w:rPr>
                <w:rFonts w:ascii="宋体" w:hAnsi="宋体"/>
                <w:color w:val="000000"/>
                <w:szCs w:val="21"/>
              </w:rPr>
              <w:t>4.单元测验</w:t>
            </w:r>
          </w:p>
          <w:p w14:paraId="06E08102">
            <w:pPr>
              <w:spacing w:line="264" w:lineRule="auto"/>
              <w:jc w:val="left"/>
              <w:rPr>
                <w:rFonts w:hint="eastAsia" w:ascii="宋体" w:hAnsi="宋体"/>
                <w:color w:val="000000"/>
                <w:szCs w:val="21"/>
              </w:rPr>
            </w:pPr>
            <w:r>
              <w:rPr>
                <w:rFonts w:hint="eastAsia" w:ascii="宋体" w:hAnsi="宋体"/>
                <w:color w:val="000000"/>
                <w:szCs w:val="21"/>
              </w:rPr>
              <w:t>5.课内实践</w:t>
            </w:r>
          </w:p>
        </w:tc>
        <w:tc>
          <w:tcPr>
            <w:tcW w:w="438" w:type="dxa"/>
            <w:vAlign w:val="center"/>
          </w:tcPr>
          <w:p w14:paraId="6DC1E13F">
            <w:pPr>
              <w:spacing w:line="264" w:lineRule="auto"/>
              <w:jc w:val="center"/>
              <w:rPr>
                <w:rFonts w:hint="eastAsia" w:ascii="宋体" w:hAnsi="宋体"/>
                <w:color w:val="000000"/>
                <w:szCs w:val="21"/>
              </w:rPr>
            </w:pPr>
            <w:r>
              <w:rPr>
                <w:rFonts w:hint="eastAsia" w:ascii="宋体" w:hAnsi="宋体"/>
                <w:color w:val="000000"/>
                <w:szCs w:val="21"/>
              </w:rPr>
              <w:t>4</w:t>
            </w:r>
          </w:p>
        </w:tc>
      </w:tr>
      <w:tr w14:paraId="4207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400F4CB">
            <w:pPr>
              <w:spacing w:line="264" w:lineRule="auto"/>
              <w:jc w:val="center"/>
              <w:rPr>
                <w:rFonts w:hint="eastAsia" w:ascii="宋体" w:hAnsi="宋体"/>
                <w:color w:val="000000"/>
                <w:szCs w:val="21"/>
              </w:rPr>
            </w:pPr>
          </w:p>
        </w:tc>
        <w:tc>
          <w:tcPr>
            <w:tcW w:w="8093" w:type="dxa"/>
            <w:gridSpan w:val="5"/>
            <w:vAlign w:val="center"/>
          </w:tcPr>
          <w:p w14:paraId="63BC1890">
            <w:pPr>
              <w:spacing w:line="264"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color w:val="000000"/>
                <w:szCs w:val="21"/>
              </w:rPr>
              <w:t>通过例证渗透爱国主义思想，社会主义核心价值观，分析不当言论的逻辑错误，通过辩论等形式提高学生解决问题的能力，学习理性思维，关注社会现象，提高批判思维能力。</w:t>
            </w:r>
          </w:p>
        </w:tc>
      </w:tr>
    </w:tbl>
    <w:p w14:paraId="2B37CAD6">
      <w:pPr>
        <w:spacing w:line="360" w:lineRule="auto"/>
        <w:ind w:firstLine="420" w:firstLineChars="200"/>
        <w:jc w:val="left"/>
        <w:rPr>
          <w:szCs w:val="21"/>
        </w:rPr>
      </w:pPr>
    </w:p>
    <w:p w14:paraId="166D3E73">
      <w:pPr>
        <w:spacing w:line="360" w:lineRule="auto"/>
        <w:rPr>
          <w:b/>
          <w:sz w:val="24"/>
        </w:rPr>
      </w:pPr>
      <w:r>
        <w:rPr>
          <w:rFonts w:hint="eastAsia"/>
          <w:b/>
          <w:sz w:val="24"/>
        </w:rPr>
        <w:t>四</w:t>
      </w:r>
      <w:r>
        <w:rPr>
          <w:b/>
          <w:sz w:val="24"/>
        </w:rPr>
        <w:t>、</w:t>
      </w:r>
      <w:r>
        <w:rPr>
          <w:rFonts w:hint="eastAsia"/>
          <w:b/>
          <w:sz w:val="24"/>
        </w:rPr>
        <w:t>课内实践</w:t>
      </w:r>
    </w:p>
    <w:tbl>
      <w:tblPr>
        <w:tblStyle w:val="13"/>
        <w:tblW w:w="8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557"/>
        <w:gridCol w:w="5095"/>
        <w:gridCol w:w="1006"/>
      </w:tblGrid>
      <w:tr w14:paraId="4364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shd w:val="clear" w:color="auto" w:fill="FFFFFF"/>
            <w:vAlign w:val="center"/>
          </w:tcPr>
          <w:p w14:paraId="780178EC">
            <w:pPr>
              <w:jc w:val="center"/>
              <w:rPr>
                <w:bCs/>
                <w:spacing w:val="-20"/>
                <w:szCs w:val="21"/>
              </w:rPr>
            </w:pPr>
            <w:r>
              <w:rPr>
                <w:bCs/>
                <w:spacing w:val="-20"/>
                <w:szCs w:val="21"/>
              </w:rPr>
              <w:t>序号</w:t>
            </w:r>
          </w:p>
        </w:tc>
        <w:tc>
          <w:tcPr>
            <w:tcW w:w="1557" w:type="dxa"/>
            <w:shd w:val="clear" w:color="auto" w:fill="FFFFFF"/>
            <w:vAlign w:val="center"/>
          </w:tcPr>
          <w:p w14:paraId="6B88E9F2">
            <w:pPr>
              <w:jc w:val="center"/>
              <w:rPr>
                <w:bCs/>
                <w:szCs w:val="21"/>
              </w:rPr>
            </w:pPr>
            <w:r>
              <w:rPr>
                <w:bCs/>
                <w:szCs w:val="21"/>
              </w:rPr>
              <w:t>项目名称</w:t>
            </w:r>
          </w:p>
        </w:tc>
        <w:tc>
          <w:tcPr>
            <w:tcW w:w="5095" w:type="dxa"/>
            <w:shd w:val="clear" w:color="auto" w:fill="FFFFFF"/>
            <w:vAlign w:val="center"/>
          </w:tcPr>
          <w:p w14:paraId="7E83DE9F">
            <w:pPr>
              <w:jc w:val="center"/>
              <w:rPr>
                <w:bCs/>
                <w:szCs w:val="21"/>
              </w:rPr>
            </w:pPr>
            <w:r>
              <w:rPr>
                <w:rFonts w:hint="eastAsia"/>
                <w:bCs/>
                <w:szCs w:val="21"/>
              </w:rPr>
              <w:t>实践</w:t>
            </w:r>
            <w:r>
              <w:rPr>
                <w:bCs/>
                <w:szCs w:val="21"/>
              </w:rPr>
              <w:t>内容及要求</w:t>
            </w:r>
          </w:p>
        </w:tc>
        <w:tc>
          <w:tcPr>
            <w:tcW w:w="1006" w:type="dxa"/>
            <w:shd w:val="clear" w:color="auto" w:fill="FFFFFF"/>
            <w:vAlign w:val="center"/>
          </w:tcPr>
          <w:p w14:paraId="240087C1">
            <w:pPr>
              <w:jc w:val="center"/>
              <w:rPr>
                <w:bCs/>
                <w:szCs w:val="21"/>
              </w:rPr>
            </w:pPr>
            <w:r>
              <w:rPr>
                <w:bCs/>
                <w:szCs w:val="21"/>
              </w:rPr>
              <w:t>学时</w:t>
            </w:r>
          </w:p>
        </w:tc>
      </w:tr>
      <w:tr w14:paraId="1EF9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tcBorders>
              <w:top w:val="single" w:color="auto" w:sz="4" w:space="0"/>
              <w:bottom w:val="single" w:color="auto" w:sz="4" w:space="0"/>
              <w:right w:val="single" w:color="auto" w:sz="4" w:space="0"/>
            </w:tcBorders>
            <w:vAlign w:val="center"/>
          </w:tcPr>
          <w:p w14:paraId="0927A690">
            <w:pPr>
              <w:ind w:firstLine="200"/>
              <w:jc w:val="center"/>
              <w:rPr>
                <w:rFonts w:hint="eastAsia" w:ascii="新宋体" w:hAnsi="新宋体" w:eastAsia="新宋体"/>
                <w:szCs w:val="21"/>
              </w:rPr>
            </w:pPr>
            <w:r>
              <w:rPr>
                <w:rFonts w:hint="eastAsia" w:ascii="新宋体" w:hAnsi="新宋体" w:eastAsia="新宋体"/>
                <w:szCs w:val="21"/>
              </w:rPr>
              <w:t>1</w:t>
            </w:r>
          </w:p>
        </w:tc>
        <w:tc>
          <w:tcPr>
            <w:tcW w:w="1557" w:type="dxa"/>
            <w:tcBorders>
              <w:top w:val="single" w:color="auto" w:sz="4" w:space="0"/>
              <w:left w:val="single" w:color="auto" w:sz="4" w:space="0"/>
              <w:bottom w:val="single" w:color="auto" w:sz="4" w:space="0"/>
              <w:right w:val="single" w:color="auto" w:sz="4" w:space="0"/>
            </w:tcBorders>
            <w:vAlign w:val="center"/>
          </w:tcPr>
          <w:p w14:paraId="512DA4A0">
            <w:pPr>
              <w:adjustRightInd w:val="0"/>
              <w:ind w:firstLine="198"/>
              <w:rPr>
                <w:rFonts w:hint="eastAsia" w:ascii="新宋体" w:hAnsi="新宋体" w:eastAsia="新宋体"/>
                <w:bCs/>
                <w:szCs w:val="21"/>
              </w:rPr>
            </w:pPr>
            <w:r>
              <w:rPr>
                <w:rFonts w:hint="eastAsia" w:ascii="新宋体" w:hAnsi="新宋体" w:eastAsia="新宋体"/>
                <w:szCs w:val="21"/>
              </w:rPr>
              <w:t>观摩辩论赛</w:t>
            </w:r>
          </w:p>
        </w:tc>
        <w:tc>
          <w:tcPr>
            <w:tcW w:w="5095" w:type="dxa"/>
            <w:tcBorders>
              <w:top w:val="single" w:color="auto" w:sz="4" w:space="0"/>
              <w:left w:val="single" w:color="auto" w:sz="4" w:space="0"/>
              <w:bottom w:val="single" w:color="auto" w:sz="4" w:space="0"/>
              <w:right w:val="single" w:color="auto" w:sz="4" w:space="0"/>
            </w:tcBorders>
            <w:vAlign w:val="center"/>
          </w:tcPr>
          <w:p w14:paraId="5F115E72">
            <w:pPr>
              <w:ind w:firstLine="200"/>
              <w:rPr>
                <w:rFonts w:hint="eastAsia" w:ascii="新宋体" w:hAnsi="新宋体" w:eastAsia="新宋体"/>
                <w:szCs w:val="21"/>
              </w:rPr>
            </w:pPr>
            <w:r>
              <w:rPr>
                <w:rFonts w:hint="eastAsia" w:ascii="新宋体" w:hAnsi="新宋体" w:eastAsia="新宋体"/>
                <w:szCs w:val="21"/>
              </w:rPr>
              <w:t>实践内容：观看世界大学生辩论赛的一场比赛录像</w:t>
            </w:r>
          </w:p>
          <w:p w14:paraId="386130D4">
            <w:pPr>
              <w:ind w:firstLine="200"/>
              <w:rPr>
                <w:rFonts w:hint="eastAsia" w:ascii="新宋体" w:hAnsi="新宋体" w:eastAsia="新宋体"/>
                <w:szCs w:val="21"/>
              </w:rPr>
            </w:pPr>
            <w:r>
              <w:rPr>
                <w:rFonts w:hint="eastAsia" w:ascii="新宋体" w:hAnsi="新宋体" w:eastAsia="新宋体"/>
                <w:szCs w:val="21"/>
              </w:rPr>
              <w:t>实践要求：（1）知道辩论赛流程</w:t>
            </w:r>
          </w:p>
          <w:p w14:paraId="039B00B2">
            <w:pPr>
              <w:ind w:firstLine="200"/>
              <w:rPr>
                <w:rFonts w:hint="eastAsia" w:ascii="新宋体" w:hAnsi="新宋体" w:eastAsia="新宋体"/>
                <w:szCs w:val="21"/>
              </w:rPr>
            </w:pPr>
            <w:r>
              <w:rPr>
                <w:rFonts w:hint="eastAsia" w:ascii="新宋体" w:hAnsi="新宋体" w:eastAsia="新宋体"/>
                <w:szCs w:val="21"/>
              </w:rPr>
              <w:t>（2）讨论辩论赛中双方的论点和论据，并能做出相应的评论</w:t>
            </w:r>
          </w:p>
          <w:p w14:paraId="6C7671AC">
            <w:pPr>
              <w:ind w:firstLine="200"/>
              <w:rPr>
                <w:rFonts w:hint="eastAsia" w:ascii="新宋体" w:hAnsi="新宋体" w:eastAsia="新宋体"/>
                <w:szCs w:val="21"/>
              </w:rPr>
            </w:pPr>
            <w:r>
              <w:rPr>
                <w:rFonts w:hint="eastAsia" w:ascii="新宋体" w:hAnsi="新宋体" w:eastAsia="新宋体"/>
                <w:szCs w:val="21"/>
              </w:rPr>
              <w:t>（3）选一个辩手角色模拟练习</w:t>
            </w:r>
          </w:p>
        </w:tc>
        <w:tc>
          <w:tcPr>
            <w:tcW w:w="1006" w:type="dxa"/>
            <w:vAlign w:val="center"/>
          </w:tcPr>
          <w:p w14:paraId="16F3B87E">
            <w:pPr>
              <w:jc w:val="center"/>
              <w:rPr>
                <w:bCs/>
                <w:szCs w:val="21"/>
              </w:rPr>
            </w:pPr>
            <w:r>
              <w:rPr>
                <w:rFonts w:hint="eastAsia"/>
                <w:bCs/>
                <w:szCs w:val="21"/>
              </w:rPr>
              <w:t>4</w:t>
            </w:r>
          </w:p>
        </w:tc>
      </w:tr>
      <w:tr w14:paraId="5CC2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tcBorders>
              <w:top w:val="single" w:color="auto" w:sz="4" w:space="0"/>
              <w:bottom w:val="single" w:color="auto" w:sz="4" w:space="0"/>
              <w:right w:val="single" w:color="auto" w:sz="4" w:space="0"/>
            </w:tcBorders>
            <w:vAlign w:val="center"/>
          </w:tcPr>
          <w:p w14:paraId="61068BC0">
            <w:pPr>
              <w:ind w:firstLine="200"/>
              <w:jc w:val="center"/>
              <w:rPr>
                <w:rFonts w:hint="eastAsia" w:ascii="新宋体" w:hAnsi="新宋体" w:eastAsia="新宋体"/>
                <w:szCs w:val="21"/>
              </w:rPr>
            </w:pPr>
            <w:r>
              <w:rPr>
                <w:rFonts w:hint="eastAsia" w:ascii="新宋体" w:hAnsi="新宋体" w:eastAsia="新宋体"/>
                <w:szCs w:val="21"/>
              </w:rPr>
              <w:t>2</w:t>
            </w:r>
          </w:p>
        </w:tc>
        <w:tc>
          <w:tcPr>
            <w:tcW w:w="1557" w:type="dxa"/>
            <w:tcBorders>
              <w:top w:val="single" w:color="auto" w:sz="4" w:space="0"/>
              <w:left w:val="single" w:color="auto" w:sz="4" w:space="0"/>
              <w:bottom w:val="single" w:color="auto" w:sz="4" w:space="0"/>
              <w:right w:val="single" w:color="auto" w:sz="4" w:space="0"/>
            </w:tcBorders>
            <w:vAlign w:val="center"/>
          </w:tcPr>
          <w:p w14:paraId="532C246F">
            <w:pPr>
              <w:adjustRightInd w:val="0"/>
              <w:ind w:firstLine="198"/>
              <w:rPr>
                <w:rFonts w:hint="eastAsia" w:ascii="宋体" w:hAnsi="宋体"/>
                <w:bCs/>
                <w:szCs w:val="21"/>
              </w:rPr>
            </w:pPr>
            <w:r>
              <w:rPr>
                <w:rFonts w:hint="eastAsia" w:ascii="宋体" w:hAnsi="宋体"/>
                <w:bCs/>
                <w:szCs w:val="21"/>
              </w:rPr>
              <w:t>辩题设计</w:t>
            </w:r>
          </w:p>
        </w:tc>
        <w:tc>
          <w:tcPr>
            <w:tcW w:w="5095" w:type="dxa"/>
            <w:tcBorders>
              <w:top w:val="single" w:color="auto" w:sz="4" w:space="0"/>
              <w:left w:val="single" w:color="auto" w:sz="4" w:space="0"/>
              <w:bottom w:val="single" w:color="auto" w:sz="4" w:space="0"/>
              <w:right w:val="single" w:color="auto" w:sz="4" w:space="0"/>
            </w:tcBorders>
            <w:vAlign w:val="center"/>
          </w:tcPr>
          <w:p w14:paraId="5F7E8E70">
            <w:pPr>
              <w:ind w:firstLine="200"/>
              <w:rPr>
                <w:rFonts w:hint="eastAsia" w:ascii="宋体" w:hAnsi="宋体"/>
                <w:szCs w:val="21"/>
              </w:rPr>
            </w:pPr>
            <w:r>
              <w:rPr>
                <w:rFonts w:hint="eastAsia" w:ascii="宋体" w:hAnsi="宋体"/>
                <w:szCs w:val="21"/>
              </w:rPr>
              <w:t>实践内容：分小组查找相关资料，结合专业特点，提出两个以上的辩题，并对正反双方的辩题进行讨论</w:t>
            </w:r>
          </w:p>
          <w:p w14:paraId="152B4FE8">
            <w:pPr>
              <w:ind w:firstLine="200"/>
              <w:rPr>
                <w:rFonts w:hint="eastAsia" w:ascii="宋体" w:hAnsi="宋体"/>
                <w:szCs w:val="21"/>
              </w:rPr>
            </w:pPr>
            <w:r>
              <w:rPr>
                <w:rFonts w:hint="eastAsia" w:ascii="宋体" w:hAnsi="宋体"/>
                <w:szCs w:val="21"/>
              </w:rPr>
              <w:t>实践要求：（1）辩题结合专业特点，无方向性错误</w:t>
            </w:r>
          </w:p>
          <w:p w14:paraId="39A53C5E">
            <w:pPr>
              <w:ind w:firstLine="200"/>
              <w:rPr>
                <w:rFonts w:hint="eastAsia" w:ascii="宋体" w:hAnsi="宋体"/>
                <w:szCs w:val="21"/>
              </w:rPr>
            </w:pPr>
            <w:r>
              <w:rPr>
                <w:rFonts w:hint="eastAsia" w:ascii="宋体" w:hAnsi="宋体"/>
                <w:szCs w:val="21"/>
              </w:rPr>
              <w:t>（2）小组合作分工合理</w:t>
            </w:r>
          </w:p>
          <w:p w14:paraId="1309A7C3">
            <w:pPr>
              <w:ind w:firstLine="200"/>
              <w:rPr>
                <w:rFonts w:hint="eastAsia" w:ascii="宋体" w:hAnsi="宋体"/>
                <w:szCs w:val="21"/>
              </w:rPr>
            </w:pPr>
            <w:r>
              <w:rPr>
                <w:rFonts w:hint="eastAsia" w:ascii="宋体" w:hAnsi="宋体"/>
                <w:szCs w:val="21"/>
              </w:rPr>
              <w:t>（3）辩题具有逻辑性</w:t>
            </w:r>
          </w:p>
        </w:tc>
        <w:tc>
          <w:tcPr>
            <w:tcW w:w="1006" w:type="dxa"/>
            <w:vAlign w:val="center"/>
          </w:tcPr>
          <w:p w14:paraId="74758D7F">
            <w:pPr>
              <w:jc w:val="center"/>
              <w:rPr>
                <w:bCs/>
                <w:szCs w:val="21"/>
              </w:rPr>
            </w:pPr>
            <w:r>
              <w:rPr>
                <w:rFonts w:hint="eastAsia"/>
                <w:bCs/>
                <w:szCs w:val="21"/>
              </w:rPr>
              <w:t>3</w:t>
            </w:r>
          </w:p>
        </w:tc>
      </w:tr>
      <w:tr w14:paraId="515F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tcBorders>
              <w:top w:val="single" w:color="auto" w:sz="4" w:space="0"/>
              <w:bottom w:val="single" w:color="auto" w:sz="4" w:space="0"/>
              <w:right w:val="single" w:color="auto" w:sz="4" w:space="0"/>
            </w:tcBorders>
            <w:vAlign w:val="center"/>
          </w:tcPr>
          <w:p w14:paraId="2345F8DF">
            <w:pPr>
              <w:ind w:firstLine="200"/>
              <w:jc w:val="center"/>
              <w:rPr>
                <w:rFonts w:hint="eastAsia" w:ascii="宋体" w:hAnsi="宋体"/>
                <w:szCs w:val="21"/>
              </w:rPr>
            </w:pPr>
            <w:r>
              <w:rPr>
                <w:rFonts w:hint="eastAsia" w:ascii="宋体" w:hAnsi="宋体"/>
                <w:szCs w:val="21"/>
              </w:rPr>
              <w:t>3</w:t>
            </w:r>
          </w:p>
        </w:tc>
        <w:tc>
          <w:tcPr>
            <w:tcW w:w="1557" w:type="dxa"/>
            <w:tcBorders>
              <w:top w:val="single" w:color="auto" w:sz="4" w:space="0"/>
              <w:left w:val="single" w:color="auto" w:sz="4" w:space="0"/>
              <w:bottom w:val="single" w:color="auto" w:sz="4" w:space="0"/>
              <w:right w:val="single" w:color="auto" w:sz="4" w:space="0"/>
            </w:tcBorders>
            <w:vAlign w:val="center"/>
          </w:tcPr>
          <w:p w14:paraId="4E694D7D">
            <w:pPr>
              <w:adjustRightInd w:val="0"/>
              <w:ind w:firstLine="198"/>
              <w:rPr>
                <w:rFonts w:hint="eastAsia" w:ascii="宋体" w:hAnsi="宋体"/>
                <w:bCs/>
                <w:szCs w:val="21"/>
              </w:rPr>
            </w:pPr>
            <w:r>
              <w:rPr>
                <w:rFonts w:hint="eastAsia" w:ascii="宋体" w:hAnsi="宋体"/>
                <w:bCs/>
                <w:szCs w:val="21"/>
              </w:rPr>
              <w:t>辩论赛</w:t>
            </w:r>
          </w:p>
        </w:tc>
        <w:tc>
          <w:tcPr>
            <w:tcW w:w="5095" w:type="dxa"/>
            <w:tcBorders>
              <w:top w:val="single" w:color="auto" w:sz="4" w:space="0"/>
              <w:left w:val="single" w:color="auto" w:sz="4" w:space="0"/>
              <w:bottom w:val="single" w:color="auto" w:sz="4" w:space="0"/>
              <w:right w:val="single" w:color="auto" w:sz="4" w:space="0"/>
            </w:tcBorders>
            <w:vAlign w:val="center"/>
          </w:tcPr>
          <w:p w14:paraId="38CEA361">
            <w:pPr>
              <w:ind w:firstLine="200"/>
              <w:rPr>
                <w:rFonts w:hint="eastAsia" w:ascii="宋体" w:hAnsi="宋体"/>
                <w:szCs w:val="21"/>
              </w:rPr>
            </w:pPr>
            <w:r>
              <w:rPr>
                <w:rFonts w:hint="eastAsia" w:ascii="宋体" w:hAnsi="宋体"/>
                <w:szCs w:val="21"/>
              </w:rPr>
              <w:t>实践内容：以小组为单位，在班内开展辩论赛活动</w:t>
            </w:r>
          </w:p>
          <w:p w14:paraId="6A5E9A73">
            <w:pPr>
              <w:ind w:firstLine="200"/>
              <w:rPr>
                <w:rFonts w:hint="eastAsia" w:ascii="宋体" w:hAnsi="宋体"/>
                <w:szCs w:val="21"/>
              </w:rPr>
            </w:pPr>
            <w:r>
              <w:rPr>
                <w:rFonts w:hint="eastAsia" w:ascii="宋体" w:hAnsi="宋体"/>
                <w:szCs w:val="21"/>
              </w:rPr>
              <w:t>实践要求：（1）活动安排组织流程清楚，能顺利进行比赛</w:t>
            </w:r>
          </w:p>
          <w:p w14:paraId="4A58224A">
            <w:pPr>
              <w:ind w:firstLine="200"/>
              <w:rPr>
                <w:rFonts w:hint="eastAsia" w:ascii="宋体" w:hAnsi="宋体"/>
                <w:szCs w:val="21"/>
              </w:rPr>
            </w:pPr>
            <w:r>
              <w:rPr>
                <w:rFonts w:hint="eastAsia" w:ascii="宋体" w:hAnsi="宋体"/>
                <w:szCs w:val="21"/>
              </w:rPr>
              <w:t>（2）比赛准备充分，学生参与度高</w:t>
            </w:r>
          </w:p>
        </w:tc>
        <w:tc>
          <w:tcPr>
            <w:tcW w:w="1006" w:type="dxa"/>
            <w:vAlign w:val="center"/>
          </w:tcPr>
          <w:p w14:paraId="32285C08">
            <w:pPr>
              <w:jc w:val="center"/>
              <w:rPr>
                <w:rFonts w:hint="eastAsia" w:ascii="宋体" w:hAnsi="宋体"/>
                <w:bCs/>
                <w:szCs w:val="21"/>
              </w:rPr>
            </w:pPr>
            <w:r>
              <w:rPr>
                <w:rFonts w:hint="eastAsia" w:ascii="宋体" w:hAnsi="宋体"/>
                <w:bCs/>
                <w:szCs w:val="21"/>
              </w:rPr>
              <w:t>3</w:t>
            </w:r>
          </w:p>
        </w:tc>
      </w:tr>
      <w:tr w14:paraId="7A8D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405" w:type="dxa"/>
            <w:gridSpan w:val="2"/>
            <w:tcBorders>
              <w:top w:val="single" w:color="auto" w:sz="4" w:space="0"/>
              <w:bottom w:val="single" w:color="auto" w:sz="4" w:space="0"/>
              <w:right w:val="single" w:color="auto" w:sz="4" w:space="0"/>
            </w:tcBorders>
            <w:vAlign w:val="center"/>
          </w:tcPr>
          <w:p w14:paraId="553259DF">
            <w:pPr>
              <w:adjustRightInd w:val="0"/>
              <w:ind w:firstLine="198"/>
              <w:rPr>
                <w:rFonts w:hint="eastAsia" w:ascii="新宋体" w:hAnsi="新宋体" w:eastAsia="新宋体"/>
                <w:bCs/>
                <w:szCs w:val="21"/>
              </w:rPr>
            </w:pPr>
            <w:r>
              <w:rPr>
                <w:rFonts w:hint="eastAsia" w:ascii="新宋体" w:hAnsi="新宋体" w:eastAsia="新宋体"/>
                <w:bCs/>
                <w:szCs w:val="21"/>
              </w:rPr>
              <w:t>合计</w:t>
            </w:r>
          </w:p>
        </w:tc>
        <w:tc>
          <w:tcPr>
            <w:tcW w:w="5095" w:type="dxa"/>
            <w:tcBorders>
              <w:top w:val="single" w:color="auto" w:sz="4" w:space="0"/>
              <w:left w:val="single" w:color="auto" w:sz="4" w:space="0"/>
              <w:bottom w:val="single" w:color="auto" w:sz="4" w:space="0"/>
              <w:right w:val="single" w:color="auto" w:sz="4" w:space="0"/>
            </w:tcBorders>
            <w:vAlign w:val="center"/>
          </w:tcPr>
          <w:p w14:paraId="07AE980E">
            <w:pPr>
              <w:ind w:firstLine="200"/>
              <w:rPr>
                <w:rFonts w:hint="eastAsia" w:ascii="新宋体" w:hAnsi="新宋体" w:eastAsia="新宋体"/>
                <w:szCs w:val="21"/>
              </w:rPr>
            </w:pPr>
          </w:p>
        </w:tc>
        <w:tc>
          <w:tcPr>
            <w:tcW w:w="1006" w:type="dxa"/>
            <w:vAlign w:val="center"/>
          </w:tcPr>
          <w:p w14:paraId="500C14F8">
            <w:pPr>
              <w:jc w:val="center"/>
              <w:rPr>
                <w:bCs/>
                <w:szCs w:val="21"/>
              </w:rPr>
            </w:pPr>
            <w:r>
              <w:rPr>
                <w:rFonts w:hint="eastAsia"/>
                <w:bCs/>
                <w:szCs w:val="21"/>
              </w:rPr>
              <w:t>10</w:t>
            </w:r>
          </w:p>
        </w:tc>
      </w:tr>
    </w:tbl>
    <w:p w14:paraId="1C4F07FE">
      <w:pPr>
        <w:spacing w:line="360" w:lineRule="auto"/>
        <w:jc w:val="left"/>
        <w:rPr>
          <w:rFonts w:hint="eastAsia" w:ascii="宋体" w:hAnsi="宋体"/>
          <w:b/>
          <w:color w:val="000000"/>
          <w:sz w:val="24"/>
        </w:rPr>
      </w:pPr>
    </w:p>
    <w:p w14:paraId="1EF26ED2">
      <w:pPr>
        <w:spacing w:line="360" w:lineRule="auto"/>
        <w:jc w:val="left"/>
        <w:rPr>
          <w:sz w:val="24"/>
        </w:rPr>
      </w:pPr>
      <w:r>
        <w:rPr>
          <w:rFonts w:hint="eastAsia" w:ascii="宋体" w:hAnsi="宋体"/>
          <w:b/>
          <w:color w:val="000000"/>
          <w:sz w:val="24"/>
        </w:rPr>
        <w:t>五、目标评价与成绩评定</w:t>
      </w:r>
    </w:p>
    <w:p w14:paraId="55923612">
      <w:pPr>
        <w:spacing w:line="360" w:lineRule="auto"/>
        <w:jc w:val="left"/>
        <w:rPr>
          <w:b/>
          <w:szCs w:val="21"/>
        </w:rPr>
      </w:pPr>
      <w:r>
        <w:rPr>
          <w:rFonts w:hint="eastAsia"/>
          <w:b/>
          <w:szCs w:val="21"/>
        </w:rPr>
        <w:t>（一）课程目标评价方式</w:t>
      </w:r>
    </w:p>
    <w:p w14:paraId="65312AD3">
      <w:pPr>
        <w:spacing w:line="360" w:lineRule="auto"/>
        <w:ind w:firstLine="420" w:firstLineChars="200"/>
        <w:jc w:val="left"/>
        <w:rPr>
          <w:szCs w:val="21"/>
        </w:rPr>
      </w:pPr>
      <w:r>
        <w:rPr>
          <w:rFonts w:hint="eastAsia"/>
          <w:szCs w:val="21"/>
        </w:rPr>
        <w:t>根据总体设计，用于评价各课程目标的评价方式如表3</w:t>
      </w:r>
      <w:r>
        <w:rPr>
          <w:szCs w:val="21"/>
        </w:rPr>
        <w:t>所示。</w:t>
      </w:r>
    </w:p>
    <w:p w14:paraId="2A44DC23">
      <w:pPr>
        <w:spacing w:line="360" w:lineRule="auto"/>
        <w:jc w:val="center"/>
        <w:rPr>
          <w:b/>
          <w:bCs/>
          <w:szCs w:val="21"/>
        </w:rPr>
      </w:pPr>
      <w:r>
        <w:rPr>
          <w:rFonts w:hint="eastAsia"/>
          <w:b/>
          <w:bCs/>
          <w:szCs w:val="21"/>
        </w:rPr>
        <w:t>表3</w:t>
      </w:r>
      <w:r>
        <w:rPr>
          <w:b/>
          <w:bCs/>
          <w:szCs w:val="21"/>
        </w:rPr>
        <w:t>课程教学评价设计总表</w:t>
      </w:r>
    </w:p>
    <w:tbl>
      <w:tblPr>
        <w:tblStyle w:val="14"/>
        <w:tblW w:w="8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447"/>
        <w:gridCol w:w="1448"/>
        <w:gridCol w:w="1448"/>
        <w:gridCol w:w="1448"/>
        <w:gridCol w:w="872"/>
      </w:tblGrid>
      <w:tr w14:paraId="4852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Merge w:val="restart"/>
            <w:vAlign w:val="center"/>
          </w:tcPr>
          <w:p w14:paraId="2EBDEB61">
            <w:pPr>
              <w:spacing w:line="360" w:lineRule="auto"/>
              <w:jc w:val="center"/>
              <w:rPr>
                <w:rFonts w:hint="eastAsia" w:ascii="宋体" w:hAnsi="宋体"/>
                <w:szCs w:val="21"/>
              </w:rPr>
            </w:pPr>
            <w:r>
              <w:rPr>
                <w:rFonts w:hint="eastAsia" w:ascii="宋体" w:hAnsi="宋体"/>
                <w:szCs w:val="21"/>
              </w:rPr>
              <w:t>课程目标</w:t>
            </w:r>
          </w:p>
        </w:tc>
        <w:tc>
          <w:tcPr>
            <w:tcW w:w="0" w:type="auto"/>
            <w:gridSpan w:val="4"/>
            <w:vAlign w:val="center"/>
          </w:tcPr>
          <w:p w14:paraId="46FBB8B6">
            <w:pPr>
              <w:spacing w:line="360" w:lineRule="auto"/>
              <w:jc w:val="center"/>
              <w:rPr>
                <w:rFonts w:hint="eastAsia" w:ascii="宋体" w:hAnsi="宋体"/>
                <w:szCs w:val="21"/>
              </w:rPr>
            </w:pPr>
            <w:r>
              <w:rPr>
                <w:rFonts w:hint="eastAsia" w:ascii="宋体" w:hAnsi="宋体"/>
                <w:szCs w:val="21"/>
              </w:rPr>
              <w:t>评价与成绩评定方法</w:t>
            </w:r>
          </w:p>
        </w:tc>
        <w:tc>
          <w:tcPr>
            <w:tcW w:w="0" w:type="auto"/>
            <w:vMerge w:val="restart"/>
            <w:vAlign w:val="center"/>
          </w:tcPr>
          <w:p w14:paraId="41E9FB1A">
            <w:pPr>
              <w:spacing w:line="360" w:lineRule="auto"/>
              <w:jc w:val="center"/>
              <w:rPr>
                <w:rFonts w:hint="eastAsia" w:ascii="宋体" w:hAnsi="宋体"/>
                <w:szCs w:val="21"/>
              </w:rPr>
            </w:pPr>
            <w:r>
              <w:rPr>
                <w:rFonts w:hint="eastAsia" w:ascii="宋体" w:hAnsi="宋体"/>
                <w:szCs w:val="21"/>
              </w:rPr>
              <w:t>分值</w:t>
            </w:r>
          </w:p>
        </w:tc>
      </w:tr>
      <w:tr w14:paraId="29D1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0" w:type="auto"/>
            <w:vMerge w:val="continue"/>
            <w:vAlign w:val="center"/>
          </w:tcPr>
          <w:p w14:paraId="32F07CA5">
            <w:pPr>
              <w:spacing w:line="360" w:lineRule="auto"/>
              <w:jc w:val="center"/>
              <w:rPr>
                <w:rFonts w:hint="eastAsia" w:ascii="宋体" w:hAnsi="宋体"/>
                <w:szCs w:val="21"/>
              </w:rPr>
            </w:pPr>
          </w:p>
        </w:tc>
        <w:tc>
          <w:tcPr>
            <w:tcW w:w="0" w:type="auto"/>
            <w:vAlign w:val="center"/>
          </w:tcPr>
          <w:p w14:paraId="4EEAA3E7">
            <w:pPr>
              <w:spacing w:line="360" w:lineRule="auto"/>
              <w:jc w:val="center"/>
              <w:rPr>
                <w:rFonts w:hint="eastAsia" w:ascii="宋体" w:hAnsi="宋体"/>
                <w:szCs w:val="21"/>
              </w:rPr>
            </w:pPr>
            <w:r>
              <w:rPr>
                <w:rFonts w:hint="eastAsia" w:ascii="宋体" w:hAnsi="宋体"/>
                <w:szCs w:val="21"/>
              </w:rPr>
              <w:t>平时作业</w:t>
            </w:r>
          </w:p>
        </w:tc>
        <w:tc>
          <w:tcPr>
            <w:tcW w:w="0" w:type="auto"/>
            <w:vAlign w:val="center"/>
          </w:tcPr>
          <w:p w14:paraId="1A9EA638">
            <w:pPr>
              <w:spacing w:line="360" w:lineRule="auto"/>
              <w:jc w:val="center"/>
              <w:rPr>
                <w:rFonts w:hint="eastAsia" w:ascii="宋体" w:hAnsi="宋体"/>
                <w:szCs w:val="21"/>
              </w:rPr>
            </w:pPr>
            <w:r>
              <w:rPr>
                <w:rFonts w:hint="eastAsia" w:ascii="宋体" w:hAnsi="宋体"/>
                <w:szCs w:val="21"/>
              </w:rPr>
              <w:t>课堂表现</w:t>
            </w:r>
          </w:p>
        </w:tc>
        <w:tc>
          <w:tcPr>
            <w:tcW w:w="0" w:type="auto"/>
            <w:vAlign w:val="center"/>
          </w:tcPr>
          <w:p w14:paraId="535B68E4">
            <w:pPr>
              <w:spacing w:line="360" w:lineRule="auto"/>
              <w:jc w:val="center"/>
              <w:rPr>
                <w:rFonts w:hint="eastAsia" w:ascii="宋体" w:hAnsi="宋体"/>
                <w:szCs w:val="21"/>
              </w:rPr>
            </w:pPr>
            <w:r>
              <w:rPr>
                <w:rFonts w:hint="eastAsia" w:ascii="宋体" w:hAnsi="宋体"/>
                <w:szCs w:val="21"/>
              </w:rPr>
              <w:t>课内实践</w:t>
            </w:r>
          </w:p>
        </w:tc>
        <w:tc>
          <w:tcPr>
            <w:tcW w:w="0" w:type="auto"/>
            <w:vAlign w:val="center"/>
          </w:tcPr>
          <w:p w14:paraId="74D3D5A8">
            <w:pPr>
              <w:spacing w:line="360" w:lineRule="auto"/>
              <w:jc w:val="center"/>
              <w:rPr>
                <w:rFonts w:hint="eastAsia" w:ascii="宋体" w:hAnsi="宋体"/>
                <w:szCs w:val="21"/>
              </w:rPr>
            </w:pPr>
            <w:r>
              <w:rPr>
                <w:rFonts w:hint="eastAsia" w:ascii="宋体" w:hAnsi="宋体"/>
                <w:szCs w:val="21"/>
              </w:rPr>
              <w:t>期末考试</w:t>
            </w:r>
          </w:p>
        </w:tc>
        <w:tc>
          <w:tcPr>
            <w:tcW w:w="0" w:type="auto"/>
            <w:vMerge w:val="continue"/>
            <w:vAlign w:val="center"/>
          </w:tcPr>
          <w:p w14:paraId="7DB87E45">
            <w:pPr>
              <w:spacing w:line="360" w:lineRule="auto"/>
              <w:jc w:val="center"/>
              <w:rPr>
                <w:rFonts w:hint="eastAsia" w:ascii="宋体" w:hAnsi="宋体"/>
                <w:szCs w:val="21"/>
              </w:rPr>
            </w:pPr>
          </w:p>
        </w:tc>
      </w:tr>
      <w:tr w14:paraId="39E3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0" w:type="auto"/>
            <w:vAlign w:val="center"/>
          </w:tcPr>
          <w:p w14:paraId="56F22B16">
            <w:pPr>
              <w:spacing w:line="360" w:lineRule="auto"/>
              <w:jc w:val="center"/>
              <w:rPr>
                <w:rFonts w:hint="eastAsia" w:ascii="宋体" w:hAnsi="宋体"/>
                <w:szCs w:val="21"/>
              </w:rPr>
            </w:pPr>
            <w:r>
              <w:rPr>
                <w:rFonts w:hint="eastAsia" w:ascii="宋体" w:hAnsi="宋体"/>
                <w:szCs w:val="21"/>
              </w:rPr>
              <w:t>课程目标1</w:t>
            </w:r>
          </w:p>
        </w:tc>
        <w:tc>
          <w:tcPr>
            <w:tcW w:w="0" w:type="auto"/>
            <w:vAlign w:val="center"/>
          </w:tcPr>
          <w:p w14:paraId="236BDB3D">
            <w:pPr>
              <w:spacing w:line="360" w:lineRule="auto"/>
              <w:jc w:val="center"/>
              <w:rPr>
                <w:rFonts w:hint="eastAsia" w:ascii="宋体" w:hAnsi="宋体"/>
                <w:szCs w:val="21"/>
              </w:rPr>
            </w:pPr>
          </w:p>
        </w:tc>
        <w:tc>
          <w:tcPr>
            <w:tcW w:w="0" w:type="auto"/>
            <w:vAlign w:val="center"/>
          </w:tcPr>
          <w:p w14:paraId="7BC66A61">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05EC066D">
            <w:pPr>
              <w:spacing w:line="360" w:lineRule="auto"/>
              <w:jc w:val="center"/>
              <w:rPr>
                <w:rFonts w:hint="eastAsia" w:ascii="宋体" w:hAnsi="宋体"/>
                <w:szCs w:val="21"/>
              </w:rPr>
            </w:pPr>
          </w:p>
        </w:tc>
        <w:tc>
          <w:tcPr>
            <w:tcW w:w="0" w:type="auto"/>
            <w:vAlign w:val="center"/>
          </w:tcPr>
          <w:p w14:paraId="4ABF2863">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227D3EED">
            <w:pPr>
              <w:spacing w:line="360" w:lineRule="auto"/>
              <w:jc w:val="center"/>
              <w:rPr>
                <w:rFonts w:hint="eastAsia" w:ascii="宋体" w:hAnsi="宋体"/>
                <w:szCs w:val="21"/>
              </w:rPr>
            </w:pPr>
            <w:r>
              <w:rPr>
                <w:rFonts w:hint="eastAsia" w:ascii="宋体" w:hAnsi="宋体"/>
                <w:szCs w:val="21"/>
              </w:rPr>
              <w:t>20</w:t>
            </w:r>
          </w:p>
        </w:tc>
      </w:tr>
      <w:tr w14:paraId="2F98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Align w:val="center"/>
          </w:tcPr>
          <w:p w14:paraId="712BBF3A">
            <w:pPr>
              <w:spacing w:line="360" w:lineRule="auto"/>
              <w:jc w:val="center"/>
              <w:rPr>
                <w:rFonts w:hint="eastAsia" w:ascii="宋体" w:hAnsi="宋体"/>
                <w:szCs w:val="21"/>
              </w:rPr>
            </w:pPr>
            <w:r>
              <w:rPr>
                <w:rFonts w:hint="eastAsia" w:ascii="宋体" w:hAnsi="宋体"/>
                <w:szCs w:val="21"/>
              </w:rPr>
              <w:t>课程目标2</w:t>
            </w:r>
          </w:p>
        </w:tc>
        <w:tc>
          <w:tcPr>
            <w:tcW w:w="0" w:type="auto"/>
            <w:vAlign w:val="center"/>
          </w:tcPr>
          <w:p w14:paraId="365405E3">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5072AC02">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5A3D9AB2">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086493EE">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158BCF34">
            <w:pPr>
              <w:spacing w:line="360" w:lineRule="auto"/>
              <w:jc w:val="center"/>
              <w:rPr>
                <w:rFonts w:hint="eastAsia" w:ascii="宋体" w:hAnsi="宋体"/>
                <w:szCs w:val="21"/>
              </w:rPr>
            </w:pPr>
            <w:r>
              <w:rPr>
                <w:rFonts w:hint="eastAsia" w:ascii="宋体" w:hAnsi="宋体"/>
                <w:szCs w:val="21"/>
              </w:rPr>
              <w:t>40</w:t>
            </w:r>
          </w:p>
        </w:tc>
      </w:tr>
      <w:tr w14:paraId="7A48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Align w:val="center"/>
          </w:tcPr>
          <w:p w14:paraId="13B60856">
            <w:pPr>
              <w:spacing w:line="360" w:lineRule="auto"/>
              <w:jc w:val="center"/>
              <w:rPr>
                <w:rFonts w:hint="eastAsia" w:ascii="宋体" w:hAnsi="宋体"/>
                <w:szCs w:val="21"/>
              </w:rPr>
            </w:pPr>
            <w:r>
              <w:rPr>
                <w:rFonts w:hint="eastAsia" w:ascii="宋体" w:hAnsi="宋体"/>
                <w:szCs w:val="21"/>
              </w:rPr>
              <w:t>课程目标3</w:t>
            </w:r>
          </w:p>
        </w:tc>
        <w:tc>
          <w:tcPr>
            <w:tcW w:w="0" w:type="auto"/>
            <w:vAlign w:val="center"/>
          </w:tcPr>
          <w:p w14:paraId="496A8011">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15BFE831">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7E3B555F">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454718D8">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5390EFB5">
            <w:pPr>
              <w:spacing w:line="360" w:lineRule="auto"/>
              <w:jc w:val="center"/>
              <w:rPr>
                <w:rFonts w:hint="eastAsia" w:ascii="宋体" w:hAnsi="宋体"/>
                <w:szCs w:val="21"/>
              </w:rPr>
            </w:pPr>
            <w:r>
              <w:rPr>
                <w:rFonts w:hint="eastAsia" w:ascii="宋体" w:hAnsi="宋体"/>
                <w:szCs w:val="21"/>
              </w:rPr>
              <w:t>40</w:t>
            </w:r>
          </w:p>
        </w:tc>
      </w:tr>
      <w:tr w14:paraId="68EA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Align w:val="center"/>
          </w:tcPr>
          <w:p w14:paraId="57C93EC6">
            <w:pPr>
              <w:spacing w:line="360" w:lineRule="auto"/>
              <w:jc w:val="center"/>
              <w:rPr>
                <w:rFonts w:hint="eastAsia" w:ascii="宋体" w:hAnsi="宋体"/>
                <w:szCs w:val="21"/>
              </w:rPr>
            </w:pPr>
            <w:r>
              <w:rPr>
                <w:rFonts w:hint="eastAsia" w:ascii="宋体" w:hAnsi="宋体"/>
                <w:szCs w:val="21"/>
              </w:rPr>
              <w:t>合计</w:t>
            </w:r>
          </w:p>
        </w:tc>
        <w:tc>
          <w:tcPr>
            <w:tcW w:w="0" w:type="auto"/>
            <w:vAlign w:val="center"/>
          </w:tcPr>
          <w:p w14:paraId="5E7A2398">
            <w:pPr>
              <w:spacing w:line="360" w:lineRule="auto"/>
              <w:jc w:val="center"/>
              <w:rPr>
                <w:rFonts w:hint="eastAsia" w:ascii="宋体" w:hAnsi="宋体"/>
                <w:szCs w:val="21"/>
              </w:rPr>
            </w:pPr>
          </w:p>
        </w:tc>
        <w:tc>
          <w:tcPr>
            <w:tcW w:w="0" w:type="auto"/>
            <w:vAlign w:val="center"/>
          </w:tcPr>
          <w:p w14:paraId="0EB46D1E">
            <w:pPr>
              <w:spacing w:line="360" w:lineRule="auto"/>
              <w:jc w:val="center"/>
              <w:rPr>
                <w:rFonts w:hint="eastAsia" w:ascii="宋体" w:hAnsi="宋体"/>
                <w:szCs w:val="21"/>
              </w:rPr>
            </w:pPr>
          </w:p>
        </w:tc>
        <w:tc>
          <w:tcPr>
            <w:tcW w:w="0" w:type="auto"/>
            <w:vAlign w:val="center"/>
          </w:tcPr>
          <w:p w14:paraId="3ACAC4C8">
            <w:pPr>
              <w:spacing w:line="360" w:lineRule="auto"/>
              <w:jc w:val="center"/>
              <w:rPr>
                <w:rFonts w:hint="eastAsia" w:ascii="宋体" w:hAnsi="宋体"/>
                <w:szCs w:val="21"/>
              </w:rPr>
            </w:pPr>
          </w:p>
        </w:tc>
        <w:tc>
          <w:tcPr>
            <w:tcW w:w="0" w:type="auto"/>
            <w:vAlign w:val="center"/>
          </w:tcPr>
          <w:p w14:paraId="0FEBFEEE">
            <w:pPr>
              <w:spacing w:line="360" w:lineRule="auto"/>
              <w:jc w:val="center"/>
              <w:rPr>
                <w:rFonts w:hint="eastAsia" w:ascii="宋体" w:hAnsi="宋体"/>
                <w:szCs w:val="21"/>
              </w:rPr>
            </w:pPr>
          </w:p>
        </w:tc>
        <w:tc>
          <w:tcPr>
            <w:tcW w:w="0" w:type="auto"/>
            <w:vAlign w:val="center"/>
          </w:tcPr>
          <w:p w14:paraId="6B9FB4DE">
            <w:pPr>
              <w:spacing w:line="360" w:lineRule="auto"/>
              <w:jc w:val="center"/>
              <w:rPr>
                <w:rFonts w:hint="eastAsia" w:ascii="宋体" w:hAnsi="宋体"/>
                <w:szCs w:val="21"/>
              </w:rPr>
            </w:pPr>
            <w:r>
              <w:rPr>
                <w:rFonts w:hint="eastAsia" w:ascii="宋体" w:hAnsi="宋体"/>
                <w:szCs w:val="21"/>
              </w:rPr>
              <w:t>100</w:t>
            </w:r>
          </w:p>
        </w:tc>
      </w:tr>
    </w:tbl>
    <w:p w14:paraId="0C6DEF9B">
      <w:pPr>
        <w:spacing w:before="156" w:beforeLines="50" w:line="360" w:lineRule="auto"/>
        <w:jc w:val="left"/>
        <w:rPr>
          <w:b/>
          <w:szCs w:val="21"/>
        </w:rPr>
      </w:pPr>
      <w:r>
        <w:rPr>
          <w:rFonts w:hint="eastAsia"/>
          <w:b/>
          <w:szCs w:val="21"/>
        </w:rPr>
        <w:t>（二）成绩评定细则</w:t>
      </w:r>
    </w:p>
    <w:p w14:paraId="708DBD1C">
      <w:pPr>
        <w:spacing w:line="360" w:lineRule="auto"/>
        <w:ind w:firstLine="420" w:firstLineChars="200"/>
        <w:jc w:val="left"/>
        <w:rPr>
          <w:szCs w:val="21"/>
        </w:rPr>
      </w:pPr>
      <w:r>
        <w:rPr>
          <w:rFonts w:hint="eastAsia"/>
          <w:szCs w:val="21"/>
        </w:rPr>
        <w:t>各部分的评价方式和成绩评定的细则如表4所示：</w:t>
      </w:r>
    </w:p>
    <w:p w14:paraId="089CD708">
      <w:pPr>
        <w:jc w:val="center"/>
        <w:rPr>
          <w:b/>
          <w:bCs/>
          <w:szCs w:val="21"/>
        </w:rPr>
      </w:pPr>
      <w:r>
        <w:rPr>
          <w:rFonts w:hint="eastAsia"/>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86"/>
      </w:tblGrid>
      <w:tr w14:paraId="6382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F20B20">
            <w:pPr>
              <w:jc w:val="center"/>
              <w:rPr>
                <w:b/>
                <w:bCs/>
                <w:szCs w:val="21"/>
              </w:rPr>
            </w:pPr>
            <w:r>
              <w:rPr>
                <w:rFonts w:hint="eastAsia"/>
                <w:b/>
                <w:bCs/>
                <w:szCs w:val="21"/>
              </w:rPr>
              <w:t>评价方式</w:t>
            </w:r>
          </w:p>
        </w:tc>
        <w:tc>
          <w:tcPr>
            <w:tcW w:w="7141" w:type="dxa"/>
            <w:vAlign w:val="center"/>
          </w:tcPr>
          <w:p w14:paraId="77A18D75">
            <w:pPr>
              <w:jc w:val="center"/>
              <w:rPr>
                <w:b/>
                <w:bCs/>
                <w:szCs w:val="21"/>
              </w:rPr>
            </w:pPr>
            <w:r>
              <w:rPr>
                <w:rFonts w:hint="eastAsia"/>
                <w:b/>
                <w:bCs/>
                <w:szCs w:val="21"/>
              </w:rPr>
              <w:t>评定细则</w:t>
            </w:r>
          </w:p>
        </w:tc>
        <w:tc>
          <w:tcPr>
            <w:tcW w:w="0" w:type="auto"/>
            <w:vAlign w:val="center"/>
          </w:tcPr>
          <w:p w14:paraId="0BBCC29C">
            <w:pPr>
              <w:jc w:val="center"/>
              <w:rPr>
                <w:b/>
                <w:bCs/>
                <w:szCs w:val="21"/>
              </w:rPr>
            </w:pPr>
            <w:r>
              <w:rPr>
                <w:rFonts w:hint="eastAsia"/>
                <w:b/>
                <w:bCs/>
                <w:szCs w:val="21"/>
              </w:rPr>
              <w:t>占比</w:t>
            </w:r>
          </w:p>
        </w:tc>
      </w:tr>
      <w:tr w14:paraId="62CE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661B8C">
            <w:pPr>
              <w:rPr>
                <w:szCs w:val="21"/>
              </w:rPr>
            </w:pPr>
            <w:r>
              <w:rPr>
                <w:rFonts w:hint="eastAsia"/>
                <w:szCs w:val="21"/>
              </w:rPr>
              <w:t>平时作业</w:t>
            </w:r>
          </w:p>
        </w:tc>
        <w:tc>
          <w:tcPr>
            <w:tcW w:w="7141" w:type="dxa"/>
            <w:vAlign w:val="center"/>
          </w:tcPr>
          <w:p w14:paraId="423B9876">
            <w:pPr>
              <w:spacing w:line="264" w:lineRule="auto"/>
              <w:jc w:val="left"/>
              <w:rPr>
                <w:szCs w:val="21"/>
              </w:rPr>
            </w:pPr>
            <w:r>
              <w:rPr>
                <w:rFonts w:hint="eastAsia"/>
                <w:szCs w:val="21"/>
              </w:rPr>
              <w:t>课后完成练习题，主要考核学生对每节课知识点的复习、理解和掌握程度，计算全部作业的平均成绩。</w:t>
            </w:r>
          </w:p>
        </w:tc>
        <w:tc>
          <w:tcPr>
            <w:tcW w:w="0" w:type="auto"/>
            <w:vAlign w:val="center"/>
          </w:tcPr>
          <w:p w14:paraId="0354AF1A">
            <w:pPr>
              <w:jc w:val="center"/>
              <w:rPr>
                <w:szCs w:val="21"/>
              </w:rPr>
            </w:pPr>
            <w:r>
              <w:rPr>
                <w:rFonts w:hint="eastAsia"/>
                <w:szCs w:val="21"/>
              </w:rPr>
              <w:t>10%</w:t>
            </w:r>
          </w:p>
        </w:tc>
      </w:tr>
      <w:tr w14:paraId="68EE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B0D47B0">
            <w:pPr>
              <w:rPr>
                <w:szCs w:val="21"/>
              </w:rPr>
            </w:pPr>
            <w:r>
              <w:rPr>
                <w:rFonts w:hint="eastAsia"/>
                <w:szCs w:val="21"/>
              </w:rPr>
              <w:t>课堂表现</w:t>
            </w:r>
          </w:p>
        </w:tc>
        <w:tc>
          <w:tcPr>
            <w:tcW w:w="7141" w:type="dxa"/>
            <w:vAlign w:val="center"/>
          </w:tcPr>
          <w:p w14:paraId="6783DE7C">
            <w:pPr>
              <w:widowControl/>
              <w:spacing w:line="264" w:lineRule="auto"/>
              <w:jc w:val="left"/>
              <w:rPr>
                <w:szCs w:val="21"/>
              </w:rPr>
            </w:pPr>
            <w:r>
              <w:rPr>
                <w:rFonts w:hint="eastAsia" w:ascii="宋体" w:hAnsi="宋体" w:cs="宋体"/>
                <w:color w:val="000000"/>
                <w:kern w:val="0"/>
                <w:szCs w:val="21"/>
                <w:lang w:bidi="ar"/>
              </w:rPr>
              <w:t>课堂考勤，全勤不扣分，迟到每3次扣1分，病假和事假扣2分，旷课扣5分，超过三分之一取消考试资格；以随机的形式，在课堂上根据讨论的参与度，问题回答的表现，主要考核学生课堂的听课效果和课后及时复习情况。</w:t>
            </w:r>
          </w:p>
        </w:tc>
        <w:tc>
          <w:tcPr>
            <w:tcW w:w="0" w:type="auto"/>
            <w:vAlign w:val="center"/>
          </w:tcPr>
          <w:p w14:paraId="48FB3A0D">
            <w:pPr>
              <w:jc w:val="center"/>
              <w:rPr>
                <w:szCs w:val="21"/>
              </w:rPr>
            </w:pPr>
            <w:r>
              <w:rPr>
                <w:rFonts w:hint="eastAsia"/>
                <w:szCs w:val="21"/>
              </w:rPr>
              <w:t>20%</w:t>
            </w:r>
          </w:p>
        </w:tc>
      </w:tr>
      <w:tr w14:paraId="6C90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E2DB3E0">
            <w:pPr>
              <w:rPr>
                <w:szCs w:val="21"/>
              </w:rPr>
            </w:pPr>
            <w:r>
              <w:rPr>
                <w:rFonts w:hint="eastAsia"/>
                <w:szCs w:val="21"/>
              </w:rPr>
              <w:t>课内实践</w:t>
            </w:r>
          </w:p>
        </w:tc>
        <w:tc>
          <w:tcPr>
            <w:tcW w:w="7141" w:type="dxa"/>
            <w:vAlign w:val="center"/>
          </w:tcPr>
          <w:p w14:paraId="2A5A609C">
            <w:pPr>
              <w:widowControl/>
              <w:spacing w:line="264" w:lineRule="auto"/>
              <w:jc w:val="left"/>
              <w:rPr>
                <w:rFonts w:hint="eastAsia" w:ascii="宋体" w:hAnsi="宋体" w:cs="宋体"/>
                <w:color w:val="000000"/>
                <w:kern w:val="0"/>
                <w:szCs w:val="21"/>
                <w:lang w:bidi="ar"/>
              </w:rPr>
            </w:pPr>
            <w:r>
              <w:rPr>
                <w:rFonts w:hint="eastAsia" w:ascii="宋体" w:hAnsi="宋体" w:cs="宋体"/>
                <w:color w:val="000000"/>
                <w:kern w:val="0"/>
                <w:szCs w:val="21"/>
                <w:lang w:bidi="ar"/>
              </w:rPr>
              <w:t>一是观摩辩论赛推荐、辩题设计，这两项根据发言稿和课堂表现由教师打分，辩论赛则分组进行，由自评、组内互评、组件互评和教师评分，三次活动的平均分作为得分</w:t>
            </w:r>
          </w:p>
        </w:tc>
        <w:tc>
          <w:tcPr>
            <w:tcW w:w="0" w:type="auto"/>
            <w:vAlign w:val="center"/>
          </w:tcPr>
          <w:p w14:paraId="6838F80B">
            <w:pPr>
              <w:jc w:val="center"/>
              <w:rPr>
                <w:szCs w:val="21"/>
              </w:rPr>
            </w:pPr>
            <w:r>
              <w:rPr>
                <w:rFonts w:hint="eastAsia"/>
                <w:szCs w:val="21"/>
              </w:rPr>
              <w:t>30%</w:t>
            </w:r>
          </w:p>
        </w:tc>
      </w:tr>
      <w:tr w14:paraId="6841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73CF07">
            <w:pPr>
              <w:rPr>
                <w:szCs w:val="21"/>
              </w:rPr>
            </w:pPr>
            <w:r>
              <w:rPr>
                <w:rFonts w:hint="eastAsia"/>
                <w:szCs w:val="21"/>
              </w:rPr>
              <w:t>期末考试</w:t>
            </w:r>
          </w:p>
        </w:tc>
        <w:tc>
          <w:tcPr>
            <w:tcW w:w="7141" w:type="dxa"/>
            <w:vAlign w:val="center"/>
          </w:tcPr>
          <w:p w14:paraId="0CD9FAF7">
            <w:pPr>
              <w:spacing w:line="264" w:lineRule="auto"/>
              <w:jc w:val="left"/>
              <w:rPr>
                <w:szCs w:val="21"/>
              </w:rPr>
            </w:pPr>
            <w:r>
              <w:rPr>
                <w:color w:val="000000"/>
                <w:szCs w:val="21"/>
              </w:rPr>
              <w:t>试卷</w:t>
            </w:r>
            <w:r>
              <w:rPr>
                <w:rFonts w:hint="eastAsia"/>
                <w:color w:val="000000"/>
                <w:szCs w:val="21"/>
              </w:rPr>
              <w:t>为开卷考，</w:t>
            </w:r>
            <w:r>
              <w:rPr>
                <w:color w:val="000000"/>
                <w:szCs w:val="21"/>
              </w:rPr>
              <w:t>题型包括</w:t>
            </w:r>
            <w:r>
              <w:rPr>
                <w:rFonts w:hint="eastAsia"/>
                <w:color w:val="000000"/>
                <w:szCs w:val="21"/>
              </w:rPr>
              <w:t>选择题</w:t>
            </w:r>
            <w:r>
              <w:rPr>
                <w:color w:val="000000"/>
                <w:szCs w:val="21"/>
              </w:rPr>
              <w:t>、</w:t>
            </w:r>
            <w:r>
              <w:rPr>
                <w:rFonts w:hint="eastAsia"/>
                <w:color w:val="000000"/>
                <w:szCs w:val="21"/>
              </w:rPr>
              <w:t>简答题、论述题</w:t>
            </w:r>
            <w:r>
              <w:rPr>
                <w:color w:val="000000"/>
                <w:szCs w:val="21"/>
              </w:rPr>
              <w:t>等。其中考核</w:t>
            </w:r>
            <w:r>
              <w:rPr>
                <w:rFonts w:hint="eastAsia"/>
                <w:color w:val="000000"/>
                <w:szCs w:val="21"/>
              </w:rPr>
              <w:t>逻辑学基础知识的客观题占3</w:t>
            </w:r>
            <w:r>
              <w:rPr>
                <w:color w:val="000000"/>
                <w:szCs w:val="21"/>
              </w:rPr>
              <w:t>0</w:t>
            </w:r>
            <w:r>
              <w:rPr>
                <w:rFonts w:hint="eastAsia"/>
                <w:color w:val="000000"/>
                <w:szCs w:val="21"/>
              </w:rPr>
              <w:t>%；考核学生运用逻辑学知识进行分析能力的题型占6</w:t>
            </w:r>
            <w:r>
              <w:rPr>
                <w:color w:val="000000"/>
                <w:szCs w:val="21"/>
              </w:rPr>
              <w:t>0</w:t>
            </w:r>
            <w:r>
              <w:rPr>
                <w:rFonts w:hint="eastAsia"/>
                <w:color w:val="000000"/>
                <w:szCs w:val="21"/>
              </w:rPr>
              <w:t>%；考核学生运用逻辑学能力解决问题能力的题型占2</w:t>
            </w:r>
            <w:r>
              <w:rPr>
                <w:color w:val="000000"/>
                <w:szCs w:val="21"/>
              </w:rPr>
              <w:t>0</w:t>
            </w:r>
            <w:r>
              <w:rPr>
                <w:rFonts w:hint="eastAsia"/>
                <w:color w:val="000000"/>
                <w:szCs w:val="21"/>
              </w:rPr>
              <w:t>%。</w:t>
            </w:r>
          </w:p>
        </w:tc>
        <w:tc>
          <w:tcPr>
            <w:tcW w:w="0" w:type="auto"/>
            <w:vAlign w:val="center"/>
          </w:tcPr>
          <w:p w14:paraId="217D8AC8">
            <w:pPr>
              <w:jc w:val="center"/>
              <w:rPr>
                <w:szCs w:val="21"/>
              </w:rPr>
            </w:pPr>
            <w:r>
              <w:rPr>
                <w:rFonts w:hint="eastAsia"/>
                <w:szCs w:val="21"/>
              </w:rPr>
              <w:t>40%</w:t>
            </w:r>
          </w:p>
        </w:tc>
      </w:tr>
      <w:tr w14:paraId="36C0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3031831">
            <w:pPr>
              <w:jc w:val="center"/>
              <w:rPr>
                <w:b/>
                <w:bCs/>
                <w:szCs w:val="21"/>
              </w:rPr>
            </w:pPr>
            <w:r>
              <w:rPr>
                <w:rFonts w:hint="eastAsia"/>
                <w:b/>
                <w:bCs/>
                <w:szCs w:val="21"/>
              </w:rPr>
              <w:t>合计</w:t>
            </w:r>
          </w:p>
        </w:tc>
        <w:tc>
          <w:tcPr>
            <w:tcW w:w="0" w:type="auto"/>
            <w:vAlign w:val="center"/>
          </w:tcPr>
          <w:p w14:paraId="68C3E5E4">
            <w:pPr>
              <w:jc w:val="left"/>
              <w:rPr>
                <w:szCs w:val="21"/>
              </w:rPr>
            </w:pPr>
          </w:p>
        </w:tc>
        <w:tc>
          <w:tcPr>
            <w:tcW w:w="0" w:type="auto"/>
            <w:vAlign w:val="center"/>
          </w:tcPr>
          <w:p w14:paraId="3E5750B7">
            <w:pPr>
              <w:jc w:val="center"/>
              <w:rPr>
                <w:szCs w:val="21"/>
              </w:rPr>
            </w:pPr>
            <w:r>
              <w:rPr>
                <w:rFonts w:hint="eastAsia"/>
                <w:szCs w:val="21"/>
              </w:rPr>
              <w:t>100%</w:t>
            </w:r>
          </w:p>
        </w:tc>
      </w:tr>
    </w:tbl>
    <w:p w14:paraId="0DCD41AB">
      <w:pPr>
        <w:spacing w:line="360" w:lineRule="auto"/>
        <w:jc w:val="left"/>
        <w:rPr>
          <w:rFonts w:hint="eastAsia" w:ascii="宋体" w:hAnsi="宋体"/>
          <w:b/>
          <w:color w:val="000000"/>
          <w:szCs w:val="21"/>
        </w:rPr>
      </w:pPr>
      <w:r>
        <w:rPr>
          <w:rFonts w:hint="eastAsia" w:ascii="宋体" w:hAnsi="宋体"/>
          <w:b/>
          <w:color w:val="000000"/>
          <w:szCs w:val="21"/>
        </w:rPr>
        <w:t>（三）课程目标达成度计算方法</w:t>
      </w:r>
    </w:p>
    <w:p w14:paraId="165CF924">
      <w:pPr>
        <w:spacing w:line="360" w:lineRule="auto"/>
        <w:ind w:firstLine="411" w:firstLineChars="196"/>
        <w:jc w:val="left"/>
        <w:rPr>
          <w:rFonts w:hint="eastAsia" w:ascii="宋体" w:hAnsi="宋体"/>
          <w:color w:val="000000"/>
          <w:szCs w:val="21"/>
        </w:rPr>
      </w:pPr>
      <w:r>
        <w:rPr>
          <w:rFonts w:hint="eastAsia" w:ascii="宋体" w:hAnsi="宋体"/>
          <w:color w:val="000000"/>
          <w:szCs w:val="21"/>
        </w:rPr>
        <w:t>所有课程目标均需大于等于</w:t>
      </w:r>
      <w:r>
        <w:rPr>
          <w:rFonts w:ascii="宋体" w:hAnsi="宋体"/>
          <w:color w:val="000000"/>
          <w:szCs w:val="21"/>
        </w:rPr>
        <w:t>0.6，否则总评成绩不及格，需要补考或重修。每门课程目标总体达成度计算方法如下：</w:t>
      </w:r>
    </w:p>
    <w:p w14:paraId="07CEA084">
      <w:pPr>
        <w:spacing w:line="360" w:lineRule="auto"/>
        <w:ind w:firstLine="420" w:firstLineChars="200"/>
        <w:rPr>
          <w:b/>
          <w:sz w:val="28"/>
          <w:szCs w:val="28"/>
        </w:rPr>
      </w:pPr>
      <w:r>
        <w:rPr>
          <w:rFonts w:ascii="宋体" w:hAnsi="宋体"/>
          <w:color w:val="000000"/>
          <w:szCs w:val="21"/>
        </w:rPr>
        <w:object>
          <v:shape id="_x0000_i1069"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69" DrawAspect="Content" ObjectID="_1468075769" r:id="rId55">
            <o:LockedField>false</o:LockedField>
          </o:OLEObject>
        </w:object>
      </w:r>
    </w:p>
    <w:p w14:paraId="1CF0918A">
      <w:pPr>
        <w:spacing w:line="360" w:lineRule="auto"/>
        <w:ind w:firstLine="422" w:firstLineChars="200"/>
        <w:rPr>
          <w:b/>
          <w:szCs w:val="21"/>
        </w:rPr>
      </w:pPr>
      <w:r>
        <w:rPr>
          <w:rFonts w:hint="eastAsia"/>
          <w:b/>
          <w:szCs w:val="21"/>
        </w:rPr>
        <w:t>六</w:t>
      </w:r>
      <w:r>
        <w:rPr>
          <w:b/>
          <w:szCs w:val="21"/>
        </w:rPr>
        <w:t>、</w:t>
      </w:r>
      <w:r>
        <w:rPr>
          <w:rFonts w:hint="eastAsia"/>
          <w:b/>
          <w:szCs w:val="21"/>
        </w:rPr>
        <w:t>有关说明</w:t>
      </w:r>
    </w:p>
    <w:p w14:paraId="540C2DB4">
      <w:pPr>
        <w:spacing w:line="360" w:lineRule="auto"/>
        <w:ind w:firstLine="422" w:firstLineChars="200"/>
        <w:rPr>
          <w:b/>
          <w:color w:val="000000"/>
          <w:szCs w:val="21"/>
        </w:rPr>
      </w:pPr>
      <w:r>
        <w:rPr>
          <w:rFonts w:hint="eastAsia"/>
          <w:b/>
          <w:color w:val="000000"/>
          <w:szCs w:val="21"/>
        </w:rPr>
        <w:t>（一）持续改进</w:t>
      </w:r>
    </w:p>
    <w:p w14:paraId="724232AC">
      <w:pPr>
        <w:spacing w:line="360" w:lineRule="auto"/>
        <w:ind w:firstLine="420" w:firstLineChars="200"/>
        <w:rPr>
          <w:szCs w:val="21"/>
        </w:rPr>
      </w:pPr>
      <w:r>
        <w:rPr>
          <w:szCs w:val="21"/>
        </w:rPr>
        <w:t>本课程根据学生作业、课堂讨论、实验环节、平时考核情况和学生、教学督导等</w:t>
      </w:r>
      <w:r>
        <w:rPr>
          <w:rFonts w:hint="eastAsia"/>
          <w:szCs w:val="21"/>
        </w:rPr>
        <w:t>的</w:t>
      </w:r>
      <w:r>
        <w:rPr>
          <w:szCs w:val="21"/>
        </w:rPr>
        <w:t>反馈，及时对教学中</w:t>
      </w:r>
      <w:r>
        <w:rPr>
          <w:rFonts w:hint="eastAsia"/>
          <w:szCs w:val="21"/>
        </w:rPr>
        <w:t>的</w:t>
      </w:r>
      <w:r>
        <w:rPr>
          <w:szCs w:val="21"/>
        </w:rPr>
        <w:t>不足之处进行改进，并在下一轮课程教学中</w:t>
      </w:r>
      <w:r>
        <w:rPr>
          <w:rFonts w:hint="eastAsia"/>
          <w:szCs w:val="21"/>
        </w:rPr>
        <w:t>整改完善</w:t>
      </w:r>
      <w:r>
        <w:rPr>
          <w:szCs w:val="21"/>
        </w:rPr>
        <w:t>，确保相应毕业要求指标点达成。</w:t>
      </w:r>
    </w:p>
    <w:p w14:paraId="709ED9FB">
      <w:pPr>
        <w:spacing w:line="360" w:lineRule="auto"/>
        <w:ind w:firstLine="422" w:firstLineChars="200"/>
        <w:rPr>
          <w:b/>
          <w:bCs/>
          <w:szCs w:val="21"/>
        </w:rPr>
      </w:pPr>
      <w:r>
        <w:rPr>
          <w:rFonts w:hint="eastAsia"/>
          <w:b/>
          <w:bCs/>
          <w:szCs w:val="21"/>
        </w:rPr>
        <w:t>（二）建议教材</w:t>
      </w:r>
    </w:p>
    <w:p w14:paraId="191D68CC">
      <w:pPr>
        <w:spacing w:line="360" w:lineRule="auto"/>
        <w:ind w:firstLine="422" w:firstLineChars="200"/>
        <w:rPr>
          <w:b/>
          <w:kern w:val="0"/>
          <w:szCs w:val="21"/>
        </w:rPr>
      </w:pPr>
      <w:r>
        <w:rPr>
          <w:rFonts w:hint="eastAsia"/>
          <w:b/>
          <w:bCs/>
          <w:kern w:val="0"/>
          <w:szCs w:val="21"/>
        </w:rPr>
        <w:t>1.</w:t>
      </w:r>
      <w:r>
        <w:rPr>
          <w:rFonts w:hint="eastAsia"/>
          <w:bCs/>
          <w:kern w:val="0"/>
          <w:szCs w:val="21"/>
        </w:rPr>
        <w:t>何向东主编，《逻辑学》，高等教育出版社，2019</w:t>
      </w:r>
    </w:p>
    <w:p w14:paraId="184A2245">
      <w:pPr>
        <w:spacing w:line="360" w:lineRule="auto"/>
        <w:ind w:firstLine="422" w:firstLineChars="200"/>
        <w:rPr>
          <w:szCs w:val="21"/>
        </w:rPr>
      </w:pPr>
      <w:r>
        <w:rPr>
          <w:rFonts w:hint="eastAsia"/>
          <w:b/>
          <w:kern w:val="0"/>
          <w:szCs w:val="21"/>
        </w:rPr>
        <w:t>2.</w:t>
      </w:r>
      <w:r>
        <w:rPr>
          <w:rFonts w:hint="eastAsia"/>
          <w:kern w:val="0"/>
          <w:szCs w:val="21"/>
        </w:rPr>
        <w:t>华东师范大学哲学系逻辑学教研室，《形式逻辑》（第五版），华东师范大学出版社，2</w:t>
      </w:r>
      <w:r>
        <w:rPr>
          <w:kern w:val="0"/>
          <w:szCs w:val="21"/>
        </w:rPr>
        <w:t>016</w:t>
      </w:r>
    </w:p>
    <w:p w14:paraId="6F116178">
      <w:pPr>
        <w:spacing w:line="360" w:lineRule="auto"/>
        <w:ind w:firstLine="422" w:firstLineChars="200"/>
        <w:rPr>
          <w:b/>
          <w:color w:val="000000"/>
          <w:szCs w:val="21"/>
        </w:rPr>
      </w:pPr>
      <w:r>
        <w:rPr>
          <w:rFonts w:hint="eastAsia"/>
          <w:b/>
          <w:color w:val="000000"/>
          <w:szCs w:val="21"/>
        </w:rPr>
        <w:t>（三）</w:t>
      </w:r>
      <w:r>
        <w:rPr>
          <w:b/>
          <w:color w:val="000000"/>
          <w:szCs w:val="21"/>
        </w:rPr>
        <w:t>参考书目</w:t>
      </w:r>
    </w:p>
    <w:p w14:paraId="08D51F79">
      <w:pPr>
        <w:autoSpaceDE w:val="0"/>
        <w:autoSpaceDN w:val="0"/>
        <w:adjustRightInd w:val="0"/>
        <w:spacing w:line="360" w:lineRule="auto"/>
        <w:ind w:firstLine="420" w:firstLineChars="200"/>
        <w:jc w:val="left"/>
        <w:rPr>
          <w:kern w:val="0"/>
          <w:szCs w:val="21"/>
        </w:rPr>
      </w:pPr>
      <w:r>
        <w:rPr>
          <w:rFonts w:hint="eastAsia"/>
          <w:kern w:val="0"/>
          <w:szCs w:val="21"/>
        </w:rPr>
        <w:t>1．蔡贤浩，宋荣主编，形式逻辑，华中师范大学出版社，2015</w:t>
      </w:r>
    </w:p>
    <w:p w14:paraId="73252791">
      <w:pPr>
        <w:autoSpaceDE w:val="0"/>
        <w:autoSpaceDN w:val="0"/>
        <w:adjustRightInd w:val="0"/>
        <w:spacing w:line="360" w:lineRule="auto"/>
        <w:ind w:firstLine="420" w:firstLineChars="200"/>
        <w:jc w:val="left"/>
        <w:rPr>
          <w:kern w:val="0"/>
          <w:szCs w:val="21"/>
        </w:rPr>
      </w:pPr>
      <w:r>
        <w:rPr>
          <w:kern w:val="0"/>
          <w:szCs w:val="21"/>
        </w:rPr>
        <w:t>2</w:t>
      </w:r>
      <w:r>
        <w:rPr>
          <w:rFonts w:hint="eastAsia"/>
          <w:kern w:val="0"/>
          <w:szCs w:val="21"/>
        </w:rPr>
        <w:t>．[美]欧文·M·柯匹 卡尔·科恩，逻辑学导论（第13版），中国人民大学出版社 ，20</w:t>
      </w:r>
      <w:r>
        <w:rPr>
          <w:kern w:val="0"/>
          <w:szCs w:val="21"/>
        </w:rPr>
        <w:t>21</w:t>
      </w:r>
    </w:p>
    <w:p w14:paraId="736BD1DF">
      <w:pPr>
        <w:autoSpaceDE w:val="0"/>
        <w:autoSpaceDN w:val="0"/>
        <w:adjustRightInd w:val="0"/>
        <w:spacing w:line="360" w:lineRule="auto"/>
        <w:ind w:firstLine="420" w:firstLineChars="200"/>
        <w:jc w:val="left"/>
        <w:rPr>
          <w:kern w:val="0"/>
          <w:szCs w:val="21"/>
        </w:rPr>
      </w:pPr>
      <w:r>
        <w:rPr>
          <w:kern w:val="0"/>
          <w:szCs w:val="21"/>
        </w:rPr>
        <w:t>3</w:t>
      </w:r>
      <w:r>
        <w:rPr>
          <w:rFonts w:hint="eastAsia"/>
          <w:kern w:val="0"/>
          <w:szCs w:val="21"/>
        </w:rPr>
        <w:t>．陈波著，逻辑学十五讲（第二版），北京大学出版社，2016</w:t>
      </w:r>
    </w:p>
    <w:p w14:paraId="0A5F3CF2">
      <w:pPr>
        <w:autoSpaceDE w:val="0"/>
        <w:autoSpaceDN w:val="0"/>
        <w:adjustRightInd w:val="0"/>
        <w:spacing w:line="360" w:lineRule="auto"/>
        <w:ind w:firstLine="420" w:firstLineChars="200"/>
        <w:jc w:val="left"/>
        <w:rPr>
          <w:kern w:val="0"/>
          <w:szCs w:val="21"/>
        </w:rPr>
      </w:pPr>
      <w:r>
        <w:rPr>
          <w:kern w:val="0"/>
          <w:szCs w:val="21"/>
        </w:rPr>
        <w:t>4</w:t>
      </w:r>
      <w:r>
        <w:rPr>
          <w:rFonts w:hint="eastAsia"/>
          <w:kern w:val="0"/>
          <w:szCs w:val="21"/>
        </w:rPr>
        <w:t>．丁毓峰编著，逻辑学原来如此有趣，化学工业出版社，2015</w:t>
      </w:r>
      <w:r>
        <w:rPr>
          <w:kern w:val="0"/>
          <w:szCs w:val="21"/>
        </w:rPr>
        <w:t xml:space="preserve"> </w:t>
      </w:r>
    </w:p>
    <w:p w14:paraId="02B1B6CE">
      <w:pPr>
        <w:autoSpaceDE w:val="0"/>
        <w:autoSpaceDN w:val="0"/>
        <w:adjustRightInd w:val="0"/>
        <w:spacing w:line="360" w:lineRule="auto"/>
        <w:ind w:firstLine="420" w:firstLineChars="200"/>
        <w:jc w:val="left"/>
        <w:rPr>
          <w:kern w:val="0"/>
          <w:szCs w:val="21"/>
        </w:rPr>
      </w:pPr>
      <w:r>
        <w:rPr>
          <w:kern w:val="0"/>
          <w:szCs w:val="21"/>
        </w:rPr>
        <w:t>5</w:t>
      </w:r>
      <w:r>
        <w:rPr>
          <w:rFonts w:hint="eastAsia"/>
          <w:kern w:val="0"/>
          <w:szCs w:val="21"/>
        </w:rPr>
        <w:t>．董桂萍著，逻辑学原来这么有趣，化学工业出版社，2016</w:t>
      </w:r>
    </w:p>
    <w:p w14:paraId="76BEBAB9">
      <w:pPr>
        <w:autoSpaceDE w:val="0"/>
        <w:autoSpaceDN w:val="0"/>
        <w:adjustRightInd w:val="0"/>
        <w:spacing w:line="360" w:lineRule="auto"/>
        <w:ind w:firstLine="420" w:firstLineChars="200"/>
        <w:jc w:val="left"/>
        <w:rPr>
          <w:kern w:val="0"/>
          <w:szCs w:val="21"/>
        </w:rPr>
      </w:pPr>
      <w:r>
        <w:rPr>
          <w:kern w:val="0"/>
          <w:szCs w:val="21"/>
        </w:rPr>
        <w:t>6</w:t>
      </w:r>
      <w:r>
        <w:rPr>
          <w:rFonts w:hint="eastAsia"/>
          <w:kern w:val="0"/>
          <w:szCs w:val="21"/>
        </w:rPr>
        <w:t>．兰晓华著，逻辑学入门很简单，人民邮电出版社，2017</w:t>
      </w:r>
      <w:r>
        <w:rPr>
          <w:kern w:val="0"/>
          <w:szCs w:val="21"/>
        </w:rPr>
        <w:t xml:space="preserve"> </w:t>
      </w:r>
    </w:p>
    <w:p w14:paraId="0E0E4CC4">
      <w:pPr>
        <w:autoSpaceDE w:val="0"/>
        <w:autoSpaceDN w:val="0"/>
        <w:adjustRightInd w:val="0"/>
        <w:spacing w:line="360" w:lineRule="auto"/>
        <w:ind w:firstLine="420" w:firstLineChars="200"/>
        <w:jc w:val="left"/>
        <w:rPr>
          <w:kern w:val="0"/>
          <w:szCs w:val="21"/>
        </w:rPr>
      </w:pPr>
    </w:p>
    <w:p w14:paraId="55A3A17E">
      <w:pPr>
        <w:autoSpaceDE w:val="0"/>
        <w:autoSpaceDN w:val="0"/>
        <w:adjustRightInd w:val="0"/>
        <w:spacing w:line="360" w:lineRule="auto"/>
        <w:ind w:firstLine="420" w:firstLineChars="200"/>
        <w:jc w:val="left"/>
        <w:rPr>
          <w:kern w:val="0"/>
          <w:szCs w:val="21"/>
        </w:rPr>
      </w:pPr>
    </w:p>
    <w:p w14:paraId="017731A6">
      <w:pPr>
        <w:autoSpaceDE w:val="0"/>
        <w:autoSpaceDN w:val="0"/>
        <w:adjustRightInd w:val="0"/>
        <w:spacing w:line="360" w:lineRule="auto"/>
        <w:ind w:firstLine="6405" w:firstLineChars="3050"/>
        <w:jc w:val="left"/>
        <w:rPr>
          <w:kern w:val="0"/>
          <w:szCs w:val="21"/>
        </w:rPr>
      </w:pPr>
      <w:r>
        <w:rPr>
          <w:kern w:val="0"/>
          <w:szCs w:val="21"/>
        </w:rPr>
        <w:t xml:space="preserve">执笔人： </w:t>
      </w:r>
      <w:r>
        <w:rPr>
          <w:rFonts w:hint="eastAsia"/>
          <w:kern w:val="0"/>
          <w:szCs w:val="21"/>
        </w:rPr>
        <w:t>缪周芬</w:t>
      </w:r>
    </w:p>
    <w:p w14:paraId="54B85CBC">
      <w:pPr>
        <w:autoSpaceDE w:val="0"/>
        <w:autoSpaceDN w:val="0"/>
        <w:adjustRightInd w:val="0"/>
        <w:spacing w:line="360" w:lineRule="auto"/>
        <w:ind w:firstLine="6405" w:firstLineChars="3050"/>
        <w:jc w:val="left"/>
        <w:rPr>
          <w:kern w:val="0"/>
          <w:szCs w:val="21"/>
        </w:rPr>
      </w:pPr>
      <w:r>
        <w:rPr>
          <w:kern w:val="0"/>
          <w:szCs w:val="21"/>
        </w:rPr>
        <w:t>审定人：</w:t>
      </w:r>
      <w:r>
        <w:rPr>
          <w:rFonts w:hint="eastAsia"/>
          <w:kern w:val="0"/>
          <w:szCs w:val="21"/>
        </w:rPr>
        <w:t>王  健</w:t>
      </w:r>
    </w:p>
    <w:p w14:paraId="3FCA7150">
      <w:pPr>
        <w:autoSpaceDE w:val="0"/>
        <w:autoSpaceDN w:val="0"/>
        <w:adjustRightInd w:val="0"/>
        <w:spacing w:line="360" w:lineRule="auto"/>
        <w:ind w:firstLine="6405" w:firstLineChars="3050"/>
        <w:jc w:val="left"/>
        <w:rPr>
          <w:kern w:val="0"/>
          <w:szCs w:val="21"/>
        </w:rPr>
      </w:pPr>
      <w:r>
        <w:rPr>
          <w:rFonts w:hint="eastAsia"/>
          <w:kern w:val="0"/>
          <w:szCs w:val="21"/>
        </w:rPr>
        <w:t>审批</w:t>
      </w:r>
      <w:r>
        <w:rPr>
          <w:kern w:val="0"/>
          <w:szCs w:val="21"/>
        </w:rPr>
        <w:t>人：</w:t>
      </w:r>
      <w:r>
        <w:rPr>
          <w:rFonts w:hint="eastAsia"/>
          <w:kern w:val="0"/>
          <w:szCs w:val="21"/>
        </w:rPr>
        <w:t>张志欣</w:t>
      </w:r>
    </w:p>
    <w:p w14:paraId="5469E746">
      <w:pPr>
        <w:autoSpaceDE w:val="0"/>
        <w:autoSpaceDN w:val="0"/>
        <w:adjustRightInd w:val="0"/>
        <w:spacing w:line="360" w:lineRule="auto"/>
        <w:ind w:right="210"/>
        <w:jc w:val="right"/>
        <w:rPr>
          <w:kern w:val="0"/>
          <w:szCs w:val="21"/>
        </w:rPr>
      </w:pPr>
      <w:r>
        <w:rPr>
          <w:rFonts w:hint="eastAsia"/>
          <w:kern w:val="0"/>
          <w:szCs w:val="21"/>
        </w:rPr>
        <w:t>批准时间：2024年8月30日</w:t>
      </w:r>
    </w:p>
    <w:p w14:paraId="7DDA40C4">
      <w:pPr>
        <w:rPr>
          <w:rFonts w:hint="eastAsia" w:ascii="等线" w:hAnsi="等线" w:eastAsia="等线" w:cs="等线"/>
          <w:b/>
          <w:bCs/>
          <w:sz w:val="44"/>
          <w:szCs w:val="44"/>
        </w:rPr>
      </w:pPr>
      <w:r>
        <w:rPr>
          <w:rFonts w:hint="eastAsia" w:ascii="等线" w:hAnsi="等线" w:eastAsia="等线" w:cs="等线"/>
          <w:b/>
          <w:bCs/>
          <w:sz w:val="44"/>
          <w:szCs w:val="44"/>
        </w:rPr>
        <w:br w:type="page"/>
      </w:r>
    </w:p>
    <w:p w14:paraId="38F3A553">
      <w:pPr>
        <w:pStyle w:val="2"/>
        <w:rPr>
          <w:rFonts w:ascii="Times New Roman" w:hAnsi="Times New Roman" w:eastAsia="宋体" w:cs="Times New Roman"/>
          <w:szCs w:val="44"/>
        </w:rPr>
      </w:pPr>
      <w:bookmarkStart w:id="243" w:name="_Toc21553"/>
      <w:bookmarkStart w:id="244" w:name="_Toc32299"/>
      <w:r>
        <w:rPr>
          <w:rFonts w:hint="eastAsia"/>
        </w:rPr>
        <w:t>《数学史》课程教学大纲</w:t>
      </w:r>
      <w:bookmarkEnd w:id="243"/>
    </w:p>
    <w:p w14:paraId="761A4062">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Pedagogical Principles</w:t>
      </w:r>
      <w:r>
        <w:rPr>
          <w:rFonts w:ascii="Times New Roman" w:hAnsi="Times New Roman" w:eastAsia="宋体" w:cs="Times New Roman"/>
          <w:b/>
          <w:bCs/>
          <w:sz w:val="28"/>
          <w:szCs w:val="28"/>
        </w:rPr>
        <w:t>）</w:t>
      </w:r>
    </w:p>
    <w:p w14:paraId="6824EAA2">
      <w:pPr>
        <w:spacing w:line="360" w:lineRule="auto"/>
        <w:jc w:val="center"/>
        <w:rPr>
          <w:rFonts w:ascii="Times New Roman" w:hAnsi="Times New Roman" w:eastAsia="宋体" w:cs="Times New Roman"/>
          <w:bCs/>
          <w:sz w:val="30"/>
          <w:szCs w:val="30"/>
        </w:rPr>
      </w:pPr>
    </w:p>
    <w:p w14:paraId="6B4A2C94">
      <w:pPr>
        <w:spacing w:line="360" w:lineRule="auto"/>
        <w:ind w:firstLine="482" w:firstLineChars="200"/>
        <w:jc w:val="left"/>
        <w:rPr>
          <w:rFonts w:ascii="Times New Roman" w:hAnsi="Times New Roman" w:eastAsia="宋体" w:cs="Times New Roman"/>
          <w:b/>
          <w:bCs/>
          <w:sz w:val="30"/>
        </w:rPr>
      </w:pPr>
      <w:r>
        <w:rPr>
          <w:rFonts w:hint="eastAsia" w:ascii="Times New Roman" w:hAnsi="Times New Roman" w:eastAsia="宋体" w:cs="Times New Roman"/>
          <w:b/>
          <w:sz w:val="24"/>
        </w:rPr>
        <w:t>课程名称：数学史</w:t>
      </w:r>
    </w:p>
    <w:p w14:paraId="179D20E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课程代码：0821020</w:t>
      </w:r>
    </w:p>
    <w:p w14:paraId="0204109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70FC4B9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时：32（其中：讲授学时32  ， 实验学时0  ，上机学时0）</w:t>
      </w:r>
    </w:p>
    <w:p w14:paraId="19EBB8B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先修课程：数学分析，高等代数，空间解析几何</w:t>
      </w:r>
    </w:p>
    <w:p w14:paraId="031945E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适用专业：小学教育（理）专业</w:t>
      </w:r>
    </w:p>
    <w:p w14:paraId="7B9C76F3">
      <w:pPr>
        <w:spacing w:line="360" w:lineRule="auto"/>
        <w:jc w:val="left"/>
        <w:rPr>
          <w:rFonts w:ascii="Times New Roman" w:hAnsi="Times New Roman" w:eastAsia="宋体" w:cs="Times New Roman"/>
          <w:b/>
          <w:sz w:val="24"/>
        </w:rPr>
      </w:pPr>
    </w:p>
    <w:p w14:paraId="3C8C5106">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6E0D309D">
      <w:pPr>
        <w:spacing w:line="360" w:lineRule="auto"/>
        <w:jc w:val="left"/>
        <w:rPr>
          <w:rFonts w:hint="eastAsia" w:ascii="宋体" w:hAnsi="宋体" w:eastAsia="宋体" w:cs="Times New Roman"/>
          <w:bCs/>
          <w:color w:val="000000"/>
          <w:sz w:val="24"/>
        </w:rPr>
      </w:pPr>
      <w:r>
        <w:rPr>
          <w:rFonts w:hint="eastAsia" w:ascii="宋体" w:hAnsi="宋体" w:eastAsia="宋体" w:cs="Times New Roman"/>
          <w:bCs/>
          <w:color w:val="000000"/>
          <w:sz w:val="24"/>
        </w:rPr>
        <w:t>本课程是小学教育（理）专业的一门重要选修课。通过本课程的学习，使学生系统地获得数学史的基本知识、必要的基础理论；提高学生的数学视野、数学思维能力、逻辑推理能力；提高学生的数学素养，为学生学习后续相关课程及终身学习奠定必要的数学基础。</w:t>
      </w:r>
    </w:p>
    <w:p w14:paraId="0B0EE449">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555871B3">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3D0ECE2C">
      <w:pPr>
        <w:spacing w:line="360" w:lineRule="auto"/>
        <w:ind w:firstLine="422" w:firstLineChars="200"/>
        <w:jc w:val="left"/>
        <w:rPr>
          <w:rFonts w:ascii="Times New Roman" w:hAnsi="Times New Roman" w:eastAsia="宋体" w:cs="Times New Roman"/>
          <w:sz w:val="24"/>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ascii="Times New Roman" w:hAnsi="Times New Roman" w:eastAsia="宋体" w:cs="Times New Roman"/>
          <w:color w:val="000000"/>
          <w:sz w:val="24"/>
        </w:rPr>
        <w:t>能够获得课程基本概念与性质</w:t>
      </w:r>
      <w:r>
        <w:rPr>
          <w:rFonts w:ascii="Times New Roman" w:hAnsi="Times New Roman" w:eastAsia="宋体" w:cs="Times New Roman"/>
          <w:sz w:val="24"/>
        </w:rPr>
        <w:t>。</w:t>
      </w:r>
    </w:p>
    <w:p w14:paraId="7C084845">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ascii="Times New Roman" w:hAnsi="Times New Roman" w:eastAsia="宋体" w:cs="Times New Roman"/>
          <w:color w:val="000000"/>
          <w:sz w:val="24"/>
        </w:rPr>
        <w:t>能够掌握本课程要求的计算方法</w:t>
      </w:r>
      <w:r>
        <w:rPr>
          <w:rFonts w:hint="eastAsia" w:ascii="Times New Roman" w:hAnsi="Times New Roman" w:eastAsia="宋体" w:cs="Times New Roman"/>
          <w:color w:val="000000"/>
          <w:sz w:val="24"/>
        </w:rPr>
        <w:t>。</w:t>
      </w:r>
    </w:p>
    <w:p w14:paraId="64C97A8C">
      <w:pPr>
        <w:spacing w:line="360" w:lineRule="auto"/>
        <w:ind w:firstLine="422" w:firstLineChars="200"/>
        <w:jc w:val="left"/>
        <w:rPr>
          <w:rFonts w:ascii="Times New Roman" w:hAnsi="Times New Roman" w:eastAsia="宋体" w:cs="Times New Roman"/>
          <w:sz w:val="24"/>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ascii="Times New Roman" w:hAnsi="Times New Roman" w:eastAsia="宋体" w:cs="Times New Roman"/>
          <w:color w:val="000000"/>
          <w:sz w:val="24"/>
        </w:rPr>
        <w:t>能够具有一定的</w:t>
      </w:r>
      <w:r>
        <w:rPr>
          <w:rFonts w:ascii="Times New Roman" w:hAnsi="Times New Roman" w:eastAsia="宋体" w:cs="Times New Roman"/>
          <w:sz w:val="24"/>
        </w:rPr>
        <w:t>抽象概括、逻辑推理等能力。</w:t>
      </w:r>
    </w:p>
    <w:p w14:paraId="206F33E3">
      <w:pPr>
        <w:spacing w:line="360" w:lineRule="auto"/>
        <w:ind w:firstLine="422" w:firstLineChars="200"/>
        <w:jc w:val="left"/>
        <w:rPr>
          <w:rFonts w:ascii="Times New Roman" w:hAnsi="Times New Roman" w:eastAsia="宋体" w:cs="Times New Roman"/>
          <w:sz w:val="24"/>
        </w:rPr>
      </w:pPr>
      <w:r>
        <w:rPr>
          <w:rFonts w:hint="eastAsia" w:ascii="Times New Roman" w:hAnsi="Times New Roman" w:eastAsia="宋体" w:cs="Times New Roman"/>
          <w:b/>
          <w:bCs/>
          <w:szCs w:val="21"/>
        </w:rPr>
        <w:t>目标4.</w:t>
      </w:r>
      <w:r>
        <w:rPr>
          <w:rFonts w:ascii="Times New Roman" w:hAnsi="Times New Roman" w:eastAsia="宋体" w:cs="Times New Roman"/>
          <w:sz w:val="24"/>
        </w:rPr>
        <w:t xml:space="preserve"> </w:t>
      </w:r>
      <w:r>
        <w:rPr>
          <w:rFonts w:ascii="Times New Roman" w:hAnsi="Times New Roman" w:eastAsia="宋体" w:cs="Times New Roman"/>
          <w:color w:val="000000"/>
          <w:sz w:val="24"/>
        </w:rPr>
        <w:t>能够</w:t>
      </w:r>
      <w:r>
        <w:rPr>
          <w:rFonts w:ascii="Times New Roman" w:hAnsi="Times New Roman" w:eastAsia="宋体" w:cs="Times New Roman"/>
          <w:sz w:val="24"/>
        </w:rPr>
        <w:t>具有一定的运算能力。</w:t>
      </w:r>
    </w:p>
    <w:p w14:paraId="65265BF0">
      <w:pPr>
        <w:spacing w:line="360" w:lineRule="auto"/>
        <w:ind w:firstLine="422" w:firstLineChars="200"/>
        <w:jc w:val="left"/>
        <w:rPr>
          <w:rFonts w:ascii="Times New Roman" w:hAnsi="Times New Roman" w:eastAsia="宋体" w:cs="Times New Roman"/>
          <w:b/>
          <w:bCs/>
          <w:sz w:val="24"/>
        </w:rPr>
      </w:pPr>
      <w:r>
        <w:rPr>
          <w:rFonts w:hint="eastAsia" w:ascii="Times New Roman" w:hAnsi="Times New Roman" w:eastAsia="宋体" w:cs="Times New Roman"/>
          <w:b/>
          <w:bCs/>
          <w:szCs w:val="21"/>
        </w:rPr>
        <w:t>目标5.</w:t>
      </w:r>
      <w:r>
        <w:rPr>
          <w:rFonts w:ascii="Times New Roman" w:hAnsi="Times New Roman" w:eastAsia="宋体" w:cs="Times New Roman"/>
          <w:sz w:val="24"/>
        </w:rPr>
        <w:t xml:space="preserve"> </w:t>
      </w:r>
      <w:r>
        <w:rPr>
          <w:rFonts w:ascii="Times New Roman" w:hAnsi="Times New Roman" w:eastAsia="宋体" w:cs="Times New Roman"/>
          <w:color w:val="000000"/>
          <w:sz w:val="24"/>
        </w:rPr>
        <w:t>能够具有一定的</w:t>
      </w:r>
      <w:r>
        <w:rPr>
          <w:rFonts w:ascii="Times New Roman" w:hAnsi="Times New Roman" w:eastAsia="宋体" w:cs="Times New Roman"/>
          <w:sz w:val="24"/>
        </w:rPr>
        <w:t>数学思维与分析能力。</w:t>
      </w:r>
    </w:p>
    <w:p w14:paraId="0BA1E32D">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0362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C94F8C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5A18FCC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BA63C4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E8E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F46798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7DB21F6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指标点3-2：【学科知识扎实】具有学科专业能力，掌握小学数学学科的基本知识、原理和技能。熟悉小学科学的知识体系，掌握小学科学的基本知识、原理和技能。</w:t>
            </w:r>
          </w:p>
        </w:tc>
        <w:tc>
          <w:tcPr>
            <w:tcW w:w="1191" w:type="dxa"/>
            <w:vAlign w:val="center"/>
          </w:tcPr>
          <w:p w14:paraId="356C15D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课程目标1、2、3、4、5</w:t>
            </w:r>
          </w:p>
        </w:tc>
      </w:tr>
      <w:tr w14:paraId="27D4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E12B5D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毕业要求6：综合育人</w:t>
            </w:r>
          </w:p>
        </w:tc>
        <w:tc>
          <w:tcPr>
            <w:tcW w:w="5688" w:type="dxa"/>
            <w:vAlign w:val="center"/>
          </w:tcPr>
          <w:p w14:paraId="2ED6270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1" w:type="dxa"/>
            <w:vAlign w:val="center"/>
          </w:tcPr>
          <w:p w14:paraId="68A5485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课程目标5</w:t>
            </w:r>
          </w:p>
        </w:tc>
      </w:tr>
    </w:tbl>
    <w:p w14:paraId="2B122313">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1D84BFE">
      <w:pPr>
        <w:spacing w:line="360" w:lineRule="auto"/>
        <w:ind w:firstLine="420" w:firstLineChars="200"/>
        <w:jc w:val="left"/>
        <w:rPr>
          <w:rFonts w:hint="eastAsia" w:ascii="宋体" w:hAnsi="宋体" w:eastAsia="宋体" w:cs="Times New Roman"/>
          <w:b/>
          <w:color w:val="000000"/>
          <w:sz w:val="28"/>
          <w:szCs w:val="28"/>
        </w:rPr>
      </w:pPr>
      <w:r>
        <w:rPr>
          <w:rFonts w:hint="eastAsia" w:ascii="宋体" w:hAnsi="宋体" w:eastAsia="宋体" w:cs="Times New Roman"/>
          <w:color w:val="000000"/>
          <w:szCs w:val="21"/>
        </w:rPr>
        <w:t>通过数学发展的历史脉络，引导学生理解理论与实践辩证统一的关系，树立社会主义核心价值观，并提升专业素养，帮助学生掌握“实践—理论—实践”的认知规律，培养唯物史观和求真务实的科学精神。同时，通过挖掘中国数学成就（如《九章算术》的实用传统、祖冲之的圆周率计算）和对比中外数学贡献，增强学生的文化自信与爱国情怀，践行“爱国、敬业”的核心价值观。通过分析数学在现代科技（如人工智能、大数据）中的关键作用，激发学生服务国家战略需求的使命感，实现知识传授、能力培养与价值引领的有机统一。</w:t>
      </w:r>
    </w:p>
    <w:p w14:paraId="11E8430A">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692"/>
        <w:gridCol w:w="9"/>
        <w:gridCol w:w="1134"/>
        <w:gridCol w:w="57"/>
        <w:gridCol w:w="3203"/>
        <w:gridCol w:w="37"/>
        <w:gridCol w:w="24"/>
        <w:gridCol w:w="1499"/>
        <w:gridCol w:w="49"/>
        <w:gridCol w:w="24"/>
        <w:gridCol w:w="365"/>
      </w:tblGrid>
      <w:tr w14:paraId="6351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660A28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14483BB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gridSpan w:val="2"/>
            <w:vAlign w:val="center"/>
          </w:tcPr>
          <w:p w14:paraId="3226813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0A37F04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1F0895D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gridSpan w:val="2"/>
            <w:vAlign w:val="center"/>
          </w:tcPr>
          <w:p w14:paraId="2769946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gridSpan w:val="3"/>
            <w:vAlign w:val="center"/>
          </w:tcPr>
          <w:p w14:paraId="186FF75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gridSpan w:val="3"/>
            <w:vAlign w:val="center"/>
          </w:tcPr>
          <w:p w14:paraId="1A705AA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7133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75CC75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1.数学的萌芽</w:t>
            </w:r>
          </w:p>
          <w:p w14:paraId="1D57DC53">
            <w:pPr>
              <w:spacing w:line="264" w:lineRule="auto"/>
              <w:jc w:val="center"/>
              <w:rPr>
                <w:rFonts w:hint="eastAsia" w:ascii="宋体" w:hAnsi="宋体" w:eastAsia="宋体" w:cs="Times New Roman"/>
                <w:color w:val="000000"/>
                <w:szCs w:val="21"/>
              </w:rPr>
            </w:pPr>
          </w:p>
        </w:tc>
        <w:tc>
          <w:tcPr>
            <w:tcW w:w="1701" w:type="dxa"/>
            <w:gridSpan w:val="2"/>
            <w:vAlign w:val="center"/>
          </w:tcPr>
          <w:p w14:paraId="4EAC2AD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（1）能够了解古埃及的数学</w:t>
            </w:r>
          </w:p>
          <w:p w14:paraId="3DF3D637">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（2）能够了解古巴比伦的数学</w:t>
            </w:r>
          </w:p>
          <w:p w14:paraId="4E6DD598">
            <w:pPr>
              <w:spacing w:line="269" w:lineRule="auto"/>
              <w:jc w:val="left"/>
              <w:rPr>
                <w:rFonts w:hint="eastAsia" w:ascii="宋体" w:hAnsi="宋体" w:eastAsia="宋体" w:cs="Times New Roman"/>
                <w:color w:val="000000"/>
                <w:szCs w:val="21"/>
              </w:rPr>
            </w:pPr>
          </w:p>
        </w:tc>
        <w:tc>
          <w:tcPr>
            <w:tcW w:w="1134" w:type="dxa"/>
            <w:vAlign w:val="center"/>
          </w:tcPr>
          <w:p w14:paraId="66A80B59">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gridSpan w:val="2"/>
            <w:vAlign w:val="center"/>
          </w:tcPr>
          <w:p w14:paraId="57C83B1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重点与难点：古埃及的数学。</w:t>
            </w:r>
          </w:p>
          <w:p w14:paraId="378F881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p w14:paraId="1864D70A">
            <w:pPr>
              <w:spacing w:line="269" w:lineRule="auto"/>
              <w:jc w:val="left"/>
              <w:rPr>
                <w:rFonts w:hint="eastAsia" w:ascii="宋体" w:hAnsi="宋体" w:eastAsia="宋体" w:cs="Times New Roman"/>
                <w:color w:val="000000"/>
                <w:szCs w:val="21"/>
              </w:rPr>
            </w:pPr>
          </w:p>
        </w:tc>
        <w:tc>
          <w:tcPr>
            <w:tcW w:w="1560" w:type="dxa"/>
            <w:gridSpan w:val="3"/>
            <w:vAlign w:val="center"/>
          </w:tcPr>
          <w:p w14:paraId="6F9A57B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0F23494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7BF7F0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gridSpan w:val="3"/>
            <w:vAlign w:val="center"/>
          </w:tcPr>
          <w:p w14:paraId="68787BD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4256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D54E95B">
            <w:pPr>
              <w:spacing w:line="264" w:lineRule="auto"/>
              <w:jc w:val="center"/>
              <w:rPr>
                <w:rFonts w:hint="eastAsia" w:ascii="宋体" w:hAnsi="宋体" w:eastAsia="宋体" w:cs="Times New Roman"/>
                <w:color w:val="000000"/>
                <w:szCs w:val="21"/>
              </w:rPr>
            </w:pPr>
          </w:p>
        </w:tc>
        <w:tc>
          <w:tcPr>
            <w:tcW w:w="8093" w:type="dxa"/>
            <w:gridSpan w:val="11"/>
            <w:vAlign w:val="center"/>
          </w:tcPr>
          <w:p w14:paraId="6D892B7C">
            <w:pPr>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r w14:paraId="5B6C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058CA6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2.希腊的数学</w:t>
            </w:r>
          </w:p>
          <w:p w14:paraId="6959F8CE">
            <w:pPr>
              <w:spacing w:line="264" w:lineRule="auto"/>
              <w:jc w:val="center"/>
              <w:rPr>
                <w:rFonts w:hint="eastAsia" w:ascii="宋体" w:hAnsi="宋体" w:eastAsia="宋体" w:cs="Times New Roman"/>
                <w:color w:val="000000"/>
                <w:szCs w:val="21"/>
              </w:rPr>
            </w:pPr>
          </w:p>
        </w:tc>
        <w:tc>
          <w:tcPr>
            <w:tcW w:w="1701" w:type="dxa"/>
            <w:gridSpan w:val="2"/>
            <w:vAlign w:val="center"/>
          </w:tcPr>
          <w:p w14:paraId="3BAAEEC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（1）能够知道希腊数学学派与演绎数学的产生</w:t>
            </w:r>
          </w:p>
          <w:p w14:paraId="2797E8EB">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（2）能够了解希腊数学的黄金时期</w:t>
            </w:r>
          </w:p>
          <w:p w14:paraId="09CF4CE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（3）能够知道希腊数学的衰落</w:t>
            </w:r>
          </w:p>
          <w:p w14:paraId="70C6D37F">
            <w:pPr>
              <w:spacing w:line="269" w:lineRule="auto"/>
              <w:jc w:val="left"/>
              <w:rPr>
                <w:rFonts w:hint="eastAsia" w:ascii="宋体" w:hAnsi="宋体" w:eastAsia="宋体" w:cs="Times New Roman"/>
                <w:color w:val="000000"/>
                <w:szCs w:val="21"/>
              </w:rPr>
            </w:pPr>
          </w:p>
        </w:tc>
        <w:tc>
          <w:tcPr>
            <w:tcW w:w="1134" w:type="dxa"/>
            <w:vAlign w:val="center"/>
          </w:tcPr>
          <w:p w14:paraId="16ACA03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260" w:type="dxa"/>
            <w:gridSpan w:val="2"/>
            <w:vAlign w:val="center"/>
          </w:tcPr>
          <w:p w14:paraId="778AC87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重点与难点：希腊数学的黄金时期，希腊数学学派与演绎数学的产生。</w:t>
            </w:r>
          </w:p>
          <w:p w14:paraId="2239C52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gridSpan w:val="3"/>
            <w:vAlign w:val="center"/>
          </w:tcPr>
          <w:p w14:paraId="1D4CC13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249DD56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61038D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gridSpan w:val="3"/>
            <w:vAlign w:val="center"/>
          </w:tcPr>
          <w:p w14:paraId="47607B7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15E6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497CBE6">
            <w:pPr>
              <w:spacing w:line="264" w:lineRule="auto"/>
              <w:jc w:val="center"/>
              <w:rPr>
                <w:rFonts w:hint="eastAsia" w:ascii="宋体" w:hAnsi="宋体" w:eastAsia="宋体" w:cs="Times New Roman"/>
                <w:color w:val="000000"/>
                <w:szCs w:val="21"/>
              </w:rPr>
            </w:pPr>
          </w:p>
        </w:tc>
        <w:tc>
          <w:tcPr>
            <w:tcW w:w="8093" w:type="dxa"/>
            <w:gridSpan w:val="11"/>
            <w:vAlign w:val="center"/>
          </w:tcPr>
          <w:p w14:paraId="7E7627EB">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r w14:paraId="267F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15DBEC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3.印度与阿拉伯的数学</w:t>
            </w:r>
          </w:p>
          <w:p w14:paraId="446D1F01">
            <w:pPr>
              <w:spacing w:line="264" w:lineRule="auto"/>
              <w:jc w:val="center"/>
              <w:rPr>
                <w:rFonts w:hint="eastAsia" w:ascii="宋体" w:hAnsi="宋体" w:eastAsia="宋体" w:cs="Times New Roman"/>
                <w:color w:val="000000"/>
                <w:szCs w:val="21"/>
              </w:rPr>
            </w:pPr>
          </w:p>
        </w:tc>
        <w:tc>
          <w:tcPr>
            <w:tcW w:w="1701" w:type="dxa"/>
            <w:gridSpan w:val="2"/>
            <w:vAlign w:val="center"/>
          </w:tcPr>
          <w:p w14:paraId="294B381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（1）能够了解印度的数学</w:t>
            </w:r>
          </w:p>
          <w:p w14:paraId="45B486B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（2）能够了解阿拉伯的数学</w:t>
            </w:r>
          </w:p>
          <w:p w14:paraId="39A07CE2">
            <w:pPr>
              <w:spacing w:line="269" w:lineRule="auto"/>
              <w:jc w:val="left"/>
              <w:rPr>
                <w:rFonts w:hint="eastAsia" w:ascii="宋体" w:hAnsi="宋体" w:eastAsia="宋体" w:cs="Times New Roman"/>
                <w:color w:val="000000"/>
                <w:szCs w:val="21"/>
              </w:rPr>
            </w:pPr>
          </w:p>
        </w:tc>
        <w:tc>
          <w:tcPr>
            <w:tcW w:w="1134" w:type="dxa"/>
            <w:vAlign w:val="center"/>
          </w:tcPr>
          <w:p w14:paraId="5CE3CD9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260" w:type="dxa"/>
            <w:gridSpan w:val="2"/>
            <w:vAlign w:val="center"/>
          </w:tcPr>
          <w:p w14:paraId="2A53958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重点与难点：印度的数学，阿拉伯的数学。</w:t>
            </w:r>
          </w:p>
          <w:p w14:paraId="639CADF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gridSpan w:val="3"/>
            <w:vAlign w:val="center"/>
          </w:tcPr>
          <w:p w14:paraId="0CCBC178">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FC9C40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7A730E0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3"/>
            <w:vAlign w:val="center"/>
          </w:tcPr>
          <w:p w14:paraId="2AEECEC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11F1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97E6CAD">
            <w:pPr>
              <w:spacing w:line="264" w:lineRule="auto"/>
              <w:jc w:val="center"/>
              <w:rPr>
                <w:rFonts w:hint="eastAsia" w:ascii="宋体" w:hAnsi="宋体" w:eastAsia="宋体" w:cs="Times New Roman"/>
                <w:color w:val="000000"/>
                <w:szCs w:val="21"/>
              </w:rPr>
            </w:pPr>
          </w:p>
        </w:tc>
        <w:tc>
          <w:tcPr>
            <w:tcW w:w="8093" w:type="dxa"/>
            <w:gridSpan w:val="11"/>
            <w:shd w:val="clear" w:color="auto" w:fill="auto"/>
            <w:vAlign w:val="center"/>
          </w:tcPr>
          <w:p w14:paraId="521BDCC6">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r w14:paraId="37F5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5F14C6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4.中国古代数学</w:t>
            </w:r>
          </w:p>
          <w:p w14:paraId="450C4270">
            <w:pPr>
              <w:spacing w:line="276" w:lineRule="auto"/>
              <w:jc w:val="center"/>
              <w:rPr>
                <w:rFonts w:hint="eastAsia" w:ascii="宋体" w:hAnsi="宋体" w:eastAsia="宋体" w:cs="Times New Roman"/>
                <w:color w:val="000000"/>
                <w:szCs w:val="21"/>
              </w:rPr>
            </w:pPr>
          </w:p>
        </w:tc>
        <w:tc>
          <w:tcPr>
            <w:tcW w:w="1701" w:type="dxa"/>
            <w:gridSpan w:val="2"/>
            <w:vAlign w:val="center"/>
          </w:tcPr>
          <w:p w14:paraId="025D9FD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（1）能够了解先秦时期——中国古代数学的萌芽</w:t>
            </w:r>
          </w:p>
          <w:p w14:paraId="5CC93306">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（2）能够了解汉唐时期——中国传统数学体系的形成</w:t>
            </w:r>
          </w:p>
          <w:p w14:paraId="2DB7511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（3）能够理解宋元时期——中国传统数学的兴盛</w:t>
            </w:r>
          </w:p>
          <w:p w14:paraId="6CADA22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（4）能够了解明清时期——中国传统数学的衰落与复苏</w:t>
            </w:r>
          </w:p>
          <w:p w14:paraId="5C32E67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（5）能够知道中国传统数学的特点</w:t>
            </w:r>
          </w:p>
        </w:tc>
        <w:tc>
          <w:tcPr>
            <w:tcW w:w="1134" w:type="dxa"/>
            <w:vAlign w:val="center"/>
          </w:tcPr>
          <w:p w14:paraId="27BF7E7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gridSpan w:val="2"/>
            <w:vAlign w:val="center"/>
          </w:tcPr>
          <w:p w14:paraId="7862F63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重点与难点：宋元时期——中国传统数学的兴盛。</w:t>
            </w:r>
          </w:p>
          <w:p w14:paraId="078C802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p w14:paraId="341D7931">
            <w:pPr>
              <w:spacing w:line="276" w:lineRule="auto"/>
              <w:jc w:val="left"/>
              <w:rPr>
                <w:rFonts w:hint="eastAsia" w:ascii="宋体" w:hAnsi="宋体" w:eastAsia="宋体" w:cs="Times New Roman"/>
                <w:color w:val="000000"/>
                <w:szCs w:val="21"/>
              </w:rPr>
            </w:pPr>
          </w:p>
        </w:tc>
        <w:tc>
          <w:tcPr>
            <w:tcW w:w="1560" w:type="dxa"/>
            <w:gridSpan w:val="3"/>
            <w:vAlign w:val="center"/>
          </w:tcPr>
          <w:p w14:paraId="69BF0D8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1773E9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6A8664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3"/>
            <w:vAlign w:val="center"/>
          </w:tcPr>
          <w:p w14:paraId="756828E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007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D599D2D">
            <w:pPr>
              <w:spacing w:line="276" w:lineRule="auto"/>
              <w:jc w:val="center"/>
              <w:rPr>
                <w:rFonts w:hint="eastAsia" w:ascii="宋体" w:hAnsi="宋体" w:eastAsia="宋体" w:cs="Times New Roman"/>
                <w:color w:val="000000"/>
                <w:szCs w:val="21"/>
              </w:rPr>
            </w:pPr>
          </w:p>
        </w:tc>
        <w:tc>
          <w:tcPr>
            <w:tcW w:w="8093" w:type="dxa"/>
            <w:gridSpan w:val="11"/>
            <w:vAlign w:val="center"/>
          </w:tcPr>
          <w:p w14:paraId="01EF9A86">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r w14:paraId="1900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14FBB4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5.欧洲文艺复兴时期的数学</w:t>
            </w:r>
          </w:p>
          <w:p w14:paraId="0AD1167F">
            <w:pPr>
              <w:spacing w:line="276" w:lineRule="auto"/>
              <w:jc w:val="center"/>
              <w:rPr>
                <w:rFonts w:hint="eastAsia" w:ascii="宋体" w:hAnsi="宋体" w:eastAsia="宋体" w:cs="Times New Roman"/>
                <w:color w:val="000000"/>
                <w:szCs w:val="21"/>
              </w:rPr>
            </w:pPr>
          </w:p>
        </w:tc>
        <w:tc>
          <w:tcPr>
            <w:tcW w:w="1701" w:type="dxa"/>
            <w:gridSpan w:val="2"/>
            <w:vAlign w:val="center"/>
          </w:tcPr>
          <w:p w14:paraId="1258CF5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（1）能够了解欧洲中世纪的回顾</w:t>
            </w:r>
          </w:p>
          <w:p w14:paraId="7417283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（2）能够知道欧洲文艺复兴时期的数学</w:t>
            </w:r>
          </w:p>
          <w:p w14:paraId="376E2670">
            <w:pPr>
              <w:spacing w:line="276" w:lineRule="auto"/>
              <w:jc w:val="left"/>
              <w:rPr>
                <w:rFonts w:hint="eastAsia" w:ascii="宋体" w:hAnsi="宋体" w:eastAsia="宋体" w:cs="Times New Roman"/>
                <w:color w:val="000000"/>
                <w:szCs w:val="21"/>
              </w:rPr>
            </w:pPr>
          </w:p>
        </w:tc>
        <w:tc>
          <w:tcPr>
            <w:tcW w:w="1134" w:type="dxa"/>
            <w:vAlign w:val="center"/>
          </w:tcPr>
          <w:p w14:paraId="17C55E8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gridSpan w:val="2"/>
            <w:vAlign w:val="center"/>
          </w:tcPr>
          <w:p w14:paraId="09C8DBC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重点与难点：欧洲文艺复兴时期的数学。</w:t>
            </w:r>
          </w:p>
          <w:p w14:paraId="79A34C1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p w14:paraId="08ABB594">
            <w:pPr>
              <w:spacing w:line="276" w:lineRule="auto"/>
              <w:jc w:val="left"/>
              <w:rPr>
                <w:rFonts w:hint="eastAsia" w:ascii="宋体" w:hAnsi="宋体" w:eastAsia="宋体" w:cs="Times New Roman"/>
                <w:color w:val="000000"/>
                <w:szCs w:val="21"/>
              </w:rPr>
            </w:pPr>
          </w:p>
        </w:tc>
        <w:tc>
          <w:tcPr>
            <w:tcW w:w="1560" w:type="dxa"/>
            <w:gridSpan w:val="3"/>
            <w:vAlign w:val="center"/>
          </w:tcPr>
          <w:p w14:paraId="3E61955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0AB8C71">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1037905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3"/>
            <w:vAlign w:val="center"/>
          </w:tcPr>
          <w:p w14:paraId="3EA9F3F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77B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053BC7F">
            <w:pPr>
              <w:spacing w:line="276" w:lineRule="auto"/>
              <w:jc w:val="center"/>
              <w:rPr>
                <w:rFonts w:hint="eastAsia" w:ascii="宋体" w:hAnsi="宋体" w:eastAsia="宋体" w:cs="Times New Roman"/>
                <w:color w:val="000000"/>
                <w:szCs w:val="21"/>
              </w:rPr>
            </w:pPr>
          </w:p>
        </w:tc>
        <w:tc>
          <w:tcPr>
            <w:tcW w:w="8093" w:type="dxa"/>
            <w:gridSpan w:val="11"/>
            <w:vAlign w:val="center"/>
          </w:tcPr>
          <w:p w14:paraId="177325BD">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r w14:paraId="44E9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579B83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6.解析几何的产生</w:t>
            </w:r>
          </w:p>
          <w:p w14:paraId="799BFB2D">
            <w:pPr>
              <w:spacing w:line="276" w:lineRule="auto"/>
              <w:jc w:val="center"/>
              <w:rPr>
                <w:rFonts w:hint="eastAsia" w:ascii="宋体" w:hAnsi="宋体" w:eastAsia="宋体" w:cs="Times New Roman"/>
                <w:color w:val="000000"/>
                <w:szCs w:val="21"/>
              </w:rPr>
            </w:pPr>
          </w:p>
        </w:tc>
        <w:tc>
          <w:tcPr>
            <w:tcW w:w="1701" w:type="dxa"/>
            <w:gridSpan w:val="2"/>
            <w:vAlign w:val="center"/>
          </w:tcPr>
          <w:p w14:paraId="6FFFE33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（1）能够了解解析几何产生的背景</w:t>
            </w:r>
          </w:p>
          <w:p w14:paraId="46BC5DD1">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（2）能够理解笛卡尔与他的几何学</w:t>
            </w:r>
          </w:p>
          <w:p w14:paraId="4367F49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（3）能够了解费马与他的几何学</w:t>
            </w:r>
          </w:p>
          <w:p w14:paraId="0620152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（4）能够知道解析几何的进一步完善和发展</w:t>
            </w:r>
          </w:p>
        </w:tc>
        <w:tc>
          <w:tcPr>
            <w:tcW w:w="1134" w:type="dxa"/>
            <w:vAlign w:val="center"/>
          </w:tcPr>
          <w:p w14:paraId="17D79AF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260" w:type="dxa"/>
            <w:gridSpan w:val="2"/>
            <w:vAlign w:val="center"/>
          </w:tcPr>
          <w:p w14:paraId="4561830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重点与难点：笛卡尔与他的几何学，费马与他的几何学，解析几何产生的背景。</w:t>
            </w:r>
          </w:p>
          <w:p w14:paraId="48EC4FF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gridSpan w:val="3"/>
            <w:vAlign w:val="center"/>
          </w:tcPr>
          <w:p w14:paraId="2CC4F8A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1B83AF1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25E063A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3"/>
            <w:vAlign w:val="center"/>
          </w:tcPr>
          <w:p w14:paraId="2C5B481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DBA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1960937">
            <w:pPr>
              <w:spacing w:line="276" w:lineRule="auto"/>
              <w:jc w:val="center"/>
              <w:rPr>
                <w:rFonts w:hint="eastAsia" w:ascii="宋体" w:hAnsi="宋体" w:eastAsia="宋体" w:cs="Times New Roman"/>
                <w:color w:val="000000"/>
                <w:szCs w:val="21"/>
              </w:rPr>
            </w:pPr>
          </w:p>
        </w:tc>
        <w:tc>
          <w:tcPr>
            <w:tcW w:w="8093" w:type="dxa"/>
            <w:gridSpan w:val="11"/>
            <w:vAlign w:val="center"/>
          </w:tcPr>
          <w:p w14:paraId="03EC5D0C">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r w14:paraId="0539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071B56F">
            <w:pPr>
              <w:spacing w:line="276" w:lineRule="auto"/>
              <w:jc w:val="center"/>
              <w:rPr>
                <w:rFonts w:hint="eastAsia" w:ascii="宋体" w:hAnsi="宋体" w:eastAsia="宋体" w:cs="Times New Roman"/>
                <w:szCs w:val="21"/>
              </w:rPr>
            </w:pPr>
            <w:r>
              <w:rPr>
                <w:rFonts w:hint="eastAsia" w:ascii="宋体" w:hAnsi="宋体" w:eastAsia="宋体" w:cs="Times New Roman"/>
                <w:szCs w:val="21"/>
              </w:rPr>
              <w:t>7.微积分的创立</w:t>
            </w:r>
          </w:p>
          <w:p w14:paraId="754A0C4F">
            <w:pPr>
              <w:spacing w:line="276" w:lineRule="auto"/>
              <w:jc w:val="center"/>
              <w:rPr>
                <w:rFonts w:hint="eastAsia" w:ascii="宋体" w:hAnsi="宋体" w:eastAsia="宋体" w:cs="Times New Roman"/>
                <w:szCs w:val="21"/>
              </w:rPr>
            </w:pPr>
          </w:p>
        </w:tc>
        <w:tc>
          <w:tcPr>
            <w:tcW w:w="1701" w:type="dxa"/>
            <w:gridSpan w:val="2"/>
            <w:vAlign w:val="center"/>
          </w:tcPr>
          <w:p w14:paraId="34C71A40">
            <w:pPr>
              <w:spacing w:line="276" w:lineRule="auto"/>
              <w:jc w:val="left"/>
              <w:rPr>
                <w:rFonts w:hint="eastAsia" w:ascii="宋体" w:hAnsi="宋体" w:eastAsia="宋体" w:cs="Times New Roman"/>
                <w:szCs w:val="21"/>
              </w:rPr>
            </w:pPr>
            <w:r>
              <w:rPr>
                <w:rFonts w:ascii="宋体" w:hAnsi="宋体" w:eastAsia="宋体" w:cs="Times New Roman"/>
                <w:szCs w:val="21"/>
              </w:rPr>
              <w:t>（1）能够了解微积分产生的背景</w:t>
            </w:r>
          </w:p>
          <w:p w14:paraId="5546E449">
            <w:pPr>
              <w:spacing w:line="276" w:lineRule="auto"/>
              <w:jc w:val="left"/>
              <w:rPr>
                <w:rFonts w:hint="eastAsia" w:ascii="宋体" w:hAnsi="宋体" w:eastAsia="宋体" w:cs="Times New Roman"/>
                <w:szCs w:val="21"/>
              </w:rPr>
            </w:pPr>
            <w:r>
              <w:rPr>
                <w:rFonts w:ascii="宋体" w:hAnsi="宋体" w:eastAsia="宋体" w:cs="Times New Roman"/>
                <w:szCs w:val="21"/>
              </w:rPr>
              <w:t>（2）能够理解先驱们的探索</w:t>
            </w:r>
          </w:p>
          <w:p w14:paraId="1BB0B8F6">
            <w:pPr>
              <w:spacing w:line="276" w:lineRule="auto"/>
              <w:jc w:val="left"/>
              <w:rPr>
                <w:rFonts w:hint="eastAsia" w:ascii="宋体" w:hAnsi="宋体" w:eastAsia="宋体" w:cs="Times New Roman"/>
                <w:szCs w:val="21"/>
              </w:rPr>
            </w:pPr>
            <w:r>
              <w:rPr>
                <w:rFonts w:ascii="宋体" w:hAnsi="宋体" w:eastAsia="宋体" w:cs="Times New Roman"/>
                <w:szCs w:val="21"/>
              </w:rPr>
              <w:t>（3）能够理解牛顿的流数术</w:t>
            </w:r>
          </w:p>
          <w:p w14:paraId="65B4732E">
            <w:pPr>
              <w:spacing w:line="276" w:lineRule="auto"/>
              <w:jc w:val="left"/>
              <w:rPr>
                <w:rFonts w:hint="eastAsia" w:ascii="宋体" w:hAnsi="宋体" w:eastAsia="宋体" w:cs="Times New Roman"/>
                <w:szCs w:val="21"/>
              </w:rPr>
            </w:pPr>
            <w:r>
              <w:rPr>
                <w:rFonts w:ascii="宋体" w:hAnsi="宋体" w:eastAsia="宋体" w:cs="Times New Roman"/>
                <w:szCs w:val="21"/>
              </w:rPr>
              <w:t>（4）能够理解莱布尼茨的微积分</w:t>
            </w:r>
          </w:p>
          <w:p w14:paraId="56B3A64B">
            <w:pPr>
              <w:spacing w:line="276" w:lineRule="auto"/>
              <w:jc w:val="left"/>
              <w:rPr>
                <w:rFonts w:hint="eastAsia" w:ascii="宋体" w:hAnsi="宋体" w:eastAsia="宋体" w:cs="Times New Roman"/>
                <w:szCs w:val="21"/>
              </w:rPr>
            </w:pPr>
          </w:p>
        </w:tc>
        <w:tc>
          <w:tcPr>
            <w:tcW w:w="1134" w:type="dxa"/>
            <w:vAlign w:val="center"/>
          </w:tcPr>
          <w:p w14:paraId="44FF6B6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260" w:type="dxa"/>
            <w:gridSpan w:val="2"/>
            <w:vAlign w:val="center"/>
          </w:tcPr>
          <w:p w14:paraId="15C743C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重点与难点：牛顿的流数术，莱布尼茨的微积分。</w:t>
            </w:r>
          </w:p>
          <w:p w14:paraId="1880E7F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gridSpan w:val="3"/>
            <w:vAlign w:val="center"/>
          </w:tcPr>
          <w:p w14:paraId="244FB61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1085AA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588AA68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3"/>
            <w:vAlign w:val="center"/>
          </w:tcPr>
          <w:p w14:paraId="5A22D45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240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D154E48">
            <w:pPr>
              <w:spacing w:line="276" w:lineRule="auto"/>
              <w:jc w:val="center"/>
              <w:rPr>
                <w:rFonts w:hint="eastAsia" w:ascii="宋体" w:hAnsi="宋体" w:eastAsia="宋体" w:cs="Times New Roman"/>
                <w:color w:val="000000"/>
                <w:szCs w:val="21"/>
              </w:rPr>
            </w:pPr>
          </w:p>
        </w:tc>
        <w:tc>
          <w:tcPr>
            <w:tcW w:w="8093" w:type="dxa"/>
            <w:gridSpan w:val="11"/>
            <w:vAlign w:val="center"/>
          </w:tcPr>
          <w:p w14:paraId="5568D85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r w14:paraId="42AD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93602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8.概率论的产生与发展</w:t>
            </w:r>
          </w:p>
        </w:tc>
        <w:tc>
          <w:tcPr>
            <w:tcW w:w="1701" w:type="dxa"/>
            <w:gridSpan w:val="2"/>
            <w:vAlign w:val="center"/>
          </w:tcPr>
          <w:p w14:paraId="3CDDAA8A">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（1）能够了解概率论的产生</w:t>
            </w:r>
          </w:p>
          <w:p w14:paraId="1EE44448">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（2）能够理解推动概率论发展的因素</w:t>
            </w:r>
          </w:p>
          <w:p w14:paraId="361C30F5">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（3）能够理解概率论的发展和完善</w:t>
            </w:r>
          </w:p>
          <w:p w14:paraId="728F06AF">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（4）能够了解概率论的应用</w:t>
            </w:r>
          </w:p>
          <w:p w14:paraId="7400660D">
            <w:pPr>
              <w:spacing w:line="264" w:lineRule="auto"/>
              <w:jc w:val="left"/>
              <w:rPr>
                <w:rFonts w:hint="eastAsia" w:ascii="宋体" w:hAnsi="宋体" w:eastAsia="宋体" w:cs="Times New Roman"/>
                <w:color w:val="000000"/>
                <w:szCs w:val="21"/>
              </w:rPr>
            </w:pPr>
          </w:p>
        </w:tc>
        <w:tc>
          <w:tcPr>
            <w:tcW w:w="1134" w:type="dxa"/>
            <w:vAlign w:val="center"/>
          </w:tcPr>
          <w:p w14:paraId="4E57F1F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gridSpan w:val="2"/>
            <w:vAlign w:val="center"/>
          </w:tcPr>
          <w:p w14:paraId="1EE96FB6">
            <w:pPr>
              <w:spacing w:line="360"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重点与难点：</w:t>
            </w:r>
            <w:r>
              <w:rPr>
                <w:rFonts w:ascii="Times New Roman" w:hAnsi="Times New Roman" w:eastAsia="宋体" w:cs="Times New Roman"/>
                <w:bCs/>
                <w:kern w:val="11"/>
                <w:szCs w:val="21"/>
              </w:rPr>
              <w:t>概率论的发展和完善</w:t>
            </w:r>
            <w:r>
              <w:rPr>
                <w:rFonts w:ascii="Times New Roman" w:hAnsi="Times New Roman" w:eastAsia="宋体" w:cs="Times New Roman"/>
                <w:color w:val="000000"/>
                <w:szCs w:val="21"/>
              </w:rPr>
              <w:t>。</w:t>
            </w:r>
          </w:p>
          <w:p w14:paraId="7C6F65B1">
            <w:pPr>
              <w:spacing w:line="360" w:lineRule="auto"/>
              <w:rPr>
                <w:rFonts w:ascii="Times New Roman" w:hAnsi="Times New Roman" w:eastAsia="宋体" w:cs="Times New Roman"/>
                <w:color w:val="000000"/>
                <w:sz w:val="24"/>
              </w:rPr>
            </w:pPr>
            <w:r>
              <w:rPr>
                <w:rFonts w:hint="eastAsia" w:ascii="Times New Roman" w:hAnsi="Times New Roman" w:eastAsia="宋体" w:cs="Times New Roman"/>
                <w:szCs w:val="21"/>
              </w:rPr>
              <w:t>2.</w:t>
            </w:r>
            <w:r>
              <w:rPr>
                <w:rFonts w:ascii="Times New Roman" w:hAnsi="Times New Roman" w:eastAsia="宋体" w:cs="Times New Roman"/>
                <w:szCs w:val="21"/>
              </w:rPr>
              <w:t>教</w:t>
            </w:r>
            <w:r>
              <w:rPr>
                <w:rFonts w:ascii="Times New Roman" w:hAnsi="Times New Roman" w:eastAsia="宋体" w:cs="Times New Roman"/>
                <w:color w:val="000000"/>
                <w:szCs w:val="21"/>
              </w:rPr>
              <w:t>学方法：启发式互动讲授结合多媒体辅助；适当课堂练习；及时了解学生的作业状况并对共同的问题作及时解答；安排好课后答疑。</w:t>
            </w:r>
          </w:p>
          <w:p w14:paraId="589D2991">
            <w:pPr>
              <w:spacing w:line="264" w:lineRule="auto"/>
              <w:jc w:val="left"/>
              <w:rPr>
                <w:rFonts w:hint="eastAsia" w:ascii="宋体" w:hAnsi="宋体" w:eastAsia="宋体" w:cs="Times New Roman"/>
                <w:color w:val="000000"/>
                <w:szCs w:val="21"/>
              </w:rPr>
            </w:pPr>
          </w:p>
        </w:tc>
        <w:tc>
          <w:tcPr>
            <w:tcW w:w="1560" w:type="dxa"/>
            <w:gridSpan w:val="3"/>
            <w:vAlign w:val="center"/>
          </w:tcPr>
          <w:p w14:paraId="205079AB">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A584E5E">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8C33D4C">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3"/>
            <w:vAlign w:val="center"/>
          </w:tcPr>
          <w:p w14:paraId="35135B9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5229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D9DEA06">
            <w:pPr>
              <w:spacing w:line="264" w:lineRule="auto"/>
              <w:jc w:val="center"/>
              <w:rPr>
                <w:rFonts w:hint="eastAsia" w:ascii="宋体" w:hAnsi="宋体" w:eastAsia="宋体" w:cs="Times New Roman"/>
                <w:color w:val="000000"/>
                <w:szCs w:val="21"/>
              </w:rPr>
            </w:pPr>
          </w:p>
        </w:tc>
        <w:tc>
          <w:tcPr>
            <w:tcW w:w="8093" w:type="dxa"/>
            <w:gridSpan w:val="11"/>
            <w:vAlign w:val="center"/>
          </w:tcPr>
          <w:p w14:paraId="7E27A671">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r w14:paraId="0AFD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CC5C3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9.微积分的进一步发展</w:t>
            </w:r>
          </w:p>
          <w:p w14:paraId="44F962D2">
            <w:pPr>
              <w:spacing w:line="264" w:lineRule="auto"/>
              <w:jc w:val="center"/>
              <w:rPr>
                <w:rFonts w:hint="eastAsia" w:ascii="宋体" w:hAnsi="宋体" w:eastAsia="宋体" w:cs="Times New Roman"/>
                <w:color w:val="000000"/>
                <w:szCs w:val="21"/>
              </w:rPr>
            </w:pPr>
          </w:p>
        </w:tc>
        <w:tc>
          <w:tcPr>
            <w:tcW w:w="1701" w:type="dxa"/>
            <w:gridSpan w:val="2"/>
            <w:vAlign w:val="center"/>
          </w:tcPr>
          <w:p w14:paraId="2E50F3C6">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（1）能够了解微分方程</w:t>
            </w:r>
          </w:p>
          <w:p w14:paraId="72A4B277">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（2）能够理解变分法</w:t>
            </w:r>
          </w:p>
          <w:p w14:paraId="335F80A2">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（3）能够理解分析基础的严密化</w:t>
            </w:r>
          </w:p>
          <w:p w14:paraId="71D69500">
            <w:pPr>
              <w:spacing w:line="264" w:lineRule="auto"/>
              <w:jc w:val="left"/>
              <w:rPr>
                <w:rFonts w:hint="eastAsia" w:ascii="宋体" w:hAnsi="宋体" w:eastAsia="宋体" w:cs="Times New Roman"/>
                <w:color w:val="000000"/>
                <w:szCs w:val="21"/>
              </w:rPr>
            </w:pPr>
          </w:p>
        </w:tc>
        <w:tc>
          <w:tcPr>
            <w:tcW w:w="1134" w:type="dxa"/>
            <w:vAlign w:val="center"/>
          </w:tcPr>
          <w:p w14:paraId="501F0C2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gridSpan w:val="2"/>
            <w:vAlign w:val="center"/>
          </w:tcPr>
          <w:p w14:paraId="5221DE0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重点与难点：分析基础的严密化，变分法。</w:t>
            </w:r>
          </w:p>
          <w:p w14:paraId="7850872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gridSpan w:val="3"/>
            <w:vAlign w:val="center"/>
          </w:tcPr>
          <w:p w14:paraId="445E4C6B">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0A68FF1">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40ED000B">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3"/>
            <w:vAlign w:val="center"/>
          </w:tcPr>
          <w:p w14:paraId="5F278AA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43B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B7E7A27">
            <w:pPr>
              <w:spacing w:line="264" w:lineRule="auto"/>
              <w:jc w:val="center"/>
              <w:rPr>
                <w:rFonts w:hint="eastAsia" w:ascii="宋体" w:hAnsi="宋体" w:eastAsia="宋体" w:cs="Times New Roman"/>
                <w:color w:val="000000"/>
                <w:szCs w:val="21"/>
              </w:rPr>
            </w:pPr>
          </w:p>
        </w:tc>
        <w:tc>
          <w:tcPr>
            <w:tcW w:w="8093" w:type="dxa"/>
            <w:gridSpan w:val="11"/>
            <w:vAlign w:val="center"/>
          </w:tcPr>
          <w:p w14:paraId="4E2107FA">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r w14:paraId="04D7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9C818A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10.几何学的革命</w:t>
            </w:r>
          </w:p>
          <w:p w14:paraId="3C667A63">
            <w:pPr>
              <w:spacing w:line="264" w:lineRule="auto"/>
              <w:jc w:val="center"/>
              <w:rPr>
                <w:rFonts w:hint="eastAsia" w:ascii="宋体" w:hAnsi="宋体" w:eastAsia="宋体" w:cs="Times New Roman"/>
                <w:color w:val="000000"/>
                <w:szCs w:val="21"/>
              </w:rPr>
            </w:pPr>
          </w:p>
        </w:tc>
        <w:tc>
          <w:tcPr>
            <w:tcW w:w="1701" w:type="dxa"/>
            <w:gridSpan w:val="2"/>
            <w:vAlign w:val="center"/>
          </w:tcPr>
          <w:p w14:paraId="4271F8E3">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（1）能够了解第五公设的思考</w:t>
            </w:r>
          </w:p>
          <w:p w14:paraId="2965FCE6">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（2）能够知道高斯、波约尔和罗巴切夫斯基的突破性工作</w:t>
            </w:r>
          </w:p>
          <w:p w14:paraId="48A3D4A0">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（3）能够知道非欧几何学</w:t>
            </w:r>
          </w:p>
          <w:p w14:paraId="5020EC7E">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（4）能够知道黎曼对非欧几何的贡献</w:t>
            </w:r>
          </w:p>
          <w:p w14:paraId="1A1D8CF8">
            <w:pPr>
              <w:spacing w:line="264" w:lineRule="auto"/>
              <w:jc w:val="left"/>
              <w:rPr>
                <w:rFonts w:hint="eastAsia" w:ascii="宋体" w:hAnsi="宋体" w:eastAsia="宋体" w:cs="Times New Roman"/>
                <w:color w:val="000000"/>
                <w:szCs w:val="21"/>
              </w:rPr>
            </w:pPr>
          </w:p>
        </w:tc>
        <w:tc>
          <w:tcPr>
            <w:tcW w:w="1134" w:type="dxa"/>
            <w:vAlign w:val="center"/>
          </w:tcPr>
          <w:p w14:paraId="7AB5CED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p w14:paraId="2BCD42FC">
            <w:pPr>
              <w:spacing w:line="264" w:lineRule="auto"/>
              <w:jc w:val="center"/>
              <w:rPr>
                <w:rFonts w:hint="eastAsia" w:ascii="宋体" w:hAnsi="宋体" w:eastAsia="宋体" w:cs="Times New Roman"/>
                <w:color w:val="000000"/>
                <w:szCs w:val="21"/>
              </w:rPr>
            </w:pPr>
          </w:p>
        </w:tc>
        <w:tc>
          <w:tcPr>
            <w:tcW w:w="3260" w:type="dxa"/>
            <w:gridSpan w:val="2"/>
            <w:vAlign w:val="center"/>
          </w:tcPr>
          <w:p w14:paraId="7C8F839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重点与难点：高斯、波约尔和罗巴切夫斯基的突破性工作，第五公设的思考。</w:t>
            </w:r>
          </w:p>
          <w:p w14:paraId="28B8A4C8">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p w14:paraId="4E964D9E">
            <w:pPr>
              <w:spacing w:line="264" w:lineRule="auto"/>
              <w:jc w:val="left"/>
              <w:rPr>
                <w:rFonts w:hint="eastAsia" w:ascii="宋体" w:hAnsi="宋体" w:eastAsia="宋体" w:cs="Times New Roman"/>
                <w:color w:val="000000"/>
                <w:szCs w:val="21"/>
              </w:rPr>
            </w:pPr>
          </w:p>
        </w:tc>
        <w:tc>
          <w:tcPr>
            <w:tcW w:w="1560" w:type="dxa"/>
            <w:gridSpan w:val="3"/>
            <w:vAlign w:val="center"/>
          </w:tcPr>
          <w:p w14:paraId="772C92BE">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40675E4">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6E570D7">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3"/>
            <w:vAlign w:val="center"/>
          </w:tcPr>
          <w:p w14:paraId="2B26A6B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742F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4285792">
            <w:pPr>
              <w:spacing w:line="264" w:lineRule="auto"/>
              <w:jc w:val="center"/>
              <w:rPr>
                <w:rFonts w:hint="eastAsia" w:ascii="宋体" w:hAnsi="宋体" w:eastAsia="宋体" w:cs="Times New Roman"/>
                <w:color w:val="000000"/>
                <w:szCs w:val="21"/>
              </w:rPr>
            </w:pPr>
          </w:p>
        </w:tc>
        <w:tc>
          <w:tcPr>
            <w:tcW w:w="8093" w:type="dxa"/>
            <w:gridSpan w:val="11"/>
            <w:vAlign w:val="center"/>
          </w:tcPr>
          <w:p w14:paraId="7AB45BB8">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r w14:paraId="0029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2265B01">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11.</w:t>
            </w:r>
            <w:r>
              <w:rPr>
                <w:rFonts w:ascii="宋体" w:hAnsi="宋体" w:eastAsia="宋体" w:cs="Times New Roman"/>
                <w:color w:val="000000"/>
                <w:szCs w:val="21"/>
              </w:rPr>
              <w:t>代数学的革命</w:t>
            </w:r>
          </w:p>
          <w:p w14:paraId="747E20E2">
            <w:pPr>
              <w:spacing w:line="264" w:lineRule="auto"/>
              <w:jc w:val="center"/>
              <w:rPr>
                <w:rFonts w:hint="eastAsia" w:ascii="宋体" w:hAnsi="宋体" w:eastAsia="宋体" w:cs="Times New Roman"/>
                <w:color w:val="000000"/>
                <w:szCs w:val="21"/>
              </w:rPr>
            </w:pPr>
          </w:p>
        </w:tc>
        <w:tc>
          <w:tcPr>
            <w:tcW w:w="1692" w:type="dxa"/>
            <w:vAlign w:val="center"/>
          </w:tcPr>
          <w:p w14:paraId="25C0710B">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（1）能够了解从代数方程的解法到群论</w:t>
            </w:r>
          </w:p>
          <w:p w14:paraId="62BD7F0C">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（2）能够了解代数学的扩张</w:t>
            </w:r>
          </w:p>
          <w:p w14:paraId="1ABFD736">
            <w:pPr>
              <w:spacing w:line="264" w:lineRule="auto"/>
              <w:jc w:val="left"/>
              <w:rPr>
                <w:rFonts w:hint="eastAsia" w:ascii="宋体" w:hAnsi="宋体" w:eastAsia="宋体" w:cs="Times New Roman"/>
                <w:bCs/>
                <w:color w:val="000000"/>
                <w:szCs w:val="21"/>
              </w:rPr>
            </w:pPr>
          </w:p>
        </w:tc>
        <w:tc>
          <w:tcPr>
            <w:tcW w:w="1200" w:type="dxa"/>
            <w:gridSpan w:val="3"/>
            <w:vAlign w:val="center"/>
          </w:tcPr>
          <w:p w14:paraId="4CB00304">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课程目标1、2、3、4、5</w:t>
            </w:r>
          </w:p>
        </w:tc>
        <w:tc>
          <w:tcPr>
            <w:tcW w:w="3240" w:type="dxa"/>
            <w:gridSpan w:val="2"/>
            <w:vAlign w:val="center"/>
          </w:tcPr>
          <w:p w14:paraId="17708679">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（1）重点与难点：从代数方程的解法到群论，代数学的扩张。</w:t>
            </w:r>
          </w:p>
          <w:p w14:paraId="52E39783">
            <w:pPr>
              <w:spacing w:line="264" w:lineRule="auto"/>
              <w:jc w:val="left"/>
              <w:rPr>
                <w:rFonts w:hint="eastAsia" w:ascii="宋体" w:hAnsi="宋体" w:eastAsia="宋体" w:cs="Times New Roman"/>
                <w:b/>
                <w:color w:val="000000"/>
                <w:szCs w:val="21"/>
              </w:rPr>
            </w:pPr>
            <w:r>
              <w:rPr>
                <w:rFonts w:hint="eastAsia" w:ascii="宋体" w:hAnsi="宋体" w:eastAsia="宋体" w:cs="Times New Roman"/>
                <w:bCs/>
                <w:color w:val="000000"/>
                <w:szCs w:val="21"/>
              </w:rPr>
              <w:t>（2）教学方法：启发式互动讲授结合多媒体辅助；适当课堂练习；及时了解学生的作业状况并对共同的问题作及时解答；安排好课后答疑。</w:t>
            </w:r>
          </w:p>
        </w:tc>
        <w:tc>
          <w:tcPr>
            <w:tcW w:w="1572" w:type="dxa"/>
            <w:gridSpan w:val="3"/>
            <w:vAlign w:val="center"/>
          </w:tcPr>
          <w:p w14:paraId="00386857">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F078CBA">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2FAE7B1D">
            <w:pPr>
              <w:spacing w:line="264" w:lineRule="auto"/>
              <w:jc w:val="left"/>
              <w:rPr>
                <w:rFonts w:hint="eastAsia" w:ascii="宋体" w:hAnsi="宋体" w:eastAsia="宋体" w:cs="Times New Roman"/>
                <w:b/>
                <w:color w:val="000000"/>
                <w:szCs w:val="21"/>
              </w:rPr>
            </w:pPr>
            <w:r>
              <w:rPr>
                <w:rFonts w:ascii="宋体" w:hAnsi="宋体" w:eastAsia="宋体" w:cs="Times New Roman"/>
                <w:color w:val="000000"/>
                <w:szCs w:val="21"/>
              </w:rPr>
              <w:t>4.单元测验</w:t>
            </w:r>
          </w:p>
        </w:tc>
        <w:tc>
          <w:tcPr>
            <w:tcW w:w="389" w:type="dxa"/>
            <w:gridSpan w:val="2"/>
            <w:vAlign w:val="center"/>
          </w:tcPr>
          <w:p w14:paraId="53B5CA94">
            <w:pPr>
              <w:spacing w:line="264" w:lineRule="auto"/>
              <w:jc w:val="left"/>
              <w:rPr>
                <w:rFonts w:hint="eastAsia" w:ascii="宋体" w:hAnsi="宋体" w:eastAsia="宋体" w:cs="Times New Roman"/>
                <w:b/>
                <w:color w:val="000000"/>
                <w:szCs w:val="21"/>
              </w:rPr>
            </w:pPr>
            <w:r>
              <w:rPr>
                <w:rFonts w:hint="eastAsia" w:ascii="宋体" w:hAnsi="宋体" w:eastAsia="宋体" w:cs="Times New Roman"/>
                <w:bCs/>
                <w:color w:val="000000"/>
                <w:szCs w:val="21"/>
              </w:rPr>
              <w:t>2</w:t>
            </w:r>
          </w:p>
        </w:tc>
      </w:tr>
      <w:tr w14:paraId="01AA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shd w:val="clear" w:color="auto" w:fill="auto"/>
            <w:vAlign w:val="center"/>
          </w:tcPr>
          <w:p w14:paraId="4E77BFFB">
            <w:pPr>
              <w:spacing w:line="264" w:lineRule="auto"/>
              <w:jc w:val="center"/>
              <w:rPr>
                <w:rFonts w:hint="eastAsia" w:ascii="宋体" w:hAnsi="宋体" w:eastAsia="宋体" w:cs="Times New Roman"/>
                <w:color w:val="000000"/>
                <w:szCs w:val="21"/>
              </w:rPr>
            </w:pPr>
          </w:p>
        </w:tc>
        <w:tc>
          <w:tcPr>
            <w:tcW w:w="8093" w:type="dxa"/>
            <w:gridSpan w:val="11"/>
            <w:vAlign w:val="center"/>
          </w:tcPr>
          <w:p w14:paraId="630CEB41">
            <w:pPr>
              <w:spacing w:line="264"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r w14:paraId="5EA2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shd w:val="clear" w:color="auto" w:fill="auto"/>
            <w:vAlign w:val="center"/>
          </w:tcPr>
          <w:p w14:paraId="75C7339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w:t>
            </w:r>
            <w:r>
              <w:rPr>
                <w:rFonts w:ascii="宋体" w:hAnsi="宋体" w:eastAsia="宋体" w:cs="Times New Roman"/>
                <w:color w:val="000000"/>
                <w:szCs w:val="21"/>
              </w:rPr>
              <w:t>现代数学选论</w:t>
            </w:r>
          </w:p>
          <w:p w14:paraId="7613A75C">
            <w:pPr>
              <w:spacing w:line="264" w:lineRule="auto"/>
              <w:jc w:val="center"/>
              <w:rPr>
                <w:rFonts w:hint="eastAsia" w:ascii="宋体" w:hAnsi="宋体" w:eastAsia="宋体" w:cs="Times New Roman"/>
                <w:color w:val="000000"/>
                <w:szCs w:val="21"/>
              </w:rPr>
            </w:pPr>
          </w:p>
        </w:tc>
        <w:tc>
          <w:tcPr>
            <w:tcW w:w="1692" w:type="dxa"/>
            <w:vAlign w:val="center"/>
          </w:tcPr>
          <w:p w14:paraId="6B0868EF">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（1）能够了解泛函分析的诞生</w:t>
            </w:r>
          </w:p>
          <w:p w14:paraId="3CAE840C">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（2）能够知道抽象代数的确立</w:t>
            </w:r>
          </w:p>
          <w:p w14:paraId="0E0C9781">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（3）能够知道拓朴学的起源与发展</w:t>
            </w:r>
          </w:p>
          <w:p w14:paraId="141CECDC">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（4）能够了解应用数学的崛起</w:t>
            </w:r>
          </w:p>
          <w:p w14:paraId="34B761DB">
            <w:pPr>
              <w:spacing w:line="264" w:lineRule="auto"/>
              <w:jc w:val="left"/>
              <w:rPr>
                <w:rFonts w:hint="eastAsia" w:ascii="宋体" w:hAnsi="宋体" w:eastAsia="宋体" w:cs="Times New Roman"/>
                <w:b/>
                <w:color w:val="000000"/>
                <w:szCs w:val="21"/>
              </w:rPr>
            </w:pPr>
            <w:r>
              <w:rPr>
                <w:rFonts w:hint="eastAsia" w:ascii="宋体" w:hAnsi="宋体" w:eastAsia="宋体" w:cs="Times New Roman"/>
                <w:bCs/>
                <w:color w:val="000000"/>
                <w:szCs w:val="21"/>
              </w:rPr>
              <w:t>（5）能够了解计算机与计算数学</w:t>
            </w:r>
          </w:p>
        </w:tc>
        <w:tc>
          <w:tcPr>
            <w:tcW w:w="1200" w:type="dxa"/>
            <w:gridSpan w:val="3"/>
            <w:vAlign w:val="center"/>
          </w:tcPr>
          <w:p w14:paraId="7A31CF4B">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课程目标1、2、3</w:t>
            </w:r>
          </w:p>
        </w:tc>
        <w:tc>
          <w:tcPr>
            <w:tcW w:w="3264" w:type="dxa"/>
            <w:gridSpan w:val="3"/>
            <w:vAlign w:val="center"/>
          </w:tcPr>
          <w:p w14:paraId="63EA6E0D">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（1）重点与难点：应用数学的崛起，泛函分析的诞生，抽象代数的确立。</w:t>
            </w:r>
          </w:p>
          <w:p w14:paraId="338CC1AA">
            <w:pPr>
              <w:spacing w:line="264" w:lineRule="auto"/>
              <w:jc w:val="left"/>
              <w:rPr>
                <w:rFonts w:hint="eastAsia" w:ascii="宋体" w:hAnsi="宋体" w:eastAsia="宋体" w:cs="Times New Roman"/>
                <w:b/>
                <w:color w:val="000000"/>
                <w:szCs w:val="21"/>
              </w:rPr>
            </w:pPr>
            <w:r>
              <w:rPr>
                <w:rFonts w:hint="eastAsia" w:ascii="宋体" w:hAnsi="宋体" w:eastAsia="宋体" w:cs="Times New Roman"/>
                <w:bCs/>
                <w:color w:val="000000"/>
                <w:szCs w:val="21"/>
              </w:rPr>
              <w:t>（2）教学方法：启发式互动讲授结合多媒体辅助；适当课堂练习；及时了解学生的作业状况并对共同的问题作及时解答；安排好课后答疑。</w:t>
            </w:r>
          </w:p>
        </w:tc>
        <w:tc>
          <w:tcPr>
            <w:tcW w:w="1572" w:type="dxa"/>
            <w:gridSpan w:val="3"/>
            <w:vAlign w:val="center"/>
          </w:tcPr>
          <w:p w14:paraId="39EE6189">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920A941">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4509C5FB">
            <w:pPr>
              <w:spacing w:line="264" w:lineRule="auto"/>
              <w:jc w:val="left"/>
              <w:rPr>
                <w:rFonts w:hint="eastAsia" w:ascii="宋体" w:hAnsi="宋体" w:eastAsia="宋体" w:cs="Times New Roman"/>
                <w:b/>
                <w:color w:val="000000"/>
                <w:szCs w:val="21"/>
              </w:rPr>
            </w:pPr>
            <w:r>
              <w:rPr>
                <w:rFonts w:ascii="宋体" w:hAnsi="宋体" w:eastAsia="宋体" w:cs="Times New Roman"/>
                <w:color w:val="000000"/>
                <w:szCs w:val="21"/>
              </w:rPr>
              <w:t>4.单元测验</w:t>
            </w:r>
          </w:p>
        </w:tc>
        <w:tc>
          <w:tcPr>
            <w:tcW w:w="365" w:type="dxa"/>
            <w:vAlign w:val="center"/>
          </w:tcPr>
          <w:p w14:paraId="22FCFDD6">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4</w:t>
            </w:r>
          </w:p>
        </w:tc>
      </w:tr>
      <w:tr w14:paraId="0D6F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shd w:val="clear" w:color="auto" w:fill="auto"/>
            <w:vAlign w:val="center"/>
          </w:tcPr>
          <w:p w14:paraId="227E0675">
            <w:pPr>
              <w:spacing w:line="264" w:lineRule="auto"/>
              <w:jc w:val="center"/>
              <w:rPr>
                <w:rFonts w:hint="eastAsia" w:ascii="宋体" w:hAnsi="宋体" w:eastAsia="宋体" w:cs="Times New Roman"/>
                <w:color w:val="000000"/>
                <w:szCs w:val="21"/>
              </w:rPr>
            </w:pPr>
          </w:p>
        </w:tc>
        <w:tc>
          <w:tcPr>
            <w:tcW w:w="8093" w:type="dxa"/>
            <w:gridSpan w:val="11"/>
            <w:vAlign w:val="center"/>
          </w:tcPr>
          <w:p w14:paraId="57CA7824">
            <w:pPr>
              <w:spacing w:line="264"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Cs w:val="21"/>
              </w:rPr>
              <w:t>注重理论联系实际，尊重客观规律，树立社会主义核心价值观，增强专业素养，强调理论对实践的指导意义。</w:t>
            </w:r>
          </w:p>
        </w:tc>
      </w:tr>
    </w:tbl>
    <w:p w14:paraId="17413F49">
      <w:pPr>
        <w:spacing w:line="360" w:lineRule="auto"/>
        <w:jc w:val="left"/>
        <w:rPr>
          <w:rFonts w:ascii="Times New Roman" w:hAnsi="Times New Roman" w:eastAsia="宋体" w:cs="Times New Roman"/>
          <w:sz w:val="24"/>
        </w:rPr>
      </w:pPr>
    </w:p>
    <w:p w14:paraId="3D259BD3">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66D7D25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0ADCBB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66C2EF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056"/>
        <w:gridCol w:w="1056"/>
        <w:gridCol w:w="1167"/>
      </w:tblGrid>
      <w:tr w14:paraId="6B6B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1F51FE7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2112" w:type="dxa"/>
            <w:gridSpan w:val="2"/>
            <w:vAlign w:val="center"/>
          </w:tcPr>
          <w:p w14:paraId="279BE693">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67" w:type="dxa"/>
            <w:vMerge w:val="restart"/>
            <w:vAlign w:val="center"/>
          </w:tcPr>
          <w:p w14:paraId="22E94E3D">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DF5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0B5675B8">
            <w:pPr>
              <w:spacing w:line="360" w:lineRule="auto"/>
              <w:jc w:val="center"/>
              <w:rPr>
                <w:rFonts w:hint="eastAsia" w:ascii="宋体" w:hAnsi="宋体" w:eastAsia="宋体" w:cs="Times New Roman"/>
                <w:szCs w:val="21"/>
              </w:rPr>
            </w:pPr>
          </w:p>
        </w:tc>
        <w:tc>
          <w:tcPr>
            <w:tcW w:w="1056" w:type="dxa"/>
            <w:vAlign w:val="center"/>
          </w:tcPr>
          <w:p w14:paraId="0EEED69C">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056" w:type="dxa"/>
            <w:vAlign w:val="center"/>
          </w:tcPr>
          <w:p w14:paraId="7BABCC13">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167" w:type="dxa"/>
            <w:vMerge w:val="continue"/>
            <w:vAlign w:val="center"/>
          </w:tcPr>
          <w:p w14:paraId="08C0F7F5">
            <w:pPr>
              <w:spacing w:line="360" w:lineRule="auto"/>
              <w:jc w:val="center"/>
              <w:rPr>
                <w:rFonts w:hint="eastAsia" w:ascii="宋体" w:hAnsi="宋体" w:eastAsia="宋体" w:cs="Times New Roman"/>
                <w:szCs w:val="21"/>
              </w:rPr>
            </w:pPr>
          </w:p>
        </w:tc>
      </w:tr>
      <w:tr w14:paraId="249B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EE585C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056" w:type="dxa"/>
            <w:vAlign w:val="center"/>
          </w:tcPr>
          <w:p w14:paraId="764A6EB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20868F0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67" w:type="dxa"/>
            <w:vAlign w:val="center"/>
          </w:tcPr>
          <w:p w14:paraId="652A58C2">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6B3E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EE2C2F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056" w:type="dxa"/>
            <w:vAlign w:val="center"/>
          </w:tcPr>
          <w:p w14:paraId="2C5DA33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1F4B650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67" w:type="dxa"/>
            <w:vAlign w:val="center"/>
          </w:tcPr>
          <w:p w14:paraId="2A6E79AF">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7D90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78C91B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056" w:type="dxa"/>
            <w:vAlign w:val="center"/>
          </w:tcPr>
          <w:p w14:paraId="16BF2B5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3EEF81B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67" w:type="dxa"/>
            <w:vAlign w:val="center"/>
          </w:tcPr>
          <w:p w14:paraId="0550887A">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1AC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7543AA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056" w:type="dxa"/>
            <w:vAlign w:val="center"/>
          </w:tcPr>
          <w:p w14:paraId="655AEE0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6C69BEA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67" w:type="dxa"/>
            <w:vAlign w:val="center"/>
          </w:tcPr>
          <w:p w14:paraId="2FC41D81">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8AD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AB6FE9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1056" w:type="dxa"/>
            <w:vAlign w:val="center"/>
          </w:tcPr>
          <w:p w14:paraId="4950AAD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36B79DE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67" w:type="dxa"/>
            <w:vAlign w:val="center"/>
          </w:tcPr>
          <w:p w14:paraId="3D30800E">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BE9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E2AC1C7">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056" w:type="dxa"/>
            <w:vAlign w:val="center"/>
          </w:tcPr>
          <w:p w14:paraId="4958F8B6">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1056" w:type="dxa"/>
            <w:vAlign w:val="center"/>
          </w:tcPr>
          <w:p w14:paraId="754A3D0C">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1167" w:type="dxa"/>
            <w:vAlign w:val="center"/>
          </w:tcPr>
          <w:p w14:paraId="3C14FAE2">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791C8EB">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ED5999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37214D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BA7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7A97486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8C1D42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EF5180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BB2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399F76E">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54B622EF">
            <w:pPr>
              <w:spacing w:line="264" w:lineRule="auto"/>
              <w:jc w:val="left"/>
              <w:rPr>
                <w:rFonts w:ascii="Times New Roman" w:hAnsi="Times New Roman" w:eastAsia="宋体" w:cs="Times New Roman"/>
                <w:szCs w:val="21"/>
              </w:rPr>
            </w:pPr>
            <w:r>
              <w:rPr>
                <w:rFonts w:ascii="Times New Roman" w:hAnsi="Times New Roman" w:eastAsia="宋体" w:cs="Times New Roman"/>
                <w:lang w:bidi="ar"/>
              </w:rPr>
              <w:t>课堂不定期点名，考核出勤情况并打分。</w:t>
            </w:r>
            <w:r>
              <w:rPr>
                <w:rFonts w:ascii="Times New Roman" w:hAnsi="Times New Roman" w:eastAsia="宋体" w:cs="Times New Roman"/>
              </w:rPr>
              <w:t>课堂不定期通过提问或小练习实施师生互动，考核考核学生课堂学习情况，按照互动情况打分。</w:t>
            </w:r>
            <w:r>
              <w:rPr>
                <w:rFonts w:ascii="Times New Roman" w:hAnsi="Times New Roman" w:eastAsia="宋体" w:cs="Times New Roman"/>
                <w:lang w:bidi="ar"/>
              </w:rPr>
              <w:t>定期布置习题，考核学生对所学知识点的复习、理解和掌握度。对作业完成情况做记录并百分制打分，计算作业的平均成绩。</w:t>
            </w:r>
          </w:p>
        </w:tc>
        <w:tc>
          <w:tcPr>
            <w:tcW w:w="0" w:type="auto"/>
            <w:vAlign w:val="center"/>
          </w:tcPr>
          <w:p w14:paraId="6A66FAD8">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4F5F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DF688AC">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05E6185D">
            <w:pPr>
              <w:jc w:val="left"/>
              <w:rPr>
                <w:rFonts w:ascii="Times New Roman" w:hAnsi="Times New Roman" w:eastAsia="宋体" w:cs="Times New Roman"/>
                <w:szCs w:val="21"/>
              </w:rPr>
            </w:pPr>
            <w:r>
              <w:rPr>
                <w:rFonts w:ascii="Times New Roman" w:hAnsi="Times New Roman" w:eastAsia="宋体" w:cs="Times New Roman"/>
                <w:lang w:bidi="ar"/>
              </w:rPr>
              <w:t>试卷题型包括选择题、计算题、解答题等。</w:t>
            </w:r>
          </w:p>
        </w:tc>
        <w:tc>
          <w:tcPr>
            <w:tcW w:w="0" w:type="auto"/>
            <w:vAlign w:val="center"/>
          </w:tcPr>
          <w:p w14:paraId="67414E25">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084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C60489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4CE886E">
            <w:pPr>
              <w:jc w:val="left"/>
              <w:rPr>
                <w:rFonts w:ascii="Times New Roman" w:hAnsi="Times New Roman" w:eastAsia="宋体" w:cs="Times New Roman"/>
                <w:szCs w:val="21"/>
              </w:rPr>
            </w:pPr>
          </w:p>
        </w:tc>
        <w:tc>
          <w:tcPr>
            <w:tcW w:w="0" w:type="auto"/>
            <w:vAlign w:val="center"/>
          </w:tcPr>
          <w:p w14:paraId="02548BD4">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5FB06C4">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0A3F385C">
      <w:pPr>
        <w:spacing w:before="156" w:beforeLines="50" w:line="360" w:lineRule="auto"/>
        <w:ind w:firstLine="480" w:firstLineChars="200"/>
        <w:jc w:val="left"/>
        <w:rPr>
          <w:rFonts w:hint="eastAsia" w:ascii="宋体" w:hAnsi="宋体" w:eastAsia="宋体" w:cs="Times New Roman"/>
          <w:color w:val="000000"/>
          <w:szCs w:val="21"/>
        </w:rPr>
      </w:pPr>
      <w:r>
        <w:rPr>
          <w:rFonts w:ascii="Times New Roman" w:hAnsi="Times New Roman" w:eastAsia="宋体" w:cs="Times New Roman"/>
          <w:sz w:val="24"/>
        </w:rPr>
        <w:t>课程总评成绩=出勤情况成绩×10% +师生互动成绩×10% +作业成绩×30%+期末考试成绩×50%。</w:t>
      </w:r>
    </w:p>
    <w:p w14:paraId="3661D9C0">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p>
    <w:p w14:paraId="62EB6CDA">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7CBBCBE5">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B46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4B8A1530">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0B5BBC2A">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594E560C">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D47EC71">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16AB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A0EDFE4">
            <w:pPr>
              <w:spacing w:line="276" w:lineRule="auto"/>
              <w:jc w:val="left"/>
              <w:rPr>
                <w:rFonts w:hint="eastAsia" w:ascii="宋体" w:hAnsi="宋体" w:eastAsia="宋体" w:cs="宋体"/>
                <w:szCs w:val="21"/>
              </w:rPr>
            </w:pPr>
            <w:r>
              <w:rPr>
                <w:rFonts w:ascii="宋体" w:hAnsi="宋体" w:eastAsia="宋体" w:cs="宋体"/>
                <w:szCs w:val="21"/>
              </w:rPr>
              <w:t>数学概念的历史重构</w:t>
            </w:r>
          </w:p>
        </w:tc>
        <w:tc>
          <w:tcPr>
            <w:tcW w:w="3407" w:type="dxa"/>
            <w:vAlign w:val="center"/>
          </w:tcPr>
          <w:p w14:paraId="47AFFEE7">
            <w:pPr>
              <w:spacing w:line="276" w:lineRule="auto"/>
              <w:jc w:val="left"/>
              <w:rPr>
                <w:rFonts w:hint="eastAsia" w:ascii="宋体" w:hAnsi="宋体" w:eastAsia="宋体" w:cs="宋体"/>
                <w:szCs w:val="21"/>
              </w:rPr>
            </w:pPr>
            <w:r>
              <w:rPr>
                <w:rFonts w:ascii="宋体" w:hAnsi="宋体" w:eastAsia="宋体" w:cs="宋体"/>
                <w:szCs w:val="21"/>
              </w:rPr>
              <w:t>选取中小学核心概念（如负数、勾股定理、函数），梳理其历史演进过程，设计基于历史脉络的教学案例。分组制作微课视频，对比古今方法（如《九章算术》vs 现代方程解法），分析学生认知难点。</w:t>
            </w:r>
          </w:p>
        </w:tc>
        <w:tc>
          <w:tcPr>
            <w:tcW w:w="740" w:type="dxa"/>
            <w:vAlign w:val="center"/>
          </w:tcPr>
          <w:p w14:paraId="45D2ABED">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3E1A6BEE">
            <w:pPr>
              <w:spacing w:line="276" w:lineRule="auto"/>
              <w:jc w:val="left"/>
              <w:rPr>
                <w:rFonts w:hint="eastAsia" w:ascii="宋体" w:hAnsi="宋体" w:eastAsia="宋体" w:cs="宋体"/>
                <w:szCs w:val="21"/>
              </w:rPr>
            </w:pPr>
            <w:r>
              <w:rPr>
                <w:rFonts w:ascii="Times New Roman" w:hAnsi="Times New Roman" w:eastAsia="宋体" w:cs="Times New Roman"/>
                <w:szCs w:val="21"/>
              </w:rPr>
              <w:t>注重理论联系实际，尊重客观规律，树立社会主义核心价值观，增强专业素养，强调理论对实践的指导意义。</w:t>
            </w:r>
          </w:p>
        </w:tc>
      </w:tr>
      <w:tr w14:paraId="4735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57DF021">
            <w:pPr>
              <w:spacing w:line="276" w:lineRule="auto"/>
              <w:jc w:val="left"/>
              <w:rPr>
                <w:rFonts w:hint="eastAsia" w:ascii="宋体" w:hAnsi="宋体" w:eastAsia="宋体" w:cs="宋体"/>
                <w:szCs w:val="21"/>
              </w:rPr>
            </w:pPr>
            <w:r>
              <w:rPr>
                <w:rFonts w:ascii="宋体" w:hAnsi="宋体" w:eastAsia="宋体" w:cs="宋体"/>
                <w:szCs w:val="21"/>
              </w:rPr>
              <w:t>数学文化课堂活动设计</w:t>
            </w:r>
          </w:p>
        </w:tc>
        <w:tc>
          <w:tcPr>
            <w:tcW w:w="3407" w:type="dxa"/>
            <w:vAlign w:val="center"/>
          </w:tcPr>
          <w:p w14:paraId="0B720E43">
            <w:pPr>
              <w:spacing w:line="276" w:lineRule="auto"/>
              <w:jc w:val="left"/>
              <w:rPr>
                <w:rFonts w:hint="eastAsia" w:ascii="宋体" w:hAnsi="宋体" w:eastAsia="宋体" w:cs="宋体"/>
                <w:szCs w:val="21"/>
              </w:rPr>
            </w:pPr>
            <w:r>
              <w:rPr>
                <w:rFonts w:ascii="宋体" w:hAnsi="宋体" w:eastAsia="宋体" w:cs="宋体"/>
                <w:szCs w:val="21"/>
              </w:rPr>
              <w:t>结合数学史上的多元文化（如巴比伦六十进制、阿拉伯代数、中国算筹），设计跨学科主题活动。模拟"数学博物馆"课堂，学生角色扮演历史数学家，制作文化展板或互动游戏。</w:t>
            </w:r>
          </w:p>
        </w:tc>
        <w:tc>
          <w:tcPr>
            <w:tcW w:w="740" w:type="dxa"/>
            <w:vAlign w:val="center"/>
          </w:tcPr>
          <w:p w14:paraId="3199E5E0">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78148B6D">
            <w:pPr>
              <w:spacing w:line="276" w:lineRule="auto"/>
              <w:jc w:val="left"/>
              <w:rPr>
                <w:rFonts w:hint="eastAsia" w:ascii="宋体" w:hAnsi="宋体" w:eastAsia="宋体" w:cs="宋体"/>
                <w:szCs w:val="21"/>
              </w:rPr>
            </w:pPr>
            <w:r>
              <w:rPr>
                <w:rFonts w:ascii="Times New Roman" w:hAnsi="Times New Roman" w:eastAsia="宋体" w:cs="Times New Roman"/>
                <w:szCs w:val="21"/>
              </w:rPr>
              <w:t>注重理论联系实际，尊重客观规律，树立社会主义核心价值观，增强专业素养，强调理论对实践的指导意义。</w:t>
            </w:r>
          </w:p>
        </w:tc>
      </w:tr>
      <w:tr w14:paraId="58FC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7C427B2">
            <w:pPr>
              <w:spacing w:line="276" w:lineRule="auto"/>
              <w:jc w:val="left"/>
              <w:rPr>
                <w:rFonts w:hint="eastAsia" w:ascii="宋体" w:hAnsi="宋体" w:eastAsia="宋体" w:cs="宋体"/>
                <w:szCs w:val="21"/>
              </w:rPr>
            </w:pPr>
            <w:r>
              <w:rPr>
                <w:rFonts w:ascii="宋体" w:hAnsi="宋体" w:eastAsia="宋体" w:cs="宋体"/>
                <w:szCs w:val="21"/>
              </w:rPr>
              <w:t>历史名题的教学转化研究</w:t>
            </w:r>
          </w:p>
        </w:tc>
        <w:tc>
          <w:tcPr>
            <w:tcW w:w="3407" w:type="dxa"/>
            <w:vAlign w:val="center"/>
          </w:tcPr>
          <w:p w14:paraId="3B33D2FF">
            <w:pPr>
              <w:spacing w:line="276" w:lineRule="auto"/>
              <w:jc w:val="left"/>
              <w:rPr>
                <w:rFonts w:hint="eastAsia" w:ascii="宋体" w:hAnsi="宋体" w:eastAsia="宋体" w:cs="宋体"/>
                <w:szCs w:val="21"/>
              </w:rPr>
            </w:pPr>
            <w:r>
              <w:rPr>
                <w:rFonts w:ascii="宋体" w:hAnsi="宋体" w:eastAsia="宋体" w:cs="宋体"/>
                <w:szCs w:val="21"/>
              </w:rPr>
              <w:t>精选经典问题（如费马点、哥尼斯堡七桥），开发适合中学课堂的探究式教案。实地试讲并录制教学片段，撰写反思报告，对比历史解法与教材编排差异。</w:t>
            </w:r>
          </w:p>
        </w:tc>
        <w:tc>
          <w:tcPr>
            <w:tcW w:w="740" w:type="dxa"/>
            <w:vAlign w:val="center"/>
          </w:tcPr>
          <w:p w14:paraId="4E3259E0">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7CAECD06">
            <w:pPr>
              <w:spacing w:line="276" w:lineRule="auto"/>
              <w:jc w:val="left"/>
              <w:rPr>
                <w:rFonts w:hint="eastAsia" w:ascii="宋体" w:hAnsi="宋体" w:eastAsia="宋体" w:cs="宋体"/>
                <w:szCs w:val="21"/>
              </w:rPr>
            </w:pPr>
            <w:r>
              <w:rPr>
                <w:rFonts w:ascii="Times New Roman" w:hAnsi="Times New Roman" w:eastAsia="宋体" w:cs="Times New Roman"/>
                <w:szCs w:val="21"/>
              </w:rPr>
              <w:t>注重理论联系实际，尊重客观规律，树立社会主义核心价值观，增强专业素养，强调理论对实践的指导意义。</w:t>
            </w:r>
          </w:p>
        </w:tc>
      </w:tr>
      <w:tr w14:paraId="4320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6403CE6F">
            <w:pPr>
              <w:spacing w:line="276" w:lineRule="auto"/>
              <w:jc w:val="left"/>
              <w:rPr>
                <w:rFonts w:hint="eastAsia" w:ascii="宋体" w:hAnsi="宋体" w:eastAsia="宋体" w:cs="宋体"/>
                <w:szCs w:val="21"/>
              </w:rPr>
            </w:pPr>
            <w:r>
              <w:rPr>
                <w:rFonts w:ascii="宋体" w:hAnsi="宋体" w:eastAsia="宋体" w:cs="宋体"/>
                <w:szCs w:val="21"/>
              </w:rPr>
              <w:t>信息技术辅助数学史教学</w:t>
            </w:r>
          </w:p>
        </w:tc>
        <w:tc>
          <w:tcPr>
            <w:tcW w:w="3407" w:type="dxa"/>
            <w:vAlign w:val="center"/>
          </w:tcPr>
          <w:p w14:paraId="01136739">
            <w:pPr>
              <w:spacing w:line="276" w:lineRule="auto"/>
              <w:jc w:val="left"/>
              <w:rPr>
                <w:rFonts w:hint="eastAsia" w:ascii="宋体" w:hAnsi="宋体" w:eastAsia="宋体" w:cs="宋体"/>
                <w:szCs w:val="21"/>
              </w:rPr>
            </w:pPr>
            <w:r>
              <w:rPr>
                <w:rFonts w:ascii="宋体" w:hAnsi="宋体" w:eastAsia="宋体" w:cs="宋体"/>
                <w:szCs w:val="21"/>
              </w:rPr>
              <w:t>利用动态几何软件（Geogebra）、时间轴工具还原历史工具（如阿基米德杠杆证明）。创建数字化教学资源包，包含动画、交互式习题及历史文献摘录。</w:t>
            </w:r>
          </w:p>
        </w:tc>
        <w:tc>
          <w:tcPr>
            <w:tcW w:w="740" w:type="dxa"/>
            <w:vAlign w:val="center"/>
          </w:tcPr>
          <w:p w14:paraId="606BA296">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1C494D21">
            <w:pPr>
              <w:spacing w:line="276" w:lineRule="auto"/>
              <w:jc w:val="left"/>
              <w:rPr>
                <w:rFonts w:hint="eastAsia" w:ascii="宋体" w:hAnsi="宋体" w:eastAsia="宋体" w:cs="宋体"/>
                <w:szCs w:val="21"/>
              </w:rPr>
            </w:pPr>
            <w:r>
              <w:rPr>
                <w:rFonts w:ascii="Times New Roman" w:hAnsi="Times New Roman" w:eastAsia="宋体" w:cs="Times New Roman"/>
                <w:szCs w:val="21"/>
              </w:rPr>
              <w:t>注重理论联系实际，尊重客观规律，树立社会主义核心价值观，增强专业素养，强调理论对实践的指导意义。</w:t>
            </w:r>
          </w:p>
        </w:tc>
      </w:tr>
    </w:tbl>
    <w:p w14:paraId="59AD7BE3">
      <w:pPr>
        <w:spacing w:line="360" w:lineRule="auto"/>
        <w:ind w:firstLine="551" w:firstLineChars="196"/>
        <w:jc w:val="left"/>
        <w:rPr>
          <w:rFonts w:hint="eastAsia" w:ascii="宋体" w:hAnsi="宋体" w:eastAsia="宋体" w:cs="Times New Roman"/>
          <w:b/>
          <w:color w:val="000000"/>
          <w:sz w:val="28"/>
          <w:szCs w:val="28"/>
        </w:rPr>
      </w:pPr>
    </w:p>
    <w:p w14:paraId="6F7697DE">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六、有关说明</w:t>
      </w:r>
    </w:p>
    <w:p w14:paraId="33AD08C6">
      <w:pPr>
        <w:spacing w:line="360" w:lineRule="auto"/>
        <w:ind w:firstLine="422" w:firstLineChars="200"/>
        <w:rPr>
          <w:rFonts w:ascii="Times New Roman" w:hAnsi="Times New Roman" w:eastAsia="宋体" w:cs="Times New Roman"/>
          <w:b/>
          <w:color w:val="000000"/>
          <w:szCs w:val="21"/>
        </w:rPr>
      </w:pPr>
      <w:r>
        <w:rPr>
          <w:rFonts w:ascii="Times New Roman" w:hAnsi="Times New Roman" w:eastAsia="宋体" w:cs="Times New Roman"/>
          <w:b/>
          <w:color w:val="000000"/>
          <w:szCs w:val="21"/>
        </w:rPr>
        <w:t>（一）持续改进</w:t>
      </w:r>
    </w:p>
    <w:p w14:paraId="103667C7">
      <w:pPr>
        <w:spacing w:line="360" w:lineRule="auto"/>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1. 提倡改革教学方法，强调应用现代化教学手段，如课件、互联网视频教学和网络答疑等。</w:t>
      </w:r>
    </w:p>
    <w:p w14:paraId="1237FA96">
      <w:pPr>
        <w:spacing w:line="360" w:lineRule="auto"/>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2.合理安排教学课时，加强课堂提问、课堂小测验等旨在督促学生自主学习的教学环节；引导学生做好课前预习、课后整理笔记并及时完成作业的复习工作；保证学生完成一定数量的作业和习题。</w:t>
      </w:r>
    </w:p>
    <w:p w14:paraId="0895164D">
      <w:pPr>
        <w:spacing w:line="360" w:lineRule="auto"/>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3．教学用的例题和习题，应适当结合工程实际。</w:t>
      </w:r>
    </w:p>
    <w:p w14:paraId="5A85383A">
      <w:pPr>
        <w:spacing w:line="360" w:lineRule="auto"/>
        <w:ind w:firstLine="422" w:firstLineChars="200"/>
        <w:rPr>
          <w:rFonts w:ascii="Times New Roman" w:hAnsi="Times New Roman" w:eastAsia="宋体" w:cs="Times New Roman"/>
          <w:b/>
          <w:color w:val="000000"/>
          <w:szCs w:val="21"/>
        </w:rPr>
      </w:pPr>
      <w:r>
        <w:rPr>
          <w:rFonts w:ascii="Times New Roman" w:hAnsi="Times New Roman" w:eastAsia="宋体" w:cs="Times New Roman"/>
          <w:b/>
          <w:color w:val="000000"/>
          <w:szCs w:val="21"/>
        </w:rPr>
        <w:t>（二）参考书目及学习资料</w:t>
      </w:r>
    </w:p>
    <w:p w14:paraId="43CAE203">
      <w:pPr>
        <w:spacing w:line="300" w:lineRule="auto"/>
        <w:ind w:firstLine="420" w:firstLineChars="200"/>
        <w:rPr>
          <w:rFonts w:ascii="Times New Roman" w:hAnsi="Times New Roman" w:eastAsia="宋体" w:cs="Times New Roman"/>
          <w:kern w:val="10"/>
          <w:szCs w:val="21"/>
        </w:rPr>
      </w:pPr>
      <w:r>
        <w:rPr>
          <w:rFonts w:ascii="Times New Roman" w:hAnsi="Times New Roman" w:eastAsia="宋体" w:cs="Times New Roman"/>
          <w:szCs w:val="21"/>
        </w:rPr>
        <w:t>1．朱家生 数学史（第2版）北京：高等教育出版社，2011.</w:t>
      </w:r>
    </w:p>
    <w:p w14:paraId="594D57DE">
      <w:pPr>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  李文林 数学史概论      北京：高等教育出版社，2000.</w:t>
      </w:r>
    </w:p>
    <w:p w14:paraId="0730C422">
      <w:pPr>
        <w:spacing w:line="300" w:lineRule="auto"/>
        <w:ind w:firstLine="420" w:firstLineChars="200"/>
        <w:rPr>
          <w:rFonts w:ascii="Times New Roman" w:hAnsi="Times New Roman" w:eastAsia="宋体" w:cs="Times New Roman"/>
          <w:szCs w:val="21"/>
        </w:rPr>
      </w:pPr>
    </w:p>
    <w:p w14:paraId="74E0EFB7">
      <w:pPr>
        <w:spacing w:line="300" w:lineRule="auto"/>
        <w:ind w:firstLine="420" w:firstLineChars="200"/>
        <w:rPr>
          <w:rFonts w:ascii="Times New Roman" w:hAnsi="Times New Roman" w:eastAsia="宋体" w:cs="Times New Roman"/>
          <w:szCs w:val="21"/>
        </w:rPr>
      </w:pPr>
    </w:p>
    <w:p w14:paraId="7459357D">
      <w:pPr>
        <w:spacing w:line="300" w:lineRule="auto"/>
        <w:ind w:firstLine="420" w:firstLineChars="200"/>
        <w:rPr>
          <w:rFonts w:ascii="Times New Roman" w:hAnsi="Times New Roman" w:eastAsia="宋体" w:cs="Times New Roman"/>
          <w:szCs w:val="21"/>
        </w:rPr>
      </w:pPr>
    </w:p>
    <w:p w14:paraId="1D65FFE9">
      <w:pPr>
        <w:jc w:val="right"/>
        <w:rPr>
          <w:rFonts w:ascii="Times New Roman" w:hAnsi="Times New Roman" w:eastAsia="宋体" w:cs="Times New Roman"/>
          <w:sz w:val="24"/>
        </w:rPr>
      </w:pPr>
      <w:r>
        <w:rPr>
          <w:rFonts w:hint="eastAsia" w:ascii="Times New Roman" w:hAnsi="Times New Roman" w:eastAsia="宋体" w:cs="Times New Roman"/>
          <w:sz w:val="24"/>
        </w:rPr>
        <w:t xml:space="preserve">    执 笔 人：王志芳</w:t>
      </w:r>
    </w:p>
    <w:p w14:paraId="6D175F17">
      <w:pPr>
        <w:jc w:val="center"/>
        <w:rPr>
          <w:rFonts w:ascii="Times New Roman" w:hAnsi="Times New Roman" w:eastAsia="宋体" w:cs="Times New Roman"/>
          <w:sz w:val="24"/>
        </w:rPr>
      </w:pPr>
      <w:r>
        <w:rPr>
          <w:rFonts w:hint="eastAsia" w:ascii="Times New Roman" w:hAnsi="Times New Roman" w:eastAsia="宋体" w:cs="Times New Roman"/>
          <w:sz w:val="24"/>
        </w:rPr>
        <w:t xml:space="preserve">                                                  审 定 人：钱峰</w:t>
      </w:r>
    </w:p>
    <w:p w14:paraId="34A7E034">
      <w:pPr>
        <w:autoSpaceDE w:val="0"/>
        <w:autoSpaceDN w:val="0"/>
        <w:adjustRightInd w:val="0"/>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 xml:space="preserve">                     审 批 人：</w:t>
      </w:r>
      <w:r>
        <w:rPr>
          <w:rFonts w:ascii="Times New Roman" w:hAnsi="Times New Roman" w:eastAsia="宋体" w:cs="Times New Roman"/>
          <w:kern w:val="0"/>
          <w:sz w:val="24"/>
          <w:szCs w:val="21"/>
        </w:rPr>
        <w:t>王献东</w:t>
      </w:r>
    </w:p>
    <w:p w14:paraId="275105A1">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1 日</w:t>
      </w:r>
    </w:p>
    <w:p w14:paraId="6A51CA0D">
      <w:pPr>
        <w:rPr>
          <w:rFonts w:ascii="Times New Roman" w:hAnsi="Times New Roman" w:eastAsia="宋体" w:cs="Times New Roman"/>
          <w:sz w:val="24"/>
        </w:rPr>
      </w:pPr>
      <w:r>
        <w:rPr>
          <w:rFonts w:hint="eastAsia" w:ascii="Times New Roman" w:hAnsi="Times New Roman" w:eastAsia="宋体" w:cs="Times New Roman"/>
          <w:sz w:val="24"/>
        </w:rPr>
        <w:br w:type="page"/>
      </w:r>
    </w:p>
    <w:p w14:paraId="5EC14962">
      <w:pPr>
        <w:spacing w:line="360" w:lineRule="auto"/>
        <w:jc w:val="right"/>
        <w:rPr>
          <w:rFonts w:ascii="Times New Roman" w:hAnsi="Times New Roman" w:eastAsia="宋体" w:cs="Times New Roman"/>
          <w:sz w:val="24"/>
        </w:rPr>
        <w:sectPr>
          <w:pgSz w:w="11906" w:h="16838"/>
          <w:pgMar w:top="1440" w:right="1800" w:bottom="1440" w:left="1800" w:header="851" w:footer="992" w:gutter="0"/>
          <w:cols w:space="425" w:num="1"/>
          <w:docGrid w:type="lines" w:linePitch="312" w:charSpace="0"/>
        </w:sectPr>
      </w:pPr>
    </w:p>
    <w:p w14:paraId="38292DB0">
      <w:pPr>
        <w:pStyle w:val="2"/>
        <w:bidi w:val="0"/>
      </w:pPr>
      <w:bookmarkStart w:id="245" w:name="_Toc6633"/>
      <w:r>
        <w:rPr>
          <w:rFonts w:hint="eastAsia"/>
        </w:rPr>
        <w:t>《</w:t>
      </w:r>
      <w:r>
        <w:t>计算方法</w:t>
      </w:r>
      <w:r>
        <w:rPr>
          <w:rFonts w:hint="eastAsia"/>
          <w:lang w:eastAsia="zh-CN"/>
        </w:rPr>
        <w:t>》</w:t>
      </w:r>
      <w:r>
        <w:t>课程教学大纲</w:t>
      </w:r>
      <w:bookmarkEnd w:id="245"/>
    </w:p>
    <w:p w14:paraId="1ECA80CC">
      <w:pPr>
        <w:spacing w:line="360" w:lineRule="auto"/>
        <w:ind w:firstLine="2711" w:firstLineChars="900"/>
        <w:jc w:val="left"/>
        <w:rPr>
          <w:rFonts w:ascii="Times New Roman" w:hAnsi="Times New Roman" w:eastAsia="宋体" w:cs="Times New Roman"/>
          <w:b/>
          <w:bCs/>
          <w:sz w:val="30"/>
        </w:rPr>
      </w:pPr>
      <w:r>
        <w:rPr>
          <w:rFonts w:ascii="Times New Roman" w:hAnsi="Times New Roman" w:eastAsia="宋体" w:cs="Times New Roman"/>
          <w:b/>
          <w:bCs/>
          <w:sz w:val="30"/>
        </w:rPr>
        <w:t>（Calculation Method）</w:t>
      </w:r>
    </w:p>
    <w:p w14:paraId="59BBCD0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课程名称：计算方法课程</w:t>
      </w:r>
    </w:p>
    <w:p w14:paraId="14B4705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课程代码：0821018</w:t>
      </w:r>
    </w:p>
    <w:p w14:paraId="694760D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725A4B9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时：48（其中：讲授学时32  ， 实验学时16  ，上机学时0）</w:t>
      </w:r>
    </w:p>
    <w:p w14:paraId="0D1341B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先修课程：数学分析，高等代数等</w:t>
      </w:r>
    </w:p>
    <w:p w14:paraId="36CBE8C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适用专业：小学教育（理）专业</w:t>
      </w:r>
    </w:p>
    <w:p w14:paraId="47AD42ED">
      <w:pPr>
        <w:spacing w:line="360" w:lineRule="auto"/>
        <w:jc w:val="left"/>
        <w:rPr>
          <w:rFonts w:ascii="Times New Roman" w:hAnsi="Times New Roman" w:eastAsia="宋体" w:cs="Times New Roman"/>
          <w:b/>
          <w:sz w:val="24"/>
        </w:rPr>
      </w:pPr>
    </w:p>
    <w:p w14:paraId="5CED5FE1">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19841627">
      <w:pPr>
        <w:spacing w:line="360" w:lineRule="auto"/>
        <w:jc w:val="left"/>
        <w:rPr>
          <w:rFonts w:hint="eastAsia" w:ascii="宋体" w:hAnsi="宋体" w:eastAsia="宋体" w:cs="Times New Roman"/>
          <w:bCs/>
          <w:color w:val="000000"/>
          <w:szCs w:val="21"/>
        </w:rPr>
      </w:pPr>
      <w:r>
        <w:rPr>
          <w:rFonts w:ascii="宋体" w:hAnsi="宋体" w:eastAsia="宋体" w:cs="Times New Roman"/>
          <w:bCs/>
          <w:color w:val="000000"/>
          <w:szCs w:val="21"/>
        </w:rPr>
        <w:t>本课程是小学教育（理）专业的一门重要基础课。通过本课程的学习，使学生系统地获得计算方法的基本知识、必要的基础理论；提高学生的数学视野、数学思维能力、逻辑推理能力；提高学生的数学素养，为学生学习后续相关课程及终身学习奠定必要的数学基础。</w:t>
      </w:r>
    </w:p>
    <w:p w14:paraId="7B52A0B8">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2BECA8C8">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3113D6E6">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bCs/>
          <w:szCs w:val="21"/>
        </w:rPr>
        <w:t>能够获得课程基本概念与性质。</w:t>
      </w:r>
    </w:p>
    <w:p w14:paraId="61281204">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ascii="Times New Roman" w:hAnsi="Times New Roman" w:eastAsia="宋体" w:cs="Times New Roman"/>
          <w:bCs/>
          <w:szCs w:val="21"/>
        </w:rPr>
        <w:t>能够掌握本课程要求的计算方法。</w:t>
      </w:r>
    </w:p>
    <w:p w14:paraId="594802D6">
      <w:pPr>
        <w:spacing w:line="360" w:lineRule="auto"/>
        <w:ind w:firstLine="422" w:firstLineChars="200"/>
        <w:jc w:val="left"/>
        <w:rPr>
          <w:rFonts w:ascii="Times New Roman" w:hAnsi="Times New Roman" w:eastAsia="宋体" w:cs="Times New Roman"/>
          <w:bCs/>
          <w:kern w:val="0"/>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bCs/>
          <w:kern w:val="0"/>
          <w:szCs w:val="21"/>
        </w:rPr>
        <w:t>能够具有一定的抽象概括、逻辑推理等能力。</w:t>
      </w:r>
    </w:p>
    <w:p w14:paraId="3AA1AE59">
      <w:pPr>
        <w:spacing w:line="360" w:lineRule="auto"/>
        <w:ind w:firstLine="422" w:firstLineChars="200"/>
        <w:jc w:val="left"/>
        <w:rPr>
          <w:rFonts w:ascii="Times New Roman" w:hAnsi="Times New Roman" w:eastAsia="宋体" w:cs="Times New Roman"/>
          <w:bCs/>
          <w:kern w:val="0"/>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
          <w:kern w:val="0"/>
          <w:szCs w:val="21"/>
        </w:rPr>
        <w:t>．</w:t>
      </w:r>
      <w:r>
        <w:rPr>
          <w:rFonts w:hint="eastAsia" w:ascii="Times New Roman" w:hAnsi="Times New Roman" w:eastAsia="宋体" w:cs="Times New Roman"/>
          <w:bCs/>
          <w:kern w:val="0"/>
          <w:szCs w:val="21"/>
        </w:rPr>
        <w:t>能够具有一定的运算能力。</w:t>
      </w:r>
    </w:p>
    <w:p w14:paraId="67AA67AB">
      <w:pPr>
        <w:spacing w:line="360" w:lineRule="auto"/>
        <w:ind w:firstLine="422" w:firstLineChars="200"/>
        <w:jc w:val="left"/>
        <w:rPr>
          <w:rFonts w:ascii="Times New Roman" w:hAnsi="Times New Roman" w:eastAsia="宋体" w:cs="Times New Roman"/>
          <w:bCs/>
          <w:kern w:val="0"/>
          <w:szCs w:val="21"/>
        </w:rPr>
      </w:pPr>
      <w:r>
        <w:rPr>
          <w:rFonts w:hint="eastAsia" w:ascii="Times New Roman" w:hAnsi="Times New Roman" w:eastAsia="宋体" w:cs="Times New Roman"/>
          <w:b/>
          <w:szCs w:val="21"/>
        </w:rPr>
        <w:t>目标5</w:t>
      </w:r>
      <w:r>
        <w:rPr>
          <w:rFonts w:hint="eastAsia" w:ascii="Times New Roman" w:hAnsi="Times New Roman" w:eastAsia="宋体" w:cs="Times New Roman"/>
          <w:b/>
          <w:kern w:val="0"/>
          <w:szCs w:val="21"/>
        </w:rPr>
        <w:t>．</w:t>
      </w:r>
      <w:r>
        <w:rPr>
          <w:rFonts w:hint="eastAsia" w:ascii="Times New Roman" w:hAnsi="Times New Roman" w:eastAsia="宋体" w:cs="Times New Roman"/>
          <w:bCs/>
          <w:kern w:val="0"/>
          <w:szCs w:val="21"/>
        </w:rPr>
        <w:t>能够具有一定的数学思维与分析能力。</w:t>
      </w:r>
    </w:p>
    <w:p w14:paraId="0F57F513">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F0A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C61873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48DDE8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19E400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70C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0F5C5A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6FABA57A">
            <w:pPr>
              <w:spacing w:line="276" w:lineRule="auto"/>
              <w:jc w:val="left"/>
              <w:rPr>
                <w:rFonts w:hint="eastAsia" w:ascii="宋体" w:hAnsi="宋体" w:cs="宋体"/>
                <w:szCs w:val="21"/>
              </w:rPr>
            </w:pPr>
            <w:r>
              <w:rPr>
                <w:rFonts w:hint="eastAsia" w:ascii="宋体" w:hAnsi="宋体" w:cs="宋体"/>
                <w:kern w:val="0"/>
                <w:szCs w:val="21"/>
              </w:rPr>
              <w:t>指标点</w:t>
            </w:r>
            <w:r>
              <w:rPr>
                <w:rFonts w:hint="eastAsia" w:ascii="宋体" w:hAnsi="宋体" w:cs="宋体"/>
                <w:szCs w:val="21"/>
              </w:rPr>
              <w:t>3-2：【学科知识扎实】具有学科专业能力，掌握小学数学学科的基本知识、原理和技能。熟悉小学科学的知识体系，掌握小学科学的基本知识、原理和技能。</w:t>
            </w:r>
          </w:p>
        </w:tc>
        <w:tc>
          <w:tcPr>
            <w:tcW w:w="1191" w:type="dxa"/>
            <w:vAlign w:val="center"/>
          </w:tcPr>
          <w:p w14:paraId="26F81A0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课程目标1、2、3、4、5</w:t>
            </w:r>
          </w:p>
        </w:tc>
      </w:tr>
    </w:tbl>
    <w:p w14:paraId="506376F6">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12D7931C">
      <w:pPr>
        <w:spacing w:line="360" w:lineRule="auto"/>
        <w:jc w:val="left"/>
        <w:rPr>
          <w:rFonts w:hint="eastAsia" w:ascii="宋体" w:hAnsi="宋体" w:eastAsia="宋体" w:cs="宋体"/>
          <w:szCs w:val="21"/>
        </w:rPr>
      </w:pPr>
      <w:r>
        <w:rPr>
          <w:rFonts w:ascii="宋体" w:hAnsi="宋体" w:eastAsia="宋体" w:cs="宋体"/>
          <w:szCs w:val="21"/>
        </w:rPr>
        <w:t>理论联系实际是推动社会发展的重要方法论，它要求我们在掌握科学理论的基础上，深入实践、调查研究，将抽象的理论知识转化为解决实际问题的具体方案。尊重客观规律是开展一切工作的前提，只有遵循事物发展的内在逻辑，才能避免主观臆断和盲目冒进。社会主义核心价值观为我们提供了价值引领和精神支撑，要将其融入专业学习和工作实践的全过程。专业素养的提升需要理论与实践的双向互动，既要夯实理论基础，又要注重实践能力的培养。理论对实践的指导意义体现在：科学的理论能够帮助我们把握事物本质，预见发展趋势，优化实践路径。因此，我们要坚持知行合一的原则，在实践中检验理论、发展理论，用创新的理论成果指导新的实践，形成理论与实践良性循环的发展格局，从而更好地服务社会发展和人民需求。</w:t>
      </w:r>
    </w:p>
    <w:p w14:paraId="7333678B">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40B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6183F8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3B4AC80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3EE8C38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02A11B9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79ABF64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5514B34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162E8A5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27D82B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7DB5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0E2322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1.数值计算的基本概念</w:t>
            </w:r>
          </w:p>
        </w:tc>
        <w:tc>
          <w:tcPr>
            <w:tcW w:w="1701" w:type="dxa"/>
            <w:vAlign w:val="center"/>
          </w:tcPr>
          <w:p w14:paraId="00ABB50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（1）能够了解数值计算的研究对象和内容</w:t>
            </w:r>
          </w:p>
          <w:p w14:paraId="564B93D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（2）能够了解数值算法的基本概念</w:t>
            </w:r>
          </w:p>
          <w:p w14:paraId="2C74B34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（3）能够了解误差的基本理论</w:t>
            </w:r>
          </w:p>
          <w:p w14:paraId="140F880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（4）能够了解数值算法设计的若干原则</w:t>
            </w:r>
          </w:p>
        </w:tc>
        <w:tc>
          <w:tcPr>
            <w:tcW w:w="1134" w:type="dxa"/>
            <w:vAlign w:val="center"/>
          </w:tcPr>
          <w:p w14:paraId="32E28CC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8404B8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1.初步理解</w:t>
            </w:r>
            <w:r>
              <w:rPr>
                <w:rFonts w:ascii="宋体" w:hAnsi="宋体" w:eastAsia="宋体" w:cs="Times New Roman"/>
                <w:color w:val="000000"/>
                <w:szCs w:val="21"/>
              </w:rPr>
              <w:t>误差的计算。</w:t>
            </w:r>
          </w:p>
          <w:p w14:paraId="159F00B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2.运用</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vAlign w:val="center"/>
          </w:tcPr>
          <w:p w14:paraId="0FEC4C6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773C851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7CA32C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530B908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8C4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320E78A">
            <w:pPr>
              <w:spacing w:line="264" w:lineRule="auto"/>
              <w:jc w:val="center"/>
              <w:rPr>
                <w:rFonts w:hint="eastAsia" w:ascii="宋体" w:hAnsi="宋体" w:eastAsia="宋体" w:cs="Times New Roman"/>
                <w:color w:val="000000"/>
                <w:szCs w:val="21"/>
              </w:rPr>
            </w:pPr>
          </w:p>
        </w:tc>
        <w:tc>
          <w:tcPr>
            <w:tcW w:w="8093" w:type="dxa"/>
            <w:gridSpan w:val="5"/>
            <w:vAlign w:val="center"/>
          </w:tcPr>
          <w:p w14:paraId="105F72D3">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注重理论联系实际，尊重客观规律，树立社会主义核心价值观，增强专业素养，强调理论对实践的指导意义。</w:t>
            </w:r>
          </w:p>
        </w:tc>
      </w:tr>
      <w:tr w14:paraId="3B8C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0E1D39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2.非线性方程的迭代法</w:t>
            </w:r>
          </w:p>
        </w:tc>
        <w:tc>
          <w:tcPr>
            <w:tcW w:w="1701" w:type="dxa"/>
            <w:vAlign w:val="center"/>
          </w:tcPr>
          <w:p w14:paraId="227F620F">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（1）能够了解二分法</w:t>
            </w:r>
          </w:p>
          <w:p w14:paraId="0BE1AC6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（2）能够掌握Picard迭代法</w:t>
            </w:r>
          </w:p>
          <w:p w14:paraId="6B9F7B73">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（3）能够掌握牛顿型迭代法</w:t>
            </w:r>
          </w:p>
        </w:tc>
        <w:tc>
          <w:tcPr>
            <w:tcW w:w="1134" w:type="dxa"/>
            <w:vAlign w:val="center"/>
          </w:tcPr>
          <w:p w14:paraId="604FE60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260" w:type="dxa"/>
            <w:vAlign w:val="center"/>
          </w:tcPr>
          <w:p w14:paraId="7438B97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1.初步理解</w:t>
            </w:r>
            <w:r>
              <w:rPr>
                <w:rFonts w:ascii="宋体" w:hAnsi="宋体" w:eastAsia="宋体" w:cs="Times New Roman"/>
                <w:color w:val="000000"/>
                <w:szCs w:val="21"/>
              </w:rPr>
              <w:t>Picard迭代法、牛顿型迭代法及其实现。</w:t>
            </w:r>
          </w:p>
          <w:p w14:paraId="3F2FEE0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2.运用</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vAlign w:val="center"/>
          </w:tcPr>
          <w:p w14:paraId="2CCBA70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BD2EC7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5C66AE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2800A379">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341D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7F0C28D">
            <w:pPr>
              <w:spacing w:line="264" w:lineRule="auto"/>
              <w:jc w:val="center"/>
              <w:rPr>
                <w:rFonts w:hint="eastAsia" w:ascii="宋体" w:hAnsi="宋体" w:eastAsia="宋体" w:cs="Times New Roman"/>
                <w:color w:val="000000"/>
                <w:szCs w:val="21"/>
              </w:rPr>
            </w:pPr>
          </w:p>
        </w:tc>
        <w:tc>
          <w:tcPr>
            <w:tcW w:w="8093" w:type="dxa"/>
            <w:gridSpan w:val="5"/>
            <w:vAlign w:val="center"/>
          </w:tcPr>
          <w:p w14:paraId="3A6447A8">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注重理论联系实际，尊重客观规律，树立社会主义核心价值观，增强专业素养，强调理论对实践的指导意义。</w:t>
            </w:r>
          </w:p>
        </w:tc>
      </w:tr>
      <w:tr w14:paraId="6FBA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shd w:val="clear" w:color="auto" w:fill="auto"/>
            <w:vAlign w:val="center"/>
          </w:tcPr>
          <w:p w14:paraId="75629CB1">
            <w:pPr>
              <w:jc w:val="left"/>
              <w:rPr>
                <w:rFonts w:hint="eastAsia" w:ascii="宋体" w:hAnsi="宋体" w:eastAsia="宋体" w:cs="Times New Roman"/>
                <w:szCs w:val="21"/>
              </w:rPr>
            </w:pPr>
            <w:r>
              <w:rPr>
                <w:rFonts w:hint="eastAsia" w:ascii="宋体" w:hAnsi="宋体" w:eastAsia="宋体" w:cs="宋体"/>
                <w:kern w:val="0"/>
                <w:szCs w:val="21"/>
              </w:rPr>
              <w:t>3.</w:t>
            </w:r>
            <w:r>
              <w:rPr>
                <w:rFonts w:ascii="Times New Roman" w:hAnsi="Times New Roman" w:eastAsia="宋体" w:cs="Times New Roman"/>
                <w:szCs w:val="21"/>
              </w:rPr>
              <w:t>线性方程组直接法</w:t>
            </w:r>
          </w:p>
        </w:tc>
        <w:tc>
          <w:tcPr>
            <w:tcW w:w="1701" w:type="dxa"/>
            <w:vAlign w:val="center"/>
          </w:tcPr>
          <w:p w14:paraId="63222A09">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（1）能够掌握顺序Gauss消元法</w:t>
            </w:r>
          </w:p>
          <w:p w14:paraId="30B37F4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（2）能够了解列主元Gauss消元法</w:t>
            </w:r>
          </w:p>
          <w:p w14:paraId="7127734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（3）能够了解追赶法</w:t>
            </w:r>
          </w:p>
          <w:p w14:paraId="117D6CFE">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（4）能够掌握LU分解法</w:t>
            </w:r>
          </w:p>
          <w:p w14:paraId="13CB00C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（5）能够掌握Cholesky分解法</w:t>
            </w:r>
          </w:p>
        </w:tc>
        <w:tc>
          <w:tcPr>
            <w:tcW w:w="1134" w:type="dxa"/>
            <w:vAlign w:val="center"/>
          </w:tcPr>
          <w:p w14:paraId="6DEA789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260" w:type="dxa"/>
            <w:vAlign w:val="center"/>
          </w:tcPr>
          <w:p w14:paraId="5721E51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1.初步理解</w:t>
            </w:r>
            <w:r>
              <w:rPr>
                <w:rFonts w:ascii="宋体" w:hAnsi="宋体" w:eastAsia="宋体" w:cs="Times New Roman"/>
                <w:color w:val="000000"/>
                <w:szCs w:val="21"/>
              </w:rPr>
              <w:t>重点与难点：消去法和分解法理论基础，LU分解法和Cholesky分解法。</w:t>
            </w:r>
          </w:p>
          <w:p w14:paraId="4A5E9D4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2.运用</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vAlign w:val="center"/>
          </w:tcPr>
          <w:p w14:paraId="2AC4017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C79CC5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27A0D45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FFFB472">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3CCE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E71243C">
            <w:pPr>
              <w:spacing w:line="264" w:lineRule="auto"/>
              <w:jc w:val="center"/>
              <w:rPr>
                <w:rFonts w:hint="eastAsia" w:ascii="宋体" w:hAnsi="宋体" w:eastAsia="宋体" w:cs="Times New Roman"/>
                <w:color w:val="000000"/>
                <w:szCs w:val="21"/>
              </w:rPr>
            </w:pPr>
          </w:p>
        </w:tc>
        <w:tc>
          <w:tcPr>
            <w:tcW w:w="8093" w:type="dxa"/>
            <w:gridSpan w:val="5"/>
            <w:vAlign w:val="center"/>
          </w:tcPr>
          <w:p w14:paraId="3587FBAC">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注重理论联系实际，尊重客观规律，树立社会主义核心价值观，增强专业素养，强调理论对实践的指导意义。</w:t>
            </w:r>
          </w:p>
        </w:tc>
      </w:tr>
      <w:tr w14:paraId="7271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2FD6B7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Times New Roman" w:hAnsi="Times New Roman" w:eastAsia="宋体" w:cs="Times New Roman"/>
                <w:szCs w:val="21"/>
              </w:rPr>
              <w:t>线性方程组的迭代方法</w:t>
            </w:r>
          </w:p>
        </w:tc>
        <w:tc>
          <w:tcPr>
            <w:tcW w:w="1701" w:type="dxa"/>
            <w:vAlign w:val="center"/>
          </w:tcPr>
          <w:p w14:paraId="2F10392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（1）能够理解迭代法的一般理论</w:t>
            </w:r>
          </w:p>
          <w:p w14:paraId="1C6E4CB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（2）能够掌握雅可比迭代法</w:t>
            </w:r>
          </w:p>
          <w:p w14:paraId="4E82BCE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（3）能够掌握高斯—赛德尔迭代法</w:t>
            </w:r>
          </w:p>
          <w:p w14:paraId="08951C3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（4）能够掌握逐次超松弛迭代法</w:t>
            </w:r>
          </w:p>
        </w:tc>
        <w:tc>
          <w:tcPr>
            <w:tcW w:w="1134" w:type="dxa"/>
            <w:vAlign w:val="center"/>
          </w:tcPr>
          <w:p w14:paraId="5B685C5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4DAA96A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1.初步理解</w:t>
            </w:r>
            <w:r>
              <w:rPr>
                <w:rFonts w:ascii="宋体" w:hAnsi="宋体" w:eastAsia="宋体" w:cs="Times New Roman"/>
                <w:color w:val="000000"/>
                <w:szCs w:val="21"/>
              </w:rPr>
              <w:t>重点与难点：雅可比迭代法、高斯-赛德尔迭代法、逐次超松弛迭代法。</w:t>
            </w:r>
          </w:p>
          <w:p w14:paraId="2463190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2.运用</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vAlign w:val="center"/>
          </w:tcPr>
          <w:p w14:paraId="08C3110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E7044CE">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740C6CD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BB7BA4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7</w:t>
            </w:r>
          </w:p>
        </w:tc>
      </w:tr>
      <w:tr w14:paraId="4813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4822363">
            <w:pPr>
              <w:spacing w:line="276" w:lineRule="auto"/>
              <w:jc w:val="center"/>
              <w:rPr>
                <w:rFonts w:hint="eastAsia" w:ascii="宋体" w:hAnsi="宋体" w:eastAsia="宋体" w:cs="Times New Roman"/>
                <w:color w:val="000000"/>
                <w:szCs w:val="21"/>
              </w:rPr>
            </w:pPr>
          </w:p>
        </w:tc>
        <w:tc>
          <w:tcPr>
            <w:tcW w:w="8093" w:type="dxa"/>
            <w:gridSpan w:val="5"/>
            <w:vAlign w:val="center"/>
          </w:tcPr>
          <w:p w14:paraId="0F9451D4">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注重理论联系实际，尊重客观规律，树立社会主义核心价值观，增强专业素养，强调理论对实践的指导意义。</w:t>
            </w:r>
          </w:p>
        </w:tc>
      </w:tr>
      <w:tr w14:paraId="52BB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DED893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Times New Roman" w:hAnsi="Times New Roman" w:eastAsia="宋体" w:cs="Times New Roman"/>
                <w:szCs w:val="21"/>
              </w:rPr>
              <w:t>插值和最小二乘逼近</w:t>
            </w:r>
          </w:p>
        </w:tc>
        <w:tc>
          <w:tcPr>
            <w:tcW w:w="1701" w:type="dxa"/>
            <w:vAlign w:val="center"/>
          </w:tcPr>
          <w:p w14:paraId="5CB674D9">
            <w:pPr>
              <w:spacing w:line="276" w:lineRule="auto"/>
              <w:jc w:val="left"/>
              <w:rPr>
                <w:rFonts w:hint="eastAsia" w:ascii="宋体" w:hAnsi="宋体" w:eastAsia="宋体" w:cs="Times New Roman"/>
                <w:sz w:val="24"/>
              </w:rPr>
            </w:pPr>
            <w:r>
              <w:rPr>
                <w:rFonts w:ascii="宋体" w:hAnsi="宋体" w:eastAsia="宋体" w:cs="Times New Roman"/>
                <w:sz w:val="24"/>
              </w:rPr>
              <w:t>（1）能够掌握多项式插值</w:t>
            </w:r>
          </w:p>
          <w:p w14:paraId="5EAD8F8F">
            <w:pPr>
              <w:spacing w:line="276" w:lineRule="auto"/>
              <w:jc w:val="left"/>
              <w:rPr>
                <w:rFonts w:hint="eastAsia" w:ascii="宋体" w:hAnsi="宋体" w:eastAsia="宋体" w:cs="Times New Roman"/>
                <w:sz w:val="24"/>
              </w:rPr>
            </w:pPr>
            <w:r>
              <w:rPr>
                <w:rFonts w:ascii="宋体" w:hAnsi="宋体" w:eastAsia="宋体" w:cs="Times New Roman"/>
                <w:sz w:val="24"/>
              </w:rPr>
              <w:t>（2）能够了解牛顿插值法</w:t>
            </w:r>
          </w:p>
          <w:p w14:paraId="43693BEA">
            <w:pPr>
              <w:spacing w:line="276" w:lineRule="auto"/>
              <w:jc w:val="left"/>
              <w:rPr>
                <w:rFonts w:hint="eastAsia" w:ascii="宋体" w:hAnsi="宋体" w:eastAsia="宋体" w:cs="Times New Roman"/>
                <w:sz w:val="24"/>
              </w:rPr>
            </w:pPr>
            <w:r>
              <w:rPr>
                <w:rFonts w:ascii="宋体" w:hAnsi="宋体" w:eastAsia="宋体" w:cs="Times New Roman"/>
                <w:sz w:val="24"/>
              </w:rPr>
              <w:t>（3）能够了解样条插值法</w:t>
            </w:r>
          </w:p>
          <w:p w14:paraId="372C471E">
            <w:pPr>
              <w:spacing w:line="276" w:lineRule="auto"/>
              <w:jc w:val="left"/>
              <w:rPr>
                <w:rFonts w:hint="eastAsia" w:ascii="宋体" w:hAnsi="宋体" w:eastAsia="宋体" w:cs="Times New Roman"/>
                <w:color w:val="000000"/>
                <w:szCs w:val="21"/>
              </w:rPr>
            </w:pPr>
            <w:r>
              <w:rPr>
                <w:rFonts w:ascii="宋体" w:hAnsi="宋体" w:eastAsia="宋体" w:cs="Times New Roman"/>
                <w:sz w:val="24"/>
              </w:rPr>
              <w:t>（4）能够掌握最小二乘拟合</w:t>
            </w:r>
          </w:p>
        </w:tc>
        <w:tc>
          <w:tcPr>
            <w:tcW w:w="1134" w:type="dxa"/>
            <w:vAlign w:val="center"/>
          </w:tcPr>
          <w:p w14:paraId="38B10BD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260" w:type="dxa"/>
            <w:vAlign w:val="center"/>
          </w:tcPr>
          <w:p w14:paraId="7B1FE49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1.初步理解</w:t>
            </w:r>
            <w:r>
              <w:rPr>
                <w:rFonts w:ascii="宋体" w:hAnsi="宋体" w:eastAsia="宋体" w:cs="Times New Roman"/>
                <w:color w:val="000000"/>
                <w:szCs w:val="21"/>
              </w:rPr>
              <w:t>重点与难点：多项式插值和最小二乘拟合。</w:t>
            </w:r>
          </w:p>
          <w:p w14:paraId="1191322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2.运用</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vAlign w:val="center"/>
          </w:tcPr>
          <w:p w14:paraId="0A3DA5C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A0CE80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5C2E4B9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771744E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11</w:t>
            </w:r>
          </w:p>
        </w:tc>
      </w:tr>
      <w:tr w14:paraId="5933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E9F4C7B">
            <w:pPr>
              <w:spacing w:line="276" w:lineRule="auto"/>
              <w:jc w:val="center"/>
              <w:rPr>
                <w:rFonts w:hint="eastAsia" w:ascii="宋体" w:hAnsi="宋体" w:eastAsia="宋体" w:cs="Times New Roman"/>
                <w:color w:val="000000"/>
                <w:szCs w:val="21"/>
              </w:rPr>
            </w:pPr>
          </w:p>
        </w:tc>
        <w:tc>
          <w:tcPr>
            <w:tcW w:w="8093" w:type="dxa"/>
            <w:gridSpan w:val="5"/>
            <w:vAlign w:val="center"/>
          </w:tcPr>
          <w:p w14:paraId="404604D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注重理论联系实际，尊重客观规律，树立社会主义核心价值观，增强专业素养，强调理论对实践的指导意义。</w:t>
            </w:r>
          </w:p>
        </w:tc>
      </w:tr>
      <w:tr w14:paraId="6427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CF7EEB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Times New Roman" w:hAnsi="Times New Roman" w:eastAsia="宋体" w:cs="Times New Roman"/>
                <w:szCs w:val="21"/>
              </w:rPr>
              <w:t>数值积分和数值微分</w:t>
            </w:r>
          </w:p>
        </w:tc>
        <w:tc>
          <w:tcPr>
            <w:tcW w:w="1701" w:type="dxa"/>
            <w:vAlign w:val="center"/>
          </w:tcPr>
          <w:p w14:paraId="3E8D3D6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（1）能够掌握插值型求积公式</w:t>
            </w:r>
          </w:p>
          <w:p w14:paraId="4B79028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（2）能够掌握复化求积公式</w:t>
            </w:r>
          </w:p>
          <w:p w14:paraId="7C63407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（3）能够了解龙贝格求积公式</w:t>
            </w:r>
          </w:p>
          <w:p w14:paraId="06AD41B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（4）能够掌握Gauss求积公式</w:t>
            </w:r>
          </w:p>
        </w:tc>
        <w:tc>
          <w:tcPr>
            <w:tcW w:w="1134" w:type="dxa"/>
            <w:vAlign w:val="center"/>
          </w:tcPr>
          <w:p w14:paraId="3FBEE8B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260" w:type="dxa"/>
            <w:vAlign w:val="center"/>
          </w:tcPr>
          <w:p w14:paraId="19F2892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1.初步理解</w:t>
            </w:r>
            <w:r>
              <w:rPr>
                <w:rFonts w:ascii="宋体" w:hAnsi="宋体" w:eastAsia="宋体" w:cs="Times New Roman"/>
                <w:color w:val="000000"/>
                <w:szCs w:val="21"/>
              </w:rPr>
              <w:t>重点与难点：插值型求积公式、复化求积公式、Gauss求积公式。</w:t>
            </w:r>
          </w:p>
          <w:p w14:paraId="08845A6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2.运用</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vAlign w:val="center"/>
          </w:tcPr>
          <w:p w14:paraId="588C4AC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191E753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4083712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0D99E66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11</w:t>
            </w:r>
          </w:p>
        </w:tc>
      </w:tr>
      <w:tr w14:paraId="50D6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4878C70">
            <w:pPr>
              <w:spacing w:line="276" w:lineRule="auto"/>
              <w:jc w:val="center"/>
              <w:rPr>
                <w:rFonts w:hint="eastAsia" w:ascii="宋体" w:hAnsi="宋体" w:eastAsia="宋体" w:cs="Times New Roman"/>
                <w:color w:val="000000"/>
                <w:szCs w:val="21"/>
              </w:rPr>
            </w:pPr>
          </w:p>
        </w:tc>
        <w:tc>
          <w:tcPr>
            <w:tcW w:w="8093" w:type="dxa"/>
            <w:gridSpan w:val="5"/>
            <w:vAlign w:val="center"/>
          </w:tcPr>
          <w:p w14:paraId="3F2385F2">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注重理论联系实际，尊重客观规律，树立社会主义核心价值观，增强专业素养，强调理论对实践的指导意义。</w:t>
            </w:r>
          </w:p>
        </w:tc>
      </w:tr>
      <w:tr w14:paraId="701C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C10830C">
            <w:pPr>
              <w:spacing w:line="276" w:lineRule="auto"/>
              <w:jc w:val="center"/>
              <w:rPr>
                <w:rFonts w:hint="eastAsia" w:ascii="宋体" w:hAnsi="宋体" w:eastAsia="宋体" w:cs="Times New Roman"/>
                <w:szCs w:val="21"/>
              </w:rPr>
            </w:pPr>
            <w:r>
              <w:rPr>
                <w:rFonts w:hint="eastAsia" w:ascii="宋体" w:hAnsi="宋体" w:eastAsia="宋体" w:cs="Times New Roman"/>
                <w:szCs w:val="21"/>
              </w:rPr>
              <w:t>7.</w:t>
            </w:r>
            <w:r>
              <w:rPr>
                <w:rFonts w:ascii="Times New Roman" w:hAnsi="Times New Roman" w:eastAsia="宋体" w:cs="Times New Roman"/>
                <w:szCs w:val="21"/>
              </w:rPr>
              <w:t>常微分方程的数值解法</w:t>
            </w:r>
          </w:p>
        </w:tc>
        <w:tc>
          <w:tcPr>
            <w:tcW w:w="1701" w:type="dxa"/>
            <w:vAlign w:val="center"/>
          </w:tcPr>
          <w:p w14:paraId="30803050">
            <w:pPr>
              <w:spacing w:line="276" w:lineRule="auto"/>
              <w:jc w:val="left"/>
              <w:rPr>
                <w:rFonts w:hint="eastAsia" w:ascii="宋体" w:hAnsi="宋体" w:eastAsia="宋体" w:cs="Times New Roman"/>
                <w:szCs w:val="21"/>
              </w:rPr>
            </w:pPr>
            <w:r>
              <w:rPr>
                <w:rFonts w:ascii="宋体" w:hAnsi="宋体" w:eastAsia="宋体" w:cs="Times New Roman"/>
                <w:szCs w:val="21"/>
              </w:rPr>
              <w:t>（1）能够掌握欧拉法</w:t>
            </w:r>
          </w:p>
          <w:p w14:paraId="40CA3572">
            <w:pPr>
              <w:spacing w:line="276" w:lineRule="auto"/>
              <w:jc w:val="left"/>
              <w:rPr>
                <w:rFonts w:hint="eastAsia" w:ascii="宋体" w:hAnsi="宋体" w:eastAsia="宋体" w:cs="Times New Roman"/>
                <w:szCs w:val="21"/>
              </w:rPr>
            </w:pPr>
            <w:r>
              <w:rPr>
                <w:rFonts w:ascii="宋体" w:hAnsi="宋体" w:eastAsia="宋体" w:cs="Times New Roman"/>
                <w:szCs w:val="21"/>
              </w:rPr>
              <w:t>（2）能够掌握龙格—库塔法</w:t>
            </w:r>
          </w:p>
          <w:p w14:paraId="28711BB9">
            <w:pPr>
              <w:spacing w:line="276" w:lineRule="auto"/>
              <w:jc w:val="left"/>
              <w:rPr>
                <w:rFonts w:hint="eastAsia" w:ascii="宋体" w:hAnsi="宋体" w:eastAsia="宋体" w:cs="Times New Roman"/>
                <w:szCs w:val="21"/>
              </w:rPr>
            </w:pPr>
            <w:r>
              <w:rPr>
                <w:rFonts w:ascii="宋体" w:hAnsi="宋体" w:eastAsia="宋体" w:cs="Times New Roman"/>
                <w:szCs w:val="21"/>
              </w:rPr>
              <w:t>（3）能够了解Adams格式</w:t>
            </w:r>
          </w:p>
        </w:tc>
        <w:tc>
          <w:tcPr>
            <w:tcW w:w="1134" w:type="dxa"/>
            <w:vAlign w:val="center"/>
          </w:tcPr>
          <w:p w14:paraId="164162B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260" w:type="dxa"/>
            <w:vAlign w:val="center"/>
          </w:tcPr>
          <w:p w14:paraId="657516D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1.初步理解</w:t>
            </w:r>
            <w:r>
              <w:rPr>
                <w:rFonts w:ascii="宋体" w:hAnsi="宋体" w:eastAsia="宋体" w:cs="Times New Roman"/>
                <w:color w:val="000000"/>
                <w:szCs w:val="21"/>
              </w:rPr>
              <w:t>重点与难点：欧拉法、龙格—库塔法基本理论及其实现。</w:t>
            </w:r>
          </w:p>
          <w:p w14:paraId="57FB1D4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2.运用</w:t>
            </w:r>
            <w:r>
              <w:rPr>
                <w:rFonts w:ascii="宋体" w:hAnsi="宋体" w:eastAsia="宋体" w:cs="Times New Roman"/>
                <w:color w:val="000000"/>
                <w:szCs w:val="21"/>
              </w:rPr>
              <w:t>教学方法：启发式互动讲授结合多媒体辅助；适当课堂练习；及时了解学生的作业状况并对共同的问题作及时解答；安排好课后答疑。</w:t>
            </w:r>
          </w:p>
        </w:tc>
        <w:tc>
          <w:tcPr>
            <w:tcW w:w="1560" w:type="dxa"/>
            <w:vAlign w:val="center"/>
          </w:tcPr>
          <w:p w14:paraId="57A057A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D4FC0D1">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7A4E446">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BD61CC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p>
        </w:tc>
      </w:tr>
      <w:tr w14:paraId="3974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D53A226">
            <w:pPr>
              <w:spacing w:line="276" w:lineRule="auto"/>
              <w:jc w:val="center"/>
              <w:rPr>
                <w:rFonts w:hint="eastAsia" w:ascii="宋体" w:hAnsi="宋体" w:eastAsia="宋体" w:cs="Times New Roman"/>
                <w:color w:val="000000"/>
                <w:szCs w:val="21"/>
              </w:rPr>
            </w:pPr>
          </w:p>
        </w:tc>
        <w:tc>
          <w:tcPr>
            <w:tcW w:w="8093" w:type="dxa"/>
            <w:gridSpan w:val="5"/>
            <w:vAlign w:val="center"/>
          </w:tcPr>
          <w:p w14:paraId="0C8084D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注重理论联系实际，尊重客观规律，树立社会主义核心价值观，增强专业素养，强调理论对实践的指导意义。</w:t>
            </w:r>
          </w:p>
        </w:tc>
      </w:tr>
    </w:tbl>
    <w:p w14:paraId="33391ED0">
      <w:pPr>
        <w:spacing w:line="360" w:lineRule="auto"/>
        <w:jc w:val="left"/>
        <w:rPr>
          <w:rFonts w:ascii="Times New Roman" w:hAnsi="Times New Roman" w:eastAsia="宋体" w:cs="Times New Roman"/>
          <w:sz w:val="24"/>
        </w:rPr>
      </w:pPr>
    </w:p>
    <w:p w14:paraId="315FDE11">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45D6F71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2D2CB3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BCA888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058"/>
        <w:gridCol w:w="1052"/>
        <w:gridCol w:w="2238"/>
      </w:tblGrid>
      <w:tr w14:paraId="020D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restart"/>
            <w:vAlign w:val="center"/>
          </w:tcPr>
          <w:p w14:paraId="33E42F1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2110" w:type="dxa"/>
            <w:gridSpan w:val="2"/>
            <w:vAlign w:val="center"/>
          </w:tcPr>
          <w:p w14:paraId="53F00203">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2238" w:type="dxa"/>
            <w:vMerge w:val="restart"/>
            <w:vAlign w:val="center"/>
          </w:tcPr>
          <w:p w14:paraId="398A19D0">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873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vAlign w:val="center"/>
          </w:tcPr>
          <w:p w14:paraId="4933F030">
            <w:pPr>
              <w:spacing w:line="360" w:lineRule="auto"/>
              <w:jc w:val="center"/>
              <w:rPr>
                <w:rFonts w:hint="eastAsia" w:ascii="宋体" w:hAnsi="宋体" w:eastAsia="宋体" w:cs="Times New Roman"/>
                <w:szCs w:val="21"/>
              </w:rPr>
            </w:pPr>
          </w:p>
        </w:tc>
        <w:tc>
          <w:tcPr>
            <w:tcW w:w="1058" w:type="dxa"/>
            <w:vAlign w:val="center"/>
          </w:tcPr>
          <w:p w14:paraId="68924159">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平时成绩</w:t>
            </w:r>
          </w:p>
        </w:tc>
        <w:tc>
          <w:tcPr>
            <w:tcW w:w="1052" w:type="dxa"/>
            <w:vAlign w:val="center"/>
          </w:tcPr>
          <w:p w14:paraId="4DE1D0FE">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期末成绩</w:t>
            </w:r>
          </w:p>
        </w:tc>
        <w:tc>
          <w:tcPr>
            <w:tcW w:w="2238" w:type="dxa"/>
            <w:vMerge w:val="continue"/>
          </w:tcPr>
          <w:p w14:paraId="6B1B7C0F">
            <w:pPr>
              <w:spacing w:line="360" w:lineRule="auto"/>
              <w:jc w:val="center"/>
              <w:rPr>
                <w:rFonts w:hint="eastAsia" w:ascii="宋体" w:hAnsi="宋体" w:eastAsia="宋体" w:cs="Times New Roman"/>
                <w:szCs w:val="21"/>
              </w:rPr>
            </w:pPr>
          </w:p>
        </w:tc>
      </w:tr>
      <w:tr w14:paraId="01E6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175897C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058" w:type="dxa"/>
            <w:vAlign w:val="center"/>
          </w:tcPr>
          <w:p w14:paraId="3CC46B7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2" w:type="dxa"/>
            <w:vAlign w:val="center"/>
          </w:tcPr>
          <w:p w14:paraId="565A8AF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38" w:type="dxa"/>
            <w:vAlign w:val="center"/>
          </w:tcPr>
          <w:p w14:paraId="6A92196B">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6FFD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70F7B4C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058" w:type="dxa"/>
            <w:vAlign w:val="center"/>
          </w:tcPr>
          <w:p w14:paraId="69DF5F6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2" w:type="dxa"/>
            <w:vAlign w:val="center"/>
          </w:tcPr>
          <w:p w14:paraId="395C083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38" w:type="dxa"/>
            <w:vAlign w:val="center"/>
          </w:tcPr>
          <w:p w14:paraId="1AB36A31">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4C5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6D6C6B1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058" w:type="dxa"/>
            <w:vAlign w:val="center"/>
          </w:tcPr>
          <w:p w14:paraId="7355A5C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2" w:type="dxa"/>
            <w:vAlign w:val="center"/>
          </w:tcPr>
          <w:p w14:paraId="37C59B5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38" w:type="dxa"/>
            <w:vAlign w:val="center"/>
          </w:tcPr>
          <w:p w14:paraId="32E4F634">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5D42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09F0C24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058" w:type="dxa"/>
            <w:vAlign w:val="center"/>
          </w:tcPr>
          <w:p w14:paraId="745A64C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2" w:type="dxa"/>
            <w:vAlign w:val="center"/>
          </w:tcPr>
          <w:p w14:paraId="4AD9F71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38" w:type="dxa"/>
            <w:vAlign w:val="center"/>
          </w:tcPr>
          <w:p w14:paraId="26E93FD8">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5CAE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6D59D27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1058" w:type="dxa"/>
            <w:vAlign w:val="center"/>
          </w:tcPr>
          <w:p w14:paraId="29EC48D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2" w:type="dxa"/>
            <w:vAlign w:val="center"/>
          </w:tcPr>
          <w:p w14:paraId="68B44F7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38" w:type="dxa"/>
            <w:vAlign w:val="center"/>
          </w:tcPr>
          <w:p w14:paraId="6859EB90">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553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3990DC60">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058" w:type="dxa"/>
            <w:vAlign w:val="center"/>
          </w:tcPr>
          <w:p w14:paraId="05631A08">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1052" w:type="dxa"/>
            <w:vAlign w:val="center"/>
          </w:tcPr>
          <w:p w14:paraId="45EA5F80">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2238" w:type="dxa"/>
            <w:vAlign w:val="center"/>
          </w:tcPr>
          <w:p w14:paraId="4B5E8CFD">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72E548C6">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125D0C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2C693F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D00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728583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1CDAAE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A23084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8F5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2231DD">
            <w:pPr>
              <w:rPr>
                <w:rFonts w:ascii="Times New Roman" w:hAnsi="Times New Roman" w:eastAsia="宋体" w:cs="Times New Roman"/>
                <w:szCs w:val="21"/>
              </w:rPr>
            </w:pPr>
            <w:r>
              <w:rPr>
                <w:rFonts w:hint="eastAsia" w:ascii="Times New Roman" w:hAnsi="Times New Roman" w:eastAsia="宋体" w:cs="Times New Roman"/>
                <w:szCs w:val="21"/>
              </w:rPr>
              <w:t>平时成绩</w:t>
            </w:r>
          </w:p>
        </w:tc>
        <w:tc>
          <w:tcPr>
            <w:tcW w:w="7141" w:type="dxa"/>
            <w:vAlign w:val="center"/>
          </w:tcPr>
          <w:p w14:paraId="3DDFD383">
            <w:r>
              <w:rPr>
                <w:rFonts w:ascii="Times New Roman" w:hAnsi="Times New Roman" w:eastAsia="宋体" w:cs="Times New Roman"/>
                <w:lang w:bidi="ar"/>
              </w:rPr>
              <w:t>课堂不定期点名，考核出勤情况并打分。</w:t>
            </w:r>
          </w:p>
          <w:p w14:paraId="4EC21577">
            <w:pPr>
              <w:spacing w:line="276" w:lineRule="auto"/>
              <w:jc w:val="left"/>
              <w:rPr>
                <w:rFonts w:ascii="Times New Roman" w:hAnsi="Times New Roman" w:eastAsia="宋体" w:cs="Times New Roman"/>
              </w:rPr>
            </w:pPr>
            <w:r>
              <w:rPr>
                <w:rFonts w:ascii="Times New Roman" w:hAnsi="Times New Roman" w:eastAsia="宋体" w:cs="Times New Roman"/>
              </w:rPr>
              <w:t>课堂不定期通过提问或小练习实施师生互动，考核考核学生课堂学习情况，按照互动情况打分。</w:t>
            </w:r>
          </w:p>
          <w:p w14:paraId="06BE5E03">
            <w:pPr>
              <w:spacing w:line="276" w:lineRule="auto"/>
              <w:jc w:val="left"/>
              <w:rPr>
                <w:rFonts w:ascii="Times New Roman" w:hAnsi="Times New Roman" w:eastAsia="宋体" w:cs="Times New Roman"/>
                <w:szCs w:val="21"/>
              </w:rPr>
            </w:pPr>
            <w:r>
              <w:rPr>
                <w:rFonts w:ascii="Times New Roman" w:hAnsi="Times New Roman" w:eastAsia="宋体" w:cs="Times New Roman"/>
                <w:lang w:bidi="ar"/>
              </w:rPr>
              <w:t>定期布置习题，考核学生对所学知识点的复习、理解和掌握度。对作业完成情况做记录并百分制打分，计算作业的平均成绩。</w:t>
            </w:r>
          </w:p>
        </w:tc>
        <w:tc>
          <w:tcPr>
            <w:tcW w:w="0" w:type="auto"/>
            <w:vAlign w:val="center"/>
          </w:tcPr>
          <w:p w14:paraId="50293C28">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53E5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2BB21AA">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0076607">
            <w:pPr>
              <w:widowControl/>
              <w:spacing w:line="264" w:lineRule="auto"/>
              <w:jc w:val="left"/>
              <w:rPr>
                <w:rFonts w:hint="eastAsia" w:ascii="宋体" w:hAnsi="宋体" w:eastAsia="宋体" w:cs="宋体"/>
                <w:color w:val="000000"/>
                <w:kern w:val="0"/>
                <w:szCs w:val="21"/>
                <w:lang w:bidi="ar"/>
              </w:rPr>
            </w:pPr>
            <w:r>
              <w:rPr>
                <w:rFonts w:ascii="Times New Roman" w:hAnsi="Times New Roman" w:eastAsia="宋体" w:cs="Times New Roman"/>
                <w:lang w:bidi="ar"/>
              </w:rPr>
              <w:t>试卷题型包括选择题、计算题、解答题等。</w:t>
            </w:r>
          </w:p>
        </w:tc>
        <w:tc>
          <w:tcPr>
            <w:tcW w:w="0" w:type="auto"/>
            <w:vAlign w:val="center"/>
          </w:tcPr>
          <w:p w14:paraId="76E1EA43">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2DFE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6A5F0A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770E2602">
            <w:pPr>
              <w:jc w:val="left"/>
              <w:rPr>
                <w:rFonts w:ascii="Times New Roman" w:hAnsi="Times New Roman" w:eastAsia="宋体" w:cs="Times New Roman"/>
                <w:szCs w:val="21"/>
              </w:rPr>
            </w:pPr>
          </w:p>
        </w:tc>
        <w:tc>
          <w:tcPr>
            <w:tcW w:w="0" w:type="auto"/>
            <w:vAlign w:val="center"/>
          </w:tcPr>
          <w:p w14:paraId="74D517C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C0FE848">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94ED37E">
      <w:pPr>
        <w:spacing w:line="360" w:lineRule="auto"/>
        <w:ind w:firstLine="480"/>
        <w:rPr>
          <w:rFonts w:hint="eastAsia"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40147199">
      <w:pPr>
        <w:spacing w:before="156" w:beforeLines="50" w:line="360" w:lineRule="auto"/>
        <w:jc w:val="left"/>
        <w:rPr>
          <w:rFonts w:ascii="Times New Roman" w:hAnsi="Times New Roman" w:eastAsia="宋体" w:cs="Times New Roman"/>
          <w:sz w:val="24"/>
        </w:rPr>
      </w:pPr>
      <w:r>
        <w:rPr>
          <w:rFonts w:ascii="Times New Roman" w:hAnsi="Times New Roman" w:eastAsia="宋体" w:cs="Times New Roman"/>
          <w:sz w:val="24"/>
        </w:rPr>
        <w:t>课程总评成绩=出勤情况成绩×10% +师生互动成绩×10% +作业成绩×30%+期末考试成绩×50%。</w:t>
      </w:r>
    </w:p>
    <w:p w14:paraId="6B56D8D7">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p>
    <w:p w14:paraId="7DC99D46">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3AA3794C">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140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C711D9F">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0A8A1B6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6F4A128F">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07B6F77B">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555E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1573539">
            <w:pPr>
              <w:spacing w:line="276" w:lineRule="auto"/>
              <w:jc w:val="left"/>
              <w:rPr>
                <w:rFonts w:hint="eastAsia" w:ascii="宋体" w:hAnsi="宋体" w:eastAsia="宋体" w:cs="宋体"/>
                <w:szCs w:val="21"/>
              </w:rPr>
            </w:pPr>
            <w:r>
              <w:rPr>
                <w:rFonts w:ascii="Times New Roman" w:hAnsi="Times New Roman" w:eastAsia="宋体" w:cs="Times New Roman"/>
                <w:bCs/>
                <w:szCs w:val="21"/>
              </w:rPr>
              <w:t>Matlab数值实验</w:t>
            </w:r>
          </w:p>
        </w:tc>
        <w:tc>
          <w:tcPr>
            <w:tcW w:w="3407" w:type="dxa"/>
            <w:vAlign w:val="center"/>
          </w:tcPr>
          <w:p w14:paraId="09A18E52">
            <w:pPr>
              <w:spacing w:line="276" w:lineRule="auto"/>
              <w:jc w:val="left"/>
              <w:rPr>
                <w:rFonts w:hint="eastAsia" w:ascii="宋体" w:hAnsi="宋体" w:eastAsia="宋体" w:cs="宋体"/>
                <w:szCs w:val="21"/>
              </w:rPr>
            </w:pPr>
            <w:r>
              <w:rPr>
                <w:rFonts w:ascii="宋体" w:hAnsi="宋体" w:eastAsia="宋体" w:cs="宋体"/>
                <w:szCs w:val="21"/>
              </w:rPr>
              <w:t>书第2章到第4章，数值方法Matlab编程实现</w:t>
            </w:r>
          </w:p>
        </w:tc>
        <w:tc>
          <w:tcPr>
            <w:tcW w:w="740" w:type="dxa"/>
            <w:vAlign w:val="center"/>
          </w:tcPr>
          <w:p w14:paraId="15DDA5A0">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7327B530">
            <w:pPr>
              <w:spacing w:line="276" w:lineRule="auto"/>
              <w:jc w:val="left"/>
              <w:rPr>
                <w:rFonts w:hint="eastAsia" w:ascii="宋体" w:hAnsi="宋体" w:eastAsia="宋体" w:cs="宋体"/>
                <w:szCs w:val="21"/>
              </w:rPr>
            </w:pPr>
            <w:r>
              <w:rPr>
                <w:rFonts w:ascii="宋体" w:hAnsi="宋体" w:eastAsia="宋体" w:cs="宋体"/>
                <w:szCs w:val="21"/>
              </w:rPr>
              <w:t>注重理论联系实际，尊重客观规律，树立社会主义核心价值观，增强专业素养，强调理论对实践的指导意义。</w:t>
            </w:r>
          </w:p>
        </w:tc>
      </w:tr>
      <w:tr w14:paraId="31D1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6DB7BDC">
            <w:pPr>
              <w:rPr>
                <w:rFonts w:hint="eastAsia" w:ascii="宋体" w:hAnsi="宋体" w:eastAsia="宋体" w:cs="宋体"/>
                <w:szCs w:val="21"/>
              </w:rPr>
            </w:pPr>
            <w:r>
              <w:rPr>
                <w:rFonts w:ascii="宋体" w:hAnsi="宋体" w:eastAsia="宋体" w:cs="宋体"/>
                <w:szCs w:val="21"/>
              </w:rPr>
              <w:t>Matlab数值实验</w:t>
            </w:r>
          </w:p>
        </w:tc>
        <w:tc>
          <w:tcPr>
            <w:tcW w:w="3407" w:type="dxa"/>
            <w:vAlign w:val="center"/>
          </w:tcPr>
          <w:p w14:paraId="1D2B89AE">
            <w:pPr>
              <w:spacing w:line="276" w:lineRule="auto"/>
              <w:jc w:val="left"/>
              <w:rPr>
                <w:rFonts w:hint="eastAsia" w:ascii="宋体" w:hAnsi="宋体" w:eastAsia="宋体" w:cs="宋体"/>
                <w:szCs w:val="21"/>
              </w:rPr>
            </w:pPr>
            <w:r>
              <w:rPr>
                <w:rFonts w:ascii="Times New Roman" w:hAnsi="Times New Roman" w:eastAsia="宋体" w:cs="Times New Roman"/>
                <w:bCs/>
                <w:szCs w:val="21"/>
              </w:rPr>
              <w:t>书第5章到第7章，数值方法Matlab编程实现</w:t>
            </w:r>
          </w:p>
        </w:tc>
        <w:tc>
          <w:tcPr>
            <w:tcW w:w="740" w:type="dxa"/>
            <w:vAlign w:val="center"/>
          </w:tcPr>
          <w:p w14:paraId="2A4D9B20">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7E44D5F7">
            <w:pPr>
              <w:spacing w:line="276" w:lineRule="auto"/>
              <w:jc w:val="left"/>
              <w:rPr>
                <w:rFonts w:hint="eastAsia" w:ascii="宋体" w:hAnsi="宋体" w:eastAsia="宋体" w:cs="宋体"/>
                <w:szCs w:val="21"/>
              </w:rPr>
            </w:pPr>
            <w:r>
              <w:rPr>
                <w:rFonts w:ascii="宋体" w:hAnsi="宋体" w:eastAsia="宋体" w:cs="宋体"/>
                <w:szCs w:val="21"/>
              </w:rPr>
              <w:t>注重理论联系实际，尊重客观规律，树立社会主义核心价值观，增强专业素养，强调理论对实践的指导意义。</w:t>
            </w:r>
          </w:p>
        </w:tc>
      </w:tr>
    </w:tbl>
    <w:p w14:paraId="484AFFE2">
      <w:pPr>
        <w:spacing w:line="360" w:lineRule="auto"/>
        <w:jc w:val="left"/>
        <w:rPr>
          <w:rFonts w:hint="eastAsia" w:ascii="宋体" w:hAnsi="宋体" w:eastAsia="宋体" w:cs="Times New Roman"/>
          <w:b/>
          <w:color w:val="000000"/>
          <w:sz w:val="28"/>
          <w:szCs w:val="28"/>
        </w:rPr>
      </w:pPr>
    </w:p>
    <w:p w14:paraId="00475746">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4BEBC78F">
      <w:r>
        <w:rPr>
          <w:rFonts w:hint="eastAsia"/>
        </w:rPr>
        <w:t>（一）持续改进</w:t>
      </w:r>
    </w:p>
    <w:p w14:paraId="2F539C75">
      <w:r>
        <w:rPr>
          <w:rFonts w:hint="eastAsia"/>
        </w:rPr>
        <w:t>1. 提倡改革教学方法，强调应用现代化教学手段，如课件、互联网视频教学和网络答疑等。</w:t>
      </w:r>
    </w:p>
    <w:p w14:paraId="35A5FEC2">
      <w:r>
        <w:rPr>
          <w:rFonts w:hint="eastAsia"/>
        </w:rPr>
        <w:t>2.合理安排教学课时，加强课堂提问、课堂小测验等旨在督促学生自主学习的教学环节；引导学生做好课前预习、课后整理笔记并及时完成作业的复习工作；保证学生完成一定数量的作业和习题。</w:t>
      </w:r>
    </w:p>
    <w:p w14:paraId="3C2B328A">
      <w:r>
        <w:rPr>
          <w:rFonts w:hint="eastAsia"/>
        </w:rPr>
        <w:t>3．教学用的例题和习题，应适当结合工程实际。</w:t>
      </w:r>
    </w:p>
    <w:p w14:paraId="603EBEB5">
      <w:r>
        <w:rPr>
          <w:rFonts w:hint="eastAsia"/>
        </w:rPr>
        <w:t>（二）参考书目及学习资料</w:t>
      </w:r>
    </w:p>
    <w:p w14:paraId="62271924">
      <w:r>
        <w:rPr>
          <w:rFonts w:hint="eastAsia"/>
        </w:rPr>
        <w:t>《计算方法》，易大义，浙江大学出版社， 2017.5</w:t>
      </w:r>
    </w:p>
    <w:p w14:paraId="10FC6FCB"/>
    <w:p w14:paraId="3F597FEF">
      <w:r>
        <w:rPr>
          <w:rFonts w:hint="eastAsia"/>
        </w:rPr>
        <w:t>.</w:t>
      </w:r>
    </w:p>
    <w:p w14:paraId="678DCEB6">
      <w:pPr>
        <w:jc w:val="center"/>
      </w:pPr>
    </w:p>
    <w:p w14:paraId="4640029E">
      <w:pPr>
        <w:jc w:val="right"/>
        <w:rPr>
          <w:rFonts w:ascii="Times New Roman" w:hAnsi="Times New Roman" w:eastAsia="宋体" w:cs="Times New Roman"/>
          <w:sz w:val="24"/>
        </w:rPr>
      </w:pPr>
      <w:r>
        <w:rPr>
          <w:rFonts w:hint="eastAsia" w:ascii="Times New Roman" w:hAnsi="Times New Roman" w:eastAsia="宋体" w:cs="Times New Roman"/>
          <w:sz w:val="24"/>
        </w:rPr>
        <w:t>执 笔 人：李森</w:t>
      </w:r>
    </w:p>
    <w:p w14:paraId="20B153D2">
      <w:pPr>
        <w:jc w:val="right"/>
        <w:rPr>
          <w:rFonts w:ascii="Times New Roman" w:hAnsi="Times New Roman" w:eastAsia="宋体" w:cs="Times New Roman"/>
          <w:sz w:val="24"/>
        </w:rPr>
      </w:pPr>
      <w:r>
        <w:rPr>
          <w:rFonts w:hint="eastAsia" w:ascii="Times New Roman" w:hAnsi="Times New Roman" w:eastAsia="宋体" w:cs="Times New Roman"/>
          <w:sz w:val="24"/>
        </w:rPr>
        <w:t>审 定 人：钱峰</w:t>
      </w:r>
    </w:p>
    <w:p w14:paraId="4DE972C2">
      <w:pPr>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王献东</w:t>
      </w:r>
    </w:p>
    <w:p w14:paraId="0FE463A8">
      <w:pPr>
        <w:wordWrap w:val="0"/>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47CFDC14"/>
    <w:p w14:paraId="0C3AC003">
      <w:r>
        <w:rPr>
          <w:rFonts w:hint="eastAsia"/>
        </w:rPr>
        <w:br w:type="page"/>
      </w:r>
    </w:p>
    <w:p w14:paraId="44E4F746">
      <w:pPr>
        <w:pStyle w:val="2"/>
        <w:tabs>
          <w:tab w:val="left" w:pos="720"/>
          <w:tab w:val="left" w:pos="2700"/>
        </w:tabs>
      </w:pPr>
      <w:bookmarkStart w:id="246" w:name="_Toc8700"/>
      <w:r>
        <w:rPr>
          <w:rFonts w:hint="eastAsia"/>
        </w:rPr>
        <w:t>《</w:t>
      </w:r>
      <w:r>
        <w:t>小学数学思维训练</w:t>
      </w:r>
      <w:r>
        <w:rPr>
          <w:rFonts w:hint="eastAsia"/>
        </w:rPr>
        <w:t>》</w:t>
      </w:r>
      <w:r>
        <w:t>课程教学大纲</w:t>
      </w:r>
      <w:bookmarkEnd w:id="244"/>
      <w:bookmarkEnd w:id="246"/>
    </w:p>
    <w:p w14:paraId="1EEF1D83">
      <w:pPr>
        <w:spacing w:line="312" w:lineRule="auto"/>
        <w:jc w:val="center"/>
        <w:rPr>
          <w:rFonts w:ascii="Times New Roman" w:hAnsi="Times New Roman"/>
          <w:b/>
          <w:bCs/>
          <w:sz w:val="30"/>
        </w:rPr>
      </w:pPr>
      <w:r>
        <w:rPr>
          <w:rFonts w:ascii="Times New Roman" w:hAnsi="Times New Roman"/>
          <w:b/>
          <w:bCs/>
          <w:sz w:val="30"/>
        </w:rPr>
        <w:t>（Training of Math thinking）</w:t>
      </w:r>
    </w:p>
    <w:p w14:paraId="564BDF57">
      <w:pPr>
        <w:spacing w:line="360" w:lineRule="auto"/>
        <w:ind w:firstLine="551" w:firstLineChars="196"/>
        <w:rPr>
          <w:rFonts w:ascii="Times New Roman" w:hAnsi="Times New Roman"/>
          <w:b/>
          <w:sz w:val="28"/>
          <w:szCs w:val="28"/>
        </w:rPr>
      </w:pPr>
      <w:r>
        <w:rPr>
          <w:rFonts w:ascii="Times New Roman" w:hAnsi="Times New Roman"/>
          <w:b/>
          <w:sz w:val="28"/>
          <w:szCs w:val="28"/>
        </w:rPr>
        <w:t>一、课程概况</w:t>
      </w:r>
    </w:p>
    <w:p w14:paraId="37C3E1A6">
      <w:pPr>
        <w:spacing w:line="360" w:lineRule="auto"/>
        <w:ind w:firstLine="482" w:firstLineChars="200"/>
        <w:rPr>
          <w:rFonts w:ascii="Times New Roman" w:hAnsi="Times New Roman"/>
          <w:b/>
          <w:sz w:val="28"/>
          <w:szCs w:val="28"/>
        </w:rPr>
      </w:pPr>
      <w:r>
        <w:rPr>
          <w:rFonts w:ascii="Times New Roman" w:hAnsi="Times New Roman"/>
          <w:b/>
          <w:bCs/>
          <w:kern w:val="0"/>
          <w:sz w:val="24"/>
        </w:rPr>
        <w:t>课程代码</w:t>
      </w:r>
      <w:r>
        <w:rPr>
          <w:rFonts w:ascii="Times New Roman" w:hAnsi="Times New Roman"/>
          <w:b/>
          <w:kern w:val="0"/>
          <w:sz w:val="24"/>
        </w:rPr>
        <w:t>：</w:t>
      </w:r>
      <w:r>
        <w:rPr>
          <w:rFonts w:ascii="Times New Roman" w:hAnsi="Times New Roman"/>
          <w:sz w:val="24"/>
        </w:rPr>
        <w:t>0821015</w:t>
      </w:r>
    </w:p>
    <w:p w14:paraId="70B47D5C">
      <w:pPr>
        <w:spacing w:line="360" w:lineRule="auto"/>
        <w:ind w:firstLine="482" w:firstLineChars="200"/>
        <w:rPr>
          <w:rFonts w:ascii="Times New Roman" w:hAnsi="Times New Roman"/>
          <w:b/>
          <w:kern w:val="0"/>
          <w:sz w:val="24"/>
        </w:rPr>
      </w:pPr>
      <w:r>
        <w:rPr>
          <w:rFonts w:ascii="Times New Roman" w:hAnsi="Times New Roman"/>
          <w:b/>
          <w:bCs/>
          <w:kern w:val="0"/>
          <w:sz w:val="24"/>
        </w:rPr>
        <w:t>学    分</w:t>
      </w:r>
      <w:r>
        <w:rPr>
          <w:rFonts w:ascii="Times New Roman" w:hAnsi="Times New Roman"/>
          <w:b/>
          <w:kern w:val="0"/>
          <w:sz w:val="24"/>
        </w:rPr>
        <w:t xml:space="preserve">： </w:t>
      </w:r>
      <w:r>
        <w:rPr>
          <w:rFonts w:ascii="Times New Roman" w:hAnsi="Times New Roman"/>
          <w:kern w:val="0"/>
          <w:sz w:val="24"/>
        </w:rPr>
        <w:t>2</w:t>
      </w:r>
    </w:p>
    <w:p w14:paraId="573A2D61">
      <w:pPr>
        <w:spacing w:line="360" w:lineRule="auto"/>
        <w:ind w:firstLine="482" w:firstLineChars="200"/>
        <w:rPr>
          <w:rFonts w:ascii="Times New Roman" w:hAnsi="Times New Roman"/>
          <w:kern w:val="0"/>
          <w:sz w:val="24"/>
        </w:rPr>
      </w:pPr>
      <w:r>
        <w:rPr>
          <w:rFonts w:ascii="Times New Roman" w:hAnsi="Times New Roman"/>
          <w:b/>
          <w:bCs/>
          <w:kern w:val="0"/>
          <w:sz w:val="24"/>
        </w:rPr>
        <w:t>学    时</w:t>
      </w:r>
      <w:r>
        <w:rPr>
          <w:rFonts w:ascii="Times New Roman" w:hAnsi="Times New Roman"/>
          <w:b/>
          <w:kern w:val="0"/>
          <w:sz w:val="24"/>
        </w:rPr>
        <w:t>：</w:t>
      </w:r>
      <w:r>
        <w:rPr>
          <w:rFonts w:ascii="Times New Roman" w:hAnsi="Times New Roman"/>
          <w:kern w:val="0"/>
          <w:sz w:val="24"/>
        </w:rPr>
        <w:t>32（其中：讲授学时32  ， 实验学时0  ，上机学时0）</w:t>
      </w:r>
    </w:p>
    <w:p w14:paraId="6DEBBEEC">
      <w:pPr>
        <w:spacing w:line="360" w:lineRule="auto"/>
        <w:ind w:firstLine="482" w:firstLineChars="200"/>
        <w:rPr>
          <w:rFonts w:ascii="Times New Roman" w:hAnsi="Times New Roman"/>
          <w:b/>
          <w:bCs/>
          <w:kern w:val="0"/>
          <w:sz w:val="24"/>
        </w:rPr>
      </w:pPr>
      <w:r>
        <w:rPr>
          <w:rFonts w:ascii="Times New Roman" w:hAnsi="Times New Roman"/>
          <w:b/>
          <w:bCs/>
          <w:kern w:val="0"/>
          <w:sz w:val="24"/>
        </w:rPr>
        <w:t>先修课程</w:t>
      </w:r>
      <w:r>
        <w:rPr>
          <w:rFonts w:ascii="Times New Roman" w:hAnsi="Times New Roman"/>
          <w:b/>
          <w:kern w:val="0"/>
          <w:sz w:val="24"/>
        </w:rPr>
        <w:t>：</w:t>
      </w:r>
      <w:r>
        <w:rPr>
          <w:rFonts w:ascii="Times New Roman" w:hAnsi="Times New Roman"/>
          <w:sz w:val="24"/>
        </w:rPr>
        <w:t>初等数论、概率统计</w:t>
      </w:r>
    </w:p>
    <w:p w14:paraId="08085807">
      <w:pPr>
        <w:spacing w:line="360" w:lineRule="auto"/>
        <w:ind w:firstLine="482" w:firstLineChars="200"/>
        <w:rPr>
          <w:rFonts w:ascii="Times New Roman" w:hAnsi="Times New Roman"/>
          <w:kern w:val="0"/>
          <w:sz w:val="24"/>
        </w:rPr>
      </w:pPr>
      <w:r>
        <w:rPr>
          <w:rFonts w:ascii="Times New Roman" w:hAnsi="Times New Roman"/>
          <w:b/>
          <w:bCs/>
          <w:kern w:val="0"/>
          <w:sz w:val="24"/>
        </w:rPr>
        <w:t>适用专业</w:t>
      </w:r>
      <w:r>
        <w:rPr>
          <w:rFonts w:ascii="Times New Roman" w:hAnsi="Times New Roman"/>
          <w:b/>
          <w:kern w:val="0"/>
          <w:sz w:val="24"/>
        </w:rPr>
        <w:t>：</w:t>
      </w:r>
      <w:r>
        <w:rPr>
          <w:rFonts w:ascii="Times New Roman" w:hAnsi="Times New Roman"/>
          <w:kern w:val="0"/>
          <w:sz w:val="24"/>
        </w:rPr>
        <w:t xml:space="preserve"> 小学教育（理）专业                      </w:t>
      </w:r>
    </w:p>
    <w:p w14:paraId="4325B46C">
      <w:pPr>
        <w:spacing w:line="360" w:lineRule="auto"/>
        <w:ind w:firstLine="482" w:firstLineChars="200"/>
        <w:rPr>
          <w:rFonts w:ascii="Times New Roman" w:hAnsi="Times New Roman"/>
          <w:kern w:val="0"/>
          <w:sz w:val="24"/>
        </w:rPr>
      </w:pPr>
      <w:r>
        <w:rPr>
          <w:rFonts w:ascii="Times New Roman" w:hAnsi="Times New Roman"/>
          <w:b/>
          <w:bCs/>
          <w:kern w:val="0"/>
          <w:sz w:val="24"/>
        </w:rPr>
        <w:t>建议教材</w:t>
      </w:r>
      <w:r>
        <w:rPr>
          <w:rFonts w:ascii="Times New Roman" w:hAnsi="Times New Roman"/>
          <w:b/>
          <w:kern w:val="0"/>
          <w:sz w:val="24"/>
        </w:rPr>
        <w:t>：</w:t>
      </w:r>
      <w:r>
        <w:rPr>
          <w:rFonts w:ascii="Times New Roman" w:hAnsi="Times New Roman"/>
          <w:kern w:val="0"/>
          <w:sz w:val="24"/>
        </w:rPr>
        <w:t>《</w:t>
      </w:r>
      <w:r>
        <w:rPr>
          <w:rFonts w:ascii="Times New Roman" w:hAnsi="Times New Roman"/>
          <w:sz w:val="24"/>
        </w:rPr>
        <w:t>数学</w:t>
      </w:r>
      <w:r>
        <w:rPr>
          <w:rFonts w:hint="eastAsia" w:ascii="Times New Roman" w:hAnsi="Times New Roman"/>
          <w:sz w:val="24"/>
        </w:rPr>
        <w:t>培优</w:t>
      </w:r>
      <w:r>
        <w:rPr>
          <w:rFonts w:ascii="Times New Roman" w:hAnsi="Times New Roman"/>
          <w:sz w:val="24"/>
        </w:rPr>
        <w:t>竞赛</w:t>
      </w:r>
      <w:r>
        <w:rPr>
          <w:rFonts w:hint="eastAsia" w:ascii="Times New Roman" w:hAnsi="Times New Roman"/>
          <w:sz w:val="24"/>
        </w:rPr>
        <w:t>讲座</w:t>
      </w:r>
      <w:r>
        <w:rPr>
          <w:rFonts w:ascii="Times New Roman" w:hAnsi="Times New Roman"/>
          <w:kern w:val="0"/>
          <w:sz w:val="24"/>
        </w:rPr>
        <w:t>》，</w:t>
      </w:r>
      <w:r>
        <w:rPr>
          <w:rFonts w:hint="eastAsia" w:ascii="Times New Roman" w:hAnsi="Times New Roman"/>
          <w:sz w:val="24"/>
        </w:rPr>
        <w:t>朱华伟编著，清华大学</w:t>
      </w:r>
      <w:r>
        <w:rPr>
          <w:rFonts w:ascii="Times New Roman" w:hAnsi="Times New Roman"/>
          <w:sz w:val="24"/>
        </w:rPr>
        <w:t>出版社</w:t>
      </w:r>
      <w:r>
        <w:rPr>
          <w:rFonts w:ascii="Times New Roman" w:hAnsi="Times New Roman"/>
          <w:kern w:val="0"/>
          <w:sz w:val="24"/>
        </w:rPr>
        <w:t>，2021.8</w:t>
      </w:r>
    </w:p>
    <w:p w14:paraId="18876FB3">
      <w:pPr>
        <w:spacing w:line="360" w:lineRule="auto"/>
        <w:ind w:firstLine="482" w:firstLineChars="200"/>
        <w:rPr>
          <w:rFonts w:ascii="Times New Roman" w:hAnsi="Times New Roman"/>
          <w:kern w:val="0"/>
          <w:sz w:val="24"/>
        </w:rPr>
      </w:pPr>
      <w:r>
        <w:rPr>
          <w:rFonts w:ascii="Times New Roman" w:hAnsi="Times New Roman"/>
          <w:b/>
          <w:bCs/>
          <w:kern w:val="0"/>
          <w:sz w:val="24"/>
        </w:rPr>
        <w:t>课程归口：</w:t>
      </w:r>
      <w:r>
        <w:rPr>
          <w:rFonts w:ascii="Times New Roman" w:hAnsi="Times New Roman"/>
          <w:bCs/>
          <w:kern w:val="0"/>
          <w:sz w:val="24"/>
        </w:rPr>
        <w:t>理</w:t>
      </w:r>
      <w:r>
        <w:rPr>
          <w:rFonts w:ascii="Times New Roman" w:hAnsi="Times New Roman"/>
          <w:kern w:val="0"/>
          <w:sz w:val="24"/>
        </w:rPr>
        <w:t>学院</w:t>
      </w:r>
    </w:p>
    <w:p w14:paraId="1ED4DF0D">
      <w:pPr>
        <w:autoSpaceDE w:val="0"/>
        <w:autoSpaceDN w:val="0"/>
        <w:adjustRightInd w:val="0"/>
        <w:spacing w:line="360" w:lineRule="auto"/>
        <w:ind w:firstLine="482" w:firstLineChars="200"/>
        <w:jc w:val="left"/>
        <w:rPr>
          <w:rFonts w:ascii="Times New Roman" w:hAnsi="Times New Roman"/>
          <w:sz w:val="24"/>
        </w:rPr>
      </w:pPr>
      <w:r>
        <w:rPr>
          <w:rFonts w:ascii="Times New Roman" w:hAnsi="Times New Roman"/>
          <w:b/>
          <w:bCs/>
          <w:kern w:val="0"/>
          <w:sz w:val="24"/>
        </w:rPr>
        <w:t>课程的性质与任务：</w:t>
      </w:r>
      <w:r>
        <w:rPr>
          <w:rFonts w:ascii="Times New Roman" w:hAnsi="Times New Roman"/>
          <w:kern w:val="0"/>
          <w:sz w:val="24"/>
        </w:rPr>
        <w:t>本课程是小学教育（理）专业的一门</w:t>
      </w:r>
      <w:r>
        <w:rPr>
          <w:rFonts w:ascii="Times New Roman" w:hAnsi="Times New Roman"/>
          <w:color w:val="000000"/>
          <w:sz w:val="24"/>
        </w:rPr>
        <w:t>重要基础课</w:t>
      </w:r>
      <w:r>
        <w:rPr>
          <w:rFonts w:ascii="Times New Roman" w:hAnsi="Times New Roman"/>
          <w:sz w:val="24"/>
        </w:rPr>
        <w:t>。</w:t>
      </w:r>
      <w:r>
        <w:rPr>
          <w:rFonts w:ascii="Times New Roman" w:hAnsi="Times New Roman"/>
          <w:color w:val="000000"/>
          <w:kern w:val="0"/>
          <w:sz w:val="24"/>
        </w:rPr>
        <w:t>通过本课程的学习，使学生系统地获得</w:t>
      </w:r>
      <w:r>
        <w:rPr>
          <w:rFonts w:ascii="Times New Roman" w:hAnsi="Times New Roman"/>
          <w:sz w:val="24"/>
        </w:rPr>
        <w:t>小学数学竞赛</w:t>
      </w:r>
      <w:r>
        <w:rPr>
          <w:rFonts w:ascii="Times New Roman" w:hAnsi="Times New Roman"/>
          <w:color w:val="000000"/>
          <w:kern w:val="0"/>
          <w:sz w:val="24"/>
        </w:rPr>
        <w:t>的基本知识、必要的基础理论和常用的运算方法；提高学生的运算能力、数学思维能力、逻辑推理能力；并能运用数学知识、理论、方法解决相关的实际应用问题；提高学生的数学素养，为学生学习后续相关课程及终身学习奠定必要的数学基础。</w:t>
      </w:r>
    </w:p>
    <w:p w14:paraId="677DB1F7">
      <w:pPr>
        <w:spacing w:line="360" w:lineRule="auto"/>
        <w:ind w:firstLine="562" w:firstLineChars="200"/>
        <w:rPr>
          <w:rFonts w:ascii="Times New Roman" w:hAnsi="Times New Roman"/>
          <w:b/>
          <w:sz w:val="28"/>
          <w:szCs w:val="28"/>
        </w:rPr>
      </w:pPr>
      <w:r>
        <w:rPr>
          <w:rFonts w:ascii="Times New Roman" w:hAnsi="Times New Roman"/>
          <w:b/>
          <w:sz w:val="28"/>
          <w:szCs w:val="28"/>
        </w:rPr>
        <w:t>二、课程目标</w:t>
      </w:r>
    </w:p>
    <w:p w14:paraId="5C212C11">
      <w:pPr>
        <w:spacing w:line="360" w:lineRule="auto"/>
        <w:ind w:firstLine="482"/>
        <w:jc w:val="left"/>
        <w:rPr>
          <w:rFonts w:ascii="Times New Roman" w:hAnsi="Times New Roman"/>
          <w:sz w:val="24"/>
        </w:rPr>
      </w:pPr>
      <w:r>
        <w:rPr>
          <w:rFonts w:ascii="Times New Roman" w:hAnsi="Times New Roman"/>
          <w:sz w:val="24"/>
        </w:rPr>
        <w:t>目标1.</w:t>
      </w:r>
      <w:r>
        <w:rPr>
          <w:rFonts w:ascii="Times New Roman" w:hAnsi="Times New Roman"/>
        </w:rPr>
        <w:t xml:space="preserve"> </w:t>
      </w:r>
      <w:r>
        <w:rPr>
          <w:rFonts w:ascii="Times New Roman" w:hAnsi="Times New Roman"/>
          <w:color w:val="000000"/>
          <w:sz w:val="24"/>
        </w:rPr>
        <w:t>能够获得课程基本概念与性质</w:t>
      </w:r>
      <w:r>
        <w:rPr>
          <w:rFonts w:hint="eastAsia" w:ascii="Times New Roman" w:hAnsi="Times New Roman"/>
          <w:sz w:val="24"/>
        </w:rPr>
        <w:t>，</w:t>
      </w:r>
      <w:r>
        <w:rPr>
          <w:rFonts w:ascii="Times New Roman" w:hAnsi="Times New Roman"/>
          <w:color w:val="000000"/>
          <w:sz w:val="24"/>
        </w:rPr>
        <w:t>能够掌握本课程要求的计算方法</w:t>
      </w:r>
      <w:r>
        <w:rPr>
          <w:rFonts w:ascii="Times New Roman" w:hAnsi="Times New Roman"/>
          <w:sz w:val="24"/>
        </w:rPr>
        <w:t>。</w:t>
      </w:r>
    </w:p>
    <w:p w14:paraId="7FA4721F">
      <w:pPr>
        <w:spacing w:line="360" w:lineRule="auto"/>
        <w:ind w:firstLine="482"/>
        <w:jc w:val="left"/>
        <w:rPr>
          <w:rFonts w:ascii="Times New Roman" w:hAnsi="Times New Roman"/>
          <w:sz w:val="24"/>
        </w:rPr>
      </w:pPr>
    </w:p>
    <w:p w14:paraId="62BB0951">
      <w:pPr>
        <w:spacing w:line="360" w:lineRule="auto"/>
        <w:ind w:firstLine="482"/>
        <w:jc w:val="left"/>
        <w:rPr>
          <w:rFonts w:ascii="Times New Roman" w:hAnsi="Times New Roman"/>
          <w:sz w:val="24"/>
        </w:rPr>
      </w:pPr>
      <w:r>
        <w:rPr>
          <w:rFonts w:ascii="Times New Roman" w:hAnsi="Times New Roman"/>
          <w:sz w:val="24"/>
        </w:rPr>
        <w:t xml:space="preserve">目标2. </w:t>
      </w:r>
      <w:r>
        <w:rPr>
          <w:rFonts w:ascii="Times New Roman" w:hAnsi="Times New Roman"/>
          <w:color w:val="000000"/>
          <w:sz w:val="24"/>
        </w:rPr>
        <w:t>能够具有一定的</w:t>
      </w:r>
      <w:r>
        <w:rPr>
          <w:rFonts w:ascii="Times New Roman" w:hAnsi="Times New Roman"/>
          <w:sz w:val="24"/>
        </w:rPr>
        <w:t>抽象概括、逻辑推理能力</w:t>
      </w:r>
      <w:r>
        <w:rPr>
          <w:rFonts w:hint="eastAsia" w:ascii="Times New Roman" w:hAnsi="Times New Roman"/>
          <w:sz w:val="24"/>
        </w:rPr>
        <w:t>，</w:t>
      </w:r>
      <w:r>
        <w:rPr>
          <w:rFonts w:ascii="Times New Roman" w:hAnsi="Times New Roman"/>
          <w:sz w:val="24"/>
        </w:rPr>
        <w:t>运算能力</w:t>
      </w:r>
      <w:r>
        <w:rPr>
          <w:rFonts w:hint="eastAsia" w:ascii="Times New Roman" w:hAnsi="Times New Roman"/>
          <w:sz w:val="24"/>
        </w:rPr>
        <w:t>，</w:t>
      </w:r>
      <w:r>
        <w:rPr>
          <w:rFonts w:hint="eastAsia" w:ascii="Times New Roman" w:hAnsi="Times New Roman"/>
          <w:color w:val="000000"/>
          <w:sz w:val="24"/>
        </w:rPr>
        <w:t>以及</w:t>
      </w:r>
      <w:r>
        <w:rPr>
          <w:rFonts w:ascii="Times New Roman" w:hAnsi="Times New Roman"/>
          <w:sz w:val="24"/>
        </w:rPr>
        <w:t>数学思维与分析</w:t>
      </w:r>
      <w:r>
        <w:rPr>
          <w:rFonts w:hint="eastAsia" w:ascii="Times New Roman" w:hAnsi="Times New Roman"/>
          <w:sz w:val="24"/>
        </w:rPr>
        <w:t>等</w:t>
      </w:r>
      <w:r>
        <w:rPr>
          <w:rFonts w:ascii="Times New Roman" w:hAnsi="Times New Roman"/>
          <w:sz w:val="24"/>
        </w:rPr>
        <w:t>能力。</w:t>
      </w:r>
    </w:p>
    <w:p w14:paraId="3C616495">
      <w:pPr>
        <w:spacing w:line="360" w:lineRule="auto"/>
        <w:ind w:firstLine="482"/>
        <w:jc w:val="left"/>
        <w:rPr>
          <w:rFonts w:ascii="Times New Roman" w:hAnsi="Times New Roman"/>
          <w:color w:val="000000"/>
          <w:sz w:val="24"/>
        </w:rPr>
      </w:pPr>
    </w:p>
    <w:p w14:paraId="7F5C8124">
      <w:pPr>
        <w:spacing w:line="360" w:lineRule="auto"/>
        <w:ind w:firstLine="480" w:firstLineChars="200"/>
        <w:rPr>
          <w:rFonts w:ascii="Times New Roman" w:hAnsi="Times New Roman"/>
          <w:color w:val="000000"/>
          <w:sz w:val="24"/>
        </w:rPr>
      </w:pPr>
      <w:r>
        <w:rPr>
          <w:rFonts w:ascii="Times New Roman" w:hAnsi="Times New Roman"/>
          <w:color w:val="000000"/>
          <w:sz w:val="24"/>
        </w:rPr>
        <w:t>本课程支撑专业人才培养方案中毕业要求</w:t>
      </w:r>
      <w:r>
        <w:rPr>
          <w:rFonts w:ascii="Times New Roman" w:hAnsi="Times New Roman"/>
          <w:sz w:val="24"/>
        </w:rPr>
        <w:t>3</w:t>
      </w:r>
      <w:r>
        <w:rPr>
          <w:rFonts w:ascii="Times New Roman" w:hAnsi="Times New Roman"/>
          <w:szCs w:val="21"/>
        </w:rPr>
        <w:t>-2</w:t>
      </w:r>
      <w:r>
        <w:rPr>
          <w:rFonts w:ascii="Times New Roman" w:hAnsi="Times New Roman"/>
          <w:color w:val="000000"/>
          <w:sz w:val="24"/>
        </w:rPr>
        <w:t>、毕业要求</w:t>
      </w:r>
      <w:r>
        <w:rPr>
          <w:rFonts w:ascii="Times New Roman" w:hAnsi="Times New Roman"/>
          <w:sz w:val="24"/>
        </w:rPr>
        <w:t>4</w:t>
      </w:r>
      <w:r>
        <w:rPr>
          <w:rFonts w:ascii="Times New Roman" w:hAnsi="Times New Roman"/>
          <w:szCs w:val="21"/>
        </w:rPr>
        <w:t>-3</w:t>
      </w:r>
      <w:r>
        <w:rPr>
          <w:rFonts w:ascii="Times New Roman" w:hAnsi="Times New Roman"/>
          <w:color w:val="000000"/>
          <w:sz w:val="24"/>
        </w:rPr>
        <w:t>对应关系如表所示。</w:t>
      </w:r>
    </w:p>
    <w:tbl>
      <w:tblPr>
        <w:tblStyle w:val="13"/>
        <w:tblW w:w="9255" w:type="dxa"/>
        <w:tblInd w:w="93" w:type="dxa"/>
        <w:tblLayout w:type="fixed"/>
        <w:tblCellMar>
          <w:top w:w="0" w:type="dxa"/>
          <w:left w:w="108" w:type="dxa"/>
          <w:bottom w:w="0" w:type="dxa"/>
          <w:right w:w="108" w:type="dxa"/>
        </w:tblCellMar>
      </w:tblPr>
      <w:tblGrid>
        <w:gridCol w:w="1695"/>
        <w:gridCol w:w="945"/>
        <w:gridCol w:w="945"/>
        <w:gridCol w:w="945"/>
        <w:gridCol w:w="945"/>
        <w:gridCol w:w="945"/>
        <w:gridCol w:w="945"/>
        <w:gridCol w:w="945"/>
        <w:gridCol w:w="945"/>
      </w:tblGrid>
      <w:tr w14:paraId="73825AFF">
        <w:tblPrEx>
          <w:tblCellMar>
            <w:top w:w="0" w:type="dxa"/>
            <w:left w:w="108" w:type="dxa"/>
            <w:bottom w:w="0" w:type="dxa"/>
            <w:right w:w="108" w:type="dxa"/>
          </w:tblCellMar>
        </w:tblPrEx>
        <w:trPr>
          <w:trHeight w:val="514"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AD33A31">
            <w:pPr>
              <w:widowControl/>
              <w:jc w:val="center"/>
              <w:rPr>
                <w:rFonts w:ascii="Times New Roman" w:hAnsi="Times New Roman"/>
                <w:kern w:val="0"/>
                <w:szCs w:val="21"/>
              </w:rPr>
            </w:pPr>
            <w:r>
              <w:rPr>
                <w:rFonts w:ascii="Times New Roman" w:hAnsi="Times New Roman"/>
                <w:kern w:val="0"/>
                <w:szCs w:val="21"/>
              </w:rPr>
              <w:t>毕业要求</w:t>
            </w:r>
          </w:p>
          <w:p w14:paraId="346C23DF">
            <w:pPr>
              <w:widowControl/>
              <w:jc w:val="center"/>
              <w:rPr>
                <w:rFonts w:ascii="Times New Roman" w:hAnsi="Times New Roman"/>
                <w:kern w:val="0"/>
                <w:szCs w:val="21"/>
              </w:rPr>
            </w:pPr>
            <w:r>
              <w:rPr>
                <w:rFonts w:ascii="Times New Roman" w:hAnsi="Times New Roman"/>
                <w:kern w:val="0"/>
                <w:szCs w:val="21"/>
              </w:rPr>
              <w:t>指标点</w:t>
            </w:r>
          </w:p>
        </w:tc>
        <w:tc>
          <w:tcPr>
            <w:tcW w:w="7560" w:type="dxa"/>
            <w:gridSpan w:val="8"/>
            <w:tcBorders>
              <w:top w:val="single" w:color="auto" w:sz="4" w:space="0"/>
              <w:left w:val="nil"/>
              <w:bottom w:val="single" w:color="auto" w:sz="4" w:space="0"/>
              <w:right w:val="single" w:color="auto" w:sz="4" w:space="0"/>
            </w:tcBorders>
            <w:shd w:val="clear" w:color="auto" w:fill="FFFFFF"/>
            <w:vAlign w:val="center"/>
          </w:tcPr>
          <w:p w14:paraId="33A8F316">
            <w:pPr>
              <w:widowControl/>
              <w:jc w:val="center"/>
              <w:rPr>
                <w:rFonts w:ascii="Times New Roman" w:hAnsi="Times New Roman"/>
                <w:kern w:val="0"/>
                <w:szCs w:val="21"/>
              </w:rPr>
            </w:pPr>
            <w:r>
              <w:rPr>
                <w:rFonts w:ascii="Times New Roman" w:hAnsi="Times New Roman"/>
                <w:kern w:val="0"/>
                <w:szCs w:val="21"/>
              </w:rPr>
              <w:t>课程目标</w:t>
            </w:r>
          </w:p>
        </w:tc>
      </w:tr>
      <w:tr w14:paraId="453B0AA9">
        <w:tblPrEx>
          <w:tblCellMar>
            <w:top w:w="0" w:type="dxa"/>
            <w:left w:w="108" w:type="dxa"/>
            <w:bottom w:w="0" w:type="dxa"/>
            <w:right w:w="108" w:type="dxa"/>
          </w:tblCellMar>
        </w:tblPrEx>
        <w:trPr>
          <w:trHeight w:val="491" w:hRule="atLeast"/>
        </w:trPr>
        <w:tc>
          <w:tcPr>
            <w:tcW w:w="169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AE9D7D4">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2809CF23">
            <w:pPr>
              <w:widowControl/>
              <w:jc w:val="center"/>
              <w:rPr>
                <w:rFonts w:ascii="Times New Roman" w:hAnsi="Times New Roman"/>
                <w:kern w:val="0"/>
                <w:szCs w:val="21"/>
              </w:rPr>
            </w:pPr>
            <w:r>
              <w:rPr>
                <w:rFonts w:ascii="Times New Roman" w:hAnsi="Times New Roman"/>
                <w:kern w:val="0"/>
                <w:szCs w:val="21"/>
              </w:rPr>
              <w:t>目标1</w:t>
            </w:r>
          </w:p>
        </w:tc>
        <w:tc>
          <w:tcPr>
            <w:tcW w:w="945" w:type="dxa"/>
            <w:tcBorders>
              <w:top w:val="nil"/>
              <w:left w:val="nil"/>
              <w:bottom w:val="single" w:color="auto" w:sz="4" w:space="0"/>
              <w:right w:val="single" w:color="auto" w:sz="4" w:space="0"/>
            </w:tcBorders>
            <w:shd w:val="clear" w:color="auto" w:fill="FFFFFF"/>
            <w:vAlign w:val="center"/>
          </w:tcPr>
          <w:p w14:paraId="1B5C3394">
            <w:pPr>
              <w:widowControl/>
              <w:jc w:val="center"/>
              <w:rPr>
                <w:rFonts w:ascii="Times New Roman" w:hAnsi="Times New Roman"/>
                <w:kern w:val="0"/>
                <w:szCs w:val="21"/>
              </w:rPr>
            </w:pPr>
            <w:r>
              <w:rPr>
                <w:rFonts w:ascii="Times New Roman" w:hAnsi="Times New Roman"/>
                <w:kern w:val="0"/>
                <w:szCs w:val="21"/>
              </w:rPr>
              <w:t>目标2</w:t>
            </w:r>
          </w:p>
        </w:tc>
        <w:tc>
          <w:tcPr>
            <w:tcW w:w="945" w:type="dxa"/>
            <w:tcBorders>
              <w:top w:val="nil"/>
              <w:left w:val="nil"/>
              <w:bottom w:val="single" w:color="auto" w:sz="4" w:space="0"/>
              <w:right w:val="single" w:color="auto" w:sz="4" w:space="0"/>
            </w:tcBorders>
            <w:shd w:val="clear" w:color="auto" w:fill="FFFFFF"/>
            <w:vAlign w:val="center"/>
          </w:tcPr>
          <w:p w14:paraId="3B3381A5">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4201585B">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48A7647D">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58C6E98C">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61FA8D67">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640F97AF">
            <w:pPr>
              <w:widowControl/>
              <w:jc w:val="center"/>
              <w:rPr>
                <w:rFonts w:ascii="Times New Roman" w:hAnsi="Times New Roman"/>
                <w:kern w:val="0"/>
                <w:szCs w:val="21"/>
              </w:rPr>
            </w:pPr>
          </w:p>
        </w:tc>
      </w:tr>
      <w:tr w14:paraId="41ABC5A1">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0514D96D">
            <w:pPr>
              <w:widowControl/>
              <w:jc w:val="center"/>
              <w:rPr>
                <w:rFonts w:ascii="Times New Roman" w:hAnsi="Times New Roman"/>
                <w:kern w:val="0"/>
                <w:szCs w:val="21"/>
              </w:rPr>
            </w:pPr>
            <w:r>
              <w:rPr>
                <w:rFonts w:ascii="Times New Roman" w:hAnsi="Times New Roman"/>
                <w:kern w:val="0"/>
                <w:szCs w:val="21"/>
              </w:rPr>
              <w:t>毕业要求</w:t>
            </w:r>
            <w:r>
              <w:rPr>
                <w:rFonts w:ascii="Times New Roman" w:hAnsi="Times New Roman"/>
                <w:szCs w:val="21"/>
              </w:rPr>
              <w:t>3-2</w:t>
            </w:r>
          </w:p>
        </w:tc>
        <w:tc>
          <w:tcPr>
            <w:tcW w:w="945" w:type="dxa"/>
            <w:tcBorders>
              <w:top w:val="nil"/>
              <w:left w:val="nil"/>
              <w:bottom w:val="single" w:color="auto" w:sz="4" w:space="0"/>
              <w:right w:val="single" w:color="auto" w:sz="4" w:space="0"/>
            </w:tcBorders>
            <w:vAlign w:val="center"/>
          </w:tcPr>
          <w:p w14:paraId="0BE5F0E2">
            <w:pPr>
              <w:widowControl/>
              <w:jc w:val="center"/>
              <w:rPr>
                <w:rFonts w:ascii="Times New Roman" w:hAnsi="Times New Roman"/>
                <w:kern w:val="0"/>
                <w:szCs w:val="21"/>
              </w:rPr>
            </w:pPr>
            <w:r>
              <w:rPr>
                <w:rFonts w:ascii="Times New Roman" w:hAnsi="Times New Roman"/>
                <w:kern w:val="0"/>
                <w:szCs w:val="21"/>
              </w:rPr>
              <w:t>√</w:t>
            </w:r>
          </w:p>
        </w:tc>
        <w:tc>
          <w:tcPr>
            <w:tcW w:w="945" w:type="dxa"/>
            <w:tcBorders>
              <w:top w:val="nil"/>
              <w:left w:val="nil"/>
              <w:bottom w:val="single" w:color="auto" w:sz="4" w:space="0"/>
              <w:right w:val="single" w:color="auto" w:sz="4" w:space="0"/>
            </w:tcBorders>
            <w:vAlign w:val="center"/>
          </w:tcPr>
          <w:p w14:paraId="0F56D01E">
            <w:pPr>
              <w:widowControl/>
              <w:jc w:val="center"/>
              <w:rPr>
                <w:rFonts w:ascii="Times New Roman" w:hAnsi="Times New Roman"/>
                <w:kern w:val="0"/>
                <w:szCs w:val="21"/>
              </w:rPr>
            </w:pPr>
            <w:r>
              <w:rPr>
                <w:rFonts w:ascii="Times New Roman" w:hAnsi="Times New Roman"/>
                <w:kern w:val="0"/>
                <w:szCs w:val="21"/>
              </w:rPr>
              <w:t>√</w:t>
            </w:r>
          </w:p>
        </w:tc>
        <w:tc>
          <w:tcPr>
            <w:tcW w:w="945" w:type="dxa"/>
            <w:tcBorders>
              <w:top w:val="nil"/>
              <w:left w:val="nil"/>
              <w:bottom w:val="single" w:color="auto" w:sz="4" w:space="0"/>
              <w:right w:val="single" w:color="auto" w:sz="4" w:space="0"/>
            </w:tcBorders>
            <w:vAlign w:val="center"/>
          </w:tcPr>
          <w:p w14:paraId="107AC35A">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50A50CDD">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66EB6AD3">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706E1A1C">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4AEC8EDF">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7031CDA9">
            <w:pPr>
              <w:widowControl/>
              <w:jc w:val="center"/>
              <w:rPr>
                <w:rFonts w:ascii="Times New Roman" w:hAnsi="Times New Roman"/>
                <w:kern w:val="0"/>
                <w:szCs w:val="21"/>
              </w:rPr>
            </w:pPr>
          </w:p>
        </w:tc>
      </w:tr>
      <w:tr w14:paraId="59570DD1">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75C9876E">
            <w:pPr>
              <w:widowControl/>
              <w:jc w:val="center"/>
              <w:rPr>
                <w:rFonts w:ascii="Times New Roman" w:hAnsi="Times New Roman"/>
                <w:kern w:val="0"/>
                <w:szCs w:val="21"/>
              </w:rPr>
            </w:pPr>
            <w:r>
              <w:rPr>
                <w:rFonts w:ascii="Times New Roman" w:hAnsi="Times New Roman"/>
                <w:kern w:val="0"/>
                <w:szCs w:val="21"/>
              </w:rPr>
              <w:t>毕业要求</w:t>
            </w:r>
            <w:r>
              <w:rPr>
                <w:rFonts w:ascii="Times New Roman" w:hAnsi="Times New Roman"/>
                <w:szCs w:val="21"/>
              </w:rPr>
              <w:t>4-3</w:t>
            </w:r>
          </w:p>
        </w:tc>
        <w:tc>
          <w:tcPr>
            <w:tcW w:w="945" w:type="dxa"/>
            <w:tcBorders>
              <w:top w:val="nil"/>
              <w:left w:val="nil"/>
              <w:bottom w:val="single" w:color="auto" w:sz="4" w:space="0"/>
              <w:right w:val="single" w:color="auto" w:sz="4" w:space="0"/>
            </w:tcBorders>
            <w:vAlign w:val="center"/>
          </w:tcPr>
          <w:p w14:paraId="4F5D6DE9">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4E4E73A9">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32B80970">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594EEEDE">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442EAB0A">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4D648A28">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2514ED1C">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2ED91713">
            <w:pPr>
              <w:widowControl/>
              <w:jc w:val="center"/>
              <w:rPr>
                <w:rFonts w:ascii="Times New Roman" w:hAnsi="Times New Roman"/>
                <w:kern w:val="0"/>
                <w:szCs w:val="21"/>
              </w:rPr>
            </w:pPr>
          </w:p>
        </w:tc>
      </w:tr>
      <w:tr w14:paraId="5B85FA9E">
        <w:tblPrEx>
          <w:tblCellMar>
            <w:top w:w="0" w:type="dxa"/>
            <w:left w:w="108" w:type="dxa"/>
            <w:bottom w:w="0" w:type="dxa"/>
            <w:right w:w="108" w:type="dxa"/>
          </w:tblCellMar>
        </w:tblPrEx>
        <w:trPr>
          <w:trHeight w:val="470" w:hRule="atLeast"/>
        </w:trPr>
        <w:tc>
          <w:tcPr>
            <w:tcW w:w="1695" w:type="dxa"/>
            <w:tcBorders>
              <w:top w:val="nil"/>
              <w:left w:val="single" w:color="auto" w:sz="4" w:space="0"/>
              <w:bottom w:val="single" w:color="auto" w:sz="4" w:space="0"/>
              <w:right w:val="single" w:color="auto" w:sz="4" w:space="0"/>
            </w:tcBorders>
            <w:vAlign w:val="center"/>
          </w:tcPr>
          <w:p w14:paraId="7BB9E390">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255C06F2">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568340AA">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04548FEE">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3B224C97">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2DE1205D">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30A34BA7">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039A2488">
            <w:pPr>
              <w:widowControl/>
              <w:jc w:val="center"/>
              <w:rPr>
                <w:rFonts w:ascii="Times New Roman" w:hAnsi="Times New Roman"/>
                <w:kern w:val="0"/>
                <w:szCs w:val="21"/>
              </w:rPr>
            </w:pPr>
          </w:p>
        </w:tc>
        <w:tc>
          <w:tcPr>
            <w:tcW w:w="945" w:type="dxa"/>
            <w:tcBorders>
              <w:top w:val="nil"/>
              <w:left w:val="nil"/>
              <w:bottom w:val="single" w:color="auto" w:sz="4" w:space="0"/>
              <w:right w:val="single" w:color="auto" w:sz="4" w:space="0"/>
            </w:tcBorders>
            <w:vAlign w:val="center"/>
          </w:tcPr>
          <w:p w14:paraId="4B78273C">
            <w:pPr>
              <w:widowControl/>
              <w:jc w:val="center"/>
              <w:rPr>
                <w:rFonts w:ascii="Times New Roman" w:hAnsi="Times New Roman"/>
                <w:kern w:val="0"/>
                <w:szCs w:val="21"/>
              </w:rPr>
            </w:pPr>
          </w:p>
        </w:tc>
      </w:tr>
    </w:tbl>
    <w:p w14:paraId="3DEC66BA">
      <w:pPr>
        <w:spacing w:line="360" w:lineRule="auto"/>
        <w:ind w:firstLine="562" w:firstLineChars="200"/>
        <w:rPr>
          <w:rFonts w:ascii="Times New Roman" w:hAnsi="Times New Roman"/>
          <w:b/>
          <w:sz w:val="28"/>
          <w:szCs w:val="28"/>
        </w:rPr>
      </w:pPr>
      <w:r>
        <w:rPr>
          <w:rFonts w:ascii="Times New Roman" w:hAnsi="Times New Roman"/>
          <w:b/>
          <w:sz w:val="28"/>
          <w:szCs w:val="28"/>
        </w:rPr>
        <w:t>三、课程内容及要求</w:t>
      </w:r>
    </w:p>
    <w:p w14:paraId="312DB38E">
      <w:pPr>
        <w:spacing w:line="360" w:lineRule="auto"/>
        <w:rPr>
          <w:rFonts w:ascii="Times New Roman" w:hAnsi="Times New Roman"/>
          <w:color w:val="000000"/>
          <w:sz w:val="24"/>
        </w:rPr>
      </w:pPr>
      <w:r>
        <w:rPr>
          <w:rFonts w:hint="eastAsia" w:ascii="Times New Roman" w:hAnsi="Times New Roman"/>
          <w:color w:val="000000"/>
          <w:sz w:val="24"/>
        </w:rPr>
        <w:t>,</w:t>
      </w:r>
    </w:p>
    <w:p w14:paraId="414E1B17">
      <w:pPr>
        <w:spacing w:line="360" w:lineRule="auto"/>
        <w:ind w:firstLine="472" w:firstLineChars="196"/>
        <w:rPr>
          <w:rFonts w:ascii="Times New Roman" w:hAnsi="Times New Roman"/>
          <w:b/>
          <w:sz w:val="24"/>
        </w:rPr>
      </w:pPr>
      <w:r>
        <w:rPr>
          <w:rFonts w:ascii="Times New Roman" w:hAnsi="Times New Roman"/>
          <w:b/>
          <w:sz w:val="24"/>
        </w:rPr>
        <w:t>（</w:t>
      </w:r>
      <w:r>
        <w:rPr>
          <w:rFonts w:hint="eastAsia" w:ascii="Times New Roman" w:hAnsi="Times New Roman"/>
          <w:b/>
          <w:sz w:val="24"/>
        </w:rPr>
        <w:t>一</w:t>
      </w:r>
      <w:r>
        <w:rPr>
          <w:rFonts w:ascii="Times New Roman" w:hAnsi="Times New Roman"/>
          <w:b/>
          <w:sz w:val="24"/>
        </w:rPr>
        <w:t>）数学</w:t>
      </w:r>
      <w:r>
        <w:rPr>
          <w:rFonts w:hint="eastAsia" w:ascii="Times New Roman" w:hAnsi="Times New Roman"/>
          <w:b/>
          <w:sz w:val="24"/>
        </w:rPr>
        <w:t>培优</w:t>
      </w:r>
      <w:r>
        <w:rPr>
          <w:rFonts w:ascii="Times New Roman" w:hAnsi="Times New Roman"/>
          <w:b/>
          <w:sz w:val="24"/>
        </w:rPr>
        <w:t>竞赛</w:t>
      </w:r>
      <w:r>
        <w:rPr>
          <w:rFonts w:hint="eastAsia" w:ascii="Times New Roman" w:hAnsi="Times New Roman"/>
          <w:b/>
          <w:sz w:val="24"/>
        </w:rPr>
        <w:t>讲座</w:t>
      </w:r>
    </w:p>
    <w:p w14:paraId="6C72064A">
      <w:pPr>
        <w:spacing w:line="360" w:lineRule="auto"/>
        <w:ind w:firstLine="480" w:firstLineChars="200"/>
        <w:rPr>
          <w:rFonts w:ascii="Times New Roman" w:hAnsi="Times New Roman"/>
          <w:color w:val="000000"/>
          <w:sz w:val="24"/>
        </w:rPr>
      </w:pPr>
      <w:r>
        <w:rPr>
          <w:rFonts w:ascii="Times New Roman" w:hAnsi="Times New Roman"/>
          <w:color w:val="000000"/>
          <w:sz w:val="24"/>
        </w:rPr>
        <w:t>1.教学内容</w:t>
      </w:r>
    </w:p>
    <w:p w14:paraId="6D6822EA">
      <w:pPr>
        <w:spacing w:line="360" w:lineRule="auto"/>
        <w:ind w:firstLine="480" w:firstLineChars="200"/>
        <w:rPr>
          <w:rFonts w:ascii="Times New Roman" w:hAnsi="Times New Roman"/>
          <w:sz w:val="24"/>
        </w:rPr>
      </w:pPr>
      <w:r>
        <w:rPr>
          <w:rFonts w:ascii="Times New Roman" w:hAnsi="Times New Roman"/>
          <w:sz w:val="24"/>
        </w:rPr>
        <w:t>（1）能够掌握</w:t>
      </w:r>
      <w:r>
        <w:rPr>
          <w:rFonts w:hint="eastAsia" w:ascii="Times New Roman" w:hAnsi="Times New Roman"/>
          <w:sz w:val="24"/>
        </w:rPr>
        <w:t>分数的巧算问题</w:t>
      </w:r>
    </w:p>
    <w:p w14:paraId="4F1069B6">
      <w:pPr>
        <w:spacing w:line="360" w:lineRule="auto"/>
        <w:ind w:firstLine="480" w:firstLineChars="200"/>
        <w:rPr>
          <w:rFonts w:ascii="Times New Roman" w:hAnsi="Times New Roman"/>
          <w:sz w:val="24"/>
        </w:rPr>
      </w:pPr>
      <w:r>
        <w:rPr>
          <w:rFonts w:ascii="Times New Roman" w:hAnsi="Times New Roman"/>
          <w:sz w:val="24"/>
        </w:rPr>
        <w:t>（2）能够掌握</w:t>
      </w:r>
      <w:r>
        <w:rPr>
          <w:rFonts w:hint="eastAsia" w:ascii="Times New Roman" w:hAnsi="Times New Roman"/>
          <w:sz w:val="24"/>
        </w:rPr>
        <w:t>比较大小问题</w:t>
      </w:r>
    </w:p>
    <w:p w14:paraId="43B44AF3">
      <w:pPr>
        <w:spacing w:line="360" w:lineRule="auto"/>
        <w:ind w:firstLine="480" w:firstLineChars="200"/>
        <w:rPr>
          <w:rFonts w:ascii="Times New Roman" w:hAnsi="Times New Roman"/>
          <w:sz w:val="24"/>
        </w:rPr>
      </w:pPr>
      <w:r>
        <w:rPr>
          <w:rFonts w:ascii="Times New Roman" w:hAnsi="Times New Roman"/>
          <w:sz w:val="24"/>
        </w:rPr>
        <w:t>（3）能够掌握</w:t>
      </w:r>
      <w:r>
        <w:rPr>
          <w:rFonts w:hint="eastAsia" w:ascii="Times New Roman" w:hAnsi="Times New Roman"/>
          <w:sz w:val="24"/>
        </w:rPr>
        <w:t>估计与估算问题</w:t>
      </w:r>
    </w:p>
    <w:p w14:paraId="76AC3254">
      <w:pPr>
        <w:spacing w:line="360" w:lineRule="auto"/>
        <w:ind w:firstLine="480" w:firstLineChars="200"/>
        <w:rPr>
          <w:rFonts w:ascii="Times New Roman" w:hAnsi="Times New Roman"/>
          <w:sz w:val="24"/>
        </w:rPr>
      </w:pPr>
      <w:r>
        <w:rPr>
          <w:rFonts w:ascii="Times New Roman" w:hAnsi="Times New Roman"/>
          <w:sz w:val="24"/>
        </w:rPr>
        <w:t>（4）能够掌握</w:t>
      </w:r>
      <w:r>
        <w:rPr>
          <w:rFonts w:hint="eastAsia" w:ascii="Times New Roman" w:hAnsi="Times New Roman"/>
          <w:sz w:val="24"/>
        </w:rPr>
        <w:t>定义新运算问题</w:t>
      </w:r>
    </w:p>
    <w:p w14:paraId="4713A97D">
      <w:pPr>
        <w:spacing w:line="360" w:lineRule="auto"/>
        <w:ind w:firstLine="480" w:firstLineChars="200"/>
        <w:rPr>
          <w:rFonts w:ascii="Times New Roman" w:hAnsi="Times New Roman"/>
          <w:sz w:val="24"/>
        </w:rPr>
      </w:pPr>
      <w:r>
        <w:rPr>
          <w:rFonts w:ascii="Times New Roman" w:hAnsi="Times New Roman"/>
          <w:sz w:val="24"/>
        </w:rPr>
        <w:t>（5）能够掌握</w:t>
      </w:r>
      <w:r>
        <w:rPr>
          <w:rFonts w:hint="eastAsia" w:ascii="Times New Roman" w:hAnsi="Times New Roman"/>
          <w:sz w:val="24"/>
        </w:rPr>
        <w:t>分数的分拆问题</w:t>
      </w:r>
    </w:p>
    <w:p w14:paraId="585A0CAE">
      <w:pPr>
        <w:spacing w:line="360" w:lineRule="auto"/>
        <w:ind w:firstLine="480" w:firstLineChars="200"/>
        <w:rPr>
          <w:rFonts w:ascii="Times New Roman" w:hAnsi="Times New Roman"/>
          <w:sz w:val="24"/>
        </w:rPr>
      </w:pPr>
      <w:r>
        <w:rPr>
          <w:rFonts w:ascii="Times New Roman" w:hAnsi="Times New Roman"/>
          <w:sz w:val="24"/>
        </w:rPr>
        <w:t>（6）能够掌握</w:t>
      </w:r>
      <w:r>
        <w:rPr>
          <w:rFonts w:hint="eastAsia" w:ascii="Times New Roman" w:hAnsi="Times New Roman"/>
          <w:sz w:val="24"/>
        </w:rPr>
        <w:t>工程问题</w:t>
      </w:r>
    </w:p>
    <w:p w14:paraId="11A55B1C">
      <w:pPr>
        <w:spacing w:line="360" w:lineRule="auto"/>
        <w:ind w:firstLine="480" w:firstLineChars="200"/>
        <w:rPr>
          <w:rFonts w:ascii="Times New Roman" w:hAnsi="Times New Roman"/>
          <w:sz w:val="24"/>
        </w:rPr>
      </w:pPr>
      <w:r>
        <w:rPr>
          <w:rFonts w:ascii="Times New Roman" w:hAnsi="Times New Roman"/>
          <w:sz w:val="24"/>
        </w:rPr>
        <w:t>（7）能够掌握</w:t>
      </w:r>
      <w:r>
        <w:rPr>
          <w:rFonts w:hint="eastAsia" w:ascii="Times New Roman" w:hAnsi="Times New Roman"/>
          <w:sz w:val="24"/>
        </w:rPr>
        <w:t>分数应用题</w:t>
      </w:r>
    </w:p>
    <w:p w14:paraId="0FA50A3B">
      <w:pPr>
        <w:spacing w:line="360" w:lineRule="auto"/>
        <w:ind w:firstLine="480" w:firstLineChars="200"/>
        <w:rPr>
          <w:rFonts w:ascii="Times New Roman" w:hAnsi="Times New Roman"/>
          <w:sz w:val="24"/>
        </w:rPr>
      </w:pPr>
      <w:r>
        <w:rPr>
          <w:rFonts w:ascii="Times New Roman" w:hAnsi="Times New Roman"/>
          <w:sz w:val="24"/>
        </w:rPr>
        <w:t>（8）能够掌握</w:t>
      </w:r>
      <w:r>
        <w:rPr>
          <w:rFonts w:hint="eastAsia" w:ascii="Times New Roman" w:hAnsi="Times New Roman"/>
          <w:sz w:val="24"/>
        </w:rPr>
        <w:t>百分数应用题</w:t>
      </w:r>
    </w:p>
    <w:p w14:paraId="498630BB">
      <w:pPr>
        <w:spacing w:line="360" w:lineRule="auto"/>
        <w:ind w:firstLine="480" w:firstLineChars="200"/>
        <w:rPr>
          <w:rFonts w:ascii="Times New Roman" w:hAnsi="Times New Roman"/>
          <w:sz w:val="24"/>
        </w:rPr>
      </w:pPr>
      <w:r>
        <w:rPr>
          <w:rFonts w:ascii="Times New Roman" w:hAnsi="Times New Roman"/>
          <w:sz w:val="24"/>
        </w:rPr>
        <w:t>（9）能够掌握</w:t>
      </w:r>
      <w:r>
        <w:rPr>
          <w:rFonts w:hint="eastAsia" w:ascii="Times New Roman" w:hAnsi="Times New Roman"/>
          <w:sz w:val="24"/>
        </w:rPr>
        <w:t>比和比例问题</w:t>
      </w:r>
    </w:p>
    <w:p w14:paraId="3C0851B9">
      <w:pPr>
        <w:spacing w:line="360" w:lineRule="auto"/>
        <w:ind w:firstLine="480" w:firstLineChars="200"/>
        <w:rPr>
          <w:rFonts w:ascii="Times New Roman" w:hAnsi="Times New Roman"/>
          <w:sz w:val="24"/>
        </w:rPr>
      </w:pPr>
      <w:r>
        <w:rPr>
          <w:rFonts w:ascii="Times New Roman" w:hAnsi="Times New Roman"/>
          <w:sz w:val="24"/>
        </w:rPr>
        <w:t>（10）能够掌握</w:t>
      </w:r>
      <w:r>
        <w:rPr>
          <w:rFonts w:hint="eastAsia" w:ascii="Times New Roman" w:hAnsi="Times New Roman"/>
          <w:sz w:val="24"/>
        </w:rPr>
        <w:t>行程问题</w:t>
      </w:r>
    </w:p>
    <w:p w14:paraId="2633ED3E">
      <w:pPr>
        <w:spacing w:line="360" w:lineRule="auto"/>
        <w:ind w:firstLine="480" w:firstLineChars="200"/>
        <w:rPr>
          <w:rFonts w:ascii="Times New Roman" w:hAnsi="Times New Roman"/>
          <w:sz w:val="24"/>
        </w:rPr>
      </w:pPr>
      <w:r>
        <w:rPr>
          <w:rFonts w:ascii="Times New Roman" w:hAnsi="Times New Roman"/>
          <w:sz w:val="24"/>
        </w:rPr>
        <w:t>（11）能够掌握</w:t>
      </w:r>
      <w:r>
        <w:rPr>
          <w:rFonts w:hint="eastAsia" w:ascii="Times New Roman" w:hAnsi="Times New Roman"/>
          <w:sz w:val="24"/>
        </w:rPr>
        <w:t>列方程解应用题问题</w:t>
      </w:r>
    </w:p>
    <w:p w14:paraId="31211E7E">
      <w:pPr>
        <w:spacing w:line="360" w:lineRule="auto"/>
        <w:ind w:firstLine="480" w:firstLineChars="200"/>
        <w:rPr>
          <w:rFonts w:ascii="Times New Roman" w:hAnsi="Times New Roman"/>
          <w:sz w:val="24"/>
        </w:rPr>
      </w:pPr>
      <w:r>
        <w:rPr>
          <w:rFonts w:ascii="Times New Roman" w:hAnsi="Times New Roman"/>
          <w:sz w:val="24"/>
        </w:rPr>
        <w:t>（12）能够掌握</w:t>
      </w:r>
      <w:r>
        <w:rPr>
          <w:rFonts w:hint="eastAsia" w:ascii="Times New Roman" w:hAnsi="Times New Roman"/>
          <w:sz w:val="24"/>
        </w:rPr>
        <w:t>方程组问题</w:t>
      </w:r>
    </w:p>
    <w:p w14:paraId="5E9B9FBD">
      <w:pPr>
        <w:spacing w:line="360" w:lineRule="auto"/>
        <w:ind w:firstLine="480" w:firstLineChars="200"/>
        <w:rPr>
          <w:rFonts w:ascii="Times New Roman" w:hAnsi="Times New Roman"/>
          <w:sz w:val="24"/>
        </w:rPr>
      </w:pPr>
      <w:r>
        <w:rPr>
          <w:rFonts w:ascii="Times New Roman" w:hAnsi="Times New Roman"/>
          <w:sz w:val="24"/>
        </w:rPr>
        <w:t>（13）能够掌握</w:t>
      </w:r>
      <w:r>
        <w:rPr>
          <w:rFonts w:hint="eastAsia" w:ascii="Times New Roman" w:hAnsi="Times New Roman"/>
          <w:sz w:val="24"/>
        </w:rPr>
        <w:t>不定方程问题</w:t>
      </w:r>
    </w:p>
    <w:p w14:paraId="134BF8F1">
      <w:pPr>
        <w:spacing w:line="360" w:lineRule="auto"/>
        <w:ind w:firstLine="480" w:firstLineChars="200"/>
        <w:rPr>
          <w:rFonts w:ascii="Times New Roman" w:hAnsi="Times New Roman"/>
          <w:sz w:val="24"/>
        </w:rPr>
      </w:pPr>
      <w:r>
        <w:rPr>
          <w:rFonts w:ascii="Times New Roman" w:hAnsi="Times New Roman"/>
          <w:sz w:val="24"/>
        </w:rPr>
        <w:t>（14）能够掌握</w:t>
      </w:r>
      <w:r>
        <w:rPr>
          <w:rFonts w:hint="eastAsia" w:ascii="Times New Roman" w:hAnsi="Times New Roman"/>
          <w:sz w:val="24"/>
        </w:rPr>
        <w:t>列表与图解问题</w:t>
      </w:r>
    </w:p>
    <w:p w14:paraId="649A02E0">
      <w:pPr>
        <w:spacing w:line="360" w:lineRule="auto"/>
        <w:ind w:firstLine="480" w:firstLineChars="200"/>
        <w:rPr>
          <w:rFonts w:ascii="Times New Roman" w:hAnsi="Times New Roman"/>
          <w:sz w:val="24"/>
        </w:rPr>
      </w:pPr>
      <w:r>
        <w:rPr>
          <w:rFonts w:ascii="Times New Roman" w:hAnsi="Times New Roman"/>
          <w:sz w:val="24"/>
        </w:rPr>
        <w:t>（15）能够掌握</w:t>
      </w:r>
      <w:r>
        <w:rPr>
          <w:rFonts w:hint="eastAsia" w:ascii="Times New Roman" w:hAnsi="Times New Roman"/>
          <w:sz w:val="24"/>
        </w:rPr>
        <w:t>圆与组合图形问题</w:t>
      </w:r>
    </w:p>
    <w:p w14:paraId="036D369A">
      <w:pPr>
        <w:spacing w:line="360" w:lineRule="auto"/>
        <w:ind w:firstLine="480" w:firstLineChars="200"/>
        <w:rPr>
          <w:rFonts w:ascii="Times New Roman" w:hAnsi="Times New Roman"/>
          <w:sz w:val="24"/>
        </w:rPr>
      </w:pPr>
      <w:r>
        <w:rPr>
          <w:rFonts w:ascii="Times New Roman" w:hAnsi="Times New Roman"/>
          <w:sz w:val="24"/>
        </w:rPr>
        <w:t>（16）能够掌握</w:t>
      </w:r>
      <w:r>
        <w:rPr>
          <w:rFonts w:hint="eastAsia" w:ascii="Times New Roman" w:hAnsi="Times New Roman"/>
          <w:sz w:val="24"/>
        </w:rPr>
        <w:t>勾股定理与弦图问题</w:t>
      </w:r>
    </w:p>
    <w:p w14:paraId="0FD462A7">
      <w:pPr>
        <w:spacing w:line="360" w:lineRule="auto"/>
        <w:ind w:firstLine="480" w:firstLineChars="200"/>
        <w:rPr>
          <w:rFonts w:ascii="Times New Roman" w:hAnsi="Times New Roman"/>
          <w:color w:val="000000"/>
          <w:sz w:val="24"/>
        </w:rPr>
      </w:pPr>
      <w:r>
        <w:rPr>
          <w:rFonts w:ascii="Times New Roman" w:hAnsi="Times New Roman"/>
          <w:color w:val="000000"/>
          <w:sz w:val="24"/>
        </w:rPr>
        <w:t>2.基本要求</w:t>
      </w:r>
    </w:p>
    <w:p w14:paraId="61D956B1">
      <w:pPr>
        <w:spacing w:line="360" w:lineRule="auto"/>
        <w:ind w:firstLine="480" w:firstLineChars="200"/>
        <w:rPr>
          <w:rFonts w:ascii="Times New Roman" w:hAnsi="Times New Roman"/>
          <w:color w:val="000000"/>
          <w:sz w:val="24"/>
        </w:rPr>
      </w:pPr>
      <w:r>
        <w:rPr>
          <w:rFonts w:ascii="Times New Roman" w:hAnsi="Times New Roman"/>
          <w:color w:val="000000"/>
          <w:sz w:val="24"/>
        </w:rPr>
        <w:t>（1）重点与难点：</w:t>
      </w:r>
      <w:r>
        <w:rPr>
          <w:rFonts w:ascii="Times New Roman" w:hAnsi="Times New Roman"/>
          <w:sz w:val="24"/>
        </w:rPr>
        <w:t>各种方法的特征和适用范围、注意事项，数学思维</w:t>
      </w:r>
      <w:r>
        <w:rPr>
          <w:rFonts w:ascii="Times New Roman" w:hAnsi="Times New Roman"/>
          <w:color w:val="000000"/>
          <w:sz w:val="24"/>
        </w:rPr>
        <w:t>。</w:t>
      </w:r>
    </w:p>
    <w:p w14:paraId="69DF9CB7">
      <w:pPr>
        <w:spacing w:line="360" w:lineRule="auto"/>
        <w:ind w:firstLine="480" w:firstLineChars="200"/>
        <w:rPr>
          <w:rFonts w:ascii="Times New Roman" w:hAnsi="Times New Roman"/>
          <w:color w:val="000000"/>
          <w:sz w:val="24"/>
        </w:rPr>
      </w:pPr>
      <w:r>
        <w:rPr>
          <w:rFonts w:ascii="Times New Roman" w:hAnsi="Times New Roman"/>
          <w:sz w:val="24"/>
        </w:rPr>
        <w:t>（2）教</w:t>
      </w:r>
      <w:r>
        <w:rPr>
          <w:rFonts w:ascii="Times New Roman" w:hAnsi="Times New Roman"/>
          <w:color w:val="000000"/>
          <w:sz w:val="24"/>
        </w:rPr>
        <w:t>学方法：启发式互动讲授结合多媒体辅助；适当课堂练习；及时了解学生的作业状况并对共同的问题作及时解答；安排好课后答疑。</w:t>
      </w:r>
    </w:p>
    <w:p w14:paraId="428BFF35">
      <w:pPr>
        <w:spacing w:line="360" w:lineRule="auto"/>
        <w:ind w:firstLine="480" w:firstLineChars="200"/>
        <w:rPr>
          <w:rFonts w:ascii="Times New Roman" w:hAnsi="Times New Roman"/>
          <w:sz w:val="24"/>
        </w:rPr>
      </w:pPr>
      <w:r>
        <w:rPr>
          <w:rFonts w:ascii="Times New Roman" w:hAnsi="Times New Roman"/>
          <w:sz w:val="24"/>
        </w:rPr>
        <w:t>3.思政内容</w:t>
      </w:r>
    </w:p>
    <w:p w14:paraId="0FCA6F38">
      <w:pPr>
        <w:spacing w:line="360" w:lineRule="auto"/>
        <w:ind w:firstLine="480" w:firstLineChars="200"/>
        <w:rPr>
          <w:rFonts w:ascii="Times New Roman" w:hAnsi="Times New Roman"/>
          <w:color w:val="000000"/>
          <w:sz w:val="24"/>
        </w:rPr>
      </w:pPr>
      <w:r>
        <w:rPr>
          <w:rFonts w:ascii="Times New Roman" w:hAnsi="Times New Roman"/>
          <w:sz w:val="24"/>
        </w:rPr>
        <w:t>注重理论联系实际，尊重客观规律，树立社会主义核心价值观，增强专业素养，强调理论对实践的指导意义。</w:t>
      </w:r>
    </w:p>
    <w:p w14:paraId="64197E73">
      <w:pPr>
        <w:spacing w:line="360" w:lineRule="auto"/>
        <w:ind w:firstLine="480" w:firstLineChars="200"/>
        <w:rPr>
          <w:rFonts w:ascii="Times New Roman" w:hAnsi="Times New Roman"/>
          <w:color w:val="000000"/>
          <w:sz w:val="24"/>
        </w:rPr>
      </w:pPr>
      <w:r>
        <w:rPr>
          <w:rFonts w:ascii="Times New Roman" w:hAnsi="Times New Roman"/>
          <w:color w:val="000000"/>
          <w:sz w:val="24"/>
        </w:rPr>
        <w:t>教学内容与课程目标的对应关系及学时分配如表所示。</w:t>
      </w:r>
    </w:p>
    <w:tbl>
      <w:tblPr>
        <w:tblStyle w:val="13"/>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543D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4114EA14">
            <w:pPr>
              <w:jc w:val="center"/>
              <w:rPr>
                <w:rFonts w:ascii="Times New Roman" w:hAnsi="Times New Roman"/>
                <w:color w:val="000000"/>
                <w:szCs w:val="21"/>
              </w:rPr>
            </w:pPr>
            <w:r>
              <w:rPr>
                <w:rFonts w:ascii="Times New Roman" w:hAnsi="Times New Roman"/>
                <w:color w:val="000000"/>
                <w:szCs w:val="21"/>
              </w:rPr>
              <w:t>序号</w:t>
            </w:r>
          </w:p>
        </w:tc>
        <w:tc>
          <w:tcPr>
            <w:tcW w:w="3476" w:type="dxa"/>
            <w:shd w:val="clear" w:color="auto" w:fill="FFFFFF"/>
            <w:vAlign w:val="center"/>
          </w:tcPr>
          <w:p w14:paraId="5A64D51C">
            <w:pPr>
              <w:jc w:val="center"/>
              <w:rPr>
                <w:rFonts w:ascii="Times New Roman" w:hAnsi="Times New Roman"/>
                <w:color w:val="000000"/>
                <w:szCs w:val="21"/>
              </w:rPr>
            </w:pPr>
            <w:r>
              <w:rPr>
                <w:rFonts w:ascii="Times New Roman" w:hAnsi="Times New Roman"/>
                <w:color w:val="000000"/>
                <w:szCs w:val="21"/>
              </w:rPr>
              <w:t>教学内容</w:t>
            </w:r>
          </w:p>
        </w:tc>
        <w:tc>
          <w:tcPr>
            <w:tcW w:w="1701" w:type="dxa"/>
            <w:shd w:val="clear" w:color="auto" w:fill="FFFFFF"/>
            <w:vAlign w:val="center"/>
          </w:tcPr>
          <w:p w14:paraId="695076D3">
            <w:pPr>
              <w:jc w:val="center"/>
              <w:rPr>
                <w:rFonts w:ascii="Times New Roman" w:hAnsi="Times New Roman"/>
                <w:color w:val="000000"/>
                <w:szCs w:val="21"/>
              </w:rPr>
            </w:pPr>
            <w:r>
              <w:rPr>
                <w:rFonts w:ascii="Times New Roman" w:hAnsi="Times New Roman"/>
                <w:color w:val="000000"/>
                <w:szCs w:val="21"/>
              </w:rPr>
              <w:t>支撑的课程目标</w:t>
            </w:r>
          </w:p>
        </w:tc>
        <w:tc>
          <w:tcPr>
            <w:tcW w:w="1853" w:type="dxa"/>
            <w:shd w:val="clear" w:color="auto" w:fill="FFFFFF"/>
            <w:vAlign w:val="center"/>
          </w:tcPr>
          <w:p w14:paraId="4EEB6CD2">
            <w:pPr>
              <w:jc w:val="center"/>
              <w:rPr>
                <w:rFonts w:ascii="Times New Roman" w:hAnsi="Times New Roman"/>
                <w:color w:val="000000"/>
                <w:szCs w:val="21"/>
              </w:rPr>
            </w:pPr>
            <w:r>
              <w:rPr>
                <w:rFonts w:ascii="Times New Roman" w:hAnsi="Times New Roman"/>
                <w:color w:val="000000"/>
                <w:szCs w:val="21"/>
              </w:rPr>
              <w:t>支撑的毕业要求</w:t>
            </w:r>
          </w:p>
          <w:p w14:paraId="38BA8AE8">
            <w:pPr>
              <w:jc w:val="center"/>
              <w:rPr>
                <w:rFonts w:ascii="Times New Roman" w:hAnsi="Times New Roman"/>
                <w:color w:val="000000"/>
                <w:szCs w:val="21"/>
              </w:rPr>
            </w:pPr>
            <w:r>
              <w:rPr>
                <w:rFonts w:ascii="Times New Roman" w:hAnsi="Times New Roman"/>
                <w:color w:val="000000"/>
                <w:szCs w:val="21"/>
              </w:rPr>
              <w:t>指标点</w:t>
            </w:r>
          </w:p>
        </w:tc>
        <w:tc>
          <w:tcPr>
            <w:tcW w:w="735" w:type="dxa"/>
            <w:shd w:val="clear" w:color="auto" w:fill="FFFFFF"/>
            <w:vAlign w:val="center"/>
          </w:tcPr>
          <w:p w14:paraId="676FBF38">
            <w:pPr>
              <w:jc w:val="center"/>
              <w:rPr>
                <w:rFonts w:ascii="Times New Roman" w:hAnsi="Times New Roman"/>
                <w:color w:val="000000"/>
                <w:szCs w:val="21"/>
              </w:rPr>
            </w:pPr>
            <w:r>
              <w:rPr>
                <w:rFonts w:ascii="Times New Roman" w:hAnsi="Times New Roman"/>
                <w:color w:val="000000"/>
                <w:szCs w:val="21"/>
              </w:rPr>
              <w:t>讲授学时</w:t>
            </w:r>
          </w:p>
        </w:tc>
        <w:tc>
          <w:tcPr>
            <w:tcW w:w="735" w:type="dxa"/>
            <w:shd w:val="clear" w:color="auto" w:fill="FFFFFF"/>
            <w:vAlign w:val="center"/>
          </w:tcPr>
          <w:p w14:paraId="4507B87C">
            <w:pPr>
              <w:jc w:val="center"/>
              <w:rPr>
                <w:rFonts w:ascii="Times New Roman" w:hAnsi="Times New Roman"/>
                <w:color w:val="000000"/>
                <w:szCs w:val="21"/>
              </w:rPr>
            </w:pPr>
            <w:r>
              <w:rPr>
                <w:rFonts w:ascii="Times New Roman" w:hAnsi="Times New Roman"/>
                <w:color w:val="000000"/>
                <w:szCs w:val="21"/>
              </w:rPr>
              <w:t>实验学时</w:t>
            </w:r>
          </w:p>
        </w:tc>
      </w:tr>
      <w:tr w14:paraId="1B08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F6D71C6">
            <w:pPr>
              <w:jc w:val="center"/>
              <w:rPr>
                <w:rFonts w:ascii="Times New Roman" w:hAnsi="Times New Roman"/>
                <w:szCs w:val="21"/>
              </w:rPr>
            </w:pPr>
            <w:r>
              <w:rPr>
                <w:rFonts w:ascii="Times New Roman" w:hAnsi="Times New Roman"/>
                <w:szCs w:val="21"/>
              </w:rPr>
              <w:t>1</w:t>
            </w:r>
          </w:p>
        </w:tc>
        <w:tc>
          <w:tcPr>
            <w:tcW w:w="3476" w:type="dxa"/>
          </w:tcPr>
          <w:p w14:paraId="34B28894">
            <w:pPr>
              <w:jc w:val="center"/>
              <w:rPr>
                <w:rFonts w:ascii="Times New Roman" w:hAnsi="Times New Roman"/>
              </w:rPr>
            </w:pPr>
            <w:r>
              <w:rPr>
                <w:rFonts w:hint="eastAsia" w:ascii="Times New Roman" w:hAnsi="Times New Roman"/>
              </w:rPr>
              <w:t>分数的巧算</w:t>
            </w:r>
          </w:p>
        </w:tc>
        <w:tc>
          <w:tcPr>
            <w:tcW w:w="1701" w:type="dxa"/>
            <w:vAlign w:val="center"/>
          </w:tcPr>
          <w:p w14:paraId="402E72D4">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，2</w:t>
            </w:r>
          </w:p>
        </w:tc>
        <w:tc>
          <w:tcPr>
            <w:tcW w:w="1853" w:type="dxa"/>
            <w:vAlign w:val="center"/>
          </w:tcPr>
          <w:p w14:paraId="50F7F96B">
            <w:pPr>
              <w:jc w:val="center"/>
              <w:rPr>
                <w:rFonts w:ascii="Times New Roman" w:hAnsi="Times New Roman"/>
                <w:szCs w:val="21"/>
              </w:rPr>
            </w:pPr>
            <w:r>
              <w:rPr>
                <w:rFonts w:ascii="Times New Roman" w:hAnsi="Times New Roman"/>
                <w:szCs w:val="21"/>
              </w:rPr>
              <w:t>3-2</w:t>
            </w:r>
          </w:p>
        </w:tc>
        <w:tc>
          <w:tcPr>
            <w:tcW w:w="735" w:type="dxa"/>
          </w:tcPr>
          <w:p w14:paraId="542865DF">
            <w:pPr>
              <w:jc w:val="center"/>
              <w:rPr>
                <w:rFonts w:ascii="Times New Roman" w:hAnsi="Times New Roman"/>
              </w:rPr>
            </w:pPr>
            <w:r>
              <w:rPr>
                <w:rFonts w:ascii="Times New Roman" w:hAnsi="Times New Roman"/>
              </w:rPr>
              <w:t>2</w:t>
            </w:r>
          </w:p>
        </w:tc>
        <w:tc>
          <w:tcPr>
            <w:tcW w:w="735" w:type="dxa"/>
            <w:vAlign w:val="center"/>
          </w:tcPr>
          <w:p w14:paraId="2CD8FA59">
            <w:pPr>
              <w:jc w:val="center"/>
              <w:rPr>
                <w:rFonts w:ascii="Times New Roman" w:hAnsi="Times New Roman"/>
                <w:szCs w:val="21"/>
              </w:rPr>
            </w:pPr>
          </w:p>
        </w:tc>
      </w:tr>
      <w:tr w14:paraId="467D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1D6587A">
            <w:pPr>
              <w:jc w:val="center"/>
              <w:rPr>
                <w:rFonts w:ascii="Times New Roman" w:hAnsi="Times New Roman"/>
                <w:szCs w:val="21"/>
              </w:rPr>
            </w:pPr>
            <w:r>
              <w:rPr>
                <w:rFonts w:hint="eastAsia" w:ascii="Times New Roman" w:hAnsi="Times New Roman"/>
                <w:szCs w:val="21"/>
              </w:rPr>
              <w:t>2</w:t>
            </w:r>
          </w:p>
        </w:tc>
        <w:tc>
          <w:tcPr>
            <w:tcW w:w="3476" w:type="dxa"/>
          </w:tcPr>
          <w:p w14:paraId="570D2506">
            <w:pPr>
              <w:jc w:val="center"/>
              <w:rPr>
                <w:rFonts w:ascii="Times New Roman" w:hAnsi="Times New Roman"/>
              </w:rPr>
            </w:pPr>
            <w:r>
              <w:rPr>
                <w:rFonts w:hint="eastAsia" w:ascii="Times New Roman" w:hAnsi="Times New Roman"/>
              </w:rPr>
              <w:t>比较大小</w:t>
            </w:r>
          </w:p>
        </w:tc>
        <w:tc>
          <w:tcPr>
            <w:tcW w:w="1701" w:type="dxa"/>
            <w:vAlign w:val="center"/>
          </w:tcPr>
          <w:p w14:paraId="2E5235D1">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，2</w:t>
            </w:r>
          </w:p>
        </w:tc>
        <w:tc>
          <w:tcPr>
            <w:tcW w:w="1853" w:type="dxa"/>
          </w:tcPr>
          <w:p w14:paraId="22E75637">
            <w:pPr>
              <w:jc w:val="center"/>
              <w:rPr>
                <w:rFonts w:ascii="Times New Roman" w:hAnsi="Times New Roman"/>
                <w:szCs w:val="21"/>
              </w:rPr>
            </w:pPr>
            <w:r>
              <w:rPr>
                <w:rFonts w:ascii="Times New Roman" w:hAnsi="Times New Roman"/>
                <w:szCs w:val="21"/>
              </w:rPr>
              <w:t>3-2</w:t>
            </w:r>
          </w:p>
        </w:tc>
        <w:tc>
          <w:tcPr>
            <w:tcW w:w="735" w:type="dxa"/>
          </w:tcPr>
          <w:p w14:paraId="1FE333CE">
            <w:pPr>
              <w:jc w:val="center"/>
              <w:rPr>
                <w:rFonts w:ascii="Times New Roman" w:hAnsi="Times New Roman"/>
              </w:rPr>
            </w:pPr>
            <w:r>
              <w:rPr>
                <w:rFonts w:hint="eastAsia" w:ascii="Times New Roman" w:hAnsi="Times New Roman"/>
              </w:rPr>
              <w:t>2</w:t>
            </w:r>
          </w:p>
        </w:tc>
        <w:tc>
          <w:tcPr>
            <w:tcW w:w="735" w:type="dxa"/>
            <w:vAlign w:val="center"/>
          </w:tcPr>
          <w:p w14:paraId="6A4725AC">
            <w:pPr>
              <w:jc w:val="center"/>
              <w:rPr>
                <w:rFonts w:ascii="Times New Roman" w:hAnsi="Times New Roman"/>
                <w:szCs w:val="21"/>
              </w:rPr>
            </w:pPr>
          </w:p>
        </w:tc>
      </w:tr>
      <w:tr w14:paraId="72CD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B69BCA5">
            <w:pPr>
              <w:jc w:val="center"/>
              <w:rPr>
                <w:rFonts w:ascii="Times New Roman" w:hAnsi="Times New Roman"/>
                <w:szCs w:val="21"/>
              </w:rPr>
            </w:pPr>
            <w:r>
              <w:rPr>
                <w:rFonts w:hint="eastAsia" w:ascii="Times New Roman" w:hAnsi="Times New Roman"/>
                <w:szCs w:val="21"/>
              </w:rPr>
              <w:t>3</w:t>
            </w:r>
          </w:p>
        </w:tc>
        <w:tc>
          <w:tcPr>
            <w:tcW w:w="3476" w:type="dxa"/>
          </w:tcPr>
          <w:p w14:paraId="3276EB9F">
            <w:pPr>
              <w:jc w:val="center"/>
              <w:rPr>
                <w:rFonts w:ascii="Times New Roman" w:hAnsi="Times New Roman"/>
              </w:rPr>
            </w:pPr>
            <w:r>
              <w:rPr>
                <w:rFonts w:hint="eastAsia" w:ascii="Times New Roman" w:hAnsi="Times New Roman"/>
              </w:rPr>
              <w:t>估计与估算</w:t>
            </w:r>
          </w:p>
        </w:tc>
        <w:tc>
          <w:tcPr>
            <w:tcW w:w="1701" w:type="dxa"/>
            <w:vAlign w:val="center"/>
          </w:tcPr>
          <w:p w14:paraId="1739F8E6">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tcPr>
          <w:p w14:paraId="260E43A2">
            <w:pPr>
              <w:jc w:val="center"/>
              <w:rPr>
                <w:rFonts w:ascii="Times New Roman" w:hAnsi="Times New Roman"/>
                <w:szCs w:val="21"/>
              </w:rPr>
            </w:pPr>
            <w:r>
              <w:rPr>
                <w:rFonts w:ascii="Times New Roman" w:hAnsi="Times New Roman"/>
                <w:szCs w:val="21"/>
              </w:rPr>
              <w:t>3-2</w:t>
            </w:r>
          </w:p>
        </w:tc>
        <w:tc>
          <w:tcPr>
            <w:tcW w:w="735" w:type="dxa"/>
          </w:tcPr>
          <w:p w14:paraId="0C455A8C">
            <w:pPr>
              <w:jc w:val="center"/>
              <w:rPr>
                <w:rFonts w:ascii="Times New Roman" w:hAnsi="Times New Roman"/>
              </w:rPr>
            </w:pPr>
            <w:r>
              <w:rPr>
                <w:rFonts w:hint="eastAsia" w:ascii="Times New Roman" w:hAnsi="Times New Roman"/>
              </w:rPr>
              <w:t>2</w:t>
            </w:r>
          </w:p>
        </w:tc>
        <w:tc>
          <w:tcPr>
            <w:tcW w:w="735" w:type="dxa"/>
            <w:vAlign w:val="center"/>
          </w:tcPr>
          <w:p w14:paraId="5BAF6547">
            <w:pPr>
              <w:jc w:val="center"/>
              <w:rPr>
                <w:rFonts w:ascii="Times New Roman" w:hAnsi="Times New Roman"/>
                <w:szCs w:val="21"/>
              </w:rPr>
            </w:pPr>
          </w:p>
        </w:tc>
      </w:tr>
      <w:tr w14:paraId="0F7C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8F7FB2E">
            <w:pPr>
              <w:jc w:val="center"/>
              <w:rPr>
                <w:rFonts w:ascii="Times New Roman" w:hAnsi="Times New Roman"/>
                <w:szCs w:val="21"/>
              </w:rPr>
            </w:pPr>
            <w:r>
              <w:rPr>
                <w:rFonts w:hint="eastAsia" w:ascii="Times New Roman" w:hAnsi="Times New Roman"/>
                <w:szCs w:val="21"/>
              </w:rPr>
              <w:t>4</w:t>
            </w:r>
          </w:p>
        </w:tc>
        <w:tc>
          <w:tcPr>
            <w:tcW w:w="3476" w:type="dxa"/>
          </w:tcPr>
          <w:p w14:paraId="6C6BFABC">
            <w:pPr>
              <w:jc w:val="center"/>
              <w:rPr>
                <w:rFonts w:ascii="Times New Roman" w:hAnsi="Times New Roman"/>
              </w:rPr>
            </w:pPr>
            <w:r>
              <w:rPr>
                <w:rFonts w:hint="eastAsia" w:ascii="Times New Roman" w:hAnsi="Times New Roman"/>
              </w:rPr>
              <w:t>定义新运算</w:t>
            </w:r>
          </w:p>
        </w:tc>
        <w:tc>
          <w:tcPr>
            <w:tcW w:w="1701" w:type="dxa"/>
            <w:vAlign w:val="center"/>
          </w:tcPr>
          <w:p w14:paraId="057EF523">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vAlign w:val="center"/>
          </w:tcPr>
          <w:p w14:paraId="728EF67C">
            <w:pPr>
              <w:jc w:val="center"/>
              <w:rPr>
                <w:rFonts w:ascii="Times New Roman" w:hAnsi="Times New Roman"/>
                <w:szCs w:val="21"/>
              </w:rPr>
            </w:pPr>
            <w:r>
              <w:rPr>
                <w:rFonts w:ascii="Times New Roman" w:hAnsi="Times New Roman"/>
                <w:szCs w:val="21"/>
              </w:rPr>
              <w:t>3-2</w:t>
            </w:r>
          </w:p>
        </w:tc>
        <w:tc>
          <w:tcPr>
            <w:tcW w:w="735" w:type="dxa"/>
          </w:tcPr>
          <w:p w14:paraId="7192EAC8">
            <w:pPr>
              <w:jc w:val="center"/>
              <w:rPr>
                <w:rFonts w:ascii="Times New Roman" w:hAnsi="Times New Roman"/>
              </w:rPr>
            </w:pPr>
            <w:r>
              <w:rPr>
                <w:rFonts w:hint="eastAsia" w:ascii="Times New Roman" w:hAnsi="Times New Roman"/>
              </w:rPr>
              <w:t>2</w:t>
            </w:r>
          </w:p>
        </w:tc>
        <w:tc>
          <w:tcPr>
            <w:tcW w:w="735" w:type="dxa"/>
            <w:vAlign w:val="center"/>
          </w:tcPr>
          <w:p w14:paraId="2C45DEB0">
            <w:pPr>
              <w:jc w:val="center"/>
              <w:rPr>
                <w:rFonts w:ascii="Times New Roman" w:hAnsi="Times New Roman"/>
                <w:szCs w:val="21"/>
              </w:rPr>
            </w:pPr>
          </w:p>
        </w:tc>
      </w:tr>
      <w:tr w14:paraId="2ED1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1B64897">
            <w:pPr>
              <w:jc w:val="center"/>
              <w:rPr>
                <w:rFonts w:ascii="Times New Roman" w:hAnsi="Times New Roman"/>
                <w:szCs w:val="21"/>
              </w:rPr>
            </w:pPr>
            <w:r>
              <w:rPr>
                <w:rFonts w:hint="eastAsia" w:ascii="Times New Roman" w:hAnsi="Times New Roman"/>
                <w:szCs w:val="21"/>
              </w:rPr>
              <w:t>5</w:t>
            </w:r>
          </w:p>
        </w:tc>
        <w:tc>
          <w:tcPr>
            <w:tcW w:w="3476" w:type="dxa"/>
          </w:tcPr>
          <w:p w14:paraId="090B9F8D">
            <w:pPr>
              <w:jc w:val="center"/>
              <w:rPr>
                <w:rFonts w:ascii="Times New Roman" w:hAnsi="Times New Roman"/>
              </w:rPr>
            </w:pPr>
            <w:r>
              <w:rPr>
                <w:rFonts w:hint="eastAsia" w:ascii="Times New Roman" w:hAnsi="Times New Roman"/>
              </w:rPr>
              <w:t>分数的分拆</w:t>
            </w:r>
          </w:p>
        </w:tc>
        <w:tc>
          <w:tcPr>
            <w:tcW w:w="1701" w:type="dxa"/>
            <w:vAlign w:val="center"/>
          </w:tcPr>
          <w:p w14:paraId="1DF49DC5">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tcPr>
          <w:p w14:paraId="4C555539">
            <w:pPr>
              <w:jc w:val="center"/>
              <w:rPr>
                <w:rFonts w:ascii="Times New Roman" w:hAnsi="Times New Roman"/>
                <w:szCs w:val="21"/>
              </w:rPr>
            </w:pPr>
            <w:r>
              <w:rPr>
                <w:rFonts w:ascii="Times New Roman" w:hAnsi="Times New Roman"/>
                <w:szCs w:val="21"/>
              </w:rPr>
              <w:t>3-2</w:t>
            </w:r>
          </w:p>
        </w:tc>
        <w:tc>
          <w:tcPr>
            <w:tcW w:w="735" w:type="dxa"/>
          </w:tcPr>
          <w:p w14:paraId="00B35091">
            <w:pPr>
              <w:jc w:val="center"/>
              <w:rPr>
                <w:rFonts w:ascii="Times New Roman" w:hAnsi="Times New Roman"/>
              </w:rPr>
            </w:pPr>
            <w:r>
              <w:rPr>
                <w:rFonts w:hint="eastAsia" w:ascii="Times New Roman" w:hAnsi="Times New Roman"/>
              </w:rPr>
              <w:t>2</w:t>
            </w:r>
          </w:p>
        </w:tc>
        <w:tc>
          <w:tcPr>
            <w:tcW w:w="735" w:type="dxa"/>
            <w:vAlign w:val="center"/>
          </w:tcPr>
          <w:p w14:paraId="7A266A84">
            <w:pPr>
              <w:jc w:val="center"/>
              <w:rPr>
                <w:rFonts w:ascii="Times New Roman" w:hAnsi="Times New Roman"/>
                <w:szCs w:val="21"/>
              </w:rPr>
            </w:pPr>
          </w:p>
        </w:tc>
      </w:tr>
      <w:tr w14:paraId="6AA8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F3910AE">
            <w:pPr>
              <w:jc w:val="center"/>
              <w:rPr>
                <w:rFonts w:ascii="Times New Roman" w:hAnsi="Times New Roman"/>
                <w:szCs w:val="21"/>
              </w:rPr>
            </w:pPr>
            <w:r>
              <w:rPr>
                <w:rFonts w:hint="eastAsia" w:ascii="Times New Roman" w:hAnsi="Times New Roman"/>
                <w:szCs w:val="21"/>
              </w:rPr>
              <w:t>6</w:t>
            </w:r>
          </w:p>
        </w:tc>
        <w:tc>
          <w:tcPr>
            <w:tcW w:w="3476" w:type="dxa"/>
          </w:tcPr>
          <w:p w14:paraId="3B41C152">
            <w:pPr>
              <w:jc w:val="center"/>
              <w:rPr>
                <w:rFonts w:ascii="Times New Roman" w:hAnsi="Times New Roman"/>
              </w:rPr>
            </w:pPr>
            <w:r>
              <w:rPr>
                <w:rFonts w:hint="eastAsia" w:ascii="Times New Roman" w:hAnsi="Times New Roman"/>
              </w:rPr>
              <w:t>工程问题</w:t>
            </w:r>
          </w:p>
        </w:tc>
        <w:tc>
          <w:tcPr>
            <w:tcW w:w="1701" w:type="dxa"/>
            <w:vAlign w:val="center"/>
          </w:tcPr>
          <w:p w14:paraId="64A24605">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tcPr>
          <w:p w14:paraId="406528D9">
            <w:pPr>
              <w:jc w:val="center"/>
              <w:rPr>
                <w:rFonts w:ascii="Times New Roman" w:hAnsi="Times New Roman"/>
                <w:szCs w:val="21"/>
              </w:rPr>
            </w:pPr>
            <w:r>
              <w:rPr>
                <w:rFonts w:ascii="Times New Roman" w:hAnsi="Times New Roman"/>
                <w:szCs w:val="21"/>
              </w:rPr>
              <w:t>3-2</w:t>
            </w:r>
          </w:p>
        </w:tc>
        <w:tc>
          <w:tcPr>
            <w:tcW w:w="735" w:type="dxa"/>
          </w:tcPr>
          <w:p w14:paraId="03DCF06A">
            <w:pPr>
              <w:jc w:val="center"/>
              <w:rPr>
                <w:rFonts w:ascii="Times New Roman" w:hAnsi="Times New Roman"/>
              </w:rPr>
            </w:pPr>
            <w:r>
              <w:rPr>
                <w:rFonts w:ascii="Times New Roman" w:hAnsi="Times New Roman"/>
              </w:rPr>
              <w:t>2</w:t>
            </w:r>
          </w:p>
        </w:tc>
        <w:tc>
          <w:tcPr>
            <w:tcW w:w="735" w:type="dxa"/>
            <w:vAlign w:val="center"/>
          </w:tcPr>
          <w:p w14:paraId="4DFFD558">
            <w:pPr>
              <w:jc w:val="center"/>
              <w:rPr>
                <w:rFonts w:ascii="Times New Roman" w:hAnsi="Times New Roman"/>
                <w:szCs w:val="21"/>
              </w:rPr>
            </w:pPr>
          </w:p>
        </w:tc>
      </w:tr>
      <w:tr w14:paraId="25F8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A38D751">
            <w:pPr>
              <w:jc w:val="center"/>
              <w:rPr>
                <w:rFonts w:ascii="Times New Roman" w:hAnsi="Times New Roman"/>
                <w:szCs w:val="21"/>
              </w:rPr>
            </w:pPr>
            <w:r>
              <w:rPr>
                <w:rFonts w:hint="eastAsia" w:ascii="Times New Roman" w:hAnsi="Times New Roman"/>
                <w:szCs w:val="21"/>
              </w:rPr>
              <w:t>7</w:t>
            </w:r>
          </w:p>
        </w:tc>
        <w:tc>
          <w:tcPr>
            <w:tcW w:w="3476" w:type="dxa"/>
          </w:tcPr>
          <w:p w14:paraId="51A93317">
            <w:pPr>
              <w:jc w:val="center"/>
              <w:rPr>
                <w:rFonts w:ascii="Times New Roman" w:hAnsi="Times New Roman"/>
              </w:rPr>
            </w:pPr>
            <w:r>
              <w:rPr>
                <w:rFonts w:hint="eastAsia" w:ascii="Times New Roman" w:hAnsi="Times New Roman"/>
              </w:rPr>
              <w:t>分数应用题</w:t>
            </w:r>
          </w:p>
        </w:tc>
        <w:tc>
          <w:tcPr>
            <w:tcW w:w="1701" w:type="dxa"/>
            <w:vAlign w:val="center"/>
          </w:tcPr>
          <w:p w14:paraId="6319CC13">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tcPr>
          <w:p w14:paraId="6FB6E31F">
            <w:pPr>
              <w:jc w:val="center"/>
              <w:rPr>
                <w:rFonts w:ascii="Times New Roman" w:hAnsi="Times New Roman"/>
                <w:szCs w:val="21"/>
              </w:rPr>
            </w:pPr>
            <w:r>
              <w:rPr>
                <w:rFonts w:ascii="Times New Roman" w:hAnsi="Times New Roman"/>
                <w:szCs w:val="21"/>
              </w:rPr>
              <w:t>3-2</w:t>
            </w:r>
          </w:p>
        </w:tc>
        <w:tc>
          <w:tcPr>
            <w:tcW w:w="735" w:type="dxa"/>
          </w:tcPr>
          <w:p w14:paraId="5633FD85">
            <w:pPr>
              <w:jc w:val="center"/>
              <w:rPr>
                <w:rFonts w:ascii="Times New Roman" w:hAnsi="Times New Roman"/>
              </w:rPr>
            </w:pPr>
            <w:r>
              <w:rPr>
                <w:rFonts w:hint="eastAsia" w:ascii="Times New Roman" w:hAnsi="Times New Roman"/>
              </w:rPr>
              <w:t>2</w:t>
            </w:r>
          </w:p>
        </w:tc>
        <w:tc>
          <w:tcPr>
            <w:tcW w:w="735" w:type="dxa"/>
            <w:vAlign w:val="center"/>
          </w:tcPr>
          <w:p w14:paraId="2391A877">
            <w:pPr>
              <w:jc w:val="center"/>
              <w:rPr>
                <w:rFonts w:ascii="Times New Roman" w:hAnsi="Times New Roman"/>
                <w:szCs w:val="21"/>
              </w:rPr>
            </w:pPr>
          </w:p>
        </w:tc>
      </w:tr>
      <w:tr w14:paraId="1EF4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FF331F6">
            <w:pPr>
              <w:jc w:val="center"/>
              <w:rPr>
                <w:rFonts w:ascii="Times New Roman" w:hAnsi="Times New Roman"/>
                <w:szCs w:val="21"/>
              </w:rPr>
            </w:pPr>
            <w:r>
              <w:rPr>
                <w:rFonts w:ascii="Times New Roman" w:hAnsi="Times New Roman"/>
                <w:szCs w:val="21"/>
              </w:rPr>
              <w:t>8</w:t>
            </w:r>
          </w:p>
        </w:tc>
        <w:tc>
          <w:tcPr>
            <w:tcW w:w="3476" w:type="dxa"/>
          </w:tcPr>
          <w:p w14:paraId="3FD099DC">
            <w:pPr>
              <w:jc w:val="center"/>
              <w:rPr>
                <w:rFonts w:ascii="Times New Roman" w:hAnsi="Times New Roman"/>
              </w:rPr>
            </w:pPr>
            <w:r>
              <w:rPr>
                <w:rFonts w:hint="eastAsia" w:ascii="Times New Roman" w:hAnsi="Times New Roman"/>
              </w:rPr>
              <w:t>百分数应用题</w:t>
            </w:r>
          </w:p>
        </w:tc>
        <w:tc>
          <w:tcPr>
            <w:tcW w:w="1701" w:type="dxa"/>
            <w:vAlign w:val="center"/>
          </w:tcPr>
          <w:p w14:paraId="40AB718D">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tcPr>
          <w:p w14:paraId="0C3005E4">
            <w:pPr>
              <w:jc w:val="center"/>
              <w:rPr>
                <w:rFonts w:ascii="Times New Roman" w:hAnsi="Times New Roman"/>
              </w:rPr>
            </w:pPr>
            <w:r>
              <w:rPr>
                <w:rFonts w:ascii="Times New Roman" w:hAnsi="Times New Roman"/>
                <w:szCs w:val="21"/>
              </w:rPr>
              <w:t>3-2</w:t>
            </w:r>
          </w:p>
        </w:tc>
        <w:tc>
          <w:tcPr>
            <w:tcW w:w="735" w:type="dxa"/>
          </w:tcPr>
          <w:p w14:paraId="295EC33D">
            <w:pPr>
              <w:jc w:val="center"/>
              <w:rPr>
                <w:rFonts w:ascii="Times New Roman" w:hAnsi="Times New Roman"/>
              </w:rPr>
            </w:pPr>
            <w:r>
              <w:rPr>
                <w:rFonts w:hint="eastAsia" w:ascii="Times New Roman" w:hAnsi="Times New Roman"/>
              </w:rPr>
              <w:t>2</w:t>
            </w:r>
          </w:p>
        </w:tc>
        <w:tc>
          <w:tcPr>
            <w:tcW w:w="735" w:type="dxa"/>
            <w:vAlign w:val="center"/>
          </w:tcPr>
          <w:p w14:paraId="3374B29C">
            <w:pPr>
              <w:jc w:val="center"/>
              <w:rPr>
                <w:rFonts w:ascii="Times New Roman" w:hAnsi="Times New Roman"/>
                <w:szCs w:val="21"/>
              </w:rPr>
            </w:pPr>
          </w:p>
        </w:tc>
      </w:tr>
      <w:tr w14:paraId="3CAC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090EE10">
            <w:pPr>
              <w:jc w:val="center"/>
              <w:rPr>
                <w:rFonts w:ascii="Times New Roman" w:hAnsi="Times New Roman"/>
                <w:szCs w:val="21"/>
              </w:rPr>
            </w:pPr>
            <w:r>
              <w:rPr>
                <w:rFonts w:ascii="Times New Roman" w:hAnsi="Times New Roman"/>
                <w:szCs w:val="21"/>
              </w:rPr>
              <w:t>9</w:t>
            </w:r>
          </w:p>
        </w:tc>
        <w:tc>
          <w:tcPr>
            <w:tcW w:w="3476" w:type="dxa"/>
          </w:tcPr>
          <w:p w14:paraId="43099788">
            <w:pPr>
              <w:jc w:val="center"/>
              <w:rPr>
                <w:rFonts w:ascii="Times New Roman" w:hAnsi="Times New Roman"/>
              </w:rPr>
            </w:pPr>
            <w:r>
              <w:rPr>
                <w:rFonts w:hint="eastAsia" w:ascii="Times New Roman" w:hAnsi="Times New Roman"/>
              </w:rPr>
              <w:t>比和比例问题</w:t>
            </w:r>
          </w:p>
        </w:tc>
        <w:tc>
          <w:tcPr>
            <w:tcW w:w="1701" w:type="dxa"/>
            <w:vAlign w:val="center"/>
          </w:tcPr>
          <w:p w14:paraId="62070D54">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tcPr>
          <w:p w14:paraId="43972FF3">
            <w:pPr>
              <w:jc w:val="center"/>
              <w:rPr>
                <w:rFonts w:ascii="Times New Roman" w:hAnsi="Times New Roman"/>
              </w:rPr>
            </w:pPr>
            <w:r>
              <w:rPr>
                <w:rFonts w:ascii="Times New Roman" w:hAnsi="Times New Roman"/>
                <w:szCs w:val="21"/>
              </w:rPr>
              <w:t>3-2</w:t>
            </w:r>
          </w:p>
        </w:tc>
        <w:tc>
          <w:tcPr>
            <w:tcW w:w="735" w:type="dxa"/>
          </w:tcPr>
          <w:p w14:paraId="1A174E5A">
            <w:pPr>
              <w:jc w:val="center"/>
              <w:rPr>
                <w:rFonts w:ascii="Times New Roman" w:hAnsi="Times New Roman"/>
              </w:rPr>
            </w:pPr>
            <w:r>
              <w:rPr>
                <w:rFonts w:hint="eastAsia" w:ascii="Times New Roman" w:hAnsi="Times New Roman"/>
              </w:rPr>
              <w:t>2</w:t>
            </w:r>
          </w:p>
        </w:tc>
        <w:tc>
          <w:tcPr>
            <w:tcW w:w="735" w:type="dxa"/>
            <w:vAlign w:val="center"/>
          </w:tcPr>
          <w:p w14:paraId="0B259AB4">
            <w:pPr>
              <w:jc w:val="center"/>
              <w:rPr>
                <w:rFonts w:ascii="Times New Roman" w:hAnsi="Times New Roman"/>
                <w:szCs w:val="21"/>
              </w:rPr>
            </w:pPr>
          </w:p>
        </w:tc>
      </w:tr>
      <w:tr w14:paraId="2693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88AB776">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0</w:t>
            </w:r>
          </w:p>
        </w:tc>
        <w:tc>
          <w:tcPr>
            <w:tcW w:w="3476" w:type="dxa"/>
          </w:tcPr>
          <w:p w14:paraId="0CAD1205">
            <w:pPr>
              <w:jc w:val="center"/>
              <w:rPr>
                <w:rFonts w:ascii="Times New Roman" w:hAnsi="Times New Roman"/>
              </w:rPr>
            </w:pPr>
            <w:r>
              <w:rPr>
                <w:rFonts w:hint="eastAsia" w:ascii="Times New Roman" w:hAnsi="Times New Roman"/>
              </w:rPr>
              <w:t>行程问题</w:t>
            </w:r>
          </w:p>
        </w:tc>
        <w:tc>
          <w:tcPr>
            <w:tcW w:w="1701" w:type="dxa"/>
            <w:vAlign w:val="center"/>
          </w:tcPr>
          <w:p w14:paraId="66990FB9">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vAlign w:val="center"/>
          </w:tcPr>
          <w:p w14:paraId="18FD181B">
            <w:pPr>
              <w:jc w:val="center"/>
              <w:rPr>
                <w:rFonts w:ascii="Times New Roman" w:hAnsi="Times New Roman"/>
                <w:szCs w:val="21"/>
              </w:rPr>
            </w:pPr>
            <w:r>
              <w:rPr>
                <w:rFonts w:ascii="Times New Roman" w:hAnsi="Times New Roman"/>
                <w:szCs w:val="21"/>
              </w:rPr>
              <w:t>3-2</w:t>
            </w:r>
          </w:p>
        </w:tc>
        <w:tc>
          <w:tcPr>
            <w:tcW w:w="735" w:type="dxa"/>
          </w:tcPr>
          <w:p w14:paraId="40928CDD">
            <w:pPr>
              <w:jc w:val="center"/>
              <w:rPr>
                <w:rFonts w:ascii="Times New Roman" w:hAnsi="Times New Roman"/>
              </w:rPr>
            </w:pPr>
            <w:r>
              <w:rPr>
                <w:rFonts w:hint="eastAsia" w:ascii="Times New Roman" w:hAnsi="Times New Roman"/>
              </w:rPr>
              <w:t>2</w:t>
            </w:r>
          </w:p>
        </w:tc>
        <w:tc>
          <w:tcPr>
            <w:tcW w:w="735" w:type="dxa"/>
            <w:vAlign w:val="center"/>
          </w:tcPr>
          <w:p w14:paraId="5132D7F2">
            <w:pPr>
              <w:jc w:val="center"/>
              <w:rPr>
                <w:rFonts w:ascii="Times New Roman" w:hAnsi="Times New Roman"/>
                <w:szCs w:val="21"/>
              </w:rPr>
            </w:pPr>
          </w:p>
        </w:tc>
      </w:tr>
      <w:tr w14:paraId="623F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93FD26B">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1</w:t>
            </w:r>
          </w:p>
        </w:tc>
        <w:tc>
          <w:tcPr>
            <w:tcW w:w="3476" w:type="dxa"/>
          </w:tcPr>
          <w:p w14:paraId="20785A92">
            <w:pPr>
              <w:jc w:val="center"/>
              <w:rPr>
                <w:rFonts w:ascii="Times New Roman" w:hAnsi="Times New Roman"/>
              </w:rPr>
            </w:pPr>
            <w:r>
              <w:rPr>
                <w:rFonts w:hint="eastAsia" w:ascii="Times New Roman" w:hAnsi="Times New Roman"/>
              </w:rPr>
              <w:t>列方程解应用题</w:t>
            </w:r>
          </w:p>
        </w:tc>
        <w:tc>
          <w:tcPr>
            <w:tcW w:w="1701" w:type="dxa"/>
            <w:vAlign w:val="center"/>
          </w:tcPr>
          <w:p w14:paraId="443744B7">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tcPr>
          <w:p w14:paraId="17540ABB">
            <w:pPr>
              <w:jc w:val="center"/>
              <w:rPr>
                <w:rFonts w:ascii="Times New Roman" w:hAnsi="Times New Roman"/>
                <w:szCs w:val="21"/>
              </w:rPr>
            </w:pPr>
            <w:r>
              <w:rPr>
                <w:rFonts w:ascii="Times New Roman" w:hAnsi="Times New Roman"/>
                <w:szCs w:val="21"/>
              </w:rPr>
              <w:t>3-2</w:t>
            </w:r>
          </w:p>
        </w:tc>
        <w:tc>
          <w:tcPr>
            <w:tcW w:w="735" w:type="dxa"/>
          </w:tcPr>
          <w:p w14:paraId="0E2C7124">
            <w:pPr>
              <w:jc w:val="center"/>
              <w:rPr>
                <w:rFonts w:ascii="Times New Roman" w:hAnsi="Times New Roman"/>
              </w:rPr>
            </w:pPr>
            <w:r>
              <w:rPr>
                <w:rFonts w:ascii="Times New Roman" w:hAnsi="Times New Roman"/>
              </w:rPr>
              <w:t>2</w:t>
            </w:r>
          </w:p>
        </w:tc>
        <w:tc>
          <w:tcPr>
            <w:tcW w:w="735" w:type="dxa"/>
            <w:vAlign w:val="center"/>
          </w:tcPr>
          <w:p w14:paraId="59FD3750">
            <w:pPr>
              <w:jc w:val="center"/>
              <w:rPr>
                <w:rFonts w:ascii="Times New Roman" w:hAnsi="Times New Roman"/>
                <w:szCs w:val="21"/>
              </w:rPr>
            </w:pPr>
          </w:p>
        </w:tc>
      </w:tr>
      <w:tr w14:paraId="6C4D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72E774">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2</w:t>
            </w:r>
          </w:p>
        </w:tc>
        <w:tc>
          <w:tcPr>
            <w:tcW w:w="3476" w:type="dxa"/>
          </w:tcPr>
          <w:p w14:paraId="0726276F">
            <w:pPr>
              <w:jc w:val="center"/>
              <w:rPr>
                <w:rFonts w:ascii="Times New Roman" w:hAnsi="Times New Roman"/>
              </w:rPr>
            </w:pPr>
            <w:r>
              <w:rPr>
                <w:rFonts w:hint="eastAsia" w:ascii="Times New Roman" w:hAnsi="Times New Roman"/>
              </w:rPr>
              <w:t>方程组</w:t>
            </w:r>
          </w:p>
        </w:tc>
        <w:tc>
          <w:tcPr>
            <w:tcW w:w="1701" w:type="dxa"/>
            <w:vAlign w:val="center"/>
          </w:tcPr>
          <w:p w14:paraId="5DC37C14">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tcPr>
          <w:p w14:paraId="2F7BF24B">
            <w:pPr>
              <w:jc w:val="center"/>
              <w:rPr>
                <w:rFonts w:ascii="Times New Roman" w:hAnsi="Times New Roman"/>
                <w:szCs w:val="21"/>
              </w:rPr>
            </w:pPr>
            <w:r>
              <w:rPr>
                <w:rFonts w:ascii="Times New Roman" w:hAnsi="Times New Roman"/>
                <w:szCs w:val="21"/>
              </w:rPr>
              <w:t>3-2</w:t>
            </w:r>
          </w:p>
        </w:tc>
        <w:tc>
          <w:tcPr>
            <w:tcW w:w="735" w:type="dxa"/>
          </w:tcPr>
          <w:p w14:paraId="410AF7B8">
            <w:pPr>
              <w:jc w:val="center"/>
              <w:rPr>
                <w:rFonts w:ascii="Times New Roman" w:hAnsi="Times New Roman"/>
              </w:rPr>
            </w:pPr>
            <w:r>
              <w:rPr>
                <w:rFonts w:hint="eastAsia" w:ascii="Times New Roman" w:hAnsi="Times New Roman"/>
              </w:rPr>
              <w:t>2</w:t>
            </w:r>
          </w:p>
        </w:tc>
        <w:tc>
          <w:tcPr>
            <w:tcW w:w="735" w:type="dxa"/>
            <w:vAlign w:val="center"/>
          </w:tcPr>
          <w:p w14:paraId="5CCE2AD4">
            <w:pPr>
              <w:jc w:val="center"/>
              <w:rPr>
                <w:rFonts w:ascii="Times New Roman" w:hAnsi="Times New Roman"/>
                <w:szCs w:val="21"/>
              </w:rPr>
            </w:pPr>
          </w:p>
        </w:tc>
      </w:tr>
      <w:tr w14:paraId="01A8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51C47B0">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3</w:t>
            </w:r>
          </w:p>
        </w:tc>
        <w:tc>
          <w:tcPr>
            <w:tcW w:w="3476" w:type="dxa"/>
          </w:tcPr>
          <w:p w14:paraId="28F6E29C">
            <w:pPr>
              <w:jc w:val="center"/>
              <w:rPr>
                <w:rFonts w:ascii="Times New Roman" w:hAnsi="Times New Roman"/>
              </w:rPr>
            </w:pPr>
            <w:r>
              <w:rPr>
                <w:rFonts w:hint="eastAsia" w:ascii="Times New Roman" w:hAnsi="Times New Roman"/>
              </w:rPr>
              <w:t>不定方程</w:t>
            </w:r>
          </w:p>
        </w:tc>
        <w:tc>
          <w:tcPr>
            <w:tcW w:w="1701" w:type="dxa"/>
            <w:vAlign w:val="center"/>
          </w:tcPr>
          <w:p w14:paraId="226052F1">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vAlign w:val="center"/>
          </w:tcPr>
          <w:p w14:paraId="645A99FA">
            <w:pPr>
              <w:jc w:val="center"/>
              <w:rPr>
                <w:rFonts w:ascii="Times New Roman" w:hAnsi="Times New Roman"/>
                <w:szCs w:val="21"/>
              </w:rPr>
            </w:pPr>
            <w:r>
              <w:rPr>
                <w:rFonts w:ascii="Times New Roman" w:hAnsi="Times New Roman"/>
                <w:szCs w:val="21"/>
              </w:rPr>
              <w:t>3-2</w:t>
            </w:r>
          </w:p>
        </w:tc>
        <w:tc>
          <w:tcPr>
            <w:tcW w:w="735" w:type="dxa"/>
          </w:tcPr>
          <w:p w14:paraId="02D1EF08">
            <w:pPr>
              <w:jc w:val="center"/>
              <w:rPr>
                <w:rFonts w:ascii="Times New Roman" w:hAnsi="Times New Roman"/>
              </w:rPr>
            </w:pPr>
            <w:r>
              <w:rPr>
                <w:rFonts w:hint="eastAsia" w:ascii="Times New Roman" w:hAnsi="Times New Roman"/>
              </w:rPr>
              <w:t>2</w:t>
            </w:r>
          </w:p>
        </w:tc>
        <w:tc>
          <w:tcPr>
            <w:tcW w:w="735" w:type="dxa"/>
            <w:vAlign w:val="center"/>
          </w:tcPr>
          <w:p w14:paraId="4ACBA5E6">
            <w:pPr>
              <w:jc w:val="center"/>
              <w:rPr>
                <w:rFonts w:ascii="Times New Roman" w:hAnsi="Times New Roman"/>
                <w:szCs w:val="21"/>
              </w:rPr>
            </w:pPr>
          </w:p>
        </w:tc>
      </w:tr>
      <w:tr w14:paraId="09EF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2410040">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4</w:t>
            </w:r>
          </w:p>
        </w:tc>
        <w:tc>
          <w:tcPr>
            <w:tcW w:w="3476" w:type="dxa"/>
          </w:tcPr>
          <w:p w14:paraId="02B36E19">
            <w:pPr>
              <w:jc w:val="center"/>
              <w:rPr>
                <w:rFonts w:ascii="Times New Roman" w:hAnsi="Times New Roman"/>
              </w:rPr>
            </w:pPr>
            <w:r>
              <w:rPr>
                <w:rFonts w:hint="eastAsia" w:ascii="Times New Roman" w:hAnsi="Times New Roman"/>
              </w:rPr>
              <w:t>列表与图解</w:t>
            </w:r>
          </w:p>
        </w:tc>
        <w:tc>
          <w:tcPr>
            <w:tcW w:w="1701" w:type="dxa"/>
            <w:vAlign w:val="center"/>
          </w:tcPr>
          <w:p w14:paraId="389361B4">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tcPr>
          <w:p w14:paraId="09180376">
            <w:pPr>
              <w:jc w:val="center"/>
              <w:rPr>
                <w:rFonts w:ascii="Times New Roman" w:hAnsi="Times New Roman"/>
                <w:szCs w:val="21"/>
              </w:rPr>
            </w:pPr>
            <w:r>
              <w:rPr>
                <w:rFonts w:ascii="Times New Roman" w:hAnsi="Times New Roman"/>
                <w:szCs w:val="21"/>
              </w:rPr>
              <w:t>3-2</w:t>
            </w:r>
          </w:p>
        </w:tc>
        <w:tc>
          <w:tcPr>
            <w:tcW w:w="735" w:type="dxa"/>
          </w:tcPr>
          <w:p w14:paraId="7949761E">
            <w:pPr>
              <w:jc w:val="center"/>
              <w:rPr>
                <w:rFonts w:ascii="Times New Roman" w:hAnsi="Times New Roman"/>
              </w:rPr>
            </w:pPr>
            <w:r>
              <w:rPr>
                <w:rFonts w:hint="eastAsia" w:ascii="Times New Roman" w:hAnsi="Times New Roman"/>
              </w:rPr>
              <w:t>2</w:t>
            </w:r>
          </w:p>
        </w:tc>
        <w:tc>
          <w:tcPr>
            <w:tcW w:w="735" w:type="dxa"/>
            <w:vAlign w:val="center"/>
          </w:tcPr>
          <w:p w14:paraId="12455C34">
            <w:pPr>
              <w:jc w:val="center"/>
              <w:rPr>
                <w:rFonts w:ascii="Times New Roman" w:hAnsi="Times New Roman"/>
                <w:szCs w:val="21"/>
              </w:rPr>
            </w:pPr>
          </w:p>
        </w:tc>
      </w:tr>
      <w:tr w14:paraId="1CF7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122C179">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5</w:t>
            </w:r>
          </w:p>
        </w:tc>
        <w:tc>
          <w:tcPr>
            <w:tcW w:w="3476" w:type="dxa"/>
          </w:tcPr>
          <w:p w14:paraId="1D650491">
            <w:pPr>
              <w:jc w:val="center"/>
              <w:rPr>
                <w:rFonts w:ascii="Times New Roman" w:hAnsi="Times New Roman"/>
              </w:rPr>
            </w:pPr>
            <w:r>
              <w:rPr>
                <w:rFonts w:hint="eastAsia" w:ascii="Times New Roman" w:hAnsi="Times New Roman"/>
              </w:rPr>
              <w:t>圆与组合图形</w:t>
            </w:r>
          </w:p>
        </w:tc>
        <w:tc>
          <w:tcPr>
            <w:tcW w:w="1701" w:type="dxa"/>
            <w:vAlign w:val="center"/>
          </w:tcPr>
          <w:p w14:paraId="476CFEB3">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tcPr>
          <w:p w14:paraId="3B73F291">
            <w:pPr>
              <w:jc w:val="center"/>
              <w:rPr>
                <w:rFonts w:ascii="Times New Roman" w:hAnsi="Times New Roman"/>
                <w:szCs w:val="21"/>
              </w:rPr>
            </w:pPr>
            <w:r>
              <w:rPr>
                <w:rFonts w:ascii="Times New Roman" w:hAnsi="Times New Roman"/>
                <w:szCs w:val="21"/>
              </w:rPr>
              <w:t>3-2</w:t>
            </w:r>
          </w:p>
        </w:tc>
        <w:tc>
          <w:tcPr>
            <w:tcW w:w="735" w:type="dxa"/>
          </w:tcPr>
          <w:p w14:paraId="6A2D80D6">
            <w:pPr>
              <w:jc w:val="center"/>
              <w:rPr>
                <w:rFonts w:ascii="Times New Roman" w:hAnsi="Times New Roman"/>
              </w:rPr>
            </w:pPr>
            <w:r>
              <w:rPr>
                <w:rFonts w:hint="eastAsia" w:ascii="Times New Roman" w:hAnsi="Times New Roman"/>
              </w:rPr>
              <w:t>2</w:t>
            </w:r>
          </w:p>
        </w:tc>
        <w:tc>
          <w:tcPr>
            <w:tcW w:w="735" w:type="dxa"/>
            <w:vAlign w:val="center"/>
          </w:tcPr>
          <w:p w14:paraId="6EB47B9D">
            <w:pPr>
              <w:jc w:val="center"/>
              <w:rPr>
                <w:rFonts w:ascii="Times New Roman" w:hAnsi="Times New Roman"/>
                <w:szCs w:val="21"/>
              </w:rPr>
            </w:pPr>
          </w:p>
        </w:tc>
      </w:tr>
      <w:tr w14:paraId="17BD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0F18A77">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6</w:t>
            </w:r>
          </w:p>
        </w:tc>
        <w:tc>
          <w:tcPr>
            <w:tcW w:w="3476" w:type="dxa"/>
          </w:tcPr>
          <w:p w14:paraId="5D59C8E7">
            <w:pPr>
              <w:jc w:val="center"/>
              <w:rPr>
                <w:rFonts w:ascii="Times New Roman" w:hAnsi="Times New Roman"/>
              </w:rPr>
            </w:pPr>
            <w:r>
              <w:rPr>
                <w:rFonts w:hint="eastAsia" w:ascii="Times New Roman" w:hAnsi="Times New Roman"/>
              </w:rPr>
              <w:t>勾股定理与弦图</w:t>
            </w:r>
          </w:p>
        </w:tc>
        <w:tc>
          <w:tcPr>
            <w:tcW w:w="1701" w:type="dxa"/>
            <w:vAlign w:val="center"/>
          </w:tcPr>
          <w:p w14:paraId="587D1F4E">
            <w:pPr>
              <w:spacing w:line="276" w:lineRule="auto"/>
              <w:jc w:val="center"/>
              <w:rPr>
                <w:rFonts w:ascii="Times New Roman" w:hAnsi="Times New Roman"/>
                <w:szCs w:val="21"/>
              </w:rPr>
            </w:pPr>
            <w:r>
              <w:rPr>
                <w:rFonts w:ascii="Times New Roman" w:hAnsi="Times New Roman"/>
                <w:szCs w:val="21"/>
              </w:rPr>
              <w:t>课程目标1</w:t>
            </w:r>
            <w:r>
              <w:rPr>
                <w:rFonts w:hint="eastAsia" w:ascii="Times New Roman" w:hAnsi="Times New Roman"/>
                <w:szCs w:val="21"/>
              </w:rPr>
              <w:t>,</w:t>
            </w:r>
            <w:r>
              <w:rPr>
                <w:rFonts w:ascii="Times New Roman" w:hAnsi="Times New Roman"/>
                <w:szCs w:val="21"/>
              </w:rPr>
              <w:t>2</w:t>
            </w:r>
          </w:p>
        </w:tc>
        <w:tc>
          <w:tcPr>
            <w:tcW w:w="1853" w:type="dxa"/>
          </w:tcPr>
          <w:p w14:paraId="5326E7EC">
            <w:pPr>
              <w:jc w:val="center"/>
              <w:rPr>
                <w:rFonts w:ascii="Times New Roman" w:hAnsi="Times New Roman"/>
                <w:szCs w:val="21"/>
              </w:rPr>
            </w:pPr>
            <w:r>
              <w:rPr>
                <w:rFonts w:ascii="Times New Roman" w:hAnsi="Times New Roman"/>
                <w:szCs w:val="21"/>
              </w:rPr>
              <w:t>3-2</w:t>
            </w:r>
          </w:p>
        </w:tc>
        <w:tc>
          <w:tcPr>
            <w:tcW w:w="735" w:type="dxa"/>
          </w:tcPr>
          <w:p w14:paraId="169C3ADA">
            <w:pPr>
              <w:jc w:val="center"/>
              <w:rPr>
                <w:rFonts w:ascii="Times New Roman" w:hAnsi="Times New Roman"/>
              </w:rPr>
            </w:pPr>
            <w:r>
              <w:rPr>
                <w:rFonts w:ascii="Times New Roman" w:hAnsi="Times New Roman"/>
              </w:rPr>
              <w:t>2</w:t>
            </w:r>
          </w:p>
        </w:tc>
        <w:tc>
          <w:tcPr>
            <w:tcW w:w="735" w:type="dxa"/>
            <w:vAlign w:val="center"/>
          </w:tcPr>
          <w:p w14:paraId="028A892D">
            <w:pPr>
              <w:jc w:val="center"/>
              <w:rPr>
                <w:rFonts w:ascii="Times New Roman" w:hAnsi="Times New Roman"/>
                <w:szCs w:val="21"/>
              </w:rPr>
            </w:pPr>
            <w:r>
              <w:rPr>
                <w:rFonts w:hint="eastAsia" w:ascii="Times New Roman" w:hAnsi="Times New Roman"/>
                <w:szCs w:val="21"/>
              </w:rPr>
              <w:t>0</w:t>
            </w:r>
          </w:p>
        </w:tc>
      </w:tr>
      <w:tr w14:paraId="5C3D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51FB422B">
            <w:pPr>
              <w:jc w:val="center"/>
              <w:rPr>
                <w:rFonts w:ascii="Times New Roman" w:hAnsi="Times New Roman"/>
                <w:szCs w:val="21"/>
              </w:rPr>
            </w:pPr>
            <w:r>
              <w:rPr>
                <w:rFonts w:ascii="Times New Roman" w:hAnsi="Times New Roman"/>
                <w:szCs w:val="21"/>
              </w:rPr>
              <w:t>合计</w:t>
            </w:r>
          </w:p>
        </w:tc>
        <w:tc>
          <w:tcPr>
            <w:tcW w:w="735" w:type="dxa"/>
            <w:vAlign w:val="center"/>
          </w:tcPr>
          <w:p w14:paraId="2F265845">
            <w:pPr>
              <w:jc w:val="center"/>
              <w:rPr>
                <w:rFonts w:ascii="Times New Roman" w:hAnsi="Times New Roman"/>
                <w:szCs w:val="21"/>
              </w:rPr>
            </w:pPr>
            <w:r>
              <w:rPr>
                <w:rFonts w:ascii="Times New Roman" w:hAnsi="Times New Roman"/>
                <w:szCs w:val="21"/>
              </w:rPr>
              <w:t>32</w:t>
            </w:r>
          </w:p>
        </w:tc>
        <w:tc>
          <w:tcPr>
            <w:tcW w:w="735" w:type="dxa"/>
            <w:vAlign w:val="center"/>
          </w:tcPr>
          <w:p w14:paraId="6D151113">
            <w:pPr>
              <w:jc w:val="center"/>
              <w:rPr>
                <w:rFonts w:ascii="Times New Roman" w:hAnsi="Times New Roman"/>
                <w:szCs w:val="21"/>
              </w:rPr>
            </w:pPr>
          </w:p>
        </w:tc>
      </w:tr>
    </w:tbl>
    <w:p w14:paraId="2C4569CD">
      <w:pPr>
        <w:spacing w:line="360" w:lineRule="auto"/>
        <w:ind w:firstLine="562" w:firstLineChars="200"/>
        <w:rPr>
          <w:rFonts w:ascii="Times New Roman" w:hAnsi="Times New Roman"/>
          <w:b/>
          <w:sz w:val="28"/>
          <w:szCs w:val="28"/>
        </w:rPr>
      </w:pPr>
      <w:r>
        <w:rPr>
          <w:rFonts w:ascii="Times New Roman" w:hAnsi="Times New Roman"/>
          <w:b/>
          <w:sz w:val="28"/>
          <w:szCs w:val="28"/>
        </w:rPr>
        <w:t>四、课程实施</w:t>
      </w:r>
    </w:p>
    <w:p w14:paraId="7DF8A7A6">
      <w:pPr>
        <w:spacing w:line="360" w:lineRule="auto"/>
        <w:ind w:firstLine="480" w:firstLineChars="200"/>
        <w:rPr>
          <w:rFonts w:ascii="Times New Roman" w:hAnsi="Times New Roman"/>
          <w:sz w:val="24"/>
        </w:rPr>
      </w:pPr>
      <w:r>
        <w:rPr>
          <w:rFonts w:ascii="Times New Roman" w:hAnsi="Times New Roman"/>
          <w:sz w:val="24"/>
        </w:rPr>
        <w:t>主要教学环节质量要求如表所示。</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0E4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474484C3">
            <w:pPr>
              <w:jc w:val="center"/>
              <w:rPr>
                <w:rFonts w:ascii="Times New Roman" w:hAnsi="Times New Roman"/>
                <w:szCs w:val="21"/>
              </w:rPr>
            </w:pPr>
            <w:r>
              <w:rPr>
                <w:rFonts w:ascii="Times New Roman" w:hAnsi="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2AA6179D">
            <w:pPr>
              <w:jc w:val="center"/>
              <w:rPr>
                <w:rFonts w:ascii="Times New Roman" w:hAnsi="Times New Roman"/>
                <w:szCs w:val="21"/>
              </w:rPr>
            </w:pPr>
            <w:r>
              <w:rPr>
                <w:rFonts w:ascii="Times New Roman" w:hAnsi="Times New Roman"/>
                <w:bCs/>
                <w:szCs w:val="21"/>
              </w:rPr>
              <w:t>质量要求</w:t>
            </w:r>
          </w:p>
        </w:tc>
      </w:tr>
      <w:tr w14:paraId="3FE4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119BCC8">
            <w:pPr>
              <w:jc w:val="center"/>
              <w:rPr>
                <w:rFonts w:ascii="Times New Roman" w:hAnsi="Times New Roman"/>
                <w:szCs w:val="21"/>
              </w:rPr>
            </w:pPr>
            <w:r>
              <w:rPr>
                <w:rFonts w:ascii="Times New Roman" w:hAnsi="Times New Roman"/>
                <w:szCs w:val="21"/>
              </w:rPr>
              <w:t>1</w:t>
            </w:r>
          </w:p>
        </w:tc>
        <w:tc>
          <w:tcPr>
            <w:tcW w:w="1691" w:type="dxa"/>
            <w:tcMar>
              <w:left w:w="28" w:type="dxa"/>
              <w:right w:w="28" w:type="dxa"/>
            </w:tcMar>
            <w:vAlign w:val="center"/>
          </w:tcPr>
          <w:p w14:paraId="736C1AD2">
            <w:pPr>
              <w:jc w:val="center"/>
              <w:rPr>
                <w:rFonts w:ascii="Times New Roman" w:hAnsi="Times New Roman"/>
                <w:szCs w:val="21"/>
              </w:rPr>
            </w:pPr>
            <w:r>
              <w:rPr>
                <w:rFonts w:ascii="Times New Roman" w:hAnsi="Times New Roman"/>
                <w:szCs w:val="21"/>
              </w:rPr>
              <w:t>备课</w:t>
            </w:r>
          </w:p>
        </w:tc>
        <w:tc>
          <w:tcPr>
            <w:tcW w:w="6773" w:type="dxa"/>
            <w:tcBorders>
              <w:right w:val="single" w:color="auto" w:sz="8" w:space="0"/>
            </w:tcBorders>
            <w:vAlign w:val="center"/>
          </w:tcPr>
          <w:p w14:paraId="154DE626">
            <w:pPr>
              <w:spacing w:line="276" w:lineRule="auto"/>
              <w:rPr>
                <w:rFonts w:ascii="Times New Roman" w:hAnsi="Times New Roman"/>
                <w:szCs w:val="21"/>
              </w:rPr>
            </w:pPr>
            <w:r>
              <w:rPr>
                <w:rFonts w:ascii="Times New Roman" w:hAnsi="Times New Roman"/>
                <w:szCs w:val="21"/>
              </w:rPr>
              <w:t>（1）掌握本课程教学大纲内容，严格按照教学大纲要求进行本课程教学内容的组织；</w:t>
            </w:r>
          </w:p>
          <w:p w14:paraId="6882FD05">
            <w:pPr>
              <w:spacing w:line="276" w:lineRule="auto"/>
              <w:rPr>
                <w:rFonts w:ascii="Times New Roman" w:hAnsi="Times New Roman"/>
                <w:szCs w:val="21"/>
              </w:rPr>
            </w:pPr>
            <w:r>
              <w:rPr>
                <w:rFonts w:ascii="Times New Roman" w:hAnsi="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04319205">
            <w:pPr>
              <w:spacing w:line="276" w:lineRule="auto"/>
              <w:rPr>
                <w:rFonts w:ascii="Times New Roman" w:hAnsi="Times New Roman"/>
                <w:szCs w:val="21"/>
              </w:rPr>
            </w:pPr>
            <w:r>
              <w:rPr>
                <w:rFonts w:ascii="Times New Roman" w:hAnsi="Times New Roman"/>
                <w:szCs w:val="21"/>
              </w:rPr>
              <w:t xml:space="preserve">（3）结合课程特点，适度运用多媒体教学手段讲授部分教学内容； </w:t>
            </w:r>
          </w:p>
          <w:p w14:paraId="7CBB7E30">
            <w:pPr>
              <w:spacing w:line="276" w:lineRule="auto"/>
              <w:rPr>
                <w:rFonts w:ascii="Times New Roman" w:hAnsi="Times New Roman"/>
                <w:sz w:val="24"/>
              </w:rPr>
            </w:pPr>
            <w:r>
              <w:rPr>
                <w:rFonts w:ascii="Times New Roman" w:hAnsi="Times New Roman"/>
                <w:szCs w:val="21"/>
              </w:rPr>
              <w:t>（4）确定各章节课程内容的教学方法，构思授课思路、技巧和方法。</w:t>
            </w:r>
          </w:p>
        </w:tc>
      </w:tr>
      <w:tr w14:paraId="2F04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DCC4299">
            <w:pPr>
              <w:jc w:val="center"/>
              <w:rPr>
                <w:rFonts w:ascii="Times New Roman" w:hAnsi="Times New Roman"/>
                <w:szCs w:val="21"/>
              </w:rPr>
            </w:pPr>
            <w:r>
              <w:rPr>
                <w:rFonts w:ascii="Times New Roman" w:hAnsi="Times New Roman"/>
                <w:szCs w:val="21"/>
              </w:rPr>
              <w:t>2</w:t>
            </w:r>
          </w:p>
        </w:tc>
        <w:tc>
          <w:tcPr>
            <w:tcW w:w="1691" w:type="dxa"/>
            <w:tcMar>
              <w:left w:w="28" w:type="dxa"/>
              <w:right w:w="28" w:type="dxa"/>
            </w:tcMar>
            <w:vAlign w:val="center"/>
          </w:tcPr>
          <w:p w14:paraId="3023C83E">
            <w:pPr>
              <w:jc w:val="center"/>
              <w:rPr>
                <w:rFonts w:ascii="Times New Roman" w:hAnsi="Times New Roman"/>
                <w:szCs w:val="21"/>
              </w:rPr>
            </w:pPr>
            <w:r>
              <w:rPr>
                <w:rFonts w:ascii="Times New Roman" w:hAnsi="Times New Roman"/>
                <w:szCs w:val="21"/>
              </w:rPr>
              <w:t>讲授</w:t>
            </w:r>
          </w:p>
        </w:tc>
        <w:tc>
          <w:tcPr>
            <w:tcW w:w="6773" w:type="dxa"/>
            <w:tcBorders>
              <w:right w:val="single" w:color="auto" w:sz="8" w:space="0"/>
            </w:tcBorders>
            <w:vAlign w:val="center"/>
          </w:tcPr>
          <w:p w14:paraId="67C5B223">
            <w:pPr>
              <w:spacing w:line="276" w:lineRule="auto"/>
              <w:rPr>
                <w:rFonts w:ascii="Times New Roman" w:hAnsi="Times New Roman"/>
                <w:szCs w:val="21"/>
              </w:rPr>
            </w:pPr>
            <w:r>
              <w:rPr>
                <w:rFonts w:ascii="Times New Roman" w:hAnsi="Times New Roman"/>
                <w:szCs w:val="21"/>
              </w:rPr>
              <w:t>（1）要点准确，推理正确，条理清晰，重点突出，理论联系实际，熟练地解答和讲解例题。</w:t>
            </w:r>
          </w:p>
          <w:p w14:paraId="264FCAB9">
            <w:pPr>
              <w:spacing w:line="276" w:lineRule="auto"/>
              <w:rPr>
                <w:rFonts w:ascii="Times New Roman" w:hAnsi="Times New Roman"/>
                <w:szCs w:val="21"/>
              </w:rPr>
            </w:pPr>
            <w:r>
              <w:rPr>
                <w:rFonts w:ascii="Times New Roman" w:hAnsi="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5E20E529">
            <w:pPr>
              <w:rPr>
                <w:rFonts w:ascii="Times New Roman" w:hAnsi="Times New Roman"/>
                <w:szCs w:val="21"/>
              </w:rPr>
            </w:pPr>
            <w:r>
              <w:rPr>
                <w:rFonts w:ascii="Times New Roman" w:hAnsi="Times New Roman"/>
                <w:szCs w:val="21"/>
              </w:rPr>
              <w:t>（3）表达方式尽量便于学生理解、接受，力求形象生动，使学生在掌握知识的过程中，保持较为浓厚的兴趣。</w:t>
            </w:r>
          </w:p>
        </w:tc>
      </w:tr>
      <w:tr w14:paraId="2313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0431E79">
            <w:pPr>
              <w:jc w:val="center"/>
              <w:rPr>
                <w:rFonts w:ascii="Times New Roman" w:hAnsi="Times New Roman"/>
                <w:szCs w:val="21"/>
              </w:rPr>
            </w:pPr>
            <w:r>
              <w:rPr>
                <w:rFonts w:ascii="Times New Roman" w:hAnsi="Times New Roman"/>
                <w:szCs w:val="21"/>
              </w:rPr>
              <w:t>3</w:t>
            </w:r>
          </w:p>
        </w:tc>
        <w:tc>
          <w:tcPr>
            <w:tcW w:w="1691" w:type="dxa"/>
            <w:tcMar>
              <w:left w:w="28" w:type="dxa"/>
              <w:right w:w="28" w:type="dxa"/>
            </w:tcMar>
            <w:vAlign w:val="center"/>
          </w:tcPr>
          <w:p w14:paraId="39F4F9D9">
            <w:pPr>
              <w:jc w:val="center"/>
              <w:rPr>
                <w:rFonts w:ascii="Times New Roman" w:hAnsi="Times New Roman"/>
                <w:szCs w:val="21"/>
              </w:rPr>
            </w:pPr>
            <w:r>
              <w:rPr>
                <w:rFonts w:ascii="Times New Roman" w:hAnsi="Times New Roman"/>
                <w:szCs w:val="21"/>
              </w:rPr>
              <w:t>作业布置与批改</w:t>
            </w:r>
          </w:p>
        </w:tc>
        <w:tc>
          <w:tcPr>
            <w:tcW w:w="6773" w:type="dxa"/>
            <w:tcBorders>
              <w:right w:val="single" w:color="auto" w:sz="8" w:space="0"/>
            </w:tcBorders>
            <w:vAlign w:val="center"/>
          </w:tcPr>
          <w:p w14:paraId="0621D745">
            <w:pPr>
              <w:spacing w:line="276" w:lineRule="auto"/>
              <w:rPr>
                <w:rFonts w:ascii="Times New Roman" w:hAnsi="Times New Roman"/>
                <w:szCs w:val="21"/>
              </w:rPr>
            </w:pPr>
            <w:r>
              <w:rPr>
                <w:rFonts w:ascii="Times New Roman" w:hAnsi="Times New Roman"/>
                <w:szCs w:val="21"/>
              </w:rPr>
              <w:t>学生必须完成一定数量的作业题（笔头作业+实验报告），是本课程教学的基本要求，是实现人才培养目标的必要手段。</w:t>
            </w:r>
          </w:p>
          <w:p w14:paraId="5B4C38F2">
            <w:pPr>
              <w:spacing w:line="276" w:lineRule="auto"/>
              <w:rPr>
                <w:rFonts w:ascii="Times New Roman" w:hAnsi="Times New Roman"/>
                <w:szCs w:val="21"/>
              </w:rPr>
            </w:pPr>
            <w:r>
              <w:rPr>
                <w:rFonts w:ascii="Times New Roman" w:hAnsi="Times New Roman"/>
                <w:szCs w:val="21"/>
              </w:rPr>
              <w:t>学生完成的作业必须达到以下基本要求：</w:t>
            </w:r>
          </w:p>
          <w:p w14:paraId="163195AD">
            <w:pPr>
              <w:spacing w:line="276" w:lineRule="auto"/>
              <w:rPr>
                <w:rFonts w:ascii="Times New Roman" w:hAnsi="Times New Roman"/>
                <w:szCs w:val="21"/>
              </w:rPr>
            </w:pPr>
            <w:r>
              <w:rPr>
                <w:rFonts w:ascii="Times New Roman" w:hAnsi="Times New Roman"/>
                <w:szCs w:val="21"/>
              </w:rPr>
              <w:t>（1）按时按量完成作业，不缺交，不抄袭；</w:t>
            </w:r>
          </w:p>
          <w:p w14:paraId="0747C7B2">
            <w:pPr>
              <w:spacing w:line="276" w:lineRule="auto"/>
              <w:rPr>
                <w:rFonts w:ascii="Times New Roman" w:hAnsi="Times New Roman"/>
                <w:szCs w:val="21"/>
              </w:rPr>
            </w:pPr>
            <w:r>
              <w:rPr>
                <w:rFonts w:ascii="Times New Roman" w:hAnsi="Times New Roman"/>
                <w:szCs w:val="21"/>
              </w:rPr>
              <w:t>（2）作业本规范，书写清晰；</w:t>
            </w:r>
          </w:p>
          <w:p w14:paraId="67C4B3D4">
            <w:pPr>
              <w:spacing w:line="276" w:lineRule="auto"/>
              <w:rPr>
                <w:rFonts w:ascii="Times New Roman" w:hAnsi="Times New Roman"/>
                <w:szCs w:val="21"/>
              </w:rPr>
            </w:pPr>
            <w:r>
              <w:rPr>
                <w:rFonts w:ascii="Times New Roman" w:hAnsi="Times New Roman"/>
                <w:szCs w:val="21"/>
              </w:rPr>
              <w:t>（3）解题方法和步骤正确。</w:t>
            </w:r>
          </w:p>
          <w:p w14:paraId="0033C6C1">
            <w:pPr>
              <w:spacing w:line="276" w:lineRule="auto"/>
              <w:rPr>
                <w:rFonts w:ascii="Times New Roman" w:hAnsi="Times New Roman"/>
                <w:szCs w:val="21"/>
              </w:rPr>
            </w:pPr>
            <w:r>
              <w:rPr>
                <w:rFonts w:ascii="Times New Roman" w:hAnsi="Times New Roman"/>
                <w:szCs w:val="21"/>
              </w:rPr>
              <w:t>教师批改或讲评作业要求如下：</w:t>
            </w:r>
          </w:p>
          <w:p w14:paraId="5D5C7B74">
            <w:pPr>
              <w:spacing w:line="276" w:lineRule="auto"/>
              <w:rPr>
                <w:rFonts w:ascii="Times New Roman" w:hAnsi="Times New Roman"/>
                <w:szCs w:val="21"/>
              </w:rPr>
            </w:pPr>
            <w:r>
              <w:rPr>
                <w:rFonts w:ascii="Times New Roman" w:hAnsi="Times New Roman"/>
                <w:szCs w:val="21"/>
              </w:rPr>
              <w:t>（1）学生的作业要全批全改，并按时批改、讲评学生每次交来的作业；</w:t>
            </w:r>
          </w:p>
          <w:p w14:paraId="3FF90AD3">
            <w:pPr>
              <w:spacing w:line="276" w:lineRule="auto"/>
              <w:rPr>
                <w:rFonts w:ascii="Times New Roman" w:hAnsi="Times New Roman"/>
                <w:szCs w:val="21"/>
              </w:rPr>
            </w:pPr>
            <w:r>
              <w:rPr>
                <w:rFonts w:ascii="Times New Roman" w:hAnsi="Times New Roman"/>
                <w:szCs w:val="21"/>
              </w:rPr>
              <w:t>（2）教师批改或讲评作业要认真、细致，每次批改或讲评作业后，按百分制评定成绩，并写明日期；</w:t>
            </w:r>
          </w:p>
          <w:p w14:paraId="50212847">
            <w:pPr>
              <w:rPr>
                <w:rFonts w:ascii="Times New Roman" w:hAnsi="Times New Roman"/>
                <w:szCs w:val="21"/>
              </w:rPr>
            </w:pPr>
            <w:r>
              <w:rPr>
                <w:rFonts w:ascii="Times New Roman" w:hAnsi="Times New Roman"/>
                <w:szCs w:val="21"/>
              </w:rPr>
              <w:t>（3）期末按每个学生作业的平均成绩，作为本课程总评成绩中平时成绩的重要组成部分。</w:t>
            </w:r>
          </w:p>
        </w:tc>
      </w:tr>
      <w:tr w14:paraId="649A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CFF7BB0">
            <w:pPr>
              <w:jc w:val="center"/>
              <w:rPr>
                <w:rFonts w:ascii="Times New Roman" w:hAnsi="Times New Roman"/>
                <w:szCs w:val="21"/>
              </w:rPr>
            </w:pPr>
            <w:r>
              <w:rPr>
                <w:rFonts w:ascii="Times New Roman" w:hAnsi="Times New Roman"/>
                <w:szCs w:val="21"/>
              </w:rPr>
              <w:t>4</w:t>
            </w:r>
          </w:p>
        </w:tc>
        <w:tc>
          <w:tcPr>
            <w:tcW w:w="1691" w:type="dxa"/>
            <w:tcMar>
              <w:left w:w="28" w:type="dxa"/>
              <w:right w:w="28" w:type="dxa"/>
            </w:tcMar>
            <w:vAlign w:val="center"/>
          </w:tcPr>
          <w:p w14:paraId="6038D55E">
            <w:pPr>
              <w:jc w:val="center"/>
              <w:rPr>
                <w:rFonts w:ascii="Times New Roman" w:hAnsi="Times New Roman"/>
                <w:szCs w:val="21"/>
              </w:rPr>
            </w:pPr>
            <w:r>
              <w:rPr>
                <w:rFonts w:ascii="Times New Roman" w:hAnsi="Times New Roman"/>
                <w:szCs w:val="21"/>
              </w:rPr>
              <w:t>课外答疑</w:t>
            </w:r>
          </w:p>
        </w:tc>
        <w:tc>
          <w:tcPr>
            <w:tcW w:w="6773" w:type="dxa"/>
            <w:tcBorders>
              <w:right w:val="single" w:color="auto" w:sz="8" w:space="0"/>
            </w:tcBorders>
            <w:vAlign w:val="center"/>
          </w:tcPr>
          <w:p w14:paraId="7F5E6D75">
            <w:pPr>
              <w:rPr>
                <w:rFonts w:ascii="Times New Roman" w:hAnsi="Times New Roman"/>
                <w:szCs w:val="21"/>
              </w:rPr>
            </w:pPr>
            <w:r>
              <w:rPr>
                <w:rFonts w:ascii="Times New Roman" w:hAnsi="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07B4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6F51B20">
            <w:pPr>
              <w:jc w:val="center"/>
              <w:rPr>
                <w:rFonts w:ascii="Times New Roman" w:hAnsi="Times New Roman"/>
                <w:szCs w:val="21"/>
              </w:rPr>
            </w:pPr>
            <w:r>
              <w:rPr>
                <w:rFonts w:ascii="Times New Roman" w:hAnsi="Times New Roman"/>
                <w:szCs w:val="21"/>
              </w:rPr>
              <w:t>5</w:t>
            </w:r>
          </w:p>
        </w:tc>
        <w:tc>
          <w:tcPr>
            <w:tcW w:w="1691" w:type="dxa"/>
            <w:tcMar>
              <w:left w:w="28" w:type="dxa"/>
              <w:right w:w="28" w:type="dxa"/>
            </w:tcMar>
            <w:vAlign w:val="center"/>
          </w:tcPr>
          <w:p w14:paraId="041E4557">
            <w:pPr>
              <w:jc w:val="center"/>
              <w:rPr>
                <w:rFonts w:ascii="Times New Roman" w:hAnsi="Times New Roman"/>
                <w:szCs w:val="21"/>
              </w:rPr>
            </w:pPr>
            <w:r>
              <w:rPr>
                <w:rFonts w:ascii="Times New Roman" w:hAnsi="Times New Roman"/>
                <w:szCs w:val="21"/>
              </w:rPr>
              <w:t>成绩考核</w:t>
            </w:r>
          </w:p>
        </w:tc>
        <w:tc>
          <w:tcPr>
            <w:tcW w:w="6773" w:type="dxa"/>
            <w:tcBorders>
              <w:right w:val="single" w:color="auto" w:sz="8" w:space="0"/>
            </w:tcBorders>
            <w:vAlign w:val="center"/>
          </w:tcPr>
          <w:p w14:paraId="1856BC40">
            <w:pPr>
              <w:rPr>
                <w:rFonts w:ascii="Times New Roman" w:hAnsi="Times New Roman"/>
              </w:rPr>
            </w:pPr>
            <w:r>
              <w:rPr>
                <w:rFonts w:ascii="Times New Roman" w:hAnsi="Times New Roman"/>
              </w:rPr>
              <w:t>本课程考核的方式：考查。考试试卷采取抽卷形式，统一安排监考。总评成绩的评定见课程评分方案。有下列情况之一者，总评成绩为不及格：</w:t>
            </w:r>
          </w:p>
          <w:p w14:paraId="5280AC14">
            <w:pPr>
              <w:rPr>
                <w:rFonts w:ascii="Times New Roman" w:hAnsi="Times New Roman"/>
              </w:rPr>
            </w:pPr>
            <w:r>
              <w:rPr>
                <w:rFonts w:ascii="Times New Roman" w:hAnsi="Times New Roman"/>
                <w:szCs w:val="21"/>
              </w:rPr>
              <w:t>（1）</w:t>
            </w:r>
            <w:r>
              <w:rPr>
                <w:rFonts w:ascii="Times New Roman" w:hAnsi="Times New Roman"/>
              </w:rPr>
              <w:t>缺交作业次数达1/3以上者；</w:t>
            </w:r>
          </w:p>
          <w:p w14:paraId="2D566A63">
            <w:pPr>
              <w:rPr>
                <w:rFonts w:ascii="Times New Roman" w:hAnsi="Times New Roman"/>
              </w:rPr>
            </w:pPr>
            <w:r>
              <w:rPr>
                <w:rFonts w:ascii="Times New Roman" w:hAnsi="Times New Roman"/>
                <w:szCs w:val="21"/>
              </w:rPr>
              <w:t>（2）</w:t>
            </w:r>
            <w:r>
              <w:rPr>
                <w:rFonts w:ascii="Times New Roman" w:hAnsi="Times New Roman"/>
              </w:rPr>
              <w:t>缺课次数达本学期总授课学时的1/3以上者。</w:t>
            </w:r>
          </w:p>
          <w:p w14:paraId="673C19C0">
            <w:pPr>
              <w:rPr>
                <w:rFonts w:ascii="Times New Roman" w:hAnsi="Times New Roman"/>
                <w:szCs w:val="21"/>
              </w:rPr>
            </w:pPr>
          </w:p>
        </w:tc>
      </w:tr>
    </w:tbl>
    <w:p w14:paraId="3D43F6B7">
      <w:pPr>
        <w:spacing w:line="360" w:lineRule="auto"/>
        <w:ind w:firstLine="562" w:firstLineChars="200"/>
        <w:rPr>
          <w:rFonts w:ascii="Times New Roman" w:hAnsi="Times New Roman"/>
          <w:b/>
          <w:sz w:val="28"/>
          <w:szCs w:val="28"/>
        </w:rPr>
      </w:pPr>
      <w:r>
        <w:rPr>
          <w:rFonts w:ascii="Times New Roman" w:hAnsi="Times New Roman"/>
          <w:b/>
          <w:sz w:val="28"/>
          <w:szCs w:val="28"/>
        </w:rPr>
        <w:t>五、课程考核</w:t>
      </w:r>
    </w:p>
    <w:p w14:paraId="735C9388">
      <w:pPr>
        <w:spacing w:line="360" w:lineRule="auto"/>
        <w:ind w:firstLine="480" w:firstLineChars="200"/>
        <w:rPr>
          <w:rFonts w:ascii="Times New Roman" w:hAnsi="Times New Roman"/>
          <w:sz w:val="24"/>
        </w:rPr>
      </w:pPr>
      <w:r>
        <w:rPr>
          <w:rFonts w:ascii="Times New Roman" w:hAnsi="Times New Roman"/>
          <w:sz w:val="24"/>
        </w:rPr>
        <w:t>（一）课程考核包括期末考试、平时及作业考核等，期末考试采用闭卷考试方式。</w:t>
      </w:r>
    </w:p>
    <w:p w14:paraId="4194CC6E">
      <w:pPr>
        <w:spacing w:line="360" w:lineRule="auto"/>
        <w:ind w:firstLine="480" w:firstLineChars="200"/>
        <w:rPr>
          <w:rFonts w:ascii="Times New Roman" w:hAnsi="Times New Roman"/>
          <w:sz w:val="24"/>
        </w:rPr>
      </w:pPr>
      <w:r>
        <w:rPr>
          <w:rFonts w:ascii="Times New Roman" w:hAnsi="Times New Roman"/>
          <w:sz w:val="24"/>
        </w:rPr>
        <w:t>（二）课程总评成绩=出勤情况成绩×10% +师生互动成绩×10% +作业成绩×30%+期末考试成绩×50%。具体内容和比例如表所示。</w:t>
      </w:r>
    </w:p>
    <w:tbl>
      <w:tblPr>
        <w:tblStyle w:val="13"/>
        <w:tblW w:w="9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581"/>
        <w:gridCol w:w="1037"/>
        <w:gridCol w:w="4030"/>
        <w:gridCol w:w="1429"/>
      </w:tblGrid>
      <w:tr w14:paraId="1554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117"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047373E7">
            <w:pPr>
              <w:pStyle w:val="12"/>
              <w:spacing w:line="360" w:lineRule="auto"/>
              <w:jc w:val="center"/>
              <w:rPr>
                <w:rFonts w:ascii="Times New Roman" w:hAnsi="Times New Roman"/>
              </w:rPr>
            </w:pPr>
            <w:r>
              <w:rPr>
                <w:rFonts w:ascii="Times New Roman" w:hAnsi="Times New Roman"/>
                <w:sz w:val="21"/>
                <w:lang w:bidi="ar"/>
              </w:rPr>
              <w:t>成绩组成</w:t>
            </w:r>
          </w:p>
        </w:tc>
        <w:tc>
          <w:tcPr>
            <w:tcW w:w="1581" w:type="dxa"/>
            <w:tcBorders>
              <w:top w:val="single" w:color="auto" w:sz="4" w:space="0"/>
              <w:left w:val="single" w:color="auto" w:sz="4" w:space="0"/>
              <w:bottom w:val="single" w:color="auto" w:sz="4" w:space="0"/>
              <w:right w:val="single" w:color="auto" w:sz="4" w:space="0"/>
            </w:tcBorders>
            <w:shd w:val="clear" w:color="auto" w:fill="FFFFFF"/>
            <w:vAlign w:val="center"/>
          </w:tcPr>
          <w:p w14:paraId="5C321386">
            <w:pPr>
              <w:pStyle w:val="12"/>
              <w:spacing w:line="360" w:lineRule="auto"/>
              <w:jc w:val="center"/>
              <w:rPr>
                <w:rFonts w:ascii="Times New Roman" w:hAnsi="Times New Roman"/>
              </w:rPr>
            </w:pPr>
            <w:r>
              <w:rPr>
                <w:rFonts w:ascii="Times New Roman" w:hAnsi="Times New Roman"/>
                <w:sz w:val="21"/>
                <w:lang w:bidi="ar"/>
              </w:rPr>
              <w:t>考核/评价环节</w:t>
            </w:r>
          </w:p>
        </w:tc>
        <w:tc>
          <w:tcPr>
            <w:tcW w:w="1037" w:type="dxa"/>
            <w:tcBorders>
              <w:top w:val="single" w:color="auto" w:sz="4" w:space="0"/>
              <w:left w:val="single" w:color="auto" w:sz="4" w:space="0"/>
              <w:bottom w:val="single" w:color="auto" w:sz="4" w:space="0"/>
              <w:right w:val="single" w:color="auto" w:sz="4" w:space="0"/>
            </w:tcBorders>
            <w:shd w:val="clear" w:color="auto" w:fill="FFFFFF"/>
            <w:vAlign w:val="center"/>
          </w:tcPr>
          <w:p w14:paraId="0823D4C6">
            <w:pPr>
              <w:pStyle w:val="12"/>
              <w:spacing w:line="360" w:lineRule="auto"/>
              <w:jc w:val="center"/>
              <w:rPr>
                <w:rFonts w:ascii="Times New Roman" w:hAnsi="Times New Roman"/>
              </w:rPr>
            </w:pPr>
            <w:r>
              <w:rPr>
                <w:rFonts w:ascii="Times New Roman" w:hAnsi="Times New Roman"/>
                <w:sz w:val="21"/>
                <w:lang w:bidi="ar"/>
              </w:rPr>
              <w:t>权重</w:t>
            </w:r>
          </w:p>
        </w:tc>
        <w:tc>
          <w:tcPr>
            <w:tcW w:w="4030" w:type="dxa"/>
            <w:tcBorders>
              <w:top w:val="single" w:color="auto" w:sz="4" w:space="0"/>
              <w:left w:val="single" w:color="auto" w:sz="4" w:space="0"/>
              <w:bottom w:val="single" w:color="auto" w:sz="4" w:space="0"/>
              <w:right w:val="single" w:color="auto" w:sz="4" w:space="0"/>
            </w:tcBorders>
            <w:shd w:val="clear" w:color="auto" w:fill="FFFFFF"/>
            <w:vAlign w:val="center"/>
          </w:tcPr>
          <w:p w14:paraId="61A66248">
            <w:pPr>
              <w:pStyle w:val="12"/>
              <w:spacing w:line="360" w:lineRule="auto"/>
              <w:jc w:val="center"/>
              <w:rPr>
                <w:rFonts w:ascii="Times New Roman" w:hAnsi="Times New Roman"/>
              </w:rPr>
            </w:pPr>
            <w:r>
              <w:rPr>
                <w:rFonts w:ascii="Times New Roman" w:hAnsi="Times New Roman"/>
                <w:sz w:val="21"/>
                <w:lang w:bidi="ar"/>
              </w:rPr>
              <w:t>考核/评价细则</w:t>
            </w:r>
          </w:p>
        </w:tc>
        <w:tc>
          <w:tcPr>
            <w:tcW w:w="1429" w:type="dxa"/>
            <w:tcBorders>
              <w:top w:val="single" w:color="auto" w:sz="4" w:space="0"/>
              <w:left w:val="single" w:color="auto" w:sz="4" w:space="0"/>
              <w:bottom w:val="single" w:color="auto" w:sz="4" w:space="0"/>
              <w:right w:val="single" w:color="auto" w:sz="4" w:space="0"/>
            </w:tcBorders>
            <w:shd w:val="clear" w:color="auto" w:fill="FFFFFF"/>
            <w:vAlign w:val="center"/>
          </w:tcPr>
          <w:p w14:paraId="47154065">
            <w:pPr>
              <w:pStyle w:val="12"/>
              <w:spacing w:line="360" w:lineRule="auto"/>
              <w:jc w:val="center"/>
              <w:rPr>
                <w:rFonts w:ascii="Times New Roman" w:hAnsi="Times New Roman"/>
              </w:rPr>
            </w:pPr>
            <w:r>
              <w:rPr>
                <w:rFonts w:ascii="Times New Roman" w:hAnsi="Times New Roman"/>
                <w:sz w:val="21"/>
                <w:lang w:bidi="ar"/>
              </w:rPr>
              <w:t>对应的毕业要求指标点</w:t>
            </w:r>
          </w:p>
        </w:tc>
      </w:tr>
      <w:tr w14:paraId="6BFB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117" w:type="dxa"/>
            <w:vMerge w:val="restart"/>
            <w:tcBorders>
              <w:top w:val="single" w:color="auto" w:sz="4" w:space="0"/>
              <w:left w:val="single" w:color="auto" w:sz="4" w:space="0"/>
              <w:right w:val="single" w:color="auto" w:sz="4" w:space="0"/>
            </w:tcBorders>
            <w:tcMar>
              <w:left w:w="57" w:type="dxa"/>
              <w:right w:w="57" w:type="dxa"/>
            </w:tcMar>
            <w:vAlign w:val="center"/>
          </w:tcPr>
          <w:p w14:paraId="5955B997">
            <w:pPr>
              <w:pStyle w:val="12"/>
              <w:spacing w:line="360" w:lineRule="auto"/>
              <w:jc w:val="center"/>
              <w:rPr>
                <w:rFonts w:ascii="Times New Roman" w:hAnsi="Times New Roman"/>
                <w:sz w:val="21"/>
                <w:lang w:bidi="ar"/>
              </w:rPr>
            </w:pPr>
            <w:r>
              <w:rPr>
                <w:rFonts w:ascii="Times New Roman" w:hAnsi="Times New Roman"/>
                <w:sz w:val="21"/>
                <w:lang w:bidi="ar"/>
              </w:rPr>
              <w:t>平时</w:t>
            </w:r>
          </w:p>
          <w:p w14:paraId="48BDB012">
            <w:pPr>
              <w:pStyle w:val="12"/>
              <w:spacing w:line="360" w:lineRule="auto"/>
              <w:jc w:val="center"/>
              <w:rPr>
                <w:rFonts w:ascii="Times New Roman" w:hAnsi="Times New Roman"/>
              </w:rPr>
            </w:pPr>
            <w:r>
              <w:rPr>
                <w:rFonts w:ascii="Times New Roman" w:hAnsi="Times New Roman"/>
                <w:sz w:val="21"/>
                <w:lang w:bidi="ar"/>
              </w:rPr>
              <w:t>成绩</w:t>
            </w:r>
          </w:p>
        </w:tc>
        <w:tc>
          <w:tcPr>
            <w:tcW w:w="1581" w:type="dxa"/>
            <w:tcBorders>
              <w:top w:val="single" w:color="auto" w:sz="4" w:space="0"/>
              <w:left w:val="single" w:color="auto" w:sz="4" w:space="0"/>
              <w:bottom w:val="single" w:color="auto" w:sz="4" w:space="0"/>
              <w:right w:val="single" w:color="auto" w:sz="4" w:space="0"/>
            </w:tcBorders>
            <w:vAlign w:val="center"/>
          </w:tcPr>
          <w:p w14:paraId="301870B1">
            <w:pPr>
              <w:pStyle w:val="12"/>
              <w:spacing w:line="360" w:lineRule="auto"/>
              <w:jc w:val="center"/>
              <w:rPr>
                <w:rFonts w:ascii="Times New Roman" w:hAnsi="Times New Roman"/>
              </w:rPr>
            </w:pPr>
            <w:r>
              <w:rPr>
                <w:rFonts w:ascii="Times New Roman" w:hAnsi="Times New Roman"/>
                <w:sz w:val="21"/>
                <w:lang w:bidi="ar"/>
              </w:rPr>
              <w:t>出勤情况</w:t>
            </w:r>
          </w:p>
        </w:tc>
        <w:tc>
          <w:tcPr>
            <w:tcW w:w="1037" w:type="dxa"/>
            <w:tcBorders>
              <w:top w:val="single" w:color="auto" w:sz="4" w:space="0"/>
              <w:left w:val="single" w:color="auto" w:sz="4" w:space="0"/>
              <w:bottom w:val="single" w:color="auto" w:sz="4" w:space="0"/>
              <w:right w:val="single" w:color="auto" w:sz="4" w:space="0"/>
            </w:tcBorders>
            <w:vAlign w:val="center"/>
          </w:tcPr>
          <w:p w14:paraId="34A7FB16">
            <w:pPr>
              <w:pStyle w:val="12"/>
              <w:spacing w:line="360" w:lineRule="auto"/>
              <w:jc w:val="center"/>
              <w:rPr>
                <w:rFonts w:ascii="Times New Roman" w:hAnsi="Times New Roman"/>
              </w:rPr>
            </w:pPr>
            <w:r>
              <w:rPr>
                <w:rFonts w:ascii="Times New Roman" w:hAnsi="Times New Roman"/>
                <w:sz w:val="21"/>
              </w:rPr>
              <w:t>10%</w:t>
            </w:r>
          </w:p>
        </w:tc>
        <w:tc>
          <w:tcPr>
            <w:tcW w:w="4030" w:type="dxa"/>
            <w:tcBorders>
              <w:top w:val="single" w:color="auto" w:sz="4" w:space="0"/>
              <w:left w:val="single" w:color="auto" w:sz="4" w:space="0"/>
              <w:bottom w:val="single" w:color="auto" w:sz="4" w:space="0"/>
              <w:right w:val="single" w:color="auto" w:sz="4" w:space="0"/>
            </w:tcBorders>
            <w:vAlign w:val="center"/>
          </w:tcPr>
          <w:p w14:paraId="2B584B18">
            <w:pPr>
              <w:spacing w:line="360" w:lineRule="auto"/>
              <w:jc w:val="left"/>
              <w:rPr>
                <w:rFonts w:ascii="Times New Roman" w:hAnsi="Times New Roman"/>
              </w:rPr>
            </w:pPr>
            <w:r>
              <w:rPr>
                <w:rFonts w:ascii="Times New Roman" w:hAnsi="Times New Roman"/>
                <w:lang w:bidi="ar"/>
              </w:rPr>
              <w:t>课堂不定期点名，考核出勤情况并打分。</w:t>
            </w:r>
          </w:p>
        </w:tc>
        <w:tc>
          <w:tcPr>
            <w:tcW w:w="1429" w:type="dxa"/>
            <w:tcBorders>
              <w:top w:val="single" w:color="auto" w:sz="4" w:space="0"/>
              <w:left w:val="single" w:color="auto" w:sz="4" w:space="0"/>
              <w:right w:val="single" w:color="auto" w:sz="4" w:space="0"/>
            </w:tcBorders>
            <w:vAlign w:val="center"/>
          </w:tcPr>
          <w:p w14:paraId="754591DC">
            <w:pPr>
              <w:pStyle w:val="34"/>
              <w:jc w:val="center"/>
              <w:rPr>
                <w:szCs w:val="21"/>
              </w:rPr>
            </w:pPr>
            <w:r>
              <w:rPr>
                <w:szCs w:val="21"/>
              </w:rPr>
              <w:t>3-2</w:t>
            </w:r>
          </w:p>
          <w:p w14:paraId="08F9A354">
            <w:pPr>
              <w:pStyle w:val="12"/>
              <w:spacing w:line="360" w:lineRule="auto"/>
              <w:jc w:val="center"/>
              <w:rPr>
                <w:rFonts w:ascii="Times New Roman" w:hAnsi="Times New Roman"/>
                <w:sz w:val="21"/>
                <w:szCs w:val="21"/>
              </w:rPr>
            </w:pPr>
          </w:p>
        </w:tc>
      </w:tr>
      <w:tr w14:paraId="7FEE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1117" w:type="dxa"/>
            <w:vMerge w:val="continue"/>
            <w:tcBorders>
              <w:left w:val="single" w:color="auto" w:sz="4" w:space="0"/>
              <w:right w:val="single" w:color="auto" w:sz="4" w:space="0"/>
            </w:tcBorders>
            <w:tcMar>
              <w:left w:w="57" w:type="dxa"/>
              <w:right w:w="57" w:type="dxa"/>
            </w:tcMar>
            <w:vAlign w:val="center"/>
          </w:tcPr>
          <w:p w14:paraId="2D08C57F">
            <w:pPr>
              <w:spacing w:line="360" w:lineRule="auto"/>
              <w:rPr>
                <w:rFonts w:ascii="Times New Roman" w:hAnsi="Times New Roman"/>
                <w:sz w:val="20"/>
                <w:szCs w:val="20"/>
              </w:rPr>
            </w:pPr>
          </w:p>
        </w:tc>
        <w:tc>
          <w:tcPr>
            <w:tcW w:w="1581" w:type="dxa"/>
            <w:tcBorders>
              <w:top w:val="single" w:color="auto" w:sz="4" w:space="0"/>
              <w:left w:val="single" w:color="auto" w:sz="4" w:space="0"/>
              <w:bottom w:val="single" w:color="auto" w:sz="4" w:space="0"/>
              <w:right w:val="single" w:color="auto" w:sz="4" w:space="0"/>
            </w:tcBorders>
            <w:vAlign w:val="center"/>
          </w:tcPr>
          <w:p w14:paraId="448D5A66">
            <w:pPr>
              <w:pStyle w:val="12"/>
              <w:spacing w:line="360" w:lineRule="auto"/>
              <w:jc w:val="center"/>
              <w:rPr>
                <w:rFonts w:ascii="Times New Roman" w:hAnsi="Times New Roman"/>
              </w:rPr>
            </w:pPr>
            <w:r>
              <w:rPr>
                <w:rFonts w:ascii="Times New Roman" w:hAnsi="Times New Roman"/>
                <w:sz w:val="21"/>
                <w:lang w:bidi="ar"/>
              </w:rPr>
              <w:t>师生互动</w:t>
            </w:r>
          </w:p>
        </w:tc>
        <w:tc>
          <w:tcPr>
            <w:tcW w:w="1037" w:type="dxa"/>
            <w:tcBorders>
              <w:top w:val="single" w:color="auto" w:sz="4" w:space="0"/>
              <w:left w:val="single" w:color="auto" w:sz="4" w:space="0"/>
              <w:bottom w:val="single" w:color="auto" w:sz="4" w:space="0"/>
              <w:right w:val="single" w:color="auto" w:sz="4" w:space="0"/>
            </w:tcBorders>
            <w:vAlign w:val="center"/>
          </w:tcPr>
          <w:p w14:paraId="7DD1DCE8">
            <w:pPr>
              <w:spacing w:line="360" w:lineRule="auto"/>
              <w:jc w:val="center"/>
              <w:rPr>
                <w:rFonts w:ascii="Times New Roman" w:hAnsi="Times New Roman"/>
                <w:sz w:val="20"/>
                <w:szCs w:val="20"/>
              </w:rPr>
            </w:pPr>
            <w:r>
              <w:rPr>
                <w:rFonts w:ascii="Times New Roman" w:hAnsi="Times New Roman"/>
              </w:rPr>
              <w:t>10%</w:t>
            </w:r>
          </w:p>
        </w:tc>
        <w:tc>
          <w:tcPr>
            <w:tcW w:w="4030" w:type="dxa"/>
            <w:tcBorders>
              <w:top w:val="single" w:color="auto" w:sz="4" w:space="0"/>
              <w:left w:val="single" w:color="auto" w:sz="4" w:space="0"/>
              <w:bottom w:val="single" w:color="auto" w:sz="4" w:space="0"/>
              <w:right w:val="single" w:color="auto" w:sz="4" w:space="0"/>
            </w:tcBorders>
            <w:vAlign w:val="center"/>
          </w:tcPr>
          <w:p w14:paraId="7714B906">
            <w:pPr>
              <w:jc w:val="left"/>
              <w:rPr>
                <w:rFonts w:ascii="Times New Roman" w:hAnsi="Times New Roman"/>
              </w:rPr>
            </w:pPr>
            <w:r>
              <w:rPr>
                <w:rFonts w:ascii="Times New Roman" w:hAnsi="Times New Roman"/>
              </w:rPr>
              <w:t>课堂不定期通过提问或小练习实施师生互动，考核考核学生课堂学习情况，按照互动情况打分。</w:t>
            </w:r>
          </w:p>
        </w:tc>
        <w:tc>
          <w:tcPr>
            <w:tcW w:w="1429" w:type="dxa"/>
            <w:tcBorders>
              <w:left w:val="single" w:color="auto" w:sz="4" w:space="0"/>
              <w:right w:val="single" w:color="auto" w:sz="4" w:space="0"/>
            </w:tcBorders>
            <w:vAlign w:val="center"/>
          </w:tcPr>
          <w:p w14:paraId="710B080C">
            <w:pPr>
              <w:pStyle w:val="34"/>
              <w:jc w:val="center"/>
              <w:rPr>
                <w:szCs w:val="21"/>
              </w:rPr>
            </w:pPr>
            <w:r>
              <w:rPr>
                <w:szCs w:val="21"/>
              </w:rPr>
              <w:t xml:space="preserve">3-2 </w:t>
            </w:r>
          </w:p>
          <w:p w14:paraId="4F40B1B7">
            <w:pPr>
              <w:spacing w:line="360" w:lineRule="auto"/>
              <w:jc w:val="center"/>
              <w:rPr>
                <w:rFonts w:ascii="Times New Roman" w:hAnsi="Times New Roman"/>
                <w:szCs w:val="21"/>
              </w:rPr>
            </w:pPr>
          </w:p>
        </w:tc>
      </w:tr>
      <w:tr w14:paraId="4B58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117" w:type="dxa"/>
            <w:vMerge w:val="continue"/>
            <w:tcBorders>
              <w:left w:val="single" w:color="auto" w:sz="4" w:space="0"/>
              <w:bottom w:val="single" w:color="auto" w:sz="4" w:space="0"/>
              <w:right w:val="single" w:color="auto" w:sz="4" w:space="0"/>
            </w:tcBorders>
            <w:tcMar>
              <w:left w:w="57" w:type="dxa"/>
              <w:right w:w="57" w:type="dxa"/>
            </w:tcMar>
            <w:vAlign w:val="center"/>
          </w:tcPr>
          <w:p w14:paraId="7DEFC9F5">
            <w:pPr>
              <w:spacing w:line="360" w:lineRule="auto"/>
              <w:rPr>
                <w:rFonts w:ascii="Times New Roman" w:hAnsi="Times New Roman"/>
                <w:sz w:val="20"/>
                <w:szCs w:val="20"/>
              </w:rPr>
            </w:pPr>
          </w:p>
        </w:tc>
        <w:tc>
          <w:tcPr>
            <w:tcW w:w="1581" w:type="dxa"/>
            <w:tcBorders>
              <w:top w:val="single" w:color="auto" w:sz="4" w:space="0"/>
              <w:left w:val="single" w:color="auto" w:sz="4" w:space="0"/>
              <w:bottom w:val="single" w:color="auto" w:sz="4" w:space="0"/>
              <w:right w:val="single" w:color="auto" w:sz="4" w:space="0"/>
            </w:tcBorders>
            <w:vAlign w:val="center"/>
          </w:tcPr>
          <w:p w14:paraId="7323C498">
            <w:pPr>
              <w:pStyle w:val="12"/>
              <w:spacing w:line="360" w:lineRule="auto"/>
              <w:jc w:val="center"/>
              <w:rPr>
                <w:rFonts w:ascii="Times New Roman" w:hAnsi="Times New Roman"/>
                <w:sz w:val="21"/>
                <w:lang w:bidi="ar"/>
              </w:rPr>
            </w:pPr>
            <w:r>
              <w:rPr>
                <w:rFonts w:ascii="Times New Roman" w:hAnsi="Times New Roman"/>
                <w:sz w:val="21"/>
                <w:lang w:bidi="ar"/>
              </w:rPr>
              <w:t>平时作业</w:t>
            </w:r>
          </w:p>
        </w:tc>
        <w:tc>
          <w:tcPr>
            <w:tcW w:w="1037" w:type="dxa"/>
            <w:tcBorders>
              <w:top w:val="single" w:color="auto" w:sz="4" w:space="0"/>
              <w:left w:val="single" w:color="auto" w:sz="4" w:space="0"/>
              <w:bottom w:val="single" w:color="auto" w:sz="4" w:space="0"/>
              <w:right w:val="single" w:color="auto" w:sz="4" w:space="0"/>
            </w:tcBorders>
            <w:vAlign w:val="center"/>
          </w:tcPr>
          <w:p w14:paraId="3E3A0084">
            <w:pPr>
              <w:spacing w:line="360" w:lineRule="auto"/>
              <w:jc w:val="center"/>
              <w:rPr>
                <w:rFonts w:ascii="Times New Roman" w:hAnsi="Times New Roman"/>
                <w:sz w:val="20"/>
                <w:szCs w:val="20"/>
              </w:rPr>
            </w:pPr>
            <w:r>
              <w:rPr>
                <w:rFonts w:ascii="Times New Roman" w:hAnsi="Times New Roman"/>
                <w:sz w:val="20"/>
                <w:szCs w:val="20"/>
              </w:rPr>
              <w:t>30%</w:t>
            </w:r>
          </w:p>
        </w:tc>
        <w:tc>
          <w:tcPr>
            <w:tcW w:w="4030" w:type="dxa"/>
            <w:tcBorders>
              <w:top w:val="single" w:color="auto" w:sz="4" w:space="0"/>
              <w:left w:val="single" w:color="auto" w:sz="4" w:space="0"/>
              <w:bottom w:val="single" w:color="auto" w:sz="4" w:space="0"/>
              <w:right w:val="single" w:color="auto" w:sz="4" w:space="0"/>
            </w:tcBorders>
            <w:vAlign w:val="center"/>
          </w:tcPr>
          <w:p w14:paraId="5232A730">
            <w:pPr>
              <w:jc w:val="left"/>
              <w:rPr>
                <w:rFonts w:ascii="Times New Roman" w:hAnsi="Times New Roman"/>
                <w:lang w:bidi="ar"/>
              </w:rPr>
            </w:pPr>
            <w:r>
              <w:rPr>
                <w:rFonts w:ascii="Times New Roman" w:hAnsi="Times New Roman"/>
                <w:lang w:bidi="ar"/>
              </w:rPr>
              <w:t>定期布置习题，考核学生对所学知识点的复习、理解和掌握度。对作业完成情况做记录并百分制打分，计算作业的平均成绩。</w:t>
            </w:r>
          </w:p>
        </w:tc>
        <w:tc>
          <w:tcPr>
            <w:tcW w:w="1429" w:type="dxa"/>
            <w:tcBorders>
              <w:left w:val="single" w:color="auto" w:sz="4" w:space="0"/>
              <w:bottom w:val="single" w:color="auto" w:sz="4" w:space="0"/>
              <w:right w:val="single" w:color="auto" w:sz="4" w:space="0"/>
            </w:tcBorders>
            <w:vAlign w:val="center"/>
          </w:tcPr>
          <w:p w14:paraId="7C44B11A">
            <w:pPr>
              <w:pStyle w:val="34"/>
              <w:jc w:val="center"/>
              <w:rPr>
                <w:szCs w:val="21"/>
              </w:rPr>
            </w:pPr>
            <w:r>
              <w:rPr>
                <w:szCs w:val="21"/>
              </w:rPr>
              <w:t>3-2</w:t>
            </w:r>
          </w:p>
          <w:p w14:paraId="724B3C63">
            <w:pPr>
              <w:spacing w:line="360" w:lineRule="auto"/>
              <w:jc w:val="center"/>
              <w:rPr>
                <w:rFonts w:ascii="Times New Roman" w:hAnsi="Times New Roman"/>
                <w:szCs w:val="21"/>
              </w:rPr>
            </w:pPr>
          </w:p>
        </w:tc>
      </w:tr>
      <w:tr w14:paraId="2773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117"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EE284F2">
            <w:pPr>
              <w:pStyle w:val="12"/>
              <w:spacing w:line="360" w:lineRule="auto"/>
              <w:jc w:val="center"/>
              <w:rPr>
                <w:rFonts w:ascii="Times New Roman" w:hAnsi="Times New Roman"/>
                <w:color w:val="FF0000"/>
              </w:rPr>
            </w:pPr>
            <w:r>
              <w:rPr>
                <w:rFonts w:ascii="Times New Roman" w:hAnsi="Times New Roman"/>
                <w:sz w:val="21"/>
                <w:lang w:bidi="ar"/>
              </w:rPr>
              <w:t>期末考试成绩</w:t>
            </w:r>
          </w:p>
        </w:tc>
        <w:tc>
          <w:tcPr>
            <w:tcW w:w="1581" w:type="dxa"/>
            <w:tcBorders>
              <w:top w:val="single" w:color="auto" w:sz="4" w:space="0"/>
              <w:left w:val="single" w:color="auto" w:sz="4" w:space="0"/>
              <w:bottom w:val="single" w:color="auto" w:sz="4" w:space="0"/>
              <w:right w:val="single" w:color="auto" w:sz="4" w:space="0"/>
            </w:tcBorders>
            <w:vAlign w:val="center"/>
          </w:tcPr>
          <w:p w14:paraId="7312ECF6">
            <w:pPr>
              <w:pStyle w:val="12"/>
              <w:spacing w:line="360" w:lineRule="auto"/>
              <w:jc w:val="center"/>
              <w:rPr>
                <w:rFonts w:ascii="Times New Roman" w:hAnsi="Times New Roman"/>
              </w:rPr>
            </w:pPr>
            <w:r>
              <w:rPr>
                <w:rFonts w:ascii="Times New Roman" w:hAnsi="Times New Roman"/>
                <w:sz w:val="21"/>
                <w:lang w:bidi="ar"/>
              </w:rPr>
              <w:t>试卷考试</w:t>
            </w:r>
          </w:p>
        </w:tc>
        <w:tc>
          <w:tcPr>
            <w:tcW w:w="1037" w:type="dxa"/>
            <w:tcBorders>
              <w:top w:val="single" w:color="auto" w:sz="4" w:space="0"/>
              <w:left w:val="single" w:color="auto" w:sz="4" w:space="0"/>
              <w:bottom w:val="single" w:color="auto" w:sz="4" w:space="0"/>
              <w:right w:val="single" w:color="auto" w:sz="4" w:space="0"/>
            </w:tcBorders>
            <w:vAlign w:val="center"/>
          </w:tcPr>
          <w:p w14:paraId="38198A49">
            <w:pPr>
              <w:pStyle w:val="12"/>
              <w:spacing w:line="360" w:lineRule="auto"/>
              <w:jc w:val="center"/>
              <w:rPr>
                <w:rFonts w:ascii="Times New Roman" w:hAnsi="Times New Roman"/>
              </w:rPr>
            </w:pPr>
            <w:r>
              <w:rPr>
                <w:rFonts w:ascii="Times New Roman" w:hAnsi="Times New Roman"/>
                <w:sz w:val="21"/>
                <w:lang w:bidi="ar"/>
              </w:rPr>
              <w:t>50 %</w:t>
            </w:r>
          </w:p>
        </w:tc>
        <w:tc>
          <w:tcPr>
            <w:tcW w:w="4030" w:type="dxa"/>
            <w:tcBorders>
              <w:top w:val="single" w:color="auto" w:sz="4" w:space="0"/>
              <w:left w:val="single" w:color="auto" w:sz="4" w:space="0"/>
              <w:bottom w:val="single" w:color="auto" w:sz="4" w:space="0"/>
              <w:right w:val="single" w:color="auto" w:sz="4" w:space="0"/>
            </w:tcBorders>
            <w:vAlign w:val="center"/>
          </w:tcPr>
          <w:p w14:paraId="46DAE22B">
            <w:pPr>
              <w:spacing w:line="360" w:lineRule="auto"/>
              <w:jc w:val="left"/>
              <w:rPr>
                <w:rFonts w:ascii="Times New Roman" w:hAnsi="Times New Roman"/>
              </w:rPr>
            </w:pPr>
            <w:r>
              <w:rPr>
                <w:rFonts w:ascii="Times New Roman" w:hAnsi="Times New Roman"/>
                <w:lang w:bidi="ar"/>
              </w:rPr>
              <w:t>试卷题型包括选择题、计算题、解答题等。</w:t>
            </w:r>
          </w:p>
        </w:tc>
        <w:tc>
          <w:tcPr>
            <w:tcW w:w="1429" w:type="dxa"/>
            <w:tcBorders>
              <w:top w:val="single" w:color="auto" w:sz="4" w:space="0"/>
              <w:left w:val="single" w:color="auto" w:sz="4" w:space="0"/>
              <w:bottom w:val="single" w:color="auto" w:sz="4" w:space="0"/>
              <w:right w:val="single" w:color="auto" w:sz="4" w:space="0"/>
            </w:tcBorders>
            <w:vAlign w:val="center"/>
          </w:tcPr>
          <w:p w14:paraId="562368AE">
            <w:pPr>
              <w:pStyle w:val="12"/>
              <w:spacing w:line="360" w:lineRule="auto"/>
              <w:jc w:val="center"/>
              <w:rPr>
                <w:rFonts w:ascii="Times New Roman" w:hAnsi="Times New Roman"/>
                <w:sz w:val="21"/>
                <w:szCs w:val="21"/>
              </w:rPr>
            </w:pPr>
            <w:r>
              <w:rPr>
                <w:rFonts w:ascii="Times New Roman" w:hAnsi="Times New Roman"/>
                <w:sz w:val="21"/>
                <w:szCs w:val="21"/>
              </w:rPr>
              <w:t xml:space="preserve">3-2 </w:t>
            </w:r>
          </w:p>
        </w:tc>
      </w:tr>
    </w:tbl>
    <w:p w14:paraId="20651DD3">
      <w:pPr>
        <w:spacing w:line="360" w:lineRule="auto"/>
        <w:ind w:firstLine="562" w:firstLineChars="200"/>
        <w:rPr>
          <w:rFonts w:ascii="Times New Roman" w:hAnsi="Times New Roman"/>
          <w:b/>
          <w:sz w:val="28"/>
          <w:szCs w:val="28"/>
        </w:rPr>
      </w:pPr>
      <w:r>
        <w:rPr>
          <w:rFonts w:ascii="Times New Roman" w:hAnsi="Times New Roman"/>
          <w:b/>
          <w:sz w:val="28"/>
          <w:szCs w:val="28"/>
        </w:rPr>
        <w:t>六、有关说明</w:t>
      </w:r>
    </w:p>
    <w:p w14:paraId="6235DF9F">
      <w:pPr>
        <w:spacing w:line="360" w:lineRule="auto"/>
        <w:ind w:firstLine="482" w:firstLineChars="200"/>
        <w:rPr>
          <w:rFonts w:ascii="Times New Roman" w:hAnsi="Times New Roman"/>
          <w:b/>
          <w:color w:val="000000"/>
          <w:sz w:val="24"/>
        </w:rPr>
      </w:pPr>
      <w:r>
        <w:rPr>
          <w:rFonts w:ascii="Times New Roman" w:hAnsi="Times New Roman"/>
          <w:b/>
          <w:color w:val="000000"/>
          <w:sz w:val="24"/>
        </w:rPr>
        <w:t>（一）持续改进</w:t>
      </w:r>
    </w:p>
    <w:p w14:paraId="47D0CAE7">
      <w:pPr>
        <w:spacing w:line="360" w:lineRule="auto"/>
        <w:ind w:firstLine="480" w:firstLineChars="200"/>
        <w:rPr>
          <w:rFonts w:ascii="Times New Roman" w:hAnsi="Times New Roman"/>
          <w:color w:val="000000"/>
          <w:sz w:val="24"/>
        </w:rPr>
      </w:pPr>
      <w:r>
        <w:rPr>
          <w:rFonts w:ascii="Times New Roman" w:hAnsi="Times New Roman"/>
          <w:color w:val="000000"/>
          <w:sz w:val="24"/>
        </w:rPr>
        <w:t>1. 提倡改革教学方法，强调应用现代化教学手段，如课件、互联网视频教学和网络答疑等。</w:t>
      </w:r>
    </w:p>
    <w:p w14:paraId="3004C83A">
      <w:pPr>
        <w:spacing w:line="360" w:lineRule="auto"/>
        <w:ind w:firstLine="480" w:firstLineChars="200"/>
        <w:rPr>
          <w:rFonts w:ascii="Times New Roman" w:hAnsi="Times New Roman"/>
          <w:color w:val="000000"/>
          <w:sz w:val="24"/>
        </w:rPr>
      </w:pPr>
      <w:r>
        <w:rPr>
          <w:rFonts w:ascii="Times New Roman" w:hAnsi="Times New Roman"/>
          <w:color w:val="000000"/>
          <w:sz w:val="24"/>
        </w:rPr>
        <w:t>2.</w:t>
      </w:r>
      <w:r>
        <w:rPr>
          <w:rFonts w:hint="eastAsia" w:ascii="Times New Roman" w:hAnsi="Times New Roman"/>
          <w:color w:val="000000"/>
          <w:sz w:val="24"/>
        </w:rPr>
        <w:t xml:space="preserve"> </w:t>
      </w:r>
      <w:r>
        <w:rPr>
          <w:rFonts w:ascii="Times New Roman" w:hAnsi="Times New Roman"/>
          <w:color w:val="000000"/>
          <w:sz w:val="24"/>
        </w:rPr>
        <w:t>合理安排教学课时，加强课堂提问、课堂小测验等旨在督促学生自主学习的教学环节；引导学生做好课前预习、课后整理笔记并及时完成作业的复习工作；保证学生完成一定数量的作业和习题。</w:t>
      </w:r>
    </w:p>
    <w:p w14:paraId="42821769">
      <w:pPr>
        <w:spacing w:line="360" w:lineRule="auto"/>
        <w:ind w:firstLine="480" w:firstLineChars="200"/>
        <w:rPr>
          <w:rFonts w:ascii="Times New Roman" w:hAnsi="Times New Roman"/>
          <w:color w:val="000000"/>
          <w:sz w:val="24"/>
        </w:rPr>
      </w:pPr>
      <w:r>
        <w:rPr>
          <w:rFonts w:ascii="Times New Roman" w:hAnsi="Times New Roman"/>
          <w:color w:val="000000"/>
          <w:sz w:val="24"/>
        </w:rPr>
        <w:t>3．教学用的例题和习题，应适当结合实际。</w:t>
      </w:r>
    </w:p>
    <w:p w14:paraId="13C8F5C8">
      <w:pPr>
        <w:spacing w:line="360" w:lineRule="auto"/>
        <w:ind w:firstLine="482" w:firstLineChars="200"/>
        <w:rPr>
          <w:rFonts w:ascii="Times New Roman" w:hAnsi="Times New Roman"/>
          <w:b/>
          <w:color w:val="000000"/>
          <w:sz w:val="24"/>
        </w:rPr>
      </w:pPr>
      <w:r>
        <w:rPr>
          <w:rFonts w:ascii="Times New Roman" w:hAnsi="Times New Roman"/>
          <w:b/>
          <w:color w:val="000000"/>
          <w:sz w:val="24"/>
        </w:rPr>
        <w:t>（二）参考书目及学习资料</w:t>
      </w:r>
    </w:p>
    <w:p w14:paraId="1F89BCF2">
      <w:pPr>
        <w:spacing w:line="360" w:lineRule="auto"/>
        <w:ind w:firstLine="480" w:firstLineChars="200"/>
        <w:rPr>
          <w:rFonts w:ascii="Times New Roman" w:hAnsi="Times New Roman"/>
          <w:kern w:val="0"/>
          <w:sz w:val="24"/>
        </w:rPr>
      </w:pPr>
      <w:r>
        <w:rPr>
          <w:rFonts w:ascii="Times New Roman" w:hAnsi="Times New Roman"/>
          <w:sz w:val="24"/>
        </w:rPr>
        <w:t xml:space="preserve">1. </w:t>
      </w:r>
      <w:r>
        <w:rPr>
          <w:rFonts w:ascii="Times New Roman" w:hAnsi="Times New Roman"/>
          <w:kern w:val="0"/>
          <w:sz w:val="24"/>
        </w:rPr>
        <w:t>《</w:t>
      </w:r>
      <w:r>
        <w:rPr>
          <w:rFonts w:ascii="Times New Roman" w:hAnsi="Times New Roman"/>
          <w:sz w:val="24"/>
        </w:rPr>
        <w:t>数学</w:t>
      </w:r>
      <w:r>
        <w:rPr>
          <w:rFonts w:hint="eastAsia" w:ascii="Times New Roman" w:hAnsi="Times New Roman"/>
          <w:sz w:val="24"/>
        </w:rPr>
        <w:t>培优</w:t>
      </w:r>
      <w:r>
        <w:rPr>
          <w:rFonts w:ascii="Times New Roman" w:hAnsi="Times New Roman"/>
          <w:sz w:val="24"/>
        </w:rPr>
        <w:t>竞赛</w:t>
      </w:r>
      <w:r>
        <w:rPr>
          <w:rFonts w:hint="eastAsia" w:ascii="Times New Roman" w:hAnsi="Times New Roman"/>
          <w:sz w:val="24"/>
        </w:rPr>
        <w:t>讲座</w:t>
      </w:r>
      <w:r>
        <w:rPr>
          <w:rFonts w:ascii="Times New Roman" w:hAnsi="Times New Roman"/>
          <w:kern w:val="0"/>
          <w:sz w:val="24"/>
        </w:rPr>
        <w:t>》，</w:t>
      </w:r>
      <w:r>
        <w:rPr>
          <w:rFonts w:hint="eastAsia" w:ascii="Times New Roman" w:hAnsi="Times New Roman"/>
          <w:sz w:val="24"/>
        </w:rPr>
        <w:t>朱华伟编著，清华大学</w:t>
      </w:r>
      <w:r>
        <w:rPr>
          <w:rFonts w:ascii="Times New Roman" w:hAnsi="Times New Roman"/>
          <w:sz w:val="24"/>
        </w:rPr>
        <w:t>出版社</w:t>
      </w:r>
      <w:r>
        <w:rPr>
          <w:rFonts w:ascii="Times New Roman" w:hAnsi="Times New Roman"/>
          <w:kern w:val="0"/>
          <w:sz w:val="24"/>
        </w:rPr>
        <w:t>，2021.8</w:t>
      </w:r>
    </w:p>
    <w:p w14:paraId="022247BD">
      <w:pPr>
        <w:pStyle w:val="8"/>
        <w:spacing w:line="400" w:lineRule="exact"/>
        <w:ind w:firstLine="480" w:firstLineChars="200"/>
        <w:rPr>
          <w:rFonts w:ascii="Times New Roman" w:hAnsi="Times New Roman"/>
          <w:sz w:val="24"/>
          <w:szCs w:val="24"/>
        </w:rPr>
      </w:pPr>
    </w:p>
    <w:p w14:paraId="7826DD7F">
      <w:pPr>
        <w:autoSpaceDE w:val="0"/>
        <w:autoSpaceDN w:val="0"/>
        <w:adjustRightInd w:val="0"/>
        <w:spacing w:line="360" w:lineRule="auto"/>
        <w:ind w:firstLine="480" w:firstLineChars="200"/>
        <w:jc w:val="left"/>
        <w:rPr>
          <w:rFonts w:ascii="Times New Roman" w:hAnsi="Times New Roman"/>
          <w:kern w:val="0"/>
          <w:sz w:val="24"/>
          <w:szCs w:val="21"/>
        </w:rPr>
      </w:pP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w:t>
      </w:r>
      <w:r>
        <w:rPr>
          <w:rFonts w:ascii="Times New Roman" w:hAnsi="Times New Roman"/>
          <w:kern w:val="0"/>
          <w:sz w:val="24"/>
          <w:szCs w:val="21"/>
        </w:rPr>
        <w:t>执笔人：黄  星</w:t>
      </w:r>
    </w:p>
    <w:p w14:paraId="060C480E">
      <w:pPr>
        <w:autoSpaceDE w:val="0"/>
        <w:autoSpaceDN w:val="0"/>
        <w:adjustRightInd w:val="0"/>
        <w:spacing w:line="360" w:lineRule="auto"/>
        <w:ind w:firstLine="6480" w:firstLineChars="2700"/>
        <w:jc w:val="left"/>
        <w:rPr>
          <w:rFonts w:ascii="Times New Roman" w:hAnsi="Times New Roman"/>
          <w:kern w:val="0"/>
          <w:sz w:val="24"/>
          <w:szCs w:val="21"/>
        </w:rPr>
      </w:pPr>
      <w:r>
        <w:rPr>
          <w:rFonts w:hint="eastAsia" w:ascii="Times New Roman" w:hAnsi="Times New Roman"/>
          <w:kern w:val="0"/>
          <w:sz w:val="24"/>
          <w:szCs w:val="21"/>
        </w:rPr>
        <w:t>审定人：</w:t>
      </w:r>
      <w:r>
        <w:rPr>
          <w:rFonts w:hint="eastAsia" w:ascii="Times New Roman" w:hAnsi="Times New Roman"/>
          <w:color w:val="000000"/>
          <w:sz w:val="24"/>
          <w:szCs w:val="21"/>
        </w:rPr>
        <w:t>黄</w:t>
      </w:r>
      <w:r>
        <w:rPr>
          <w:rFonts w:ascii="Times New Roman" w:hAnsi="Times New Roman"/>
          <w:color w:val="000000"/>
          <w:sz w:val="24"/>
          <w:szCs w:val="21"/>
        </w:rPr>
        <w:t xml:space="preserve">  </w:t>
      </w:r>
      <w:r>
        <w:rPr>
          <w:rFonts w:hint="eastAsia" w:ascii="Times New Roman" w:hAnsi="Times New Roman"/>
          <w:color w:val="000000"/>
          <w:sz w:val="24"/>
          <w:szCs w:val="21"/>
        </w:rPr>
        <w:t>星</w:t>
      </w:r>
    </w:p>
    <w:p w14:paraId="2034EF52">
      <w:pPr>
        <w:autoSpaceDE w:val="0"/>
        <w:autoSpaceDN w:val="0"/>
        <w:adjustRightInd w:val="0"/>
        <w:spacing w:line="360" w:lineRule="auto"/>
        <w:ind w:firstLine="6480" w:firstLineChars="2700"/>
        <w:jc w:val="left"/>
        <w:rPr>
          <w:rFonts w:ascii="Times New Roman" w:hAnsi="Times New Roman"/>
          <w:kern w:val="0"/>
          <w:sz w:val="24"/>
          <w:szCs w:val="21"/>
        </w:rPr>
      </w:pPr>
      <w:r>
        <w:rPr>
          <w:rFonts w:hint="eastAsia" w:ascii="Times New Roman" w:hAnsi="Times New Roman"/>
          <w:kern w:val="0"/>
          <w:sz w:val="24"/>
          <w:szCs w:val="21"/>
        </w:rPr>
        <w:t>审批人：万志龙</w:t>
      </w:r>
    </w:p>
    <w:p w14:paraId="29CDD30A">
      <w:pPr>
        <w:autoSpaceDE w:val="0"/>
        <w:autoSpaceDN w:val="0"/>
        <w:adjustRightInd w:val="0"/>
        <w:spacing w:line="360" w:lineRule="auto"/>
        <w:ind w:firstLine="6480" w:firstLineChars="2700"/>
        <w:jc w:val="left"/>
        <w:rPr>
          <w:rFonts w:ascii="Times New Roman" w:hAnsi="Times New Roman"/>
          <w:kern w:val="0"/>
          <w:sz w:val="24"/>
          <w:szCs w:val="21"/>
        </w:rPr>
      </w:pPr>
      <w:r>
        <w:rPr>
          <w:rFonts w:hint="eastAsia" w:ascii="Times New Roman" w:hAnsi="Times New Roman"/>
          <w:kern w:val="0"/>
          <w:sz w:val="24"/>
          <w:szCs w:val="21"/>
        </w:rPr>
        <w:t>批准时间：</w:t>
      </w:r>
      <w:r>
        <w:rPr>
          <w:rFonts w:ascii="Times New Roman" w:hAnsi="Times New Roman"/>
          <w:kern w:val="0"/>
          <w:sz w:val="24"/>
          <w:szCs w:val="21"/>
        </w:rPr>
        <w:t>2024.9</w:t>
      </w:r>
    </w:p>
    <w:p w14:paraId="5825ED97">
      <w:pPr>
        <w:rPr>
          <w:rFonts w:hint="eastAsia" w:ascii="等线" w:hAnsi="等线" w:eastAsia="等线" w:cs="等线"/>
          <w:b/>
          <w:bCs/>
          <w:sz w:val="44"/>
          <w:szCs w:val="44"/>
        </w:rPr>
      </w:pPr>
      <w:r>
        <w:rPr>
          <w:rFonts w:hint="eastAsia" w:ascii="等线" w:hAnsi="等线" w:eastAsia="等线" w:cs="等线"/>
          <w:b/>
          <w:bCs/>
          <w:sz w:val="44"/>
          <w:szCs w:val="44"/>
        </w:rPr>
        <w:br w:type="page"/>
      </w:r>
    </w:p>
    <w:p w14:paraId="42189438">
      <w:pPr>
        <w:pStyle w:val="2"/>
        <w:tabs>
          <w:tab w:val="left" w:pos="720"/>
          <w:tab w:val="left" w:pos="2700"/>
        </w:tabs>
      </w:pPr>
      <w:bookmarkStart w:id="247" w:name="_Toc6082"/>
      <w:bookmarkStart w:id="248" w:name="_Toc29434"/>
      <w:r>
        <w:rPr>
          <w:rFonts w:hint="eastAsia"/>
        </w:rPr>
        <w:t>《综合实践活动设计》课程教学大纲</w:t>
      </w:r>
      <w:bookmarkEnd w:id="247"/>
      <w:bookmarkEnd w:id="248"/>
    </w:p>
    <w:p w14:paraId="43FB046E">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Comprehensive Activity Design</w:t>
      </w:r>
      <w:r>
        <w:rPr>
          <w:rFonts w:ascii="Times New Roman" w:hAnsi="Times New Roman" w:eastAsia="宋体" w:cs="Times New Roman"/>
          <w:b/>
          <w:bCs/>
          <w:sz w:val="28"/>
          <w:szCs w:val="28"/>
        </w:rPr>
        <w:t>）</w:t>
      </w:r>
    </w:p>
    <w:p w14:paraId="0FE5D2DF">
      <w:pPr>
        <w:spacing w:line="360" w:lineRule="auto"/>
        <w:jc w:val="center"/>
        <w:rPr>
          <w:rFonts w:ascii="Times New Roman" w:hAnsi="Times New Roman" w:eastAsia="宋体" w:cs="Times New Roman"/>
          <w:bCs/>
          <w:sz w:val="30"/>
          <w:szCs w:val="30"/>
        </w:rPr>
      </w:pPr>
    </w:p>
    <w:p w14:paraId="7ED75F7E">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课程名称：综合实践活动设计</w:t>
      </w:r>
    </w:p>
    <w:p w14:paraId="2777649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w:t>
      </w:r>
      <w:r>
        <w:rPr>
          <w:rFonts w:hint="eastAsia" w:ascii="Times New Roman" w:hAnsi="Times New Roman" w:eastAsia="宋体" w:cs="Times New Roman"/>
          <w:b/>
          <w:sz w:val="24"/>
        </w:rPr>
        <w:t>24</w:t>
      </w:r>
    </w:p>
    <w:p w14:paraId="2A5B3D4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分：2</w:t>
      </w:r>
    </w:p>
    <w:p w14:paraId="094B157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时：32 （其中：讲授学时16， 实践学时16）</w:t>
      </w:r>
    </w:p>
    <w:p w14:paraId="2082C74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先修课程：教育原理、教育心理学、课程与教学论</w:t>
      </w:r>
    </w:p>
    <w:p w14:paraId="5422C05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适用专业：小学教育（文、理）</w:t>
      </w:r>
    </w:p>
    <w:p w14:paraId="543A68A8">
      <w:pPr>
        <w:spacing w:line="360" w:lineRule="auto"/>
        <w:jc w:val="left"/>
        <w:rPr>
          <w:rFonts w:ascii="Times New Roman" w:hAnsi="Times New Roman" w:eastAsia="宋体" w:cs="Times New Roman"/>
          <w:b/>
          <w:sz w:val="24"/>
        </w:rPr>
      </w:pPr>
    </w:p>
    <w:p w14:paraId="5FCDC9B3">
      <w:pPr>
        <w:spacing w:line="360" w:lineRule="auto"/>
        <w:jc w:val="left"/>
        <w:rPr>
          <w:rFonts w:ascii="Times New Roman" w:hAnsi="Times New Roman" w:eastAsia="宋体" w:cs="Times New Roman"/>
          <w:sz w:val="28"/>
          <w:szCs w:val="28"/>
        </w:rPr>
      </w:pPr>
      <w:r>
        <w:rPr>
          <w:rFonts w:hint="eastAsia" w:ascii="Times New Roman" w:hAnsi="Times New Roman" w:eastAsia="宋体" w:cs="Times New Roman"/>
          <w:b/>
          <w:sz w:val="28"/>
          <w:szCs w:val="28"/>
        </w:rPr>
        <w:t>一、课程简介</w:t>
      </w:r>
    </w:p>
    <w:p w14:paraId="74BFBB9B">
      <w:pPr>
        <w:spacing w:line="360" w:lineRule="auto"/>
        <w:ind w:firstLine="480" w:firstLineChars="200"/>
        <w:jc w:val="left"/>
        <w:rPr>
          <w:rFonts w:hint="eastAsia" w:ascii="宋体" w:hAnsi="宋体" w:eastAsia="宋体" w:cs="Times New Roman"/>
          <w:b/>
          <w:color w:val="000000"/>
          <w:sz w:val="24"/>
        </w:rPr>
      </w:pPr>
      <w:r>
        <w:rPr>
          <w:rFonts w:hint="eastAsia" w:ascii="Times New Roman" w:hAnsi="Times New Roman" w:eastAsia="宋体" w:cs="Times New Roman"/>
          <w:sz w:val="24"/>
        </w:rPr>
        <w:t>本课程是小学教育（文、理）专业的一门专业选修课程。通过本课程的学习，全面认识综合实践活动课程在小学开设的重要意义，了解综合实践活动课程的基本内容，明确综合实践活动的理念、性质、目标和内容范围，掌握小学综合实践活动设计的基本原理和方法，激发从事实践活动的兴趣和意识，具有指导小学生开展综合实践活动的能力。</w:t>
      </w:r>
    </w:p>
    <w:p w14:paraId="7A8D1281">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p>
    <w:p w14:paraId="110BDFF8">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（一）课程具体目标</w:t>
      </w:r>
    </w:p>
    <w:p w14:paraId="0F9BDF60">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1.理解综合实践活动课程产生的理论与社会背景，明确综合实践活动课程在基础教育课程体系中的作用，理解综合实践活动课程的现实意义。理解综合实践活动课程的特征与价值，理解综合实践活动课程的基本理念，明确综合实践活动课程的目标，了解综合实践活动课程的内容。</w:t>
      </w:r>
    </w:p>
    <w:p w14:paraId="69D514C7">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目标2.理解小学综合实践活动设计的基本原则，明确小学综合实践活动设计的基本要求。能够运用所学理论独立设计综合实践活动方案，能够对综合实践活动方案进行全面的评价和优化。</w:t>
      </w:r>
    </w:p>
    <w:p w14:paraId="2E8B0B42">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目标3.明确综合实践活动课程实施的特点，明确综合实践活动指导教师的职责，能具体指导小学生开展综合实践活动，具备开发和利用综合实践活动课程资源的能力.</w:t>
      </w:r>
    </w:p>
    <w:p w14:paraId="273BAB36">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目标4.具有较强的合作与沟通能力，具有在活动中育人的意识和能力，具有一定的研究与反思能力。</w:t>
      </w:r>
    </w:p>
    <w:p w14:paraId="3723EDFD">
      <w:pPr>
        <w:spacing w:before="156" w:beforeLines="50" w:after="156" w:afterLines="50"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5812"/>
        <w:gridCol w:w="1327"/>
      </w:tblGrid>
      <w:tr w14:paraId="7F84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786DE5AA">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w:t>
            </w:r>
          </w:p>
        </w:tc>
        <w:tc>
          <w:tcPr>
            <w:tcW w:w="5812" w:type="dxa"/>
            <w:vAlign w:val="center"/>
          </w:tcPr>
          <w:p w14:paraId="2B109409">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毕业要求指标点</w:t>
            </w:r>
          </w:p>
        </w:tc>
        <w:tc>
          <w:tcPr>
            <w:tcW w:w="1327" w:type="dxa"/>
            <w:vAlign w:val="center"/>
          </w:tcPr>
          <w:p w14:paraId="360BD8B0">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r>
      <w:tr w14:paraId="2DBA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20E14E40">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4. 教学能力</w:t>
            </w:r>
          </w:p>
        </w:tc>
        <w:tc>
          <w:tcPr>
            <w:tcW w:w="5812" w:type="dxa"/>
            <w:vAlign w:val="center"/>
          </w:tcPr>
          <w:p w14:paraId="7E83BCE5">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指标点</w:t>
            </w:r>
            <w:r>
              <w:rPr>
                <w:rFonts w:ascii="Times New Roman" w:hAnsi="Times New Roman" w:eastAsia="宋体" w:cs="Times New Roman"/>
                <w:sz w:val="24"/>
              </w:rPr>
              <w:t>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1EF2A09E">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1</w:t>
            </w:r>
          </w:p>
          <w:p w14:paraId="5D0897F3">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课程目标2</w:t>
            </w:r>
          </w:p>
        </w:tc>
      </w:tr>
      <w:tr w14:paraId="5028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5C7E8312">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6. 综合育人</w:t>
            </w:r>
          </w:p>
        </w:tc>
        <w:tc>
          <w:tcPr>
            <w:tcW w:w="5812" w:type="dxa"/>
            <w:vAlign w:val="center"/>
          </w:tcPr>
          <w:p w14:paraId="7C773E6D">
            <w:pPr>
              <w:spacing w:line="276" w:lineRule="auto"/>
              <w:jc w:val="left"/>
              <w:rPr>
                <w:rFonts w:ascii="Times New Roman" w:hAnsi="Times New Roman" w:eastAsia="宋体" w:cs="Times New Roman"/>
                <w:sz w:val="24"/>
              </w:rPr>
            </w:pPr>
            <w:r>
              <w:rPr>
                <w:rFonts w:hint="eastAsia" w:ascii="宋体" w:hAnsi="宋体" w:cs="宋体"/>
                <w:kern w:val="0"/>
                <w:sz w:val="24"/>
              </w:rPr>
              <w:t>指标点</w:t>
            </w:r>
            <w:r>
              <w:rPr>
                <w:rFonts w:hint="eastAsia" w:ascii="宋体" w:hAnsi="宋体" w:cs="宋体"/>
                <w:sz w:val="24"/>
              </w:rPr>
              <w:t>6-3：</w:t>
            </w:r>
            <w:r>
              <w:rPr>
                <w:rFonts w:hint="eastAsia" w:ascii="Times New Roman" w:hAnsi="Times New Roman" w:eastAsia="宋体" w:cs="Times New Roman"/>
                <w:sz w:val="24"/>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327" w:type="dxa"/>
            <w:vAlign w:val="center"/>
          </w:tcPr>
          <w:p w14:paraId="05A2C33A">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3</w:t>
            </w:r>
          </w:p>
        </w:tc>
      </w:tr>
    </w:tbl>
    <w:p w14:paraId="33B7AD91">
      <w:pPr>
        <w:spacing w:before="156" w:beforeLines="50"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（三）课程思政目标</w:t>
      </w:r>
    </w:p>
    <w:p w14:paraId="288A55FD">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养成严谨治学的态度，掌握科学、严谨的学习方法，注重创新精神和实践能力的提升，树立以学生为主体的设计理念和全面的评价理念，</w:t>
      </w:r>
      <w:r>
        <w:rPr>
          <w:rFonts w:ascii="宋体" w:hAnsi="宋体" w:eastAsia="宋体" w:cs="Times New Roman"/>
          <w:color w:val="000000"/>
          <w:sz w:val="24"/>
        </w:rPr>
        <w:t>增强专业自信心</w:t>
      </w:r>
      <w:r>
        <w:rPr>
          <w:rFonts w:hint="eastAsia" w:ascii="宋体" w:hAnsi="宋体" w:eastAsia="宋体" w:cs="Times New Roman"/>
          <w:color w:val="000000"/>
          <w:sz w:val="24"/>
        </w:rPr>
        <w:t>，</w:t>
      </w:r>
      <w:r>
        <w:rPr>
          <w:rFonts w:ascii="宋体" w:hAnsi="宋体" w:eastAsia="宋体" w:cs="Times New Roman"/>
          <w:color w:val="000000"/>
          <w:sz w:val="24"/>
        </w:rPr>
        <w:t>增强团队合作意识与沟通表达能力。</w:t>
      </w:r>
    </w:p>
    <w:p w14:paraId="5E119B3B">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698"/>
        <w:gridCol w:w="1132"/>
        <w:gridCol w:w="3251"/>
        <w:gridCol w:w="1556"/>
        <w:gridCol w:w="458"/>
      </w:tblGrid>
      <w:tr w14:paraId="30C3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Align w:val="center"/>
          </w:tcPr>
          <w:p w14:paraId="647D1BD8">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w:t>
            </w:r>
          </w:p>
          <w:p w14:paraId="2EA21F83">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单元</w:t>
            </w:r>
          </w:p>
        </w:tc>
        <w:tc>
          <w:tcPr>
            <w:tcW w:w="1701" w:type="dxa"/>
            <w:vAlign w:val="center"/>
          </w:tcPr>
          <w:p w14:paraId="1C9FA99A">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知识点</w:t>
            </w:r>
          </w:p>
        </w:tc>
        <w:tc>
          <w:tcPr>
            <w:tcW w:w="1134" w:type="dxa"/>
            <w:vAlign w:val="center"/>
          </w:tcPr>
          <w:p w14:paraId="343A3796">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对应</w:t>
            </w:r>
          </w:p>
          <w:p w14:paraId="387349A3">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课程目标</w:t>
            </w:r>
          </w:p>
        </w:tc>
        <w:tc>
          <w:tcPr>
            <w:tcW w:w="3260" w:type="dxa"/>
            <w:vAlign w:val="center"/>
          </w:tcPr>
          <w:p w14:paraId="39DCCB61">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预期学习成效</w:t>
            </w:r>
          </w:p>
        </w:tc>
        <w:tc>
          <w:tcPr>
            <w:tcW w:w="1560" w:type="dxa"/>
            <w:vAlign w:val="center"/>
          </w:tcPr>
          <w:p w14:paraId="667327EB">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实现环节</w:t>
            </w:r>
          </w:p>
        </w:tc>
        <w:tc>
          <w:tcPr>
            <w:tcW w:w="438" w:type="dxa"/>
            <w:vAlign w:val="center"/>
          </w:tcPr>
          <w:p w14:paraId="6ACF60D9">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学时</w:t>
            </w:r>
          </w:p>
        </w:tc>
      </w:tr>
      <w:tr w14:paraId="55FE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50C8F5E1">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综合实践活动课程概述</w:t>
            </w:r>
          </w:p>
        </w:tc>
        <w:tc>
          <w:tcPr>
            <w:tcW w:w="1701" w:type="dxa"/>
            <w:vAlign w:val="center"/>
          </w:tcPr>
          <w:p w14:paraId="488DABA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（1）综合实践活动课程产生的基础</w:t>
            </w:r>
          </w:p>
          <w:p w14:paraId="7DFFFE1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（2）综合实践活动课程的产生</w:t>
            </w:r>
          </w:p>
          <w:p w14:paraId="60C4787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（3）国外和我国台湾地区的综合实践活动课程</w:t>
            </w:r>
          </w:p>
        </w:tc>
        <w:tc>
          <w:tcPr>
            <w:tcW w:w="1134" w:type="dxa"/>
            <w:vAlign w:val="center"/>
          </w:tcPr>
          <w:p w14:paraId="6C4DAC6A">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w:t>
            </w:r>
          </w:p>
        </w:tc>
        <w:tc>
          <w:tcPr>
            <w:tcW w:w="3260" w:type="dxa"/>
            <w:vAlign w:val="center"/>
          </w:tcPr>
          <w:p w14:paraId="7ADC5A2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（1）理解综合实践活动课程产生的理论和社会背景</w:t>
            </w:r>
          </w:p>
          <w:p w14:paraId="727AE5D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（2）初步熟悉综合实践活动课程的产生过程</w:t>
            </w:r>
          </w:p>
          <w:p w14:paraId="6FCFCC4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（3）了解国内外综合实践活动课程概况</w:t>
            </w:r>
          </w:p>
        </w:tc>
        <w:tc>
          <w:tcPr>
            <w:tcW w:w="1560" w:type="dxa"/>
            <w:vAlign w:val="center"/>
          </w:tcPr>
          <w:p w14:paraId="11DBDC84">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3AA77404">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451AA2E8">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.自主学习</w:t>
            </w:r>
          </w:p>
        </w:tc>
        <w:tc>
          <w:tcPr>
            <w:tcW w:w="438" w:type="dxa"/>
            <w:vAlign w:val="center"/>
          </w:tcPr>
          <w:p w14:paraId="29E875E0">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1</w:t>
            </w:r>
          </w:p>
        </w:tc>
      </w:tr>
      <w:tr w14:paraId="13F9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2BEA577F">
            <w:pPr>
              <w:spacing w:line="264" w:lineRule="auto"/>
              <w:jc w:val="center"/>
              <w:rPr>
                <w:rFonts w:hint="eastAsia" w:ascii="宋体" w:hAnsi="宋体" w:eastAsia="宋体" w:cs="Times New Roman"/>
                <w:color w:val="000000"/>
                <w:sz w:val="24"/>
              </w:rPr>
            </w:pPr>
          </w:p>
        </w:tc>
        <w:tc>
          <w:tcPr>
            <w:tcW w:w="8093" w:type="dxa"/>
            <w:gridSpan w:val="5"/>
            <w:vAlign w:val="center"/>
          </w:tcPr>
          <w:p w14:paraId="582B661F">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养成严谨治学的态度，掌握科学、严谨的学习方法，注重创新精神和实践能力的提升，增强专业自信心；增强团队合作意识与沟通表达能力。</w:t>
            </w:r>
          </w:p>
        </w:tc>
      </w:tr>
      <w:tr w14:paraId="6A32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69E01682">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综合实践活动课程的特性、价值及理念</w:t>
            </w:r>
          </w:p>
        </w:tc>
        <w:tc>
          <w:tcPr>
            <w:tcW w:w="1701" w:type="dxa"/>
            <w:vAlign w:val="center"/>
          </w:tcPr>
          <w:p w14:paraId="54CC6EA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（1）综合实践活动课程的特性及价值</w:t>
            </w:r>
          </w:p>
          <w:p w14:paraId="41BD5542">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（2）综合实践活动课程的基本理念</w:t>
            </w:r>
          </w:p>
        </w:tc>
        <w:tc>
          <w:tcPr>
            <w:tcW w:w="1134" w:type="dxa"/>
            <w:vAlign w:val="center"/>
          </w:tcPr>
          <w:p w14:paraId="177C89FD">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w:t>
            </w:r>
          </w:p>
        </w:tc>
        <w:tc>
          <w:tcPr>
            <w:tcW w:w="3260" w:type="dxa"/>
            <w:vAlign w:val="center"/>
          </w:tcPr>
          <w:p w14:paraId="1FC66D8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（1）理解综合实践活动课程的特性和价值</w:t>
            </w:r>
          </w:p>
          <w:p w14:paraId="1A658E5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（2）掌握综合实践活动课程的理念</w:t>
            </w:r>
          </w:p>
        </w:tc>
        <w:tc>
          <w:tcPr>
            <w:tcW w:w="1560" w:type="dxa"/>
            <w:vAlign w:val="center"/>
          </w:tcPr>
          <w:p w14:paraId="45138550">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18EE2DC0">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045DD082">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3.课内实践</w:t>
            </w:r>
          </w:p>
          <w:p w14:paraId="1E14AFB8">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4.自主学习</w:t>
            </w:r>
          </w:p>
        </w:tc>
        <w:tc>
          <w:tcPr>
            <w:tcW w:w="438" w:type="dxa"/>
            <w:vAlign w:val="center"/>
          </w:tcPr>
          <w:p w14:paraId="1AA5EAEE">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5</w:t>
            </w:r>
          </w:p>
        </w:tc>
      </w:tr>
      <w:tr w14:paraId="3510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2C4EEC90">
            <w:pPr>
              <w:spacing w:line="264" w:lineRule="auto"/>
              <w:jc w:val="center"/>
              <w:rPr>
                <w:rFonts w:hint="eastAsia" w:ascii="宋体" w:hAnsi="宋体" w:eastAsia="宋体" w:cs="Times New Roman"/>
                <w:color w:val="000000"/>
                <w:sz w:val="24"/>
              </w:rPr>
            </w:pPr>
          </w:p>
        </w:tc>
        <w:tc>
          <w:tcPr>
            <w:tcW w:w="8093" w:type="dxa"/>
            <w:gridSpan w:val="5"/>
            <w:vAlign w:val="center"/>
          </w:tcPr>
          <w:p w14:paraId="6AD629D9">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养成严谨治学的态度，掌握科学、严谨的学习方法，注重创新精神和实践能力的提升，增强专业自信心；增强团队合作意识与沟通表达能力。</w:t>
            </w:r>
          </w:p>
        </w:tc>
      </w:tr>
      <w:tr w14:paraId="1274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5219C915">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小学综合实践活动课程的目标与内容</w:t>
            </w:r>
          </w:p>
        </w:tc>
        <w:tc>
          <w:tcPr>
            <w:tcW w:w="1701" w:type="dxa"/>
            <w:vAlign w:val="center"/>
          </w:tcPr>
          <w:p w14:paraId="4244054B">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（1）课程目标及其分类</w:t>
            </w:r>
          </w:p>
          <w:p w14:paraId="468BDFD8">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（2）小学综合实践活动课程的目标及具体化</w:t>
            </w:r>
          </w:p>
          <w:p w14:paraId="7F1733E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（3）小学综合实践活动课程的内容</w:t>
            </w:r>
          </w:p>
        </w:tc>
        <w:tc>
          <w:tcPr>
            <w:tcW w:w="1134" w:type="dxa"/>
            <w:vAlign w:val="center"/>
          </w:tcPr>
          <w:p w14:paraId="382E842D">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w:t>
            </w:r>
          </w:p>
        </w:tc>
        <w:tc>
          <w:tcPr>
            <w:tcW w:w="3260" w:type="dxa"/>
            <w:vAlign w:val="center"/>
          </w:tcPr>
          <w:p w14:paraId="6B917DC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（1）熟悉综合实践活动课程的总体目标与学段目标的具体要求</w:t>
            </w:r>
          </w:p>
          <w:p w14:paraId="4793F7F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（2）初步具备设计小学综合实践活动课程具体目标的意识和能力</w:t>
            </w:r>
          </w:p>
          <w:p w14:paraId="129BA3B5">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（3）熟悉小学综合实践活动课程各领域的基本内容及其开发</w:t>
            </w:r>
          </w:p>
        </w:tc>
        <w:tc>
          <w:tcPr>
            <w:tcW w:w="1560" w:type="dxa"/>
            <w:vAlign w:val="center"/>
          </w:tcPr>
          <w:p w14:paraId="77E41158">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037A5ED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08946FE4">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.自主学习</w:t>
            </w:r>
          </w:p>
        </w:tc>
        <w:tc>
          <w:tcPr>
            <w:tcW w:w="438" w:type="dxa"/>
            <w:vAlign w:val="center"/>
          </w:tcPr>
          <w:p w14:paraId="419529E3">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p>
        </w:tc>
      </w:tr>
      <w:tr w14:paraId="4284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2355E5F1">
            <w:pPr>
              <w:spacing w:line="264" w:lineRule="auto"/>
              <w:jc w:val="center"/>
              <w:rPr>
                <w:rFonts w:hint="eastAsia" w:ascii="宋体" w:hAnsi="宋体" w:eastAsia="宋体" w:cs="Times New Roman"/>
                <w:color w:val="000000"/>
                <w:sz w:val="24"/>
              </w:rPr>
            </w:pPr>
          </w:p>
        </w:tc>
        <w:tc>
          <w:tcPr>
            <w:tcW w:w="8093" w:type="dxa"/>
            <w:gridSpan w:val="5"/>
            <w:vAlign w:val="center"/>
          </w:tcPr>
          <w:p w14:paraId="31631E0D">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养成严谨治学的态度，掌握科学、严谨的学习方法，注重创新精神和实践能力的提升，增强专业自信心；增强团队合作意识与沟通表达能力。</w:t>
            </w:r>
          </w:p>
        </w:tc>
      </w:tr>
      <w:tr w14:paraId="59F7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7628027A">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小学综合实践活动设计的原则</w:t>
            </w:r>
          </w:p>
        </w:tc>
        <w:tc>
          <w:tcPr>
            <w:tcW w:w="1701" w:type="dxa"/>
            <w:vAlign w:val="center"/>
          </w:tcPr>
          <w:p w14:paraId="77F3E992">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（1）影响小学综合实践活动设计的主要因素</w:t>
            </w:r>
          </w:p>
          <w:p w14:paraId="63546B91">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（2）小学综合实践活动设计的基本要求</w:t>
            </w:r>
          </w:p>
          <w:p w14:paraId="38AF7850">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（3）小学综合实践活动设计的一般原则</w:t>
            </w:r>
          </w:p>
        </w:tc>
        <w:tc>
          <w:tcPr>
            <w:tcW w:w="1134" w:type="dxa"/>
            <w:vAlign w:val="center"/>
          </w:tcPr>
          <w:p w14:paraId="3EA75859">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课程目标2、4</w:t>
            </w:r>
          </w:p>
        </w:tc>
        <w:tc>
          <w:tcPr>
            <w:tcW w:w="3260" w:type="dxa"/>
            <w:vAlign w:val="center"/>
          </w:tcPr>
          <w:p w14:paraId="34F52C85">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（1）了解并能结合实例分析影响小学综合实践活动设计的主要因素</w:t>
            </w:r>
          </w:p>
          <w:p w14:paraId="3CB9AA28">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（2）初步掌握小学综合实践活动设计的基本要求及一般原则</w:t>
            </w:r>
          </w:p>
        </w:tc>
        <w:tc>
          <w:tcPr>
            <w:tcW w:w="1560" w:type="dxa"/>
            <w:vAlign w:val="center"/>
          </w:tcPr>
          <w:p w14:paraId="39C19114">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51E79038">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3B949A0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4EE59E50">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p>
        </w:tc>
      </w:tr>
      <w:tr w14:paraId="605D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7CFF3A8D">
            <w:pPr>
              <w:spacing w:line="276" w:lineRule="auto"/>
              <w:jc w:val="center"/>
              <w:rPr>
                <w:rFonts w:hint="eastAsia" w:ascii="宋体" w:hAnsi="宋体" w:eastAsia="宋体" w:cs="Times New Roman"/>
                <w:color w:val="000000"/>
                <w:sz w:val="24"/>
              </w:rPr>
            </w:pPr>
          </w:p>
        </w:tc>
        <w:tc>
          <w:tcPr>
            <w:tcW w:w="8093" w:type="dxa"/>
            <w:gridSpan w:val="5"/>
            <w:vAlign w:val="center"/>
          </w:tcPr>
          <w:p w14:paraId="6676385E">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养成严谨治学的态度，掌握科学、严谨的学习方法，强化学习意识，注重创新精神和实践能力的提升，树立以学生为主体的设计理念，增强团队合作意识与沟通表达能力。</w:t>
            </w:r>
          </w:p>
        </w:tc>
      </w:tr>
      <w:tr w14:paraId="0FAD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7A17931B">
            <w:pPr>
              <w:spacing w:line="276" w:lineRule="auto"/>
              <w:jc w:val="center"/>
              <w:rPr>
                <w:rFonts w:hint="eastAsia" w:ascii="宋体" w:hAnsi="宋体" w:eastAsia="宋体" w:cs="Times New Roman"/>
                <w:color w:val="000000"/>
                <w:sz w:val="24"/>
              </w:rPr>
            </w:pPr>
            <w:bookmarkStart w:id="249" w:name="_Hlk183762484"/>
            <w:r>
              <w:rPr>
                <w:rFonts w:hint="eastAsia" w:ascii="宋体" w:hAnsi="宋体" w:eastAsia="宋体" w:cs="Times New Roman"/>
                <w:color w:val="000000"/>
                <w:sz w:val="24"/>
              </w:rPr>
              <w:t>5</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小学综合实践活动设计的过程</w:t>
            </w:r>
          </w:p>
        </w:tc>
        <w:tc>
          <w:tcPr>
            <w:tcW w:w="1701" w:type="dxa"/>
            <w:vAlign w:val="center"/>
          </w:tcPr>
          <w:p w14:paraId="75737C00">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（1）小学综合实践活动设计的一般过程</w:t>
            </w:r>
          </w:p>
          <w:p w14:paraId="6A68FC51">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（2）小学综合实践活动方案的生成</w:t>
            </w:r>
          </w:p>
          <w:p w14:paraId="58A4940E">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（3）小学综合实践活动方案的撰写及呈现形式</w:t>
            </w:r>
          </w:p>
        </w:tc>
        <w:tc>
          <w:tcPr>
            <w:tcW w:w="1134" w:type="dxa"/>
            <w:vAlign w:val="center"/>
          </w:tcPr>
          <w:p w14:paraId="3CD0B4C1">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课程目标2、4</w:t>
            </w:r>
          </w:p>
        </w:tc>
        <w:tc>
          <w:tcPr>
            <w:tcW w:w="3260" w:type="dxa"/>
            <w:vAlign w:val="center"/>
          </w:tcPr>
          <w:p w14:paraId="2DB31785">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（1）理解小学综合实践活动设计的一般过程</w:t>
            </w:r>
          </w:p>
          <w:p w14:paraId="4A9A2720">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（2）掌握小学综合实践活动设计方案的设计方法</w:t>
            </w:r>
          </w:p>
          <w:p w14:paraId="16DBE05A">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（3）会独立撰写小学综合实践活动设计方案，并能用恰当的方式呈现</w:t>
            </w:r>
          </w:p>
        </w:tc>
        <w:tc>
          <w:tcPr>
            <w:tcW w:w="1560" w:type="dxa"/>
            <w:vAlign w:val="center"/>
          </w:tcPr>
          <w:p w14:paraId="0C3A9B7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3F6BC62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249CB0E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3.方案设计</w:t>
            </w:r>
          </w:p>
          <w:p w14:paraId="2A3BBB14">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4.自主学习</w:t>
            </w:r>
          </w:p>
        </w:tc>
        <w:tc>
          <w:tcPr>
            <w:tcW w:w="438" w:type="dxa"/>
            <w:vAlign w:val="center"/>
          </w:tcPr>
          <w:p w14:paraId="5084BF56">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p>
        </w:tc>
      </w:tr>
      <w:tr w14:paraId="5A9C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02C833DF">
            <w:pPr>
              <w:spacing w:line="276" w:lineRule="auto"/>
              <w:jc w:val="center"/>
              <w:rPr>
                <w:rFonts w:hint="eastAsia" w:ascii="宋体" w:hAnsi="宋体" w:eastAsia="宋体" w:cs="Times New Roman"/>
                <w:color w:val="000000"/>
                <w:sz w:val="24"/>
              </w:rPr>
            </w:pPr>
          </w:p>
        </w:tc>
        <w:tc>
          <w:tcPr>
            <w:tcW w:w="8093" w:type="dxa"/>
            <w:gridSpan w:val="5"/>
            <w:vAlign w:val="center"/>
          </w:tcPr>
          <w:p w14:paraId="557A9467">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养成严谨治学的态度，掌握科学、严谨的学习方法，强化学习意识，注重创新精神和实践能力的提升，树立以学生为主体的设计理念，增强团队合作意识与沟通表达能力。</w:t>
            </w:r>
          </w:p>
        </w:tc>
      </w:tr>
      <w:tr w14:paraId="337D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31DA8CF4">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6</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小学综合实践活动设计的方法</w:t>
            </w:r>
          </w:p>
        </w:tc>
        <w:tc>
          <w:tcPr>
            <w:tcW w:w="1701" w:type="dxa"/>
            <w:vAlign w:val="center"/>
          </w:tcPr>
          <w:p w14:paraId="285E291C">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（1）小学综合实践活动总体规划及其方法</w:t>
            </w:r>
          </w:p>
          <w:p w14:paraId="3F5BE10D">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（2）小学综合实践活动系列主题活动的设计</w:t>
            </w:r>
          </w:p>
          <w:p w14:paraId="42D58D4F">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（3）小学综合实践活动单一主题活动的设计</w:t>
            </w:r>
          </w:p>
        </w:tc>
        <w:tc>
          <w:tcPr>
            <w:tcW w:w="1134" w:type="dxa"/>
            <w:vAlign w:val="center"/>
          </w:tcPr>
          <w:p w14:paraId="159AE485">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课程目标2、4</w:t>
            </w:r>
          </w:p>
        </w:tc>
        <w:tc>
          <w:tcPr>
            <w:tcW w:w="3260" w:type="dxa"/>
            <w:vAlign w:val="center"/>
          </w:tcPr>
          <w:p w14:paraId="723D8D77">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（1）理解综合实践活动总体规划的含义、内容及方法</w:t>
            </w:r>
          </w:p>
          <w:p w14:paraId="3E69158D">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（2）学会系列主题活动和单一主题活动方案的设计</w:t>
            </w:r>
          </w:p>
          <w:p w14:paraId="606C9DDC">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（3）理解综合实践主题活动设计的整合思路和方法</w:t>
            </w:r>
          </w:p>
        </w:tc>
        <w:tc>
          <w:tcPr>
            <w:tcW w:w="1560" w:type="dxa"/>
            <w:vAlign w:val="center"/>
          </w:tcPr>
          <w:p w14:paraId="41F0E06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50DCD2D0">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42904CC7">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3.方案设计</w:t>
            </w:r>
          </w:p>
          <w:p w14:paraId="34DE589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4.自主学习</w:t>
            </w:r>
          </w:p>
        </w:tc>
        <w:tc>
          <w:tcPr>
            <w:tcW w:w="438" w:type="dxa"/>
            <w:vAlign w:val="center"/>
          </w:tcPr>
          <w:p w14:paraId="50FA7592">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p>
        </w:tc>
      </w:tr>
      <w:bookmarkEnd w:id="249"/>
      <w:tr w14:paraId="6D1B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687A20DF">
            <w:pPr>
              <w:spacing w:line="276" w:lineRule="auto"/>
              <w:jc w:val="center"/>
              <w:rPr>
                <w:rFonts w:hint="eastAsia" w:ascii="宋体" w:hAnsi="宋体" w:eastAsia="宋体" w:cs="Times New Roman"/>
                <w:color w:val="000000"/>
                <w:sz w:val="24"/>
              </w:rPr>
            </w:pPr>
          </w:p>
        </w:tc>
        <w:tc>
          <w:tcPr>
            <w:tcW w:w="8093" w:type="dxa"/>
            <w:gridSpan w:val="5"/>
            <w:vAlign w:val="center"/>
          </w:tcPr>
          <w:p w14:paraId="304BF5A3">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养成严谨治学的态度，掌握科学、严谨的学习方法，强化学习意识，注重创新精神和实践能力的提升，树立以学生为主体的设计理念，增强团队合作意识与沟通表达能力。</w:t>
            </w:r>
          </w:p>
        </w:tc>
      </w:tr>
      <w:tr w14:paraId="4B40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47A2D58C">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7</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小学综合实践活动方案的优化</w:t>
            </w:r>
          </w:p>
        </w:tc>
        <w:tc>
          <w:tcPr>
            <w:tcW w:w="1701" w:type="dxa"/>
            <w:vAlign w:val="center"/>
          </w:tcPr>
          <w:p w14:paraId="4CE7315A">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（1）小学综合实践活动方案的评价</w:t>
            </w:r>
          </w:p>
          <w:p w14:paraId="5C5D2D33">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（2）小学综合实践活动方案的优化</w:t>
            </w:r>
          </w:p>
        </w:tc>
        <w:tc>
          <w:tcPr>
            <w:tcW w:w="1134" w:type="dxa"/>
            <w:vAlign w:val="center"/>
          </w:tcPr>
          <w:p w14:paraId="7D9BDFC1">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课程目标2、4</w:t>
            </w:r>
          </w:p>
        </w:tc>
        <w:tc>
          <w:tcPr>
            <w:tcW w:w="3260" w:type="dxa"/>
            <w:vAlign w:val="center"/>
          </w:tcPr>
          <w:p w14:paraId="5FE3F456">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（1）理解综合实践活动方案评价的依据、内容及方法</w:t>
            </w:r>
          </w:p>
          <w:p w14:paraId="47215F95">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（2）能对综合实践活动方案进行优化处理</w:t>
            </w:r>
          </w:p>
        </w:tc>
        <w:tc>
          <w:tcPr>
            <w:tcW w:w="1560" w:type="dxa"/>
            <w:vAlign w:val="center"/>
          </w:tcPr>
          <w:p w14:paraId="665CB6E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0DE1018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0C0544F5">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.方案设计</w:t>
            </w:r>
          </w:p>
          <w:p w14:paraId="4133307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63D70751">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p>
        </w:tc>
      </w:tr>
      <w:tr w14:paraId="168A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06E91CAC">
            <w:pPr>
              <w:spacing w:line="276" w:lineRule="auto"/>
              <w:jc w:val="center"/>
              <w:rPr>
                <w:rFonts w:hint="eastAsia" w:ascii="宋体" w:hAnsi="宋体" w:eastAsia="宋体" w:cs="Times New Roman"/>
                <w:color w:val="000000"/>
                <w:sz w:val="24"/>
              </w:rPr>
            </w:pPr>
          </w:p>
        </w:tc>
        <w:tc>
          <w:tcPr>
            <w:tcW w:w="8093" w:type="dxa"/>
            <w:gridSpan w:val="5"/>
            <w:vAlign w:val="center"/>
          </w:tcPr>
          <w:p w14:paraId="37FD96AD">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养成严谨治学的态度，掌握科学、严谨的学习方法，树立全面的评价理念，增强专业自信心；增强团队合作意识与沟通表达能力。</w:t>
            </w:r>
          </w:p>
        </w:tc>
      </w:tr>
      <w:tr w14:paraId="2FFD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4FF01754">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8</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小学综合实践活动课程的实施</w:t>
            </w:r>
          </w:p>
        </w:tc>
        <w:tc>
          <w:tcPr>
            <w:tcW w:w="1701" w:type="dxa"/>
            <w:vAlign w:val="center"/>
          </w:tcPr>
          <w:p w14:paraId="48BBC00A">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（1）综合实践活动课程实施的特点</w:t>
            </w:r>
          </w:p>
          <w:p w14:paraId="65C32742">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（2）小学综合实践活动课程实施的主体、任务及过程</w:t>
            </w:r>
          </w:p>
          <w:p w14:paraId="0AC5F0D6">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（3）小学综合实践活动课程实施中的问题</w:t>
            </w:r>
          </w:p>
        </w:tc>
        <w:tc>
          <w:tcPr>
            <w:tcW w:w="1134" w:type="dxa"/>
            <w:vAlign w:val="center"/>
          </w:tcPr>
          <w:p w14:paraId="66B4FDC2">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课程目标3、4</w:t>
            </w:r>
          </w:p>
        </w:tc>
        <w:tc>
          <w:tcPr>
            <w:tcW w:w="3260" w:type="dxa"/>
            <w:vAlign w:val="center"/>
          </w:tcPr>
          <w:p w14:paraId="4877E846">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（1）了解小学综合实践活动课程实施的特点、主体、任务与过程</w:t>
            </w:r>
          </w:p>
          <w:p w14:paraId="3B169561">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（2）正确对待小学综合实践活动课程中的问题</w:t>
            </w:r>
          </w:p>
          <w:p w14:paraId="6C6D7CCF">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（3）具备初步实施综合实践活动课程的能力</w:t>
            </w:r>
          </w:p>
        </w:tc>
        <w:tc>
          <w:tcPr>
            <w:tcW w:w="1560" w:type="dxa"/>
            <w:vAlign w:val="center"/>
          </w:tcPr>
          <w:p w14:paraId="3F59F17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7891E54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1014EC32">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.课内实践</w:t>
            </w:r>
          </w:p>
          <w:p w14:paraId="0DB5FE2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19E2E1CD">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14</w:t>
            </w:r>
          </w:p>
        </w:tc>
      </w:tr>
      <w:tr w14:paraId="0AA6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2023EC6A">
            <w:pPr>
              <w:spacing w:line="276" w:lineRule="auto"/>
              <w:jc w:val="center"/>
              <w:rPr>
                <w:rFonts w:hint="eastAsia" w:ascii="宋体" w:hAnsi="宋体" w:eastAsia="宋体" w:cs="Times New Roman"/>
                <w:color w:val="000000"/>
                <w:sz w:val="24"/>
              </w:rPr>
            </w:pPr>
          </w:p>
        </w:tc>
        <w:tc>
          <w:tcPr>
            <w:tcW w:w="8093" w:type="dxa"/>
            <w:gridSpan w:val="5"/>
            <w:vAlign w:val="center"/>
          </w:tcPr>
          <w:p w14:paraId="1D3162C5">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养成严谨治学的态度，掌握科学、严谨的学习方法，注重创新精神和实践能力的提升，树立全面的评价理念，增强团队合作意识与沟通表达能力。</w:t>
            </w:r>
          </w:p>
        </w:tc>
      </w:tr>
      <w:tr w14:paraId="53E6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3FB59F3E">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9</w:t>
            </w:r>
            <w:r>
              <w:rPr>
                <w:rFonts w:ascii="宋体" w:hAnsi="宋体" w:eastAsia="宋体" w:cs="Times New Roman"/>
                <w:color w:val="000000"/>
                <w:sz w:val="24"/>
              </w:rPr>
              <w:t>.</w:t>
            </w:r>
            <w:r>
              <w:rPr>
                <w:rFonts w:hint="eastAsia" w:ascii="宋体" w:hAnsi="宋体" w:eastAsia="宋体" w:cs="Times New Roman"/>
                <w:color w:val="000000"/>
                <w:sz w:val="24"/>
              </w:rPr>
              <w:t xml:space="preserve"> 小学综合实践活动课程的管理</w:t>
            </w:r>
          </w:p>
        </w:tc>
        <w:tc>
          <w:tcPr>
            <w:tcW w:w="1701" w:type="dxa"/>
            <w:vAlign w:val="center"/>
          </w:tcPr>
          <w:p w14:paraId="35AAE2F1">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（1）综合实践活动管理概述</w:t>
            </w:r>
          </w:p>
          <w:p w14:paraId="77D11416">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（2）综合实践活动课程资源的开发与利用</w:t>
            </w:r>
          </w:p>
          <w:p w14:paraId="2AFC7659">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（3）综合实践活动中的指导教师</w:t>
            </w:r>
          </w:p>
          <w:p w14:paraId="3254EC9B">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（4）小学综合实践活动课程的评价</w:t>
            </w:r>
          </w:p>
        </w:tc>
        <w:tc>
          <w:tcPr>
            <w:tcW w:w="1134" w:type="dxa"/>
            <w:vAlign w:val="center"/>
          </w:tcPr>
          <w:p w14:paraId="7F05B997">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课程目标3、4</w:t>
            </w:r>
          </w:p>
        </w:tc>
        <w:tc>
          <w:tcPr>
            <w:tcW w:w="3260" w:type="dxa"/>
            <w:vAlign w:val="center"/>
          </w:tcPr>
          <w:p w14:paraId="19ADDA68">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（1）明确学校在综合实践活动管理中的作用及管理要求</w:t>
            </w:r>
          </w:p>
          <w:p w14:paraId="3DA087B2">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（2）知道如何进行综合实践活动课程资源的开发和利用</w:t>
            </w:r>
          </w:p>
          <w:p w14:paraId="52828F2E">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（3）理解指导教师在综合实践活动中的职责和义务</w:t>
            </w:r>
          </w:p>
          <w:p w14:paraId="75BBB78B">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（4）明确担任综合实践活动指导教师的资格条件</w:t>
            </w:r>
          </w:p>
        </w:tc>
        <w:tc>
          <w:tcPr>
            <w:tcW w:w="1560" w:type="dxa"/>
            <w:vAlign w:val="center"/>
          </w:tcPr>
          <w:p w14:paraId="3D7D358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077C24F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40A3AB51">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.自主学习</w:t>
            </w:r>
          </w:p>
        </w:tc>
        <w:tc>
          <w:tcPr>
            <w:tcW w:w="438" w:type="dxa"/>
            <w:vAlign w:val="center"/>
          </w:tcPr>
          <w:p w14:paraId="61F01F1C">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p>
        </w:tc>
      </w:tr>
      <w:tr w14:paraId="371A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4968AA1C">
            <w:pPr>
              <w:spacing w:line="276" w:lineRule="auto"/>
              <w:jc w:val="center"/>
              <w:rPr>
                <w:rFonts w:hint="eastAsia" w:ascii="宋体" w:hAnsi="宋体" w:eastAsia="宋体" w:cs="Times New Roman"/>
                <w:color w:val="000000"/>
                <w:sz w:val="24"/>
              </w:rPr>
            </w:pPr>
          </w:p>
        </w:tc>
        <w:tc>
          <w:tcPr>
            <w:tcW w:w="8093" w:type="dxa"/>
            <w:gridSpan w:val="5"/>
            <w:vAlign w:val="center"/>
          </w:tcPr>
          <w:p w14:paraId="4F52D0A2">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养成严谨治学的态度，掌握科学、严谨的学习方法，注重创新精神和实践能力的提升，增强团队合作意识与沟通表达能力。</w:t>
            </w:r>
          </w:p>
        </w:tc>
      </w:tr>
    </w:tbl>
    <w:p w14:paraId="16CDFE68">
      <w:pPr>
        <w:spacing w:line="360" w:lineRule="auto"/>
        <w:jc w:val="left"/>
        <w:rPr>
          <w:rFonts w:ascii="Times New Roman" w:hAnsi="Times New Roman" w:eastAsia="宋体" w:cs="Times New Roman"/>
          <w:sz w:val="24"/>
        </w:rPr>
      </w:pPr>
    </w:p>
    <w:p w14:paraId="77A590C1">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四、目标评价与成绩评定</w:t>
      </w:r>
    </w:p>
    <w:p w14:paraId="25AF2610">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4B5407A8">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71B69BAF">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14"/>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550"/>
        <w:gridCol w:w="1406"/>
        <w:gridCol w:w="1406"/>
        <w:gridCol w:w="1406"/>
        <w:gridCol w:w="832"/>
      </w:tblGrid>
      <w:tr w14:paraId="5106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057F78BF">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w:t>
            </w:r>
          </w:p>
        </w:tc>
        <w:tc>
          <w:tcPr>
            <w:tcW w:w="0" w:type="auto"/>
            <w:gridSpan w:val="4"/>
            <w:vAlign w:val="center"/>
          </w:tcPr>
          <w:p w14:paraId="0647E7B8">
            <w:pPr>
              <w:spacing w:line="360" w:lineRule="auto"/>
              <w:jc w:val="center"/>
              <w:rPr>
                <w:rFonts w:hint="eastAsia" w:ascii="宋体" w:hAnsi="宋体" w:eastAsia="宋体" w:cs="Times New Roman"/>
                <w:sz w:val="24"/>
              </w:rPr>
            </w:pPr>
            <w:r>
              <w:rPr>
                <w:rFonts w:hint="eastAsia" w:ascii="宋体" w:hAnsi="宋体" w:eastAsia="宋体" w:cs="Times New Roman"/>
                <w:sz w:val="24"/>
              </w:rPr>
              <w:t>评价与成绩评定方法</w:t>
            </w:r>
          </w:p>
        </w:tc>
        <w:tc>
          <w:tcPr>
            <w:tcW w:w="0" w:type="auto"/>
            <w:vMerge w:val="restart"/>
            <w:vAlign w:val="center"/>
          </w:tcPr>
          <w:p w14:paraId="0F913764">
            <w:pPr>
              <w:spacing w:line="360" w:lineRule="auto"/>
              <w:jc w:val="center"/>
              <w:rPr>
                <w:rFonts w:hint="eastAsia" w:ascii="宋体" w:hAnsi="宋体" w:eastAsia="宋体" w:cs="Times New Roman"/>
                <w:sz w:val="24"/>
              </w:rPr>
            </w:pPr>
            <w:r>
              <w:rPr>
                <w:rFonts w:hint="eastAsia" w:ascii="宋体" w:hAnsi="宋体" w:eastAsia="宋体" w:cs="Times New Roman"/>
                <w:sz w:val="24"/>
              </w:rPr>
              <w:t>分值</w:t>
            </w:r>
          </w:p>
        </w:tc>
      </w:tr>
      <w:tr w14:paraId="02DE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0AB35167">
            <w:pPr>
              <w:spacing w:line="360" w:lineRule="auto"/>
              <w:jc w:val="center"/>
              <w:rPr>
                <w:rFonts w:hint="eastAsia" w:ascii="宋体" w:hAnsi="宋体" w:eastAsia="宋体" w:cs="Times New Roman"/>
                <w:sz w:val="24"/>
              </w:rPr>
            </w:pPr>
          </w:p>
        </w:tc>
        <w:tc>
          <w:tcPr>
            <w:tcW w:w="0" w:type="auto"/>
            <w:vAlign w:val="center"/>
          </w:tcPr>
          <w:p w14:paraId="1C46A2A1">
            <w:pPr>
              <w:spacing w:line="360" w:lineRule="auto"/>
              <w:jc w:val="center"/>
              <w:rPr>
                <w:rFonts w:hint="eastAsia" w:ascii="宋体" w:hAnsi="宋体" w:eastAsia="宋体" w:cs="Times New Roman"/>
                <w:sz w:val="24"/>
              </w:rPr>
            </w:pPr>
            <w:r>
              <w:rPr>
                <w:rFonts w:hint="eastAsia" w:ascii="宋体" w:hAnsi="宋体" w:eastAsia="宋体" w:cs="Times New Roman"/>
                <w:sz w:val="24"/>
              </w:rPr>
              <w:t>作业</w:t>
            </w:r>
            <w:r>
              <w:rPr>
                <w:rFonts w:ascii="宋体" w:hAnsi="宋体" w:eastAsia="宋体" w:cs="Times New Roman"/>
                <w:sz w:val="24"/>
              </w:rPr>
              <w:t>+考勤</w:t>
            </w:r>
          </w:p>
        </w:tc>
        <w:tc>
          <w:tcPr>
            <w:tcW w:w="0" w:type="auto"/>
            <w:vAlign w:val="center"/>
          </w:tcPr>
          <w:p w14:paraId="5CD9B588">
            <w:pPr>
              <w:spacing w:line="360" w:lineRule="auto"/>
              <w:jc w:val="center"/>
              <w:rPr>
                <w:rFonts w:hint="eastAsia" w:ascii="宋体" w:hAnsi="宋体" w:eastAsia="宋体" w:cs="Times New Roman"/>
                <w:sz w:val="24"/>
              </w:rPr>
            </w:pPr>
            <w:r>
              <w:rPr>
                <w:rFonts w:hint="eastAsia" w:ascii="宋体" w:hAnsi="宋体" w:eastAsia="宋体" w:cs="Times New Roman"/>
                <w:sz w:val="24"/>
              </w:rPr>
              <w:t>课堂表现</w:t>
            </w:r>
          </w:p>
        </w:tc>
        <w:tc>
          <w:tcPr>
            <w:tcW w:w="0" w:type="auto"/>
            <w:vAlign w:val="center"/>
          </w:tcPr>
          <w:p w14:paraId="27160158">
            <w:pPr>
              <w:spacing w:line="360" w:lineRule="auto"/>
              <w:jc w:val="center"/>
              <w:rPr>
                <w:rFonts w:hint="eastAsia" w:ascii="宋体" w:hAnsi="宋体" w:eastAsia="宋体" w:cs="Times New Roman"/>
                <w:sz w:val="24"/>
              </w:rPr>
            </w:pPr>
            <w:r>
              <w:rPr>
                <w:rFonts w:hint="eastAsia" w:ascii="宋体" w:hAnsi="宋体" w:eastAsia="宋体" w:cs="Times New Roman"/>
                <w:sz w:val="24"/>
              </w:rPr>
              <w:t>课内实践</w:t>
            </w:r>
          </w:p>
        </w:tc>
        <w:tc>
          <w:tcPr>
            <w:tcW w:w="0" w:type="auto"/>
            <w:vAlign w:val="center"/>
          </w:tcPr>
          <w:p w14:paraId="123E45C4">
            <w:pPr>
              <w:spacing w:line="360" w:lineRule="auto"/>
              <w:jc w:val="center"/>
              <w:rPr>
                <w:rFonts w:hint="eastAsia" w:ascii="宋体" w:hAnsi="宋体" w:eastAsia="宋体" w:cs="Times New Roman"/>
                <w:sz w:val="24"/>
              </w:rPr>
            </w:pPr>
            <w:r>
              <w:rPr>
                <w:rFonts w:hint="eastAsia" w:ascii="宋体" w:hAnsi="宋体" w:eastAsia="宋体" w:cs="Times New Roman"/>
                <w:sz w:val="24"/>
              </w:rPr>
              <w:t>期末考试</w:t>
            </w:r>
          </w:p>
        </w:tc>
        <w:tc>
          <w:tcPr>
            <w:tcW w:w="0" w:type="auto"/>
            <w:vMerge w:val="continue"/>
            <w:vAlign w:val="center"/>
          </w:tcPr>
          <w:p w14:paraId="7A073DE7">
            <w:pPr>
              <w:spacing w:line="360" w:lineRule="auto"/>
              <w:jc w:val="center"/>
              <w:rPr>
                <w:rFonts w:hint="eastAsia" w:ascii="宋体" w:hAnsi="宋体" w:eastAsia="宋体" w:cs="Times New Roman"/>
                <w:sz w:val="24"/>
              </w:rPr>
            </w:pPr>
          </w:p>
        </w:tc>
      </w:tr>
      <w:tr w14:paraId="6E05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33DDCC39">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0" w:type="auto"/>
            <w:vAlign w:val="center"/>
          </w:tcPr>
          <w:p w14:paraId="5EF084F8">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C29FBE7">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1B1B6A5">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9B896BC">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97B6604">
            <w:pPr>
              <w:spacing w:line="360" w:lineRule="auto"/>
              <w:jc w:val="center"/>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5</w:t>
            </w:r>
          </w:p>
        </w:tc>
      </w:tr>
      <w:tr w14:paraId="6C19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665A539A">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0" w:type="auto"/>
            <w:vAlign w:val="center"/>
          </w:tcPr>
          <w:p w14:paraId="3246335B">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A2CFFED">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3B630715">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61137E41">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3DF6459">
            <w:pPr>
              <w:spacing w:line="360" w:lineRule="auto"/>
              <w:jc w:val="center"/>
              <w:rPr>
                <w:rFonts w:hint="eastAsia" w:ascii="宋体" w:hAnsi="宋体" w:eastAsia="宋体" w:cs="Times New Roman"/>
                <w:sz w:val="24"/>
              </w:rPr>
            </w:pPr>
            <w:r>
              <w:rPr>
                <w:rFonts w:ascii="宋体" w:hAnsi="宋体" w:eastAsia="宋体" w:cs="Times New Roman"/>
                <w:sz w:val="24"/>
              </w:rPr>
              <w:t>35</w:t>
            </w:r>
          </w:p>
        </w:tc>
      </w:tr>
      <w:tr w14:paraId="277B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270D9EE5">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0" w:type="auto"/>
            <w:vAlign w:val="center"/>
          </w:tcPr>
          <w:p w14:paraId="50958198">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2998C39">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27A51EA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496C6F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275CA038">
            <w:pPr>
              <w:spacing w:line="360" w:lineRule="auto"/>
              <w:jc w:val="center"/>
              <w:rPr>
                <w:rFonts w:hint="eastAsia" w:ascii="宋体" w:hAnsi="宋体" w:eastAsia="宋体" w:cs="Times New Roman"/>
                <w:sz w:val="24"/>
              </w:rPr>
            </w:pPr>
            <w:r>
              <w:rPr>
                <w:rFonts w:hint="eastAsia" w:ascii="宋体" w:hAnsi="宋体" w:eastAsia="宋体" w:cs="Times New Roman"/>
                <w:sz w:val="24"/>
              </w:rPr>
              <w:t>3</w:t>
            </w:r>
            <w:r>
              <w:rPr>
                <w:rFonts w:ascii="宋体" w:hAnsi="宋体" w:eastAsia="宋体" w:cs="Times New Roman"/>
                <w:sz w:val="24"/>
              </w:rPr>
              <w:t>5</w:t>
            </w:r>
          </w:p>
        </w:tc>
      </w:tr>
      <w:tr w14:paraId="2C26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3EBA1236">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课程目标4</w:t>
            </w:r>
          </w:p>
        </w:tc>
        <w:tc>
          <w:tcPr>
            <w:tcW w:w="0" w:type="auto"/>
            <w:vAlign w:val="center"/>
          </w:tcPr>
          <w:p w14:paraId="035964E8">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780D01B">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3BC5BA6">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2C14BFDB">
            <w:pPr>
              <w:spacing w:line="360" w:lineRule="auto"/>
              <w:jc w:val="center"/>
              <w:rPr>
                <w:rFonts w:hint="eastAsia" w:ascii="宋体" w:hAnsi="宋体" w:eastAsia="宋体" w:cs="Times New Roman"/>
                <w:sz w:val="24"/>
              </w:rPr>
            </w:pPr>
          </w:p>
        </w:tc>
        <w:tc>
          <w:tcPr>
            <w:tcW w:w="0" w:type="auto"/>
            <w:vAlign w:val="center"/>
          </w:tcPr>
          <w:p w14:paraId="3310F227">
            <w:pPr>
              <w:spacing w:line="360" w:lineRule="auto"/>
              <w:jc w:val="center"/>
              <w:rPr>
                <w:rFonts w:hint="eastAsia" w:ascii="宋体" w:hAnsi="宋体" w:eastAsia="宋体" w:cs="Times New Roman"/>
                <w:sz w:val="24"/>
              </w:rPr>
            </w:pPr>
            <w:r>
              <w:rPr>
                <w:rFonts w:hint="eastAsia" w:ascii="宋体" w:hAnsi="宋体" w:eastAsia="宋体" w:cs="Times New Roman"/>
                <w:sz w:val="24"/>
              </w:rPr>
              <w:t>15</w:t>
            </w:r>
          </w:p>
        </w:tc>
      </w:tr>
      <w:tr w14:paraId="5F71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5C42382E">
            <w:pPr>
              <w:spacing w:line="360"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0" w:type="auto"/>
            <w:vAlign w:val="center"/>
          </w:tcPr>
          <w:p w14:paraId="73721726">
            <w:pPr>
              <w:spacing w:line="360" w:lineRule="auto"/>
              <w:jc w:val="center"/>
              <w:rPr>
                <w:rFonts w:hint="eastAsia" w:ascii="宋体" w:hAnsi="宋体" w:eastAsia="宋体" w:cs="Times New Roman"/>
                <w:sz w:val="24"/>
              </w:rPr>
            </w:pPr>
            <w:r>
              <w:rPr>
                <w:rFonts w:ascii="宋体" w:hAnsi="宋体" w:eastAsia="宋体" w:cs="Times New Roman"/>
                <w:sz w:val="24"/>
              </w:rPr>
              <w:t>20</w:t>
            </w:r>
          </w:p>
        </w:tc>
        <w:tc>
          <w:tcPr>
            <w:tcW w:w="0" w:type="auto"/>
            <w:vAlign w:val="center"/>
          </w:tcPr>
          <w:p w14:paraId="7AEEEFDB">
            <w:pPr>
              <w:spacing w:line="360" w:lineRule="auto"/>
              <w:jc w:val="center"/>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0</w:t>
            </w:r>
          </w:p>
        </w:tc>
        <w:tc>
          <w:tcPr>
            <w:tcW w:w="0" w:type="auto"/>
            <w:vAlign w:val="center"/>
          </w:tcPr>
          <w:p w14:paraId="3B74A9DB">
            <w:pPr>
              <w:spacing w:line="360" w:lineRule="auto"/>
              <w:jc w:val="center"/>
              <w:rPr>
                <w:rFonts w:hint="eastAsia"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0</w:t>
            </w:r>
          </w:p>
        </w:tc>
        <w:tc>
          <w:tcPr>
            <w:tcW w:w="0" w:type="auto"/>
            <w:vAlign w:val="center"/>
          </w:tcPr>
          <w:p w14:paraId="05A515CC">
            <w:pPr>
              <w:spacing w:line="360" w:lineRule="auto"/>
              <w:jc w:val="center"/>
              <w:rPr>
                <w:rFonts w:hint="eastAsia" w:ascii="宋体" w:hAnsi="宋体" w:eastAsia="宋体" w:cs="Times New Roman"/>
                <w:sz w:val="24"/>
              </w:rPr>
            </w:pPr>
            <w:r>
              <w:rPr>
                <w:rFonts w:hint="eastAsia" w:ascii="宋体" w:hAnsi="宋体" w:eastAsia="宋体" w:cs="Times New Roman"/>
                <w:sz w:val="24"/>
              </w:rPr>
              <w:t>5</w:t>
            </w:r>
            <w:r>
              <w:rPr>
                <w:rFonts w:ascii="宋体" w:hAnsi="宋体" w:eastAsia="宋体" w:cs="Times New Roman"/>
                <w:sz w:val="24"/>
              </w:rPr>
              <w:t>0</w:t>
            </w:r>
          </w:p>
        </w:tc>
        <w:tc>
          <w:tcPr>
            <w:tcW w:w="0" w:type="auto"/>
            <w:vAlign w:val="center"/>
          </w:tcPr>
          <w:p w14:paraId="2941E16B">
            <w:pPr>
              <w:spacing w:line="360"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20BECC32">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52AC4E8A">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374DDCB3">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6924"/>
        <w:gridCol w:w="776"/>
      </w:tblGrid>
      <w:tr w14:paraId="3E27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1188D54">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6924" w:type="dxa"/>
            <w:vAlign w:val="center"/>
          </w:tcPr>
          <w:p w14:paraId="65F2A23C">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2846C605">
            <w:pPr>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1DB3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8E8DF1E">
            <w:pPr>
              <w:rPr>
                <w:rFonts w:ascii="Times New Roman" w:hAnsi="Times New Roman" w:eastAsia="宋体" w:cs="Times New Roman"/>
                <w:sz w:val="24"/>
              </w:rPr>
            </w:pPr>
            <w:r>
              <w:rPr>
                <w:rFonts w:hint="eastAsia" w:ascii="Times New Roman" w:hAnsi="Times New Roman" w:eastAsia="宋体" w:cs="Times New Roman"/>
                <w:sz w:val="24"/>
              </w:rPr>
              <w:t>作业</w:t>
            </w:r>
            <w:r>
              <w:rPr>
                <w:rFonts w:ascii="Times New Roman" w:hAnsi="Times New Roman" w:eastAsia="宋体" w:cs="Times New Roman"/>
                <w:sz w:val="24"/>
              </w:rPr>
              <w:t>+考勤</w:t>
            </w:r>
          </w:p>
        </w:tc>
        <w:tc>
          <w:tcPr>
            <w:tcW w:w="6924" w:type="dxa"/>
            <w:vAlign w:val="center"/>
          </w:tcPr>
          <w:p w14:paraId="68C442EF">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平时作业共3次，平时总评</w:t>
            </w:r>
            <w:r>
              <w:rPr>
                <w:rFonts w:ascii="Times New Roman" w:hAnsi="Times New Roman" w:eastAsia="宋体" w:cs="Times New Roman"/>
                <w:sz w:val="24"/>
              </w:rPr>
              <w:t>=作业平均—考勤扣分，旷课1次扣5分，事假一次扣2分，迟到1次扣1分，病假不扣分（但病假次数达本学期总授课学时的1/3以上者不得参加考核）。</w:t>
            </w:r>
          </w:p>
        </w:tc>
        <w:tc>
          <w:tcPr>
            <w:tcW w:w="0" w:type="auto"/>
            <w:vAlign w:val="center"/>
          </w:tcPr>
          <w:p w14:paraId="4C48BE23">
            <w:pPr>
              <w:jc w:val="center"/>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0%</w:t>
            </w:r>
          </w:p>
        </w:tc>
      </w:tr>
      <w:tr w14:paraId="12E6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EC9FB2C">
            <w:pPr>
              <w:rPr>
                <w:rFonts w:ascii="Times New Roman" w:hAnsi="Times New Roman" w:eastAsia="宋体" w:cs="Times New Roman"/>
                <w:sz w:val="24"/>
              </w:rPr>
            </w:pPr>
            <w:r>
              <w:rPr>
                <w:rFonts w:hint="eastAsia" w:ascii="Times New Roman" w:hAnsi="Times New Roman" w:eastAsia="宋体" w:cs="Times New Roman"/>
                <w:sz w:val="24"/>
              </w:rPr>
              <w:t>课堂表现</w:t>
            </w:r>
          </w:p>
        </w:tc>
        <w:tc>
          <w:tcPr>
            <w:tcW w:w="6924" w:type="dxa"/>
            <w:vAlign w:val="center"/>
          </w:tcPr>
          <w:p w14:paraId="25B5C7DD">
            <w:pPr>
              <w:widowControl/>
              <w:spacing w:line="264" w:lineRule="auto"/>
              <w:jc w:val="left"/>
              <w:rPr>
                <w:rFonts w:ascii="Times New Roman" w:hAnsi="Times New Roman" w:eastAsia="宋体" w:cs="Times New Roman"/>
                <w:sz w:val="24"/>
              </w:rPr>
            </w:pPr>
            <w:r>
              <w:rPr>
                <w:rFonts w:hint="eastAsia" w:ascii="宋体" w:hAnsi="宋体" w:eastAsia="宋体" w:cs="宋体"/>
                <w:color w:val="000000"/>
                <w:kern w:val="0"/>
                <w:sz w:val="24"/>
                <w:lang w:bidi="ar"/>
              </w:rPr>
              <w:t>课堂表现。</w:t>
            </w:r>
            <w:r>
              <w:rPr>
                <w:rFonts w:ascii="宋体" w:hAnsi="宋体" w:eastAsia="宋体" w:cs="宋体"/>
                <w:color w:val="000000"/>
                <w:kern w:val="0"/>
                <w:sz w:val="24"/>
                <w:lang w:bidi="ar"/>
              </w:rPr>
              <w:t>主要指课上教师随机提问、组织课堂讨论等，观察学生参与程度</w:t>
            </w:r>
            <w:r>
              <w:rPr>
                <w:rFonts w:hint="eastAsia" w:ascii="宋体" w:hAnsi="宋体" w:eastAsia="宋体" w:cs="宋体"/>
                <w:color w:val="000000"/>
                <w:kern w:val="0"/>
                <w:sz w:val="24"/>
                <w:lang w:bidi="ar"/>
              </w:rPr>
              <w:t>，</w:t>
            </w:r>
            <w:r>
              <w:rPr>
                <w:rFonts w:ascii="宋体" w:hAnsi="宋体" w:eastAsia="宋体" w:cs="宋体"/>
                <w:color w:val="000000"/>
                <w:kern w:val="0"/>
                <w:sz w:val="24"/>
                <w:lang w:bidi="ar"/>
              </w:rPr>
              <w:t>按照对应的课程目标及权重给予评定</w:t>
            </w:r>
            <w:r>
              <w:rPr>
                <w:rFonts w:hint="eastAsia" w:ascii="宋体" w:hAnsi="宋体" w:eastAsia="宋体" w:cs="宋体"/>
                <w:color w:val="000000"/>
                <w:kern w:val="0"/>
                <w:sz w:val="24"/>
                <w:lang w:bidi="ar"/>
              </w:rPr>
              <w:t>。</w:t>
            </w:r>
          </w:p>
        </w:tc>
        <w:tc>
          <w:tcPr>
            <w:tcW w:w="0" w:type="auto"/>
            <w:vAlign w:val="center"/>
          </w:tcPr>
          <w:p w14:paraId="49C12CF2">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1C15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096715D">
            <w:pPr>
              <w:rPr>
                <w:rFonts w:ascii="Times New Roman" w:hAnsi="Times New Roman" w:eastAsia="宋体" w:cs="Times New Roman"/>
                <w:sz w:val="24"/>
              </w:rPr>
            </w:pPr>
            <w:r>
              <w:rPr>
                <w:rFonts w:hint="eastAsia" w:ascii="Times New Roman" w:hAnsi="Times New Roman" w:eastAsia="宋体" w:cs="Times New Roman"/>
                <w:sz w:val="24"/>
              </w:rPr>
              <w:t>课内实践</w:t>
            </w:r>
          </w:p>
        </w:tc>
        <w:tc>
          <w:tcPr>
            <w:tcW w:w="6924" w:type="dxa"/>
            <w:vAlign w:val="center"/>
          </w:tcPr>
          <w:p w14:paraId="4687CF35">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认真完成</w:t>
            </w:r>
            <w:r>
              <w:rPr>
                <w:rFonts w:ascii="宋体" w:hAnsi="宋体" w:eastAsia="宋体" w:cs="宋体"/>
                <w:color w:val="000000"/>
                <w:kern w:val="0"/>
                <w:sz w:val="24"/>
                <w:lang w:bidi="ar"/>
              </w:rPr>
              <w:t>4个项目的课内实践，</w:t>
            </w:r>
            <w:r>
              <w:rPr>
                <w:rFonts w:hint="eastAsia" w:ascii="宋体" w:hAnsi="宋体" w:eastAsia="宋体" w:cs="宋体"/>
                <w:color w:val="000000"/>
                <w:kern w:val="0"/>
                <w:sz w:val="24"/>
                <w:lang w:bidi="ar"/>
              </w:rPr>
              <w:t>在认真学习综合实践设计理论的基础上</w:t>
            </w:r>
            <w:r>
              <w:rPr>
                <w:rFonts w:ascii="宋体" w:hAnsi="宋体" w:eastAsia="宋体" w:cs="宋体"/>
                <w:color w:val="000000"/>
                <w:kern w:val="0"/>
                <w:sz w:val="24"/>
                <w:lang w:bidi="ar"/>
              </w:rPr>
              <w:t>，尝试进行</w:t>
            </w:r>
            <w:r>
              <w:rPr>
                <w:rFonts w:hint="eastAsia" w:ascii="宋体" w:hAnsi="宋体" w:eastAsia="宋体" w:cs="宋体"/>
                <w:color w:val="000000"/>
                <w:kern w:val="0"/>
                <w:sz w:val="24"/>
                <w:lang w:bidi="ar"/>
              </w:rPr>
              <w:t>相关内容的综合实践活动设计并付诸实施</w:t>
            </w:r>
            <w:r>
              <w:rPr>
                <w:rFonts w:ascii="宋体" w:hAnsi="宋体" w:eastAsia="宋体" w:cs="宋体"/>
                <w:color w:val="000000"/>
                <w:kern w:val="0"/>
                <w:sz w:val="24"/>
                <w:lang w:bidi="ar"/>
              </w:rPr>
              <w:t>。</w:t>
            </w:r>
            <w:r>
              <w:rPr>
                <w:rFonts w:hint="eastAsia" w:ascii="宋体" w:hAnsi="宋体" w:eastAsia="宋体" w:cs="宋体"/>
                <w:color w:val="000000"/>
                <w:kern w:val="0"/>
                <w:sz w:val="24"/>
                <w:lang w:bidi="ar"/>
              </w:rPr>
              <w:t>实行组内互评与教师评价相结合的方式。</w:t>
            </w:r>
            <w:r>
              <w:rPr>
                <w:rFonts w:ascii="宋体" w:hAnsi="宋体" w:eastAsia="宋体" w:cs="宋体"/>
                <w:color w:val="000000"/>
                <w:kern w:val="0"/>
                <w:sz w:val="24"/>
                <w:lang w:bidi="ar"/>
              </w:rPr>
              <w:t>4个项目成绩取平均分作为课内实践分。</w:t>
            </w:r>
          </w:p>
        </w:tc>
        <w:tc>
          <w:tcPr>
            <w:tcW w:w="0" w:type="auto"/>
            <w:vAlign w:val="center"/>
          </w:tcPr>
          <w:p w14:paraId="6324F699">
            <w:pPr>
              <w:jc w:val="center"/>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0%</w:t>
            </w:r>
          </w:p>
        </w:tc>
      </w:tr>
      <w:tr w14:paraId="668C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5DE68A6">
            <w:pPr>
              <w:rPr>
                <w:rFonts w:ascii="Times New Roman" w:hAnsi="Times New Roman" w:eastAsia="宋体" w:cs="Times New Roman"/>
                <w:sz w:val="24"/>
              </w:rPr>
            </w:pPr>
            <w:r>
              <w:rPr>
                <w:rFonts w:hint="eastAsia" w:ascii="Times New Roman" w:hAnsi="Times New Roman" w:eastAsia="宋体" w:cs="Times New Roman"/>
                <w:sz w:val="24"/>
              </w:rPr>
              <w:t>期末考试</w:t>
            </w:r>
          </w:p>
        </w:tc>
        <w:tc>
          <w:tcPr>
            <w:tcW w:w="6924" w:type="dxa"/>
            <w:vAlign w:val="center"/>
          </w:tcPr>
          <w:p w14:paraId="70619DCA">
            <w:pPr>
              <w:spacing w:line="264" w:lineRule="auto"/>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本课程考核的方式为开卷笔试。有下列情况之一者，总评成绩为不及格：</w:t>
            </w:r>
          </w:p>
          <w:p w14:paraId="6BEF4764">
            <w:pPr>
              <w:spacing w:line="264" w:lineRule="auto"/>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（1）缺交作业次数达1/3以上者。</w:t>
            </w:r>
          </w:p>
          <w:p w14:paraId="5592AEA7">
            <w:pPr>
              <w:spacing w:line="264" w:lineRule="auto"/>
              <w:jc w:val="left"/>
              <w:rPr>
                <w:rFonts w:ascii="Times New Roman" w:hAnsi="Times New Roman" w:eastAsia="宋体" w:cs="Times New Roman"/>
                <w:sz w:val="24"/>
              </w:rPr>
            </w:pPr>
            <w:r>
              <w:rPr>
                <w:rFonts w:hint="eastAsia" w:ascii="Times New Roman" w:hAnsi="Times New Roman" w:eastAsia="宋体" w:cs="Times New Roman"/>
                <w:color w:val="000000"/>
                <w:sz w:val="24"/>
              </w:rPr>
              <w:t>（2）缺课次数达本学期总授课学时的1/3以上者。</w:t>
            </w:r>
          </w:p>
        </w:tc>
        <w:tc>
          <w:tcPr>
            <w:tcW w:w="0" w:type="auto"/>
            <w:vAlign w:val="center"/>
          </w:tcPr>
          <w:p w14:paraId="77432916">
            <w:pPr>
              <w:jc w:val="center"/>
              <w:rPr>
                <w:rFonts w:ascii="Times New Roman" w:hAnsi="Times New Roman" w:eastAsia="宋体" w:cs="Times New Roman"/>
                <w:sz w:val="24"/>
              </w:rPr>
            </w:pPr>
            <w:r>
              <w:rPr>
                <w:rFonts w:hint="eastAsia" w:ascii="Times New Roman" w:hAnsi="Times New Roman" w:eastAsia="宋体" w:cs="Times New Roman"/>
                <w:sz w:val="24"/>
              </w:rPr>
              <w:t>50%</w:t>
            </w:r>
          </w:p>
        </w:tc>
      </w:tr>
      <w:tr w14:paraId="0304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A53C7FB">
            <w:pPr>
              <w:jc w:val="center"/>
              <w:rPr>
                <w:rFonts w:ascii="Times New Roman" w:hAnsi="Times New Roman" w:eastAsia="宋体" w:cs="Times New Roman"/>
                <w:b/>
                <w:bCs/>
                <w:sz w:val="24"/>
              </w:rPr>
            </w:pPr>
            <w:r>
              <w:rPr>
                <w:rFonts w:hint="eastAsia" w:ascii="Times New Roman" w:hAnsi="Times New Roman" w:eastAsia="宋体" w:cs="Times New Roman"/>
                <w:b/>
                <w:bCs/>
                <w:sz w:val="24"/>
              </w:rPr>
              <w:t>合计</w:t>
            </w:r>
          </w:p>
        </w:tc>
        <w:tc>
          <w:tcPr>
            <w:tcW w:w="0" w:type="auto"/>
            <w:vAlign w:val="center"/>
          </w:tcPr>
          <w:p w14:paraId="6B2BAE2A">
            <w:pPr>
              <w:jc w:val="left"/>
              <w:rPr>
                <w:rFonts w:ascii="Times New Roman" w:hAnsi="Times New Roman" w:eastAsia="宋体" w:cs="Times New Roman"/>
                <w:sz w:val="24"/>
              </w:rPr>
            </w:pPr>
          </w:p>
        </w:tc>
        <w:tc>
          <w:tcPr>
            <w:tcW w:w="0" w:type="auto"/>
            <w:vAlign w:val="center"/>
          </w:tcPr>
          <w:p w14:paraId="05C57420">
            <w:pPr>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66928FDA">
      <w:pPr>
        <w:spacing w:line="360" w:lineRule="auto"/>
        <w:jc w:val="left"/>
        <w:rPr>
          <w:rFonts w:hint="eastAsia" w:ascii="宋体" w:hAnsi="宋体" w:eastAsia="宋体" w:cs="Times New Roman"/>
          <w:b/>
          <w:color w:val="000000"/>
          <w:sz w:val="24"/>
        </w:rPr>
      </w:pPr>
    </w:p>
    <w:p w14:paraId="1FA598B5">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（三）课程目标达成度计算方法</w:t>
      </w:r>
    </w:p>
    <w:p w14:paraId="2EE0218F">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67744190">
      <w:pPr>
        <w:spacing w:before="156" w:beforeLines="50"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object>
          <v:shape id="_x0000_i1070"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70" DrawAspect="Content" ObjectID="_1468075770" r:id="rId56">
            <o:LockedField>false</o:LockedField>
          </o:OLEObject>
        </w:object>
      </w:r>
    </w:p>
    <w:p w14:paraId="7204309D">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课内实践</w:t>
      </w:r>
    </w:p>
    <w:p w14:paraId="25C9E82E">
      <w:pPr>
        <w:spacing w:after="156" w:afterLines="50" w:line="360" w:lineRule="auto"/>
        <w:ind w:firstLine="480" w:firstLineChars="200"/>
        <w:rPr>
          <w:rFonts w:hint="eastAsia" w:ascii="宋体" w:hAnsi="宋体" w:eastAsia="宋体"/>
          <w:sz w:val="24"/>
        </w:rPr>
      </w:pPr>
      <w:r>
        <w:rPr>
          <w:rFonts w:hint="eastAsia" w:ascii="宋体" w:hAnsi="宋体" w:eastAsia="宋体"/>
          <w:sz w:val="24"/>
        </w:rPr>
        <w:t>本课程在理论教学的基础上，安排了4个课内实践项目（共</w:t>
      </w:r>
      <w:r>
        <w:rPr>
          <w:rFonts w:ascii="宋体" w:hAnsi="宋体" w:eastAsia="宋体"/>
          <w:sz w:val="24"/>
        </w:rPr>
        <w:t>16</w:t>
      </w:r>
      <w:r>
        <w:rPr>
          <w:rFonts w:hint="eastAsia" w:ascii="宋体" w:hAnsi="宋体" w:eastAsia="宋体"/>
          <w:sz w:val="24"/>
        </w:rPr>
        <w:t>学时），体现了理论与实践的结合，强化对学生的课程思政。</w:t>
      </w:r>
    </w:p>
    <w:p w14:paraId="4DDCEAFA">
      <w:pPr>
        <w:spacing w:line="276" w:lineRule="auto"/>
        <w:ind w:firstLine="482" w:firstLineChars="200"/>
        <w:jc w:val="center"/>
        <w:rPr>
          <w:rFonts w:hint="eastAsia" w:ascii="宋体" w:hAnsi="宋体" w:eastAsia="宋体" w:cs="宋体"/>
          <w:b/>
          <w:bCs/>
          <w:sz w:val="24"/>
        </w:rPr>
      </w:pPr>
      <w:r>
        <w:rPr>
          <w:rFonts w:hint="eastAsia" w:ascii="宋体" w:hAnsi="宋体" w:eastAsia="宋体" w:cs="宋体"/>
          <w:b/>
          <w:bCs/>
          <w:sz w:val="24"/>
        </w:rPr>
        <w:t>过程学习及考核与思政教育</w:t>
      </w:r>
    </w:p>
    <w:tbl>
      <w:tblPr>
        <w:tblStyle w:val="2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71A0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F2F507D">
            <w:pPr>
              <w:spacing w:line="240" w:lineRule="exact"/>
              <w:jc w:val="center"/>
              <w:rPr>
                <w:rFonts w:hint="eastAsia" w:ascii="宋体" w:hAnsi="宋体" w:eastAsia="宋体" w:cs="宋体"/>
                <w:b/>
                <w:bCs/>
                <w:sz w:val="24"/>
              </w:rPr>
            </w:pPr>
            <w:r>
              <w:rPr>
                <w:rFonts w:hint="eastAsia" w:ascii="宋体" w:hAnsi="宋体" w:eastAsia="宋体" w:cs="宋体"/>
                <w:b/>
                <w:bCs/>
                <w:sz w:val="24"/>
              </w:rPr>
              <w:t>活动主题</w:t>
            </w:r>
          </w:p>
        </w:tc>
        <w:tc>
          <w:tcPr>
            <w:tcW w:w="3407" w:type="dxa"/>
            <w:vAlign w:val="center"/>
          </w:tcPr>
          <w:p w14:paraId="452F92D1">
            <w:pPr>
              <w:spacing w:line="240" w:lineRule="exact"/>
              <w:jc w:val="center"/>
              <w:rPr>
                <w:rFonts w:hint="eastAsia" w:ascii="宋体" w:hAnsi="宋体" w:eastAsia="宋体" w:cs="宋体"/>
                <w:b/>
                <w:bCs/>
                <w:sz w:val="24"/>
              </w:rPr>
            </w:pPr>
            <w:r>
              <w:rPr>
                <w:rFonts w:hint="eastAsia" w:ascii="宋体" w:hAnsi="宋体" w:eastAsia="宋体" w:cs="宋体"/>
                <w:b/>
                <w:bCs/>
                <w:sz w:val="24"/>
              </w:rPr>
              <w:t>活动内容</w:t>
            </w:r>
          </w:p>
        </w:tc>
        <w:tc>
          <w:tcPr>
            <w:tcW w:w="740" w:type="dxa"/>
            <w:vAlign w:val="center"/>
          </w:tcPr>
          <w:p w14:paraId="4D2039BC">
            <w:pPr>
              <w:spacing w:line="240" w:lineRule="exact"/>
              <w:jc w:val="center"/>
              <w:rPr>
                <w:rFonts w:hint="eastAsia" w:ascii="宋体" w:hAnsi="宋体" w:eastAsia="宋体" w:cs="宋体"/>
                <w:b/>
                <w:bCs/>
                <w:sz w:val="24"/>
              </w:rPr>
            </w:pPr>
            <w:r>
              <w:rPr>
                <w:rFonts w:hint="eastAsia" w:ascii="宋体" w:hAnsi="宋体" w:eastAsia="宋体" w:cs="宋体"/>
                <w:b/>
                <w:bCs/>
                <w:sz w:val="24"/>
              </w:rPr>
              <w:t>活动方式</w:t>
            </w:r>
          </w:p>
        </w:tc>
        <w:tc>
          <w:tcPr>
            <w:tcW w:w="3160" w:type="dxa"/>
            <w:vAlign w:val="center"/>
          </w:tcPr>
          <w:p w14:paraId="6853CB05">
            <w:pPr>
              <w:spacing w:line="240" w:lineRule="exact"/>
              <w:jc w:val="center"/>
              <w:rPr>
                <w:rFonts w:hint="eastAsia" w:ascii="宋体" w:hAnsi="宋体" w:eastAsia="宋体" w:cs="宋体"/>
                <w:b/>
                <w:bCs/>
                <w:sz w:val="24"/>
              </w:rPr>
            </w:pPr>
            <w:r>
              <w:rPr>
                <w:rFonts w:hint="eastAsia" w:ascii="宋体" w:hAnsi="宋体" w:eastAsia="宋体" w:cs="宋体"/>
                <w:b/>
                <w:bCs/>
                <w:sz w:val="24"/>
              </w:rPr>
              <w:t>思政目标</w:t>
            </w:r>
          </w:p>
        </w:tc>
      </w:tr>
      <w:tr w14:paraId="1BAA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128032D">
            <w:pPr>
              <w:rPr>
                <w:rFonts w:hint="eastAsia" w:ascii="宋体" w:hAnsi="宋体" w:eastAsia="宋体" w:cs="Times New Roman"/>
                <w:sz w:val="24"/>
              </w:rPr>
            </w:pPr>
            <w:r>
              <w:rPr>
                <w:rFonts w:hint="eastAsia" w:ascii="宋体" w:hAnsi="宋体" w:eastAsia="宋体" w:cs="Times New Roman"/>
                <w:sz w:val="24"/>
              </w:rPr>
              <w:t>《中小学综合实践活动课程指导纲要》研读</w:t>
            </w:r>
          </w:p>
        </w:tc>
        <w:tc>
          <w:tcPr>
            <w:tcW w:w="3407" w:type="dxa"/>
            <w:vAlign w:val="center"/>
          </w:tcPr>
          <w:p w14:paraId="670EA658">
            <w:pPr>
              <w:rPr>
                <w:rFonts w:hint="eastAsia" w:ascii="宋体" w:hAnsi="宋体" w:eastAsia="宋体" w:cs="Times New Roman"/>
                <w:sz w:val="24"/>
              </w:rPr>
            </w:pPr>
            <w:r>
              <w:rPr>
                <w:rFonts w:hint="eastAsia" w:ascii="宋体" w:hAnsi="宋体" w:eastAsia="宋体" w:cs="Times New Roman"/>
                <w:sz w:val="24"/>
              </w:rPr>
              <w:t>认真学习《中小学综合实践活动课程指导纲要》，</w:t>
            </w:r>
            <w:r>
              <w:rPr>
                <w:rFonts w:ascii="宋体" w:hAnsi="宋体" w:eastAsia="宋体" w:cs="Times New Roman"/>
                <w:sz w:val="24"/>
              </w:rPr>
              <w:t>撰写一份</w:t>
            </w:r>
            <w:r>
              <w:rPr>
                <w:rFonts w:hint="eastAsia" w:ascii="宋体" w:hAnsi="宋体" w:eastAsia="宋体" w:cs="Times New Roman"/>
                <w:sz w:val="24"/>
              </w:rPr>
              <w:t>学习报告</w:t>
            </w:r>
            <w:r>
              <w:rPr>
                <w:rFonts w:ascii="宋体" w:hAnsi="宋体" w:eastAsia="宋体" w:cs="Times New Roman"/>
                <w:sz w:val="24"/>
              </w:rPr>
              <w:t>，并</w:t>
            </w:r>
            <w:r>
              <w:rPr>
                <w:rFonts w:hint="eastAsia" w:ascii="宋体" w:hAnsi="宋体" w:eastAsia="宋体" w:cs="Times New Roman"/>
                <w:sz w:val="24"/>
              </w:rPr>
              <w:t>与</w:t>
            </w:r>
            <w:r>
              <w:rPr>
                <w:rFonts w:ascii="宋体" w:hAnsi="宋体" w:eastAsia="宋体" w:cs="Times New Roman"/>
                <w:sz w:val="24"/>
              </w:rPr>
              <w:t>同学交流</w:t>
            </w:r>
          </w:p>
        </w:tc>
        <w:tc>
          <w:tcPr>
            <w:tcW w:w="740" w:type="dxa"/>
            <w:vAlign w:val="center"/>
          </w:tcPr>
          <w:p w14:paraId="3810655F">
            <w:pPr>
              <w:spacing w:line="276" w:lineRule="auto"/>
              <w:jc w:val="center"/>
              <w:rPr>
                <w:rFonts w:hint="eastAsia" w:ascii="宋体" w:hAnsi="宋体" w:eastAsia="宋体" w:cs="Times New Roman"/>
                <w:sz w:val="24"/>
              </w:rPr>
            </w:pPr>
            <w:r>
              <w:rPr>
                <w:rFonts w:hint="eastAsia" w:ascii="宋体" w:hAnsi="宋体" w:eastAsia="宋体" w:cs="Times New Roman"/>
                <w:sz w:val="24"/>
              </w:rPr>
              <w:t>研讨</w:t>
            </w:r>
          </w:p>
          <w:p w14:paraId="680DBA76">
            <w:pPr>
              <w:spacing w:line="276" w:lineRule="auto"/>
              <w:jc w:val="center"/>
              <w:rPr>
                <w:rFonts w:hint="eastAsia" w:ascii="宋体" w:hAnsi="宋体" w:eastAsia="宋体" w:cs="Times New Roman"/>
                <w:sz w:val="24"/>
              </w:rPr>
            </w:pPr>
            <w:r>
              <w:rPr>
                <w:rFonts w:hint="eastAsia" w:ascii="宋体" w:hAnsi="宋体" w:eastAsia="宋体" w:cs="Times New Roman"/>
                <w:sz w:val="24"/>
              </w:rPr>
              <w:t>交流</w:t>
            </w:r>
          </w:p>
        </w:tc>
        <w:tc>
          <w:tcPr>
            <w:tcW w:w="3160" w:type="dxa"/>
          </w:tcPr>
          <w:p w14:paraId="71B72F9C">
            <w:pPr>
              <w:rPr>
                <w:rFonts w:hint="eastAsia" w:ascii="宋体" w:hAnsi="宋体" w:eastAsia="宋体" w:cs="Times New Roman"/>
                <w:sz w:val="24"/>
              </w:rPr>
            </w:pPr>
            <w:r>
              <w:rPr>
                <w:rFonts w:hint="eastAsia" w:ascii="宋体" w:hAnsi="宋体" w:eastAsia="宋体" w:cs="Times New Roman"/>
                <w:sz w:val="24"/>
              </w:rPr>
              <w:t>养成严谨治学的态度，掌握科学、严谨的学习方法，注重创新精神和实践能力的提升，增强专业自信心，增强团队合作意识与沟通表达能力。</w:t>
            </w:r>
          </w:p>
        </w:tc>
      </w:tr>
      <w:tr w14:paraId="1D34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2188D8E">
            <w:pPr>
              <w:rPr>
                <w:rFonts w:hint="eastAsia" w:ascii="宋体" w:hAnsi="宋体" w:eastAsia="宋体" w:cs="Times New Roman"/>
                <w:sz w:val="24"/>
              </w:rPr>
            </w:pPr>
            <w:r>
              <w:rPr>
                <w:rFonts w:hint="eastAsia" w:ascii="宋体" w:hAnsi="宋体" w:eastAsia="宋体" w:cs="Times New Roman"/>
                <w:sz w:val="24"/>
              </w:rPr>
              <w:t>研究性学习的设计与实施</w:t>
            </w:r>
          </w:p>
        </w:tc>
        <w:tc>
          <w:tcPr>
            <w:tcW w:w="3407" w:type="dxa"/>
            <w:vAlign w:val="center"/>
          </w:tcPr>
          <w:p w14:paraId="32FB7194">
            <w:pPr>
              <w:rPr>
                <w:rFonts w:hint="eastAsia" w:ascii="宋体" w:hAnsi="宋体" w:eastAsia="宋体" w:cs="Times New Roman"/>
                <w:sz w:val="24"/>
              </w:rPr>
            </w:pPr>
            <w:r>
              <w:rPr>
                <w:rFonts w:hint="eastAsia" w:ascii="宋体" w:hAnsi="宋体" w:eastAsia="宋体" w:cs="Times New Roman"/>
                <w:sz w:val="24"/>
              </w:rPr>
              <w:t>选择</w:t>
            </w:r>
            <w:r>
              <w:rPr>
                <w:rFonts w:ascii="宋体" w:hAnsi="宋体" w:eastAsia="宋体" w:cs="Times New Roman"/>
                <w:sz w:val="24"/>
              </w:rPr>
              <w:t>一个</w:t>
            </w:r>
            <w:r>
              <w:rPr>
                <w:rFonts w:hint="eastAsia" w:ascii="宋体" w:hAnsi="宋体" w:eastAsia="宋体" w:cs="Times New Roman"/>
                <w:sz w:val="24"/>
              </w:rPr>
              <w:t>研究</w:t>
            </w:r>
            <w:r>
              <w:rPr>
                <w:rFonts w:ascii="宋体" w:hAnsi="宋体" w:eastAsia="宋体" w:cs="Times New Roman"/>
                <w:sz w:val="24"/>
              </w:rPr>
              <w:t>性学习课题，</w:t>
            </w:r>
            <w:r>
              <w:rPr>
                <w:rFonts w:hint="eastAsia" w:ascii="宋体" w:hAnsi="宋体" w:eastAsia="宋体" w:cs="Times New Roman"/>
                <w:sz w:val="24"/>
              </w:rPr>
              <w:t>设计</w:t>
            </w:r>
            <w:r>
              <w:rPr>
                <w:rFonts w:ascii="宋体" w:hAnsi="宋体" w:eastAsia="宋体" w:cs="Times New Roman"/>
                <w:sz w:val="24"/>
              </w:rPr>
              <w:t>研究性学习方案，并具体开展</w:t>
            </w:r>
            <w:r>
              <w:rPr>
                <w:rFonts w:hint="eastAsia" w:ascii="宋体" w:hAnsi="宋体" w:eastAsia="宋体" w:cs="Times New Roman"/>
                <w:sz w:val="24"/>
              </w:rPr>
              <w:t>进行一次专题研究</w:t>
            </w:r>
          </w:p>
        </w:tc>
        <w:tc>
          <w:tcPr>
            <w:tcW w:w="740" w:type="dxa"/>
            <w:vAlign w:val="center"/>
          </w:tcPr>
          <w:p w14:paraId="7341114E">
            <w:pPr>
              <w:spacing w:line="276" w:lineRule="auto"/>
              <w:jc w:val="center"/>
              <w:rPr>
                <w:rFonts w:hint="eastAsia" w:ascii="宋体" w:hAnsi="宋体" w:eastAsia="宋体" w:cs="Times New Roman"/>
                <w:sz w:val="24"/>
              </w:rPr>
            </w:pPr>
            <w:r>
              <w:rPr>
                <w:rFonts w:hint="eastAsia" w:ascii="宋体" w:hAnsi="宋体" w:eastAsia="宋体" w:cs="Times New Roman"/>
                <w:sz w:val="24"/>
              </w:rPr>
              <w:t>设计</w:t>
            </w:r>
          </w:p>
          <w:p w14:paraId="2241D5AC">
            <w:pPr>
              <w:spacing w:line="276" w:lineRule="auto"/>
              <w:jc w:val="center"/>
              <w:rPr>
                <w:rFonts w:hint="eastAsia" w:ascii="宋体" w:hAnsi="宋体" w:eastAsia="宋体" w:cs="Times New Roman"/>
                <w:sz w:val="24"/>
              </w:rPr>
            </w:pPr>
            <w:r>
              <w:rPr>
                <w:rFonts w:hint="eastAsia" w:ascii="宋体" w:hAnsi="宋体" w:eastAsia="宋体" w:cs="Times New Roman"/>
                <w:sz w:val="24"/>
              </w:rPr>
              <w:t>实践</w:t>
            </w:r>
          </w:p>
        </w:tc>
        <w:tc>
          <w:tcPr>
            <w:tcW w:w="3160" w:type="dxa"/>
          </w:tcPr>
          <w:p w14:paraId="52AEF688">
            <w:pPr>
              <w:rPr>
                <w:rFonts w:hint="eastAsia" w:ascii="宋体" w:hAnsi="宋体" w:eastAsia="宋体" w:cs="Times New Roman"/>
                <w:sz w:val="24"/>
              </w:rPr>
            </w:pPr>
            <w:r>
              <w:rPr>
                <w:rFonts w:hint="eastAsia" w:ascii="宋体" w:hAnsi="宋体" w:eastAsia="宋体" w:cs="Times New Roman"/>
                <w:sz w:val="24"/>
              </w:rPr>
              <w:t>注重创新精神和实践能力的提升，树立以学生为主体的设计理念和全面的评价理念，增强专业自信心，增强团队合作意识与沟通表达能力。</w:t>
            </w:r>
          </w:p>
        </w:tc>
      </w:tr>
      <w:tr w14:paraId="5F68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9884DCA">
            <w:pPr>
              <w:rPr>
                <w:rFonts w:hint="eastAsia" w:ascii="宋体" w:hAnsi="宋体" w:eastAsia="宋体" w:cs="Times New Roman"/>
                <w:sz w:val="24"/>
              </w:rPr>
            </w:pPr>
            <w:r>
              <w:rPr>
                <w:rFonts w:hint="eastAsia" w:ascii="宋体" w:hAnsi="宋体" w:eastAsia="宋体" w:cs="Times New Roman"/>
                <w:sz w:val="24"/>
              </w:rPr>
              <w:t>社区服务与社会实践的设计与实施</w:t>
            </w:r>
          </w:p>
        </w:tc>
        <w:tc>
          <w:tcPr>
            <w:tcW w:w="3407" w:type="dxa"/>
            <w:vAlign w:val="center"/>
          </w:tcPr>
          <w:p w14:paraId="4D1CFD06">
            <w:pPr>
              <w:rPr>
                <w:rFonts w:hint="eastAsia" w:ascii="宋体" w:hAnsi="宋体" w:eastAsia="宋体" w:cs="Times New Roman"/>
                <w:sz w:val="24"/>
              </w:rPr>
            </w:pPr>
            <w:r>
              <w:rPr>
                <w:rFonts w:hint="eastAsia" w:ascii="宋体" w:hAnsi="宋体" w:eastAsia="宋体" w:cs="Times New Roman"/>
                <w:sz w:val="24"/>
              </w:rPr>
              <w:t>选择</w:t>
            </w:r>
            <w:r>
              <w:rPr>
                <w:rFonts w:ascii="宋体" w:hAnsi="宋体" w:eastAsia="宋体" w:cs="Times New Roman"/>
                <w:sz w:val="24"/>
              </w:rPr>
              <w:t>一个</w:t>
            </w:r>
            <w:r>
              <w:rPr>
                <w:rFonts w:hint="eastAsia" w:ascii="宋体" w:hAnsi="宋体" w:eastAsia="宋体" w:cs="Times New Roman"/>
                <w:sz w:val="24"/>
              </w:rPr>
              <w:t>社区服务或社会实践活动主题</w:t>
            </w:r>
            <w:r>
              <w:rPr>
                <w:rFonts w:ascii="宋体" w:hAnsi="宋体" w:eastAsia="宋体" w:cs="Times New Roman"/>
                <w:sz w:val="24"/>
              </w:rPr>
              <w:t>，设计活动方案并具体</w:t>
            </w:r>
            <w:r>
              <w:rPr>
                <w:rFonts w:hint="eastAsia" w:ascii="宋体" w:hAnsi="宋体" w:eastAsia="宋体" w:cs="Times New Roman"/>
                <w:sz w:val="24"/>
              </w:rPr>
              <w:t>开展</w:t>
            </w:r>
            <w:r>
              <w:rPr>
                <w:rFonts w:ascii="宋体" w:hAnsi="宋体" w:eastAsia="宋体" w:cs="Times New Roman"/>
                <w:sz w:val="24"/>
              </w:rPr>
              <w:t>活动</w:t>
            </w:r>
          </w:p>
        </w:tc>
        <w:tc>
          <w:tcPr>
            <w:tcW w:w="740" w:type="dxa"/>
            <w:vAlign w:val="center"/>
          </w:tcPr>
          <w:p w14:paraId="6C23A352">
            <w:pPr>
              <w:spacing w:line="276" w:lineRule="auto"/>
              <w:jc w:val="center"/>
              <w:rPr>
                <w:rFonts w:hint="eastAsia" w:ascii="宋体" w:hAnsi="宋体" w:eastAsia="宋体" w:cs="Times New Roman"/>
                <w:sz w:val="24"/>
              </w:rPr>
            </w:pPr>
            <w:r>
              <w:rPr>
                <w:rFonts w:hint="eastAsia" w:ascii="宋体" w:hAnsi="宋体" w:eastAsia="宋体" w:cs="Times New Roman"/>
                <w:sz w:val="24"/>
              </w:rPr>
              <w:t>设计</w:t>
            </w:r>
          </w:p>
          <w:p w14:paraId="2E3D8052">
            <w:pPr>
              <w:spacing w:line="276" w:lineRule="auto"/>
              <w:jc w:val="center"/>
              <w:rPr>
                <w:rFonts w:hint="eastAsia" w:ascii="宋体" w:hAnsi="宋体" w:eastAsia="宋体" w:cs="Times New Roman"/>
                <w:sz w:val="24"/>
              </w:rPr>
            </w:pPr>
            <w:r>
              <w:rPr>
                <w:rFonts w:hint="eastAsia" w:ascii="宋体" w:hAnsi="宋体" w:eastAsia="宋体" w:cs="Times New Roman"/>
                <w:sz w:val="24"/>
              </w:rPr>
              <w:t>实践</w:t>
            </w:r>
          </w:p>
        </w:tc>
        <w:tc>
          <w:tcPr>
            <w:tcW w:w="3160" w:type="dxa"/>
          </w:tcPr>
          <w:p w14:paraId="08708343">
            <w:pPr>
              <w:rPr>
                <w:rFonts w:hint="eastAsia" w:ascii="宋体" w:hAnsi="宋体" w:eastAsia="宋体" w:cs="Times New Roman"/>
                <w:sz w:val="24"/>
              </w:rPr>
            </w:pPr>
            <w:r>
              <w:rPr>
                <w:rFonts w:hint="eastAsia" w:ascii="宋体" w:hAnsi="宋体" w:eastAsia="宋体" w:cs="Times New Roman"/>
                <w:sz w:val="24"/>
              </w:rPr>
              <w:t>注重创新精神和实践能力的提升，树立以学生为主体的设计理念和全面的评价理念，增强专业自信心，增强团队合作意识与沟通表达能力。</w:t>
            </w:r>
          </w:p>
        </w:tc>
      </w:tr>
      <w:tr w14:paraId="3CB8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425F3285">
            <w:pPr>
              <w:rPr>
                <w:rFonts w:hint="eastAsia" w:ascii="宋体" w:hAnsi="宋体" w:eastAsia="宋体" w:cs="Times New Roman"/>
                <w:sz w:val="24"/>
              </w:rPr>
            </w:pPr>
            <w:r>
              <w:rPr>
                <w:rFonts w:hint="eastAsia" w:ascii="宋体" w:hAnsi="宋体" w:eastAsia="宋体" w:cs="Times New Roman"/>
                <w:sz w:val="24"/>
              </w:rPr>
              <w:t>劳动与技术教育和信息技术教育的设计与实施</w:t>
            </w:r>
          </w:p>
        </w:tc>
        <w:tc>
          <w:tcPr>
            <w:tcW w:w="3407" w:type="dxa"/>
            <w:vAlign w:val="center"/>
          </w:tcPr>
          <w:p w14:paraId="5921DE26">
            <w:pPr>
              <w:rPr>
                <w:rFonts w:hint="eastAsia" w:ascii="宋体" w:hAnsi="宋体" w:eastAsia="宋体" w:cs="Times New Roman"/>
                <w:sz w:val="24"/>
              </w:rPr>
            </w:pPr>
            <w:r>
              <w:rPr>
                <w:rFonts w:hint="eastAsia" w:ascii="宋体" w:hAnsi="宋体" w:eastAsia="宋体" w:cs="Times New Roman"/>
                <w:sz w:val="24"/>
              </w:rPr>
              <w:t>设计一份劳技制作活动方案并提交劳技</w:t>
            </w:r>
            <w:r>
              <w:rPr>
                <w:rFonts w:ascii="宋体" w:hAnsi="宋体" w:eastAsia="宋体" w:cs="Times New Roman"/>
                <w:sz w:val="24"/>
              </w:rPr>
              <w:t>作品一件</w:t>
            </w:r>
          </w:p>
        </w:tc>
        <w:tc>
          <w:tcPr>
            <w:tcW w:w="740" w:type="dxa"/>
            <w:vAlign w:val="center"/>
          </w:tcPr>
          <w:p w14:paraId="03543CBD">
            <w:pPr>
              <w:spacing w:line="276" w:lineRule="auto"/>
              <w:jc w:val="center"/>
              <w:rPr>
                <w:rFonts w:hint="eastAsia" w:ascii="宋体" w:hAnsi="宋体" w:eastAsia="宋体" w:cs="Times New Roman"/>
                <w:sz w:val="24"/>
              </w:rPr>
            </w:pPr>
            <w:r>
              <w:rPr>
                <w:rFonts w:hint="eastAsia" w:ascii="宋体" w:hAnsi="宋体" w:eastAsia="宋体" w:cs="Times New Roman"/>
                <w:sz w:val="24"/>
              </w:rPr>
              <w:t>设计</w:t>
            </w:r>
          </w:p>
          <w:p w14:paraId="51AAC579">
            <w:pPr>
              <w:spacing w:line="276" w:lineRule="auto"/>
              <w:jc w:val="center"/>
              <w:rPr>
                <w:rFonts w:hint="eastAsia" w:ascii="宋体" w:hAnsi="宋体" w:eastAsia="宋体" w:cs="Times New Roman"/>
                <w:sz w:val="24"/>
              </w:rPr>
            </w:pPr>
            <w:r>
              <w:rPr>
                <w:rFonts w:hint="eastAsia" w:ascii="宋体" w:hAnsi="宋体" w:eastAsia="宋体" w:cs="Times New Roman"/>
                <w:sz w:val="24"/>
              </w:rPr>
              <w:t>实践</w:t>
            </w:r>
          </w:p>
        </w:tc>
        <w:tc>
          <w:tcPr>
            <w:tcW w:w="3160" w:type="dxa"/>
          </w:tcPr>
          <w:p w14:paraId="1F66903F">
            <w:pPr>
              <w:rPr>
                <w:rFonts w:hint="eastAsia" w:ascii="宋体" w:hAnsi="宋体" w:eastAsia="宋体" w:cs="Times New Roman"/>
                <w:sz w:val="24"/>
              </w:rPr>
            </w:pPr>
            <w:r>
              <w:rPr>
                <w:rFonts w:hint="eastAsia" w:ascii="宋体" w:hAnsi="宋体" w:eastAsia="宋体" w:cs="Times New Roman"/>
                <w:sz w:val="24"/>
              </w:rPr>
              <w:t>注重创新精神和实践能力的提升，树立以学生为主体的设计理念和全面的评价理念，增强专业自信心，增强团队合作意识与沟通表达能力。</w:t>
            </w:r>
          </w:p>
        </w:tc>
      </w:tr>
    </w:tbl>
    <w:p w14:paraId="0F993451">
      <w:pPr>
        <w:spacing w:line="360" w:lineRule="auto"/>
        <w:ind w:firstLine="472" w:firstLineChars="196"/>
        <w:jc w:val="left"/>
        <w:rPr>
          <w:rFonts w:hint="eastAsia" w:ascii="宋体" w:hAnsi="宋体" w:eastAsia="宋体" w:cs="Times New Roman"/>
          <w:b/>
          <w:color w:val="000000"/>
          <w:sz w:val="24"/>
        </w:rPr>
      </w:pPr>
    </w:p>
    <w:p w14:paraId="0378C159">
      <w:pPr>
        <w:spacing w:line="360" w:lineRule="auto"/>
        <w:jc w:val="left"/>
        <w:rPr>
          <w:rFonts w:ascii="Times New Roman" w:hAnsi="Times New Roman" w:eastAsia="宋体" w:cs="Times New Roman"/>
          <w:b/>
          <w:bCs/>
          <w:sz w:val="28"/>
          <w:szCs w:val="28"/>
        </w:rPr>
      </w:pPr>
      <w:r>
        <w:rPr>
          <w:rFonts w:hint="eastAsia" w:ascii="宋体" w:hAnsi="宋体" w:eastAsia="宋体" w:cs="Times New Roman"/>
          <w:b/>
          <w:color w:val="000000"/>
          <w:sz w:val="28"/>
          <w:szCs w:val="28"/>
        </w:rPr>
        <w:t>六、有关说明</w:t>
      </w:r>
    </w:p>
    <w:p w14:paraId="4A9E3678">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329C69D8">
      <w:pPr>
        <w:spacing w:line="360" w:lineRule="auto"/>
        <w:ind w:firstLine="360" w:firstLineChars="150"/>
        <w:jc w:val="left"/>
        <w:rPr>
          <w:rFonts w:ascii="Times New Roman" w:hAnsi="Times New Roman" w:eastAsia="宋体" w:cs="Times New Roman"/>
          <w:b/>
          <w:sz w:val="24"/>
        </w:rPr>
      </w:pPr>
      <w:r>
        <w:rPr>
          <w:rFonts w:hint="eastAsia" w:ascii="Times New Roman" w:hAnsi="Times New Roman" w:eastAsia="宋体" w:cs="Times New Roman"/>
          <w:sz w:val="24"/>
        </w:rPr>
        <w:t>本课程根据学生作业、课堂讨论、实践环节和学生、教学督导等的反馈，及时对教学中的不足之处进行改进，并在下一轮课程教学中整改完善，确保相应毕业要求指标点达成。</w:t>
      </w:r>
      <w:r>
        <w:rPr>
          <w:rFonts w:hint="eastAsia" w:ascii="Times New Roman" w:hAnsi="Times New Roman" w:eastAsia="宋体" w:cs="Times New Roman"/>
          <w:b/>
          <w:sz w:val="24"/>
        </w:rPr>
        <w:t>（二）建议教材</w:t>
      </w:r>
    </w:p>
    <w:p w14:paraId="35954B8D">
      <w:pPr>
        <w:spacing w:line="360" w:lineRule="auto"/>
        <w:ind w:firstLine="600" w:firstLineChars="250"/>
        <w:jc w:val="left"/>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顾建军．小学综合实践活动设计（第3版）．北京：高等教育出版社，2020．</w:t>
      </w:r>
    </w:p>
    <w:p w14:paraId="3B803006">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（三）参考书目</w:t>
      </w:r>
    </w:p>
    <w:p w14:paraId="3FBF1AD0">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1.柳夕浪.</w:t>
      </w:r>
      <w:r>
        <w:rPr>
          <w:rFonts w:hint="eastAsia"/>
          <w:sz w:val="24"/>
        </w:rPr>
        <w:t xml:space="preserve"> </w:t>
      </w:r>
      <w:r>
        <w:rPr>
          <w:rFonts w:hint="eastAsia" w:ascii="宋体" w:hAnsi="宋体" w:eastAsia="宋体" w:cs="Times New Roman"/>
          <w:sz w:val="24"/>
        </w:rPr>
        <w:t>《中小学综合实践活动课程指导纲要》解读.石家庄：河北教育出版社，2019.</w:t>
      </w:r>
    </w:p>
    <w:p w14:paraId="21748617">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2.胡扬洋，白欣.综合实践活动课程与教学.北京：北京师范大学出版社，2023.</w:t>
      </w:r>
    </w:p>
    <w:p w14:paraId="0E48E2BF">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3.刘道溶.中小学综合实践活动教学活动设计案例精选.北京：北京大学出版社，2012.</w:t>
      </w:r>
    </w:p>
    <w:p w14:paraId="1D2F6A51">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4.郭元祥．综合实践活动课程——设计与实施．首都师范大学出版社，2001．</w:t>
      </w:r>
    </w:p>
    <w:p w14:paraId="3F0E705B">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5.郭元祥．综合实践活动课程的实施．高等教育出版社，2003．</w:t>
      </w:r>
    </w:p>
    <w:p w14:paraId="27F91F1D">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6.教育部基础教育司．走进新课程——与课程实施者对话．北京师范大学出版社，2002．</w:t>
      </w:r>
    </w:p>
    <w:p w14:paraId="1B2B5D06">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7.姜平．综合实践活动教学设计与特色案例评析．首都师范大学出版社，2003．</w:t>
      </w:r>
    </w:p>
    <w:p w14:paraId="699C7F93">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8.姜平．综合实践活动课程的整体推进与校本化实施．首都师范大学出版社，2006．</w:t>
      </w:r>
    </w:p>
    <w:p w14:paraId="33D726C9">
      <w:pPr>
        <w:rPr>
          <w:sz w:val="24"/>
        </w:rPr>
      </w:pPr>
    </w:p>
    <w:p w14:paraId="5FF7B493">
      <w:pPr>
        <w:rPr>
          <w:sz w:val="24"/>
        </w:rPr>
      </w:pPr>
    </w:p>
    <w:p w14:paraId="3CD75726">
      <w:pPr>
        <w:rPr>
          <w:sz w:val="24"/>
        </w:rPr>
      </w:pPr>
    </w:p>
    <w:p w14:paraId="2C372E4A">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执 笔 人：谢国忠</w:t>
      </w:r>
    </w:p>
    <w:p w14:paraId="5BF78C6C">
      <w:pPr>
        <w:wordWrap w:val="0"/>
        <w:spacing w:line="360" w:lineRule="auto"/>
        <w:ind w:right="144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定 人：王 健</w:t>
      </w:r>
    </w:p>
    <w:p w14:paraId="42D2E646">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2FD8D982">
      <w:pPr>
        <w:spacing w:line="360" w:lineRule="auto"/>
        <w:ind w:firstLine="4800" w:firstLineChars="2000"/>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2D1D0E0B"/>
    <w:p w14:paraId="4EB09037">
      <w:pPr>
        <w:rPr>
          <w:rFonts w:hint="eastAsia" w:ascii="等线" w:hAnsi="等线" w:eastAsia="等线" w:cs="等线"/>
          <w:b/>
          <w:bCs/>
          <w:sz w:val="44"/>
          <w:szCs w:val="44"/>
        </w:rPr>
      </w:pPr>
      <w:r>
        <w:rPr>
          <w:rFonts w:hint="eastAsia" w:ascii="等线" w:hAnsi="等线" w:eastAsia="等线" w:cs="等线"/>
          <w:b/>
          <w:bCs/>
          <w:sz w:val="44"/>
          <w:szCs w:val="44"/>
        </w:rPr>
        <w:br w:type="page"/>
      </w:r>
    </w:p>
    <w:p w14:paraId="66996E1D">
      <w:pPr>
        <w:spacing w:line="360" w:lineRule="auto"/>
        <w:jc w:val="center"/>
        <w:outlineLvl w:val="0"/>
        <w:rPr>
          <w:rFonts w:ascii="Times New Roman" w:hAnsi="Times New Roman" w:eastAsia="宋体" w:cs="Times New Roman"/>
          <w:b/>
          <w:sz w:val="44"/>
          <w:szCs w:val="44"/>
        </w:rPr>
      </w:pPr>
      <w:bookmarkStart w:id="250" w:name="_Toc32607"/>
      <w:bookmarkStart w:id="251" w:name="_Toc27882"/>
      <w:r>
        <w:rPr>
          <w:rFonts w:hint="eastAsia" w:ascii="Times New Roman" w:hAnsi="Times New Roman" w:eastAsia="宋体" w:cs="Times New Roman"/>
          <w:b/>
          <w:sz w:val="44"/>
          <w:szCs w:val="44"/>
        </w:rPr>
        <w:t>《航模制作与训练课程》课程教学大纲</w:t>
      </w:r>
      <w:bookmarkEnd w:id="250"/>
      <w:bookmarkEnd w:id="251"/>
    </w:p>
    <w:p w14:paraId="27222A19">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Aeromodelling and Training</w:t>
      </w:r>
      <w:r>
        <w:rPr>
          <w:rFonts w:ascii="Times New Roman" w:hAnsi="Times New Roman" w:eastAsia="宋体" w:cs="Times New Roman"/>
          <w:b/>
          <w:bCs/>
          <w:sz w:val="28"/>
          <w:szCs w:val="28"/>
        </w:rPr>
        <w:t>）</w:t>
      </w:r>
    </w:p>
    <w:p w14:paraId="64B5D992">
      <w:pPr>
        <w:spacing w:line="360" w:lineRule="auto"/>
        <w:jc w:val="center"/>
        <w:rPr>
          <w:rFonts w:ascii="Times New Roman" w:hAnsi="Times New Roman" w:eastAsia="宋体" w:cs="Times New Roman"/>
          <w:bCs/>
          <w:sz w:val="30"/>
          <w:szCs w:val="30"/>
        </w:rPr>
      </w:pPr>
    </w:p>
    <w:p w14:paraId="2F68A3B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课程名称：航模制作与训练课程</w:t>
      </w:r>
    </w:p>
    <w:p w14:paraId="5C5E3A2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课程代码：2401034</w:t>
      </w:r>
    </w:p>
    <w:p w14:paraId="25E93E9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0011D8B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时：32（其中：讲授学时16，实践学时16）</w:t>
      </w:r>
    </w:p>
    <w:p w14:paraId="47B43D2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先修课程：数学分析、 高等代数、 空间解析几何、 概率与统计、初等数论</w:t>
      </w:r>
    </w:p>
    <w:p w14:paraId="689BA68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364FDBCA">
      <w:pPr>
        <w:spacing w:line="360" w:lineRule="auto"/>
        <w:jc w:val="left"/>
        <w:rPr>
          <w:rFonts w:ascii="Times New Roman" w:hAnsi="Times New Roman" w:eastAsia="宋体" w:cs="Times New Roman"/>
          <w:b/>
          <w:sz w:val="24"/>
        </w:rPr>
      </w:pPr>
    </w:p>
    <w:p w14:paraId="30AF92F3">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5AA5417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选修课程。通过本课程学习，使学生全面掌握航模制作与训练的内涵、价值、目标、内容、方法，要求学生能动手参与到制作过程中，获得锻炼并能享受这个过程和形成最终成果的成就感，旨在于让学生在扩充新的知识领域的同时培养发散性创新性思维，提高学生的动手能力与加强创新思维方式的培养，为后续创新实践课程学习奠定基础。</w:t>
      </w:r>
    </w:p>
    <w:p w14:paraId="10CCDC6E">
      <w:pPr>
        <w:spacing w:line="360" w:lineRule="auto"/>
        <w:jc w:val="left"/>
        <w:rPr>
          <w:rFonts w:hint="eastAsia" w:ascii="宋体" w:hAnsi="宋体" w:eastAsia="宋体" w:cs="Times New Roman"/>
          <w:b/>
          <w:color w:val="000000"/>
          <w:szCs w:val="21"/>
        </w:rPr>
      </w:pPr>
    </w:p>
    <w:p w14:paraId="1E3120E9">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5DC83FEB">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648F9D4">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掌握学航模制作与训练的内涵与价值、航模制作与训练相关理论、航模制作与训练目标、航模制作与训练内容与方法、航模制作与训练设计与组织指导策略等基本理论及实践知识。</w:t>
      </w:r>
    </w:p>
    <w:p w14:paraId="18A52398">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.能根据儿童身心发展规律和学习特点，运用航模制作与训练的基础理论，结合小学教育教学实践进行研究，具有一定的教学研究能力。</w:t>
      </w:r>
    </w:p>
    <w:p w14:paraId="12532F13">
      <w:pPr>
        <w:pStyle w:val="12"/>
        <w:spacing w:before="0" w:beforeAutospacing="0" w:after="0" w:afterAutospacing="0" w:line="360" w:lineRule="auto"/>
        <w:ind w:firstLine="420"/>
        <w:jc w:val="both"/>
        <w:rPr>
          <w:rFonts w:ascii="Times New Roman" w:hAnsi="Times New Roman" w:cs="Times New Roman"/>
          <w:kern w:val="2"/>
          <w:sz w:val="21"/>
          <w:szCs w:val="21"/>
        </w:rPr>
      </w:pPr>
      <w:r>
        <w:rPr>
          <w:rFonts w:hint="eastAsia" w:ascii="Times New Roman" w:hAnsi="Times New Roman" w:cs="Times New Roman"/>
          <w:b/>
          <w:kern w:val="2"/>
          <w:sz w:val="21"/>
          <w:szCs w:val="21"/>
        </w:rPr>
        <w:t>目标3</w:t>
      </w:r>
      <w:r>
        <w:rPr>
          <w:rFonts w:hint="eastAsia" w:ascii="Times New Roman" w:hAnsi="Times New Roman" w:cs="Times New Roman"/>
          <w:b/>
          <w:szCs w:val="21"/>
        </w:rPr>
        <w:t>．</w:t>
      </w:r>
      <w:r>
        <w:rPr>
          <w:rFonts w:hint="eastAsia" w:ascii="Times New Roman" w:hAnsi="Times New Roman" w:cs="Times New Roman"/>
          <w:kern w:val="2"/>
          <w:sz w:val="21"/>
          <w:szCs w:val="21"/>
        </w:rPr>
        <w:t>具有终身学习与专业发展的意识，掌握学航模制作与训练的评价方法和技能，能够运用批判性思维方法，对航模制作与训练进行教育反思。</w:t>
      </w:r>
    </w:p>
    <w:p w14:paraId="1C41AFDD">
      <w:pPr>
        <w:pStyle w:val="12"/>
        <w:spacing w:before="0" w:beforeAutospacing="0" w:after="0" w:afterAutospacing="0" w:line="360" w:lineRule="auto"/>
        <w:ind w:firstLine="420"/>
        <w:jc w:val="both"/>
        <w:rPr>
          <w:rFonts w:ascii="Times New Roman" w:hAnsi="Times New Roman" w:cs="Times New Roman"/>
          <w:kern w:val="2"/>
          <w:sz w:val="21"/>
          <w:szCs w:val="21"/>
        </w:rPr>
      </w:pPr>
      <w:r>
        <w:rPr>
          <w:rFonts w:hint="eastAsia" w:ascii="Times New Roman" w:hAnsi="Times New Roman" w:cs="Times New Roman"/>
          <w:b/>
          <w:kern w:val="2"/>
          <w:sz w:val="21"/>
          <w:szCs w:val="21"/>
        </w:rPr>
        <w:t>目标4.</w:t>
      </w:r>
      <w:r>
        <w:rPr>
          <w:rFonts w:hint="eastAsia" w:ascii="方正书宋_GBK" w:hAnsi="方正书宋_GBK" w:eastAsia="方正书宋_GBK" w:cs="方正书宋_GBK"/>
          <w:color w:val="000000"/>
        </w:rPr>
        <w:t xml:space="preserve"> </w:t>
      </w:r>
      <w:r>
        <w:rPr>
          <w:rFonts w:hint="eastAsia" w:ascii="Times New Roman" w:hAnsi="Times New Roman" w:cs="Times New Roman"/>
          <w:kern w:val="2"/>
          <w:sz w:val="21"/>
          <w:szCs w:val="21"/>
        </w:rPr>
        <w:t>能够在小组合作活动中完成不同类型航模制作与训练活动、培养团队精神和团队成员合作意识，具有团队互助和合作学习体验。</w:t>
      </w:r>
    </w:p>
    <w:p w14:paraId="1F048176">
      <w:pPr>
        <w:spacing w:line="360" w:lineRule="auto"/>
        <w:ind w:firstLine="420" w:firstLineChars="200"/>
        <w:jc w:val="left"/>
        <w:rPr>
          <w:rFonts w:ascii="Times New Roman" w:hAnsi="Times New Roman" w:eastAsia="宋体" w:cs="Times New Roman"/>
          <w:szCs w:val="21"/>
        </w:rPr>
      </w:pPr>
    </w:p>
    <w:p w14:paraId="0AE74CFC">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EF4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6810D1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7FE0891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3F73D3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3D0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67F8A3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毕业要求3知识学习</w:t>
            </w:r>
          </w:p>
        </w:tc>
        <w:tc>
          <w:tcPr>
            <w:tcW w:w="5688" w:type="dxa"/>
            <w:vAlign w:val="center"/>
          </w:tcPr>
          <w:p w14:paraId="05E527B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指标点3-4: 掌握健康、社会、语言、科学、艺术五大领域的基础知识、思想方法与策略，并能注重知识的整合与迁移。</w:t>
            </w:r>
          </w:p>
        </w:tc>
        <w:tc>
          <w:tcPr>
            <w:tcW w:w="1191" w:type="dxa"/>
            <w:vAlign w:val="center"/>
          </w:tcPr>
          <w:p w14:paraId="4332180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566E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07C66F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毕业要求4能力培养</w:t>
            </w:r>
          </w:p>
        </w:tc>
        <w:tc>
          <w:tcPr>
            <w:tcW w:w="5688" w:type="dxa"/>
            <w:vAlign w:val="center"/>
          </w:tcPr>
          <w:p w14:paraId="2F879582">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指标点4-4: 掌握教育研究的基本方法，结合小学教育教学实践进行研究，具有一定的教学研究能力。</w:t>
            </w:r>
          </w:p>
        </w:tc>
        <w:tc>
          <w:tcPr>
            <w:tcW w:w="1191" w:type="dxa"/>
            <w:vAlign w:val="center"/>
          </w:tcPr>
          <w:p w14:paraId="7F7F6C6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1963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546716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毕业要求7学会反思</w:t>
            </w:r>
          </w:p>
        </w:tc>
        <w:tc>
          <w:tcPr>
            <w:tcW w:w="5688" w:type="dxa"/>
            <w:vAlign w:val="center"/>
          </w:tcPr>
          <w:p w14:paraId="5A7947A5">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指标点7-3：初步养成反思的习惯与意识，具有批判精神，并能在教育实践中从不同角度对问题进行思考和分析。</w:t>
            </w:r>
          </w:p>
        </w:tc>
        <w:tc>
          <w:tcPr>
            <w:tcW w:w="1191" w:type="dxa"/>
            <w:vAlign w:val="center"/>
          </w:tcPr>
          <w:p w14:paraId="79BE6CD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45D6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334638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毕业要求8沟通合作</w:t>
            </w:r>
          </w:p>
        </w:tc>
        <w:tc>
          <w:tcPr>
            <w:tcW w:w="5688" w:type="dxa"/>
            <w:vAlign w:val="center"/>
          </w:tcPr>
          <w:p w14:paraId="5BD9FB5E">
            <w:pPr>
              <w:spacing w:line="276" w:lineRule="auto"/>
              <w:jc w:val="left"/>
              <w:rPr>
                <w:rFonts w:ascii="Times New Roman" w:hAnsi="Times New Roman" w:eastAsia="宋体" w:cs="Times New Roman"/>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rPr>
              <w:t>8-1：认同团队协作的价值，掌握沟通、交流、合作的基本技能，积极参与学习共同体的构建，具有合作互助的能力。</w:t>
            </w:r>
          </w:p>
        </w:tc>
        <w:tc>
          <w:tcPr>
            <w:tcW w:w="1191" w:type="dxa"/>
            <w:vAlign w:val="center"/>
          </w:tcPr>
          <w:p w14:paraId="548D252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课程目标4</w:t>
            </w:r>
          </w:p>
        </w:tc>
      </w:tr>
    </w:tbl>
    <w:p w14:paraId="4AD3958D">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21D2F2B">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本课程以航模制作为载体，立足“立德树人”根本任务，深度融合思政教育与科学实践，培养小学生的核心素养与家国情怀。一是弘扬科学报国精神，通过探索飞行原理、分析中国航天成就（如北斗系统、载人航天），激发学生创新意识，树立“科技强国”的理想信念；二是厚植爱国情怀与文化自信，融入中国航空航天的奋斗故事，引导学生感悟航天精神，增强民族自豪感；三是锤炼团队品格与实践能力，在航模合作制作中学会沟通互助、责任担当，通过动手劳动体会工匠精神的价值；四是**涵养坚韧意志与责任意识，鼓励学生在试飞失败中积极反思、改进设计，理解“严谨求实”的重要性，同时强化安全规范与环保理念，树立科技向善的价值观。课程通过“做中学、学中悟”，助力学生成长为有理想、敢创新、肯奋斗的新时代少年。  </w:t>
      </w:r>
    </w:p>
    <w:p w14:paraId="24A76282">
      <w:pPr>
        <w:spacing w:line="360" w:lineRule="auto"/>
        <w:jc w:val="left"/>
        <w:rPr>
          <w:rFonts w:hint="eastAsia" w:ascii="宋体" w:hAnsi="宋体" w:eastAsia="宋体" w:cs="Times New Roman"/>
          <w:color w:val="000000"/>
          <w:szCs w:val="21"/>
        </w:rPr>
      </w:pPr>
    </w:p>
    <w:p w14:paraId="447ADF8E">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8DA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8DF2B9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4992ED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3A754F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25732D3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4E99AA1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781FD0E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79F35B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1DCA60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1E76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8D8CD4C">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1.航空发展史与航空模型及其分类</w:t>
            </w:r>
          </w:p>
          <w:p w14:paraId="3048CD3A">
            <w:pPr>
              <w:spacing w:line="264" w:lineRule="auto"/>
              <w:jc w:val="center"/>
              <w:rPr>
                <w:rFonts w:hint="eastAsia" w:ascii="宋体" w:hAnsi="宋体" w:eastAsia="宋体" w:cs="Times New Roman"/>
                <w:color w:val="000000"/>
                <w:szCs w:val="21"/>
              </w:rPr>
            </w:pPr>
          </w:p>
        </w:tc>
        <w:tc>
          <w:tcPr>
            <w:tcW w:w="1701" w:type="dxa"/>
            <w:vAlign w:val="center"/>
          </w:tcPr>
          <w:p w14:paraId="73F6043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（1）介绍人类早期的飞行幻想，著名的飞行梦事件；</w:t>
            </w:r>
          </w:p>
          <w:p w14:paraId="400C52C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（2）介绍工业革命时期飞艇和飞机的发明；</w:t>
            </w:r>
          </w:p>
          <w:p w14:paraId="33D14B8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（3）梳理航空史上的重要节点，简要介绍各种类型的飞机的诞生和发展；</w:t>
            </w:r>
          </w:p>
          <w:p w14:paraId="7F4B57B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（4）讲解当前世界的航空技术格局和我国的航空发展现状。</w:t>
            </w:r>
          </w:p>
          <w:p w14:paraId="0870702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（5）整理各种各样航空模型的图片、飞行视频，为学生展示各种场景下的航模飞行以及多种式样的飞机模型；</w:t>
            </w:r>
          </w:p>
          <w:p w14:paraId="5C8C5BD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（6）展示航模实物，使其对航空模型建立形象的概念和认知；</w:t>
            </w:r>
          </w:p>
          <w:p w14:paraId="0FAB493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（7）简介航空模型的发展史，展示早期的航模照片；</w:t>
            </w:r>
          </w:p>
          <w:p w14:paraId="392509E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（8）对航空模型进行分类，让学生能正确识别各种类型的航空模型。</w:t>
            </w:r>
          </w:p>
          <w:p w14:paraId="5CFA39A9">
            <w:pPr>
              <w:spacing w:line="269" w:lineRule="auto"/>
              <w:jc w:val="left"/>
              <w:rPr>
                <w:rFonts w:hint="eastAsia" w:ascii="宋体" w:hAnsi="宋体" w:eastAsia="宋体" w:cs="Times New Roman"/>
                <w:color w:val="000000"/>
                <w:szCs w:val="21"/>
              </w:rPr>
            </w:pPr>
          </w:p>
        </w:tc>
        <w:tc>
          <w:tcPr>
            <w:tcW w:w="1134" w:type="dxa"/>
            <w:vAlign w:val="center"/>
          </w:tcPr>
          <w:p w14:paraId="0682F891">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698682E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（1）理解科学的内涵</w:t>
            </w:r>
          </w:p>
          <w:p w14:paraId="6859BD6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（2）掌握学航模制作与训练的内涵与价值</w:t>
            </w:r>
          </w:p>
          <w:p w14:paraId="55C3E33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（3）了解国内航空发展史与航空模型的发展趋势</w:t>
            </w:r>
          </w:p>
          <w:p w14:paraId="56EFD9A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（4）运用航空发展史与航空模型理论知识分析小学儿童科学学习的特点</w:t>
            </w:r>
          </w:p>
          <w:p w14:paraId="4A7D58AC">
            <w:pPr>
              <w:spacing w:line="269" w:lineRule="auto"/>
              <w:jc w:val="left"/>
              <w:rPr>
                <w:rFonts w:hint="eastAsia" w:ascii="宋体" w:hAnsi="宋体" w:eastAsia="宋体" w:cs="Times New Roman"/>
                <w:color w:val="000000"/>
                <w:szCs w:val="21"/>
              </w:rPr>
            </w:pPr>
          </w:p>
        </w:tc>
        <w:tc>
          <w:tcPr>
            <w:tcW w:w="1560" w:type="dxa"/>
            <w:vAlign w:val="center"/>
          </w:tcPr>
          <w:p w14:paraId="45BF8E2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60BC8B6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C3D2BE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11CA71A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46D5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8AF6291">
            <w:pPr>
              <w:spacing w:line="264" w:lineRule="auto"/>
              <w:jc w:val="center"/>
              <w:rPr>
                <w:rFonts w:hint="eastAsia" w:ascii="宋体" w:hAnsi="宋体" w:eastAsia="宋体" w:cs="Times New Roman"/>
                <w:color w:val="000000"/>
                <w:szCs w:val="21"/>
              </w:rPr>
            </w:pPr>
          </w:p>
        </w:tc>
        <w:tc>
          <w:tcPr>
            <w:tcW w:w="8093" w:type="dxa"/>
            <w:gridSpan w:val="5"/>
            <w:vAlign w:val="center"/>
          </w:tcPr>
          <w:p w14:paraId="0B65435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让学生了解学习航空发展史和发展趋势，观看实物模型图片，掌握相关的概念，让学生对我国航空发展在全球发展中的历程、地位和作用形成初步的认识，建立起对我国航空事业发展的兴趣，让“四个自信”理念落实到科学教育领域。</w:t>
            </w:r>
          </w:p>
        </w:tc>
      </w:tr>
      <w:tr w14:paraId="11FA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490841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2.基本飞行原理与计算机模拟飞行软件</w:t>
            </w:r>
          </w:p>
        </w:tc>
        <w:tc>
          <w:tcPr>
            <w:tcW w:w="1701" w:type="dxa"/>
            <w:vAlign w:val="center"/>
          </w:tcPr>
          <w:p w14:paraId="37295C8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（1）讲解固定翼飞机的常规布局和特殊布局、固定翼飞机机翼产生升力的原理、固定翼飞机的舵面控制效应；</w:t>
            </w:r>
          </w:p>
          <w:p w14:paraId="48D0450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（2）讲解直升飞机的升力来源与控制原理，同时做适当扩展，对变种直升机比如四旋翼飞机、共轴双桨直升机做一定程度的介绍；</w:t>
            </w:r>
          </w:p>
          <w:p w14:paraId="78F59D3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（3）讲解其他飞行器，比如热气球、飞艇、旋翼机、扑翼机等，的基本飞行原理。</w:t>
            </w:r>
          </w:p>
          <w:p w14:paraId="019C7E14">
            <w:pPr>
              <w:spacing w:line="269" w:lineRule="auto"/>
              <w:jc w:val="left"/>
              <w:rPr>
                <w:rFonts w:hint="eastAsia" w:ascii="宋体" w:hAnsi="宋体" w:eastAsia="宋体" w:cs="Times New Roman"/>
                <w:color w:val="000000"/>
                <w:szCs w:val="21"/>
              </w:rPr>
            </w:pPr>
          </w:p>
        </w:tc>
        <w:tc>
          <w:tcPr>
            <w:tcW w:w="1134" w:type="dxa"/>
            <w:vAlign w:val="center"/>
          </w:tcPr>
          <w:p w14:paraId="6B9D82E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vAlign w:val="center"/>
          </w:tcPr>
          <w:p w14:paraId="14B4D11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（1）理解飞行原理与计算机模拟飞行软件的制定依据</w:t>
            </w:r>
          </w:p>
          <w:p w14:paraId="77C6ECB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（2）掌握学飞行原理总目标、各年龄段分目标、单元目标和具体活动目标制定方法</w:t>
            </w:r>
          </w:p>
          <w:p w14:paraId="25744EF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（3）应用所学知识设计航空模型制作目标</w:t>
            </w:r>
          </w:p>
          <w:p w14:paraId="7A06714F">
            <w:pPr>
              <w:spacing w:line="269" w:lineRule="auto"/>
              <w:jc w:val="left"/>
              <w:rPr>
                <w:rFonts w:hint="eastAsia" w:ascii="宋体" w:hAnsi="宋体" w:eastAsia="宋体" w:cs="Times New Roman"/>
                <w:color w:val="000000"/>
                <w:szCs w:val="21"/>
              </w:rPr>
            </w:pPr>
          </w:p>
        </w:tc>
        <w:tc>
          <w:tcPr>
            <w:tcW w:w="1560" w:type="dxa"/>
            <w:vAlign w:val="center"/>
          </w:tcPr>
          <w:p w14:paraId="6435CF2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7F58AA8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794344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5BA632E0">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71A5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7C7B34B">
            <w:pPr>
              <w:spacing w:line="264" w:lineRule="auto"/>
              <w:jc w:val="center"/>
              <w:rPr>
                <w:rFonts w:hint="eastAsia" w:ascii="宋体" w:hAnsi="宋体" w:eastAsia="宋体" w:cs="Times New Roman"/>
                <w:color w:val="000000"/>
                <w:szCs w:val="21"/>
              </w:rPr>
            </w:pPr>
          </w:p>
        </w:tc>
        <w:tc>
          <w:tcPr>
            <w:tcW w:w="8093" w:type="dxa"/>
            <w:gridSpan w:val="5"/>
            <w:vAlign w:val="center"/>
          </w:tcPr>
          <w:p w14:paraId="2336353D">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通过学习基本的飞行原理，了解相关的计算机飞行软件，让学生形成探究万物的运转规律、尊重科技创新精神，从而助推学生的科学素养。</w:t>
            </w:r>
          </w:p>
        </w:tc>
      </w:tr>
      <w:tr w14:paraId="3D0B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AF03A5C">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3.遥控航空模型的结构与控制原理的内容</w:t>
            </w:r>
          </w:p>
        </w:tc>
        <w:tc>
          <w:tcPr>
            <w:tcW w:w="1701" w:type="dxa"/>
            <w:vAlign w:val="center"/>
          </w:tcPr>
          <w:p w14:paraId="1CFBD0D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（1）综述遥控模型的整个控制链路，简要讲解无线电控制的实现与控制伺服器（舵机）原理；</w:t>
            </w:r>
          </w:p>
          <w:p w14:paraId="03876D8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（2）以固定翼飞机为例，介绍模型飞机的基本结构；</w:t>
            </w:r>
          </w:p>
          <w:p w14:paraId="7D806D1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（3）根据动力源的形式，按电动和油动对模型飞机的动力系统做介绍，并延伸能源的形式，即电动模型的动力电池种类与特性和油动模型的燃料及其成分配比，列举处于安全性考虑的注意事项。</w:t>
            </w:r>
          </w:p>
          <w:p w14:paraId="42E6D26B">
            <w:pPr>
              <w:spacing w:line="269" w:lineRule="auto"/>
              <w:jc w:val="left"/>
              <w:rPr>
                <w:rFonts w:hint="eastAsia" w:ascii="宋体" w:hAnsi="宋体" w:eastAsia="宋体" w:cs="Times New Roman"/>
                <w:color w:val="000000"/>
                <w:szCs w:val="21"/>
              </w:rPr>
            </w:pPr>
          </w:p>
        </w:tc>
        <w:tc>
          <w:tcPr>
            <w:tcW w:w="1134" w:type="dxa"/>
            <w:vAlign w:val="center"/>
          </w:tcPr>
          <w:p w14:paraId="2C23277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5BADDCD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（1）了解无线电控制的实现与控制伺服器（舵机）原理内容</w:t>
            </w:r>
          </w:p>
          <w:p w14:paraId="37FE116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（2）掌握遥控航空模型的结构与控制原理内容的范围</w:t>
            </w:r>
          </w:p>
          <w:p w14:paraId="28EF5CF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（3）掌握遥控航空模型的结构与控制原理内容的基本要求和方法</w:t>
            </w:r>
          </w:p>
          <w:p w14:paraId="01CE257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（4）应用所学理论科学掌握遥控航空模型的结构与控制原理内容</w:t>
            </w:r>
          </w:p>
          <w:p w14:paraId="5C7FB60B">
            <w:pPr>
              <w:spacing w:line="269" w:lineRule="auto"/>
              <w:jc w:val="left"/>
              <w:rPr>
                <w:rFonts w:hint="eastAsia" w:ascii="宋体" w:hAnsi="宋体" w:eastAsia="宋体" w:cs="Times New Roman"/>
                <w:color w:val="000000"/>
                <w:szCs w:val="21"/>
              </w:rPr>
            </w:pPr>
          </w:p>
        </w:tc>
        <w:tc>
          <w:tcPr>
            <w:tcW w:w="1560" w:type="dxa"/>
            <w:vAlign w:val="center"/>
          </w:tcPr>
          <w:p w14:paraId="2A77BB3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E55D0B9">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4D351555">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08804CB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7A58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2EEF5BA">
            <w:pPr>
              <w:spacing w:line="264" w:lineRule="auto"/>
              <w:jc w:val="center"/>
              <w:rPr>
                <w:rFonts w:hint="eastAsia" w:ascii="宋体" w:hAnsi="宋体" w:eastAsia="宋体" w:cs="Times New Roman"/>
                <w:color w:val="000000"/>
                <w:szCs w:val="21"/>
              </w:rPr>
            </w:pPr>
          </w:p>
        </w:tc>
        <w:tc>
          <w:tcPr>
            <w:tcW w:w="8093" w:type="dxa"/>
            <w:gridSpan w:val="5"/>
            <w:vAlign w:val="center"/>
          </w:tcPr>
          <w:p w14:paraId="5455CAF8">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通过让学生了解并掌握相关遥控航空模型的结构与控制原理，让学生形成针对遥控航空模型的深入认识，进而培养学生深入钻研的科研精神。</w:t>
            </w:r>
          </w:p>
        </w:tc>
      </w:tr>
      <w:tr w14:paraId="2EB6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5" w:type="dxa"/>
            <w:vMerge w:val="restart"/>
            <w:vAlign w:val="center"/>
          </w:tcPr>
          <w:p w14:paraId="2BE3D82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4.航空模型与无人机及其在航空发展中的作用</w:t>
            </w:r>
          </w:p>
        </w:tc>
        <w:tc>
          <w:tcPr>
            <w:tcW w:w="1701" w:type="dxa"/>
            <w:vAlign w:val="center"/>
          </w:tcPr>
          <w:p w14:paraId="5EE8249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（1）无人机基础知识，包括无人机的用途、分类、系统结构等部分；</w:t>
            </w:r>
          </w:p>
          <w:p w14:paraId="0AD169B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（2）无人机的发展简史；</w:t>
            </w:r>
          </w:p>
          <w:p w14:paraId="1ED13A5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（3）无人机与航空模型的关系；</w:t>
            </w:r>
          </w:p>
          <w:p w14:paraId="5BB70F0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（4）航空模型在培养航空人才方面的作用；</w:t>
            </w:r>
          </w:p>
          <w:p w14:paraId="18C8D5C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（5）航空模型在新型航空器设计中的验证作用。</w:t>
            </w:r>
          </w:p>
          <w:p w14:paraId="6BBD7F97">
            <w:pPr>
              <w:spacing w:line="276" w:lineRule="auto"/>
              <w:jc w:val="left"/>
              <w:rPr>
                <w:rFonts w:hint="eastAsia" w:ascii="宋体" w:hAnsi="宋体" w:eastAsia="宋体" w:cs="Times New Roman"/>
                <w:color w:val="000000"/>
                <w:szCs w:val="21"/>
              </w:rPr>
            </w:pPr>
          </w:p>
        </w:tc>
        <w:tc>
          <w:tcPr>
            <w:tcW w:w="1134" w:type="dxa"/>
            <w:vAlign w:val="center"/>
          </w:tcPr>
          <w:p w14:paraId="5FD4B75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7E899B2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（1）掌握无人机的基本组成架构及其与航空模型的关系；</w:t>
            </w:r>
          </w:p>
          <w:p w14:paraId="00131E1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（2）航空模型在航空业发展中起到的作用及其重要性。</w:t>
            </w:r>
          </w:p>
          <w:p w14:paraId="7876EF4F">
            <w:pPr>
              <w:spacing w:line="276" w:lineRule="auto"/>
              <w:jc w:val="left"/>
              <w:rPr>
                <w:rFonts w:hint="eastAsia" w:ascii="宋体" w:hAnsi="宋体" w:eastAsia="宋体" w:cs="Times New Roman"/>
                <w:color w:val="000000"/>
                <w:szCs w:val="21"/>
              </w:rPr>
            </w:pPr>
          </w:p>
        </w:tc>
        <w:tc>
          <w:tcPr>
            <w:tcW w:w="1560" w:type="dxa"/>
            <w:vAlign w:val="center"/>
          </w:tcPr>
          <w:p w14:paraId="05C7B36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93AF1F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4560EE9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32ACEAB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16F0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851E0E0">
            <w:pPr>
              <w:spacing w:line="276" w:lineRule="auto"/>
              <w:jc w:val="center"/>
              <w:rPr>
                <w:rFonts w:hint="eastAsia" w:ascii="宋体" w:hAnsi="宋体" w:eastAsia="宋体" w:cs="Times New Roman"/>
                <w:color w:val="000000"/>
                <w:szCs w:val="21"/>
              </w:rPr>
            </w:pPr>
          </w:p>
        </w:tc>
        <w:tc>
          <w:tcPr>
            <w:tcW w:w="8093" w:type="dxa"/>
            <w:gridSpan w:val="5"/>
            <w:vAlign w:val="center"/>
          </w:tcPr>
          <w:p w14:paraId="682CBA34">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通过带领学生学习无人机的相关知识以及在航空业中的作用，让学生深入了解科技创新在社会经济发展中的重要作用，从而强化学生对创新是一个民族发展进步的不竭动力的理念的认识。</w:t>
            </w:r>
          </w:p>
        </w:tc>
      </w:tr>
      <w:tr w14:paraId="7A97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BA0D0E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5.航空模型竞赛</w:t>
            </w:r>
          </w:p>
        </w:tc>
        <w:tc>
          <w:tcPr>
            <w:tcW w:w="1701" w:type="dxa"/>
            <w:vAlign w:val="center"/>
          </w:tcPr>
          <w:p w14:paraId="037A0DA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（1）介绍体育性的竞技赛事，包括航模公开赛、航模锦标赛和3D飞行世锦赛等赛事中的各个子项目；</w:t>
            </w:r>
          </w:p>
          <w:p w14:paraId="7C6A5ED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（2）介绍创新性航空模型在“挑战杯”全国大学生课外学术科技作品大赛中的角色；</w:t>
            </w:r>
          </w:p>
          <w:p w14:paraId="17C5272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（3）重点介绍以高校学生和科研单位为主要参赛对象的全国科研类航空航天模型锦标赛，讲解其中的典型赛事规程，参赛申请流程，并展示比赛图片和赛事已取得的一些记录；</w:t>
            </w:r>
          </w:p>
          <w:p w14:paraId="017C2DA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（4）介绍一些国外的著名航模赛事。</w:t>
            </w:r>
          </w:p>
          <w:p w14:paraId="13EF5C3F">
            <w:pPr>
              <w:spacing w:line="276" w:lineRule="auto"/>
              <w:jc w:val="left"/>
              <w:rPr>
                <w:rFonts w:hint="eastAsia" w:ascii="宋体" w:hAnsi="宋体" w:eastAsia="宋体" w:cs="Times New Roman"/>
                <w:color w:val="000000"/>
                <w:szCs w:val="21"/>
              </w:rPr>
            </w:pPr>
          </w:p>
        </w:tc>
        <w:tc>
          <w:tcPr>
            <w:tcW w:w="1134" w:type="dxa"/>
            <w:vAlign w:val="center"/>
          </w:tcPr>
          <w:p w14:paraId="60B29FC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w:t>
            </w:r>
          </w:p>
        </w:tc>
        <w:tc>
          <w:tcPr>
            <w:tcW w:w="3260" w:type="dxa"/>
            <w:vAlign w:val="center"/>
          </w:tcPr>
          <w:p w14:paraId="3FA9425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（1）重点介绍以高校学生和科研单位为主要参赛对象的全国科研类航空航天模型锦标赛；</w:t>
            </w:r>
          </w:p>
          <w:p w14:paraId="5B62007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（2）掌握典型赛事规程，参赛申请流程，并展示比赛图片和赛事已取得的一些记录；</w:t>
            </w:r>
          </w:p>
          <w:p w14:paraId="59B94D7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（3）了解一些国外的著名航模赛事。</w:t>
            </w:r>
          </w:p>
        </w:tc>
        <w:tc>
          <w:tcPr>
            <w:tcW w:w="1560" w:type="dxa"/>
            <w:vAlign w:val="center"/>
          </w:tcPr>
          <w:p w14:paraId="34DDC5D1">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AFAB8D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F93039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05FDF47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694E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ACF8787">
            <w:pPr>
              <w:spacing w:line="276" w:lineRule="auto"/>
              <w:jc w:val="center"/>
              <w:rPr>
                <w:rFonts w:hint="eastAsia" w:ascii="宋体" w:hAnsi="宋体" w:eastAsia="宋体" w:cs="Times New Roman"/>
                <w:color w:val="000000"/>
                <w:szCs w:val="21"/>
              </w:rPr>
            </w:pPr>
          </w:p>
        </w:tc>
        <w:tc>
          <w:tcPr>
            <w:tcW w:w="8093" w:type="dxa"/>
            <w:gridSpan w:val="5"/>
            <w:vAlign w:val="center"/>
          </w:tcPr>
          <w:p w14:paraId="768F0F65">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通过让学生对航模公开赛等赛事的认识和了解，培养学生的实践创新能力，学以致用，进一步强化“立德树人”、“五育并举”等教育理念在具体实践中的渗透。</w:t>
            </w:r>
          </w:p>
        </w:tc>
      </w:tr>
      <w:tr w14:paraId="7906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5D96F8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6.航模制作概述及固定翼飞机模型的制作工艺简介</w:t>
            </w:r>
          </w:p>
        </w:tc>
        <w:tc>
          <w:tcPr>
            <w:tcW w:w="1701" w:type="dxa"/>
            <w:vAlign w:val="center"/>
          </w:tcPr>
          <w:p w14:paraId="01983E2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（1）直升机的制作方式；</w:t>
            </w:r>
          </w:p>
          <w:p w14:paraId="489502C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（2）旋翼机的制作方式；</w:t>
            </w:r>
          </w:p>
          <w:p w14:paraId="1799923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（3）飞艇的制作方式；</w:t>
            </w:r>
          </w:p>
          <w:p w14:paraId="798B5D8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（4）固定翼的制作方式；</w:t>
            </w:r>
          </w:p>
          <w:p w14:paraId="72903FE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（5）介绍比较著名的航空模型厂商及其典型产品；</w:t>
            </w:r>
          </w:p>
          <w:p w14:paraId="22EFCFB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（6）航模制作材料简介；</w:t>
            </w:r>
          </w:p>
          <w:p w14:paraId="64FF864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（7）轻木蒙皮结构的固定翼飞机结构及其制作工艺；</w:t>
            </w:r>
          </w:p>
          <w:p w14:paraId="39CE33F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（8）采用玻璃纤维网或碳纤维网与环氧树脂为基本材料的固定翼飞机制作工艺；</w:t>
            </w:r>
          </w:p>
          <w:p w14:paraId="36AD82F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（9）采用发泡材料，比如KT板、EPS泡沫、EPO泡沫、EPP泡沫等，的固定翼飞机的制作工艺；</w:t>
            </w:r>
          </w:p>
          <w:p w14:paraId="3985586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（10）介绍激光切割机、雕刻机、电热丝切割机等航模制作所需的辅助设备。</w:t>
            </w:r>
          </w:p>
          <w:p w14:paraId="4B9E379F">
            <w:pPr>
              <w:spacing w:line="276" w:lineRule="auto"/>
              <w:jc w:val="left"/>
              <w:rPr>
                <w:rFonts w:hint="eastAsia" w:ascii="宋体" w:hAnsi="宋体" w:eastAsia="宋体" w:cs="Times New Roman"/>
                <w:color w:val="000000"/>
                <w:szCs w:val="21"/>
              </w:rPr>
            </w:pPr>
          </w:p>
        </w:tc>
        <w:tc>
          <w:tcPr>
            <w:tcW w:w="1134" w:type="dxa"/>
            <w:vAlign w:val="center"/>
          </w:tcPr>
          <w:p w14:paraId="0FC8A96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课程目标1、2、4</w:t>
            </w:r>
          </w:p>
        </w:tc>
        <w:tc>
          <w:tcPr>
            <w:tcW w:w="3260" w:type="dxa"/>
            <w:vAlign w:val="center"/>
          </w:tcPr>
          <w:p w14:paraId="20188C3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（1）掌握各类航空模型的制作形式和制作所需材料，以及针对三类材料的三种典型的固定翼飞机模型制作工艺； </w:t>
            </w:r>
          </w:p>
          <w:p w14:paraId="68C72C9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（2）了解航模制作中的一些辅助机械设备。</w:t>
            </w:r>
          </w:p>
          <w:p w14:paraId="3C0648D7">
            <w:pPr>
              <w:spacing w:line="276" w:lineRule="auto"/>
              <w:jc w:val="left"/>
              <w:rPr>
                <w:rFonts w:hint="eastAsia" w:ascii="宋体" w:hAnsi="宋体" w:eastAsia="宋体" w:cs="Times New Roman"/>
                <w:color w:val="000000"/>
                <w:szCs w:val="21"/>
              </w:rPr>
            </w:pPr>
          </w:p>
        </w:tc>
        <w:tc>
          <w:tcPr>
            <w:tcW w:w="1560" w:type="dxa"/>
            <w:vAlign w:val="center"/>
          </w:tcPr>
          <w:p w14:paraId="58252B7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502038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594EE0F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219F63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3611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DC3E11B">
            <w:pPr>
              <w:spacing w:line="276" w:lineRule="auto"/>
              <w:jc w:val="center"/>
              <w:rPr>
                <w:rFonts w:hint="eastAsia" w:ascii="宋体" w:hAnsi="宋体" w:eastAsia="宋体" w:cs="Times New Roman"/>
                <w:color w:val="000000"/>
                <w:szCs w:val="21"/>
              </w:rPr>
            </w:pPr>
          </w:p>
        </w:tc>
        <w:tc>
          <w:tcPr>
            <w:tcW w:w="8093" w:type="dxa"/>
            <w:gridSpan w:val="5"/>
            <w:vAlign w:val="center"/>
          </w:tcPr>
          <w:p w14:paraId="2E9F7325">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通过让学生学习有关航模制作及固定翼飞机模型的制作工艺的概况知识，增进学生对“中国智造”、“大国工匠”等概念的理解，进而体会自主研发和工匠精神的重要意义。</w:t>
            </w:r>
          </w:p>
        </w:tc>
      </w:tr>
    </w:tbl>
    <w:p w14:paraId="49B79087">
      <w:pPr>
        <w:spacing w:line="360" w:lineRule="auto"/>
        <w:jc w:val="left"/>
        <w:rPr>
          <w:rFonts w:ascii="Times New Roman" w:hAnsi="Times New Roman" w:eastAsia="宋体" w:cs="Times New Roman"/>
          <w:sz w:val="24"/>
        </w:rPr>
      </w:pPr>
    </w:p>
    <w:p w14:paraId="2230784A">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3883824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829BE0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46AE88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2295"/>
        <w:gridCol w:w="1911"/>
        <w:gridCol w:w="2130"/>
        <w:gridCol w:w="636"/>
      </w:tblGrid>
      <w:tr w14:paraId="2AE9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74677DC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336" w:type="dxa"/>
            <w:gridSpan w:val="3"/>
            <w:vAlign w:val="center"/>
          </w:tcPr>
          <w:p w14:paraId="41510300">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5BECEA65">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5EE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486DCE16">
            <w:pPr>
              <w:spacing w:line="360" w:lineRule="auto"/>
              <w:jc w:val="center"/>
              <w:rPr>
                <w:rFonts w:hint="eastAsia" w:ascii="宋体" w:hAnsi="宋体" w:eastAsia="宋体" w:cs="Times New Roman"/>
                <w:szCs w:val="21"/>
              </w:rPr>
            </w:pPr>
          </w:p>
        </w:tc>
        <w:tc>
          <w:tcPr>
            <w:tcW w:w="2295" w:type="dxa"/>
            <w:vAlign w:val="center"/>
          </w:tcPr>
          <w:p w14:paraId="3787F65D">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911" w:type="dxa"/>
            <w:vAlign w:val="center"/>
          </w:tcPr>
          <w:p w14:paraId="7603157D">
            <w:pPr>
              <w:spacing w:line="360" w:lineRule="auto"/>
              <w:jc w:val="center"/>
              <w:rPr>
                <w:rFonts w:hint="eastAsia" w:ascii="宋体" w:hAnsi="宋体" w:eastAsia="宋体" w:cs="Times New Roman"/>
                <w:szCs w:val="21"/>
              </w:rPr>
            </w:pPr>
            <w:r>
              <w:rPr>
                <w:rFonts w:hint="eastAsia" w:ascii="宋体" w:hAnsi="宋体" w:eastAsia="宋体" w:cs="Times New Roman"/>
                <w:szCs w:val="21"/>
              </w:rPr>
              <w:t>实践成绩</w:t>
            </w:r>
          </w:p>
        </w:tc>
        <w:tc>
          <w:tcPr>
            <w:tcW w:w="2130" w:type="dxa"/>
          </w:tcPr>
          <w:p w14:paraId="6F5C5617">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445FAFF5">
            <w:pPr>
              <w:spacing w:line="360" w:lineRule="auto"/>
              <w:jc w:val="center"/>
              <w:rPr>
                <w:rFonts w:hint="eastAsia" w:ascii="宋体" w:hAnsi="宋体" w:eastAsia="宋体" w:cs="Times New Roman"/>
                <w:szCs w:val="21"/>
              </w:rPr>
            </w:pPr>
          </w:p>
        </w:tc>
      </w:tr>
      <w:tr w14:paraId="4E5D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3DD050E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295" w:type="dxa"/>
            <w:vAlign w:val="center"/>
          </w:tcPr>
          <w:p w14:paraId="7BBC4EA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11" w:type="dxa"/>
            <w:vAlign w:val="center"/>
          </w:tcPr>
          <w:p w14:paraId="022291B3">
            <w:pPr>
              <w:spacing w:line="360" w:lineRule="auto"/>
              <w:jc w:val="center"/>
              <w:rPr>
                <w:rFonts w:hint="eastAsia" w:ascii="宋体" w:hAnsi="宋体" w:eastAsia="宋体" w:cs="Times New Roman"/>
                <w:szCs w:val="21"/>
              </w:rPr>
            </w:pPr>
          </w:p>
        </w:tc>
        <w:tc>
          <w:tcPr>
            <w:tcW w:w="2130" w:type="dxa"/>
          </w:tcPr>
          <w:p w14:paraId="033C2D8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6AAB7E2">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F11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9833F3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295" w:type="dxa"/>
            <w:vAlign w:val="center"/>
          </w:tcPr>
          <w:p w14:paraId="6B1C005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11" w:type="dxa"/>
            <w:vAlign w:val="center"/>
          </w:tcPr>
          <w:p w14:paraId="2C45AC4C">
            <w:pPr>
              <w:spacing w:line="360" w:lineRule="auto"/>
              <w:jc w:val="center"/>
              <w:rPr>
                <w:szCs w:val="22"/>
              </w:rPr>
            </w:pPr>
            <w:r>
              <w:rPr>
                <w:rFonts w:ascii="宋体" w:hAnsi="宋体" w:eastAsia="宋体" w:cs="Times New Roman"/>
                <w:szCs w:val="21"/>
              </w:rPr>
              <w:sym w:font="Wingdings 2" w:char="F050"/>
            </w:r>
          </w:p>
        </w:tc>
        <w:tc>
          <w:tcPr>
            <w:tcW w:w="2130" w:type="dxa"/>
          </w:tcPr>
          <w:p w14:paraId="07EFBD5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33FBBBA">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921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3006FD6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295" w:type="dxa"/>
            <w:vAlign w:val="center"/>
          </w:tcPr>
          <w:p w14:paraId="1733B9C6">
            <w:pPr>
              <w:spacing w:line="360" w:lineRule="auto"/>
              <w:jc w:val="center"/>
              <w:rPr>
                <w:rFonts w:hint="eastAsia" w:ascii="宋体" w:hAnsi="宋体" w:eastAsia="宋体" w:cs="Times New Roman"/>
                <w:szCs w:val="21"/>
              </w:rPr>
            </w:pPr>
          </w:p>
        </w:tc>
        <w:tc>
          <w:tcPr>
            <w:tcW w:w="1911" w:type="dxa"/>
            <w:vAlign w:val="center"/>
          </w:tcPr>
          <w:p w14:paraId="366AAF9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30" w:type="dxa"/>
          </w:tcPr>
          <w:p w14:paraId="35DF9C8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E8400D7">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3769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61EB28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2295" w:type="dxa"/>
            <w:vAlign w:val="center"/>
          </w:tcPr>
          <w:p w14:paraId="72B49852">
            <w:pPr>
              <w:spacing w:line="360" w:lineRule="auto"/>
              <w:jc w:val="center"/>
              <w:rPr>
                <w:rFonts w:hint="eastAsia" w:ascii="宋体" w:hAnsi="宋体" w:eastAsia="宋体" w:cs="Times New Roman"/>
                <w:szCs w:val="21"/>
              </w:rPr>
            </w:pPr>
          </w:p>
        </w:tc>
        <w:tc>
          <w:tcPr>
            <w:tcW w:w="1911" w:type="dxa"/>
            <w:vAlign w:val="center"/>
          </w:tcPr>
          <w:p w14:paraId="15447E7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30" w:type="dxa"/>
          </w:tcPr>
          <w:p w14:paraId="7FB4A505">
            <w:pPr>
              <w:spacing w:line="360" w:lineRule="auto"/>
              <w:jc w:val="center"/>
              <w:rPr>
                <w:rFonts w:hint="eastAsia" w:ascii="宋体" w:hAnsi="宋体" w:eastAsia="宋体" w:cs="Times New Roman"/>
                <w:szCs w:val="21"/>
              </w:rPr>
            </w:pPr>
          </w:p>
        </w:tc>
        <w:tc>
          <w:tcPr>
            <w:tcW w:w="0" w:type="auto"/>
            <w:vAlign w:val="center"/>
          </w:tcPr>
          <w:p w14:paraId="502BB271">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40F9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4CDD676">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2295" w:type="dxa"/>
            <w:vAlign w:val="center"/>
          </w:tcPr>
          <w:p w14:paraId="47A96055">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911" w:type="dxa"/>
            <w:vAlign w:val="center"/>
          </w:tcPr>
          <w:p w14:paraId="47E17332">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c>
          <w:tcPr>
            <w:tcW w:w="2130" w:type="dxa"/>
          </w:tcPr>
          <w:p w14:paraId="2F0D2898">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c>
          <w:tcPr>
            <w:tcW w:w="0" w:type="auto"/>
            <w:vAlign w:val="center"/>
          </w:tcPr>
          <w:p w14:paraId="26DB2A7C">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1A2B89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A8FB4C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615D8F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EA0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30F31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3EB7DA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C40022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DAF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6BA55E7">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457E63F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其中课堂考勤占20%，平时作业占80%。</w:t>
            </w:r>
          </w:p>
          <w:p w14:paraId="1CCF08C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课堂考勤：病假和事假一次扣5分，无故缺席一次扣10分，无故缺席累积达5次以上（不含5次）取消课程成绩。</w:t>
            </w:r>
          </w:p>
          <w:p w14:paraId="4D8F82C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平时作业：课后完成3次作业，主要考核学生对每节课知识点的复习、理解和掌握程度，计算全部作业的平均成绩。</w:t>
            </w:r>
          </w:p>
        </w:tc>
        <w:tc>
          <w:tcPr>
            <w:tcW w:w="0" w:type="auto"/>
            <w:vAlign w:val="center"/>
          </w:tcPr>
          <w:p w14:paraId="159985CF">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5D47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E49CC92">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7039EA5B">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完成4个实践活动，主要考核学生应用航模制作与训练基本理论进行活动设计与组织指导能力，并对模拟教学进行分析与评价能力。每个实践作业按百分制分别给出成绩。4个实践成绩平均后得到实践总评成绩并按40%计入课程总成绩。</w:t>
            </w:r>
          </w:p>
        </w:tc>
        <w:tc>
          <w:tcPr>
            <w:tcW w:w="0" w:type="auto"/>
            <w:vAlign w:val="center"/>
          </w:tcPr>
          <w:p w14:paraId="78E0A5DB">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625B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66BF48D">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691994C">
            <w:pPr>
              <w:spacing w:line="264" w:lineRule="auto"/>
              <w:jc w:val="left"/>
              <w:rPr>
                <w:rFonts w:hint="eastAsia" w:ascii="宋体" w:hAnsi="宋体" w:eastAsia="宋体" w:cs="宋体"/>
                <w:color w:val="000000"/>
                <w:kern w:val="0"/>
                <w:szCs w:val="21"/>
                <w:lang w:bidi="ar"/>
              </w:rPr>
            </w:pPr>
            <w:r>
              <w:rPr>
                <w:rFonts w:hint="eastAsia" w:ascii="Times New Roman" w:hAnsi="Times New Roman" w:eastAsia="宋体" w:cs="Times New Roman"/>
                <w:color w:val="000000"/>
                <w:szCs w:val="21"/>
              </w:rPr>
              <w:t>按团队合作表现、作品制作的精细程度两方面给予评分。按40%计入课程总成绩。</w:t>
            </w:r>
          </w:p>
        </w:tc>
        <w:tc>
          <w:tcPr>
            <w:tcW w:w="0" w:type="auto"/>
            <w:vAlign w:val="center"/>
          </w:tcPr>
          <w:p w14:paraId="6AB2A471">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0F5A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785B74C">
            <w:pPr>
              <w:jc w:val="center"/>
              <w:rPr>
                <w:rFonts w:ascii="Times New Roman" w:hAnsi="Times New Roman" w:eastAsia="宋体" w:cs="Times New Roman"/>
                <w:szCs w:val="21"/>
              </w:rPr>
            </w:pPr>
            <w:r>
              <w:rPr>
                <w:rFonts w:hint="eastAsia" w:ascii="Times New Roman" w:hAnsi="Times New Roman" w:eastAsia="宋体" w:cs="Times New Roman"/>
                <w:b/>
                <w:bCs/>
                <w:szCs w:val="21"/>
              </w:rPr>
              <w:t>合计</w:t>
            </w:r>
          </w:p>
        </w:tc>
        <w:tc>
          <w:tcPr>
            <w:tcW w:w="7141" w:type="dxa"/>
            <w:vAlign w:val="center"/>
          </w:tcPr>
          <w:p w14:paraId="0FD5D35A">
            <w:pPr>
              <w:jc w:val="left"/>
              <w:rPr>
                <w:rFonts w:ascii="Times New Roman" w:hAnsi="Times New Roman" w:eastAsia="宋体" w:cs="Times New Roman"/>
                <w:szCs w:val="21"/>
              </w:rPr>
            </w:pPr>
          </w:p>
        </w:tc>
        <w:tc>
          <w:tcPr>
            <w:tcW w:w="0" w:type="auto"/>
            <w:vAlign w:val="center"/>
          </w:tcPr>
          <w:p w14:paraId="1919D70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84126A4">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66742F0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23DFEE3">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71"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71" DrawAspect="Content" ObjectID="_1468075771" r:id="rId57">
            <o:LockedField>false</o:LockedField>
          </o:OLEObject>
        </w:object>
      </w:r>
    </w:p>
    <w:p w14:paraId="6F67F2EC">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01DF4B3D">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6E560E3E">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AD2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1212" w:type="dxa"/>
            <w:vAlign w:val="center"/>
          </w:tcPr>
          <w:p w14:paraId="766D4B5F">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59F16D2D">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1DF64652">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0BF46BA5">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3F94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F0A0AB8">
            <w:pPr>
              <w:spacing w:line="276" w:lineRule="auto"/>
              <w:jc w:val="left"/>
              <w:rPr>
                <w:rFonts w:hint="eastAsia" w:ascii="宋体" w:hAnsi="宋体" w:eastAsia="宋体" w:cs="宋体"/>
                <w:szCs w:val="21"/>
              </w:rPr>
            </w:pPr>
            <w:r>
              <w:rPr>
                <w:rFonts w:hint="eastAsia" w:ascii="宋体" w:hAnsi="宋体" w:eastAsia="宋体" w:cs="宋体"/>
                <w:szCs w:val="21"/>
              </w:rPr>
              <w:t>一种固定翼模型飞机的制作流程</w:t>
            </w:r>
          </w:p>
        </w:tc>
        <w:tc>
          <w:tcPr>
            <w:tcW w:w="3407" w:type="dxa"/>
            <w:vAlign w:val="center"/>
          </w:tcPr>
          <w:p w14:paraId="2F4A04F2">
            <w:pPr>
              <w:spacing w:line="276" w:lineRule="auto"/>
              <w:jc w:val="left"/>
              <w:rPr>
                <w:rFonts w:hint="eastAsia" w:ascii="宋体" w:hAnsi="宋体" w:eastAsia="宋体" w:cs="宋体"/>
                <w:szCs w:val="21"/>
              </w:rPr>
            </w:pPr>
            <w:r>
              <w:rPr>
                <w:rFonts w:hint="eastAsia" w:ascii="宋体" w:hAnsi="宋体" w:eastAsia="宋体" w:cs="宋体"/>
                <w:szCs w:val="21"/>
              </w:rPr>
              <w:t>以最经典的轻木蒙皮结构固定翼飞机制作为例，展示此类飞机制作的整个流程。（1）机翼翼型、机身骨架结构的设计与排版切割；（2）机翼、机身等模块的骨架搭建与粘接；（3）机翼与机身蒙皮操作；（4）电子设备安装；（5）整体组装与重心调节、试飞。</w:t>
            </w:r>
          </w:p>
        </w:tc>
        <w:tc>
          <w:tcPr>
            <w:tcW w:w="740" w:type="dxa"/>
            <w:vAlign w:val="center"/>
          </w:tcPr>
          <w:p w14:paraId="45AC720F">
            <w:pPr>
              <w:spacing w:line="276" w:lineRule="auto"/>
              <w:jc w:val="center"/>
              <w:rPr>
                <w:rFonts w:hint="eastAsia" w:ascii="宋体" w:hAnsi="宋体" w:eastAsia="宋体" w:cs="宋体"/>
                <w:szCs w:val="21"/>
              </w:rPr>
            </w:pPr>
            <w:r>
              <w:rPr>
                <w:rFonts w:hint="eastAsia" w:ascii="宋体" w:hAnsi="宋体" w:eastAsia="宋体" w:cs="宋体"/>
                <w:szCs w:val="21"/>
              </w:rPr>
              <w:t>课程实践设计</w:t>
            </w:r>
          </w:p>
        </w:tc>
        <w:tc>
          <w:tcPr>
            <w:tcW w:w="3160" w:type="dxa"/>
            <w:vAlign w:val="center"/>
          </w:tcPr>
          <w:p w14:paraId="03A0817E">
            <w:pPr>
              <w:spacing w:line="276" w:lineRule="auto"/>
              <w:jc w:val="left"/>
              <w:rPr>
                <w:rFonts w:hint="eastAsia" w:ascii="宋体" w:hAnsi="宋体" w:eastAsia="宋体" w:cs="宋体"/>
                <w:szCs w:val="21"/>
              </w:rPr>
            </w:pPr>
            <w:r>
              <w:rPr>
                <w:rFonts w:hint="eastAsia" w:ascii="宋体" w:hAnsi="宋体" w:eastAsia="宋体" w:cs="宋体"/>
                <w:szCs w:val="21"/>
              </w:rPr>
              <w:t xml:space="preserve">通过轻木蒙皮固定翼飞机制作，引导学生感悟科学探索的严谨性：在翼型设计与切割中理解空气动力学原理，培养精益求精的工匠精神；在团队协作搭建机身骨架时强化集体意识与责任担当；蒙皮与组装环节渗透“细节决定成败”的务实态度；试飞调试中鼓励直面失败、优化创新，锤炼坚韧品格。结合国产大飞机C919等案例，诠释中国航天人“特别能攻关”的精神，厚植科技报国情怀，树立“劳动创造价值、创新驱动发展”的价值观。  </w:t>
            </w:r>
          </w:p>
        </w:tc>
      </w:tr>
      <w:tr w14:paraId="2426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F65569A">
            <w:pPr>
              <w:spacing w:line="276" w:lineRule="auto"/>
              <w:jc w:val="left"/>
              <w:rPr>
                <w:rFonts w:hint="eastAsia" w:ascii="宋体" w:hAnsi="宋体" w:eastAsia="宋体" w:cs="宋体"/>
                <w:szCs w:val="21"/>
              </w:rPr>
            </w:pPr>
            <w:r>
              <w:rPr>
                <w:rFonts w:hint="eastAsia" w:ascii="宋体" w:hAnsi="宋体" w:eastAsia="宋体" w:cs="宋体"/>
                <w:szCs w:val="21"/>
              </w:rPr>
              <w:t>航空模型的创新设计展示与创新设计讨论</w:t>
            </w:r>
          </w:p>
          <w:p w14:paraId="2DB8172E">
            <w:pPr>
              <w:spacing w:line="276" w:lineRule="auto"/>
              <w:jc w:val="left"/>
              <w:rPr>
                <w:rFonts w:hint="eastAsia" w:ascii="宋体" w:hAnsi="宋体" w:eastAsia="宋体" w:cs="宋体"/>
                <w:szCs w:val="21"/>
              </w:rPr>
            </w:pPr>
          </w:p>
        </w:tc>
        <w:tc>
          <w:tcPr>
            <w:tcW w:w="3407" w:type="dxa"/>
            <w:vAlign w:val="center"/>
          </w:tcPr>
          <w:p w14:paraId="0A5E1342">
            <w:pPr>
              <w:spacing w:line="276" w:lineRule="auto"/>
              <w:jc w:val="left"/>
              <w:rPr>
                <w:rFonts w:hint="eastAsia" w:ascii="宋体" w:hAnsi="宋体" w:eastAsia="宋体" w:cs="宋体"/>
                <w:szCs w:val="21"/>
              </w:rPr>
            </w:pPr>
            <w:r>
              <w:rPr>
                <w:rFonts w:hint="eastAsia" w:ascii="宋体" w:hAnsi="宋体" w:eastAsia="宋体" w:cs="宋体"/>
                <w:szCs w:val="21"/>
              </w:rPr>
              <w:t>（1）展示各种各样的创新航模设计，并对部分创新设计进行一定程度的讲解，让学生明白设计者的设计意图与实现方式；（2）课堂讨论，把握课堂节奏，注意引导创新；（3）布置课后任务：以小组为单位完成一份创新设计，并做好相应展示材料。</w:t>
            </w:r>
          </w:p>
        </w:tc>
        <w:tc>
          <w:tcPr>
            <w:tcW w:w="740" w:type="dxa"/>
            <w:vAlign w:val="center"/>
          </w:tcPr>
          <w:p w14:paraId="561592C2">
            <w:pPr>
              <w:spacing w:line="276" w:lineRule="auto"/>
              <w:jc w:val="center"/>
              <w:rPr>
                <w:rFonts w:hint="eastAsia" w:ascii="宋体" w:hAnsi="宋体" w:eastAsia="宋体" w:cs="宋体"/>
                <w:szCs w:val="21"/>
              </w:rPr>
            </w:pPr>
            <w:r>
              <w:rPr>
                <w:rFonts w:hint="eastAsia" w:ascii="宋体" w:hAnsi="宋体" w:eastAsia="宋体" w:cs="宋体"/>
                <w:szCs w:val="21"/>
              </w:rPr>
              <w:t>专题报告</w:t>
            </w:r>
          </w:p>
        </w:tc>
        <w:tc>
          <w:tcPr>
            <w:tcW w:w="3160" w:type="dxa"/>
            <w:vAlign w:val="center"/>
          </w:tcPr>
          <w:p w14:paraId="14ABF6C5">
            <w:pPr>
              <w:spacing w:line="276" w:lineRule="auto"/>
              <w:jc w:val="left"/>
              <w:rPr>
                <w:rFonts w:hint="eastAsia" w:ascii="宋体" w:hAnsi="宋体" w:eastAsia="宋体" w:cs="宋体"/>
                <w:szCs w:val="21"/>
              </w:rPr>
            </w:pPr>
            <w:r>
              <w:rPr>
                <w:rFonts w:hint="eastAsia" w:ascii="宋体" w:hAnsi="宋体" w:eastAsia="宋体" w:cs="宋体"/>
                <w:szCs w:val="21"/>
              </w:rPr>
              <w:t>通过展示国内外优秀航模创新设计，引导学生理解设计背后的科学思维与创造力，结合中国航天科技成就（如无人机、空间站等），增强学生的民族自豪感和科技报国意识。</w:t>
            </w:r>
          </w:p>
        </w:tc>
      </w:tr>
      <w:tr w14:paraId="19EF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6C83AD0">
            <w:pPr>
              <w:spacing w:line="276" w:lineRule="auto"/>
              <w:jc w:val="left"/>
              <w:rPr>
                <w:rFonts w:hint="eastAsia" w:ascii="宋体" w:hAnsi="宋体" w:eastAsia="宋体" w:cs="宋体"/>
                <w:szCs w:val="21"/>
              </w:rPr>
            </w:pPr>
            <w:r>
              <w:rPr>
                <w:rFonts w:hint="eastAsia" w:ascii="宋体" w:hAnsi="宋体" w:eastAsia="宋体" w:cs="宋体"/>
                <w:szCs w:val="21"/>
              </w:rPr>
              <w:t>航模创新设计展示</w:t>
            </w:r>
          </w:p>
          <w:p w14:paraId="7A853465">
            <w:pPr>
              <w:spacing w:line="276" w:lineRule="auto"/>
              <w:jc w:val="left"/>
              <w:rPr>
                <w:rFonts w:hint="eastAsia" w:ascii="宋体" w:hAnsi="宋体" w:eastAsia="宋体" w:cs="宋体"/>
                <w:szCs w:val="21"/>
              </w:rPr>
            </w:pPr>
          </w:p>
        </w:tc>
        <w:tc>
          <w:tcPr>
            <w:tcW w:w="3407" w:type="dxa"/>
            <w:vAlign w:val="center"/>
          </w:tcPr>
          <w:p w14:paraId="63380A30">
            <w:pPr>
              <w:spacing w:line="276" w:lineRule="auto"/>
              <w:jc w:val="left"/>
              <w:rPr>
                <w:rFonts w:hint="eastAsia" w:ascii="宋体" w:hAnsi="宋体" w:eastAsia="宋体" w:cs="宋体"/>
                <w:szCs w:val="21"/>
              </w:rPr>
            </w:pPr>
            <w:r>
              <w:rPr>
                <w:rFonts w:hint="eastAsia" w:ascii="宋体" w:hAnsi="宋体" w:eastAsia="宋体" w:cs="宋体"/>
                <w:szCs w:val="21"/>
              </w:rPr>
              <w:t>（1）由小组成员对课后的创新设计做成果展示（以PPT的形式）；（2）现场提问与讨论，要求全体学生以答辩的形式参与其中；（3）对每一组的设计与报告做评价和总结，完成成绩记录。</w:t>
            </w:r>
          </w:p>
          <w:p w14:paraId="77EBCB3F">
            <w:pPr>
              <w:spacing w:line="276" w:lineRule="auto"/>
              <w:jc w:val="left"/>
              <w:rPr>
                <w:rFonts w:hint="eastAsia" w:ascii="宋体" w:hAnsi="宋体" w:eastAsia="宋体" w:cs="宋体"/>
                <w:szCs w:val="21"/>
              </w:rPr>
            </w:pPr>
          </w:p>
        </w:tc>
        <w:tc>
          <w:tcPr>
            <w:tcW w:w="740" w:type="dxa"/>
            <w:vAlign w:val="center"/>
          </w:tcPr>
          <w:p w14:paraId="2BE11ABC">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75CB7908">
            <w:pPr>
              <w:spacing w:line="276" w:lineRule="auto"/>
              <w:jc w:val="left"/>
              <w:rPr>
                <w:rFonts w:hint="eastAsia" w:ascii="宋体" w:hAnsi="宋体" w:eastAsia="宋体" w:cs="宋体"/>
                <w:szCs w:val="21"/>
              </w:rPr>
            </w:pPr>
            <w:r>
              <w:rPr>
                <w:rFonts w:hint="eastAsia" w:ascii="宋体" w:hAnsi="宋体" w:eastAsia="宋体" w:cs="宋体"/>
                <w:szCs w:val="21"/>
              </w:rPr>
              <w:t xml:space="preserve">通过小组PPT展示，强化成员间的分工合作与集体荣誉感，让学生体会团队成果的来之不易，增强责任担当精神。  </w:t>
            </w:r>
          </w:p>
        </w:tc>
      </w:tr>
      <w:tr w14:paraId="4C0E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06B1AE32">
            <w:pPr>
              <w:spacing w:line="276" w:lineRule="auto"/>
              <w:jc w:val="left"/>
              <w:rPr>
                <w:rFonts w:hint="eastAsia" w:ascii="宋体" w:hAnsi="宋体" w:eastAsia="宋体" w:cs="宋体"/>
                <w:szCs w:val="21"/>
              </w:rPr>
            </w:pPr>
            <w:r>
              <w:rPr>
                <w:rFonts w:hint="eastAsia" w:ascii="宋体" w:hAnsi="宋体" w:eastAsia="宋体" w:cs="宋体"/>
                <w:szCs w:val="21"/>
              </w:rPr>
              <w:t>航空模型制作实践</w:t>
            </w:r>
          </w:p>
          <w:p w14:paraId="69746E75">
            <w:pPr>
              <w:spacing w:line="276" w:lineRule="auto"/>
              <w:jc w:val="left"/>
              <w:rPr>
                <w:rFonts w:hint="eastAsia" w:ascii="宋体" w:hAnsi="宋体" w:eastAsia="宋体" w:cs="宋体"/>
                <w:szCs w:val="21"/>
              </w:rPr>
            </w:pPr>
          </w:p>
        </w:tc>
        <w:tc>
          <w:tcPr>
            <w:tcW w:w="3407" w:type="dxa"/>
            <w:vAlign w:val="center"/>
          </w:tcPr>
          <w:p w14:paraId="32BE647C">
            <w:pPr>
              <w:spacing w:line="276" w:lineRule="auto"/>
              <w:jc w:val="left"/>
              <w:rPr>
                <w:rFonts w:hint="eastAsia" w:ascii="宋体" w:hAnsi="宋体" w:eastAsia="宋体" w:cs="宋体"/>
                <w:szCs w:val="21"/>
              </w:rPr>
            </w:pPr>
            <w:r>
              <w:rPr>
                <w:rFonts w:hint="eastAsia" w:ascii="宋体" w:hAnsi="宋体" w:eastAsia="宋体" w:cs="宋体"/>
                <w:szCs w:val="21"/>
              </w:rPr>
              <w:t>（1）复习航模制作的基本步骤和要点；（2）指导学生进行实践制作；（3）指导学生进行组件装配；（5）对学生制作作品进行点评，完成成绩记录；（4）实践过程中的安全问题及注意事项。</w:t>
            </w:r>
          </w:p>
          <w:p w14:paraId="4D21A4B0">
            <w:pPr>
              <w:spacing w:line="276" w:lineRule="auto"/>
              <w:jc w:val="left"/>
              <w:rPr>
                <w:rFonts w:hint="eastAsia" w:ascii="宋体" w:hAnsi="宋体" w:eastAsia="宋体" w:cs="宋体"/>
                <w:szCs w:val="21"/>
              </w:rPr>
            </w:pPr>
          </w:p>
        </w:tc>
        <w:tc>
          <w:tcPr>
            <w:tcW w:w="740" w:type="dxa"/>
            <w:vAlign w:val="center"/>
          </w:tcPr>
          <w:p w14:paraId="1EB7E442">
            <w:pPr>
              <w:spacing w:line="276" w:lineRule="auto"/>
              <w:jc w:val="center"/>
              <w:rPr>
                <w:rFonts w:hint="eastAsia" w:ascii="宋体" w:hAnsi="宋体" w:eastAsia="宋体" w:cs="宋体"/>
                <w:szCs w:val="21"/>
              </w:rPr>
            </w:pPr>
            <w:r>
              <w:rPr>
                <w:rFonts w:hint="eastAsia" w:ascii="宋体" w:hAnsi="宋体" w:eastAsia="宋体" w:cs="宋体"/>
                <w:szCs w:val="21"/>
              </w:rPr>
              <w:t>课程实践设计</w:t>
            </w:r>
          </w:p>
        </w:tc>
        <w:tc>
          <w:tcPr>
            <w:tcW w:w="3160" w:type="dxa"/>
            <w:vAlign w:val="center"/>
          </w:tcPr>
          <w:p w14:paraId="0FBC762C">
            <w:pPr>
              <w:spacing w:line="276" w:lineRule="auto"/>
              <w:jc w:val="left"/>
              <w:rPr>
                <w:rFonts w:hint="eastAsia" w:ascii="宋体" w:hAnsi="宋体" w:eastAsia="宋体" w:cs="宋体"/>
                <w:szCs w:val="21"/>
              </w:rPr>
            </w:pPr>
            <w:r>
              <w:rPr>
                <w:rFonts w:hint="eastAsia" w:ascii="宋体" w:hAnsi="宋体" w:eastAsia="宋体" w:cs="宋体"/>
                <w:szCs w:val="21"/>
              </w:rPr>
              <w:t>将安全规范教育融入实践全程，帮助学生树立"安全第一"的职业理念，为未来职业发展奠定基础。</w:t>
            </w:r>
          </w:p>
        </w:tc>
      </w:tr>
    </w:tbl>
    <w:p w14:paraId="54FAB551">
      <w:pPr>
        <w:spacing w:line="360" w:lineRule="auto"/>
        <w:ind w:firstLine="551" w:firstLineChars="196"/>
        <w:jc w:val="left"/>
        <w:rPr>
          <w:rFonts w:hint="eastAsia" w:ascii="宋体" w:hAnsi="宋体" w:eastAsia="宋体" w:cs="Times New Roman"/>
          <w:b/>
          <w:color w:val="000000"/>
          <w:sz w:val="28"/>
          <w:szCs w:val="28"/>
        </w:rPr>
      </w:pPr>
    </w:p>
    <w:p w14:paraId="310AC1DD">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04BC022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3BABFF0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本课程根据学生作业、课堂讨论、模拟教学、说课、平时考核情况和学生、教学督导等的反馈，及时对教学中的不足之处进行改进，并在下一轮课程教学中整改完善，确保相应毕业要求指标点达成。</w:t>
      </w:r>
    </w:p>
    <w:p w14:paraId="50631CA9">
      <w:pPr>
        <w:spacing w:line="360" w:lineRule="auto"/>
        <w:jc w:val="left"/>
        <w:rPr>
          <w:rFonts w:ascii="Times New Roman" w:hAnsi="Times New Roman" w:eastAsia="宋体" w:cs="Times New Roman"/>
          <w:b/>
          <w:szCs w:val="21"/>
        </w:rPr>
      </w:pPr>
    </w:p>
    <w:p w14:paraId="054F61E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516C9577">
      <w:pPr>
        <w:spacing w:line="360" w:lineRule="auto"/>
        <w:ind w:firstLine="420" w:firstLineChars="20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贾玉红等，《放飞梦想——航模制作初步》，北京航空航天大学出版社.2014.</w:t>
      </w:r>
    </w:p>
    <w:p w14:paraId="4DAEE44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4979314B">
      <w:pPr>
        <w:spacing w:line="360"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1、吕涛.遥控模型飞机入门.航空工业出版社,2011.</w:t>
      </w:r>
    </w:p>
    <w:p w14:paraId="4964E37C">
      <w:pPr>
        <w:spacing w:line="360"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2、陆耀华. 无线电遥控电动模型飞机. 航空工业出版社,2008.</w:t>
      </w:r>
    </w:p>
    <w:p w14:paraId="3E77F2B3">
      <w:pPr>
        <w:spacing w:line="360"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3、刘星,司海清,蔡中长.飞行原理.科学出版社,2011.</w:t>
      </w:r>
    </w:p>
    <w:p w14:paraId="1AA69106"/>
    <w:p w14:paraId="03165E69"/>
    <w:p w14:paraId="0C30A3B6"/>
    <w:p w14:paraId="41052E1F"/>
    <w:p w14:paraId="7EC74426">
      <w:pPr>
        <w:spacing w:line="360" w:lineRule="auto"/>
        <w:ind w:right="1920" w:firstLine="4560" w:firstLineChars="1900"/>
        <w:rPr>
          <w:rFonts w:ascii="Times New Roman" w:hAnsi="Times New Roman" w:eastAsia="宋体" w:cs="Times New Roman"/>
          <w:sz w:val="24"/>
        </w:rPr>
      </w:pPr>
      <w:r>
        <w:rPr>
          <w:rFonts w:hint="eastAsia" w:ascii="Times New Roman" w:hAnsi="Times New Roman" w:eastAsia="宋体" w:cs="Times New Roman"/>
          <w:sz w:val="24"/>
        </w:rPr>
        <w:t>执笔人：门艳忠</w:t>
      </w:r>
    </w:p>
    <w:p w14:paraId="3D8E621C">
      <w:pPr>
        <w:spacing w:line="360" w:lineRule="auto"/>
        <w:ind w:right="1920" w:firstLine="4560" w:firstLineChars="1900"/>
        <w:rPr>
          <w:rFonts w:ascii="Times New Roman" w:hAnsi="Times New Roman" w:eastAsia="宋体" w:cs="Times New Roman"/>
          <w:sz w:val="24"/>
        </w:rPr>
      </w:pPr>
      <w:r>
        <w:rPr>
          <w:rFonts w:hint="eastAsia" w:ascii="Times New Roman" w:hAnsi="Times New Roman" w:eastAsia="宋体" w:cs="Times New Roman"/>
          <w:sz w:val="24"/>
        </w:rPr>
        <w:t>审 定 人：王健</w:t>
      </w:r>
    </w:p>
    <w:p w14:paraId="1A56B333">
      <w:pPr>
        <w:spacing w:line="360" w:lineRule="auto"/>
        <w:ind w:right="1200" w:firstLine="4560" w:firstLineChars="1900"/>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0B257C01">
      <w:pPr>
        <w:spacing w:line="360" w:lineRule="auto"/>
        <w:ind w:firstLine="4560" w:firstLineChars="1900"/>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3812E8FD">
      <w:r>
        <w:rPr>
          <w:rFonts w:ascii="Times New Roman" w:hAnsi="Times New Roman" w:eastAsia="宋体" w:cs="Times New Roman"/>
          <w:sz w:val="24"/>
        </w:rPr>
        <w:br w:type="page"/>
      </w:r>
    </w:p>
    <w:p w14:paraId="4880F558"/>
    <w:p w14:paraId="16511D18">
      <w:pPr>
        <w:pStyle w:val="2"/>
      </w:pPr>
      <w:bookmarkStart w:id="252" w:name="_Toc21737"/>
      <w:bookmarkStart w:id="253" w:name="_Toc29395649"/>
      <w:bookmarkStart w:id="254" w:name="_Toc17557"/>
      <w:bookmarkStart w:id="255" w:name="_Toc166165225"/>
      <w:r>
        <w:rPr>
          <w:rFonts w:hint="eastAsia"/>
        </w:rPr>
        <w:t>《机器人制作与训练</w:t>
      </w:r>
      <w:r>
        <w:t>课程</w:t>
      </w:r>
      <w:r>
        <w:rPr>
          <w:rFonts w:hint="eastAsia"/>
        </w:rPr>
        <w:t>》</w:t>
      </w:r>
      <w:r>
        <w:t>教学大纲</w:t>
      </w:r>
      <w:bookmarkEnd w:id="252"/>
      <w:bookmarkEnd w:id="253"/>
      <w:bookmarkEnd w:id="254"/>
      <w:bookmarkEnd w:id="255"/>
    </w:p>
    <w:p w14:paraId="40D5D951">
      <w:pPr>
        <w:spacing w:line="360" w:lineRule="auto"/>
        <w:jc w:val="center"/>
        <w:rPr>
          <w:rFonts w:ascii="Times New Roman" w:hAnsi="Times New Roman" w:eastAsia="宋体" w:cs="Times New Roman"/>
          <w:bCs/>
          <w:sz w:val="30"/>
          <w:szCs w:val="30"/>
        </w:rPr>
      </w:pPr>
      <w:r>
        <w:rPr>
          <w:rFonts w:ascii="宋体" w:hAnsi="宋体" w:eastAsia="宋体" w:cs="Times New Roman"/>
          <w:b/>
          <w:bCs/>
          <w:sz w:val="30"/>
        </w:rPr>
        <w:t>（Robot Making and Training）</w:t>
      </w:r>
    </w:p>
    <w:p w14:paraId="66FEC9B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hint="eastAsia" w:ascii="宋体" w:hAnsi="宋体" w:eastAsia="宋体" w:cs="Times New Roman"/>
          <w:b/>
          <w:bCs/>
          <w:sz w:val="30"/>
        </w:rPr>
        <w:t>机器人制作与训练</w:t>
      </w:r>
      <w:r>
        <w:rPr>
          <w:rFonts w:ascii="宋体" w:hAnsi="宋体" w:eastAsia="宋体" w:cs="Times New Roman"/>
          <w:b/>
          <w:bCs/>
          <w:sz w:val="30"/>
        </w:rPr>
        <w:t>课程</w:t>
      </w:r>
    </w:p>
    <w:p w14:paraId="578D9B1E">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课程代码：2401035</w:t>
      </w:r>
    </w:p>
    <w:p w14:paraId="6E84B0B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737CBFC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 （其中：讲授学时16， 实践学时16）</w:t>
      </w:r>
    </w:p>
    <w:p w14:paraId="13D76C4D">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先修课程：大学计算机信息基础</w:t>
      </w:r>
    </w:p>
    <w:p w14:paraId="4A62827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4032F2EE">
      <w:pPr>
        <w:spacing w:line="360" w:lineRule="auto"/>
        <w:jc w:val="left"/>
        <w:rPr>
          <w:rFonts w:ascii="Times New Roman" w:hAnsi="Times New Roman" w:eastAsia="宋体" w:cs="Times New Roman"/>
          <w:b/>
          <w:sz w:val="24"/>
        </w:rPr>
      </w:pPr>
    </w:p>
    <w:p w14:paraId="7D9E720B">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428A0B2E">
      <w:pPr>
        <w:spacing w:line="360" w:lineRule="auto"/>
        <w:jc w:val="left"/>
        <w:rPr>
          <w:rFonts w:hint="eastAsia" w:ascii="宋体" w:hAnsi="宋体" w:eastAsia="宋体" w:cs="Times New Roman"/>
          <w:b/>
          <w:color w:val="000000"/>
          <w:szCs w:val="21"/>
        </w:rPr>
      </w:pPr>
      <w:r>
        <w:rPr>
          <w:rFonts w:hint="eastAsia" w:ascii="宋体" w:hAnsi="宋体" w:eastAsia="宋体" w:cs="Times New Roman"/>
          <w:kern w:val="0"/>
          <w:szCs w:val="21"/>
        </w:rPr>
        <w:t>本课程</w:t>
      </w:r>
      <w:r>
        <w:rPr>
          <w:rFonts w:ascii="宋体" w:hAnsi="宋体" w:eastAsia="宋体" w:cs="Times New Roman"/>
          <w:kern w:val="0"/>
          <w:szCs w:val="21"/>
        </w:rPr>
        <w:t>是</w:t>
      </w:r>
      <w:r>
        <w:rPr>
          <w:rFonts w:hint="eastAsia" w:ascii="宋体" w:hAnsi="宋体" w:eastAsia="宋体" w:cs="Times New Roman"/>
          <w:bCs/>
          <w:kern w:val="0"/>
          <w:szCs w:val="21"/>
        </w:rPr>
        <w:t>小学教育</w:t>
      </w:r>
      <w:r>
        <w:rPr>
          <w:rFonts w:ascii="宋体" w:hAnsi="宋体" w:eastAsia="宋体" w:cs="Times New Roman"/>
          <w:kern w:val="0"/>
          <w:szCs w:val="21"/>
        </w:rPr>
        <w:t>专业的一门</w:t>
      </w:r>
      <w:r>
        <w:rPr>
          <w:rFonts w:hint="eastAsia" w:ascii="宋体" w:hAnsi="宋体" w:eastAsia="宋体" w:cs="Times New Roman"/>
          <w:kern w:val="0"/>
          <w:szCs w:val="21"/>
        </w:rPr>
        <w:t>专业选修</w:t>
      </w:r>
      <w:r>
        <w:rPr>
          <w:rFonts w:ascii="宋体" w:hAnsi="宋体" w:eastAsia="宋体" w:cs="Times New Roman"/>
          <w:kern w:val="0"/>
          <w:szCs w:val="21"/>
        </w:rPr>
        <w:t>课程</w:t>
      </w:r>
      <w:r>
        <w:rPr>
          <w:rFonts w:hint="eastAsia" w:ascii="宋体" w:hAnsi="宋体" w:eastAsia="宋体" w:cs="Times New Roman"/>
          <w:kern w:val="0"/>
          <w:szCs w:val="21"/>
        </w:rPr>
        <w:t>。通过本课程学习，培养学生设计、组装、编程和运行机器人的能力，使学生全面掌握小学机器人科学教育活动的内涵、价值、目标、内容、方法和不同类型机器人科学教育活动设计指导方法，具有开展小学机器人科学教育及竞赛活动的基本技能，为后续STEAM课程设计</w:t>
      </w:r>
      <w:r>
        <w:rPr>
          <w:rFonts w:ascii="宋体" w:hAnsi="宋体" w:eastAsia="宋体" w:cs="Times New Roman"/>
          <w:kern w:val="0"/>
          <w:szCs w:val="21"/>
        </w:rPr>
        <w:t>及教育实习环节奠定基础。</w:t>
      </w:r>
    </w:p>
    <w:p w14:paraId="44DBAEDD">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3AD0353E">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0976702">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bCs/>
          <w:szCs w:val="21"/>
        </w:rPr>
        <w:t>了解机器人学科的发展历史与现状，理解机器人与人类的关系，掌握国内外中小学机器人教育的发展历史与现状。</w:t>
      </w:r>
    </w:p>
    <w:p w14:paraId="2B57AF9D">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bCs/>
          <w:szCs w:val="21"/>
        </w:rPr>
        <w:t>掌握教育机器人搭建与软件环境安装方法，掌握Scratch图形化程序设计思想与方法，通过实践掌握机器人编程方法。</w:t>
      </w:r>
    </w:p>
    <w:p w14:paraId="5DF8E57D">
      <w:pPr>
        <w:spacing w:line="360" w:lineRule="auto"/>
        <w:ind w:firstLine="422" w:firstLineChars="200"/>
        <w:jc w:val="left"/>
        <w:rPr>
          <w:rFonts w:ascii="Times New Roman" w:hAnsi="Times New Roman" w:eastAsia="宋体" w:cs="Times New Roman"/>
          <w:bCs/>
          <w:kern w:val="0"/>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bCs/>
          <w:kern w:val="0"/>
          <w:szCs w:val="21"/>
        </w:rPr>
        <w:t>具备针对某项机器人竞赛规则搭建机器人并设计相应程序的能力。</w:t>
      </w:r>
    </w:p>
    <w:p w14:paraId="3088C2E1">
      <w:pPr>
        <w:spacing w:line="360" w:lineRule="auto"/>
        <w:ind w:firstLine="422" w:firstLineChars="200"/>
        <w:jc w:val="left"/>
        <w:rPr>
          <w:rFonts w:ascii="Times New Roman" w:hAnsi="Times New Roman" w:eastAsia="宋体" w:cs="Times New Roman"/>
          <w:bCs/>
          <w:kern w:val="0"/>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
          <w:kern w:val="0"/>
          <w:szCs w:val="21"/>
        </w:rPr>
        <w:t>．</w:t>
      </w:r>
      <w:r>
        <w:rPr>
          <w:rFonts w:hint="eastAsia" w:ascii="Times New Roman" w:hAnsi="Times New Roman" w:eastAsia="宋体" w:cs="Times New Roman"/>
          <w:bCs/>
          <w:kern w:val="0"/>
          <w:szCs w:val="21"/>
        </w:rPr>
        <w:t>具有终身学习与专业发展的意识，掌握小学机器人教育和竞赛活动的评价方法和技能，能够运用批判性思维方法，对小学机器人教育和竞赛活动进行教育反思。</w:t>
      </w:r>
    </w:p>
    <w:p w14:paraId="09A8FCBF">
      <w:pPr>
        <w:spacing w:line="360" w:lineRule="auto"/>
        <w:ind w:firstLine="422" w:firstLineChars="200"/>
        <w:jc w:val="left"/>
        <w:rPr>
          <w:rFonts w:ascii="Times New Roman" w:hAnsi="Times New Roman" w:eastAsia="宋体" w:cs="Times New Roman"/>
          <w:bCs/>
          <w:kern w:val="0"/>
          <w:szCs w:val="21"/>
        </w:rPr>
      </w:pPr>
      <w:r>
        <w:rPr>
          <w:rFonts w:hint="eastAsia" w:ascii="Times New Roman" w:hAnsi="Times New Roman" w:eastAsia="宋体" w:cs="Times New Roman"/>
          <w:b/>
          <w:szCs w:val="21"/>
        </w:rPr>
        <w:t>目标5</w:t>
      </w:r>
      <w:r>
        <w:rPr>
          <w:rFonts w:hint="eastAsia" w:ascii="Times New Roman" w:hAnsi="Times New Roman" w:eastAsia="宋体" w:cs="Times New Roman"/>
          <w:b/>
          <w:kern w:val="0"/>
          <w:szCs w:val="21"/>
        </w:rPr>
        <w:t>．</w:t>
      </w:r>
      <w:r>
        <w:rPr>
          <w:rFonts w:hint="eastAsia" w:ascii="Times New Roman" w:hAnsi="Times New Roman" w:eastAsia="宋体" w:cs="Times New Roman"/>
          <w:bCs/>
          <w:kern w:val="0"/>
          <w:szCs w:val="21"/>
        </w:rPr>
        <w:t>能够完成校内机器人社团活动的设计与指导工作，促进小学生全面、健康发展。</w:t>
      </w:r>
    </w:p>
    <w:p w14:paraId="32F4D80C">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6E2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61101B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57C0D5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318BB9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A97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5219EE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45D9C52E">
            <w:pPr>
              <w:spacing w:line="276" w:lineRule="auto"/>
              <w:jc w:val="left"/>
              <w:rPr>
                <w:rFonts w:hint="eastAsia" w:ascii="宋体" w:hAnsi="宋体" w:cs="宋体"/>
                <w:szCs w:val="21"/>
              </w:rPr>
            </w:pPr>
            <w:r>
              <w:rPr>
                <w:rFonts w:hint="eastAsia" w:ascii="宋体" w:hAnsi="宋体" w:cs="宋体"/>
                <w:kern w:val="0"/>
                <w:szCs w:val="21"/>
              </w:rPr>
              <w:t>指标点</w:t>
            </w:r>
            <w:r>
              <w:rPr>
                <w:rFonts w:hint="eastAsia" w:ascii="宋体" w:hAnsi="宋体" w:cs="宋体"/>
                <w:szCs w:val="21"/>
              </w:rPr>
              <w:t>3-1：【通识知识广博】具有小学教育本科专业相应的自然科学和人文社会科学知识素养。</w:t>
            </w:r>
          </w:p>
          <w:p w14:paraId="4E6E5791">
            <w:pPr>
              <w:spacing w:line="276" w:lineRule="auto"/>
              <w:jc w:val="left"/>
              <w:rPr>
                <w:rFonts w:hint="eastAsia" w:ascii="宋体" w:hAnsi="宋体" w:cs="宋体"/>
                <w:szCs w:val="21"/>
              </w:rPr>
            </w:pPr>
            <w:r>
              <w:rPr>
                <w:rFonts w:hint="eastAsia" w:ascii="宋体" w:hAnsi="宋体" w:cs="宋体"/>
                <w:kern w:val="0"/>
                <w:szCs w:val="21"/>
              </w:rPr>
              <w:t>指标点</w:t>
            </w:r>
            <w:r>
              <w:rPr>
                <w:rFonts w:hint="eastAsia" w:ascii="宋体" w:hAnsi="宋体" w:cs="宋体"/>
                <w:szCs w:val="21"/>
              </w:rPr>
              <w:t>3-2：【学科知识扎实】具有学科专业能力，掌握小学数学学科的基本知识、原理和技能。熟悉小学科学的知识体系，掌握小学科学的基本知识、原理和技能。</w:t>
            </w:r>
          </w:p>
          <w:p w14:paraId="7A22380E">
            <w:pPr>
              <w:spacing w:line="276" w:lineRule="auto"/>
              <w:jc w:val="left"/>
              <w:rPr>
                <w:rFonts w:hint="eastAsia" w:ascii="宋体" w:hAnsi="宋体" w:cs="宋体"/>
                <w:szCs w:val="21"/>
              </w:rPr>
            </w:pPr>
            <w:r>
              <w:rPr>
                <w:rFonts w:hint="eastAsia" w:ascii="宋体" w:hAnsi="宋体" w:cs="宋体"/>
                <w:kern w:val="0"/>
                <w:szCs w:val="21"/>
              </w:rPr>
              <w:t>指标点</w:t>
            </w:r>
            <w:r>
              <w:rPr>
                <w:rFonts w:hint="eastAsia" w:ascii="宋体" w:hAnsi="宋体" w:cs="宋体"/>
                <w:szCs w:val="21"/>
              </w:rPr>
              <w:t>3-3：【注重知识整合】了解所教学科与小学其他学科及与社会实践、小学生生活实践之间的联系，了解学科整合在小学教育中的价值，具有跨学科解决问题的意识和能力，能指导综合性学科教学活动。</w:t>
            </w:r>
          </w:p>
        </w:tc>
        <w:tc>
          <w:tcPr>
            <w:tcW w:w="1191" w:type="dxa"/>
            <w:vAlign w:val="center"/>
          </w:tcPr>
          <w:p w14:paraId="0DCD5DE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课程目标4</w:t>
            </w:r>
          </w:p>
        </w:tc>
      </w:tr>
      <w:tr w14:paraId="0E96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FBF004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毕业要求6综合育人</w:t>
            </w:r>
          </w:p>
        </w:tc>
        <w:tc>
          <w:tcPr>
            <w:tcW w:w="5688" w:type="dxa"/>
            <w:vAlign w:val="center"/>
          </w:tcPr>
          <w:p w14:paraId="1D7B1D88">
            <w:pPr>
              <w:spacing w:line="276" w:lineRule="auto"/>
              <w:jc w:val="left"/>
              <w:rPr>
                <w:rFonts w:ascii="Times New Roman" w:hAnsi="Times New Roman" w:eastAsia="宋体" w:cs="Times New Roman"/>
                <w:szCs w:val="21"/>
              </w:rPr>
            </w:pPr>
            <w:r>
              <w:rPr>
                <w:rFonts w:hint="eastAsia" w:ascii="宋体" w:hAnsi="宋体" w:cs="宋体"/>
                <w:kern w:val="0"/>
                <w:sz w:val="20"/>
                <w:szCs w:val="20"/>
              </w:rPr>
              <w:t>指标点</w:t>
            </w:r>
            <w:r>
              <w:rPr>
                <w:rFonts w:hint="eastAsia" w:ascii="宋体" w:hAnsi="宋体" w:cs="宋体"/>
                <w:sz w:val="20"/>
                <w:szCs w:val="20"/>
              </w:rPr>
              <w:t>6-3：【善于文化与活动育人】了解课外活动组织和管理知识，掌握学校文化和各类课外教育活动的育人内涵和方法，在教育教学实践中，参与组织主题教育、少先队活动和社团活动，促进小学生全面、健康发展。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1728AD8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课程目标5</w:t>
            </w:r>
          </w:p>
        </w:tc>
      </w:tr>
    </w:tbl>
    <w:p w14:paraId="3E62D078">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6FE45B64">
      <w:pPr>
        <w:spacing w:line="360" w:lineRule="auto"/>
        <w:jc w:val="left"/>
        <w:rPr>
          <w:rFonts w:hint="eastAsia" w:ascii="宋体" w:hAnsi="宋体" w:eastAsia="宋体" w:cs="宋体"/>
          <w:szCs w:val="21"/>
        </w:rPr>
      </w:pPr>
      <w:r>
        <w:rPr>
          <w:rFonts w:ascii="宋体" w:hAnsi="宋体" w:eastAsia="宋体" w:cs="宋体"/>
          <w:szCs w:val="21"/>
        </w:rPr>
        <w:t>本课程以机器人教育为载体，通过理论与实践相结合的方式，多维度培养学生的核心素养。在认知层面，引导学生深入思考机器人的发明意义及其社会价值，理解人类改造世界的主观能动性和创造力；在实践层面，通过机器人搭建、程序设计和操作应用等实操训练，强化劳动教育价值，提升动手实践能力。课程融入Scratch图形化编程教学，帮助学生掌握计算机语言逻辑，培养系统性思维能力，增强科学理性认识世界的水平。同时，通过解析机器人竞赛的搭建控制原理，深化学生对"中国智造"和"大国工匠"精神内涵的理解，培养创新意识和精益求精的工匠精神。在团队协作方面，通过社团组织与竞赛管理的学习实践，提升学生的组织协调能力和学以致用水平，深化对科学管理理念的认知。最终实现德智体美劳"五育并举"的教育目标，促进学生全面发展，培养其成为具有创新精神、实践能力和社会责任感的时代新人。</w:t>
      </w:r>
    </w:p>
    <w:p w14:paraId="2692F654">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11CA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F00B6A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096CF39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33CA0C0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693C1B0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41E65F2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3DDDDD3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37C9D1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5EA241F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232E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40112B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1.机器人技术与教育概述</w:t>
            </w:r>
          </w:p>
        </w:tc>
        <w:tc>
          <w:tcPr>
            <w:tcW w:w="1701" w:type="dxa"/>
            <w:vAlign w:val="center"/>
          </w:tcPr>
          <w:p w14:paraId="08383CD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（1）机器人学科的发展历史与现状</w:t>
            </w:r>
          </w:p>
          <w:p w14:paraId="7081F03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（2）国内外中小学机器人教育的发展历史与现状</w:t>
            </w:r>
          </w:p>
          <w:p w14:paraId="43E898F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（3）机器人在人类社会中的重要地位与思考</w:t>
            </w:r>
          </w:p>
        </w:tc>
        <w:tc>
          <w:tcPr>
            <w:tcW w:w="1134" w:type="dxa"/>
            <w:vAlign w:val="center"/>
          </w:tcPr>
          <w:p w14:paraId="4D4002E2">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2BBB6DD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1.了解机器人学科的内涵</w:t>
            </w:r>
          </w:p>
          <w:p w14:paraId="5070E35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2.掌握国内外中小学机器人教育的发展历史与现状</w:t>
            </w:r>
          </w:p>
          <w:p w14:paraId="15CE301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3.理解机器人与人类的关系</w:t>
            </w:r>
          </w:p>
          <w:p w14:paraId="2218822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4.初步掌握掌握国内外中小学机器人教育的发展历史与现状</w:t>
            </w:r>
          </w:p>
          <w:p w14:paraId="2146062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5.初步了解各种类型的中小学教育机器人的特点</w:t>
            </w:r>
          </w:p>
        </w:tc>
        <w:tc>
          <w:tcPr>
            <w:tcW w:w="1560" w:type="dxa"/>
            <w:vAlign w:val="center"/>
          </w:tcPr>
          <w:p w14:paraId="16670D4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0A74B04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99BBE6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26E4661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5B7D2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BBCAA59">
            <w:pPr>
              <w:spacing w:line="264" w:lineRule="auto"/>
              <w:jc w:val="center"/>
              <w:rPr>
                <w:rFonts w:hint="eastAsia" w:ascii="宋体" w:hAnsi="宋体" w:eastAsia="宋体" w:cs="Times New Roman"/>
                <w:color w:val="000000"/>
                <w:szCs w:val="21"/>
              </w:rPr>
            </w:pPr>
          </w:p>
        </w:tc>
        <w:tc>
          <w:tcPr>
            <w:tcW w:w="8093" w:type="dxa"/>
            <w:gridSpan w:val="5"/>
            <w:vAlign w:val="center"/>
          </w:tcPr>
          <w:p w14:paraId="4FDFE5BB">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通过引发学生对机器人的发明及其在人类社会中的重要地位的思考，让学生充分理解人的创造力和主观能动性，人不仅要认识世界，还要改造世界。</w:t>
            </w:r>
          </w:p>
        </w:tc>
      </w:tr>
      <w:tr w14:paraId="29FE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B9F8391">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2.教育机器人搭建与软件环境安装</w:t>
            </w:r>
          </w:p>
        </w:tc>
        <w:tc>
          <w:tcPr>
            <w:tcW w:w="1701" w:type="dxa"/>
            <w:vAlign w:val="center"/>
          </w:tcPr>
          <w:p w14:paraId="618754C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教育机器人搭建</w:t>
            </w:r>
          </w:p>
          <w:p w14:paraId="1FCD1185">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软件环境安装</w:t>
            </w:r>
          </w:p>
          <w:p w14:paraId="1925D50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软件环境使用</w:t>
            </w:r>
          </w:p>
          <w:p w14:paraId="5B69A8AF">
            <w:pPr>
              <w:spacing w:line="269" w:lineRule="auto"/>
              <w:jc w:val="left"/>
              <w:rPr>
                <w:rFonts w:hint="eastAsia" w:ascii="宋体" w:hAnsi="宋体" w:eastAsia="宋体" w:cs="Times New Roman"/>
                <w:color w:val="000000"/>
                <w:szCs w:val="21"/>
              </w:rPr>
            </w:pPr>
          </w:p>
        </w:tc>
        <w:tc>
          <w:tcPr>
            <w:tcW w:w="1134" w:type="dxa"/>
            <w:vAlign w:val="center"/>
          </w:tcPr>
          <w:p w14:paraId="7F791E2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260" w:type="dxa"/>
            <w:vAlign w:val="center"/>
          </w:tcPr>
          <w:p w14:paraId="6487DE6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1.掌握教育机器人搭建与软件环境安装方法</w:t>
            </w:r>
          </w:p>
          <w:p w14:paraId="4B6BA32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2.初步了解教育机器人搭建及各模块功能</w:t>
            </w:r>
          </w:p>
          <w:p w14:paraId="7B5E0C0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3.初步了解教育机器人各模块功能</w:t>
            </w:r>
          </w:p>
        </w:tc>
        <w:tc>
          <w:tcPr>
            <w:tcW w:w="1560" w:type="dxa"/>
            <w:vAlign w:val="center"/>
          </w:tcPr>
          <w:p w14:paraId="6200E0C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56BC29F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BA2528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6D45CE0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0A8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C0AB978">
            <w:pPr>
              <w:spacing w:line="264" w:lineRule="auto"/>
              <w:jc w:val="center"/>
              <w:rPr>
                <w:rFonts w:hint="eastAsia" w:ascii="宋体" w:hAnsi="宋体" w:eastAsia="宋体" w:cs="Times New Roman"/>
                <w:color w:val="000000"/>
                <w:szCs w:val="21"/>
              </w:rPr>
            </w:pPr>
          </w:p>
        </w:tc>
        <w:tc>
          <w:tcPr>
            <w:tcW w:w="8093" w:type="dxa"/>
            <w:gridSpan w:val="5"/>
            <w:vAlign w:val="center"/>
          </w:tcPr>
          <w:p w14:paraId="3279ECFD">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通过带领学生学习机器人的搭建、安装和使用知识，让学生实践操作能力的重要作用，进而明白劳动教育的重要价值意义</w:t>
            </w:r>
          </w:p>
        </w:tc>
      </w:tr>
      <w:tr w14:paraId="7B86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shd w:val="clear" w:color="auto" w:fill="auto"/>
            <w:vAlign w:val="center"/>
          </w:tcPr>
          <w:p w14:paraId="3B1321FF">
            <w:pPr>
              <w:jc w:val="left"/>
              <w:rPr>
                <w:rFonts w:hint="eastAsia" w:ascii="宋体" w:hAnsi="宋体" w:eastAsia="宋体" w:cs="Times New Roman"/>
                <w:szCs w:val="21"/>
              </w:rPr>
            </w:pPr>
            <w:r>
              <w:rPr>
                <w:rFonts w:hint="eastAsia" w:ascii="宋体" w:hAnsi="宋体" w:eastAsia="宋体" w:cs="宋体"/>
                <w:kern w:val="0"/>
                <w:szCs w:val="21"/>
              </w:rPr>
              <w:t>3.</w:t>
            </w:r>
            <w:r>
              <w:rPr>
                <w:rFonts w:ascii="宋体" w:hAnsi="宋体" w:eastAsia="宋体" w:cs="宋体"/>
                <w:kern w:val="0"/>
                <w:szCs w:val="21"/>
              </w:rPr>
              <w:t>Scratch</w:t>
            </w:r>
            <w:r>
              <w:rPr>
                <w:rFonts w:hint="eastAsia" w:ascii="宋体" w:hAnsi="宋体" w:eastAsia="宋体" w:cs="宋体"/>
                <w:kern w:val="0"/>
                <w:szCs w:val="21"/>
              </w:rPr>
              <w:t>图形化程序设计</w:t>
            </w:r>
          </w:p>
        </w:tc>
        <w:tc>
          <w:tcPr>
            <w:tcW w:w="1701" w:type="dxa"/>
            <w:vAlign w:val="center"/>
          </w:tcPr>
          <w:p w14:paraId="680C081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Scratch界面、背景区、角色区、各种角色介绍</w:t>
            </w:r>
          </w:p>
          <w:p w14:paraId="309EDC4E">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顺序、分支、循环程序设计</w:t>
            </w:r>
          </w:p>
          <w:p w14:paraId="59766B89">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结构化程序设计</w:t>
            </w:r>
          </w:p>
          <w:p w14:paraId="2F084063">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熊猫漫步与猫捉老鼠实验</w:t>
            </w:r>
          </w:p>
          <w:p w14:paraId="6A9AD2BB">
            <w:pPr>
              <w:spacing w:line="269" w:lineRule="auto"/>
              <w:jc w:val="left"/>
              <w:rPr>
                <w:rFonts w:hint="eastAsia" w:ascii="宋体" w:hAnsi="宋体" w:eastAsia="宋体" w:cs="Times New Roman"/>
                <w:color w:val="000000"/>
                <w:szCs w:val="21"/>
              </w:rPr>
            </w:pPr>
          </w:p>
        </w:tc>
        <w:tc>
          <w:tcPr>
            <w:tcW w:w="1134" w:type="dxa"/>
            <w:vAlign w:val="center"/>
          </w:tcPr>
          <w:p w14:paraId="509335A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260" w:type="dxa"/>
            <w:vAlign w:val="center"/>
          </w:tcPr>
          <w:p w14:paraId="3A7F6E0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1.了解Scratch界面、背景区、角色区、各种角色</w:t>
            </w:r>
          </w:p>
          <w:p w14:paraId="45AD4BF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2.掌握顺序、分支、循环程序设计思想</w:t>
            </w:r>
          </w:p>
          <w:p w14:paraId="24478CB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3.掌握结构化程序设计思想</w:t>
            </w:r>
          </w:p>
          <w:p w14:paraId="67EDD70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应用所学</w:t>
            </w:r>
            <w:r>
              <w:rPr>
                <w:rFonts w:hint="eastAsia" w:ascii="宋体" w:hAnsi="宋体" w:eastAsia="宋体" w:cs="Times New Roman"/>
                <w:color w:val="000000"/>
                <w:szCs w:val="21"/>
              </w:rPr>
              <w:t>内容实现熊猫漫步与猫捉老鼠实验</w:t>
            </w:r>
          </w:p>
          <w:p w14:paraId="2A5E976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5.初步掌握顺序、分支、循环程序设计和结构化程序设计的基本要求和方法</w:t>
            </w:r>
          </w:p>
          <w:p w14:paraId="09E4552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6.初步应用所学内容实现熊猫漫步与猫捉老鼠实验</w:t>
            </w:r>
          </w:p>
        </w:tc>
        <w:tc>
          <w:tcPr>
            <w:tcW w:w="1560" w:type="dxa"/>
            <w:vAlign w:val="center"/>
          </w:tcPr>
          <w:p w14:paraId="17A31B6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75FD3C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624D49F2">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A1AA70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2204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F93672D">
            <w:pPr>
              <w:spacing w:line="264" w:lineRule="auto"/>
              <w:jc w:val="center"/>
              <w:rPr>
                <w:rFonts w:hint="eastAsia" w:ascii="宋体" w:hAnsi="宋体" w:eastAsia="宋体" w:cs="Times New Roman"/>
                <w:color w:val="000000"/>
                <w:szCs w:val="21"/>
              </w:rPr>
            </w:pPr>
          </w:p>
        </w:tc>
        <w:tc>
          <w:tcPr>
            <w:tcW w:w="8093" w:type="dxa"/>
            <w:gridSpan w:val="5"/>
            <w:vAlign w:val="center"/>
          </w:tcPr>
          <w:p w14:paraId="04EA0D15">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学生通过学习Scratch图形化程序设计的基本知识，了解当代计算机语言的基本逻辑，进而增进学生对程序设计思想在培养逻辑思维能力方面的作用。</w:t>
            </w:r>
          </w:p>
        </w:tc>
      </w:tr>
      <w:tr w14:paraId="5A8A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30CF70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宋体"/>
                <w:kern w:val="0"/>
                <w:szCs w:val="21"/>
              </w:rPr>
              <w:t>机器人编程与实践</w:t>
            </w:r>
          </w:p>
        </w:tc>
        <w:tc>
          <w:tcPr>
            <w:tcW w:w="1701" w:type="dxa"/>
            <w:vAlign w:val="center"/>
          </w:tcPr>
          <w:p w14:paraId="436C903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LED、按键、蜂鸣器、红外遥控程序设计</w:t>
            </w:r>
          </w:p>
          <w:p w14:paraId="36E495C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巡线传感器与电机控制程序设计</w:t>
            </w:r>
          </w:p>
          <w:p w14:paraId="7A537F7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音乐家、遥控机器人综合程序设计与实验</w:t>
            </w:r>
          </w:p>
        </w:tc>
        <w:tc>
          <w:tcPr>
            <w:tcW w:w="1134" w:type="dxa"/>
            <w:vAlign w:val="center"/>
          </w:tcPr>
          <w:p w14:paraId="704DAF3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260" w:type="dxa"/>
            <w:vAlign w:val="center"/>
          </w:tcPr>
          <w:p w14:paraId="6F482A7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1.掌握机器人各模块的程序设计方法</w:t>
            </w:r>
          </w:p>
          <w:p w14:paraId="3E932FA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2.音乐家、遥控机器人综合程序设计与实验</w:t>
            </w:r>
          </w:p>
          <w:p w14:paraId="2F986B6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3.初步掌握机器人各模块的程序设计方法</w:t>
            </w:r>
          </w:p>
          <w:p w14:paraId="055CC4F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4.能灵活运用所学进行音乐家、遥控机器人综合程序设计与实验</w:t>
            </w:r>
          </w:p>
          <w:p w14:paraId="52FD8901">
            <w:pPr>
              <w:spacing w:line="276" w:lineRule="auto"/>
              <w:jc w:val="left"/>
              <w:rPr>
                <w:rFonts w:hint="eastAsia" w:ascii="宋体" w:hAnsi="宋体" w:eastAsia="宋体" w:cs="Times New Roman"/>
                <w:color w:val="000000"/>
                <w:szCs w:val="21"/>
              </w:rPr>
            </w:pPr>
          </w:p>
        </w:tc>
        <w:tc>
          <w:tcPr>
            <w:tcW w:w="1560" w:type="dxa"/>
            <w:vAlign w:val="center"/>
          </w:tcPr>
          <w:p w14:paraId="637DD19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CDD783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75A06A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3BE673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2F78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96BA97E">
            <w:pPr>
              <w:spacing w:line="276" w:lineRule="auto"/>
              <w:jc w:val="center"/>
              <w:rPr>
                <w:rFonts w:hint="eastAsia" w:ascii="宋体" w:hAnsi="宋体" w:eastAsia="宋体" w:cs="Times New Roman"/>
                <w:color w:val="000000"/>
                <w:szCs w:val="21"/>
              </w:rPr>
            </w:pPr>
          </w:p>
        </w:tc>
        <w:tc>
          <w:tcPr>
            <w:tcW w:w="8093" w:type="dxa"/>
            <w:gridSpan w:val="5"/>
            <w:vAlign w:val="center"/>
          </w:tcPr>
          <w:p w14:paraId="52520437">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学生通过学习程序设计方法，了解社会生活中的相关设施设备的设计原理，增强学生科学和理性地认识世界的能力。</w:t>
            </w:r>
          </w:p>
        </w:tc>
      </w:tr>
      <w:tr w14:paraId="7F1C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484C9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hint="eastAsia" w:ascii="宋体" w:hAnsi="宋体" w:eastAsia="宋体" w:cs="宋体"/>
                <w:kern w:val="0"/>
                <w:szCs w:val="21"/>
              </w:rPr>
              <w:t>竞赛机器人搭建与程序设计</w:t>
            </w:r>
          </w:p>
        </w:tc>
        <w:tc>
          <w:tcPr>
            <w:tcW w:w="1701" w:type="dxa"/>
            <w:vAlign w:val="center"/>
          </w:tcPr>
          <w:p w14:paraId="76AEC9D1">
            <w:pPr>
              <w:spacing w:line="276" w:lineRule="auto"/>
              <w:jc w:val="left"/>
              <w:rPr>
                <w:rFonts w:hint="eastAsia"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1</w:t>
            </w:r>
            <w:r>
              <w:rPr>
                <w:rFonts w:ascii="宋体" w:hAnsi="宋体" w:eastAsia="宋体" w:cs="Times New Roman"/>
                <w:sz w:val="24"/>
              </w:rPr>
              <w:t>）</w:t>
            </w:r>
            <w:r>
              <w:rPr>
                <w:rFonts w:hint="eastAsia" w:ascii="宋体" w:hAnsi="宋体" w:eastAsia="宋体" w:cs="Times New Roman"/>
                <w:sz w:val="24"/>
              </w:rPr>
              <w:t>机器人竞赛规则介绍</w:t>
            </w:r>
          </w:p>
          <w:p w14:paraId="2A814107">
            <w:pPr>
              <w:spacing w:line="276" w:lineRule="auto"/>
              <w:jc w:val="left"/>
              <w:rPr>
                <w:rFonts w:hint="eastAsia"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巡线机器人搭建与控制</w:t>
            </w:r>
          </w:p>
          <w:p w14:paraId="3BA864D0">
            <w:pPr>
              <w:spacing w:line="276" w:lineRule="auto"/>
              <w:jc w:val="left"/>
              <w:rPr>
                <w:rFonts w:hint="eastAsia" w:ascii="宋体" w:hAnsi="宋体" w:eastAsia="宋体" w:cs="Times New Roman"/>
                <w:color w:val="000000"/>
                <w:szCs w:val="21"/>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六足机器人搭建与控制</w:t>
            </w:r>
          </w:p>
        </w:tc>
        <w:tc>
          <w:tcPr>
            <w:tcW w:w="1134" w:type="dxa"/>
            <w:vAlign w:val="center"/>
          </w:tcPr>
          <w:p w14:paraId="46304D0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课程目标3</w:t>
            </w:r>
          </w:p>
        </w:tc>
        <w:tc>
          <w:tcPr>
            <w:tcW w:w="3260" w:type="dxa"/>
            <w:vAlign w:val="center"/>
          </w:tcPr>
          <w:p w14:paraId="46084B6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1.了解一种机器人竞赛规则</w:t>
            </w:r>
          </w:p>
          <w:p w14:paraId="474289C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2.掌握巡线机器人搭建与控制方法</w:t>
            </w:r>
          </w:p>
          <w:p w14:paraId="5EACC12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3.掌握六足机器人搭建与控制方法</w:t>
            </w:r>
          </w:p>
          <w:p w14:paraId="247AECE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4.初步掌握巡线机器人搭建与控制方法</w:t>
            </w:r>
          </w:p>
          <w:p w14:paraId="1ADF3DC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5.能够初步运用所学知识和竞赛规则控制机器人</w:t>
            </w:r>
          </w:p>
        </w:tc>
        <w:tc>
          <w:tcPr>
            <w:tcW w:w="1560" w:type="dxa"/>
            <w:vAlign w:val="center"/>
          </w:tcPr>
          <w:p w14:paraId="015299D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8E3D78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7D0C99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FD164F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5B49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6689428">
            <w:pPr>
              <w:spacing w:line="276" w:lineRule="auto"/>
              <w:jc w:val="center"/>
              <w:rPr>
                <w:rFonts w:hint="eastAsia" w:ascii="宋体" w:hAnsi="宋体" w:eastAsia="宋体" w:cs="Times New Roman"/>
                <w:color w:val="000000"/>
                <w:szCs w:val="21"/>
              </w:rPr>
            </w:pPr>
          </w:p>
        </w:tc>
        <w:tc>
          <w:tcPr>
            <w:tcW w:w="8093" w:type="dxa"/>
            <w:gridSpan w:val="5"/>
            <w:vAlign w:val="center"/>
          </w:tcPr>
          <w:p w14:paraId="2508BD0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通过让学生学习有关机器人竞赛中的搭建与控制的基本知识，增进学生对“中国智造”、“大国工匠”等概念的理解，进而体会自主研发和工匠精神的重要意义。</w:t>
            </w:r>
          </w:p>
        </w:tc>
      </w:tr>
      <w:tr w14:paraId="61AD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AD9AEA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hint="eastAsia" w:ascii="宋体" w:hAnsi="宋体" w:eastAsia="宋体" w:cs="宋体"/>
                <w:kern w:val="0"/>
                <w:szCs w:val="21"/>
              </w:rPr>
              <w:t>机器人竞赛组织与训练</w:t>
            </w:r>
          </w:p>
        </w:tc>
        <w:tc>
          <w:tcPr>
            <w:tcW w:w="1701" w:type="dxa"/>
            <w:vAlign w:val="center"/>
          </w:tcPr>
          <w:p w14:paraId="2C0E83C1">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机器人竞赛概述</w:t>
            </w:r>
          </w:p>
          <w:p w14:paraId="43E14E5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机器人竞赛教育活动的设计与组织指导</w:t>
            </w:r>
          </w:p>
          <w:p w14:paraId="3587478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组织进行足球机器人竞赛</w:t>
            </w:r>
          </w:p>
        </w:tc>
        <w:tc>
          <w:tcPr>
            <w:tcW w:w="1134" w:type="dxa"/>
            <w:vAlign w:val="center"/>
          </w:tcPr>
          <w:p w14:paraId="21D003C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课程目标4</w:t>
            </w:r>
          </w:p>
        </w:tc>
        <w:tc>
          <w:tcPr>
            <w:tcW w:w="3260" w:type="dxa"/>
            <w:vAlign w:val="center"/>
          </w:tcPr>
          <w:p w14:paraId="442D94D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1.了解中小学机器人竞赛种类</w:t>
            </w:r>
          </w:p>
          <w:p w14:paraId="23B350F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2.能够完成小学机器人竞赛教育活动的设计与组织指导活动</w:t>
            </w:r>
          </w:p>
          <w:p w14:paraId="31353C2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3.初步掌握小学机器人竞赛教育活动的设计与组织指导方法</w:t>
            </w:r>
          </w:p>
          <w:p w14:paraId="6250FDF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4.能够初步设计与组织足球机器人竞赛教育活动</w:t>
            </w:r>
          </w:p>
          <w:p w14:paraId="582B616A">
            <w:pPr>
              <w:spacing w:line="276" w:lineRule="auto"/>
              <w:jc w:val="left"/>
              <w:rPr>
                <w:rFonts w:hint="eastAsia" w:ascii="宋体" w:hAnsi="宋体" w:eastAsia="宋体" w:cs="Times New Roman"/>
                <w:color w:val="000000"/>
                <w:szCs w:val="21"/>
              </w:rPr>
            </w:pPr>
          </w:p>
        </w:tc>
        <w:tc>
          <w:tcPr>
            <w:tcW w:w="1560" w:type="dxa"/>
            <w:vAlign w:val="center"/>
          </w:tcPr>
          <w:p w14:paraId="13450F4E">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B68D71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60113AB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0066DC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0DFC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BDCBBFC">
            <w:pPr>
              <w:spacing w:line="276" w:lineRule="auto"/>
              <w:jc w:val="center"/>
              <w:rPr>
                <w:rFonts w:hint="eastAsia" w:ascii="宋体" w:hAnsi="宋体" w:eastAsia="宋体" w:cs="Times New Roman"/>
                <w:color w:val="000000"/>
                <w:szCs w:val="21"/>
              </w:rPr>
            </w:pPr>
          </w:p>
        </w:tc>
        <w:tc>
          <w:tcPr>
            <w:tcW w:w="8093" w:type="dxa"/>
            <w:gridSpan w:val="5"/>
            <w:vAlign w:val="center"/>
          </w:tcPr>
          <w:p w14:paraId="6E249F3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通过让学生对机器人竞赛及其相关设计组织知识的认识和了解，培养学生的实践动手能力，学以致用，进一步强化 “五育并举”等教育理念在具体教育实践中的渗透。</w:t>
            </w:r>
          </w:p>
        </w:tc>
      </w:tr>
      <w:tr w14:paraId="6807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812B03D">
            <w:pPr>
              <w:spacing w:line="276" w:lineRule="auto"/>
              <w:jc w:val="center"/>
              <w:rPr>
                <w:rFonts w:hint="eastAsia" w:ascii="宋体" w:hAnsi="宋体" w:eastAsia="宋体" w:cs="Times New Roman"/>
                <w:szCs w:val="21"/>
              </w:rPr>
            </w:pPr>
            <w:r>
              <w:rPr>
                <w:rFonts w:hint="eastAsia" w:ascii="宋体" w:hAnsi="宋体" w:eastAsia="宋体" w:cs="Times New Roman"/>
                <w:szCs w:val="21"/>
              </w:rPr>
              <w:t>7.</w:t>
            </w:r>
            <w:r>
              <w:rPr>
                <w:rFonts w:hint="eastAsia" w:ascii="宋体" w:hAnsi="宋体" w:eastAsia="宋体" w:cs="宋体"/>
                <w:kern w:val="0"/>
                <w:szCs w:val="21"/>
              </w:rPr>
              <w:t>机器人教育与竞赛活动评价</w:t>
            </w:r>
          </w:p>
        </w:tc>
        <w:tc>
          <w:tcPr>
            <w:tcW w:w="1701" w:type="dxa"/>
            <w:vAlign w:val="center"/>
          </w:tcPr>
          <w:p w14:paraId="1FFFD44D">
            <w:pPr>
              <w:spacing w:line="276" w:lineRule="auto"/>
              <w:jc w:val="left"/>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小学机器人社团的组织管理方法</w:t>
            </w:r>
          </w:p>
          <w:p w14:paraId="34805408">
            <w:pPr>
              <w:spacing w:line="276" w:lineRule="auto"/>
              <w:jc w:val="left"/>
              <w:rPr>
                <w:rFonts w:hint="eastAsia"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小学机器人竞赛项目选择与竞赛指导改进方法</w:t>
            </w:r>
          </w:p>
        </w:tc>
        <w:tc>
          <w:tcPr>
            <w:tcW w:w="1134" w:type="dxa"/>
            <w:vAlign w:val="center"/>
          </w:tcPr>
          <w:p w14:paraId="3A248A6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课程目标1、5</w:t>
            </w:r>
          </w:p>
        </w:tc>
        <w:tc>
          <w:tcPr>
            <w:tcW w:w="3260" w:type="dxa"/>
            <w:vAlign w:val="center"/>
          </w:tcPr>
          <w:p w14:paraId="26DD6C0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1.掌握小学机器人社团的组织管理方法</w:t>
            </w:r>
          </w:p>
          <w:p w14:paraId="17870D2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2.掌握小学机器人竞赛项目选择与竞赛指导改进方法</w:t>
            </w:r>
          </w:p>
          <w:p w14:paraId="330FA61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3.初步掌握小学机器人社团的组织管理方法</w:t>
            </w:r>
          </w:p>
          <w:p w14:paraId="7A63D14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4.能够初步评价机器人竞赛项目，改进指导竞赛的方法。</w:t>
            </w:r>
          </w:p>
          <w:p w14:paraId="626002C8">
            <w:pPr>
              <w:spacing w:line="276" w:lineRule="auto"/>
              <w:jc w:val="left"/>
              <w:rPr>
                <w:rFonts w:hint="eastAsia" w:ascii="宋体" w:hAnsi="宋体" w:eastAsia="宋体" w:cs="Times New Roman"/>
                <w:color w:val="000000"/>
                <w:szCs w:val="21"/>
              </w:rPr>
            </w:pPr>
          </w:p>
        </w:tc>
        <w:tc>
          <w:tcPr>
            <w:tcW w:w="1560" w:type="dxa"/>
            <w:vAlign w:val="center"/>
          </w:tcPr>
          <w:p w14:paraId="18578DD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1E9737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2400119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31B0D5C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41B4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45F68C8">
            <w:pPr>
              <w:spacing w:line="276" w:lineRule="auto"/>
              <w:jc w:val="center"/>
              <w:rPr>
                <w:rFonts w:hint="eastAsia" w:ascii="宋体" w:hAnsi="宋体" w:eastAsia="宋体" w:cs="Times New Roman"/>
                <w:color w:val="000000"/>
                <w:szCs w:val="21"/>
              </w:rPr>
            </w:pPr>
          </w:p>
        </w:tc>
        <w:tc>
          <w:tcPr>
            <w:tcW w:w="8093" w:type="dxa"/>
            <w:gridSpan w:val="5"/>
            <w:vAlign w:val="center"/>
          </w:tcPr>
          <w:p w14:paraId="0B43C3A2">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学生通过对小学机器人社团的组织和竞赛的方法的学习和掌握，了解组织管理中的一般要求和困难所在，从而增强学生学以致用的能力，最终形成对国家政府的科学组织管理理念的正确认知和认同。</w:t>
            </w:r>
          </w:p>
        </w:tc>
      </w:tr>
    </w:tbl>
    <w:p w14:paraId="53BAB390">
      <w:pPr>
        <w:spacing w:line="360" w:lineRule="auto"/>
        <w:jc w:val="left"/>
        <w:rPr>
          <w:rFonts w:ascii="Times New Roman" w:hAnsi="Times New Roman" w:eastAsia="宋体" w:cs="Times New Roman"/>
          <w:sz w:val="24"/>
        </w:rPr>
      </w:pPr>
    </w:p>
    <w:p w14:paraId="3C877766">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33FC66F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506BC3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E6F637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058"/>
        <w:gridCol w:w="1058"/>
        <w:gridCol w:w="1052"/>
        <w:gridCol w:w="2238"/>
      </w:tblGrid>
      <w:tr w14:paraId="4322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restart"/>
            <w:vAlign w:val="center"/>
          </w:tcPr>
          <w:p w14:paraId="3246E1C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168" w:type="dxa"/>
            <w:gridSpan w:val="3"/>
            <w:vAlign w:val="center"/>
          </w:tcPr>
          <w:p w14:paraId="644FA50B">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2238" w:type="dxa"/>
            <w:vMerge w:val="restart"/>
            <w:vAlign w:val="center"/>
          </w:tcPr>
          <w:p w14:paraId="5E7B8178">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DEC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vAlign w:val="center"/>
          </w:tcPr>
          <w:p w14:paraId="25C7F6A0">
            <w:pPr>
              <w:spacing w:line="360" w:lineRule="auto"/>
              <w:jc w:val="center"/>
              <w:rPr>
                <w:rFonts w:hint="eastAsia" w:ascii="宋体" w:hAnsi="宋体" w:eastAsia="宋体" w:cs="Times New Roman"/>
                <w:szCs w:val="21"/>
              </w:rPr>
            </w:pPr>
          </w:p>
        </w:tc>
        <w:tc>
          <w:tcPr>
            <w:tcW w:w="1058" w:type="dxa"/>
            <w:vAlign w:val="center"/>
          </w:tcPr>
          <w:p w14:paraId="034D2CCC">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平时成绩</w:t>
            </w:r>
          </w:p>
        </w:tc>
        <w:tc>
          <w:tcPr>
            <w:tcW w:w="1058" w:type="dxa"/>
            <w:vAlign w:val="center"/>
          </w:tcPr>
          <w:p w14:paraId="42BC4B53">
            <w:pPr>
              <w:spacing w:line="360" w:lineRule="auto"/>
              <w:jc w:val="center"/>
              <w:rPr>
                <w:rFonts w:hint="eastAsia" w:ascii="宋体" w:hAnsi="宋体" w:eastAsia="宋体" w:cs="Times New Roman"/>
                <w:szCs w:val="21"/>
              </w:rPr>
            </w:pPr>
            <w:r>
              <w:rPr>
                <w:rFonts w:hint="eastAsia" w:ascii="宋体" w:hAnsi="宋体" w:eastAsia="宋体" w:cs="Times New Roman"/>
                <w:szCs w:val="21"/>
              </w:rPr>
              <w:t>实验成绩</w:t>
            </w:r>
          </w:p>
        </w:tc>
        <w:tc>
          <w:tcPr>
            <w:tcW w:w="1052" w:type="dxa"/>
            <w:vAlign w:val="center"/>
          </w:tcPr>
          <w:p w14:paraId="4CA2985B">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期末成绩</w:t>
            </w:r>
          </w:p>
        </w:tc>
        <w:tc>
          <w:tcPr>
            <w:tcW w:w="2238" w:type="dxa"/>
            <w:vMerge w:val="continue"/>
          </w:tcPr>
          <w:p w14:paraId="14BBA670">
            <w:pPr>
              <w:spacing w:line="360" w:lineRule="auto"/>
              <w:jc w:val="center"/>
              <w:rPr>
                <w:rFonts w:hint="eastAsia" w:ascii="宋体" w:hAnsi="宋体" w:eastAsia="宋体" w:cs="Times New Roman"/>
                <w:szCs w:val="21"/>
              </w:rPr>
            </w:pPr>
          </w:p>
        </w:tc>
      </w:tr>
      <w:tr w14:paraId="2C57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04478E9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058" w:type="dxa"/>
            <w:vAlign w:val="center"/>
          </w:tcPr>
          <w:p w14:paraId="4834FCF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8" w:type="dxa"/>
            <w:vAlign w:val="center"/>
          </w:tcPr>
          <w:p w14:paraId="33D92A42">
            <w:pPr>
              <w:spacing w:line="360" w:lineRule="auto"/>
              <w:jc w:val="center"/>
              <w:rPr>
                <w:rFonts w:hint="eastAsia" w:ascii="宋体" w:hAnsi="宋体" w:eastAsia="宋体" w:cs="Times New Roman"/>
                <w:szCs w:val="21"/>
              </w:rPr>
            </w:pPr>
          </w:p>
        </w:tc>
        <w:tc>
          <w:tcPr>
            <w:tcW w:w="1052" w:type="dxa"/>
            <w:vAlign w:val="center"/>
          </w:tcPr>
          <w:p w14:paraId="2D36E4F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38" w:type="dxa"/>
            <w:vAlign w:val="center"/>
          </w:tcPr>
          <w:p w14:paraId="2DFBB4E6">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7239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38A65A1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058" w:type="dxa"/>
            <w:vAlign w:val="center"/>
          </w:tcPr>
          <w:p w14:paraId="60DB113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8" w:type="dxa"/>
            <w:vAlign w:val="center"/>
          </w:tcPr>
          <w:p w14:paraId="4F30B4F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2" w:type="dxa"/>
            <w:vAlign w:val="center"/>
          </w:tcPr>
          <w:p w14:paraId="1A9C1C5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38" w:type="dxa"/>
            <w:vAlign w:val="center"/>
          </w:tcPr>
          <w:p w14:paraId="71F8D614">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5568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2838639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058" w:type="dxa"/>
            <w:vAlign w:val="center"/>
          </w:tcPr>
          <w:p w14:paraId="1652024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8" w:type="dxa"/>
            <w:vAlign w:val="center"/>
          </w:tcPr>
          <w:p w14:paraId="632F51B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2" w:type="dxa"/>
            <w:vAlign w:val="center"/>
          </w:tcPr>
          <w:p w14:paraId="295F8C9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38" w:type="dxa"/>
            <w:vAlign w:val="center"/>
          </w:tcPr>
          <w:p w14:paraId="51A22B6A">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BC3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2231583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058" w:type="dxa"/>
            <w:vAlign w:val="center"/>
          </w:tcPr>
          <w:p w14:paraId="5A126CB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8" w:type="dxa"/>
            <w:vAlign w:val="center"/>
          </w:tcPr>
          <w:p w14:paraId="0FE21C9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2" w:type="dxa"/>
            <w:vAlign w:val="center"/>
          </w:tcPr>
          <w:p w14:paraId="706FEB2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38" w:type="dxa"/>
            <w:vAlign w:val="center"/>
          </w:tcPr>
          <w:p w14:paraId="109E1623">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567A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45C2E66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1058" w:type="dxa"/>
            <w:vAlign w:val="center"/>
          </w:tcPr>
          <w:p w14:paraId="610DF34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8" w:type="dxa"/>
            <w:vAlign w:val="center"/>
          </w:tcPr>
          <w:p w14:paraId="6F3AE047">
            <w:pPr>
              <w:spacing w:line="360" w:lineRule="auto"/>
              <w:jc w:val="center"/>
              <w:rPr>
                <w:rFonts w:hint="eastAsia" w:ascii="宋体" w:hAnsi="宋体" w:eastAsia="宋体" w:cs="Times New Roman"/>
                <w:szCs w:val="21"/>
              </w:rPr>
            </w:pPr>
          </w:p>
        </w:tc>
        <w:tc>
          <w:tcPr>
            <w:tcW w:w="1052" w:type="dxa"/>
            <w:vAlign w:val="center"/>
          </w:tcPr>
          <w:p w14:paraId="40BAFCC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38" w:type="dxa"/>
            <w:vAlign w:val="center"/>
          </w:tcPr>
          <w:p w14:paraId="60812BCC">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5BED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14:paraId="25C8DE02">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058" w:type="dxa"/>
            <w:vAlign w:val="center"/>
          </w:tcPr>
          <w:p w14:paraId="25F9B7AA">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058" w:type="dxa"/>
            <w:vAlign w:val="center"/>
          </w:tcPr>
          <w:p w14:paraId="7807AC6D">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052" w:type="dxa"/>
            <w:vAlign w:val="center"/>
          </w:tcPr>
          <w:p w14:paraId="596ED03A">
            <w:pPr>
              <w:spacing w:line="360" w:lineRule="auto"/>
              <w:jc w:val="center"/>
              <w:rPr>
                <w:rFonts w:hint="eastAsia" w:ascii="宋体" w:hAnsi="宋体" w:eastAsia="宋体" w:cs="Times New Roman"/>
                <w:szCs w:val="21"/>
              </w:rPr>
            </w:pPr>
            <w:r>
              <w:rPr>
                <w:rFonts w:hint="eastAsia" w:ascii="宋体" w:hAnsi="宋体" w:eastAsia="宋体" w:cs="Times New Roman"/>
                <w:szCs w:val="21"/>
              </w:rPr>
              <w:t>60</w:t>
            </w:r>
          </w:p>
        </w:tc>
        <w:tc>
          <w:tcPr>
            <w:tcW w:w="2238" w:type="dxa"/>
            <w:vAlign w:val="center"/>
          </w:tcPr>
          <w:p w14:paraId="0B371A04">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880BC21">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DBE07B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E3AED7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80D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B5D7D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C25F72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7872E7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191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763ABD">
            <w:pPr>
              <w:rPr>
                <w:rFonts w:ascii="Times New Roman" w:hAnsi="Times New Roman" w:eastAsia="宋体" w:cs="Times New Roman"/>
                <w:szCs w:val="21"/>
              </w:rPr>
            </w:pPr>
            <w:r>
              <w:rPr>
                <w:rFonts w:hint="eastAsia" w:ascii="Times New Roman" w:hAnsi="Times New Roman" w:eastAsia="宋体" w:cs="Times New Roman"/>
                <w:szCs w:val="21"/>
              </w:rPr>
              <w:t>平时成绩</w:t>
            </w:r>
          </w:p>
        </w:tc>
        <w:tc>
          <w:tcPr>
            <w:tcW w:w="7141" w:type="dxa"/>
            <w:vAlign w:val="center"/>
          </w:tcPr>
          <w:p w14:paraId="77B8535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其中课堂考勤占20%，平时作业占80%。</w:t>
            </w:r>
          </w:p>
          <w:p w14:paraId="7561A23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课堂考勤：病假和事假一次扣5分，无故缺席一次扣10分，无故缺席累积达5次以上（不含5次）取消课程成绩。</w:t>
            </w:r>
          </w:p>
          <w:p w14:paraId="3D991CF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w:t>
            </w:r>
            <w:r>
              <w:rPr>
                <w:rFonts w:ascii="Times New Roman" w:hAnsi="Times New Roman" w:eastAsia="宋体" w:cs="Times New Roman"/>
                <w:szCs w:val="21"/>
              </w:rPr>
              <w:t>课后完成</w:t>
            </w:r>
            <w:r>
              <w:rPr>
                <w:rFonts w:hint="eastAsia" w:ascii="Times New Roman" w:hAnsi="Times New Roman" w:eastAsia="宋体" w:cs="Times New Roman"/>
                <w:szCs w:val="21"/>
              </w:rPr>
              <w:t>5次作业</w:t>
            </w:r>
            <w:r>
              <w:rPr>
                <w:rFonts w:ascii="Times New Roman" w:hAnsi="Times New Roman" w:eastAsia="宋体" w:cs="Times New Roman"/>
                <w:szCs w:val="21"/>
              </w:rPr>
              <w:t>，主要考核学生对每节课知识点的复习、理解和掌握程度，计算全部作业的平均成绩。</w:t>
            </w:r>
          </w:p>
        </w:tc>
        <w:tc>
          <w:tcPr>
            <w:tcW w:w="0" w:type="auto"/>
            <w:vAlign w:val="center"/>
          </w:tcPr>
          <w:p w14:paraId="35F98C8C">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256D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26E364">
            <w:pPr>
              <w:rPr>
                <w:rFonts w:ascii="Times New Roman" w:hAnsi="Times New Roman" w:eastAsia="宋体" w:cs="Times New Roman"/>
                <w:szCs w:val="21"/>
              </w:rPr>
            </w:pPr>
            <w:r>
              <w:rPr>
                <w:rFonts w:hint="eastAsia" w:ascii="Times New Roman" w:hAnsi="Times New Roman" w:eastAsia="宋体" w:cs="Times New Roman"/>
                <w:szCs w:val="21"/>
              </w:rPr>
              <w:t>实验成绩</w:t>
            </w:r>
          </w:p>
        </w:tc>
        <w:tc>
          <w:tcPr>
            <w:tcW w:w="7141" w:type="dxa"/>
            <w:vAlign w:val="center"/>
          </w:tcPr>
          <w:p w14:paraId="33EE1DE3">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完成</w:t>
            </w:r>
            <w:r>
              <w:rPr>
                <w:rFonts w:hint="eastAsia" w:ascii="Times New Roman" w:hAnsi="Times New Roman" w:eastAsia="宋体" w:cs="Times New Roman"/>
                <w:szCs w:val="21"/>
              </w:rPr>
              <w:t>8</w:t>
            </w:r>
            <w:r>
              <w:rPr>
                <w:rFonts w:ascii="Times New Roman" w:hAnsi="Times New Roman" w:eastAsia="宋体" w:cs="Times New Roman"/>
                <w:szCs w:val="21"/>
              </w:rPr>
              <w:t>个</w:t>
            </w:r>
            <w:r>
              <w:rPr>
                <w:rFonts w:hint="eastAsia" w:ascii="Times New Roman" w:hAnsi="Times New Roman" w:eastAsia="宋体" w:cs="Times New Roman"/>
                <w:szCs w:val="21"/>
              </w:rPr>
              <w:t>实验活动</w:t>
            </w:r>
            <w:r>
              <w:rPr>
                <w:rFonts w:ascii="Times New Roman" w:hAnsi="Times New Roman" w:eastAsia="宋体" w:cs="Times New Roman"/>
                <w:szCs w:val="21"/>
              </w:rPr>
              <w:t>，主要考核学生</w:t>
            </w:r>
            <w:r>
              <w:rPr>
                <w:rFonts w:hint="eastAsia" w:ascii="Times New Roman" w:hAnsi="Times New Roman" w:eastAsia="宋体" w:cs="Times New Roman"/>
                <w:szCs w:val="21"/>
              </w:rPr>
              <w:t>教育机器人设计与与实践能力、机器人竞赛</w:t>
            </w:r>
            <w:r>
              <w:rPr>
                <w:rFonts w:ascii="Times New Roman" w:hAnsi="Times New Roman" w:eastAsia="宋体" w:cs="Times New Roman"/>
                <w:szCs w:val="21"/>
              </w:rPr>
              <w:t>教育活动设计与组织指导能力</w:t>
            </w:r>
            <w:r>
              <w:rPr>
                <w:rFonts w:hint="eastAsia" w:ascii="Times New Roman" w:hAnsi="Times New Roman" w:eastAsia="宋体" w:cs="Times New Roman"/>
                <w:szCs w:val="21"/>
              </w:rPr>
              <w:t>。每个实验作业按百分制分别给出成绩。8个实验成绩平均后得到实践总评成绩并</w:t>
            </w:r>
            <w:r>
              <w:rPr>
                <w:rFonts w:ascii="Times New Roman" w:hAnsi="Times New Roman" w:eastAsia="宋体" w:cs="Times New Roman"/>
                <w:szCs w:val="21"/>
              </w:rPr>
              <w:t>按</w:t>
            </w:r>
            <w:r>
              <w:rPr>
                <w:rFonts w:hint="eastAsia" w:ascii="Times New Roman" w:hAnsi="Times New Roman" w:eastAsia="宋体" w:cs="Times New Roman"/>
                <w:szCs w:val="21"/>
              </w:rPr>
              <w:t>2</w:t>
            </w:r>
            <w:r>
              <w:rPr>
                <w:rFonts w:ascii="Times New Roman" w:hAnsi="Times New Roman" w:eastAsia="宋体" w:cs="Times New Roman"/>
                <w:szCs w:val="21"/>
              </w:rPr>
              <w:t>0%计入课程总成绩。</w:t>
            </w:r>
          </w:p>
        </w:tc>
        <w:tc>
          <w:tcPr>
            <w:tcW w:w="0" w:type="auto"/>
            <w:vAlign w:val="center"/>
          </w:tcPr>
          <w:p w14:paraId="50FD6DE6">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57FC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75A580">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35AC1F7">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开卷</w:t>
            </w:r>
            <w:r>
              <w:rPr>
                <w:rFonts w:ascii="宋体" w:hAnsi="宋体" w:eastAsia="宋体" w:cs="宋体"/>
                <w:color w:val="000000"/>
                <w:kern w:val="0"/>
                <w:szCs w:val="21"/>
                <w:lang w:bidi="ar"/>
              </w:rPr>
              <w:t>题型包括填空题、简答题、</w:t>
            </w:r>
            <w:r>
              <w:rPr>
                <w:rFonts w:hint="eastAsia" w:ascii="宋体" w:hAnsi="宋体" w:eastAsia="宋体" w:cs="宋体"/>
                <w:color w:val="000000"/>
                <w:kern w:val="0"/>
                <w:szCs w:val="21"/>
                <w:lang w:bidi="ar"/>
              </w:rPr>
              <w:t>判断</w:t>
            </w:r>
            <w:r>
              <w:rPr>
                <w:rFonts w:ascii="宋体" w:hAnsi="宋体" w:eastAsia="宋体" w:cs="宋体"/>
                <w:color w:val="000000"/>
                <w:kern w:val="0"/>
                <w:szCs w:val="21"/>
                <w:lang w:bidi="ar"/>
              </w:rPr>
              <w:t>题、</w:t>
            </w:r>
            <w:r>
              <w:rPr>
                <w:rFonts w:hint="eastAsia" w:ascii="宋体" w:hAnsi="宋体" w:eastAsia="宋体" w:cs="宋体"/>
                <w:color w:val="000000"/>
                <w:kern w:val="0"/>
                <w:szCs w:val="21"/>
                <w:lang w:bidi="ar"/>
              </w:rPr>
              <w:t>程序设计</w:t>
            </w:r>
            <w:r>
              <w:rPr>
                <w:rFonts w:ascii="宋体" w:hAnsi="宋体" w:eastAsia="宋体" w:cs="宋体"/>
                <w:color w:val="000000"/>
                <w:kern w:val="0"/>
                <w:szCs w:val="21"/>
                <w:lang w:bidi="ar"/>
              </w:rPr>
              <w:t>等，以卷面成绩的60%计入课程总成绩。其中考核学</w:t>
            </w:r>
            <w:r>
              <w:rPr>
                <w:rFonts w:hint="eastAsia" w:ascii="宋体" w:hAnsi="宋体" w:eastAsia="宋体" w:cs="宋体"/>
                <w:color w:val="000000"/>
                <w:kern w:val="0"/>
                <w:szCs w:val="21"/>
                <w:lang w:bidi="ar"/>
              </w:rPr>
              <w:t>小学机器人</w:t>
            </w:r>
            <w:r>
              <w:rPr>
                <w:rFonts w:ascii="宋体" w:hAnsi="宋体" w:eastAsia="宋体" w:cs="宋体"/>
                <w:color w:val="000000"/>
                <w:kern w:val="0"/>
                <w:szCs w:val="21"/>
                <w:lang w:bidi="ar"/>
              </w:rPr>
              <w:t>科学教育基本理论型题目占30%，考核</w:t>
            </w:r>
            <w:r>
              <w:rPr>
                <w:rFonts w:hint="eastAsia" w:ascii="宋体" w:hAnsi="宋体" w:eastAsia="宋体" w:cs="宋体"/>
                <w:color w:val="000000"/>
                <w:kern w:val="0"/>
                <w:szCs w:val="21"/>
                <w:lang w:bidi="ar"/>
              </w:rPr>
              <w:t>学生</w:t>
            </w:r>
            <w:r>
              <w:rPr>
                <w:rFonts w:ascii="宋体" w:hAnsi="宋体" w:eastAsia="宋体" w:cs="宋体"/>
                <w:color w:val="000000"/>
                <w:kern w:val="0"/>
                <w:szCs w:val="21"/>
                <w:lang w:bidi="ar"/>
              </w:rPr>
              <w:t>运用基本理论知识进行分析</w:t>
            </w:r>
            <w:r>
              <w:rPr>
                <w:rFonts w:hint="eastAsia" w:ascii="宋体" w:hAnsi="宋体" w:eastAsia="宋体" w:cs="宋体"/>
                <w:color w:val="000000"/>
                <w:kern w:val="0"/>
                <w:szCs w:val="21"/>
                <w:lang w:bidi="ar"/>
              </w:rPr>
              <w:t>设计</w:t>
            </w:r>
            <w:r>
              <w:rPr>
                <w:rFonts w:ascii="宋体" w:hAnsi="宋体" w:eastAsia="宋体" w:cs="宋体"/>
                <w:color w:val="000000"/>
                <w:kern w:val="0"/>
                <w:szCs w:val="21"/>
                <w:lang w:bidi="ar"/>
              </w:rPr>
              <w:t>能力型题目占</w:t>
            </w:r>
            <w:r>
              <w:rPr>
                <w:rFonts w:hint="eastAsia" w:ascii="宋体" w:hAnsi="宋体" w:eastAsia="宋体" w:cs="宋体"/>
                <w:color w:val="000000"/>
                <w:kern w:val="0"/>
                <w:szCs w:val="21"/>
                <w:lang w:bidi="ar"/>
              </w:rPr>
              <w:t>3</w:t>
            </w:r>
            <w:r>
              <w:rPr>
                <w:rFonts w:ascii="宋体" w:hAnsi="宋体" w:eastAsia="宋体" w:cs="宋体"/>
                <w:color w:val="000000"/>
                <w:kern w:val="0"/>
                <w:szCs w:val="21"/>
                <w:lang w:bidi="ar"/>
              </w:rPr>
              <w:t>0%；考核学生</w:t>
            </w:r>
            <w:r>
              <w:rPr>
                <w:rFonts w:hint="eastAsia" w:ascii="宋体" w:hAnsi="宋体" w:eastAsia="宋体" w:cs="宋体"/>
                <w:color w:val="000000"/>
                <w:kern w:val="0"/>
                <w:szCs w:val="21"/>
                <w:lang w:bidi="ar"/>
              </w:rPr>
              <w:t>小学机器人</w:t>
            </w:r>
            <w:r>
              <w:rPr>
                <w:rFonts w:ascii="宋体" w:hAnsi="宋体" w:eastAsia="宋体" w:cs="宋体"/>
                <w:color w:val="000000"/>
                <w:kern w:val="0"/>
                <w:szCs w:val="21"/>
                <w:lang w:bidi="ar"/>
              </w:rPr>
              <w:t>科学教育活动设计与评价能力型题目占40%。</w:t>
            </w:r>
          </w:p>
        </w:tc>
        <w:tc>
          <w:tcPr>
            <w:tcW w:w="0" w:type="auto"/>
            <w:vAlign w:val="center"/>
          </w:tcPr>
          <w:p w14:paraId="5BD00FD9">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4B98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B298C7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3FE2A0A">
            <w:pPr>
              <w:jc w:val="left"/>
              <w:rPr>
                <w:rFonts w:ascii="Times New Roman" w:hAnsi="Times New Roman" w:eastAsia="宋体" w:cs="Times New Roman"/>
                <w:szCs w:val="21"/>
              </w:rPr>
            </w:pPr>
          </w:p>
        </w:tc>
        <w:tc>
          <w:tcPr>
            <w:tcW w:w="0" w:type="auto"/>
            <w:vAlign w:val="center"/>
          </w:tcPr>
          <w:p w14:paraId="689F8AB0">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F984C5F">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00B69F8C">
      <w:pPr>
        <w:spacing w:line="360" w:lineRule="auto"/>
        <w:ind w:firstLine="480"/>
        <w:rPr>
          <w:rFonts w:hint="eastAsia"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791378D3">
      <w:pPr>
        <w:spacing w:before="156" w:beforeLines="50" w:line="360" w:lineRule="auto"/>
        <w:jc w:val="left"/>
        <w:rPr>
          <w:rFonts w:ascii="Times New Roman" w:hAnsi="Times New Roman" w:eastAsia="宋体" w:cs="Times New Roman"/>
          <w:b/>
          <w:sz w:val="24"/>
        </w:rPr>
      </w:pPr>
      <w:r>
        <w:rPr>
          <w:rFonts w:ascii="宋体" w:hAnsi="宋体" w:eastAsia="宋体" w:cs="Times New Roman"/>
          <w:sz w:val="24"/>
        </w:rPr>
        <w:drawing>
          <wp:inline distT="0" distB="0" distL="0" distR="0">
            <wp:extent cx="5274310" cy="3371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p>
    <w:p w14:paraId="7B0F34FB">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11707001">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FC6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185A2B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1EC023D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4C2BD562">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48A5E81E">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3F38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2F739FD">
            <w:pPr>
              <w:spacing w:line="276" w:lineRule="auto"/>
              <w:jc w:val="left"/>
              <w:rPr>
                <w:rFonts w:hint="eastAsia" w:ascii="宋体" w:hAnsi="宋体" w:eastAsia="宋体" w:cs="宋体"/>
                <w:szCs w:val="21"/>
              </w:rPr>
            </w:pPr>
            <w:r>
              <w:rPr>
                <w:rFonts w:hint="eastAsia" w:ascii="宋体" w:hAnsi="宋体" w:eastAsia="宋体" w:cs="宋体"/>
                <w:kern w:val="0"/>
                <w:szCs w:val="21"/>
              </w:rPr>
              <w:t>一种固定翼模型飞机的制作流程</w:t>
            </w:r>
          </w:p>
        </w:tc>
        <w:tc>
          <w:tcPr>
            <w:tcW w:w="3407" w:type="dxa"/>
            <w:vAlign w:val="center"/>
          </w:tcPr>
          <w:p w14:paraId="01786187">
            <w:pPr>
              <w:spacing w:line="276" w:lineRule="auto"/>
              <w:jc w:val="left"/>
              <w:rPr>
                <w:rFonts w:hint="eastAsia" w:ascii="宋体" w:hAnsi="宋体" w:eastAsia="宋体" w:cs="Times New Roman"/>
                <w:bCs/>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bCs/>
                <w:szCs w:val="21"/>
              </w:rPr>
              <w:t>以最经典的轻木蒙皮结构固定翼飞机制作为例，展示此类飞机制作的整个流程。（1）机翼翼型、机身骨架结构的设计与排版切割；（2）机翼、机身等模块的骨架搭建与粘接；（3）机翼与机身蒙皮操作；（4）电子设备安装；（5）整体组装与重心调节、试飞。</w:t>
            </w:r>
          </w:p>
          <w:p w14:paraId="02421784">
            <w:pPr>
              <w:spacing w:line="276" w:lineRule="auto"/>
              <w:jc w:val="left"/>
              <w:rPr>
                <w:rFonts w:hint="eastAsia" w:ascii="宋体" w:hAnsi="宋体" w:eastAsia="宋体" w:cs="宋体"/>
                <w:szCs w:val="21"/>
              </w:rPr>
            </w:pPr>
            <w:r>
              <w:rPr>
                <w:rFonts w:hint="eastAsia" w:ascii="宋体" w:hAnsi="宋体" w:eastAsia="宋体" w:cs="Times New Roman"/>
                <w:b/>
                <w:bCs/>
                <w:szCs w:val="21"/>
              </w:rPr>
              <w:t>实践要求：</w:t>
            </w:r>
            <w:r>
              <w:rPr>
                <w:rFonts w:hint="eastAsia" w:ascii="宋体" w:hAnsi="宋体" w:eastAsia="宋体" w:cs="宋体"/>
                <w:kern w:val="0"/>
                <w:szCs w:val="21"/>
              </w:rPr>
              <w:t>使学生掌握一种固定翼模型飞机的制作方法与流程，以及制作过程当中的一些注意事项。</w:t>
            </w:r>
          </w:p>
        </w:tc>
        <w:tc>
          <w:tcPr>
            <w:tcW w:w="740" w:type="dxa"/>
            <w:vAlign w:val="center"/>
          </w:tcPr>
          <w:p w14:paraId="3C8CE185">
            <w:pPr>
              <w:spacing w:line="276" w:lineRule="auto"/>
              <w:jc w:val="center"/>
              <w:rPr>
                <w:rFonts w:hint="eastAsia" w:ascii="宋体" w:hAnsi="宋体" w:eastAsia="宋体" w:cs="宋体"/>
                <w:szCs w:val="21"/>
              </w:rPr>
            </w:pPr>
            <w:r>
              <w:rPr>
                <w:rFonts w:hint="eastAsia" w:ascii="宋体" w:hAnsi="宋体" w:eastAsia="宋体" w:cs="宋体"/>
                <w:szCs w:val="21"/>
              </w:rPr>
              <w:t>专题报告</w:t>
            </w:r>
          </w:p>
        </w:tc>
        <w:tc>
          <w:tcPr>
            <w:tcW w:w="3160" w:type="dxa"/>
            <w:vAlign w:val="center"/>
          </w:tcPr>
          <w:p w14:paraId="03B483FF">
            <w:pPr>
              <w:spacing w:line="276" w:lineRule="auto"/>
              <w:jc w:val="left"/>
              <w:rPr>
                <w:rFonts w:hint="eastAsia" w:ascii="宋体" w:hAnsi="宋体" w:eastAsia="宋体" w:cs="宋体"/>
                <w:szCs w:val="21"/>
              </w:rPr>
            </w:pPr>
            <w:r>
              <w:rPr>
                <w:rFonts w:hint="eastAsia" w:ascii="宋体" w:hAnsi="宋体" w:eastAsia="宋体" w:cs="Times New Roman"/>
                <w:bCs/>
                <w:color w:val="000000"/>
                <w:szCs w:val="21"/>
              </w:rPr>
              <w:t>通过带领学生学习飞机的搭建、安装和使用知识，让学生实践操作能力的重要作用，进而明白劳动教育的重要价值意义</w:t>
            </w:r>
          </w:p>
        </w:tc>
      </w:tr>
      <w:tr w14:paraId="310B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5032F9C">
            <w:pPr>
              <w:rPr>
                <w:rFonts w:hint="eastAsia" w:ascii="宋体" w:hAnsi="宋体" w:eastAsia="宋体" w:cs="宋体"/>
                <w:szCs w:val="21"/>
              </w:rPr>
            </w:pPr>
            <w:r>
              <w:rPr>
                <w:rFonts w:hint="eastAsia" w:ascii="宋体" w:hAnsi="宋体" w:eastAsia="宋体" w:cs="宋体"/>
                <w:kern w:val="0"/>
                <w:szCs w:val="21"/>
              </w:rPr>
              <w:t>航空模型的创新设计展示与创新设计讨论</w:t>
            </w:r>
          </w:p>
        </w:tc>
        <w:tc>
          <w:tcPr>
            <w:tcW w:w="3407" w:type="dxa"/>
            <w:vAlign w:val="center"/>
          </w:tcPr>
          <w:p w14:paraId="164672C1">
            <w:pPr>
              <w:spacing w:line="276" w:lineRule="auto"/>
              <w:jc w:val="left"/>
              <w:rPr>
                <w:rFonts w:hint="eastAsia" w:ascii="宋体" w:hAnsi="宋体" w:eastAsia="宋体" w:cs="Times New Roman"/>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1）展示各种各样的创新航模设计，并对部分创新设计进行一定程度的讲解，让学生明白设计者的设计意图与实现方式；（2）课堂讨论，把握课堂节奏，注意引导创新；（3）布置课后任务：以小组为单位完成一份创新设计，并做好相应展示材料。</w:t>
            </w:r>
          </w:p>
          <w:p w14:paraId="27AD0BFD">
            <w:pPr>
              <w:spacing w:line="276" w:lineRule="auto"/>
              <w:jc w:val="left"/>
              <w:rPr>
                <w:rFonts w:hint="eastAsia" w:ascii="宋体" w:hAnsi="宋体" w:eastAsia="宋体" w:cs="宋体"/>
                <w:szCs w:val="21"/>
              </w:rPr>
            </w:pPr>
            <w:r>
              <w:rPr>
                <w:rFonts w:hint="eastAsia" w:ascii="宋体" w:hAnsi="宋体" w:eastAsia="宋体" w:cs="Times New Roman"/>
                <w:b/>
                <w:bCs/>
                <w:szCs w:val="21"/>
              </w:rPr>
              <w:t>实践要求：</w:t>
            </w:r>
            <w:r>
              <w:rPr>
                <w:rFonts w:hint="eastAsia" w:ascii="宋体" w:hAnsi="宋体" w:eastAsia="宋体" w:cs="宋体"/>
                <w:kern w:val="0"/>
                <w:szCs w:val="21"/>
              </w:rPr>
              <w:t>通过展示，让学生了解当前航空模型领域的创新设计形式及成果，启发其创造性；通过课堂讨论，启发学生的思路，同时完成分组。</w:t>
            </w:r>
          </w:p>
        </w:tc>
        <w:tc>
          <w:tcPr>
            <w:tcW w:w="740" w:type="dxa"/>
            <w:vAlign w:val="center"/>
          </w:tcPr>
          <w:p w14:paraId="34B1B364">
            <w:pPr>
              <w:spacing w:line="276" w:lineRule="auto"/>
              <w:jc w:val="center"/>
              <w:rPr>
                <w:rFonts w:hint="eastAsia" w:ascii="宋体" w:hAnsi="宋体" w:eastAsia="宋体" w:cs="宋体"/>
                <w:szCs w:val="21"/>
              </w:rPr>
            </w:pPr>
            <w:r>
              <w:rPr>
                <w:rFonts w:hint="eastAsia" w:ascii="宋体" w:hAnsi="宋体" w:eastAsia="宋体" w:cs="宋体"/>
                <w:szCs w:val="21"/>
              </w:rPr>
              <w:t>专题报告</w:t>
            </w:r>
          </w:p>
        </w:tc>
        <w:tc>
          <w:tcPr>
            <w:tcW w:w="3160" w:type="dxa"/>
            <w:vAlign w:val="center"/>
          </w:tcPr>
          <w:p w14:paraId="203BCBF0">
            <w:pPr>
              <w:spacing w:line="276" w:lineRule="auto"/>
              <w:jc w:val="left"/>
              <w:rPr>
                <w:rFonts w:hint="eastAsia" w:ascii="宋体" w:hAnsi="宋体" w:eastAsia="宋体" w:cs="宋体"/>
                <w:szCs w:val="21"/>
              </w:rPr>
            </w:pPr>
            <w:r>
              <w:rPr>
                <w:rFonts w:hint="eastAsia" w:ascii="宋体" w:hAnsi="宋体" w:eastAsia="宋体" w:cs="Times New Roman"/>
                <w:bCs/>
                <w:color w:val="000000"/>
                <w:szCs w:val="21"/>
              </w:rPr>
              <w:t>学生通过学习程序设计方法，了解社会生活中的相关设施设备的设计原理，增强学生科学和理性地认识世界的能力。</w:t>
            </w:r>
          </w:p>
        </w:tc>
      </w:tr>
      <w:tr w14:paraId="6BC9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DEFCFC9">
            <w:pPr>
              <w:rPr>
                <w:rFonts w:hint="eastAsia" w:ascii="宋体" w:hAnsi="宋体" w:eastAsia="宋体" w:cs="宋体"/>
                <w:szCs w:val="21"/>
              </w:rPr>
            </w:pPr>
            <w:r>
              <w:rPr>
                <w:rFonts w:hint="eastAsia" w:ascii="宋体" w:hAnsi="宋体" w:eastAsia="宋体" w:cs="宋体"/>
                <w:kern w:val="0"/>
                <w:szCs w:val="21"/>
              </w:rPr>
              <w:t>航模创新设计展示</w:t>
            </w:r>
          </w:p>
        </w:tc>
        <w:tc>
          <w:tcPr>
            <w:tcW w:w="3407" w:type="dxa"/>
            <w:vAlign w:val="center"/>
          </w:tcPr>
          <w:p w14:paraId="140316CF">
            <w:pPr>
              <w:rPr>
                <w:rFonts w:hint="eastAsia" w:ascii="宋体" w:hAnsi="宋体" w:eastAsia="宋体" w:cs="Times New Roman"/>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（1）由小组成员对课后的创新设计做成果展示（以PPT的形式）；（2）现场提问与讨论，要求全体学生以答辩的形式参与其中；（3）对每一组的设计与报告做评价和总结，完成成绩记录。</w:t>
            </w:r>
          </w:p>
          <w:p w14:paraId="558EACEF">
            <w:pPr>
              <w:spacing w:line="276" w:lineRule="auto"/>
              <w:jc w:val="left"/>
              <w:rPr>
                <w:rFonts w:hint="eastAsia" w:ascii="宋体" w:hAnsi="宋体" w:eastAsia="宋体" w:cs="宋体"/>
                <w:szCs w:val="21"/>
              </w:rPr>
            </w:pPr>
            <w:r>
              <w:rPr>
                <w:rFonts w:hint="eastAsia" w:ascii="宋体" w:hAnsi="宋体" w:eastAsia="宋体" w:cs="Times New Roman"/>
                <w:b/>
                <w:bCs/>
                <w:szCs w:val="21"/>
              </w:rPr>
              <w:t>实践要求：</w:t>
            </w:r>
            <w:r>
              <w:rPr>
                <w:rFonts w:hint="eastAsia" w:ascii="宋体" w:hAnsi="宋体" w:eastAsia="宋体" w:cs="Times New Roman"/>
                <w:bCs/>
                <w:szCs w:val="21"/>
              </w:rPr>
              <w:t>本节为学生展示环节，训练学生做报告的能力。</w:t>
            </w:r>
            <w:r>
              <w:rPr>
                <w:rFonts w:hint="eastAsia" w:ascii="宋体" w:hAnsi="宋体" w:eastAsia="宋体" w:cs="宋体"/>
                <w:kern w:val="0"/>
                <w:szCs w:val="21"/>
              </w:rPr>
              <w:t xml:space="preserve"> </w:t>
            </w:r>
          </w:p>
        </w:tc>
        <w:tc>
          <w:tcPr>
            <w:tcW w:w="740" w:type="dxa"/>
            <w:vAlign w:val="center"/>
          </w:tcPr>
          <w:p w14:paraId="5D8D2D55">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0C10EDEC">
            <w:pPr>
              <w:spacing w:line="276" w:lineRule="auto"/>
              <w:jc w:val="left"/>
              <w:rPr>
                <w:rFonts w:hint="eastAsia" w:ascii="宋体" w:hAnsi="宋体" w:eastAsia="宋体" w:cs="宋体"/>
                <w:szCs w:val="21"/>
              </w:rPr>
            </w:pPr>
            <w:r>
              <w:rPr>
                <w:rFonts w:hint="eastAsia" w:ascii="宋体" w:hAnsi="宋体" w:eastAsia="宋体" w:cs="宋体"/>
                <w:szCs w:val="21"/>
              </w:rPr>
              <w:t>通过让学生学习有关模型创新设计中的搭建与控制的基本知识，增进学生对“中国智造”、“大国工匠”等概念的理解，进而体会自主研发和工匠精神的重要意义。</w:t>
            </w:r>
          </w:p>
          <w:p w14:paraId="00843AA0">
            <w:pPr>
              <w:spacing w:line="276" w:lineRule="auto"/>
              <w:jc w:val="left"/>
              <w:rPr>
                <w:rFonts w:hint="eastAsia" w:ascii="宋体" w:hAnsi="宋体" w:eastAsia="宋体" w:cs="宋体"/>
                <w:szCs w:val="21"/>
              </w:rPr>
            </w:pPr>
          </w:p>
        </w:tc>
      </w:tr>
      <w:tr w14:paraId="21F8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334A2554">
            <w:pPr>
              <w:rPr>
                <w:rFonts w:hint="eastAsia" w:ascii="宋体" w:hAnsi="宋体" w:eastAsia="宋体" w:cs="宋体"/>
                <w:szCs w:val="21"/>
              </w:rPr>
            </w:pPr>
            <w:r>
              <w:rPr>
                <w:rFonts w:hint="eastAsia" w:ascii="宋体" w:hAnsi="宋体" w:eastAsia="宋体" w:cs="宋体"/>
                <w:kern w:val="0"/>
                <w:szCs w:val="21"/>
              </w:rPr>
              <w:t>航空模型制作实践</w:t>
            </w:r>
          </w:p>
        </w:tc>
        <w:tc>
          <w:tcPr>
            <w:tcW w:w="3407" w:type="dxa"/>
            <w:vAlign w:val="center"/>
          </w:tcPr>
          <w:p w14:paraId="3E86E69A">
            <w:pPr>
              <w:rPr>
                <w:rFonts w:hint="eastAsia" w:ascii="宋体" w:hAnsi="宋体" w:eastAsia="宋体" w:cs="Times New Roman"/>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（1）复习航模制作的基本步骤和要点；（2）指导学生进行实践制作；（3）指导学生进行组件装配；（5）对学生制作作品进行点评，完成成绩记录；（4）实践过程中的安全问题及注意事项。</w:t>
            </w:r>
          </w:p>
          <w:p w14:paraId="584968AD">
            <w:pPr>
              <w:spacing w:line="276" w:lineRule="auto"/>
              <w:jc w:val="left"/>
              <w:rPr>
                <w:rFonts w:hint="eastAsia" w:ascii="宋体" w:hAnsi="宋体" w:eastAsia="宋体" w:cs="宋体"/>
                <w:szCs w:val="21"/>
              </w:rPr>
            </w:pPr>
            <w:r>
              <w:rPr>
                <w:rFonts w:hint="eastAsia" w:ascii="宋体" w:hAnsi="宋体" w:eastAsia="宋体" w:cs="Times New Roman"/>
                <w:b/>
                <w:bCs/>
                <w:szCs w:val="21"/>
              </w:rPr>
              <w:t>实践要求：</w:t>
            </w:r>
            <w:r>
              <w:rPr>
                <w:rFonts w:hint="eastAsia" w:ascii="宋体" w:hAnsi="宋体" w:eastAsia="宋体" w:cs="Times New Roman"/>
                <w:bCs/>
                <w:szCs w:val="21"/>
              </w:rPr>
              <w:t>本课程的实践环节要求学生以小组为单位，根据课堂讲授的知识，按照小组的创新设计或者常规设计制作一个完整的模型飞机；该环节充分利用工程实训中心的设备和场地，锻炼学生的动手能力。</w:t>
            </w:r>
          </w:p>
        </w:tc>
        <w:tc>
          <w:tcPr>
            <w:tcW w:w="740" w:type="dxa"/>
            <w:vAlign w:val="center"/>
          </w:tcPr>
          <w:p w14:paraId="1341A0AC">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57BDA892">
            <w:pPr>
              <w:spacing w:line="276" w:lineRule="auto"/>
              <w:jc w:val="left"/>
              <w:rPr>
                <w:rFonts w:hint="eastAsia" w:ascii="宋体" w:hAnsi="宋体" w:eastAsia="宋体" w:cs="宋体"/>
                <w:szCs w:val="21"/>
              </w:rPr>
            </w:pPr>
            <w:r>
              <w:rPr>
                <w:rFonts w:hint="eastAsia" w:ascii="宋体" w:hAnsi="宋体" w:eastAsia="宋体" w:cs="宋体"/>
                <w:szCs w:val="21"/>
              </w:rPr>
              <w:t>学生通过对航空模型制作的方法的学习和掌握，了解组织管理中的一般要求和困难所在，从而增强学生学以致用的能力，最终形成对国家政府的科学组织管理理念的正确认知和认同。</w:t>
            </w:r>
          </w:p>
        </w:tc>
      </w:tr>
    </w:tbl>
    <w:p w14:paraId="6089B5B3">
      <w:pPr>
        <w:spacing w:line="360" w:lineRule="auto"/>
        <w:ind w:firstLine="551" w:firstLineChars="196"/>
        <w:jc w:val="left"/>
        <w:rPr>
          <w:rFonts w:hint="eastAsia" w:ascii="宋体" w:hAnsi="宋体" w:eastAsia="宋体" w:cs="Times New Roman"/>
          <w:b/>
          <w:color w:val="000000"/>
          <w:sz w:val="28"/>
          <w:szCs w:val="28"/>
        </w:rPr>
      </w:pPr>
    </w:p>
    <w:p w14:paraId="1E0C84F2">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6155077C">
      <w:bookmarkStart w:id="256" w:name="_Toc29395664"/>
      <w:r>
        <w:rPr>
          <w:rFonts w:hint="eastAsia"/>
        </w:rPr>
        <w:t>（一）持续改进</w:t>
      </w:r>
      <w:bookmarkEnd w:id="256"/>
    </w:p>
    <w:p w14:paraId="160D1C81">
      <w:r>
        <w:t>本课程根据学生作业、课堂讨论、模拟教学、说课、平时考核情况和学生、教学督导等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100B4F64">
      <w:bookmarkStart w:id="257" w:name="_Toc29395665"/>
      <w:r>
        <w:rPr>
          <w:rFonts w:hint="eastAsia"/>
        </w:rPr>
        <w:t>（二）</w:t>
      </w:r>
      <w:r>
        <w:t>参考书目及学习资料</w:t>
      </w:r>
      <w:bookmarkEnd w:id="257"/>
    </w:p>
    <w:p w14:paraId="1CF17098">
      <w:r>
        <w:rPr>
          <w:rFonts w:hint="eastAsia"/>
        </w:rPr>
        <w:t>1．教材</w:t>
      </w:r>
    </w:p>
    <w:p w14:paraId="757932B5">
      <w:r>
        <w:rPr>
          <w:rFonts w:hint="eastAsia"/>
        </w:rPr>
        <w:t>王丽君. 用Scratch与mBlock玩转mBot智能机器人.北京：人民邮电出版社.2017.</w:t>
      </w:r>
    </w:p>
    <w:p w14:paraId="459B527F">
      <w:bookmarkStart w:id="258" w:name="_Toc29395666"/>
      <w:r>
        <w:rPr>
          <w:rFonts w:hint="eastAsia"/>
        </w:rPr>
        <w:t>2．教学参考书</w:t>
      </w:r>
      <w:bookmarkEnd w:id="258"/>
    </w:p>
    <w:p w14:paraId="72B8BF01">
      <w:r>
        <w:rPr>
          <w:rFonts w:hint="eastAsia"/>
        </w:rPr>
        <w:t>郑梦玉、马志强. Makeblock机器人与创客器材的应用.北京：清华大学出版社.2018.</w:t>
      </w:r>
    </w:p>
    <w:p w14:paraId="348486A5">
      <w:r>
        <w:rPr>
          <w:rFonts w:hint="eastAsia"/>
        </w:rPr>
        <w:t>王同聚、崔萌、王希哲、柯维海. Scratch与机器人创新设计（初级篇）.上海：上海交通大学出版社.2017.</w:t>
      </w:r>
    </w:p>
    <w:p w14:paraId="5B2E3664">
      <w:r>
        <w:rPr>
          <w:rFonts w:hint="eastAsia"/>
        </w:rPr>
        <w:t>王同聚、崔萌、王希哲、柯维海. Scratch与机器人创新设计（中级篇）.上海：上海交通大学出版社.2017.</w:t>
      </w:r>
    </w:p>
    <w:p w14:paraId="16E97AFD">
      <w:pPr>
        <w:jc w:val="center"/>
      </w:pPr>
    </w:p>
    <w:p w14:paraId="161FFB87">
      <w:pPr>
        <w:jc w:val="right"/>
        <w:rPr>
          <w:rFonts w:ascii="Times New Roman" w:hAnsi="Times New Roman" w:eastAsia="宋体" w:cs="Times New Roman"/>
          <w:sz w:val="24"/>
        </w:rPr>
      </w:pPr>
      <w:r>
        <w:rPr>
          <w:rFonts w:hint="eastAsia" w:ascii="Times New Roman" w:hAnsi="Times New Roman" w:eastAsia="宋体" w:cs="Times New Roman"/>
          <w:sz w:val="24"/>
        </w:rPr>
        <w:t>执 笔 人：李春光</w:t>
      </w:r>
    </w:p>
    <w:p w14:paraId="640125AF">
      <w:pPr>
        <w:jc w:val="right"/>
        <w:rPr>
          <w:rFonts w:ascii="Times New Roman" w:hAnsi="Times New Roman" w:eastAsia="宋体" w:cs="Times New Roman"/>
          <w:sz w:val="24"/>
        </w:rPr>
      </w:pPr>
      <w:r>
        <w:rPr>
          <w:rFonts w:hint="eastAsia" w:ascii="Times New Roman" w:hAnsi="Times New Roman" w:eastAsia="宋体" w:cs="Times New Roman"/>
          <w:sz w:val="24"/>
        </w:rPr>
        <w:t>审 定 人：</w:t>
      </w:r>
      <w:r>
        <w:rPr>
          <w:rFonts w:ascii="Times New Roman" w:hAnsi="Times New Roman" w:eastAsia="宋体" w:cs="Times New Roman"/>
          <w:sz w:val="24"/>
        </w:rPr>
        <w:t xml:space="preserve"> </w:t>
      </w:r>
      <w:r>
        <w:rPr>
          <w:rFonts w:hint="eastAsia" w:ascii="Times New Roman" w:hAnsi="Times New Roman" w:eastAsia="宋体" w:cs="Times New Roman"/>
          <w:sz w:val="24"/>
        </w:rPr>
        <w:t>王健</w:t>
      </w:r>
    </w:p>
    <w:p w14:paraId="1B0F9AE5">
      <w:pPr>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40B60162">
      <w:pPr>
        <w:wordWrap w:val="0"/>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215FDD4D">
      <w:pPr>
        <w:pStyle w:val="2"/>
      </w:pPr>
      <w:bookmarkStart w:id="259" w:name="_Toc14746"/>
      <w:bookmarkStart w:id="260" w:name="_Toc11916"/>
      <w:bookmarkStart w:id="261" w:name="_Toc87705537"/>
      <w:bookmarkStart w:id="262" w:name="_Toc87724654"/>
      <w:r>
        <w:rPr>
          <w:rFonts w:hint="eastAsia"/>
        </w:rPr>
        <w:t>《STEAM课程设计》课程教学大纲</w:t>
      </w:r>
      <w:bookmarkEnd w:id="259"/>
      <w:bookmarkEnd w:id="260"/>
    </w:p>
    <w:p w14:paraId="75B99E7F">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STEAM Course Design</w:t>
      </w:r>
      <w:r>
        <w:rPr>
          <w:rFonts w:ascii="Times New Roman" w:hAnsi="Times New Roman" w:eastAsia="宋体" w:cs="Times New Roman"/>
          <w:b/>
          <w:bCs/>
          <w:sz w:val="28"/>
          <w:szCs w:val="28"/>
        </w:rPr>
        <w:t>）</w:t>
      </w:r>
    </w:p>
    <w:p w14:paraId="6D0271EF">
      <w:pPr>
        <w:spacing w:line="360" w:lineRule="auto"/>
        <w:jc w:val="center"/>
        <w:rPr>
          <w:rFonts w:ascii="Times New Roman" w:hAnsi="Times New Roman" w:eastAsia="宋体" w:cs="Times New Roman"/>
          <w:bCs/>
          <w:sz w:val="30"/>
          <w:szCs w:val="30"/>
        </w:rPr>
      </w:pPr>
    </w:p>
    <w:p w14:paraId="11D9CB2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ascii="Times New Roman" w:hAnsi="Times New Roman" w:eastAsia="宋体" w:cs="Times New Roman"/>
          <w:b/>
          <w:sz w:val="24"/>
        </w:rPr>
        <w:t xml:space="preserve"> </w:t>
      </w:r>
      <w:r>
        <w:rPr>
          <w:rFonts w:hint="eastAsia" w:ascii="Times New Roman" w:hAnsi="Times New Roman" w:eastAsia="宋体" w:cs="Times New Roman"/>
          <w:b/>
          <w:sz w:val="24"/>
        </w:rPr>
        <w:t>STEAM课程设计</w:t>
      </w:r>
    </w:p>
    <w:p w14:paraId="6B5324E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课程代码：2401045</w:t>
      </w:r>
    </w:p>
    <w:p w14:paraId="6FBAAEC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67D080A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时：32（其中：讲授学时16，课内实践学时16）</w:t>
      </w:r>
    </w:p>
    <w:p w14:paraId="44E5727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先修课程：科学概论</w:t>
      </w:r>
    </w:p>
    <w:p w14:paraId="3164541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适用专业：小学教育（文）、小学教育（理）</w:t>
      </w:r>
    </w:p>
    <w:p w14:paraId="70FA8D35">
      <w:pPr>
        <w:spacing w:line="360" w:lineRule="auto"/>
        <w:jc w:val="left"/>
        <w:rPr>
          <w:rFonts w:ascii="Times New Roman" w:hAnsi="Times New Roman" w:eastAsia="宋体" w:cs="Times New Roman"/>
          <w:b/>
          <w:sz w:val="24"/>
        </w:rPr>
      </w:pPr>
    </w:p>
    <w:p w14:paraId="57081374">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6BDF23E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文）、小学教育（理）专业的专业选修课程。通过本课程的学习，使学生掌握STEAM教育的基本理念和方法，能够设计和实施STEAM课程，培养学生跨学科整合能力和创新思维，提高STEAM教育实践能力。</w:t>
      </w:r>
    </w:p>
    <w:p w14:paraId="6A70474D">
      <w:pPr>
        <w:spacing w:line="360" w:lineRule="auto"/>
        <w:jc w:val="left"/>
        <w:rPr>
          <w:rFonts w:hint="eastAsia" w:ascii="宋体" w:hAnsi="宋体" w:eastAsia="宋体" w:cs="Times New Roman"/>
          <w:b/>
          <w:color w:val="000000"/>
          <w:szCs w:val="21"/>
        </w:rPr>
      </w:pPr>
    </w:p>
    <w:p w14:paraId="706C49C9">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055784AE">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0989C6FB">
      <w:pPr>
        <w:pStyle w:val="36"/>
        <w:spacing w:after="0"/>
        <w:rPr>
          <w:rFonts w:hint="eastAsia" w:ascii="宋体" w:hAnsi="宋体"/>
          <w:sz w:val="21"/>
          <w:szCs w:val="21"/>
        </w:rPr>
      </w:pPr>
      <w:r>
        <w:rPr>
          <w:rFonts w:hint="eastAsia"/>
          <w:b/>
          <w:sz w:val="21"/>
          <w:szCs w:val="18"/>
        </w:rPr>
        <w:t>目标</w:t>
      </w:r>
      <w:r>
        <w:rPr>
          <w:b/>
          <w:sz w:val="21"/>
          <w:szCs w:val="18"/>
        </w:rPr>
        <w:t>1.</w:t>
      </w:r>
      <w:r>
        <w:rPr>
          <w:rFonts w:ascii="宋体" w:hAnsi="宋体"/>
          <w:sz w:val="21"/>
          <w:szCs w:val="21"/>
        </w:rPr>
        <w:t>掌握STEAM教育及艺术的基本理论和知识，具备广博的自然科学和人文社会科学知识素养，理解STEAM与小学其他学科及社会实践、小学生生活实践之间的联系，具备跨学科解决问题的能力，能够运用STEAM教育理论（包括艺术元素）指导教学实践，能指导综合性学科教学活动。</w:t>
      </w:r>
    </w:p>
    <w:p w14:paraId="05A32E67">
      <w:pPr>
        <w:spacing w:line="360" w:lineRule="auto"/>
        <w:jc w:val="left"/>
        <w:rPr>
          <w:rFonts w:hint="eastAsia" w:ascii="宋体" w:hAnsi="宋体" w:eastAsia="宋体" w:cs="Times New Roman"/>
          <w:szCs w:val="21"/>
        </w:rPr>
      </w:pPr>
      <w:r>
        <w:rPr>
          <w:rFonts w:hint="eastAsia" w:ascii="宋体" w:hAnsi="宋体" w:eastAsia="宋体" w:cs="Times New Roman"/>
          <w:b/>
          <w:szCs w:val="21"/>
        </w:rPr>
        <w:t>目标2</w:t>
      </w:r>
      <w:r>
        <w:rPr>
          <w:rFonts w:ascii="宋体" w:hAnsi="宋体" w:eastAsia="宋体" w:cs="Times New Roman"/>
          <w:b/>
          <w:szCs w:val="21"/>
        </w:rPr>
        <w:t>.</w:t>
      </w:r>
      <w:r>
        <w:rPr>
          <w:rFonts w:ascii="宋体" w:hAnsi="宋体" w:eastAsia="宋体" w:cs="Times New Roman"/>
          <w:szCs w:val="21"/>
        </w:rPr>
        <w:t xml:space="preserve"> </w:t>
      </w:r>
      <w:r>
        <w:rPr>
          <w:rFonts w:ascii="宋体" w:hAnsi="宋体" w:eastAsia="宋体"/>
          <w:szCs w:val="21"/>
        </w:rPr>
        <w:t>掌握小学教师的基本技能，包括书写、沟通与表达、信息技术运用等，获得全面的小学教学体验，掌握STEAM课程设计与教学的方法和策略，能够独立进行STEAM课程的教学实施和评价，提升教学能力，促进学生的全面发展。</w:t>
      </w:r>
    </w:p>
    <w:p w14:paraId="6037E721">
      <w:pPr>
        <w:pStyle w:val="6"/>
        <w:spacing w:after="0"/>
        <w:rPr>
          <w:rFonts w:hint="eastAsia" w:ascii="宋体" w:hAnsi="宋体"/>
          <w:sz w:val="21"/>
          <w:szCs w:val="21"/>
        </w:rPr>
      </w:pPr>
      <w:r>
        <w:rPr>
          <w:rFonts w:hint="eastAsia" w:ascii="宋体" w:hAnsi="宋体"/>
          <w:b/>
          <w:sz w:val="21"/>
          <w:szCs w:val="21"/>
        </w:rPr>
        <w:t>目标3．</w:t>
      </w:r>
      <w:r>
        <w:rPr>
          <w:rFonts w:ascii="宋体" w:hAnsi="宋体"/>
          <w:sz w:val="21"/>
          <w:szCs w:val="21"/>
        </w:rPr>
        <w:t xml:space="preserve"> 理解STEAM教育的育人价值，具备教书育人的意识，理解学科核心素养和STEAM课程的育人功能，能够结合课程内容挖掘育人要素与资源，合理设计育人目标、主题、内容和活动，将知识学习、能力发展与品德养成有机结合，促进小学生的全面、健康发展。</w:t>
      </w:r>
    </w:p>
    <w:p w14:paraId="5BAAC24A">
      <w:pPr>
        <w:pStyle w:val="6"/>
        <w:spacing w:after="0"/>
        <w:rPr>
          <w:rFonts w:hint="eastAsia" w:ascii="宋体" w:hAnsi="宋体"/>
        </w:rPr>
      </w:pPr>
    </w:p>
    <w:p w14:paraId="40EC80E7">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5387"/>
        <w:gridCol w:w="1327"/>
      </w:tblGrid>
      <w:tr w14:paraId="75E0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4C19E699">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5387" w:type="dxa"/>
            <w:vAlign w:val="center"/>
          </w:tcPr>
          <w:p w14:paraId="18B05CC4">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327" w:type="dxa"/>
            <w:vAlign w:val="center"/>
          </w:tcPr>
          <w:p w14:paraId="40E3953C">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460D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4F95FA94">
            <w:pPr>
              <w:spacing w:line="276" w:lineRule="auto"/>
              <w:jc w:val="left"/>
              <w:rPr>
                <w:rFonts w:hint="eastAsia" w:ascii="宋体" w:hAnsi="宋体" w:eastAsia="宋体" w:cs="Times New Roman"/>
                <w:szCs w:val="21"/>
              </w:rPr>
            </w:pPr>
            <w:r>
              <w:rPr>
                <w:rFonts w:hint="eastAsia" w:ascii="宋体" w:hAnsi="宋体" w:eastAsia="宋体"/>
                <w:szCs w:val="21"/>
              </w:rPr>
              <w:t>毕业要求3：学科素养</w:t>
            </w:r>
          </w:p>
        </w:tc>
        <w:tc>
          <w:tcPr>
            <w:tcW w:w="5387" w:type="dxa"/>
            <w:vAlign w:val="center"/>
          </w:tcPr>
          <w:p w14:paraId="47BAF22E">
            <w:pPr>
              <w:spacing w:line="276" w:lineRule="auto"/>
              <w:jc w:val="left"/>
              <w:rPr>
                <w:rFonts w:hint="eastAsia" w:ascii="宋体" w:hAnsi="宋体" w:eastAsia="宋体" w:cs="Times New Roman"/>
                <w:szCs w:val="21"/>
              </w:rPr>
            </w:pPr>
            <w:r>
              <w:rPr>
                <w:rFonts w:hint="eastAsia" w:ascii="宋体" w:hAnsi="宋体" w:eastAsia="宋体"/>
                <w:szCs w:val="21"/>
              </w:rPr>
              <w:t>指标点3-3：【注重知识整合】了解所教学科与小学其他学科及与社会实践、小学生生活实践之间的联系，了解学科整合在小学教育中的价值，具有跨学科解决问题的意识和能力，能指导综合性学科教学活动。</w:t>
            </w:r>
          </w:p>
        </w:tc>
        <w:tc>
          <w:tcPr>
            <w:tcW w:w="1327" w:type="dxa"/>
          </w:tcPr>
          <w:p w14:paraId="69E9B68F">
            <w:pPr>
              <w:spacing w:line="276" w:lineRule="auto"/>
              <w:jc w:val="left"/>
              <w:rPr>
                <w:rFonts w:hint="eastAsia" w:ascii="宋体" w:hAnsi="宋体" w:eastAsia="宋体" w:cs="Times New Roman"/>
                <w:szCs w:val="21"/>
              </w:rPr>
            </w:pPr>
            <w:r>
              <w:rPr>
                <w:rFonts w:hint="eastAsia" w:ascii="宋体" w:hAnsi="宋体" w:eastAsia="宋体"/>
                <w:szCs w:val="21"/>
              </w:rPr>
              <w:t>课程目标1</w:t>
            </w:r>
          </w:p>
        </w:tc>
      </w:tr>
      <w:tr w14:paraId="41FD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0F5C5623">
            <w:pPr>
              <w:spacing w:line="276" w:lineRule="auto"/>
              <w:jc w:val="left"/>
              <w:rPr>
                <w:rFonts w:hint="eastAsia" w:ascii="宋体" w:hAnsi="宋体" w:eastAsia="宋体" w:cs="Times New Roman"/>
                <w:szCs w:val="21"/>
              </w:rPr>
            </w:pPr>
            <w:r>
              <w:rPr>
                <w:rFonts w:hint="eastAsia" w:ascii="宋体" w:hAnsi="宋体" w:eastAsia="宋体"/>
                <w:szCs w:val="21"/>
              </w:rPr>
              <w:t>毕业要求4：教学能力</w:t>
            </w:r>
          </w:p>
        </w:tc>
        <w:tc>
          <w:tcPr>
            <w:tcW w:w="5387" w:type="dxa"/>
          </w:tcPr>
          <w:p w14:paraId="64614445">
            <w:pPr>
              <w:spacing w:line="276" w:lineRule="auto"/>
              <w:jc w:val="left"/>
              <w:rPr>
                <w:rFonts w:hint="eastAsia" w:ascii="宋体" w:hAnsi="宋体" w:eastAsia="宋体" w:cs="Times New Roman"/>
                <w:szCs w:val="21"/>
              </w:rPr>
            </w:pPr>
            <w:r>
              <w:rPr>
                <w:rFonts w:hint="eastAsia" w:ascii="宋体" w:hAnsi="宋体" w:eastAsia="宋体"/>
                <w:color w:val="000000"/>
                <w:szCs w:val="21"/>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tcPr>
          <w:p w14:paraId="0284F6D1">
            <w:pPr>
              <w:spacing w:line="276" w:lineRule="auto"/>
              <w:jc w:val="left"/>
              <w:rPr>
                <w:rFonts w:hint="eastAsia" w:ascii="宋体" w:hAnsi="宋体" w:eastAsia="宋体" w:cs="Times New Roman"/>
                <w:szCs w:val="21"/>
              </w:rPr>
            </w:pPr>
            <w:r>
              <w:rPr>
                <w:rFonts w:hint="eastAsia" w:ascii="宋体" w:hAnsi="宋体" w:eastAsia="宋体"/>
                <w:szCs w:val="21"/>
              </w:rPr>
              <w:t>课程目标2</w:t>
            </w:r>
          </w:p>
        </w:tc>
      </w:tr>
      <w:tr w14:paraId="1E17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32006AE7">
            <w:pPr>
              <w:spacing w:line="276" w:lineRule="auto"/>
              <w:jc w:val="left"/>
              <w:rPr>
                <w:rFonts w:hint="eastAsia" w:ascii="宋体" w:hAnsi="宋体" w:eastAsia="宋体" w:cs="Times New Roman"/>
                <w:szCs w:val="21"/>
              </w:rPr>
            </w:pPr>
            <w:r>
              <w:rPr>
                <w:rFonts w:hint="eastAsia" w:ascii="宋体" w:hAnsi="宋体" w:eastAsia="宋体"/>
                <w:szCs w:val="21"/>
              </w:rPr>
              <w:t>毕业要求6：综合育人</w:t>
            </w:r>
          </w:p>
        </w:tc>
        <w:tc>
          <w:tcPr>
            <w:tcW w:w="5387" w:type="dxa"/>
            <w:vAlign w:val="center"/>
          </w:tcPr>
          <w:p w14:paraId="5511EB98">
            <w:pPr>
              <w:spacing w:line="276" w:lineRule="auto"/>
              <w:jc w:val="left"/>
              <w:rPr>
                <w:rFonts w:hint="eastAsia" w:ascii="宋体" w:hAnsi="宋体" w:eastAsia="宋体" w:cs="Times New Roman"/>
                <w:szCs w:val="21"/>
              </w:rPr>
            </w:pPr>
            <w:r>
              <w:rPr>
                <w:rFonts w:hint="eastAsia" w:ascii="宋体" w:hAnsi="宋体" w:eastAsia="宋体" w:cs="宋体"/>
                <w:kern w:val="0"/>
                <w:szCs w:val="21"/>
              </w:rPr>
              <w:t>指标点</w:t>
            </w:r>
            <w:r>
              <w:rPr>
                <w:rFonts w:hint="eastAsia" w:ascii="宋体" w:hAnsi="宋体" w:eastAsia="宋体" w:cs="宋体"/>
                <w:szCs w:val="21"/>
              </w:rPr>
              <w:t>6-2：【胜任学科育人】具有教书育人的意识，理解学科核心素养和拟任教学科课程独特的育人功能，在教育教学实践中，能够</w:t>
            </w:r>
            <w:r>
              <w:rPr>
                <w:rFonts w:hint="eastAsia" w:ascii="宋体" w:hAnsi="宋体" w:eastAsia="宋体" w:cs="宋体"/>
                <w:bCs/>
                <w:kern w:val="0"/>
                <w:szCs w:val="21"/>
              </w:rPr>
              <w:t>结合课程内容与特点，挖掘课程的育人要素与资源，合理设计育人目标、主题、内容和活动，将知识学习、能力发展与品德养成有机结合。</w:t>
            </w:r>
          </w:p>
        </w:tc>
        <w:tc>
          <w:tcPr>
            <w:tcW w:w="1327" w:type="dxa"/>
          </w:tcPr>
          <w:p w14:paraId="2B881198">
            <w:pPr>
              <w:spacing w:line="276" w:lineRule="auto"/>
              <w:jc w:val="left"/>
              <w:rPr>
                <w:rFonts w:hint="eastAsia" w:ascii="宋体" w:hAnsi="宋体" w:eastAsia="宋体" w:cs="Times New Roman"/>
                <w:szCs w:val="21"/>
              </w:rPr>
            </w:pPr>
            <w:r>
              <w:rPr>
                <w:rFonts w:hint="eastAsia" w:ascii="宋体" w:hAnsi="宋体" w:eastAsia="宋体"/>
                <w:szCs w:val="21"/>
              </w:rPr>
              <w:t>课程目标3</w:t>
            </w:r>
          </w:p>
        </w:tc>
      </w:tr>
    </w:tbl>
    <w:p w14:paraId="0E357612">
      <w:pPr>
        <w:spacing w:before="156" w:beforeLines="50" w:line="360" w:lineRule="auto"/>
        <w:jc w:val="left"/>
        <w:rPr>
          <w:rFonts w:hint="eastAsia" w:ascii="宋体" w:hAnsi="宋体" w:eastAsia="宋体" w:cs="Times New Roman"/>
          <w:b/>
          <w:color w:val="000000"/>
          <w:szCs w:val="21"/>
        </w:rPr>
      </w:pPr>
    </w:p>
    <w:p w14:paraId="33FF4357">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62C74049">
      <w:pPr>
        <w:spacing w:line="360"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目标1.</w:t>
      </w:r>
      <w:r>
        <w:rPr>
          <w:rFonts w:hint="eastAsia" w:ascii="宋体" w:hAnsi="宋体" w:eastAsia="宋体" w:cs="Times New Roman"/>
          <w:color w:val="000000"/>
          <w:szCs w:val="21"/>
        </w:rPr>
        <w:t xml:space="preserve"> 培养学生的社会责任感和创新精神，理解科技与社会发展的关系，树立正确的价值观念，认识STEAM课程建设在社会变迁与经济发展中的重要作用。</w:t>
      </w:r>
    </w:p>
    <w:p w14:paraId="10FA2F00">
      <w:pPr>
        <w:spacing w:line="360"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目标2.</w:t>
      </w:r>
      <w:r>
        <w:rPr>
          <w:rFonts w:hint="eastAsia" w:ascii="宋体" w:hAnsi="宋体" w:eastAsia="宋体" w:cs="Times New Roman"/>
          <w:color w:val="000000"/>
          <w:szCs w:val="21"/>
        </w:rPr>
        <w:t xml:space="preserve"> 增强学生的团队合作意识和沟通能力，培养集体荣誉感和协作精神，促进跨学科整合与教学设计中的社会责任感和解决问题的能力。</w:t>
      </w:r>
    </w:p>
    <w:p w14:paraId="68E9DDDA">
      <w:pPr>
        <w:spacing w:line="360"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目标3.</w:t>
      </w:r>
      <w:r>
        <w:rPr>
          <w:rFonts w:hint="eastAsia" w:ascii="宋体" w:hAnsi="宋体" w:eastAsia="宋体" w:cs="Times New Roman"/>
          <w:color w:val="000000"/>
          <w:szCs w:val="21"/>
        </w:rPr>
        <w:t xml:space="preserve"> 引导学生关注可持续发展和环保理念，培养绿色思维和可持续发展的实践能力，促进绿色教育理念在课程设计中的应用。</w:t>
      </w:r>
    </w:p>
    <w:p w14:paraId="6EF0DFA4">
      <w:pPr>
        <w:spacing w:line="360" w:lineRule="auto"/>
        <w:jc w:val="left"/>
        <w:rPr>
          <w:rFonts w:hint="eastAsia" w:ascii="宋体" w:hAnsi="宋体" w:eastAsia="宋体" w:cs="Times New Roman"/>
          <w:color w:val="000000"/>
          <w:szCs w:val="21"/>
        </w:rPr>
      </w:pPr>
    </w:p>
    <w:p w14:paraId="29C0828D">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402"/>
        <w:gridCol w:w="850"/>
        <w:gridCol w:w="1985"/>
        <w:gridCol w:w="1495"/>
        <w:gridCol w:w="578"/>
      </w:tblGrid>
      <w:tr w14:paraId="49D1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88" w:type="dxa"/>
            <w:vAlign w:val="center"/>
          </w:tcPr>
          <w:p w14:paraId="595D2B5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653C94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3402" w:type="dxa"/>
            <w:vAlign w:val="center"/>
          </w:tcPr>
          <w:p w14:paraId="375E40A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850" w:type="dxa"/>
            <w:vAlign w:val="center"/>
          </w:tcPr>
          <w:p w14:paraId="35E30A8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6218B2C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1985" w:type="dxa"/>
            <w:vAlign w:val="center"/>
          </w:tcPr>
          <w:p w14:paraId="688FDAF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495" w:type="dxa"/>
            <w:vAlign w:val="center"/>
          </w:tcPr>
          <w:p w14:paraId="71D0A2B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578" w:type="dxa"/>
            <w:vAlign w:val="center"/>
          </w:tcPr>
          <w:p w14:paraId="6BFFA7B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362B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163AA781">
            <w:pPr>
              <w:spacing w:line="276" w:lineRule="auto"/>
              <w:jc w:val="center"/>
              <w:rPr>
                <w:rFonts w:hint="eastAsia" w:ascii="宋体" w:hAnsi="宋体" w:eastAsia="宋体" w:cs="Times New Roman"/>
                <w:color w:val="000000"/>
                <w:szCs w:val="21"/>
              </w:rPr>
            </w:pPr>
            <w:r>
              <w:rPr>
                <w:rFonts w:hint="eastAsia" w:ascii="宋体" w:hAnsi="宋体" w:eastAsia="宋体"/>
                <w:b/>
                <w:bCs/>
                <w:szCs w:val="21"/>
              </w:rPr>
              <w:t>第一章</w:t>
            </w:r>
            <w:r>
              <w:rPr>
                <w:rFonts w:ascii="宋体" w:hAnsi="宋体" w:eastAsia="宋体"/>
                <w:b/>
                <w:bCs/>
                <w:szCs w:val="21"/>
              </w:rPr>
              <w:t xml:space="preserve"> STEAM </w:t>
            </w:r>
            <w:r>
              <w:rPr>
                <w:rFonts w:hint="eastAsia" w:ascii="宋体" w:hAnsi="宋体" w:eastAsia="宋体"/>
                <w:b/>
                <w:bCs/>
                <w:szCs w:val="21"/>
              </w:rPr>
              <w:t>课程建设概述</w:t>
            </w:r>
          </w:p>
        </w:tc>
        <w:tc>
          <w:tcPr>
            <w:tcW w:w="3402" w:type="dxa"/>
            <w:vAlign w:val="center"/>
          </w:tcPr>
          <w:p w14:paraId="6338BF40">
            <w:pPr>
              <w:spacing w:line="276" w:lineRule="auto"/>
              <w:jc w:val="left"/>
              <w:rPr>
                <w:rFonts w:hint="eastAsia" w:ascii="宋体" w:hAnsi="宋体" w:eastAsia="宋体" w:cs="Times New Roman"/>
                <w:color w:val="000000"/>
                <w:szCs w:val="21"/>
              </w:rPr>
            </w:pPr>
            <w:r>
              <w:rPr>
                <w:rFonts w:hint="eastAsia" w:ascii="宋体" w:hAnsi="宋体" w:eastAsia="宋体"/>
                <w:szCs w:val="21"/>
              </w:rPr>
              <w:t>（1）STEAM</w:t>
            </w:r>
            <w:r>
              <w:rPr>
                <w:rFonts w:ascii="宋体" w:hAnsi="宋体" w:eastAsia="宋体"/>
                <w:szCs w:val="21"/>
              </w:rPr>
              <w:t xml:space="preserve"> </w:t>
            </w:r>
            <w:r>
              <w:rPr>
                <w:rFonts w:hint="eastAsia" w:ascii="宋体" w:hAnsi="宋体" w:eastAsia="宋体"/>
                <w:szCs w:val="21"/>
              </w:rPr>
              <w:t>课程建设的背景与挑战</w:t>
            </w:r>
            <w:r>
              <w:rPr>
                <w:rFonts w:ascii="宋体" w:hAnsi="宋体" w:eastAsia="宋体"/>
                <w:szCs w:val="21"/>
              </w:rPr>
              <w:br w:type="textWrapping"/>
            </w:r>
            <w:r>
              <w:rPr>
                <w:rFonts w:hint="eastAsia" w:ascii="宋体" w:hAnsi="宋体" w:eastAsia="宋体"/>
                <w:szCs w:val="21"/>
              </w:rPr>
              <w:t>（2）STEAM</w:t>
            </w:r>
            <w:r>
              <w:rPr>
                <w:rFonts w:ascii="宋体" w:hAnsi="宋体" w:eastAsia="宋体"/>
                <w:szCs w:val="21"/>
              </w:rPr>
              <w:t xml:space="preserve"> </w:t>
            </w:r>
            <w:r>
              <w:rPr>
                <w:rFonts w:hint="eastAsia" w:ascii="宋体" w:hAnsi="宋体" w:eastAsia="宋体"/>
                <w:szCs w:val="21"/>
              </w:rPr>
              <w:t>课程建设的本质、模式及特征</w:t>
            </w:r>
            <w:r>
              <w:rPr>
                <w:rFonts w:ascii="宋体" w:hAnsi="宋体" w:eastAsia="宋体"/>
                <w:szCs w:val="21"/>
              </w:rPr>
              <w:br w:type="textWrapping"/>
            </w:r>
            <w:r>
              <w:rPr>
                <w:rFonts w:hint="eastAsia" w:ascii="宋体" w:hAnsi="宋体" w:eastAsia="宋体"/>
                <w:szCs w:val="21"/>
              </w:rPr>
              <w:t>（3）STEAM</w:t>
            </w:r>
            <w:r>
              <w:rPr>
                <w:rFonts w:ascii="宋体" w:hAnsi="宋体" w:eastAsia="宋体"/>
                <w:szCs w:val="21"/>
              </w:rPr>
              <w:t xml:space="preserve"> </w:t>
            </w:r>
            <w:r>
              <w:rPr>
                <w:rFonts w:hint="eastAsia" w:ascii="宋体" w:hAnsi="宋体" w:eastAsia="宋体"/>
                <w:szCs w:val="21"/>
              </w:rPr>
              <w:t>课程建设的问题与对策</w:t>
            </w:r>
          </w:p>
        </w:tc>
        <w:tc>
          <w:tcPr>
            <w:tcW w:w="850" w:type="dxa"/>
          </w:tcPr>
          <w:p w14:paraId="130DEDB8">
            <w:pPr>
              <w:spacing w:line="276" w:lineRule="auto"/>
              <w:jc w:val="center"/>
              <w:rPr>
                <w:rFonts w:hint="eastAsia" w:ascii="宋体" w:hAnsi="宋体" w:eastAsia="宋体" w:cs="Times New Roman"/>
                <w:color w:val="000000"/>
                <w:szCs w:val="21"/>
              </w:rPr>
            </w:pPr>
            <w:r>
              <w:rPr>
                <w:rFonts w:hint="eastAsia" w:ascii="宋体" w:hAnsi="宋体" w:eastAsia="宋体"/>
                <w:szCs w:val="21"/>
              </w:rPr>
              <w:t>目标1</w:t>
            </w:r>
          </w:p>
        </w:tc>
        <w:tc>
          <w:tcPr>
            <w:tcW w:w="1985" w:type="dxa"/>
          </w:tcPr>
          <w:p w14:paraId="18655BC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理解STEAM教育的背景与挑战，掌握课程建设的本质和特征，能够识别问题并提出对策</w:t>
            </w:r>
          </w:p>
        </w:tc>
        <w:tc>
          <w:tcPr>
            <w:tcW w:w="1495" w:type="dxa"/>
          </w:tcPr>
          <w:p w14:paraId="037F848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课堂讨论</w:t>
            </w:r>
          </w:p>
          <w:p w14:paraId="4E0C7D6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案例分析</w:t>
            </w:r>
          </w:p>
          <w:p w14:paraId="50336EA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小组活动</w:t>
            </w:r>
          </w:p>
        </w:tc>
        <w:tc>
          <w:tcPr>
            <w:tcW w:w="578" w:type="dxa"/>
            <w:vAlign w:val="center"/>
          </w:tcPr>
          <w:p w14:paraId="6029944C">
            <w:pPr>
              <w:spacing w:line="276" w:lineRule="auto"/>
              <w:jc w:val="center"/>
              <w:rPr>
                <w:rFonts w:hint="eastAsia" w:ascii="宋体" w:hAnsi="宋体" w:eastAsia="宋体" w:cs="Times New Roman"/>
                <w:color w:val="000000"/>
                <w:szCs w:val="21"/>
              </w:rPr>
            </w:pPr>
            <w:r>
              <w:rPr>
                <w:rFonts w:hint="eastAsia" w:ascii="宋体" w:hAnsi="宋体" w:eastAsia="宋体"/>
                <w:szCs w:val="21"/>
              </w:rPr>
              <w:t>2</w:t>
            </w:r>
          </w:p>
        </w:tc>
      </w:tr>
      <w:tr w14:paraId="66AC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2FF6AFFF">
            <w:pPr>
              <w:spacing w:line="276" w:lineRule="auto"/>
              <w:jc w:val="center"/>
              <w:rPr>
                <w:rFonts w:hint="eastAsia" w:ascii="宋体" w:hAnsi="宋体" w:eastAsia="宋体" w:cs="Times New Roman"/>
                <w:color w:val="000000"/>
                <w:szCs w:val="21"/>
              </w:rPr>
            </w:pPr>
          </w:p>
        </w:tc>
        <w:tc>
          <w:tcPr>
            <w:tcW w:w="8310" w:type="dxa"/>
            <w:gridSpan w:val="5"/>
            <w:vAlign w:val="center"/>
          </w:tcPr>
          <w:p w14:paraId="25CA8DC0">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培养学生的社会责任感和创新精神，理解科技与社会发展的关系，树立正确的价值观念，认识STEAM课程建设在社会变迁与经济发展中的重要作用。</w:t>
            </w:r>
          </w:p>
        </w:tc>
      </w:tr>
      <w:tr w14:paraId="1432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0AE20560">
            <w:pPr>
              <w:spacing w:line="276" w:lineRule="auto"/>
              <w:jc w:val="center"/>
              <w:rPr>
                <w:rFonts w:hint="eastAsia" w:ascii="宋体" w:hAnsi="宋体" w:eastAsia="宋体" w:cs="Times New Roman"/>
                <w:color w:val="000000"/>
                <w:szCs w:val="21"/>
              </w:rPr>
            </w:pPr>
            <w:r>
              <w:rPr>
                <w:rFonts w:hint="eastAsia" w:ascii="宋体" w:hAnsi="宋体" w:eastAsia="宋体"/>
                <w:b/>
                <w:bCs/>
                <w:szCs w:val="21"/>
              </w:rPr>
              <w:t>第二章</w:t>
            </w:r>
            <w:r>
              <w:rPr>
                <w:rFonts w:ascii="宋体" w:hAnsi="宋体" w:eastAsia="宋体"/>
                <w:b/>
                <w:bCs/>
                <w:szCs w:val="21"/>
              </w:rPr>
              <w:t xml:space="preserve"> STEAM </w:t>
            </w:r>
            <w:r>
              <w:rPr>
                <w:rFonts w:hint="eastAsia" w:ascii="宋体" w:hAnsi="宋体" w:eastAsia="宋体"/>
                <w:b/>
                <w:bCs/>
                <w:szCs w:val="21"/>
              </w:rPr>
              <w:t>课程目标设计</w:t>
            </w:r>
          </w:p>
        </w:tc>
        <w:tc>
          <w:tcPr>
            <w:tcW w:w="3402" w:type="dxa"/>
            <w:vAlign w:val="center"/>
          </w:tcPr>
          <w:p w14:paraId="1BF4E22F">
            <w:pPr>
              <w:spacing w:line="276" w:lineRule="auto"/>
              <w:jc w:val="left"/>
              <w:rPr>
                <w:rFonts w:hint="eastAsia" w:ascii="宋体" w:hAnsi="宋体" w:eastAsia="宋体" w:cs="Times New Roman"/>
                <w:color w:val="000000"/>
                <w:szCs w:val="21"/>
              </w:rPr>
            </w:pPr>
            <w:r>
              <w:rPr>
                <w:rFonts w:hint="eastAsia" w:ascii="宋体" w:hAnsi="宋体" w:eastAsia="宋体"/>
                <w:szCs w:val="21"/>
              </w:rPr>
              <w:t>（1）STEAM</w:t>
            </w:r>
            <w:r>
              <w:rPr>
                <w:rFonts w:ascii="宋体" w:hAnsi="宋体" w:eastAsia="宋体"/>
                <w:szCs w:val="21"/>
              </w:rPr>
              <w:t xml:space="preserve"> </w:t>
            </w:r>
            <w:r>
              <w:rPr>
                <w:rFonts w:hint="eastAsia" w:ascii="宋体" w:hAnsi="宋体" w:eastAsia="宋体"/>
                <w:szCs w:val="21"/>
              </w:rPr>
              <w:t>课程目标设计：依据及框架</w:t>
            </w:r>
            <w:r>
              <w:rPr>
                <w:rFonts w:ascii="宋体" w:hAnsi="宋体" w:eastAsia="宋体"/>
                <w:szCs w:val="21"/>
              </w:rPr>
              <w:br w:type="textWrapping"/>
            </w:r>
            <w:r>
              <w:rPr>
                <w:rFonts w:hint="eastAsia" w:ascii="宋体" w:hAnsi="宋体" w:eastAsia="宋体"/>
                <w:szCs w:val="21"/>
              </w:rPr>
              <w:t>（2）STEAM</w:t>
            </w:r>
            <w:r>
              <w:rPr>
                <w:rFonts w:ascii="宋体" w:hAnsi="宋体" w:eastAsia="宋体"/>
                <w:szCs w:val="21"/>
              </w:rPr>
              <w:t xml:space="preserve"> </w:t>
            </w:r>
            <w:r>
              <w:rPr>
                <w:rFonts w:hint="eastAsia" w:ascii="宋体" w:hAnsi="宋体" w:eastAsia="宋体"/>
                <w:szCs w:val="21"/>
              </w:rPr>
              <w:t>课程目标设计：原则及要求</w:t>
            </w:r>
            <w:r>
              <w:rPr>
                <w:rFonts w:ascii="宋体" w:hAnsi="宋体" w:eastAsia="宋体"/>
                <w:szCs w:val="21"/>
              </w:rPr>
              <w:br w:type="textWrapping"/>
            </w:r>
            <w:r>
              <w:rPr>
                <w:rFonts w:hint="eastAsia" w:ascii="宋体" w:hAnsi="宋体" w:eastAsia="宋体"/>
                <w:szCs w:val="21"/>
              </w:rPr>
              <w:t>（3）STEAM</w:t>
            </w:r>
            <w:r>
              <w:rPr>
                <w:rFonts w:ascii="宋体" w:hAnsi="宋体" w:eastAsia="宋体"/>
                <w:szCs w:val="21"/>
              </w:rPr>
              <w:t xml:space="preserve"> </w:t>
            </w:r>
            <w:r>
              <w:rPr>
                <w:rFonts w:hint="eastAsia" w:ascii="宋体" w:hAnsi="宋体" w:eastAsia="宋体"/>
                <w:szCs w:val="21"/>
              </w:rPr>
              <w:t>课程目标设计：案例及示范</w:t>
            </w:r>
          </w:p>
        </w:tc>
        <w:tc>
          <w:tcPr>
            <w:tcW w:w="850" w:type="dxa"/>
          </w:tcPr>
          <w:p w14:paraId="1C95E24B">
            <w:pPr>
              <w:spacing w:line="276" w:lineRule="auto"/>
              <w:jc w:val="center"/>
              <w:rPr>
                <w:rFonts w:hint="eastAsia" w:ascii="宋体" w:hAnsi="宋体" w:eastAsia="宋体" w:cs="Times New Roman"/>
                <w:color w:val="000000"/>
                <w:szCs w:val="21"/>
              </w:rPr>
            </w:pPr>
            <w:r>
              <w:rPr>
                <w:rFonts w:hint="eastAsia" w:ascii="宋体" w:hAnsi="宋体" w:eastAsia="宋体"/>
                <w:szCs w:val="21"/>
              </w:rPr>
              <w:t>目标2</w:t>
            </w:r>
          </w:p>
        </w:tc>
        <w:tc>
          <w:tcPr>
            <w:tcW w:w="1985" w:type="dxa"/>
          </w:tcPr>
          <w:p w14:paraId="3D171A1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理解课程目标设计的依据和框架，掌握设计原则及要求，能够分析案例并进行示范</w:t>
            </w:r>
          </w:p>
        </w:tc>
        <w:tc>
          <w:tcPr>
            <w:tcW w:w="1495" w:type="dxa"/>
          </w:tcPr>
          <w:p w14:paraId="3A50725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课堂讲解</w:t>
            </w:r>
          </w:p>
          <w:p w14:paraId="3B4058B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小组讨论</w:t>
            </w:r>
          </w:p>
          <w:p w14:paraId="2E9832C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案例分析</w:t>
            </w:r>
          </w:p>
        </w:tc>
        <w:tc>
          <w:tcPr>
            <w:tcW w:w="578" w:type="dxa"/>
          </w:tcPr>
          <w:p w14:paraId="1FE0F561">
            <w:pPr>
              <w:spacing w:line="276" w:lineRule="auto"/>
              <w:jc w:val="center"/>
              <w:rPr>
                <w:rFonts w:hint="eastAsia" w:ascii="宋体" w:hAnsi="宋体" w:eastAsia="宋体" w:cs="Times New Roman"/>
                <w:color w:val="000000"/>
                <w:szCs w:val="21"/>
              </w:rPr>
            </w:pPr>
            <w:r>
              <w:rPr>
                <w:rFonts w:hint="eastAsia" w:ascii="宋体" w:hAnsi="宋体" w:eastAsia="宋体"/>
                <w:szCs w:val="21"/>
              </w:rPr>
              <w:t>3+2</w:t>
            </w:r>
          </w:p>
        </w:tc>
      </w:tr>
      <w:tr w14:paraId="6E49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698443F9">
            <w:pPr>
              <w:spacing w:line="276" w:lineRule="auto"/>
              <w:jc w:val="center"/>
              <w:rPr>
                <w:rFonts w:hint="eastAsia" w:ascii="宋体" w:hAnsi="宋体" w:eastAsia="宋体" w:cs="Times New Roman"/>
                <w:color w:val="000000"/>
                <w:szCs w:val="21"/>
              </w:rPr>
            </w:pPr>
          </w:p>
        </w:tc>
        <w:tc>
          <w:tcPr>
            <w:tcW w:w="8310" w:type="dxa"/>
            <w:gridSpan w:val="5"/>
            <w:vAlign w:val="center"/>
          </w:tcPr>
          <w:p w14:paraId="12309ED2">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增强学生的团队合作意识和沟通能力，培养集体荣誉感和协作精神，促进跨学科整合与教学设计中的社会责任感和解决问题的能力。</w:t>
            </w:r>
          </w:p>
        </w:tc>
      </w:tr>
      <w:tr w14:paraId="0B9D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19722678">
            <w:pPr>
              <w:spacing w:line="276" w:lineRule="auto"/>
              <w:jc w:val="center"/>
              <w:rPr>
                <w:rFonts w:hint="eastAsia" w:ascii="宋体" w:hAnsi="宋体" w:eastAsia="宋体" w:cs="Times New Roman"/>
                <w:color w:val="000000"/>
                <w:szCs w:val="21"/>
              </w:rPr>
            </w:pPr>
            <w:r>
              <w:rPr>
                <w:rFonts w:hint="eastAsia" w:ascii="宋体" w:hAnsi="宋体" w:eastAsia="宋体"/>
                <w:b/>
                <w:bCs/>
                <w:szCs w:val="21"/>
              </w:rPr>
              <w:t>第三章</w:t>
            </w:r>
            <w:r>
              <w:rPr>
                <w:rFonts w:ascii="宋体" w:hAnsi="宋体" w:eastAsia="宋体"/>
                <w:b/>
                <w:bCs/>
                <w:szCs w:val="21"/>
              </w:rPr>
              <w:t xml:space="preserve"> STEAM </w:t>
            </w:r>
            <w:r>
              <w:rPr>
                <w:rFonts w:hint="eastAsia" w:ascii="宋体" w:hAnsi="宋体" w:eastAsia="宋体"/>
                <w:b/>
                <w:bCs/>
                <w:szCs w:val="21"/>
              </w:rPr>
              <w:t>课程内容开发</w:t>
            </w:r>
          </w:p>
          <w:p w14:paraId="4B3A920D">
            <w:pPr>
              <w:spacing w:line="276" w:lineRule="auto"/>
              <w:jc w:val="center"/>
              <w:rPr>
                <w:rFonts w:hint="eastAsia" w:ascii="宋体" w:hAnsi="宋体" w:eastAsia="宋体" w:cs="Times New Roman"/>
                <w:color w:val="000000"/>
                <w:szCs w:val="21"/>
              </w:rPr>
            </w:pPr>
          </w:p>
          <w:p w14:paraId="2101C900">
            <w:pPr>
              <w:spacing w:line="276" w:lineRule="auto"/>
              <w:rPr>
                <w:rFonts w:hint="eastAsia" w:ascii="宋体" w:hAnsi="宋体" w:eastAsia="宋体" w:cs="Times New Roman"/>
                <w:color w:val="000000"/>
                <w:szCs w:val="21"/>
              </w:rPr>
            </w:pPr>
          </w:p>
        </w:tc>
        <w:tc>
          <w:tcPr>
            <w:tcW w:w="3402" w:type="dxa"/>
            <w:vAlign w:val="center"/>
          </w:tcPr>
          <w:p w14:paraId="5C88DB64">
            <w:pPr>
              <w:spacing w:line="276" w:lineRule="auto"/>
              <w:jc w:val="left"/>
              <w:rPr>
                <w:rFonts w:hint="eastAsia" w:ascii="宋体" w:hAnsi="宋体" w:eastAsia="宋体" w:cs="Times New Roman"/>
                <w:color w:val="000000"/>
                <w:szCs w:val="21"/>
              </w:rPr>
            </w:pPr>
            <w:r>
              <w:rPr>
                <w:rFonts w:hint="eastAsia" w:ascii="宋体" w:hAnsi="宋体" w:eastAsia="宋体"/>
                <w:szCs w:val="21"/>
              </w:rPr>
              <w:t>（1）STEAM</w:t>
            </w:r>
            <w:r>
              <w:rPr>
                <w:rFonts w:ascii="宋体" w:hAnsi="宋体" w:eastAsia="宋体"/>
                <w:szCs w:val="21"/>
              </w:rPr>
              <w:t xml:space="preserve"> </w:t>
            </w:r>
            <w:r>
              <w:rPr>
                <w:rFonts w:hint="eastAsia" w:ascii="宋体" w:hAnsi="宋体" w:eastAsia="宋体"/>
                <w:szCs w:val="21"/>
              </w:rPr>
              <w:t>课程内容开发原则</w:t>
            </w:r>
            <w:r>
              <w:rPr>
                <w:rFonts w:ascii="宋体" w:hAnsi="宋体" w:eastAsia="宋体"/>
                <w:szCs w:val="21"/>
              </w:rPr>
              <w:br w:type="textWrapping"/>
            </w:r>
            <w:r>
              <w:rPr>
                <w:rFonts w:hint="eastAsia" w:ascii="宋体" w:hAnsi="宋体" w:eastAsia="宋体"/>
                <w:szCs w:val="21"/>
              </w:rPr>
              <w:t>（2）STEAM</w:t>
            </w:r>
            <w:r>
              <w:rPr>
                <w:rFonts w:ascii="宋体" w:hAnsi="宋体" w:eastAsia="宋体"/>
                <w:szCs w:val="21"/>
              </w:rPr>
              <w:t xml:space="preserve"> </w:t>
            </w:r>
            <w:r>
              <w:rPr>
                <w:rFonts w:hint="eastAsia" w:ascii="宋体" w:hAnsi="宋体" w:eastAsia="宋体"/>
                <w:szCs w:val="21"/>
              </w:rPr>
              <w:t>课程内容来源与转化</w:t>
            </w:r>
            <w:r>
              <w:rPr>
                <w:rFonts w:ascii="宋体" w:hAnsi="宋体" w:eastAsia="宋体"/>
                <w:szCs w:val="21"/>
              </w:rPr>
              <w:br w:type="textWrapping"/>
            </w:r>
            <w:r>
              <w:rPr>
                <w:rFonts w:hint="eastAsia" w:ascii="宋体" w:hAnsi="宋体" w:eastAsia="宋体"/>
                <w:szCs w:val="21"/>
              </w:rPr>
              <w:t>（3）STEAM</w:t>
            </w:r>
            <w:r>
              <w:rPr>
                <w:rFonts w:ascii="宋体" w:hAnsi="宋体" w:eastAsia="宋体"/>
                <w:szCs w:val="21"/>
              </w:rPr>
              <w:t xml:space="preserve"> </w:t>
            </w:r>
            <w:r>
              <w:rPr>
                <w:rFonts w:hint="eastAsia" w:ascii="宋体" w:hAnsi="宋体" w:eastAsia="宋体"/>
                <w:szCs w:val="21"/>
              </w:rPr>
              <w:t>课程内容组织与呈现</w:t>
            </w:r>
          </w:p>
        </w:tc>
        <w:tc>
          <w:tcPr>
            <w:tcW w:w="850" w:type="dxa"/>
            <w:vAlign w:val="center"/>
          </w:tcPr>
          <w:p w14:paraId="095575BB">
            <w:pPr>
              <w:spacing w:line="276" w:lineRule="auto"/>
              <w:jc w:val="center"/>
              <w:rPr>
                <w:rFonts w:hint="eastAsia" w:ascii="宋体" w:hAnsi="宋体" w:eastAsia="宋体" w:cs="Times New Roman"/>
                <w:color w:val="000000"/>
                <w:szCs w:val="21"/>
              </w:rPr>
            </w:pPr>
            <w:r>
              <w:rPr>
                <w:rFonts w:hint="eastAsia" w:ascii="宋体" w:hAnsi="宋体" w:eastAsia="宋体"/>
                <w:szCs w:val="21"/>
              </w:rPr>
              <w:t>目标1、目标3</w:t>
            </w:r>
          </w:p>
        </w:tc>
        <w:tc>
          <w:tcPr>
            <w:tcW w:w="1985" w:type="dxa"/>
            <w:vAlign w:val="center"/>
          </w:tcPr>
          <w:p w14:paraId="2E9237B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理解课程内容开发的基本原则，掌握内容来源与转化的方法，能够有效组织和呈现课程内容</w:t>
            </w:r>
          </w:p>
        </w:tc>
        <w:tc>
          <w:tcPr>
            <w:tcW w:w="1495" w:type="dxa"/>
            <w:vAlign w:val="center"/>
          </w:tcPr>
          <w:p w14:paraId="3A702479">
            <w:pPr>
              <w:spacing w:line="276" w:lineRule="auto"/>
              <w:jc w:val="left"/>
              <w:rPr>
                <w:rFonts w:hint="eastAsia" w:ascii="宋体" w:hAnsi="宋体" w:eastAsia="宋体" w:cs="Times New Roman"/>
                <w:color w:val="000000"/>
                <w:szCs w:val="21"/>
              </w:rPr>
            </w:pPr>
            <w:r>
              <w:rPr>
                <w:rFonts w:ascii="宋体" w:hAnsi="宋体" w:eastAsia="宋体"/>
              </w:rPr>
              <w:t>1.</w:t>
            </w:r>
            <w:r>
              <w:rPr>
                <w:rFonts w:hint="eastAsia" w:ascii="宋体" w:hAnsi="宋体" w:eastAsia="宋体"/>
              </w:rPr>
              <w:t>多媒体学习</w:t>
            </w:r>
            <w:r>
              <w:rPr>
                <w:rFonts w:ascii="宋体" w:hAnsi="宋体" w:eastAsia="宋体"/>
              </w:rPr>
              <w:br w:type="textWrapping"/>
            </w:r>
            <w:r>
              <w:rPr>
                <w:rFonts w:ascii="宋体" w:hAnsi="宋体" w:eastAsia="宋体" w:cs="Times New Roman"/>
                <w:color w:val="000000"/>
                <w:szCs w:val="21"/>
              </w:rPr>
              <w:t xml:space="preserve">2. 小组讨论 </w:t>
            </w:r>
          </w:p>
          <w:p w14:paraId="7B340A40">
            <w:pPr>
              <w:spacing w:line="276" w:lineRule="auto"/>
              <w:jc w:val="left"/>
              <w:rPr>
                <w:rFonts w:hint="eastAsia" w:ascii="宋体" w:hAnsi="宋体" w:eastAsia="宋体"/>
              </w:rPr>
            </w:pPr>
            <w:r>
              <w:rPr>
                <w:rFonts w:ascii="宋体" w:hAnsi="宋体" w:eastAsia="宋体" w:cs="Times New Roman"/>
                <w:color w:val="000000"/>
                <w:szCs w:val="21"/>
              </w:rPr>
              <w:t xml:space="preserve">3. </w:t>
            </w:r>
            <w:r>
              <w:rPr>
                <w:rFonts w:ascii="宋体" w:hAnsi="宋体" w:eastAsia="宋体"/>
              </w:rPr>
              <w:t>调研展示</w:t>
            </w:r>
          </w:p>
          <w:p w14:paraId="167A205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 案例分析</w:t>
            </w:r>
          </w:p>
        </w:tc>
        <w:tc>
          <w:tcPr>
            <w:tcW w:w="578" w:type="dxa"/>
            <w:vAlign w:val="center"/>
          </w:tcPr>
          <w:p w14:paraId="6637F42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3+3</w:t>
            </w:r>
          </w:p>
        </w:tc>
      </w:tr>
      <w:tr w14:paraId="31BA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3D3206F1">
            <w:pPr>
              <w:spacing w:line="276" w:lineRule="auto"/>
              <w:jc w:val="center"/>
              <w:rPr>
                <w:rFonts w:hint="eastAsia" w:ascii="宋体" w:hAnsi="宋体" w:eastAsia="宋体" w:cs="Times New Roman"/>
                <w:color w:val="000000"/>
                <w:szCs w:val="21"/>
              </w:rPr>
            </w:pPr>
          </w:p>
        </w:tc>
        <w:tc>
          <w:tcPr>
            <w:tcW w:w="8310" w:type="dxa"/>
            <w:gridSpan w:val="5"/>
            <w:vAlign w:val="center"/>
          </w:tcPr>
          <w:p w14:paraId="43410DC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引导学生关注可持续发展和环保理念，培养绿色思维和可持续发展的实践能力，促进绿色教育理念在课程设计中的应用。</w:t>
            </w:r>
          </w:p>
        </w:tc>
      </w:tr>
      <w:tr w14:paraId="3C0B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658D70D4">
            <w:pPr>
              <w:spacing w:line="276" w:lineRule="auto"/>
              <w:jc w:val="center"/>
              <w:rPr>
                <w:rFonts w:hint="eastAsia" w:ascii="宋体" w:hAnsi="宋体" w:eastAsia="宋体" w:cs="Times New Roman"/>
                <w:color w:val="000000"/>
                <w:szCs w:val="21"/>
              </w:rPr>
            </w:pPr>
            <w:r>
              <w:rPr>
                <w:rFonts w:hint="eastAsia" w:ascii="宋体" w:hAnsi="宋体" w:eastAsia="宋体"/>
                <w:b/>
                <w:bCs/>
                <w:szCs w:val="21"/>
              </w:rPr>
              <w:t>第四章</w:t>
            </w:r>
            <w:r>
              <w:rPr>
                <w:rFonts w:ascii="宋体" w:hAnsi="宋体" w:eastAsia="宋体"/>
                <w:b/>
                <w:bCs/>
                <w:szCs w:val="21"/>
              </w:rPr>
              <w:t xml:space="preserve"> STEAM </w:t>
            </w:r>
            <w:r>
              <w:rPr>
                <w:rFonts w:hint="eastAsia" w:ascii="宋体" w:hAnsi="宋体" w:eastAsia="宋体"/>
                <w:b/>
                <w:bCs/>
                <w:szCs w:val="21"/>
              </w:rPr>
              <w:t>课程评价</w:t>
            </w:r>
          </w:p>
        </w:tc>
        <w:tc>
          <w:tcPr>
            <w:tcW w:w="3402" w:type="dxa"/>
          </w:tcPr>
          <w:p w14:paraId="7E2E66AE">
            <w:pPr>
              <w:spacing w:line="276" w:lineRule="auto"/>
              <w:jc w:val="left"/>
              <w:rPr>
                <w:rFonts w:hint="eastAsia" w:ascii="宋体" w:hAnsi="宋体" w:eastAsia="宋体" w:cs="Times New Roman"/>
                <w:color w:val="000000"/>
                <w:szCs w:val="21"/>
              </w:rPr>
            </w:pPr>
            <w:r>
              <w:rPr>
                <w:rFonts w:hint="eastAsia" w:ascii="宋体" w:hAnsi="宋体" w:eastAsia="宋体"/>
                <w:szCs w:val="21"/>
              </w:rPr>
              <w:t>（1）STEAM</w:t>
            </w:r>
            <w:r>
              <w:rPr>
                <w:rFonts w:ascii="宋体" w:hAnsi="宋体" w:eastAsia="宋体"/>
                <w:szCs w:val="21"/>
              </w:rPr>
              <w:t xml:space="preserve"> </w:t>
            </w:r>
            <w:r>
              <w:rPr>
                <w:rFonts w:hint="eastAsia" w:ascii="宋体" w:hAnsi="宋体" w:eastAsia="宋体"/>
                <w:szCs w:val="21"/>
              </w:rPr>
              <w:t>课程评价的特点和原则</w:t>
            </w:r>
            <w:r>
              <w:rPr>
                <w:rFonts w:ascii="宋体" w:hAnsi="宋体" w:eastAsia="宋体"/>
                <w:szCs w:val="21"/>
              </w:rPr>
              <w:br w:type="textWrapping"/>
            </w:r>
            <w:r>
              <w:rPr>
                <w:rFonts w:hint="eastAsia" w:ascii="宋体" w:hAnsi="宋体" w:eastAsia="宋体"/>
                <w:szCs w:val="21"/>
              </w:rPr>
              <w:t>（2）对课程的评价：提升教师课程知能</w:t>
            </w:r>
            <w:r>
              <w:rPr>
                <w:rFonts w:ascii="宋体" w:hAnsi="宋体" w:eastAsia="宋体"/>
                <w:szCs w:val="21"/>
              </w:rPr>
              <w:br w:type="textWrapping"/>
            </w:r>
            <w:r>
              <w:rPr>
                <w:rFonts w:hint="eastAsia" w:ascii="宋体" w:hAnsi="宋体" w:eastAsia="宋体"/>
                <w:szCs w:val="21"/>
              </w:rPr>
              <w:t>（3）对学生的评价：促进学生全面发展</w:t>
            </w:r>
          </w:p>
        </w:tc>
        <w:tc>
          <w:tcPr>
            <w:tcW w:w="850" w:type="dxa"/>
          </w:tcPr>
          <w:p w14:paraId="5526101B">
            <w:pPr>
              <w:spacing w:line="276" w:lineRule="auto"/>
              <w:jc w:val="center"/>
              <w:rPr>
                <w:rFonts w:hint="eastAsia" w:ascii="宋体" w:hAnsi="宋体" w:eastAsia="宋体" w:cs="Times New Roman"/>
                <w:color w:val="000000"/>
                <w:szCs w:val="21"/>
              </w:rPr>
            </w:pPr>
            <w:r>
              <w:rPr>
                <w:rFonts w:hint="eastAsia" w:ascii="宋体" w:hAnsi="宋体" w:eastAsia="宋体"/>
                <w:szCs w:val="21"/>
              </w:rPr>
              <w:t>目标3</w:t>
            </w:r>
          </w:p>
        </w:tc>
        <w:tc>
          <w:tcPr>
            <w:tcW w:w="1985" w:type="dxa"/>
            <w:vAlign w:val="center"/>
          </w:tcPr>
          <w:p w14:paraId="3044AF0E">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理解课程评价的特点和原则，掌握教师自我评价方法，能够设计有效的学生评价体系</w:t>
            </w:r>
          </w:p>
        </w:tc>
        <w:tc>
          <w:tcPr>
            <w:tcW w:w="1495" w:type="dxa"/>
            <w:vAlign w:val="center"/>
          </w:tcPr>
          <w:p w14:paraId="55FC7E5B">
            <w:pPr>
              <w:spacing w:line="276" w:lineRule="auto"/>
              <w:jc w:val="left"/>
              <w:rPr>
                <w:rFonts w:hint="eastAsia" w:ascii="宋体" w:hAnsi="宋体" w:eastAsia="宋体"/>
              </w:rPr>
            </w:pPr>
            <w:r>
              <w:rPr>
                <w:rFonts w:ascii="宋体" w:hAnsi="宋体" w:eastAsia="宋体"/>
              </w:rPr>
              <w:t>1.评价案例分析</w:t>
            </w:r>
          </w:p>
          <w:p w14:paraId="528853D5">
            <w:pPr>
              <w:spacing w:line="276" w:lineRule="auto"/>
              <w:jc w:val="left"/>
              <w:rPr>
                <w:rFonts w:hint="eastAsia" w:ascii="宋体" w:hAnsi="宋体" w:eastAsia="宋体"/>
              </w:rPr>
            </w:pPr>
            <w:r>
              <w:rPr>
                <w:rFonts w:hint="eastAsia" w:ascii="宋体" w:hAnsi="宋体" w:eastAsia="宋体"/>
              </w:rPr>
              <w:t>2</w:t>
            </w:r>
            <w:r>
              <w:rPr>
                <w:rFonts w:ascii="宋体" w:hAnsi="宋体" w:eastAsia="宋体"/>
              </w:rPr>
              <w:t>.评价工具制作</w:t>
            </w:r>
          </w:p>
          <w:p w14:paraId="5304E5FF">
            <w:pPr>
              <w:spacing w:line="276" w:lineRule="auto"/>
              <w:jc w:val="left"/>
              <w:rPr>
                <w:rFonts w:hint="eastAsia" w:ascii="宋体" w:hAnsi="宋体" w:eastAsia="宋体" w:cs="Times New Roman"/>
                <w:color w:val="000000"/>
                <w:szCs w:val="21"/>
              </w:rPr>
            </w:pPr>
            <w:r>
              <w:rPr>
                <w:rFonts w:hint="eastAsia" w:ascii="宋体" w:hAnsi="宋体" w:eastAsia="宋体"/>
              </w:rPr>
              <w:t>3</w:t>
            </w:r>
            <w:r>
              <w:rPr>
                <w:rFonts w:ascii="宋体" w:hAnsi="宋体" w:eastAsia="宋体"/>
              </w:rPr>
              <w:t>.反馈改进</w:t>
            </w:r>
            <w:r>
              <w:rPr>
                <w:rFonts w:hint="eastAsia" w:ascii="宋体" w:hAnsi="宋体" w:eastAsia="宋体"/>
              </w:rPr>
              <w:t>机制</w:t>
            </w:r>
          </w:p>
        </w:tc>
        <w:tc>
          <w:tcPr>
            <w:tcW w:w="578" w:type="dxa"/>
            <w:vAlign w:val="center"/>
          </w:tcPr>
          <w:p w14:paraId="7DF85CB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3+3</w:t>
            </w:r>
          </w:p>
        </w:tc>
      </w:tr>
      <w:tr w14:paraId="7FD8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0E3B9804">
            <w:pPr>
              <w:spacing w:line="276" w:lineRule="auto"/>
              <w:jc w:val="center"/>
              <w:rPr>
                <w:rFonts w:hint="eastAsia" w:ascii="宋体" w:hAnsi="宋体" w:eastAsia="宋体" w:cs="Times New Roman"/>
                <w:color w:val="000000"/>
                <w:szCs w:val="21"/>
              </w:rPr>
            </w:pPr>
          </w:p>
        </w:tc>
        <w:tc>
          <w:tcPr>
            <w:tcW w:w="8310" w:type="dxa"/>
            <w:gridSpan w:val="5"/>
            <w:vAlign w:val="center"/>
          </w:tcPr>
          <w:p w14:paraId="1F439C89">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引导学生关注可持续发展和环保理念，培养绿色思维和可持续发展的实践能力，促进绿色教育理念在课程设计中的应用。</w:t>
            </w:r>
          </w:p>
        </w:tc>
      </w:tr>
      <w:tr w14:paraId="4B13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3F31ED4D">
            <w:pPr>
              <w:spacing w:line="276" w:lineRule="auto"/>
              <w:jc w:val="center"/>
              <w:rPr>
                <w:rFonts w:hint="eastAsia" w:ascii="宋体" w:hAnsi="宋体" w:eastAsia="宋体" w:cs="Times New Roman"/>
                <w:color w:val="000000"/>
                <w:szCs w:val="21"/>
              </w:rPr>
            </w:pPr>
            <w:r>
              <w:rPr>
                <w:rFonts w:hint="eastAsia" w:ascii="宋体" w:hAnsi="宋体" w:eastAsia="宋体"/>
                <w:b/>
                <w:bCs/>
                <w:szCs w:val="21"/>
              </w:rPr>
              <w:t>第五章</w:t>
            </w:r>
            <w:r>
              <w:rPr>
                <w:rFonts w:ascii="宋体" w:hAnsi="宋体" w:eastAsia="宋体"/>
                <w:b/>
                <w:bCs/>
                <w:szCs w:val="21"/>
              </w:rPr>
              <w:t xml:space="preserve"> STEAM </w:t>
            </w:r>
            <w:r>
              <w:rPr>
                <w:rFonts w:hint="eastAsia" w:ascii="宋体" w:hAnsi="宋体" w:eastAsia="宋体"/>
                <w:b/>
                <w:bCs/>
                <w:szCs w:val="21"/>
              </w:rPr>
              <w:t>课程设计与实施案例</w:t>
            </w:r>
          </w:p>
        </w:tc>
        <w:tc>
          <w:tcPr>
            <w:tcW w:w="3402" w:type="dxa"/>
          </w:tcPr>
          <w:p w14:paraId="7969741E">
            <w:pPr>
              <w:spacing w:line="276" w:lineRule="auto"/>
              <w:jc w:val="left"/>
              <w:rPr>
                <w:rFonts w:hint="eastAsia" w:ascii="宋体" w:hAnsi="宋体" w:eastAsia="宋体" w:cs="Times New Roman"/>
                <w:color w:val="000000"/>
                <w:szCs w:val="21"/>
              </w:rPr>
            </w:pPr>
            <w:r>
              <w:rPr>
                <w:rFonts w:hint="eastAsia" w:ascii="宋体" w:hAnsi="宋体" w:eastAsia="宋体"/>
                <w:szCs w:val="21"/>
              </w:rPr>
              <w:t>（1）创意设计与科技结合——设计制作互动艺术装置</w:t>
            </w:r>
            <w:r>
              <w:rPr>
                <w:rFonts w:ascii="宋体" w:hAnsi="宋体" w:eastAsia="宋体"/>
                <w:szCs w:val="21"/>
              </w:rPr>
              <w:br w:type="textWrapping"/>
            </w:r>
            <w:r>
              <w:rPr>
                <w:rFonts w:hint="eastAsia" w:ascii="宋体" w:hAnsi="宋体" w:eastAsia="宋体"/>
                <w:szCs w:val="21"/>
              </w:rPr>
              <w:t>（2）环境艺术与工程技术——设计一种智能环境监测艺术装置</w:t>
            </w:r>
            <w:r>
              <w:rPr>
                <w:rFonts w:ascii="宋体" w:hAnsi="宋体" w:eastAsia="宋体"/>
                <w:szCs w:val="21"/>
              </w:rPr>
              <w:br w:type="textWrapping"/>
            </w:r>
            <w:r>
              <w:rPr>
                <w:rFonts w:hint="eastAsia" w:ascii="宋体" w:hAnsi="宋体" w:eastAsia="宋体"/>
                <w:szCs w:val="21"/>
              </w:rPr>
              <w:t>（3）艺术与生物技术融合——设计与搭建生态艺术系统</w:t>
            </w:r>
          </w:p>
        </w:tc>
        <w:tc>
          <w:tcPr>
            <w:tcW w:w="850" w:type="dxa"/>
          </w:tcPr>
          <w:p w14:paraId="5D98983C">
            <w:pPr>
              <w:spacing w:line="276" w:lineRule="auto"/>
              <w:jc w:val="center"/>
              <w:rPr>
                <w:rFonts w:hint="eastAsia" w:ascii="宋体" w:hAnsi="宋体" w:eastAsia="宋体" w:cs="Times New Roman"/>
                <w:color w:val="000000"/>
                <w:szCs w:val="21"/>
              </w:rPr>
            </w:pPr>
            <w:r>
              <w:rPr>
                <w:rFonts w:hint="eastAsia" w:ascii="宋体" w:hAnsi="宋体" w:eastAsia="宋体"/>
                <w:szCs w:val="21"/>
              </w:rPr>
              <w:t>目标1、目标3</w:t>
            </w:r>
          </w:p>
        </w:tc>
        <w:tc>
          <w:tcPr>
            <w:tcW w:w="1985" w:type="dxa"/>
            <w:vAlign w:val="center"/>
          </w:tcPr>
          <w:p w14:paraId="4215210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理解创意设计与科技、环境艺术与工程技术、艺术与生物技术的融合方法，能够进行跨学科的创新设计</w:t>
            </w:r>
          </w:p>
        </w:tc>
        <w:tc>
          <w:tcPr>
            <w:tcW w:w="1495" w:type="dxa"/>
            <w:vAlign w:val="center"/>
          </w:tcPr>
          <w:p w14:paraId="3FA093E2">
            <w:pPr>
              <w:spacing w:line="276" w:lineRule="auto"/>
              <w:jc w:val="left"/>
              <w:rPr>
                <w:rFonts w:hint="eastAsia" w:ascii="宋体" w:hAnsi="宋体" w:eastAsia="宋体"/>
              </w:rPr>
            </w:pPr>
            <w:r>
              <w:rPr>
                <w:rFonts w:ascii="宋体" w:hAnsi="宋体" w:eastAsia="宋体"/>
              </w:rPr>
              <w:t xml:space="preserve">1. </w:t>
            </w:r>
            <w:r>
              <w:rPr>
                <w:rFonts w:hint="eastAsia" w:ascii="宋体" w:hAnsi="宋体" w:eastAsia="宋体"/>
              </w:rPr>
              <w:t>小组</w:t>
            </w:r>
            <w:r>
              <w:rPr>
                <w:rFonts w:ascii="宋体" w:hAnsi="宋体" w:eastAsia="宋体"/>
              </w:rPr>
              <w:t xml:space="preserve">讨论 </w:t>
            </w:r>
          </w:p>
          <w:p w14:paraId="0E56217E">
            <w:pPr>
              <w:spacing w:line="276" w:lineRule="auto"/>
              <w:jc w:val="left"/>
              <w:rPr>
                <w:rFonts w:hint="eastAsia" w:ascii="宋体" w:hAnsi="宋体" w:eastAsia="宋体"/>
              </w:rPr>
            </w:pPr>
            <w:r>
              <w:rPr>
                <w:rFonts w:ascii="宋体" w:hAnsi="宋体" w:eastAsia="宋体"/>
              </w:rPr>
              <w:t>2.</w:t>
            </w:r>
            <w:r>
              <w:rPr>
                <w:rFonts w:hint="eastAsia" w:ascii="宋体" w:hAnsi="宋体" w:eastAsia="宋体"/>
              </w:rPr>
              <w:t xml:space="preserve"> </w:t>
            </w:r>
            <w:r>
              <w:rPr>
                <w:rFonts w:ascii="宋体" w:hAnsi="宋体" w:eastAsia="宋体"/>
              </w:rPr>
              <w:t xml:space="preserve">方案展示 </w:t>
            </w:r>
          </w:p>
          <w:p w14:paraId="194F90D4">
            <w:pPr>
              <w:spacing w:line="276" w:lineRule="auto"/>
              <w:jc w:val="left"/>
              <w:rPr>
                <w:rFonts w:hint="eastAsia" w:ascii="宋体" w:hAnsi="宋体" w:eastAsia="宋体"/>
              </w:rPr>
            </w:pPr>
            <w:r>
              <w:rPr>
                <w:rFonts w:ascii="宋体" w:hAnsi="宋体" w:eastAsia="宋体"/>
              </w:rPr>
              <w:t>3.</w:t>
            </w:r>
            <w:r>
              <w:rPr>
                <w:rFonts w:hint="eastAsia" w:ascii="宋体" w:hAnsi="宋体" w:eastAsia="宋体"/>
              </w:rPr>
              <w:t>STEAM</w:t>
            </w:r>
            <w:r>
              <w:rPr>
                <w:rFonts w:ascii="宋体" w:hAnsi="宋体" w:eastAsia="宋体"/>
              </w:rPr>
              <w:t xml:space="preserve">制作 </w:t>
            </w:r>
          </w:p>
          <w:p w14:paraId="1C73D562">
            <w:pPr>
              <w:spacing w:line="276" w:lineRule="auto"/>
              <w:jc w:val="left"/>
              <w:rPr>
                <w:rFonts w:hint="eastAsia" w:ascii="宋体" w:hAnsi="宋体" w:eastAsia="宋体" w:cs="Times New Roman"/>
                <w:color w:val="000000"/>
                <w:szCs w:val="21"/>
              </w:rPr>
            </w:pPr>
            <w:r>
              <w:rPr>
                <w:rFonts w:ascii="宋体" w:hAnsi="宋体" w:eastAsia="宋体"/>
              </w:rPr>
              <w:t>4. 成果汇报与评价</w:t>
            </w:r>
          </w:p>
        </w:tc>
        <w:tc>
          <w:tcPr>
            <w:tcW w:w="578" w:type="dxa"/>
            <w:vAlign w:val="center"/>
          </w:tcPr>
          <w:p w14:paraId="22CDC53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5+8</w:t>
            </w:r>
          </w:p>
        </w:tc>
      </w:tr>
      <w:tr w14:paraId="2422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383278F0">
            <w:pPr>
              <w:spacing w:line="276" w:lineRule="auto"/>
              <w:jc w:val="center"/>
              <w:rPr>
                <w:rFonts w:hint="eastAsia" w:ascii="宋体" w:hAnsi="宋体" w:eastAsia="宋体" w:cs="Times New Roman"/>
                <w:color w:val="000000"/>
                <w:szCs w:val="21"/>
              </w:rPr>
            </w:pPr>
          </w:p>
        </w:tc>
        <w:tc>
          <w:tcPr>
            <w:tcW w:w="8310" w:type="dxa"/>
            <w:gridSpan w:val="5"/>
            <w:vAlign w:val="center"/>
          </w:tcPr>
          <w:p w14:paraId="03566309">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培养学生的社会责任感和创新精神，理解科技与社会发展的关系，树立正确的价值观念，认识STEAM课程建设在社会变迁与经济发展中的重要作用。引导学生关注可持续发展和环保理念，培养绿色思维和可持续发展的实践能力，促进绿色教育理念在课程设计中的应用。</w:t>
            </w:r>
          </w:p>
        </w:tc>
      </w:tr>
    </w:tbl>
    <w:p w14:paraId="496F171E">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45D6B08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83E90E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73496BF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900"/>
        <w:gridCol w:w="998"/>
        <w:gridCol w:w="998"/>
        <w:gridCol w:w="1380"/>
        <w:gridCol w:w="1380"/>
        <w:gridCol w:w="998"/>
        <w:gridCol w:w="626"/>
      </w:tblGrid>
      <w:tr w14:paraId="2ECF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62BFED9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654" w:type="dxa"/>
            <w:gridSpan w:val="6"/>
            <w:vAlign w:val="center"/>
          </w:tcPr>
          <w:p w14:paraId="7809EA34">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2F6AC9DF">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08BF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612E836B">
            <w:pPr>
              <w:spacing w:line="360" w:lineRule="auto"/>
              <w:jc w:val="center"/>
              <w:rPr>
                <w:rFonts w:hint="eastAsia" w:ascii="宋体" w:hAnsi="宋体" w:eastAsia="宋体" w:cs="Times New Roman"/>
                <w:szCs w:val="21"/>
              </w:rPr>
            </w:pPr>
          </w:p>
        </w:tc>
        <w:tc>
          <w:tcPr>
            <w:tcW w:w="900" w:type="dxa"/>
            <w:vAlign w:val="center"/>
          </w:tcPr>
          <w:p w14:paraId="50748459">
            <w:pPr>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21063A6D">
            <w:pPr>
              <w:jc w:val="center"/>
              <w:rPr>
                <w:rFonts w:hint="eastAsia" w:ascii="宋体" w:hAnsi="宋体" w:eastAsia="宋体" w:cs="Times New Roman"/>
                <w:szCs w:val="21"/>
              </w:rPr>
            </w:pPr>
            <w:r>
              <w:rPr>
                <w:rFonts w:hint="eastAsia" w:ascii="宋体" w:hAnsi="宋体" w:eastAsia="宋体" w:cs="Times New Roman"/>
                <w:szCs w:val="21"/>
              </w:rPr>
              <w:t>实验报告</w:t>
            </w:r>
          </w:p>
        </w:tc>
        <w:tc>
          <w:tcPr>
            <w:tcW w:w="0" w:type="auto"/>
            <w:vAlign w:val="center"/>
          </w:tcPr>
          <w:p w14:paraId="06FC3740">
            <w:pPr>
              <w:jc w:val="center"/>
              <w:rPr>
                <w:rFonts w:hint="eastAsia" w:ascii="宋体" w:hAnsi="宋体" w:eastAsia="宋体" w:cs="Times New Roman"/>
                <w:szCs w:val="21"/>
              </w:rPr>
            </w:pPr>
            <w:r>
              <w:rPr>
                <w:rFonts w:hint="eastAsia" w:ascii="宋体" w:hAnsi="宋体" w:eastAsia="宋体" w:cs="Times New Roman"/>
                <w:szCs w:val="21"/>
              </w:rPr>
              <w:t>实验作品</w:t>
            </w:r>
          </w:p>
        </w:tc>
        <w:tc>
          <w:tcPr>
            <w:tcW w:w="0" w:type="auto"/>
            <w:vAlign w:val="center"/>
          </w:tcPr>
          <w:p w14:paraId="14E048F3">
            <w:pPr>
              <w:jc w:val="center"/>
              <w:rPr>
                <w:rFonts w:hint="eastAsia" w:ascii="宋体" w:hAnsi="宋体" w:eastAsia="宋体" w:cs="Times New Roman"/>
                <w:szCs w:val="21"/>
              </w:rPr>
            </w:pPr>
            <w:r>
              <w:rPr>
                <w:rFonts w:hint="eastAsia" w:ascii="宋体" w:hAnsi="宋体" w:eastAsia="宋体" w:cs="Times New Roman"/>
                <w:szCs w:val="21"/>
              </w:rPr>
              <w:t>实验课程设计</w:t>
            </w:r>
          </w:p>
        </w:tc>
        <w:tc>
          <w:tcPr>
            <w:tcW w:w="0" w:type="auto"/>
            <w:vAlign w:val="center"/>
          </w:tcPr>
          <w:p w14:paraId="7B5B5CAE">
            <w:pPr>
              <w:jc w:val="center"/>
              <w:rPr>
                <w:rFonts w:hint="eastAsia" w:ascii="宋体" w:hAnsi="宋体" w:eastAsia="宋体" w:cs="Times New Roman"/>
                <w:szCs w:val="21"/>
              </w:rPr>
            </w:pPr>
            <w:r>
              <w:rPr>
                <w:rFonts w:hint="eastAsia" w:ascii="宋体" w:hAnsi="宋体" w:eastAsia="宋体" w:cs="Times New Roman"/>
                <w:szCs w:val="21"/>
              </w:rPr>
              <w:t>实验教学演示</w:t>
            </w:r>
          </w:p>
        </w:tc>
        <w:tc>
          <w:tcPr>
            <w:tcW w:w="0" w:type="auto"/>
          </w:tcPr>
          <w:p w14:paraId="7AFF6735">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332760F4">
            <w:pPr>
              <w:spacing w:line="360" w:lineRule="auto"/>
              <w:jc w:val="center"/>
              <w:rPr>
                <w:rFonts w:hint="eastAsia" w:ascii="宋体" w:hAnsi="宋体" w:eastAsia="宋体" w:cs="Times New Roman"/>
                <w:szCs w:val="21"/>
              </w:rPr>
            </w:pPr>
          </w:p>
        </w:tc>
      </w:tr>
      <w:tr w14:paraId="10E7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BCD370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900" w:type="dxa"/>
            <w:vAlign w:val="center"/>
          </w:tcPr>
          <w:p w14:paraId="7AC5A7F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BC8A79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BD0FF1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BD66BD9">
            <w:pPr>
              <w:spacing w:line="360" w:lineRule="auto"/>
              <w:jc w:val="center"/>
              <w:rPr>
                <w:rFonts w:hint="eastAsia" w:ascii="宋体" w:hAnsi="宋体" w:eastAsia="宋体" w:cs="Times New Roman"/>
                <w:szCs w:val="21"/>
              </w:rPr>
            </w:pPr>
          </w:p>
        </w:tc>
        <w:tc>
          <w:tcPr>
            <w:tcW w:w="0" w:type="auto"/>
            <w:vAlign w:val="center"/>
          </w:tcPr>
          <w:p w14:paraId="3BF4258B">
            <w:pPr>
              <w:spacing w:line="360" w:lineRule="auto"/>
              <w:jc w:val="center"/>
              <w:rPr>
                <w:rFonts w:hint="eastAsia" w:ascii="宋体" w:hAnsi="宋体" w:eastAsia="宋体" w:cs="Times New Roman"/>
                <w:szCs w:val="21"/>
              </w:rPr>
            </w:pPr>
          </w:p>
        </w:tc>
        <w:tc>
          <w:tcPr>
            <w:tcW w:w="0" w:type="auto"/>
            <w:vAlign w:val="center"/>
          </w:tcPr>
          <w:p w14:paraId="20512AC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4E3C420">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CCA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CBBF74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900" w:type="dxa"/>
            <w:vAlign w:val="center"/>
          </w:tcPr>
          <w:p w14:paraId="420B355E">
            <w:pPr>
              <w:spacing w:line="360" w:lineRule="auto"/>
              <w:jc w:val="center"/>
              <w:rPr>
                <w:rFonts w:hint="eastAsia" w:ascii="宋体" w:hAnsi="宋体" w:eastAsia="宋体" w:cs="Times New Roman"/>
                <w:szCs w:val="21"/>
              </w:rPr>
            </w:pPr>
          </w:p>
        </w:tc>
        <w:tc>
          <w:tcPr>
            <w:tcW w:w="0" w:type="auto"/>
            <w:vAlign w:val="center"/>
          </w:tcPr>
          <w:p w14:paraId="430B1C4F">
            <w:pPr>
              <w:spacing w:line="360" w:lineRule="auto"/>
              <w:jc w:val="center"/>
              <w:rPr>
                <w:rFonts w:hint="eastAsia" w:ascii="宋体" w:hAnsi="宋体" w:eastAsia="宋体" w:cs="Times New Roman"/>
                <w:szCs w:val="21"/>
              </w:rPr>
            </w:pPr>
          </w:p>
        </w:tc>
        <w:tc>
          <w:tcPr>
            <w:tcW w:w="0" w:type="auto"/>
            <w:vAlign w:val="center"/>
          </w:tcPr>
          <w:p w14:paraId="1C49CF4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6A1A2B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1EB6095">
            <w:pPr>
              <w:spacing w:line="360" w:lineRule="auto"/>
              <w:jc w:val="center"/>
              <w:rPr>
                <w:rFonts w:hint="eastAsia" w:ascii="宋体" w:hAnsi="宋体" w:eastAsia="宋体" w:cs="Times New Roman"/>
                <w:szCs w:val="21"/>
              </w:rPr>
            </w:pPr>
          </w:p>
        </w:tc>
        <w:tc>
          <w:tcPr>
            <w:tcW w:w="0" w:type="auto"/>
            <w:vAlign w:val="center"/>
          </w:tcPr>
          <w:p w14:paraId="0DE4E66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167F90D">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F00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6492D66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900" w:type="dxa"/>
            <w:vAlign w:val="center"/>
          </w:tcPr>
          <w:p w14:paraId="70374B56">
            <w:pPr>
              <w:spacing w:line="360" w:lineRule="auto"/>
              <w:jc w:val="center"/>
              <w:rPr>
                <w:rFonts w:hint="eastAsia" w:ascii="宋体" w:hAnsi="宋体" w:eastAsia="宋体" w:cs="Times New Roman"/>
                <w:szCs w:val="21"/>
              </w:rPr>
            </w:pPr>
          </w:p>
        </w:tc>
        <w:tc>
          <w:tcPr>
            <w:tcW w:w="0" w:type="auto"/>
            <w:vAlign w:val="center"/>
          </w:tcPr>
          <w:p w14:paraId="14520500">
            <w:pPr>
              <w:spacing w:line="360" w:lineRule="auto"/>
              <w:jc w:val="center"/>
              <w:rPr>
                <w:rFonts w:hint="eastAsia" w:ascii="宋体" w:hAnsi="宋体" w:eastAsia="宋体" w:cs="Times New Roman"/>
                <w:szCs w:val="21"/>
              </w:rPr>
            </w:pPr>
          </w:p>
        </w:tc>
        <w:tc>
          <w:tcPr>
            <w:tcW w:w="0" w:type="auto"/>
            <w:vAlign w:val="center"/>
          </w:tcPr>
          <w:p w14:paraId="29969410">
            <w:pPr>
              <w:spacing w:line="360" w:lineRule="auto"/>
              <w:jc w:val="center"/>
              <w:rPr>
                <w:rFonts w:hint="eastAsia" w:ascii="宋体" w:hAnsi="宋体" w:eastAsia="宋体" w:cs="Times New Roman"/>
                <w:szCs w:val="21"/>
              </w:rPr>
            </w:pPr>
          </w:p>
        </w:tc>
        <w:tc>
          <w:tcPr>
            <w:tcW w:w="0" w:type="auto"/>
            <w:vAlign w:val="center"/>
          </w:tcPr>
          <w:p w14:paraId="10BAF31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F0CABE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42C4C2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272890D">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52A7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1367384A">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900" w:type="dxa"/>
            <w:vAlign w:val="center"/>
          </w:tcPr>
          <w:p w14:paraId="79E7316A">
            <w:pPr>
              <w:spacing w:line="360" w:lineRule="auto"/>
              <w:jc w:val="center"/>
              <w:rPr>
                <w:rFonts w:hint="eastAsia" w:ascii="宋体" w:hAnsi="宋体" w:eastAsia="宋体" w:cs="Times New Roman"/>
                <w:szCs w:val="21"/>
              </w:rPr>
            </w:pPr>
          </w:p>
        </w:tc>
        <w:tc>
          <w:tcPr>
            <w:tcW w:w="0" w:type="auto"/>
            <w:vAlign w:val="center"/>
          </w:tcPr>
          <w:p w14:paraId="355FBB1A">
            <w:pPr>
              <w:spacing w:line="360" w:lineRule="auto"/>
              <w:jc w:val="center"/>
              <w:rPr>
                <w:rFonts w:hint="eastAsia" w:ascii="宋体" w:hAnsi="宋体" w:eastAsia="宋体" w:cs="Times New Roman"/>
                <w:szCs w:val="21"/>
              </w:rPr>
            </w:pPr>
          </w:p>
        </w:tc>
        <w:tc>
          <w:tcPr>
            <w:tcW w:w="0" w:type="auto"/>
            <w:vAlign w:val="center"/>
          </w:tcPr>
          <w:p w14:paraId="34999735">
            <w:pPr>
              <w:spacing w:line="360" w:lineRule="auto"/>
              <w:jc w:val="center"/>
              <w:rPr>
                <w:rFonts w:hint="eastAsia" w:ascii="宋体" w:hAnsi="宋体" w:eastAsia="宋体" w:cs="Times New Roman"/>
                <w:szCs w:val="21"/>
              </w:rPr>
            </w:pPr>
          </w:p>
        </w:tc>
        <w:tc>
          <w:tcPr>
            <w:tcW w:w="0" w:type="auto"/>
            <w:vAlign w:val="center"/>
          </w:tcPr>
          <w:p w14:paraId="034AA007">
            <w:pPr>
              <w:spacing w:line="360" w:lineRule="auto"/>
              <w:jc w:val="center"/>
              <w:rPr>
                <w:rFonts w:hint="eastAsia" w:ascii="宋体" w:hAnsi="宋体" w:eastAsia="宋体" w:cs="Times New Roman"/>
                <w:szCs w:val="21"/>
              </w:rPr>
            </w:pPr>
          </w:p>
        </w:tc>
        <w:tc>
          <w:tcPr>
            <w:tcW w:w="0" w:type="auto"/>
            <w:vAlign w:val="center"/>
          </w:tcPr>
          <w:p w14:paraId="60E9E2DD">
            <w:pPr>
              <w:spacing w:line="360" w:lineRule="auto"/>
              <w:jc w:val="center"/>
              <w:rPr>
                <w:rFonts w:hint="eastAsia" w:ascii="宋体" w:hAnsi="宋体" w:eastAsia="宋体" w:cs="Times New Roman"/>
                <w:szCs w:val="21"/>
              </w:rPr>
            </w:pPr>
          </w:p>
        </w:tc>
        <w:tc>
          <w:tcPr>
            <w:tcW w:w="0" w:type="auto"/>
          </w:tcPr>
          <w:p w14:paraId="07B12C94">
            <w:pPr>
              <w:spacing w:line="360" w:lineRule="auto"/>
              <w:jc w:val="center"/>
              <w:rPr>
                <w:rFonts w:hint="eastAsia" w:ascii="宋体" w:hAnsi="宋体" w:eastAsia="宋体" w:cs="Times New Roman"/>
                <w:szCs w:val="21"/>
              </w:rPr>
            </w:pPr>
          </w:p>
        </w:tc>
        <w:tc>
          <w:tcPr>
            <w:tcW w:w="0" w:type="auto"/>
            <w:vAlign w:val="center"/>
          </w:tcPr>
          <w:p w14:paraId="3307F0A6">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0DD72A3D">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27C225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F3DC4E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B33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FB7002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A8E6B4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4B7689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961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9DC0B3B">
            <w:pPr>
              <w:rPr>
                <w:rFonts w:hint="eastAsia" w:ascii="宋体" w:hAnsi="宋体" w:eastAsia="宋体" w:cs="Times New Roman"/>
                <w:szCs w:val="21"/>
              </w:rPr>
            </w:pPr>
            <w:r>
              <w:rPr>
                <w:rFonts w:hint="eastAsia" w:ascii="宋体" w:hAnsi="宋体" w:eastAsia="宋体"/>
              </w:rPr>
              <w:t>课堂表现</w:t>
            </w:r>
          </w:p>
        </w:tc>
        <w:tc>
          <w:tcPr>
            <w:tcW w:w="7141" w:type="dxa"/>
          </w:tcPr>
          <w:p w14:paraId="19A7AF9A">
            <w:pPr>
              <w:spacing w:line="264" w:lineRule="auto"/>
              <w:jc w:val="left"/>
              <w:rPr>
                <w:rFonts w:hint="eastAsia" w:ascii="宋体" w:hAnsi="宋体" w:eastAsia="宋体" w:cs="Times New Roman"/>
                <w:szCs w:val="21"/>
              </w:rPr>
            </w:pPr>
            <w:r>
              <w:rPr>
                <w:rFonts w:hint="eastAsia" w:ascii="宋体" w:hAnsi="宋体" w:eastAsia="宋体"/>
              </w:rPr>
              <w:t>包括课题考勤和课堂参与情况：迟到一次扣2分，无故缺席一次扣5分，累计达3次以上取消课程成绩；课堂参与情况通过实验操作、课堂讨论与交流表现进行综合评定。</w:t>
            </w:r>
          </w:p>
        </w:tc>
        <w:tc>
          <w:tcPr>
            <w:tcW w:w="0" w:type="auto"/>
          </w:tcPr>
          <w:p w14:paraId="51086044">
            <w:pPr>
              <w:jc w:val="center"/>
              <w:rPr>
                <w:rFonts w:hint="eastAsia" w:ascii="宋体" w:hAnsi="宋体" w:eastAsia="宋体" w:cs="Times New Roman"/>
                <w:szCs w:val="21"/>
              </w:rPr>
            </w:pPr>
            <w:r>
              <w:rPr>
                <w:rFonts w:hint="eastAsia" w:ascii="宋体" w:hAnsi="宋体" w:eastAsia="宋体"/>
              </w:rPr>
              <w:t>10%</w:t>
            </w:r>
          </w:p>
        </w:tc>
      </w:tr>
      <w:tr w14:paraId="750F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C2D8B24">
            <w:pPr>
              <w:rPr>
                <w:rFonts w:hint="eastAsia" w:ascii="宋体" w:hAnsi="宋体" w:eastAsia="宋体" w:cs="Times New Roman"/>
                <w:szCs w:val="21"/>
              </w:rPr>
            </w:pPr>
            <w:r>
              <w:rPr>
                <w:rFonts w:hint="eastAsia" w:ascii="宋体" w:hAnsi="宋体" w:eastAsia="宋体"/>
              </w:rPr>
              <w:t>实验报告</w:t>
            </w:r>
          </w:p>
        </w:tc>
        <w:tc>
          <w:tcPr>
            <w:tcW w:w="7141" w:type="dxa"/>
          </w:tcPr>
          <w:p w14:paraId="0A3FCF87">
            <w:pPr>
              <w:widowControl/>
              <w:spacing w:line="264" w:lineRule="auto"/>
              <w:jc w:val="left"/>
              <w:rPr>
                <w:rFonts w:hint="eastAsia" w:ascii="宋体" w:hAnsi="宋体" w:eastAsia="宋体" w:cs="Times New Roman"/>
                <w:szCs w:val="21"/>
              </w:rPr>
            </w:pPr>
            <w:r>
              <w:rPr>
                <w:rFonts w:ascii="宋体" w:hAnsi="宋体" w:eastAsia="宋体"/>
              </w:rPr>
              <w:t>学生在项目过程中完成的实验报告，考核实验数据记录的完整性、分析的逻辑性及总结的科学性，报告需符合STEAM课程的目标和要求。</w:t>
            </w:r>
          </w:p>
        </w:tc>
        <w:tc>
          <w:tcPr>
            <w:tcW w:w="0" w:type="auto"/>
          </w:tcPr>
          <w:p w14:paraId="4D0933A7">
            <w:pPr>
              <w:jc w:val="center"/>
              <w:rPr>
                <w:rFonts w:hint="eastAsia" w:ascii="宋体" w:hAnsi="宋体" w:eastAsia="宋体" w:cs="Times New Roman"/>
                <w:szCs w:val="21"/>
              </w:rPr>
            </w:pPr>
            <w:r>
              <w:rPr>
                <w:rFonts w:hint="eastAsia" w:ascii="宋体" w:hAnsi="宋体" w:eastAsia="宋体"/>
              </w:rPr>
              <w:t>15%</w:t>
            </w:r>
          </w:p>
        </w:tc>
      </w:tr>
      <w:tr w14:paraId="4FC5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98A28D6">
            <w:pPr>
              <w:rPr>
                <w:rFonts w:hint="eastAsia" w:ascii="宋体" w:hAnsi="宋体" w:eastAsia="宋体" w:cs="Times New Roman"/>
                <w:szCs w:val="21"/>
              </w:rPr>
            </w:pPr>
            <w:r>
              <w:rPr>
                <w:rFonts w:hint="eastAsia" w:ascii="宋体" w:hAnsi="宋体" w:eastAsia="宋体"/>
              </w:rPr>
              <w:t>实验作品</w:t>
            </w:r>
          </w:p>
        </w:tc>
        <w:tc>
          <w:tcPr>
            <w:tcW w:w="7141" w:type="dxa"/>
          </w:tcPr>
          <w:p w14:paraId="744D9C57">
            <w:pPr>
              <w:widowControl/>
              <w:spacing w:line="264" w:lineRule="auto"/>
              <w:jc w:val="left"/>
              <w:rPr>
                <w:rFonts w:hint="eastAsia" w:ascii="宋体" w:hAnsi="宋体" w:eastAsia="宋体" w:cs="宋体"/>
                <w:color w:val="000000"/>
                <w:kern w:val="0"/>
                <w:szCs w:val="21"/>
                <w:lang w:bidi="ar"/>
              </w:rPr>
            </w:pPr>
            <w:r>
              <w:rPr>
                <w:rFonts w:ascii="宋体" w:hAnsi="宋体" w:eastAsia="宋体"/>
              </w:rPr>
              <w:t>针对STEAM课程设计并完成的作品，考查学生作品的科学性、创新性及教学适用性，包括实验模型制作或实验展示等成果，评分注重作品对教学的实际指导意义。</w:t>
            </w:r>
          </w:p>
        </w:tc>
        <w:tc>
          <w:tcPr>
            <w:tcW w:w="0" w:type="auto"/>
          </w:tcPr>
          <w:p w14:paraId="6073A672">
            <w:pPr>
              <w:jc w:val="center"/>
              <w:rPr>
                <w:rFonts w:hint="eastAsia" w:ascii="宋体" w:hAnsi="宋体" w:eastAsia="宋体" w:cs="Times New Roman"/>
                <w:szCs w:val="21"/>
              </w:rPr>
            </w:pPr>
            <w:r>
              <w:rPr>
                <w:rFonts w:hint="eastAsia" w:ascii="宋体" w:hAnsi="宋体" w:eastAsia="宋体"/>
              </w:rPr>
              <w:t>15%</w:t>
            </w:r>
          </w:p>
        </w:tc>
      </w:tr>
      <w:tr w14:paraId="570F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5FFC138E">
            <w:pPr>
              <w:rPr>
                <w:rFonts w:hint="eastAsia" w:ascii="宋体" w:hAnsi="宋体" w:eastAsia="宋体" w:cs="Times New Roman"/>
                <w:szCs w:val="21"/>
              </w:rPr>
            </w:pPr>
            <w:r>
              <w:rPr>
                <w:rFonts w:hint="eastAsia" w:ascii="宋体" w:hAnsi="宋体" w:eastAsia="宋体"/>
              </w:rPr>
              <w:t>实验教学设计</w:t>
            </w:r>
          </w:p>
        </w:tc>
        <w:tc>
          <w:tcPr>
            <w:tcW w:w="7141" w:type="dxa"/>
          </w:tcPr>
          <w:p w14:paraId="64871ADB">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rPr>
              <w:t>根据实验内容完成小学科学实验的教学设计，评分依据为设计的科学性、合理性、创新性及其在小学课堂中的实际应用价值，考察学生科学知识与教学方法的整合能力。</w:t>
            </w:r>
          </w:p>
        </w:tc>
        <w:tc>
          <w:tcPr>
            <w:tcW w:w="0" w:type="auto"/>
          </w:tcPr>
          <w:p w14:paraId="2E1E2F75">
            <w:pPr>
              <w:jc w:val="center"/>
              <w:rPr>
                <w:rFonts w:hint="eastAsia" w:ascii="宋体" w:hAnsi="宋体" w:eastAsia="宋体" w:cs="Times New Roman"/>
                <w:szCs w:val="21"/>
              </w:rPr>
            </w:pPr>
            <w:r>
              <w:rPr>
                <w:rFonts w:hint="eastAsia" w:ascii="宋体" w:hAnsi="宋体" w:eastAsia="宋体"/>
              </w:rPr>
              <w:t>20%</w:t>
            </w:r>
          </w:p>
        </w:tc>
      </w:tr>
      <w:tr w14:paraId="366D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4919F9D">
            <w:pPr>
              <w:rPr>
                <w:rFonts w:hint="eastAsia" w:ascii="宋体" w:hAnsi="宋体" w:eastAsia="宋体" w:cs="Times New Roman"/>
                <w:szCs w:val="21"/>
              </w:rPr>
            </w:pPr>
            <w:r>
              <w:rPr>
                <w:rFonts w:hint="eastAsia" w:ascii="宋体" w:hAnsi="宋体" w:eastAsia="宋体"/>
              </w:rPr>
              <w:t>实验教学演示</w:t>
            </w:r>
          </w:p>
        </w:tc>
        <w:tc>
          <w:tcPr>
            <w:tcW w:w="7141" w:type="dxa"/>
          </w:tcPr>
          <w:p w14:paraId="61A4FF75">
            <w:pPr>
              <w:spacing w:line="264" w:lineRule="auto"/>
              <w:jc w:val="left"/>
              <w:rPr>
                <w:rFonts w:hint="eastAsia" w:ascii="宋体" w:hAnsi="宋体" w:eastAsia="宋体" w:cs="Times New Roman"/>
                <w:szCs w:val="21"/>
              </w:rPr>
            </w:pPr>
            <w:r>
              <w:rPr>
                <w:rFonts w:ascii="宋体" w:hAnsi="宋体" w:eastAsia="宋体"/>
              </w:rPr>
              <w:t>通过模拟课堂或实验指导环节进行演示，考察学生的课堂教学组织能力、实验指导能力及与学生互动的表现，注重教学语言、表达逻辑和实验操作演示的流畅性。</w:t>
            </w:r>
          </w:p>
        </w:tc>
        <w:tc>
          <w:tcPr>
            <w:tcW w:w="0" w:type="auto"/>
          </w:tcPr>
          <w:p w14:paraId="11E918E7">
            <w:pPr>
              <w:jc w:val="center"/>
              <w:rPr>
                <w:rFonts w:hint="eastAsia" w:ascii="宋体" w:hAnsi="宋体" w:eastAsia="宋体" w:cs="Times New Roman"/>
                <w:szCs w:val="21"/>
              </w:rPr>
            </w:pPr>
            <w:r>
              <w:rPr>
                <w:rFonts w:hint="eastAsia" w:ascii="宋体" w:hAnsi="宋体" w:eastAsia="宋体"/>
              </w:rPr>
              <w:t>20%</w:t>
            </w:r>
          </w:p>
        </w:tc>
      </w:tr>
      <w:tr w14:paraId="5C14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12DAC6F">
            <w:pPr>
              <w:rPr>
                <w:rFonts w:hint="eastAsia" w:ascii="宋体" w:hAnsi="宋体" w:eastAsia="宋体" w:cs="Times New Roman"/>
                <w:szCs w:val="21"/>
              </w:rPr>
            </w:pPr>
            <w:r>
              <w:rPr>
                <w:rFonts w:hint="eastAsia" w:ascii="宋体" w:hAnsi="宋体" w:eastAsia="宋体"/>
              </w:rPr>
              <w:t>期末考试</w:t>
            </w:r>
          </w:p>
        </w:tc>
        <w:tc>
          <w:tcPr>
            <w:tcW w:w="7141" w:type="dxa"/>
          </w:tcPr>
          <w:p w14:paraId="203CDB3E">
            <w:pPr>
              <w:spacing w:line="264" w:lineRule="auto"/>
              <w:jc w:val="left"/>
              <w:rPr>
                <w:rFonts w:hint="eastAsia" w:ascii="宋体" w:hAnsi="宋体" w:eastAsia="宋体" w:cs="Times New Roman"/>
                <w:szCs w:val="21"/>
              </w:rPr>
            </w:pPr>
            <w:r>
              <w:rPr>
                <w:rFonts w:ascii="宋体" w:hAnsi="宋体" w:eastAsia="宋体"/>
              </w:rPr>
              <w:t>试卷题型包括STEAM课程设计、简答题和案例分析题，以卷面成绩的50%计入课程总成绩。具体分值分配如下：课程设计占60%，重点考核学生设计跨学科综合性课程的能力；</w:t>
            </w:r>
            <w:r>
              <w:rPr>
                <w:rFonts w:hint="eastAsia" w:ascii="宋体" w:hAnsi="宋体" w:eastAsia="宋体"/>
              </w:rPr>
              <w:t>简</w:t>
            </w:r>
            <w:r>
              <w:rPr>
                <w:rFonts w:ascii="宋体" w:hAnsi="宋体" w:eastAsia="宋体"/>
              </w:rPr>
              <w:t>答题占20%，重点考核学生对</w:t>
            </w:r>
            <w:r>
              <w:rPr>
                <w:rFonts w:hint="eastAsia" w:ascii="宋体" w:hAnsi="宋体" w:eastAsia="宋体"/>
              </w:rPr>
              <w:t>STEAM课程建设相关</w:t>
            </w:r>
            <w:r>
              <w:rPr>
                <w:rFonts w:ascii="宋体" w:hAnsi="宋体" w:eastAsia="宋体"/>
              </w:rPr>
              <w:t>知识、方法及其应用的理解；案例分析题占20%，评估学生的</w:t>
            </w:r>
            <w:r>
              <w:rPr>
                <w:rFonts w:hint="eastAsia" w:ascii="宋体" w:hAnsi="宋体" w:eastAsia="宋体"/>
              </w:rPr>
              <w:t>评价、</w:t>
            </w:r>
            <w:r>
              <w:rPr>
                <w:rFonts w:ascii="宋体" w:hAnsi="宋体" w:eastAsia="宋体"/>
              </w:rPr>
              <w:t>反思能力和设计优化能力。</w:t>
            </w:r>
          </w:p>
        </w:tc>
        <w:tc>
          <w:tcPr>
            <w:tcW w:w="0" w:type="auto"/>
          </w:tcPr>
          <w:p w14:paraId="59B3A6D9">
            <w:pPr>
              <w:jc w:val="center"/>
              <w:rPr>
                <w:rFonts w:hint="eastAsia" w:ascii="宋体" w:hAnsi="宋体" w:eastAsia="宋体" w:cs="Times New Roman"/>
                <w:szCs w:val="21"/>
              </w:rPr>
            </w:pPr>
            <w:r>
              <w:rPr>
                <w:rFonts w:hint="eastAsia" w:ascii="宋体" w:hAnsi="宋体" w:eastAsia="宋体"/>
              </w:rPr>
              <w:t>30%</w:t>
            </w:r>
          </w:p>
        </w:tc>
      </w:tr>
      <w:tr w14:paraId="2BF1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2CBF62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5AF128F">
            <w:pPr>
              <w:jc w:val="left"/>
              <w:rPr>
                <w:rFonts w:ascii="Times New Roman" w:hAnsi="Times New Roman" w:eastAsia="宋体" w:cs="Times New Roman"/>
                <w:szCs w:val="21"/>
              </w:rPr>
            </w:pPr>
          </w:p>
        </w:tc>
        <w:tc>
          <w:tcPr>
            <w:tcW w:w="0" w:type="auto"/>
            <w:vAlign w:val="center"/>
          </w:tcPr>
          <w:p w14:paraId="2867AA0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0E2C288">
      <w:pPr>
        <w:spacing w:line="360" w:lineRule="auto"/>
        <w:jc w:val="left"/>
        <w:rPr>
          <w:rFonts w:hint="eastAsia" w:ascii="宋体" w:hAnsi="宋体" w:eastAsia="宋体" w:cs="Times New Roman"/>
          <w:b/>
          <w:color w:val="000000"/>
          <w:szCs w:val="21"/>
        </w:rPr>
      </w:pPr>
    </w:p>
    <w:p w14:paraId="464DC8E0">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12021C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8BB9D90">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72" o:spt="75" type="#_x0000_t75" style="height:25.5pt;width:404.65pt;" o:ole="t" filled="f" o:preferrelative="t" stroked="f" coordsize="21600,21600">
            <v:path/>
            <v:fill on="f" focussize="0,0"/>
            <v:stroke on="f" joinstyle="miter"/>
            <v:imagedata r:id="rId5" o:title=""/>
            <o:lock v:ext="edit" aspectratio="t"/>
            <w10:wrap type="none"/>
            <w10:anchorlock/>
          </v:shape>
          <o:OLEObject Type="Embed" ProgID="Equation.3" ShapeID="_x0000_i1072" DrawAspect="Content" ObjectID="_1468075772" r:id="rId58">
            <o:LockedField>false</o:LockedField>
          </o:OLEObject>
        </w:object>
      </w:r>
    </w:p>
    <w:p w14:paraId="10987CD9">
      <w:pPr>
        <w:spacing w:before="156" w:beforeLines="50" w:line="360" w:lineRule="auto"/>
        <w:jc w:val="left"/>
        <w:rPr>
          <w:rFonts w:hint="eastAsia" w:ascii="宋体" w:hAnsi="宋体" w:eastAsia="宋体" w:cs="Times New Roman"/>
          <w:b/>
          <w:color w:val="000000"/>
          <w:sz w:val="24"/>
        </w:rPr>
      </w:pPr>
    </w:p>
    <w:p w14:paraId="44FA5B03">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p>
    <w:p w14:paraId="5382552F">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4A0AD6C6">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191"/>
        <w:gridCol w:w="3544"/>
        <w:gridCol w:w="567"/>
        <w:gridCol w:w="1134"/>
        <w:gridCol w:w="567"/>
        <w:gridCol w:w="646"/>
      </w:tblGrid>
      <w:tr w14:paraId="23CE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trPr>
        <w:tc>
          <w:tcPr>
            <w:tcW w:w="647" w:type="dxa"/>
            <w:tcBorders>
              <w:bottom w:val="single" w:color="auto" w:sz="0" w:space="0"/>
              <w:insideH w:val="single" w:sz="0" w:space="0"/>
            </w:tcBorders>
            <w:vAlign w:val="bottom"/>
          </w:tcPr>
          <w:p w14:paraId="1CDE3695">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序号</w:t>
            </w:r>
          </w:p>
        </w:tc>
        <w:tc>
          <w:tcPr>
            <w:tcW w:w="1191" w:type="dxa"/>
            <w:tcBorders>
              <w:bottom w:val="single" w:color="auto" w:sz="0" w:space="0"/>
              <w:insideH w:val="single" w:sz="0" w:space="0"/>
            </w:tcBorders>
            <w:vAlign w:val="bottom"/>
          </w:tcPr>
          <w:p w14:paraId="13E0C501">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实验项目名称</w:t>
            </w:r>
          </w:p>
        </w:tc>
        <w:tc>
          <w:tcPr>
            <w:tcW w:w="3544" w:type="dxa"/>
            <w:tcBorders>
              <w:bottom w:val="single" w:color="auto" w:sz="0" w:space="0"/>
              <w:insideH w:val="single" w:sz="0" w:space="0"/>
            </w:tcBorders>
            <w:vAlign w:val="bottom"/>
          </w:tcPr>
          <w:p w14:paraId="30F266CB">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实验内容及要求</w:t>
            </w:r>
          </w:p>
        </w:tc>
        <w:tc>
          <w:tcPr>
            <w:tcW w:w="567" w:type="dxa"/>
            <w:tcBorders>
              <w:bottom w:val="single" w:color="auto" w:sz="0" w:space="0"/>
              <w:insideH w:val="single" w:sz="0" w:space="0"/>
            </w:tcBorders>
            <w:vAlign w:val="bottom"/>
          </w:tcPr>
          <w:p w14:paraId="5E5E52C2">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学时</w:t>
            </w:r>
          </w:p>
        </w:tc>
        <w:tc>
          <w:tcPr>
            <w:tcW w:w="1134" w:type="dxa"/>
            <w:tcBorders>
              <w:bottom w:val="single" w:color="auto" w:sz="0" w:space="0"/>
              <w:insideH w:val="single" w:sz="0" w:space="0"/>
            </w:tcBorders>
            <w:vAlign w:val="center"/>
          </w:tcPr>
          <w:p w14:paraId="6399D496">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对毕业要求的支撑</w:t>
            </w:r>
          </w:p>
        </w:tc>
        <w:tc>
          <w:tcPr>
            <w:tcW w:w="567" w:type="dxa"/>
            <w:tcBorders>
              <w:bottom w:val="single" w:color="auto" w:sz="0" w:space="0"/>
              <w:insideH w:val="single" w:sz="0" w:space="0"/>
            </w:tcBorders>
            <w:vAlign w:val="bottom"/>
          </w:tcPr>
          <w:p w14:paraId="1F7D5EDA">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类型</w:t>
            </w:r>
          </w:p>
        </w:tc>
        <w:tc>
          <w:tcPr>
            <w:tcW w:w="646" w:type="dxa"/>
            <w:tcBorders>
              <w:bottom w:val="single" w:color="auto" w:sz="0" w:space="0"/>
              <w:insideH w:val="single" w:sz="0" w:space="0"/>
            </w:tcBorders>
            <w:vAlign w:val="bottom"/>
          </w:tcPr>
          <w:p w14:paraId="27AC9B4D">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备注</w:t>
            </w:r>
          </w:p>
        </w:tc>
      </w:tr>
      <w:tr w14:paraId="49D0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49A09EE7">
            <w:pPr>
              <w:pStyle w:val="37"/>
              <w:spacing w:before="0" w:after="0"/>
              <w:rPr>
                <w:rFonts w:hint="eastAsia" w:ascii="宋体" w:hAnsi="宋体"/>
                <w:sz w:val="21"/>
                <w:szCs w:val="21"/>
                <w:lang w:eastAsia="en-US"/>
              </w:rPr>
            </w:pPr>
            <w:r>
              <w:rPr>
                <w:rFonts w:hint="eastAsia" w:ascii="宋体" w:hAnsi="宋体"/>
                <w:sz w:val="21"/>
                <w:szCs w:val="21"/>
                <w:lang w:eastAsia="en-US"/>
              </w:rPr>
              <w:t>1</w:t>
            </w:r>
          </w:p>
        </w:tc>
        <w:tc>
          <w:tcPr>
            <w:tcW w:w="1191" w:type="dxa"/>
          </w:tcPr>
          <w:p w14:paraId="31FCD032">
            <w:pPr>
              <w:pStyle w:val="37"/>
              <w:spacing w:before="0" w:after="0"/>
              <w:rPr>
                <w:rFonts w:hint="eastAsia" w:ascii="宋体" w:hAnsi="宋体"/>
                <w:sz w:val="21"/>
                <w:szCs w:val="21"/>
                <w:lang w:eastAsia="en-US"/>
              </w:rPr>
            </w:pPr>
            <w:r>
              <w:rPr>
                <w:rFonts w:hint="eastAsia" w:ascii="宋体" w:hAnsi="宋体"/>
                <w:sz w:val="21"/>
                <w:szCs w:val="21"/>
                <w:lang w:eastAsia="en-US"/>
              </w:rPr>
              <w:t>STEAM课程建设案例实施和分析</w:t>
            </w:r>
          </w:p>
        </w:tc>
        <w:tc>
          <w:tcPr>
            <w:tcW w:w="3544" w:type="dxa"/>
          </w:tcPr>
          <w:p w14:paraId="4ACBE48E">
            <w:pPr>
              <w:pStyle w:val="37"/>
              <w:spacing w:before="0" w:after="0"/>
              <w:rPr>
                <w:rFonts w:hint="eastAsia" w:ascii="宋体" w:hAnsi="宋体"/>
                <w:sz w:val="21"/>
                <w:szCs w:val="21"/>
                <w:lang w:eastAsia="en-US"/>
              </w:rPr>
            </w:pPr>
            <w:r>
              <w:rPr>
                <w:rFonts w:hint="eastAsia" w:ascii="宋体" w:hAnsi="宋体"/>
                <w:sz w:val="21"/>
                <w:szCs w:val="21"/>
                <w:lang w:eastAsia="en-US"/>
              </w:rPr>
              <w:t>实施和分析一个成功的STEAM课程建设案例，识别其关键成功因素和面临的挑战，并撰写实施和分析报告。</w:t>
            </w:r>
          </w:p>
        </w:tc>
        <w:tc>
          <w:tcPr>
            <w:tcW w:w="567" w:type="dxa"/>
          </w:tcPr>
          <w:p w14:paraId="0B0C05FD">
            <w:pPr>
              <w:pStyle w:val="37"/>
              <w:spacing w:before="0" w:after="0"/>
              <w:rPr>
                <w:rFonts w:hint="eastAsia" w:ascii="宋体" w:hAnsi="宋体"/>
                <w:sz w:val="21"/>
                <w:szCs w:val="21"/>
                <w:lang w:eastAsia="en-US"/>
              </w:rPr>
            </w:pPr>
            <w:r>
              <w:rPr>
                <w:rFonts w:hint="eastAsia" w:ascii="宋体" w:hAnsi="宋体"/>
                <w:sz w:val="21"/>
                <w:szCs w:val="21"/>
                <w:lang w:eastAsia="en-US"/>
              </w:rPr>
              <w:t>6</w:t>
            </w:r>
          </w:p>
        </w:tc>
        <w:tc>
          <w:tcPr>
            <w:tcW w:w="1134" w:type="dxa"/>
            <w:vAlign w:val="center"/>
          </w:tcPr>
          <w:p w14:paraId="674E6BB0">
            <w:pPr>
              <w:pStyle w:val="37"/>
              <w:spacing w:before="0" w:after="0"/>
              <w:jc w:val="center"/>
              <w:rPr>
                <w:rFonts w:hint="eastAsia" w:ascii="宋体" w:hAnsi="宋体"/>
                <w:sz w:val="21"/>
                <w:szCs w:val="21"/>
                <w:lang w:eastAsia="en-US"/>
              </w:rPr>
            </w:pPr>
            <w:r>
              <w:rPr>
                <w:rFonts w:hint="eastAsia" w:ascii="宋体" w:hAnsi="宋体"/>
                <w:sz w:val="21"/>
                <w:szCs w:val="21"/>
                <w:lang w:eastAsia="en-US"/>
              </w:rPr>
              <w:t>3-3</w:t>
            </w:r>
            <w:r>
              <w:rPr>
                <w:rFonts w:ascii="宋体" w:hAnsi="宋体"/>
                <w:sz w:val="21"/>
                <w:szCs w:val="21"/>
                <w:lang w:eastAsia="en-US"/>
              </w:rPr>
              <w:br w:type="textWrapping"/>
            </w:r>
            <w:r>
              <w:rPr>
                <w:rFonts w:hint="eastAsia" w:ascii="宋体" w:hAnsi="宋体"/>
                <w:sz w:val="21"/>
                <w:szCs w:val="21"/>
                <w:lang w:eastAsia="en-US"/>
              </w:rPr>
              <w:t>6-2</w:t>
            </w:r>
          </w:p>
        </w:tc>
        <w:tc>
          <w:tcPr>
            <w:tcW w:w="567" w:type="dxa"/>
          </w:tcPr>
          <w:p w14:paraId="4686224B">
            <w:pPr>
              <w:pStyle w:val="37"/>
              <w:spacing w:before="0" w:after="0"/>
              <w:rPr>
                <w:rFonts w:hint="eastAsia" w:ascii="宋体" w:hAnsi="宋体"/>
                <w:sz w:val="21"/>
                <w:szCs w:val="21"/>
                <w:lang w:eastAsia="en-US"/>
              </w:rPr>
            </w:pPr>
            <w:r>
              <w:rPr>
                <w:rFonts w:hint="eastAsia" w:ascii="宋体" w:hAnsi="宋体"/>
                <w:sz w:val="21"/>
                <w:szCs w:val="21"/>
                <w:lang w:eastAsia="en-US"/>
              </w:rPr>
              <w:t>综合性</w:t>
            </w:r>
          </w:p>
        </w:tc>
        <w:tc>
          <w:tcPr>
            <w:tcW w:w="646" w:type="dxa"/>
          </w:tcPr>
          <w:p w14:paraId="22DE6B8B">
            <w:pPr>
              <w:pStyle w:val="37"/>
              <w:spacing w:before="0" w:after="0"/>
              <w:rPr>
                <w:rFonts w:hint="eastAsia" w:ascii="宋体" w:hAnsi="宋体"/>
                <w:sz w:val="21"/>
                <w:szCs w:val="21"/>
                <w:lang w:eastAsia="en-US"/>
              </w:rPr>
            </w:pPr>
            <w:r>
              <w:rPr>
                <w:rFonts w:hint="eastAsia" w:ascii="宋体" w:hAnsi="宋体"/>
                <w:sz w:val="21"/>
                <w:szCs w:val="21"/>
                <w:lang w:eastAsia="en-US"/>
              </w:rPr>
              <w:t>必做</w:t>
            </w:r>
          </w:p>
        </w:tc>
      </w:tr>
      <w:tr w14:paraId="7CC9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5D07F93D">
            <w:pPr>
              <w:pStyle w:val="37"/>
              <w:spacing w:before="0" w:after="0"/>
              <w:rPr>
                <w:rFonts w:hint="eastAsia" w:ascii="宋体" w:hAnsi="宋体"/>
                <w:sz w:val="21"/>
                <w:szCs w:val="21"/>
                <w:lang w:eastAsia="en-US"/>
              </w:rPr>
            </w:pPr>
            <w:r>
              <w:rPr>
                <w:rFonts w:hint="eastAsia" w:ascii="宋体" w:hAnsi="宋体"/>
                <w:sz w:val="21"/>
                <w:szCs w:val="21"/>
                <w:lang w:eastAsia="en-US"/>
              </w:rPr>
              <w:t>2</w:t>
            </w:r>
          </w:p>
        </w:tc>
        <w:tc>
          <w:tcPr>
            <w:tcW w:w="1191" w:type="dxa"/>
          </w:tcPr>
          <w:p w14:paraId="15F17207">
            <w:pPr>
              <w:pStyle w:val="37"/>
              <w:spacing w:before="0" w:after="0"/>
              <w:rPr>
                <w:rFonts w:hint="eastAsia" w:ascii="宋体" w:hAnsi="宋体"/>
                <w:sz w:val="21"/>
                <w:szCs w:val="21"/>
                <w:lang w:eastAsia="en-US"/>
              </w:rPr>
            </w:pPr>
            <w:r>
              <w:rPr>
                <w:rFonts w:hint="eastAsia" w:ascii="宋体" w:hAnsi="宋体"/>
                <w:sz w:val="21"/>
                <w:szCs w:val="21"/>
                <w:lang w:eastAsia="en-US"/>
              </w:rPr>
              <w:t>STEAM课程目标设计实践</w:t>
            </w:r>
          </w:p>
        </w:tc>
        <w:tc>
          <w:tcPr>
            <w:tcW w:w="3544" w:type="dxa"/>
          </w:tcPr>
          <w:p w14:paraId="6AB03A5A">
            <w:pPr>
              <w:pStyle w:val="37"/>
              <w:spacing w:before="0" w:after="0"/>
              <w:rPr>
                <w:rFonts w:hint="eastAsia" w:ascii="宋体" w:hAnsi="宋体"/>
                <w:sz w:val="21"/>
                <w:szCs w:val="21"/>
                <w:lang w:eastAsia="en-US"/>
              </w:rPr>
            </w:pPr>
            <w:r>
              <w:rPr>
                <w:rFonts w:hint="eastAsia" w:ascii="宋体" w:hAnsi="宋体"/>
                <w:sz w:val="21"/>
                <w:szCs w:val="21"/>
                <w:lang w:eastAsia="en-US"/>
              </w:rPr>
              <w:t>根据课程设计原则，制定具体的STEAM课程目标，确保目标符合课程设计的框架和要求。</w:t>
            </w:r>
          </w:p>
        </w:tc>
        <w:tc>
          <w:tcPr>
            <w:tcW w:w="567" w:type="dxa"/>
          </w:tcPr>
          <w:p w14:paraId="05BB774D">
            <w:pPr>
              <w:pStyle w:val="37"/>
              <w:spacing w:before="0" w:after="0"/>
              <w:rPr>
                <w:rFonts w:hint="eastAsia" w:ascii="宋体" w:hAnsi="宋体"/>
                <w:sz w:val="21"/>
                <w:szCs w:val="21"/>
                <w:lang w:eastAsia="en-US"/>
              </w:rPr>
            </w:pPr>
            <w:r>
              <w:rPr>
                <w:rFonts w:hint="eastAsia" w:ascii="宋体" w:hAnsi="宋体"/>
                <w:sz w:val="21"/>
                <w:szCs w:val="21"/>
                <w:lang w:eastAsia="en-US"/>
              </w:rPr>
              <w:t>4</w:t>
            </w:r>
          </w:p>
        </w:tc>
        <w:tc>
          <w:tcPr>
            <w:tcW w:w="1134" w:type="dxa"/>
            <w:vAlign w:val="center"/>
          </w:tcPr>
          <w:p w14:paraId="03DC67F8">
            <w:pPr>
              <w:pStyle w:val="37"/>
              <w:spacing w:before="0" w:after="0"/>
              <w:jc w:val="center"/>
              <w:rPr>
                <w:rFonts w:hint="eastAsia" w:ascii="宋体" w:hAnsi="宋体"/>
                <w:sz w:val="21"/>
                <w:szCs w:val="21"/>
                <w:lang w:eastAsia="en-US"/>
              </w:rPr>
            </w:pPr>
            <w:r>
              <w:rPr>
                <w:rFonts w:hint="eastAsia" w:ascii="宋体" w:hAnsi="宋体"/>
                <w:sz w:val="21"/>
                <w:szCs w:val="21"/>
                <w:lang w:eastAsia="en-US"/>
              </w:rPr>
              <w:t>4-3</w:t>
            </w:r>
          </w:p>
        </w:tc>
        <w:tc>
          <w:tcPr>
            <w:tcW w:w="567" w:type="dxa"/>
          </w:tcPr>
          <w:p w14:paraId="398D41E7">
            <w:pPr>
              <w:pStyle w:val="37"/>
              <w:spacing w:before="0" w:after="0"/>
              <w:rPr>
                <w:rFonts w:hint="eastAsia" w:ascii="宋体" w:hAnsi="宋体"/>
                <w:sz w:val="21"/>
                <w:szCs w:val="21"/>
                <w:lang w:eastAsia="en-US"/>
              </w:rPr>
            </w:pPr>
            <w:r>
              <w:rPr>
                <w:rFonts w:hint="eastAsia" w:ascii="宋体" w:hAnsi="宋体"/>
                <w:sz w:val="21"/>
                <w:szCs w:val="21"/>
                <w:lang w:eastAsia="en-US"/>
              </w:rPr>
              <w:t>综合性</w:t>
            </w:r>
          </w:p>
        </w:tc>
        <w:tc>
          <w:tcPr>
            <w:tcW w:w="646" w:type="dxa"/>
          </w:tcPr>
          <w:p w14:paraId="7B260638">
            <w:pPr>
              <w:pStyle w:val="37"/>
              <w:spacing w:before="0" w:after="0"/>
              <w:rPr>
                <w:rFonts w:hint="eastAsia" w:ascii="宋体" w:hAnsi="宋体"/>
                <w:sz w:val="21"/>
                <w:szCs w:val="21"/>
                <w:lang w:eastAsia="en-US"/>
              </w:rPr>
            </w:pPr>
            <w:r>
              <w:rPr>
                <w:rFonts w:hint="eastAsia" w:ascii="宋体" w:hAnsi="宋体"/>
                <w:sz w:val="21"/>
                <w:szCs w:val="21"/>
                <w:lang w:eastAsia="en-US"/>
              </w:rPr>
              <w:t>必做</w:t>
            </w:r>
          </w:p>
        </w:tc>
      </w:tr>
      <w:tr w14:paraId="1C4C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596FD467">
            <w:pPr>
              <w:pStyle w:val="37"/>
              <w:spacing w:before="0" w:after="0"/>
              <w:rPr>
                <w:rFonts w:hint="eastAsia" w:ascii="宋体" w:hAnsi="宋体"/>
                <w:sz w:val="21"/>
                <w:szCs w:val="21"/>
                <w:lang w:eastAsia="en-US"/>
              </w:rPr>
            </w:pPr>
            <w:r>
              <w:rPr>
                <w:rFonts w:hint="eastAsia" w:ascii="宋体" w:hAnsi="宋体"/>
                <w:sz w:val="21"/>
                <w:szCs w:val="21"/>
                <w:lang w:eastAsia="en-US"/>
              </w:rPr>
              <w:t>3</w:t>
            </w:r>
          </w:p>
        </w:tc>
        <w:tc>
          <w:tcPr>
            <w:tcW w:w="1191" w:type="dxa"/>
          </w:tcPr>
          <w:p w14:paraId="32346C21">
            <w:pPr>
              <w:pStyle w:val="37"/>
              <w:spacing w:before="0" w:after="0"/>
              <w:rPr>
                <w:rFonts w:hint="eastAsia" w:ascii="宋体" w:hAnsi="宋体"/>
                <w:sz w:val="21"/>
                <w:szCs w:val="21"/>
                <w:lang w:eastAsia="en-US"/>
              </w:rPr>
            </w:pPr>
            <w:r>
              <w:rPr>
                <w:rFonts w:hint="eastAsia" w:ascii="宋体" w:hAnsi="宋体"/>
                <w:sz w:val="21"/>
                <w:szCs w:val="21"/>
                <w:lang w:eastAsia="en-US"/>
              </w:rPr>
              <w:t>STEAM课程内容开发实验</w:t>
            </w:r>
          </w:p>
        </w:tc>
        <w:tc>
          <w:tcPr>
            <w:tcW w:w="3544" w:type="dxa"/>
          </w:tcPr>
          <w:p w14:paraId="2024F95E">
            <w:pPr>
              <w:pStyle w:val="37"/>
              <w:spacing w:before="0" w:after="0"/>
              <w:rPr>
                <w:rFonts w:hint="eastAsia" w:ascii="宋体" w:hAnsi="宋体"/>
                <w:sz w:val="21"/>
                <w:szCs w:val="21"/>
                <w:lang w:eastAsia="en-US"/>
              </w:rPr>
            </w:pPr>
            <w:r>
              <w:rPr>
                <w:rFonts w:hint="eastAsia" w:ascii="宋体" w:hAnsi="宋体"/>
                <w:sz w:val="21"/>
                <w:szCs w:val="21"/>
                <w:lang w:eastAsia="en-US"/>
              </w:rPr>
              <w:t>设计一个涵盖科学、技术、工程、艺术和数学五个方面的STEAM课程模块，并进行展示。</w:t>
            </w:r>
          </w:p>
        </w:tc>
        <w:tc>
          <w:tcPr>
            <w:tcW w:w="567" w:type="dxa"/>
          </w:tcPr>
          <w:p w14:paraId="457F5AA6">
            <w:pPr>
              <w:pStyle w:val="37"/>
              <w:spacing w:before="0" w:after="0"/>
              <w:rPr>
                <w:rFonts w:hint="eastAsia" w:ascii="宋体" w:hAnsi="宋体"/>
                <w:sz w:val="21"/>
                <w:szCs w:val="21"/>
                <w:lang w:eastAsia="en-US"/>
              </w:rPr>
            </w:pPr>
            <w:r>
              <w:rPr>
                <w:rFonts w:hint="eastAsia" w:ascii="宋体" w:hAnsi="宋体"/>
                <w:sz w:val="21"/>
                <w:szCs w:val="21"/>
                <w:lang w:eastAsia="en-US"/>
              </w:rPr>
              <w:t>4</w:t>
            </w:r>
          </w:p>
        </w:tc>
        <w:tc>
          <w:tcPr>
            <w:tcW w:w="1134" w:type="dxa"/>
            <w:vAlign w:val="center"/>
          </w:tcPr>
          <w:p w14:paraId="41C5616E">
            <w:pPr>
              <w:spacing w:after="0"/>
              <w:jc w:val="center"/>
              <w:rPr>
                <w:rFonts w:hint="eastAsia" w:ascii="宋体" w:hAnsi="宋体" w:eastAsia="宋体"/>
                <w:szCs w:val="21"/>
                <w:lang w:eastAsia="en-US"/>
              </w:rPr>
            </w:pPr>
            <w:r>
              <w:rPr>
                <w:rFonts w:hint="eastAsia" w:ascii="宋体" w:hAnsi="宋体" w:eastAsia="宋体"/>
                <w:szCs w:val="21"/>
                <w:lang w:eastAsia="en-US"/>
              </w:rPr>
              <w:t>3-3</w:t>
            </w:r>
          </w:p>
          <w:p w14:paraId="4C378B9B">
            <w:pPr>
              <w:spacing w:after="0"/>
              <w:jc w:val="center"/>
              <w:rPr>
                <w:rFonts w:hint="eastAsia" w:ascii="宋体" w:hAnsi="宋体" w:eastAsia="宋体"/>
                <w:szCs w:val="21"/>
                <w:lang w:eastAsia="en-US"/>
              </w:rPr>
            </w:pPr>
            <w:r>
              <w:rPr>
                <w:rFonts w:hint="eastAsia" w:ascii="宋体" w:hAnsi="宋体" w:eastAsia="宋体"/>
                <w:szCs w:val="21"/>
                <w:lang w:eastAsia="en-US"/>
              </w:rPr>
              <w:t>6-2</w:t>
            </w:r>
          </w:p>
        </w:tc>
        <w:tc>
          <w:tcPr>
            <w:tcW w:w="567" w:type="dxa"/>
          </w:tcPr>
          <w:p w14:paraId="09F3A090">
            <w:pPr>
              <w:pStyle w:val="37"/>
              <w:spacing w:before="0" w:after="0"/>
              <w:rPr>
                <w:rFonts w:hint="eastAsia" w:ascii="宋体" w:hAnsi="宋体"/>
                <w:sz w:val="21"/>
                <w:szCs w:val="21"/>
                <w:lang w:eastAsia="en-US"/>
              </w:rPr>
            </w:pPr>
            <w:r>
              <w:rPr>
                <w:rFonts w:hint="eastAsia" w:ascii="宋体" w:hAnsi="宋体"/>
                <w:sz w:val="21"/>
                <w:szCs w:val="21"/>
                <w:lang w:eastAsia="en-US"/>
              </w:rPr>
              <w:t>综合性</w:t>
            </w:r>
          </w:p>
        </w:tc>
        <w:tc>
          <w:tcPr>
            <w:tcW w:w="646" w:type="dxa"/>
          </w:tcPr>
          <w:p w14:paraId="62637353">
            <w:pPr>
              <w:pStyle w:val="37"/>
              <w:spacing w:before="0" w:after="0"/>
              <w:rPr>
                <w:rFonts w:hint="eastAsia" w:ascii="宋体" w:hAnsi="宋体"/>
                <w:sz w:val="21"/>
                <w:szCs w:val="21"/>
                <w:lang w:eastAsia="en-US"/>
              </w:rPr>
            </w:pPr>
            <w:r>
              <w:rPr>
                <w:rFonts w:hint="eastAsia" w:ascii="宋体" w:hAnsi="宋体"/>
                <w:sz w:val="21"/>
                <w:szCs w:val="21"/>
                <w:lang w:eastAsia="en-US"/>
              </w:rPr>
              <w:t>必做</w:t>
            </w:r>
          </w:p>
        </w:tc>
      </w:tr>
      <w:tr w14:paraId="17B4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3192DFA4">
            <w:pPr>
              <w:pStyle w:val="37"/>
              <w:spacing w:before="0" w:after="0"/>
              <w:rPr>
                <w:rFonts w:hint="eastAsia" w:ascii="宋体" w:hAnsi="宋体"/>
                <w:sz w:val="21"/>
                <w:szCs w:val="21"/>
                <w:lang w:eastAsia="en-US"/>
              </w:rPr>
            </w:pPr>
            <w:r>
              <w:rPr>
                <w:rFonts w:hint="eastAsia" w:ascii="宋体" w:hAnsi="宋体"/>
                <w:sz w:val="21"/>
                <w:szCs w:val="21"/>
                <w:lang w:eastAsia="en-US"/>
              </w:rPr>
              <w:t>4</w:t>
            </w:r>
          </w:p>
        </w:tc>
        <w:tc>
          <w:tcPr>
            <w:tcW w:w="1191" w:type="dxa"/>
          </w:tcPr>
          <w:p w14:paraId="6A9A51C5">
            <w:pPr>
              <w:pStyle w:val="37"/>
              <w:spacing w:before="0" w:after="0"/>
              <w:rPr>
                <w:rFonts w:hint="eastAsia" w:ascii="宋体" w:hAnsi="宋体"/>
                <w:sz w:val="21"/>
                <w:szCs w:val="21"/>
                <w:lang w:eastAsia="en-US"/>
              </w:rPr>
            </w:pPr>
            <w:r>
              <w:rPr>
                <w:rFonts w:hint="eastAsia" w:ascii="宋体" w:hAnsi="宋体"/>
                <w:sz w:val="21"/>
                <w:szCs w:val="21"/>
                <w:lang w:eastAsia="en-US"/>
              </w:rPr>
              <w:t>STEAM课程评价模拟</w:t>
            </w:r>
          </w:p>
        </w:tc>
        <w:tc>
          <w:tcPr>
            <w:tcW w:w="3544" w:type="dxa"/>
          </w:tcPr>
          <w:p w14:paraId="3D3FDF70">
            <w:pPr>
              <w:pStyle w:val="37"/>
              <w:spacing w:before="0" w:after="0"/>
              <w:rPr>
                <w:rFonts w:hint="eastAsia" w:ascii="宋体" w:hAnsi="宋体"/>
                <w:sz w:val="21"/>
                <w:szCs w:val="21"/>
                <w:lang w:eastAsia="en-US"/>
              </w:rPr>
            </w:pPr>
            <w:r>
              <w:rPr>
                <w:rFonts w:hint="eastAsia" w:ascii="宋体" w:hAnsi="宋体"/>
                <w:sz w:val="21"/>
                <w:szCs w:val="21"/>
                <w:lang w:eastAsia="en-US"/>
              </w:rPr>
              <w:t>制定并应用一个STEAM课程评价方案，评估课程的实施效果，并提出改进建议。</w:t>
            </w:r>
          </w:p>
        </w:tc>
        <w:tc>
          <w:tcPr>
            <w:tcW w:w="567" w:type="dxa"/>
          </w:tcPr>
          <w:p w14:paraId="566BA29A">
            <w:pPr>
              <w:pStyle w:val="37"/>
              <w:spacing w:before="0" w:after="0"/>
              <w:rPr>
                <w:rFonts w:hint="eastAsia" w:ascii="宋体" w:hAnsi="宋体"/>
                <w:sz w:val="21"/>
                <w:szCs w:val="21"/>
                <w:lang w:eastAsia="en-US"/>
              </w:rPr>
            </w:pPr>
            <w:r>
              <w:rPr>
                <w:rFonts w:hint="eastAsia" w:ascii="宋体" w:hAnsi="宋体"/>
                <w:sz w:val="21"/>
                <w:szCs w:val="21"/>
                <w:lang w:eastAsia="en-US"/>
              </w:rPr>
              <w:t>4</w:t>
            </w:r>
          </w:p>
        </w:tc>
        <w:tc>
          <w:tcPr>
            <w:tcW w:w="1134" w:type="dxa"/>
            <w:vAlign w:val="center"/>
          </w:tcPr>
          <w:p w14:paraId="7A49E2C1">
            <w:pPr>
              <w:pStyle w:val="37"/>
              <w:spacing w:before="0" w:after="0"/>
              <w:jc w:val="center"/>
              <w:rPr>
                <w:rFonts w:hint="eastAsia" w:ascii="宋体" w:hAnsi="宋体"/>
                <w:sz w:val="21"/>
                <w:szCs w:val="21"/>
                <w:lang w:eastAsia="en-US"/>
              </w:rPr>
            </w:pPr>
            <w:r>
              <w:rPr>
                <w:rFonts w:hint="eastAsia" w:ascii="宋体" w:hAnsi="宋体"/>
                <w:sz w:val="21"/>
                <w:szCs w:val="21"/>
                <w:lang w:eastAsia="en-US"/>
              </w:rPr>
              <w:t>6-2</w:t>
            </w:r>
          </w:p>
        </w:tc>
        <w:tc>
          <w:tcPr>
            <w:tcW w:w="567" w:type="dxa"/>
          </w:tcPr>
          <w:p w14:paraId="7F8D0D21">
            <w:pPr>
              <w:pStyle w:val="37"/>
              <w:spacing w:before="0" w:after="0"/>
              <w:rPr>
                <w:rFonts w:hint="eastAsia" w:ascii="宋体" w:hAnsi="宋体"/>
                <w:sz w:val="21"/>
                <w:szCs w:val="21"/>
                <w:lang w:eastAsia="en-US"/>
              </w:rPr>
            </w:pPr>
            <w:r>
              <w:rPr>
                <w:rFonts w:hint="eastAsia" w:ascii="宋体" w:hAnsi="宋体"/>
                <w:sz w:val="21"/>
                <w:szCs w:val="21"/>
                <w:lang w:eastAsia="en-US"/>
              </w:rPr>
              <w:t>综合性</w:t>
            </w:r>
          </w:p>
        </w:tc>
        <w:tc>
          <w:tcPr>
            <w:tcW w:w="646" w:type="dxa"/>
          </w:tcPr>
          <w:p w14:paraId="613DB77A">
            <w:pPr>
              <w:pStyle w:val="37"/>
              <w:spacing w:before="0" w:after="0"/>
              <w:rPr>
                <w:rFonts w:hint="eastAsia" w:ascii="宋体" w:hAnsi="宋体"/>
                <w:sz w:val="21"/>
                <w:szCs w:val="21"/>
                <w:lang w:eastAsia="en-US"/>
              </w:rPr>
            </w:pPr>
            <w:r>
              <w:rPr>
                <w:rFonts w:hint="eastAsia" w:ascii="宋体" w:hAnsi="宋体"/>
                <w:sz w:val="21"/>
                <w:szCs w:val="21"/>
                <w:lang w:eastAsia="en-US"/>
              </w:rPr>
              <w:t>必做</w:t>
            </w:r>
          </w:p>
        </w:tc>
      </w:tr>
    </w:tbl>
    <w:p w14:paraId="0A50D94A">
      <w:pPr>
        <w:spacing w:line="360" w:lineRule="auto"/>
        <w:jc w:val="left"/>
        <w:rPr>
          <w:rFonts w:hint="eastAsia" w:ascii="宋体" w:hAnsi="宋体" w:eastAsia="宋体" w:cs="Times New Roman"/>
          <w:b/>
          <w:color w:val="000000"/>
          <w:sz w:val="24"/>
        </w:rPr>
      </w:pPr>
    </w:p>
    <w:p w14:paraId="5AACA6B3">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2C84116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619D2164">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本课程根据学生作业、实验环节和学生、教学督导等的反馈，及时对教学中的不足之处进行改进，并在下一轮课程教学中整改完善，确保相应毕业要求指标点达成。</w:t>
      </w:r>
    </w:p>
    <w:p w14:paraId="6416EC4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5E72DEF8">
      <w:pPr>
        <w:spacing w:line="360" w:lineRule="auto"/>
        <w:ind w:firstLine="210" w:firstLineChars="100"/>
        <w:jc w:val="left"/>
        <w:rPr>
          <w:rFonts w:ascii="Times New Roman" w:hAnsi="Times New Roman" w:eastAsia="宋体" w:cs="Times New Roman"/>
          <w:bCs/>
          <w:color w:val="000000"/>
          <w:szCs w:val="21"/>
        </w:rPr>
      </w:pPr>
      <w:r>
        <w:rPr>
          <w:rFonts w:ascii="Times New Roman" w:hAnsi="Times New Roman" w:eastAsia="宋体" w:cs="Times New Roman"/>
          <w:bCs/>
          <w:color w:val="000000"/>
          <w:szCs w:val="21"/>
        </w:rPr>
        <w:t>印霞, 主编. 《STEAM课程的设计与实施》. 北京：华东师范大学出版社, 2021.</w:t>
      </w:r>
    </w:p>
    <w:p w14:paraId="77E0AA01">
      <w:pPr>
        <w:spacing w:line="360" w:lineRule="auto"/>
        <w:jc w:val="left"/>
        <w:rPr>
          <w:rFonts w:ascii="Times New Roman" w:hAnsi="Times New Roman" w:eastAsia="宋体" w:cs="Times New Roman"/>
          <w:b/>
          <w:szCs w:val="21"/>
        </w:rPr>
      </w:pPr>
    </w:p>
    <w:p w14:paraId="00E6E75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3546D67E">
      <w:pPr>
        <w:numPr>
          <w:ilvl w:val="0"/>
          <w:numId w:val="60"/>
        </w:numPr>
        <w:spacing w:line="360" w:lineRule="auto"/>
        <w:jc w:val="left"/>
        <w:rPr>
          <w:rFonts w:hint="eastAsia" w:ascii="宋体" w:hAnsi="宋体" w:eastAsia="宋体"/>
        </w:rPr>
      </w:pPr>
      <w:r>
        <w:rPr>
          <w:rFonts w:ascii="宋体" w:hAnsi="宋体" w:eastAsia="宋体"/>
        </w:rPr>
        <w:t>范曾丽. 《设计实践创新STEAM课程案例》. 北京：中国纺织出版社, 2023.</w:t>
      </w:r>
    </w:p>
    <w:p w14:paraId="799F7557">
      <w:pPr>
        <w:numPr>
          <w:ilvl w:val="0"/>
          <w:numId w:val="60"/>
        </w:numPr>
        <w:spacing w:line="360" w:lineRule="auto"/>
        <w:jc w:val="left"/>
        <w:rPr>
          <w:rFonts w:hint="eastAsia" w:ascii="宋体" w:hAnsi="宋体" w:eastAsia="宋体"/>
        </w:rPr>
      </w:pPr>
      <w:r>
        <w:rPr>
          <w:rFonts w:ascii="宋体" w:hAnsi="宋体" w:eastAsia="宋体"/>
        </w:rPr>
        <w:t>管光海. 《STEM教学设计与评价》. 北京：教育科学出版社, 2022.</w:t>
      </w:r>
    </w:p>
    <w:p w14:paraId="75658094">
      <w:pPr>
        <w:numPr>
          <w:ilvl w:val="0"/>
          <w:numId w:val="60"/>
        </w:numPr>
        <w:spacing w:line="360" w:lineRule="auto"/>
        <w:jc w:val="left"/>
        <w:rPr>
          <w:rFonts w:hint="eastAsia" w:ascii="宋体" w:hAnsi="宋体" w:eastAsia="宋体"/>
        </w:rPr>
      </w:pPr>
      <w:r>
        <w:rPr>
          <w:rFonts w:ascii="宋体" w:hAnsi="宋体" w:eastAsia="宋体"/>
        </w:rPr>
        <w:t>王素, 李正福. 《STEM教育这样做》. 北京：教育科学出版社, 2019.</w:t>
      </w:r>
    </w:p>
    <w:p w14:paraId="52029AA3">
      <w:pPr>
        <w:numPr>
          <w:ilvl w:val="0"/>
          <w:numId w:val="60"/>
        </w:numPr>
        <w:spacing w:line="360" w:lineRule="auto"/>
        <w:jc w:val="left"/>
        <w:rPr>
          <w:rFonts w:hint="eastAsia" w:ascii="宋体" w:hAnsi="宋体" w:eastAsia="宋体"/>
        </w:rPr>
      </w:pPr>
      <w:r>
        <w:rPr>
          <w:rFonts w:ascii="宋体" w:hAnsi="宋体" w:eastAsia="宋体"/>
        </w:rPr>
        <w:t>杜娟, 石雪飞, 邹丽娜. 《核心素养导向的STEM教育》. 北京：清华大学出版社, 2021.</w:t>
      </w:r>
    </w:p>
    <w:p w14:paraId="48F33635">
      <w:pPr>
        <w:spacing w:line="360" w:lineRule="auto"/>
        <w:jc w:val="right"/>
        <w:rPr>
          <w:rFonts w:hint="eastAsia" w:ascii="宋体" w:hAnsi="宋体" w:eastAsia="宋体"/>
          <w:sz w:val="24"/>
          <w:szCs w:val="28"/>
        </w:rPr>
      </w:pPr>
      <w:r>
        <w:rPr>
          <w:rFonts w:hint="eastAsia" w:ascii="宋体" w:hAnsi="宋体" w:eastAsia="宋体"/>
          <w:sz w:val="24"/>
          <w:szCs w:val="28"/>
        </w:rPr>
        <w:t xml:space="preserve">执笔人：金玉宏 </w:t>
      </w:r>
    </w:p>
    <w:p w14:paraId="357364AC">
      <w:pPr>
        <w:spacing w:line="360" w:lineRule="auto"/>
        <w:jc w:val="right"/>
        <w:rPr>
          <w:rFonts w:hint="eastAsia" w:ascii="宋体" w:hAnsi="宋体" w:eastAsia="宋体"/>
          <w:sz w:val="24"/>
          <w:szCs w:val="28"/>
        </w:rPr>
      </w:pPr>
      <w:r>
        <w:rPr>
          <w:rFonts w:hint="eastAsia" w:ascii="宋体" w:hAnsi="宋体" w:eastAsia="宋体"/>
          <w:sz w:val="24"/>
          <w:szCs w:val="28"/>
        </w:rPr>
        <w:t>审定人：王健</w:t>
      </w:r>
    </w:p>
    <w:p w14:paraId="26E9F706">
      <w:pPr>
        <w:spacing w:line="360" w:lineRule="auto"/>
        <w:jc w:val="right"/>
        <w:rPr>
          <w:rFonts w:hint="eastAsia" w:ascii="宋体" w:hAnsi="宋体" w:eastAsia="宋体"/>
          <w:sz w:val="24"/>
          <w:szCs w:val="28"/>
        </w:rPr>
      </w:pPr>
      <w:r>
        <w:rPr>
          <w:rFonts w:hint="eastAsia" w:ascii="宋体" w:hAnsi="宋体" w:eastAsia="宋体"/>
          <w:sz w:val="24"/>
          <w:szCs w:val="28"/>
        </w:rPr>
        <w:t>审批人：张志欣</w:t>
      </w:r>
    </w:p>
    <w:p w14:paraId="78B6612A">
      <w:pPr>
        <w:spacing w:line="360" w:lineRule="auto"/>
        <w:jc w:val="right"/>
        <w:rPr>
          <w:rFonts w:hint="eastAsia" w:ascii="宋体" w:hAnsi="宋体" w:eastAsia="宋体"/>
          <w:sz w:val="24"/>
          <w:szCs w:val="28"/>
        </w:rPr>
      </w:pPr>
      <w:r>
        <w:rPr>
          <w:rFonts w:hint="eastAsia" w:ascii="宋体" w:hAnsi="宋体" w:eastAsia="宋体"/>
          <w:sz w:val="24"/>
          <w:szCs w:val="28"/>
        </w:rPr>
        <w:t>批准时间：2024年9月1日</w:t>
      </w:r>
    </w:p>
    <w:p w14:paraId="07BA8D1C">
      <w:pPr>
        <w:rPr>
          <w:rFonts w:hint="eastAsia" w:ascii="宋体" w:hAnsi="宋体" w:eastAsia="宋体"/>
          <w:sz w:val="24"/>
          <w:szCs w:val="28"/>
        </w:rPr>
      </w:pPr>
      <w:r>
        <w:rPr>
          <w:rFonts w:hint="eastAsia" w:ascii="宋体" w:hAnsi="宋体" w:eastAsia="宋体"/>
          <w:sz w:val="24"/>
          <w:szCs w:val="28"/>
        </w:rPr>
        <w:br w:type="page"/>
      </w:r>
    </w:p>
    <w:p w14:paraId="1AC42099">
      <w:pPr>
        <w:pStyle w:val="2"/>
      </w:pPr>
      <w:bookmarkStart w:id="263" w:name="_Toc31813"/>
      <w:bookmarkStart w:id="264" w:name="_Toc19622"/>
      <w:r>
        <w:rPr>
          <w:rFonts w:hint="eastAsia"/>
        </w:rPr>
        <w:t>《科学实验指导》课程教学大纲</w:t>
      </w:r>
      <w:bookmarkEnd w:id="263"/>
      <w:bookmarkEnd w:id="264"/>
    </w:p>
    <w:p w14:paraId="7123549D">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Pedagogical Principles</w:t>
      </w:r>
      <w:r>
        <w:rPr>
          <w:rFonts w:ascii="Times New Roman" w:hAnsi="Times New Roman" w:eastAsia="宋体" w:cs="Times New Roman"/>
          <w:b/>
          <w:bCs/>
          <w:sz w:val="28"/>
          <w:szCs w:val="28"/>
        </w:rPr>
        <w:t>）</w:t>
      </w:r>
    </w:p>
    <w:p w14:paraId="7371EC5D">
      <w:pPr>
        <w:spacing w:line="360" w:lineRule="auto"/>
        <w:jc w:val="center"/>
        <w:rPr>
          <w:rFonts w:ascii="Times New Roman" w:hAnsi="Times New Roman" w:eastAsia="宋体" w:cs="Times New Roman"/>
          <w:bCs/>
          <w:sz w:val="30"/>
          <w:szCs w:val="30"/>
        </w:rPr>
      </w:pPr>
    </w:p>
    <w:p w14:paraId="7485AA3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ascii="Times New Roman" w:hAnsi="Times New Roman" w:eastAsia="宋体" w:cs="Times New Roman"/>
          <w:b/>
          <w:sz w:val="24"/>
        </w:rPr>
        <w:t xml:space="preserve"> </w:t>
      </w:r>
      <w:r>
        <w:rPr>
          <w:rFonts w:hint="eastAsia" w:ascii="Times New Roman" w:hAnsi="Times New Roman" w:eastAsia="宋体" w:cs="Times New Roman"/>
          <w:b/>
          <w:sz w:val="24"/>
        </w:rPr>
        <w:t>科学实验指导</w:t>
      </w:r>
    </w:p>
    <w:p w14:paraId="46DEDDC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课程代码：24010038</w:t>
      </w:r>
    </w:p>
    <w:p w14:paraId="6EEE521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47D0047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时：32（其中：讲授学时16，课内实践学时16）</w:t>
      </w:r>
    </w:p>
    <w:p w14:paraId="12470CA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先修课程：科学概论</w:t>
      </w:r>
    </w:p>
    <w:p w14:paraId="4ABC9BC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适用专业：小学教育（理）</w:t>
      </w:r>
    </w:p>
    <w:p w14:paraId="40B14E4D">
      <w:pPr>
        <w:spacing w:line="360" w:lineRule="auto"/>
        <w:jc w:val="left"/>
        <w:rPr>
          <w:rFonts w:ascii="Times New Roman" w:hAnsi="Times New Roman" w:eastAsia="宋体" w:cs="Times New Roman"/>
          <w:b/>
          <w:sz w:val="24"/>
        </w:rPr>
      </w:pPr>
    </w:p>
    <w:p w14:paraId="6D15C978">
      <w:pPr>
        <w:spacing w:line="360" w:lineRule="auto"/>
        <w:jc w:val="left"/>
        <w:rPr>
          <w:rFonts w:ascii="Times New Roman" w:hAnsi="Times New Roman" w:eastAsia="宋体" w:cs="Times New Roman"/>
          <w:sz w:val="28"/>
          <w:szCs w:val="28"/>
        </w:rPr>
      </w:pPr>
      <w:r>
        <w:rPr>
          <w:rFonts w:hint="eastAsia" w:ascii="Times New Roman" w:hAnsi="Times New Roman" w:eastAsia="宋体" w:cs="Times New Roman"/>
          <w:b/>
          <w:sz w:val="28"/>
          <w:szCs w:val="28"/>
        </w:rPr>
        <w:t>一、课程简介</w:t>
      </w:r>
    </w:p>
    <w:p w14:paraId="77DEF734">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课程是小学教育（理）专业的一门专业选修课程。通过本课程，学生能够以小学科学教育的基本理念为指导，明确小学科学实验教学的性质、目标和流程，理解小学科学知识体系，掌握科学实验教学的基本原理与实践方法。通过科学实验设计与实施，学生将培养科学精神、实验动手能力以及将科学教育融入课堂教学的能力。</w:t>
      </w:r>
    </w:p>
    <w:p w14:paraId="3FBE7469">
      <w:pPr>
        <w:spacing w:line="360" w:lineRule="auto"/>
        <w:jc w:val="left"/>
        <w:rPr>
          <w:rFonts w:hint="eastAsia" w:ascii="宋体" w:hAnsi="宋体" w:eastAsia="宋体" w:cs="Times New Roman"/>
          <w:b/>
          <w:color w:val="000000"/>
          <w:sz w:val="24"/>
        </w:rPr>
      </w:pPr>
    </w:p>
    <w:p w14:paraId="0884B6FD">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p>
    <w:p w14:paraId="666CCF64">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（一）课程具体目标</w:t>
      </w:r>
    </w:p>
    <w:p w14:paraId="775D141B">
      <w:pPr>
        <w:spacing w:line="360" w:lineRule="auto"/>
        <w:ind w:firstLine="241" w:firstLineChars="100"/>
        <w:jc w:val="left"/>
        <w:rPr>
          <w:rFonts w:ascii="Times New Roman" w:hAnsi="Times New Roman" w:eastAsia="宋体" w:cs="Times New Roman"/>
          <w:bCs/>
          <w:sz w:val="24"/>
        </w:rPr>
      </w:pPr>
      <w:r>
        <w:rPr>
          <w:rFonts w:ascii="Times New Roman" w:hAnsi="Times New Roman" w:eastAsia="宋体" w:cs="Times New Roman"/>
          <w:b/>
          <w:sz w:val="24"/>
        </w:rPr>
        <w:t xml:space="preserve">目标1. </w:t>
      </w:r>
      <w:r>
        <w:rPr>
          <w:rFonts w:ascii="Times New Roman" w:hAnsi="Times New Roman" w:eastAsia="宋体" w:cs="Times New Roman"/>
          <w:bCs/>
          <w:sz w:val="24"/>
        </w:rPr>
        <w:t>深入掌握小学科学实验的核心原理与操作技能，能够独立完成科学实验的设计与实施。结合小学课程内容和学生认知特点，开发适合小学教育目标的科学实验活动；能够指导学生完成实验操作，培养其科学探究能力与实践能力。</w:t>
      </w:r>
      <w:r>
        <w:rPr>
          <w:rFonts w:ascii="Times New Roman" w:hAnsi="Times New Roman" w:eastAsia="宋体" w:cs="Times New Roman"/>
          <w:bCs/>
          <w:sz w:val="24"/>
        </w:rPr>
        <w:br w:type="textWrapping"/>
      </w:r>
      <w:r>
        <w:rPr>
          <w:rFonts w:hint="eastAsia" w:ascii="Times New Roman" w:hAnsi="Times New Roman" w:eastAsia="宋体" w:cs="Times New Roman"/>
          <w:bCs/>
          <w:sz w:val="24"/>
        </w:rPr>
        <w:t xml:space="preserve">  </w:t>
      </w:r>
      <w:r>
        <w:rPr>
          <w:rFonts w:ascii="Times New Roman" w:hAnsi="Times New Roman" w:eastAsia="宋体" w:cs="Times New Roman"/>
          <w:b/>
          <w:sz w:val="24"/>
        </w:rPr>
        <w:t xml:space="preserve">目标2. </w:t>
      </w:r>
      <w:r>
        <w:rPr>
          <w:rFonts w:ascii="Times New Roman" w:hAnsi="Times New Roman" w:eastAsia="宋体" w:cs="Times New Roman"/>
          <w:bCs/>
          <w:sz w:val="24"/>
        </w:rPr>
        <w:t>系统掌握科学实验教学的设计、实施与评价方法。能够基于小学教育的实际需求，设计科学合理的教学目标和实验活动流程，优化教学策略，提高课堂实验教学的有效性。在教学实践中能够运用科学的评价方法进行教学反思，并通过评价结果不断改进实验教学，促进教学目标的达成。</w:t>
      </w:r>
      <w:r>
        <w:rPr>
          <w:rFonts w:ascii="Times New Roman" w:hAnsi="Times New Roman" w:eastAsia="宋体" w:cs="Times New Roman"/>
          <w:bCs/>
          <w:sz w:val="24"/>
        </w:rPr>
        <w:br w:type="textWrapping"/>
      </w:r>
      <w:r>
        <w:rPr>
          <w:rFonts w:hint="eastAsia" w:ascii="Times New Roman" w:hAnsi="Times New Roman" w:eastAsia="宋体" w:cs="Times New Roman"/>
          <w:bCs/>
          <w:sz w:val="24"/>
        </w:rPr>
        <w:t xml:space="preserve">  </w:t>
      </w:r>
      <w:r>
        <w:rPr>
          <w:rFonts w:ascii="Times New Roman" w:hAnsi="Times New Roman" w:eastAsia="宋体" w:cs="Times New Roman"/>
          <w:b/>
          <w:sz w:val="24"/>
        </w:rPr>
        <w:t xml:space="preserve">目标3. </w:t>
      </w:r>
      <w:r>
        <w:rPr>
          <w:rFonts w:ascii="Times New Roman" w:hAnsi="Times New Roman" w:eastAsia="宋体" w:cs="Times New Roman"/>
          <w:bCs/>
          <w:sz w:val="24"/>
        </w:rPr>
        <w:t>理解小学科学课程与其他学科及社会实践之间的紧密关联，能够融合科学、技术、工程、艺术和数学（C-STEAM）的理念，设计跨学科、文化融合的综合性实验教学活动。通过将科学知识与地方文化、可持续发展等社会主题相结合，提升小学科学教育的创新性，增强学生对科学学习的兴趣与育人价值的实现。</w:t>
      </w:r>
    </w:p>
    <w:p w14:paraId="48D93569">
      <w:pPr>
        <w:spacing w:before="156" w:beforeLines="50" w:after="156" w:afterLines="50"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（二）课程目标及其对毕业要求指标点的支撑</w:t>
      </w:r>
    </w:p>
    <w:p w14:paraId="4FE2E2AC">
      <w:pPr>
        <w:spacing w:before="156" w:beforeLines="50" w:after="156" w:afterLines="50" w:line="360" w:lineRule="auto"/>
        <w:jc w:val="left"/>
        <w:rPr>
          <w:rFonts w:ascii="Times New Roman" w:hAnsi="Times New Roman" w:eastAsia="宋体" w:cs="Times New Roman"/>
          <w:b/>
          <w:bCs/>
          <w:sz w:val="24"/>
        </w:rPr>
      </w:pP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5387"/>
        <w:gridCol w:w="1185"/>
      </w:tblGrid>
      <w:tr w14:paraId="2488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4E1EBF0B">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w:t>
            </w:r>
          </w:p>
        </w:tc>
        <w:tc>
          <w:tcPr>
            <w:tcW w:w="5387" w:type="dxa"/>
            <w:vAlign w:val="center"/>
          </w:tcPr>
          <w:p w14:paraId="0C93EBAE">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毕业要求指标点</w:t>
            </w:r>
          </w:p>
        </w:tc>
        <w:tc>
          <w:tcPr>
            <w:tcW w:w="1185" w:type="dxa"/>
            <w:vAlign w:val="center"/>
          </w:tcPr>
          <w:p w14:paraId="21C52E28">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r>
      <w:tr w14:paraId="2B50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14:paraId="21D6D1B5">
            <w:pPr>
              <w:spacing w:line="276" w:lineRule="auto"/>
              <w:jc w:val="left"/>
              <w:rPr>
                <w:rFonts w:hint="eastAsia" w:ascii="宋体" w:hAnsi="宋体" w:eastAsia="宋体" w:cs="Times New Roman"/>
                <w:sz w:val="24"/>
              </w:rPr>
            </w:pPr>
            <w:r>
              <w:rPr>
                <w:rFonts w:hint="eastAsia" w:ascii="宋体" w:hAnsi="宋体" w:eastAsia="宋体"/>
                <w:sz w:val="24"/>
              </w:rPr>
              <w:t>毕业要求3：学科素养</w:t>
            </w:r>
          </w:p>
        </w:tc>
        <w:tc>
          <w:tcPr>
            <w:tcW w:w="5387" w:type="dxa"/>
          </w:tcPr>
          <w:p w14:paraId="4937DEF3">
            <w:pPr>
              <w:spacing w:line="276" w:lineRule="auto"/>
              <w:jc w:val="left"/>
              <w:rPr>
                <w:rFonts w:hint="eastAsia" w:ascii="宋体" w:hAnsi="宋体" w:eastAsia="宋体" w:cs="Times New Roman"/>
                <w:sz w:val="24"/>
              </w:rPr>
            </w:pPr>
            <w:r>
              <w:rPr>
                <w:rFonts w:hint="eastAsia" w:ascii="宋体" w:hAnsi="宋体" w:eastAsia="宋体"/>
                <w:sz w:val="24"/>
              </w:rPr>
              <w:t>指标点3-2：【学科知识扎实】掌握小学科学知识体系和基本技能，能够在小学科学教育中有效传授科学知识和技能。</w:t>
            </w:r>
          </w:p>
        </w:tc>
        <w:tc>
          <w:tcPr>
            <w:tcW w:w="1185" w:type="dxa"/>
          </w:tcPr>
          <w:p w14:paraId="7F70F414">
            <w:pPr>
              <w:spacing w:line="276" w:lineRule="auto"/>
              <w:jc w:val="left"/>
              <w:rPr>
                <w:rFonts w:hint="eastAsia" w:ascii="宋体" w:hAnsi="宋体" w:eastAsia="宋体" w:cs="Times New Roman"/>
                <w:sz w:val="24"/>
              </w:rPr>
            </w:pPr>
            <w:r>
              <w:rPr>
                <w:rFonts w:hint="eastAsia" w:ascii="宋体" w:hAnsi="宋体" w:eastAsia="宋体"/>
                <w:sz w:val="24"/>
              </w:rPr>
              <w:t>目标1、目标2</w:t>
            </w:r>
          </w:p>
        </w:tc>
      </w:tr>
      <w:tr w14:paraId="23A3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14:paraId="4F4B87F6">
            <w:pPr>
              <w:spacing w:line="276" w:lineRule="auto"/>
              <w:jc w:val="left"/>
              <w:rPr>
                <w:rFonts w:hint="eastAsia" w:ascii="宋体" w:hAnsi="宋体" w:eastAsia="宋体" w:cs="Times New Roman"/>
                <w:sz w:val="24"/>
              </w:rPr>
            </w:pPr>
            <w:r>
              <w:rPr>
                <w:rFonts w:hint="eastAsia" w:ascii="宋体" w:hAnsi="宋体" w:eastAsia="宋体"/>
                <w:sz w:val="24"/>
              </w:rPr>
              <w:t>毕业要求3：学科素养</w:t>
            </w:r>
          </w:p>
        </w:tc>
        <w:tc>
          <w:tcPr>
            <w:tcW w:w="5387" w:type="dxa"/>
          </w:tcPr>
          <w:p w14:paraId="1FABC907">
            <w:pPr>
              <w:spacing w:line="276" w:lineRule="auto"/>
              <w:jc w:val="left"/>
              <w:rPr>
                <w:rFonts w:hint="eastAsia" w:ascii="宋体" w:hAnsi="宋体" w:eastAsia="宋体" w:cs="Times New Roman"/>
                <w:sz w:val="24"/>
              </w:rPr>
            </w:pPr>
            <w:r>
              <w:rPr>
                <w:rFonts w:hint="eastAsia" w:ascii="宋体" w:hAnsi="宋体" w:eastAsia="宋体"/>
                <w:sz w:val="24"/>
              </w:rPr>
              <w:t>指标点3-3：【注重知识整合】能够在教学中综合科学与其他学科及社会实践的内容，设计跨学科实验活动。</w:t>
            </w:r>
          </w:p>
        </w:tc>
        <w:tc>
          <w:tcPr>
            <w:tcW w:w="1185" w:type="dxa"/>
          </w:tcPr>
          <w:p w14:paraId="1C4BD129">
            <w:pPr>
              <w:spacing w:line="276" w:lineRule="auto"/>
              <w:jc w:val="left"/>
              <w:rPr>
                <w:rFonts w:hint="eastAsia" w:ascii="宋体" w:hAnsi="宋体" w:eastAsia="宋体" w:cs="Times New Roman"/>
                <w:sz w:val="24"/>
              </w:rPr>
            </w:pPr>
            <w:r>
              <w:rPr>
                <w:rFonts w:hint="eastAsia" w:ascii="宋体" w:hAnsi="宋体" w:eastAsia="宋体"/>
                <w:sz w:val="24"/>
              </w:rPr>
              <w:t>目标3</w:t>
            </w:r>
          </w:p>
        </w:tc>
      </w:tr>
      <w:tr w14:paraId="334D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14:paraId="5E10F116">
            <w:pPr>
              <w:spacing w:line="276" w:lineRule="auto"/>
              <w:jc w:val="left"/>
              <w:rPr>
                <w:rFonts w:hint="eastAsia" w:ascii="宋体" w:hAnsi="宋体" w:eastAsia="宋体" w:cs="Times New Roman"/>
                <w:sz w:val="24"/>
              </w:rPr>
            </w:pPr>
            <w:r>
              <w:rPr>
                <w:rFonts w:hint="eastAsia" w:ascii="宋体" w:hAnsi="宋体" w:eastAsia="宋体"/>
                <w:sz w:val="24"/>
              </w:rPr>
              <w:t>毕业要求4：教学能力</w:t>
            </w:r>
          </w:p>
        </w:tc>
        <w:tc>
          <w:tcPr>
            <w:tcW w:w="5387" w:type="dxa"/>
          </w:tcPr>
          <w:p w14:paraId="4AFDBD8C">
            <w:pPr>
              <w:spacing w:line="276" w:lineRule="auto"/>
              <w:jc w:val="left"/>
              <w:rPr>
                <w:rFonts w:hint="eastAsia" w:ascii="宋体" w:hAnsi="宋体" w:eastAsia="宋体" w:cs="Times New Roman"/>
                <w:sz w:val="24"/>
              </w:rPr>
            </w:pPr>
            <w:r>
              <w:rPr>
                <w:rFonts w:hint="eastAsia" w:ascii="宋体" w:hAnsi="宋体" w:eastAsia="宋体"/>
                <w:sz w:val="24"/>
              </w:rPr>
              <w:t>指标点4-3：【教学实施与评价科学】掌握科学实验教学的设计、实施和评价能力，能够独立开展高质量教学活动并改进教学效果。</w:t>
            </w:r>
          </w:p>
        </w:tc>
        <w:tc>
          <w:tcPr>
            <w:tcW w:w="1185" w:type="dxa"/>
          </w:tcPr>
          <w:p w14:paraId="035D7490">
            <w:pPr>
              <w:spacing w:line="276" w:lineRule="auto"/>
              <w:jc w:val="left"/>
              <w:rPr>
                <w:rFonts w:hint="eastAsia" w:ascii="宋体" w:hAnsi="宋体" w:eastAsia="宋体" w:cs="Times New Roman"/>
                <w:sz w:val="24"/>
              </w:rPr>
            </w:pPr>
            <w:r>
              <w:rPr>
                <w:rFonts w:hint="eastAsia" w:ascii="宋体" w:hAnsi="宋体" w:eastAsia="宋体"/>
                <w:sz w:val="24"/>
              </w:rPr>
              <w:t>目标2、目标3</w:t>
            </w:r>
          </w:p>
        </w:tc>
      </w:tr>
    </w:tbl>
    <w:p w14:paraId="3A07EEC2">
      <w:pPr>
        <w:spacing w:before="156" w:beforeLines="50" w:line="360" w:lineRule="auto"/>
        <w:jc w:val="left"/>
        <w:rPr>
          <w:rFonts w:hint="eastAsia" w:ascii="宋体" w:hAnsi="宋体" w:eastAsia="宋体" w:cs="Times New Roman"/>
          <w:b/>
          <w:color w:val="000000"/>
          <w:sz w:val="24"/>
        </w:rPr>
      </w:pPr>
    </w:p>
    <w:p w14:paraId="5D5F4F5B">
      <w:pPr>
        <w:spacing w:before="156" w:beforeLines="50"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（三）课程思政目标</w:t>
      </w:r>
    </w:p>
    <w:p w14:paraId="2C744FD2">
      <w:pPr>
        <w:spacing w:before="156" w:beforeLines="50" w:line="360" w:lineRule="auto"/>
        <w:ind w:firstLine="241" w:firstLineChars="100"/>
        <w:jc w:val="left"/>
        <w:rPr>
          <w:rFonts w:hint="eastAsia" w:ascii="宋体" w:hAnsi="宋体" w:eastAsia="宋体" w:cs="Times New Roman"/>
          <w:b/>
          <w:color w:val="000000"/>
          <w:sz w:val="24"/>
        </w:rPr>
      </w:pPr>
      <w:r>
        <w:rPr>
          <w:rFonts w:hint="eastAsia" w:ascii="宋体" w:hAnsi="宋体" w:eastAsia="宋体" w:cs="Times New Roman"/>
          <w:b/>
          <w:color w:val="000000"/>
          <w:sz w:val="24"/>
        </w:rPr>
        <w:t>思政目标1.</w:t>
      </w:r>
      <w:r>
        <w:rPr>
          <w:rFonts w:hint="eastAsia" w:ascii="宋体" w:hAnsi="宋体" w:eastAsia="宋体" w:cs="Times New Roman"/>
          <w:color w:val="000000"/>
          <w:sz w:val="24"/>
        </w:rPr>
        <w:t>引导学生在科学实验中关注社会实际问题，增强服务社会的责任感。</w:t>
      </w:r>
    </w:p>
    <w:p w14:paraId="0526E523">
      <w:pPr>
        <w:spacing w:line="360" w:lineRule="auto"/>
        <w:ind w:firstLine="241" w:firstLineChars="100"/>
        <w:jc w:val="left"/>
        <w:rPr>
          <w:rFonts w:hint="eastAsia" w:ascii="宋体" w:hAnsi="宋体" w:eastAsia="宋体" w:cs="Times New Roman"/>
          <w:color w:val="000000"/>
          <w:sz w:val="24"/>
        </w:rPr>
      </w:pPr>
      <w:r>
        <w:rPr>
          <w:rFonts w:hint="eastAsia" w:ascii="宋体" w:hAnsi="宋体" w:eastAsia="宋体" w:cs="Times New Roman"/>
          <w:b/>
          <w:color w:val="000000"/>
          <w:sz w:val="24"/>
        </w:rPr>
        <w:t>思政目标2.</w:t>
      </w:r>
      <w:r>
        <w:rPr>
          <w:rFonts w:hint="eastAsia" w:ascii="宋体" w:hAnsi="宋体" w:eastAsia="宋体" w:cs="Times New Roman"/>
          <w:color w:val="000000"/>
          <w:sz w:val="24"/>
        </w:rPr>
        <w:t>鼓励学生在科学实验教学中融入传统文化与生态文明理念，提升文化认同感和环境保护意识。</w:t>
      </w:r>
    </w:p>
    <w:p w14:paraId="40312BE2">
      <w:pPr>
        <w:spacing w:line="360" w:lineRule="auto"/>
        <w:ind w:firstLine="241" w:firstLineChars="100"/>
        <w:jc w:val="left"/>
        <w:rPr>
          <w:rFonts w:hint="eastAsia" w:ascii="宋体" w:hAnsi="宋体" w:eastAsia="宋体" w:cs="Times New Roman"/>
          <w:color w:val="000000"/>
          <w:sz w:val="24"/>
        </w:rPr>
      </w:pPr>
      <w:r>
        <w:rPr>
          <w:rFonts w:hint="eastAsia" w:ascii="宋体" w:hAnsi="宋体" w:eastAsia="宋体" w:cs="Times New Roman"/>
          <w:b/>
          <w:color w:val="000000"/>
          <w:sz w:val="24"/>
        </w:rPr>
        <w:t>思政目标3.</w:t>
      </w:r>
      <w:r>
        <w:rPr>
          <w:rFonts w:hint="eastAsia" w:ascii="宋体" w:hAnsi="宋体" w:eastAsia="宋体" w:cs="Times New Roman"/>
          <w:color w:val="000000"/>
          <w:sz w:val="24"/>
        </w:rPr>
        <w:t>培养学生以开放、合作的态度解决科学教学中的实际问题，激发跨学科创新的主动性和实践力。</w:t>
      </w:r>
    </w:p>
    <w:p w14:paraId="396D5179">
      <w:pPr>
        <w:spacing w:line="360" w:lineRule="auto"/>
        <w:ind w:firstLine="420" w:firstLineChars="200"/>
        <w:jc w:val="left"/>
        <w:rPr>
          <w:rFonts w:hint="eastAsia" w:ascii="宋体" w:hAnsi="宋体" w:eastAsia="宋体" w:cs="Times New Roman"/>
          <w:color w:val="000000"/>
          <w:szCs w:val="21"/>
        </w:rPr>
      </w:pPr>
    </w:p>
    <w:p w14:paraId="31DB56AA">
      <w:pPr>
        <w:spacing w:line="360" w:lineRule="auto"/>
        <w:jc w:val="left"/>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677"/>
        <w:gridCol w:w="1121"/>
        <w:gridCol w:w="3032"/>
        <w:gridCol w:w="1703"/>
        <w:gridCol w:w="578"/>
      </w:tblGrid>
      <w:tr w14:paraId="6C7C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7" w:type="dxa"/>
            <w:vAlign w:val="center"/>
          </w:tcPr>
          <w:p w14:paraId="46988B14">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w:t>
            </w:r>
          </w:p>
          <w:p w14:paraId="651C5781">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单元</w:t>
            </w:r>
          </w:p>
        </w:tc>
        <w:tc>
          <w:tcPr>
            <w:tcW w:w="1677" w:type="dxa"/>
            <w:vAlign w:val="center"/>
          </w:tcPr>
          <w:p w14:paraId="0B55D685">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知识点</w:t>
            </w:r>
          </w:p>
        </w:tc>
        <w:tc>
          <w:tcPr>
            <w:tcW w:w="1121" w:type="dxa"/>
            <w:vAlign w:val="center"/>
          </w:tcPr>
          <w:p w14:paraId="771359F2">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对应</w:t>
            </w:r>
          </w:p>
          <w:p w14:paraId="3C6E8A82">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课程目标</w:t>
            </w:r>
          </w:p>
        </w:tc>
        <w:tc>
          <w:tcPr>
            <w:tcW w:w="3032" w:type="dxa"/>
            <w:vAlign w:val="center"/>
          </w:tcPr>
          <w:p w14:paraId="77C45EC9">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预期学习成效</w:t>
            </w:r>
          </w:p>
        </w:tc>
        <w:tc>
          <w:tcPr>
            <w:tcW w:w="1703" w:type="dxa"/>
            <w:vAlign w:val="center"/>
          </w:tcPr>
          <w:p w14:paraId="437542C0">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实现环节</w:t>
            </w:r>
          </w:p>
        </w:tc>
        <w:tc>
          <w:tcPr>
            <w:tcW w:w="578" w:type="dxa"/>
            <w:vAlign w:val="center"/>
          </w:tcPr>
          <w:p w14:paraId="048E91CD">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学时</w:t>
            </w:r>
          </w:p>
        </w:tc>
      </w:tr>
      <w:tr w14:paraId="3519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tcPr>
          <w:p w14:paraId="6F3D9ACD">
            <w:pPr>
              <w:spacing w:line="264" w:lineRule="auto"/>
              <w:jc w:val="center"/>
              <w:rPr>
                <w:rFonts w:hint="eastAsia" w:ascii="宋体" w:hAnsi="宋体" w:eastAsia="宋体" w:cs="Times New Roman"/>
                <w:color w:val="000000"/>
                <w:sz w:val="24"/>
              </w:rPr>
            </w:pPr>
            <w:r>
              <w:rPr>
                <w:rFonts w:hint="eastAsia" w:ascii="宋体" w:hAnsi="宋体" w:eastAsia="宋体"/>
                <w:sz w:val="24"/>
              </w:rPr>
              <w:t>绪论</w:t>
            </w:r>
          </w:p>
        </w:tc>
        <w:tc>
          <w:tcPr>
            <w:tcW w:w="1677" w:type="dxa"/>
          </w:tcPr>
          <w:p w14:paraId="29689E8A">
            <w:pPr>
              <w:spacing w:line="269" w:lineRule="auto"/>
              <w:jc w:val="left"/>
              <w:rPr>
                <w:rFonts w:hint="eastAsia" w:ascii="宋体" w:hAnsi="宋体" w:eastAsia="宋体" w:cs="Times New Roman"/>
                <w:color w:val="000000"/>
                <w:sz w:val="24"/>
              </w:rPr>
            </w:pPr>
            <w:r>
              <w:rPr>
                <w:rFonts w:hint="eastAsia" w:ascii="宋体" w:hAnsi="宋体" w:eastAsia="宋体"/>
                <w:sz w:val="24"/>
              </w:rPr>
              <w:t>小学科学实验与制作的理论与内容简介；科学教育发展趋势；探究学习理论</w:t>
            </w:r>
          </w:p>
        </w:tc>
        <w:tc>
          <w:tcPr>
            <w:tcW w:w="1121" w:type="dxa"/>
          </w:tcPr>
          <w:p w14:paraId="2D96D58C">
            <w:pPr>
              <w:spacing w:line="269" w:lineRule="auto"/>
              <w:jc w:val="center"/>
              <w:rPr>
                <w:rFonts w:hint="eastAsia" w:ascii="宋体" w:hAnsi="宋体" w:eastAsia="宋体" w:cs="Times New Roman"/>
                <w:color w:val="000000"/>
                <w:sz w:val="24"/>
              </w:rPr>
            </w:pPr>
            <w:r>
              <w:rPr>
                <w:rFonts w:hint="eastAsia" w:ascii="宋体" w:hAnsi="宋体" w:eastAsia="宋体"/>
                <w:sz w:val="24"/>
              </w:rPr>
              <w:t>目标1</w:t>
            </w:r>
          </w:p>
        </w:tc>
        <w:tc>
          <w:tcPr>
            <w:tcW w:w="3032" w:type="dxa"/>
          </w:tcPr>
          <w:p w14:paraId="0E8B254B">
            <w:pPr>
              <w:spacing w:line="269" w:lineRule="auto"/>
              <w:jc w:val="left"/>
              <w:rPr>
                <w:rFonts w:hint="eastAsia" w:ascii="宋体" w:hAnsi="宋体" w:eastAsia="宋体" w:cs="Times New Roman"/>
                <w:color w:val="000000"/>
                <w:sz w:val="24"/>
              </w:rPr>
            </w:pPr>
            <w:r>
              <w:rPr>
                <w:rFonts w:hint="eastAsia" w:ascii="宋体" w:hAnsi="宋体" w:eastAsia="宋体"/>
                <w:sz w:val="24"/>
              </w:rPr>
              <w:t>理解小学科学实验教学的重要性，掌握科学教育的发展趋势及探究学习的核心理念。</w:t>
            </w:r>
          </w:p>
        </w:tc>
        <w:tc>
          <w:tcPr>
            <w:tcW w:w="1703" w:type="dxa"/>
          </w:tcPr>
          <w:p w14:paraId="0B226206">
            <w:pPr>
              <w:spacing w:line="269" w:lineRule="auto"/>
              <w:jc w:val="left"/>
              <w:rPr>
                <w:rFonts w:hint="eastAsia" w:ascii="宋体" w:hAnsi="宋体" w:eastAsia="宋体" w:cs="Times New Roman"/>
                <w:color w:val="000000"/>
                <w:sz w:val="24"/>
              </w:rPr>
            </w:pPr>
            <w:r>
              <w:rPr>
                <w:rFonts w:hint="eastAsia" w:ascii="宋体" w:hAnsi="宋体" w:eastAsia="宋体"/>
                <w:sz w:val="24"/>
              </w:rPr>
              <w:t>1</w:t>
            </w:r>
            <w:r>
              <w:rPr>
                <w:rFonts w:ascii="宋体" w:hAnsi="宋体" w:eastAsia="宋体"/>
                <w:sz w:val="24"/>
              </w:rPr>
              <w:t>. 多媒体教学：分析案例讲解探究学习理论</w:t>
            </w:r>
            <w:r>
              <w:rPr>
                <w:rFonts w:ascii="宋体" w:hAnsi="宋体" w:eastAsia="宋体"/>
                <w:sz w:val="24"/>
              </w:rPr>
              <w:br w:type="textWrapping"/>
            </w:r>
            <w:r>
              <w:rPr>
                <w:rFonts w:hint="eastAsia" w:ascii="宋体" w:hAnsi="宋体" w:eastAsia="宋体"/>
                <w:sz w:val="24"/>
              </w:rPr>
              <w:t>2</w:t>
            </w:r>
            <w:r>
              <w:rPr>
                <w:rFonts w:ascii="宋体" w:hAnsi="宋体" w:eastAsia="宋体"/>
                <w:sz w:val="24"/>
              </w:rPr>
              <w:t>. 课堂讨论：科学教育与小学教育的联系</w:t>
            </w:r>
            <w:r>
              <w:rPr>
                <w:rFonts w:ascii="宋体" w:hAnsi="宋体" w:eastAsia="宋体"/>
                <w:sz w:val="24"/>
              </w:rPr>
              <w:br w:type="textWrapping"/>
            </w:r>
          </w:p>
        </w:tc>
        <w:tc>
          <w:tcPr>
            <w:tcW w:w="578" w:type="dxa"/>
          </w:tcPr>
          <w:p w14:paraId="4117475D">
            <w:pPr>
              <w:spacing w:line="269" w:lineRule="auto"/>
              <w:jc w:val="center"/>
              <w:rPr>
                <w:rFonts w:hint="eastAsia" w:ascii="宋体" w:hAnsi="宋体" w:eastAsia="宋体" w:cs="Times New Roman"/>
                <w:color w:val="000000"/>
                <w:sz w:val="24"/>
              </w:rPr>
            </w:pPr>
            <w:r>
              <w:rPr>
                <w:rFonts w:hint="eastAsia" w:ascii="宋体" w:hAnsi="宋体" w:eastAsia="宋体"/>
                <w:sz w:val="24"/>
              </w:rPr>
              <w:t>2</w:t>
            </w:r>
          </w:p>
        </w:tc>
      </w:tr>
      <w:tr w14:paraId="09A8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vAlign w:val="center"/>
          </w:tcPr>
          <w:p w14:paraId="2EDDED07">
            <w:pPr>
              <w:spacing w:line="264" w:lineRule="auto"/>
              <w:jc w:val="center"/>
              <w:rPr>
                <w:rFonts w:hint="eastAsia" w:ascii="宋体" w:hAnsi="宋体" w:eastAsia="宋体" w:cs="Times New Roman"/>
                <w:color w:val="000000"/>
                <w:sz w:val="24"/>
              </w:rPr>
            </w:pPr>
          </w:p>
        </w:tc>
        <w:tc>
          <w:tcPr>
            <w:tcW w:w="8111" w:type="dxa"/>
            <w:gridSpan w:val="5"/>
            <w:vAlign w:val="center"/>
          </w:tcPr>
          <w:p w14:paraId="12DAE336">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增强学生对科学教育的社会意义与责任感的认知，树立科学精神和育人意识。</w:t>
            </w:r>
          </w:p>
          <w:p w14:paraId="724B54E6">
            <w:pPr>
              <w:spacing w:line="269" w:lineRule="auto"/>
              <w:jc w:val="left"/>
              <w:rPr>
                <w:rFonts w:hint="eastAsia" w:ascii="宋体" w:hAnsi="宋体" w:eastAsia="宋体" w:cs="Times New Roman"/>
                <w:color w:val="000000"/>
                <w:sz w:val="24"/>
              </w:rPr>
            </w:pPr>
          </w:p>
          <w:p w14:paraId="4F04E3EE">
            <w:pPr>
              <w:spacing w:line="269" w:lineRule="auto"/>
              <w:jc w:val="left"/>
              <w:rPr>
                <w:rFonts w:hint="eastAsia" w:ascii="宋体" w:hAnsi="宋体" w:eastAsia="宋体" w:cs="Times New Roman"/>
                <w:color w:val="000000"/>
                <w:sz w:val="24"/>
              </w:rPr>
            </w:pPr>
          </w:p>
        </w:tc>
      </w:tr>
      <w:tr w14:paraId="4EFB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tcPr>
          <w:p w14:paraId="32E5C8D6">
            <w:pPr>
              <w:spacing w:line="264" w:lineRule="auto"/>
              <w:jc w:val="center"/>
              <w:rPr>
                <w:rFonts w:hint="eastAsia" w:ascii="宋体" w:hAnsi="宋体" w:eastAsia="宋体" w:cs="Times New Roman"/>
                <w:color w:val="000000"/>
                <w:sz w:val="24"/>
              </w:rPr>
            </w:pPr>
            <w:r>
              <w:rPr>
                <w:rFonts w:hint="eastAsia" w:ascii="宋体" w:hAnsi="宋体" w:eastAsia="宋体"/>
                <w:sz w:val="24"/>
              </w:rPr>
              <w:t>小学科学实验与制作</w:t>
            </w:r>
          </w:p>
        </w:tc>
        <w:tc>
          <w:tcPr>
            <w:tcW w:w="1677" w:type="dxa"/>
          </w:tcPr>
          <w:p w14:paraId="34567FCD">
            <w:pPr>
              <w:spacing w:line="269" w:lineRule="auto"/>
              <w:jc w:val="left"/>
              <w:rPr>
                <w:rFonts w:hint="eastAsia" w:ascii="宋体" w:hAnsi="宋体" w:eastAsia="宋体" w:cs="Times New Roman"/>
                <w:color w:val="000000"/>
                <w:sz w:val="24"/>
              </w:rPr>
            </w:pPr>
            <w:r>
              <w:rPr>
                <w:rFonts w:hint="eastAsia" w:ascii="宋体" w:hAnsi="宋体" w:eastAsia="宋体"/>
                <w:sz w:val="24"/>
              </w:rPr>
              <w:t>叶脉标本制作、骨骼标本制作、小学科学实验（水的实验、光实验、力实验等）</w:t>
            </w:r>
          </w:p>
        </w:tc>
        <w:tc>
          <w:tcPr>
            <w:tcW w:w="1121" w:type="dxa"/>
          </w:tcPr>
          <w:p w14:paraId="7571AEF1">
            <w:pPr>
              <w:spacing w:line="269" w:lineRule="auto"/>
              <w:jc w:val="center"/>
              <w:rPr>
                <w:rFonts w:hint="eastAsia" w:ascii="宋体" w:hAnsi="宋体" w:eastAsia="宋体" w:cs="Times New Roman"/>
                <w:color w:val="000000"/>
                <w:sz w:val="24"/>
              </w:rPr>
            </w:pPr>
            <w:r>
              <w:rPr>
                <w:rFonts w:hint="eastAsia" w:ascii="宋体" w:hAnsi="宋体" w:eastAsia="宋体"/>
                <w:sz w:val="24"/>
              </w:rPr>
              <w:t>目标1、目标2</w:t>
            </w:r>
          </w:p>
        </w:tc>
        <w:tc>
          <w:tcPr>
            <w:tcW w:w="3032" w:type="dxa"/>
          </w:tcPr>
          <w:p w14:paraId="25513ABB">
            <w:pPr>
              <w:spacing w:line="269" w:lineRule="auto"/>
              <w:jc w:val="left"/>
              <w:rPr>
                <w:rFonts w:hint="eastAsia" w:ascii="宋体" w:hAnsi="宋体" w:eastAsia="宋体" w:cs="Times New Roman"/>
                <w:color w:val="000000"/>
                <w:sz w:val="24"/>
              </w:rPr>
            </w:pPr>
            <w:r>
              <w:rPr>
                <w:rFonts w:hint="eastAsia" w:ascii="宋体" w:hAnsi="宋体" w:eastAsia="宋体"/>
                <w:sz w:val="24"/>
              </w:rPr>
              <w:t>掌握小学科学实验的基本技能，能够设计简单实验并指导学生操作，理解实验教学的基本流程。</w:t>
            </w:r>
          </w:p>
        </w:tc>
        <w:tc>
          <w:tcPr>
            <w:tcW w:w="1703" w:type="dxa"/>
          </w:tcPr>
          <w:p w14:paraId="3846D00E">
            <w:pPr>
              <w:spacing w:line="269" w:lineRule="auto"/>
              <w:jc w:val="left"/>
              <w:rPr>
                <w:rFonts w:hint="eastAsia" w:ascii="宋体" w:hAnsi="宋体" w:eastAsia="宋体" w:cs="Times New Roman"/>
                <w:color w:val="000000"/>
                <w:sz w:val="24"/>
              </w:rPr>
            </w:pPr>
            <w:r>
              <w:rPr>
                <w:rFonts w:ascii="宋体" w:hAnsi="宋体" w:eastAsia="宋体"/>
                <w:sz w:val="24"/>
              </w:rPr>
              <w:t xml:space="preserve">1. 动手实验 </w:t>
            </w:r>
            <w:r>
              <w:rPr>
                <w:rFonts w:ascii="宋体" w:hAnsi="宋体" w:eastAsia="宋体"/>
                <w:sz w:val="24"/>
              </w:rPr>
              <w:br w:type="textWrapping"/>
            </w:r>
            <w:r>
              <w:rPr>
                <w:rFonts w:ascii="宋体" w:hAnsi="宋体" w:eastAsia="宋体"/>
                <w:sz w:val="24"/>
              </w:rPr>
              <w:t>2. 多媒体教学</w:t>
            </w:r>
            <w:r>
              <w:rPr>
                <w:rFonts w:ascii="宋体" w:hAnsi="宋体" w:eastAsia="宋体"/>
                <w:sz w:val="24"/>
              </w:rPr>
              <w:br w:type="textWrapping"/>
            </w:r>
            <w:r>
              <w:rPr>
                <w:rFonts w:ascii="宋体" w:hAnsi="宋体" w:eastAsia="宋体"/>
                <w:sz w:val="24"/>
              </w:rPr>
              <w:t>3. 小组合作</w:t>
            </w:r>
            <w:r>
              <w:rPr>
                <w:rFonts w:ascii="宋体" w:hAnsi="宋体" w:eastAsia="宋体"/>
                <w:sz w:val="24"/>
              </w:rPr>
              <w:br w:type="textWrapping"/>
            </w:r>
            <w:r>
              <w:rPr>
                <w:rFonts w:ascii="宋体" w:hAnsi="宋体" w:eastAsia="宋体"/>
                <w:sz w:val="24"/>
              </w:rPr>
              <w:t>4. 课堂讨论：分析实验在教学中的适用性</w:t>
            </w:r>
          </w:p>
        </w:tc>
        <w:tc>
          <w:tcPr>
            <w:tcW w:w="578" w:type="dxa"/>
          </w:tcPr>
          <w:p w14:paraId="0FA884CD">
            <w:pPr>
              <w:spacing w:line="269" w:lineRule="auto"/>
              <w:jc w:val="center"/>
              <w:rPr>
                <w:rFonts w:hint="eastAsia" w:ascii="宋体" w:hAnsi="宋体" w:eastAsia="宋体" w:cs="Times New Roman"/>
                <w:color w:val="000000"/>
                <w:sz w:val="24"/>
              </w:rPr>
            </w:pPr>
            <w:r>
              <w:rPr>
                <w:rFonts w:hint="eastAsia" w:ascii="宋体" w:hAnsi="宋体" w:eastAsia="宋体"/>
                <w:sz w:val="24"/>
              </w:rPr>
              <w:t>6+6</w:t>
            </w:r>
          </w:p>
        </w:tc>
      </w:tr>
      <w:tr w14:paraId="6769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vAlign w:val="center"/>
          </w:tcPr>
          <w:p w14:paraId="1E7FA93A">
            <w:pPr>
              <w:spacing w:line="264" w:lineRule="auto"/>
              <w:jc w:val="center"/>
              <w:rPr>
                <w:rFonts w:hint="eastAsia" w:ascii="宋体" w:hAnsi="宋体" w:eastAsia="宋体" w:cs="Times New Roman"/>
                <w:color w:val="000000"/>
                <w:sz w:val="24"/>
              </w:rPr>
            </w:pPr>
          </w:p>
        </w:tc>
        <w:tc>
          <w:tcPr>
            <w:tcW w:w="8111" w:type="dxa"/>
            <w:gridSpan w:val="5"/>
            <w:vAlign w:val="center"/>
          </w:tcPr>
          <w:p w14:paraId="228BC74D">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引导学生在科学实验中关注自然现象，激发尊重事实、实事求是的科学精神，增强热爱自然、保护生态环境的意识。</w:t>
            </w:r>
          </w:p>
        </w:tc>
      </w:tr>
      <w:tr w14:paraId="44CB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tcPr>
          <w:p w14:paraId="5895BF13">
            <w:pPr>
              <w:spacing w:line="264" w:lineRule="auto"/>
              <w:jc w:val="center"/>
              <w:rPr>
                <w:rFonts w:hint="eastAsia" w:ascii="宋体" w:hAnsi="宋体" w:eastAsia="宋体" w:cs="Times New Roman"/>
                <w:color w:val="000000"/>
                <w:sz w:val="24"/>
              </w:rPr>
            </w:pPr>
            <w:r>
              <w:rPr>
                <w:rFonts w:hint="eastAsia" w:ascii="宋体" w:hAnsi="宋体" w:eastAsia="宋体"/>
                <w:sz w:val="24"/>
              </w:rPr>
              <w:t>STEM实验设计与实施</w:t>
            </w:r>
          </w:p>
        </w:tc>
        <w:tc>
          <w:tcPr>
            <w:tcW w:w="1677" w:type="dxa"/>
          </w:tcPr>
          <w:p w14:paraId="03D02541">
            <w:pPr>
              <w:spacing w:line="269" w:lineRule="auto"/>
              <w:jc w:val="left"/>
              <w:rPr>
                <w:rFonts w:hint="eastAsia" w:ascii="宋体" w:hAnsi="宋体" w:eastAsia="宋体" w:cs="Times New Roman"/>
                <w:color w:val="000000"/>
                <w:sz w:val="24"/>
              </w:rPr>
            </w:pPr>
            <w:r>
              <w:rPr>
                <w:rFonts w:hint="eastAsia" w:ascii="宋体" w:hAnsi="宋体" w:eastAsia="宋体"/>
                <w:sz w:val="24"/>
              </w:rPr>
              <w:t>STEM教育基础理论；资源受限条件下的STEM设计（废旧物品STEM和无设备STEM）；乐高编程实验；C-STEAM设计</w:t>
            </w:r>
          </w:p>
        </w:tc>
        <w:tc>
          <w:tcPr>
            <w:tcW w:w="1121" w:type="dxa"/>
          </w:tcPr>
          <w:p w14:paraId="6331F0EC">
            <w:pPr>
              <w:spacing w:line="269" w:lineRule="auto"/>
              <w:jc w:val="center"/>
              <w:rPr>
                <w:rFonts w:hint="eastAsia" w:ascii="宋体" w:hAnsi="宋体" w:eastAsia="宋体" w:cs="Times New Roman"/>
                <w:color w:val="000000"/>
                <w:sz w:val="24"/>
              </w:rPr>
            </w:pPr>
            <w:r>
              <w:rPr>
                <w:rFonts w:hint="eastAsia" w:ascii="宋体" w:hAnsi="宋体" w:eastAsia="宋体"/>
                <w:sz w:val="24"/>
              </w:rPr>
              <w:t>目标2、目标3</w:t>
            </w:r>
          </w:p>
        </w:tc>
        <w:tc>
          <w:tcPr>
            <w:tcW w:w="3032" w:type="dxa"/>
          </w:tcPr>
          <w:p w14:paraId="0DF4846D">
            <w:pPr>
              <w:spacing w:line="269" w:lineRule="auto"/>
              <w:jc w:val="left"/>
              <w:rPr>
                <w:rFonts w:hint="eastAsia" w:ascii="宋体" w:hAnsi="宋体" w:eastAsia="宋体" w:cs="Times New Roman"/>
                <w:color w:val="000000"/>
                <w:sz w:val="24"/>
              </w:rPr>
            </w:pPr>
            <w:r>
              <w:rPr>
                <w:rFonts w:hint="eastAsia" w:ascii="宋体" w:hAnsi="宋体" w:eastAsia="宋体"/>
                <w:sz w:val="24"/>
              </w:rPr>
              <w:t>掌握STEM实验设计方法，能够利用资源设计综合性实验教学方案，结合科学与文化实现教育创新。</w:t>
            </w:r>
          </w:p>
        </w:tc>
        <w:tc>
          <w:tcPr>
            <w:tcW w:w="1703" w:type="dxa"/>
          </w:tcPr>
          <w:p w14:paraId="7888F248">
            <w:pPr>
              <w:spacing w:line="269" w:lineRule="auto"/>
              <w:jc w:val="left"/>
              <w:rPr>
                <w:rFonts w:hint="eastAsia" w:ascii="宋体" w:hAnsi="宋体" w:eastAsia="宋体" w:cs="Times New Roman"/>
                <w:color w:val="000000"/>
                <w:sz w:val="24"/>
              </w:rPr>
            </w:pPr>
            <w:r>
              <w:rPr>
                <w:rFonts w:ascii="宋体" w:hAnsi="宋体" w:eastAsia="宋体"/>
                <w:sz w:val="24"/>
              </w:rPr>
              <w:t>1.</w:t>
            </w:r>
            <w:r>
              <w:rPr>
                <w:rFonts w:hint="eastAsia" w:ascii="宋体" w:hAnsi="宋体" w:eastAsia="宋体"/>
                <w:sz w:val="24"/>
              </w:rPr>
              <w:t>多媒体学习</w:t>
            </w:r>
            <w:r>
              <w:rPr>
                <w:rFonts w:ascii="宋体" w:hAnsi="宋体" w:eastAsia="宋体"/>
                <w:sz w:val="24"/>
              </w:rPr>
              <w:br w:type="textWrapping"/>
            </w:r>
            <w:r>
              <w:rPr>
                <w:rFonts w:ascii="宋体" w:hAnsi="宋体" w:eastAsia="宋体"/>
                <w:sz w:val="24"/>
              </w:rPr>
              <w:t>2. 动手实践</w:t>
            </w:r>
            <w:r>
              <w:rPr>
                <w:rFonts w:ascii="宋体" w:hAnsi="宋体" w:eastAsia="宋体"/>
                <w:sz w:val="24"/>
              </w:rPr>
              <w:br w:type="textWrapping"/>
            </w:r>
            <w:r>
              <w:rPr>
                <w:rFonts w:ascii="宋体" w:hAnsi="宋体" w:eastAsia="宋体"/>
                <w:sz w:val="24"/>
              </w:rPr>
              <w:t>3. 编程操作</w:t>
            </w:r>
            <w:r>
              <w:rPr>
                <w:rFonts w:ascii="宋体" w:hAnsi="宋体" w:eastAsia="宋体"/>
                <w:sz w:val="24"/>
              </w:rPr>
              <w:br w:type="textWrapping"/>
            </w:r>
            <w:r>
              <w:rPr>
                <w:rFonts w:ascii="宋体" w:hAnsi="宋体" w:eastAsia="宋体"/>
                <w:sz w:val="24"/>
              </w:rPr>
              <w:t>4. 调研展示</w:t>
            </w:r>
          </w:p>
        </w:tc>
        <w:tc>
          <w:tcPr>
            <w:tcW w:w="578" w:type="dxa"/>
          </w:tcPr>
          <w:p w14:paraId="38C3A633">
            <w:pPr>
              <w:spacing w:line="269" w:lineRule="auto"/>
              <w:jc w:val="center"/>
              <w:rPr>
                <w:rFonts w:hint="eastAsia" w:ascii="宋体" w:hAnsi="宋体" w:eastAsia="宋体" w:cs="Times New Roman"/>
                <w:color w:val="000000"/>
                <w:sz w:val="24"/>
              </w:rPr>
            </w:pPr>
            <w:r>
              <w:rPr>
                <w:rFonts w:hint="eastAsia" w:ascii="宋体" w:hAnsi="宋体" w:eastAsia="宋体"/>
                <w:sz w:val="24"/>
              </w:rPr>
              <w:t>8+8</w:t>
            </w:r>
          </w:p>
        </w:tc>
      </w:tr>
      <w:tr w14:paraId="2F47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vAlign w:val="center"/>
          </w:tcPr>
          <w:p w14:paraId="5652A783">
            <w:pPr>
              <w:spacing w:line="264" w:lineRule="auto"/>
              <w:jc w:val="center"/>
              <w:rPr>
                <w:rFonts w:hint="eastAsia" w:ascii="宋体" w:hAnsi="宋体" w:eastAsia="宋体" w:cs="Times New Roman"/>
                <w:color w:val="000000"/>
                <w:sz w:val="24"/>
              </w:rPr>
            </w:pPr>
          </w:p>
        </w:tc>
        <w:tc>
          <w:tcPr>
            <w:tcW w:w="8111" w:type="dxa"/>
            <w:gridSpan w:val="5"/>
            <w:vAlign w:val="center"/>
          </w:tcPr>
          <w:p w14:paraId="3BF13EDB">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强化学生对跨学科整合的理解，培养创新能力与实践力；通过C-STEAM设计增强学生对中国传统文化的认同感，树立文化自信与社会责任感。</w:t>
            </w:r>
          </w:p>
          <w:p w14:paraId="31053179">
            <w:pPr>
              <w:spacing w:line="269" w:lineRule="auto"/>
              <w:jc w:val="left"/>
              <w:rPr>
                <w:rFonts w:hint="eastAsia" w:ascii="宋体" w:hAnsi="宋体" w:eastAsia="宋体" w:cs="Times New Roman"/>
                <w:color w:val="000000"/>
                <w:sz w:val="24"/>
              </w:rPr>
            </w:pPr>
          </w:p>
        </w:tc>
      </w:tr>
      <w:tr w14:paraId="4680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tcPr>
          <w:p w14:paraId="6FC10DD9">
            <w:pPr>
              <w:spacing w:line="276" w:lineRule="auto"/>
              <w:jc w:val="center"/>
              <w:rPr>
                <w:rFonts w:hint="eastAsia" w:ascii="宋体" w:hAnsi="宋体" w:eastAsia="宋体" w:cs="Times New Roman"/>
                <w:color w:val="000000"/>
                <w:sz w:val="24"/>
              </w:rPr>
            </w:pPr>
            <w:r>
              <w:rPr>
                <w:rFonts w:hint="eastAsia" w:ascii="宋体" w:hAnsi="宋体" w:eastAsia="宋体"/>
                <w:sz w:val="24"/>
              </w:rPr>
              <w:t>实验教学的实施与评价</w:t>
            </w:r>
          </w:p>
        </w:tc>
        <w:tc>
          <w:tcPr>
            <w:tcW w:w="1677" w:type="dxa"/>
          </w:tcPr>
          <w:p w14:paraId="5C3D32CB">
            <w:pPr>
              <w:spacing w:line="276" w:lineRule="auto"/>
              <w:jc w:val="left"/>
              <w:rPr>
                <w:rFonts w:hint="eastAsia" w:ascii="宋体" w:hAnsi="宋体" w:eastAsia="宋体" w:cs="Times New Roman"/>
                <w:color w:val="000000"/>
                <w:sz w:val="24"/>
              </w:rPr>
            </w:pPr>
            <w:r>
              <w:rPr>
                <w:rFonts w:hint="eastAsia" w:ascii="宋体" w:hAnsi="宋体" w:eastAsia="宋体"/>
                <w:sz w:val="24"/>
              </w:rPr>
              <w:t>实验教学设计原则；小学实验教学实施与管理；实验教学评价方法与改进策略</w:t>
            </w:r>
          </w:p>
        </w:tc>
        <w:tc>
          <w:tcPr>
            <w:tcW w:w="1121" w:type="dxa"/>
          </w:tcPr>
          <w:p w14:paraId="32D2846B">
            <w:pPr>
              <w:spacing w:line="276" w:lineRule="auto"/>
              <w:jc w:val="center"/>
              <w:rPr>
                <w:rFonts w:hint="eastAsia" w:ascii="宋体" w:hAnsi="宋体" w:eastAsia="宋体" w:cs="Times New Roman"/>
                <w:color w:val="000000"/>
                <w:sz w:val="24"/>
              </w:rPr>
            </w:pPr>
            <w:r>
              <w:rPr>
                <w:rFonts w:hint="eastAsia" w:ascii="宋体" w:hAnsi="宋体" w:eastAsia="宋体"/>
                <w:sz w:val="24"/>
              </w:rPr>
              <w:t>目标2、目标3</w:t>
            </w:r>
          </w:p>
        </w:tc>
        <w:tc>
          <w:tcPr>
            <w:tcW w:w="3032" w:type="dxa"/>
          </w:tcPr>
          <w:p w14:paraId="512EBB36">
            <w:pPr>
              <w:spacing w:line="276" w:lineRule="auto"/>
              <w:jc w:val="left"/>
              <w:rPr>
                <w:rFonts w:hint="eastAsia" w:ascii="宋体" w:hAnsi="宋体" w:eastAsia="宋体" w:cs="Times New Roman"/>
                <w:color w:val="000000"/>
                <w:sz w:val="24"/>
              </w:rPr>
            </w:pPr>
            <w:r>
              <w:rPr>
                <w:rFonts w:hint="eastAsia" w:ascii="宋体" w:hAnsi="宋体" w:eastAsia="宋体"/>
                <w:sz w:val="24"/>
              </w:rPr>
              <w:t>掌握实验教学设计与实施的核心方法，能够独立开展实验教学并进行科学评价，优化教学策略。</w:t>
            </w:r>
          </w:p>
        </w:tc>
        <w:tc>
          <w:tcPr>
            <w:tcW w:w="1703" w:type="dxa"/>
          </w:tcPr>
          <w:p w14:paraId="08D0E541">
            <w:pPr>
              <w:spacing w:line="276" w:lineRule="auto"/>
              <w:jc w:val="left"/>
              <w:rPr>
                <w:rFonts w:hint="eastAsia" w:ascii="宋体" w:hAnsi="宋体" w:eastAsia="宋体"/>
                <w:sz w:val="24"/>
              </w:rPr>
            </w:pPr>
            <w:r>
              <w:rPr>
                <w:rFonts w:ascii="宋体" w:hAnsi="宋体" w:eastAsia="宋体"/>
                <w:sz w:val="24"/>
              </w:rPr>
              <w:t xml:space="preserve">1. </w:t>
            </w:r>
            <w:r>
              <w:rPr>
                <w:rFonts w:hint="eastAsia" w:ascii="宋体" w:hAnsi="宋体" w:eastAsia="宋体"/>
                <w:sz w:val="24"/>
              </w:rPr>
              <w:t>多媒体学习</w:t>
            </w:r>
            <w:r>
              <w:rPr>
                <w:rFonts w:ascii="宋体" w:hAnsi="宋体" w:eastAsia="宋体"/>
                <w:sz w:val="24"/>
              </w:rPr>
              <w:t xml:space="preserve"> </w:t>
            </w:r>
            <w:r>
              <w:rPr>
                <w:rFonts w:ascii="宋体" w:hAnsi="宋体" w:eastAsia="宋体"/>
                <w:sz w:val="24"/>
              </w:rPr>
              <w:br w:type="textWrapping"/>
            </w:r>
            <w:r>
              <w:rPr>
                <w:rFonts w:ascii="宋体" w:hAnsi="宋体" w:eastAsia="宋体"/>
                <w:sz w:val="24"/>
              </w:rPr>
              <w:t>2. 动手操作</w:t>
            </w:r>
          </w:p>
          <w:p w14:paraId="50F7B1E6">
            <w:pPr>
              <w:spacing w:line="276" w:lineRule="auto"/>
              <w:jc w:val="left"/>
              <w:rPr>
                <w:rFonts w:hint="eastAsia" w:ascii="宋体" w:hAnsi="宋体" w:eastAsia="宋体"/>
                <w:sz w:val="24"/>
              </w:rPr>
            </w:pPr>
            <w:r>
              <w:rPr>
                <w:rFonts w:ascii="宋体" w:hAnsi="宋体" w:eastAsia="宋体"/>
                <w:sz w:val="24"/>
              </w:rPr>
              <w:t>3. 课堂演练</w:t>
            </w:r>
          </w:p>
          <w:p w14:paraId="4970A2BD">
            <w:pPr>
              <w:spacing w:line="276" w:lineRule="auto"/>
              <w:jc w:val="left"/>
              <w:rPr>
                <w:rFonts w:hint="eastAsia" w:ascii="宋体" w:hAnsi="宋体" w:eastAsia="宋体" w:cs="Times New Roman"/>
                <w:color w:val="000000"/>
                <w:sz w:val="24"/>
              </w:rPr>
            </w:pPr>
            <w:r>
              <w:rPr>
                <w:rFonts w:ascii="宋体" w:hAnsi="宋体" w:eastAsia="宋体"/>
                <w:sz w:val="24"/>
              </w:rPr>
              <w:t>4. 课后改进</w:t>
            </w:r>
          </w:p>
        </w:tc>
        <w:tc>
          <w:tcPr>
            <w:tcW w:w="578" w:type="dxa"/>
          </w:tcPr>
          <w:p w14:paraId="012012DE">
            <w:pPr>
              <w:spacing w:line="276" w:lineRule="auto"/>
              <w:jc w:val="center"/>
              <w:rPr>
                <w:rFonts w:hint="eastAsia" w:ascii="宋体" w:hAnsi="宋体" w:eastAsia="宋体" w:cs="Times New Roman"/>
                <w:color w:val="000000"/>
                <w:sz w:val="24"/>
              </w:rPr>
            </w:pPr>
            <w:r>
              <w:rPr>
                <w:rFonts w:hint="eastAsia" w:ascii="宋体" w:hAnsi="宋体" w:eastAsia="宋体"/>
                <w:sz w:val="24"/>
              </w:rPr>
              <w:t>2+2</w:t>
            </w:r>
          </w:p>
        </w:tc>
      </w:tr>
      <w:tr w14:paraId="69C6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vAlign w:val="center"/>
          </w:tcPr>
          <w:p w14:paraId="49A86756">
            <w:pPr>
              <w:spacing w:line="276" w:lineRule="auto"/>
              <w:jc w:val="center"/>
              <w:rPr>
                <w:rFonts w:hint="eastAsia" w:ascii="宋体" w:hAnsi="宋体" w:eastAsia="宋体" w:cs="Times New Roman"/>
                <w:color w:val="000000"/>
                <w:sz w:val="24"/>
              </w:rPr>
            </w:pPr>
          </w:p>
        </w:tc>
        <w:tc>
          <w:tcPr>
            <w:tcW w:w="8111" w:type="dxa"/>
            <w:gridSpan w:val="5"/>
            <w:vAlign w:val="center"/>
          </w:tcPr>
          <w:p w14:paraId="5C911905">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引导学生关注教学效果与学生成长，增强育人意识，培养责任感与反思精神，提升科学教学的价值感和社会意义认知。</w:t>
            </w:r>
          </w:p>
          <w:p w14:paraId="4579B94C">
            <w:pPr>
              <w:spacing w:line="276" w:lineRule="auto"/>
              <w:jc w:val="left"/>
              <w:rPr>
                <w:rFonts w:hint="eastAsia" w:ascii="宋体" w:hAnsi="宋体" w:eastAsia="宋体" w:cs="Times New Roman"/>
                <w:color w:val="000000"/>
                <w:sz w:val="24"/>
              </w:rPr>
            </w:pPr>
          </w:p>
        </w:tc>
      </w:tr>
    </w:tbl>
    <w:p w14:paraId="7AB77340">
      <w:pPr>
        <w:spacing w:line="360" w:lineRule="auto"/>
        <w:jc w:val="left"/>
        <w:rPr>
          <w:rFonts w:ascii="Times New Roman" w:hAnsi="Times New Roman" w:eastAsia="宋体" w:cs="Times New Roman"/>
          <w:sz w:val="24"/>
        </w:rPr>
      </w:pPr>
    </w:p>
    <w:p w14:paraId="6ACD61AC">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四、目标评价与成绩评定</w:t>
      </w:r>
    </w:p>
    <w:p w14:paraId="6428F466">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1234E312">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11F7E03D">
      <w:pPr>
        <w:spacing w:line="360" w:lineRule="auto"/>
        <w:ind w:firstLine="480" w:firstLineChars="200"/>
        <w:jc w:val="left"/>
        <w:rPr>
          <w:rFonts w:ascii="Times New Roman" w:hAnsi="Times New Roman" w:eastAsia="宋体" w:cs="Times New Roman"/>
          <w:sz w:val="24"/>
        </w:rPr>
      </w:pPr>
    </w:p>
    <w:p w14:paraId="6D624E90">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900"/>
        <w:gridCol w:w="998"/>
        <w:gridCol w:w="998"/>
        <w:gridCol w:w="1360"/>
        <w:gridCol w:w="1360"/>
        <w:gridCol w:w="998"/>
        <w:gridCol w:w="666"/>
      </w:tblGrid>
      <w:tr w14:paraId="6C0A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6F6CD24F">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w:t>
            </w:r>
          </w:p>
        </w:tc>
        <w:tc>
          <w:tcPr>
            <w:tcW w:w="6654" w:type="dxa"/>
            <w:gridSpan w:val="6"/>
            <w:vAlign w:val="center"/>
          </w:tcPr>
          <w:p w14:paraId="3CCD2566">
            <w:pPr>
              <w:spacing w:line="360" w:lineRule="auto"/>
              <w:jc w:val="center"/>
              <w:rPr>
                <w:rFonts w:hint="eastAsia" w:ascii="宋体" w:hAnsi="宋体" w:eastAsia="宋体" w:cs="Times New Roman"/>
                <w:sz w:val="24"/>
              </w:rPr>
            </w:pPr>
            <w:r>
              <w:rPr>
                <w:rFonts w:hint="eastAsia" w:ascii="宋体" w:hAnsi="宋体" w:eastAsia="宋体" w:cs="Times New Roman"/>
                <w:sz w:val="24"/>
              </w:rPr>
              <w:t>评价与成绩评定方法</w:t>
            </w:r>
          </w:p>
        </w:tc>
        <w:tc>
          <w:tcPr>
            <w:tcW w:w="0" w:type="auto"/>
            <w:vMerge w:val="restart"/>
            <w:vAlign w:val="center"/>
          </w:tcPr>
          <w:p w14:paraId="252087E8">
            <w:pPr>
              <w:spacing w:line="360" w:lineRule="auto"/>
              <w:jc w:val="center"/>
              <w:rPr>
                <w:rFonts w:hint="eastAsia" w:ascii="宋体" w:hAnsi="宋体" w:eastAsia="宋体" w:cs="Times New Roman"/>
                <w:sz w:val="24"/>
              </w:rPr>
            </w:pPr>
            <w:r>
              <w:rPr>
                <w:rFonts w:hint="eastAsia" w:ascii="宋体" w:hAnsi="宋体" w:eastAsia="宋体" w:cs="Times New Roman"/>
                <w:sz w:val="24"/>
              </w:rPr>
              <w:t>分值</w:t>
            </w:r>
          </w:p>
        </w:tc>
      </w:tr>
      <w:tr w14:paraId="0AD8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6E718E2A">
            <w:pPr>
              <w:spacing w:line="360" w:lineRule="auto"/>
              <w:jc w:val="center"/>
              <w:rPr>
                <w:rFonts w:hint="eastAsia" w:ascii="宋体" w:hAnsi="宋体" w:eastAsia="宋体" w:cs="Times New Roman"/>
                <w:sz w:val="24"/>
              </w:rPr>
            </w:pPr>
          </w:p>
        </w:tc>
        <w:tc>
          <w:tcPr>
            <w:tcW w:w="900" w:type="dxa"/>
            <w:vAlign w:val="center"/>
          </w:tcPr>
          <w:p w14:paraId="1567E6B5">
            <w:pPr>
              <w:jc w:val="center"/>
              <w:rPr>
                <w:rFonts w:hint="eastAsia" w:ascii="宋体" w:hAnsi="宋体" w:eastAsia="宋体" w:cs="Times New Roman"/>
                <w:sz w:val="24"/>
              </w:rPr>
            </w:pPr>
            <w:r>
              <w:rPr>
                <w:rFonts w:hint="eastAsia" w:ascii="宋体" w:hAnsi="宋体" w:eastAsia="宋体" w:cs="Times New Roman"/>
                <w:sz w:val="24"/>
              </w:rPr>
              <w:t>课堂表现</w:t>
            </w:r>
          </w:p>
        </w:tc>
        <w:tc>
          <w:tcPr>
            <w:tcW w:w="0" w:type="auto"/>
            <w:vAlign w:val="center"/>
          </w:tcPr>
          <w:p w14:paraId="4E0A7490">
            <w:pPr>
              <w:jc w:val="center"/>
              <w:rPr>
                <w:rFonts w:hint="eastAsia" w:ascii="宋体" w:hAnsi="宋体" w:eastAsia="宋体" w:cs="Times New Roman"/>
                <w:sz w:val="24"/>
              </w:rPr>
            </w:pPr>
            <w:r>
              <w:rPr>
                <w:rFonts w:hint="eastAsia" w:ascii="宋体" w:hAnsi="宋体" w:eastAsia="宋体" w:cs="Times New Roman"/>
                <w:sz w:val="24"/>
              </w:rPr>
              <w:t>实验报告</w:t>
            </w:r>
          </w:p>
        </w:tc>
        <w:tc>
          <w:tcPr>
            <w:tcW w:w="0" w:type="auto"/>
            <w:vAlign w:val="center"/>
          </w:tcPr>
          <w:p w14:paraId="022684BE">
            <w:pPr>
              <w:jc w:val="center"/>
              <w:rPr>
                <w:rFonts w:hint="eastAsia" w:ascii="宋体" w:hAnsi="宋体" w:eastAsia="宋体" w:cs="Times New Roman"/>
                <w:sz w:val="24"/>
              </w:rPr>
            </w:pPr>
            <w:r>
              <w:rPr>
                <w:rFonts w:hint="eastAsia" w:ascii="宋体" w:hAnsi="宋体" w:eastAsia="宋体" w:cs="Times New Roman"/>
                <w:sz w:val="24"/>
              </w:rPr>
              <w:t>实验作品</w:t>
            </w:r>
          </w:p>
        </w:tc>
        <w:tc>
          <w:tcPr>
            <w:tcW w:w="0" w:type="auto"/>
            <w:vAlign w:val="center"/>
          </w:tcPr>
          <w:p w14:paraId="1ABF2AFE">
            <w:pPr>
              <w:jc w:val="center"/>
              <w:rPr>
                <w:rFonts w:hint="eastAsia" w:ascii="宋体" w:hAnsi="宋体" w:eastAsia="宋体" w:cs="Times New Roman"/>
                <w:sz w:val="24"/>
              </w:rPr>
            </w:pPr>
            <w:r>
              <w:rPr>
                <w:rFonts w:hint="eastAsia" w:ascii="宋体" w:hAnsi="宋体" w:eastAsia="宋体" w:cs="Times New Roman"/>
                <w:sz w:val="24"/>
              </w:rPr>
              <w:t>实验教学设计</w:t>
            </w:r>
          </w:p>
        </w:tc>
        <w:tc>
          <w:tcPr>
            <w:tcW w:w="0" w:type="auto"/>
            <w:vAlign w:val="center"/>
          </w:tcPr>
          <w:p w14:paraId="32E10E12">
            <w:pPr>
              <w:jc w:val="center"/>
              <w:rPr>
                <w:rFonts w:hint="eastAsia" w:ascii="宋体" w:hAnsi="宋体" w:eastAsia="宋体" w:cs="Times New Roman"/>
                <w:sz w:val="24"/>
              </w:rPr>
            </w:pPr>
            <w:r>
              <w:rPr>
                <w:rFonts w:hint="eastAsia" w:ascii="宋体" w:hAnsi="宋体" w:eastAsia="宋体" w:cs="Times New Roman"/>
                <w:sz w:val="24"/>
              </w:rPr>
              <w:t>实验教学演示</w:t>
            </w:r>
          </w:p>
        </w:tc>
        <w:tc>
          <w:tcPr>
            <w:tcW w:w="0" w:type="auto"/>
          </w:tcPr>
          <w:p w14:paraId="7EE59111">
            <w:pPr>
              <w:jc w:val="center"/>
              <w:rPr>
                <w:rFonts w:hint="eastAsia" w:ascii="宋体" w:hAnsi="宋体" w:eastAsia="宋体" w:cs="Times New Roman"/>
                <w:sz w:val="24"/>
              </w:rPr>
            </w:pPr>
            <w:r>
              <w:rPr>
                <w:rFonts w:hint="eastAsia" w:ascii="宋体" w:hAnsi="宋体" w:eastAsia="宋体" w:cs="Times New Roman"/>
                <w:sz w:val="24"/>
              </w:rPr>
              <w:t>期末考试</w:t>
            </w:r>
          </w:p>
        </w:tc>
        <w:tc>
          <w:tcPr>
            <w:tcW w:w="0" w:type="auto"/>
            <w:vMerge w:val="continue"/>
            <w:vAlign w:val="center"/>
          </w:tcPr>
          <w:p w14:paraId="47FB32C9">
            <w:pPr>
              <w:spacing w:line="360" w:lineRule="auto"/>
              <w:jc w:val="center"/>
              <w:rPr>
                <w:rFonts w:hint="eastAsia" w:ascii="宋体" w:hAnsi="宋体" w:eastAsia="宋体" w:cs="Times New Roman"/>
                <w:sz w:val="24"/>
              </w:rPr>
            </w:pPr>
          </w:p>
        </w:tc>
      </w:tr>
      <w:tr w14:paraId="6CF2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1F9EB087">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900" w:type="dxa"/>
            <w:vAlign w:val="center"/>
          </w:tcPr>
          <w:p w14:paraId="25E6FA8B">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2926759F">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37B2768">
            <w:pPr>
              <w:spacing w:line="360" w:lineRule="auto"/>
              <w:jc w:val="center"/>
              <w:rPr>
                <w:rFonts w:hint="eastAsia" w:ascii="宋体" w:hAnsi="宋体" w:eastAsia="宋体" w:cs="Times New Roman"/>
                <w:sz w:val="24"/>
              </w:rPr>
            </w:pPr>
          </w:p>
        </w:tc>
        <w:tc>
          <w:tcPr>
            <w:tcW w:w="0" w:type="auto"/>
            <w:vAlign w:val="center"/>
          </w:tcPr>
          <w:p w14:paraId="66A3A808">
            <w:pPr>
              <w:spacing w:line="360" w:lineRule="auto"/>
              <w:jc w:val="center"/>
              <w:rPr>
                <w:rFonts w:hint="eastAsia" w:ascii="宋体" w:hAnsi="宋体" w:eastAsia="宋体" w:cs="Times New Roman"/>
                <w:sz w:val="24"/>
              </w:rPr>
            </w:pPr>
          </w:p>
        </w:tc>
        <w:tc>
          <w:tcPr>
            <w:tcW w:w="0" w:type="auto"/>
            <w:vAlign w:val="center"/>
          </w:tcPr>
          <w:p w14:paraId="2F722049">
            <w:pPr>
              <w:spacing w:line="360" w:lineRule="auto"/>
              <w:jc w:val="center"/>
              <w:rPr>
                <w:rFonts w:hint="eastAsia" w:ascii="宋体" w:hAnsi="宋体" w:eastAsia="宋体" w:cs="Times New Roman"/>
                <w:sz w:val="24"/>
              </w:rPr>
            </w:pPr>
          </w:p>
        </w:tc>
        <w:tc>
          <w:tcPr>
            <w:tcW w:w="0" w:type="auto"/>
            <w:vAlign w:val="center"/>
          </w:tcPr>
          <w:p w14:paraId="484D6124">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B948D00">
            <w:pPr>
              <w:spacing w:line="360" w:lineRule="auto"/>
              <w:jc w:val="center"/>
              <w:rPr>
                <w:rFonts w:hint="eastAsia" w:ascii="宋体" w:hAnsi="宋体" w:eastAsia="宋体" w:cs="Times New Roman"/>
                <w:sz w:val="24"/>
              </w:rPr>
            </w:pPr>
            <w:r>
              <w:rPr>
                <w:rFonts w:hint="eastAsia" w:ascii="宋体" w:hAnsi="宋体" w:eastAsia="宋体" w:cs="Times New Roman"/>
                <w:sz w:val="24"/>
              </w:rPr>
              <w:t>30</w:t>
            </w:r>
          </w:p>
        </w:tc>
      </w:tr>
      <w:tr w14:paraId="2A15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1EF1A676">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900" w:type="dxa"/>
            <w:vAlign w:val="center"/>
          </w:tcPr>
          <w:p w14:paraId="378BAD7F">
            <w:pPr>
              <w:spacing w:line="360" w:lineRule="auto"/>
              <w:jc w:val="center"/>
              <w:rPr>
                <w:rFonts w:hint="eastAsia" w:ascii="宋体" w:hAnsi="宋体" w:eastAsia="宋体" w:cs="Times New Roman"/>
                <w:sz w:val="24"/>
              </w:rPr>
            </w:pPr>
          </w:p>
        </w:tc>
        <w:tc>
          <w:tcPr>
            <w:tcW w:w="0" w:type="auto"/>
            <w:vAlign w:val="center"/>
          </w:tcPr>
          <w:p w14:paraId="048BB68F">
            <w:pPr>
              <w:spacing w:line="360" w:lineRule="auto"/>
              <w:jc w:val="center"/>
              <w:rPr>
                <w:rFonts w:hint="eastAsia" w:ascii="宋体" w:hAnsi="宋体" w:eastAsia="宋体" w:cs="Times New Roman"/>
                <w:sz w:val="24"/>
              </w:rPr>
            </w:pPr>
          </w:p>
        </w:tc>
        <w:tc>
          <w:tcPr>
            <w:tcW w:w="0" w:type="auto"/>
            <w:vAlign w:val="center"/>
          </w:tcPr>
          <w:p w14:paraId="7EE7421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8E0859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2872B6AC">
            <w:pPr>
              <w:spacing w:line="360" w:lineRule="auto"/>
              <w:jc w:val="center"/>
              <w:rPr>
                <w:rFonts w:hint="eastAsia" w:ascii="宋体" w:hAnsi="宋体" w:eastAsia="宋体" w:cs="Times New Roman"/>
                <w:sz w:val="24"/>
              </w:rPr>
            </w:pPr>
          </w:p>
        </w:tc>
        <w:tc>
          <w:tcPr>
            <w:tcW w:w="0" w:type="auto"/>
            <w:vAlign w:val="center"/>
          </w:tcPr>
          <w:p w14:paraId="53D6A7C5">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6CEF0EC0">
            <w:pPr>
              <w:spacing w:line="360" w:lineRule="auto"/>
              <w:jc w:val="center"/>
              <w:rPr>
                <w:rFonts w:hint="eastAsia" w:ascii="宋体" w:hAnsi="宋体" w:eastAsia="宋体" w:cs="Times New Roman"/>
                <w:sz w:val="24"/>
              </w:rPr>
            </w:pPr>
            <w:r>
              <w:rPr>
                <w:rFonts w:hint="eastAsia" w:ascii="宋体" w:hAnsi="宋体" w:eastAsia="宋体" w:cs="Times New Roman"/>
                <w:sz w:val="24"/>
              </w:rPr>
              <w:t>30</w:t>
            </w:r>
          </w:p>
        </w:tc>
      </w:tr>
      <w:tr w14:paraId="58F4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1FBE7E31">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900" w:type="dxa"/>
            <w:vAlign w:val="center"/>
          </w:tcPr>
          <w:p w14:paraId="69FBDB64">
            <w:pPr>
              <w:spacing w:line="360" w:lineRule="auto"/>
              <w:jc w:val="center"/>
              <w:rPr>
                <w:rFonts w:hint="eastAsia" w:ascii="宋体" w:hAnsi="宋体" w:eastAsia="宋体" w:cs="Times New Roman"/>
                <w:sz w:val="24"/>
              </w:rPr>
            </w:pPr>
          </w:p>
        </w:tc>
        <w:tc>
          <w:tcPr>
            <w:tcW w:w="0" w:type="auto"/>
            <w:vAlign w:val="center"/>
          </w:tcPr>
          <w:p w14:paraId="7E1C7101">
            <w:pPr>
              <w:spacing w:line="360" w:lineRule="auto"/>
              <w:jc w:val="center"/>
              <w:rPr>
                <w:rFonts w:hint="eastAsia" w:ascii="宋体" w:hAnsi="宋体" w:eastAsia="宋体" w:cs="Times New Roman"/>
                <w:sz w:val="24"/>
              </w:rPr>
            </w:pPr>
          </w:p>
        </w:tc>
        <w:tc>
          <w:tcPr>
            <w:tcW w:w="0" w:type="auto"/>
            <w:vAlign w:val="center"/>
          </w:tcPr>
          <w:p w14:paraId="24281FDD">
            <w:pPr>
              <w:spacing w:line="360" w:lineRule="auto"/>
              <w:jc w:val="center"/>
              <w:rPr>
                <w:rFonts w:hint="eastAsia" w:ascii="宋体" w:hAnsi="宋体" w:eastAsia="宋体" w:cs="Times New Roman"/>
                <w:sz w:val="24"/>
              </w:rPr>
            </w:pPr>
          </w:p>
        </w:tc>
        <w:tc>
          <w:tcPr>
            <w:tcW w:w="0" w:type="auto"/>
            <w:vAlign w:val="center"/>
          </w:tcPr>
          <w:p w14:paraId="325B155D">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6B4F4D7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C5C201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5487D1B">
            <w:pPr>
              <w:spacing w:line="360" w:lineRule="auto"/>
              <w:jc w:val="center"/>
              <w:rPr>
                <w:rFonts w:hint="eastAsia" w:ascii="宋体" w:hAnsi="宋体" w:eastAsia="宋体" w:cs="Times New Roman"/>
                <w:sz w:val="24"/>
              </w:rPr>
            </w:pPr>
            <w:r>
              <w:rPr>
                <w:rFonts w:hint="eastAsia" w:ascii="宋体" w:hAnsi="宋体" w:eastAsia="宋体" w:cs="Times New Roman"/>
                <w:sz w:val="24"/>
              </w:rPr>
              <w:t>40</w:t>
            </w:r>
          </w:p>
        </w:tc>
      </w:tr>
      <w:tr w14:paraId="3DF1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FEFE2AD">
            <w:pPr>
              <w:spacing w:line="360"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900" w:type="dxa"/>
            <w:vAlign w:val="center"/>
          </w:tcPr>
          <w:p w14:paraId="20D7D0BB">
            <w:pPr>
              <w:spacing w:line="360" w:lineRule="auto"/>
              <w:jc w:val="center"/>
              <w:rPr>
                <w:rFonts w:hint="eastAsia" w:ascii="宋体" w:hAnsi="宋体" w:eastAsia="宋体" w:cs="Times New Roman"/>
                <w:sz w:val="24"/>
              </w:rPr>
            </w:pPr>
          </w:p>
        </w:tc>
        <w:tc>
          <w:tcPr>
            <w:tcW w:w="0" w:type="auto"/>
            <w:vAlign w:val="center"/>
          </w:tcPr>
          <w:p w14:paraId="126F4D29">
            <w:pPr>
              <w:spacing w:line="360" w:lineRule="auto"/>
              <w:jc w:val="center"/>
              <w:rPr>
                <w:rFonts w:hint="eastAsia" w:ascii="宋体" w:hAnsi="宋体" w:eastAsia="宋体" w:cs="Times New Roman"/>
                <w:sz w:val="24"/>
              </w:rPr>
            </w:pPr>
          </w:p>
        </w:tc>
        <w:tc>
          <w:tcPr>
            <w:tcW w:w="0" w:type="auto"/>
            <w:vAlign w:val="center"/>
          </w:tcPr>
          <w:p w14:paraId="52EFCC59">
            <w:pPr>
              <w:spacing w:line="360" w:lineRule="auto"/>
              <w:jc w:val="center"/>
              <w:rPr>
                <w:rFonts w:hint="eastAsia" w:ascii="宋体" w:hAnsi="宋体" w:eastAsia="宋体" w:cs="Times New Roman"/>
                <w:sz w:val="24"/>
              </w:rPr>
            </w:pPr>
          </w:p>
        </w:tc>
        <w:tc>
          <w:tcPr>
            <w:tcW w:w="0" w:type="auto"/>
            <w:vAlign w:val="center"/>
          </w:tcPr>
          <w:p w14:paraId="547F63D9">
            <w:pPr>
              <w:spacing w:line="360" w:lineRule="auto"/>
              <w:jc w:val="center"/>
              <w:rPr>
                <w:rFonts w:hint="eastAsia" w:ascii="宋体" w:hAnsi="宋体" w:eastAsia="宋体" w:cs="Times New Roman"/>
                <w:sz w:val="24"/>
              </w:rPr>
            </w:pPr>
          </w:p>
        </w:tc>
        <w:tc>
          <w:tcPr>
            <w:tcW w:w="0" w:type="auto"/>
            <w:vAlign w:val="center"/>
          </w:tcPr>
          <w:p w14:paraId="36265CCA">
            <w:pPr>
              <w:spacing w:line="360" w:lineRule="auto"/>
              <w:jc w:val="center"/>
              <w:rPr>
                <w:rFonts w:hint="eastAsia" w:ascii="宋体" w:hAnsi="宋体" w:eastAsia="宋体" w:cs="Times New Roman"/>
                <w:sz w:val="24"/>
              </w:rPr>
            </w:pPr>
          </w:p>
        </w:tc>
        <w:tc>
          <w:tcPr>
            <w:tcW w:w="0" w:type="auto"/>
          </w:tcPr>
          <w:p w14:paraId="78C28CDE">
            <w:pPr>
              <w:spacing w:line="360" w:lineRule="auto"/>
              <w:jc w:val="center"/>
              <w:rPr>
                <w:rFonts w:hint="eastAsia" w:ascii="宋体" w:hAnsi="宋体" w:eastAsia="宋体" w:cs="Times New Roman"/>
                <w:sz w:val="24"/>
              </w:rPr>
            </w:pPr>
          </w:p>
        </w:tc>
        <w:tc>
          <w:tcPr>
            <w:tcW w:w="0" w:type="auto"/>
            <w:vAlign w:val="center"/>
          </w:tcPr>
          <w:p w14:paraId="5AA31888">
            <w:pPr>
              <w:spacing w:line="360"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6348602C">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6A9E6959">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5A3C74B7">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7052"/>
        <w:gridCol w:w="776"/>
      </w:tblGrid>
      <w:tr w14:paraId="53DC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C567435">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7141" w:type="dxa"/>
            <w:vAlign w:val="center"/>
          </w:tcPr>
          <w:p w14:paraId="7BB50C63">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6BA92AD2">
            <w:pPr>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20D8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55DA064C">
            <w:pPr>
              <w:rPr>
                <w:rFonts w:hint="eastAsia" w:ascii="宋体" w:hAnsi="宋体" w:eastAsia="宋体" w:cs="Times New Roman"/>
                <w:sz w:val="24"/>
              </w:rPr>
            </w:pPr>
            <w:r>
              <w:rPr>
                <w:rFonts w:hint="eastAsia" w:ascii="宋体" w:hAnsi="宋体" w:eastAsia="宋体"/>
                <w:sz w:val="24"/>
              </w:rPr>
              <w:t>课堂表现</w:t>
            </w:r>
          </w:p>
        </w:tc>
        <w:tc>
          <w:tcPr>
            <w:tcW w:w="7141" w:type="dxa"/>
          </w:tcPr>
          <w:p w14:paraId="28306455">
            <w:pPr>
              <w:spacing w:line="264" w:lineRule="auto"/>
              <w:jc w:val="left"/>
              <w:rPr>
                <w:rFonts w:hint="eastAsia" w:ascii="宋体" w:hAnsi="宋体" w:eastAsia="宋体" w:cs="Times New Roman"/>
                <w:sz w:val="24"/>
              </w:rPr>
            </w:pPr>
            <w:r>
              <w:rPr>
                <w:rFonts w:hint="eastAsia" w:ascii="宋体" w:hAnsi="宋体" w:eastAsia="宋体"/>
                <w:sz w:val="24"/>
              </w:rPr>
              <w:t>包括课题考勤和课堂参与情况：迟到一次扣2分，无故缺席一次扣5分，累计达3次以上取消课程成绩；课堂参与情况通过实验操作、课堂讨论与交流表现进行综合评定。</w:t>
            </w:r>
          </w:p>
        </w:tc>
        <w:tc>
          <w:tcPr>
            <w:tcW w:w="0" w:type="auto"/>
          </w:tcPr>
          <w:p w14:paraId="6385D8BC">
            <w:pPr>
              <w:jc w:val="center"/>
              <w:rPr>
                <w:rFonts w:hint="eastAsia" w:ascii="宋体" w:hAnsi="宋体" w:eastAsia="宋体" w:cs="Times New Roman"/>
                <w:sz w:val="24"/>
              </w:rPr>
            </w:pPr>
            <w:r>
              <w:rPr>
                <w:rFonts w:hint="eastAsia" w:ascii="宋体" w:hAnsi="宋体" w:eastAsia="宋体"/>
                <w:sz w:val="24"/>
              </w:rPr>
              <w:t>10%</w:t>
            </w:r>
          </w:p>
        </w:tc>
      </w:tr>
      <w:tr w14:paraId="39E6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2D886996">
            <w:pPr>
              <w:rPr>
                <w:rFonts w:hint="eastAsia" w:ascii="宋体" w:hAnsi="宋体" w:eastAsia="宋体" w:cs="Times New Roman"/>
                <w:sz w:val="24"/>
              </w:rPr>
            </w:pPr>
            <w:r>
              <w:rPr>
                <w:rFonts w:hint="eastAsia" w:ascii="宋体" w:hAnsi="宋体" w:eastAsia="宋体"/>
                <w:sz w:val="24"/>
              </w:rPr>
              <w:t>实验报告</w:t>
            </w:r>
          </w:p>
        </w:tc>
        <w:tc>
          <w:tcPr>
            <w:tcW w:w="7141" w:type="dxa"/>
          </w:tcPr>
          <w:p w14:paraId="65476087">
            <w:pPr>
              <w:widowControl/>
              <w:spacing w:line="264" w:lineRule="auto"/>
              <w:jc w:val="left"/>
              <w:rPr>
                <w:rFonts w:hint="eastAsia" w:ascii="宋体" w:hAnsi="宋体" w:eastAsia="宋体" w:cs="Times New Roman"/>
                <w:sz w:val="24"/>
              </w:rPr>
            </w:pPr>
            <w:r>
              <w:rPr>
                <w:rFonts w:hint="eastAsia" w:ascii="宋体" w:hAnsi="宋体" w:eastAsia="宋体"/>
                <w:sz w:val="24"/>
              </w:rPr>
              <w:t>学生在实验过程中完成的实验报告，主要考核实验数据记录的完整性、分析的逻辑性以及总结的科学性，报告是否符合小学科学教学的目标和要求。</w:t>
            </w:r>
          </w:p>
        </w:tc>
        <w:tc>
          <w:tcPr>
            <w:tcW w:w="0" w:type="auto"/>
          </w:tcPr>
          <w:p w14:paraId="7E4F0E5B">
            <w:pPr>
              <w:jc w:val="center"/>
              <w:rPr>
                <w:rFonts w:hint="eastAsia" w:ascii="宋体" w:hAnsi="宋体" w:eastAsia="宋体" w:cs="Times New Roman"/>
                <w:sz w:val="24"/>
              </w:rPr>
            </w:pPr>
            <w:r>
              <w:rPr>
                <w:rFonts w:hint="eastAsia" w:ascii="宋体" w:hAnsi="宋体" w:eastAsia="宋体"/>
                <w:sz w:val="24"/>
              </w:rPr>
              <w:t>10%</w:t>
            </w:r>
          </w:p>
        </w:tc>
      </w:tr>
      <w:tr w14:paraId="4A50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0C04F4B">
            <w:pPr>
              <w:rPr>
                <w:rFonts w:hint="eastAsia" w:ascii="宋体" w:hAnsi="宋体" w:eastAsia="宋体" w:cs="Times New Roman"/>
                <w:sz w:val="24"/>
              </w:rPr>
            </w:pPr>
            <w:r>
              <w:rPr>
                <w:rFonts w:hint="eastAsia" w:ascii="宋体" w:hAnsi="宋体" w:eastAsia="宋体"/>
                <w:sz w:val="24"/>
              </w:rPr>
              <w:t>实验作品</w:t>
            </w:r>
          </w:p>
        </w:tc>
        <w:tc>
          <w:tcPr>
            <w:tcW w:w="7141" w:type="dxa"/>
          </w:tcPr>
          <w:p w14:paraId="4CAED8B2">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sz w:val="24"/>
              </w:rPr>
              <w:t>针对实验课程设计并完成的作品，主要考查学生作品的科学性、创新性及教学适用性，包括实验模型制作或实验展示等成果，评分注重作品对小学科学教学的实际指导意义。</w:t>
            </w:r>
          </w:p>
        </w:tc>
        <w:tc>
          <w:tcPr>
            <w:tcW w:w="0" w:type="auto"/>
          </w:tcPr>
          <w:p w14:paraId="6ABC0671">
            <w:pPr>
              <w:jc w:val="center"/>
              <w:rPr>
                <w:rFonts w:hint="eastAsia" w:ascii="宋体" w:hAnsi="宋体" w:eastAsia="宋体" w:cs="Times New Roman"/>
                <w:sz w:val="24"/>
              </w:rPr>
            </w:pPr>
            <w:r>
              <w:rPr>
                <w:rFonts w:hint="eastAsia" w:ascii="宋体" w:hAnsi="宋体" w:eastAsia="宋体"/>
                <w:sz w:val="24"/>
              </w:rPr>
              <w:t>10%</w:t>
            </w:r>
          </w:p>
        </w:tc>
      </w:tr>
      <w:tr w14:paraId="7358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EBB7591">
            <w:pPr>
              <w:rPr>
                <w:rFonts w:hint="eastAsia" w:ascii="宋体" w:hAnsi="宋体" w:eastAsia="宋体" w:cs="Times New Roman"/>
                <w:sz w:val="24"/>
              </w:rPr>
            </w:pPr>
            <w:r>
              <w:rPr>
                <w:rFonts w:hint="eastAsia" w:ascii="宋体" w:hAnsi="宋体" w:eastAsia="宋体"/>
                <w:sz w:val="24"/>
              </w:rPr>
              <w:t>实验教学设计</w:t>
            </w:r>
          </w:p>
        </w:tc>
        <w:tc>
          <w:tcPr>
            <w:tcW w:w="7141" w:type="dxa"/>
          </w:tcPr>
          <w:p w14:paraId="789A319C">
            <w:pPr>
              <w:widowControl/>
              <w:spacing w:line="264" w:lineRule="auto"/>
              <w:jc w:val="left"/>
              <w:rPr>
                <w:rFonts w:hint="eastAsia" w:ascii="宋体" w:hAnsi="宋体" w:eastAsia="宋体" w:cs="宋体"/>
                <w:color w:val="000000"/>
                <w:kern w:val="0"/>
                <w:sz w:val="24"/>
                <w:lang w:bidi="ar"/>
              </w:rPr>
            </w:pPr>
            <w:r>
              <w:rPr>
                <w:rFonts w:ascii="宋体" w:hAnsi="宋体" w:eastAsia="宋体"/>
                <w:sz w:val="24"/>
              </w:rPr>
              <w:t>根据实验内容完成的教学设计，评分依据为设计的科学性、合理性、创新性及其在课堂中的实际应用价值，考察学生科学知识与教学方法的整合能力。</w:t>
            </w:r>
          </w:p>
        </w:tc>
        <w:tc>
          <w:tcPr>
            <w:tcW w:w="0" w:type="auto"/>
          </w:tcPr>
          <w:p w14:paraId="4E6E2A47">
            <w:pPr>
              <w:jc w:val="center"/>
              <w:rPr>
                <w:rFonts w:hint="eastAsia" w:ascii="宋体" w:hAnsi="宋体" w:eastAsia="宋体" w:cs="Times New Roman"/>
                <w:sz w:val="24"/>
              </w:rPr>
            </w:pPr>
            <w:r>
              <w:rPr>
                <w:rFonts w:hint="eastAsia" w:ascii="宋体" w:hAnsi="宋体" w:eastAsia="宋体"/>
                <w:sz w:val="24"/>
              </w:rPr>
              <w:t>10%</w:t>
            </w:r>
          </w:p>
        </w:tc>
      </w:tr>
      <w:tr w14:paraId="414E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2F23F6DE">
            <w:pPr>
              <w:rPr>
                <w:rFonts w:hint="eastAsia" w:ascii="宋体" w:hAnsi="宋体" w:eastAsia="宋体" w:cs="Times New Roman"/>
                <w:sz w:val="24"/>
              </w:rPr>
            </w:pPr>
            <w:r>
              <w:rPr>
                <w:rFonts w:hint="eastAsia" w:ascii="宋体" w:hAnsi="宋体" w:eastAsia="宋体"/>
                <w:sz w:val="24"/>
              </w:rPr>
              <w:t>实验教学演示</w:t>
            </w:r>
          </w:p>
        </w:tc>
        <w:tc>
          <w:tcPr>
            <w:tcW w:w="7141" w:type="dxa"/>
          </w:tcPr>
          <w:p w14:paraId="11C28149">
            <w:pPr>
              <w:spacing w:line="264" w:lineRule="auto"/>
              <w:jc w:val="left"/>
              <w:rPr>
                <w:rFonts w:hint="eastAsia" w:ascii="宋体" w:hAnsi="宋体" w:eastAsia="宋体" w:cs="Times New Roman"/>
                <w:sz w:val="24"/>
              </w:rPr>
            </w:pPr>
            <w:r>
              <w:rPr>
                <w:rFonts w:hint="eastAsia" w:ascii="宋体" w:hAnsi="宋体" w:eastAsia="宋体"/>
                <w:sz w:val="24"/>
              </w:rPr>
              <w:t>通过模拟课堂或实验指导环节进行演示，考察学生的课堂教学组织能力、实验指导能力以及与学生互动的表现，注重教学语言、表达逻辑和实验操作演示的流畅性。</w:t>
            </w:r>
          </w:p>
        </w:tc>
        <w:tc>
          <w:tcPr>
            <w:tcW w:w="0" w:type="auto"/>
          </w:tcPr>
          <w:p w14:paraId="6DE690CD">
            <w:pPr>
              <w:jc w:val="center"/>
              <w:rPr>
                <w:rFonts w:hint="eastAsia" w:ascii="宋体" w:hAnsi="宋体" w:eastAsia="宋体" w:cs="Times New Roman"/>
                <w:sz w:val="24"/>
              </w:rPr>
            </w:pPr>
            <w:r>
              <w:rPr>
                <w:rFonts w:hint="eastAsia" w:ascii="宋体" w:hAnsi="宋体" w:eastAsia="宋体"/>
                <w:sz w:val="24"/>
              </w:rPr>
              <w:t>10%</w:t>
            </w:r>
          </w:p>
        </w:tc>
      </w:tr>
      <w:tr w14:paraId="615B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A565F17">
            <w:pPr>
              <w:rPr>
                <w:rFonts w:hint="eastAsia" w:ascii="宋体" w:hAnsi="宋体" w:eastAsia="宋体" w:cs="Times New Roman"/>
                <w:sz w:val="24"/>
              </w:rPr>
            </w:pPr>
            <w:r>
              <w:rPr>
                <w:rFonts w:hint="eastAsia" w:ascii="宋体" w:hAnsi="宋体" w:eastAsia="宋体"/>
                <w:sz w:val="24"/>
              </w:rPr>
              <w:t>期末考试</w:t>
            </w:r>
          </w:p>
        </w:tc>
        <w:tc>
          <w:tcPr>
            <w:tcW w:w="7141" w:type="dxa"/>
          </w:tcPr>
          <w:p w14:paraId="0E8AF33D">
            <w:pPr>
              <w:spacing w:line="264" w:lineRule="auto"/>
              <w:jc w:val="left"/>
              <w:rPr>
                <w:rFonts w:hint="eastAsia" w:ascii="宋体" w:hAnsi="宋体" w:eastAsia="宋体"/>
                <w:sz w:val="24"/>
              </w:rPr>
            </w:pPr>
            <w:r>
              <w:rPr>
                <w:rFonts w:ascii="宋体" w:hAnsi="宋体" w:eastAsia="宋体"/>
                <w:sz w:val="24"/>
              </w:rPr>
              <w:t>试卷题型包括C-STEAM教学设计、简答题和案例分析题，以卷面成绩的50%计入课程总成绩。具体分值分配如下：C-STEAM教学设计</w:t>
            </w:r>
            <w:r>
              <w:rPr>
                <w:rFonts w:hint="eastAsia" w:ascii="宋体" w:hAnsi="宋体" w:eastAsia="宋体"/>
                <w:sz w:val="24"/>
              </w:rPr>
              <w:t>占</w:t>
            </w:r>
            <w:r>
              <w:rPr>
                <w:rFonts w:ascii="宋体" w:hAnsi="宋体" w:eastAsia="宋体"/>
                <w:sz w:val="24"/>
              </w:rPr>
              <w:t>60%</w:t>
            </w:r>
            <w:r>
              <w:rPr>
                <w:rFonts w:hint="eastAsia" w:ascii="宋体" w:hAnsi="宋体" w:eastAsia="宋体"/>
                <w:sz w:val="24"/>
              </w:rPr>
              <w:t>，</w:t>
            </w:r>
            <w:r>
              <w:rPr>
                <w:rFonts w:ascii="宋体" w:hAnsi="宋体" w:eastAsia="宋体"/>
                <w:sz w:val="24"/>
              </w:rPr>
              <w:t>重点考核学生设计跨学科综合性教学活动的能力</w:t>
            </w:r>
            <w:r>
              <w:rPr>
                <w:rFonts w:hint="eastAsia" w:ascii="宋体" w:hAnsi="宋体" w:eastAsia="宋体"/>
                <w:sz w:val="24"/>
              </w:rPr>
              <w:t>；</w:t>
            </w:r>
            <w:r>
              <w:rPr>
                <w:rFonts w:ascii="宋体" w:hAnsi="宋体" w:eastAsia="宋体"/>
                <w:sz w:val="24"/>
              </w:rPr>
              <w:t>答题</w:t>
            </w:r>
            <w:r>
              <w:rPr>
                <w:rFonts w:hint="eastAsia" w:ascii="宋体" w:hAnsi="宋体" w:eastAsia="宋体"/>
                <w:sz w:val="24"/>
              </w:rPr>
              <w:t>占</w:t>
            </w:r>
            <w:r>
              <w:rPr>
                <w:rFonts w:ascii="宋体" w:hAnsi="宋体" w:eastAsia="宋体"/>
                <w:sz w:val="24"/>
              </w:rPr>
              <w:t>20%</w:t>
            </w:r>
            <w:r>
              <w:rPr>
                <w:rFonts w:hint="eastAsia" w:ascii="宋体" w:hAnsi="宋体" w:eastAsia="宋体"/>
                <w:sz w:val="24"/>
              </w:rPr>
              <w:t>，</w:t>
            </w:r>
            <w:r>
              <w:rPr>
                <w:rFonts w:ascii="宋体" w:hAnsi="宋体" w:eastAsia="宋体"/>
                <w:sz w:val="24"/>
              </w:rPr>
              <w:t>重点考核学生对科学知识、方法及其教学运用的理解</w:t>
            </w:r>
            <w:r>
              <w:rPr>
                <w:rFonts w:hint="eastAsia" w:ascii="宋体" w:hAnsi="宋体" w:eastAsia="宋体"/>
                <w:sz w:val="24"/>
              </w:rPr>
              <w:t>；</w:t>
            </w:r>
            <w:r>
              <w:rPr>
                <w:rFonts w:ascii="宋体" w:hAnsi="宋体" w:eastAsia="宋体"/>
                <w:sz w:val="24"/>
              </w:rPr>
              <w:t>案例分析题占20%，评估学生的教学反思能力和设计优化能力</w:t>
            </w:r>
          </w:p>
          <w:p w14:paraId="03A224A2">
            <w:pPr>
              <w:spacing w:line="264" w:lineRule="auto"/>
              <w:jc w:val="left"/>
              <w:rPr>
                <w:rFonts w:hint="eastAsia" w:ascii="宋体" w:hAnsi="宋体" w:eastAsia="宋体" w:cs="Times New Roman"/>
                <w:sz w:val="24"/>
              </w:rPr>
            </w:pPr>
          </w:p>
        </w:tc>
        <w:tc>
          <w:tcPr>
            <w:tcW w:w="0" w:type="auto"/>
          </w:tcPr>
          <w:p w14:paraId="7E641A8A">
            <w:pPr>
              <w:jc w:val="center"/>
              <w:rPr>
                <w:rFonts w:hint="eastAsia" w:ascii="宋体" w:hAnsi="宋体" w:eastAsia="宋体" w:cs="Times New Roman"/>
                <w:sz w:val="24"/>
              </w:rPr>
            </w:pPr>
            <w:r>
              <w:rPr>
                <w:rFonts w:hint="eastAsia" w:ascii="宋体" w:hAnsi="宋体" w:eastAsia="宋体"/>
                <w:sz w:val="24"/>
              </w:rPr>
              <w:t>50%</w:t>
            </w:r>
          </w:p>
        </w:tc>
      </w:tr>
      <w:tr w14:paraId="0803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C793D14">
            <w:pPr>
              <w:jc w:val="center"/>
              <w:rPr>
                <w:rFonts w:ascii="Times New Roman" w:hAnsi="Times New Roman" w:eastAsia="宋体" w:cs="Times New Roman"/>
                <w:b/>
                <w:bCs/>
                <w:sz w:val="24"/>
              </w:rPr>
            </w:pPr>
            <w:r>
              <w:rPr>
                <w:rFonts w:hint="eastAsia" w:ascii="Times New Roman" w:hAnsi="Times New Roman" w:eastAsia="宋体" w:cs="Times New Roman"/>
                <w:b/>
                <w:bCs/>
                <w:sz w:val="24"/>
              </w:rPr>
              <w:t>合计</w:t>
            </w:r>
          </w:p>
        </w:tc>
        <w:tc>
          <w:tcPr>
            <w:tcW w:w="0" w:type="auto"/>
            <w:vAlign w:val="center"/>
          </w:tcPr>
          <w:p w14:paraId="52291429">
            <w:pPr>
              <w:jc w:val="left"/>
              <w:rPr>
                <w:rFonts w:ascii="Times New Roman" w:hAnsi="Times New Roman" w:eastAsia="宋体" w:cs="Times New Roman"/>
                <w:sz w:val="24"/>
              </w:rPr>
            </w:pPr>
          </w:p>
        </w:tc>
        <w:tc>
          <w:tcPr>
            <w:tcW w:w="0" w:type="auto"/>
            <w:vAlign w:val="center"/>
          </w:tcPr>
          <w:p w14:paraId="0CF75851">
            <w:pPr>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15B7DEFF">
      <w:pPr>
        <w:spacing w:line="360" w:lineRule="auto"/>
        <w:jc w:val="left"/>
        <w:rPr>
          <w:rFonts w:hint="eastAsia" w:ascii="宋体" w:hAnsi="宋体" w:eastAsia="宋体" w:cs="Times New Roman"/>
          <w:b/>
          <w:color w:val="000000"/>
          <w:sz w:val="24"/>
        </w:rPr>
      </w:pPr>
    </w:p>
    <w:p w14:paraId="49F2A3AB">
      <w:pPr>
        <w:spacing w:line="360" w:lineRule="auto"/>
        <w:jc w:val="left"/>
        <w:rPr>
          <w:rFonts w:hint="eastAsia" w:ascii="宋体" w:hAnsi="宋体" w:eastAsia="宋体" w:cs="Times New Roman"/>
          <w:b/>
          <w:color w:val="000000"/>
          <w:sz w:val="24"/>
        </w:rPr>
      </w:pPr>
      <w:bookmarkStart w:id="265" w:name="_Hlk186381662"/>
      <w:r>
        <w:rPr>
          <w:rFonts w:hint="eastAsia" w:ascii="宋体" w:hAnsi="宋体" w:eastAsia="宋体" w:cs="Times New Roman"/>
          <w:b/>
          <w:color w:val="000000"/>
          <w:sz w:val="24"/>
        </w:rPr>
        <w:t>（三）课程目标达成度计算方法</w:t>
      </w:r>
    </w:p>
    <w:p w14:paraId="7C7DB873">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7E1A121A">
      <w:pPr>
        <w:spacing w:before="156" w:beforeLines="50"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object>
          <v:shape id="_x0000_i1073" o:spt="75" type="#_x0000_t75" style="height:25.15pt;width:405pt;" o:ole="t" filled="f" o:preferrelative="t" stroked="f" coordsize="21600,21600">
            <v:path/>
            <v:fill on="f" focussize="0,0"/>
            <v:stroke on="f" joinstyle="miter"/>
            <v:imagedata r:id="rId5" o:title=""/>
            <o:lock v:ext="edit" aspectratio="t"/>
            <w10:wrap type="none"/>
            <w10:anchorlock/>
          </v:shape>
          <o:OLEObject Type="Embed" ProgID="Equation.3" ShapeID="_x0000_i1073" DrawAspect="Content" ObjectID="_1468075773" r:id="rId59">
            <o:LockedField>false</o:LockedField>
          </o:OLEObject>
        </w:object>
      </w:r>
    </w:p>
    <w:bookmarkEnd w:id="265"/>
    <w:p w14:paraId="4935793D">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课程实践</w:t>
      </w:r>
    </w:p>
    <w:p w14:paraId="2378F480">
      <w:pPr>
        <w:spacing w:after="156" w:afterLines="50" w:line="360" w:lineRule="auto"/>
        <w:ind w:firstLine="480" w:firstLineChars="200"/>
        <w:rPr>
          <w:rFonts w:hint="eastAsia" w:ascii="宋体" w:hAnsi="宋体" w:eastAsia="宋体"/>
          <w:sz w:val="24"/>
        </w:rPr>
      </w:pPr>
      <w:r>
        <w:rPr>
          <w:rFonts w:hint="eastAsia" w:ascii="宋体" w:hAnsi="宋体" w:eastAsia="宋体"/>
          <w:sz w:val="24"/>
        </w:rPr>
        <w:t>本课程在系统教学的基础上，以学生为主题，整合各类教育资源，科学设计实践活动，丰富教育教学形式，提升教育教学效果，从而实现思政育人。</w:t>
      </w:r>
    </w:p>
    <w:p w14:paraId="72489615">
      <w:pPr>
        <w:spacing w:line="276" w:lineRule="auto"/>
        <w:ind w:firstLine="482" w:firstLineChars="200"/>
        <w:jc w:val="center"/>
        <w:rPr>
          <w:rFonts w:hint="eastAsia" w:ascii="宋体" w:hAnsi="宋体" w:eastAsia="宋体" w:cs="宋体"/>
          <w:b/>
          <w:bCs/>
          <w:sz w:val="24"/>
        </w:rPr>
      </w:pPr>
      <w:r>
        <w:rPr>
          <w:rFonts w:hint="eastAsia" w:ascii="宋体" w:hAnsi="宋体" w:eastAsia="宋体" w:cs="宋体"/>
          <w:b/>
          <w:bCs/>
          <w:sz w:val="24"/>
        </w:rPr>
        <w:t>过程学习及考核与思政教育</w:t>
      </w:r>
    </w:p>
    <w:tbl>
      <w:tblPr>
        <w:tblStyle w:val="2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4170"/>
        <w:gridCol w:w="1276"/>
        <w:gridCol w:w="1861"/>
      </w:tblGrid>
      <w:tr w14:paraId="47FE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5B29DAF">
            <w:pPr>
              <w:spacing w:line="240" w:lineRule="exact"/>
              <w:jc w:val="center"/>
              <w:rPr>
                <w:rFonts w:hint="eastAsia" w:ascii="宋体" w:hAnsi="宋体" w:eastAsia="宋体" w:cs="宋体"/>
                <w:b/>
                <w:bCs/>
                <w:sz w:val="24"/>
              </w:rPr>
            </w:pPr>
            <w:r>
              <w:rPr>
                <w:rFonts w:hint="eastAsia" w:ascii="宋体" w:hAnsi="宋体" w:eastAsia="宋体" w:cs="宋体"/>
                <w:b/>
                <w:bCs/>
                <w:sz w:val="24"/>
              </w:rPr>
              <w:t>活动主题</w:t>
            </w:r>
          </w:p>
        </w:tc>
        <w:tc>
          <w:tcPr>
            <w:tcW w:w="4170" w:type="dxa"/>
            <w:vAlign w:val="center"/>
          </w:tcPr>
          <w:p w14:paraId="10583EBC">
            <w:pPr>
              <w:spacing w:line="240" w:lineRule="exact"/>
              <w:jc w:val="center"/>
              <w:rPr>
                <w:rFonts w:hint="eastAsia" w:ascii="宋体" w:hAnsi="宋体" w:eastAsia="宋体" w:cs="宋体"/>
                <w:b/>
                <w:bCs/>
                <w:sz w:val="24"/>
              </w:rPr>
            </w:pPr>
            <w:r>
              <w:rPr>
                <w:rFonts w:hint="eastAsia" w:ascii="宋体" w:hAnsi="宋体" w:eastAsia="宋体" w:cs="宋体"/>
                <w:b/>
                <w:bCs/>
                <w:sz w:val="24"/>
              </w:rPr>
              <w:t>活动内容</w:t>
            </w:r>
          </w:p>
        </w:tc>
        <w:tc>
          <w:tcPr>
            <w:tcW w:w="1276" w:type="dxa"/>
            <w:vAlign w:val="center"/>
          </w:tcPr>
          <w:p w14:paraId="246B64F3">
            <w:pPr>
              <w:spacing w:line="240" w:lineRule="exact"/>
              <w:jc w:val="center"/>
              <w:rPr>
                <w:rFonts w:hint="eastAsia" w:ascii="宋体" w:hAnsi="宋体" w:eastAsia="宋体" w:cs="宋体"/>
                <w:b/>
                <w:bCs/>
                <w:sz w:val="24"/>
              </w:rPr>
            </w:pPr>
            <w:r>
              <w:rPr>
                <w:rFonts w:hint="eastAsia" w:ascii="宋体" w:hAnsi="宋体" w:eastAsia="宋体" w:cs="宋体"/>
                <w:b/>
                <w:bCs/>
                <w:sz w:val="24"/>
              </w:rPr>
              <w:t>活动方式</w:t>
            </w:r>
          </w:p>
        </w:tc>
        <w:tc>
          <w:tcPr>
            <w:tcW w:w="1861" w:type="dxa"/>
            <w:vAlign w:val="center"/>
          </w:tcPr>
          <w:p w14:paraId="470C9006">
            <w:pPr>
              <w:spacing w:line="240" w:lineRule="exact"/>
              <w:jc w:val="center"/>
              <w:rPr>
                <w:rFonts w:hint="eastAsia" w:ascii="宋体" w:hAnsi="宋体" w:eastAsia="宋体" w:cs="宋体"/>
                <w:b/>
                <w:bCs/>
                <w:sz w:val="24"/>
              </w:rPr>
            </w:pPr>
            <w:r>
              <w:rPr>
                <w:rFonts w:hint="eastAsia" w:ascii="宋体" w:hAnsi="宋体" w:eastAsia="宋体" w:cs="宋体"/>
                <w:b/>
                <w:bCs/>
                <w:sz w:val="24"/>
              </w:rPr>
              <w:t>对应课程目标或思政目标</w:t>
            </w:r>
          </w:p>
        </w:tc>
      </w:tr>
      <w:tr w14:paraId="7DD9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tcPr>
          <w:p w14:paraId="79B3763C">
            <w:pPr>
              <w:spacing w:line="276" w:lineRule="auto"/>
              <w:jc w:val="left"/>
              <w:rPr>
                <w:rFonts w:hint="eastAsia" w:ascii="宋体" w:hAnsi="宋体" w:eastAsia="宋体" w:cs="宋体"/>
                <w:sz w:val="24"/>
              </w:rPr>
            </w:pPr>
            <w:r>
              <w:rPr>
                <w:rFonts w:hint="eastAsia" w:ascii="宋体" w:hAnsi="宋体" w:eastAsia="宋体" w:cs="Times New Roman"/>
                <w:sz w:val="24"/>
              </w:rPr>
              <w:t>叶脉标本、骨骼标本的制作</w:t>
            </w:r>
          </w:p>
        </w:tc>
        <w:tc>
          <w:tcPr>
            <w:tcW w:w="4170" w:type="dxa"/>
          </w:tcPr>
          <w:p w14:paraId="74CBCE49">
            <w:pPr>
              <w:spacing w:line="276" w:lineRule="auto"/>
              <w:jc w:val="left"/>
              <w:rPr>
                <w:rFonts w:hint="eastAsia" w:ascii="宋体" w:hAnsi="宋体" w:eastAsia="宋体" w:cs="宋体"/>
                <w:sz w:val="24"/>
              </w:rPr>
            </w:pPr>
            <w:r>
              <w:rPr>
                <w:rFonts w:hint="eastAsia" w:ascii="宋体" w:hAnsi="宋体" w:eastAsia="宋体" w:cs="Times New Roman"/>
                <w:sz w:val="24"/>
              </w:rPr>
              <w:t>学会制作完整叶脉标本，并发挥创意对叶脉进行染色和包装；掌握生物标本制作方法，制作出完好的鲫鱼骨骼标本，培养动手能力和细致观察能力。</w:t>
            </w:r>
          </w:p>
        </w:tc>
        <w:tc>
          <w:tcPr>
            <w:tcW w:w="1276" w:type="dxa"/>
          </w:tcPr>
          <w:p w14:paraId="49B5B557">
            <w:pPr>
              <w:spacing w:line="276" w:lineRule="auto"/>
              <w:jc w:val="center"/>
              <w:rPr>
                <w:rFonts w:hint="eastAsia" w:ascii="宋体" w:hAnsi="宋体" w:eastAsia="宋体" w:cs="宋体"/>
                <w:sz w:val="24"/>
              </w:rPr>
            </w:pPr>
            <w:r>
              <w:rPr>
                <w:rFonts w:hint="eastAsia" w:ascii="宋体" w:hAnsi="宋体" w:eastAsia="宋体" w:cs="Times New Roman"/>
                <w:sz w:val="24"/>
              </w:rPr>
              <w:t>4</w:t>
            </w:r>
          </w:p>
        </w:tc>
        <w:tc>
          <w:tcPr>
            <w:tcW w:w="1861" w:type="dxa"/>
          </w:tcPr>
          <w:p w14:paraId="5AFA96F5">
            <w:pPr>
              <w:spacing w:line="276" w:lineRule="auto"/>
              <w:jc w:val="left"/>
              <w:rPr>
                <w:rFonts w:hint="eastAsia" w:ascii="宋体" w:hAnsi="宋体" w:eastAsia="宋体" w:cs="Times New Roman"/>
                <w:sz w:val="24"/>
              </w:rPr>
            </w:pPr>
            <w:r>
              <w:rPr>
                <w:rFonts w:hint="eastAsia" w:ascii="宋体" w:hAnsi="宋体" w:eastAsia="宋体" w:cs="Times New Roman"/>
                <w:sz w:val="24"/>
              </w:rPr>
              <w:t>目标1</w:t>
            </w:r>
          </w:p>
          <w:p w14:paraId="5A7E125D">
            <w:pPr>
              <w:spacing w:line="276" w:lineRule="auto"/>
              <w:jc w:val="left"/>
              <w:rPr>
                <w:rFonts w:hint="eastAsia" w:ascii="宋体" w:hAnsi="宋体" w:eastAsia="宋体" w:cs="Times New Roman"/>
                <w:sz w:val="24"/>
              </w:rPr>
            </w:pPr>
            <w:r>
              <w:rPr>
                <w:rFonts w:hint="eastAsia" w:ascii="宋体" w:hAnsi="宋体" w:eastAsia="宋体" w:cs="Times New Roman"/>
                <w:sz w:val="24"/>
              </w:rPr>
              <w:t>目标2</w:t>
            </w:r>
          </w:p>
          <w:p w14:paraId="31936010">
            <w:pPr>
              <w:spacing w:line="276" w:lineRule="auto"/>
              <w:jc w:val="left"/>
              <w:rPr>
                <w:rFonts w:hint="eastAsia" w:ascii="宋体" w:hAnsi="宋体" w:eastAsia="宋体" w:cs="宋体"/>
                <w:sz w:val="24"/>
              </w:rPr>
            </w:pPr>
            <w:r>
              <w:rPr>
                <w:rFonts w:hint="eastAsia" w:ascii="宋体" w:hAnsi="宋体" w:eastAsia="宋体" w:cs="Times New Roman"/>
                <w:sz w:val="24"/>
              </w:rPr>
              <w:t>目标3</w:t>
            </w:r>
          </w:p>
        </w:tc>
      </w:tr>
      <w:tr w14:paraId="6663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tcPr>
          <w:p w14:paraId="0D46FF5A">
            <w:pPr>
              <w:spacing w:line="276" w:lineRule="auto"/>
              <w:jc w:val="left"/>
              <w:rPr>
                <w:rFonts w:hint="eastAsia" w:ascii="宋体" w:hAnsi="宋体" w:eastAsia="宋体" w:cs="宋体"/>
                <w:sz w:val="24"/>
              </w:rPr>
            </w:pPr>
            <w:r>
              <w:rPr>
                <w:rFonts w:hint="eastAsia" w:ascii="宋体" w:hAnsi="宋体" w:eastAsia="宋体" w:cs="Times New Roman"/>
                <w:sz w:val="24"/>
              </w:rPr>
              <w:t>小学科学实验与制作</w:t>
            </w:r>
          </w:p>
        </w:tc>
        <w:tc>
          <w:tcPr>
            <w:tcW w:w="4170" w:type="dxa"/>
          </w:tcPr>
          <w:p w14:paraId="77BEDF75">
            <w:pPr>
              <w:spacing w:line="276" w:lineRule="auto"/>
              <w:jc w:val="left"/>
              <w:rPr>
                <w:rFonts w:hint="eastAsia" w:ascii="宋体" w:hAnsi="宋体" w:eastAsia="宋体" w:cs="宋体"/>
                <w:sz w:val="24"/>
              </w:rPr>
            </w:pPr>
            <w:r>
              <w:rPr>
                <w:rFonts w:hint="eastAsia" w:ascii="宋体" w:hAnsi="宋体" w:eastAsia="宋体" w:cs="Times New Roman"/>
                <w:sz w:val="24"/>
              </w:rPr>
              <w:t>进行水的实验、感官的实验、电的实验、空气的实验、光的实验、趣味实验及力的实验。通过动手操作，掌握小学科学实验课的基本技能，并初步学会指导小学生进行科学探究。</w:t>
            </w:r>
          </w:p>
        </w:tc>
        <w:tc>
          <w:tcPr>
            <w:tcW w:w="1276" w:type="dxa"/>
          </w:tcPr>
          <w:p w14:paraId="708F7B72">
            <w:pPr>
              <w:spacing w:line="276" w:lineRule="auto"/>
              <w:jc w:val="center"/>
              <w:rPr>
                <w:rFonts w:hint="eastAsia" w:ascii="宋体" w:hAnsi="宋体" w:eastAsia="宋体" w:cs="宋体"/>
                <w:sz w:val="24"/>
              </w:rPr>
            </w:pPr>
            <w:r>
              <w:rPr>
                <w:rFonts w:hint="eastAsia" w:ascii="宋体" w:hAnsi="宋体" w:eastAsia="宋体" w:cs="Times New Roman"/>
                <w:sz w:val="24"/>
              </w:rPr>
              <w:t>4</w:t>
            </w:r>
          </w:p>
        </w:tc>
        <w:tc>
          <w:tcPr>
            <w:tcW w:w="1861" w:type="dxa"/>
          </w:tcPr>
          <w:p w14:paraId="4B7FACA4">
            <w:pPr>
              <w:spacing w:line="276" w:lineRule="auto"/>
              <w:jc w:val="left"/>
              <w:rPr>
                <w:rFonts w:hint="eastAsia" w:ascii="宋体" w:hAnsi="宋体" w:eastAsia="宋体" w:cs="Times New Roman"/>
                <w:sz w:val="24"/>
              </w:rPr>
            </w:pPr>
            <w:r>
              <w:rPr>
                <w:rFonts w:hint="eastAsia" w:ascii="宋体" w:hAnsi="宋体" w:eastAsia="宋体" w:cs="Times New Roman"/>
                <w:sz w:val="24"/>
              </w:rPr>
              <w:t>目标1</w:t>
            </w:r>
          </w:p>
          <w:p w14:paraId="7C0EDC87">
            <w:pPr>
              <w:spacing w:line="276" w:lineRule="auto"/>
              <w:jc w:val="left"/>
              <w:rPr>
                <w:rFonts w:hint="eastAsia" w:ascii="宋体" w:hAnsi="宋体" w:eastAsia="宋体" w:cs="Times New Roman"/>
                <w:sz w:val="24"/>
              </w:rPr>
            </w:pPr>
            <w:r>
              <w:rPr>
                <w:rFonts w:hint="eastAsia" w:ascii="宋体" w:hAnsi="宋体" w:eastAsia="宋体" w:cs="Times New Roman"/>
                <w:sz w:val="24"/>
              </w:rPr>
              <w:t>目标2</w:t>
            </w:r>
          </w:p>
          <w:p w14:paraId="612F15C9">
            <w:pPr>
              <w:spacing w:line="276" w:lineRule="auto"/>
              <w:jc w:val="left"/>
              <w:rPr>
                <w:rFonts w:hint="eastAsia" w:ascii="宋体" w:hAnsi="宋体" w:eastAsia="宋体" w:cs="宋体"/>
                <w:sz w:val="24"/>
              </w:rPr>
            </w:pPr>
            <w:r>
              <w:rPr>
                <w:rFonts w:hint="eastAsia" w:ascii="宋体" w:hAnsi="宋体" w:eastAsia="宋体" w:cs="Times New Roman"/>
                <w:sz w:val="24"/>
              </w:rPr>
              <w:t>目标3</w:t>
            </w:r>
          </w:p>
        </w:tc>
      </w:tr>
      <w:tr w14:paraId="0548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tcPr>
          <w:p w14:paraId="18C43F8F">
            <w:pPr>
              <w:spacing w:line="276" w:lineRule="auto"/>
              <w:jc w:val="left"/>
              <w:rPr>
                <w:rFonts w:hint="eastAsia" w:ascii="宋体" w:hAnsi="宋体" w:eastAsia="宋体" w:cs="宋体"/>
                <w:sz w:val="24"/>
              </w:rPr>
            </w:pPr>
            <w:r>
              <w:rPr>
                <w:rFonts w:hint="eastAsia" w:ascii="宋体" w:hAnsi="宋体" w:eastAsia="宋体" w:cs="Times New Roman"/>
                <w:sz w:val="24"/>
              </w:rPr>
              <w:t>STEM实验方案设计与实施</w:t>
            </w:r>
          </w:p>
        </w:tc>
        <w:tc>
          <w:tcPr>
            <w:tcW w:w="4170" w:type="dxa"/>
          </w:tcPr>
          <w:p w14:paraId="3BC70C5E">
            <w:pPr>
              <w:spacing w:line="276" w:lineRule="auto"/>
              <w:jc w:val="left"/>
              <w:rPr>
                <w:rFonts w:hint="eastAsia" w:ascii="宋体" w:hAnsi="宋体" w:eastAsia="宋体" w:cs="宋体"/>
                <w:sz w:val="24"/>
              </w:rPr>
            </w:pPr>
            <w:r>
              <w:rPr>
                <w:rFonts w:hint="eastAsia" w:ascii="宋体" w:hAnsi="宋体" w:eastAsia="宋体" w:cs="Times New Roman"/>
                <w:sz w:val="24"/>
              </w:rPr>
              <w:t>设计并实施多种形式的STEM实验，包括：利用废旧物品进行STEM设计；无需复杂设备的STEM活动，培养创新能力和跨学科整合能力。</w:t>
            </w:r>
          </w:p>
        </w:tc>
        <w:tc>
          <w:tcPr>
            <w:tcW w:w="1276" w:type="dxa"/>
          </w:tcPr>
          <w:p w14:paraId="5E324D8F">
            <w:pPr>
              <w:spacing w:line="276" w:lineRule="auto"/>
              <w:jc w:val="center"/>
              <w:rPr>
                <w:rFonts w:hint="eastAsia" w:ascii="宋体" w:hAnsi="宋体" w:eastAsia="宋体" w:cs="宋体"/>
                <w:sz w:val="24"/>
              </w:rPr>
            </w:pPr>
            <w:r>
              <w:rPr>
                <w:rFonts w:hint="eastAsia" w:ascii="宋体" w:hAnsi="宋体" w:eastAsia="宋体" w:cs="Times New Roman"/>
                <w:sz w:val="24"/>
              </w:rPr>
              <w:t>4</w:t>
            </w:r>
          </w:p>
        </w:tc>
        <w:tc>
          <w:tcPr>
            <w:tcW w:w="1861" w:type="dxa"/>
          </w:tcPr>
          <w:p w14:paraId="4AD657DE">
            <w:pPr>
              <w:spacing w:line="276" w:lineRule="auto"/>
              <w:jc w:val="left"/>
              <w:rPr>
                <w:rFonts w:hint="eastAsia" w:ascii="宋体" w:hAnsi="宋体" w:eastAsia="宋体" w:cs="Times New Roman"/>
                <w:sz w:val="24"/>
              </w:rPr>
            </w:pPr>
            <w:r>
              <w:rPr>
                <w:rFonts w:hint="eastAsia" w:ascii="宋体" w:hAnsi="宋体" w:eastAsia="宋体" w:cs="Times New Roman"/>
                <w:sz w:val="24"/>
              </w:rPr>
              <w:t>目标1</w:t>
            </w:r>
          </w:p>
          <w:p w14:paraId="1BF5AF3A">
            <w:pPr>
              <w:spacing w:line="276" w:lineRule="auto"/>
              <w:jc w:val="left"/>
              <w:rPr>
                <w:rFonts w:hint="eastAsia" w:ascii="宋体" w:hAnsi="宋体" w:eastAsia="宋体" w:cs="Times New Roman"/>
                <w:sz w:val="24"/>
              </w:rPr>
            </w:pPr>
            <w:r>
              <w:rPr>
                <w:rFonts w:hint="eastAsia" w:ascii="宋体" w:hAnsi="宋体" w:eastAsia="宋体" w:cs="Times New Roman"/>
                <w:sz w:val="24"/>
              </w:rPr>
              <w:t>目标2</w:t>
            </w:r>
          </w:p>
          <w:p w14:paraId="3B4FF3CD">
            <w:pPr>
              <w:spacing w:line="276" w:lineRule="auto"/>
              <w:jc w:val="left"/>
              <w:rPr>
                <w:rFonts w:hint="eastAsia" w:ascii="宋体" w:hAnsi="宋体" w:eastAsia="宋体" w:cs="宋体"/>
                <w:sz w:val="24"/>
              </w:rPr>
            </w:pPr>
            <w:r>
              <w:rPr>
                <w:rFonts w:hint="eastAsia" w:ascii="宋体" w:hAnsi="宋体" w:eastAsia="宋体" w:cs="Times New Roman"/>
                <w:sz w:val="24"/>
              </w:rPr>
              <w:t>目标3</w:t>
            </w:r>
          </w:p>
        </w:tc>
      </w:tr>
      <w:tr w14:paraId="7907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tcPr>
          <w:p w14:paraId="55139743">
            <w:pPr>
              <w:spacing w:line="276" w:lineRule="auto"/>
              <w:jc w:val="left"/>
              <w:rPr>
                <w:rFonts w:hint="eastAsia" w:ascii="宋体" w:hAnsi="宋体" w:eastAsia="宋体" w:cs="Times New Roman"/>
                <w:sz w:val="24"/>
              </w:rPr>
            </w:pPr>
            <w:r>
              <w:rPr>
                <w:rFonts w:hint="eastAsia" w:ascii="宋体" w:hAnsi="宋体" w:eastAsia="宋体" w:cs="Times New Roman"/>
                <w:sz w:val="24"/>
              </w:rPr>
              <w:t>C-STEAM跨学科设计</w:t>
            </w:r>
          </w:p>
        </w:tc>
        <w:tc>
          <w:tcPr>
            <w:tcW w:w="4170" w:type="dxa"/>
          </w:tcPr>
          <w:p w14:paraId="6B9EC732">
            <w:pPr>
              <w:spacing w:line="276" w:lineRule="auto"/>
              <w:jc w:val="left"/>
              <w:rPr>
                <w:rFonts w:hint="eastAsia" w:ascii="宋体" w:hAnsi="宋体" w:eastAsia="宋体" w:cs="Times New Roman"/>
                <w:sz w:val="24"/>
              </w:rPr>
            </w:pPr>
            <w:r>
              <w:rPr>
                <w:rFonts w:hint="eastAsia" w:ascii="宋体" w:hAnsi="宋体" w:eastAsia="宋体" w:cs="Times New Roman"/>
                <w:sz w:val="24"/>
              </w:rPr>
              <w:t>融合科学、技术、工程、艺术和数学，结合地方文化（如传统工艺）设计跨学科教学活动并制作调研报告。</w:t>
            </w:r>
          </w:p>
        </w:tc>
        <w:tc>
          <w:tcPr>
            <w:tcW w:w="1276" w:type="dxa"/>
          </w:tcPr>
          <w:p w14:paraId="454CAB8B">
            <w:pPr>
              <w:spacing w:line="276" w:lineRule="auto"/>
              <w:jc w:val="center"/>
              <w:rPr>
                <w:rFonts w:hint="eastAsia" w:ascii="宋体" w:hAnsi="宋体" w:eastAsia="宋体" w:cs="Times New Roman"/>
                <w:sz w:val="24"/>
              </w:rPr>
            </w:pPr>
            <w:r>
              <w:rPr>
                <w:rFonts w:hint="eastAsia" w:ascii="宋体" w:hAnsi="宋体" w:eastAsia="宋体" w:cs="Times New Roman"/>
                <w:sz w:val="24"/>
              </w:rPr>
              <w:t>4</w:t>
            </w:r>
          </w:p>
        </w:tc>
        <w:tc>
          <w:tcPr>
            <w:tcW w:w="1861" w:type="dxa"/>
          </w:tcPr>
          <w:p w14:paraId="295DE05E">
            <w:pPr>
              <w:spacing w:line="276" w:lineRule="auto"/>
              <w:jc w:val="left"/>
              <w:rPr>
                <w:rFonts w:hint="eastAsia" w:ascii="宋体" w:hAnsi="宋体" w:eastAsia="宋体" w:cs="Times New Roman"/>
                <w:sz w:val="24"/>
              </w:rPr>
            </w:pPr>
            <w:r>
              <w:rPr>
                <w:rFonts w:hint="eastAsia" w:ascii="宋体" w:hAnsi="宋体" w:eastAsia="宋体" w:cs="Times New Roman"/>
                <w:sz w:val="24"/>
              </w:rPr>
              <w:t>目标1</w:t>
            </w:r>
          </w:p>
          <w:p w14:paraId="11754D12">
            <w:pPr>
              <w:spacing w:line="276" w:lineRule="auto"/>
              <w:jc w:val="left"/>
              <w:rPr>
                <w:rFonts w:hint="eastAsia" w:ascii="宋体" w:hAnsi="宋体" w:eastAsia="宋体" w:cs="Times New Roman"/>
                <w:sz w:val="24"/>
              </w:rPr>
            </w:pPr>
            <w:r>
              <w:rPr>
                <w:rFonts w:hint="eastAsia" w:ascii="宋体" w:hAnsi="宋体" w:eastAsia="宋体" w:cs="Times New Roman"/>
                <w:sz w:val="24"/>
              </w:rPr>
              <w:t>目标2</w:t>
            </w:r>
          </w:p>
          <w:p w14:paraId="5C1A53A0">
            <w:pPr>
              <w:spacing w:line="276" w:lineRule="auto"/>
              <w:jc w:val="left"/>
              <w:rPr>
                <w:rFonts w:hint="eastAsia" w:ascii="宋体" w:hAnsi="宋体" w:eastAsia="宋体" w:cs="Times New Roman"/>
                <w:sz w:val="24"/>
              </w:rPr>
            </w:pPr>
            <w:r>
              <w:rPr>
                <w:rFonts w:hint="eastAsia" w:ascii="宋体" w:hAnsi="宋体" w:eastAsia="宋体" w:cs="Times New Roman"/>
                <w:sz w:val="24"/>
              </w:rPr>
              <w:t>目标3</w:t>
            </w:r>
          </w:p>
        </w:tc>
      </w:tr>
      <w:tr w14:paraId="13A7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tcPr>
          <w:p w14:paraId="1CDC3BA3">
            <w:pPr>
              <w:spacing w:line="276" w:lineRule="auto"/>
              <w:jc w:val="left"/>
              <w:rPr>
                <w:rFonts w:hint="eastAsia" w:ascii="宋体" w:hAnsi="宋体" w:eastAsia="宋体" w:cs="宋体"/>
                <w:sz w:val="24"/>
              </w:rPr>
            </w:pPr>
            <w:r>
              <w:rPr>
                <w:rFonts w:hint="eastAsia" w:ascii="宋体" w:hAnsi="宋体" w:eastAsia="宋体" w:cs="Times New Roman"/>
                <w:sz w:val="24"/>
              </w:rPr>
              <w:t>科学教育公益活动(选做)</w:t>
            </w:r>
          </w:p>
        </w:tc>
        <w:tc>
          <w:tcPr>
            <w:tcW w:w="4170" w:type="dxa"/>
          </w:tcPr>
          <w:p w14:paraId="47E897EF">
            <w:pPr>
              <w:spacing w:line="276" w:lineRule="auto"/>
              <w:jc w:val="left"/>
              <w:rPr>
                <w:rFonts w:hint="eastAsia" w:ascii="宋体" w:hAnsi="宋体" w:eastAsia="宋体" w:cs="宋体"/>
                <w:sz w:val="24"/>
              </w:rPr>
            </w:pPr>
            <w:r>
              <w:rPr>
                <w:rFonts w:hint="eastAsia" w:ascii="宋体" w:hAnsi="宋体" w:eastAsia="宋体" w:cs="Times New Roman"/>
                <w:sz w:val="24"/>
              </w:rPr>
              <w:t>组织学生走进乡村小学或社区，为学生或公众开展科学实验体验和科学知识普及活动。</w:t>
            </w:r>
          </w:p>
        </w:tc>
        <w:tc>
          <w:tcPr>
            <w:tcW w:w="1276" w:type="dxa"/>
          </w:tcPr>
          <w:p w14:paraId="41197CBF">
            <w:pPr>
              <w:spacing w:line="276" w:lineRule="auto"/>
              <w:jc w:val="center"/>
              <w:rPr>
                <w:rFonts w:hint="eastAsia" w:ascii="宋体" w:hAnsi="宋体" w:eastAsia="宋体" w:cs="宋体"/>
                <w:sz w:val="24"/>
              </w:rPr>
            </w:pPr>
            <w:r>
              <w:rPr>
                <w:rFonts w:hint="eastAsia" w:ascii="宋体" w:hAnsi="宋体" w:eastAsia="宋体" w:cs="Times New Roman"/>
                <w:sz w:val="24"/>
              </w:rPr>
              <w:t>不占课时</w:t>
            </w:r>
          </w:p>
        </w:tc>
        <w:tc>
          <w:tcPr>
            <w:tcW w:w="1861" w:type="dxa"/>
          </w:tcPr>
          <w:p w14:paraId="09D38BD3">
            <w:pPr>
              <w:spacing w:line="276" w:lineRule="auto"/>
              <w:jc w:val="left"/>
              <w:rPr>
                <w:rFonts w:hint="eastAsia" w:ascii="宋体" w:hAnsi="宋体" w:eastAsia="宋体" w:cs="宋体"/>
                <w:sz w:val="24"/>
              </w:rPr>
            </w:pPr>
            <w:r>
              <w:rPr>
                <w:rFonts w:hint="eastAsia" w:ascii="宋体" w:hAnsi="宋体" w:eastAsia="宋体" w:cs="Times New Roman"/>
                <w:sz w:val="24"/>
              </w:rPr>
              <w:t>引导学生关注社会教育公平，培养服务社会的责任意识和奉献精神。</w:t>
            </w:r>
          </w:p>
        </w:tc>
      </w:tr>
    </w:tbl>
    <w:p w14:paraId="26BE5FCB">
      <w:pPr>
        <w:spacing w:line="360" w:lineRule="auto"/>
        <w:ind w:firstLine="551" w:firstLineChars="196"/>
        <w:jc w:val="left"/>
        <w:rPr>
          <w:rFonts w:hint="eastAsia" w:ascii="宋体" w:hAnsi="宋体" w:eastAsia="宋体" w:cs="Times New Roman"/>
          <w:b/>
          <w:color w:val="000000"/>
          <w:sz w:val="28"/>
          <w:szCs w:val="28"/>
        </w:rPr>
      </w:pPr>
    </w:p>
    <w:p w14:paraId="706DB793">
      <w:pPr>
        <w:spacing w:line="360" w:lineRule="auto"/>
        <w:ind w:firstLine="551" w:firstLineChars="196"/>
        <w:jc w:val="left"/>
        <w:rPr>
          <w:rFonts w:hint="eastAsia" w:ascii="宋体" w:hAnsi="宋体" w:eastAsia="宋体" w:cs="Times New Roman"/>
          <w:b/>
          <w:color w:val="000000"/>
          <w:sz w:val="28"/>
          <w:szCs w:val="28"/>
        </w:rPr>
      </w:pPr>
    </w:p>
    <w:p w14:paraId="3C287186">
      <w:pPr>
        <w:spacing w:line="360" w:lineRule="auto"/>
        <w:jc w:val="left"/>
        <w:rPr>
          <w:rFonts w:ascii="Times New Roman" w:hAnsi="Times New Roman" w:eastAsia="宋体" w:cs="Times New Roman"/>
          <w:b/>
          <w:bCs/>
          <w:sz w:val="28"/>
          <w:szCs w:val="28"/>
        </w:rPr>
      </w:pPr>
      <w:r>
        <w:rPr>
          <w:rFonts w:hint="eastAsia" w:ascii="宋体" w:hAnsi="宋体" w:eastAsia="宋体" w:cs="Times New Roman"/>
          <w:b/>
          <w:color w:val="000000"/>
          <w:sz w:val="28"/>
          <w:szCs w:val="28"/>
        </w:rPr>
        <w:t>六、有关说明</w:t>
      </w:r>
    </w:p>
    <w:p w14:paraId="7697E38A">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3C011860">
      <w:pPr>
        <w:spacing w:line="360" w:lineRule="auto"/>
        <w:jc w:val="left"/>
        <w:rPr>
          <w:rFonts w:ascii="Times New Roman" w:hAnsi="Times New Roman" w:eastAsia="宋体" w:cs="Times New Roman"/>
          <w:bCs/>
          <w:sz w:val="24"/>
        </w:rPr>
      </w:pPr>
      <w:r>
        <w:rPr>
          <w:rFonts w:hint="eastAsia" w:ascii="Times New Roman" w:hAnsi="Times New Roman" w:eastAsia="宋体" w:cs="Times New Roman"/>
          <w:bCs/>
          <w:sz w:val="24"/>
        </w:rPr>
        <w:t>本课程结合学生实验报告、教学设计和课堂实践等多维度反馈，及时改进教学内容与实践环节，确保教学目标的全面实现。通过以下措施实现持续改进：</w:t>
      </w:r>
    </w:p>
    <w:p w14:paraId="1110DC71">
      <w:pPr>
        <w:pStyle w:val="35"/>
        <w:numPr>
          <w:ilvl w:val="0"/>
          <w:numId w:val="61"/>
        </w:numPr>
        <w:spacing w:line="360" w:lineRule="auto"/>
        <w:ind w:firstLineChars="0"/>
        <w:jc w:val="left"/>
        <w:rPr>
          <w:bCs/>
          <w:sz w:val="24"/>
        </w:rPr>
      </w:pPr>
      <w:r>
        <w:rPr>
          <w:rFonts w:hint="eastAsia"/>
          <w:bCs/>
          <w:sz w:val="24"/>
        </w:rPr>
        <w:t>根据学生实验成果、教学演示质量及教学督导意见，对实验内容和考核方式进行动态调整。</w:t>
      </w:r>
    </w:p>
    <w:p w14:paraId="4EE58C0E">
      <w:pPr>
        <w:pStyle w:val="35"/>
        <w:numPr>
          <w:ilvl w:val="0"/>
          <w:numId w:val="61"/>
        </w:numPr>
        <w:spacing w:line="360" w:lineRule="auto"/>
        <w:ind w:firstLineChars="0"/>
        <w:jc w:val="left"/>
        <w:rPr>
          <w:bCs/>
          <w:sz w:val="24"/>
        </w:rPr>
      </w:pPr>
      <w:r>
        <w:rPr>
          <w:rFonts w:hint="eastAsia"/>
          <w:bCs/>
          <w:sz w:val="24"/>
        </w:rPr>
        <w:t>优化C-STEAM教学设计环节，加强与跨学科整合和地方文化融合相关的案例教学和实践指导。</w:t>
      </w:r>
    </w:p>
    <w:p w14:paraId="573AC6FB">
      <w:pPr>
        <w:pStyle w:val="35"/>
        <w:numPr>
          <w:ilvl w:val="0"/>
          <w:numId w:val="61"/>
        </w:numPr>
        <w:spacing w:line="360" w:lineRule="auto"/>
        <w:ind w:firstLineChars="0"/>
        <w:jc w:val="left"/>
        <w:rPr>
          <w:bCs/>
          <w:sz w:val="24"/>
        </w:rPr>
      </w:pPr>
      <w:r>
        <w:rPr>
          <w:rFonts w:hint="eastAsia"/>
          <w:bCs/>
          <w:sz w:val="24"/>
        </w:rPr>
        <w:t>结合学生在公益实践、科学教育活动中的表现，适时更新实验教学的案例内容和方法。</w:t>
      </w:r>
    </w:p>
    <w:p w14:paraId="04F0797B">
      <w:pPr>
        <w:spacing w:line="360" w:lineRule="auto"/>
        <w:jc w:val="left"/>
        <w:rPr>
          <w:rFonts w:ascii="Times New Roman" w:hAnsi="Times New Roman" w:eastAsia="宋体" w:cs="Times New Roman"/>
          <w:bCs/>
          <w:sz w:val="24"/>
        </w:rPr>
      </w:pPr>
      <w:r>
        <w:rPr>
          <w:rFonts w:hint="eastAsia" w:ascii="Times New Roman" w:hAnsi="Times New Roman" w:eastAsia="宋体" w:cs="Times New Roman"/>
          <w:bCs/>
          <w:sz w:val="24"/>
        </w:rPr>
        <w:t>4. 每学期组织课程组教学研讨会，交流课程实施经验并对跨学科教学设计提出优化建议。</w:t>
      </w:r>
    </w:p>
    <w:p w14:paraId="1871258C">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（二）建议教材</w:t>
      </w:r>
    </w:p>
    <w:p w14:paraId="47BA38BC">
      <w:pPr>
        <w:spacing w:line="360" w:lineRule="auto"/>
        <w:ind w:firstLine="482" w:firstLineChars="200"/>
        <w:jc w:val="left"/>
        <w:rPr>
          <w:rFonts w:hint="eastAsia" w:ascii="宋体" w:hAnsi="宋体" w:eastAsia="宋体" w:cs="Times New Roman"/>
          <w:bCs/>
          <w:color w:val="000000"/>
          <w:sz w:val="24"/>
        </w:rPr>
      </w:pPr>
      <w:r>
        <w:rPr>
          <w:rFonts w:ascii="宋体" w:hAnsi="宋体" w:eastAsia="宋体" w:cs="Times New Roman"/>
          <w:b/>
          <w:bCs/>
          <w:color w:val="000000"/>
          <w:sz w:val="24"/>
        </w:rPr>
        <w:t>郝京华等.</w:t>
      </w:r>
      <w:r>
        <w:rPr>
          <w:rFonts w:ascii="宋体" w:hAnsi="宋体" w:eastAsia="宋体" w:cs="Times New Roman"/>
          <w:bCs/>
          <w:color w:val="000000"/>
          <w:sz w:val="24"/>
        </w:rPr>
        <w:t xml:space="preserve"> 科学 学生活动手册（3~6年级）. 南京：江苏凤凰教育出版社, 2020.</w:t>
      </w:r>
    </w:p>
    <w:p w14:paraId="4E1F6C12">
      <w:pPr>
        <w:spacing w:line="360" w:lineRule="auto"/>
        <w:ind w:firstLine="482" w:firstLineChars="200"/>
        <w:jc w:val="left"/>
        <w:rPr>
          <w:rFonts w:hint="eastAsia" w:ascii="宋体" w:hAnsi="宋体" w:eastAsia="宋体" w:cs="Times New Roman"/>
          <w:bCs/>
          <w:color w:val="000000"/>
          <w:sz w:val="24"/>
        </w:rPr>
      </w:pPr>
      <w:r>
        <w:rPr>
          <w:rFonts w:hint="eastAsia" w:ascii="宋体" w:hAnsi="宋体" w:eastAsia="宋体" w:cs="Times New Roman"/>
          <w:b/>
          <w:bCs/>
          <w:color w:val="000000"/>
          <w:sz w:val="24"/>
        </w:rPr>
        <w:t>周忠和等</w:t>
      </w:r>
      <w:r>
        <w:rPr>
          <w:rFonts w:ascii="宋体" w:hAnsi="宋体" w:eastAsia="宋体" w:cs="Times New Roman"/>
          <w:b/>
          <w:bCs/>
          <w:color w:val="000000"/>
          <w:sz w:val="24"/>
        </w:rPr>
        <w:t>.</w:t>
      </w:r>
      <w:r>
        <w:rPr>
          <w:rFonts w:hint="eastAsia" w:ascii="宋体" w:hAnsi="宋体" w:eastAsia="宋体" w:cs="Times New Roman"/>
          <w:bCs/>
          <w:color w:val="000000"/>
          <w:sz w:val="24"/>
        </w:rPr>
        <w:t xml:space="preserve"> </w:t>
      </w:r>
      <w:r>
        <w:rPr>
          <w:rFonts w:ascii="宋体" w:hAnsi="宋体" w:eastAsia="宋体" w:cs="Times New Roman"/>
          <w:bCs/>
          <w:color w:val="000000"/>
          <w:sz w:val="24"/>
        </w:rPr>
        <w:t>科学学生活动手册（3~6年级）. 北京：教育科学出版社, 2017.</w:t>
      </w:r>
    </w:p>
    <w:p w14:paraId="2681DE55">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（三）参考书目</w:t>
      </w:r>
    </w:p>
    <w:p w14:paraId="5F3B3D04">
      <w:pPr>
        <w:rPr>
          <w:rFonts w:hint="eastAsia" w:ascii="宋体" w:hAnsi="宋体" w:eastAsia="宋体"/>
          <w:sz w:val="24"/>
        </w:rPr>
      </w:pPr>
      <w:r>
        <w:rPr>
          <w:rFonts w:hint="eastAsia" w:ascii="宋体" w:hAnsi="宋体" w:eastAsia="宋体"/>
          <w:sz w:val="24"/>
        </w:rPr>
        <w:t xml:space="preserve">1.王素等. “中国STEM教育2029行动计划”丛书. </w:t>
      </w:r>
      <w:r>
        <w:rPr>
          <w:rFonts w:ascii="宋体" w:hAnsi="宋体" w:eastAsia="宋体" w:cs="Times New Roman"/>
          <w:bCs/>
          <w:color w:val="000000"/>
          <w:sz w:val="24"/>
        </w:rPr>
        <w:t>北京：教育科学出版社, 20</w:t>
      </w:r>
      <w:r>
        <w:rPr>
          <w:rFonts w:hint="eastAsia" w:ascii="宋体" w:hAnsi="宋体" w:eastAsia="宋体" w:cs="Times New Roman"/>
          <w:bCs/>
          <w:color w:val="000000"/>
          <w:sz w:val="24"/>
        </w:rPr>
        <w:t>22</w:t>
      </w:r>
      <w:r>
        <w:rPr>
          <w:rFonts w:ascii="宋体" w:hAnsi="宋体" w:eastAsia="宋体" w:cs="Times New Roman"/>
          <w:bCs/>
          <w:color w:val="000000"/>
          <w:sz w:val="24"/>
        </w:rPr>
        <w:t>.</w:t>
      </w:r>
    </w:p>
    <w:p w14:paraId="7EA0AFFF">
      <w:pPr>
        <w:rPr>
          <w:rFonts w:hint="eastAsia" w:ascii="宋体" w:hAnsi="宋体" w:eastAsia="宋体"/>
          <w:sz w:val="24"/>
        </w:rPr>
      </w:pPr>
      <w:r>
        <w:rPr>
          <w:rFonts w:hint="eastAsia" w:ascii="宋体" w:hAnsi="宋体" w:eastAsia="宋体"/>
          <w:sz w:val="24"/>
        </w:rPr>
        <w:t>1.张二庆, 乔建生. 小学科学课程与教学论. 北京：北京师范大学出版社, 2016.</w:t>
      </w:r>
    </w:p>
    <w:p w14:paraId="758CB8E7">
      <w:pPr>
        <w:rPr>
          <w:rFonts w:hint="eastAsia" w:ascii="宋体" w:hAnsi="宋体" w:eastAsia="宋体"/>
          <w:sz w:val="24"/>
        </w:rPr>
      </w:pPr>
      <w:r>
        <w:rPr>
          <w:rFonts w:hint="eastAsia" w:ascii="宋体" w:hAnsi="宋体" w:eastAsia="宋体"/>
          <w:sz w:val="24"/>
        </w:rPr>
        <w:t>2.尹显明, 王银铃. 科学技术概论. 北京：科学出版社, 2018.</w:t>
      </w:r>
    </w:p>
    <w:p w14:paraId="329E6C15">
      <w:pPr>
        <w:rPr>
          <w:sz w:val="24"/>
        </w:rPr>
      </w:pPr>
    </w:p>
    <w:p w14:paraId="02A52658">
      <w:pPr>
        <w:rPr>
          <w:sz w:val="24"/>
        </w:rPr>
      </w:pPr>
    </w:p>
    <w:p w14:paraId="14BCA0BD"/>
    <w:p w14:paraId="236F30EE">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执 笔 人：</w:t>
      </w:r>
      <w:r>
        <w:rPr>
          <w:rFonts w:ascii="Times New Roman" w:hAnsi="Times New Roman" w:eastAsia="宋体" w:cs="Times New Roman"/>
          <w:sz w:val="24"/>
        </w:rPr>
        <w:t xml:space="preserve"> </w:t>
      </w:r>
      <w:r>
        <w:rPr>
          <w:rFonts w:hint="eastAsia" w:ascii="Times New Roman" w:hAnsi="Times New Roman" w:eastAsia="宋体" w:cs="Times New Roman"/>
          <w:sz w:val="24"/>
        </w:rPr>
        <w:t>金玉宏</w:t>
      </w:r>
    </w:p>
    <w:p w14:paraId="7BB4E2C3">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审 定 人：</w:t>
      </w:r>
      <w:r>
        <w:rPr>
          <w:rFonts w:ascii="Times New Roman" w:hAnsi="Times New Roman" w:eastAsia="宋体" w:cs="Times New Roman"/>
          <w:sz w:val="24"/>
        </w:rPr>
        <w:t xml:space="preserve"> </w:t>
      </w:r>
      <w:r>
        <w:rPr>
          <w:rFonts w:hint="eastAsia" w:ascii="Times New Roman" w:hAnsi="Times New Roman" w:eastAsia="宋体" w:cs="Times New Roman"/>
          <w:sz w:val="24"/>
        </w:rPr>
        <w:t>王健</w:t>
      </w:r>
    </w:p>
    <w:p w14:paraId="656C5DE8">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095B6BEB">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1347D9A9">
      <w:pPr>
        <w:spacing w:line="360" w:lineRule="auto"/>
        <w:jc w:val="right"/>
        <w:rPr>
          <w:rFonts w:hint="eastAsia" w:ascii="宋体" w:hAnsi="宋体" w:eastAsia="宋体"/>
          <w:sz w:val="24"/>
          <w:szCs w:val="28"/>
        </w:rPr>
      </w:pPr>
    </w:p>
    <w:p w14:paraId="4675E037">
      <w:pPr>
        <w:spacing w:line="360" w:lineRule="auto"/>
      </w:pPr>
    </w:p>
    <w:bookmarkEnd w:id="261"/>
    <w:bookmarkEnd w:id="262"/>
    <w:p w14:paraId="3327842F">
      <w:pPr>
        <w:rPr>
          <w:rFonts w:hint="eastAsia" w:ascii="等线" w:hAnsi="等线" w:eastAsia="等线" w:cs="等线"/>
          <w:b/>
          <w:bCs/>
          <w:sz w:val="44"/>
          <w:szCs w:val="44"/>
        </w:rPr>
      </w:pPr>
      <w:r>
        <w:rPr>
          <w:rFonts w:hint="eastAsia" w:ascii="等线" w:hAnsi="等线" w:eastAsia="等线" w:cs="等线"/>
          <w:b/>
          <w:bCs/>
          <w:sz w:val="44"/>
          <w:szCs w:val="44"/>
        </w:rPr>
        <w:br w:type="page"/>
      </w:r>
    </w:p>
    <w:p w14:paraId="0E06CFA0">
      <w:pPr>
        <w:pStyle w:val="2"/>
        <w:tabs>
          <w:tab w:val="left" w:pos="720"/>
          <w:tab w:val="left" w:pos="2700"/>
        </w:tabs>
      </w:pPr>
      <w:bookmarkStart w:id="266" w:name="_Toc30792"/>
      <w:bookmarkStart w:id="267" w:name="_Toc16377"/>
      <w:r>
        <w:rPr>
          <w:rFonts w:hint="eastAsia"/>
        </w:rPr>
        <w:t>《</w:t>
      </w:r>
      <w:r>
        <w:t>小学科学教学案例研究</w:t>
      </w:r>
      <w:r>
        <w:rPr>
          <w:rFonts w:hint="eastAsia"/>
        </w:rPr>
        <w:t>》课程教学大纲</w:t>
      </w:r>
      <w:bookmarkEnd w:id="266"/>
      <w:bookmarkEnd w:id="267"/>
    </w:p>
    <w:p w14:paraId="3657EAB8">
      <w:pPr>
        <w:spacing w:line="360" w:lineRule="auto"/>
        <w:jc w:val="center"/>
        <w:rPr>
          <w:rFonts w:ascii="Times New Roman" w:hAnsi="Times New Roman" w:eastAsia="宋体" w:cs="Times New Roman"/>
          <w:b/>
          <w:bCs/>
          <w:sz w:val="28"/>
          <w:szCs w:val="28"/>
        </w:rPr>
      </w:pPr>
      <w:bookmarkStart w:id="268" w:name="_Hlk184993230"/>
      <w:r>
        <w:rPr>
          <w:rFonts w:ascii="Times New Roman" w:hAnsi="Times New Roman" w:eastAsia="宋体" w:cs="Times New Roman"/>
          <w:b/>
          <w:bCs/>
          <w:sz w:val="28"/>
          <w:szCs w:val="28"/>
        </w:rPr>
        <w:t>（Elementary Science Teaching Case Study）</w:t>
      </w:r>
    </w:p>
    <w:bookmarkEnd w:id="268"/>
    <w:p w14:paraId="65D45428">
      <w:pPr>
        <w:spacing w:line="360" w:lineRule="auto"/>
        <w:jc w:val="center"/>
        <w:rPr>
          <w:rFonts w:ascii="Times New Roman" w:hAnsi="Times New Roman" w:eastAsia="宋体" w:cs="Times New Roman"/>
          <w:bCs/>
          <w:sz w:val="30"/>
          <w:szCs w:val="30"/>
        </w:rPr>
      </w:pPr>
    </w:p>
    <w:p w14:paraId="1DAD6F08">
      <w:pPr>
        <w:spacing w:line="360" w:lineRule="auto"/>
        <w:ind w:left="420" w:leftChars="200"/>
        <w:rPr>
          <w:rFonts w:ascii="Times New Roman" w:hAnsi="Times New Roman" w:eastAsia="宋体" w:cs="Times New Roman"/>
          <w:b/>
          <w:sz w:val="24"/>
        </w:rPr>
      </w:pPr>
      <w:r>
        <w:rPr>
          <w:rFonts w:ascii="Times New Roman" w:hAnsi="Times New Roman" w:eastAsia="宋体" w:cs="Times New Roman"/>
          <w:b/>
          <w:bCs/>
          <w:sz w:val="24"/>
        </w:rPr>
        <w:t>课程名称</w:t>
      </w:r>
      <w:r>
        <w:rPr>
          <w:rFonts w:ascii="Times New Roman" w:hAnsi="Times New Roman" w:eastAsia="宋体" w:cs="Times New Roman"/>
          <w:b/>
          <w:sz w:val="24"/>
        </w:rPr>
        <w:t>：小学科学教学案例研究</w:t>
      </w:r>
    </w:p>
    <w:p w14:paraId="218939FC">
      <w:pPr>
        <w:spacing w:line="360" w:lineRule="auto"/>
        <w:ind w:left="420" w:leftChars="200"/>
        <w:rPr>
          <w:rFonts w:ascii="Times New Roman" w:hAnsi="Times New Roman" w:eastAsia="宋体" w:cs="Times New Roman"/>
          <w:b/>
          <w:sz w:val="24"/>
        </w:rPr>
      </w:pPr>
      <w:r>
        <w:rPr>
          <w:rFonts w:ascii="Times New Roman" w:hAnsi="Times New Roman" w:eastAsia="宋体" w:cs="Times New Roman"/>
          <w:b/>
          <w:bCs/>
          <w:sz w:val="24"/>
        </w:rPr>
        <w:t>课程代码</w:t>
      </w:r>
      <w:r>
        <w:rPr>
          <w:rFonts w:ascii="Times New Roman" w:hAnsi="Times New Roman" w:eastAsia="宋体" w:cs="Times New Roman"/>
          <w:b/>
          <w:sz w:val="24"/>
        </w:rPr>
        <w:t>：2401064</w:t>
      </w:r>
    </w:p>
    <w:p w14:paraId="2882353E">
      <w:pPr>
        <w:spacing w:line="360" w:lineRule="auto"/>
        <w:ind w:left="420" w:leftChars="200"/>
        <w:rPr>
          <w:rFonts w:ascii="Times New Roman" w:hAnsi="Times New Roman" w:eastAsia="宋体" w:cs="Times New Roman"/>
          <w:b/>
          <w:sz w:val="24"/>
        </w:rPr>
      </w:pPr>
      <w:r>
        <w:rPr>
          <w:rFonts w:ascii="Times New Roman" w:hAnsi="Times New Roman" w:eastAsia="宋体" w:cs="Times New Roman"/>
          <w:b/>
          <w:bCs/>
          <w:sz w:val="24"/>
        </w:rPr>
        <w:t>学 分</w:t>
      </w:r>
      <w:r>
        <w:rPr>
          <w:rFonts w:ascii="Times New Roman" w:hAnsi="Times New Roman" w:eastAsia="宋体" w:cs="Times New Roman"/>
          <w:b/>
          <w:sz w:val="24"/>
        </w:rPr>
        <w:t>：2</w:t>
      </w:r>
    </w:p>
    <w:p w14:paraId="264143F2">
      <w:pPr>
        <w:spacing w:line="360" w:lineRule="auto"/>
        <w:ind w:left="420" w:leftChars="200"/>
        <w:rPr>
          <w:rFonts w:ascii="Times New Roman" w:hAnsi="Times New Roman" w:eastAsia="宋体" w:cs="Times New Roman"/>
          <w:b/>
          <w:sz w:val="24"/>
        </w:rPr>
      </w:pPr>
      <w:r>
        <w:rPr>
          <w:rFonts w:ascii="Times New Roman" w:hAnsi="Times New Roman" w:eastAsia="宋体" w:cs="Times New Roman"/>
          <w:b/>
          <w:bCs/>
          <w:sz w:val="24"/>
        </w:rPr>
        <w:t>学 时</w:t>
      </w:r>
      <w:r>
        <w:rPr>
          <w:rFonts w:ascii="Times New Roman" w:hAnsi="Times New Roman" w:eastAsia="宋体" w:cs="Times New Roman"/>
          <w:b/>
          <w:sz w:val="24"/>
        </w:rPr>
        <w:t>：32（其中：讲授学时16，实践学时16）</w:t>
      </w:r>
    </w:p>
    <w:p w14:paraId="30D86C23">
      <w:pPr>
        <w:spacing w:line="360" w:lineRule="auto"/>
        <w:ind w:left="420" w:leftChars="200"/>
        <w:rPr>
          <w:rFonts w:ascii="Times New Roman" w:hAnsi="Times New Roman" w:eastAsia="宋体" w:cs="Times New Roman"/>
          <w:b/>
          <w:sz w:val="24"/>
        </w:rPr>
      </w:pPr>
      <w:r>
        <w:rPr>
          <w:rFonts w:ascii="Times New Roman" w:hAnsi="Times New Roman" w:eastAsia="宋体" w:cs="Times New Roman"/>
          <w:b/>
          <w:bCs/>
          <w:sz w:val="24"/>
        </w:rPr>
        <w:t>先修课程</w:t>
      </w:r>
      <w:r>
        <w:rPr>
          <w:rFonts w:ascii="Times New Roman" w:hAnsi="Times New Roman" w:eastAsia="宋体" w:cs="Times New Roman"/>
          <w:b/>
          <w:sz w:val="24"/>
        </w:rPr>
        <w:t>：科学概论、科学实验指导</w:t>
      </w:r>
    </w:p>
    <w:p w14:paraId="79B950A8">
      <w:pPr>
        <w:spacing w:line="360" w:lineRule="auto"/>
        <w:ind w:left="420" w:leftChars="200"/>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555823FB">
      <w:pPr>
        <w:spacing w:line="360" w:lineRule="auto"/>
        <w:jc w:val="left"/>
        <w:rPr>
          <w:rFonts w:ascii="Times New Roman" w:hAnsi="Times New Roman" w:eastAsia="宋体" w:cs="Times New Roman"/>
          <w:b/>
          <w:sz w:val="24"/>
        </w:rPr>
      </w:pPr>
    </w:p>
    <w:p w14:paraId="31694434">
      <w:pPr>
        <w:spacing w:line="360" w:lineRule="auto"/>
        <w:jc w:val="left"/>
        <w:rPr>
          <w:rFonts w:ascii="Times New Roman" w:hAnsi="Times New Roman" w:eastAsia="宋体" w:cs="Times New Roman"/>
          <w:sz w:val="28"/>
          <w:szCs w:val="28"/>
        </w:rPr>
      </w:pPr>
      <w:r>
        <w:rPr>
          <w:rFonts w:hint="eastAsia" w:ascii="Times New Roman" w:hAnsi="Times New Roman" w:eastAsia="宋体" w:cs="Times New Roman"/>
          <w:b/>
          <w:sz w:val="28"/>
          <w:szCs w:val="28"/>
        </w:rPr>
        <w:t>一、课程简介</w:t>
      </w:r>
    </w:p>
    <w:p w14:paraId="2E6A4793">
      <w:pPr>
        <w:spacing w:line="360" w:lineRule="auto"/>
        <w:ind w:firstLine="720" w:firstLineChars="300"/>
        <w:jc w:val="left"/>
        <w:rPr>
          <w:rFonts w:ascii="Times New Roman" w:hAnsi="Times New Roman" w:eastAsia="宋体" w:cs="Times New Roman"/>
          <w:sz w:val="24"/>
        </w:rPr>
      </w:pPr>
      <w:r>
        <w:rPr>
          <w:rFonts w:ascii="Times New Roman" w:hAnsi="Times New Roman" w:eastAsia="宋体" w:cs="Times New Roman"/>
          <w:sz w:val="24"/>
        </w:rPr>
        <w:t>本课程是小学教育（理）专业的</w:t>
      </w:r>
      <w:r>
        <w:rPr>
          <w:rFonts w:hint="eastAsia" w:ascii="Times New Roman" w:hAnsi="Times New Roman" w:eastAsia="宋体" w:cs="Times New Roman"/>
          <w:sz w:val="24"/>
        </w:rPr>
        <w:t>选修</w:t>
      </w:r>
      <w:r>
        <w:rPr>
          <w:rFonts w:ascii="Times New Roman" w:hAnsi="Times New Roman" w:eastAsia="宋体" w:cs="Times New Roman"/>
          <w:sz w:val="24"/>
        </w:rPr>
        <w:t>课程之一，旨在通过对小学科学教学案例的研究，帮助学生深入理解小学科学教学的基本原理、设计方法和实践技巧。通过分析和设计具体的教学案例，培养学生的教学设计能力、教学实施能力以及教学评价能力，提升其专业素养和实际操作能力。最终，培养具备科学教育思维、创新能力和教学实践能力的教师。</w:t>
      </w:r>
    </w:p>
    <w:p w14:paraId="3E488D39">
      <w:pPr>
        <w:spacing w:line="360" w:lineRule="auto"/>
        <w:jc w:val="lef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二、课程目标</w:t>
      </w:r>
    </w:p>
    <w:p w14:paraId="005E8DBE">
      <w:pPr>
        <w:spacing w:before="156" w:beforeLines="50" w:after="156" w:afterLines="50"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20C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67050D2">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w:t>
            </w:r>
          </w:p>
        </w:tc>
        <w:tc>
          <w:tcPr>
            <w:tcW w:w="5688" w:type="dxa"/>
            <w:vAlign w:val="center"/>
          </w:tcPr>
          <w:p w14:paraId="5DD954DE">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毕业要求指标点</w:t>
            </w:r>
          </w:p>
        </w:tc>
        <w:tc>
          <w:tcPr>
            <w:tcW w:w="1191" w:type="dxa"/>
            <w:vAlign w:val="center"/>
          </w:tcPr>
          <w:p w14:paraId="7599A2EF">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r>
      <w:tr w14:paraId="7046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A54E55C">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毕业要求4教学能力</w:t>
            </w:r>
          </w:p>
        </w:tc>
        <w:tc>
          <w:tcPr>
            <w:tcW w:w="5688" w:type="dxa"/>
          </w:tcPr>
          <w:p w14:paraId="05EFF143">
            <w:pPr>
              <w:spacing w:line="276" w:lineRule="auto"/>
              <w:jc w:val="left"/>
              <w:rPr>
                <w:rFonts w:hint="eastAsia" w:ascii="宋体" w:hAnsi="宋体" w:eastAsia="宋体" w:cs="Times New Roman"/>
                <w:sz w:val="24"/>
              </w:rPr>
            </w:pPr>
            <w:r>
              <w:rPr>
                <w:rFonts w:hint="eastAsia" w:ascii="宋体" w:hAnsi="宋体" w:eastAsia="宋体"/>
                <w:sz w:val="24"/>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61074DF6">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课程目标3</w:t>
            </w:r>
          </w:p>
        </w:tc>
      </w:tr>
      <w:tr w14:paraId="4629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546F761">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毕业要求4教学能力</w:t>
            </w:r>
          </w:p>
        </w:tc>
        <w:tc>
          <w:tcPr>
            <w:tcW w:w="5688" w:type="dxa"/>
          </w:tcPr>
          <w:p w14:paraId="6E8D2245">
            <w:pPr>
              <w:spacing w:line="276" w:lineRule="auto"/>
              <w:jc w:val="left"/>
              <w:rPr>
                <w:rFonts w:hint="eastAsia" w:ascii="宋体" w:hAnsi="宋体" w:eastAsia="宋体" w:cs="Times New Roman"/>
                <w:sz w:val="24"/>
              </w:rPr>
            </w:pPr>
            <w:r>
              <w:rPr>
                <w:rFonts w:hint="eastAsia" w:ascii="宋体" w:hAnsi="宋体" w:eastAsia="宋体"/>
                <w:sz w:val="24"/>
              </w:rPr>
              <w:t>指标点4-2：【教学设计恰当】理解教材的编写逻辑和体系结构，合理掌握不同学段目标与内容的递进关系，具有依据课标进行教学的意识和习惯。能依据单元内容进行整体设计，科学合理地依据教学目标及内容设计。</w:t>
            </w:r>
          </w:p>
        </w:tc>
        <w:tc>
          <w:tcPr>
            <w:tcW w:w="1191" w:type="dxa"/>
            <w:vAlign w:val="center"/>
          </w:tcPr>
          <w:p w14:paraId="3768AFB2">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课程目标3</w:t>
            </w:r>
          </w:p>
        </w:tc>
      </w:tr>
      <w:tr w14:paraId="2A3A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1A1BD17">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毕业要求6综合育人</w:t>
            </w:r>
            <w:r>
              <w:rPr>
                <w:rFonts w:ascii="Times New Roman" w:hAnsi="Times New Roman" w:eastAsia="宋体" w:cs="Times New Roman"/>
                <w:sz w:val="24"/>
              </w:rPr>
              <w:t xml:space="preserve"> </w:t>
            </w:r>
          </w:p>
        </w:tc>
        <w:tc>
          <w:tcPr>
            <w:tcW w:w="5688" w:type="dxa"/>
            <w:vAlign w:val="center"/>
          </w:tcPr>
          <w:p w14:paraId="24DFD979">
            <w:pPr>
              <w:spacing w:line="276" w:lineRule="auto"/>
              <w:jc w:val="left"/>
              <w:rPr>
                <w:rFonts w:ascii="Times New Roman" w:hAnsi="Times New Roman" w:eastAsia="宋体" w:cs="Times New Roman"/>
                <w:sz w:val="24"/>
              </w:rPr>
            </w:pPr>
            <w:r>
              <w:rPr>
                <w:rFonts w:hint="eastAsia" w:ascii="宋体" w:hAnsi="宋体" w:eastAsia="宋体" w:cs="Times New Roman"/>
                <w:color w:val="000000"/>
                <w:spacing w:val="2"/>
                <w:kern w:val="0"/>
                <w:sz w:val="24"/>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1" w:type="dxa"/>
            <w:vAlign w:val="center"/>
          </w:tcPr>
          <w:p w14:paraId="3AA6C0B0">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课程目标1</w:t>
            </w:r>
          </w:p>
        </w:tc>
      </w:tr>
    </w:tbl>
    <w:p w14:paraId="32062A8E">
      <w:pPr>
        <w:spacing w:before="156" w:beforeLines="50" w:after="156" w:after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（二）课程思政目标</w:t>
      </w:r>
    </w:p>
    <w:p w14:paraId="319B53FE">
      <w:pPr>
        <w:spacing w:before="156" w:beforeLines="50" w:after="156" w:afterLines="50" w:line="360" w:lineRule="auto"/>
        <w:jc w:val="left"/>
        <w:rPr>
          <w:rFonts w:ascii="Times New Roman" w:hAnsi="Times New Roman" w:eastAsia="宋体" w:cs="Times New Roman"/>
          <w:bCs/>
          <w:sz w:val="24"/>
        </w:rPr>
      </w:pPr>
      <w:r>
        <w:rPr>
          <w:rFonts w:hint="eastAsia" w:ascii="Times New Roman" w:hAnsi="Times New Roman" w:eastAsia="宋体" w:cs="Times New Roman"/>
          <w:b/>
          <w:sz w:val="24"/>
        </w:rPr>
        <w:t>•</w:t>
      </w:r>
      <w:r>
        <w:rPr>
          <w:rFonts w:hint="eastAsia" w:ascii="Times New Roman" w:hAnsi="Times New Roman" w:eastAsia="宋体" w:cs="Times New Roman"/>
          <w:bCs/>
          <w:sz w:val="24"/>
        </w:rPr>
        <w:t>思政目标1：通过学习小学科学教学设计与实施，激发学生对教育事业的热情，树立为孩子们成长和发展提供科学教育的责任感，培养求真务实的科学精神，提升学生的综合素质。</w:t>
      </w:r>
    </w:p>
    <w:p w14:paraId="2EF1F8E9">
      <w:pPr>
        <w:spacing w:before="156" w:beforeLines="50" w:after="156" w:afterLines="50" w:line="360" w:lineRule="auto"/>
        <w:jc w:val="left"/>
        <w:rPr>
          <w:rFonts w:ascii="Times New Roman" w:hAnsi="Times New Roman" w:eastAsia="宋体" w:cs="Times New Roman"/>
          <w:bCs/>
          <w:sz w:val="24"/>
        </w:rPr>
      </w:pPr>
      <w:r>
        <w:rPr>
          <w:rFonts w:hint="eastAsia" w:ascii="Times New Roman" w:hAnsi="Times New Roman" w:eastAsia="宋体" w:cs="Times New Roman"/>
          <w:bCs/>
          <w:sz w:val="24"/>
        </w:rPr>
        <w:t>•思政目标2：在科学教学中渗透科学与社会的关系，引导学生关注教育中的社会责任，增强环保意识、生态文明意识，理解科学教育在促进社会进步和文化传承中的重要作用。</w:t>
      </w:r>
    </w:p>
    <w:p w14:paraId="13E6E0FB">
      <w:pPr>
        <w:spacing w:before="156" w:beforeLines="50" w:after="156" w:afterLines="50" w:line="360" w:lineRule="auto"/>
        <w:jc w:val="left"/>
        <w:rPr>
          <w:rFonts w:ascii="Times New Roman" w:hAnsi="Times New Roman" w:eastAsia="宋体" w:cs="Times New Roman"/>
          <w:bCs/>
          <w:sz w:val="24"/>
        </w:rPr>
      </w:pPr>
      <w:r>
        <w:rPr>
          <w:rFonts w:hint="eastAsia" w:ascii="Times New Roman" w:hAnsi="Times New Roman" w:eastAsia="宋体" w:cs="Times New Roman"/>
          <w:bCs/>
          <w:sz w:val="24"/>
        </w:rPr>
        <w:t>•思政目标3：强化反思和批判性思维的培养，鼓励学生在教学实践中不断探索、总结与改进，培养具有教育创新精神和终身学习意识的教师职业素养，关注教师的专业成长与社会责任。</w:t>
      </w:r>
    </w:p>
    <w:p w14:paraId="1B51CAF6">
      <w:pPr>
        <w:spacing w:before="156" w:beforeLines="50" w:line="360" w:lineRule="auto"/>
        <w:jc w:val="left"/>
        <w:rPr>
          <w:rFonts w:hint="eastAsia" w:ascii="宋体" w:hAnsi="宋体" w:eastAsia="宋体" w:cs="Times New Roman"/>
          <w:b/>
          <w:color w:val="000000"/>
          <w:sz w:val="24"/>
        </w:rPr>
      </w:pPr>
    </w:p>
    <w:p w14:paraId="2BE407AD">
      <w:pPr>
        <w:spacing w:line="360" w:lineRule="auto"/>
        <w:jc w:val="left"/>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688"/>
        <w:gridCol w:w="1126"/>
        <w:gridCol w:w="3226"/>
        <w:gridCol w:w="1546"/>
        <w:gridCol w:w="516"/>
      </w:tblGrid>
      <w:tr w14:paraId="7CDA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Align w:val="center"/>
          </w:tcPr>
          <w:p w14:paraId="66073630">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w:t>
            </w:r>
          </w:p>
          <w:p w14:paraId="3DB6AE13">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单元</w:t>
            </w:r>
          </w:p>
        </w:tc>
        <w:tc>
          <w:tcPr>
            <w:tcW w:w="1688" w:type="dxa"/>
            <w:vAlign w:val="center"/>
          </w:tcPr>
          <w:p w14:paraId="2440D231">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知识点</w:t>
            </w:r>
          </w:p>
        </w:tc>
        <w:tc>
          <w:tcPr>
            <w:tcW w:w="1126" w:type="dxa"/>
            <w:vAlign w:val="center"/>
          </w:tcPr>
          <w:p w14:paraId="65CC599F">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对应</w:t>
            </w:r>
          </w:p>
          <w:p w14:paraId="6B970EF6">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课程目标</w:t>
            </w:r>
          </w:p>
        </w:tc>
        <w:tc>
          <w:tcPr>
            <w:tcW w:w="3226" w:type="dxa"/>
            <w:vAlign w:val="center"/>
          </w:tcPr>
          <w:p w14:paraId="1D25EA48">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预期学习成效</w:t>
            </w:r>
          </w:p>
        </w:tc>
        <w:tc>
          <w:tcPr>
            <w:tcW w:w="1546" w:type="dxa"/>
            <w:vAlign w:val="center"/>
          </w:tcPr>
          <w:p w14:paraId="529989D2">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实现环节</w:t>
            </w:r>
          </w:p>
        </w:tc>
        <w:tc>
          <w:tcPr>
            <w:tcW w:w="516" w:type="dxa"/>
            <w:vAlign w:val="center"/>
          </w:tcPr>
          <w:p w14:paraId="674929EF">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学时</w:t>
            </w:r>
          </w:p>
        </w:tc>
      </w:tr>
      <w:tr w14:paraId="7B14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restart"/>
          </w:tcPr>
          <w:p w14:paraId="69F3E557">
            <w:pPr>
              <w:spacing w:line="264" w:lineRule="auto"/>
              <w:jc w:val="center"/>
              <w:rPr>
                <w:rFonts w:hint="eastAsia" w:ascii="宋体" w:hAnsi="宋体" w:eastAsia="宋体" w:cs="Times New Roman"/>
                <w:color w:val="000000"/>
                <w:sz w:val="24"/>
              </w:rPr>
            </w:pPr>
            <w:r>
              <w:rPr>
                <w:rFonts w:hint="eastAsia" w:ascii="宋体" w:hAnsi="宋体" w:eastAsia="宋体"/>
                <w:sz w:val="24"/>
              </w:rPr>
              <w:t>（一）小学科学教学设计与组织</w:t>
            </w:r>
          </w:p>
        </w:tc>
        <w:tc>
          <w:tcPr>
            <w:tcW w:w="1688" w:type="dxa"/>
          </w:tcPr>
          <w:p w14:paraId="4CB21A23">
            <w:pPr>
              <w:spacing w:line="269" w:lineRule="auto"/>
              <w:jc w:val="left"/>
              <w:rPr>
                <w:rFonts w:hint="eastAsia" w:ascii="宋体" w:hAnsi="宋体" w:eastAsia="宋体" w:cs="Times New Roman"/>
                <w:color w:val="000000"/>
                <w:sz w:val="24"/>
              </w:rPr>
            </w:pPr>
            <w:r>
              <w:rPr>
                <w:rFonts w:hint="eastAsia" w:ascii="宋体" w:hAnsi="宋体" w:eastAsia="宋体"/>
                <w:sz w:val="24"/>
              </w:rPr>
              <w:t>小学科学教学设计、备课、课堂教学组织、课外活动组织</w:t>
            </w:r>
          </w:p>
        </w:tc>
        <w:tc>
          <w:tcPr>
            <w:tcW w:w="1126" w:type="dxa"/>
          </w:tcPr>
          <w:p w14:paraId="67A1A141">
            <w:pPr>
              <w:spacing w:line="269" w:lineRule="auto"/>
              <w:jc w:val="center"/>
              <w:rPr>
                <w:rFonts w:hint="eastAsia" w:ascii="宋体" w:hAnsi="宋体" w:eastAsia="宋体" w:cs="Times New Roman"/>
                <w:color w:val="000000"/>
                <w:sz w:val="24"/>
              </w:rPr>
            </w:pPr>
            <w:r>
              <w:rPr>
                <w:rFonts w:hint="eastAsia" w:ascii="宋体" w:hAnsi="宋体" w:eastAsia="宋体"/>
                <w:sz w:val="24"/>
              </w:rPr>
              <w:t>目标1</w:t>
            </w:r>
          </w:p>
        </w:tc>
        <w:tc>
          <w:tcPr>
            <w:tcW w:w="3226" w:type="dxa"/>
          </w:tcPr>
          <w:p w14:paraId="3EB43413">
            <w:pPr>
              <w:spacing w:line="269" w:lineRule="auto"/>
              <w:jc w:val="left"/>
              <w:rPr>
                <w:rFonts w:hint="eastAsia" w:ascii="宋体" w:hAnsi="宋体" w:eastAsia="宋体" w:cs="Times New Roman"/>
                <w:color w:val="000000"/>
                <w:sz w:val="24"/>
              </w:rPr>
            </w:pPr>
            <w:r>
              <w:rPr>
                <w:rFonts w:hint="eastAsia" w:ascii="宋体" w:hAnsi="宋体" w:eastAsia="宋体"/>
                <w:sz w:val="24"/>
              </w:rPr>
              <w:t>理解小学科学教学设计原理，掌握基本支撑和步骤，建构教学目标和内容体系</w:t>
            </w:r>
          </w:p>
        </w:tc>
        <w:tc>
          <w:tcPr>
            <w:tcW w:w="1546" w:type="dxa"/>
          </w:tcPr>
          <w:p w14:paraId="223E813D">
            <w:pPr>
              <w:spacing w:line="269" w:lineRule="auto"/>
              <w:jc w:val="left"/>
              <w:rPr>
                <w:rFonts w:hint="eastAsia" w:ascii="宋体" w:hAnsi="宋体" w:eastAsia="宋体" w:cs="Times New Roman"/>
                <w:color w:val="000000"/>
                <w:sz w:val="24"/>
              </w:rPr>
            </w:pPr>
            <w:r>
              <w:rPr>
                <w:rFonts w:hint="eastAsia" w:ascii="宋体" w:hAnsi="宋体" w:eastAsia="宋体"/>
                <w:sz w:val="24"/>
              </w:rPr>
              <w:t>课堂讲授与讨论、教学设计实践</w:t>
            </w:r>
          </w:p>
        </w:tc>
        <w:tc>
          <w:tcPr>
            <w:tcW w:w="516" w:type="dxa"/>
          </w:tcPr>
          <w:p w14:paraId="52F0CDD0">
            <w:pPr>
              <w:spacing w:line="269" w:lineRule="auto"/>
              <w:jc w:val="center"/>
              <w:rPr>
                <w:rFonts w:hint="eastAsia" w:ascii="宋体" w:hAnsi="宋体" w:eastAsia="宋体" w:cs="Times New Roman"/>
                <w:color w:val="000000"/>
                <w:sz w:val="24"/>
              </w:rPr>
            </w:pPr>
            <w:r>
              <w:rPr>
                <w:rFonts w:hint="eastAsia" w:ascii="宋体" w:hAnsi="宋体" w:eastAsia="宋体"/>
                <w:sz w:val="24"/>
              </w:rPr>
              <w:t>1</w:t>
            </w:r>
          </w:p>
        </w:tc>
      </w:tr>
      <w:tr w14:paraId="1082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continue"/>
            <w:vAlign w:val="center"/>
          </w:tcPr>
          <w:p w14:paraId="5B36B31E">
            <w:pPr>
              <w:spacing w:line="264" w:lineRule="auto"/>
              <w:jc w:val="center"/>
              <w:rPr>
                <w:rFonts w:hint="eastAsia" w:ascii="宋体" w:hAnsi="宋体" w:eastAsia="宋体" w:cs="Times New Roman"/>
                <w:color w:val="000000"/>
                <w:sz w:val="24"/>
              </w:rPr>
            </w:pPr>
          </w:p>
        </w:tc>
        <w:tc>
          <w:tcPr>
            <w:tcW w:w="8102" w:type="dxa"/>
            <w:gridSpan w:val="5"/>
            <w:vAlign w:val="center"/>
          </w:tcPr>
          <w:p w14:paraId="5C825EFD">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ascii="宋体" w:hAnsi="宋体" w:eastAsia="宋体" w:cs="Times New Roman"/>
                <w:color w:val="000000"/>
                <w:sz w:val="24"/>
              </w:rPr>
              <w:t>思政目标1通过学习小学科学教学设计与实施，激发学生对教育事业的热情，树立为孩子们成长和发展提供科学教育的责任感，培养求真务实的科学精神，提升学生的综合素质。</w:t>
            </w:r>
          </w:p>
        </w:tc>
      </w:tr>
      <w:tr w14:paraId="54E7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restart"/>
          </w:tcPr>
          <w:p w14:paraId="09231E5E">
            <w:pPr>
              <w:spacing w:line="264" w:lineRule="auto"/>
              <w:jc w:val="center"/>
              <w:rPr>
                <w:rFonts w:hint="eastAsia" w:ascii="宋体" w:hAnsi="宋体" w:eastAsia="宋体" w:cs="Times New Roman"/>
                <w:color w:val="000000"/>
                <w:sz w:val="24"/>
              </w:rPr>
            </w:pPr>
            <w:r>
              <w:rPr>
                <w:rFonts w:hint="eastAsia" w:ascii="宋体" w:hAnsi="宋体" w:eastAsia="宋体"/>
                <w:sz w:val="24"/>
              </w:rPr>
              <w:t>（二）物质和能量内容分析与教学研究</w:t>
            </w:r>
          </w:p>
        </w:tc>
        <w:tc>
          <w:tcPr>
            <w:tcW w:w="1688" w:type="dxa"/>
          </w:tcPr>
          <w:p w14:paraId="2350A044">
            <w:pPr>
              <w:spacing w:line="269" w:lineRule="auto"/>
              <w:jc w:val="left"/>
              <w:rPr>
                <w:rFonts w:hint="eastAsia" w:ascii="宋体" w:hAnsi="宋体" w:eastAsia="宋体" w:cs="Times New Roman"/>
                <w:color w:val="000000"/>
                <w:sz w:val="24"/>
              </w:rPr>
            </w:pPr>
            <w:r>
              <w:rPr>
                <w:rFonts w:hint="eastAsia" w:ascii="宋体" w:hAnsi="宋体" w:eastAsia="宋体"/>
                <w:sz w:val="24"/>
              </w:rPr>
              <w:t>物质和能量课程目标分析、内容分析、教学策略</w:t>
            </w:r>
          </w:p>
        </w:tc>
        <w:tc>
          <w:tcPr>
            <w:tcW w:w="1126" w:type="dxa"/>
          </w:tcPr>
          <w:p w14:paraId="6721194E">
            <w:pPr>
              <w:spacing w:line="269" w:lineRule="auto"/>
              <w:jc w:val="center"/>
              <w:rPr>
                <w:rFonts w:hint="eastAsia" w:ascii="宋体" w:hAnsi="宋体" w:eastAsia="宋体" w:cs="Times New Roman"/>
                <w:color w:val="000000"/>
                <w:sz w:val="24"/>
              </w:rPr>
            </w:pPr>
            <w:r>
              <w:rPr>
                <w:rFonts w:hint="eastAsia" w:ascii="宋体" w:hAnsi="宋体" w:eastAsia="宋体"/>
                <w:sz w:val="24"/>
              </w:rPr>
              <w:t>目标1、目标2</w:t>
            </w:r>
          </w:p>
        </w:tc>
        <w:tc>
          <w:tcPr>
            <w:tcW w:w="3226" w:type="dxa"/>
          </w:tcPr>
          <w:p w14:paraId="7BD4C5E9">
            <w:pPr>
              <w:spacing w:line="269" w:lineRule="auto"/>
              <w:jc w:val="left"/>
              <w:rPr>
                <w:rFonts w:hint="eastAsia" w:ascii="宋体" w:hAnsi="宋体" w:eastAsia="宋体" w:cs="Times New Roman"/>
                <w:color w:val="000000"/>
                <w:sz w:val="24"/>
              </w:rPr>
            </w:pPr>
            <w:r>
              <w:rPr>
                <w:rFonts w:hint="eastAsia" w:ascii="宋体" w:hAnsi="宋体" w:eastAsia="宋体"/>
                <w:sz w:val="24"/>
              </w:rPr>
              <w:t>理解小学科学物质和能量领域的目标要求，掌握教学过程与策略</w:t>
            </w:r>
          </w:p>
        </w:tc>
        <w:tc>
          <w:tcPr>
            <w:tcW w:w="1546" w:type="dxa"/>
          </w:tcPr>
          <w:p w14:paraId="2CB97029">
            <w:pPr>
              <w:spacing w:line="269" w:lineRule="auto"/>
              <w:jc w:val="left"/>
              <w:rPr>
                <w:rFonts w:hint="eastAsia" w:ascii="宋体" w:hAnsi="宋体" w:eastAsia="宋体" w:cs="Times New Roman"/>
                <w:color w:val="000000"/>
                <w:sz w:val="24"/>
              </w:rPr>
            </w:pPr>
            <w:r>
              <w:rPr>
                <w:rFonts w:hint="eastAsia" w:ascii="宋体" w:hAnsi="宋体" w:eastAsia="宋体"/>
                <w:sz w:val="24"/>
              </w:rPr>
              <w:t>课堂讲解、案例分析、讨论</w:t>
            </w:r>
          </w:p>
        </w:tc>
        <w:tc>
          <w:tcPr>
            <w:tcW w:w="516" w:type="dxa"/>
          </w:tcPr>
          <w:p w14:paraId="611099C0">
            <w:pPr>
              <w:spacing w:line="269" w:lineRule="auto"/>
              <w:jc w:val="center"/>
              <w:rPr>
                <w:rFonts w:hint="eastAsia" w:ascii="宋体" w:hAnsi="宋体" w:eastAsia="宋体" w:cs="Times New Roman"/>
                <w:color w:val="000000"/>
                <w:sz w:val="24"/>
              </w:rPr>
            </w:pPr>
            <w:r>
              <w:rPr>
                <w:rFonts w:hint="eastAsia" w:ascii="宋体" w:hAnsi="宋体" w:eastAsia="宋体"/>
                <w:sz w:val="24"/>
              </w:rPr>
              <w:t>3</w:t>
            </w:r>
          </w:p>
        </w:tc>
      </w:tr>
      <w:tr w14:paraId="2AD5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continue"/>
            <w:vAlign w:val="center"/>
          </w:tcPr>
          <w:p w14:paraId="4A2EB919">
            <w:pPr>
              <w:spacing w:line="264" w:lineRule="auto"/>
              <w:jc w:val="center"/>
              <w:rPr>
                <w:rFonts w:hint="eastAsia" w:ascii="宋体" w:hAnsi="宋体" w:eastAsia="宋体" w:cs="Times New Roman"/>
                <w:color w:val="000000"/>
                <w:sz w:val="24"/>
              </w:rPr>
            </w:pPr>
          </w:p>
        </w:tc>
        <w:tc>
          <w:tcPr>
            <w:tcW w:w="8102" w:type="dxa"/>
            <w:gridSpan w:val="5"/>
            <w:vAlign w:val="center"/>
          </w:tcPr>
          <w:p w14:paraId="7D7FCC7E">
            <w:pPr>
              <w:spacing w:line="269" w:lineRule="auto"/>
              <w:jc w:val="left"/>
              <w:rPr>
                <w:rFonts w:hint="eastAsia" w:ascii="宋体" w:hAnsi="宋体" w:eastAsia="宋体" w:cs="Times New Roman"/>
                <w:b/>
                <w:bCs/>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思政目标2渗透科学与社会的关系，引导学生关注教育中的社会责任，增强环保意识、生态文明意识，理解科学教育在促进社会进步和文化传承中的作用。</w:t>
            </w:r>
          </w:p>
        </w:tc>
      </w:tr>
      <w:tr w14:paraId="0868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restart"/>
          </w:tcPr>
          <w:p w14:paraId="4A0E9B53">
            <w:pPr>
              <w:spacing w:line="264" w:lineRule="auto"/>
              <w:jc w:val="center"/>
              <w:rPr>
                <w:rFonts w:hint="eastAsia" w:ascii="宋体" w:hAnsi="宋体" w:eastAsia="宋体" w:cs="Times New Roman"/>
                <w:color w:val="000000"/>
                <w:sz w:val="24"/>
              </w:rPr>
            </w:pPr>
            <w:r>
              <w:rPr>
                <w:rFonts w:hint="eastAsia" w:ascii="宋体" w:hAnsi="宋体" w:eastAsia="宋体"/>
                <w:sz w:val="24"/>
              </w:rPr>
              <w:t>（三）物质和能量专题案例研究（教学设计、试讲、说课等）</w:t>
            </w:r>
          </w:p>
        </w:tc>
        <w:tc>
          <w:tcPr>
            <w:tcW w:w="1688" w:type="dxa"/>
          </w:tcPr>
          <w:p w14:paraId="2D698D3B">
            <w:pPr>
              <w:spacing w:line="269" w:lineRule="auto"/>
              <w:jc w:val="left"/>
              <w:rPr>
                <w:rFonts w:hint="eastAsia" w:ascii="宋体" w:hAnsi="宋体" w:eastAsia="宋体" w:cs="Times New Roman"/>
                <w:color w:val="000000"/>
                <w:sz w:val="24"/>
              </w:rPr>
            </w:pPr>
            <w:r>
              <w:rPr>
                <w:rFonts w:hint="eastAsia" w:ascii="宋体" w:hAnsi="宋体" w:eastAsia="宋体"/>
                <w:sz w:val="24"/>
              </w:rPr>
              <w:t>物质和能量教学设计实践操作、试讲、演课、说课稿撰写</w:t>
            </w:r>
          </w:p>
        </w:tc>
        <w:tc>
          <w:tcPr>
            <w:tcW w:w="1126" w:type="dxa"/>
          </w:tcPr>
          <w:p w14:paraId="455BCE40">
            <w:pPr>
              <w:spacing w:line="269" w:lineRule="auto"/>
              <w:jc w:val="center"/>
              <w:rPr>
                <w:rFonts w:hint="eastAsia" w:ascii="宋体" w:hAnsi="宋体" w:eastAsia="宋体" w:cs="Times New Roman"/>
                <w:color w:val="000000"/>
                <w:sz w:val="24"/>
              </w:rPr>
            </w:pPr>
            <w:r>
              <w:rPr>
                <w:rFonts w:hint="eastAsia" w:ascii="宋体" w:hAnsi="宋体" w:eastAsia="宋体"/>
                <w:sz w:val="24"/>
              </w:rPr>
              <w:t>目标3、目标4</w:t>
            </w:r>
          </w:p>
        </w:tc>
        <w:tc>
          <w:tcPr>
            <w:tcW w:w="3226" w:type="dxa"/>
          </w:tcPr>
          <w:p w14:paraId="6E044178">
            <w:pPr>
              <w:spacing w:line="269" w:lineRule="auto"/>
              <w:jc w:val="left"/>
              <w:rPr>
                <w:rFonts w:hint="eastAsia" w:ascii="宋体" w:hAnsi="宋体" w:eastAsia="宋体" w:cs="Times New Roman"/>
                <w:color w:val="000000"/>
                <w:sz w:val="24"/>
              </w:rPr>
            </w:pPr>
            <w:r>
              <w:rPr>
                <w:rFonts w:hint="eastAsia" w:ascii="宋体" w:hAnsi="宋体" w:eastAsia="宋体"/>
                <w:sz w:val="24"/>
              </w:rPr>
              <w:t>能够进行教学设计、试讲、演课及说课，掌握教学技巧和说课原则</w:t>
            </w:r>
          </w:p>
        </w:tc>
        <w:tc>
          <w:tcPr>
            <w:tcW w:w="1546" w:type="dxa"/>
          </w:tcPr>
          <w:p w14:paraId="345078BA">
            <w:pPr>
              <w:spacing w:line="269" w:lineRule="auto"/>
              <w:jc w:val="left"/>
              <w:rPr>
                <w:rFonts w:hint="eastAsia" w:ascii="宋体" w:hAnsi="宋体" w:eastAsia="宋体" w:cs="Times New Roman"/>
                <w:color w:val="000000"/>
                <w:sz w:val="24"/>
              </w:rPr>
            </w:pPr>
            <w:r>
              <w:rPr>
                <w:rFonts w:hint="eastAsia" w:ascii="宋体" w:hAnsi="宋体" w:eastAsia="宋体"/>
                <w:sz w:val="24"/>
              </w:rPr>
              <w:t>教学设计实践、试讲、说课</w:t>
            </w:r>
          </w:p>
        </w:tc>
        <w:tc>
          <w:tcPr>
            <w:tcW w:w="516" w:type="dxa"/>
          </w:tcPr>
          <w:p w14:paraId="0E345336">
            <w:pPr>
              <w:spacing w:line="269" w:lineRule="auto"/>
              <w:jc w:val="center"/>
              <w:rPr>
                <w:rFonts w:hint="eastAsia" w:ascii="宋体" w:hAnsi="宋体" w:eastAsia="宋体" w:cs="Times New Roman"/>
                <w:color w:val="000000"/>
                <w:sz w:val="24"/>
              </w:rPr>
            </w:pPr>
            <w:r>
              <w:rPr>
                <w:rFonts w:hint="eastAsia" w:ascii="宋体" w:hAnsi="宋体" w:eastAsia="宋体"/>
                <w:sz w:val="24"/>
              </w:rPr>
              <w:t>4</w:t>
            </w:r>
          </w:p>
        </w:tc>
      </w:tr>
      <w:tr w14:paraId="1E80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continue"/>
            <w:vAlign w:val="center"/>
          </w:tcPr>
          <w:p w14:paraId="3DF3EAB1">
            <w:pPr>
              <w:spacing w:line="264" w:lineRule="auto"/>
              <w:jc w:val="center"/>
              <w:rPr>
                <w:rFonts w:hint="eastAsia" w:ascii="宋体" w:hAnsi="宋体" w:eastAsia="宋体" w:cs="Times New Roman"/>
                <w:color w:val="000000"/>
                <w:sz w:val="24"/>
              </w:rPr>
            </w:pPr>
          </w:p>
        </w:tc>
        <w:tc>
          <w:tcPr>
            <w:tcW w:w="8102" w:type="dxa"/>
            <w:gridSpan w:val="5"/>
            <w:vAlign w:val="center"/>
          </w:tcPr>
          <w:p w14:paraId="517F5F84">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思政目标3强化反思和批判性思维的培养，鼓励学生在教学实践中不断探索、总结与改进，培养具有教育创新精神和终身学习意识的教师职业素养，关注教师的专业成长与社会责任。</w:t>
            </w:r>
          </w:p>
        </w:tc>
      </w:tr>
      <w:tr w14:paraId="4FC6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restart"/>
          </w:tcPr>
          <w:p w14:paraId="3788B4F8">
            <w:pPr>
              <w:spacing w:line="276" w:lineRule="auto"/>
              <w:jc w:val="center"/>
              <w:rPr>
                <w:rFonts w:hint="eastAsia" w:ascii="宋体" w:hAnsi="宋体" w:eastAsia="宋体" w:cs="Times New Roman"/>
                <w:color w:val="000000"/>
                <w:sz w:val="24"/>
              </w:rPr>
            </w:pPr>
            <w:r>
              <w:rPr>
                <w:rFonts w:hint="eastAsia" w:ascii="宋体" w:hAnsi="宋体" w:eastAsia="宋体"/>
                <w:sz w:val="24"/>
              </w:rPr>
              <w:t>（四）生物与进化内容分析与教学研究</w:t>
            </w:r>
          </w:p>
        </w:tc>
        <w:tc>
          <w:tcPr>
            <w:tcW w:w="1688" w:type="dxa"/>
          </w:tcPr>
          <w:p w14:paraId="12934F36">
            <w:pPr>
              <w:spacing w:line="276" w:lineRule="auto"/>
              <w:jc w:val="left"/>
              <w:rPr>
                <w:rFonts w:hint="eastAsia" w:ascii="宋体" w:hAnsi="宋体" w:eastAsia="宋体" w:cs="Times New Roman"/>
                <w:color w:val="000000"/>
                <w:sz w:val="24"/>
              </w:rPr>
            </w:pPr>
            <w:r>
              <w:rPr>
                <w:rFonts w:hint="eastAsia" w:ascii="宋体" w:hAnsi="宋体" w:eastAsia="宋体"/>
                <w:sz w:val="24"/>
              </w:rPr>
              <w:t>生物与进化课程目标分析、内容分析、教学策略</w:t>
            </w:r>
          </w:p>
        </w:tc>
        <w:tc>
          <w:tcPr>
            <w:tcW w:w="1126" w:type="dxa"/>
          </w:tcPr>
          <w:p w14:paraId="3852782D">
            <w:pPr>
              <w:spacing w:line="276" w:lineRule="auto"/>
              <w:jc w:val="center"/>
              <w:rPr>
                <w:rFonts w:hint="eastAsia" w:ascii="宋体" w:hAnsi="宋体" w:eastAsia="宋体" w:cs="Times New Roman"/>
                <w:color w:val="000000"/>
                <w:sz w:val="24"/>
              </w:rPr>
            </w:pPr>
            <w:r>
              <w:rPr>
                <w:rFonts w:hint="eastAsia" w:ascii="宋体" w:hAnsi="宋体" w:eastAsia="宋体"/>
                <w:sz w:val="24"/>
              </w:rPr>
              <w:t>目标1、目标2</w:t>
            </w:r>
          </w:p>
        </w:tc>
        <w:tc>
          <w:tcPr>
            <w:tcW w:w="3226" w:type="dxa"/>
          </w:tcPr>
          <w:p w14:paraId="4ED91A9B">
            <w:pPr>
              <w:spacing w:line="276" w:lineRule="auto"/>
              <w:jc w:val="left"/>
              <w:rPr>
                <w:rFonts w:hint="eastAsia" w:ascii="宋体" w:hAnsi="宋体" w:eastAsia="宋体" w:cs="Times New Roman"/>
                <w:color w:val="000000"/>
                <w:sz w:val="24"/>
              </w:rPr>
            </w:pPr>
            <w:r>
              <w:rPr>
                <w:rFonts w:hint="eastAsia" w:ascii="宋体" w:hAnsi="宋体" w:eastAsia="宋体"/>
                <w:sz w:val="24"/>
              </w:rPr>
              <w:t>理解生物与进化领域的教学要求和内容体系，掌握教学方法和策略</w:t>
            </w:r>
          </w:p>
        </w:tc>
        <w:tc>
          <w:tcPr>
            <w:tcW w:w="1546" w:type="dxa"/>
          </w:tcPr>
          <w:p w14:paraId="79DE985A">
            <w:pPr>
              <w:spacing w:line="276" w:lineRule="auto"/>
              <w:jc w:val="left"/>
              <w:rPr>
                <w:rFonts w:hint="eastAsia" w:ascii="宋体" w:hAnsi="宋体" w:eastAsia="宋体" w:cs="Times New Roman"/>
                <w:color w:val="000000"/>
                <w:sz w:val="24"/>
              </w:rPr>
            </w:pPr>
            <w:r>
              <w:rPr>
                <w:rFonts w:hint="eastAsia" w:ascii="宋体" w:hAnsi="宋体" w:eastAsia="宋体"/>
                <w:sz w:val="24"/>
              </w:rPr>
              <w:t>课堂讲解、案例分析、讨论</w:t>
            </w:r>
          </w:p>
        </w:tc>
        <w:tc>
          <w:tcPr>
            <w:tcW w:w="516" w:type="dxa"/>
          </w:tcPr>
          <w:p w14:paraId="6B87B20C">
            <w:pPr>
              <w:spacing w:line="276" w:lineRule="auto"/>
              <w:jc w:val="center"/>
              <w:rPr>
                <w:rFonts w:hint="eastAsia" w:ascii="宋体" w:hAnsi="宋体" w:eastAsia="宋体" w:cs="Times New Roman"/>
                <w:color w:val="000000"/>
                <w:sz w:val="24"/>
              </w:rPr>
            </w:pPr>
            <w:r>
              <w:rPr>
                <w:rFonts w:hint="eastAsia" w:ascii="宋体" w:hAnsi="宋体" w:eastAsia="宋体"/>
                <w:sz w:val="24"/>
              </w:rPr>
              <w:t>4</w:t>
            </w:r>
          </w:p>
        </w:tc>
      </w:tr>
      <w:tr w14:paraId="195A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continue"/>
            <w:vAlign w:val="center"/>
          </w:tcPr>
          <w:p w14:paraId="0B188B90">
            <w:pPr>
              <w:spacing w:line="276" w:lineRule="auto"/>
              <w:jc w:val="center"/>
              <w:rPr>
                <w:rFonts w:hint="eastAsia" w:ascii="宋体" w:hAnsi="宋体" w:eastAsia="宋体" w:cs="Times New Roman"/>
                <w:color w:val="000000"/>
                <w:sz w:val="24"/>
              </w:rPr>
            </w:pPr>
          </w:p>
        </w:tc>
        <w:tc>
          <w:tcPr>
            <w:tcW w:w="8102" w:type="dxa"/>
            <w:gridSpan w:val="5"/>
            <w:vAlign w:val="center"/>
          </w:tcPr>
          <w:p w14:paraId="47AED626">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思政目标2渗透科学与社会的关系，引导学生关注教育中的社会责任，增强环保意识、生态文明意识，理解科学教育在促进社会进步和文化传承中的作用。</w:t>
            </w:r>
          </w:p>
        </w:tc>
      </w:tr>
      <w:tr w14:paraId="7D97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restart"/>
          </w:tcPr>
          <w:p w14:paraId="37EA8F10">
            <w:pPr>
              <w:spacing w:line="276" w:lineRule="auto"/>
              <w:jc w:val="center"/>
              <w:rPr>
                <w:rFonts w:hint="eastAsia" w:ascii="宋体" w:hAnsi="宋体" w:eastAsia="宋体" w:cs="Times New Roman"/>
                <w:color w:val="000000"/>
                <w:sz w:val="24"/>
              </w:rPr>
            </w:pPr>
            <w:r>
              <w:rPr>
                <w:rFonts w:hint="eastAsia" w:ascii="宋体" w:hAnsi="宋体" w:eastAsia="宋体"/>
                <w:sz w:val="24"/>
              </w:rPr>
              <w:t>（五）生物与进化专题案例研究（教学设计、试讲、说课等）</w:t>
            </w:r>
          </w:p>
        </w:tc>
        <w:tc>
          <w:tcPr>
            <w:tcW w:w="1688" w:type="dxa"/>
          </w:tcPr>
          <w:p w14:paraId="3C7F271D">
            <w:pPr>
              <w:spacing w:line="276" w:lineRule="auto"/>
              <w:jc w:val="left"/>
              <w:rPr>
                <w:rFonts w:hint="eastAsia" w:ascii="宋体" w:hAnsi="宋体" w:eastAsia="宋体" w:cs="Times New Roman"/>
                <w:color w:val="000000"/>
                <w:sz w:val="24"/>
              </w:rPr>
            </w:pPr>
            <w:r>
              <w:rPr>
                <w:rFonts w:hint="eastAsia" w:ascii="宋体" w:hAnsi="宋体" w:eastAsia="宋体"/>
                <w:sz w:val="24"/>
              </w:rPr>
              <w:t>生物与进化教学设计实践操作、试讲、演课、说课稿撰写</w:t>
            </w:r>
          </w:p>
        </w:tc>
        <w:tc>
          <w:tcPr>
            <w:tcW w:w="1126" w:type="dxa"/>
          </w:tcPr>
          <w:p w14:paraId="750C5641">
            <w:pPr>
              <w:spacing w:line="276" w:lineRule="auto"/>
              <w:jc w:val="center"/>
              <w:rPr>
                <w:rFonts w:hint="eastAsia" w:ascii="宋体" w:hAnsi="宋体" w:eastAsia="宋体" w:cs="Times New Roman"/>
                <w:color w:val="000000"/>
                <w:sz w:val="24"/>
              </w:rPr>
            </w:pPr>
            <w:r>
              <w:rPr>
                <w:rFonts w:hint="eastAsia" w:ascii="宋体" w:hAnsi="宋体" w:eastAsia="宋体"/>
                <w:sz w:val="24"/>
              </w:rPr>
              <w:t>目标3、目标4</w:t>
            </w:r>
          </w:p>
        </w:tc>
        <w:tc>
          <w:tcPr>
            <w:tcW w:w="3226" w:type="dxa"/>
          </w:tcPr>
          <w:p w14:paraId="7555E9D4">
            <w:pPr>
              <w:spacing w:line="276" w:lineRule="auto"/>
              <w:jc w:val="left"/>
              <w:rPr>
                <w:rFonts w:hint="eastAsia" w:ascii="宋体" w:hAnsi="宋体" w:eastAsia="宋体" w:cs="Times New Roman"/>
                <w:color w:val="000000"/>
                <w:sz w:val="24"/>
              </w:rPr>
            </w:pPr>
            <w:r>
              <w:rPr>
                <w:rFonts w:hint="eastAsia" w:ascii="宋体" w:hAnsi="宋体" w:eastAsia="宋体"/>
                <w:sz w:val="24"/>
              </w:rPr>
              <w:t>能够进行生物与进化的教学设计、试讲与说课，掌握说课原则和技巧</w:t>
            </w:r>
          </w:p>
        </w:tc>
        <w:tc>
          <w:tcPr>
            <w:tcW w:w="1546" w:type="dxa"/>
          </w:tcPr>
          <w:p w14:paraId="7BF871B5">
            <w:pPr>
              <w:spacing w:line="276" w:lineRule="auto"/>
              <w:jc w:val="left"/>
              <w:rPr>
                <w:rFonts w:hint="eastAsia" w:ascii="宋体" w:hAnsi="宋体" w:eastAsia="宋体" w:cs="Times New Roman"/>
                <w:color w:val="000000"/>
                <w:sz w:val="24"/>
              </w:rPr>
            </w:pPr>
            <w:r>
              <w:rPr>
                <w:rFonts w:hint="eastAsia" w:ascii="宋体" w:hAnsi="宋体" w:eastAsia="宋体"/>
                <w:sz w:val="24"/>
              </w:rPr>
              <w:t>教学设计实践、试讲、说课</w:t>
            </w:r>
          </w:p>
        </w:tc>
        <w:tc>
          <w:tcPr>
            <w:tcW w:w="516" w:type="dxa"/>
          </w:tcPr>
          <w:p w14:paraId="052F2B29">
            <w:pPr>
              <w:spacing w:line="276" w:lineRule="auto"/>
              <w:jc w:val="center"/>
              <w:rPr>
                <w:rFonts w:hint="eastAsia" w:ascii="宋体" w:hAnsi="宋体" w:eastAsia="宋体" w:cs="Times New Roman"/>
                <w:color w:val="000000"/>
                <w:sz w:val="24"/>
              </w:rPr>
            </w:pPr>
            <w:r>
              <w:rPr>
                <w:rFonts w:hint="eastAsia" w:ascii="宋体" w:hAnsi="宋体" w:eastAsia="宋体"/>
                <w:sz w:val="24"/>
              </w:rPr>
              <w:t>4</w:t>
            </w:r>
          </w:p>
        </w:tc>
      </w:tr>
      <w:tr w14:paraId="4C4C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continue"/>
            <w:vAlign w:val="center"/>
          </w:tcPr>
          <w:p w14:paraId="3943ACBC">
            <w:pPr>
              <w:spacing w:line="276" w:lineRule="auto"/>
              <w:jc w:val="center"/>
              <w:rPr>
                <w:rFonts w:hint="eastAsia" w:ascii="宋体" w:hAnsi="宋体" w:eastAsia="宋体" w:cs="Times New Roman"/>
                <w:color w:val="000000"/>
                <w:sz w:val="24"/>
              </w:rPr>
            </w:pPr>
          </w:p>
        </w:tc>
        <w:tc>
          <w:tcPr>
            <w:tcW w:w="8102" w:type="dxa"/>
            <w:gridSpan w:val="5"/>
            <w:vAlign w:val="center"/>
          </w:tcPr>
          <w:p w14:paraId="7446698E">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思政目标3强化反思和批判性思维的培养，鼓励学生在教学实践中不断探索、总结与改进，培养具有教育创新精神和终身学习意识的教师职业素养，关注教师的专业成长与社会责任。</w:t>
            </w:r>
          </w:p>
        </w:tc>
      </w:tr>
      <w:tr w14:paraId="467E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restart"/>
          </w:tcPr>
          <w:p w14:paraId="2C29E55E">
            <w:pPr>
              <w:spacing w:line="276" w:lineRule="auto"/>
              <w:jc w:val="center"/>
              <w:rPr>
                <w:rFonts w:hint="eastAsia" w:ascii="宋体" w:hAnsi="宋体" w:eastAsia="宋体" w:cs="Times New Roman"/>
                <w:color w:val="000000"/>
                <w:sz w:val="24"/>
              </w:rPr>
            </w:pPr>
            <w:r>
              <w:rPr>
                <w:rFonts w:hint="eastAsia" w:ascii="宋体" w:hAnsi="宋体" w:eastAsia="宋体"/>
                <w:sz w:val="24"/>
              </w:rPr>
              <w:t>（六）地球与宇宙内容分析与教学研究</w:t>
            </w:r>
          </w:p>
        </w:tc>
        <w:tc>
          <w:tcPr>
            <w:tcW w:w="1688" w:type="dxa"/>
          </w:tcPr>
          <w:p w14:paraId="5E511B84">
            <w:pPr>
              <w:spacing w:line="276" w:lineRule="auto"/>
              <w:jc w:val="left"/>
              <w:rPr>
                <w:rFonts w:hint="eastAsia" w:ascii="宋体" w:hAnsi="宋体" w:eastAsia="宋体" w:cs="Times New Roman"/>
                <w:color w:val="000000"/>
                <w:sz w:val="24"/>
              </w:rPr>
            </w:pPr>
            <w:r>
              <w:rPr>
                <w:rFonts w:hint="eastAsia" w:ascii="宋体" w:hAnsi="宋体" w:eastAsia="宋体"/>
                <w:sz w:val="24"/>
              </w:rPr>
              <w:t>地球与宇宙课程目标分析、内容分析、教学策略</w:t>
            </w:r>
          </w:p>
        </w:tc>
        <w:tc>
          <w:tcPr>
            <w:tcW w:w="1126" w:type="dxa"/>
          </w:tcPr>
          <w:p w14:paraId="68998505">
            <w:pPr>
              <w:spacing w:line="276" w:lineRule="auto"/>
              <w:jc w:val="center"/>
              <w:rPr>
                <w:rFonts w:hint="eastAsia" w:ascii="宋体" w:hAnsi="宋体" w:eastAsia="宋体" w:cs="Times New Roman"/>
                <w:color w:val="000000"/>
                <w:sz w:val="24"/>
              </w:rPr>
            </w:pPr>
            <w:r>
              <w:rPr>
                <w:rFonts w:hint="eastAsia" w:ascii="宋体" w:hAnsi="宋体" w:eastAsia="宋体"/>
                <w:sz w:val="24"/>
              </w:rPr>
              <w:t>目标1、目标2</w:t>
            </w:r>
          </w:p>
        </w:tc>
        <w:tc>
          <w:tcPr>
            <w:tcW w:w="3226" w:type="dxa"/>
          </w:tcPr>
          <w:p w14:paraId="64910A7F">
            <w:pPr>
              <w:spacing w:line="276" w:lineRule="auto"/>
              <w:jc w:val="left"/>
              <w:rPr>
                <w:rFonts w:hint="eastAsia" w:ascii="宋体" w:hAnsi="宋体" w:eastAsia="宋体" w:cs="Times New Roman"/>
                <w:color w:val="000000"/>
                <w:sz w:val="24"/>
              </w:rPr>
            </w:pPr>
            <w:r>
              <w:rPr>
                <w:rFonts w:hint="eastAsia" w:ascii="宋体" w:hAnsi="宋体" w:eastAsia="宋体"/>
                <w:sz w:val="24"/>
              </w:rPr>
              <w:t>理解地球与宇宙领域的教学目标要求和内容体系，掌握相关的教学策略</w:t>
            </w:r>
          </w:p>
        </w:tc>
        <w:tc>
          <w:tcPr>
            <w:tcW w:w="1546" w:type="dxa"/>
          </w:tcPr>
          <w:p w14:paraId="2B4CA9BE">
            <w:pPr>
              <w:spacing w:line="276" w:lineRule="auto"/>
              <w:jc w:val="left"/>
              <w:rPr>
                <w:rFonts w:hint="eastAsia" w:ascii="宋体" w:hAnsi="宋体" w:eastAsia="宋体" w:cs="Times New Roman"/>
                <w:color w:val="000000"/>
                <w:sz w:val="24"/>
              </w:rPr>
            </w:pPr>
            <w:r>
              <w:rPr>
                <w:rFonts w:hint="eastAsia" w:ascii="宋体" w:hAnsi="宋体" w:eastAsia="宋体"/>
                <w:sz w:val="24"/>
              </w:rPr>
              <w:t>课堂讲解、案例分析、讨论</w:t>
            </w:r>
          </w:p>
        </w:tc>
        <w:tc>
          <w:tcPr>
            <w:tcW w:w="516" w:type="dxa"/>
          </w:tcPr>
          <w:p w14:paraId="37189E50">
            <w:pPr>
              <w:spacing w:line="276" w:lineRule="auto"/>
              <w:jc w:val="center"/>
              <w:rPr>
                <w:rFonts w:hint="eastAsia" w:ascii="宋体" w:hAnsi="宋体" w:eastAsia="宋体" w:cs="Times New Roman"/>
                <w:color w:val="000000"/>
                <w:sz w:val="24"/>
              </w:rPr>
            </w:pPr>
            <w:r>
              <w:rPr>
                <w:rFonts w:hint="eastAsia" w:ascii="宋体" w:hAnsi="宋体" w:eastAsia="宋体"/>
                <w:sz w:val="24"/>
              </w:rPr>
              <w:t>4</w:t>
            </w:r>
          </w:p>
        </w:tc>
      </w:tr>
      <w:tr w14:paraId="5B5D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continue"/>
            <w:vAlign w:val="center"/>
          </w:tcPr>
          <w:p w14:paraId="731305AD">
            <w:pPr>
              <w:spacing w:line="276" w:lineRule="auto"/>
              <w:jc w:val="center"/>
              <w:rPr>
                <w:rFonts w:hint="eastAsia" w:ascii="宋体" w:hAnsi="宋体" w:eastAsia="宋体" w:cs="Times New Roman"/>
                <w:color w:val="000000"/>
                <w:sz w:val="24"/>
              </w:rPr>
            </w:pPr>
          </w:p>
        </w:tc>
        <w:tc>
          <w:tcPr>
            <w:tcW w:w="8102" w:type="dxa"/>
            <w:gridSpan w:val="5"/>
            <w:vAlign w:val="center"/>
          </w:tcPr>
          <w:p w14:paraId="3BCDA5C6">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思政目标2渗透科学与社会的关系，引导学生关注教育中的社会责任，增强环保意识、生态文明意识，理解科学教育在促进社会进步和文化传承中的作用。</w:t>
            </w:r>
          </w:p>
        </w:tc>
      </w:tr>
      <w:tr w14:paraId="3DCC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restart"/>
          </w:tcPr>
          <w:p w14:paraId="2B463961">
            <w:pPr>
              <w:spacing w:line="276" w:lineRule="auto"/>
              <w:jc w:val="center"/>
              <w:rPr>
                <w:rFonts w:hint="eastAsia" w:ascii="宋体" w:hAnsi="宋体" w:eastAsia="宋体" w:cs="Times New Roman"/>
                <w:sz w:val="24"/>
              </w:rPr>
            </w:pPr>
            <w:r>
              <w:rPr>
                <w:rFonts w:hint="eastAsia" w:ascii="宋体" w:hAnsi="宋体" w:eastAsia="宋体"/>
                <w:sz w:val="24"/>
              </w:rPr>
              <w:t>（七）地球与宇宙专题案例研究（教学设计、试讲、说课等）</w:t>
            </w:r>
          </w:p>
        </w:tc>
        <w:tc>
          <w:tcPr>
            <w:tcW w:w="1688" w:type="dxa"/>
          </w:tcPr>
          <w:p w14:paraId="4014020C">
            <w:pPr>
              <w:spacing w:line="276" w:lineRule="auto"/>
              <w:jc w:val="left"/>
              <w:rPr>
                <w:rFonts w:hint="eastAsia" w:ascii="宋体" w:hAnsi="宋体" w:eastAsia="宋体" w:cs="Times New Roman"/>
                <w:sz w:val="24"/>
              </w:rPr>
            </w:pPr>
            <w:r>
              <w:rPr>
                <w:rFonts w:hint="eastAsia" w:ascii="宋体" w:hAnsi="宋体" w:eastAsia="宋体"/>
                <w:sz w:val="24"/>
              </w:rPr>
              <w:t>地球与宇宙教学设计实践操作、试讲、演课、说课稿撰写</w:t>
            </w:r>
          </w:p>
        </w:tc>
        <w:tc>
          <w:tcPr>
            <w:tcW w:w="1126" w:type="dxa"/>
          </w:tcPr>
          <w:p w14:paraId="5A9F6EF5">
            <w:pPr>
              <w:spacing w:line="276" w:lineRule="auto"/>
              <w:jc w:val="center"/>
              <w:rPr>
                <w:rFonts w:hint="eastAsia" w:ascii="宋体" w:hAnsi="宋体" w:eastAsia="宋体" w:cs="Times New Roman"/>
                <w:color w:val="000000"/>
                <w:sz w:val="24"/>
              </w:rPr>
            </w:pPr>
            <w:r>
              <w:rPr>
                <w:rFonts w:hint="eastAsia" w:ascii="宋体" w:hAnsi="宋体" w:eastAsia="宋体"/>
                <w:sz w:val="24"/>
              </w:rPr>
              <w:t>目标3、目标4</w:t>
            </w:r>
          </w:p>
        </w:tc>
        <w:tc>
          <w:tcPr>
            <w:tcW w:w="3226" w:type="dxa"/>
          </w:tcPr>
          <w:p w14:paraId="31709CB9">
            <w:pPr>
              <w:spacing w:line="276" w:lineRule="auto"/>
              <w:jc w:val="left"/>
              <w:rPr>
                <w:rFonts w:hint="eastAsia" w:ascii="宋体" w:hAnsi="宋体" w:eastAsia="宋体" w:cs="Times New Roman"/>
                <w:color w:val="000000"/>
                <w:sz w:val="24"/>
              </w:rPr>
            </w:pPr>
            <w:r>
              <w:rPr>
                <w:rFonts w:hint="eastAsia" w:ascii="宋体" w:hAnsi="宋体" w:eastAsia="宋体"/>
                <w:sz w:val="24"/>
              </w:rPr>
              <w:t>能够独立进行教学设计、试讲与说课，掌握课堂教学技巧</w:t>
            </w:r>
          </w:p>
        </w:tc>
        <w:tc>
          <w:tcPr>
            <w:tcW w:w="1546" w:type="dxa"/>
          </w:tcPr>
          <w:p w14:paraId="48393861">
            <w:pPr>
              <w:spacing w:line="276" w:lineRule="auto"/>
              <w:jc w:val="left"/>
              <w:rPr>
                <w:rFonts w:hint="eastAsia" w:ascii="宋体" w:hAnsi="宋体" w:eastAsia="宋体" w:cs="Times New Roman"/>
                <w:color w:val="000000"/>
                <w:sz w:val="24"/>
              </w:rPr>
            </w:pPr>
            <w:r>
              <w:rPr>
                <w:rFonts w:hint="eastAsia" w:ascii="宋体" w:hAnsi="宋体" w:eastAsia="宋体"/>
                <w:sz w:val="24"/>
              </w:rPr>
              <w:t>教学设计实践、试讲、说课</w:t>
            </w:r>
          </w:p>
        </w:tc>
        <w:tc>
          <w:tcPr>
            <w:tcW w:w="516" w:type="dxa"/>
          </w:tcPr>
          <w:p w14:paraId="5634AC8A">
            <w:pPr>
              <w:spacing w:line="276" w:lineRule="auto"/>
              <w:jc w:val="center"/>
              <w:rPr>
                <w:rFonts w:hint="eastAsia" w:ascii="宋体" w:hAnsi="宋体" w:eastAsia="宋体" w:cs="Times New Roman"/>
                <w:color w:val="000000"/>
                <w:sz w:val="24"/>
              </w:rPr>
            </w:pPr>
            <w:r>
              <w:rPr>
                <w:rFonts w:hint="eastAsia" w:ascii="宋体" w:hAnsi="宋体" w:eastAsia="宋体"/>
                <w:sz w:val="24"/>
              </w:rPr>
              <w:t>4</w:t>
            </w:r>
          </w:p>
        </w:tc>
      </w:tr>
      <w:tr w14:paraId="7F42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continue"/>
            <w:vAlign w:val="center"/>
          </w:tcPr>
          <w:p w14:paraId="59E8F4C9">
            <w:pPr>
              <w:spacing w:line="276" w:lineRule="auto"/>
              <w:jc w:val="center"/>
              <w:rPr>
                <w:rFonts w:hint="eastAsia" w:ascii="宋体" w:hAnsi="宋体" w:eastAsia="宋体" w:cs="Times New Roman"/>
                <w:color w:val="000000"/>
                <w:sz w:val="24"/>
              </w:rPr>
            </w:pPr>
          </w:p>
        </w:tc>
        <w:tc>
          <w:tcPr>
            <w:tcW w:w="8102" w:type="dxa"/>
            <w:gridSpan w:val="5"/>
            <w:vAlign w:val="center"/>
          </w:tcPr>
          <w:p w14:paraId="5903BBA7">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思政目标3强化反思和批判性思维的培养，鼓励学生在教学实践中不断探索、总结与改进，培养具有教育创新精神和终身学习意识的教师职业素养，关注教师的专业成长与社会责任。</w:t>
            </w:r>
          </w:p>
        </w:tc>
      </w:tr>
      <w:tr w14:paraId="3F4A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restart"/>
          </w:tcPr>
          <w:p w14:paraId="43A922AC">
            <w:pPr>
              <w:spacing w:line="264" w:lineRule="auto"/>
              <w:jc w:val="center"/>
              <w:rPr>
                <w:rFonts w:hint="eastAsia" w:ascii="宋体" w:hAnsi="宋体" w:eastAsia="宋体" w:cs="Times New Roman"/>
                <w:color w:val="000000"/>
                <w:sz w:val="24"/>
              </w:rPr>
            </w:pPr>
            <w:r>
              <w:rPr>
                <w:rFonts w:hint="eastAsia" w:ascii="宋体" w:hAnsi="宋体" w:eastAsia="宋体"/>
                <w:sz w:val="24"/>
              </w:rPr>
              <w:t>（八）技术、工程与社会内容分析与教学设计</w:t>
            </w:r>
          </w:p>
        </w:tc>
        <w:tc>
          <w:tcPr>
            <w:tcW w:w="1688" w:type="dxa"/>
          </w:tcPr>
          <w:p w14:paraId="4AA3EF3C">
            <w:pPr>
              <w:spacing w:line="264" w:lineRule="auto"/>
              <w:jc w:val="left"/>
              <w:rPr>
                <w:rFonts w:hint="eastAsia" w:ascii="宋体" w:hAnsi="宋体" w:eastAsia="宋体" w:cs="Times New Roman"/>
                <w:color w:val="000000"/>
                <w:sz w:val="24"/>
              </w:rPr>
            </w:pPr>
            <w:r>
              <w:rPr>
                <w:rFonts w:hint="eastAsia" w:ascii="宋体" w:hAnsi="宋体" w:eastAsia="宋体"/>
                <w:sz w:val="24"/>
              </w:rPr>
              <w:t>技术、工程与社会课程目标分析、内容分析、教学策略</w:t>
            </w:r>
          </w:p>
        </w:tc>
        <w:tc>
          <w:tcPr>
            <w:tcW w:w="1126" w:type="dxa"/>
          </w:tcPr>
          <w:p w14:paraId="0E1DA6F8">
            <w:pPr>
              <w:spacing w:line="264" w:lineRule="auto"/>
              <w:jc w:val="center"/>
              <w:rPr>
                <w:rFonts w:hint="eastAsia" w:ascii="宋体" w:hAnsi="宋体" w:eastAsia="宋体" w:cs="Times New Roman"/>
                <w:color w:val="000000"/>
                <w:sz w:val="24"/>
              </w:rPr>
            </w:pPr>
            <w:r>
              <w:rPr>
                <w:rFonts w:hint="eastAsia" w:ascii="宋体" w:hAnsi="宋体" w:eastAsia="宋体"/>
                <w:sz w:val="24"/>
              </w:rPr>
              <w:t>目标1、目标2</w:t>
            </w:r>
          </w:p>
        </w:tc>
        <w:tc>
          <w:tcPr>
            <w:tcW w:w="3226" w:type="dxa"/>
          </w:tcPr>
          <w:p w14:paraId="229B273A">
            <w:pPr>
              <w:spacing w:line="264" w:lineRule="auto"/>
              <w:jc w:val="left"/>
              <w:rPr>
                <w:rFonts w:hint="eastAsia" w:ascii="宋体" w:hAnsi="宋体" w:eastAsia="宋体" w:cs="Times New Roman"/>
                <w:color w:val="000000"/>
                <w:sz w:val="24"/>
              </w:rPr>
            </w:pPr>
            <w:r>
              <w:rPr>
                <w:rFonts w:hint="eastAsia" w:ascii="宋体" w:hAnsi="宋体" w:eastAsia="宋体"/>
                <w:sz w:val="24"/>
              </w:rPr>
              <w:t>理解技术、工程与社会领域的教学目标要求，掌握教学设计和策略</w:t>
            </w:r>
          </w:p>
        </w:tc>
        <w:tc>
          <w:tcPr>
            <w:tcW w:w="1546" w:type="dxa"/>
          </w:tcPr>
          <w:p w14:paraId="353C9936">
            <w:pPr>
              <w:spacing w:line="264" w:lineRule="auto"/>
              <w:jc w:val="left"/>
              <w:rPr>
                <w:rFonts w:hint="eastAsia" w:ascii="宋体" w:hAnsi="宋体" w:eastAsia="宋体" w:cs="Times New Roman"/>
                <w:color w:val="000000"/>
                <w:sz w:val="24"/>
              </w:rPr>
            </w:pPr>
            <w:r>
              <w:rPr>
                <w:rFonts w:hint="eastAsia" w:ascii="宋体" w:hAnsi="宋体" w:eastAsia="宋体"/>
                <w:sz w:val="24"/>
              </w:rPr>
              <w:t>课堂讲解、案例分析、讨论</w:t>
            </w:r>
          </w:p>
        </w:tc>
        <w:tc>
          <w:tcPr>
            <w:tcW w:w="516" w:type="dxa"/>
          </w:tcPr>
          <w:p w14:paraId="70CE8ED8">
            <w:pPr>
              <w:spacing w:line="264" w:lineRule="auto"/>
              <w:jc w:val="center"/>
              <w:rPr>
                <w:rFonts w:hint="eastAsia" w:ascii="宋体" w:hAnsi="宋体" w:eastAsia="宋体" w:cs="Times New Roman"/>
                <w:color w:val="000000"/>
                <w:sz w:val="24"/>
              </w:rPr>
            </w:pPr>
            <w:r>
              <w:rPr>
                <w:rFonts w:hint="eastAsia" w:ascii="宋体" w:hAnsi="宋体" w:eastAsia="宋体"/>
                <w:sz w:val="24"/>
              </w:rPr>
              <w:t>4</w:t>
            </w:r>
          </w:p>
        </w:tc>
      </w:tr>
      <w:tr w14:paraId="1514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continue"/>
            <w:vAlign w:val="center"/>
          </w:tcPr>
          <w:p w14:paraId="3A59D3A4">
            <w:pPr>
              <w:spacing w:line="264" w:lineRule="auto"/>
              <w:jc w:val="center"/>
              <w:rPr>
                <w:rFonts w:hint="eastAsia" w:ascii="宋体" w:hAnsi="宋体" w:eastAsia="宋体" w:cs="Times New Roman"/>
                <w:color w:val="000000"/>
                <w:sz w:val="24"/>
              </w:rPr>
            </w:pPr>
          </w:p>
        </w:tc>
        <w:tc>
          <w:tcPr>
            <w:tcW w:w="8102" w:type="dxa"/>
            <w:gridSpan w:val="5"/>
            <w:vAlign w:val="center"/>
          </w:tcPr>
          <w:p w14:paraId="23191A57">
            <w:pPr>
              <w:spacing w:line="264"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思政目标2：渗透科学与社会的关系，引导学生关注教育中的社会责任，增强环保意识、生态文明意识，理解科学教育在促进社会进步和文化传承中的作用。</w:t>
            </w:r>
          </w:p>
        </w:tc>
      </w:tr>
      <w:tr w14:paraId="4381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restart"/>
          </w:tcPr>
          <w:p w14:paraId="43284140">
            <w:pPr>
              <w:spacing w:line="264" w:lineRule="auto"/>
              <w:jc w:val="center"/>
              <w:rPr>
                <w:rFonts w:hint="eastAsia" w:ascii="宋体" w:hAnsi="宋体" w:eastAsia="宋体" w:cs="Times New Roman"/>
                <w:color w:val="000000"/>
                <w:sz w:val="24"/>
              </w:rPr>
            </w:pPr>
            <w:r>
              <w:rPr>
                <w:rFonts w:hint="eastAsia" w:ascii="宋体" w:hAnsi="宋体" w:eastAsia="宋体"/>
                <w:sz w:val="24"/>
              </w:rPr>
              <w:t>（九）技术、工程与社会专题案例研究（教学设计、试讲、说课等）</w:t>
            </w:r>
          </w:p>
        </w:tc>
        <w:tc>
          <w:tcPr>
            <w:tcW w:w="1688" w:type="dxa"/>
          </w:tcPr>
          <w:p w14:paraId="7A5BF9B5">
            <w:pPr>
              <w:spacing w:line="264" w:lineRule="auto"/>
              <w:jc w:val="left"/>
              <w:rPr>
                <w:rFonts w:hint="eastAsia" w:ascii="宋体" w:hAnsi="宋体" w:eastAsia="宋体" w:cs="Times New Roman"/>
                <w:color w:val="000000"/>
                <w:sz w:val="24"/>
              </w:rPr>
            </w:pPr>
            <w:r>
              <w:rPr>
                <w:rFonts w:hint="eastAsia" w:ascii="宋体" w:hAnsi="宋体" w:eastAsia="宋体"/>
                <w:sz w:val="24"/>
              </w:rPr>
              <w:t>技术、工程与社会教学设计实践操作、试讲、演课、说课稿撰写</w:t>
            </w:r>
          </w:p>
        </w:tc>
        <w:tc>
          <w:tcPr>
            <w:tcW w:w="1126" w:type="dxa"/>
          </w:tcPr>
          <w:p w14:paraId="35877D34">
            <w:pPr>
              <w:spacing w:line="264" w:lineRule="auto"/>
              <w:jc w:val="center"/>
              <w:rPr>
                <w:rFonts w:hint="eastAsia" w:ascii="宋体" w:hAnsi="宋体" w:eastAsia="宋体" w:cs="Times New Roman"/>
                <w:color w:val="000000"/>
                <w:sz w:val="24"/>
              </w:rPr>
            </w:pPr>
            <w:r>
              <w:rPr>
                <w:rFonts w:hint="eastAsia" w:ascii="宋体" w:hAnsi="宋体" w:eastAsia="宋体"/>
                <w:sz w:val="24"/>
              </w:rPr>
              <w:t>目标3、目标4</w:t>
            </w:r>
          </w:p>
        </w:tc>
        <w:tc>
          <w:tcPr>
            <w:tcW w:w="3226" w:type="dxa"/>
          </w:tcPr>
          <w:p w14:paraId="29DB15D3">
            <w:pPr>
              <w:spacing w:line="264" w:lineRule="auto"/>
              <w:jc w:val="left"/>
              <w:rPr>
                <w:rFonts w:hint="eastAsia" w:ascii="宋体" w:hAnsi="宋体" w:eastAsia="宋体" w:cs="Times New Roman"/>
                <w:color w:val="000000"/>
                <w:sz w:val="24"/>
              </w:rPr>
            </w:pPr>
            <w:r>
              <w:rPr>
                <w:rFonts w:hint="eastAsia" w:ascii="宋体" w:hAnsi="宋体" w:eastAsia="宋体"/>
                <w:sz w:val="24"/>
              </w:rPr>
              <w:t>能够进行技术、工程与社会的教学设计、试讲与说课，掌握说课技巧</w:t>
            </w:r>
          </w:p>
        </w:tc>
        <w:tc>
          <w:tcPr>
            <w:tcW w:w="1546" w:type="dxa"/>
          </w:tcPr>
          <w:p w14:paraId="54E102A3">
            <w:pPr>
              <w:spacing w:line="264" w:lineRule="auto"/>
              <w:jc w:val="left"/>
              <w:rPr>
                <w:rFonts w:hint="eastAsia" w:ascii="宋体" w:hAnsi="宋体" w:eastAsia="宋体" w:cs="Times New Roman"/>
                <w:color w:val="000000"/>
                <w:sz w:val="24"/>
              </w:rPr>
            </w:pPr>
            <w:r>
              <w:rPr>
                <w:rFonts w:hint="eastAsia" w:ascii="宋体" w:hAnsi="宋体" w:eastAsia="宋体"/>
                <w:sz w:val="24"/>
              </w:rPr>
              <w:t>教学设计实践、试讲、说课</w:t>
            </w:r>
          </w:p>
        </w:tc>
        <w:tc>
          <w:tcPr>
            <w:tcW w:w="516" w:type="dxa"/>
          </w:tcPr>
          <w:p w14:paraId="572F0FE3">
            <w:pPr>
              <w:spacing w:line="264" w:lineRule="auto"/>
              <w:jc w:val="center"/>
              <w:rPr>
                <w:rFonts w:hint="eastAsia" w:ascii="宋体" w:hAnsi="宋体" w:eastAsia="宋体" w:cs="Times New Roman"/>
                <w:color w:val="000000"/>
                <w:sz w:val="24"/>
              </w:rPr>
            </w:pPr>
            <w:r>
              <w:rPr>
                <w:rFonts w:hint="eastAsia" w:ascii="宋体" w:hAnsi="宋体" w:eastAsia="宋体"/>
                <w:sz w:val="24"/>
              </w:rPr>
              <w:t>4</w:t>
            </w:r>
          </w:p>
        </w:tc>
      </w:tr>
      <w:tr w14:paraId="5047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continue"/>
            <w:vAlign w:val="center"/>
          </w:tcPr>
          <w:p w14:paraId="576B9D37">
            <w:pPr>
              <w:spacing w:line="264" w:lineRule="auto"/>
              <w:jc w:val="center"/>
              <w:rPr>
                <w:rFonts w:hint="eastAsia" w:ascii="宋体" w:hAnsi="宋体" w:eastAsia="宋体" w:cs="Times New Roman"/>
                <w:color w:val="000000"/>
                <w:sz w:val="24"/>
              </w:rPr>
            </w:pPr>
          </w:p>
        </w:tc>
        <w:tc>
          <w:tcPr>
            <w:tcW w:w="8102" w:type="dxa"/>
            <w:gridSpan w:val="5"/>
            <w:vAlign w:val="center"/>
          </w:tcPr>
          <w:p w14:paraId="567B3905">
            <w:pPr>
              <w:spacing w:line="264"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 xml:space="preserve"> </w:t>
            </w:r>
            <w:r>
              <w:rPr>
                <w:rFonts w:ascii="宋体" w:hAnsi="宋体" w:eastAsia="宋体" w:cs="Times New Roman"/>
                <w:color w:val="000000"/>
                <w:sz w:val="24"/>
              </w:rPr>
              <w:t>思政目标3强化反思和批判性思维的培养，鼓励学生在教学实践中不断探索、总结与改进，培养具有教育创新精神和终身学习意识的教师职业素养，关注教师的专业成长与社会责任。</w:t>
            </w:r>
          </w:p>
        </w:tc>
      </w:tr>
    </w:tbl>
    <w:p w14:paraId="5D41F670">
      <w:pPr>
        <w:spacing w:line="360" w:lineRule="auto"/>
        <w:jc w:val="left"/>
        <w:rPr>
          <w:rFonts w:ascii="Times New Roman" w:hAnsi="Times New Roman" w:eastAsia="宋体" w:cs="Times New Roman"/>
          <w:sz w:val="24"/>
        </w:rPr>
      </w:pPr>
    </w:p>
    <w:p w14:paraId="46982132">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四、目标评价与成绩评定</w:t>
      </w:r>
    </w:p>
    <w:p w14:paraId="553E5454">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5335FA33">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58CC4EA4">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176"/>
        <w:gridCol w:w="1176"/>
        <w:gridCol w:w="1176"/>
        <w:gridCol w:w="1056"/>
        <w:gridCol w:w="937"/>
      </w:tblGrid>
      <w:tr w14:paraId="45C4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0F1DACC">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w:t>
            </w:r>
          </w:p>
        </w:tc>
        <w:tc>
          <w:tcPr>
            <w:tcW w:w="0" w:type="auto"/>
            <w:gridSpan w:val="4"/>
            <w:vAlign w:val="center"/>
          </w:tcPr>
          <w:p w14:paraId="49638931">
            <w:pPr>
              <w:spacing w:line="360" w:lineRule="auto"/>
              <w:jc w:val="center"/>
              <w:rPr>
                <w:rFonts w:hint="eastAsia" w:ascii="宋体" w:hAnsi="宋体" w:eastAsia="宋体" w:cs="Times New Roman"/>
                <w:sz w:val="24"/>
              </w:rPr>
            </w:pPr>
            <w:r>
              <w:rPr>
                <w:rFonts w:hint="eastAsia" w:ascii="宋体" w:hAnsi="宋体" w:eastAsia="宋体" w:cs="Times New Roman"/>
                <w:sz w:val="24"/>
              </w:rPr>
              <w:t>评价与成绩评定方法</w:t>
            </w:r>
          </w:p>
        </w:tc>
        <w:tc>
          <w:tcPr>
            <w:tcW w:w="937" w:type="dxa"/>
            <w:vMerge w:val="restart"/>
            <w:vAlign w:val="center"/>
          </w:tcPr>
          <w:p w14:paraId="0A9308C7">
            <w:pPr>
              <w:spacing w:line="360" w:lineRule="auto"/>
              <w:jc w:val="center"/>
              <w:rPr>
                <w:rFonts w:hint="eastAsia" w:ascii="宋体" w:hAnsi="宋体" w:eastAsia="宋体" w:cs="Times New Roman"/>
                <w:sz w:val="24"/>
              </w:rPr>
            </w:pPr>
            <w:r>
              <w:rPr>
                <w:rFonts w:hint="eastAsia" w:ascii="宋体" w:hAnsi="宋体" w:eastAsia="宋体" w:cs="Times New Roman"/>
                <w:sz w:val="24"/>
              </w:rPr>
              <w:t>分值</w:t>
            </w:r>
          </w:p>
        </w:tc>
      </w:tr>
      <w:tr w14:paraId="3AB3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A3B612F">
            <w:pPr>
              <w:spacing w:line="360" w:lineRule="auto"/>
              <w:jc w:val="center"/>
              <w:rPr>
                <w:rFonts w:hint="eastAsia" w:ascii="宋体" w:hAnsi="宋体" w:eastAsia="宋体" w:cs="Times New Roman"/>
                <w:sz w:val="24"/>
              </w:rPr>
            </w:pPr>
          </w:p>
        </w:tc>
        <w:tc>
          <w:tcPr>
            <w:tcW w:w="0" w:type="auto"/>
            <w:vAlign w:val="center"/>
          </w:tcPr>
          <w:p w14:paraId="730BFDDF">
            <w:pPr>
              <w:spacing w:line="360" w:lineRule="auto"/>
              <w:jc w:val="center"/>
              <w:rPr>
                <w:rFonts w:hint="eastAsia" w:ascii="宋体" w:hAnsi="宋体" w:eastAsia="宋体" w:cs="Times New Roman"/>
                <w:sz w:val="24"/>
              </w:rPr>
            </w:pPr>
            <w:r>
              <w:rPr>
                <w:rFonts w:hint="eastAsia" w:ascii="宋体" w:hAnsi="宋体" w:eastAsia="宋体" w:cs="Times New Roman"/>
                <w:sz w:val="24"/>
              </w:rPr>
              <w:t>平时作业</w:t>
            </w:r>
          </w:p>
        </w:tc>
        <w:tc>
          <w:tcPr>
            <w:tcW w:w="0" w:type="auto"/>
            <w:vAlign w:val="center"/>
          </w:tcPr>
          <w:p w14:paraId="2E173DE3">
            <w:pPr>
              <w:spacing w:line="360" w:lineRule="auto"/>
              <w:jc w:val="center"/>
              <w:rPr>
                <w:rFonts w:hint="eastAsia" w:ascii="宋体" w:hAnsi="宋体" w:eastAsia="宋体" w:cs="Times New Roman"/>
                <w:sz w:val="24"/>
              </w:rPr>
            </w:pPr>
            <w:r>
              <w:rPr>
                <w:rFonts w:hint="eastAsia" w:ascii="宋体" w:hAnsi="宋体" w:eastAsia="宋体" w:cs="Times New Roman"/>
                <w:sz w:val="24"/>
              </w:rPr>
              <w:t>课堂表现</w:t>
            </w:r>
          </w:p>
        </w:tc>
        <w:tc>
          <w:tcPr>
            <w:tcW w:w="0" w:type="auto"/>
            <w:vAlign w:val="center"/>
          </w:tcPr>
          <w:p w14:paraId="4CADFA44">
            <w:pPr>
              <w:spacing w:line="360" w:lineRule="auto"/>
              <w:jc w:val="center"/>
              <w:rPr>
                <w:rFonts w:hint="eastAsia" w:ascii="宋体" w:hAnsi="宋体" w:eastAsia="宋体" w:cs="Times New Roman"/>
                <w:sz w:val="24"/>
              </w:rPr>
            </w:pPr>
            <w:r>
              <w:rPr>
                <w:rFonts w:hint="eastAsia" w:ascii="宋体" w:hAnsi="宋体" w:eastAsia="宋体" w:cs="Times New Roman"/>
                <w:sz w:val="24"/>
              </w:rPr>
              <w:t>课内实践</w:t>
            </w:r>
          </w:p>
        </w:tc>
        <w:tc>
          <w:tcPr>
            <w:tcW w:w="0" w:type="auto"/>
            <w:vAlign w:val="center"/>
          </w:tcPr>
          <w:p w14:paraId="4966E383">
            <w:pPr>
              <w:spacing w:line="360" w:lineRule="auto"/>
              <w:jc w:val="center"/>
              <w:rPr>
                <w:rFonts w:hint="eastAsia" w:ascii="宋体" w:hAnsi="宋体" w:eastAsia="宋体" w:cs="Times New Roman"/>
                <w:sz w:val="24"/>
              </w:rPr>
            </w:pPr>
            <w:r>
              <w:rPr>
                <w:rFonts w:hint="eastAsia" w:ascii="宋体" w:hAnsi="宋体" w:eastAsia="宋体" w:cs="Times New Roman"/>
                <w:sz w:val="24"/>
              </w:rPr>
              <w:t>期末考试</w:t>
            </w:r>
          </w:p>
        </w:tc>
        <w:tc>
          <w:tcPr>
            <w:tcW w:w="937" w:type="dxa"/>
            <w:vMerge w:val="continue"/>
            <w:vAlign w:val="center"/>
          </w:tcPr>
          <w:p w14:paraId="0B32E625">
            <w:pPr>
              <w:spacing w:line="360" w:lineRule="auto"/>
              <w:jc w:val="center"/>
              <w:rPr>
                <w:rFonts w:hint="eastAsia" w:ascii="宋体" w:hAnsi="宋体" w:eastAsia="宋体" w:cs="Times New Roman"/>
                <w:sz w:val="24"/>
              </w:rPr>
            </w:pPr>
          </w:p>
        </w:tc>
      </w:tr>
      <w:tr w14:paraId="745F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C6452D">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0" w:type="auto"/>
            <w:vAlign w:val="center"/>
          </w:tcPr>
          <w:p w14:paraId="3758867F">
            <w:pPr>
              <w:spacing w:line="360" w:lineRule="auto"/>
              <w:jc w:val="center"/>
              <w:rPr>
                <w:rFonts w:hint="eastAsia" w:ascii="宋体" w:hAnsi="宋体" w:eastAsia="宋体" w:cs="Times New Roman"/>
                <w:sz w:val="24"/>
              </w:rPr>
            </w:pPr>
            <w:r>
              <w:rPr>
                <w:rFonts w:ascii="Arial" w:hAnsi="Arial" w:eastAsia="宋体" w:cs="Arial"/>
                <w:sz w:val="24"/>
              </w:rPr>
              <w:t>√</w:t>
            </w:r>
          </w:p>
        </w:tc>
        <w:tc>
          <w:tcPr>
            <w:tcW w:w="0" w:type="auto"/>
            <w:vAlign w:val="center"/>
          </w:tcPr>
          <w:p w14:paraId="5A2C83FC">
            <w:pPr>
              <w:spacing w:line="360" w:lineRule="auto"/>
              <w:jc w:val="center"/>
              <w:rPr>
                <w:rFonts w:hint="eastAsia" w:ascii="宋体" w:hAnsi="宋体" w:eastAsia="宋体" w:cs="Times New Roman"/>
                <w:sz w:val="24"/>
              </w:rPr>
            </w:pPr>
            <w:r>
              <w:rPr>
                <w:rFonts w:ascii="Arial" w:hAnsi="Arial" w:eastAsia="宋体" w:cs="Arial"/>
                <w:sz w:val="24"/>
              </w:rPr>
              <w:t>√</w:t>
            </w:r>
          </w:p>
        </w:tc>
        <w:tc>
          <w:tcPr>
            <w:tcW w:w="0" w:type="auto"/>
            <w:vAlign w:val="center"/>
          </w:tcPr>
          <w:p w14:paraId="78D0502E">
            <w:pPr>
              <w:spacing w:line="360" w:lineRule="auto"/>
              <w:jc w:val="center"/>
              <w:rPr>
                <w:rFonts w:hint="eastAsia" w:ascii="宋体" w:hAnsi="宋体" w:eastAsia="宋体" w:cs="Times New Roman"/>
                <w:sz w:val="24"/>
              </w:rPr>
            </w:pPr>
            <w:r>
              <w:rPr>
                <w:rFonts w:ascii="Arial" w:hAnsi="Arial" w:eastAsia="宋体" w:cs="Arial"/>
                <w:sz w:val="24"/>
              </w:rPr>
              <w:t>√</w:t>
            </w:r>
          </w:p>
        </w:tc>
        <w:tc>
          <w:tcPr>
            <w:tcW w:w="0" w:type="auto"/>
            <w:vAlign w:val="center"/>
          </w:tcPr>
          <w:p w14:paraId="6AA0FBA8">
            <w:pPr>
              <w:spacing w:line="360" w:lineRule="auto"/>
              <w:jc w:val="center"/>
              <w:rPr>
                <w:rFonts w:hint="eastAsia" w:ascii="宋体" w:hAnsi="宋体" w:eastAsia="宋体" w:cs="Times New Roman"/>
                <w:sz w:val="24"/>
              </w:rPr>
            </w:pPr>
            <w:r>
              <w:rPr>
                <w:rFonts w:ascii="Arial" w:hAnsi="Arial" w:eastAsia="宋体" w:cs="Arial"/>
                <w:sz w:val="24"/>
              </w:rPr>
              <w:t>√</w:t>
            </w:r>
          </w:p>
        </w:tc>
        <w:tc>
          <w:tcPr>
            <w:tcW w:w="937" w:type="dxa"/>
            <w:vAlign w:val="center"/>
          </w:tcPr>
          <w:p w14:paraId="3CE33B1E">
            <w:pPr>
              <w:spacing w:line="360" w:lineRule="auto"/>
              <w:jc w:val="center"/>
              <w:rPr>
                <w:rFonts w:hint="eastAsia" w:ascii="宋体" w:hAnsi="宋体" w:eastAsia="宋体" w:cs="Times New Roman"/>
                <w:sz w:val="24"/>
              </w:rPr>
            </w:pPr>
            <w:r>
              <w:rPr>
                <w:rFonts w:hint="eastAsia" w:ascii="宋体" w:hAnsi="宋体" w:eastAsia="宋体" w:cs="Times New Roman"/>
                <w:sz w:val="24"/>
              </w:rPr>
              <w:t>40</w:t>
            </w:r>
          </w:p>
        </w:tc>
      </w:tr>
      <w:tr w14:paraId="1BB7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A17050">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0" w:type="auto"/>
            <w:vAlign w:val="center"/>
          </w:tcPr>
          <w:p w14:paraId="4A5E6F39">
            <w:pPr>
              <w:spacing w:line="360" w:lineRule="auto"/>
              <w:jc w:val="center"/>
              <w:rPr>
                <w:rFonts w:hint="eastAsia" w:ascii="宋体" w:hAnsi="宋体" w:eastAsia="宋体" w:cs="Times New Roman"/>
                <w:sz w:val="24"/>
              </w:rPr>
            </w:pPr>
            <w:r>
              <w:rPr>
                <w:rFonts w:ascii="Arial" w:hAnsi="Arial" w:eastAsia="宋体" w:cs="Arial"/>
                <w:sz w:val="24"/>
              </w:rPr>
              <w:t>√</w:t>
            </w:r>
          </w:p>
        </w:tc>
        <w:tc>
          <w:tcPr>
            <w:tcW w:w="0" w:type="auto"/>
            <w:vAlign w:val="center"/>
          </w:tcPr>
          <w:p w14:paraId="23DDC675">
            <w:pPr>
              <w:spacing w:line="360" w:lineRule="auto"/>
              <w:jc w:val="center"/>
              <w:rPr>
                <w:rFonts w:hint="eastAsia" w:ascii="宋体" w:hAnsi="宋体" w:eastAsia="宋体" w:cs="Times New Roman"/>
                <w:sz w:val="24"/>
              </w:rPr>
            </w:pPr>
            <w:r>
              <w:rPr>
                <w:rFonts w:ascii="Arial" w:hAnsi="Arial" w:eastAsia="宋体" w:cs="Arial"/>
                <w:sz w:val="24"/>
              </w:rPr>
              <w:t>√</w:t>
            </w:r>
          </w:p>
        </w:tc>
        <w:tc>
          <w:tcPr>
            <w:tcW w:w="0" w:type="auto"/>
            <w:vAlign w:val="center"/>
          </w:tcPr>
          <w:p w14:paraId="0E134DCC">
            <w:pPr>
              <w:spacing w:line="360" w:lineRule="auto"/>
              <w:jc w:val="center"/>
              <w:rPr>
                <w:rFonts w:hint="eastAsia" w:ascii="宋体" w:hAnsi="宋体" w:eastAsia="宋体" w:cs="Times New Roman"/>
                <w:sz w:val="24"/>
              </w:rPr>
            </w:pPr>
            <w:r>
              <w:rPr>
                <w:rFonts w:ascii="Arial" w:hAnsi="Arial" w:eastAsia="宋体" w:cs="Arial"/>
                <w:sz w:val="24"/>
              </w:rPr>
              <w:t>√</w:t>
            </w:r>
          </w:p>
        </w:tc>
        <w:tc>
          <w:tcPr>
            <w:tcW w:w="0" w:type="auto"/>
            <w:vAlign w:val="center"/>
          </w:tcPr>
          <w:p w14:paraId="159C560A">
            <w:pPr>
              <w:spacing w:line="360" w:lineRule="auto"/>
              <w:jc w:val="center"/>
              <w:rPr>
                <w:rFonts w:hint="eastAsia" w:ascii="宋体" w:hAnsi="宋体" w:eastAsia="宋体" w:cs="Times New Roman"/>
                <w:sz w:val="24"/>
              </w:rPr>
            </w:pPr>
            <w:r>
              <w:rPr>
                <w:rFonts w:ascii="Arial" w:hAnsi="Arial" w:eastAsia="宋体" w:cs="Arial"/>
                <w:sz w:val="24"/>
              </w:rPr>
              <w:t>√</w:t>
            </w:r>
          </w:p>
        </w:tc>
        <w:tc>
          <w:tcPr>
            <w:tcW w:w="937" w:type="dxa"/>
            <w:vAlign w:val="center"/>
          </w:tcPr>
          <w:p w14:paraId="299D89B0">
            <w:pPr>
              <w:spacing w:line="360" w:lineRule="auto"/>
              <w:jc w:val="center"/>
              <w:rPr>
                <w:rFonts w:hint="eastAsia" w:ascii="宋体" w:hAnsi="宋体" w:eastAsia="宋体" w:cs="Times New Roman"/>
                <w:sz w:val="24"/>
              </w:rPr>
            </w:pPr>
            <w:r>
              <w:rPr>
                <w:rFonts w:hint="eastAsia" w:ascii="宋体" w:hAnsi="宋体" w:eastAsia="宋体" w:cs="Times New Roman"/>
                <w:sz w:val="24"/>
              </w:rPr>
              <w:t>40</w:t>
            </w:r>
          </w:p>
        </w:tc>
      </w:tr>
      <w:tr w14:paraId="5F40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0FB3FE">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0" w:type="auto"/>
            <w:vAlign w:val="center"/>
          </w:tcPr>
          <w:p w14:paraId="6A7913A7">
            <w:pPr>
              <w:spacing w:line="360" w:lineRule="auto"/>
              <w:jc w:val="center"/>
              <w:rPr>
                <w:rFonts w:hint="eastAsia" w:ascii="宋体" w:hAnsi="宋体" w:eastAsia="宋体" w:cs="Times New Roman"/>
                <w:sz w:val="24"/>
              </w:rPr>
            </w:pPr>
            <w:r>
              <w:rPr>
                <w:rFonts w:ascii="Arial" w:hAnsi="Arial" w:eastAsia="宋体" w:cs="Arial"/>
                <w:sz w:val="24"/>
              </w:rPr>
              <w:t>√</w:t>
            </w:r>
          </w:p>
        </w:tc>
        <w:tc>
          <w:tcPr>
            <w:tcW w:w="0" w:type="auto"/>
            <w:vAlign w:val="center"/>
          </w:tcPr>
          <w:p w14:paraId="41F3DB97">
            <w:pPr>
              <w:spacing w:line="360" w:lineRule="auto"/>
              <w:jc w:val="center"/>
              <w:rPr>
                <w:rFonts w:hint="eastAsia" w:ascii="宋体" w:hAnsi="宋体" w:eastAsia="宋体" w:cs="Times New Roman"/>
                <w:sz w:val="24"/>
              </w:rPr>
            </w:pPr>
            <w:r>
              <w:rPr>
                <w:rFonts w:ascii="Arial" w:hAnsi="Arial" w:eastAsia="宋体" w:cs="Arial"/>
                <w:sz w:val="24"/>
              </w:rPr>
              <w:t>√</w:t>
            </w:r>
          </w:p>
        </w:tc>
        <w:tc>
          <w:tcPr>
            <w:tcW w:w="0" w:type="auto"/>
            <w:vAlign w:val="center"/>
          </w:tcPr>
          <w:p w14:paraId="433BF53D">
            <w:pPr>
              <w:spacing w:line="360" w:lineRule="auto"/>
              <w:jc w:val="center"/>
              <w:rPr>
                <w:rFonts w:hint="eastAsia" w:ascii="宋体" w:hAnsi="宋体" w:eastAsia="宋体" w:cs="Times New Roman"/>
                <w:sz w:val="24"/>
              </w:rPr>
            </w:pPr>
            <w:r>
              <w:rPr>
                <w:rFonts w:ascii="Arial" w:hAnsi="Arial" w:eastAsia="宋体" w:cs="Arial"/>
                <w:sz w:val="24"/>
              </w:rPr>
              <w:t>√</w:t>
            </w:r>
          </w:p>
        </w:tc>
        <w:tc>
          <w:tcPr>
            <w:tcW w:w="0" w:type="auto"/>
            <w:vAlign w:val="center"/>
          </w:tcPr>
          <w:p w14:paraId="6E3C06A4">
            <w:pPr>
              <w:spacing w:line="360" w:lineRule="auto"/>
              <w:jc w:val="center"/>
              <w:rPr>
                <w:rFonts w:hint="eastAsia" w:ascii="宋体" w:hAnsi="宋体" w:eastAsia="宋体" w:cs="Times New Roman"/>
                <w:sz w:val="24"/>
              </w:rPr>
            </w:pPr>
            <w:r>
              <w:rPr>
                <w:rFonts w:ascii="Arial" w:hAnsi="Arial" w:eastAsia="宋体" w:cs="Arial"/>
                <w:sz w:val="24"/>
              </w:rPr>
              <w:t>√</w:t>
            </w:r>
          </w:p>
        </w:tc>
        <w:tc>
          <w:tcPr>
            <w:tcW w:w="937" w:type="dxa"/>
            <w:vAlign w:val="center"/>
          </w:tcPr>
          <w:p w14:paraId="0FD7A77C">
            <w:pPr>
              <w:spacing w:line="360" w:lineRule="auto"/>
              <w:jc w:val="center"/>
              <w:rPr>
                <w:rFonts w:hint="eastAsia" w:ascii="宋体" w:hAnsi="宋体" w:eastAsia="宋体" w:cs="Times New Roman"/>
                <w:sz w:val="24"/>
              </w:rPr>
            </w:pPr>
            <w:r>
              <w:rPr>
                <w:rFonts w:hint="eastAsia" w:ascii="宋体" w:hAnsi="宋体" w:eastAsia="宋体" w:cs="Times New Roman"/>
                <w:sz w:val="24"/>
              </w:rPr>
              <w:t>2</w:t>
            </w:r>
          </w:p>
        </w:tc>
      </w:tr>
      <w:tr w14:paraId="1F65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F92B48">
            <w:pPr>
              <w:spacing w:line="360"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0" w:type="auto"/>
            <w:vAlign w:val="center"/>
          </w:tcPr>
          <w:p w14:paraId="46FE4D56">
            <w:pPr>
              <w:spacing w:line="360" w:lineRule="auto"/>
              <w:jc w:val="center"/>
              <w:rPr>
                <w:rFonts w:hint="eastAsia" w:ascii="宋体" w:hAnsi="宋体" w:eastAsia="宋体" w:cs="Times New Roman"/>
                <w:sz w:val="24"/>
              </w:rPr>
            </w:pPr>
          </w:p>
        </w:tc>
        <w:tc>
          <w:tcPr>
            <w:tcW w:w="0" w:type="auto"/>
            <w:vAlign w:val="center"/>
          </w:tcPr>
          <w:p w14:paraId="24E9B077">
            <w:pPr>
              <w:spacing w:line="360" w:lineRule="auto"/>
              <w:jc w:val="center"/>
              <w:rPr>
                <w:rFonts w:hint="eastAsia" w:ascii="宋体" w:hAnsi="宋体" w:eastAsia="宋体" w:cs="Times New Roman"/>
                <w:sz w:val="24"/>
              </w:rPr>
            </w:pPr>
          </w:p>
        </w:tc>
        <w:tc>
          <w:tcPr>
            <w:tcW w:w="0" w:type="auto"/>
            <w:vAlign w:val="center"/>
          </w:tcPr>
          <w:p w14:paraId="34237F00">
            <w:pPr>
              <w:spacing w:line="360" w:lineRule="auto"/>
              <w:jc w:val="center"/>
              <w:rPr>
                <w:rFonts w:hint="eastAsia" w:ascii="宋体" w:hAnsi="宋体" w:eastAsia="宋体" w:cs="Times New Roman"/>
                <w:sz w:val="24"/>
              </w:rPr>
            </w:pPr>
          </w:p>
        </w:tc>
        <w:tc>
          <w:tcPr>
            <w:tcW w:w="1056" w:type="dxa"/>
            <w:vAlign w:val="center"/>
          </w:tcPr>
          <w:p w14:paraId="50CBFE90">
            <w:pPr>
              <w:spacing w:line="360" w:lineRule="auto"/>
              <w:jc w:val="center"/>
              <w:rPr>
                <w:rFonts w:hint="eastAsia" w:ascii="宋体" w:hAnsi="宋体" w:eastAsia="宋体" w:cs="Times New Roman"/>
                <w:sz w:val="24"/>
              </w:rPr>
            </w:pPr>
          </w:p>
        </w:tc>
        <w:tc>
          <w:tcPr>
            <w:tcW w:w="937" w:type="dxa"/>
            <w:vAlign w:val="center"/>
          </w:tcPr>
          <w:p w14:paraId="3CF1B2CE">
            <w:pPr>
              <w:spacing w:line="360"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0CC15877">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706B94B6">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6A34EEE5">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7052"/>
        <w:gridCol w:w="776"/>
      </w:tblGrid>
      <w:tr w14:paraId="5961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BBDACDF">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7141" w:type="dxa"/>
            <w:vAlign w:val="center"/>
          </w:tcPr>
          <w:p w14:paraId="069DAD26">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6A083EE1">
            <w:pPr>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74DC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E33EA87">
            <w:pPr>
              <w:rPr>
                <w:rFonts w:ascii="Times New Roman" w:hAnsi="Times New Roman" w:eastAsia="宋体" w:cs="Times New Roman"/>
                <w:sz w:val="24"/>
              </w:rPr>
            </w:pPr>
            <w:r>
              <w:rPr>
                <w:rFonts w:hint="eastAsia" w:ascii="Times New Roman" w:hAnsi="Times New Roman" w:eastAsia="宋体" w:cs="Times New Roman"/>
                <w:sz w:val="24"/>
              </w:rPr>
              <w:t>平时作业</w:t>
            </w:r>
          </w:p>
        </w:tc>
        <w:tc>
          <w:tcPr>
            <w:tcW w:w="7141" w:type="dxa"/>
            <w:vAlign w:val="center"/>
          </w:tcPr>
          <w:p w14:paraId="28B934A1">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3次教学设计作业：要求1.教学目标明确性与符合度（20%）：目标具体、可衡量，符合课程标准与教学需求。2.教学内容组织逻辑性与覆盖度（20%）：内容安排清晰、全面，覆盖必要的教学点。3.创新性和学生兴趣激发（20%）：方法和活动创新，能激发学生参与和兴趣。4.学生参与与互动性设计（20%）：设计促进学生积极参与，互动有效。5.评估与反馈机制（20%）：评价标准明确，反馈策略实用且具有指导性。</w:t>
            </w:r>
          </w:p>
        </w:tc>
        <w:tc>
          <w:tcPr>
            <w:tcW w:w="0" w:type="auto"/>
            <w:vAlign w:val="center"/>
          </w:tcPr>
          <w:p w14:paraId="6424DA6E">
            <w:pPr>
              <w:jc w:val="center"/>
              <w:rPr>
                <w:rFonts w:ascii="Times New Roman" w:hAnsi="Times New Roman" w:eastAsia="宋体" w:cs="Times New Roman"/>
                <w:sz w:val="24"/>
              </w:rPr>
            </w:pPr>
            <w:r>
              <w:rPr>
                <w:rFonts w:hint="eastAsia" w:ascii="Times New Roman" w:hAnsi="Times New Roman" w:eastAsia="宋体" w:cs="Times New Roman"/>
                <w:sz w:val="24"/>
              </w:rPr>
              <w:t>20%</w:t>
            </w:r>
          </w:p>
        </w:tc>
      </w:tr>
      <w:tr w14:paraId="5CCA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D499E83">
            <w:pPr>
              <w:rPr>
                <w:rFonts w:ascii="Times New Roman" w:hAnsi="Times New Roman" w:eastAsia="宋体" w:cs="Times New Roman"/>
                <w:sz w:val="24"/>
              </w:rPr>
            </w:pPr>
            <w:r>
              <w:rPr>
                <w:rFonts w:hint="eastAsia" w:ascii="Times New Roman" w:hAnsi="Times New Roman" w:eastAsia="宋体" w:cs="Times New Roman"/>
                <w:sz w:val="24"/>
              </w:rPr>
              <w:t>课堂表现</w:t>
            </w:r>
          </w:p>
        </w:tc>
        <w:tc>
          <w:tcPr>
            <w:tcW w:w="7141" w:type="dxa"/>
            <w:vAlign w:val="center"/>
          </w:tcPr>
          <w:p w14:paraId="1C52E8C6">
            <w:pPr>
              <w:widowControl/>
              <w:spacing w:line="264" w:lineRule="auto"/>
              <w:jc w:val="left"/>
              <w:rPr>
                <w:rFonts w:ascii="Times New Roman" w:hAnsi="Times New Roman" w:eastAsia="宋体" w:cs="Times New Roman"/>
                <w:sz w:val="24"/>
              </w:rPr>
            </w:pPr>
            <w:r>
              <w:rPr>
                <w:rFonts w:hint="eastAsia" w:ascii="宋体" w:hAnsi="宋体" w:eastAsia="宋体" w:cs="宋体"/>
                <w:color w:val="000000"/>
                <w:kern w:val="0"/>
                <w:sz w:val="24"/>
                <w:lang w:bidi="ar"/>
              </w:rPr>
              <w:t>一是课题考勤情况</w:t>
            </w:r>
            <w:r>
              <w:rPr>
                <w:rFonts w:ascii="宋体" w:hAnsi="宋体" w:eastAsia="宋体" w:cs="宋体"/>
                <w:color w:val="000000"/>
                <w:kern w:val="0"/>
                <w:sz w:val="24"/>
                <w:lang w:bidi="ar"/>
              </w:rPr>
              <w:t>。</w:t>
            </w:r>
            <w:r>
              <w:rPr>
                <w:rFonts w:hint="eastAsia" w:ascii="Times New Roman" w:hAnsi="Times New Roman" w:eastAsia="宋体" w:cs="Times New Roman"/>
                <w:sz w:val="24"/>
              </w:rPr>
              <w:t>迟到一次扣2分，无故缺席一次扣5分，累计达</w:t>
            </w:r>
            <w:r>
              <w:rPr>
                <w:rFonts w:ascii="Times New Roman" w:hAnsi="Times New Roman" w:eastAsia="宋体" w:cs="Times New Roman"/>
                <w:sz w:val="24"/>
              </w:rPr>
              <w:t>3</w:t>
            </w:r>
            <w:r>
              <w:rPr>
                <w:rFonts w:hint="eastAsia" w:ascii="Times New Roman" w:hAnsi="Times New Roman" w:eastAsia="宋体" w:cs="Times New Roman"/>
                <w:sz w:val="24"/>
              </w:rPr>
              <w:t>次以上（不含</w:t>
            </w:r>
            <w:r>
              <w:rPr>
                <w:rFonts w:ascii="Times New Roman" w:hAnsi="Times New Roman" w:eastAsia="宋体" w:cs="Times New Roman"/>
                <w:sz w:val="24"/>
              </w:rPr>
              <w:t>3</w:t>
            </w:r>
            <w:r>
              <w:rPr>
                <w:rFonts w:hint="eastAsia" w:ascii="Times New Roman" w:hAnsi="Times New Roman" w:eastAsia="宋体" w:cs="Times New Roman"/>
                <w:sz w:val="24"/>
              </w:rPr>
              <w:t>次）取消课程成绩。</w:t>
            </w:r>
          </w:p>
          <w:p w14:paraId="33B8BDF6">
            <w:pPr>
              <w:widowControl/>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二是</w:t>
            </w:r>
            <w:r>
              <w:rPr>
                <w:rFonts w:ascii="宋体" w:hAnsi="宋体" w:eastAsia="宋体" w:cs="宋体"/>
                <w:color w:val="000000"/>
                <w:kern w:val="0"/>
                <w:sz w:val="24"/>
                <w:lang w:bidi="ar"/>
              </w:rPr>
              <w:t>课堂参与</w:t>
            </w:r>
            <w:r>
              <w:rPr>
                <w:rFonts w:hint="eastAsia" w:ascii="宋体" w:hAnsi="宋体" w:eastAsia="宋体" w:cs="宋体"/>
                <w:color w:val="000000"/>
                <w:kern w:val="0"/>
                <w:sz w:val="24"/>
                <w:lang w:bidi="ar"/>
              </w:rPr>
              <w:t>情况。</w:t>
            </w:r>
            <w:r>
              <w:rPr>
                <w:rFonts w:ascii="宋体" w:hAnsi="宋体" w:eastAsia="宋体" w:cs="宋体"/>
                <w:color w:val="000000"/>
                <w:kern w:val="0"/>
                <w:sz w:val="24"/>
                <w:lang w:bidi="ar"/>
              </w:rPr>
              <w:t>主要指课上教师随机提问、组织课堂讨论等，观察学生参与程度</w:t>
            </w:r>
            <w:r>
              <w:rPr>
                <w:rFonts w:hint="eastAsia" w:ascii="宋体" w:hAnsi="宋体" w:eastAsia="宋体" w:cs="宋体"/>
                <w:color w:val="000000"/>
                <w:kern w:val="0"/>
                <w:sz w:val="24"/>
                <w:lang w:bidi="ar"/>
              </w:rPr>
              <w:t>，</w:t>
            </w:r>
            <w:r>
              <w:rPr>
                <w:rFonts w:ascii="宋体" w:hAnsi="宋体" w:eastAsia="宋体" w:cs="宋体"/>
                <w:color w:val="000000"/>
                <w:kern w:val="0"/>
                <w:sz w:val="24"/>
                <w:lang w:bidi="ar"/>
              </w:rPr>
              <w:t>表现良好，按照对应的课程目标及权重给予评定</w:t>
            </w:r>
            <w:r>
              <w:rPr>
                <w:rFonts w:hint="eastAsia" w:ascii="宋体" w:hAnsi="宋体" w:eastAsia="宋体" w:cs="宋体"/>
                <w:color w:val="000000"/>
                <w:kern w:val="0"/>
                <w:sz w:val="24"/>
                <w:lang w:bidi="ar"/>
              </w:rPr>
              <w:t>。</w:t>
            </w:r>
          </w:p>
        </w:tc>
        <w:tc>
          <w:tcPr>
            <w:tcW w:w="0" w:type="auto"/>
            <w:vAlign w:val="center"/>
          </w:tcPr>
          <w:p w14:paraId="515C4B86">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2F67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040DAA">
            <w:pPr>
              <w:rPr>
                <w:rFonts w:ascii="Times New Roman" w:hAnsi="Times New Roman" w:eastAsia="宋体" w:cs="Times New Roman"/>
                <w:sz w:val="24"/>
              </w:rPr>
            </w:pPr>
            <w:r>
              <w:rPr>
                <w:rFonts w:hint="eastAsia" w:ascii="Times New Roman" w:hAnsi="Times New Roman" w:eastAsia="宋体" w:cs="Times New Roman"/>
                <w:sz w:val="24"/>
              </w:rPr>
              <w:t>课内实践</w:t>
            </w:r>
          </w:p>
        </w:tc>
        <w:tc>
          <w:tcPr>
            <w:tcW w:w="7141" w:type="dxa"/>
            <w:vAlign w:val="center"/>
          </w:tcPr>
          <w:p w14:paraId="518D0CAC">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1.微格教学的教学设计（60%）：目标明确性与内容适切性（20%）：教学目标具体明确，内容与学生实际水平和学习需求相匹配。设计创新性与教学策略（20%）：教学方法新颖，策略运用得当，能有效促进学生学习。评估与反馈机制（20%）：包含有效的评估工具和反馈方法，以促进学生学习进步。</w:t>
            </w:r>
          </w:p>
          <w:p w14:paraId="2B2BFB20">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2.表现力（40%）：语言表达清晰度（15%）：语言准确，表达流畅，发音清晰，语速适中。教学互动与课堂管理（15%）：互动自然，能够有效引导学生参与，课堂管理得当。非语言沟通与教态（10%）：肢体语言得体，教态自然，能够吸引和维持学生注意力。</w:t>
            </w:r>
          </w:p>
          <w:p w14:paraId="514DCFE5">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评分细则：</w:t>
            </w:r>
          </w:p>
          <w:p w14:paraId="312D52CB">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教学设计的评分基于教案的完整性、创新性以及教学策略的适应性和有效性。</w:t>
            </w:r>
          </w:p>
          <w:p w14:paraId="32CDFDFA">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表现力的评分基于教师在模拟教学过程中的语言表达、互动能力、课堂管理和非语言沟通技巧。</w:t>
            </w:r>
          </w:p>
        </w:tc>
        <w:tc>
          <w:tcPr>
            <w:tcW w:w="0" w:type="auto"/>
            <w:vAlign w:val="center"/>
          </w:tcPr>
          <w:p w14:paraId="23953D8F">
            <w:pPr>
              <w:jc w:val="center"/>
              <w:rPr>
                <w:rFonts w:ascii="Times New Roman" w:hAnsi="Times New Roman" w:eastAsia="宋体" w:cs="Times New Roman"/>
                <w:sz w:val="24"/>
              </w:rPr>
            </w:pPr>
            <w:r>
              <w:rPr>
                <w:rFonts w:hint="eastAsia" w:ascii="Times New Roman" w:hAnsi="Times New Roman" w:eastAsia="宋体" w:cs="Times New Roman"/>
                <w:sz w:val="24"/>
              </w:rPr>
              <w:t>30%</w:t>
            </w:r>
          </w:p>
        </w:tc>
      </w:tr>
      <w:tr w14:paraId="09B7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F519E2">
            <w:pPr>
              <w:rPr>
                <w:rFonts w:ascii="Times New Roman" w:hAnsi="Times New Roman" w:eastAsia="宋体" w:cs="Times New Roman"/>
                <w:sz w:val="24"/>
              </w:rPr>
            </w:pPr>
            <w:r>
              <w:rPr>
                <w:rFonts w:hint="eastAsia" w:ascii="Times New Roman" w:hAnsi="Times New Roman" w:eastAsia="宋体" w:cs="Times New Roman"/>
                <w:sz w:val="24"/>
              </w:rPr>
              <w:t>期末考试</w:t>
            </w:r>
          </w:p>
        </w:tc>
        <w:tc>
          <w:tcPr>
            <w:tcW w:w="7141" w:type="dxa"/>
            <w:vAlign w:val="center"/>
          </w:tcPr>
          <w:p w14:paraId="3AEEAE72">
            <w:pPr>
              <w:spacing w:line="264" w:lineRule="auto"/>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开卷考试，小学科学中高段一篇科学教学设计。1.教学目标设定（20%）：</w:t>
            </w:r>
          </w:p>
          <w:p w14:paraId="71A71FDB">
            <w:pPr>
              <w:spacing w:line="264" w:lineRule="auto"/>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目标明确、具体，与小学阶段学生的认知水平和学习需求相符；教学目标体现核心素养的要求，包括科学思维、科学探究、科学态度与责任等多个维度。</w:t>
            </w:r>
          </w:p>
          <w:p w14:paraId="337E0999">
            <w:pPr>
              <w:spacing w:line="264" w:lineRule="auto"/>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2.教学内容分析（20%）：对案例教学内容的分析深入，能够准确把握科学知识的核心要素和教育价值；教学内容安排合理，重点突出，难点处理得当。</w:t>
            </w:r>
          </w:p>
          <w:p w14:paraId="054301EF">
            <w:pPr>
              <w:spacing w:line="264" w:lineRule="auto"/>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3.教学策略与方法（20%）：能够设计合理的教学策略，运用案例教学方法有效引导学生科学探究；教学活动具有创新性，能调动学生的学习兴趣和积极性。4.学生参与度与互动性（15%）：教学设计中包含丰富的互动环节，能够鼓励学生积极参与案例讨论与探究活动；能够充分考虑学生差异，设计多样化、层次化的学习活动。5.评估与反馈（15%）：教学设计包含科学的评估工具和方法，能够全面衡量学生学习成果；反馈内容具体，能引导学生反思和改进学习过程。教材分析与学情分析（10%）：对小学科学教材的内容结构和逻辑体系有较为准确的分析；能够结合学情分析教学案例的适用性，并提出合理的改进建议。</w:t>
            </w:r>
          </w:p>
        </w:tc>
        <w:tc>
          <w:tcPr>
            <w:tcW w:w="0" w:type="auto"/>
            <w:vAlign w:val="center"/>
          </w:tcPr>
          <w:p w14:paraId="76ADEF02">
            <w:pPr>
              <w:jc w:val="center"/>
              <w:rPr>
                <w:rFonts w:ascii="Times New Roman" w:hAnsi="Times New Roman" w:eastAsia="宋体" w:cs="Times New Roman"/>
                <w:sz w:val="24"/>
              </w:rPr>
            </w:pPr>
            <w:r>
              <w:rPr>
                <w:rFonts w:hint="eastAsia" w:ascii="Times New Roman" w:hAnsi="Times New Roman" w:eastAsia="宋体" w:cs="Times New Roman"/>
                <w:sz w:val="24"/>
              </w:rPr>
              <w:t>40%</w:t>
            </w:r>
          </w:p>
        </w:tc>
      </w:tr>
      <w:tr w14:paraId="6186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178FD65">
            <w:pPr>
              <w:jc w:val="center"/>
              <w:rPr>
                <w:rFonts w:ascii="Times New Roman" w:hAnsi="Times New Roman" w:eastAsia="宋体" w:cs="Times New Roman"/>
                <w:b/>
                <w:bCs/>
                <w:sz w:val="24"/>
              </w:rPr>
            </w:pPr>
            <w:r>
              <w:rPr>
                <w:rFonts w:hint="eastAsia" w:ascii="Times New Roman" w:hAnsi="Times New Roman" w:eastAsia="宋体" w:cs="Times New Roman"/>
                <w:b/>
                <w:bCs/>
                <w:sz w:val="24"/>
              </w:rPr>
              <w:t>合计</w:t>
            </w:r>
          </w:p>
        </w:tc>
        <w:tc>
          <w:tcPr>
            <w:tcW w:w="0" w:type="auto"/>
            <w:vAlign w:val="center"/>
          </w:tcPr>
          <w:p w14:paraId="299DFF15">
            <w:pPr>
              <w:jc w:val="left"/>
              <w:rPr>
                <w:rFonts w:ascii="Times New Roman" w:hAnsi="Times New Roman" w:eastAsia="宋体" w:cs="Times New Roman"/>
                <w:sz w:val="24"/>
              </w:rPr>
            </w:pPr>
          </w:p>
        </w:tc>
        <w:tc>
          <w:tcPr>
            <w:tcW w:w="0" w:type="auto"/>
            <w:vAlign w:val="center"/>
          </w:tcPr>
          <w:p w14:paraId="2D4F97FB">
            <w:pPr>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7553CC66">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（三）课程目标达成度计算方法</w:t>
      </w:r>
    </w:p>
    <w:p w14:paraId="2AD54B8F">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53C07302">
      <w:pPr>
        <w:spacing w:before="156" w:beforeLines="50"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object>
          <v:shape id="_x0000_i1074"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74" DrawAspect="Content" ObjectID="_1468075774" r:id="rId60">
            <o:LockedField>false</o:LockedField>
          </o:OLEObject>
        </w:object>
      </w:r>
    </w:p>
    <w:p w14:paraId="1908E733">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课程实践</w:t>
      </w:r>
    </w:p>
    <w:p w14:paraId="059A5058">
      <w:pPr>
        <w:spacing w:line="276" w:lineRule="auto"/>
        <w:ind w:firstLine="480" w:firstLineChars="200"/>
        <w:rPr>
          <w:rFonts w:ascii="Calibri" w:hAnsi="Calibri" w:eastAsia="宋体" w:cs="Times New Roman"/>
          <w:bCs/>
          <w:sz w:val="24"/>
        </w:rPr>
      </w:pPr>
      <w:r>
        <w:rPr>
          <w:rFonts w:hint="eastAsia" w:ascii="Calibri" w:hAnsi="Calibri" w:eastAsia="宋体" w:cs="Times New Roman"/>
          <w:bCs/>
          <w:sz w:val="24"/>
        </w:rPr>
        <w:t>本课程共有1</w:t>
      </w:r>
      <w:r>
        <w:rPr>
          <w:rFonts w:ascii="Calibri" w:hAnsi="Calibri" w:eastAsia="宋体" w:cs="Times New Roman"/>
          <w:bCs/>
          <w:sz w:val="24"/>
        </w:rPr>
        <w:t>6</w:t>
      </w:r>
      <w:r>
        <w:rPr>
          <w:rFonts w:hint="eastAsia" w:ascii="Calibri" w:hAnsi="Calibri" w:eastAsia="宋体" w:cs="Times New Roman"/>
          <w:bCs/>
          <w:sz w:val="24"/>
        </w:rPr>
        <w:t>课时的课内实践学时，根据教学内容的安排，分别进行四次实践项目。具体项目内容及要求如下。</w:t>
      </w:r>
    </w:p>
    <w:p w14:paraId="0C08F805">
      <w:pPr>
        <w:spacing w:line="276" w:lineRule="auto"/>
        <w:ind w:firstLine="482" w:firstLineChars="200"/>
        <w:jc w:val="center"/>
        <w:rPr>
          <w:rFonts w:hint="eastAsia" w:ascii="宋体" w:hAnsi="宋体" w:eastAsia="宋体" w:cs="宋体"/>
          <w:b/>
          <w:bCs/>
          <w:sz w:val="24"/>
        </w:rPr>
      </w:pPr>
      <w:r>
        <w:rPr>
          <w:rFonts w:hint="eastAsia" w:ascii="宋体" w:hAnsi="宋体" w:eastAsia="宋体" w:cs="宋体"/>
          <w:b/>
          <w:bCs/>
          <w:sz w:val="24"/>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1726"/>
        <w:gridCol w:w="2174"/>
      </w:tblGrid>
      <w:tr w14:paraId="3E46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4F1F8632">
            <w:pPr>
              <w:spacing w:line="240" w:lineRule="exact"/>
              <w:jc w:val="center"/>
              <w:rPr>
                <w:rFonts w:hint="eastAsia" w:ascii="宋体" w:hAnsi="宋体" w:eastAsia="宋体" w:cs="宋体"/>
                <w:b/>
                <w:bCs/>
                <w:sz w:val="24"/>
              </w:rPr>
            </w:pPr>
            <w:r>
              <w:rPr>
                <w:rFonts w:hint="eastAsia" w:ascii="宋体" w:hAnsi="宋体" w:eastAsia="宋体" w:cs="宋体"/>
                <w:b/>
                <w:bCs/>
                <w:sz w:val="24"/>
              </w:rPr>
              <w:t>活动主题</w:t>
            </w:r>
          </w:p>
        </w:tc>
        <w:tc>
          <w:tcPr>
            <w:tcW w:w="3407" w:type="dxa"/>
            <w:vAlign w:val="center"/>
          </w:tcPr>
          <w:p w14:paraId="076C16B7">
            <w:pPr>
              <w:spacing w:line="240" w:lineRule="exact"/>
              <w:jc w:val="center"/>
              <w:rPr>
                <w:rFonts w:hint="eastAsia" w:ascii="宋体" w:hAnsi="宋体" w:eastAsia="宋体" w:cs="宋体"/>
                <w:b/>
                <w:bCs/>
                <w:sz w:val="24"/>
              </w:rPr>
            </w:pPr>
            <w:r>
              <w:rPr>
                <w:rFonts w:hint="eastAsia" w:ascii="宋体" w:hAnsi="宋体" w:eastAsia="宋体" w:cs="宋体"/>
                <w:b/>
                <w:bCs/>
                <w:sz w:val="24"/>
              </w:rPr>
              <w:t>活动内容</w:t>
            </w:r>
          </w:p>
        </w:tc>
        <w:tc>
          <w:tcPr>
            <w:tcW w:w="1726" w:type="dxa"/>
            <w:vAlign w:val="center"/>
          </w:tcPr>
          <w:p w14:paraId="58B02932">
            <w:pPr>
              <w:spacing w:line="240" w:lineRule="exact"/>
              <w:jc w:val="center"/>
              <w:rPr>
                <w:rFonts w:hint="eastAsia" w:ascii="宋体" w:hAnsi="宋体" w:eastAsia="宋体" w:cs="宋体"/>
                <w:b/>
                <w:bCs/>
                <w:sz w:val="24"/>
              </w:rPr>
            </w:pPr>
            <w:r>
              <w:rPr>
                <w:rFonts w:hint="eastAsia" w:ascii="宋体" w:hAnsi="宋体" w:eastAsia="宋体" w:cs="Times New Roman"/>
                <w:b/>
                <w:bCs/>
                <w:sz w:val="24"/>
              </w:rPr>
              <w:t>学时</w:t>
            </w:r>
          </w:p>
        </w:tc>
        <w:tc>
          <w:tcPr>
            <w:tcW w:w="2174" w:type="dxa"/>
            <w:vAlign w:val="center"/>
          </w:tcPr>
          <w:p w14:paraId="79293E46">
            <w:pPr>
              <w:spacing w:line="240" w:lineRule="exact"/>
              <w:jc w:val="center"/>
              <w:rPr>
                <w:rFonts w:hint="eastAsia" w:ascii="宋体" w:hAnsi="宋体" w:eastAsia="宋体" w:cs="宋体"/>
                <w:b/>
                <w:bCs/>
                <w:sz w:val="24"/>
              </w:rPr>
            </w:pPr>
            <w:r>
              <w:rPr>
                <w:rFonts w:hint="eastAsia" w:ascii="宋体" w:hAnsi="宋体" w:eastAsia="宋体" w:cs="Times New Roman"/>
                <w:b/>
                <w:bCs/>
                <w:sz w:val="24"/>
              </w:rPr>
              <w:t>对毕业要求的支撑</w:t>
            </w:r>
          </w:p>
        </w:tc>
      </w:tr>
      <w:tr w14:paraId="1F8D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4AB37E0">
            <w:pPr>
              <w:spacing w:line="276" w:lineRule="auto"/>
              <w:jc w:val="left"/>
              <w:rPr>
                <w:rFonts w:hint="eastAsia" w:ascii="宋体" w:hAnsi="宋体" w:eastAsia="宋体" w:cs="宋体"/>
                <w:sz w:val="24"/>
              </w:rPr>
            </w:pPr>
            <w:r>
              <w:rPr>
                <w:rFonts w:hint="eastAsia" w:ascii="宋体" w:hAnsi="宋体" w:eastAsia="宋体" w:cs="Times New Roman"/>
                <w:color w:val="000000"/>
                <w:sz w:val="24"/>
              </w:rPr>
              <w:t>物质和能量专题案例研究（教学设计、试讲、说课等）</w:t>
            </w:r>
          </w:p>
        </w:tc>
        <w:tc>
          <w:tcPr>
            <w:tcW w:w="3407" w:type="dxa"/>
            <w:vAlign w:val="center"/>
          </w:tcPr>
          <w:p w14:paraId="778B67EF">
            <w:pPr>
              <w:rPr>
                <w:rFonts w:hint="eastAsia" w:ascii="宋体" w:hAnsi="宋体" w:eastAsia="宋体" w:cs="宋体"/>
                <w:kern w:val="0"/>
                <w:sz w:val="24"/>
              </w:rPr>
            </w:pPr>
            <w:r>
              <w:rPr>
                <w:rFonts w:hint="eastAsia" w:ascii="宋体" w:hAnsi="宋体" w:eastAsia="宋体" w:cs="宋体"/>
                <w:b/>
                <w:sz w:val="24"/>
              </w:rPr>
              <w:t>实践内容</w:t>
            </w:r>
            <w:r>
              <w:rPr>
                <w:rFonts w:hint="eastAsia" w:ascii="宋体" w:hAnsi="宋体" w:eastAsia="宋体" w:cs="宋体"/>
                <w:sz w:val="24"/>
              </w:rPr>
              <w:t>：</w:t>
            </w:r>
            <w:bookmarkStart w:id="269" w:name="OLE_LINK3"/>
            <w:r>
              <w:rPr>
                <w:rFonts w:hint="eastAsia" w:ascii="宋体" w:hAnsi="宋体" w:eastAsia="宋体" w:cs="Times New Roman"/>
                <w:color w:val="000000"/>
                <w:sz w:val="24"/>
              </w:rPr>
              <w:t>物质和能量</w:t>
            </w:r>
            <w:bookmarkEnd w:id="269"/>
            <w:r>
              <w:rPr>
                <w:rFonts w:hint="eastAsia" w:ascii="宋体" w:hAnsi="宋体" w:eastAsia="宋体" w:cs="Times New Roman"/>
                <w:color w:val="000000"/>
                <w:sz w:val="24"/>
              </w:rPr>
              <w:t>专题观摩一节科学课。对物质和能量内容进行</w:t>
            </w:r>
            <w:r>
              <w:rPr>
                <w:rFonts w:hint="eastAsia" w:ascii="宋体" w:hAnsi="宋体" w:eastAsia="宋体" w:cs="宋体"/>
                <w:kern w:val="0"/>
                <w:sz w:val="24"/>
              </w:rPr>
              <w:t>分析形成教学设计方案，并进行试讲和说课。</w:t>
            </w:r>
          </w:p>
          <w:p w14:paraId="3A1F3AAE">
            <w:pPr>
              <w:spacing w:line="276" w:lineRule="auto"/>
              <w:jc w:val="left"/>
              <w:rPr>
                <w:rFonts w:hint="eastAsia" w:ascii="宋体" w:hAnsi="宋体" w:eastAsia="宋体" w:cs="宋体"/>
                <w:sz w:val="24"/>
              </w:rPr>
            </w:pPr>
            <w:r>
              <w:rPr>
                <w:rFonts w:hint="eastAsia" w:ascii="宋体" w:hAnsi="宋体" w:eastAsia="宋体" w:cs="Times New Roman"/>
                <w:b/>
                <w:bCs/>
                <w:sz w:val="24"/>
              </w:rPr>
              <w:t>实践要求</w:t>
            </w:r>
            <w:r>
              <w:rPr>
                <w:rFonts w:hint="eastAsia" w:ascii="宋体" w:hAnsi="宋体" w:eastAsia="宋体" w:cs="Times New Roman"/>
                <w:bCs/>
                <w:sz w:val="24"/>
              </w:rPr>
              <w:t>：小组</w:t>
            </w:r>
            <w:r>
              <w:rPr>
                <w:rFonts w:hint="eastAsia" w:ascii="宋体" w:hAnsi="宋体" w:eastAsia="宋体" w:cs="Times New Roman"/>
                <w:color w:val="000000"/>
                <w:sz w:val="24"/>
              </w:rPr>
              <w:t>提交一篇观摩课教学记录与分析。每人提交一篇物质和能量内容的</w:t>
            </w:r>
            <w:r>
              <w:rPr>
                <w:rFonts w:hint="eastAsia" w:ascii="宋体" w:hAnsi="宋体" w:eastAsia="宋体" w:cs="Times New Roman"/>
                <w:bCs/>
                <w:sz w:val="24"/>
              </w:rPr>
              <w:t>教学设计方案。</w:t>
            </w:r>
          </w:p>
        </w:tc>
        <w:tc>
          <w:tcPr>
            <w:tcW w:w="1726" w:type="dxa"/>
            <w:vAlign w:val="center"/>
          </w:tcPr>
          <w:p w14:paraId="5B1AEC9E">
            <w:pPr>
              <w:spacing w:line="276" w:lineRule="auto"/>
              <w:jc w:val="center"/>
              <w:rPr>
                <w:rFonts w:hint="eastAsia" w:ascii="宋体" w:hAnsi="宋体" w:eastAsia="宋体" w:cs="宋体"/>
                <w:sz w:val="24"/>
              </w:rPr>
            </w:pPr>
            <w:r>
              <w:rPr>
                <w:rFonts w:hint="eastAsia" w:ascii="宋体" w:hAnsi="宋体" w:eastAsia="宋体" w:cs="Times New Roman"/>
                <w:bCs/>
                <w:sz w:val="24"/>
              </w:rPr>
              <w:t>4</w:t>
            </w:r>
          </w:p>
        </w:tc>
        <w:tc>
          <w:tcPr>
            <w:tcW w:w="2174" w:type="dxa"/>
            <w:vAlign w:val="center"/>
          </w:tcPr>
          <w:p w14:paraId="32F44736">
            <w:pPr>
              <w:jc w:val="center"/>
              <w:rPr>
                <w:rFonts w:hint="eastAsia" w:ascii="宋体" w:hAnsi="宋体" w:eastAsia="宋体" w:cs="Times New Roman"/>
                <w:color w:val="000000"/>
                <w:sz w:val="24"/>
              </w:rPr>
            </w:pPr>
            <w:r>
              <w:rPr>
                <w:rFonts w:ascii="宋体" w:hAnsi="宋体" w:eastAsia="宋体" w:cs="Times New Roman"/>
                <w:color w:val="000000"/>
                <w:sz w:val="24"/>
              </w:rPr>
              <w:t>4-2</w:t>
            </w:r>
          </w:p>
          <w:p w14:paraId="605CA5FA">
            <w:pPr>
              <w:jc w:val="center"/>
              <w:rPr>
                <w:rFonts w:hint="eastAsia" w:ascii="宋体" w:hAnsi="宋体" w:eastAsia="宋体" w:cs="Times New Roman"/>
                <w:color w:val="000000"/>
                <w:sz w:val="24"/>
              </w:rPr>
            </w:pPr>
            <w:r>
              <w:rPr>
                <w:rFonts w:ascii="宋体" w:hAnsi="宋体" w:eastAsia="宋体" w:cs="Times New Roman"/>
                <w:color w:val="000000"/>
                <w:sz w:val="24"/>
              </w:rPr>
              <w:t>6-2</w:t>
            </w:r>
          </w:p>
          <w:p w14:paraId="5D584CF9">
            <w:pPr>
              <w:spacing w:line="276" w:lineRule="auto"/>
              <w:jc w:val="center"/>
              <w:rPr>
                <w:rFonts w:hint="eastAsia" w:ascii="宋体" w:hAnsi="宋体" w:eastAsia="宋体" w:cs="宋体"/>
                <w:sz w:val="24"/>
              </w:rPr>
            </w:pPr>
            <w:r>
              <w:rPr>
                <w:rFonts w:ascii="宋体" w:hAnsi="宋体" w:eastAsia="宋体" w:cs="Times New Roman"/>
                <w:color w:val="000000"/>
                <w:sz w:val="24"/>
              </w:rPr>
              <w:t>7-</w:t>
            </w:r>
            <w:r>
              <w:rPr>
                <w:rFonts w:hint="eastAsia" w:ascii="宋体" w:hAnsi="宋体" w:eastAsia="宋体" w:cs="Times New Roman"/>
                <w:color w:val="000000"/>
                <w:sz w:val="24"/>
              </w:rPr>
              <w:t>3</w:t>
            </w:r>
          </w:p>
        </w:tc>
      </w:tr>
      <w:tr w14:paraId="01DB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1E39550F">
            <w:pPr>
              <w:spacing w:line="276" w:lineRule="auto"/>
              <w:jc w:val="left"/>
              <w:rPr>
                <w:rFonts w:hint="eastAsia" w:ascii="宋体" w:hAnsi="宋体" w:eastAsia="宋体" w:cs="宋体"/>
                <w:sz w:val="24"/>
              </w:rPr>
            </w:pPr>
            <w:r>
              <w:rPr>
                <w:rFonts w:hint="eastAsia" w:ascii="宋体" w:hAnsi="宋体" w:eastAsia="宋体" w:cs="Times New Roman"/>
                <w:color w:val="000000"/>
                <w:sz w:val="24"/>
              </w:rPr>
              <w:t>生物与进化专题案例研究（教学设计、试讲、说课等）</w:t>
            </w:r>
          </w:p>
        </w:tc>
        <w:tc>
          <w:tcPr>
            <w:tcW w:w="3407" w:type="dxa"/>
            <w:vAlign w:val="center"/>
          </w:tcPr>
          <w:p w14:paraId="1880DA85">
            <w:pPr>
              <w:rPr>
                <w:rFonts w:hint="eastAsia" w:ascii="宋体" w:hAnsi="宋体" w:eastAsia="宋体" w:cs="宋体"/>
                <w:kern w:val="0"/>
                <w:sz w:val="24"/>
              </w:rPr>
            </w:pPr>
            <w:r>
              <w:rPr>
                <w:rFonts w:hint="eastAsia" w:ascii="宋体" w:hAnsi="宋体" w:eastAsia="宋体" w:cs="宋体"/>
                <w:b/>
                <w:sz w:val="24"/>
              </w:rPr>
              <w:t>实践内容</w:t>
            </w:r>
            <w:r>
              <w:rPr>
                <w:rFonts w:hint="eastAsia" w:ascii="宋体" w:hAnsi="宋体" w:eastAsia="宋体" w:cs="宋体"/>
                <w:sz w:val="24"/>
              </w:rPr>
              <w:t>：</w:t>
            </w:r>
            <w:r>
              <w:rPr>
                <w:rFonts w:hint="eastAsia" w:ascii="宋体" w:hAnsi="宋体" w:eastAsia="宋体" w:cs="Times New Roman"/>
                <w:color w:val="000000"/>
                <w:sz w:val="24"/>
              </w:rPr>
              <w:t>生物与进化专题观摩一节科学课。对生物与进化内容进行</w:t>
            </w:r>
            <w:r>
              <w:rPr>
                <w:rFonts w:hint="eastAsia" w:ascii="宋体" w:hAnsi="宋体" w:eastAsia="宋体" w:cs="宋体"/>
                <w:kern w:val="0"/>
                <w:sz w:val="24"/>
              </w:rPr>
              <w:t>分析形成教学设计方案，并进行试讲和说课。</w:t>
            </w:r>
          </w:p>
          <w:p w14:paraId="224BF164">
            <w:pPr>
              <w:spacing w:line="276" w:lineRule="auto"/>
              <w:jc w:val="left"/>
              <w:rPr>
                <w:rFonts w:hint="eastAsia" w:ascii="宋体" w:hAnsi="宋体" w:eastAsia="宋体" w:cs="宋体"/>
                <w:sz w:val="24"/>
              </w:rPr>
            </w:pPr>
            <w:r>
              <w:rPr>
                <w:rFonts w:hint="eastAsia" w:ascii="宋体" w:hAnsi="宋体" w:eastAsia="宋体" w:cs="Times New Roman"/>
                <w:b/>
                <w:bCs/>
                <w:sz w:val="24"/>
              </w:rPr>
              <w:t>实践要求：</w:t>
            </w:r>
            <w:r>
              <w:rPr>
                <w:rFonts w:hint="eastAsia" w:ascii="宋体" w:hAnsi="宋体" w:eastAsia="宋体" w:cs="Times New Roman"/>
                <w:bCs/>
                <w:sz w:val="24"/>
              </w:rPr>
              <w:t>小组</w:t>
            </w:r>
            <w:r>
              <w:rPr>
                <w:rFonts w:hint="eastAsia" w:ascii="宋体" w:hAnsi="宋体" w:eastAsia="宋体" w:cs="Times New Roman"/>
                <w:color w:val="000000"/>
                <w:sz w:val="24"/>
              </w:rPr>
              <w:t>提交一篇观摩课教学记录与分析。每人提交一篇物质和能量内容的</w:t>
            </w:r>
            <w:r>
              <w:rPr>
                <w:rFonts w:hint="eastAsia" w:ascii="宋体" w:hAnsi="宋体" w:eastAsia="宋体" w:cs="Times New Roman"/>
                <w:bCs/>
                <w:sz w:val="24"/>
              </w:rPr>
              <w:t>教学设计方案。</w:t>
            </w:r>
          </w:p>
        </w:tc>
        <w:tc>
          <w:tcPr>
            <w:tcW w:w="1726" w:type="dxa"/>
            <w:vAlign w:val="center"/>
          </w:tcPr>
          <w:p w14:paraId="56785155">
            <w:pPr>
              <w:spacing w:line="276" w:lineRule="auto"/>
              <w:jc w:val="center"/>
              <w:rPr>
                <w:rFonts w:hint="eastAsia" w:ascii="宋体" w:hAnsi="宋体" w:eastAsia="宋体" w:cs="宋体"/>
                <w:sz w:val="24"/>
              </w:rPr>
            </w:pPr>
            <w:r>
              <w:rPr>
                <w:rFonts w:hint="eastAsia" w:ascii="宋体" w:hAnsi="宋体" w:eastAsia="宋体" w:cs="Times New Roman"/>
                <w:bCs/>
                <w:sz w:val="24"/>
              </w:rPr>
              <w:t>4</w:t>
            </w:r>
          </w:p>
        </w:tc>
        <w:tc>
          <w:tcPr>
            <w:tcW w:w="2174" w:type="dxa"/>
            <w:vAlign w:val="center"/>
          </w:tcPr>
          <w:p w14:paraId="60D51912">
            <w:pPr>
              <w:jc w:val="center"/>
              <w:rPr>
                <w:rFonts w:hint="eastAsia" w:ascii="宋体" w:hAnsi="宋体" w:eastAsia="宋体" w:cs="Times New Roman"/>
                <w:color w:val="000000"/>
                <w:sz w:val="24"/>
              </w:rPr>
            </w:pPr>
            <w:r>
              <w:rPr>
                <w:rFonts w:ascii="宋体" w:hAnsi="宋体" w:eastAsia="宋体" w:cs="Times New Roman"/>
                <w:color w:val="000000"/>
                <w:sz w:val="24"/>
              </w:rPr>
              <w:t>4-2</w:t>
            </w:r>
          </w:p>
          <w:p w14:paraId="6A2FB6A8">
            <w:pPr>
              <w:jc w:val="center"/>
              <w:rPr>
                <w:rFonts w:hint="eastAsia" w:ascii="宋体" w:hAnsi="宋体" w:eastAsia="宋体" w:cs="Times New Roman"/>
                <w:color w:val="000000"/>
                <w:sz w:val="24"/>
              </w:rPr>
            </w:pPr>
            <w:r>
              <w:rPr>
                <w:rFonts w:ascii="宋体" w:hAnsi="宋体" w:eastAsia="宋体" w:cs="Times New Roman"/>
                <w:color w:val="000000"/>
                <w:sz w:val="24"/>
              </w:rPr>
              <w:t>6-2</w:t>
            </w:r>
          </w:p>
          <w:p w14:paraId="437F332F">
            <w:pPr>
              <w:spacing w:line="276" w:lineRule="auto"/>
              <w:jc w:val="center"/>
              <w:rPr>
                <w:rFonts w:hint="eastAsia" w:ascii="宋体" w:hAnsi="宋体" w:eastAsia="宋体" w:cs="宋体"/>
                <w:sz w:val="24"/>
              </w:rPr>
            </w:pPr>
            <w:r>
              <w:rPr>
                <w:rFonts w:ascii="宋体" w:hAnsi="宋体" w:eastAsia="宋体" w:cs="Times New Roman"/>
                <w:color w:val="000000"/>
                <w:sz w:val="24"/>
              </w:rPr>
              <w:t>7-</w:t>
            </w:r>
            <w:r>
              <w:rPr>
                <w:rFonts w:hint="eastAsia" w:ascii="宋体" w:hAnsi="宋体" w:eastAsia="宋体" w:cs="Times New Roman"/>
                <w:color w:val="000000"/>
                <w:sz w:val="24"/>
              </w:rPr>
              <w:t>3</w:t>
            </w:r>
          </w:p>
        </w:tc>
      </w:tr>
      <w:tr w14:paraId="06D5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6CB2414">
            <w:pPr>
              <w:spacing w:line="276" w:lineRule="auto"/>
              <w:jc w:val="left"/>
              <w:rPr>
                <w:rFonts w:hint="eastAsia" w:ascii="宋体" w:hAnsi="宋体" w:eastAsia="宋体" w:cs="宋体"/>
                <w:sz w:val="24"/>
              </w:rPr>
            </w:pPr>
            <w:r>
              <w:rPr>
                <w:rFonts w:hint="eastAsia" w:ascii="宋体" w:hAnsi="宋体" w:eastAsia="宋体" w:cs="宋体"/>
                <w:kern w:val="0"/>
                <w:sz w:val="24"/>
              </w:rPr>
              <w:t>宇宙与地球专题案例研究（教学设计、试讲、说课等）</w:t>
            </w:r>
          </w:p>
        </w:tc>
        <w:tc>
          <w:tcPr>
            <w:tcW w:w="3407" w:type="dxa"/>
            <w:vAlign w:val="center"/>
          </w:tcPr>
          <w:p w14:paraId="4A3402B0">
            <w:pPr>
              <w:rPr>
                <w:rFonts w:hint="eastAsia" w:ascii="宋体" w:hAnsi="宋体" w:eastAsia="宋体" w:cs="宋体"/>
                <w:kern w:val="0"/>
                <w:sz w:val="24"/>
              </w:rPr>
            </w:pPr>
            <w:r>
              <w:rPr>
                <w:rFonts w:hint="eastAsia" w:ascii="宋体" w:hAnsi="宋体" w:eastAsia="宋体" w:cs="宋体"/>
                <w:b/>
                <w:sz w:val="24"/>
              </w:rPr>
              <w:t>实践内容</w:t>
            </w:r>
            <w:r>
              <w:rPr>
                <w:rFonts w:hint="eastAsia" w:ascii="宋体" w:hAnsi="宋体" w:eastAsia="宋体" w:cs="宋体"/>
                <w:sz w:val="24"/>
              </w:rPr>
              <w:t>：</w:t>
            </w:r>
            <w:r>
              <w:rPr>
                <w:rFonts w:hint="eastAsia" w:ascii="宋体" w:hAnsi="宋体" w:eastAsia="宋体" w:cs="宋体"/>
                <w:kern w:val="0"/>
                <w:sz w:val="24"/>
              </w:rPr>
              <w:t>宇宙与地球</w:t>
            </w:r>
            <w:r>
              <w:rPr>
                <w:rFonts w:hint="eastAsia" w:ascii="宋体" w:hAnsi="宋体" w:eastAsia="宋体" w:cs="Times New Roman"/>
                <w:color w:val="000000"/>
                <w:sz w:val="24"/>
              </w:rPr>
              <w:t>专题观摩一节科学课。对</w:t>
            </w:r>
            <w:r>
              <w:rPr>
                <w:rFonts w:hint="eastAsia" w:ascii="宋体" w:hAnsi="宋体" w:eastAsia="宋体" w:cs="宋体"/>
                <w:kern w:val="0"/>
                <w:sz w:val="24"/>
              </w:rPr>
              <w:t>宇宙与地球</w:t>
            </w:r>
            <w:r>
              <w:rPr>
                <w:rFonts w:hint="eastAsia" w:ascii="宋体" w:hAnsi="宋体" w:eastAsia="宋体" w:cs="Times New Roman"/>
                <w:color w:val="000000"/>
                <w:sz w:val="24"/>
              </w:rPr>
              <w:t>内容进行</w:t>
            </w:r>
            <w:r>
              <w:rPr>
                <w:rFonts w:hint="eastAsia" w:ascii="宋体" w:hAnsi="宋体" w:eastAsia="宋体" w:cs="宋体"/>
                <w:kern w:val="0"/>
                <w:sz w:val="24"/>
              </w:rPr>
              <w:t>分析形成教学设计方案，并进行试讲、评课。</w:t>
            </w:r>
          </w:p>
          <w:p w14:paraId="4857E83D">
            <w:pPr>
              <w:spacing w:line="276" w:lineRule="auto"/>
              <w:jc w:val="left"/>
              <w:rPr>
                <w:rFonts w:hint="eastAsia" w:ascii="宋体" w:hAnsi="宋体" w:eastAsia="宋体" w:cs="宋体"/>
                <w:sz w:val="24"/>
              </w:rPr>
            </w:pPr>
            <w:r>
              <w:rPr>
                <w:rFonts w:hint="eastAsia" w:ascii="宋体" w:hAnsi="宋体" w:eastAsia="宋体" w:cs="Times New Roman"/>
                <w:b/>
                <w:bCs/>
                <w:sz w:val="24"/>
              </w:rPr>
              <w:t>实践要求</w:t>
            </w:r>
            <w:r>
              <w:rPr>
                <w:rFonts w:hint="eastAsia" w:ascii="宋体" w:hAnsi="宋体" w:eastAsia="宋体" w:cs="Times New Roman"/>
                <w:bCs/>
                <w:sz w:val="24"/>
              </w:rPr>
              <w:t>：</w:t>
            </w:r>
            <w:r>
              <w:rPr>
                <w:rFonts w:hint="eastAsia" w:ascii="宋体" w:hAnsi="宋体" w:eastAsia="宋体" w:cs="Times New Roman"/>
                <w:color w:val="000000"/>
                <w:sz w:val="24"/>
              </w:rPr>
              <w:t>每人提交一篇物质和能量内容的</w:t>
            </w:r>
            <w:r>
              <w:rPr>
                <w:rFonts w:hint="eastAsia" w:ascii="宋体" w:hAnsi="宋体" w:eastAsia="宋体" w:cs="Times New Roman"/>
                <w:bCs/>
                <w:sz w:val="24"/>
              </w:rPr>
              <w:t>教学设计方案。小组提交</w:t>
            </w:r>
            <w:r>
              <w:rPr>
                <w:rFonts w:hint="eastAsia" w:ascii="宋体" w:hAnsi="宋体" w:eastAsia="宋体" w:cs="Times New Roman"/>
                <w:color w:val="000000"/>
                <w:sz w:val="24"/>
              </w:rPr>
              <w:t>一篇评课记录。</w:t>
            </w:r>
          </w:p>
        </w:tc>
        <w:tc>
          <w:tcPr>
            <w:tcW w:w="1726" w:type="dxa"/>
            <w:vAlign w:val="center"/>
          </w:tcPr>
          <w:p w14:paraId="6F753EE1">
            <w:pPr>
              <w:spacing w:line="276" w:lineRule="auto"/>
              <w:jc w:val="center"/>
              <w:rPr>
                <w:rFonts w:hint="eastAsia" w:ascii="宋体" w:hAnsi="宋体" w:eastAsia="宋体" w:cs="宋体"/>
                <w:sz w:val="24"/>
              </w:rPr>
            </w:pPr>
            <w:r>
              <w:rPr>
                <w:rFonts w:hint="eastAsia" w:ascii="宋体" w:hAnsi="宋体" w:eastAsia="宋体" w:cs="Times New Roman"/>
                <w:bCs/>
                <w:sz w:val="24"/>
              </w:rPr>
              <w:t>4</w:t>
            </w:r>
          </w:p>
        </w:tc>
        <w:tc>
          <w:tcPr>
            <w:tcW w:w="2174" w:type="dxa"/>
            <w:vAlign w:val="center"/>
          </w:tcPr>
          <w:p w14:paraId="7FFA2BF4">
            <w:pPr>
              <w:jc w:val="center"/>
              <w:rPr>
                <w:rFonts w:hint="eastAsia" w:ascii="宋体" w:hAnsi="宋体" w:eastAsia="宋体" w:cs="Times New Roman"/>
                <w:color w:val="000000"/>
                <w:sz w:val="24"/>
              </w:rPr>
            </w:pPr>
            <w:r>
              <w:rPr>
                <w:rFonts w:ascii="宋体" w:hAnsi="宋体" w:eastAsia="宋体" w:cs="Times New Roman"/>
                <w:color w:val="000000"/>
                <w:sz w:val="24"/>
              </w:rPr>
              <w:t>4-2</w:t>
            </w:r>
          </w:p>
          <w:p w14:paraId="3B753756">
            <w:pPr>
              <w:jc w:val="center"/>
              <w:rPr>
                <w:rFonts w:hint="eastAsia" w:ascii="宋体" w:hAnsi="宋体" w:eastAsia="宋体" w:cs="Times New Roman"/>
                <w:color w:val="000000"/>
                <w:sz w:val="24"/>
              </w:rPr>
            </w:pPr>
            <w:r>
              <w:rPr>
                <w:rFonts w:ascii="宋体" w:hAnsi="宋体" w:eastAsia="宋体" w:cs="Times New Roman"/>
                <w:color w:val="000000"/>
                <w:sz w:val="24"/>
              </w:rPr>
              <w:t>6-2</w:t>
            </w:r>
          </w:p>
          <w:p w14:paraId="1AD8B649">
            <w:pPr>
              <w:spacing w:line="276" w:lineRule="auto"/>
              <w:jc w:val="center"/>
              <w:rPr>
                <w:rFonts w:hint="eastAsia" w:ascii="宋体" w:hAnsi="宋体" w:eastAsia="宋体" w:cs="宋体"/>
                <w:sz w:val="24"/>
              </w:rPr>
            </w:pPr>
            <w:r>
              <w:rPr>
                <w:rFonts w:ascii="宋体" w:hAnsi="宋体" w:eastAsia="宋体" w:cs="Times New Roman"/>
                <w:color w:val="000000"/>
                <w:sz w:val="24"/>
              </w:rPr>
              <w:t>7-</w:t>
            </w:r>
            <w:r>
              <w:rPr>
                <w:rFonts w:hint="eastAsia" w:ascii="宋体" w:hAnsi="宋体" w:eastAsia="宋体" w:cs="Times New Roman"/>
                <w:color w:val="000000"/>
                <w:sz w:val="24"/>
              </w:rPr>
              <w:t>3</w:t>
            </w:r>
          </w:p>
        </w:tc>
      </w:tr>
      <w:tr w14:paraId="4048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53F5A8FC">
            <w:pPr>
              <w:spacing w:line="276" w:lineRule="auto"/>
              <w:jc w:val="left"/>
              <w:rPr>
                <w:rFonts w:hint="eastAsia" w:ascii="宋体" w:hAnsi="宋体" w:eastAsia="宋体" w:cs="宋体"/>
                <w:sz w:val="24"/>
              </w:rPr>
            </w:pPr>
            <w:r>
              <w:rPr>
                <w:rFonts w:hint="eastAsia" w:ascii="宋体" w:hAnsi="宋体" w:eastAsia="宋体" w:cs="宋体"/>
                <w:color w:val="000000"/>
                <w:sz w:val="24"/>
              </w:rPr>
              <w:t>技术、工程与社会专题案例研究（教学设计、试讲、说课等）</w:t>
            </w:r>
          </w:p>
        </w:tc>
        <w:tc>
          <w:tcPr>
            <w:tcW w:w="3407" w:type="dxa"/>
            <w:vAlign w:val="center"/>
          </w:tcPr>
          <w:p w14:paraId="1260B726">
            <w:pPr>
              <w:rPr>
                <w:rFonts w:hint="eastAsia" w:ascii="宋体" w:hAnsi="宋体" w:eastAsia="宋体" w:cs="宋体"/>
                <w:kern w:val="0"/>
                <w:sz w:val="24"/>
              </w:rPr>
            </w:pPr>
            <w:r>
              <w:rPr>
                <w:rFonts w:hint="eastAsia" w:ascii="宋体" w:hAnsi="宋体" w:eastAsia="宋体" w:cs="宋体"/>
                <w:b/>
                <w:sz w:val="24"/>
              </w:rPr>
              <w:t>实践内容</w:t>
            </w:r>
            <w:r>
              <w:rPr>
                <w:rFonts w:hint="eastAsia" w:ascii="宋体" w:hAnsi="宋体" w:eastAsia="宋体" w:cs="宋体"/>
                <w:sz w:val="24"/>
              </w:rPr>
              <w:t>：</w:t>
            </w:r>
            <w:r>
              <w:rPr>
                <w:rFonts w:hint="eastAsia" w:ascii="宋体" w:hAnsi="宋体" w:eastAsia="宋体" w:cs="宋体"/>
                <w:color w:val="000000"/>
                <w:sz w:val="24"/>
              </w:rPr>
              <w:t>技术、工程与社会</w:t>
            </w:r>
            <w:r>
              <w:rPr>
                <w:rFonts w:hint="eastAsia" w:ascii="宋体" w:hAnsi="宋体" w:eastAsia="宋体" w:cs="Times New Roman"/>
                <w:color w:val="000000"/>
                <w:sz w:val="24"/>
              </w:rPr>
              <w:t>专题观摩一节科学课。对</w:t>
            </w:r>
            <w:r>
              <w:rPr>
                <w:rFonts w:hint="eastAsia" w:ascii="宋体" w:hAnsi="宋体" w:eastAsia="宋体" w:cs="宋体"/>
                <w:color w:val="000000"/>
                <w:sz w:val="24"/>
              </w:rPr>
              <w:t>技术、工程与社会</w:t>
            </w:r>
            <w:r>
              <w:rPr>
                <w:rFonts w:hint="eastAsia" w:ascii="宋体" w:hAnsi="宋体" w:eastAsia="宋体" w:cs="Times New Roman"/>
                <w:color w:val="000000"/>
                <w:sz w:val="24"/>
              </w:rPr>
              <w:t>内容进行</w:t>
            </w:r>
            <w:r>
              <w:rPr>
                <w:rFonts w:hint="eastAsia" w:ascii="宋体" w:hAnsi="宋体" w:eastAsia="宋体" w:cs="宋体"/>
                <w:kern w:val="0"/>
                <w:sz w:val="24"/>
              </w:rPr>
              <w:t>分析形成教学设计方案，并进行试讲和评课。</w:t>
            </w:r>
          </w:p>
          <w:p w14:paraId="235ED9FD">
            <w:pPr>
              <w:spacing w:line="276" w:lineRule="auto"/>
              <w:jc w:val="left"/>
              <w:rPr>
                <w:rFonts w:hint="eastAsia" w:ascii="宋体" w:hAnsi="宋体" w:eastAsia="宋体" w:cs="宋体"/>
                <w:sz w:val="24"/>
              </w:rPr>
            </w:pPr>
            <w:r>
              <w:rPr>
                <w:rFonts w:hint="eastAsia" w:ascii="宋体" w:hAnsi="宋体" w:eastAsia="宋体" w:cs="Times New Roman"/>
                <w:b/>
                <w:bCs/>
                <w:sz w:val="24"/>
              </w:rPr>
              <w:t>实践要求：</w:t>
            </w:r>
            <w:r>
              <w:rPr>
                <w:rFonts w:hint="eastAsia" w:ascii="宋体" w:hAnsi="宋体" w:eastAsia="宋体" w:cs="Times New Roman"/>
                <w:color w:val="000000"/>
                <w:sz w:val="24"/>
              </w:rPr>
              <w:t>每人提交一篇物质和能量内容的</w:t>
            </w:r>
            <w:r>
              <w:rPr>
                <w:rFonts w:hint="eastAsia" w:ascii="宋体" w:hAnsi="宋体" w:eastAsia="宋体" w:cs="Times New Roman"/>
                <w:bCs/>
                <w:sz w:val="24"/>
              </w:rPr>
              <w:t>教学设计方案。小组提交</w:t>
            </w:r>
            <w:r>
              <w:rPr>
                <w:rFonts w:hint="eastAsia" w:ascii="宋体" w:hAnsi="宋体" w:eastAsia="宋体" w:cs="Times New Roman"/>
                <w:color w:val="000000"/>
                <w:sz w:val="24"/>
              </w:rPr>
              <w:t>一篇评课记录。</w:t>
            </w:r>
          </w:p>
        </w:tc>
        <w:tc>
          <w:tcPr>
            <w:tcW w:w="1726" w:type="dxa"/>
            <w:vAlign w:val="center"/>
          </w:tcPr>
          <w:p w14:paraId="08DD86B2">
            <w:pPr>
              <w:spacing w:line="276" w:lineRule="auto"/>
              <w:jc w:val="center"/>
              <w:rPr>
                <w:rFonts w:hint="eastAsia" w:ascii="宋体" w:hAnsi="宋体" w:eastAsia="宋体" w:cs="宋体"/>
                <w:sz w:val="24"/>
              </w:rPr>
            </w:pPr>
            <w:r>
              <w:rPr>
                <w:rFonts w:hint="eastAsia" w:ascii="宋体" w:hAnsi="宋体" w:eastAsia="宋体" w:cs="Times New Roman"/>
                <w:bCs/>
                <w:sz w:val="24"/>
              </w:rPr>
              <w:t>4</w:t>
            </w:r>
          </w:p>
        </w:tc>
        <w:tc>
          <w:tcPr>
            <w:tcW w:w="2174" w:type="dxa"/>
            <w:vAlign w:val="center"/>
          </w:tcPr>
          <w:p w14:paraId="35850E97">
            <w:pPr>
              <w:jc w:val="center"/>
              <w:rPr>
                <w:rFonts w:hint="eastAsia" w:ascii="宋体" w:hAnsi="宋体" w:eastAsia="宋体" w:cs="Times New Roman"/>
                <w:color w:val="000000"/>
                <w:sz w:val="24"/>
              </w:rPr>
            </w:pPr>
            <w:r>
              <w:rPr>
                <w:rFonts w:ascii="宋体" w:hAnsi="宋体" w:eastAsia="宋体" w:cs="Times New Roman"/>
                <w:color w:val="000000"/>
                <w:sz w:val="24"/>
              </w:rPr>
              <w:t>4-2</w:t>
            </w:r>
          </w:p>
          <w:p w14:paraId="4C8D8BF9">
            <w:pPr>
              <w:jc w:val="center"/>
              <w:rPr>
                <w:rFonts w:hint="eastAsia" w:ascii="宋体" w:hAnsi="宋体" w:eastAsia="宋体" w:cs="Times New Roman"/>
                <w:color w:val="000000"/>
                <w:sz w:val="24"/>
              </w:rPr>
            </w:pPr>
            <w:r>
              <w:rPr>
                <w:rFonts w:ascii="宋体" w:hAnsi="宋体" w:eastAsia="宋体" w:cs="Times New Roman"/>
                <w:color w:val="000000"/>
                <w:sz w:val="24"/>
              </w:rPr>
              <w:t>6-2</w:t>
            </w:r>
          </w:p>
          <w:p w14:paraId="6D3FB67B">
            <w:pPr>
              <w:spacing w:line="276" w:lineRule="auto"/>
              <w:jc w:val="center"/>
              <w:rPr>
                <w:rFonts w:hint="eastAsia" w:ascii="宋体" w:hAnsi="宋体" w:eastAsia="宋体" w:cs="宋体"/>
                <w:sz w:val="24"/>
              </w:rPr>
            </w:pPr>
            <w:r>
              <w:rPr>
                <w:rFonts w:ascii="宋体" w:hAnsi="宋体" w:eastAsia="宋体" w:cs="Times New Roman"/>
                <w:color w:val="000000"/>
                <w:sz w:val="24"/>
              </w:rPr>
              <w:t>7-</w:t>
            </w:r>
            <w:r>
              <w:rPr>
                <w:rFonts w:hint="eastAsia" w:ascii="宋体" w:hAnsi="宋体" w:eastAsia="宋体" w:cs="Times New Roman"/>
                <w:color w:val="000000"/>
                <w:sz w:val="24"/>
              </w:rPr>
              <w:t>3</w:t>
            </w:r>
          </w:p>
        </w:tc>
      </w:tr>
    </w:tbl>
    <w:p w14:paraId="38EA6274">
      <w:pPr>
        <w:spacing w:line="360" w:lineRule="auto"/>
        <w:ind w:firstLine="472" w:firstLineChars="196"/>
        <w:jc w:val="left"/>
        <w:rPr>
          <w:rFonts w:hint="eastAsia" w:ascii="宋体" w:hAnsi="宋体" w:eastAsia="宋体" w:cs="Times New Roman"/>
          <w:b/>
          <w:color w:val="000000"/>
          <w:sz w:val="24"/>
        </w:rPr>
      </w:pPr>
    </w:p>
    <w:p w14:paraId="12CFCD84">
      <w:pPr>
        <w:spacing w:line="360" w:lineRule="auto"/>
        <w:jc w:val="left"/>
        <w:rPr>
          <w:rFonts w:ascii="Times New Roman" w:hAnsi="Times New Roman" w:eastAsia="宋体" w:cs="Times New Roman"/>
          <w:b/>
          <w:bCs/>
          <w:sz w:val="28"/>
          <w:szCs w:val="28"/>
        </w:rPr>
      </w:pPr>
      <w:r>
        <w:rPr>
          <w:rFonts w:hint="eastAsia" w:ascii="宋体" w:hAnsi="宋体" w:eastAsia="宋体" w:cs="Times New Roman"/>
          <w:b/>
          <w:color w:val="000000"/>
          <w:sz w:val="28"/>
          <w:szCs w:val="28"/>
        </w:rPr>
        <w:t>六、有关说明</w:t>
      </w:r>
    </w:p>
    <w:p w14:paraId="490BFE78">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6C2E204D">
      <w:pPr>
        <w:spacing w:line="360" w:lineRule="auto"/>
        <w:ind w:firstLine="480" w:firstLineChars="200"/>
        <w:jc w:val="left"/>
        <w:rPr>
          <w:rFonts w:ascii="Times New Roman" w:hAnsi="Times New Roman" w:eastAsia="宋体" w:cs="Times New Roman"/>
          <w:b/>
          <w:sz w:val="24"/>
        </w:rPr>
      </w:pPr>
      <w:r>
        <w:rPr>
          <w:rFonts w:hint="eastAsia" w:ascii="Times New Roman" w:hAnsi="Times New Roman" w:eastAsia="宋体" w:cs="Times New Roman"/>
          <w:sz w:val="24"/>
        </w:rPr>
        <w:t>本课程根据学生作业、课堂讨论、实践环节、平时考核情况和学生、教学督导等的反馈，及时对教学中的不足之处进行改进，并在下一轮课程教学中整改完善，确保相应毕业要求指标点达成。</w:t>
      </w:r>
    </w:p>
    <w:p w14:paraId="409A1A97">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（二）建议教材</w:t>
      </w:r>
    </w:p>
    <w:p w14:paraId="72FAECFE">
      <w:pPr>
        <w:pStyle w:val="12"/>
        <w:spacing w:before="0" w:beforeAutospacing="0" w:after="0" w:afterAutospacing="0"/>
        <w:rPr>
          <w:rFonts w:hint="eastAsia"/>
        </w:rPr>
      </w:pPr>
      <w:r>
        <w:t>潘洪建，王天锋等 编. 小学科学课程与教学论. 江苏：江苏大学出版社, 2022.</w:t>
      </w:r>
    </w:p>
    <w:p w14:paraId="1F62B9D2">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（三）参考书目</w:t>
      </w:r>
    </w:p>
    <w:p w14:paraId="297F7659">
      <w:pPr>
        <w:pStyle w:val="12"/>
        <w:adjustRightInd w:val="0"/>
        <w:snapToGrid w:val="0"/>
        <w:spacing w:before="0" w:beforeAutospacing="0" w:after="0" w:afterAutospacing="0" w:line="360" w:lineRule="auto"/>
        <w:rPr>
          <w:rFonts w:hint="eastAsia"/>
        </w:rPr>
      </w:pPr>
      <w:r>
        <w:rPr>
          <w:rFonts w:hint="eastAsia" w:hAnsi="Symbol"/>
        </w:rPr>
        <w:t xml:space="preserve">1. </w:t>
      </w:r>
      <w:r>
        <w:t>柏毅 编. 全国小学科学优秀教学设计案例. 北京：电子工业出版社, 2021.</w:t>
      </w:r>
    </w:p>
    <w:p w14:paraId="19EBEBA2">
      <w:pPr>
        <w:pStyle w:val="12"/>
        <w:adjustRightInd w:val="0"/>
        <w:snapToGrid w:val="0"/>
        <w:spacing w:before="0" w:beforeAutospacing="0" w:after="0" w:afterAutospacing="0" w:line="360" w:lineRule="auto"/>
        <w:rPr>
          <w:rFonts w:hint="eastAsia"/>
        </w:rPr>
      </w:pPr>
      <w:r>
        <w:rPr>
          <w:rFonts w:hint="eastAsia" w:hAnsi="Symbol"/>
        </w:rPr>
        <w:t xml:space="preserve">2. </w:t>
      </w:r>
      <w:r>
        <w:t>中华人民共和国教育部. 义务教育科学课程标准2022版. 北京：北京师范大学出版社, 2022.</w:t>
      </w:r>
    </w:p>
    <w:p w14:paraId="0ABB5B47">
      <w:pPr>
        <w:pStyle w:val="12"/>
        <w:adjustRightInd w:val="0"/>
        <w:snapToGrid w:val="0"/>
        <w:spacing w:before="0" w:beforeAutospacing="0" w:after="0" w:afterAutospacing="0" w:line="360" w:lineRule="auto"/>
        <w:rPr>
          <w:rFonts w:hint="eastAsia"/>
        </w:rPr>
      </w:pPr>
      <w:r>
        <w:rPr>
          <w:rFonts w:hint="eastAsia" w:hAnsi="Symbol"/>
        </w:rPr>
        <w:t xml:space="preserve">3. </w:t>
      </w:r>
      <w:r>
        <w:t>胡卫平，刘守印 编. 义务教育科学课程标准（2022年版）解读. 北京：高等教育出版社, 2022.</w:t>
      </w:r>
    </w:p>
    <w:p w14:paraId="50A979D3">
      <w:pPr>
        <w:pStyle w:val="12"/>
        <w:adjustRightInd w:val="0"/>
        <w:snapToGrid w:val="0"/>
        <w:spacing w:before="0" w:beforeAutospacing="0" w:after="0" w:afterAutospacing="0" w:line="360" w:lineRule="auto"/>
        <w:rPr>
          <w:rFonts w:hint="eastAsia"/>
        </w:rPr>
      </w:pPr>
      <w:r>
        <w:rPr>
          <w:rFonts w:hint="eastAsia" w:hAnsi="Symbol"/>
        </w:rPr>
        <w:t xml:space="preserve">4. </w:t>
      </w:r>
      <w:r>
        <w:t>张平柯，范增. 小学科学教师成长指导与实践案例. 武汉：武汉大学出版社, 2018.</w:t>
      </w:r>
    </w:p>
    <w:p w14:paraId="10B374FD">
      <w:pPr>
        <w:rPr>
          <w:sz w:val="24"/>
        </w:rPr>
      </w:pPr>
    </w:p>
    <w:p w14:paraId="4F9BBF83">
      <w:pPr>
        <w:rPr>
          <w:sz w:val="24"/>
        </w:rPr>
      </w:pPr>
    </w:p>
    <w:p w14:paraId="250EE7DF">
      <w:pPr>
        <w:rPr>
          <w:sz w:val="24"/>
        </w:rPr>
      </w:pPr>
    </w:p>
    <w:p w14:paraId="47E22356">
      <w:pPr>
        <w:rPr>
          <w:sz w:val="24"/>
        </w:rPr>
      </w:pPr>
    </w:p>
    <w:p w14:paraId="49728577">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执 笔 人：</w:t>
      </w:r>
      <w:r>
        <w:rPr>
          <w:rFonts w:ascii="Times New Roman" w:hAnsi="Times New Roman" w:eastAsia="宋体" w:cs="Times New Roman"/>
          <w:sz w:val="24"/>
        </w:rPr>
        <w:t xml:space="preserve"> </w:t>
      </w:r>
      <w:r>
        <w:rPr>
          <w:rFonts w:hint="eastAsia" w:ascii="Times New Roman" w:hAnsi="Times New Roman" w:eastAsia="宋体" w:cs="Times New Roman"/>
          <w:sz w:val="24"/>
        </w:rPr>
        <w:t>金玉宏</w:t>
      </w:r>
    </w:p>
    <w:p w14:paraId="4976FD4C">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审 定 人：</w:t>
      </w:r>
      <w:r>
        <w:rPr>
          <w:rFonts w:ascii="Times New Roman" w:hAnsi="Times New Roman" w:eastAsia="宋体" w:cs="Times New Roman"/>
          <w:sz w:val="24"/>
        </w:rPr>
        <w:t xml:space="preserve"> </w:t>
      </w:r>
      <w:r>
        <w:rPr>
          <w:rFonts w:hint="eastAsia" w:ascii="Times New Roman" w:hAnsi="Times New Roman" w:eastAsia="宋体" w:cs="Times New Roman"/>
          <w:sz w:val="24"/>
        </w:rPr>
        <w:t>王健</w:t>
      </w:r>
    </w:p>
    <w:p w14:paraId="74E028FE">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5691970D">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2A5CB473">
      <w:pPr>
        <w:rPr>
          <w:rFonts w:hint="eastAsia" w:ascii="等线" w:hAnsi="等线" w:eastAsia="等线" w:cs="等线"/>
          <w:b/>
          <w:bCs/>
          <w:sz w:val="44"/>
          <w:szCs w:val="44"/>
        </w:rPr>
      </w:pPr>
      <w:r>
        <w:rPr>
          <w:rFonts w:hint="eastAsia" w:ascii="等线" w:hAnsi="等线" w:eastAsia="等线" w:cs="等线"/>
          <w:b/>
          <w:bCs/>
          <w:sz w:val="44"/>
          <w:szCs w:val="44"/>
        </w:rPr>
        <w:br w:type="page"/>
      </w:r>
    </w:p>
    <w:p w14:paraId="41837ABE">
      <w:pPr>
        <w:pStyle w:val="2"/>
      </w:pPr>
      <w:bookmarkStart w:id="270" w:name="_Toc30708"/>
      <w:bookmarkStart w:id="271" w:name="_Toc166165222"/>
      <w:bookmarkStart w:id="272" w:name="_Toc18245"/>
      <w:bookmarkStart w:id="273" w:name="_Toc1503"/>
      <w:r>
        <w:rPr>
          <w:rFonts w:hint="eastAsia"/>
        </w:rPr>
        <w:t>《</w:t>
      </w:r>
      <w:r>
        <w:t>数学建模课程</w:t>
      </w:r>
      <w:r>
        <w:rPr>
          <w:rFonts w:hint="eastAsia"/>
        </w:rPr>
        <w:t>》</w:t>
      </w:r>
      <w:r>
        <w:t>教学大纲</w:t>
      </w:r>
      <w:bookmarkEnd w:id="270"/>
      <w:bookmarkEnd w:id="271"/>
    </w:p>
    <w:p w14:paraId="6C089221">
      <w:pPr>
        <w:spacing w:line="312" w:lineRule="auto"/>
        <w:jc w:val="center"/>
        <w:rPr>
          <w:rFonts w:ascii="Times New Roman" w:hAnsi="Times New Roman" w:eastAsia="宋体" w:cs="Times New Roman"/>
          <w:b/>
          <w:bCs/>
          <w:sz w:val="30"/>
        </w:rPr>
      </w:pPr>
      <w:r>
        <w:rPr>
          <w:rFonts w:ascii="Times New Roman" w:hAnsi="Times New Roman" w:eastAsia="宋体" w:cs="Times New Roman"/>
          <w:b/>
          <w:bCs/>
          <w:sz w:val="30"/>
        </w:rPr>
        <w:t>（Mathematical Modeling）</w:t>
      </w:r>
    </w:p>
    <w:p w14:paraId="1FDAE44A">
      <w:pPr>
        <w:spacing w:line="360" w:lineRule="auto"/>
        <w:jc w:val="center"/>
        <w:rPr>
          <w:rFonts w:ascii="Times New Roman" w:hAnsi="Times New Roman" w:eastAsia="宋体" w:cs="Times New Roman"/>
          <w:bCs/>
          <w:sz w:val="30"/>
          <w:szCs w:val="30"/>
        </w:rPr>
      </w:pPr>
    </w:p>
    <w:p w14:paraId="2B74BEB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课程名称：数学建模课程</w:t>
      </w:r>
    </w:p>
    <w:p w14:paraId="38C5C93A">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sz w:val="24"/>
        </w:rPr>
        <w:t>0821019</w:t>
      </w:r>
    </w:p>
    <w:p w14:paraId="16C57FE1">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ascii="Times New Roman" w:hAnsi="Times New Roman" w:eastAsia="宋体" w:cs="Times New Roman"/>
          <w:kern w:val="0"/>
          <w:sz w:val="24"/>
        </w:rPr>
        <w:t>3</w:t>
      </w:r>
    </w:p>
    <w:p w14:paraId="31C78AFE">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ascii="Times New Roman" w:hAnsi="Times New Roman" w:eastAsia="宋体" w:cs="Times New Roman"/>
          <w:kern w:val="0"/>
          <w:sz w:val="24"/>
        </w:rPr>
        <w:t>48（其中：讲授学时32  ， 实验学时16  ，上机学时0）</w:t>
      </w:r>
    </w:p>
    <w:p w14:paraId="4F2C0B36">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先修课程：</w:t>
      </w:r>
      <w:r>
        <w:rPr>
          <w:rFonts w:ascii="Times New Roman" w:hAnsi="Times New Roman" w:eastAsia="宋体" w:cs="Times New Roman"/>
          <w:sz w:val="24"/>
        </w:rPr>
        <w:t>数学分析、高等代数、概率与统计</w:t>
      </w:r>
    </w:p>
    <w:p w14:paraId="67B707C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w:t>
      </w:r>
      <w:r>
        <w:rPr>
          <w:rFonts w:ascii="Times New Roman" w:hAnsi="Times New Roman" w:eastAsia="宋体" w:cs="Times New Roman"/>
          <w:kern w:val="0"/>
          <w:sz w:val="24"/>
        </w:rPr>
        <w:t>小学教育（理）专业</w:t>
      </w:r>
    </w:p>
    <w:p w14:paraId="73B181F4">
      <w:pPr>
        <w:spacing w:line="360" w:lineRule="auto"/>
        <w:jc w:val="left"/>
        <w:rPr>
          <w:rFonts w:ascii="Times New Roman" w:hAnsi="Times New Roman" w:eastAsia="宋体" w:cs="Times New Roman"/>
          <w:b/>
          <w:sz w:val="24"/>
        </w:rPr>
      </w:pPr>
    </w:p>
    <w:p w14:paraId="7BD35DBB">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76BFC4F1">
      <w:pPr>
        <w:autoSpaceDE w:val="0"/>
        <w:autoSpaceDN w:val="0"/>
        <w:adjustRightInd w:val="0"/>
        <w:spacing w:line="360" w:lineRule="auto"/>
        <w:ind w:firstLine="480" w:firstLineChars="200"/>
        <w:jc w:val="left"/>
        <w:rPr>
          <w:rFonts w:ascii="Times New Roman" w:hAnsi="Times New Roman" w:eastAsia="宋体" w:cs="Times New Roman"/>
          <w:szCs w:val="21"/>
        </w:rPr>
      </w:pPr>
      <w:r>
        <w:rPr>
          <w:rFonts w:ascii="Times New Roman" w:hAnsi="Times New Roman" w:eastAsia="宋体" w:cs="Times New Roman"/>
          <w:kern w:val="0"/>
          <w:sz w:val="24"/>
        </w:rPr>
        <w:t>本课程是小学教育（理）专业的一门</w:t>
      </w:r>
      <w:r>
        <w:rPr>
          <w:rFonts w:ascii="Times New Roman" w:hAnsi="Times New Roman" w:eastAsia="宋体" w:cs="Times New Roman"/>
          <w:color w:val="000000"/>
          <w:sz w:val="24"/>
        </w:rPr>
        <w:t>重要</w:t>
      </w:r>
      <w:r>
        <w:rPr>
          <w:rFonts w:hint="eastAsia" w:ascii="Times New Roman" w:hAnsi="Times New Roman" w:eastAsia="宋体" w:cs="Times New Roman"/>
          <w:color w:val="000000"/>
          <w:sz w:val="24"/>
        </w:rPr>
        <w:t>选修</w:t>
      </w:r>
      <w:r>
        <w:rPr>
          <w:rFonts w:ascii="Times New Roman" w:hAnsi="Times New Roman" w:eastAsia="宋体" w:cs="Times New Roman"/>
          <w:color w:val="000000"/>
          <w:sz w:val="24"/>
        </w:rPr>
        <w:t>课</w:t>
      </w:r>
      <w:r>
        <w:rPr>
          <w:rFonts w:ascii="Times New Roman" w:hAnsi="Times New Roman" w:eastAsia="宋体" w:cs="Times New Roman"/>
          <w:sz w:val="24"/>
        </w:rPr>
        <w:t>。</w:t>
      </w:r>
      <w:r>
        <w:rPr>
          <w:rFonts w:ascii="Times New Roman" w:hAnsi="Times New Roman" w:eastAsia="宋体" w:cs="Times New Roman"/>
          <w:color w:val="000000"/>
          <w:kern w:val="0"/>
          <w:sz w:val="24"/>
        </w:rPr>
        <w:t>通过本课程的学习，使学生系统地获得</w:t>
      </w:r>
      <w:r>
        <w:rPr>
          <w:rFonts w:ascii="Times New Roman" w:hAnsi="Times New Roman" w:eastAsia="宋体" w:cs="Times New Roman"/>
          <w:sz w:val="24"/>
        </w:rPr>
        <w:t>数学建模</w:t>
      </w:r>
      <w:r>
        <w:rPr>
          <w:rFonts w:ascii="Times New Roman" w:hAnsi="Times New Roman" w:eastAsia="宋体" w:cs="Times New Roman"/>
          <w:color w:val="000000"/>
          <w:kern w:val="0"/>
          <w:sz w:val="24"/>
        </w:rPr>
        <w:t>的基本知识、必要的基础理论和常用的运算方法；提高学生的运算能力、数学思维能力、逻辑推理能力；并能运用数学知识、理论、方法解决相关的实际应用问题；提高学生的数学素养，为学生学习后续相关课程及终身学习奠定必要的数学基础。</w:t>
      </w:r>
    </w:p>
    <w:p w14:paraId="35F3550D">
      <w:pPr>
        <w:spacing w:line="360" w:lineRule="auto"/>
        <w:jc w:val="left"/>
        <w:rPr>
          <w:rFonts w:hint="eastAsia" w:ascii="宋体" w:hAnsi="宋体" w:eastAsia="宋体" w:cs="Times New Roman"/>
          <w:b/>
          <w:color w:val="000000"/>
          <w:szCs w:val="21"/>
        </w:rPr>
      </w:pPr>
    </w:p>
    <w:p w14:paraId="5312A52B">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0D574D79">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943CF2E">
      <w:pPr>
        <w:spacing w:line="360" w:lineRule="auto"/>
        <w:ind w:firstLine="482"/>
        <w:jc w:val="left"/>
        <w:rPr>
          <w:rFonts w:ascii="Times New Roman" w:hAnsi="Times New Roman" w:eastAsia="宋体" w:cs="Times New Roman"/>
          <w:sz w:val="24"/>
        </w:rPr>
      </w:pPr>
      <w:r>
        <w:rPr>
          <w:rFonts w:ascii="Times New Roman" w:hAnsi="Times New Roman" w:eastAsia="宋体" w:cs="Times New Roman"/>
          <w:sz w:val="24"/>
        </w:rPr>
        <w:t>目标1.</w:t>
      </w:r>
      <w:r>
        <w:rPr>
          <w:rFonts w:ascii="Times New Roman" w:hAnsi="Times New Roman" w:eastAsia="宋体" w:cs="Times New Roman"/>
        </w:rPr>
        <w:t xml:space="preserve"> </w:t>
      </w:r>
      <w:r>
        <w:rPr>
          <w:rFonts w:ascii="Times New Roman" w:hAnsi="Times New Roman" w:eastAsia="宋体" w:cs="Times New Roman"/>
          <w:color w:val="000000"/>
          <w:sz w:val="24"/>
        </w:rPr>
        <w:t>能够获得课程基本概念与性质</w:t>
      </w:r>
      <w:r>
        <w:rPr>
          <w:rFonts w:ascii="Times New Roman" w:hAnsi="Times New Roman" w:eastAsia="宋体" w:cs="Times New Roman"/>
          <w:sz w:val="24"/>
        </w:rPr>
        <w:t>。</w:t>
      </w:r>
    </w:p>
    <w:p w14:paraId="697008B3">
      <w:pPr>
        <w:spacing w:line="360" w:lineRule="auto"/>
        <w:ind w:firstLine="482"/>
        <w:jc w:val="left"/>
        <w:rPr>
          <w:rFonts w:ascii="Times New Roman" w:hAnsi="Times New Roman" w:eastAsia="宋体" w:cs="Times New Roman"/>
          <w:sz w:val="24"/>
        </w:rPr>
      </w:pPr>
      <w:r>
        <w:rPr>
          <w:rFonts w:ascii="Times New Roman" w:hAnsi="Times New Roman" w:eastAsia="宋体" w:cs="Times New Roman"/>
          <w:sz w:val="24"/>
        </w:rPr>
        <w:t xml:space="preserve">目标2. </w:t>
      </w:r>
      <w:r>
        <w:rPr>
          <w:rFonts w:ascii="Times New Roman" w:hAnsi="Times New Roman" w:eastAsia="宋体" w:cs="Times New Roman"/>
          <w:color w:val="000000"/>
          <w:sz w:val="24"/>
        </w:rPr>
        <w:t>能够掌握本课程要求的计算方法</w:t>
      </w:r>
      <w:r>
        <w:rPr>
          <w:rFonts w:ascii="Times New Roman" w:hAnsi="Times New Roman" w:eastAsia="宋体" w:cs="Times New Roman"/>
          <w:sz w:val="24"/>
        </w:rPr>
        <w:t>。</w:t>
      </w:r>
    </w:p>
    <w:p w14:paraId="0A0AB7F0">
      <w:pPr>
        <w:spacing w:line="360" w:lineRule="auto"/>
        <w:ind w:firstLine="482"/>
        <w:jc w:val="left"/>
        <w:rPr>
          <w:rFonts w:ascii="Times New Roman" w:hAnsi="Times New Roman" w:eastAsia="宋体" w:cs="Times New Roman"/>
          <w:sz w:val="24"/>
        </w:rPr>
      </w:pPr>
      <w:r>
        <w:rPr>
          <w:rFonts w:ascii="Times New Roman" w:hAnsi="Times New Roman" w:eastAsia="宋体" w:cs="Times New Roman"/>
          <w:sz w:val="24"/>
        </w:rPr>
        <w:t xml:space="preserve">目标3. </w:t>
      </w:r>
      <w:r>
        <w:rPr>
          <w:rFonts w:ascii="Times New Roman" w:hAnsi="Times New Roman" w:eastAsia="宋体" w:cs="Times New Roman"/>
          <w:color w:val="000000"/>
          <w:sz w:val="24"/>
        </w:rPr>
        <w:t>能够具有一定的</w:t>
      </w:r>
      <w:r>
        <w:rPr>
          <w:rFonts w:ascii="Times New Roman" w:hAnsi="Times New Roman" w:eastAsia="宋体" w:cs="Times New Roman"/>
          <w:sz w:val="24"/>
        </w:rPr>
        <w:t>抽象概括、逻辑推理等能力。</w:t>
      </w:r>
    </w:p>
    <w:p w14:paraId="583F1DCB">
      <w:pPr>
        <w:spacing w:line="360" w:lineRule="auto"/>
        <w:ind w:firstLine="482"/>
        <w:jc w:val="left"/>
        <w:rPr>
          <w:rFonts w:ascii="Times New Roman" w:hAnsi="Times New Roman" w:eastAsia="宋体" w:cs="Times New Roman"/>
          <w:sz w:val="24"/>
        </w:rPr>
      </w:pPr>
      <w:r>
        <w:rPr>
          <w:rFonts w:ascii="Times New Roman" w:hAnsi="Times New Roman" w:eastAsia="宋体" w:cs="Times New Roman"/>
          <w:sz w:val="24"/>
        </w:rPr>
        <w:t xml:space="preserve">目标4. </w:t>
      </w:r>
      <w:r>
        <w:rPr>
          <w:rFonts w:ascii="Times New Roman" w:hAnsi="Times New Roman" w:eastAsia="宋体" w:cs="Times New Roman"/>
          <w:color w:val="000000"/>
          <w:sz w:val="24"/>
        </w:rPr>
        <w:t>能够</w:t>
      </w:r>
      <w:r>
        <w:rPr>
          <w:rFonts w:ascii="Times New Roman" w:hAnsi="Times New Roman" w:eastAsia="宋体" w:cs="Times New Roman"/>
          <w:sz w:val="24"/>
        </w:rPr>
        <w:t>具有一定的运算能力。</w:t>
      </w:r>
    </w:p>
    <w:p w14:paraId="0866EA03">
      <w:pPr>
        <w:spacing w:line="360" w:lineRule="auto"/>
        <w:ind w:firstLine="482"/>
        <w:jc w:val="left"/>
        <w:rPr>
          <w:rFonts w:hint="eastAsia" w:ascii="宋体" w:hAnsi="宋体" w:eastAsia="宋体" w:cs="Times New Roman"/>
          <w:b/>
          <w:color w:val="000000"/>
          <w:szCs w:val="21"/>
        </w:rPr>
      </w:pPr>
      <w:r>
        <w:rPr>
          <w:rFonts w:ascii="Times New Roman" w:hAnsi="Times New Roman" w:eastAsia="宋体" w:cs="Times New Roman"/>
          <w:sz w:val="24"/>
        </w:rPr>
        <w:t xml:space="preserve">目标5. </w:t>
      </w:r>
      <w:r>
        <w:rPr>
          <w:rFonts w:ascii="Times New Roman" w:hAnsi="Times New Roman" w:eastAsia="宋体" w:cs="Times New Roman"/>
          <w:color w:val="000000"/>
          <w:sz w:val="24"/>
        </w:rPr>
        <w:t>能够具有一定的</w:t>
      </w:r>
      <w:r>
        <w:rPr>
          <w:rFonts w:ascii="Times New Roman" w:hAnsi="Times New Roman" w:eastAsia="宋体" w:cs="Times New Roman"/>
          <w:sz w:val="24"/>
        </w:rPr>
        <w:t>数学思维与分析能力。</w:t>
      </w:r>
    </w:p>
    <w:p w14:paraId="6F2C32D4">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8"/>
        <w:gridCol w:w="3398"/>
        <w:gridCol w:w="1191"/>
      </w:tblGrid>
      <w:tr w14:paraId="14AD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0DA6E2A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3398" w:type="dxa"/>
            <w:vAlign w:val="center"/>
          </w:tcPr>
          <w:p w14:paraId="56511ED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1181A1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879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5C9C1DA1">
            <w:pPr>
              <w:autoSpaceDE w:val="0"/>
              <w:autoSpaceDN w:val="0"/>
              <w:rPr>
                <w:rFonts w:ascii="Times New Roman" w:hAnsi="Times New Roman" w:eastAsia="宋体" w:cs="Times New Roman"/>
                <w:szCs w:val="21"/>
              </w:rPr>
            </w:pPr>
            <w:r>
              <w:rPr>
                <w:rFonts w:hint="eastAsia" w:ascii="宋体" w:hAnsi="宋体" w:cs="宋体"/>
                <w:b/>
                <w:bCs/>
                <w:kern w:val="0"/>
                <w:szCs w:val="21"/>
              </w:rPr>
              <w:t>毕业要求3：学科</w:t>
            </w:r>
            <w:r>
              <w:rPr>
                <w:rFonts w:hint="eastAsia" w:ascii="宋体" w:hAnsi="宋体" w:cs="宋体"/>
                <w:b/>
                <w:bCs/>
                <w:szCs w:val="21"/>
              </w:rPr>
              <w:t>素养</w:t>
            </w:r>
          </w:p>
        </w:tc>
        <w:tc>
          <w:tcPr>
            <w:tcW w:w="3398" w:type="dxa"/>
            <w:vAlign w:val="center"/>
          </w:tcPr>
          <w:p w14:paraId="6C29866F">
            <w:pPr>
              <w:spacing w:line="276" w:lineRule="auto"/>
              <w:jc w:val="left"/>
              <w:rPr>
                <w:rFonts w:hint="eastAsia" w:ascii="宋体" w:hAnsi="宋体" w:cs="宋体"/>
                <w:szCs w:val="21"/>
              </w:rPr>
            </w:pPr>
            <w:r>
              <w:rPr>
                <w:rFonts w:hint="eastAsia" w:ascii="宋体" w:hAnsi="宋体" w:cs="宋体"/>
                <w:kern w:val="0"/>
                <w:szCs w:val="21"/>
              </w:rPr>
              <w:t>指标点</w:t>
            </w:r>
            <w:r>
              <w:rPr>
                <w:rFonts w:hint="eastAsia" w:ascii="宋体" w:hAnsi="宋体" w:cs="宋体"/>
                <w:szCs w:val="21"/>
              </w:rPr>
              <w:t>3-2：【学科知识扎实】具有学科专业能力，掌握小学数学学科的基本知识、原理和技能。熟悉小学科学的知识体系，掌握小学科学的基本知识、原理和技能。</w:t>
            </w:r>
          </w:p>
        </w:tc>
        <w:tc>
          <w:tcPr>
            <w:tcW w:w="1191" w:type="dxa"/>
            <w:vAlign w:val="center"/>
          </w:tcPr>
          <w:p w14:paraId="101749D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课程目标1、2、3</w:t>
            </w:r>
          </w:p>
        </w:tc>
      </w:tr>
    </w:tbl>
    <w:p w14:paraId="0FDA6158">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47D537F9">
      <w:pPr>
        <w:spacing w:line="360" w:lineRule="auto"/>
        <w:ind w:firstLine="480" w:firstLineChars="200"/>
        <w:jc w:val="left"/>
        <w:rPr>
          <w:rFonts w:hint="eastAsia" w:ascii="宋体" w:hAnsi="宋体" w:eastAsia="宋体" w:cs="Times New Roman"/>
          <w:b/>
          <w:color w:val="000000"/>
          <w:sz w:val="28"/>
          <w:szCs w:val="28"/>
        </w:rPr>
      </w:pPr>
      <w:r>
        <w:rPr>
          <w:rFonts w:ascii="宋体" w:hAnsi="宋体" w:eastAsia="宋体" w:cs="宋体"/>
          <w:sz w:val="24"/>
        </w:rPr>
        <w:t>在学习与生活中，我们应高度重视理论联系实际。理论犹如灯塔，为实践指明方向；实践则是检验理论的试金石。只有将二者紧密结合，才能真正掌握知识、解决问题。同时，必须尊重客观规律。世间万物皆有其运行法则，违背规律必将遭受挫折。我们要以科学的态度认识规律、顺应规律，让行动更具成效。树立社会主义核心价值观至关重要，它是我们的精神坐标，引领着价值取向与行为准则。</w:t>
      </w:r>
      <w:r>
        <w:rPr>
          <w:rFonts w:ascii="宋体" w:hAnsi="宋体" w:eastAsia="宋体" w:cs="宋体"/>
          <w:sz w:val="24"/>
        </w:rPr>
        <w:br w:type="textWrapping"/>
      </w:r>
      <w:r>
        <w:rPr>
          <w:rFonts w:hint="eastAsia" w:ascii="宋体" w:hAnsi="宋体" w:eastAsia="宋体" w:cs="宋体"/>
          <w:sz w:val="24"/>
        </w:rPr>
        <w:t xml:space="preserve">  </w:t>
      </w:r>
      <w:r>
        <w:rPr>
          <w:rFonts w:ascii="宋体" w:hAnsi="宋体" w:eastAsia="宋体" w:cs="宋体"/>
          <w:sz w:val="24"/>
        </w:rPr>
        <w:t>对于个人发展而言，增强专业素养是立足之本。扎实的专业知识与技能，能助力我们在各自领域发光发热。我们要深刻领悟理论对实践的指导意义，用先进理论武装头脑，指导实践活动，在实践中深化对理论的理解，实现理论与实践相互促进、共同提升，为个人成长与社会进步贡献力量 。  </w:t>
      </w:r>
    </w:p>
    <w:p w14:paraId="59D11E7A">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691"/>
        <w:gridCol w:w="1111"/>
        <w:gridCol w:w="3190"/>
        <w:gridCol w:w="1517"/>
        <w:gridCol w:w="438"/>
      </w:tblGrid>
      <w:tr w14:paraId="7784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Align w:val="center"/>
          </w:tcPr>
          <w:p w14:paraId="468B120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0404D7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691" w:type="dxa"/>
            <w:vAlign w:val="center"/>
          </w:tcPr>
          <w:p w14:paraId="1DE9D3A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11" w:type="dxa"/>
            <w:vAlign w:val="center"/>
          </w:tcPr>
          <w:p w14:paraId="2E68C72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4AD83E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90" w:type="dxa"/>
            <w:vAlign w:val="center"/>
          </w:tcPr>
          <w:p w14:paraId="0FA91E9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17" w:type="dxa"/>
            <w:vAlign w:val="center"/>
          </w:tcPr>
          <w:p w14:paraId="660838A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6471A99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7B1E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43B21773">
            <w:pPr>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1.</w:t>
            </w:r>
            <w:r>
              <w:rPr>
                <w:rFonts w:ascii="Times New Roman" w:hAnsi="Times New Roman" w:eastAsia="宋体" w:cs="Times New Roman"/>
                <w:bCs/>
                <w:sz w:val="24"/>
              </w:rPr>
              <w:t>数学建模概论</w:t>
            </w:r>
          </w:p>
          <w:p w14:paraId="223A739E">
            <w:pPr>
              <w:spacing w:line="264" w:lineRule="auto"/>
              <w:jc w:val="center"/>
              <w:rPr>
                <w:rFonts w:hint="eastAsia" w:ascii="宋体" w:hAnsi="宋体" w:eastAsia="宋体" w:cs="Times New Roman"/>
                <w:color w:val="000000"/>
                <w:szCs w:val="21"/>
              </w:rPr>
            </w:pPr>
          </w:p>
        </w:tc>
        <w:tc>
          <w:tcPr>
            <w:tcW w:w="1691" w:type="dxa"/>
            <w:vAlign w:val="center"/>
          </w:tcPr>
          <w:p w14:paraId="377229E6">
            <w:pPr>
              <w:spacing w:line="360" w:lineRule="auto"/>
              <w:rPr>
                <w:rFonts w:ascii="Times New Roman" w:hAnsi="Times New Roman" w:eastAsia="宋体" w:cs="Times New Roman"/>
                <w:sz w:val="24"/>
                <w:szCs w:val="21"/>
              </w:rPr>
            </w:pPr>
            <w:r>
              <w:rPr>
                <w:rFonts w:ascii="Times New Roman" w:hAnsi="Times New Roman" w:eastAsia="宋体" w:cs="Times New Roman"/>
                <w:sz w:val="24"/>
              </w:rPr>
              <w:t>（1）能够了解数学建模内容和方法</w:t>
            </w:r>
          </w:p>
          <w:p w14:paraId="31BE2A8E">
            <w:p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（2）</w:t>
            </w:r>
            <w:r>
              <w:rPr>
                <w:rFonts w:ascii="Times New Roman" w:hAnsi="Times New Roman" w:eastAsia="宋体" w:cs="Times New Roman"/>
                <w:sz w:val="24"/>
              </w:rPr>
              <w:t>能够理解数学建模基本步骤</w:t>
            </w:r>
          </w:p>
          <w:p w14:paraId="677366CB">
            <w:pPr>
              <w:spacing w:line="360" w:lineRule="auto"/>
              <w:rPr>
                <w:rFonts w:ascii="Times New Roman" w:hAnsi="Times New Roman" w:eastAsia="宋体" w:cs="Times New Roman"/>
                <w:sz w:val="24"/>
              </w:rPr>
            </w:pPr>
            <w:r>
              <w:rPr>
                <w:rFonts w:ascii="Times New Roman" w:hAnsi="Times New Roman" w:eastAsia="宋体" w:cs="Times New Roman"/>
                <w:sz w:val="24"/>
              </w:rPr>
              <w:t>（3）能够了解数学建模分类</w:t>
            </w:r>
          </w:p>
          <w:p w14:paraId="513B7873">
            <w:pPr>
              <w:spacing w:line="360" w:lineRule="auto"/>
              <w:rPr>
                <w:rFonts w:ascii="Times New Roman" w:hAnsi="Times New Roman" w:eastAsia="宋体" w:cs="Times New Roman"/>
                <w:sz w:val="24"/>
                <w:szCs w:val="21"/>
              </w:rPr>
            </w:pPr>
            <w:r>
              <w:rPr>
                <w:rFonts w:ascii="Times New Roman" w:hAnsi="Times New Roman" w:eastAsia="宋体" w:cs="Times New Roman"/>
                <w:sz w:val="24"/>
              </w:rPr>
              <w:t>（4）能够理解数学建模基本算法</w:t>
            </w:r>
          </w:p>
          <w:p w14:paraId="7188B388">
            <w:pPr>
              <w:spacing w:line="269" w:lineRule="auto"/>
              <w:jc w:val="left"/>
              <w:rPr>
                <w:rFonts w:hint="eastAsia" w:ascii="宋体" w:hAnsi="宋体" w:eastAsia="宋体" w:cs="Times New Roman"/>
                <w:color w:val="000000"/>
                <w:szCs w:val="21"/>
              </w:rPr>
            </w:pPr>
          </w:p>
        </w:tc>
        <w:tc>
          <w:tcPr>
            <w:tcW w:w="1111" w:type="dxa"/>
            <w:vAlign w:val="center"/>
          </w:tcPr>
          <w:p w14:paraId="245C6DDB">
            <w:pPr>
              <w:spacing w:line="269" w:lineRule="auto"/>
              <w:jc w:val="center"/>
              <w:rPr>
                <w:rFonts w:hint="eastAsia" w:ascii="宋体" w:hAnsi="宋体" w:eastAsia="宋体" w:cs="Times New Roman"/>
                <w:color w:val="000000"/>
                <w:szCs w:val="21"/>
              </w:rPr>
            </w:pPr>
            <w:r>
              <w:rPr>
                <w:rFonts w:ascii="Times New Roman" w:hAnsi="Times New Roman" w:eastAsia="宋体" w:cs="Times New Roman"/>
                <w:szCs w:val="21"/>
              </w:rPr>
              <w:t>课程目标1</w:t>
            </w:r>
            <w:r>
              <w:rPr>
                <w:rFonts w:hint="eastAsia" w:ascii="Times New Roman" w:hAnsi="Times New Roman" w:eastAsia="宋体" w:cs="Times New Roman"/>
                <w:szCs w:val="21"/>
              </w:rPr>
              <w:t>、2、</w:t>
            </w:r>
            <w:r>
              <w:rPr>
                <w:rFonts w:ascii="Times New Roman" w:hAnsi="Times New Roman" w:eastAsia="宋体" w:cs="Times New Roman"/>
                <w:szCs w:val="21"/>
              </w:rPr>
              <w:t>3</w:t>
            </w:r>
          </w:p>
        </w:tc>
        <w:tc>
          <w:tcPr>
            <w:tcW w:w="3190" w:type="dxa"/>
            <w:vAlign w:val="center"/>
          </w:tcPr>
          <w:p w14:paraId="08EF315F">
            <w:pPr>
              <w:spacing w:line="360" w:lineRule="auto"/>
              <w:rPr>
                <w:rFonts w:ascii="Times New Roman" w:hAnsi="Times New Roman" w:eastAsia="宋体" w:cs="Times New Roman"/>
                <w:sz w:val="24"/>
              </w:rPr>
            </w:pPr>
            <w:r>
              <w:rPr>
                <w:rFonts w:ascii="Times New Roman" w:hAnsi="Times New Roman" w:eastAsia="宋体" w:cs="Times New Roman"/>
                <w:sz w:val="24"/>
              </w:rPr>
              <w:t>（1）重点与</w:t>
            </w:r>
            <w:r>
              <w:rPr>
                <w:rFonts w:ascii="Times New Roman" w:hAnsi="Times New Roman" w:eastAsia="宋体" w:cs="Times New Roman"/>
                <w:color w:val="000000"/>
                <w:sz w:val="24"/>
              </w:rPr>
              <w:t>难点：</w:t>
            </w:r>
            <w:r>
              <w:rPr>
                <w:rFonts w:ascii="Times New Roman" w:hAnsi="Times New Roman" w:eastAsia="宋体" w:cs="Times New Roman"/>
                <w:sz w:val="24"/>
              </w:rPr>
              <w:t>数学建模步骤，算法</w:t>
            </w:r>
            <w:r>
              <w:rPr>
                <w:rFonts w:ascii="Times New Roman" w:hAnsi="Times New Roman" w:eastAsia="宋体" w:cs="Times New Roman"/>
                <w:sz w:val="24"/>
                <w:szCs w:val="21"/>
              </w:rPr>
              <w:t>。</w:t>
            </w:r>
          </w:p>
          <w:p w14:paraId="5B45AF93">
            <w:pPr>
              <w:spacing w:line="360" w:lineRule="auto"/>
              <w:rPr>
                <w:rFonts w:ascii="Times New Roman" w:hAnsi="Times New Roman" w:eastAsia="宋体" w:cs="Times New Roman"/>
                <w:color w:val="000000"/>
                <w:sz w:val="24"/>
              </w:rPr>
            </w:pPr>
            <w:r>
              <w:rPr>
                <w:rFonts w:ascii="Times New Roman" w:hAnsi="Times New Roman" w:eastAsia="宋体" w:cs="Times New Roman"/>
                <w:sz w:val="24"/>
              </w:rPr>
              <w:t>（2）教</w:t>
            </w:r>
            <w:r>
              <w:rPr>
                <w:rFonts w:ascii="Times New Roman" w:hAnsi="Times New Roman" w:eastAsia="宋体" w:cs="Times New Roman"/>
                <w:color w:val="000000"/>
                <w:sz w:val="24"/>
              </w:rPr>
              <w:t>学方法：启发式互动讲授结合多媒体辅助；适当课堂练习；及时了解学生的作业状况并对共同的问题作及时解答；安排好课后答疑。</w:t>
            </w:r>
          </w:p>
          <w:p w14:paraId="1B6D7EBC">
            <w:pPr>
              <w:spacing w:line="269" w:lineRule="auto"/>
              <w:jc w:val="left"/>
              <w:rPr>
                <w:rFonts w:hint="eastAsia" w:ascii="宋体" w:hAnsi="宋体" w:eastAsia="宋体" w:cs="Times New Roman"/>
                <w:color w:val="000000"/>
                <w:szCs w:val="21"/>
              </w:rPr>
            </w:pPr>
          </w:p>
        </w:tc>
        <w:tc>
          <w:tcPr>
            <w:tcW w:w="1517" w:type="dxa"/>
            <w:vAlign w:val="center"/>
          </w:tcPr>
          <w:p w14:paraId="52A3AE1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6C5A803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6F6CD3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252AEEF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4653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384D7EC">
            <w:pPr>
              <w:spacing w:line="264" w:lineRule="auto"/>
              <w:jc w:val="center"/>
              <w:rPr>
                <w:rFonts w:hint="eastAsia" w:ascii="宋体" w:hAnsi="宋体" w:eastAsia="宋体" w:cs="Times New Roman"/>
                <w:color w:val="000000"/>
                <w:szCs w:val="21"/>
              </w:rPr>
            </w:pPr>
          </w:p>
        </w:tc>
        <w:tc>
          <w:tcPr>
            <w:tcW w:w="7947" w:type="dxa"/>
            <w:gridSpan w:val="5"/>
            <w:vAlign w:val="center"/>
          </w:tcPr>
          <w:p w14:paraId="7A5C69CC">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455B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15392366">
            <w:pPr>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2.</w:t>
            </w:r>
            <w:r>
              <w:rPr>
                <w:rFonts w:ascii="Times New Roman" w:hAnsi="Times New Roman" w:eastAsia="宋体" w:cs="Times New Roman"/>
                <w:bCs/>
                <w:sz w:val="24"/>
              </w:rPr>
              <w:t>初等模型</w:t>
            </w:r>
          </w:p>
          <w:p w14:paraId="4C0FCF54">
            <w:pPr>
              <w:spacing w:line="264" w:lineRule="auto"/>
              <w:jc w:val="center"/>
              <w:rPr>
                <w:rFonts w:hint="eastAsia" w:ascii="宋体" w:hAnsi="宋体" w:eastAsia="宋体" w:cs="Times New Roman"/>
                <w:color w:val="000000"/>
                <w:szCs w:val="21"/>
              </w:rPr>
            </w:pPr>
          </w:p>
        </w:tc>
        <w:tc>
          <w:tcPr>
            <w:tcW w:w="1691" w:type="dxa"/>
            <w:vAlign w:val="center"/>
          </w:tcPr>
          <w:p w14:paraId="1591AA1A">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（1）</w:t>
            </w:r>
            <w:r>
              <w:rPr>
                <w:rFonts w:ascii="Times New Roman" w:hAnsi="Times New Roman" w:eastAsia="宋体" w:cs="Times New Roman"/>
                <w:sz w:val="24"/>
              </w:rPr>
              <w:t>能够理解初等模型的建模</w:t>
            </w:r>
          </w:p>
          <w:p w14:paraId="10376018">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（2）</w:t>
            </w:r>
            <w:r>
              <w:rPr>
                <w:rFonts w:ascii="Times New Roman" w:hAnsi="Times New Roman" w:eastAsia="宋体" w:cs="Times New Roman"/>
                <w:sz w:val="24"/>
              </w:rPr>
              <w:t>能够理解</w:t>
            </w:r>
            <w:r>
              <w:rPr>
                <w:rFonts w:ascii="Times New Roman" w:hAnsi="Times New Roman" w:eastAsia="宋体" w:cs="Times New Roman"/>
                <w:kern w:val="0"/>
                <w:sz w:val="24"/>
              </w:rPr>
              <w:t>初等模型的构造和求解方法</w:t>
            </w:r>
          </w:p>
          <w:p w14:paraId="376E387C">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ascii="Times New Roman" w:hAnsi="Times New Roman" w:eastAsia="宋体" w:cs="Times New Roman"/>
                <w:sz w:val="24"/>
              </w:rPr>
              <w:t>能够理解常见几种初等模型</w:t>
            </w:r>
          </w:p>
          <w:p w14:paraId="1A79B6A1">
            <w:pPr>
              <w:spacing w:line="269" w:lineRule="auto"/>
              <w:jc w:val="left"/>
              <w:rPr>
                <w:rFonts w:hint="eastAsia" w:ascii="宋体" w:hAnsi="宋体" w:eastAsia="宋体" w:cs="Times New Roman"/>
                <w:color w:val="000000"/>
                <w:szCs w:val="21"/>
              </w:rPr>
            </w:pPr>
          </w:p>
        </w:tc>
        <w:tc>
          <w:tcPr>
            <w:tcW w:w="1111" w:type="dxa"/>
            <w:vAlign w:val="center"/>
          </w:tcPr>
          <w:p w14:paraId="4A60003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190" w:type="dxa"/>
            <w:vAlign w:val="center"/>
          </w:tcPr>
          <w:p w14:paraId="5FF489D4">
            <w:pPr>
              <w:spacing w:line="360" w:lineRule="auto"/>
              <w:rPr>
                <w:rFonts w:ascii="Times New Roman" w:hAnsi="Times New Roman" w:eastAsia="宋体" w:cs="Times New Roman"/>
                <w:sz w:val="24"/>
              </w:rPr>
            </w:pPr>
            <w:r>
              <w:rPr>
                <w:rFonts w:ascii="Times New Roman" w:hAnsi="Times New Roman" w:eastAsia="宋体" w:cs="Times New Roman"/>
                <w:sz w:val="24"/>
              </w:rPr>
              <w:t>（1）重点与</w:t>
            </w:r>
            <w:r>
              <w:rPr>
                <w:rFonts w:ascii="Times New Roman" w:hAnsi="Times New Roman" w:eastAsia="宋体" w:cs="Times New Roman"/>
                <w:color w:val="000000"/>
                <w:sz w:val="24"/>
              </w:rPr>
              <w:t>难点：</w:t>
            </w:r>
            <w:r>
              <w:rPr>
                <w:rFonts w:ascii="Times New Roman" w:hAnsi="Times New Roman" w:eastAsia="宋体" w:cs="Times New Roman"/>
                <w:sz w:val="24"/>
              </w:rPr>
              <w:t>初等模型建模，</w:t>
            </w:r>
            <w:r>
              <w:rPr>
                <w:rFonts w:ascii="Times New Roman" w:hAnsi="Times New Roman" w:eastAsia="宋体" w:cs="Times New Roman"/>
                <w:kern w:val="0"/>
                <w:sz w:val="24"/>
              </w:rPr>
              <w:t>初等模型求解方法</w:t>
            </w:r>
            <w:r>
              <w:rPr>
                <w:rFonts w:ascii="Times New Roman" w:hAnsi="Times New Roman" w:eastAsia="宋体" w:cs="Times New Roman"/>
                <w:sz w:val="24"/>
                <w:szCs w:val="21"/>
              </w:rPr>
              <w:t>。</w:t>
            </w:r>
          </w:p>
          <w:p w14:paraId="43587A09">
            <w:pPr>
              <w:spacing w:line="360" w:lineRule="auto"/>
              <w:rPr>
                <w:rFonts w:ascii="Times New Roman" w:hAnsi="Times New Roman" w:eastAsia="宋体" w:cs="Times New Roman"/>
                <w:color w:val="000000"/>
                <w:sz w:val="24"/>
              </w:rPr>
            </w:pPr>
            <w:r>
              <w:rPr>
                <w:rFonts w:ascii="Times New Roman" w:hAnsi="Times New Roman" w:eastAsia="宋体" w:cs="Times New Roman"/>
                <w:sz w:val="24"/>
              </w:rPr>
              <w:t>（2）教</w:t>
            </w:r>
            <w:r>
              <w:rPr>
                <w:rFonts w:ascii="Times New Roman" w:hAnsi="Times New Roman" w:eastAsia="宋体" w:cs="Times New Roman"/>
                <w:color w:val="000000"/>
                <w:sz w:val="24"/>
              </w:rPr>
              <w:t>学方法：启发式互动讲授结合多媒体辅助；适当课堂练习；及时了解学生的作业状况并对共同的问题作及时解答；安排好课后答疑。</w:t>
            </w:r>
          </w:p>
          <w:p w14:paraId="344E73F3">
            <w:pPr>
              <w:spacing w:line="269" w:lineRule="auto"/>
              <w:jc w:val="left"/>
              <w:rPr>
                <w:rFonts w:hint="eastAsia" w:ascii="宋体" w:hAnsi="宋体" w:eastAsia="宋体" w:cs="Times New Roman"/>
                <w:color w:val="000000"/>
                <w:szCs w:val="21"/>
              </w:rPr>
            </w:pPr>
          </w:p>
        </w:tc>
        <w:tc>
          <w:tcPr>
            <w:tcW w:w="1517" w:type="dxa"/>
            <w:vAlign w:val="center"/>
          </w:tcPr>
          <w:p w14:paraId="40C3127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6A802E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683F6B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4F9C970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p>
        </w:tc>
      </w:tr>
      <w:tr w14:paraId="735E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71A0E49B">
            <w:pPr>
              <w:spacing w:line="264" w:lineRule="auto"/>
              <w:jc w:val="center"/>
              <w:rPr>
                <w:rFonts w:hint="eastAsia" w:ascii="宋体" w:hAnsi="宋体" w:eastAsia="宋体" w:cs="Times New Roman"/>
                <w:color w:val="000000"/>
                <w:szCs w:val="21"/>
              </w:rPr>
            </w:pPr>
          </w:p>
        </w:tc>
        <w:tc>
          <w:tcPr>
            <w:tcW w:w="7947" w:type="dxa"/>
            <w:gridSpan w:val="5"/>
            <w:vAlign w:val="center"/>
          </w:tcPr>
          <w:p w14:paraId="446F0D50">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38AF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0D16EA5A">
            <w:pPr>
              <w:spacing w:line="360" w:lineRule="auto"/>
              <w:rPr>
                <w:rFonts w:ascii="Times New Roman" w:hAnsi="Times New Roman" w:eastAsia="宋体" w:cs="Times New Roman"/>
                <w:b/>
                <w:sz w:val="24"/>
              </w:rPr>
            </w:pPr>
            <w:r>
              <w:rPr>
                <w:rFonts w:hint="eastAsia" w:ascii="Times New Roman" w:hAnsi="Times New Roman" w:eastAsia="宋体" w:cs="Times New Roman"/>
                <w:bCs/>
                <w:color w:val="000000"/>
                <w:sz w:val="24"/>
              </w:rPr>
              <w:t>3.</w:t>
            </w:r>
            <w:r>
              <w:rPr>
                <w:rFonts w:ascii="Times New Roman" w:hAnsi="Times New Roman" w:eastAsia="宋体" w:cs="Times New Roman"/>
                <w:bCs/>
                <w:color w:val="000000"/>
                <w:sz w:val="24"/>
              </w:rPr>
              <w:t>微分方程模型</w:t>
            </w:r>
          </w:p>
          <w:p w14:paraId="432942F5">
            <w:pPr>
              <w:spacing w:line="264" w:lineRule="auto"/>
              <w:jc w:val="center"/>
              <w:rPr>
                <w:rFonts w:hint="eastAsia" w:ascii="宋体" w:hAnsi="宋体" w:eastAsia="宋体" w:cs="Times New Roman"/>
                <w:color w:val="000000"/>
                <w:szCs w:val="21"/>
              </w:rPr>
            </w:pPr>
          </w:p>
        </w:tc>
        <w:tc>
          <w:tcPr>
            <w:tcW w:w="1691" w:type="dxa"/>
            <w:vAlign w:val="center"/>
          </w:tcPr>
          <w:p w14:paraId="20FA76B0">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（1）</w:t>
            </w:r>
            <w:r>
              <w:rPr>
                <w:rFonts w:ascii="Times New Roman" w:hAnsi="Times New Roman" w:eastAsia="宋体" w:cs="Times New Roman"/>
                <w:sz w:val="24"/>
              </w:rPr>
              <w:t>能够了解</w:t>
            </w:r>
            <w:r>
              <w:rPr>
                <w:rFonts w:ascii="Times New Roman" w:hAnsi="Times New Roman" w:eastAsia="宋体" w:cs="Times New Roman"/>
                <w:color w:val="000000"/>
                <w:sz w:val="24"/>
              </w:rPr>
              <w:t>微分方程模型</w:t>
            </w:r>
            <w:r>
              <w:rPr>
                <w:rFonts w:ascii="Times New Roman" w:hAnsi="Times New Roman" w:eastAsia="宋体" w:cs="Times New Roman"/>
                <w:sz w:val="24"/>
              </w:rPr>
              <w:t>建模法</w:t>
            </w:r>
          </w:p>
          <w:p w14:paraId="43A814EE">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（2）</w:t>
            </w:r>
            <w:r>
              <w:rPr>
                <w:rFonts w:ascii="Times New Roman" w:hAnsi="Times New Roman" w:eastAsia="宋体" w:cs="Times New Roman"/>
                <w:sz w:val="24"/>
              </w:rPr>
              <w:t>能够了解常见几种微分方程模型</w:t>
            </w:r>
          </w:p>
          <w:p w14:paraId="2237C3E2">
            <w:pPr>
              <w:spacing w:line="269" w:lineRule="auto"/>
              <w:jc w:val="left"/>
              <w:rPr>
                <w:rFonts w:hint="eastAsia" w:ascii="宋体" w:hAnsi="宋体" w:eastAsia="宋体" w:cs="Times New Roman"/>
                <w:color w:val="000000"/>
                <w:szCs w:val="21"/>
              </w:rPr>
            </w:pPr>
          </w:p>
        </w:tc>
        <w:tc>
          <w:tcPr>
            <w:tcW w:w="1111" w:type="dxa"/>
            <w:vAlign w:val="center"/>
          </w:tcPr>
          <w:p w14:paraId="50626B4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190" w:type="dxa"/>
            <w:vAlign w:val="center"/>
          </w:tcPr>
          <w:p w14:paraId="6ABA42C8">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（1）重点与难点：</w:t>
            </w:r>
            <w:r>
              <w:rPr>
                <w:rFonts w:ascii="Times New Roman" w:hAnsi="Times New Roman" w:eastAsia="宋体" w:cs="Times New Roman"/>
                <w:sz w:val="24"/>
              </w:rPr>
              <w:t>微分方程建模与</w:t>
            </w:r>
            <w:r>
              <w:rPr>
                <w:rFonts w:ascii="Times New Roman" w:hAnsi="Times New Roman" w:eastAsia="宋体" w:cs="Times New Roman"/>
                <w:kern w:val="0"/>
                <w:sz w:val="24"/>
              </w:rPr>
              <w:t>模型求解方法</w:t>
            </w:r>
            <w:r>
              <w:rPr>
                <w:rFonts w:ascii="Times New Roman" w:hAnsi="Times New Roman" w:eastAsia="宋体" w:cs="Times New Roman"/>
                <w:color w:val="000000"/>
                <w:sz w:val="24"/>
              </w:rPr>
              <w:t>。</w:t>
            </w:r>
          </w:p>
          <w:p w14:paraId="06A0D125">
            <w:pPr>
              <w:spacing w:line="360" w:lineRule="auto"/>
              <w:rPr>
                <w:rFonts w:ascii="Times New Roman" w:hAnsi="Times New Roman" w:eastAsia="宋体" w:cs="Times New Roman"/>
                <w:color w:val="000000"/>
                <w:sz w:val="24"/>
              </w:rPr>
            </w:pPr>
            <w:r>
              <w:rPr>
                <w:rFonts w:ascii="Times New Roman" w:hAnsi="Times New Roman" w:eastAsia="宋体" w:cs="Times New Roman"/>
                <w:sz w:val="24"/>
              </w:rPr>
              <w:t>（2）教</w:t>
            </w:r>
            <w:r>
              <w:rPr>
                <w:rFonts w:ascii="Times New Roman" w:hAnsi="Times New Roman" w:eastAsia="宋体" w:cs="Times New Roman"/>
                <w:color w:val="000000"/>
                <w:sz w:val="24"/>
              </w:rPr>
              <w:t>学方法：启发式互动讲授结合多媒体辅助；适当课堂练习；及时了解学生的作业状况并对共同的问题作及时解答；安排好课后答疑。</w:t>
            </w:r>
          </w:p>
          <w:p w14:paraId="62842DCA">
            <w:pPr>
              <w:spacing w:line="269" w:lineRule="auto"/>
              <w:jc w:val="left"/>
              <w:rPr>
                <w:rFonts w:hint="eastAsia" w:ascii="宋体" w:hAnsi="宋体" w:eastAsia="宋体" w:cs="Times New Roman"/>
                <w:color w:val="000000"/>
                <w:szCs w:val="21"/>
              </w:rPr>
            </w:pPr>
          </w:p>
        </w:tc>
        <w:tc>
          <w:tcPr>
            <w:tcW w:w="1517" w:type="dxa"/>
            <w:vAlign w:val="center"/>
          </w:tcPr>
          <w:p w14:paraId="03DD84D0">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43CDEA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E368443">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C7CBEC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02FE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4888060E">
            <w:pPr>
              <w:spacing w:line="264" w:lineRule="auto"/>
              <w:jc w:val="center"/>
              <w:rPr>
                <w:rFonts w:hint="eastAsia" w:ascii="宋体" w:hAnsi="宋体" w:eastAsia="宋体" w:cs="Times New Roman"/>
                <w:color w:val="000000"/>
                <w:szCs w:val="21"/>
              </w:rPr>
            </w:pPr>
          </w:p>
        </w:tc>
        <w:tc>
          <w:tcPr>
            <w:tcW w:w="7947" w:type="dxa"/>
            <w:gridSpan w:val="5"/>
            <w:vAlign w:val="center"/>
          </w:tcPr>
          <w:p w14:paraId="255D2FC3">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1905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698B464E">
            <w:pPr>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4.</w:t>
            </w:r>
            <w:r>
              <w:rPr>
                <w:rFonts w:ascii="Times New Roman" w:hAnsi="Times New Roman" w:eastAsia="宋体" w:cs="Times New Roman"/>
                <w:bCs/>
                <w:sz w:val="24"/>
              </w:rPr>
              <w:t>随机模型</w:t>
            </w:r>
          </w:p>
          <w:p w14:paraId="1F151062">
            <w:pPr>
              <w:spacing w:line="276" w:lineRule="auto"/>
              <w:jc w:val="center"/>
              <w:rPr>
                <w:rFonts w:hint="eastAsia" w:ascii="宋体" w:hAnsi="宋体" w:eastAsia="宋体" w:cs="Times New Roman"/>
                <w:color w:val="000000"/>
                <w:szCs w:val="21"/>
              </w:rPr>
            </w:pPr>
          </w:p>
        </w:tc>
        <w:tc>
          <w:tcPr>
            <w:tcW w:w="1691" w:type="dxa"/>
            <w:vAlign w:val="center"/>
          </w:tcPr>
          <w:p w14:paraId="06223541">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（1）</w:t>
            </w:r>
            <w:r>
              <w:rPr>
                <w:rFonts w:ascii="Times New Roman" w:hAnsi="Times New Roman" w:eastAsia="宋体" w:cs="Times New Roman"/>
                <w:sz w:val="24"/>
              </w:rPr>
              <w:t>能够理解随机模型的建模方法</w:t>
            </w:r>
          </w:p>
          <w:p w14:paraId="6961B42F">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（2）</w:t>
            </w:r>
            <w:r>
              <w:rPr>
                <w:rFonts w:ascii="Times New Roman" w:hAnsi="Times New Roman" w:eastAsia="宋体" w:cs="Times New Roman"/>
                <w:sz w:val="24"/>
              </w:rPr>
              <w:t>能够理解常见几种随机模型</w:t>
            </w:r>
          </w:p>
          <w:p w14:paraId="644A6A67">
            <w:pPr>
              <w:spacing w:line="276" w:lineRule="auto"/>
              <w:jc w:val="left"/>
              <w:rPr>
                <w:rFonts w:hint="eastAsia" w:ascii="宋体" w:hAnsi="宋体" w:eastAsia="宋体" w:cs="Times New Roman"/>
                <w:color w:val="000000"/>
                <w:szCs w:val="21"/>
              </w:rPr>
            </w:pPr>
          </w:p>
        </w:tc>
        <w:tc>
          <w:tcPr>
            <w:tcW w:w="1111" w:type="dxa"/>
            <w:vAlign w:val="center"/>
          </w:tcPr>
          <w:p w14:paraId="15E0F0E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190" w:type="dxa"/>
            <w:vAlign w:val="center"/>
          </w:tcPr>
          <w:p w14:paraId="718573B9">
            <w:pPr>
              <w:numPr>
                <w:ilvl w:val="0"/>
                <w:numId w:val="62"/>
              </w:num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重点与难点：</w:t>
            </w:r>
            <w:r>
              <w:rPr>
                <w:rFonts w:ascii="Times New Roman" w:hAnsi="Times New Roman" w:eastAsia="宋体" w:cs="Times New Roman"/>
                <w:sz w:val="24"/>
              </w:rPr>
              <w:t>随机</w:t>
            </w:r>
            <w:r>
              <w:rPr>
                <w:rFonts w:ascii="Times New Roman" w:hAnsi="Times New Roman" w:eastAsia="宋体" w:cs="Times New Roman"/>
                <w:kern w:val="0"/>
                <w:sz w:val="24"/>
              </w:rPr>
              <w:t>模型求解方法</w:t>
            </w:r>
            <w:r>
              <w:rPr>
                <w:rFonts w:ascii="Times New Roman" w:hAnsi="Times New Roman" w:eastAsia="宋体" w:cs="Times New Roman"/>
                <w:color w:val="000000"/>
                <w:sz w:val="24"/>
              </w:rPr>
              <w:t>。</w:t>
            </w:r>
          </w:p>
          <w:p w14:paraId="27B582CF">
            <w:pPr>
              <w:spacing w:line="360" w:lineRule="auto"/>
              <w:rPr>
                <w:rFonts w:ascii="Times New Roman" w:hAnsi="Times New Roman" w:eastAsia="宋体" w:cs="Times New Roman"/>
                <w:color w:val="000000"/>
                <w:sz w:val="24"/>
              </w:rPr>
            </w:pPr>
            <w:r>
              <w:rPr>
                <w:rFonts w:ascii="Times New Roman" w:hAnsi="Times New Roman" w:eastAsia="宋体" w:cs="Times New Roman"/>
                <w:sz w:val="24"/>
              </w:rPr>
              <w:t>（2）教</w:t>
            </w:r>
            <w:r>
              <w:rPr>
                <w:rFonts w:ascii="Times New Roman" w:hAnsi="Times New Roman" w:eastAsia="宋体" w:cs="Times New Roman"/>
                <w:color w:val="000000"/>
                <w:sz w:val="24"/>
              </w:rPr>
              <w:t>学方法：启发式互动讲授结合多媒体辅助；适当课堂练习；及时了解学生的作业状况并对共同的问题作及时解答；安排好课后答疑。</w:t>
            </w:r>
          </w:p>
          <w:p w14:paraId="796809C0">
            <w:pPr>
              <w:spacing w:line="276" w:lineRule="auto"/>
              <w:jc w:val="left"/>
              <w:rPr>
                <w:rFonts w:hint="eastAsia" w:ascii="宋体" w:hAnsi="宋体" w:eastAsia="宋体" w:cs="Times New Roman"/>
                <w:color w:val="000000"/>
                <w:szCs w:val="21"/>
              </w:rPr>
            </w:pPr>
          </w:p>
        </w:tc>
        <w:tc>
          <w:tcPr>
            <w:tcW w:w="1517" w:type="dxa"/>
            <w:vAlign w:val="center"/>
          </w:tcPr>
          <w:p w14:paraId="274B00B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366362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3395F2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B04FA5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52B0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0E404075">
            <w:pPr>
              <w:spacing w:line="276" w:lineRule="auto"/>
              <w:jc w:val="center"/>
              <w:rPr>
                <w:rFonts w:hint="eastAsia" w:ascii="宋体" w:hAnsi="宋体" w:eastAsia="宋体" w:cs="Times New Roman"/>
                <w:color w:val="000000"/>
                <w:szCs w:val="21"/>
              </w:rPr>
            </w:pPr>
          </w:p>
        </w:tc>
        <w:tc>
          <w:tcPr>
            <w:tcW w:w="7947" w:type="dxa"/>
            <w:gridSpan w:val="5"/>
            <w:vAlign w:val="center"/>
          </w:tcPr>
          <w:p w14:paraId="51F58306">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6276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513B15AB">
            <w:pPr>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5.</w:t>
            </w:r>
            <w:r>
              <w:rPr>
                <w:rFonts w:ascii="Times New Roman" w:hAnsi="Times New Roman" w:eastAsia="宋体" w:cs="Times New Roman"/>
                <w:bCs/>
                <w:sz w:val="24"/>
              </w:rPr>
              <w:t>运筹学模型</w:t>
            </w:r>
          </w:p>
          <w:p w14:paraId="62BB3290">
            <w:pPr>
              <w:spacing w:line="276" w:lineRule="auto"/>
              <w:jc w:val="center"/>
              <w:rPr>
                <w:rFonts w:hint="eastAsia" w:ascii="宋体" w:hAnsi="宋体" w:eastAsia="宋体" w:cs="Times New Roman"/>
                <w:color w:val="000000"/>
                <w:szCs w:val="21"/>
              </w:rPr>
            </w:pPr>
          </w:p>
        </w:tc>
        <w:tc>
          <w:tcPr>
            <w:tcW w:w="1691" w:type="dxa"/>
            <w:vAlign w:val="center"/>
          </w:tcPr>
          <w:p w14:paraId="428F984D">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（1）</w:t>
            </w:r>
            <w:r>
              <w:rPr>
                <w:rFonts w:ascii="Times New Roman" w:hAnsi="Times New Roman" w:eastAsia="宋体" w:cs="Times New Roman"/>
                <w:sz w:val="24"/>
              </w:rPr>
              <w:t>能够理解运筹学模型的建模方法</w:t>
            </w:r>
          </w:p>
          <w:p w14:paraId="19D2A195">
            <w:pPr>
              <w:spacing w:line="360" w:lineRule="auto"/>
              <w:rPr>
                <w:rFonts w:ascii="Times New Roman" w:hAnsi="Times New Roman" w:eastAsia="宋体" w:cs="Times New Roman"/>
                <w:sz w:val="24"/>
              </w:rPr>
            </w:pPr>
            <w:r>
              <w:rPr>
                <w:rFonts w:ascii="Times New Roman" w:hAnsi="Times New Roman" w:eastAsia="宋体" w:cs="Times New Roman"/>
                <w:color w:val="000000"/>
                <w:sz w:val="24"/>
              </w:rPr>
              <w:t>（2）</w:t>
            </w:r>
            <w:r>
              <w:rPr>
                <w:rFonts w:ascii="Times New Roman" w:hAnsi="Times New Roman" w:eastAsia="宋体" w:cs="Times New Roman"/>
                <w:sz w:val="24"/>
              </w:rPr>
              <w:t>能够理解常见几种运筹学模型</w:t>
            </w:r>
          </w:p>
          <w:p w14:paraId="408DA247">
            <w:pPr>
              <w:spacing w:line="276" w:lineRule="auto"/>
              <w:jc w:val="left"/>
              <w:rPr>
                <w:rFonts w:hint="eastAsia" w:ascii="宋体" w:hAnsi="宋体" w:eastAsia="宋体" w:cs="Times New Roman"/>
                <w:color w:val="000000"/>
                <w:szCs w:val="21"/>
              </w:rPr>
            </w:pPr>
          </w:p>
        </w:tc>
        <w:tc>
          <w:tcPr>
            <w:tcW w:w="1111" w:type="dxa"/>
            <w:vAlign w:val="center"/>
          </w:tcPr>
          <w:p w14:paraId="14974CC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190" w:type="dxa"/>
            <w:vAlign w:val="center"/>
          </w:tcPr>
          <w:p w14:paraId="0B68E647">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（1）重点与难点：</w:t>
            </w:r>
            <w:r>
              <w:rPr>
                <w:rFonts w:ascii="Times New Roman" w:hAnsi="Times New Roman" w:eastAsia="宋体" w:cs="Times New Roman"/>
                <w:sz w:val="24"/>
              </w:rPr>
              <w:t>随机</w:t>
            </w:r>
            <w:r>
              <w:rPr>
                <w:rFonts w:ascii="Times New Roman" w:hAnsi="Times New Roman" w:eastAsia="宋体" w:cs="Times New Roman"/>
                <w:kern w:val="0"/>
                <w:sz w:val="24"/>
              </w:rPr>
              <w:t>模型求解方法</w:t>
            </w:r>
            <w:r>
              <w:rPr>
                <w:rFonts w:ascii="Times New Roman" w:hAnsi="Times New Roman" w:eastAsia="宋体" w:cs="Times New Roman"/>
                <w:color w:val="000000"/>
                <w:sz w:val="24"/>
              </w:rPr>
              <w:t>。</w:t>
            </w:r>
          </w:p>
          <w:p w14:paraId="5256FAEC">
            <w:pPr>
              <w:spacing w:line="360" w:lineRule="auto"/>
              <w:rPr>
                <w:rFonts w:ascii="Times New Roman" w:hAnsi="Times New Roman" w:eastAsia="宋体" w:cs="Times New Roman"/>
                <w:color w:val="000000"/>
                <w:sz w:val="24"/>
              </w:rPr>
            </w:pPr>
            <w:r>
              <w:rPr>
                <w:rFonts w:ascii="Times New Roman" w:hAnsi="Times New Roman" w:eastAsia="宋体" w:cs="Times New Roman"/>
                <w:sz w:val="24"/>
              </w:rPr>
              <w:t>（2）教</w:t>
            </w:r>
            <w:r>
              <w:rPr>
                <w:rFonts w:ascii="Times New Roman" w:hAnsi="Times New Roman" w:eastAsia="宋体" w:cs="Times New Roman"/>
                <w:color w:val="000000"/>
                <w:sz w:val="24"/>
              </w:rPr>
              <w:t>学方法：启发式互动讲授结合多媒体辅助；适当课堂练习；及时了解学生的作业状况并对共同的问题作及时解答；安排好课后答疑。</w:t>
            </w:r>
          </w:p>
          <w:p w14:paraId="6DE5145C">
            <w:pPr>
              <w:spacing w:line="276" w:lineRule="auto"/>
              <w:jc w:val="left"/>
              <w:rPr>
                <w:rFonts w:hint="eastAsia" w:ascii="宋体" w:hAnsi="宋体" w:eastAsia="宋体" w:cs="Times New Roman"/>
                <w:color w:val="000000"/>
                <w:szCs w:val="21"/>
              </w:rPr>
            </w:pPr>
          </w:p>
        </w:tc>
        <w:tc>
          <w:tcPr>
            <w:tcW w:w="1517" w:type="dxa"/>
            <w:vAlign w:val="center"/>
          </w:tcPr>
          <w:p w14:paraId="084B0B7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20328B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E3D206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A113DA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6AF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5452C94">
            <w:pPr>
              <w:spacing w:line="276" w:lineRule="auto"/>
              <w:jc w:val="center"/>
              <w:rPr>
                <w:rFonts w:hint="eastAsia" w:ascii="宋体" w:hAnsi="宋体" w:eastAsia="宋体" w:cs="Times New Roman"/>
                <w:color w:val="000000"/>
                <w:szCs w:val="21"/>
              </w:rPr>
            </w:pPr>
          </w:p>
        </w:tc>
        <w:tc>
          <w:tcPr>
            <w:tcW w:w="7947" w:type="dxa"/>
            <w:gridSpan w:val="5"/>
            <w:vAlign w:val="center"/>
          </w:tcPr>
          <w:p w14:paraId="29CC1E35">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2C27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68F6A7C2">
            <w:pPr>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6.</w:t>
            </w:r>
            <w:r>
              <w:rPr>
                <w:rFonts w:ascii="Times New Roman" w:hAnsi="Times New Roman" w:eastAsia="宋体" w:cs="Times New Roman"/>
                <w:bCs/>
                <w:sz w:val="24"/>
              </w:rPr>
              <w:t>管理类模型</w:t>
            </w:r>
          </w:p>
          <w:p w14:paraId="598E9D9C">
            <w:pPr>
              <w:spacing w:line="276" w:lineRule="auto"/>
              <w:jc w:val="center"/>
              <w:rPr>
                <w:rFonts w:hint="eastAsia" w:ascii="宋体" w:hAnsi="宋体" w:eastAsia="宋体" w:cs="Times New Roman"/>
                <w:color w:val="000000"/>
                <w:szCs w:val="21"/>
              </w:rPr>
            </w:pPr>
          </w:p>
        </w:tc>
        <w:tc>
          <w:tcPr>
            <w:tcW w:w="1691" w:type="dxa"/>
            <w:vAlign w:val="center"/>
          </w:tcPr>
          <w:p w14:paraId="4F41453C">
            <w:pPr>
              <w:spacing w:line="360" w:lineRule="auto"/>
              <w:rPr>
                <w:rFonts w:ascii="Times New Roman" w:hAnsi="Times New Roman" w:eastAsia="宋体" w:cs="Times New Roman"/>
                <w:color w:val="000000"/>
                <w:sz w:val="24"/>
              </w:rPr>
            </w:pPr>
            <w:r>
              <w:rPr>
                <w:rFonts w:hint="eastAsia" w:ascii="Times New Roman" w:hAnsi="Times New Roman" w:eastAsia="宋体" w:cs="Times New Roman"/>
                <w:color w:val="000000"/>
                <w:sz w:val="24"/>
              </w:rPr>
              <w:t>（1）</w:t>
            </w:r>
            <w:r>
              <w:rPr>
                <w:rFonts w:ascii="Times New Roman" w:hAnsi="Times New Roman" w:eastAsia="宋体" w:cs="Times New Roman"/>
                <w:sz w:val="24"/>
              </w:rPr>
              <w:t>能够理解管理类模型的建模方法</w:t>
            </w:r>
          </w:p>
          <w:p w14:paraId="1609E74A">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（2）</w:t>
            </w:r>
            <w:r>
              <w:rPr>
                <w:rFonts w:ascii="Times New Roman" w:hAnsi="Times New Roman" w:eastAsia="宋体" w:cs="Times New Roman"/>
                <w:sz w:val="24"/>
              </w:rPr>
              <w:t>能够理解常见几种管理类模型</w:t>
            </w:r>
          </w:p>
          <w:p w14:paraId="14FAC938">
            <w:pPr>
              <w:spacing w:line="276" w:lineRule="auto"/>
              <w:jc w:val="left"/>
              <w:rPr>
                <w:rFonts w:hint="eastAsia" w:ascii="宋体" w:hAnsi="宋体" w:eastAsia="宋体" w:cs="Times New Roman"/>
                <w:color w:val="000000"/>
                <w:szCs w:val="21"/>
              </w:rPr>
            </w:pPr>
          </w:p>
        </w:tc>
        <w:tc>
          <w:tcPr>
            <w:tcW w:w="1111" w:type="dxa"/>
            <w:vAlign w:val="center"/>
          </w:tcPr>
          <w:p w14:paraId="740619D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190" w:type="dxa"/>
            <w:vAlign w:val="center"/>
          </w:tcPr>
          <w:p w14:paraId="29197B23">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（1）重点与难点：</w:t>
            </w:r>
            <w:r>
              <w:rPr>
                <w:rFonts w:ascii="Times New Roman" w:hAnsi="Times New Roman" w:eastAsia="宋体" w:cs="Times New Roman"/>
                <w:sz w:val="24"/>
              </w:rPr>
              <w:t>管理类</w:t>
            </w:r>
            <w:r>
              <w:rPr>
                <w:rFonts w:ascii="Times New Roman" w:hAnsi="Times New Roman" w:eastAsia="宋体" w:cs="Times New Roman"/>
                <w:kern w:val="0"/>
                <w:sz w:val="24"/>
              </w:rPr>
              <w:t>模型求解方法</w:t>
            </w:r>
            <w:r>
              <w:rPr>
                <w:rFonts w:ascii="Times New Roman" w:hAnsi="Times New Roman" w:eastAsia="宋体" w:cs="Times New Roman"/>
                <w:color w:val="000000"/>
                <w:sz w:val="24"/>
              </w:rPr>
              <w:t>。</w:t>
            </w:r>
          </w:p>
          <w:p w14:paraId="5195AC47">
            <w:pPr>
              <w:spacing w:line="360" w:lineRule="auto"/>
              <w:rPr>
                <w:rFonts w:ascii="Times New Roman" w:hAnsi="Times New Roman" w:eastAsia="宋体" w:cs="Times New Roman"/>
                <w:color w:val="000000"/>
                <w:sz w:val="24"/>
              </w:rPr>
            </w:pPr>
            <w:r>
              <w:rPr>
                <w:rFonts w:ascii="Times New Roman" w:hAnsi="Times New Roman" w:eastAsia="宋体" w:cs="Times New Roman"/>
                <w:sz w:val="24"/>
              </w:rPr>
              <w:t>（2）教</w:t>
            </w:r>
            <w:r>
              <w:rPr>
                <w:rFonts w:ascii="Times New Roman" w:hAnsi="Times New Roman" w:eastAsia="宋体" w:cs="Times New Roman"/>
                <w:color w:val="000000"/>
                <w:sz w:val="24"/>
              </w:rPr>
              <w:t>学方法：启发式互动讲授结合多媒体辅助；适当课堂练习；及时了解学生的作业状况并对共同的问题作及时解答；安排好课后答疑。</w:t>
            </w:r>
          </w:p>
          <w:p w14:paraId="75FF1354">
            <w:pPr>
              <w:spacing w:line="276" w:lineRule="auto"/>
              <w:jc w:val="left"/>
              <w:rPr>
                <w:rFonts w:hint="eastAsia" w:ascii="宋体" w:hAnsi="宋体" w:eastAsia="宋体" w:cs="Times New Roman"/>
                <w:color w:val="000000"/>
                <w:szCs w:val="21"/>
              </w:rPr>
            </w:pPr>
          </w:p>
        </w:tc>
        <w:tc>
          <w:tcPr>
            <w:tcW w:w="1517" w:type="dxa"/>
            <w:vAlign w:val="center"/>
          </w:tcPr>
          <w:p w14:paraId="5595812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38907A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1AF7013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0F5436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4CE5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1525556B">
            <w:pPr>
              <w:spacing w:line="276" w:lineRule="auto"/>
              <w:jc w:val="center"/>
              <w:rPr>
                <w:rFonts w:hint="eastAsia" w:ascii="宋体" w:hAnsi="宋体" w:eastAsia="宋体" w:cs="Times New Roman"/>
                <w:color w:val="000000"/>
                <w:szCs w:val="21"/>
              </w:rPr>
            </w:pPr>
          </w:p>
        </w:tc>
        <w:tc>
          <w:tcPr>
            <w:tcW w:w="7947" w:type="dxa"/>
            <w:gridSpan w:val="5"/>
            <w:vAlign w:val="center"/>
          </w:tcPr>
          <w:p w14:paraId="544A993A">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1FDC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0BDB0CC5">
            <w:pPr>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7.</w:t>
            </w:r>
            <w:r>
              <w:rPr>
                <w:rFonts w:ascii="Times New Roman" w:hAnsi="Times New Roman" w:eastAsia="宋体" w:cs="Times New Roman"/>
                <w:bCs/>
                <w:sz w:val="24"/>
              </w:rPr>
              <w:t>统计类模型</w:t>
            </w:r>
          </w:p>
          <w:p w14:paraId="6D859B2F">
            <w:pPr>
              <w:spacing w:line="276" w:lineRule="auto"/>
              <w:jc w:val="center"/>
              <w:rPr>
                <w:rFonts w:hint="eastAsia" w:ascii="宋体" w:hAnsi="宋体" w:eastAsia="宋体" w:cs="Times New Roman"/>
                <w:szCs w:val="21"/>
              </w:rPr>
            </w:pPr>
          </w:p>
        </w:tc>
        <w:tc>
          <w:tcPr>
            <w:tcW w:w="1691" w:type="dxa"/>
            <w:vAlign w:val="center"/>
          </w:tcPr>
          <w:p w14:paraId="399F4E10">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（1）</w:t>
            </w:r>
            <w:r>
              <w:rPr>
                <w:rFonts w:ascii="Times New Roman" w:hAnsi="Times New Roman" w:eastAsia="宋体" w:cs="Times New Roman"/>
                <w:sz w:val="24"/>
              </w:rPr>
              <w:t>能够理解统计类模型的建模方法</w:t>
            </w:r>
          </w:p>
          <w:p w14:paraId="2F829C8C">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（2）</w:t>
            </w:r>
            <w:r>
              <w:rPr>
                <w:rFonts w:ascii="Times New Roman" w:hAnsi="Times New Roman" w:eastAsia="宋体" w:cs="Times New Roman"/>
                <w:sz w:val="24"/>
              </w:rPr>
              <w:t>能够理解常见几种统计类模型</w:t>
            </w:r>
          </w:p>
          <w:p w14:paraId="40BC6D71">
            <w:pPr>
              <w:spacing w:line="276" w:lineRule="auto"/>
              <w:jc w:val="left"/>
              <w:rPr>
                <w:rFonts w:hint="eastAsia" w:ascii="宋体" w:hAnsi="宋体" w:eastAsia="宋体" w:cs="Times New Roman"/>
                <w:szCs w:val="21"/>
              </w:rPr>
            </w:pPr>
          </w:p>
        </w:tc>
        <w:tc>
          <w:tcPr>
            <w:tcW w:w="1111" w:type="dxa"/>
            <w:vAlign w:val="center"/>
          </w:tcPr>
          <w:p w14:paraId="17BF65F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190" w:type="dxa"/>
            <w:vAlign w:val="center"/>
          </w:tcPr>
          <w:p w14:paraId="24B67285">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（1）重点与难点：</w:t>
            </w:r>
            <w:r>
              <w:rPr>
                <w:rFonts w:ascii="Times New Roman" w:hAnsi="Times New Roman" w:eastAsia="宋体" w:cs="Times New Roman"/>
                <w:sz w:val="24"/>
              </w:rPr>
              <w:t>随机</w:t>
            </w:r>
            <w:r>
              <w:rPr>
                <w:rFonts w:ascii="Times New Roman" w:hAnsi="Times New Roman" w:eastAsia="宋体" w:cs="Times New Roman"/>
                <w:kern w:val="0"/>
                <w:sz w:val="24"/>
              </w:rPr>
              <w:t>模型求解方法</w:t>
            </w:r>
            <w:r>
              <w:rPr>
                <w:rFonts w:ascii="Times New Roman" w:hAnsi="Times New Roman" w:eastAsia="宋体" w:cs="Times New Roman"/>
                <w:color w:val="000000"/>
                <w:sz w:val="24"/>
              </w:rPr>
              <w:t>。</w:t>
            </w:r>
          </w:p>
          <w:p w14:paraId="065412FD">
            <w:pPr>
              <w:spacing w:line="360" w:lineRule="auto"/>
              <w:rPr>
                <w:rFonts w:ascii="Times New Roman" w:hAnsi="Times New Roman" w:eastAsia="宋体" w:cs="Times New Roman"/>
                <w:color w:val="000000"/>
                <w:sz w:val="24"/>
              </w:rPr>
            </w:pPr>
            <w:r>
              <w:rPr>
                <w:rFonts w:ascii="Times New Roman" w:hAnsi="Times New Roman" w:eastAsia="宋体" w:cs="Times New Roman"/>
                <w:sz w:val="24"/>
              </w:rPr>
              <w:t>（2）教</w:t>
            </w:r>
            <w:r>
              <w:rPr>
                <w:rFonts w:ascii="Times New Roman" w:hAnsi="Times New Roman" w:eastAsia="宋体" w:cs="Times New Roman"/>
                <w:color w:val="000000"/>
                <w:sz w:val="24"/>
              </w:rPr>
              <w:t>学方法：启发式互动讲授结合多媒体辅助；适当课堂练习；及时了解学生的作业状况并对共同的问题作及时解答；安排好课后答疑。</w:t>
            </w:r>
          </w:p>
          <w:p w14:paraId="62693000">
            <w:pPr>
              <w:spacing w:line="276" w:lineRule="auto"/>
              <w:jc w:val="left"/>
              <w:rPr>
                <w:rFonts w:hint="eastAsia" w:ascii="宋体" w:hAnsi="宋体" w:eastAsia="宋体" w:cs="Times New Roman"/>
                <w:color w:val="000000"/>
                <w:szCs w:val="21"/>
              </w:rPr>
            </w:pPr>
          </w:p>
        </w:tc>
        <w:tc>
          <w:tcPr>
            <w:tcW w:w="1517" w:type="dxa"/>
            <w:vAlign w:val="center"/>
          </w:tcPr>
          <w:p w14:paraId="786363C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17F7220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7EE15FD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7270AF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226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5CDF626A">
            <w:pPr>
              <w:spacing w:line="276" w:lineRule="auto"/>
              <w:jc w:val="center"/>
              <w:rPr>
                <w:rFonts w:hint="eastAsia" w:ascii="宋体" w:hAnsi="宋体" w:eastAsia="宋体" w:cs="Times New Roman"/>
                <w:color w:val="000000"/>
                <w:szCs w:val="21"/>
              </w:rPr>
            </w:pPr>
          </w:p>
        </w:tc>
        <w:tc>
          <w:tcPr>
            <w:tcW w:w="7947" w:type="dxa"/>
            <w:gridSpan w:val="5"/>
            <w:vAlign w:val="center"/>
          </w:tcPr>
          <w:p w14:paraId="00CF7778">
            <w:pPr>
              <w:spacing w:line="36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r w14:paraId="0200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1A58E16E">
            <w:pPr>
              <w:spacing w:line="360" w:lineRule="auto"/>
              <w:rPr>
                <w:rFonts w:ascii="Times New Roman" w:hAnsi="Times New Roman" w:eastAsia="宋体" w:cs="Times New Roman"/>
                <w:b/>
                <w:sz w:val="24"/>
              </w:rPr>
            </w:pPr>
            <w:r>
              <w:rPr>
                <w:rFonts w:hint="eastAsia" w:ascii="Times New Roman" w:hAnsi="Times New Roman" w:eastAsia="宋体" w:cs="Times New Roman"/>
                <w:bCs/>
                <w:sz w:val="24"/>
              </w:rPr>
              <w:t>8.</w:t>
            </w:r>
            <w:r>
              <w:rPr>
                <w:rFonts w:ascii="Times New Roman" w:hAnsi="Times New Roman" w:eastAsia="宋体" w:cs="Times New Roman"/>
                <w:bCs/>
                <w:sz w:val="24"/>
              </w:rPr>
              <w:t>数学建模软件</w:t>
            </w:r>
          </w:p>
          <w:p w14:paraId="5ECCF876">
            <w:pPr>
              <w:spacing w:line="264" w:lineRule="auto"/>
              <w:jc w:val="center"/>
              <w:rPr>
                <w:rFonts w:hint="eastAsia" w:ascii="宋体" w:hAnsi="宋体" w:eastAsia="宋体" w:cs="Times New Roman"/>
                <w:color w:val="000000"/>
                <w:szCs w:val="21"/>
              </w:rPr>
            </w:pPr>
          </w:p>
        </w:tc>
        <w:tc>
          <w:tcPr>
            <w:tcW w:w="1691" w:type="dxa"/>
            <w:vAlign w:val="center"/>
          </w:tcPr>
          <w:p w14:paraId="7864B199">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（1）</w:t>
            </w:r>
            <w:r>
              <w:rPr>
                <w:rFonts w:ascii="Times New Roman" w:hAnsi="Times New Roman" w:eastAsia="宋体" w:cs="Times New Roman"/>
                <w:sz w:val="24"/>
              </w:rPr>
              <w:t>能够简单使用Lingo</w:t>
            </w:r>
          </w:p>
          <w:p w14:paraId="49FE444D">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（2）</w:t>
            </w:r>
            <w:r>
              <w:rPr>
                <w:rFonts w:ascii="Times New Roman" w:hAnsi="Times New Roman" w:eastAsia="宋体" w:cs="Times New Roman"/>
                <w:sz w:val="24"/>
              </w:rPr>
              <w:t>能够简单使用</w:t>
            </w:r>
            <w:r>
              <w:rPr>
                <w:rFonts w:ascii="Times New Roman" w:hAnsi="Times New Roman" w:eastAsia="宋体" w:cs="Times New Roman"/>
                <w:color w:val="000000"/>
                <w:sz w:val="24"/>
              </w:rPr>
              <w:t>Mathematica</w:t>
            </w:r>
          </w:p>
          <w:p w14:paraId="3A8F126B">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ascii="Times New Roman" w:hAnsi="Times New Roman" w:eastAsia="宋体" w:cs="Times New Roman"/>
                <w:sz w:val="24"/>
              </w:rPr>
              <w:t>能够简单使用Matlab</w:t>
            </w:r>
          </w:p>
          <w:p w14:paraId="1DC2618C">
            <w:pPr>
              <w:spacing w:line="264" w:lineRule="auto"/>
              <w:jc w:val="left"/>
              <w:rPr>
                <w:rFonts w:hint="eastAsia" w:ascii="宋体" w:hAnsi="宋体" w:eastAsia="宋体" w:cs="Times New Roman"/>
                <w:color w:val="000000"/>
                <w:szCs w:val="21"/>
              </w:rPr>
            </w:pPr>
          </w:p>
        </w:tc>
        <w:tc>
          <w:tcPr>
            <w:tcW w:w="1111" w:type="dxa"/>
            <w:vAlign w:val="center"/>
          </w:tcPr>
          <w:p w14:paraId="4525070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课程目标1、2、3、4、5</w:t>
            </w:r>
          </w:p>
        </w:tc>
        <w:tc>
          <w:tcPr>
            <w:tcW w:w="3190" w:type="dxa"/>
            <w:vAlign w:val="center"/>
          </w:tcPr>
          <w:p w14:paraId="388CA410">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（1）重点与难点：</w:t>
            </w:r>
            <w:r>
              <w:rPr>
                <w:rFonts w:ascii="Times New Roman" w:hAnsi="Times New Roman" w:eastAsia="宋体" w:cs="Times New Roman"/>
                <w:sz w:val="24"/>
              </w:rPr>
              <w:t>各种数学软件使用</w:t>
            </w:r>
            <w:r>
              <w:rPr>
                <w:rFonts w:ascii="Times New Roman" w:hAnsi="Times New Roman" w:eastAsia="宋体" w:cs="Times New Roman"/>
                <w:kern w:val="0"/>
                <w:sz w:val="24"/>
              </w:rPr>
              <w:t>方法</w:t>
            </w:r>
            <w:r>
              <w:rPr>
                <w:rFonts w:ascii="Times New Roman" w:hAnsi="Times New Roman" w:eastAsia="宋体" w:cs="Times New Roman"/>
                <w:color w:val="000000"/>
                <w:sz w:val="24"/>
              </w:rPr>
              <w:t>。</w:t>
            </w:r>
          </w:p>
          <w:p w14:paraId="067EDCF2">
            <w:pPr>
              <w:spacing w:line="360" w:lineRule="auto"/>
              <w:rPr>
                <w:rFonts w:ascii="Times New Roman" w:hAnsi="Times New Roman" w:eastAsia="宋体" w:cs="Times New Roman"/>
                <w:color w:val="000000"/>
                <w:sz w:val="24"/>
              </w:rPr>
            </w:pPr>
            <w:r>
              <w:rPr>
                <w:rFonts w:ascii="Times New Roman" w:hAnsi="Times New Roman" w:eastAsia="宋体" w:cs="Times New Roman"/>
                <w:sz w:val="24"/>
              </w:rPr>
              <w:t>（2）教</w:t>
            </w:r>
            <w:r>
              <w:rPr>
                <w:rFonts w:ascii="Times New Roman" w:hAnsi="Times New Roman" w:eastAsia="宋体" w:cs="Times New Roman"/>
                <w:color w:val="000000"/>
                <w:sz w:val="24"/>
              </w:rPr>
              <w:t>学方法：启发式互动讲授结合多媒体辅助；适当课堂练习；及时了解学生的作业状况并对共同的问题作及时解答；安排好课后答疑。</w:t>
            </w:r>
          </w:p>
          <w:p w14:paraId="4BEEEF4E">
            <w:pPr>
              <w:spacing w:line="264" w:lineRule="auto"/>
              <w:jc w:val="left"/>
              <w:rPr>
                <w:rFonts w:hint="eastAsia" w:ascii="宋体" w:hAnsi="宋体" w:eastAsia="宋体" w:cs="Times New Roman"/>
                <w:color w:val="000000"/>
                <w:szCs w:val="21"/>
              </w:rPr>
            </w:pPr>
          </w:p>
        </w:tc>
        <w:tc>
          <w:tcPr>
            <w:tcW w:w="1517" w:type="dxa"/>
            <w:vAlign w:val="center"/>
          </w:tcPr>
          <w:p w14:paraId="285F5070">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B9DAF01">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1B4F9CCC">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83EF31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13B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2063F75">
            <w:pPr>
              <w:spacing w:line="264" w:lineRule="auto"/>
              <w:jc w:val="center"/>
              <w:rPr>
                <w:rFonts w:hint="eastAsia" w:ascii="宋体" w:hAnsi="宋体" w:eastAsia="宋体" w:cs="Times New Roman"/>
                <w:color w:val="000000"/>
                <w:szCs w:val="21"/>
              </w:rPr>
            </w:pPr>
          </w:p>
        </w:tc>
        <w:tc>
          <w:tcPr>
            <w:tcW w:w="7947" w:type="dxa"/>
            <w:gridSpan w:val="5"/>
            <w:vAlign w:val="center"/>
          </w:tcPr>
          <w:p w14:paraId="24BD6797">
            <w:pPr>
              <w:spacing w:line="36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Times New Roman" w:hAnsi="Times New Roman" w:eastAsia="宋体" w:cs="Times New Roman"/>
                <w:sz w:val="24"/>
              </w:rPr>
              <w:t>注重理论联系实际，尊重客观规律，树立社会主义核心价值观，增强专业素养，强调理论对实践的指导意义。</w:t>
            </w:r>
          </w:p>
        </w:tc>
      </w:tr>
    </w:tbl>
    <w:p w14:paraId="3E6F774C">
      <w:pPr>
        <w:spacing w:line="360" w:lineRule="auto"/>
        <w:jc w:val="left"/>
        <w:rPr>
          <w:rFonts w:ascii="Times New Roman" w:hAnsi="Times New Roman" w:eastAsia="宋体" w:cs="Times New Roman"/>
          <w:sz w:val="24"/>
        </w:rPr>
      </w:pPr>
    </w:p>
    <w:p w14:paraId="55407F6A">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2664F96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AC17E0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C0B90B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p w14:paraId="22BB26E7">
      <w:pPr>
        <w:spacing w:line="360" w:lineRule="auto"/>
        <w:jc w:val="center"/>
        <w:rPr>
          <w:rFonts w:ascii="Times New Roman" w:hAnsi="Times New Roman" w:eastAsia="宋体" w:cs="Times New Roman"/>
          <w:b/>
          <w:bCs/>
          <w:szCs w:val="21"/>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981"/>
        <w:gridCol w:w="862"/>
        <w:gridCol w:w="2492"/>
      </w:tblGrid>
      <w:tr w14:paraId="17F2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vMerge w:val="restart"/>
            <w:vAlign w:val="center"/>
          </w:tcPr>
          <w:p w14:paraId="00D039C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1843" w:type="dxa"/>
            <w:gridSpan w:val="2"/>
            <w:vAlign w:val="center"/>
          </w:tcPr>
          <w:p w14:paraId="4F4509D7">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2492" w:type="dxa"/>
            <w:vMerge w:val="restart"/>
            <w:vAlign w:val="center"/>
          </w:tcPr>
          <w:p w14:paraId="26975DB1">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562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3CDF8141">
            <w:pPr>
              <w:spacing w:line="360" w:lineRule="auto"/>
              <w:jc w:val="center"/>
              <w:rPr>
                <w:rFonts w:hint="eastAsia" w:ascii="宋体" w:hAnsi="宋体" w:eastAsia="宋体" w:cs="Times New Roman"/>
                <w:szCs w:val="21"/>
              </w:rPr>
            </w:pPr>
          </w:p>
        </w:tc>
        <w:tc>
          <w:tcPr>
            <w:tcW w:w="981" w:type="dxa"/>
            <w:vAlign w:val="center"/>
          </w:tcPr>
          <w:p w14:paraId="656E79D8">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862" w:type="dxa"/>
            <w:vAlign w:val="center"/>
          </w:tcPr>
          <w:p w14:paraId="5A454E80">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2492" w:type="dxa"/>
            <w:vMerge w:val="continue"/>
            <w:vAlign w:val="center"/>
          </w:tcPr>
          <w:p w14:paraId="2FE16815">
            <w:pPr>
              <w:spacing w:line="360" w:lineRule="auto"/>
              <w:jc w:val="center"/>
              <w:rPr>
                <w:rFonts w:hint="eastAsia" w:ascii="宋体" w:hAnsi="宋体" w:eastAsia="宋体" w:cs="Times New Roman"/>
                <w:szCs w:val="21"/>
              </w:rPr>
            </w:pPr>
          </w:p>
        </w:tc>
      </w:tr>
      <w:tr w14:paraId="5084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6189FF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981" w:type="dxa"/>
            <w:vAlign w:val="center"/>
          </w:tcPr>
          <w:p w14:paraId="59BDC5B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2" w:type="dxa"/>
            <w:vAlign w:val="center"/>
          </w:tcPr>
          <w:p w14:paraId="6057929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492" w:type="dxa"/>
            <w:vAlign w:val="center"/>
          </w:tcPr>
          <w:p w14:paraId="1A9E9347">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287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2A06AE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981" w:type="dxa"/>
            <w:vAlign w:val="center"/>
          </w:tcPr>
          <w:p w14:paraId="2F3275C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2" w:type="dxa"/>
            <w:vAlign w:val="center"/>
          </w:tcPr>
          <w:p w14:paraId="3DDCA31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492" w:type="dxa"/>
            <w:vAlign w:val="center"/>
          </w:tcPr>
          <w:p w14:paraId="546A713E">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A38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6AE97C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981" w:type="dxa"/>
            <w:vAlign w:val="center"/>
          </w:tcPr>
          <w:p w14:paraId="53012FC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2" w:type="dxa"/>
            <w:vAlign w:val="center"/>
          </w:tcPr>
          <w:p w14:paraId="6F924BD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492" w:type="dxa"/>
            <w:vAlign w:val="center"/>
          </w:tcPr>
          <w:p w14:paraId="5A73740E">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4468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6A03F1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981" w:type="dxa"/>
            <w:vAlign w:val="center"/>
          </w:tcPr>
          <w:p w14:paraId="7CA0B47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2" w:type="dxa"/>
            <w:vAlign w:val="center"/>
          </w:tcPr>
          <w:p w14:paraId="3C37F6B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492" w:type="dxa"/>
            <w:vAlign w:val="center"/>
          </w:tcPr>
          <w:p w14:paraId="4A01DC2C">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5E8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199A83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981" w:type="dxa"/>
            <w:vAlign w:val="center"/>
          </w:tcPr>
          <w:p w14:paraId="2ED66D1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2" w:type="dxa"/>
            <w:vAlign w:val="center"/>
          </w:tcPr>
          <w:p w14:paraId="7324E18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492" w:type="dxa"/>
            <w:vAlign w:val="center"/>
          </w:tcPr>
          <w:p w14:paraId="68EDCD44">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1A3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452AB03C">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981" w:type="dxa"/>
            <w:vAlign w:val="center"/>
          </w:tcPr>
          <w:p w14:paraId="11B7D114">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c>
          <w:tcPr>
            <w:tcW w:w="862" w:type="dxa"/>
            <w:vAlign w:val="center"/>
          </w:tcPr>
          <w:p w14:paraId="53DCB997">
            <w:pPr>
              <w:spacing w:line="360" w:lineRule="auto"/>
              <w:jc w:val="center"/>
              <w:rPr>
                <w:rFonts w:hint="eastAsia" w:ascii="宋体" w:hAnsi="宋体" w:eastAsia="宋体" w:cs="Times New Roman"/>
                <w:szCs w:val="21"/>
              </w:rPr>
            </w:pPr>
            <w:r>
              <w:rPr>
                <w:rFonts w:hint="eastAsia" w:ascii="宋体" w:hAnsi="宋体" w:eastAsia="宋体" w:cs="Times New Roman"/>
                <w:szCs w:val="21"/>
              </w:rPr>
              <w:t>60</w:t>
            </w:r>
          </w:p>
        </w:tc>
        <w:tc>
          <w:tcPr>
            <w:tcW w:w="2492" w:type="dxa"/>
            <w:vAlign w:val="center"/>
          </w:tcPr>
          <w:p w14:paraId="55C8C114">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9BAE044">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13A691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8DF8A9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FDE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2D5F72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577D45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06" w:type="dxa"/>
            <w:vAlign w:val="center"/>
          </w:tcPr>
          <w:p w14:paraId="2119A50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625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65F441">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9583D4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706" w:type="dxa"/>
            <w:vAlign w:val="center"/>
          </w:tcPr>
          <w:p w14:paraId="79329FB5">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0641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31C89CF">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8DF9521">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706" w:type="dxa"/>
            <w:vAlign w:val="center"/>
          </w:tcPr>
          <w:p w14:paraId="4468DF0A">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0302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169EE77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6921D66E">
            <w:pPr>
              <w:jc w:val="left"/>
              <w:rPr>
                <w:rFonts w:ascii="Times New Roman" w:hAnsi="Times New Roman" w:eastAsia="宋体" w:cs="Times New Roman"/>
                <w:szCs w:val="21"/>
              </w:rPr>
            </w:pPr>
          </w:p>
        </w:tc>
        <w:tc>
          <w:tcPr>
            <w:tcW w:w="706" w:type="dxa"/>
            <w:vAlign w:val="center"/>
          </w:tcPr>
          <w:p w14:paraId="522C27E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DB84C88">
      <w:pPr>
        <w:numPr>
          <w:ilvl w:val="0"/>
          <w:numId w:val="43"/>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课程目标达成度计算方法</w:t>
      </w:r>
    </w:p>
    <w:p w14:paraId="425CBCF3">
      <w:pPr>
        <w:spacing w:line="360" w:lineRule="auto"/>
        <w:ind w:firstLine="480" w:firstLineChars="200"/>
        <w:rPr>
          <w:rFonts w:hint="eastAsia" w:ascii="宋体" w:hAnsi="宋体" w:eastAsia="宋体" w:cs="Times New Roman"/>
          <w:b/>
          <w:color w:val="000000"/>
          <w:szCs w:val="21"/>
        </w:rPr>
      </w:pPr>
      <w:r>
        <w:rPr>
          <w:rFonts w:ascii="Times New Roman" w:hAnsi="Times New Roman" w:eastAsia="宋体" w:cs="Times New Roman"/>
          <w:sz w:val="24"/>
        </w:rPr>
        <w:t>课程总评成绩=出勤情况成绩×10% +师生互动成绩×10% +作业成绩×30%+期末考试成绩×50%。</w:t>
      </w:r>
    </w:p>
    <w:p w14:paraId="7AC981F4">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课程实践</w:t>
      </w:r>
    </w:p>
    <w:p w14:paraId="1F8B5904">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3FE2AD2B">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90C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761A25BB">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6426725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31FD53BD">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5E825539">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2908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1212" w:type="dxa"/>
            <w:vAlign w:val="center"/>
          </w:tcPr>
          <w:p w14:paraId="76A11FDB">
            <w:pPr>
              <w:adjustRightInd w:val="0"/>
              <w:ind w:firstLine="198"/>
              <w:rPr>
                <w:rFonts w:hint="eastAsia" w:ascii="宋体" w:hAnsi="宋体" w:eastAsia="宋体" w:cs="宋体"/>
                <w:szCs w:val="21"/>
              </w:rPr>
            </w:pPr>
            <w:r>
              <w:rPr>
                <w:rFonts w:ascii="Times New Roman" w:hAnsi="Times New Roman" w:eastAsia="宋体" w:cs="Times New Roman"/>
                <w:bCs/>
                <w:szCs w:val="21"/>
              </w:rPr>
              <w:t>LINGO操作</w:t>
            </w:r>
          </w:p>
        </w:tc>
        <w:tc>
          <w:tcPr>
            <w:tcW w:w="3407" w:type="dxa"/>
            <w:vAlign w:val="center"/>
          </w:tcPr>
          <w:p w14:paraId="1E5011C4">
            <w:pPr>
              <w:ind w:firstLine="200"/>
              <w:rPr>
                <w:rFonts w:hint="eastAsia" w:ascii="宋体" w:hAnsi="宋体" w:eastAsia="宋体" w:cs="宋体"/>
                <w:szCs w:val="21"/>
              </w:rPr>
            </w:pPr>
            <w:r>
              <w:rPr>
                <w:rFonts w:ascii="Times New Roman" w:hAnsi="Times New Roman" w:eastAsia="宋体" w:cs="Times New Roman"/>
                <w:bCs/>
                <w:szCs w:val="21"/>
              </w:rPr>
              <w:t>利用LINGO软件对数学规划模型求解并进行相关的灵敏度分析。</w:t>
            </w:r>
          </w:p>
        </w:tc>
        <w:tc>
          <w:tcPr>
            <w:tcW w:w="740" w:type="dxa"/>
            <w:vAlign w:val="center"/>
          </w:tcPr>
          <w:p w14:paraId="00C653C4">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53882539">
            <w:pPr>
              <w:spacing w:line="276" w:lineRule="auto"/>
              <w:jc w:val="left"/>
              <w:rPr>
                <w:rFonts w:hint="eastAsia" w:ascii="宋体" w:hAnsi="宋体" w:eastAsia="宋体" w:cs="宋体"/>
                <w:szCs w:val="21"/>
              </w:rPr>
            </w:pPr>
            <w:r>
              <w:rPr>
                <w:rFonts w:ascii="Times New Roman" w:hAnsi="Times New Roman" w:eastAsia="宋体" w:cs="Times New Roman"/>
                <w:sz w:val="24"/>
              </w:rPr>
              <w:t>注重理论联系实际，尊重客观规律，树立社会主义核心价值观，增强专业素养，强调理论对实践的指导意义。</w:t>
            </w:r>
          </w:p>
        </w:tc>
      </w:tr>
      <w:tr w14:paraId="5763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541A6BCE">
            <w:pPr>
              <w:adjustRightInd w:val="0"/>
              <w:ind w:firstLine="198"/>
              <w:rPr>
                <w:rFonts w:hint="eastAsia" w:ascii="宋体" w:hAnsi="宋体" w:eastAsia="宋体" w:cs="宋体"/>
                <w:szCs w:val="21"/>
              </w:rPr>
            </w:pPr>
            <w:r>
              <w:rPr>
                <w:rFonts w:ascii="Times New Roman" w:hAnsi="Times New Roman" w:eastAsia="宋体" w:cs="Times New Roman"/>
                <w:bCs/>
                <w:szCs w:val="21"/>
              </w:rPr>
              <w:t>MATLAB操作</w:t>
            </w:r>
          </w:p>
        </w:tc>
        <w:tc>
          <w:tcPr>
            <w:tcW w:w="3407" w:type="dxa"/>
            <w:vAlign w:val="center"/>
          </w:tcPr>
          <w:p w14:paraId="14A690DC">
            <w:pPr>
              <w:ind w:firstLine="200"/>
              <w:rPr>
                <w:rFonts w:hint="eastAsia" w:ascii="宋体" w:hAnsi="宋体" w:eastAsia="宋体" w:cs="宋体"/>
                <w:szCs w:val="21"/>
              </w:rPr>
            </w:pPr>
            <w:r>
              <w:rPr>
                <w:rFonts w:ascii="Times New Roman" w:hAnsi="Times New Roman" w:eastAsia="宋体" w:cs="Times New Roman"/>
                <w:bCs/>
                <w:szCs w:val="21"/>
              </w:rPr>
              <w:t>利用Matlab软件对微分方程的参数进行估计、模拟求解并给出相应的表格和图像；利用Matlab软件对微分方程数值解进行模拟。</w:t>
            </w:r>
          </w:p>
        </w:tc>
        <w:tc>
          <w:tcPr>
            <w:tcW w:w="740" w:type="dxa"/>
            <w:vAlign w:val="center"/>
          </w:tcPr>
          <w:p w14:paraId="5510054A">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62A7B8A7">
            <w:pPr>
              <w:spacing w:line="276" w:lineRule="auto"/>
              <w:jc w:val="left"/>
              <w:rPr>
                <w:rFonts w:hint="eastAsia" w:ascii="宋体" w:hAnsi="宋体" w:eastAsia="宋体" w:cs="宋体"/>
                <w:szCs w:val="21"/>
              </w:rPr>
            </w:pPr>
            <w:r>
              <w:rPr>
                <w:rFonts w:ascii="Times New Roman" w:hAnsi="Times New Roman" w:eastAsia="宋体" w:cs="Times New Roman"/>
                <w:sz w:val="24"/>
              </w:rPr>
              <w:t>注重理论联系实际，尊重客观规律，树立社会主义核心价值观，增强专业素养，强调理论对实践的指导意义。</w:t>
            </w:r>
          </w:p>
        </w:tc>
      </w:tr>
      <w:tr w14:paraId="7FE9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C502F5C">
            <w:pPr>
              <w:adjustRightInd w:val="0"/>
              <w:ind w:firstLine="198"/>
              <w:rPr>
                <w:rFonts w:hint="eastAsia" w:ascii="宋体" w:hAnsi="宋体" w:eastAsia="宋体" w:cs="宋体"/>
                <w:szCs w:val="21"/>
              </w:rPr>
            </w:pPr>
            <w:r>
              <w:rPr>
                <w:rFonts w:ascii="Times New Roman" w:hAnsi="Times New Roman" w:eastAsia="宋体" w:cs="Times New Roman"/>
                <w:bCs/>
                <w:szCs w:val="21"/>
              </w:rPr>
              <w:t>MATLAB操作</w:t>
            </w:r>
          </w:p>
        </w:tc>
        <w:tc>
          <w:tcPr>
            <w:tcW w:w="3407" w:type="dxa"/>
            <w:vAlign w:val="center"/>
          </w:tcPr>
          <w:p w14:paraId="1B35A3AE">
            <w:pPr>
              <w:ind w:firstLine="200"/>
              <w:rPr>
                <w:rFonts w:hint="eastAsia" w:ascii="宋体" w:hAnsi="宋体" w:eastAsia="宋体" w:cs="宋体"/>
                <w:szCs w:val="21"/>
              </w:rPr>
            </w:pPr>
            <w:r>
              <w:rPr>
                <w:rFonts w:ascii="Times New Roman" w:hAnsi="Times New Roman" w:eastAsia="宋体" w:cs="Times New Roman"/>
                <w:bCs/>
                <w:szCs w:val="21"/>
              </w:rPr>
              <w:t>利用Matlab软件对差分方程和代数方程的进行模拟并作出图像。</w:t>
            </w:r>
          </w:p>
        </w:tc>
        <w:tc>
          <w:tcPr>
            <w:tcW w:w="740" w:type="dxa"/>
            <w:vAlign w:val="center"/>
          </w:tcPr>
          <w:p w14:paraId="73D51A15">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51568998">
            <w:pPr>
              <w:spacing w:line="276" w:lineRule="auto"/>
              <w:jc w:val="left"/>
              <w:rPr>
                <w:rFonts w:hint="eastAsia" w:ascii="宋体" w:hAnsi="宋体" w:eastAsia="宋体" w:cs="宋体"/>
                <w:b/>
                <w:bCs/>
                <w:szCs w:val="21"/>
              </w:rPr>
            </w:pPr>
            <w:r>
              <w:rPr>
                <w:rFonts w:ascii="Times New Roman" w:hAnsi="Times New Roman" w:eastAsia="宋体" w:cs="Times New Roman"/>
                <w:sz w:val="24"/>
              </w:rPr>
              <w:t>注重理论联系实际，尊重客观规律，树立社会主义核心价值观，增强专业素养，强调理论对实践的指导意义。</w:t>
            </w:r>
          </w:p>
        </w:tc>
      </w:tr>
      <w:tr w14:paraId="054D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39954CC2">
            <w:pPr>
              <w:adjustRightInd w:val="0"/>
              <w:ind w:firstLine="198"/>
              <w:rPr>
                <w:rFonts w:hint="eastAsia" w:ascii="宋体" w:hAnsi="宋体" w:eastAsia="宋体" w:cs="宋体"/>
                <w:szCs w:val="21"/>
              </w:rPr>
            </w:pPr>
            <w:r>
              <w:rPr>
                <w:rFonts w:ascii="Times New Roman" w:hAnsi="Times New Roman" w:eastAsia="宋体" w:cs="Times New Roman"/>
                <w:bCs/>
                <w:szCs w:val="21"/>
              </w:rPr>
              <w:t>MATLAB操作</w:t>
            </w:r>
          </w:p>
        </w:tc>
        <w:tc>
          <w:tcPr>
            <w:tcW w:w="3407" w:type="dxa"/>
            <w:vAlign w:val="center"/>
          </w:tcPr>
          <w:p w14:paraId="2FAE7E20">
            <w:pPr>
              <w:ind w:firstLine="200"/>
              <w:rPr>
                <w:rFonts w:hint="eastAsia" w:ascii="宋体" w:hAnsi="宋体" w:eastAsia="宋体" w:cs="宋体"/>
                <w:szCs w:val="21"/>
              </w:rPr>
            </w:pPr>
            <w:r>
              <w:rPr>
                <w:rFonts w:ascii="Times New Roman" w:hAnsi="Times New Roman" w:eastAsia="宋体" w:cs="Times New Roman"/>
                <w:bCs/>
                <w:szCs w:val="21"/>
              </w:rPr>
              <w:t>基于多属性决策和层次分析法，利用Matlab软件对实际问题进行决策，并给出相应的最优方案。</w:t>
            </w:r>
          </w:p>
        </w:tc>
        <w:tc>
          <w:tcPr>
            <w:tcW w:w="740" w:type="dxa"/>
            <w:vAlign w:val="center"/>
          </w:tcPr>
          <w:p w14:paraId="54296EAF">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54882057">
            <w:pPr>
              <w:spacing w:line="276" w:lineRule="auto"/>
              <w:jc w:val="left"/>
              <w:rPr>
                <w:rFonts w:hint="eastAsia" w:ascii="宋体" w:hAnsi="宋体" w:eastAsia="宋体" w:cs="宋体"/>
                <w:szCs w:val="21"/>
              </w:rPr>
            </w:pPr>
            <w:r>
              <w:rPr>
                <w:rFonts w:ascii="Times New Roman" w:hAnsi="Times New Roman" w:eastAsia="宋体" w:cs="Times New Roman"/>
                <w:sz w:val="24"/>
              </w:rPr>
              <w:t>注重理论联系实际，尊重客观规律，树立社会主义核心价值观，增强专业素养，强调理论对实践的指导意义</w:t>
            </w:r>
            <w:r>
              <w:rPr>
                <w:rFonts w:hint="eastAsia" w:ascii="宋体" w:hAnsi="宋体" w:eastAsia="宋体" w:cs="宋体"/>
                <w:szCs w:val="21"/>
              </w:rPr>
              <w:t>。</w:t>
            </w:r>
          </w:p>
        </w:tc>
      </w:tr>
    </w:tbl>
    <w:p w14:paraId="0BD7C5A6">
      <w:pPr>
        <w:spacing w:line="360" w:lineRule="auto"/>
        <w:ind w:firstLine="551" w:firstLineChars="196"/>
        <w:jc w:val="left"/>
        <w:rPr>
          <w:rFonts w:hint="eastAsia" w:ascii="宋体" w:hAnsi="宋体" w:eastAsia="宋体" w:cs="Times New Roman"/>
          <w:b/>
          <w:color w:val="000000"/>
          <w:sz w:val="28"/>
          <w:szCs w:val="28"/>
        </w:rPr>
      </w:pPr>
    </w:p>
    <w:p w14:paraId="6FC618B7">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六、有关说明</w:t>
      </w:r>
    </w:p>
    <w:p w14:paraId="1DAF1327">
      <w:pPr>
        <w:spacing w:line="360" w:lineRule="auto"/>
        <w:ind w:firstLine="482" w:firstLineChars="200"/>
        <w:rPr>
          <w:rFonts w:ascii="Times New Roman" w:hAnsi="Times New Roman" w:eastAsia="宋体" w:cs="Times New Roman"/>
          <w:b/>
          <w:color w:val="000000"/>
          <w:sz w:val="24"/>
        </w:rPr>
      </w:pPr>
      <w:r>
        <w:rPr>
          <w:rFonts w:ascii="Times New Roman" w:hAnsi="Times New Roman" w:eastAsia="宋体" w:cs="Times New Roman"/>
          <w:b/>
          <w:color w:val="000000"/>
          <w:sz w:val="24"/>
        </w:rPr>
        <w:t>（一）持续改进</w:t>
      </w:r>
    </w:p>
    <w:p w14:paraId="607E7D95">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1. 提倡改革教学方法，强调应用现代化教学手段，如课件、互联网视频教学和网络答疑等。</w:t>
      </w:r>
    </w:p>
    <w:p w14:paraId="6FA4A2BB">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2.合理安排教学课时，加强课堂提问、课堂小测验等旨在督促学生自主学习的教学环节；引导学生做好课前预习、课后整理笔记并及时完成作业的复习工作；保证学生完成一定数量的作业和习题。</w:t>
      </w:r>
    </w:p>
    <w:p w14:paraId="1A03C577">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3．教学用的例题和习题，应适当结合工程实际。</w:t>
      </w:r>
    </w:p>
    <w:p w14:paraId="1DBB1E81">
      <w:pPr>
        <w:spacing w:line="360" w:lineRule="auto"/>
        <w:ind w:firstLine="482" w:firstLineChars="200"/>
        <w:rPr>
          <w:rFonts w:ascii="Times New Roman" w:hAnsi="Times New Roman" w:eastAsia="宋体" w:cs="Times New Roman"/>
          <w:b/>
          <w:color w:val="000000"/>
          <w:sz w:val="24"/>
        </w:rPr>
      </w:pPr>
      <w:r>
        <w:rPr>
          <w:rFonts w:ascii="Times New Roman" w:hAnsi="Times New Roman" w:eastAsia="宋体" w:cs="Times New Roman"/>
          <w:b/>
          <w:color w:val="000000"/>
          <w:sz w:val="24"/>
        </w:rPr>
        <w:t>（二）参考书目及学习资料</w:t>
      </w:r>
    </w:p>
    <w:p w14:paraId="2E8DFE26">
      <w:pPr>
        <w:spacing w:line="400" w:lineRule="atLeast"/>
        <w:ind w:firstLine="480" w:firstLineChars="200"/>
        <w:rPr>
          <w:rFonts w:ascii="Times New Roman" w:hAnsi="Times New Roman" w:eastAsia="宋体" w:cs="Times New Roman"/>
          <w:sz w:val="24"/>
        </w:rPr>
      </w:pPr>
      <w:r>
        <w:rPr>
          <w:rFonts w:ascii="Times New Roman" w:hAnsi="Times New Roman" w:eastAsia="宋体" w:cs="Times New Roman"/>
          <w:sz w:val="24"/>
        </w:rPr>
        <w:t>1. 《数学模型》，姜启源，高等教育出版社，2018.5</w:t>
      </w:r>
    </w:p>
    <w:p w14:paraId="185BD5FE">
      <w:pPr>
        <w:autoSpaceDE w:val="0"/>
        <w:autoSpaceDN w:val="0"/>
        <w:adjustRightInd w:val="0"/>
        <w:spacing w:line="360" w:lineRule="auto"/>
        <w:ind w:firstLine="480" w:firstLineChars="200"/>
        <w:jc w:val="left"/>
        <w:rPr>
          <w:rFonts w:hint="eastAsia" w:ascii="宋体" w:hAnsi="宋体" w:eastAsia="宋体" w:cs="Times New Roman"/>
          <w:kern w:val="0"/>
          <w:sz w:val="24"/>
          <w:szCs w:val="21"/>
        </w:rPr>
      </w:pPr>
    </w:p>
    <w:p w14:paraId="162D311D">
      <w:pPr>
        <w:wordWrap w:val="0"/>
        <w:autoSpaceDE w:val="0"/>
        <w:autoSpaceDN w:val="0"/>
        <w:adjustRightInd w:val="0"/>
        <w:spacing w:line="360" w:lineRule="auto"/>
        <w:jc w:val="right"/>
        <w:rPr>
          <w:rFonts w:hint="eastAsia"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 xml:space="preserve">李森  </w:t>
      </w:r>
    </w:p>
    <w:p w14:paraId="5EC1F615">
      <w:pPr>
        <w:wordWrap w:val="0"/>
        <w:autoSpaceDE w:val="0"/>
        <w:autoSpaceDN w:val="0"/>
        <w:adjustRightInd w:val="0"/>
        <w:spacing w:line="360" w:lineRule="auto"/>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审定人：钱峰  </w:t>
      </w:r>
    </w:p>
    <w:p w14:paraId="520A6795">
      <w:pPr>
        <w:wordWrap w:val="0"/>
        <w:autoSpaceDE w:val="0"/>
        <w:autoSpaceDN w:val="0"/>
        <w:adjustRightInd w:val="0"/>
        <w:spacing w:line="360" w:lineRule="auto"/>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审批人：王献东  </w:t>
      </w:r>
    </w:p>
    <w:p w14:paraId="7434A4CE">
      <w:pPr>
        <w:autoSpaceDE w:val="0"/>
        <w:autoSpaceDN w:val="0"/>
        <w:adjustRightInd w:val="0"/>
        <w:spacing w:line="360" w:lineRule="auto"/>
        <w:jc w:val="right"/>
        <w:rPr>
          <w:rFonts w:ascii="Calibri" w:hAnsi="Calibri" w:eastAsia="宋体" w:cs="Times New Roman"/>
          <w:kern w:val="0"/>
          <w:sz w:val="24"/>
          <w:szCs w:val="21"/>
        </w:rPr>
      </w:pPr>
      <w:r>
        <w:rPr>
          <w:rFonts w:hint="eastAsia" w:ascii="Calibri" w:hAnsi="Calibri" w:eastAsia="宋体" w:cs="Times New Roman"/>
          <w:kern w:val="0"/>
          <w:sz w:val="24"/>
          <w:szCs w:val="21"/>
        </w:rPr>
        <w:t>批准时间：2024年8月30日</w:t>
      </w:r>
      <w:r>
        <w:rPr>
          <w:rFonts w:ascii="Calibri" w:hAnsi="Calibri" w:eastAsia="宋体" w:cs="Times New Roman"/>
          <w:kern w:val="0"/>
          <w:sz w:val="24"/>
          <w:szCs w:val="21"/>
        </w:rPr>
        <w:t xml:space="preserve"> </w:t>
      </w:r>
    </w:p>
    <w:p w14:paraId="22A35F56"/>
    <w:p w14:paraId="708D1A51">
      <w:r>
        <w:rPr>
          <w:rFonts w:hint="eastAsia"/>
        </w:rPr>
        <w:br w:type="page"/>
      </w:r>
    </w:p>
    <w:p w14:paraId="7037787A">
      <w:pPr>
        <w:pStyle w:val="2"/>
        <w:tabs>
          <w:tab w:val="left" w:pos="720"/>
          <w:tab w:val="left" w:pos="2700"/>
        </w:tabs>
      </w:pPr>
      <w:bookmarkStart w:id="274" w:name="_Toc5172"/>
      <w:r>
        <w:rPr>
          <w:rFonts w:hint="eastAsia"/>
        </w:rPr>
        <w:t>《小学数学教学案例研究》课程教学大纲</w:t>
      </w:r>
      <w:bookmarkEnd w:id="272"/>
      <w:bookmarkEnd w:id="273"/>
      <w:bookmarkEnd w:id="274"/>
    </w:p>
    <w:p w14:paraId="1B15E59F">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（The Case Study of Mathematical Teaching in Primary School）</w:t>
      </w:r>
    </w:p>
    <w:p w14:paraId="3216BDA2">
      <w:pPr>
        <w:spacing w:line="360" w:lineRule="auto"/>
        <w:jc w:val="center"/>
        <w:rPr>
          <w:rFonts w:ascii="Times New Roman" w:hAnsi="Times New Roman" w:eastAsia="宋体" w:cs="Times New Roman"/>
          <w:bCs/>
          <w:sz w:val="30"/>
          <w:szCs w:val="30"/>
        </w:rPr>
      </w:pPr>
    </w:p>
    <w:p w14:paraId="2D75C48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课程名称：小学数学教学案例研究</w:t>
      </w:r>
    </w:p>
    <w:p w14:paraId="1A0105E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2401041</w:t>
      </w:r>
    </w:p>
    <w:p w14:paraId="344C0B6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分：2</w:t>
      </w:r>
    </w:p>
    <w:p w14:paraId="645DD61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时：32 （其中：讲授学时16， 实践学时16）</w:t>
      </w:r>
    </w:p>
    <w:p w14:paraId="7EEA22B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先修课程：教育心理学、课程与教学论、小学数学课程标准与教材分析、小学数学教学设计与实施</w:t>
      </w:r>
    </w:p>
    <w:p w14:paraId="7743A15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适用专业：小学教育（理）</w:t>
      </w:r>
    </w:p>
    <w:p w14:paraId="7890BFF2">
      <w:pPr>
        <w:spacing w:line="360" w:lineRule="auto"/>
        <w:jc w:val="left"/>
        <w:rPr>
          <w:rFonts w:ascii="Times New Roman" w:hAnsi="Times New Roman" w:eastAsia="宋体" w:cs="Times New Roman"/>
          <w:b/>
          <w:sz w:val="24"/>
        </w:rPr>
      </w:pPr>
    </w:p>
    <w:p w14:paraId="64209C2D">
      <w:pPr>
        <w:spacing w:line="360" w:lineRule="auto"/>
        <w:jc w:val="left"/>
        <w:rPr>
          <w:rFonts w:ascii="Times New Roman" w:hAnsi="Times New Roman" w:eastAsia="宋体" w:cs="Times New Roman"/>
          <w:sz w:val="28"/>
          <w:szCs w:val="28"/>
        </w:rPr>
      </w:pPr>
      <w:r>
        <w:rPr>
          <w:rFonts w:hint="eastAsia" w:ascii="Times New Roman" w:hAnsi="Times New Roman" w:eastAsia="宋体" w:cs="Times New Roman"/>
          <w:b/>
          <w:sz w:val="28"/>
          <w:szCs w:val="28"/>
        </w:rPr>
        <w:t>一、课程简介</w:t>
      </w:r>
    </w:p>
    <w:p w14:paraId="52144E87">
      <w:pPr>
        <w:spacing w:line="360" w:lineRule="auto"/>
        <w:ind w:firstLine="480" w:firstLineChars="200"/>
        <w:jc w:val="left"/>
        <w:rPr>
          <w:rFonts w:hint="eastAsia" w:ascii="宋体" w:hAnsi="宋体" w:eastAsia="宋体" w:cs="Times New Roman"/>
          <w:b/>
          <w:color w:val="000000"/>
          <w:sz w:val="24"/>
        </w:rPr>
      </w:pPr>
      <w:bookmarkStart w:id="275" w:name="_Toc27846278"/>
      <w:bookmarkStart w:id="276" w:name="_Toc27847296"/>
      <w:r>
        <w:rPr>
          <w:rFonts w:hint="eastAsia" w:ascii="Times New Roman" w:hAnsi="Times New Roman" w:eastAsia="宋体" w:cs="Times New Roman"/>
          <w:sz w:val="24"/>
        </w:rPr>
        <w:t>本课程是小学教育（理）专业的一门专业选修课程。本课程旨在帮助师范生通过对小学数学教学案例的分析，获取有益的数学教学经验，加深对数学教学理论的理解，树立正确的教学观，为成为一名合格的小学数学教师打下良好的基础。</w:t>
      </w:r>
    </w:p>
    <w:p w14:paraId="70156542">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bookmarkEnd w:id="275"/>
      <w:bookmarkEnd w:id="276"/>
    </w:p>
    <w:p w14:paraId="7FDA9B78">
      <w:pPr>
        <w:spacing w:line="360" w:lineRule="auto"/>
        <w:ind w:firstLine="482" w:firstLineChars="200"/>
        <w:rPr>
          <w:rFonts w:hint="eastAsia" w:ascii="宋体" w:hAnsi="宋体" w:eastAsia="宋体" w:cs="Times New Roman"/>
          <w:b/>
          <w:color w:val="000000"/>
          <w:sz w:val="24"/>
        </w:rPr>
      </w:pPr>
      <w:bookmarkStart w:id="277" w:name="_Toc27847297"/>
      <w:bookmarkStart w:id="278" w:name="_Toc27846279"/>
      <w:r>
        <w:rPr>
          <w:rFonts w:hint="eastAsia" w:ascii="宋体" w:hAnsi="宋体" w:eastAsia="宋体" w:cs="Times New Roman"/>
          <w:b/>
          <w:color w:val="000000"/>
          <w:sz w:val="24"/>
        </w:rPr>
        <w:t>（一）课程具体目标</w:t>
      </w:r>
      <w:bookmarkEnd w:id="277"/>
      <w:bookmarkEnd w:id="278"/>
    </w:p>
    <w:p w14:paraId="008B4C99">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1. 理解小学数学教学案例及案例研究的内涵；明确小学数学教学案例研究的价值；了解小学数学教学案例的结构与类型；理解小学数学教学案例研究的目标，掌握小学数学教学案例研究的基本方法。</w:t>
      </w:r>
    </w:p>
    <w:p w14:paraId="7B0642C0">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2. 能够依据《数学课程标准》关于小学数学各领域的目标要求分析相关案例；了解各领域教学内容的一般特点及教学策略；能够对相关案例作出</w:t>
      </w:r>
      <w:r>
        <w:rPr>
          <w:rFonts w:hint="eastAsia" w:ascii="Times New Roman" w:hAnsi="Times New Roman" w:eastAsia="宋体" w:cs="Times New Roman"/>
          <w:sz w:val="24"/>
        </w:rPr>
        <w:t>合理</w:t>
      </w:r>
      <w:r>
        <w:rPr>
          <w:rFonts w:ascii="Times New Roman" w:hAnsi="Times New Roman" w:eastAsia="宋体" w:cs="Times New Roman"/>
          <w:sz w:val="24"/>
        </w:rPr>
        <w:t>的评价并提出自己的教学设想。</w:t>
      </w:r>
    </w:p>
    <w:p w14:paraId="3A3BB04B">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 xml:space="preserve">3. </w:t>
      </w:r>
      <w:r>
        <w:rPr>
          <w:rFonts w:hint="eastAsia" w:ascii="Times New Roman" w:hAnsi="Times New Roman" w:eastAsia="宋体" w:cs="Times New Roman"/>
          <w:sz w:val="24"/>
        </w:rPr>
        <w:t>坚持全面发展的教学评价观，能充分借鉴小学数学案例中的育人理念和方法，形成较强的学科育人意识，养成科学、严谨的教学态度。</w:t>
      </w:r>
    </w:p>
    <w:p w14:paraId="1EE70BE2">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目标4</w:t>
      </w:r>
      <w:r>
        <w:rPr>
          <w:rFonts w:ascii="Times New Roman" w:hAnsi="Times New Roman" w:eastAsia="宋体" w:cs="Times New Roman"/>
          <w:sz w:val="24"/>
        </w:rPr>
        <w:t>. 借鉴名师的先进经验，敢于挑战权威，勇于创新，具有较强的研究能力和反思能力。形成严谨、踏实的学习和教学态度，能够主动寻求同学和老师的帮助，具有强烈的团队合作意识。</w:t>
      </w:r>
    </w:p>
    <w:p w14:paraId="20BFA064">
      <w:pPr>
        <w:spacing w:before="156" w:beforeLines="50" w:after="156" w:afterLines="50"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5812"/>
        <w:gridCol w:w="1327"/>
      </w:tblGrid>
      <w:tr w14:paraId="22F6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7278D426">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w:t>
            </w:r>
          </w:p>
        </w:tc>
        <w:tc>
          <w:tcPr>
            <w:tcW w:w="5812" w:type="dxa"/>
            <w:vAlign w:val="center"/>
          </w:tcPr>
          <w:p w14:paraId="206F9C02">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毕业要求指标点</w:t>
            </w:r>
          </w:p>
        </w:tc>
        <w:tc>
          <w:tcPr>
            <w:tcW w:w="1327" w:type="dxa"/>
            <w:vAlign w:val="center"/>
          </w:tcPr>
          <w:p w14:paraId="74C0C946">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r>
      <w:tr w14:paraId="731F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vAlign w:val="center"/>
          </w:tcPr>
          <w:p w14:paraId="61C2A36D">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4. 教学能力</w:t>
            </w:r>
          </w:p>
        </w:tc>
        <w:tc>
          <w:tcPr>
            <w:tcW w:w="5812" w:type="dxa"/>
            <w:vAlign w:val="center"/>
          </w:tcPr>
          <w:p w14:paraId="03048709">
            <w:pPr>
              <w:spacing w:line="276" w:lineRule="auto"/>
              <w:jc w:val="left"/>
              <w:rPr>
                <w:rFonts w:ascii="Times New Roman" w:hAnsi="Times New Roman" w:eastAsia="宋体" w:cs="Times New Roman"/>
                <w:sz w:val="24"/>
              </w:rPr>
            </w:pPr>
            <w:r>
              <w:rPr>
                <w:rFonts w:hint="eastAsia" w:ascii="宋体" w:hAnsi="宋体" w:eastAsia="宋体" w:cs="Times New Roman"/>
                <w:color w:val="000000"/>
                <w:spacing w:val="2"/>
                <w:kern w:val="0"/>
                <w:sz w:val="24"/>
              </w:rPr>
              <w:t>指标点</w:t>
            </w:r>
            <w:r>
              <w:rPr>
                <w:rFonts w:ascii="宋体" w:hAnsi="宋体" w:eastAsia="宋体" w:cs="Times New Roman"/>
                <w:color w:val="000000"/>
                <w:spacing w:val="2"/>
                <w:kern w:val="0"/>
                <w:sz w:val="24"/>
              </w:rPr>
              <w:t>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327" w:type="dxa"/>
            <w:vAlign w:val="center"/>
          </w:tcPr>
          <w:p w14:paraId="5FBD101A">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1</w:t>
            </w:r>
          </w:p>
        </w:tc>
      </w:tr>
      <w:tr w14:paraId="77FF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vAlign w:val="center"/>
          </w:tcPr>
          <w:p w14:paraId="1E471AFF">
            <w:pPr>
              <w:spacing w:line="276" w:lineRule="auto"/>
              <w:jc w:val="left"/>
              <w:rPr>
                <w:rFonts w:ascii="Times New Roman" w:hAnsi="Times New Roman" w:eastAsia="宋体" w:cs="Times New Roman"/>
                <w:sz w:val="24"/>
              </w:rPr>
            </w:pPr>
          </w:p>
        </w:tc>
        <w:tc>
          <w:tcPr>
            <w:tcW w:w="5812" w:type="dxa"/>
            <w:vAlign w:val="center"/>
          </w:tcPr>
          <w:p w14:paraId="28E36E19">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指标点</w:t>
            </w:r>
            <w:r>
              <w:rPr>
                <w:rFonts w:ascii="Times New Roman" w:hAnsi="Times New Roman" w:eastAsia="宋体" w:cs="Times New Roman"/>
                <w:sz w:val="24"/>
              </w:rPr>
              <w:t>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3803772B">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2</w:t>
            </w:r>
          </w:p>
        </w:tc>
      </w:tr>
      <w:tr w14:paraId="3F63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2206E0D5">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6. 综合育人</w:t>
            </w:r>
          </w:p>
        </w:tc>
        <w:tc>
          <w:tcPr>
            <w:tcW w:w="5812" w:type="dxa"/>
            <w:vAlign w:val="center"/>
          </w:tcPr>
          <w:p w14:paraId="7CEC15EE">
            <w:pPr>
              <w:spacing w:line="276" w:lineRule="auto"/>
              <w:jc w:val="left"/>
              <w:rPr>
                <w:rFonts w:ascii="Times New Roman" w:hAnsi="Times New Roman" w:eastAsia="宋体" w:cs="Times New Roman"/>
                <w:sz w:val="24"/>
              </w:rPr>
            </w:pPr>
            <w:r>
              <w:rPr>
                <w:rFonts w:hint="eastAsia" w:ascii="宋体" w:hAnsi="宋体" w:eastAsia="宋体" w:cs="Times New Roman"/>
                <w:color w:val="000000"/>
                <w:spacing w:val="2"/>
                <w:kern w:val="0"/>
                <w:sz w:val="24"/>
              </w:rPr>
              <w:t>指标点</w:t>
            </w:r>
            <w:r>
              <w:rPr>
                <w:rFonts w:ascii="宋体" w:hAnsi="宋体" w:eastAsia="宋体" w:cs="Times New Roman"/>
                <w:color w:val="000000"/>
                <w:spacing w:val="2"/>
                <w:kern w:val="0"/>
                <w:sz w:val="24"/>
              </w:rPr>
              <w:t>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08124167">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3</w:t>
            </w:r>
          </w:p>
        </w:tc>
      </w:tr>
      <w:tr w14:paraId="2BF3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703B8C11">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7：学会反思</w:t>
            </w:r>
          </w:p>
        </w:tc>
        <w:tc>
          <w:tcPr>
            <w:tcW w:w="5812" w:type="dxa"/>
            <w:vAlign w:val="center"/>
          </w:tcPr>
          <w:p w14:paraId="37796DEC">
            <w:pPr>
              <w:spacing w:line="276" w:lineRule="auto"/>
              <w:jc w:val="left"/>
              <w:rPr>
                <w:rFonts w:hint="eastAsia" w:ascii="宋体" w:hAnsi="宋体" w:eastAsia="宋体" w:cs="Times New Roman"/>
                <w:color w:val="000000"/>
                <w:spacing w:val="2"/>
                <w:kern w:val="0"/>
                <w:sz w:val="24"/>
              </w:rPr>
            </w:pPr>
            <w:r>
              <w:rPr>
                <w:rFonts w:hint="eastAsia" w:ascii="宋体" w:hAnsi="宋体" w:eastAsia="宋体" w:cs="Times New Roman"/>
                <w:color w:val="000000"/>
                <w:spacing w:val="2"/>
                <w:kern w:val="0"/>
                <w:sz w:val="24"/>
              </w:rPr>
              <w:t>指标点</w:t>
            </w:r>
            <w:r>
              <w:rPr>
                <w:rFonts w:ascii="宋体" w:hAnsi="宋体" w:eastAsia="宋体" w:cs="Times New Roman"/>
                <w:color w:val="000000"/>
                <w:spacing w:val="2"/>
                <w:kern w:val="0"/>
                <w:sz w:val="24"/>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487AD96A">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4</w:t>
            </w:r>
          </w:p>
        </w:tc>
      </w:tr>
    </w:tbl>
    <w:p w14:paraId="3B60A664">
      <w:pPr>
        <w:spacing w:before="156" w:beforeLines="50"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（三）课程思政目标</w:t>
      </w:r>
    </w:p>
    <w:p w14:paraId="05DC1E67">
      <w:pPr>
        <w:spacing w:line="360" w:lineRule="auto"/>
        <w:ind w:firstLine="470" w:firstLineChars="196"/>
        <w:jc w:val="left"/>
        <w:rPr>
          <w:rFonts w:hint="eastAsia" w:ascii="宋体" w:hAnsi="宋体" w:eastAsia="宋体" w:cs="Times New Roman"/>
          <w:color w:val="000000"/>
          <w:sz w:val="24"/>
        </w:rPr>
      </w:pPr>
      <w:r>
        <w:rPr>
          <w:rFonts w:ascii="宋体" w:hAnsi="宋体" w:eastAsia="宋体" w:cs="Times New Roman"/>
          <w:color w:val="000000"/>
          <w:sz w:val="24"/>
        </w:rPr>
        <w:t>学习他人的先进理念和教学经验。增强师德水平，争做“四有”好老师</w:t>
      </w:r>
      <w:r>
        <w:rPr>
          <w:rFonts w:hint="eastAsia" w:ascii="宋体" w:hAnsi="宋体" w:eastAsia="宋体" w:cs="Times New Roman"/>
          <w:color w:val="000000"/>
          <w:sz w:val="24"/>
        </w:rPr>
        <w:t>；养成</w:t>
      </w:r>
      <w:r>
        <w:rPr>
          <w:rFonts w:ascii="宋体" w:hAnsi="宋体" w:eastAsia="宋体" w:cs="Times New Roman"/>
          <w:color w:val="000000"/>
          <w:sz w:val="24"/>
        </w:rPr>
        <w:t>踏实严谨的学习态度</w:t>
      </w:r>
      <w:r>
        <w:rPr>
          <w:rFonts w:hint="eastAsia" w:ascii="宋体" w:hAnsi="宋体" w:eastAsia="宋体" w:cs="Times New Roman"/>
          <w:color w:val="000000"/>
          <w:sz w:val="24"/>
        </w:rPr>
        <w:t>；</w:t>
      </w:r>
      <w:r>
        <w:rPr>
          <w:rFonts w:ascii="宋体" w:hAnsi="宋体" w:eastAsia="宋体" w:cs="Times New Roman"/>
          <w:color w:val="000000"/>
          <w:sz w:val="24"/>
        </w:rPr>
        <w:t>掌握科学、严谨的案例学习方法。通过</w:t>
      </w:r>
      <w:r>
        <w:rPr>
          <w:rFonts w:hint="eastAsia" w:ascii="宋体" w:hAnsi="宋体" w:eastAsia="宋体" w:cs="Times New Roman"/>
          <w:color w:val="000000"/>
          <w:sz w:val="24"/>
        </w:rPr>
        <w:t>对</w:t>
      </w:r>
      <w:r>
        <w:rPr>
          <w:rFonts w:ascii="宋体" w:hAnsi="宋体" w:eastAsia="宋体" w:cs="Times New Roman"/>
          <w:color w:val="000000"/>
          <w:sz w:val="24"/>
        </w:rPr>
        <w:t>优秀</w:t>
      </w:r>
      <w:r>
        <w:rPr>
          <w:rFonts w:hint="eastAsia" w:ascii="宋体" w:hAnsi="宋体" w:eastAsia="宋体" w:cs="Times New Roman"/>
          <w:color w:val="000000"/>
          <w:sz w:val="24"/>
        </w:rPr>
        <w:t>教学</w:t>
      </w:r>
      <w:r>
        <w:rPr>
          <w:rFonts w:ascii="宋体" w:hAnsi="宋体" w:eastAsia="宋体" w:cs="Times New Roman"/>
          <w:color w:val="000000"/>
          <w:sz w:val="24"/>
        </w:rPr>
        <w:t>案例</w:t>
      </w:r>
      <w:r>
        <w:rPr>
          <w:rFonts w:hint="eastAsia" w:ascii="宋体" w:hAnsi="宋体" w:eastAsia="宋体" w:cs="Times New Roman"/>
          <w:color w:val="000000"/>
          <w:sz w:val="24"/>
        </w:rPr>
        <w:t>学习</w:t>
      </w:r>
      <w:r>
        <w:rPr>
          <w:rFonts w:ascii="宋体" w:hAnsi="宋体" w:eastAsia="宋体" w:cs="Times New Roman"/>
          <w:color w:val="000000"/>
          <w:sz w:val="24"/>
        </w:rPr>
        <w:t>，</w:t>
      </w:r>
      <w:r>
        <w:rPr>
          <w:rFonts w:hint="eastAsia" w:ascii="宋体" w:hAnsi="宋体" w:eastAsia="宋体" w:cs="Times New Roman"/>
          <w:color w:val="000000"/>
          <w:sz w:val="24"/>
        </w:rPr>
        <w:t>提升教学能力，</w:t>
      </w:r>
      <w:r>
        <w:rPr>
          <w:rFonts w:ascii="宋体" w:hAnsi="宋体" w:eastAsia="宋体" w:cs="Times New Roman"/>
          <w:color w:val="000000"/>
          <w:sz w:val="24"/>
        </w:rPr>
        <w:t>增强专业自信心</w:t>
      </w:r>
      <w:r>
        <w:rPr>
          <w:rFonts w:hint="eastAsia" w:ascii="宋体" w:hAnsi="宋体" w:eastAsia="宋体" w:cs="Times New Roman"/>
          <w:color w:val="000000"/>
          <w:sz w:val="24"/>
        </w:rPr>
        <w:t>；</w:t>
      </w:r>
      <w:r>
        <w:rPr>
          <w:rFonts w:ascii="宋体" w:hAnsi="宋体" w:eastAsia="宋体" w:cs="Times New Roman"/>
          <w:color w:val="000000"/>
          <w:sz w:val="24"/>
        </w:rPr>
        <w:t>增强团队合作意识与沟通表达能力。</w:t>
      </w:r>
    </w:p>
    <w:p w14:paraId="68870140">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8"/>
          <w:szCs w:val="28"/>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698"/>
        <w:gridCol w:w="1132"/>
        <w:gridCol w:w="3252"/>
        <w:gridCol w:w="1556"/>
        <w:gridCol w:w="457"/>
      </w:tblGrid>
      <w:tr w14:paraId="2659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E47D80F">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w:t>
            </w:r>
          </w:p>
          <w:p w14:paraId="453868D4">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单元</w:t>
            </w:r>
          </w:p>
        </w:tc>
        <w:tc>
          <w:tcPr>
            <w:tcW w:w="1701" w:type="dxa"/>
            <w:vAlign w:val="center"/>
          </w:tcPr>
          <w:p w14:paraId="201A5B65">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知识点</w:t>
            </w:r>
          </w:p>
        </w:tc>
        <w:tc>
          <w:tcPr>
            <w:tcW w:w="1134" w:type="dxa"/>
            <w:vAlign w:val="center"/>
          </w:tcPr>
          <w:p w14:paraId="2E30E505">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对应</w:t>
            </w:r>
          </w:p>
          <w:p w14:paraId="24CEB48E">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课程目标</w:t>
            </w:r>
          </w:p>
        </w:tc>
        <w:tc>
          <w:tcPr>
            <w:tcW w:w="3260" w:type="dxa"/>
            <w:vAlign w:val="center"/>
          </w:tcPr>
          <w:p w14:paraId="28F166DB">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预期学习成效</w:t>
            </w:r>
          </w:p>
        </w:tc>
        <w:tc>
          <w:tcPr>
            <w:tcW w:w="1560" w:type="dxa"/>
            <w:vAlign w:val="center"/>
          </w:tcPr>
          <w:p w14:paraId="5003AD09">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实现环节</w:t>
            </w:r>
          </w:p>
        </w:tc>
        <w:tc>
          <w:tcPr>
            <w:tcW w:w="438" w:type="dxa"/>
            <w:vAlign w:val="center"/>
          </w:tcPr>
          <w:p w14:paraId="38120511">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学时</w:t>
            </w:r>
          </w:p>
        </w:tc>
      </w:tr>
      <w:tr w14:paraId="2629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5F9D923">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小学数学教学案例研究概述</w:t>
            </w:r>
          </w:p>
        </w:tc>
        <w:tc>
          <w:tcPr>
            <w:tcW w:w="1701" w:type="dxa"/>
            <w:vAlign w:val="center"/>
          </w:tcPr>
          <w:p w14:paraId="1D0BE517">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⑴案例概述</w:t>
            </w:r>
          </w:p>
          <w:p w14:paraId="6C6060D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⑵小学数学教学案例研究的内涵与价值</w:t>
            </w:r>
          </w:p>
          <w:p w14:paraId="487129B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⑶小学数学教学案例的结构与类型</w:t>
            </w:r>
          </w:p>
          <w:p w14:paraId="385A687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⑷小学数学教学案例研究的目标</w:t>
            </w:r>
          </w:p>
        </w:tc>
        <w:tc>
          <w:tcPr>
            <w:tcW w:w="1134" w:type="dxa"/>
            <w:vAlign w:val="center"/>
          </w:tcPr>
          <w:p w14:paraId="7F6650ED">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课程目标1、3、4</w:t>
            </w:r>
          </w:p>
        </w:tc>
        <w:tc>
          <w:tcPr>
            <w:tcW w:w="3260" w:type="dxa"/>
            <w:vAlign w:val="center"/>
          </w:tcPr>
          <w:p w14:paraId="133BA10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1）理解小学数学教学案例及案例研究的内涵</w:t>
            </w:r>
          </w:p>
          <w:p w14:paraId="719DC9BB">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2）明确小学数学教学案例研究的价值</w:t>
            </w:r>
          </w:p>
          <w:p w14:paraId="4D51079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3）理解小学数学教学案例研究的目标</w:t>
            </w:r>
          </w:p>
        </w:tc>
        <w:tc>
          <w:tcPr>
            <w:tcW w:w="1560" w:type="dxa"/>
            <w:vAlign w:val="center"/>
          </w:tcPr>
          <w:p w14:paraId="389DF577">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1EDEB17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604C11C1">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6151F0E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1F94AFCE">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2</w:t>
            </w:r>
          </w:p>
        </w:tc>
      </w:tr>
      <w:tr w14:paraId="17B4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8A524E5">
            <w:pPr>
              <w:spacing w:line="264" w:lineRule="auto"/>
              <w:jc w:val="center"/>
              <w:rPr>
                <w:rFonts w:hint="eastAsia" w:ascii="宋体" w:hAnsi="宋体" w:eastAsia="宋体" w:cs="Times New Roman"/>
                <w:color w:val="000000"/>
                <w:sz w:val="24"/>
              </w:rPr>
            </w:pPr>
          </w:p>
        </w:tc>
        <w:tc>
          <w:tcPr>
            <w:tcW w:w="8093" w:type="dxa"/>
            <w:gridSpan w:val="5"/>
            <w:vAlign w:val="center"/>
          </w:tcPr>
          <w:p w14:paraId="12851CF1">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1）学习他人的先进理念和教学经验。</w:t>
            </w:r>
            <w:r>
              <w:rPr>
                <w:rFonts w:hint="eastAsia" w:ascii="宋体" w:hAnsi="宋体" w:eastAsia="宋体" w:cs="Times New Roman"/>
                <w:color w:val="000000"/>
                <w:sz w:val="24"/>
              </w:rPr>
              <w:t>（</w:t>
            </w:r>
            <w:r>
              <w:rPr>
                <w:rFonts w:ascii="宋体" w:hAnsi="宋体" w:eastAsia="宋体" w:cs="Times New Roman"/>
                <w:color w:val="000000"/>
                <w:sz w:val="24"/>
              </w:rPr>
              <w:t>2）增强师德水平，争做“四有”好老师。</w:t>
            </w:r>
          </w:p>
        </w:tc>
      </w:tr>
      <w:tr w14:paraId="4496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FCDBDE7">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小学数学教学案例研究的过程与方法</w:t>
            </w:r>
          </w:p>
        </w:tc>
        <w:tc>
          <w:tcPr>
            <w:tcW w:w="1701" w:type="dxa"/>
            <w:vAlign w:val="center"/>
          </w:tcPr>
          <w:p w14:paraId="42FB2A7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⑴小学数学教学案例研究的理论依据</w:t>
            </w:r>
          </w:p>
          <w:p w14:paraId="389A336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⑵小学数学教学案例研究的过程</w:t>
            </w:r>
          </w:p>
          <w:p w14:paraId="0EB324DB">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⑶小学数学教学案例研究的方法</w:t>
            </w:r>
          </w:p>
        </w:tc>
        <w:tc>
          <w:tcPr>
            <w:tcW w:w="1134" w:type="dxa"/>
            <w:vAlign w:val="center"/>
          </w:tcPr>
          <w:p w14:paraId="099993A5">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课程目标1、3、4</w:t>
            </w:r>
          </w:p>
        </w:tc>
        <w:tc>
          <w:tcPr>
            <w:tcW w:w="3260" w:type="dxa"/>
            <w:vAlign w:val="center"/>
          </w:tcPr>
          <w:p w14:paraId="63C1C940">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1）明确小学教学案例研究的理论依据</w:t>
            </w:r>
          </w:p>
          <w:p w14:paraId="1C5291D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2）了解小学数学教学案例研究的一般流程</w:t>
            </w:r>
          </w:p>
          <w:p w14:paraId="26B0B22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3）掌握小学数学教学案例研究的基本方法</w:t>
            </w:r>
          </w:p>
        </w:tc>
        <w:tc>
          <w:tcPr>
            <w:tcW w:w="1560" w:type="dxa"/>
            <w:vAlign w:val="center"/>
          </w:tcPr>
          <w:p w14:paraId="63B04B7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7D4C6D12">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78013F00">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62DADFC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01C6D997">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4</w:t>
            </w:r>
          </w:p>
        </w:tc>
      </w:tr>
      <w:tr w14:paraId="49E5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604C2E">
            <w:pPr>
              <w:spacing w:line="264" w:lineRule="auto"/>
              <w:jc w:val="center"/>
              <w:rPr>
                <w:rFonts w:hint="eastAsia" w:ascii="宋体" w:hAnsi="宋体" w:eastAsia="宋体" w:cs="Times New Roman"/>
                <w:color w:val="000000"/>
                <w:sz w:val="24"/>
              </w:rPr>
            </w:pPr>
          </w:p>
        </w:tc>
        <w:tc>
          <w:tcPr>
            <w:tcW w:w="8093" w:type="dxa"/>
            <w:gridSpan w:val="5"/>
            <w:vAlign w:val="center"/>
          </w:tcPr>
          <w:p w14:paraId="19576C63">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1）形成踏实严谨的学习态度。</w:t>
            </w:r>
            <w:r>
              <w:rPr>
                <w:rFonts w:hint="eastAsia" w:ascii="宋体" w:hAnsi="宋体" w:eastAsia="宋体" w:cs="Times New Roman"/>
                <w:color w:val="000000"/>
                <w:sz w:val="24"/>
              </w:rPr>
              <w:t>（</w:t>
            </w:r>
            <w:r>
              <w:rPr>
                <w:rFonts w:ascii="宋体" w:hAnsi="宋体" w:eastAsia="宋体" w:cs="Times New Roman"/>
                <w:color w:val="000000"/>
                <w:sz w:val="24"/>
              </w:rPr>
              <w:t>2）掌握科学、严谨的案例学习方法。</w:t>
            </w:r>
          </w:p>
        </w:tc>
      </w:tr>
      <w:tr w14:paraId="6138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EE3090">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“数与代数”教学案例研究</w:t>
            </w:r>
          </w:p>
        </w:tc>
        <w:tc>
          <w:tcPr>
            <w:tcW w:w="1701" w:type="dxa"/>
            <w:vAlign w:val="center"/>
          </w:tcPr>
          <w:p w14:paraId="62C9B89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⑴数与运算案例</w:t>
            </w:r>
          </w:p>
          <w:p w14:paraId="6FBC30A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⑵数量关系</w:t>
            </w:r>
          </w:p>
        </w:tc>
        <w:tc>
          <w:tcPr>
            <w:tcW w:w="1134" w:type="dxa"/>
            <w:vAlign w:val="center"/>
          </w:tcPr>
          <w:p w14:paraId="21A28946">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课程目标2、3、4</w:t>
            </w:r>
          </w:p>
        </w:tc>
        <w:tc>
          <w:tcPr>
            <w:tcW w:w="3260" w:type="dxa"/>
            <w:vAlign w:val="center"/>
          </w:tcPr>
          <w:p w14:paraId="737914C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1）能够依据《数学课程标准》关于“数与代数”领域的目标要求分析相关案例</w:t>
            </w:r>
          </w:p>
          <w:p w14:paraId="071EE1A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2）了解“数与代数”教学内容的一般特点及教学策略</w:t>
            </w:r>
          </w:p>
          <w:p w14:paraId="46C45322">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3）能够对相关案例作出恰当的评价并提出自己的教学设想并实施</w:t>
            </w:r>
          </w:p>
        </w:tc>
        <w:tc>
          <w:tcPr>
            <w:tcW w:w="1560" w:type="dxa"/>
            <w:vAlign w:val="center"/>
          </w:tcPr>
          <w:p w14:paraId="74B61C6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096CD8E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2FCA4AB9">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7EA15A25">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0F0C2D76">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10</w:t>
            </w:r>
          </w:p>
        </w:tc>
      </w:tr>
      <w:tr w14:paraId="40D6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BA84BE9">
            <w:pPr>
              <w:spacing w:line="264" w:lineRule="auto"/>
              <w:jc w:val="center"/>
              <w:rPr>
                <w:rFonts w:hint="eastAsia" w:ascii="宋体" w:hAnsi="宋体" w:eastAsia="宋体" w:cs="Times New Roman"/>
                <w:color w:val="000000"/>
                <w:sz w:val="24"/>
              </w:rPr>
            </w:pPr>
          </w:p>
        </w:tc>
        <w:tc>
          <w:tcPr>
            <w:tcW w:w="8093" w:type="dxa"/>
            <w:gridSpan w:val="5"/>
            <w:vAlign w:val="center"/>
          </w:tcPr>
          <w:p w14:paraId="627515EA">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1）通过学习“数与代数”教学的优秀案例，增强专业自信心。</w:t>
            </w:r>
            <w:r>
              <w:rPr>
                <w:rFonts w:hint="eastAsia" w:ascii="宋体" w:hAnsi="宋体" w:eastAsia="宋体" w:cs="Times New Roman"/>
                <w:color w:val="000000"/>
                <w:sz w:val="24"/>
              </w:rPr>
              <w:t>（</w:t>
            </w:r>
            <w:r>
              <w:rPr>
                <w:rFonts w:ascii="宋体" w:hAnsi="宋体" w:eastAsia="宋体" w:cs="Times New Roman"/>
                <w:color w:val="000000"/>
                <w:sz w:val="24"/>
              </w:rPr>
              <w:t>2）树立全面育人的教学观，注重教学中情感、态度与价值观目标的达成。</w:t>
            </w:r>
            <w:r>
              <w:rPr>
                <w:rFonts w:hint="eastAsia" w:ascii="宋体" w:hAnsi="宋体" w:eastAsia="宋体" w:cs="Times New Roman"/>
                <w:color w:val="000000"/>
                <w:sz w:val="24"/>
              </w:rPr>
              <w:t>（</w:t>
            </w:r>
            <w:r>
              <w:rPr>
                <w:rFonts w:ascii="宋体" w:hAnsi="宋体" w:eastAsia="宋体" w:cs="Times New Roman"/>
                <w:color w:val="000000"/>
                <w:sz w:val="24"/>
              </w:rPr>
              <w:t>3）增强团队合作意识</w:t>
            </w:r>
            <w:r>
              <w:rPr>
                <w:rFonts w:hint="eastAsia" w:ascii="宋体" w:hAnsi="宋体" w:eastAsia="宋体" w:cs="Times New Roman"/>
                <w:color w:val="000000"/>
                <w:sz w:val="24"/>
              </w:rPr>
              <w:t>和专业自信心</w:t>
            </w:r>
            <w:r>
              <w:rPr>
                <w:rFonts w:ascii="宋体" w:hAnsi="宋体" w:eastAsia="宋体" w:cs="Times New Roman"/>
                <w:color w:val="000000"/>
                <w:sz w:val="24"/>
              </w:rPr>
              <w:t>。</w:t>
            </w:r>
          </w:p>
        </w:tc>
      </w:tr>
      <w:tr w14:paraId="36B2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4749657">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“图形与几何”教学案例研究</w:t>
            </w:r>
          </w:p>
        </w:tc>
        <w:tc>
          <w:tcPr>
            <w:tcW w:w="1701" w:type="dxa"/>
            <w:vAlign w:val="center"/>
          </w:tcPr>
          <w:p w14:paraId="07B83EE8">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⑴图形的认识与测量案例</w:t>
            </w:r>
          </w:p>
          <w:p w14:paraId="4251FFB5">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⑵图形的位置与运动案例</w:t>
            </w:r>
          </w:p>
          <w:p w14:paraId="5ECB89C9">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⑷图形与位置案例</w:t>
            </w:r>
          </w:p>
        </w:tc>
        <w:tc>
          <w:tcPr>
            <w:tcW w:w="1134" w:type="dxa"/>
            <w:vAlign w:val="center"/>
          </w:tcPr>
          <w:p w14:paraId="4171C55A">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课程目标2、3、4</w:t>
            </w:r>
          </w:p>
        </w:tc>
        <w:tc>
          <w:tcPr>
            <w:tcW w:w="3260" w:type="dxa"/>
            <w:vAlign w:val="center"/>
          </w:tcPr>
          <w:p w14:paraId="44ACE5A9">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1）能够依据《数学课程标准》关于“图形与几何”领域的目标要求分析相关案例</w:t>
            </w:r>
          </w:p>
          <w:p w14:paraId="37F367AD">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2）了解“图形与几何”教学内容的一般特点及教学策略</w:t>
            </w:r>
          </w:p>
          <w:p w14:paraId="0FDD252D">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3）能够对相关案例作出恰当的评价并提出自己的教学设想并实施</w:t>
            </w:r>
          </w:p>
        </w:tc>
        <w:tc>
          <w:tcPr>
            <w:tcW w:w="1560" w:type="dxa"/>
            <w:vAlign w:val="center"/>
          </w:tcPr>
          <w:p w14:paraId="31E7F435">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2A906C52">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0198622E">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4DFB30C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388A8F92">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6</w:t>
            </w:r>
          </w:p>
        </w:tc>
      </w:tr>
      <w:tr w14:paraId="6D69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BE88EE5">
            <w:pPr>
              <w:spacing w:line="276" w:lineRule="auto"/>
              <w:jc w:val="center"/>
              <w:rPr>
                <w:rFonts w:hint="eastAsia" w:ascii="宋体" w:hAnsi="宋体" w:eastAsia="宋体" w:cs="Times New Roman"/>
                <w:color w:val="000000"/>
                <w:sz w:val="24"/>
              </w:rPr>
            </w:pPr>
          </w:p>
        </w:tc>
        <w:tc>
          <w:tcPr>
            <w:tcW w:w="8093" w:type="dxa"/>
            <w:gridSpan w:val="5"/>
            <w:vAlign w:val="center"/>
          </w:tcPr>
          <w:p w14:paraId="23BEE526">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1）通过学习“图形与几何”教学的优秀案例，增强专业自信心。</w:t>
            </w:r>
            <w:r>
              <w:rPr>
                <w:rFonts w:hint="eastAsia" w:ascii="宋体" w:hAnsi="宋体" w:eastAsia="宋体" w:cs="Times New Roman"/>
                <w:color w:val="000000"/>
                <w:sz w:val="24"/>
              </w:rPr>
              <w:t>（</w:t>
            </w:r>
            <w:r>
              <w:rPr>
                <w:rFonts w:ascii="宋体" w:hAnsi="宋体" w:eastAsia="宋体" w:cs="Times New Roman"/>
                <w:color w:val="000000"/>
                <w:sz w:val="24"/>
              </w:rPr>
              <w:t>2）树立全面育人的教学观，注重教学中情感、态度与价值观目标的达成。</w:t>
            </w:r>
            <w:r>
              <w:rPr>
                <w:rFonts w:hint="eastAsia" w:ascii="宋体" w:hAnsi="宋体" w:eastAsia="宋体" w:cs="Times New Roman"/>
                <w:color w:val="000000"/>
                <w:sz w:val="24"/>
              </w:rPr>
              <w:t>（</w:t>
            </w:r>
            <w:r>
              <w:rPr>
                <w:rFonts w:ascii="宋体" w:hAnsi="宋体" w:eastAsia="宋体" w:cs="Times New Roman"/>
                <w:color w:val="000000"/>
                <w:sz w:val="24"/>
              </w:rPr>
              <w:t>3）增强团队合作意识</w:t>
            </w:r>
            <w:r>
              <w:rPr>
                <w:rFonts w:hint="eastAsia" w:ascii="宋体" w:hAnsi="宋体" w:eastAsia="宋体" w:cs="Times New Roman"/>
                <w:color w:val="000000"/>
                <w:sz w:val="24"/>
              </w:rPr>
              <w:t>和专业自信心</w:t>
            </w:r>
            <w:r>
              <w:rPr>
                <w:rFonts w:ascii="宋体" w:hAnsi="宋体" w:eastAsia="宋体" w:cs="Times New Roman"/>
                <w:color w:val="000000"/>
                <w:sz w:val="24"/>
              </w:rPr>
              <w:t>。</w:t>
            </w:r>
          </w:p>
        </w:tc>
      </w:tr>
      <w:tr w14:paraId="6355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8AB4354">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5</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“统计与概率”教学案例研究</w:t>
            </w:r>
          </w:p>
        </w:tc>
        <w:tc>
          <w:tcPr>
            <w:tcW w:w="1701" w:type="dxa"/>
            <w:vAlign w:val="center"/>
          </w:tcPr>
          <w:p w14:paraId="2D42AC62">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⑴数据分类案例</w:t>
            </w:r>
          </w:p>
          <w:p w14:paraId="71DBEE49">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⑵数据的收集、整理与表达案例</w:t>
            </w:r>
          </w:p>
          <w:p w14:paraId="1D5159B0">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⑶随机现象的可能性案例</w:t>
            </w:r>
          </w:p>
        </w:tc>
        <w:tc>
          <w:tcPr>
            <w:tcW w:w="1134" w:type="dxa"/>
            <w:vAlign w:val="center"/>
          </w:tcPr>
          <w:p w14:paraId="54EA6F75">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课程目标2、3、4</w:t>
            </w:r>
          </w:p>
        </w:tc>
        <w:tc>
          <w:tcPr>
            <w:tcW w:w="3260" w:type="dxa"/>
            <w:vAlign w:val="center"/>
          </w:tcPr>
          <w:p w14:paraId="40C2B006">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1）能够依据《数学课程标准》关于“统计与概率”领域的目标要求分析相关案例</w:t>
            </w:r>
          </w:p>
          <w:p w14:paraId="07E7ABD4">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2）了解“统计与概率”教学内容的一般特点及教学策略</w:t>
            </w:r>
          </w:p>
          <w:p w14:paraId="5DB788BB">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3）能够对相关案例作出恰当的评价并提出自己的教学设想并实施</w:t>
            </w:r>
          </w:p>
        </w:tc>
        <w:tc>
          <w:tcPr>
            <w:tcW w:w="1560" w:type="dxa"/>
            <w:vAlign w:val="center"/>
          </w:tcPr>
          <w:p w14:paraId="650547E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16A5085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543DE91D">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6624F2D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32864016">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6</w:t>
            </w:r>
          </w:p>
        </w:tc>
      </w:tr>
      <w:tr w14:paraId="097B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BAF6AE4">
            <w:pPr>
              <w:spacing w:line="276" w:lineRule="auto"/>
              <w:jc w:val="center"/>
              <w:rPr>
                <w:rFonts w:hint="eastAsia" w:ascii="宋体" w:hAnsi="宋体" w:eastAsia="宋体" w:cs="Times New Roman"/>
                <w:color w:val="000000"/>
                <w:sz w:val="24"/>
              </w:rPr>
            </w:pPr>
          </w:p>
        </w:tc>
        <w:tc>
          <w:tcPr>
            <w:tcW w:w="8093" w:type="dxa"/>
            <w:gridSpan w:val="5"/>
            <w:vAlign w:val="center"/>
          </w:tcPr>
          <w:p w14:paraId="73A4847E">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1）通过学习“统计与概率”教学的优秀案例，增强专业自信心。</w:t>
            </w:r>
            <w:r>
              <w:rPr>
                <w:rFonts w:hint="eastAsia" w:ascii="宋体" w:hAnsi="宋体" w:eastAsia="宋体" w:cs="Times New Roman"/>
                <w:color w:val="000000"/>
                <w:sz w:val="24"/>
              </w:rPr>
              <w:t>（</w:t>
            </w:r>
            <w:r>
              <w:rPr>
                <w:rFonts w:ascii="宋体" w:hAnsi="宋体" w:eastAsia="宋体" w:cs="Times New Roman"/>
                <w:color w:val="000000"/>
                <w:sz w:val="24"/>
              </w:rPr>
              <w:t>2）树立全面育人的教学观，注重教学中情感、态度与价值观目标的达成。</w:t>
            </w:r>
            <w:r>
              <w:rPr>
                <w:rFonts w:hint="eastAsia" w:ascii="宋体" w:hAnsi="宋体" w:eastAsia="宋体" w:cs="Times New Roman"/>
                <w:color w:val="000000"/>
                <w:sz w:val="24"/>
              </w:rPr>
              <w:t>（</w:t>
            </w:r>
            <w:r>
              <w:rPr>
                <w:rFonts w:ascii="宋体" w:hAnsi="宋体" w:eastAsia="宋体" w:cs="Times New Roman"/>
                <w:color w:val="000000"/>
                <w:sz w:val="24"/>
              </w:rPr>
              <w:t>3）增强团队合作意识</w:t>
            </w:r>
            <w:r>
              <w:rPr>
                <w:rFonts w:hint="eastAsia" w:ascii="宋体" w:hAnsi="宋体" w:eastAsia="宋体" w:cs="Times New Roman"/>
                <w:color w:val="000000"/>
                <w:sz w:val="24"/>
              </w:rPr>
              <w:t>和专业自信心</w:t>
            </w:r>
            <w:r>
              <w:rPr>
                <w:rFonts w:ascii="宋体" w:hAnsi="宋体" w:eastAsia="宋体" w:cs="Times New Roman"/>
                <w:color w:val="000000"/>
                <w:sz w:val="24"/>
              </w:rPr>
              <w:t>。</w:t>
            </w:r>
          </w:p>
        </w:tc>
      </w:tr>
      <w:tr w14:paraId="2DEF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098961">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6</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“综合与实践”教学案例研究</w:t>
            </w:r>
          </w:p>
        </w:tc>
        <w:tc>
          <w:tcPr>
            <w:tcW w:w="1701" w:type="dxa"/>
            <w:vAlign w:val="center"/>
          </w:tcPr>
          <w:p w14:paraId="44E83EEE">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⑴主题活动案例</w:t>
            </w:r>
          </w:p>
          <w:p w14:paraId="1CC3117F">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⑵项目学习案例</w:t>
            </w:r>
          </w:p>
        </w:tc>
        <w:tc>
          <w:tcPr>
            <w:tcW w:w="1134" w:type="dxa"/>
            <w:vAlign w:val="center"/>
          </w:tcPr>
          <w:p w14:paraId="0282F13C">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课程目标2、3、4</w:t>
            </w:r>
          </w:p>
        </w:tc>
        <w:tc>
          <w:tcPr>
            <w:tcW w:w="3260" w:type="dxa"/>
            <w:vAlign w:val="center"/>
          </w:tcPr>
          <w:p w14:paraId="746D31D5">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1）能够依据《数学课程标准》关于“综合与实践”领域的目标要求分析相关案例</w:t>
            </w:r>
          </w:p>
          <w:p w14:paraId="1C1DAA93">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2）了解“综合与实践”教学内容的一般特点及教学策略</w:t>
            </w:r>
          </w:p>
          <w:p w14:paraId="39258D10">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w:t>
            </w:r>
            <w:r>
              <w:rPr>
                <w:rFonts w:ascii="宋体" w:hAnsi="宋体" w:eastAsia="宋体" w:cs="Times New Roman"/>
                <w:color w:val="000000"/>
                <w:sz w:val="24"/>
              </w:rPr>
              <w:t>3）能够对相关案例作出恰当的评价并提出自己的教学设想并实施</w:t>
            </w:r>
          </w:p>
        </w:tc>
        <w:tc>
          <w:tcPr>
            <w:tcW w:w="1560" w:type="dxa"/>
            <w:vAlign w:val="center"/>
          </w:tcPr>
          <w:p w14:paraId="70A1797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7DBE0EE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7F4F1FDD">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.模拟教学</w:t>
            </w:r>
          </w:p>
          <w:p w14:paraId="1986610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53458AEF">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4</w:t>
            </w:r>
          </w:p>
        </w:tc>
      </w:tr>
      <w:tr w14:paraId="028D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27A53B7">
            <w:pPr>
              <w:spacing w:line="276" w:lineRule="auto"/>
              <w:jc w:val="center"/>
              <w:rPr>
                <w:rFonts w:hint="eastAsia" w:ascii="宋体" w:hAnsi="宋体" w:eastAsia="宋体" w:cs="Times New Roman"/>
                <w:color w:val="000000"/>
                <w:sz w:val="24"/>
              </w:rPr>
            </w:pPr>
          </w:p>
        </w:tc>
        <w:tc>
          <w:tcPr>
            <w:tcW w:w="8093" w:type="dxa"/>
            <w:gridSpan w:val="5"/>
            <w:vAlign w:val="center"/>
          </w:tcPr>
          <w:p w14:paraId="09EA74BE">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w:t>
            </w:r>
            <w:r>
              <w:rPr>
                <w:rFonts w:ascii="宋体" w:hAnsi="宋体" w:eastAsia="宋体" w:cs="Times New Roman"/>
                <w:color w:val="000000"/>
                <w:sz w:val="24"/>
              </w:rPr>
              <w:t>1）通过学习“综合与实践”教学的优秀案例，增强专业自信心。</w:t>
            </w:r>
            <w:r>
              <w:rPr>
                <w:rFonts w:hint="eastAsia" w:ascii="宋体" w:hAnsi="宋体" w:eastAsia="宋体" w:cs="Times New Roman"/>
                <w:color w:val="000000"/>
                <w:sz w:val="24"/>
              </w:rPr>
              <w:t>（</w:t>
            </w:r>
            <w:r>
              <w:rPr>
                <w:rFonts w:ascii="宋体" w:hAnsi="宋体" w:eastAsia="宋体" w:cs="Times New Roman"/>
                <w:color w:val="000000"/>
                <w:sz w:val="24"/>
              </w:rPr>
              <w:t>2）树立全面育人的教学观，注重教学中情感、态度与价值观目标的达成。</w:t>
            </w:r>
            <w:r>
              <w:rPr>
                <w:rFonts w:hint="eastAsia" w:ascii="宋体" w:hAnsi="宋体" w:eastAsia="宋体" w:cs="Times New Roman"/>
                <w:color w:val="000000"/>
                <w:sz w:val="24"/>
              </w:rPr>
              <w:t>（</w:t>
            </w:r>
            <w:r>
              <w:rPr>
                <w:rFonts w:ascii="宋体" w:hAnsi="宋体" w:eastAsia="宋体" w:cs="Times New Roman"/>
                <w:color w:val="000000"/>
                <w:sz w:val="24"/>
              </w:rPr>
              <w:t>3）增强团队合作意识</w:t>
            </w:r>
            <w:r>
              <w:rPr>
                <w:rFonts w:hint="eastAsia" w:ascii="宋体" w:hAnsi="宋体" w:eastAsia="宋体" w:cs="Times New Roman"/>
                <w:color w:val="000000"/>
                <w:sz w:val="24"/>
              </w:rPr>
              <w:t>和专业自信心</w:t>
            </w:r>
            <w:r>
              <w:rPr>
                <w:rFonts w:ascii="宋体" w:hAnsi="宋体" w:eastAsia="宋体" w:cs="Times New Roman"/>
                <w:color w:val="000000"/>
                <w:sz w:val="24"/>
              </w:rPr>
              <w:t>。</w:t>
            </w:r>
          </w:p>
        </w:tc>
      </w:tr>
    </w:tbl>
    <w:p w14:paraId="0102DF70">
      <w:pPr>
        <w:spacing w:line="360" w:lineRule="auto"/>
        <w:jc w:val="left"/>
        <w:rPr>
          <w:rFonts w:ascii="Times New Roman" w:hAnsi="Times New Roman" w:eastAsia="宋体" w:cs="Times New Roman"/>
          <w:sz w:val="24"/>
        </w:rPr>
      </w:pPr>
    </w:p>
    <w:p w14:paraId="66427247">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四、目标评价与成绩评定</w:t>
      </w:r>
    </w:p>
    <w:p w14:paraId="1E26ED2C">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5665807B">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0EFEE42D">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14"/>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550"/>
        <w:gridCol w:w="1406"/>
        <w:gridCol w:w="1406"/>
        <w:gridCol w:w="1406"/>
        <w:gridCol w:w="832"/>
      </w:tblGrid>
      <w:tr w14:paraId="529A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63843EA1">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w:t>
            </w:r>
          </w:p>
        </w:tc>
        <w:tc>
          <w:tcPr>
            <w:tcW w:w="0" w:type="auto"/>
            <w:gridSpan w:val="4"/>
            <w:vAlign w:val="center"/>
          </w:tcPr>
          <w:p w14:paraId="63638DBD">
            <w:pPr>
              <w:spacing w:line="360" w:lineRule="auto"/>
              <w:jc w:val="center"/>
              <w:rPr>
                <w:rFonts w:hint="eastAsia" w:ascii="宋体" w:hAnsi="宋体" w:eastAsia="宋体" w:cs="Times New Roman"/>
                <w:sz w:val="24"/>
              </w:rPr>
            </w:pPr>
            <w:r>
              <w:rPr>
                <w:rFonts w:hint="eastAsia" w:ascii="宋体" w:hAnsi="宋体" w:eastAsia="宋体" w:cs="Times New Roman"/>
                <w:sz w:val="24"/>
              </w:rPr>
              <w:t>评价与成绩评定方法</w:t>
            </w:r>
          </w:p>
        </w:tc>
        <w:tc>
          <w:tcPr>
            <w:tcW w:w="0" w:type="auto"/>
            <w:vMerge w:val="restart"/>
            <w:vAlign w:val="center"/>
          </w:tcPr>
          <w:p w14:paraId="7D417109">
            <w:pPr>
              <w:spacing w:line="360" w:lineRule="auto"/>
              <w:jc w:val="center"/>
              <w:rPr>
                <w:rFonts w:hint="eastAsia" w:ascii="宋体" w:hAnsi="宋体" w:eastAsia="宋体" w:cs="Times New Roman"/>
                <w:sz w:val="24"/>
              </w:rPr>
            </w:pPr>
            <w:r>
              <w:rPr>
                <w:rFonts w:hint="eastAsia" w:ascii="宋体" w:hAnsi="宋体" w:eastAsia="宋体" w:cs="Times New Roman"/>
                <w:sz w:val="24"/>
              </w:rPr>
              <w:t>分值</w:t>
            </w:r>
          </w:p>
        </w:tc>
      </w:tr>
      <w:tr w14:paraId="5331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06F8718A">
            <w:pPr>
              <w:spacing w:line="360" w:lineRule="auto"/>
              <w:jc w:val="center"/>
              <w:rPr>
                <w:rFonts w:hint="eastAsia" w:ascii="宋体" w:hAnsi="宋体" w:eastAsia="宋体" w:cs="Times New Roman"/>
                <w:sz w:val="24"/>
              </w:rPr>
            </w:pPr>
          </w:p>
        </w:tc>
        <w:tc>
          <w:tcPr>
            <w:tcW w:w="0" w:type="auto"/>
            <w:vAlign w:val="center"/>
          </w:tcPr>
          <w:p w14:paraId="04287655">
            <w:pPr>
              <w:spacing w:line="360" w:lineRule="auto"/>
              <w:jc w:val="center"/>
              <w:rPr>
                <w:rFonts w:hint="eastAsia" w:ascii="宋体" w:hAnsi="宋体" w:eastAsia="宋体" w:cs="Times New Roman"/>
                <w:sz w:val="24"/>
              </w:rPr>
            </w:pPr>
            <w:r>
              <w:rPr>
                <w:rFonts w:hint="eastAsia" w:ascii="宋体" w:hAnsi="宋体" w:eastAsia="宋体" w:cs="Times New Roman"/>
                <w:sz w:val="24"/>
              </w:rPr>
              <w:t>作业</w:t>
            </w:r>
            <w:r>
              <w:rPr>
                <w:rFonts w:ascii="宋体" w:hAnsi="宋体" w:eastAsia="宋体" w:cs="Times New Roman"/>
                <w:sz w:val="24"/>
              </w:rPr>
              <w:t>+考勤</w:t>
            </w:r>
          </w:p>
        </w:tc>
        <w:tc>
          <w:tcPr>
            <w:tcW w:w="0" w:type="auto"/>
            <w:vAlign w:val="center"/>
          </w:tcPr>
          <w:p w14:paraId="1F503B07">
            <w:pPr>
              <w:spacing w:line="360" w:lineRule="auto"/>
              <w:jc w:val="center"/>
              <w:rPr>
                <w:rFonts w:hint="eastAsia" w:ascii="宋体" w:hAnsi="宋体" w:eastAsia="宋体" w:cs="Times New Roman"/>
                <w:sz w:val="24"/>
              </w:rPr>
            </w:pPr>
            <w:r>
              <w:rPr>
                <w:rFonts w:hint="eastAsia" w:ascii="宋体" w:hAnsi="宋体" w:eastAsia="宋体" w:cs="Times New Roman"/>
                <w:sz w:val="24"/>
              </w:rPr>
              <w:t>课堂表现</w:t>
            </w:r>
          </w:p>
        </w:tc>
        <w:tc>
          <w:tcPr>
            <w:tcW w:w="0" w:type="auto"/>
            <w:vAlign w:val="center"/>
          </w:tcPr>
          <w:p w14:paraId="63F52C18">
            <w:pPr>
              <w:spacing w:line="360" w:lineRule="auto"/>
              <w:jc w:val="center"/>
              <w:rPr>
                <w:rFonts w:hint="eastAsia" w:ascii="宋体" w:hAnsi="宋体" w:eastAsia="宋体" w:cs="Times New Roman"/>
                <w:sz w:val="24"/>
              </w:rPr>
            </w:pPr>
            <w:r>
              <w:rPr>
                <w:rFonts w:hint="eastAsia" w:ascii="宋体" w:hAnsi="宋体" w:eastAsia="宋体" w:cs="Times New Roman"/>
                <w:sz w:val="24"/>
              </w:rPr>
              <w:t>课内实践</w:t>
            </w:r>
          </w:p>
        </w:tc>
        <w:tc>
          <w:tcPr>
            <w:tcW w:w="0" w:type="auto"/>
            <w:vAlign w:val="center"/>
          </w:tcPr>
          <w:p w14:paraId="4FA98988">
            <w:pPr>
              <w:spacing w:line="360" w:lineRule="auto"/>
              <w:jc w:val="center"/>
              <w:rPr>
                <w:rFonts w:hint="eastAsia" w:ascii="宋体" w:hAnsi="宋体" w:eastAsia="宋体" w:cs="Times New Roman"/>
                <w:sz w:val="24"/>
              </w:rPr>
            </w:pPr>
            <w:r>
              <w:rPr>
                <w:rFonts w:hint="eastAsia" w:ascii="宋体" w:hAnsi="宋体" w:eastAsia="宋体" w:cs="Times New Roman"/>
                <w:sz w:val="24"/>
              </w:rPr>
              <w:t>期末考试</w:t>
            </w:r>
          </w:p>
        </w:tc>
        <w:tc>
          <w:tcPr>
            <w:tcW w:w="0" w:type="auto"/>
            <w:vMerge w:val="continue"/>
            <w:vAlign w:val="center"/>
          </w:tcPr>
          <w:p w14:paraId="360E0711">
            <w:pPr>
              <w:spacing w:line="360" w:lineRule="auto"/>
              <w:jc w:val="center"/>
              <w:rPr>
                <w:rFonts w:hint="eastAsia" w:ascii="宋体" w:hAnsi="宋体" w:eastAsia="宋体" w:cs="Times New Roman"/>
                <w:sz w:val="24"/>
              </w:rPr>
            </w:pPr>
          </w:p>
        </w:tc>
      </w:tr>
      <w:tr w14:paraId="1CFA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3A09E564">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0" w:type="auto"/>
            <w:vAlign w:val="center"/>
          </w:tcPr>
          <w:p w14:paraId="28B1F749">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E6869B6">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6AC3BD1">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687F8C74">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03C1B95">
            <w:pPr>
              <w:spacing w:line="360" w:lineRule="auto"/>
              <w:jc w:val="center"/>
              <w:rPr>
                <w:rFonts w:hint="eastAsia" w:ascii="宋体" w:hAnsi="宋体" w:eastAsia="宋体" w:cs="Times New Roman"/>
                <w:sz w:val="24"/>
              </w:rPr>
            </w:pPr>
            <w:r>
              <w:rPr>
                <w:rFonts w:ascii="宋体" w:hAnsi="宋体" w:eastAsia="宋体" w:cs="Times New Roman"/>
                <w:sz w:val="24"/>
              </w:rPr>
              <w:t>35</w:t>
            </w:r>
          </w:p>
        </w:tc>
      </w:tr>
      <w:tr w14:paraId="64BE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5B308AB3">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0" w:type="auto"/>
            <w:vAlign w:val="center"/>
          </w:tcPr>
          <w:p w14:paraId="7045E39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43A287F">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63072F9">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BB75DF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49CF70C">
            <w:pPr>
              <w:spacing w:line="360" w:lineRule="auto"/>
              <w:jc w:val="center"/>
              <w:rPr>
                <w:rFonts w:hint="eastAsia" w:ascii="宋体" w:hAnsi="宋体" w:eastAsia="宋体" w:cs="Times New Roman"/>
                <w:sz w:val="24"/>
              </w:rPr>
            </w:pPr>
            <w:r>
              <w:rPr>
                <w:rFonts w:ascii="宋体" w:hAnsi="宋体" w:eastAsia="宋体" w:cs="Times New Roman"/>
                <w:sz w:val="24"/>
              </w:rPr>
              <w:t>35</w:t>
            </w:r>
          </w:p>
        </w:tc>
      </w:tr>
      <w:tr w14:paraId="6ADA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70235E14">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0" w:type="auto"/>
            <w:vAlign w:val="center"/>
          </w:tcPr>
          <w:p w14:paraId="17DD063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5449459">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2FBD36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1EAE62D">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7B8CFD33">
            <w:pPr>
              <w:spacing w:line="360" w:lineRule="auto"/>
              <w:jc w:val="center"/>
              <w:rPr>
                <w:rFonts w:hint="eastAsia" w:ascii="宋体" w:hAnsi="宋体" w:eastAsia="宋体" w:cs="Times New Roman"/>
                <w:sz w:val="24"/>
              </w:rPr>
            </w:pPr>
            <w:r>
              <w:rPr>
                <w:rFonts w:ascii="宋体" w:hAnsi="宋体" w:eastAsia="宋体" w:cs="Times New Roman"/>
                <w:sz w:val="24"/>
              </w:rPr>
              <w:t>15</w:t>
            </w:r>
          </w:p>
        </w:tc>
      </w:tr>
      <w:tr w14:paraId="0B2E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5DA72ED0">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课程目标4</w:t>
            </w:r>
          </w:p>
        </w:tc>
        <w:tc>
          <w:tcPr>
            <w:tcW w:w="0" w:type="auto"/>
            <w:vAlign w:val="center"/>
          </w:tcPr>
          <w:p w14:paraId="71BBD7DF">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E557EF2">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0F3EA59">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68722967">
            <w:pPr>
              <w:spacing w:line="360" w:lineRule="auto"/>
              <w:jc w:val="center"/>
              <w:rPr>
                <w:rFonts w:hint="eastAsia" w:ascii="宋体" w:hAnsi="宋体" w:eastAsia="宋体" w:cs="Times New Roman"/>
                <w:sz w:val="24"/>
              </w:rPr>
            </w:pPr>
          </w:p>
        </w:tc>
        <w:tc>
          <w:tcPr>
            <w:tcW w:w="0" w:type="auto"/>
            <w:vAlign w:val="center"/>
          </w:tcPr>
          <w:p w14:paraId="7EAB42C9">
            <w:pPr>
              <w:spacing w:line="360" w:lineRule="auto"/>
              <w:jc w:val="center"/>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5</w:t>
            </w:r>
          </w:p>
        </w:tc>
      </w:tr>
      <w:tr w14:paraId="3A5C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7FFDEEBB">
            <w:pPr>
              <w:spacing w:line="360"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0" w:type="auto"/>
            <w:vAlign w:val="center"/>
          </w:tcPr>
          <w:p w14:paraId="4BBC8A72">
            <w:pPr>
              <w:spacing w:line="360" w:lineRule="auto"/>
              <w:jc w:val="center"/>
              <w:rPr>
                <w:rFonts w:hint="eastAsia" w:ascii="宋体" w:hAnsi="宋体" w:eastAsia="宋体" w:cs="Times New Roman"/>
                <w:sz w:val="24"/>
              </w:rPr>
            </w:pPr>
            <w:r>
              <w:rPr>
                <w:rFonts w:ascii="宋体" w:hAnsi="宋体" w:eastAsia="宋体" w:cs="Times New Roman"/>
                <w:sz w:val="24"/>
              </w:rPr>
              <w:t>20</w:t>
            </w:r>
          </w:p>
        </w:tc>
        <w:tc>
          <w:tcPr>
            <w:tcW w:w="0" w:type="auto"/>
            <w:vAlign w:val="center"/>
          </w:tcPr>
          <w:p w14:paraId="1B1823D6">
            <w:pPr>
              <w:spacing w:line="360" w:lineRule="auto"/>
              <w:jc w:val="center"/>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0</w:t>
            </w:r>
          </w:p>
        </w:tc>
        <w:tc>
          <w:tcPr>
            <w:tcW w:w="0" w:type="auto"/>
            <w:vAlign w:val="center"/>
          </w:tcPr>
          <w:p w14:paraId="08239C37">
            <w:pPr>
              <w:spacing w:line="360" w:lineRule="auto"/>
              <w:jc w:val="center"/>
              <w:rPr>
                <w:rFonts w:hint="eastAsia"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0</w:t>
            </w:r>
          </w:p>
        </w:tc>
        <w:tc>
          <w:tcPr>
            <w:tcW w:w="0" w:type="auto"/>
            <w:vAlign w:val="center"/>
          </w:tcPr>
          <w:p w14:paraId="592CAACB">
            <w:pPr>
              <w:spacing w:line="360" w:lineRule="auto"/>
              <w:jc w:val="center"/>
              <w:rPr>
                <w:rFonts w:hint="eastAsia" w:ascii="宋体" w:hAnsi="宋体" w:eastAsia="宋体" w:cs="Times New Roman"/>
                <w:sz w:val="24"/>
              </w:rPr>
            </w:pPr>
            <w:r>
              <w:rPr>
                <w:rFonts w:hint="eastAsia" w:ascii="宋体" w:hAnsi="宋体" w:eastAsia="宋体" w:cs="Times New Roman"/>
                <w:sz w:val="24"/>
              </w:rPr>
              <w:t>5</w:t>
            </w:r>
            <w:r>
              <w:rPr>
                <w:rFonts w:ascii="宋体" w:hAnsi="宋体" w:eastAsia="宋体" w:cs="Times New Roman"/>
                <w:sz w:val="24"/>
              </w:rPr>
              <w:t>0</w:t>
            </w:r>
          </w:p>
        </w:tc>
        <w:tc>
          <w:tcPr>
            <w:tcW w:w="0" w:type="auto"/>
            <w:vAlign w:val="center"/>
          </w:tcPr>
          <w:p w14:paraId="21A10C28">
            <w:pPr>
              <w:spacing w:line="360"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7D8E7AF9">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5E10ADE6">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40EC2BBE">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6924"/>
        <w:gridCol w:w="776"/>
      </w:tblGrid>
      <w:tr w14:paraId="14A0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F56F409">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6924" w:type="dxa"/>
            <w:vAlign w:val="center"/>
          </w:tcPr>
          <w:p w14:paraId="05DCD936">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04859B3A">
            <w:pPr>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34FE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3F814D2">
            <w:pPr>
              <w:rPr>
                <w:rFonts w:ascii="Times New Roman" w:hAnsi="Times New Roman" w:eastAsia="宋体" w:cs="Times New Roman"/>
                <w:sz w:val="24"/>
              </w:rPr>
            </w:pPr>
            <w:r>
              <w:rPr>
                <w:rFonts w:hint="eastAsia" w:ascii="Times New Roman" w:hAnsi="Times New Roman" w:eastAsia="宋体" w:cs="Times New Roman"/>
                <w:sz w:val="24"/>
              </w:rPr>
              <w:t>作业</w:t>
            </w:r>
            <w:r>
              <w:rPr>
                <w:rFonts w:ascii="Times New Roman" w:hAnsi="Times New Roman" w:eastAsia="宋体" w:cs="Times New Roman"/>
                <w:sz w:val="24"/>
              </w:rPr>
              <w:t>+考勤</w:t>
            </w:r>
          </w:p>
        </w:tc>
        <w:tc>
          <w:tcPr>
            <w:tcW w:w="6924" w:type="dxa"/>
            <w:vAlign w:val="center"/>
          </w:tcPr>
          <w:p w14:paraId="0F43BEE4">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平时作业共3次，平时总评</w:t>
            </w:r>
            <w:r>
              <w:rPr>
                <w:rFonts w:ascii="Times New Roman" w:hAnsi="Times New Roman" w:eastAsia="宋体" w:cs="Times New Roman"/>
                <w:sz w:val="24"/>
              </w:rPr>
              <w:t>=作业平均—考勤扣分，旷课1次扣5分，事假一次扣2分，迟到1次扣1分，病假不扣分（但病假次数达本学期总授课学时的1/3以上者不得参加考核）。</w:t>
            </w:r>
          </w:p>
        </w:tc>
        <w:tc>
          <w:tcPr>
            <w:tcW w:w="0" w:type="auto"/>
            <w:vAlign w:val="center"/>
          </w:tcPr>
          <w:p w14:paraId="34FEFB62">
            <w:pPr>
              <w:jc w:val="center"/>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0%</w:t>
            </w:r>
          </w:p>
        </w:tc>
      </w:tr>
      <w:tr w14:paraId="330B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96CCA71">
            <w:pPr>
              <w:rPr>
                <w:rFonts w:ascii="Times New Roman" w:hAnsi="Times New Roman" w:eastAsia="宋体" w:cs="Times New Roman"/>
                <w:sz w:val="24"/>
              </w:rPr>
            </w:pPr>
            <w:r>
              <w:rPr>
                <w:rFonts w:hint="eastAsia" w:ascii="Times New Roman" w:hAnsi="Times New Roman" w:eastAsia="宋体" w:cs="Times New Roman"/>
                <w:sz w:val="24"/>
              </w:rPr>
              <w:t>课堂表现</w:t>
            </w:r>
          </w:p>
        </w:tc>
        <w:tc>
          <w:tcPr>
            <w:tcW w:w="6924" w:type="dxa"/>
            <w:vAlign w:val="center"/>
          </w:tcPr>
          <w:p w14:paraId="4D9F1F93">
            <w:pPr>
              <w:widowControl/>
              <w:spacing w:line="264" w:lineRule="auto"/>
              <w:jc w:val="left"/>
              <w:rPr>
                <w:rFonts w:ascii="Times New Roman" w:hAnsi="Times New Roman" w:eastAsia="宋体" w:cs="Times New Roman"/>
                <w:sz w:val="24"/>
              </w:rPr>
            </w:pPr>
            <w:r>
              <w:rPr>
                <w:rFonts w:hint="eastAsia" w:ascii="宋体" w:hAnsi="宋体" w:eastAsia="宋体" w:cs="宋体"/>
                <w:color w:val="000000"/>
                <w:kern w:val="0"/>
                <w:sz w:val="24"/>
                <w:lang w:bidi="ar"/>
              </w:rPr>
              <w:t>课堂表现。</w:t>
            </w:r>
            <w:r>
              <w:rPr>
                <w:rFonts w:ascii="宋体" w:hAnsi="宋体" w:eastAsia="宋体" w:cs="宋体"/>
                <w:color w:val="000000"/>
                <w:kern w:val="0"/>
                <w:sz w:val="24"/>
                <w:lang w:bidi="ar"/>
              </w:rPr>
              <w:t>主要指课上教师随机提问、组织课堂讨论等，观察学生参与程度</w:t>
            </w:r>
            <w:r>
              <w:rPr>
                <w:rFonts w:hint="eastAsia" w:ascii="宋体" w:hAnsi="宋体" w:eastAsia="宋体" w:cs="宋体"/>
                <w:color w:val="000000"/>
                <w:kern w:val="0"/>
                <w:sz w:val="24"/>
                <w:lang w:bidi="ar"/>
              </w:rPr>
              <w:t>，</w:t>
            </w:r>
            <w:r>
              <w:rPr>
                <w:rFonts w:ascii="宋体" w:hAnsi="宋体" w:eastAsia="宋体" w:cs="宋体"/>
                <w:color w:val="000000"/>
                <w:kern w:val="0"/>
                <w:sz w:val="24"/>
                <w:lang w:bidi="ar"/>
              </w:rPr>
              <w:t>按照对应的课程目标及权重给予评定</w:t>
            </w:r>
            <w:r>
              <w:rPr>
                <w:rFonts w:hint="eastAsia" w:ascii="宋体" w:hAnsi="宋体" w:eastAsia="宋体" w:cs="宋体"/>
                <w:color w:val="000000"/>
                <w:kern w:val="0"/>
                <w:sz w:val="24"/>
                <w:lang w:bidi="ar"/>
              </w:rPr>
              <w:t>。</w:t>
            </w:r>
          </w:p>
        </w:tc>
        <w:tc>
          <w:tcPr>
            <w:tcW w:w="0" w:type="auto"/>
            <w:vAlign w:val="center"/>
          </w:tcPr>
          <w:p w14:paraId="6C8B3207">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7906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BB3E396">
            <w:pPr>
              <w:rPr>
                <w:rFonts w:ascii="Times New Roman" w:hAnsi="Times New Roman" w:eastAsia="宋体" w:cs="Times New Roman"/>
                <w:sz w:val="24"/>
              </w:rPr>
            </w:pPr>
            <w:r>
              <w:rPr>
                <w:rFonts w:hint="eastAsia" w:ascii="Times New Roman" w:hAnsi="Times New Roman" w:eastAsia="宋体" w:cs="Times New Roman"/>
                <w:sz w:val="24"/>
              </w:rPr>
              <w:t>课内实践</w:t>
            </w:r>
          </w:p>
        </w:tc>
        <w:tc>
          <w:tcPr>
            <w:tcW w:w="6924" w:type="dxa"/>
            <w:vAlign w:val="center"/>
          </w:tcPr>
          <w:p w14:paraId="4F2EC5DC">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认真完成</w:t>
            </w:r>
            <w:r>
              <w:rPr>
                <w:rFonts w:ascii="宋体" w:hAnsi="宋体" w:eastAsia="宋体" w:cs="宋体"/>
                <w:color w:val="000000"/>
                <w:kern w:val="0"/>
                <w:sz w:val="24"/>
                <w:lang w:bidi="ar"/>
              </w:rPr>
              <w:t>4个项目的课内实践，</w:t>
            </w:r>
            <w:r>
              <w:rPr>
                <w:rFonts w:hint="eastAsia" w:ascii="宋体" w:hAnsi="宋体" w:eastAsia="宋体" w:cs="宋体"/>
                <w:color w:val="000000"/>
                <w:kern w:val="0"/>
                <w:sz w:val="24"/>
                <w:lang w:bidi="ar"/>
              </w:rPr>
              <w:t>在充分观摩学习的基础上</w:t>
            </w:r>
            <w:r>
              <w:rPr>
                <w:rFonts w:ascii="宋体" w:hAnsi="宋体" w:eastAsia="宋体" w:cs="宋体"/>
                <w:color w:val="000000"/>
                <w:kern w:val="0"/>
                <w:sz w:val="24"/>
                <w:lang w:bidi="ar"/>
              </w:rPr>
              <w:t>，</w:t>
            </w:r>
            <w:r>
              <w:rPr>
                <w:rFonts w:hint="eastAsia" w:ascii="宋体" w:hAnsi="宋体" w:eastAsia="宋体" w:cs="宋体"/>
                <w:color w:val="000000"/>
                <w:kern w:val="0"/>
                <w:sz w:val="24"/>
                <w:lang w:bidi="ar"/>
              </w:rPr>
              <w:t>开展深入的案例研讨，</w:t>
            </w:r>
            <w:r>
              <w:rPr>
                <w:rFonts w:ascii="宋体" w:hAnsi="宋体" w:eastAsia="宋体" w:cs="宋体"/>
                <w:color w:val="000000"/>
                <w:kern w:val="0"/>
                <w:sz w:val="24"/>
                <w:lang w:bidi="ar"/>
              </w:rPr>
              <w:t>尝试进行</w:t>
            </w:r>
            <w:r>
              <w:rPr>
                <w:rFonts w:hint="eastAsia" w:ascii="宋体" w:hAnsi="宋体" w:eastAsia="宋体" w:cs="宋体"/>
                <w:color w:val="000000"/>
                <w:kern w:val="0"/>
                <w:sz w:val="24"/>
                <w:lang w:bidi="ar"/>
              </w:rPr>
              <w:t>相关内容的教学设计并付诸实施</w:t>
            </w:r>
            <w:r>
              <w:rPr>
                <w:rFonts w:ascii="宋体" w:hAnsi="宋体" w:eastAsia="宋体" w:cs="宋体"/>
                <w:color w:val="000000"/>
                <w:kern w:val="0"/>
                <w:sz w:val="24"/>
                <w:lang w:bidi="ar"/>
              </w:rPr>
              <w:t>。</w:t>
            </w:r>
            <w:r>
              <w:rPr>
                <w:rFonts w:hint="eastAsia" w:ascii="宋体" w:hAnsi="宋体" w:eastAsia="宋体" w:cs="宋体"/>
                <w:color w:val="000000"/>
                <w:kern w:val="0"/>
                <w:sz w:val="24"/>
                <w:lang w:bidi="ar"/>
              </w:rPr>
              <w:t>实行组内互评与教师评价相结合的方式。</w:t>
            </w:r>
            <w:r>
              <w:rPr>
                <w:rFonts w:ascii="宋体" w:hAnsi="宋体" w:eastAsia="宋体" w:cs="宋体"/>
                <w:color w:val="000000"/>
                <w:kern w:val="0"/>
                <w:sz w:val="24"/>
                <w:lang w:bidi="ar"/>
              </w:rPr>
              <w:t>4个项目成绩取平均分作为课内实践分。</w:t>
            </w:r>
          </w:p>
        </w:tc>
        <w:tc>
          <w:tcPr>
            <w:tcW w:w="0" w:type="auto"/>
            <w:vAlign w:val="center"/>
          </w:tcPr>
          <w:p w14:paraId="506976FE">
            <w:pPr>
              <w:jc w:val="center"/>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0%</w:t>
            </w:r>
          </w:p>
        </w:tc>
      </w:tr>
      <w:tr w14:paraId="211E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33DBD76">
            <w:pPr>
              <w:rPr>
                <w:rFonts w:ascii="Times New Roman" w:hAnsi="Times New Roman" w:eastAsia="宋体" w:cs="Times New Roman"/>
                <w:sz w:val="24"/>
              </w:rPr>
            </w:pPr>
            <w:r>
              <w:rPr>
                <w:rFonts w:hint="eastAsia" w:ascii="Times New Roman" w:hAnsi="Times New Roman" w:eastAsia="宋体" w:cs="Times New Roman"/>
                <w:sz w:val="24"/>
              </w:rPr>
              <w:t>期末考试</w:t>
            </w:r>
          </w:p>
        </w:tc>
        <w:tc>
          <w:tcPr>
            <w:tcW w:w="6924" w:type="dxa"/>
            <w:vAlign w:val="center"/>
          </w:tcPr>
          <w:p w14:paraId="429A183B">
            <w:pPr>
              <w:spacing w:line="264" w:lineRule="auto"/>
              <w:jc w:val="left"/>
              <w:rPr>
                <w:rFonts w:ascii="Times New Roman" w:hAnsi="Times New Roman" w:eastAsia="宋体" w:cs="Times New Roman"/>
                <w:sz w:val="24"/>
              </w:rPr>
            </w:pPr>
            <w:r>
              <w:rPr>
                <w:rFonts w:hint="eastAsia" w:ascii="Times New Roman" w:hAnsi="Times New Roman" w:eastAsia="宋体" w:cs="Times New Roman"/>
                <w:color w:val="000000"/>
                <w:sz w:val="24"/>
              </w:rPr>
              <w:t>选择一个小学数学教学案例，提交一份小学数学教学案例研究报告</w:t>
            </w:r>
            <w:r>
              <w:rPr>
                <w:rFonts w:ascii="Times New Roman" w:hAnsi="Times New Roman" w:eastAsia="宋体" w:cs="Times New Roman"/>
                <w:color w:val="000000"/>
                <w:sz w:val="24"/>
              </w:rPr>
              <w:t>。</w:t>
            </w:r>
          </w:p>
        </w:tc>
        <w:tc>
          <w:tcPr>
            <w:tcW w:w="0" w:type="auto"/>
            <w:vAlign w:val="center"/>
          </w:tcPr>
          <w:p w14:paraId="2CA06A66">
            <w:pPr>
              <w:jc w:val="center"/>
              <w:rPr>
                <w:rFonts w:ascii="Times New Roman" w:hAnsi="Times New Roman" w:eastAsia="宋体" w:cs="Times New Roman"/>
                <w:sz w:val="24"/>
              </w:rPr>
            </w:pPr>
            <w:r>
              <w:rPr>
                <w:rFonts w:hint="eastAsia" w:ascii="Times New Roman" w:hAnsi="Times New Roman" w:eastAsia="宋体" w:cs="Times New Roman"/>
                <w:sz w:val="24"/>
              </w:rPr>
              <w:t>50%</w:t>
            </w:r>
          </w:p>
        </w:tc>
      </w:tr>
      <w:tr w14:paraId="0CBE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CDA1732">
            <w:pPr>
              <w:jc w:val="center"/>
              <w:rPr>
                <w:rFonts w:ascii="Times New Roman" w:hAnsi="Times New Roman" w:eastAsia="宋体" w:cs="Times New Roman"/>
                <w:b/>
                <w:bCs/>
                <w:sz w:val="24"/>
              </w:rPr>
            </w:pPr>
            <w:r>
              <w:rPr>
                <w:rFonts w:hint="eastAsia" w:ascii="Times New Roman" w:hAnsi="Times New Roman" w:eastAsia="宋体" w:cs="Times New Roman"/>
                <w:b/>
                <w:bCs/>
                <w:sz w:val="24"/>
              </w:rPr>
              <w:t>合计</w:t>
            </w:r>
          </w:p>
        </w:tc>
        <w:tc>
          <w:tcPr>
            <w:tcW w:w="0" w:type="auto"/>
            <w:vAlign w:val="center"/>
          </w:tcPr>
          <w:p w14:paraId="45B8AD02">
            <w:pPr>
              <w:jc w:val="left"/>
              <w:rPr>
                <w:rFonts w:ascii="Times New Roman" w:hAnsi="Times New Roman" w:eastAsia="宋体" w:cs="Times New Roman"/>
                <w:sz w:val="24"/>
              </w:rPr>
            </w:pPr>
          </w:p>
        </w:tc>
        <w:tc>
          <w:tcPr>
            <w:tcW w:w="0" w:type="auto"/>
            <w:vAlign w:val="center"/>
          </w:tcPr>
          <w:p w14:paraId="58D20961">
            <w:pPr>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0C9B7267">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（三）课程目标达成度计算方法</w:t>
      </w:r>
    </w:p>
    <w:p w14:paraId="42808BFF">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5887806A">
      <w:pPr>
        <w:spacing w:before="156" w:beforeLines="50"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object>
          <v:shape id="_x0000_i1075"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75" DrawAspect="Content" ObjectID="_1468075775" r:id="rId61">
            <o:LockedField>false</o:LockedField>
          </o:OLEObject>
        </w:object>
      </w:r>
    </w:p>
    <w:p w14:paraId="615646FC">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课内实践</w:t>
      </w:r>
    </w:p>
    <w:p w14:paraId="45EE21A4">
      <w:pPr>
        <w:spacing w:after="156" w:afterLines="50" w:line="360" w:lineRule="auto"/>
        <w:ind w:firstLine="480" w:firstLineChars="200"/>
        <w:rPr>
          <w:rFonts w:hint="eastAsia" w:ascii="宋体" w:hAnsi="宋体" w:eastAsia="宋体"/>
          <w:sz w:val="24"/>
        </w:rPr>
      </w:pPr>
      <w:r>
        <w:rPr>
          <w:rFonts w:hint="eastAsia" w:ascii="宋体" w:hAnsi="宋体" w:eastAsia="宋体"/>
          <w:sz w:val="24"/>
        </w:rPr>
        <w:t>本课程在理论教学的基础上，安排了4个课内实践项目（共</w:t>
      </w:r>
      <w:r>
        <w:rPr>
          <w:rFonts w:ascii="宋体" w:hAnsi="宋体" w:eastAsia="宋体"/>
          <w:sz w:val="24"/>
        </w:rPr>
        <w:t>16</w:t>
      </w:r>
      <w:r>
        <w:rPr>
          <w:rFonts w:hint="eastAsia" w:ascii="宋体" w:hAnsi="宋体" w:eastAsia="宋体"/>
          <w:sz w:val="24"/>
        </w:rPr>
        <w:t>学时），体现了理论与实践的结合，强化对学生的课程思政。</w:t>
      </w:r>
    </w:p>
    <w:p w14:paraId="5B8D603A">
      <w:pPr>
        <w:spacing w:line="276" w:lineRule="auto"/>
        <w:ind w:firstLine="482" w:firstLineChars="200"/>
        <w:jc w:val="center"/>
        <w:rPr>
          <w:rFonts w:hint="eastAsia" w:ascii="宋体" w:hAnsi="宋体" w:eastAsia="宋体" w:cs="宋体"/>
          <w:b/>
          <w:bCs/>
          <w:sz w:val="24"/>
        </w:rPr>
      </w:pPr>
      <w:r>
        <w:rPr>
          <w:rFonts w:hint="eastAsia" w:ascii="宋体" w:hAnsi="宋体" w:eastAsia="宋体" w:cs="宋体"/>
          <w:b/>
          <w:bCs/>
          <w:sz w:val="24"/>
        </w:rPr>
        <w:t>过程学习及考核与思政教育</w:t>
      </w:r>
    </w:p>
    <w:tbl>
      <w:tblPr>
        <w:tblStyle w:val="2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02D4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9B16E21">
            <w:pPr>
              <w:spacing w:line="240" w:lineRule="exact"/>
              <w:jc w:val="center"/>
              <w:rPr>
                <w:rFonts w:hint="eastAsia" w:ascii="宋体" w:hAnsi="宋体" w:eastAsia="宋体" w:cs="宋体"/>
                <w:b/>
                <w:bCs/>
                <w:sz w:val="24"/>
              </w:rPr>
            </w:pPr>
            <w:r>
              <w:rPr>
                <w:rFonts w:hint="eastAsia" w:ascii="宋体" w:hAnsi="宋体" w:eastAsia="宋体" w:cs="宋体"/>
                <w:b/>
                <w:bCs/>
                <w:sz w:val="24"/>
              </w:rPr>
              <w:t>活动主题</w:t>
            </w:r>
          </w:p>
        </w:tc>
        <w:tc>
          <w:tcPr>
            <w:tcW w:w="3407" w:type="dxa"/>
            <w:vAlign w:val="center"/>
          </w:tcPr>
          <w:p w14:paraId="06DAD8C2">
            <w:pPr>
              <w:spacing w:line="240" w:lineRule="exact"/>
              <w:jc w:val="center"/>
              <w:rPr>
                <w:rFonts w:hint="eastAsia" w:ascii="宋体" w:hAnsi="宋体" w:eastAsia="宋体" w:cs="宋体"/>
                <w:b/>
                <w:bCs/>
                <w:sz w:val="24"/>
              </w:rPr>
            </w:pPr>
            <w:r>
              <w:rPr>
                <w:rFonts w:hint="eastAsia" w:ascii="宋体" w:hAnsi="宋体" w:eastAsia="宋体" w:cs="宋体"/>
                <w:b/>
                <w:bCs/>
                <w:sz w:val="24"/>
              </w:rPr>
              <w:t>活动内容</w:t>
            </w:r>
          </w:p>
        </w:tc>
        <w:tc>
          <w:tcPr>
            <w:tcW w:w="740" w:type="dxa"/>
            <w:vAlign w:val="center"/>
          </w:tcPr>
          <w:p w14:paraId="14BA4C1E">
            <w:pPr>
              <w:spacing w:line="240" w:lineRule="exact"/>
              <w:jc w:val="center"/>
              <w:rPr>
                <w:rFonts w:hint="eastAsia" w:ascii="宋体" w:hAnsi="宋体" w:eastAsia="宋体" w:cs="宋体"/>
                <w:b/>
                <w:bCs/>
                <w:sz w:val="24"/>
              </w:rPr>
            </w:pPr>
            <w:r>
              <w:rPr>
                <w:rFonts w:hint="eastAsia" w:ascii="宋体" w:hAnsi="宋体" w:eastAsia="宋体" w:cs="宋体"/>
                <w:b/>
                <w:bCs/>
                <w:sz w:val="24"/>
              </w:rPr>
              <w:t>活动方式</w:t>
            </w:r>
          </w:p>
        </w:tc>
        <w:tc>
          <w:tcPr>
            <w:tcW w:w="3160" w:type="dxa"/>
            <w:vAlign w:val="center"/>
          </w:tcPr>
          <w:p w14:paraId="4A06D2DF">
            <w:pPr>
              <w:spacing w:line="240" w:lineRule="exact"/>
              <w:jc w:val="center"/>
              <w:rPr>
                <w:rFonts w:hint="eastAsia" w:ascii="宋体" w:hAnsi="宋体" w:eastAsia="宋体" w:cs="宋体"/>
                <w:b/>
                <w:bCs/>
                <w:sz w:val="24"/>
              </w:rPr>
            </w:pPr>
            <w:r>
              <w:rPr>
                <w:rFonts w:hint="eastAsia" w:ascii="宋体" w:hAnsi="宋体" w:eastAsia="宋体" w:cs="宋体"/>
                <w:b/>
                <w:bCs/>
                <w:sz w:val="24"/>
              </w:rPr>
              <w:t>思政目标</w:t>
            </w:r>
          </w:p>
        </w:tc>
      </w:tr>
      <w:tr w14:paraId="7EEC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DAA47B1">
            <w:pPr>
              <w:rPr>
                <w:rFonts w:hint="eastAsia" w:ascii="宋体" w:hAnsi="宋体" w:eastAsia="宋体" w:cs="Times New Roman"/>
                <w:sz w:val="24"/>
              </w:rPr>
            </w:pPr>
            <w:r>
              <w:rPr>
                <w:rFonts w:hint="eastAsia" w:ascii="宋体" w:hAnsi="宋体" w:eastAsia="宋体" w:cs="Times New Roman"/>
                <w:sz w:val="24"/>
              </w:rPr>
              <w:t>“数与代数”教学案例研讨</w:t>
            </w:r>
          </w:p>
        </w:tc>
        <w:tc>
          <w:tcPr>
            <w:tcW w:w="3407" w:type="dxa"/>
            <w:vAlign w:val="center"/>
          </w:tcPr>
          <w:p w14:paraId="788D0FA4">
            <w:pPr>
              <w:rPr>
                <w:rFonts w:hint="eastAsia" w:ascii="宋体" w:hAnsi="宋体" w:eastAsia="宋体" w:cs="Times New Roman"/>
                <w:sz w:val="24"/>
              </w:rPr>
            </w:pPr>
            <w:r>
              <w:rPr>
                <w:rFonts w:hint="eastAsia" w:ascii="宋体" w:hAnsi="宋体" w:eastAsia="宋体" w:cs="Times New Roman"/>
                <w:sz w:val="24"/>
              </w:rPr>
              <w:t>选择2</w:t>
            </w:r>
            <w:r>
              <w:rPr>
                <w:rFonts w:ascii="宋体" w:hAnsi="宋体" w:eastAsia="宋体" w:cs="Times New Roman"/>
                <w:sz w:val="24"/>
              </w:rPr>
              <w:t>-3</w:t>
            </w:r>
            <w:r>
              <w:rPr>
                <w:rFonts w:hint="eastAsia" w:ascii="宋体" w:hAnsi="宋体" w:eastAsia="宋体" w:cs="Times New Roman"/>
                <w:sz w:val="24"/>
              </w:rPr>
              <w:t>个“数与代数”领域的内容，围绕</w:t>
            </w:r>
            <w:r>
              <w:rPr>
                <w:rFonts w:ascii="宋体" w:hAnsi="宋体" w:eastAsia="宋体" w:cs="Times New Roman"/>
                <w:sz w:val="24"/>
              </w:rPr>
              <w:t>相关的</w:t>
            </w:r>
            <w:r>
              <w:rPr>
                <w:rFonts w:hint="eastAsia" w:ascii="宋体" w:hAnsi="宋体" w:eastAsia="宋体" w:cs="Times New Roman"/>
                <w:sz w:val="24"/>
              </w:rPr>
              <w:t>教学</w:t>
            </w:r>
            <w:r>
              <w:rPr>
                <w:rFonts w:ascii="宋体" w:hAnsi="宋体" w:eastAsia="宋体" w:cs="Times New Roman"/>
                <w:sz w:val="24"/>
              </w:rPr>
              <w:t>案例（教学设计、教学视频等），</w:t>
            </w:r>
            <w:r>
              <w:rPr>
                <w:rFonts w:hint="eastAsia" w:ascii="宋体" w:hAnsi="宋体" w:eastAsia="宋体" w:cs="Times New Roman"/>
                <w:sz w:val="24"/>
              </w:rPr>
              <w:t>进行观摩</w:t>
            </w:r>
            <w:r>
              <w:rPr>
                <w:rFonts w:ascii="宋体" w:hAnsi="宋体" w:eastAsia="宋体" w:cs="Times New Roman"/>
                <w:sz w:val="24"/>
              </w:rPr>
              <w:t>研讨</w:t>
            </w:r>
            <w:r>
              <w:rPr>
                <w:rFonts w:hint="eastAsia" w:ascii="宋体" w:hAnsi="宋体" w:eastAsia="宋体" w:cs="Times New Roman"/>
                <w:sz w:val="24"/>
              </w:rPr>
              <w:t>，并在</w:t>
            </w:r>
            <w:r>
              <w:rPr>
                <w:rFonts w:ascii="宋体" w:hAnsi="宋体" w:eastAsia="宋体" w:cs="Times New Roman"/>
                <w:sz w:val="24"/>
              </w:rPr>
              <w:t>此基础上进行教学设计。</w:t>
            </w:r>
          </w:p>
        </w:tc>
        <w:tc>
          <w:tcPr>
            <w:tcW w:w="740" w:type="dxa"/>
            <w:vAlign w:val="center"/>
          </w:tcPr>
          <w:p w14:paraId="569DFC37">
            <w:pPr>
              <w:spacing w:line="276" w:lineRule="auto"/>
              <w:jc w:val="center"/>
              <w:rPr>
                <w:rFonts w:hint="eastAsia" w:ascii="宋体" w:hAnsi="宋体" w:eastAsia="宋体" w:cs="宋体"/>
                <w:sz w:val="24"/>
              </w:rPr>
            </w:pPr>
            <w:r>
              <w:rPr>
                <w:rFonts w:hint="eastAsia" w:ascii="宋体" w:hAnsi="宋体" w:eastAsia="宋体" w:cs="宋体"/>
                <w:sz w:val="24"/>
              </w:rPr>
              <w:t>研讨</w:t>
            </w:r>
          </w:p>
          <w:p w14:paraId="05E1AAB7">
            <w:pPr>
              <w:spacing w:line="276" w:lineRule="auto"/>
              <w:jc w:val="center"/>
              <w:rPr>
                <w:rFonts w:hint="eastAsia" w:ascii="宋体" w:hAnsi="宋体" w:eastAsia="宋体" w:cs="宋体"/>
                <w:sz w:val="24"/>
              </w:rPr>
            </w:pPr>
            <w:r>
              <w:rPr>
                <w:rFonts w:hint="eastAsia" w:ascii="宋体" w:hAnsi="宋体" w:eastAsia="宋体" w:cs="宋体"/>
                <w:sz w:val="24"/>
              </w:rPr>
              <w:t>设计</w:t>
            </w:r>
          </w:p>
        </w:tc>
        <w:tc>
          <w:tcPr>
            <w:tcW w:w="3160" w:type="dxa"/>
          </w:tcPr>
          <w:p w14:paraId="3D5EF510">
            <w:pPr>
              <w:rPr>
                <w:rFonts w:hint="eastAsia" w:ascii="宋体" w:hAnsi="宋体" w:eastAsia="宋体" w:cs="Times New Roman"/>
                <w:sz w:val="24"/>
              </w:rPr>
            </w:pPr>
            <w:r>
              <w:rPr>
                <w:rFonts w:ascii="宋体" w:hAnsi="宋体" w:eastAsia="宋体" w:cs="Times New Roman"/>
                <w:sz w:val="24"/>
              </w:rPr>
              <w:t>增强专业自信心</w:t>
            </w:r>
            <w:r>
              <w:rPr>
                <w:rFonts w:hint="eastAsia" w:ascii="宋体" w:hAnsi="宋体" w:eastAsia="宋体" w:cs="Times New Roman"/>
                <w:sz w:val="24"/>
              </w:rPr>
              <w:t>，</w:t>
            </w:r>
            <w:r>
              <w:rPr>
                <w:rFonts w:ascii="宋体" w:hAnsi="宋体" w:eastAsia="宋体" w:cs="Times New Roman"/>
                <w:sz w:val="24"/>
              </w:rPr>
              <w:t>树立全面育人的教学观，注重教学中情感、态度与价值观目标的达成</w:t>
            </w:r>
            <w:r>
              <w:rPr>
                <w:rFonts w:hint="eastAsia" w:ascii="宋体" w:hAnsi="宋体" w:eastAsia="宋体" w:cs="Times New Roman"/>
                <w:sz w:val="24"/>
              </w:rPr>
              <w:t>，</w:t>
            </w:r>
            <w:r>
              <w:rPr>
                <w:rFonts w:ascii="宋体" w:hAnsi="宋体" w:eastAsia="宋体" w:cs="Times New Roman"/>
                <w:sz w:val="24"/>
              </w:rPr>
              <w:t>增强团队合作意识和专业自信心。</w:t>
            </w:r>
          </w:p>
        </w:tc>
      </w:tr>
      <w:tr w14:paraId="2690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914515B">
            <w:pPr>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图形</w:t>
            </w:r>
            <w:r>
              <w:rPr>
                <w:rFonts w:hint="eastAsia" w:ascii="宋体" w:hAnsi="宋体" w:eastAsia="宋体" w:cs="Times New Roman"/>
                <w:sz w:val="24"/>
              </w:rPr>
              <w:t>与几何”教学案例研讨</w:t>
            </w:r>
          </w:p>
        </w:tc>
        <w:tc>
          <w:tcPr>
            <w:tcW w:w="3407" w:type="dxa"/>
            <w:vAlign w:val="center"/>
          </w:tcPr>
          <w:p w14:paraId="2B81F118">
            <w:pPr>
              <w:rPr>
                <w:rFonts w:hint="eastAsia" w:ascii="宋体" w:hAnsi="宋体" w:eastAsia="宋体" w:cs="Times New Roman"/>
                <w:sz w:val="24"/>
              </w:rPr>
            </w:pPr>
            <w:r>
              <w:rPr>
                <w:rFonts w:hint="eastAsia" w:ascii="宋体" w:hAnsi="宋体" w:eastAsia="宋体" w:cs="Times New Roman"/>
                <w:sz w:val="24"/>
              </w:rPr>
              <w:t>选择1</w:t>
            </w:r>
            <w:r>
              <w:rPr>
                <w:rFonts w:ascii="宋体" w:hAnsi="宋体" w:eastAsia="宋体" w:cs="Times New Roman"/>
                <w:sz w:val="24"/>
              </w:rPr>
              <w:t>-2</w:t>
            </w:r>
            <w:r>
              <w:rPr>
                <w:rFonts w:hint="eastAsia" w:ascii="宋体" w:hAnsi="宋体" w:eastAsia="宋体" w:cs="Times New Roman"/>
                <w:sz w:val="24"/>
              </w:rPr>
              <w:t>个“图形与几何”领域的内容，围绕</w:t>
            </w:r>
            <w:r>
              <w:rPr>
                <w:rFonts w:ascii="宋体" w:hAnsi="宋体" w:eastAsia="宋体" w:cs="Times New Roman"/>
                <w:sz w:val="24"/>
              </w:rPr>
              <w:t>相关的</w:t>
            </w:r>
            <w:r>
              <w:rPr>
                <w:rFonts w:hint="eastAsia" w:ascii="宋体" w:hAnsi="宋体" w:eastAsia="宋体" w:cs="Times New Roman"/>
                <w:sz w:val="24"/>
              </w:rPr>
              <w:t>教学</w:t>
            </w:r>
            <w:r>
              <w:rPr>
                <w:rFonts w:ascii="宋体" w:hAnsi="宋体" w:eastAsia="宋体" w:cs="Times New Roman"/>
                <w:sz w:val="24"/>
              </w:rPr>
              <w:t>案例（教学设计、教学视频等），</w:t>
            </w:r>
            <w:r>
              <w:rPr>
                <w:rFonts w:hint="eastAsia" w:ascii="宋体" w:hAnsi="宋体" w:eastAsia="宋体" w:cs="Times New Roman"/>
                <w:sz w:val="24"/>
              </w:rPr>
              <w:t>进行观摩</w:t>
            </w:r>
            <w:r>
              <w:rPr>
                <w:rFonts w:ascii="宋体" w:hAnsi="宋体" w:eastAsia="宋体" w:cs="Times New Roman"/>
                <w:sz w:val="24"/>
              </w:rPr>
              <w:t>研讨</w:t>
            </w:r>
            <w:r>
              <w:rPr>
                <w:rFonts w:hint="eastAsia" w:ascii="宋体" w:hAnsi="宋体" w:eastAsia="宋体" w:cs="Times New Roman"/>
                <w:sz w:val="24"/>
              </w:rPr>
              <w:t>，并在</w:t>
            </w:r>
            <w:r>
              <w:rPr>
                <w:rFonts w:ascii="宋体" w:hAnsi="宋体" w:eastAsia="宋体" w:cs="Times New Roman"/>
                <w:sz w:val="24"/>
              </w:rPr>
              <w:t>此基础上进行教学设计。</w:t>
            </w:r>
          </w:p>
        </w:tc>
        <w:tc>
          <w:tcPr>
            <w:tcW w:w="740" w:type="dxa"/>
            <w:vAlign w:val="center"/>
          </w:tcPr>
          <w:p w14:paraId="330AE1D0">
            <w:pPr>
              <w:spacing w:line="276" w:lineRule="auto"/>
              <w:jc w:val="center"/>
              <w:rPr>
                <w:rFonts w:hint="eastAsia" w:ascii="宋体" w:hAnsi="宋体" w:eastAsia="宋体" w:cs="宋体"/>
                <w:sz w:val="24"/>
              </w:rPr>
            </w:pPr>
            <w:r>
              <w:rPr>
                <w:rFonts w:hint="eastAsia" w:ascii="宋体" w:hAnsi="宋体" w:eastAsia="宋体" w:cs="宋体"/>
                <w:sz w:val="24"/>
              </w:rPr>
              <w:t>研讨</w:t>
            </w:r>
          </w:p>
          <w:p w14:paraId="4385B5F7">
            <w:pPr>
              <w:spacing w:line="276" w:lineRule="auto"/>
              <w:jc w:val="center"/>
              <w:rPr>
                <w:rFonts w:hint="eastAsia" w:ascii="宋体" w:hAnsi="宋体" w:eastAsia="宋体" w:cs="宋体"/>
                <w:sz w:val="24"/>
              </w:rPr>
            </w:pPr>
            <w:r>
              <w:rPr>
                <w:rFonts w:hint="eastAsia" w:ascii="宋体" w:hAnsi="宋体" w:eastAsia="宋体" w:cs="宋体"/>
                <w:sz w:val="24"/>
              </w:rPr>
              <w:t>设计</w:t>
            </w:r>
          </w:p>
        </w:tc>
        <w:tc>
          <w:tcPr>
            <w:tcW w:w="3160" w:type="dxa"/>
          </w:tcPr>
          <w:p w14:paraId="7BA2908E">
            <w:pPr>
              <w:rPr>
                <w:rFonts w:hint="eastAsia" w:ascii="宋体" w:hAnsi="宋体" w:eastAsia="宋体" w:cs="Times New Roman"/>
                <w:sz w:val="24"/>
              </w:rPr>
            </w:pPr>
            <w:r>
              <w:rPr>
                <w:rFonts w:hint="eastAsia" w:ascii="宋体" w:hAnsi="宋体" w:eastAsia="宋体" w:cs="Times New Roman"/>
                <w:sz w:val="24"/>
              </w:rPr>
              <w:t>增强专业自信心，树立全面育人的教学观，注重教学中情感、态度与价值观目标的达成，增强团队合作意识和专业自信心。</w:t>
            </w:r>
          </w:p>
        </w:tc>
      </w:tr>
      <w:tr w14:paraId="3A6F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3137E08">
            <w:pPr>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统计与概率</w:t>
            </w:r>
            <w:r>
              <w:rPr>
                <w:rFonts w:hint="eastAsia" w:ascii="宋体" w:hAnsi="宋体" w:eastAsia="宋体" w:cs="Times New Roman"/>
                <w:sz w:val="24"/>
              </w:rPr>
              <w:t>”教学案例研讨</w:t>
            </w:r>
          </w:p>
        </w:tc>
        <w:tc>
          <w:tcPr>
            <w:tcW w:w="3407" w:type="dxa"/>
            <w:vAlign w:val="center"/>
          </w:tcPr>
          <w:p w14:paraId="6DD6AE67">
            <w:pPr>
              <w:rPr>
                <w:rFonts w:hint="eastAsia" w:ascii="宋体" w:hAnsi="宋体" w:eastAsia="宋体" w:cs="Times New Roman"/>
                <w:sz w:val="24"/>
              </w:rPr>
            </w:pPr>
            <w:r>
              <w:rPr>
                <w:rFonts w:hint="eastAsia" w:ascii="宋体" w:hAnsi="宋体" w:eastAsia="宋体" w:cs="Times New Roman"/>
                <w:sz w:val="24"/>
              </w:rPr>
              <w:t>选择1个“统计与概率”领域的内容，围绕</w:t>
            </w:r>
            <w:r>
              <w:rPr>
                <w:rFonts w:ascii="宋体" w:hAnsi="宋体" w:eastAsia="宋体" w:cs="Times New Roman"/>
                <w:sz w:val="24"/>
              </w:rPr>
              <w:t>相关的</w:t>
            </w:r>
            <w:r>
              <w:rPr>
                <w:rFonts w:hint="eastAsia" w:ascii="宋体" w:hAnsi="宋体" w:eastAsia="宋体" w:cs="Times New Roman"/>
                <w:sz w:val="24"/>
              </w:rPr>
              <w:t>教学</w:t>
            </w:r>
            <w:r>
              <w:rPr>
                <w:rFonts w:ascii="宋体" w:hAnsi="宋体" w:eastAsia="宋体" w:cs="Times New Roman"/>
                <w:sz w:val="24"/>
              </w:rPr>
              <w:t>案例（教学设计、教学视频等），</w:t>
            </w:r>
            <w:r>
              <w:rPr>
                <w:rFonts w:hint="eastAsia" w:ascii="宋体" w:hAnsi="宋体" w:eastAsia="宋体" w:cs="Times New Roman"/>
                <w:sz w:val="24"/>
              </w:rPr>
              <w:t>进行观摩</w:t>
            </w:r>
            <w:r>
              <w:rPr>
                <w:rFonts w:ascii="宋体" w:hAnsi="宋体" w:eastAsia="宋体" w:cs="Times New Roman"/>
                <w:sz w:val="24"/>
              </w:rPr>
              <w:t>研讨</w:t>
            </w:r>
            <w:r>
              <w:rPr>
                <w:rFonts w:hint="eastAsia" w:ascii="宋体" w:hAnsi="宋体" w:eastAsia="宋体" w:cs="Times New Roman"/>
                <w:sz w:val="24"/>
              </w:rPr>
              <w:t>，并在</w:t>
            </w:r>
            <w:r>
              <w:rPr>
                <w:rFonts w:ascii="宋体" w:hAnsi="宋体" w:eastAsia="宋体" w:cs="Times New Roman"/>
                <w:sz w:val="24"/>
              </w:rPr>
              <w:t>此基础上进行教学设计。</w:t>
            </w:r>
          </w:p>
        </w:tc>
        <w:tc>
          <w:tcPr>
            <w:tcW w:w="740" w:type="dxa"/>
            <w:vAlign w:val="center"/>
          </w:tcPr>
          <w:p w14:paraId="5FED99C8">
            <w:pPr>
              <w:spacing w:line="276" w:lineRule="auto"/>
              <w:jc w:val="center"/>
              <w:rPr>
                <w:rFonts w:hint="eastAsia" w:ascii="宋体" w:hAnsi="宋体" w:eastAsia="宋体" w:cs="宋体"/>
                <w:sz w:val="24"/>
              </w:rPr>
            </w:pPr>
            <w:r>
              <w:rPr>
                <w:rFonts w:hint="eastAsia" w:ascii="宋体" w:hAnsi="宋体" w:eastAsia="宋体" w:cs="宋体"/>
                <w:sz w:val="24"/>
              </w:rPr>
              <w:t>研讨</w:t>
            </w:r>
          </w:p>
          <w:p w14:paraId="39316AF1">
            <w:pPr>
              <w:spacing w:line="276" w:lineRule="auto"/>
              <w:jc w:val="center"/>
              <w:rPr>
                <w:rFonts w:hint="eastAsia" w:ascii="宋体" w:hAnsi="宋体" w:eastAsia="宋体" w:cs="宋体"/>
                <w:sz w:val="24"/>
              </w:rPr>
            </w:pPr>
            <w:r>
              <w:rPr>
                <w:rFonts w:hint="eastAsia" w:ascii="宋体" w:hAnsi="宋体" w:eastAsia="宋体" w:cs="宋体"/>
                <w:sz w:val="24"/>
              </w:rPr>
              <w:t>设计</w:t>
            </w:r>
          </w:p>
        </w:tc>
        <w:tc>
          <w:tcPr>
            <w:tcW w:w="3160" w:type="dxa"/>
          </w:tcPr>
          <w:p w14:paraId="37E07EDC">
            <w:pPr>
              <w:rPr>
                <w:rFonts w:hint="eastAsia" w:ascii="宋体" w:hAnsi="宋体" w:eastAsia="宋体" w:cs="Times New Roman"/>
                <w:sz w:val="24"/>
              </w:rPr>
            </w:pPr>
            <w:r>
              <w:rPr>
                <w:rFonts w:hint="eastAsia" w:ascii="宋体" w:hAnsi="宋体" w:eastAsia="宋体" w:cs="Times New Roman"/>
                <w:sz w:val="24"/>
              </w:rPr>
              <w:t>增强专业自信心，树立全面育人的教学观，注重教学中情感、态度与价值观目标的达成，增强团队合作意识和专业自信心。</w:t>
            </w:r>
          </w:p>
        </w:tc>
      </w:tr>
      <w:tr w14:paraId="5248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6662E268">
            <w:pPr>
              <w:rPr>
                <w:rFonts w:hint="eastAsia"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综合</w:t>
            </w:r>
            <w:r>
              <w:rPr>
                <w:rFonts w:hint="eastAsia" w:ascii="宋体" w:hAnsi="宋体" w:eastAsia="宋体" w:cs="Times New Roman"/>
                <w:sz w:val="24"/>
              </w:rPr>
              <w:t>与实践”教学案例研讨</w:t>
            </w:r>
          </w:p>
        </w:tc>
        <w:tc>
          <w:tcPr>
            <w:tcW w:w="3407" w:type="dxa"/>
            <w:vAlign w:val="center"/>
          </w:tcPr>
          <w:p w14:paraId="7A94995A">
            <w:pPr>
              <w:rPr>
                <w:rFonts w:hint="eastAsia" w:ascii="宋体" w:hAnsi="宋体" w:eastAsia="宋体" w:cs="Times New Roman"/>
                <w:sz w:val="24"/>
              </w:rPr>
            </w:pPr>
            <w:r>
              <w:rPr>
                <w:rFonts w:hint="eastAsia" w:ascii="宋体" w:hAnsi="宋体" w:eastAsia="宋体" w:cs="Times New Roman"/>
                <w:sz w:val="24"/>
              </w:rPr>
              <w:t>选择1个“综合与实践”领域的内容，围绕</w:t>
            </w:r>
            <w:r>
              <w:rPr>
                <w:rFonts w:ascii="宋体" w:hAnsi="宋体" w:eastAsia="宋体" w:cs="Times New Roman"/>
                <w:sz w:val="24"/>
              </w:rPr>
              <w:t>相关的</w:t>
            </w:r>
            <w:r>
              <w:rPr>
                <w:rFonts w:hint="eastAsia" w:ascii="宋体" w:hAnsi="宋体" w:eastAsia="宋体" w:cs="Times New Roman"/>
                <w:sz w:val="24"/>
              </w:rPr>
              <w:t>教学</w:t>
            </w:r>
            <w:r>
              <w:rPr>
                <w:rFonts w:ascii="宋体" w:hAnsi="宋体" w:eastAsia="宋体" w:cs="Times New Roman"/>
                <w:sz w:val="24"/>
              </w:rPr>
              <w:t>案例（教学设计、教学视频等），</w:t>
            </w:r>
            <w:r>
              <w:rPr>
                <w:rFonts w:hint="eastAsia" w:ascii="宋体" w:hAnsi="宋体" w:eastAsia="宋体" w:cs="Times New Roman"/>
                <w:sz w:val="24"/>
              </w:rPr>
              <w:t>进行观摩</w:t>
            </w:r>
            <w:r>
              <w:rPr>
                <w:rFonts w:ascii="宋体" w:hAnsi="宋体" w:eastAsia="宋体" w:cs="Times New Roman"/>
                <w:sz w:val="24"/>
              </w:rPr>
              <w:t>研讨</w:t>
            </w:r>
            <w:r>
              <w:rPr>
                <w:rFonts w:hint="eastAsia" w:ascii="宋体" w:hAnsi="宋体" w:eastAsia="宋体" w:cs="Times New Roman"/>
                <w:sz w:val="24"/>
              </w:rPr>
              <w:t>，并在</w:t>
            </w:r>
            <w:r>
              <w:rPr>
                <w:rFonts w:ascii="宋体" w:hAnsi="宋体" w:eastAsia="宋体" w:cs="Times New Roman"/>
                <w:sz w:val="24"/>
              </w:rPr>
              <w:t>此基础上进行教学设计。</w:t>
            </w:r>
          </w:p>
        </w:tc>
        <w:tc>
          <w:tcPr>
            <w:tcW w:w="740" w:type="dxa"/>
            <w:vAlign w:val="center"/>
          </w:tcPr>
          <w:p w14:paraId="31CC0F47">
            <w:pPr>
              <w:spacing w:line="276" w:lineRule="auto"/>
              <w:jc w:val="center"/>
              <w:rPr>
                <w:rFonts w:hint="eastAsia" w:ascii="宋体" w:hAnsi="宋体" w:eastAsia="宋体" w:cs="宋体"/>
                <w:sz w:val="24"/>
              </w:rPr>
            </w:pPr>
            <w:r>
              <w:rPr>
                <w:rFonts w:hint="eastAsia" w:ascii="宋体" w:hAnsi="宋体" w:eastAsia="宋体" w:cs="宋体"/>
                <w:sz w:val="24"/>
              </w:rPr>
              <w:t>研讨</w:t>
            </w:r>
          </w:p>
          <w:p w14:paraId="7C72DAC0">
            <w:pPr>
              <w:spacing w:line="276" w:lineRule="auto"/>
              <w:jc w:val="center"/>
              <w:rPr>
                <w:rFonts w:hint="eastAsia" w:ascii="宋体" w:hAnsi="宋体" w:eastAsia="宋体" w:cs="宋体"/>
                <w:sz w:val="24"/>
              </w:rPr>
            </w:pPr>
            <w:r>
              <w:rPr>
                <w:rFonts w:hint="eastAsia" w:ascii="宋体" w:hAnsi="宋体" w:eastAsia="宋体" w:cs="宋体"/>
                <w:sz w:val="24"/>
              </w:rPr>
              <w:t>设计</w:t>
            </w:r>
          </w:p>
        </w:tc>
        <w:tc>
          <w:tcPr>
            <w:tcW w:w="3160" w:type="dxa"/>
          </w:tcPr>
          <w:p w14:paraId="5D3EEE49">
            <w:pPr>
              <w:rPr>
                <w:rFonts w:hint="eastAsia" w:ascii="宋体" w:hAnsi="宋体" w:eastAsia="宋体" w:cs="Times New Roman"/>
                <w:sz w:val="24"/>
              </w:rPr>
            </w:pPr>
            <w:r>
              <w:rPr>
                <w:rFonts w:hint="eastAsia" w:ascii="宋体" w:hAnsi="宋体" w:eastAsia="宋体" w:cs="Times New Roman"/>
                <w:sz w:val="24"/>
              </w:rPr>
              <w:t>增强专业自信心，树立全面育人的教学观，注重教学中情感、态度与价值观目标的达成，增强团队合作意识和专业自信心。</w:t>
            </w:r>
          </w:p>
        </w:tc>
      </w:tr>
    </w:tbl>
    <w:p w14:paraId="3AEAC34C">
      <w:pPr>
        <w:spacing w:line="360" w:lineRule="auto"/>
        <w:ind w:firstLine="472" w:firstLineChars="196"/>
        <w:jc w:val="left"/>
        <w:rPr>
          <w:rFonts w:hint="eastAsia" w:ascii="宋体" w:hAnsi="宋体" w:eastAsia="宋体" w:cs="Times New Roman"/>
          <w:b/>
          <w:color w:val="000000"/>
          <w:sz w:val="24"/>
        </w:rPr>
      </w:pPr>
    </w:p>
    <w:p w14:paraId="5B531CFD">
      <w:pPr>
        <w:spacing w:line="360" w:lineRule="auto"/>
        <w:jc w:val="left"/>
        <w:rPr>
          <w:rFonts w:ascii="Times New Roman" w:hAnsi="Times New Roman" w:eastAsia="宋体" w:cs="Times New Roman"/>
          <w:b/>
          <w:bCs/>
          <w:sz w:val="28"/>
          <w:szCs w:val="28"/>
        </w:rPr>
      </w:pPr>
      <w:r>
        <w:rPr>
          <w:rFonts w:hint="eastAsia" w:ascii="宋体" w:hAnsi="宋体" w:eastAsia="宋体" w:cs="Times New Roman"/>
          <w:b/>
          <w:color w:val="000000"/>
          <w:sz w:val="28"/>
          <w:szCs w:val="28"/>
        </w:rPr>
        <w:t>六、有关说明</w:t>
      </w:r>
    </w:p>
    <w:p w14:paraId="1E8C02B5">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7C50A9B3">
      <w:pPr>
        <w:spacing w:line="360" w:lineRule="auto"/>
        <w:ind w:firstLine="360" w:firstLineChars="150"/>
        <w:jc w:val="left"/>
        <w:rPr>
          <w:rFonts w:ascii="Times New Roman" w:hAnsi="Times New Roman" w:eastAsia="宋体" w:cs="Times New Roman"/>
          <w:b/>
          <w:sz w:val="24"/>
        </w:rPr>
      </w:pPr>
      <w:r>
        <w:rPr>
          <w:rFonts w:hint="eastAsia" w:ascii="Times New Roman" w:hAnsi="Times New Roman" w:eastAsia="宋体" w:cs="Times New Roman"/>
          <w:sz w:val="24"/>
        </w:rPr>
        <w:t>本课程根据学生作业、课堂讨论、实践环节和学生、教学督导等的反馈，及时对教学中的不足之处进行改进，并在下一轮课程教学中整改完善，确保相应毕业要求指标点达成。</w:t>
      </w:r>
      <w:r>
        <w:rPr>
          <w:rFonts w:hint="eastAsia" w:ascii="Times New Roman" w:hAnsi="Times New Roman" w:eastAsia="宋体" w:cs="Times New Roman"/>
          <w:b/>
          <w:sz w:val="24"/>
        </w:rPr>
        <w:t>（二）建议教材</w:t>
      </w:r>
    </w:p>
    <w:p w14:paraId="3D8B30F6">
      <w:pPr>
        <w:spacing w:line="360" w:lineRule="auto"/>
        <w:ind w:firstLine="600" w:firstLineChars="250"/>
        <w:jc w:val="left"/>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沈丹丹,杨宏</w:t>
      </w:r>
      <w:r>
        <w:rPr>
          <w:rFonts w:ascii="Times New Roman" w:hAnsi="Times New Roman" w:eastAsia="宋体" w:cs="Times New Roman"/>
          <w:bCs/>
          <w:color w:val="000000"/>
          <w:sz w:val="24"/>
        </w:rPr>
        <w:t>.小学数学教学设计与案例分析</w:t>
      </w:r>
      <w:r>
        <w:rPr>
          <w:rFonts w:hint="eastAsia" w:ascii="Times New Roman" w:hAnsi="Times New Roman" w:eastAsia="宋体" w:cs="Times New Roman"/>
          <w:bCs/>
          <w:color w:val="000000"/>
          <w:sz w:val="24"/>
        </w:rPr>
        <w:t>（第二版）</w:t>
      </w:r>
      <w:r>
        <w:rPr>
          <w:rFonts w:ascii="Times New Roman" w:hAnsi="Times New Roman" w:eastAsia="宋体" w:cs="Times New Roman"/>
          <w:bCs/>
          <w:color w:val="000000"/>
          <w:sz w:val="24"/>
        </w:rPr>
        <w:t>.北京：中国人民大学出版社，2023.</w:t>
      </w:r>
    </w:p>
    <w:p w14:paraId="1FE22DCD">
      <w:pPr>
        <w:spacing w:line="360" w:lineRule="auto"/>
        <w:ind w:firstLine="602" w:firstLineChars="250"/>
        <w:jc w:val="left"/>
        <w:rPr>
          <w:rFonts w:ascii="Times New Roman" w:hAnsi="Times New Roman" w:eastAsia="宋体" w:cs="Times New Roman"/>
          <w:b/>
          <w:sz w:val="24"/>
        </w:rPr>
      </w:pPr>
      <w:r>
        <w:rPr>
          <w:rFonts w:hint="eastAsia" w:ascii="Times New Roman" w:hAnsi="Times New Roman" w:eastAsia="宋体" w:cs="Times New Roman"/>
          <w:b/>
          <w:sz w:val="24"/>
        </w:rPr>
        <w:t>（三）参考书目</w:t>
      </w:r>
    </w:p>
    <w:p w14:paraId="4303E28C">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w:t>
      </w:r>
      <w:r>
        <w:rPr>
          <w:rFonts w:hint="eastAsia" w:ascii="宋体" w:hAnsi="宋体" w:eastAsia="宋体" w:cs="Times New Roman"/>
          <w:sz w:val="24"/>
        </w:rPr>
        <w:t>教育部.义务教育</w:t>
      </w:r>
      <w:r>
        <w:rPr>
          <w:rFonts w:ascii="宋体" w:hAnsi="宋体" w:eastAsia="宋体" w:cs="Times New Roman"/>
          <w:sz w:val="24"/>
        </w:rPr>
        <w:t>数学课程标准</w:t>
      </w:r>
      <w:r>
        <w:rPr>
          <w:rFonts w:hint="eastAsia" w:ascii="宋体" w:hAnsi="宋体" w:eastAsia="宋体" w:cs="Times New Roman"/>
          <w:sz w:val="24"/>
        </w:rPr>
        <w:t>（20</w:t>
      </w:r>
      <w:r>
        <w:rPr>
          <w:rFonts w:ascii="宋体" w:hAnsi="宋体" w:eastAsia="宋体" w:cs="Times New Roman"/>
          <w:sz w:val="24"/>
        </w:rPr>
        <w:t>22</w:t>
      </w:r>
      <w:r>
        <w:rPr>
          <w:rFonts w:hint="eastAsia" w:ascii="宋体" w:hAnsi="宋体" w:eastAsia="宋体" w:cs="Times New Roman"/>
          <w:sz w:val="24"/>
        </w:rPr>
        <w:t>年</w:t>
      </w:r>
      <w:r>
        <w:rPr>
          <w:rFonts w:ascii="宋体" w:hAnsi="宋体" w:eastAsia="宋体" w:cs="Times New Roman"/>
          <w:sz w:val="24"/>
        </w:rPr>
        <w:t>版）</w:t>
      </w:r>
      <w:r>
        <w:rPr>
          <w:rFonts w:hint="eastAsia" w:ascii="宋体" w:hAnsi="宋体" w:eastAsia="宋体" w:cs="Times New Roman"/>
          <w:sz w:val="24"/>
        </w:rPr>
        <w:t>.北京：北京师范</w:t>
      </w:r>
      <w:r>
        <w:rPr>
          <w:rFonts w:ascii="宋体" w:hAnsi="宋体" w:eastAsia="宋体" w:cs="Times New Roman"/>
          <w:sz w:val="24"/>
        </w:rPr>
        <w:t>大学</w:t>
      </w:r>
      <w:r>
        <w:rPr>
          <w:rFonts w:hint="eastAsia" w:ascii="宋体" w:hAnsi="宋体" w:eastAsia="宋体" w:cs="Times New Roman"/>
          <w:sz w:val="24"/>
        </w:rPr>
        <w:t>大学出版社.20</w:t>
      </w:r>
      <w:r>
        <w:rPr>
          <w:rFonts w:ascii="宋体" w:hAnsi="宋体" w:eastAsia="宋体" w:cs="Times New Roman"/>
          <w:sz w:val="24"/>
        </w:rPr>
        <w:t>22</w:t>
      </w:r>
      <w:r>
        <w:rPr>
          <w:rFonts w:hint="eastAsia" w:ascii="宋体" w:hAnsi="宋体" w:eastAsia="宋体" w:cs="Times New Roman"/>
          <w:sz w:val="24"/>
        </w:rPr>
        <w:t>.</w:t>
      </w:r>
    </w:p>
    <w:p w14:paraId="0716DCDF">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教育部.义务教育</w:t>
      </w:r>
      <w:r>
        <w:rPr>
          <w:rFonts w:ascii="宋体" w:hAnsi="宋体" w:eastAsia="宋体" w:cs="Times New Roman"/>
          <w:sz w:val="24"/>
        </w:rPr>
        <w:t>数学课程标准</w:t>
      </w:r>
      <w:r>
        <w:rPr>
          <w:rFonts w:hint="eastAsia" w:ascii="宋体" w:hAnsi="宋体" w:eastAsia="宋体" w:cs="Times New Roman"/>
          <w:sz w:val="24"/>
        </w:rPr>
        <w:t>（2011年</w:t>
      </w:r>
      <w:r>
        <w:rPr>
          <w:rFonts w:ascii="宋体" w:hAnsi="宋体" w:eastAsia="宋体" w:cs="Times New Roman"/>
          <w:sz w:val="24"/>
        </w:rPr>
        <w:t>版）</w:t>
      </w:r>
      <w:r>
        <w:rPr>
          <w:rFonts w:hint="eastAsia" w:ascii="宋体" w:hAnsi="宋体" w:eastAsia="宋体" w:cs="Times New Roman"/>
          <w:sz w:val="24"/>
        </w:rPr>
        <w:t>.北京：北京师范</w:t>
      </w:r>
      <w:r>
        <w:rPr>
          <w:rFonts w:ascii="宋体" w:hAnsi="宋体" w:eastAsia="宋体" w:cs="Times New Roman"/>
          <w:sz w:val="24"/>
        </w:rPr>
        <w:t>大学</w:t>
      </w:r>
      <w:r>
        <w:rPr>
          <w:rFonts w:hint="eastAsia" w:ascii="宋体" w:hAnsi="宋体" w:eastAsia="宋体" w:cs="Times New Roman"/>
          <w:sz w:val="24"/>
        </w:rPr>
        <w:t>大学出版社.201</w:t>
      </w:r>
      <w:r>
        <w:rPr>
          <w:rFonts w:ascii="宋体" w:hAnsi="宋体" w:eastAsia="宋体" w:cs="Times New Roman"/>
          <w:sz w:val="24"/>
        </w:rPr>
        <w:t>2</w:t>
      </w:r>
      <w:r>
        <w:rPr>
          <w:rFonts w:hint="eastAsia" w:ascii="宋体" w:hAnsi="宋体" w:eastAsia="宋体" w:cs="Times New Roman"/>
          <w:sz w:val="24"/>
        </w:rPr>
        <w:t>.</w:t>
      </w:r>
    </w:p>
    <w:p w14:paraId="1323F97B">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张奠宙，宋乃庆，金成梁</w:t>
      </w:r>
      <w:r>
        <w:rPr>
          <w:rFonts w:ascii="宋体" w:hAnsi="宋体" w:eastAsia="宋体" w:cs="Times New Roman"/>
          <w:sz w:val="24"/>
        </w:rPr>
        <w:t>.小学数学教学案例研究.北京:高等教育出版社，2010.</w:t>
      </w:r>
    </w:p>
    <w:p w14:paraId="6626AC70">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4</w:t>
      </w:r>
      <w:r>
        <w:rPr>
          <w:rFonts w:ascii="宋体" w:hAnsi="宋体" w:eastAsia="宋体" w:cs="Times New Roman"/>
          <w:sz w:val="24"/>
        </w:rPr>
        <w:t>.</w:t>
      </w:r>
      <w:r>
        <w:rPr>
          <w:rFonts w:hint="eastAsia" w:ascii="宋体" w:hAnsi="宋体" w:eastAsia="宋体" w:cs="Times New Roman"/>
          <w:sz w:val="24"/>
        </w:rPr>
        <w:t>金成梁</w:t>
      </w:r>
      <w:r>
        <w:rPr>
          <w:rFonts w:ascii="宋体" w:hAnsi="宋体" w:eastAsia="宋体" w:cs="Times New Roman"/>
          <w:sz w:val="24"/>
        </w:rPr>
        <w:t>.小学数学教学案例研究与基本训练.南京:南京大学出版社，2005.</w:t>
      </w:r>
    </w:p>
    <w:p w14:paraId="74B22CD6">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5</w:t>
      </w:r>
      <w:r>
        <w:rPr>
          <w:rFonts w:ascii="宋体" w:hAnsi="宋体" w:eastAsia="宋体" w:cs="Times New Roman"/>
          <w:sz w:val="24"/>
        </w:rPr>
        <w:t>.</w:t>
      </w:r>
      <w:r>
        <w:rPr>
          <w:rFonts w:hint="eastAsia" w:ascii="宋体" w:hAnsi="宋体" w:eastAsia="宋体" w:cs="Times New Roman"/>
          <w:sz w:val="24"/>
        </w:rPr>
        <w:t>张晓霞</w:t>
      </w:r>
      <w:r>
        <w:rPr>
          <w:rFonts w:ascii="宋体" w:hAnsi="宋体" w:eastAsia="宋体" w:cs="Times New Roman"/>
          <w:sz w:val="24"/>
        </w:rPr>
        <w:t>.小学数学教学案例研究.北京:高等教育出版社，2010.</w:t>
      </w:r>
    </w:p>
    <w:p w14:paraId="726EFA03">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6</w:t>
      </w:r>
      <w:r>
        <w:rPr>
          <w:rFonts w:ascii="宋体" w:hAnsi="宋体" w:eastAsia="宋体" w:cs="Times New Roman"/>
          <w:sz w:val="24"/>
        </w:rPr>
        <w:t>.</w:t>
      </w:r>
      <w:r>
        <w:rPr>
          <w:rFonts w:hint="eastAsia" w:ascii="宋体" w:hAnsi="宋体" w:eastAsia="宋体" w:cs="Times New Roman"/>
          <w:sz w:val="24"/>
        </w:rPr>
        <w:t>课程教材研究所</w:t>
      </w:r>
      <w:r>
        <w:rPr>
          <w:rFonts w:ascii="宋体" w:hAnsi="宋体" w:eastAsia="宋体" w:cs="Times New Roman"/>
          <w:sz w:val="24"/>
        </w:rPr>
        <w:t>,数学课程教材研究开发中心.小学数学教学与研究.北京:人民教育出版社，2003.</w:t>
      </w:r>
    </w:p>
    <w:p w14:paraId="267A3110">
      <w:pPr>
        <w:spacing w:line="360" w:lineRule="auto"/>
        <w:ind w:firstLine="480" w:firstLineChars="200"/>
        <w:rPr>
          <w:rFonts w:hint="eastAsia" w:ascii="宋体" w:hAnsi="宋体" w:eastAsia="宋体" w:cs="Times New Roman"/>
          <w:sz w:val="24"/>
        </w:rPr>
      </w:pPr>
    </w:p>
    <w:p w14:paraId="38B902E9">
      <w:pPr>
        <w:rPr>
          <w:sz w:val="24"/>
        </w:rPr>
      </w:pPr>
    </w:p>
    <w:p w14:paraId="2CB18527">
      <w:pPr>
        <w:rPr>
          <w:sz w:val="24"/>
        </w:rPr>
      </w:pPr>
    </w:p>
    <w:p w14:paraId="314E0136">
      <w:pPr>
        <w:rPr>
          <w:sz w:val="24"/>
        </w:rPr>
      </w:pPr>
    </w:p>
    <w:p w14:paraId="18913881">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执 笔 人：谢国忠</w:t>
      </w:r>
    </w:p>
    <w:p w14:paraId="16317612">
      <w:pPr>
        <w:wordWrap w:val="0"/>
        <w:spacing w:line="360" w:lineRule="auto"/>
        <w:ind w:right="144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定 人：王 健</w:t>
      </w:r>
    </w:p>
    <w:p w14:paraId="028B55C7">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3666607A">
      <w:pPr>
        <w:spacing w:line="360" w:lineRule="auto"/>
        <w:ind w:firstLine="4800" w:firstLineChars="2000"/>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108FF01B">
      <w:pPr>
        <w:rPr>
          <w:rFonts w:hint="eastAsia" w:ascii="等线" w:hAnsi="等线" w:eastAsia="等线" w:cs="等线"/>
          <w:b/>
          <w:bCs/>
          <w:sz w:val="44"/>
          <w:szCs w:val="44"/>
        </w:rPr>
      </w:pPr>
      <w:r>
        <w:rPr>
          <w:rFonts w:ascii="Times New Roman" w:hAnsi="Times New Roman" w:eastAsia="宋体" w:cs="Times New Roman"/>
          <w:sz w:val="24"/>
        </w:rPr>
        <w:br w:type="page"/>
      </w:r>
    </w:p>
    <w:p w14:paraId="7CFB06BC">
      <w:pPr>
        <w:pStyle w:val="2"/>
        <w:tabs>
          <w:tab w:val="left" w:pos="720"/>
          <w:tab w:val="left" w:pos="2700"/>
        </w:tabs>
      </w:pPr>
      <w:bookmarkStart w:id="279" w:name="_Toc19084"/>
      <w:bookmarkStart w:id="280" w:name="_Toc3138"/>
      <w:r>
        <w:rPr>
          <w:rFonts w:hint="eastAsia"/>
        </w:rPr>
        <w:t>《小学数学解题指导》课程教学大纲</w:t>
      </w:r>
      <w:bookmarkEnd w:id="279"/>
      <w:bookmarkEnd w:id="280"/>
    </w:p>
    <w:p w14:paraId="453E4CB6">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Mathematics Problem Solving Guide in Primary School</w:t>
      </w:r>
      <w:r>
        <w:rPr>
          <w:rFonts w:ascii="Times New Roman" w:hAnsi="Times New Roman" w:eastAsia="宋体" w:cs="Times New Roman"/>
          <w:b/>
          <w:bCs/>
          <w:sz w:val="28"/>
          <w:szCs w:val="28"/>
        </w:rPr>
        <w:t>）</w:t>
      </w:r>
    </w:p>
    <w:p w14:paraId="0211CA0C">
      <w:pPr>
        <w:spacing w:line="360" w:lineRule="auto"/>
        <w:jc w:val="center"/>
        <w:rPr>
          <w:rFonts w:ascii="Times New Roman" w:hAnsi="Times New Roman" w:eastAsia="宋体" w:cs="Times New Roman"/>
          <w:bCs/>
          <w:sz w:val="30"/>
          <w:szCs w:val="30"/>
        </w:rPr>
      </w:pPr>
    </w:p>
    <w:p w14:paraId="7F80DF5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课程名称：小学数学解题指导</w:t>
      </w:r>
    </w:p>
    <w:p w14:paraId="0E05C4B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w:t>
      </w:r>
      <w:r>
        <w:rPr>
          <w:rFonts w:hint="eastAsia" w:ascii="Times New Roman" w:hAnsi="Times New Roman" w:eastAsia="宋体" w:cs="Times New Roman"/>
          <w:b/>
          <w:sz w:val="24"/>
        </w:rPr>
        <w:t>65</w:t>
      </w:r>
    </w:p>
    <w:p w14:paraId="0E574C8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分：2</w:t>
      </w:r>
    </w:p>
    <w:p w14:paraId="461EF66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时：32 （其中：讲授学时16， 实践学时16）</w:t>
      </w:r>
    </w:p>
    <w:p w14:paraId="2CDF01A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先修课程：数学思想方法、初等数论、课程与教学论、小学数学课程标准与教材分析、小学数学教学设计与实施</w:t>
      </w:r>
    </w:p>
    <w:p w14:paraId="024FBE7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适用专业：小学教育（理）</w:t>
      </w:r>
    </w:p>
    <w:p w14:paraId="484A7754">
      <w:pPr>
        <w:spacing w:line="360" w:lineRule="auto"/>
        <w:jc w:val="left"/>
        <w:rPr>
          <w:rFonts w:ascii="Times New Roman" w:hAnsi="Times New Roman" w:eastAsia="宋体" w:cs="Times New Roman"/>
          <w:b/>
          <w:sz w:val="24"/>
        </w:rPr>
      </w:pPr>
    </w:p>
    <w:p w14:paraId="6BD0AFC7">
      <w:pPr>
        <w:spacing w:line="360" w:lineRule="auto"/>
        <w:jc w:val="left"/>
        <w:rPr>
          <w:rFonts w:ascii="Times New Roman" w:hAnsi="Times New Roman" w:eastAsia="宋体" w:cs="Times New Roman"/>
          <w:sz w:val="28"/>
          <w:szCs w:val="28"/>
        </w:rPr>
      </w:pPr>
      <w:r>
        <w:rPr>
          <w:rFonts w:hint="eastAsia" w:ascii="Times New Roman" w:hAnsi="Times New Roman" w:eastAsia="宋体" w:cs="Times New Roman"/>
          <w:b/>
          <w:sz w:val="28"/>
          <w:szCs w:val="28"/>
        </w:rPr>
        <w:t>一、课程简介</w:t>
      </w:r>
    </w:p>
    <w:p w14:paraId="3FF4431B">
      <w:pPr>
        <w:spacing w:line="360" w:lineRule="auto"/>
        <w:ind w:firstLine="480" w:firstLineChars="200"/>
        <w:jc w:val="left"/>
        <w:rPr>
          <w:rFonts w:hint="eastAsia" w:ascii="宋体" w:hAnsi="宋体" w:eastAsia="宋体" w:cs="Times New Roman"/>
          <w:b/>
          <w:color w:val="000000"/>
          <w:sz w:val="24"/>
        </w:rPr>
      </w:pPr>
      <w:r>
        <w:rPr>
          <w:rFonts w:hint="eastAsia" w:ascii="Times New Roman" w:hAnsi="Times New Roman" w:eastAsia="宋体" w:cs="Times New Roman"/>
          <w:sz w:val="24"/>
        </w:rPr>
        <w:t>本课程是小学教育（理）专业的一门专业选修课程。通过本课程的学习，系统地获得小学数学解题的基本思路和方法；提高学生的数学视野、数学思维能力、逻辑推理能力和教学指导水平，提高学生的数学素养，为从事小学数学教学工作打下坚实基础。</w:t>
      </w:r>
    </w:p>
    <w:p w14:paraId="18BF262C">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p>
    <w:p w14:paraId="782824C5">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（一）课程具体目标</w:t>
      </w:r>
    </w:p>
    <w:p w14:paraId="3717A203">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目标1.</w:t>
      </w:r>
      <w:r>
        <w:rPr>
          <w:rFonts w:ascii="Times New Roman" w:hAnsi="Times New Roman" w:eastAsia="宋体" w:cs="Times New Roman"/>
          <w:sz w:val="24"/>
        </w:rPr>
        <w:t xml:space="preserve"> </w:t>
      </w:r>
      <w:r>
        <w:rPr>
          <w:rFonts w:hint="eastAsia" w:ascii="Times New Roman" w:hAnsi="Times New Roman" w:eastAsia="宋体" w:cs="Times New Roman"/>
          <w:sz w:val="24"/>
        </w:rPr>
        <w:t>理解小学数学问题的解题思路，掌握小学数学问题的解题方法，提高小学数学解题指导能力。</w:t>
      </w:r>
    </w:p>
    <w:p w14:paraId="20AF1E17">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目标2.</w:t>
      </w:r>
      <w:r>
        <w:rPr>
          <w:rFonts w:ascii="Times New Roman" w:hAnsi="Times New Roman" w:eastAsia="宋体" w:cs="Times New Roman"/>
          <w:sz w:val="24"/>
        </w:rPr>
        <w:t xml:space="preserve"> </w:t>
      </w:r>
      <w:r>
        <w:rPr>
          <w:rFonts w:hint="eastAsia" w:ascii="Times New Roman" w:hAnsi="Times New Roman" w:eastAsia="宋体" w:cs="Times New Roman"/>
          <w:sz w:val="24"/>
        </w:rPr>
        <w:t>拓宽数学视野，提高数学思维能力和逻辑推理能力，提高数学素养。</w:t>
      </w:r>
    </w:p>
    <w:p w14:paraId="79221964">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目标3.</w:t>
      </w:r>
      <w:r>
        <w:rPr>
          <w:rFonts w:hint="eastAsia"/>
          <w:sz w:val="24"/>
        </w:rPr>
        <w:t xml:space="preserve"> </w:t>
      </w:r>
      <w:r>
        <w:rPr>
          <w:rFonts w:hint="eastAsia" w:ascii="Times New Roman" w:hAnsi="Times New Roman" w:eastAsia="宋体" w:cs="Times New Roman"/>
          <w:sz w:val="24"/>
        </w:rPr>
        <w:t>养成严谨的学习态度，掌握科学、严谨的学习方法，注重创新精神和实践能力的提升，树立以学生为主体的教学理念，体会数学文化的魅力，获得积极的小学教学体验。</w:t>
      </w:r>
    </w:p>
    <w:p w14:paraId="2C3504A5">
      <w:pPr>
        <w:spacing w:before="156" w:beforeLines="50" w:after="156" w:afterLines="50"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5812"/>
        <w:gridCol w:w="1327"/>
      </w:tblGrid>
      <w:tr w14:paraId="55F0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08FFF667">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w:t>
            </w:r>
          </w:p>
        </w:tc>
        <w:tc>
          <w:tcPr>
            <w:tcW w:w="5812" w:type="dxa"/>
            <w:vAlign w:val="center"/>
          </w:tcPr>
          <w:p w14:paraId="5E9C7355">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毕业要求指标点</w:t>
            </w:r>
          </w:p>
        </w:tc>
        <w:tc>
          <w:tcPr>
            <w:tcW w:w="1327" w:type="dxa"/>
            <w:vAlign w:val="center"/>
          </w:tcPr>
          <w:p w14:paraId="33015A46">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r>
      <w:tr w14:paraId="75F8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17B8F360">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毕业要求3：学科素养</w:t>
            </w:r>
          </w:p>
        </w:tc>
        <w:tc>
          <w:tcPr>
            <w:tcW w:w="5812" w:type="dxa"/>
            <w:vAlign w:val="center"/>
          </w:tcPr>
          <w:p w14:paraId="2D5D66DE">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指标点3-2：【学科知识扎实】具有学科专业能力，掌握小学数学学科的基本知识、原理和技能。熟悉小学科学的知识体系，掌握小学科学的基本知识、原理和技能。</w:t>
            </w:r>
          </w:p>
        </w:tc>
        <w:tc>
          <w:tcPr>
            <w:tcW w:w="1327" w:type="dxa"/>
            <w:vAlign w:val="center"/>
          </w:tcPr>
          <w:p w14:paraId="734026F1">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1</w:t>
            </w:r>
          </w:p>
          <w:p w14:paraId="7F22D2A6">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课程目标2</w:t>
            </w:r>
          </w:p>
        </w:tc>
      </w:tr>
      <w:tr w14:paraId="36D3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4C27931D">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4. 教学能力</w:t>
            </w:r>
          </w:p>
        </w:tc>
        <w:tc>
          <w:tcPr>
            <w:tcW w:w="5812" w:type="dxa"/>
            <w:vAlign w:val="center"/>
          </w:tcPr>
          <w:p w14:paraId="25438A64">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指标点</w:t>
            </w:r>
            <w:r>
              <w:rPr>
                <w:rFonts w:ascii="Times New Roman" w:hAnsi="Times New Roman" w:eastAsia="宋体" w:cs="Times New Roman"/>
                <w:sz w:val="24"/>
              </w:rPr>
              <w:t>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2B20E36A">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课程目标3</w:t>
            </w:r>
          </w:p>
          <w:p w14:paraId="27C11F1E">
            <w:pPr>
              <w:spacing w:line="276" w:lineRule="auto"/>
              <w:jc w:val="left"/>
              <w:rPr>
                <w:rFonts w:ascii="Times New Roman" w:hAnsi="Times New Roman" w:eastAsia="宋体" w:cs="Times New Roman"/>
                <w:sz w:val="24"/>
              </w:rPr>
            </w:pPr>
          </w:p>
        </w:tc>
      </w:tr>
    </w:tbl>
    <w:p w14:paraId="6D91E445">
      <w:pPr>
        <w:spacing w:before="156" w:beforeLines="50"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（三）课程思政目标</w:t>
      </w:r>
    </w:p>
    <w:p w14:paraId="10EF2D98">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养成严谨的学习态度，掌握科学、严谨的学习方法，注重创新精神和实践能力的提升，树立以学生为主体的教学理念，体会数学文化的魅力，获得积极的小学教学体验。</w:t>
      </w:r>
    </w:p>
    <w:p w14:paraId="42B4E3E1">
      <w:pPr>
        <w:spacing w:line="360" w:lineRule="auto"/>
        <w:jc w:val="left"/>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rPr>
        <w:t>三、教学内容与预期学习成效</w:t>
      </w:r>
    </w:p>
    <w:tbl>
      <w:tblPr>
        <w:tblStyle w:val="14"/>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698"/>
        <w:gridCol w:w="1132"/>
        <w:gridCol w:w="3252"/>
        <w:gridCol w:w="1556"/>
        <w:gridCol w:w="457"/>
      </w:tblGrid>
      <w:tr w14:paraId="664E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Align w:val="center"/>
          </w:tcPr>
          <w:p w14:paraId="30970967">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w:t>
            </w:r>
          </w:p>
          <w:p w14:paraId="2D508604">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单元</w:t>
            </w:r>
          </w:p>
        </w:tc>
        <w:tc>
          <w:tcPr>
            <w:tcW w:w="1701" w:type="dxa"/>
            <w:vAlign w:val="center"/>
          </w:tcPr>
          <w:p w14:paraId="053219E1">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知识点</w:t>
            </w:r>
          </w:p>
        </w:tc>
        <w:tc>
          <w:tcPr>
            <w:tcW w:w="1134" w:type="dxa"/>
            <w:vAlign w:val="center"/>
          </w:tcPr>
          <w:p w14:paraId="6E1778B8">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对应</w:t>
            </w:r>
          </w:p>
          <w:p w14:paraId="157F1C96">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课程目标</w:t>
            </w:r>
          </w:p>
        </w:tc>
        <w:tc>
          <w:tcPr>
            <w:tcW w:w="3260" w:type="dxa"/>
            <w:vAlign w:val="center"/>
          </w:tcPr>
          <w:p w14:paraId="48787624">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预期学习成效</w:t>
            </w:r>
          </w:p>
        </w:tc>
        <w:tc>
          <w:tcPr>
            <w:tcW w:w="1560" w:type="dxa"/>
            <w:vAlign w:val="center"/>
          </w:tcPr>
          <w:p w14:paraId="50592023">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实现环节</w:t>
            </w:r>
          </w:p>
        </w:tc>
        <w:tc>
          <w:tcPr>
            <w:tcW w:w="438" w:type="dxa"/>
            <w:vAlign w:val="center"/>
          </w:tcPr>
          <w:p w14:paraId="0632CF7C">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学时</w:t>
            </w:r>
          </w:p>
        </w:tc>
      </w:tr>
      <w:tr w14:paraId="063B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6E04DCE8">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w:t>
            </w:r>
            <w:r>
              <w:rPr>
                <w:rFonts w:hint="eastAsia"/>
                <w:sz w:val="24"/>
              </w:rPr>
              <w:t xml:space="preserve"> 绪论</w:t>
            </w:r>
          </w:p>
        </w:tc>
        <w:tc>
          <w:tcPr>
            <w:tcW w:w="1701" w:type="dxa"/>
            <w:vAlign w:val="center"/>
          </w:tcPr>
          <w:p w14:paraId="4B9BA46B">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（1）小学数学解题概述</w:t>
            </w:r>
          </w:p>
          <w:p w14:paraId="2CFF8BB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（2）小学数学解题指导的意义</w:t>
            </w:r>
          </w:p>
          <w:p w14:paraId="629ED19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（3）小学数学解题指导方法</w:t>
            </w:r>
          </w:p>
        </w:tc>
        <w:tc>
          <w:tcPr>
            <w:tcW w:w="1134" w:type="dxa"/>
            <w:vAlign w:val="center"/>
          </w:tcPr>
          <w:p w14:paraId="01DAF129">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课程目标1、3</w:t>
            </w:r>
          </w:p>
        </w:tc>
        <w:tc>
          <w:tcPr>
            <w:tcW w:w="3260" w:type="dxa"/>
            <w:vAlign w:val="center"/>
          </w:tcPr>
          <w:p w14:paraId="476275E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（1）了解小学数学解题的一般过程。</w:t>
            </w:r>
          </w:p>
          <w:p w14:paraId="2753029B">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（2）理解小学数学解题指导的意义。</w:t>
            </w:r>
          </w:p>
          <w:p w14:paraId="3697C84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（3）了解小学数学解题指导的常用方法</w:t>
            </w:r>
          </w:p>
        </w:tc>
        <w:tc>
          <w:tcPr>
            <w:tcW w:w="1560" w:type="dxa"/>
            <w:vAlign w:val="center"/>
          </w:tcPr>
          <w:p w14:paraId="77EC2390">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391D333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3043829A">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.自主学习</w:t>
            </w:r>
          </w:p>
        </w:tc>
        <w:tc>
          <w:tcPr>
            <w:tcW w:w="438" w:type="dxa"/>
            <w:vAlign w:val="center"/>
          </w:tcPr>
          <w:p w14:paraId="28F626D0">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p>
        </w:tc>
      </w:tr>
      <w:tr w14:paraId="7AC1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3CDCCE1D">
            <w:pPr>
              <w:spacing w:line="264" w:lineRule="auto"/>
              <w:jc w:val="center"/>
              <w:rPr>
                <w:rFonts w:hint="eastAsia" w:ascii="宋体" w:hAnsi="宋体" w:eastAsia="宋体" w:cs="Times New Roman"/>
                <w:color w:val="000000"/>
                <w:sz w:val="24"/>
              </w:rPr>
            </w:pPr>
          </w:p>
        </w:tc>
        <w:tc>
          <w:tcPr>
            <w:tcW w:w="8093" w:type="dxa"/>
            <w:gridSpan w:val="5"/>
            <w:vAlign w:val="center"/>
          </w:tcPr>
          <w:p w14:paraId="7DDBF7E3">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养成严谨的学习态度，掌握科学、严谨的学习方法，获得积极的小学教学体验。</w:t>
            </w:r>
          </w:p>
        </w:tc>
      </w:tr>
      <w:tr w14:paraId="0BBF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74E30073">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数与代数解题指导</w:t>
            </w:r>
          </w:p>
        </w:tc>
        <w:tc>
          <w:tcPr>
            <w:tcW w:w="1701" w:type="dxa"/>
            <w:vAlign w:val="center"/>
          </w:tcPr>
          <w:p w14:paraId="439538A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（1）简便运算</w:t>
            </w:r>
          </w:p>
          <w:p w14:paraId="4EAC639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（2）探索规律</w:t>
            </w:r>
          </w:p>
          <w:p w14:paraId="4676A0A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（3）数量关系</w:t>
            </w:r>
          </w:p>
          <w:p w14:paraId="4FFD207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（4）典型问题</w:t>
            </w:r>
          </w:p>
        </w:tc>
        <w:tc>
          <w:tcPr>
            <w:tcW w:w="1134" w:type="dxa"/>
            <w:vAlign w:val="center"/>
          </w:tcPr>
          <w:p w14:paraId="3CD38F95">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0" w:type="dxa"/>
            <w:vAlign w:val="center"/>
          </w:tcPr>
          <w:p w14:paraId="1B3827D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（1）掌握简便运算的解题技巧。</w:t>
            </w:r>
          </w:p>
          <w:p w14:paraId="545E0FD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（2）掌握探索规律问题的解题技巧。</w:t>
            </w:r>
          </w:p>
          <w:p w14:paraId="3793958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（3）理解数量关系对于问题解决的意义。</w:t>
            </w:r>
          </w:p>
          <w:p w14:paraId="33DC731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（4）具备典型数与代数问题的解题指导能力。</w:t>
            </w:r>
          </w:p>
        </w:tc>
        <w:tc>
          <w:tcPr>
            <w:tcW w:w="1560" w:type="dxa"/>
            <w:vAlign w:val="center"/>
          </w:tcPr>
          <w:p w14:paraId="2B38671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2DD8A5F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6B64CEA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3.课内实践</w:t>
            </w:r>
          </w:p>
          <w:p w14:paraId="15598EA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4.自主学习</w:t>
            </w:r>
          </w:p>
        </w:tc>
        <w:tc>
          <w:tcPr>
            <w:tcW w:w="438" w:type="dxa"/>
            <w:vAlign w:val="center"/>
          </w:tcPr>
          <w:p w14:paraId="27C355CC">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8</w:t>
            </w:r>
          </w:p>
        </w:tc>
      </w:tr>
      <w:tr w14:paraId="3D50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3FA8351F">
            <w:pPr>
              <w:spacing w:line="264" w:lineRule="auto"/>
              <w:jc w:val="center"/>
              <w:rPr>
                <w:rFonts w:hint="eastAsia" w:ascii="宋体" w:hAnsi="宋体" w:eastAsia="宋体" w:cs="Times New Roman"/>
                <w:color w:val="000000"/>
                <w:sz w:val="24"/>
              </w:rPr>
            </w:pPr>
          </w:p>
        </w:tc>
        <w:tc>
          <w:tcPr>
            <w:tcW w:w="8093" w:type="dxa"/>
            <w:gridSpan w:val="5"/>
            <w:vAlign w:val="center"/>
          </w:tcPr>
          <w:p w14:paraId="330AB862">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养成严谨的学习态度，掌握科学、严谨的学习方法，注重创新精神的培养，树立以学生为主体的教学理念，体会数学文化的魅力，获得积极的小学教学体验。</w:t>
            </w:r>
          </w:p>
        </w:tc>
      </w:tr>
      <w:tr w14:paraId="6B88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5029F88D">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图形与几何解题指导</w:t>
            </w:r>
          </w:p>
        </w:tc>
        <w:tc>
          <w:tcPr>
            <w:tcW w:w="1701" w:type="dxa"/>
            <w:vAlign w:val="center"/>
          </w:tcPr>
          <w:p w14:paraId="75310738">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（1）图形的认识问题</w:t>
            </w:r>
          </w:p>
          <w:p w14:paraId="74EEF2E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（2）图形的测量问题</w:t>
            </w:r>
          </w:p>
          <w:p w14:paraId="0DE9F9B7">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（3）图形的运动与变换问题</w:t>
            </w:r>
          </w:p>
        </w:tc>
        <w:tc>
          <w:tcPr>
            <w:tcW w:w="1134" w:type="dxa"/>
            <w:vAlign w:val="center"/>
          </w:tcPr>
          <w:p w14:paraId="641D9AF3">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0" w:type="dxa"/>
            <w:vAlign w:val="center"/>
          </w:tcPr>
          <w:p w14:paraId="5ECE4254">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（1）理解图形的认识与测量问题的解题思路。</w:t>
            </w:r>
          </w:p>
          <w:p w14:paraId="29D3797E">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（2）掌握图形的认识与测量问题的解题技巧。</w:t>
            </w:r>
          </w:p>
          <w:p w14:paraId="30E89C9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（3）掌握图形的运动与变换问题的解题技巧。</w:t>
            </w:r>
          </w:p>
        </w:tc>
        <w:tc>
          <w:tcPr>
            <w:tcW w:w="1560" w:type="dxa"/>
            <w:vAlign w:val="center"/>
          </w:tcPr>
          <w:p w14:paraId="66CCCB3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599DB056">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1182B088">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.自主学习</w:t>
            </w:r>
          </w:p>
        </w:tc>
        <w:tc>
          <w:tcPr>
            <w:tcW w:w="438" w:type="dxa"/>
            <w:vAlign w:val="center"/>
          </w:tcPr>
          <w:p w14:paraId="5DBB0A5A">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8</w:t>
            </w:r>
          </w:p>
        </w:tc>
      </w:tr>
      <w:tr w14:paraId="061D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00F86E57">
            <w:pPr>
              <w:spacing w:line="264" w:lineRule="auto"/>
              <w:jc w:val="center"/>
              <w:rPr>
                <w:rFonts w:hint="eastAsia" w:ascii="宋体" w:hAnsi="宋体" w:eastAsia="宋体" w:cs="Times New Roman"/>
                <w:color w:val="000000"/>
                <w:sz w:val="24"/>
              </w:rPr>
            </w:pPr>
          </w:p>
        </w:tc>
        <w:tc>
          <w:tcPr>
            <w:tcW w:w="8093" w:type="dxa"/>
            <w:gridSpan w:val="5"/>
            <w:vAlign w:val="center"/>
          </w:tcPr>
          <w:p w14:paraId="55ADC2F7">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养成严谨的学习态度，掌握科学、严谨的学习方法，注重创新精神的培养，树立以学生为主体的教学理念，体会数学文化的魅力，获得积极的小学教学体验。</w:t>
            </w:r>
          </w:p>
        </w:tc>
      </w:tr>
      <w:tr w14:paraId="42CA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306765A6">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统计与概念解题指导</w:t>
            </w:r>
          </w:p>
        </w:tc>
        <w:tc>
          <w:tcPr>
            <w:tcW w:w="1701" w:type="dxa"/>
            <w:vAlign w:val="center"/>
          </w:tcPr>
          <w:p w14:paraId="09B35A37">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（1）数据的收集与整理问题</w:t>
            </w:r>
          </w:p>
          <w:p w14:paraId="40989957">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（2）平均问题</w:t>
            </w:r>
          </w:p>
          <w:p w14:paraId="393F82A3">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（3）可能性问题</w:t>
            </w:r>
          </w:p>
        </w:tc>
        <w:tc>
          <w:tcPr>
            <w:tcW w:w="1134" w:type="dxa"/>
            <w:vAlign w:val="center"/>
          </w:tcPr>
          <w:p w14:paraId="54836D7F">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0" w:type="dxa"/>
            <w:vAlign w:val="center"/>
          </w:tcPr>
          <w:p w14:paraId="510C8983">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（1）掌握数据收集、整理类问题的解题技巧。</w:t>
            </w:r>
          </w:p>
          <w:p w14:paraId="69044167">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（2）理解平均问题的解题思路。</w:t>
            </w:r>
          </w:p>
          <w:p w14:paraId="634DEBF3">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（3）掌握可能性问题的解题技巧。</w:t>
            </w:r>
          </w:p>
        </w:tc>
        <w:tc>
          <w:tcPr>
            <w:tcW w:w="1560" w:type="dxa"/>
            <w:vAlign w:val="center"/>
          </w:tcPr>
          <w:p w14:paraId="3F61B9D2">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2322806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7DA41A4C">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1B91C8A0">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6</w:t>
            </w:r>
          </w:p>
        </w:tc>
      </w:tr>
      <w:tr w14:paraId="6622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6BFA104C">
            <w:pPr>
              <w:spacing w:line="276" w:lineRule="auto"/>
              <w:jc w:val="center"/>
              <w:rPr>
                <w:rFonts w:hint="eastAsia" w:ascii="宋体" w:hAnsi="宋体" w:eastAsia="宋体" w:cs="Times New Roman"/>
                <w:color w:val="000000"/>
                <w:sz w:val="24"/>
              </w:rPr>
            </w:pPr>
          </w:p>
        </w:tc>
        <w:tc>
          <w:tcPr>
            <w:tcW w:w="8093" w:type="dxa"/>
            <w:gridSpan w:val="5"/>
            <w:vAlign w:val="center"/>
          </w:tcPr>
          <w:p w14:paraId="73502EDD">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养成严谨的学习态度，掌握科学、严谨的学习方法，注重创新精神的培养，树立以学生为主体的教学理念，体会数学文化的魅力，获得积极的小学教学体验。</w:t>
            </w:r>
          </w:p>
        </w:tc>
      </w:tr>
      <w:tr w14:paraId="3F68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60195E59">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5</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小学数学竞赛题指导</w:t>
            </w:r>
          </w:p>
        </w:tc>
        <w:tc>
          <w:tcPr>
            <w:tcW w:w="1701" w:type="dxa"/>
            <w:vAlign w:val="center"/>
          </w:tcPr>
          <w:p w14:paraId="48455B0B">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（1）小学数学竞赛题的类型</w:t>
            </w:r>
          </w:p>
          <w:p w14:paraId="27C27F40">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（2）常见的小学数学竞赛题型分析</w:t>
            </w:r>
          </w:p>
          <w:p w14:paraId="6B989450">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（3）小学数学竞赛题的解题技巧</w:t>
            </w:r>
          </w:p>
        </w:tc>
        <w:tc>
          <w:tcPr>
            <w:tcW w:w="1134" w:type="dxa"/>
            <w:vAlign w:val="center"/>
          </w:tcPr>
          <w:p w14:paraId="577EA7A3">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0" w:type="dxa"/>
            <w:vAlign w:val="center"/>
          </w:tcPr>
          <w:p w14:paraId="30F20BAE">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（1）了解小学数学竞赛的类型。</w:t>
            </w:r>
          </w:p>
          <w:p w14:paraId="50B6E887">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（2）了解小学数学竞赛的常见题型。</w:t>
            </w:r>
          </w:p>
          <w:p w14:paraId="1403667A">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（3）具备初步的小学数学竞赛指导能力。</w:t>
            </w:r>
          </w:p>
        </w:tc>
        <w:tc>
          <w:tcPr>
            <w:tcW w:w="1560" w:type="dxa"/>
            <w:vAlign w:val="center"/>
          </w:tcPr>
          <w:p w14:paraId="617F0B38">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1.理论讲解</w:t>
            </w:r>
          </w:p>
          <w:p w14:paraId="61DE4653">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2.课堂讨论</w:t>
            </w:r>
          </w:p>
          <w:p w14:paraId="273CB5F8">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.课内实践</w:t>
            </w:r>
          </w:p>
          <w:p w14:paraId="5F1DC06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ascii="宋体" w:hAnsi="宋体" w:eastAsia="宋体" w:cs="Times New Roman"/>
                <w:color w:val="000000"/>
                <w:sz w:val="24"/>
              </w:rPr>
              <w:t>自主学习</w:t>
            </w:r>
          </w:p>
        </w:tc>
        <w:tc>
          <w:tcPr>
            <w:tcW w:w="438" w:type="dxa"/>
            <w:vAlign w:val="center"/>
          </w:tcPr>
          <w:p w14:paraId="136C5E42">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8</w:t>
            </w:r>
          </w:p>
        </w:tc>
      </w:tr>
      <w:tr w14:paraId="5A05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32B7001A">
            <w:pPr>
              <w:spacing w:line="276" w:lineRule="auto"/>
              <w:jc w:val="center"/>
              <w:rPr>
                <w:rFonts w:hint="eastAsia" w:ascii="宋体" w:hAnsi="宋体" w:eastAsia="宋体" w:cs="Times New Roman"/>
                <w:color w:val="000000"/>
                <w:sz w:val="24"/>
              </w:rPr>
            </w:pPr>
          </w:p>
        </w:tc>
        <w:tc>
          <w:tcPr>
            <w:tcW w:w="8093" w:type="dxa"/>
            <w:gridSpan w:val="5"/>
            <w:vAlign w:val="center"/>
          </w:tcPr>
          <w:p w14:paraId="318BC4AE">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养成严谨的学习态度，掌握科学、严谨的学习方法，树立以学生为主体的教学理念，体会数学文化的魅力，获得积极的小学教学体验。</w:t>
            </w:r>
          </w:p>
        </w:tc>
      </w:tr>
    </w:tbl>
    <w:p w14:paraId="110B6A52">
      <w:pPr>
        <w:spacing w:line="360" w:lineRule="auto"/>
        <w:jc w:val="left"/>
        <w:rPr>
          <w:rFonts w:ascii="Times New Roman" w:hAnsi="Times New Roman" w:eastAsia="宋体" w:cs="Times New Roman"/>
          <w:sz w:val="24"/>
        </w:rPr>
      </w:pPr>
    </w:p>
    <w:p w14:paraId="7DFA8E9F">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四、目标评价与成绩评定</w:t>
      </w:r>
    </w:p>
    <w:p w14:paraId="103E6ADE">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459678ED">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38A9F15E">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14"/>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550"/>
        <w:gridCol w:w="1406"/>
        <w:gridCol w:w="1406"/>
        <w:gridCol w:w="1406"/>
        <w:gridCol w:w="832"/>
      </w:tblGrid>
      <w:tr w14:paraId="66B6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6A9D71BF">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w:t>
            </w:r>
          </w:p>
        </w:tc>
        <w:tc>
          <w:tcPr>
            <w:tcW w:w="0" w:type="auto"/>
            <w:gridSpan w:val="4"/>
            <w:vAlign w:val="center"/>
          </w:tcPr>
          <w:p w14:paraId="35219AFB">
            <w:pPr>
              <w:spacing w:line="360" w:lineRule="auto"/>
              <w:jc w:val="center"/>
              <w:rPr>
                <w:rFonts w:hint="eastAsia" w:ascii="宋体" w:hAnsi="宋体" w:eastAsia="宋体" w:cs="Times New Roman"/>
                <w:sz w:val="24"/>
              </w:rPr>
            </w:pPr>
            <w:r>
              <w:rPr>
                <w:rFonts w:hint="eastAsia" w:ascii="宋体" w:hAnsi="宋体" w:eastAsia="宋体" w:cs="Times New Roman"/>
                <w:sz w:val="24"/>
              </w:rPr>
              <w:t>评价与成绩评定方法</w:t>
            </w:r>
          </w:p>
        </w:tc>
        <w:tc>
          <w:tcPr>
            <w:tcW w:w="0" w:type="auto"/>
            <w:vMerge w:val="restart"/>
            <w:vAlign w:val="center"/>
          </w:tcPr>
          <w:p w14:paraId="65436CEB">
            <w:pPr>
              <w:spacing w:line="360" w:lineRule="auto"/>
              <w:jc w:val="center"/>
              <w:rPr>
                <w:rFonts w:hint="eastAsia" w:ascii="宋体" w:hAnsi="宋体" w:eastAsia="宋体" w:cs="Times New Roman"/>
                <w:sz w:val="24"/>
              </w:rPr>
            </w:pPr>
            <w:r>
              <w:rPr>
                <w:rFonts w:hint="eastAsia" w:ascii="宋体" w:hAnsi="宋体" w:eastAsia="宋体" w:cs="Times New Roman"/>
                <w:sz w:val="24"/>
              </w:rPr>
              <w:t>分值</w:t>
            </w:r>
          </w:p>
        </w:tc>
      </w:tr>
      <w:tr w14:paraId="1F94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7C12F2E5">
            <w:pPr>
              <w:spacing w:line="360" w:lineRule="auto"/>
              <w:jc w:val="center"/>
              <w:rPr>
                <w:rFonts w:hint="eastAsia" w:ascii="宋体" w:hAnsi="宋体" w:eastAsia="宋体" w:cs="Times New Roman"/>
                <w:sz w:val="24"/>
              </w:rPr>
            </w:pPr>
          </w:p>
        </w:tc>
        <w:tc>
          <w:tcPr>
            <w:tcW w:w="0" w:type="auto"/>
            <w:vAlign w:val="center"/>
          </w:tcPr>
          <w:p w14:paraId="7DFD4342">
            <w:pPr>
              <w:spacing w:line="360" w:lineRule="auto"/>
              <w:jc w:val="center"/>
              <w:rPr>
                <w:rFonts w:hint="eastAsia" w:ascii="宋体" w:hAnsi="宋体" w:eastAsia="宋体" w:cs="Times New Roman"/>
                <w:sz w:val="24"/>
              </w:rPr>
            </w:pPr>
            <w:r>
              <w:rPr>
                <w:rFonts w:hint="eastAsia" w:ascii="宋体" w:hAnsi="宋体" w:eastAsia="宋体" w:cs="Times New Roman"/>
                <w:sz w:val="24"/>
              </w:rPr>
              <w:t>作业</w:t>
            </w:r>
            <w:r>
              <w:rPr>
                <w:rFonts w:ascii="宋体" w:hAnsi="宋体" w:eastAsia="宋体" w:cs="Times New Roman"/>
                <w:sz w:val="24"/>
              </w:rPr>
              <w:t>+考勤</w:t>
            </w:r>
          </w:p>
        </w:tc>
        <w:tc>
          <w:tcPr>
            <w:tcW w:w="0" w:type="auto"/>
            <w:vAlign w:val="center"/>
          </w:tcPr>
          <w:p w14:paraId="780A35C8">
            <w:pPr>
              <w:spacing w:line="360" w:lineRule="auto"/>
              <w:jc w:val="center"/>
              <w:rPr>
                <w:rFonts w:hint="eastAsia" w:ascii="宋体" w:hAnsi="宋体" w:eastAsia="宋体" w:cs="Times New Roman"/>
                <w:sz w:val="24"/>
              </w:rPr>
            </w:pPr>
            <w:r>
              <w:rPr>
                <w:rFonts w:hint="eastAsia" w:ascii="宋体" w:hAnsi="宋体" w:eastAsia="宋体" w:cs="Times New Roman"/>
                <w:sz w:val="24"/>
              </w:rPr>
              <w:t>课堂表现</w:t>
            </w:r>
          </w:p>
        </w:tc>
        <w:tc>
          <w:tcPr>
            <w:tcW w:w="0" w:type="auto"/>
            <w:vAlign w:val="center"/>
          </w:tcPr>
          <w:p w14:paraId="3ABE2EC5">
            <w:pPr>
              <w:spacing w:line="360" w:lineRule="auto"/>
              <w:jc w:val="center"/>
              <w:rPr>
                <w:rFonts w:hint="eastAsia" w:ascii="宋体" w:hAnsi="宋体" w:eastAsia="宋体" w:cs="Times New Roman"/>
                <w:sz w:val="24"/>
              </w:rPr>
            </w:pPr>
            <w:r>
              <w:rPr>
                <w:rFonts w:hint="eastAsia" w:ascii="宋体" w:hAnsi="宋体" w:eastAsia="宋体" w:cs="Times New Roman"/>
                <w:sz w:val="24"/>
              </w:rPr>
              <w:t>课内实践</w:t>
            </w:r>
          </w:p>
        </w:tc>
        <w:tc>
          <w:tcPr>
            <w:tcW w:w="0" w:type="auto"/>
            <w:vAlign w:val="center"/>
          </w:tcPr>
          <w:p w14:paraId="2D1511CF">
            <w:pPr>
              <w:spacing w:line="360" w:lineRule="auto"/>
              <w:jc w:val="center"/>
              <w:rPr>
                <w:rFonts w:hint="eastAsia" w:ascii="宋体" w:hAnsi="宋体" w:eastAsia="宋体" w:cs="Times New Roman"/>
                <w:sz w:val="24"/>
              </w:rPr>
            </w:pPr>
            <w:r>
              <w:rPr>
                <w:rFonts w:hint="eastAsia" w:ascii="宋体" w:hAnsi="宋体" w:eastAsia="宋体" w:cs="Times New Roman"/>
                <w:sz w:val="24"/>
              </w:rPr>
              <w:t>期末考试</w:t>
            </w:r>
          </w:p>
        </w:tc>
        <w:tc>
          <w:tcPr>
            <w:tcW w:w="0" w:type="auto"/>
            <w:vMerge w:val="continue"/>
            <w:vAlign w:val="center"/>
          </w:tcPr>
          <w:p w14:paraId="1C590EAA">
            <w:pPr>
              <w:spacing w:line="360" w:lineRule="auto"/>
              <w:jc w:val="center"/>
              <w:rPr>
                <w:rFonts w:hint="eastAsia" w:ascii="宋体" w:hAnsi="宋体" w:eastAsia="宋体" w:cs="Times New Roman"/>
                <w:sz w:val="24"/>
              </w:rPr>
            </w:pPr>
          </w:p>
        </w:tc>
      </w:tr>
      <w:tr w14:paraId="0CA7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16B8DCE7">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0" w:type="auto"/>
            <w:vAlign w:val="center"/>
          </w:tcPr>
          <w:p w14:paraId="4CFF3EE4">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771C9AC6">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1F6A97FD">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57559AB4">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0A1CC469">
            <w:pPr>
              <w:spacing w:line="360" w:lineRule="auto"/>
              <w:jc w:val="center"/>
              <w:rPr>
                <w:rFonts w:hint="eastAsia" w:ascii="宋体" w:hAnsi="宋体" w:eastAsia="宋体" w:cs="Times New Roman"/>
                <w:sz w:val="24"/>
              </w:rPr>
            </w:pPr>
            <w:r>
              <w:rPr>
                <w:rFonts w:hint="eastAsia" w:ascii="宋体" w:hAnsi="宋体" w:eastAsia="宋体" w:cs="Times New Roman"/>
                <w:sz w:val="24"/>
              </w:rPr>
              <w:t>40</w:t>
            </w:r>
          </w:p>
        </w:tc>
      </w:tr>
      <w:tr w14:paraId="2958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15066A67">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0" w:type="auto"/>
            <w:vAlign w:val="center"/>
          </w:tcPr>
          <w:p w14:paraId="322CBB86">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7922CFC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478B00A8">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3AA4F962">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660001F6">
            <w:pPr>
              <w:spacing w:line="360" w:lineRule="auto"/>
              <w:jc w:val="center"/>
              <w:rPr>
                <w:rFonts w:hint="eastAsia" w:ascii="宋体" w:hAnsi="宋体" w:eastAsia="宋体" w:cs="Times New Roman"/>
                <w:sz w:val="24"/>
              </w:rPr>
            </w:pPr>
            <w:r>
              <w:rPr>
                <w:rFonts w:hint="eastAsia" w:ascii="宋体" w:hAnsi="宋体" w:eastAsia="宋体" w:cs="Times New Roman"/>
                <w:sz w:val="24"/>
              </w:rPr>
              <w:t>40</w:t>
            </w:r>
          </w:p>
        </w:tc>
      </w:tr>
      <w:tr w14:paraId="36A8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34E93175">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0" w:type="auto"/>
            <w:vAlign w:val="center"/>
          </w:tcPr>
          <w:p w14:paraId="711B3556">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3BDA0A4C">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36C9C85F">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0" w:type="auto"/>
            <w:vAlign w:val="center"/>
          </w:tcPr>
          <w:p w14:paraId="7618B847">
            <w:pPr>
              <w:spacing w:line="360" w:lineRule="auto"/>
              <w:jc w:val="center"/>
              <w:rPr>
                <w:rFonts w:hint="eastAsia" w:ascii="宋体" w:hAnsi="宋体" w:eastAsia="宋体" w:cs="Times New Roman"/>
                <w:sz w:val="24"/>
              </w:rPr>
            </w:pPr>
          </w:p>
        </w:tc>
        <w:tc>
          <w:tcPr>
            <w:tcW w:w="0" w:type="auto"/>
            <w:vAlign w:val="center"/>
          </w:tcPr>
          <w:p w14:paraId="2D627ED8">
            <w:pPr>
              <w:spacing w:line="360" w:lineRule="auto"/>
              <w:jc w:val="center"/>
              <w:rPr>
                <w:rFonts w:hint="eastAsia" w:ascii="宋体" w:hAnsi="宋体" w:eastAsia="宋体" w:cs="Times New Roman"/>
                <w:sz w:val="24"/>
              </w:rPr>
            </w:pPr>
            <w:r>
              <w:rPr>
                <w:rFonts w:hint="eastAsia" w:ascii="宋体" w:hAnsi="宋体" w:eastAsia="宋体" w:cs="Times New Roman"/>
                <w:sz w:val="24"/>
              </w:rPr>
              <w:t>20</w:t>
            </w:r>
          </w:p>
        </w:tc>
      </w:tr>
      <w:tr w14:paraId="771A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0A6AC2CF">
            <w:pPr>
              <w:spacing w:line="360"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0" w:type="auto"/>
            <w:vAlign w:val="center"/>
          </w:tcPr>
          <w:p w14:paraId="3CC0312D">
            <w:pPr>
              <w:spacing w:line="360" w:lineRule="auto"/>
              <w:jc w:val="center"/>
              <w:rPr>
                <w:rFonts w:hint="eastAsia" w:ascii="宋体" w:hAnsi="宋体" w:eastAsia="宋体" w:cs="Times New Roman"/>
                <w:sz w:val="24"/>
              </w:rPr>
            </w:pPr>
            <w:r>
              <w:rPr>
                <w:rFonts w:ascii="宋体" w:hAnsi="宋体" w:eastAsia="宋体" w:cs="Times New Roman"/>
                <w:sz w:val="24"/>
              </w:rPr>
              <w:t>20</w:t>
            </w:r>
          </w:p>
        </w:tc>
        <w:tc>
          <w:tcPr>
            <w:tcW w:w="0" w:type="auto"/>
            <w:vAlign w:val="center"/>
          </w:tcPr>
          <w:p w14:paraId="342B6B1B">
            <w:pPr>
              <w:spacing w:line="360" w:lineRule="auto"/>
              <w:jc w:val="center"/>
              <w:rPr>
                <w:rFonts w:hint="eastAsia"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0</w:t>
            </w:r>
          </w:p>
        </w:tc>
        <w:tc>
          <w:tcPr>
            <w:tcW w:w="0" w:type="auto"/>
            <w:vAlign w:val="center"/>
          </w:tcPr>
          <w:p w14:paraId="00B8C9E6">
            <w:pPr>
              <w:spacing w:line="360" w:lineRule="auto"/>
              <w:jc w:val="center"/>
              <w:rPr>
                <w:rFonts w:hint="eastAsia"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0</w:t>
            </w:r>
          </w:p>
        </w:tc>
        <w:tc>
          <w:tcPr>
            <w:tcW w:w="0" w:type="auto"/>
            <w:vAlign w:val="center"/>
          </w:tcPr>
          <w:p w14:paraId="4C261CEC">
            <w:pPr>
              <w:spacing w:line="360" w:lineRule="auto"/>
              <w:jc w:val="center"/>
              <w:rPr>
                <w:rFonts w:hint="eastAsia" w:ascii="宋体" w:hAnsi="宋体" w:eastAsia="宋体" w:cs="Times New Roman"/>
                <w:sz w:val="24"/>
              </w:rPr>
            </w:pPr>
            <w:r>
              <w:rPr>
                <w:rFonts w:hint="eastAsia" w:ascii="宋体" w:hAnsi="宋体" w:eastAsia="宋体" w:cs="Times New Roman"/>
                <w:sz w:val="24"/>
              </w:rPr>
              <w:t>5</w:t>
            </w:r>
            <w:r>
              <w:rPr>
                <w:rFonts w:ascii="宋体" w:hAnsi="宋体" w:eastAsia="宋体" w:cs="Times New Roman"/>
                <w:sz w:val="24"/>
              </w:rPr>
              <w:t>0</w:t>
            </w:r>
          </w:p>
        </w:tc>
        <w:tc>
          <w:tcPr>
            <w:tcW w:w="0" w:type="auto"/>
            <w:vAlign w:val="center"/>
          </w:tcPr>
          <w:p w14:paraId="6D30758E">
            <w:pPr>
              <w:spacing w:line="360"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57BE5457">
      <w:pPr>
        <w:spacing w:before="156" w:beforeLines="50" w:line="360" w:lineRule="auto"/>
        <w:jc w:val="left"/>
        <w:rPr>
          <w:rFonts w:ascii="Times New Roman" w:hAnsi="Times New Roman" w:eastAsia="宋体" w:cs="Times New Roman"/>
          <w:b/>
          <w:sz w:val="24"/>
        </w:rPr>
      </w:pPr>
    </w:p>
    <w:p w14:paraId="3BB65F5A">
      <w:pPr>
        <w:spacing w:before="156" w:beforeLines="50" w:line="360" w:lineRule="auto"/>
        <w:jc w:val="left"/>
        <w:rPr>
          <w:rFonts w:ascii="Times New Roman" w:hAnsi="Times New Roman" w:eastAsia="宋体" w:cs="Times New Roman"/>
          <w:b/>
          <w:sz w:val="24"/>
        </w:rPr>
      </w:pPr>
    </w:p>
    <w:p w14:paraId="5E74E00D">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44C44331">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38527AEE">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6924"/>
        <w:gridCol w:w="776"/>
      </w:tblGrid>
      <w:tr w14:paraId="5A35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F42C4EA">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6924" w:type="dxa"/>
            <w:vAlign w:val="center"/>
          </w:tcPr>
          <w:p w14:paraId="4F8937A6">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5E28B1B2">
            <w:pPr>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6FD8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07B10F4">
            <w:pPr>
              <w:rPr>
                <w:rFonts w:ascii="Times New Roman" w:hAnsi="Times New Roman" w:eastAsia="宋体" w:cs="Times New Roman"/>
                <w:sz w:val="24"/>
              </w:rPr>
            </w:pPr>
            <w:r>
              <w:rPr>
                <w:rFonts w:hint="eastAsia" w:ascii="Times New Roman" w:hAnsi="Times New Roman" w:eastAsia="宋体" w:cs="Times New Roman"/>
                <w:sz w:val="24"/>
              </w:rPr>
              <w:t>作业</w:t>
            </w:r>
            <w:r>
              <w:rPr>
                <w:rFonts w:ascii="Times New Roman" w:hAnsi="Times New Roman" w:eastAsia="宋体" w:cs="Times New Roman"/>
                <w:sz w:val="24"/>
              </w:rPr>
              <w:t>+考勤</w:t>
            </w:r>
          </w:p>
        </w:tc>
        <w:tc>
          <w:tcPr>
            <w:tcW w:w="6924" w:type="dxa"/>
            <w:vAlign w:val="center"/>
          </w:tcPr>
          <w:p w14:paraId="6C4643FE">
            <w:pPr>
              <w:spacing w:line="264" w:lineRule="auto"/>
              <w:jc w:val="left"/>
              <w:rPr>
                <w:rFonts w:ascii="Times New Roman" w:hAnsi="Times New Roman" w:eastAsia="宋体" w:cs="Times New Roman"/>
                <w:sz w:val="24"/>
              </w:rPr>
            </w:pPr>
            <w:r>
              <w:rPr>
                <w:rFonts w:hint="eastAsia" w:ascii="Times New Roman" w:hAnsi="Times New Roman" w:eastAsia="宋体" w:cs="Times New Roman"/>
                <w:sz w:val="24"/>
              </w:rPr>
              <w:t>平时作业共3次，平时总评</w:t>
            </w:r>
            <w:r>
              <w:rPr>
                <w:rFonts w:ascii="Times New Roman" w:hAnsi="Times New Roman" w:eastAsia="宋体" w:cs="Times New Roman"/>
                <w:sz w:val="24"/>
              </w:rPr>
              <w:t>=作业平均—考勤扣分，旷课1次扣5分，事假一次扣2分，迟到1次扣1分，病假不扣分（但病假次数达本学期总授课学时的1/3以上者不得参加考核）。</w:t>
            </w:r>
          </w:p>
        </w:tc>
        <w:tc>
          <w:tcPr>
            <w:tcW w:w="0" w:type="auto"/>
            <w:vAlign w:val="center"/>
          </w:tcPr>
          <w:p w14:paraId="5EAB61EE">
            <w:pPr>
              <w:jc w:val="center"/>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0%</w:t>
            </w:r>
          </w:p>
        </w:tc>
      </w:tr>
      <w:tr w14:paraId="4A08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B7C219F">
            <w:pPr>
              <w:rPr>
                <w:rFonts w:ascii="Times New Roman" w:hAnsi="Times New Roman" w:eastAsia="宋体" w:cs="Times New Roman"/>
                <w:sz w:val="24"/>
              </w:rPr>
            </w:pPr>
            <w:r>
              <w:rPr>
                <w:rFonts w:hint="eastAsia" w:ascii="Times New Roman" w:hAnsi="Times New Roman" w:eastAsia="宋体" w:cs="Times New Roman"/>
                <w:sz w:val="24"/>
              </w:rPr>
              <w:t>课堂表现</w:t>
            </w:r>
          </w:p>
        </w:tc>
        <w:tc>
          <w:tcPr>
            <w:tcW w:w="6924" w:type="dxa"/>
            <w:vAlign w:val="center"/>
          </w:tcPr>
          <w:p w14:paraId="1422CBDF">
            <w:pPr>
              <w:widowControl/>
              <w:spacing w:line="264" w:lineRule="auto"/>
              <w:jc w:val="left"/>
              <w:rPr>
                <w:rFonts w:ascii="Times New Roman" w:hAnsi="Times New Roman" w:eastAsia="宋体" w:cs="Times New Roman"/>
                <w:sz w:val="24"/>
              </w:rPr>
            </w:pPr>
            <w:r>
              <w:rPr>
                <w:rFonts w:hint="eastAsia" w:ascii="宋体" w:hAnsi="宋体" w:eastAsia="宋体" w:cs="宋体"/>
                <w:color w:val="000000"/>
                <w:kern w:val="0"/>
                <w:sz w:val="24"/>
                <w:lang w:bidi="ar"/>
              </w:rPr>
              <w:t>课堂表现。</w:t>
            </w:r>
            <w:r>
              <w:rPr>
                <w:rFonts w:ascii="宋体" w:hAnsi="宋体" w:eastAsia="宋体" w:cs="宋体"/>
                <w:color w:val="000000"/>
                <w:kern w:val="0"/>
                <w:sz w:val="24"/>
                <w:lang w:bidi="ar"/>
              </w:rPr>
              <w:t>主要指课上教师随机提问、组织课堂讨论等，观察学生参与程度</w:t>
            </w:r>
            <w:r>
              <w:rPr>
                <w:rFonts w:hint="eastAsia" w:ascii="宋体" w:hAnsi="宋体" w:eastAsia="宋体" w:cs="宋体"/>
                <w:color w:val="000000"/>
                <w:kern w:val="0"/>
                <w:sz w:val="24"/>
                <w:lang w:bidi="ar"/>
              </w:rPr>
              <w:t>，</w:t>
            </w:r>
            <w:r>
              <w:rPr>
                <w:rFonts w:ascii="宋体" w:hAnsi="宋体" w:eastAsia="宋体" w:cs="宋体"/>
                <w:color w:val="000000"/>
                <w:kern w:val="0"/>
                <w:sz w:val="24"/>
                <w:lang w:bidi="ar"/>
              </w:rPr>
              <w:t>按照对应的课程目标及权重给予评定</w:t>
            </w:r>
            <w:r>
              <w:rPr>
                <w:rFonts w:hint="eastAsia" w:ascii="宋体" w:hAnsi="宋体" w:eastAsia="宋体" w:cs="宋体"/>
                <w:color w:val="000000"/>
                <w:kern w:val="0"/>
                <w:sz w:val="24"/>
                <w:lang w:bidi="ar"/>
              </w:rPr>
              <w:t>。</w:t>
            </w:r>
          </w:p>
        </w:tc>
        <w:tc>
          <w:tcPr>
            <w:tcW w:w="0" w:type="auto"/>
            <w:vAlign w:val="center"/>
          </w:tcPr>
          <w:p w14:paraId="15F3EE46">
            <w:pPr>
              <w:jc w:val="center"/>
              <w:rPr>
                <w:rFonts w:ascii="Times New Roman" w:hAnsi="Times New Roman" w:eastAsia="宋体" w:cs="Times New Roman"/>
                <w:sz w:val="24"/>
              </w:rPr>
            </w:pPr>
            <w:r>
              <w:rPr>
                <w:rFonts w:hint="eastAsia" w:ascii="Times New Roman" w:hAnsi="Times New Roman" w:eastAsia="宋体" w:cs="Times New Roman"/>
                <w:sz w:val="24"/>
              </w:rPr>
              <w:t>10%</w:t>
            </w:r>
          </w:p>
        </w:tc>
      </w:tr>
      <w:tr w14:paraId="6838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BB26487">
            <w:pPr>
              <w:rPr>
                <w:rFonts w:ascii="Times New Roman" w:hAnsi="Times New Roman" w:eastAsia="宋体" w:cs="Times New Roman"/>
                <w:sz w:val="24"/>
              </w:rPr>
            </w:pPr>
            <w:r>
              <w:rPr>
                <w:rFonts w:hint="eastAsia" w:ascii="Times New Roman" w:hAnsi="Times New Roman" w:eastAsia="宋体" w:cs="Times New Roman"/>
                <w:sz w:val="24"/>
              </w:rPr>
              <w:t>课内实践</w:t>
            </w:r>
          </w:p>
        </w:tc>
        <w:tc>
          <w:tcPr>
            <w:tcW w:w="6924" w:type="dxa"/>
            <w:vAlign w:val="center"/>
          </w:tcPr>
          <w:p w14:paraId="15C76477">
            <w:pPr>
              <w:widowControl/>
              <w:spacing w:line="264" w:lineRule="auto"/>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认真完成</w:t>
            </w:r>
            <w:r>
              <w:rPr>
                <w:rFonts w:ascii="宋体" w:hAnsi="宋体" w:eastAsia="宋体" w:cs="宋体"/>
                <w:color w:val="000000"/>
                <w:kern w:val="0"/>
                <w:sz w:val="24"/>
                <w:lang w:bidi="ar"/>
              </w:rPr>
              <w:t>4个项目的课内实践，</w:t>
            </w:r>
            <w:r>
              <w:rPr>
                <w:rFonts w:hint="eastAsia" w:ascii="宋体" w:hAnsi="宋体" w:eastAsia="宋体" w:cs="宋体"/>
                <w:color w:val="000000"/>
                <w:kern w:val="0"/>
                <w:sz w:val="24"/>
                <w:lang w:bidi="ar"/>
              </w:rPr>
              <w:t>在认真学习小学数学解题策略的基础上</w:t>
            </w:r>
            <w:r>
              <w:rPr>
                <w:rFonts w:ascii="宋体" w:hAnsi="宋体" w:eastAsia="宋体" w:cs="宋体"/>
                <w:color w:val="000000"/>
                <w:kern w:val="0"/>
                <w:sz w:val="24"/>
                <w:lang w:bidi="ar"/>
              </w:rPr>
              <w:t>，尝试进行</w:t>
            </w:r>
            <w:r>
              <w:rPr>
                <w:rFonts w:hint="eastAsia" w:ascii="宋体" w:hAnsi="宋体" w:eastAsia="宋体" w:cs="宋体"/>
                <w:color w:val="000000"/>
                <w:kern w:val="0"/>
                <w:sz w:val="24"/>
                <w:lang w:bidi="ar"/>
              </w:rPr>
              <w:t>相关的小学数学解题指导</w:t>
            </w:r>
            <w:r>
              <w:rPr>
                <w:rFonts w:ascii="宋体" w:hAnsi="宋体" w:eastAsia="宋体" w:cs="宋体"/>
                <w:color w:val="000000"/>
                <w:kern w:val="0"/>
                <w:sz w:val="24"/>
                <w:lang w:bidi="ar"/>
              </w:rPr>
              <w:t>。</w:t>
            </w:r>
            <w:r>
              <w:rPr>
                <w:rFonts w:hint="eastAsia" w:ascii="宋体" w:hAnsi="宋体" w:eastAsia="宋体" w:cs="宋体"/>
                <w:color w:val="000000"/>
                <w:kern w:val="0"/>
                <w:sz w:val="24"/>
                <w:lang w:bidi="ar"/>
              </w:rPr>
              <w:t>实行组内互评与教师评价相结合的方式。</w:t>
            </w:r>
            <w:r>
              <w:rPr>
                <w:rFonts w:ascii="宋体" w:hAnsi="宋体" w:eastAsia="宋体" w:cs="宋体"/>
                <w:color w:val="000000"/>
                <w:kern w:val="0"/>
                <w:sz w:val="24"/>
                <w:lang w:bidi="ar"/>
              </w:rPr>
              <w:t>4个项目成绩取平均分作为课内实践分。</w:t>
            </w:r>
          </w:p>
        </w:tc>
        <w:tc>
          <w:tcPr>
            <w:tcW w:w="0" w:type="auto"/>
            <w:vAlign w:val="center"/>
          </w:tcPr>
          <w:p w14:paraId="1D65DF68">
            <w:pPr>
              <w:jc w:val="center"/>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0%</w:t>
            </w:r>
          </w:p>
        </w:tc>
      </w:tr>
      <w:tr w14:paraId="1821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4B25C0D">
            <w:pPr>
              <w:rPr>
                <w:rFonts w:ascii="Times New Roman" w:hAnsi="Times New Roman" w:eastAsia="宋体" w:cs="Times New Roman"/>
                <w:sz w:val="24"/>
              </w:rPr>
            </w:pPr>
            <w:r>
              <w:rPr>
                <w:rFonts w:hint="eastAsia" w:ascii="Times New Roman" w:hAnsi="Times New Roman" w:eastAsia="宋体" w:cs="Times New Roman"/>
                <w:sz w:val="24"/>
              </w:rPr>
              <w:t>期末考试</w:t>
            </w:r>
          </w:p>
        </w:tc>
        <w:tc>
          <w:tcPr>
            <w:tcW w:w="6924" w:type="dxa"/>
            <w:vAlign w:val="center"/>
          </w:tcPr>
          <w:p w14:paraId="59823A6F">
            <w:pPr>
              <w:spacing w:line="264" w:lineRule="auto"/>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本课程考核的方式为开卷笔试。有下列情况之一者，总评成绩为不及格：</w:t>
            </w:r>
          </w:p>
          <w:p w14:paraId="74089AC0">
            <w:pPr>
              <w:spacing w:line="264" w:lineRule="auto"/>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（1）缺交作业次数达1/3以上者。</w:t>
            </w:r>
          </w:p>
          <w:p w14:paraId="09259D35">
            <w:pPr>
              <w:spacing w:line="264" w:lineRule="auto"/>
              <w:jc w:val="left"/>
              <w:rPr>
                <w:rFonts w:ascii="Times New Roman" w:hAnsi="Times New Roman" w:eastAsia="宋体" w:cs="Times New Roman"/>
                <w:sz w:val="24"/>
              </w:rPr>
            </w:pPr>
            <w:r>
              <w:rPr>
                <w:rFonts w:hint="eastAsia" w:ascii="Times New Roman" w:hAnsi="Times New Roman" w:eastAsia="宋体" w:cs="Times New Roman"/>
                <w:color w:val="000000"/>
                <w:sz w:val="24"/>
              </w:rPr>
              <w:t>（2）缺课次数达本学期总授课学时的1/3以上者。</w:t>
            </w:r>
          </w:p>
        </w:tc>
        <w:tc>
          <w:tcPr>
            <w:tcW w:w="0" w:type="auto"/>
            <w:vAlign w:val="center"/>
          </w:tcPr>
          <w:p w14:paraId="030CABA3">
            <w:pPr>
              <w:jc w:val="center"/>
              <w:rPr>
                <w:rFonts w:ascii="Times New Roman" w:hAnsi="Times New Roman" w:eastAsia="宋体" w:cs="Times New Roman"/>
                <w:sz w:val="24"/>
              </w:rPr>
            </w:pPr>
            <w:r>
              <w:rPr>
                <w:rFonts w:hint="eastAsia" w:ascii="Times New Roman" w:hAnsi="Times New Roman" w:eastAsia="宋体" w:cs="Times New Roman"/>
                <w:sz w:val="24"/>
              </w:rPr>
              <w:t>50%</w:t>
            </w:r>
          </w:p>
        </w:tc>
      </w:tr>
      <w:tr w14:paraId="6309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CDD6EC3">
            <w:pPr>
              <w:jc w:val="center"/>
              <w:rPr>
                <w:rFonts w:ascii="Times New Roman" w:hAnsi="Times New Roman" w:eastAsia="宋体" w:cs="Times New Roman"/>
                <w:b/>
                <w:bCs/>
                <w:sz w:val="24"/>
              </w:rPr>
            </w:pPr>
            <w:r>
              <w:rPr>
                <w:rFonts w:hint="eastAsia" w:ascii="Times New Roman" w:hAnsi="Times New Roman" w:eastAsia="宋体" w:cs="Times New Roman"/>
                <w:b/>
                <w:bCs/>
                <w:sz w:val="24"/>
              </w:rPr>
              <w:t>合计</w:t>
            </w:r>
          </w:p>
        </w:tc>
        <w:tc>
          <w:tcPr>
            <w:tcW w:w="0" w:type="auto"/>
            <w:vAlign w:val="center"/>
          </w:tcPr>
          <w:p w14:paraId="65EF0993">
            <w:pPr>
              <w:jc w:val="left"/>
              <w:rPr>
                <w:rFonts w:ascii="Times New Roman" w:hAnsi="Times New Roman" w:eastAsia="宋体" w:cs="Times New Roman"/>
                <w:sz w:val="24"/>
              </w:rPr>
            </w:pPr>
          </w:p>
        </w:tc>
        <w:tc>
          <w:tcPr>
            <w:tcW w:w="0" w:type="auto"/>
            <w:vAlign w:val="center"/>
          </w:tcPr>
          <w:p w14:paraId="1E4F4B55">
            <w:pPr>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099E196F">
      <w:pPr>
        <w:spacing w:line="360" w:lineRule="auto"/>
        <w:jc w:val="left"/>
        <w:rPr>
          <w:rFonts w:hint="eastAsia" w:ascii="宋体" w:hAnsi="宋体" w:eastAsia="宋体" w:cs="Times New Roman"/>
          <w:b/>
          <w:color w:val="000000"/>
          <w:sz w:val="24"/>
        </w:rPr>
      </w:pPr>
    </w:p>
    <w:p w14:paraId="11427F2F">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（三）课程目标达成度计算方法</w:t>
      </w:r>
    </w:p>
    <w:p w14:paraId="3F15E8F8">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46974317">
      <w:pPr>
        <w:spacing w:before="156" w:beforeLines="50"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object>
          <v:shape id="_x0000_i1076"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76" DrawAspect="Content" ObjectID="_1468075776" r:id="rId62">
            <o:LockedField>false</o:LockedField>
          </o:OLEObject>
        </w:object>
      </w:r>
    </w:p>
    <w:p w14:paraId="33F5B0C2">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课内实践</w:t>
      </w:r>
    </w:p>
    <w:p w14:paraId="738ACF6D">
      <w:pPr>
        <w:spacing w:after="156" w:afterLines="50" w:line="360" w:lineRule="auto"/>
        <w:ind w:firstLine="480" w:firstLineChars="200"/>
        <w:rPr>
          <w:rFonts w:hint="eastAsia" w:ascii="宋体" w:hAnsi="宋体" w:eastAsia="宋体"/>
          <w:sz w:val="24"/>
        </w:rPr>
      </w:pPr>
      <w:r>
        <w:rPr>
          <w:rFonts w:hint="eastAsia" w:ascii="宋体" w:hAnsi="宋体" w:eastAsia="宋体"/>
          <w:sz w:val="24"/>
        </w:rPr>
        <w:t>本课程在理论教学的基础上，安排了4个课内实践项目（共</w:t>
      </w:r>
      <w:r>
        <w:rPr>
          <w:rFonts w:ascii="宋体" w:hAnsi="宋体" w:eastAsia="宋体"/>
          <w:sz w:val="24"/>
        </w:rPr>
        <w:t>16</w:t>
      </w:r>
      <w:r>
        <w:rPr>
          <w:rFonts w:hint="eastAsia" w:ascii="宋体" w:hAnsi="宋体" w:eastAsia="宋体"/>
          <w:sz w:val="24"/>
        </w:rPr>
        <w:t>学时），体现了理论与实践的结合，强化对学生的课程思政。</w:t>
      </w:r>
    </w:p>
    <w:p w14:paraId="2F447758">
      <w:pPr>
        <w:spacing w:line="276" w:lineRule="auto"/>
        <w:ind w:firstLine="482" w:firstLineChars="200"/>
        <w:jc w:val="center"/>
        <w:rPr>
          <w:rFonts w:hint="eastAsia" w:ascii="宋体" w:hAnsi="宋体" w:eastAsia="宋体" w:cs="宋体"/>
          <w:b/>
          <w:bCs/>
          <w:sz w:val="24"/>
        </w:rPr>
      </w:pPr>
      <w:r>
        <w:rPr>
          <w:rFonts w:hint="eastAsia" w:ascii="宋体" w:hAnsi="宋体" w:eastAsia="宋体" w:cs="宋体"/>
          <w:b/>
          <w:bCs/>
          <w:sz w:val="24"/>
        </w:rPr>
        <w:t>过程学习及考核与思政教育</w:t>
      </w:r>
    </w:p>
    <w:tbl>
      <w:tblPr>
        <w:tblStyle w:val="2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0156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70A3306D">
            <w:pPr>
              <w:spacing w:line="240" w:lineRule="exact"/>
              <w:jc w:val="center"/>
              <w:rPr>
                <w:rFonts w:hint="eastAsia" w:ascii="宋体" w:hAnsi="宋体" w:eastAsia="宋体" w:cs="宋体"/>
                <w:b/>
                <w:bCs/>
                <w:sz w:val="24"/>
              </w:rPr>
            </w:pPr>
            <w:r>
              <w:rPr>
                <w:rFonts w:hint="eastAsia" w:ascii="宋体" w:hAnsi="宋体" w:eastAsia="宋体" w:cs="宋体"/>
                <w:b/>
                <w:bCs/>
                <w:sz w:val="24"/>
              </w:rPr>
              <w:t>活动主题</w:t>
            </w:r>
          </w:p>
        </w:tc>
        <w:tc>
          <w:tcPr>
            <w:tcW w:w="3407" w:type="dxa"/>
            <w:vAlign w:val="center"/>
          </w:tcPr>
          <w:p w14:paraId="3F85AE0C">
            <w:pPr>
              <w:spacing w:line="240" w:lineRule="exact"/>
              <w:jc w:val="center"/>
              <w:rPr>
                <w:rFonts w:hint="eastAsia" w:ascii="宋体" w:hAnsi="宋体" w:eastAsia="宋体" w:cs="宋体"/>
                <w:b/>
                <w:bCs/>
                <w:sz w:val="24"/>
              </w:rPr>
            </w:pPr>
            <w:r>
              <w:rPr>
                <w:rFonts w:hint="eastAsia" w:ascii="宋体" w:hAnsi="宋体" w:eastAsia="宋体" w:cs="宋体"/>
                <w:b/>
                <w:bCs/>
                <w:sz w:val="24"/>
              </w:rPr>
              <w:t>活动内容</w:t>
            </w:r>
          </w:p>
        </w:tc>
        <w:tc>
          <w:tcPr>
            <w:tcW w:w="740" w:type="dxa"/>
            <w:vAlign w:val="center"/>
          </w:tcPr>
          <w:p w14:paraId="0672E44B">
            <w:pPr>
              <w:spacing w:line="240" w:lineRule="exact"/>
              <w:jc w:val="center"/>
              <w:rPr>
                <w:rFonts w:hint="eastAsia" w:ascii="宋体" w:hAnsi="宋体" w:eastAsia="宋体" w:cs="宋体"/>
                <w:b/>
                <w:bCs/>
                <w:sz w:val="24"/>
              </w:rPr>
            </w:pPr>
            <w:r>
              <w:rPr>
                <w:rFonts w:hint="eastAsia" w:ascii="宋体" w:hAnsi="宋体" w:eastAsia="宋体" w:cs="宋体"/>
                <w:b/>
                <w:bCs/>
                <w:sz w:val="24"/>
              </w:rPr>
              <w:t>活动方式</w:t>
            </w:r>
          </w:p>
        </w:tc>
        <w:tc>
          <w:tcPr>
            <w:tcW w:w="3160" w:type="dxa"/>
            <w:vAlign w:val="center"/>
          </w:tcPr>
          <w:p w14:paraId="00ACD43C">
            <w:pPr>
              <w:spacing w:line="240" w:lineRule="exact"/>
              <w:jc w:val="center"/>
              <w:rPr>
                <w:rFonts w:hint="eastAsia" w:ascii="宋体" w:hAnsi="宋体" w:eastAsia="宋体" w:cs="宋体"/>
                <w:b/>
                <w:bCs/>
                <w:sz w:val="24"/>
              </w:rPr>
            </w:pPr>
            <w:r>
              <w:rPr>
                <w:rFonts w:hint="eastAsia" w:ascii="宋体" w:hAnsi="宋体" w:eastAsia="宋体" w:cs="宋体"/>
                <w:b/>
                <w:bCs/>
                <w:sz w:val="24"/>
              </w:rPr>
              <w:t>思政目标</w:t>
            </w:r>
          </w:p>
        </w:tc>
      </w:tr>
      <w:tr w14:paraId="2E91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8AE367E">
            <w:pPr>
              <w:rPr>
                <w:rFonts w:hint="eastAsia" w:ascii="宋体" w:hAnsi="宋体" w:eastAsia="宋体" w:cs="Times New Roman"/>
                <w:sz w:val="24"/>
              </w:rPr>
            </w:pPr>
            <w:r>
              <w:rPr>
                <w:rFonts w:hint="eastAsia" w:ascii="宋体" w:hAnsi="宋体" w:eastAsia="宋体" w:cs="Times New Roman"/>
                <w:sz w:val="24"/>
              </w:rPr>
              <w:t>数与代数解题训练与指导</w:t>
            </w:r>
          </w:p>
        </w:tc>
        <w:tc>
          <w:tcPr>
            <w:tcW w:w="3407" w:type="dxa"/>
            <w:vAlign w:val="center"/>
          </w:tcPr>
          <w:p w14:paraId="4E6D80AF">
            <w:pPr>
              <w:rPr>
                <w:rFonts w:hint="eastAsia" w:ascii="宋体" w:hAnsi="宋体" w:eastAsia="宋体" w:cs="Times New Roman"/>
                <w:sz w:val="24"/>
              </w:rPr>
            </w:pPr>
            <w:r>
              <w:rPr>
                <w:rFonts w:hint="eastAsia" w:ascii="宋体" w:hAnsi="宋体" w:eastAsia="宋体" w:cs="Times New Roman"/>
                <w:sz w:val="24"/>
              </w:rPr>
              <w:t>梳理数与代数领域的典型问题，在解题训练的基础上探讨指导策略，提交一份数与代数问题解题指导方案。</w:t>
            </w:r>
          </w:p>
        </w:tc>
        <w:tc>
          <w:tcPr>
            <w:tcW w:w="740" w:type="dxa"/>
            <w:vAlign w:val="center"/>
          </w:tcPr>
          <w:p w14:paraId="59EEA34C">
            <w:pPr>
              <w:spacing w:line="276" w:lineRule="auto"/>
              <w:jc w:val="center"/>
              <w:rPr>
                <w:rFonts w:hint="eastAsia" w:ascii="宋体" w:hAnsi="宋体" w:eastAsia="宋体" w:cs="Times New Roman"/>
                <w:sz w:val="24"/>
              </w:rPr>
            </w:pPr>
            <w:r>
              <w:rPr>
                <w:rFonts w:hint="eastAsia" w:ascii="宋体" w:hAnsi="宋体" w:eastAsia="宋体" w:cs="Times New Roman"/>
                <w:sz w:val="24"/>
              </w:rPr>
              <w:t>练习</w:t>
            </w:r>
          </w:p>
          <w:p w14:paraId="32FB7FC4">
            <w:pPr>
              <w:spacing w:line="276" w:lineRule="auto"/>
              <w:jc w:val="center"/>
              <w:rPr>
                <w:rFonts w:hint="eastAsia" w:ascii="宋体" w:hAnsi="宋体" w:eastAsia="宋体" w:cs="Times New Roman"/>
                <w:sz w:val="24"/>
              </w:rPr>
            </w:pPr>
            <w:r>
              <w:rPr>
                <w:rFonts w:hint="eastAsia" w:ascii="宋体" w:hAnsi="宋体" w:eastAsia="宋体" w:cs="Times New Roman"/>
                <w:sz w:val="24"/>
              </w:rPr>
              <w:t>交流</w:t>
            </w:r>
          </w:p>
        </w:tc>
        <w:tc>
          <w:tcPr>
            <w:tcW w:w="3160" w:type="dxa"/>
          </w:tcPr>
          <w:p w14:paraId="75613DEB">
            <w:pPr>
              <w:rPr>
                <w:rFonts w:hint="eastAsia" w:ascii="宋体" w:hAnsi="宋体" w:eastAsia="宋体" w:cs="Times New Roman"/>
                <w:sz w:val="24"/>
              </w:rPr>
            </w:pPr>
            <w:r>
              <w:rPr>
                <w:rFonts w:hint="eastAsia" w:ascii="宋体" w:hAnsi="宋体" w:eastAsia="宋体" w:cs="Times New Roman"/>
                <w:sz w:val="24"/>
              </w:rPr>
              <w:t>养成严谨的学习态度，掌握科学、严谨的学习方法，注重创新精神的培养，树立以学生为主体的教学理念，体会数学文化的魅力，获得积极的小学教学体验。</w:t>
            </w:r>
          </w:p>
        </w:tc>
      </w:tr>
      <w:tr w14:paraId="7036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18DCA877">
            <w:pPr>
              <w:rPr>
                <w:rFonts w:hint="eastAsia" w:ascii="宋体" w:hAnsi="宋体" w:eastAsia="宋体" w:cs="Times New Roman"/>
                <w:sz w:val="24"/>
              </w:rPr>
            </w:pPr>
            <w:r>
              <w:rPr>
                <w:rFonts w:hint="eastAsia" w:ascii="宋体" w:hAnsi="宋体" w:eastAsia="宋体" w:cs="Times New Roman"/>
                <w:sz w:val="24"/>
              </w:rPr>
              <w:t>图形与几何解题训练与指导</w:t>
            </w:r>
          </w:p>
        </w:tc>
        <w:tc>
          <w:tcPr>
            <w:tcW w:w="3407" w:type="dxa"/>
            <w:vAlign w:val="center"/>
          </w:tcPr>
          <w:p w14:paraId="6437AE4D">
            <w:pPr>
              <w:rPr>
                <w:rFonts w:hint="eastAsia" w:ascii="宋体" w:hAnsi="宋体" w:eastAsia="宋体" w:cs="Times New Roman"/>
                <w:sz w:val="24"/>
              </w:rPr>
            </w:pPr>
            <w:r>
              <w:rPr>
                <w:rFonts w:hint="eastAsia" w:ascii="宋体" w:hAnsi="宋体" w:eastAsia="宋体" w:cs="Times New Roman"/>
                <w:sz w:val="24"/>
              </w:rPr>
              <w:t>梳理图形与几何领域的典型问题，在解题训练的基础上探讨指导策略，提交一份图形与几何问题解题指导方案。</w:t>
            </w:r>
          </w:p>
        </w:tc>
        <w:tc>
          <w:tcPr>
            <w:tcW w:w="740" w:type="dxa"/>
            <w:vAlign w:val="center"/>
          </w:tcPr>
          <w:p w14:paraId="4726AE58">
            <w:pPr>
              <w:spacing w:line="276" w:lineRule="auto"/>
              <w:jc w:val="center"/>
              <w:rPr>
                <w:rFonts w:hint="eastAsia" w:ascii="宋体" w:hAnsi="宋体" w:eastAsia="宋体" w:cs="Times New Roman"/>
                <w:sz w:val="24"/>
              </w:rPr>
            </w:pPr>
            <w:r>
              <w:rPr>
                <w:rFonts w:hint="eastAsia" w:ascii="宋体" w:hAnsi="宋体" w:eastAsia="宋体" w:cs="Times New Roman"/>
                <w:sz w:val="24"/>
              </w:rPr>
              <w:t>练习</w:t>
            </w:r>
          </w:p>
          <w:p w14:paraId="31FB2ECD">
            <w:pPr>
              <w:spacing w:line="276" w:lineRule="auto"/>
              <w:jc w:val="center"/>
              <w:rPr>
                <w:rFonts w:hint="eastAsia" w:ascii="宋体" w:hAnsi="宋体" w:eastAsia="宋体" w:cs="Times New Roman"/>
                <w:sz w:val="24"/>
              </w:rPr>
            </w:pPr>
            <w:r>
              <w:rPr>
                <w:rFonts w:hint="eastAsia" w:ascii="宋体" w:hAnsi="宋体" w:eastAsia="宋体" w:cs="Times New Roman"/>
                <w:sz w:val="24"/>
              </w:rPr>
              <w:t>交流</w:t>
            </w:r>
          </w:p>
        </w:tc>
        <w:tc>
          <w:tcPr>
            <w:tcW w:w="3160" w:type="dxa"/>
          </w:tcPr>
          <w:p w14:paraId="0C3F373B">
            <w:pPr>
              <w:rPr>
                <w:rFonts w:hint="eastAsia" w:ascii="宋体" w:hAnsi="宋体" w:eastAsia="宋体" w:cs="Times New Roman"/>
                <w:sz w:val="24"/>
              </w:rPr>
            </w:pPr>
            <w:r>
              <w:rPr>
                <w:rFonts w:hint="eastAsia" w:ascii="宋体" w:hAnsi="宋体" w:eastAsia="宋体" w:cs="Times New Roman"/>
                <w:sz w:val="24"/>
              </w:rPr>
              <w:t>养成严谨的学习态度，掌握科学、严谨的学习方法，注重创新精神的培养，树立以学生为主体的教学理念，体会数学文化的魅力，获得积极的小学教学体验。</w:t>
            </w:r>
          </w:p>
        </w:tc>
      </w:tr>
      <w:tr w14:paraId="78AF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8E1149D">
            <w:pPr>
              <w:rPr>
                <w:rFonts w:hint="eastAsia" w:ascii="宋体" w:hAnsi="宋体" w:eastAsia="宋体" w:cs="Times New Roman"/>
                <w:sz w:val="24"/>
              </w:rPr>
            </w:pPr>
            <w:r>
              <w:rPr>
                <w:rFonts w:hint="eastAsia" w:ascii="宋体" w:hAnsi="宋体" w:eastAsia="宋体" w:cs="Times New Roman"/>
                <w:sz w:val="24"/>
              </w:rPr>
              <w:t>统计与概率解题训练与指导</w:t>
            </w:r>
          </w:p>
        </w:tc>
        <w:tc>
          <w:tcPr>
            <w:tcW w:w="3407" w:type="dxa"/>
            <w:vAlign w:val="center"/>
          </w:tcPr>
          <w:p w14:paraId="6DE0B701">
            <w:pPr>
              <w:rPr>
                <w:rFonts w:hint="eastAsia" w:ascii="宋体" w:hAnsi="宋体" w:eastAsia="宋体" w:cs="Times New Roman"/>
                <w:sz w:val="24"/>
              </w:rPr>
            </w:pPr>
            <w:r>
              <w:rPr>
                <w:rFonts w:hint="eastAsia" w:ascii="宋体" w:hAnsi="宋体" w:eastAsia="宋体" w:cs="Times New Roman"/>
                <w:sz w:val="24"/>
              </w:rPr>
              <w:t>梳理统计与概率领域的典型问题，在解题训练的基础上探讨指导策略，提交一份统计与概率问题解题指导方案。</w:t>
            </w:r>
          </w:p>
        </w:tc>
        <w:tc>
          <w:tcPr>
            <w:tcW w:w="740" w:type="dxa"/>
            <w:vAlign w:val="center"/>
          </w:tcPr>
          <w:p w14:paraId="60D997D3">
            <w:pPr>
              <w:spacing w:line="276" w:lineRule="auto"/>
              <w:jc w:val="center"/>
              <w:rPr>
                <w:rFonts w:hint="eastAsia" w:ascii="宋体" w:hAnsi="宋体" w:eastAsia="宋体" w:cs="Times New Roman"/>
                <w:sz w:val="24"/>
              </w:rPr>
            </w:pPr>
            <w:r>
              <w:rPr>
                <w:rFonts w:hint="eastAsia" w:ascii="宋体" w:hAnsi="宋体" w:eastAsia="宋体" w:cs="Times New Roman"/>
                <w:sz w:val="24"/>
              </w:rPr>
              <w:t>练习</w:t>
            </w:r>
          </w:p>
          <w:p w14:paraId="16A25A3D">
            <w:pPr>
              <w:spacing w:line="276" w:lineRule="auto"/>
              <w:jc w:val="center"/>
              <w:rPr>
                <w:rFonts w:hint="eastAsia" w:ascii="宋体" w:hAnsi="宋体" w:eastAsia="宋体" w:cs="Times New Roman"/>
                <w:sz w:val="24"/>
              </w:rPr>
            </w:pPr>
            <w:r>
              <w:rPr>
                <w:rFonts w:hint="eastAsia" w:ascii="宋体" w:hAnsi="宋体" w:eastAsia="宋体" w:cs="Times New Roman"/>
                <w:sz w:val="24"/>
              </w:rPr>
              <w:t>交流</w:t>
            </w:r>
          </w:p>
        </w:tc>
        <w:tc>
          <w:tcPr>
            <w:tcW w:w="3160" w:type="dxa"/>
          </w:tcPr>
          <w:p w14:paraId="6D6C8ECE">
            <w:pPr>
              <w:rPr>
                <w:rFonts w:hint="eastAsia" w:ascii="宋体" w:hAnsi="宋体" w:eastAsia="宋体" w:cs="Times New Roman"/>
                <w:sz w:val="24"/>
              </w:rPr>
            </w:pPr>
            <w:r>
              <w:rPr>
                <w:rFonts w:hint="eastAsia" w:ascii="宋体" w:hAnsi="宋体" w:eastAsia="宋体" w:cs="Times New Roman"/>
                <w:sz w:val="24"/>
              </w:rPr>
              <w:t>养成严谨的学习态度，掌握科学、严谨的学习方法，注重创新精神的培养，树立以学生为主体的教学理念，体会数学文化的魅力，获得积极的小学教学体验。</w:t>
            </w:r>
          </w:p>
        </w:tc>
      </w:tr>
      <w:tr w14:paraId="4C5D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7A417F62">
            <w:pPr>
              <w:rPr>
                <w:rFonts w:hint="eastAsia" w:ascii="宋体" w:hAnsi="宋体" w:eastAsia="宋体" w:cs="Times New Roman"/>
                <w:sz w:val="24"/>
              </w:rPr>
            </w:pPr>
            <w:r>
              <w:rPr>
                <w:rFonts w:hint="eastAsia" w:ascii="宋体" w:hAnsi="宋体" w:eastAsia="宋体" w:cs="Times New Roman"/>
                <w:sz w:val="24"/>
              </w:rPr>
              <w:t>小学数学竞赛解题训练与指导</w:t>
            </w:r>
          </w:p>
        </w:tc>
        <w:tc>
          <w:tcPr>
            <w:tcW w:w="3407" w:type="dxa"/>
            <w:vAlign w:val="center"/>
          </w:tcPr>
          <w:p w14:paraId="3DC0C1B8">
            <w:pPr>
              <w:rPr>
                <w:rFonts w:hint="eastAsia" w:ascii="宋体" w:hAnsi="宋体" w:eastAsia="宋体" w:cs="Times New Roman"/>
                <w:sz w:val="24"/>
              </w:rPr>
            </w:pPr>
            <w:r>
              <w:rPr>
                <w:rFonts w:hint="eastAsia" w:ascii="宋体" w:hAnsi="宋体" w:eastAsia="宋体" w:cs="Times New Roman"/>
                <w:sz w:val="24"/>
              </w:rPr>
              <w:t>梳理小学数学竞赛的典型题型，在解题训练的基础上探讨指导策略，提交一份小学数学竞赛解题指导方案。</w:t>
            </w:r>
          </w:p>
        </w:tc>
        <w:tc>
          <w:tcPr>
            <w:tcW w:w="740" w:type="dxa"/>
            <w:vAlign w:val="center"/>
          </w:tcPr>
          <w:p w14:paraId="26D49812">
            <w:pPr>
              <w:spacing w:line="276" w:lineRule="auto"/>
              <w:jc w:val="center"/>
              <w:rPr>
                <w:rFonts w:hint="eastAsia" w:ascii="宋体" w:hAnsi="宋体" w:eastAsia="宋体" w:cs="Times New Roman"/>
                <w:sz w:val="24"/>
              </w:rPr>
            </w:pPr>
            <w:r>
              <w:rPr>
                <w:rFonts w:hint="eastAsia" w:ascii="宋体" w:hAnsi="宋体" w:eastAsia="宋体" w:cs="Times New Roman"/>
                <w:sz w:val="24"/>
              </w:rPr>
              <w:t>练习</w:t>
            </w:r>
          </w:p>
          <w:p w14:paraId="44DAB76A">
            <w:pPr>
              <w:spacing w:line="276" w:lineRule="auto"/>
              <w:jc w:val="center"/>
              <w:rPr>
                <w:rFonts w:hint="eastAsia" w:ascii="宋体" w:hAnsi="宋体" w:eastAsia="宋体" w:cs="Times New Roman"/>
                <w:sz w:val="24"/>
              </w:rPr>
            </w:pPr>
            <w:r>
              <w:rPr>
                <w:rFonts w:hint="eastAsia" w:ascii="宋体" w:hAnsi="宋体" w:eastAsia="宋体" w:cs="Times New Roman"/>
                <w:sz w:val="24"/>
              </w:rPr>
              <w:t>交流</w:t>
            </w:r>
          </w:p>
        </w:tc>
        <w:tc>
          <w:tcPr>
            <w:tcW w:w="3160" w:type="dxa"/>
          </w:tcPr>
          <w:p w14:paraId="15BB4549">
            <w:pPr>
              <w:rPr>
                <w:rFonts w:hint="eastAsia" w:ascii="宋体" w:hAnsi="宋体" w:eastAsia="宋体" w:cs="Times New Roman"/>
                <w:sz w:val="24"/>
              </w:rPr>
            </w:pPr>
            <w:r>
              <w:rPr>
                <w:rFonts w:hint="eastAsia" w:ascii="宋体" w:hAnsi="宋体" w:eastAsia="宋体" w:cs="Times New Roman"/>
                <w:sz w:val="24"/>
              </w:rPr>
              <w:t>养成严谨的学习态度，掌握科学、严谨的学习方法，树立以学生为主体的教学理念，体会数学文化的魅力，获得积极的小学教学体验。</w:t>
            </w:r>
          </w:p>
        </w:tc>
      </w:tr>
    </w:tbl>
    <w:p w14:paraId="453FA66B">
      <w:pPr>
        <w:spacing w:line="360" w:lineRule="auto"/>
        <w:ind w:firstLine="472" w:firstLineChars="196"/>
        <w:jc w:val="left"/>
        <w:rPr>
          <w:rFonts w:hint="eastAsia" w:ascii="宋体" w:hAnsi="宋体" w:eastAsia="宋体" w:cs="Times New Roman"/>
          <w:b/>
          <w:color w:val="000000"/>
          <w:sz w:val="24"/>
        </w:rPr>
      </w:pPr>
    </w:p>
    <w:p w14:paraId="35E01E0E">
      <w:pPr>
        <w:spacing w:line="360" w:lineRule="auto"/>
        <w:jc w:val="left"/>
        <w:rPr>
          <w:rFonts w:ascii="Times New Roman" w:hAnsi="Times New Roman" w:eastAsia="宋体" w:cs="Times New Roman"/>
          <w:b/>
          <w:bCs/>
          <w:sz w:val="28"/>
          <w:szCs w:val="28"/>
        </w:rPr>
      </w:pPr>
      <w:r>
        <w:rPr>
          <w:rFonts w:hint="eastAsia" w:ascii="宋体" w:hAnsi="宋体" w:eastAsia="宋体" w:cs="Times New Roman"/>
          <w:b/>
          <w:color w:val="000000"/>
          <w:sz w:val="28"/>
          <w:szCs w:val="28"/>
        </w:rPr>
        <w:t>六、有关说明</w:t>
      </w:r>
    </w:p>
    <w:p w14:paraId="71EDC7FD">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4A1E2AFF">
      <w:pPr>
        <w:spacing w:line="360" w:lineRule="auto"/>
        <w:ind w:firstLine="360" w:firstLineChars="150"/>
        <w:jc w:val="left"/>
        <w:rPr>
          <w:rFonts w:ascii="Times New Roman" w:hAnsi="Times New Roman" w:eastAsia="宋体" w:cs="Times New Roman"/>
          <w:b/>
          <w:sz w:val="24"/>
        </w:rPr>
      </w:pPr>
      <w:r>
        <w:rPr>
          <w:rFonts w:hint="eastAsia" w:ascii="Times New Roman" w:hAnsi="Times New Roman" w:eastAsia="宋体" w:cs="Times New Roman"/>
          <w:sz w:val="24"/>
        </w:rPr>
        <w:t>本课程根据学生作业、课堂讨论、实践环节和学生、教学督导等的反馈，及时对教学中的不足之处进行改进，并在下一轮课程教学中整改完善，确保相应毕业要求指标点达成。</w:t>
      </w:r>
      <w:r>
        <w:rPr>
          <w:rFonts w:hint="eastAsia" w:ascii="Times New Roman" w:hAnsi="Times New Roman" w:eastAsia="宋体" w:cs="Times New Roman"/>
          <w:b/>
          <w:sz w:val="24"/>
        </w:rPr>
        <w:t>（二）建议教材</w:t>
      </w:r>
    </w:p>
    <w:p w14:paraId="02645CAC">
      <w:pPr>
        <w:spacing w:line="360" w:lineRule="auto"/>
        <w:ind w:firstLine="600" w:firstLineChars="250"/>
        <w:jc w:val="left"/>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周友士．小学数学解题讲义．南京：南京大学出版社，2021．</w:t>
      </w:r>
    </w:p>
    <w:p w14:paraId="5F43D267">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（三）参考书目</w:t>
      </w:r>
    </w:p>
    <w:p w14:paraId="47EBA1CC">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1.彭林.小学数学解题规律、方法与技巧——巧算.上海：上海社会科学院出版社，2017.</w:t>
      </w:r>
    </w:p>
    <w:p w14:paraId="35AADA90">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 xml:space="preserve">2.彭林.小学数学解题规律、方法与技巧——巧解应用题.上海：上海社会科学院出版社，2017. </w:t>
      </w:r>
    </w:p>
    <w:p w14:paraId="768F9CC7">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3.彭林.小学数学解题规律、方法与技巧——巧妙的解题思路.上海：上海社会科学院出版社，2017.</w:t>
      </w:r>
      <w:r>
        <w:rPr>
          <w:rFonts w:hint="eastAsia"/>
          <w:sz w:val="24"/>
        </w:rPr>
        <w:t xml:space="preserve"> </w:t>
      </w:r>
    </w:p>
    <w:p w14:paraId="7E7E6FA8">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4.展秀婷，展秀芬．小学数学常用解题方法手册．南宁：广西教育出版社，2011．</w:t>
      </w:r>
    </w:p>
    <w:p w14:paraId="538E797D">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5.苏教版、人教版小学数学教材.</w:t>
      </w:r>
    </w:p>
    <w:p w14:paraId="1BD79B2F">
      <w:pPr>
        <w:spacing w:line="360" w:lineRule="auto"/>
        <w:ind w:firstLine="480" w:firstLineChars="200"/>
        <w:rPr>
          <w:rFonts w:hint="eastAsia" w:ascii="宋体" w:hAnsi="宋体" w:eastAsia="宋体" w:cs="Times New Roman"/>
          <w:sz w:val="24"/>
        </w:rPr>
      </w:pPr>
    </w:p>
    <w:p w14:paraId="39692DB2">
      <w:pPr>
        <w:rPr>
          <w:sz w:val="24"/>
        </w:rPr>
      </w:pPr>
    </w:p>
    <w:p w14:paraId="130AD46B">
      <w:pPr>
        <w:rPr>
          <w:sz w:val="24"/>
        </w:rPr>
      </w:pPr>
    </w:p>
    <w:p w14:paraId="2183BCAD">
      <w:pPr>
        <w:rPr>
          <w:sz w:val="24"/>
        </w:rPr>
      </w:pPr>
    </w:p>
    <w:p w14:paraId="55EA0E57">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执 笔 人：谢国忠</w:t>
      </w:r>
    </w:p>
    <w:p w14:paraId="0F35031D">
      <w:pPr>
        <w:wordWrap w:val="0"/>
        <w:spacing w:line="360" w:lineRule="auto"/>
        <w:ind w:right="144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定 人：王 健</w:t>
      </w:r>
    </w:p>
    <w:p w14:paraId="7FC52B66">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4A1EED47">
      <w:pPr>
        <w:spacing w:line="360" w:lineRule="auto"/>
        <w:ind w:firstLine="4800" w:firstLineChars="2000"/>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1F819523">
      <w:pPr>
        <w:rPr>
          <w:rFonts w:hint="eastAsia" w:ascii="等线" w:hAnsi="等线" w:eastAsia="等线" w:cs="等线"/>
          <w:b/>
          <w:bCs/>
          <w:sz w:val="44"/>
          <w:szCs w:val="44"/>
        </w:rPr>
      </w:pPr>
      <w:r>
        <w:rPr>
          <w:rFonts w:hint="eastAsia" w:ascii="等线" w:hAnsi="等线" w:eastAsia="等线" w:cs="等线"/>
          <w:b/>
          <w:bCs/>
          <w:sz w:val="44"/>
          <w:szCs w:val="44"/>
        </w:rPr>
        <w:br w:type="page"/>
      </w:r>
    </w:p>
    <w:p w14:paraId="4943191C">
      <w:pPr>
        <w:pStyle w:val="2"/>
      </w:pPr>
      <w:bookmarkStart w:id="281" w:name="_Toc21945"/>
      <w:bookmarkStart w:id="282" w:name="_Toc16169"/>
      <w:r>
        <w:rPr>
          <w:rFonts w:hint="eastAsia"/>
        </w:rPr>
        <w:t>《认知实习》课程教学大纲</w:t>
      </w:r>
      <w:bookmarkEnd w:id="281"/>
      <w:bookmarkEnd w:id="282"/>
    </w:p>
    <w:p w14:paraId="2E272642">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Cognitive Practice</w:t>
      </w:r>
      <w:r>
        <w:rPr>
          <w:rFonts w:ascii="Times New Roman" w:hAnsi="Times New Roman" w:eastAsia="宋体" w:cs="Times New Roman"/>
          <w:b/>
          <w:bCs/>
          <w:sz w:val="28"/>
          <w:szCs w:val="28"/>
        </w:rPr>
        <w:t>）</w:t>
      </w:r>
    </w:p>
    <w:p w14:paraId="2EF378B6">
      <w:pPr>
        <w:spacing w:line="360" w:lineRule="auto"/>
        <w:jc w:val="center"/>
        <w:rPr>
          <w:rFonts w:ascii="Times New Roman" w:hAnsi="Times New Roman" w:eastAsia="宋体" w:cs="Times New Roman"/>
          <w:bCs/>
          <w:sz w:val="30"/>
          <w:szCs w:val="30"/>
        </w:rPr>
      </w:pPr>
    </w:p>
    <w:p w14:paraId="4D6AA39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课程名称：认知实习</w:t>
      </w:r>
    </w:p>
    <w:p w14:paraId="0F1226D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hint="eastAsia" w:ascii="宋体" w:hAnsi="宋体" w:eastAsia="宋体" w:cs="Times New Roman"/>
          <w:kern w:val="0"/>
          <w:sz w:val="24"/>
        </w:rPr>
        <w:t>2401066</w:t>
      </w:r>
    </w:p>
    <w:p w14:paraId="46695AF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分：不计入总学分</w:t>
      </w:r>
    </w:p>
    <w:p w14:paraId="52D4043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时：两周</w:t>
      </w:r>
    </w:p>
    <w:p w14:paraId="2AB33C5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391F1845">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78F2E52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194E246C">
      <w:pPr>
        <w:spacing w:line="360" w:lineRule="auto"/>
        <w:ind w:firstLine="480" w:firstLineChars="200"/>
        <w:jc w:val="left"/>
        <w:rPr>
          <w:rFonts w:ascii="Times New Roman" w:hAnsi="Times New Roman" w:eastAsia="宋体" w:cs="Times New Roman"/>
          <w:szCs w:val="21"/>
        </w:rPr>
      </w:pPr>
      <w:r>
        <w:rPr>
          <w:rFonts w:hint="eastAsia" w:ascii="Times New Roman" w:hAnsi="Times New Roman" w:eastAsia="宋体" w:cs="Times New Roman"/>
          <w:sz w:val="24"/>
        </w:rPr>
        <w:t>《认知实习》是师范类专业重要的实践教学环节。本课程通过名师讲座、教学基本功训练、教学观摩等活动，旨在帮助学生建立对教育教学工作的初步认知与实践感知，为后续专业课程的学习奠定坚实基础，初步形成教育教学思维与实践能力体系，培养学生对教育事业的热爱与责任感，逐步具备成为一名合格教育工作者的基本素养。</w:t>
      </w:r>
    </w:p>
    <w:p w14:paraId="65D8047F">
      <w:pPr>
        <w:spacing w:line="360" w:lineRule="auto"/>
        <w:ind w:firstLine="482" w:firstLineChars="200"/>
        <w:jc w:val="left"/>
        <w:rPr>
          <w:rFonts w:ascii="Times New Roman" w:hAnsi="Times New Roman" w:eastAsia="宋体" w:cs="Times New Roman"/>
          <w:sz w:val="24"/>
        </w:rPr>
      </w:pPr>
      <w:r>
        <w:rPr>
          <w:rFonts w:hint="eastAsia" w:ascii="宋体" w:hAnsi="宋体" w:eastAsia="宋体" w:cs="Times New Roman"/>
          <w:b/>
          <w:color w:val="000000"/>
          <w:sz w:val="24"/>
        </w:rPr>
        <w:t>二</w:t>
      </w:r>
      <w:r>
        <w:rPr>
          <w:rFonts w:ascii="宋体" w:hAnsi="宋体" w:eastAsia="宋体" w:cs="Times New Roman"/>
          <w:b/>
          <w:color w:val="000000"/>
          <w:sz w:val="24"/>
        </w:rPr>
        <w:t>、课程目标</w:t>
      </w:r>
    </w:p>
    <w:p w14:paraId="2B315DFF">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1FEFBBA8">
      <w:pPr>
        <w:autoSpaceDE w:val="0"/>
        <w:autoSpaceDN w:val="0"/>
        <w:adjustRightInd w:val="0"/>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目标</w:t>
      </w:r>
      <w:r>
        <w:rPr>
          <w:rFonts w:ascii="Times New Roman" w:hAnsi="Times New Roman" w:eastAsia="宋体" w:cs="Times New Roman"/>
          <w:b/>
          <w:sz w:val="24"/>
        </w:rPr>
        <w:t>1.</w:t>
      </w:r>
      <w:r>
        <w:rPr>
          <w:rFonts w:ascii="Times New Roman" w:hAnsi="Times New Roman" w:eastAsia="宋体" w:cs="Times New Roman"/>
          <w:sz w:val="24"/>
        </w:rPr>
        <w:t>能够深入理解前沿教育理念、教学方法及职业素养要求，通过名师讲座及教学观摩，积累</w:t>
      </w:r>
      <w:r>
        <w:rPr>
          <w:rFonts w:hint="eastAsia" w:ascii="Times New Roman" w:hAnsi="Times New Roman" w:eastAsia="宋体" w:cs="Times New Roman"/>
          <w:sz w:val="24"/>
        </w:rPr>
        <w:t>丰富的</w:t>
      </w:r>
      <w:r>
        <w:rPr>
          <w:rFonts w:ascii="Times New Roman" w:hAnsi="Times New Roman" w:eastAsia="宋体" w:cs="Times New Roman"/>
          <w:sz w:val="24"/>
        </w:rPr>
        <w:t>教育教学理论知识</w:t>
      </w:r>
      <w:r>
        <w:rPr>
          <w:rFonts w:hint="eastAsia" w:ascii="Times New Roman" w:hAnsi="Times New Roman" w:eastAsia="宋体" w:cs="Times New Roman"/>
          <w:sz w:val="24"/>
        </w:rPr>
        <w:t>与案例知识，培养教育教学反思能力</w:t>
      </w:r>
      <w:r>
        <w:rPr>
          <w:rFonts w:ascii="Times New Roman" w:hAnsi="Times New Roman" w:eastAsia="宋体" w:cs="Times New Roman"/>
          <w:sz w:val="24"/>
        </w:rPr>
        <w:t>。</w:t>
      </w:r>
    </w:p>
    <w:p w14:paraId="4AFEE277">
      <w:pPr>
        <w:autoSpaceDE w:val="0"/>
        <w:autoSpaceDN w:val="0"/>
        <w:adjustRightInd w:val="0"/>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目标2</w:t>
      </w:r>
      <w:r>
        <w:rPr>
          <w:rFonts w:ascii="Times New Roman" w:hAnsi="Times New Roman" w:eastAsia="宋体" w:cs="Times New Roman"/>
          <w:b/>
          <w:sz w:val="24"/>
        </w:rPr>
        <w:t>.</w:t>
      </w:r>
      <w:r>
        <w:rPr>
          <w:rFonts w:hint="eastAsia" w:ascii="Times New Roman" w:hAnsi="Times New Roman" w:eastAsia="宋体" w:cs="Times New Roman"/>
          <w:sz w:val="24"/>
        </w:rPr>
        <w:t>学习</w:t>
      </w:r>
      <w:r>
        <w:rPr>
          <w:rFonts w:ascii="Times New Roman" w:hAnsi="Times New Roman" w:eastAsia="宋体" w:cs="Times New Roman"/>
          <w:sz w:val="24"/>
        </w:rPr>
        <w:t>掌握课堂表达、</w:t>
      </w:r>
      <w:r>
        <w:rPr>
          <w:rFonts w:hint="eastAsia" w:ascii="Times New Roman" w:hAnsi="Times New Roman" w:eastAsia="宋体" w:cs="Times New Roman"/>
          <w:sz w:val="24"/>
        </w:rPr>
        <w:t>钢笔字、粉笔字</w:t>
      </w:r>
      <w:r>
        <w:rPr>
          <w:rFonts w:ascii="Times New Roman" w:hAnsi="Times New Roman" w:eastAsia="宋体" w:cs="Times New Roman"/>
          <w:sz w:val="24"/>
        </w:rPr>
        <w:t>书写等教学基本功，在教学基本功训练过程中不断打磨自身教学技能。</w:t>
      </w:r>
    </w:p>
    <w:p w14:paraId="2F42BF2E">
      <w:pPr>
        <w:autoSpaceDE w:val="0"/>
        <w:autoSpaceDN w:val="0"/>
        <w:adjustRightInd w:val="0"/>
        <w:spacing w:line="360" w:lineRule="auto"/>
        <w:ind w:firstLine="482" w:firstLineChars="200"/>
        <w:jc w:val="left"/>
        <w:rPr>
          <w:rFonts w:ascii="Times New Roman" w:hAnsi="Times New Roman" w:eastAsia="宋体" w:cs="Times New Roman"/>
          <w:szCs w:val="21"/>
        </w:rPr>
      </w:pPr>
      <w:r>
        <w:rPr>
          <w:rFonts w:hint="eastAsia" w:ascii="Times New Roman" w:hAnsi="Times New Roman" w:eastAsia="宋体" w:cs="Times New Roman"/>
          <w:b/>
          <w:sz w:val="24"/>
        </w:rPr>
        <w:t>目标3</w:t>
      </w:r>
      <w:r>
        <w:rPr>
          <w:rFonts w:ascii="Times New Roman" w:hAnsi="Times New Roman" w:eastAsia="宋体" w:cs="Times New Roman"/>
          <w:b/>
          <w:sz w:val="24"/>
        </w:rPr>
        <w:t>.</w:t>
      </w:r>
      <w:r>
        <w:rPr>
          <w:rFonts w:ascii="Times New Roman" w:hAnsi="Times New Roman" w:eastAsia="宋体" w:cs="Times New Roman"/>
          <w:sz w:val="24"/>
        </w:rPr>
        <w:t xml:space="preserve"> 建立对教育教学工作的正确认知与情感认同，培养教育教学思维，增强对教育事业的热爱与责任感，塑造积极向上的</w:t>
      </w:r>
      <w:r>
        <w:rPr>
          <w:rFonts w:hint="eastAsia" w:ascii="Times New Roman" w:hAnsi="Times New Roman" w:eastAsia="宋体" w:cs="Times New Roman"/>
          <w:sz w:val="24"/>
        </w:rPr>
        <w:t>教师家</w:t>
      </w:r>
      <w:r>
        <w:rPr>
          <w:rFonts w:ascii="Times New Roman" w:hAnsi="Times New Roman" w:eastAsia="宋体" w:cs="Times New Roman"/>
          <w:sz w:val="24"/>
        </w:rPr>
        <w:t>精神与道德素养，为投身教育事业做好充分的心理与思想准备。</w:t>
      </w:r>
    </w:p>
    <w:p w14:paraId="2EAD1A49">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15A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1D61C7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4E0DDE3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511A7B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4C2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45E369D">
            <w:pPr>
              <w:spacing w:line="276" w:lineRule="auto"/>
              <w:jc w:val="left"/>
              <w:rPr>
                <w:rFonts w:hint="eastAsia" w:ascii="宋体" w:hAnsi="宋体" w:eastAsia="宋体" w:cs="宋体"/>
                <w:szCs w:val="21"/>
              </w:rPr>
            </w:pPr>
            <w:r>
              <w:rPr>
                <w:rFonts w:hint="eastAsia" w:ascii="宋体" w:hAnsi="宋体" w:eastAsia="宋体" w:cs="宋体"/>
                <w:szCs w:val="21"/>
              </w:rPr>
              <w:t>毕业要求1：师德规范</w:t>
            </w:r>
          </w:p>
          <w:p w14:paraId="0D621009">
            <w:pPr>
              <w:spacing w:line="276" w:lineRule="auto"/>
              <w:jc w:val="left"/>
              <w:rPr>
                <w:rFonts w:ascii="Times New Roman" w:hAnsi="Times New Roman" w:eastAsia="宋体" w:cs="Times New Roman"/>
                <w:sz w:val="24"/>
              </w:rPr>
            </w:pPr>
            <w:r>
              <w:rPr>
                <w:rFonts w:hint="eastAsia" w:ascii="宋体" w:hAnsi="宋体" w:eastAsia="宋体" w:cs="Times New Roman"/>
                <w:szCs w:val="21"/>
              </w:rPr>
              <w:t>毕业要求7.学会反思</w:t>
            </w:r>
          </w:p>
        </w:tc>
        <w:tc>
          <w:tcPr>
            <w:tcW w:w="5688" w:type="dxa"/>
            <w:vAlign w:val="center"/>
          </w:tcPr>
          <w:p w14:paraId="060DEB6F">
            <w:pPr>
              <w:spacing w:line="276" w:lineRule="auto"/>
              <w:jc w:val="left"/>
              <w:rPr>
                <w:rFonts w:ascii="Times New Roman" w:hAnsi="Times New Roman" w:eastAsia="宋体" w:cs="Times New Roman"/>
                <w:szCs w:val="21"/>
              </w:rPr>
            </w:pPr>
            <w:r>
              <w:rPr>
                <w:rFonts w:hint="eastAsia" w:ascii="宋体" w:hAnsi="宋体" w:eastAsia="宋体" w:cs="宋体"/>
                <w:kern w:val="0"/>
                <w:szCs w:val="21"/>
              </w:rPr>
              <w:t>指标点</w:t>
            </w:r>
            <w:r>
              <w:rPr>
                <w:rFonts w:hint="eastAsia" w:ascii="宋体" w:hAnsi="宋体" w:eastAsia="宋体" w:cs="宋体"/>
                <w:szCs w:val="21"/>
              </w:rPr>
              <w:t>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5F0DC3B6">
            <w:pPr>
              <w:spacing w:line="276" w:lineRule="auto"/>
              <w:jc w:val="left"/>
              <w:rPr>
                <w:rFonts w:ascii="Times New Roman" w:hAnsi="Times New Roman" w:eastAsia="宋体" w:cs="Times New Roman"/>
                <w:szCs w:val="21"/>
              </w:rPr>
            </w:pPr>
          </w:p>
          <w:p w14:paraId="2E19F46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0EB2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7FB43F5">
            <w:pPr>
              <w:spacing w:line="276" w:lineRule="auto"/>
              <w:jc w:val="left"/>
              <w:rPr>
                <w:rFonts w:ascii="Times New Roman" w:hAnsi="Times New Roman" w:eastAsia="宋体" w:cs="Times New Roman"/>
                <w:szCs w:val="21"/>
              </w:rPr>
            </w:pPr>
            <w:r>
              <w:rPr>
                <w:rFonts w:hint="eastAsia" w:ascii="宋体" w:hAnsi="宋体" w:eastAsia="宋体" w:cs="Times New Roman"/>
                <w:szCs w:val="21"/>
              </w:rPr>
              <w:t>毕业要求2.教育情怀</w:t>
            </w:r>
          </w:p>
        </w:tc>
        <w:tc>
          <w:tcPr>
            <w:tcW w:w="5688" w:type="dxa"/>
            <w:vAlign w:val="center"/>
          </w:tcPr>
          <w:p w14:paraId="1D6ACF7E">
            <w:pPr>
              <w:spacing w:line="276" w:lineRule="auto"/>
              <w:jc w:val="left"/>
              <w:rPr>
                <w:rFonts w:ascii="Times New Roman" w:hAnsi="Times New Roman" w:eastAsia="宋体" w:cs="Times New Roman"/>
                <w:szCs w:val="21"/>
              </w:rPr>
            </w:pPr>
            <w:r>
              <w:rPr>
                <w:rFonts w:hint="eastAsia" w:ascii="宋体" w:hAnsi="宋体" w:eastAsia="宋体" w:cs="宋体"/>
                <w:kern w:val="0"/>
                <w:szCs w:val="21"/>
              </w:rPr>
              <w:t>指标点</w:t>
            </w:r>
            <w:r>
              <w:rPr>
                <w:rFonts w:hint="eastAsia" w:ascii="宋体" w:hAnsi="宋体" w:cs="宋体"/>
                <w:sz w:val="20"/>
                <w:szCs w:val="20"/>
              </w:rPr>
              <w:t>2-1：</w:t>
            </w:r>
            <w:r>
              <w:rPr>
                <w:rFonts w:hint="eastAsia" w:ascii="宋体" w:hAnsi="宋体" w:eastAsia="宋体" w:cs="Times New Roman"/>
                <w:szCs w:val="21"/>
              </w:rPr>
              <w:t>【职业认同感强】具有家国情怀，乐于从教，热爱教育事业，具有较高的教师职业认同感，认同教师职业的专业性与意义性。</w:t>
            </w:r>
          </w:p>
        </w:tc>
        <w:tc>
          <w:tcPr>
            <w:tcW w:w="1191" w:type="dxa"/>
            <w:vAlign w:val="center"/>
          </w:tcPr>
          <w:p w14:paraId="25A6E52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3988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58AB0EB">
            <w:pPr>
              <w:spacing w:line="276" w:lineRule="auto"/>
              <w:jc w:val="left"/>
              <w:rPr>
                <w:rFonts w:ascii="Times New Roman" w:hAnsi="Times New Roman" w:eastAsia="宋体" w:cs="Times New Roman"/>
                <w:szCs w:val="21"/>
              </w:rPr>
            </w:pPr>
            <w:r>
              <w:rPr>
                <w:rFonts w:hint="eastAsia" w:ascii="宋体" w:hAnsi="宋体" w:eastAsia="宋体" w:cs="Times New Roman"/>
                <w:szCs w:val="21"/>
              </w:rPr>
              <w:t>毕业要求2.教育情怀</w:t>
            </w:r>
          </w:p>
        </w:tc>
        <w:tc>
          <w:tcPr>
            <w:tcW w:w="5688" w:type="dxa"/>
            <w:vAlign w:val="center"/>
          </w:tcPr>
          <w:p w14:paraId="64B2131E">
            <w:pPr>
              <w:spacing w:line="276" w:lineRule="auto"/>
              <w:jc w:val="left"/>
              <w:rPr>
                <w:rFonts w:ascii="Times New Roman" w:hAnsi="Times New Roman" w:eastAsia="宋体" w:cs="Times New Roman"/>
                <w:szCs w:val="21"/>
              </w:rPr>
            </w:pPr>
            <w:r>
              <w:rPr>
                <w:rFonts w:hint="eastAsia" w:ascii="宋体" w:hAnsi="宋体" w:eastAsia="宋体" w:cs="Times New Roman"/>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1E944788">
            <w:pPr>
              <w:spacing w:line="276" w:lineRule="auto"/>
              <w:jc w:val="left"/>
              <w:rPr>
                <w:rFonts w:ascii="Times New Roman" w:hAnsi="Times New Roman" w:eastAsia="宋体" w:cs="Times New Roman"/>
                <w:szCs w:val="21"/>
              </w:rPr>
            </w:pPr>
            <w:r>
              <w:rPr>
                <w:rFonts w:hint="eastAsia" w:ascii="宋体" w:hAnsi="宋体" w:eastAsia="宋体" w:cs="宋体"/>
                <w:color w:val="000000"/>
                <w:szCs w:val="21"/>
              </w:rPr>
              <w:t>课程目标3</w:t>
            </w:r>
          </w:p>
        </w:tc>
      </w:tr>
    </w:tbl>
    <w:p w14:paraId="56E725E5">
      <w:pPr>
        <w:spacing w:before="156" w:beforeLines="50" w:line="360" w:lineRule="auto"/>
        <w:ind w:firstLine="422" w:firstLineChars="200"/>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CA5B760">
      <w:pPr>
        <w:spacing w:line="276" w:lineRule="auto"/>
        <w:ind w:firstLine="420" w:firstLineChars="200"/>
        <w:rPr>
          <w:rFonts w:hint="eastAsia" w:ascii="宋体" w:hAnsi="宋体" w:eastAsia="宋体" w:cs="Times New Roman"/>
          <w:szCs w:val="21"/>
        </w:rPr>
      </w:pPr>
      <w:r>
        <w:rPr>
          <w:rFonts w:hint="eastAsia" w:ascii="宋体" w:hAnsi="宋体" w:eastAsia="宋体" w:cs="Times New Roman"/>
          <w:szCs w:val="21"/>
        </w:rPr>
        <w:t>领会教育对国家、民族与个人的意义，激发投身教育使命感，树立长期从教信念，融入教育强国梦，在实习里感悟教育魅力，增强职业认同与归属。在教育教学观摩和名师讲座中自觉树立文化自信和民族自豪感，了解中华文化的博大精深和独特魅力。</w:t>
      </w:r>
    </w:p>
    <w:p w14:paraId="7C78E15F">
      <w:pPr>
        <w:spacing w:line="360" w:lineRule="auto"/>
        <w:ind w:firstLine="482" w:firstLineChars="200"/>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265"/>
        <w:gridCol w:w="733"/>
      </w:tblGrid>
      <w:tr w14:paraId="540E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46AF15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55B8C1B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BEC44A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2213675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5D70E4F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4F0D194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65" w:type="dxa"/>
            <w:vAlign w:val="center"/>
          </w:tcPr>
          <w:p w14:paraId="448F4CB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33" w:type="dxa"/>
            <w:vAlign w:val="center"/>
          </w:tcPr>
          <w:p w14:paraId="487F3B2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00A4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5EF5B95">
            <w:pPr>
              <w:spacing w:line="264" w:lineRule="auto"/>
              <w:rPr>
                <w:rFonts w:hint="eastAsia" w:ascii="宋体" w:hAnsi="宋体" w:eastAsia="宋体" w:cs="Times New Roman"/>
                <w:color w:val="000000"/>
                <w:szCs w:val="21"/>
              </w:rPr>
            </w:pPr>
            <w:r>
              <w:rPr>
                <w:rFonts w:hint="eastAsia" w:ascii="宋体" w:hAnsi="宋体" w:eastAsia="宋体" w:cs="宋体"/>
                <w:color w:val="000000"/>
                <w:kern w:val="0"/>
                <w:szCs w:val="21"/>
              </w:rPr>
              <w:t>小学教育教学观摩</w:t>
            </w:r>
          </w:p>
        </w:tc>
        <w:tc>
          <w:tcPr>
            <w:tcW w:w="1701" w:type="dxa"/>
            <w:vAlign w:val="center"/>
          </w:tcPr>
          <w:p w14:paraId="0A9947B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（1）课堂教学观摩</w:t>
            </w:r>
          </w:p>
          <w:p w14:paraId="355FD54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（2）教育经典影视作品赏析</w:t>
            </w:r>
          </w:p>
        </w:tc>
        <w:tc>
          <w:tcPr>
            <w:tcW w:w="1134" w:type="dxa"/>
            <w:vAlign w:val="center"/>
          </w:tcPr>
          <w:p w14:paraId="3885A9F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AD5F97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在课堂教学观摩中，深入理解小学教育教学的核心要素，明晰教师角色重要性，坚定从业信念；赏析教育经典影视作品时，感知教育多元呈现与深远影响，强化教育情怀。内化教育精神品质，将其转化为行动驱力，传承教育精神，并挖掘教育文化内涵，融入教学实践，推动文化传承与创新，为小学教育事业筑牢根基。</w:t>
            </w:r>
          </w:p>
        </w:tc>
        <w:tc>
          <w:tcPr>
            <w:tcW w:w="1265" w:type="dxa"/>
            <w:vAlign w:val="center"/>
          </w:tcPr>
          <w:p w14:paraId="7DCF2AE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案例分析</w:t>
            </w:r>
          </w:p>
          <w:p w14:paraId="0FAEE65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直观教学</w:t>
            </w:r>
          </w:p>
        </w:tc>
        <w:tc>
          <w:tcPr>
            <w:tcW w:w="733" w:type="dxa"/>
            <w:vAlign w:val="center"/>
          </w:tcPr>
          <w:p w14:paraId="43C8925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10</w:t>
            </w:r>
          </w:p>
        </w:tc>
      </w:tr>
      <w:tr w14:paraId="22B8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ED6C3C8">
            <w:pPr>
              <w:spacing w:line="264" w:lineRule="auto"/>
              <w:jc w:val="center"/>
              <w:rPr>
                <w:rFonts w:hint="eastAsia" w:ascii="宋体" w:hAnsi="宋体" w:eastAsia="宋体" w:cs="Times New Roman"/>
                <w:color w:val="000000"/>
                <w:szCs w:val="21"/>
              </w:rPr>
            </w:pPr>
          </w:p>
        </w:tc>
        <w:tc>
          <w:tcPr>
            <w:tcW w:w="8093" w:type="dxa"/>
            <w:gridSpan w:val="5"/>
            <w:vAlign w:val="center"/>
          </w:tcPr>
          <w:p w14:paraId="002190B3">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借课堂观摩领会小学教育教学常规，坚定执教信念，明确使命担当；赏教育经典影视，梳理以生为本的教育观，形成立德树人的责任感。</w:t>
            </w:r>
          </w:p>
        </w:tc>
      </w:tr>
      <w:tr w14:paraId="193E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7D4B6E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“三字一话”教学基本功训练</w:t>
            </w:r>
          </w:p>
        </w:tc>
        <w:tc>
          <w:tcPr>
            <w:tcW w:w="1701" w:type="dxa"/>
            <w:vAlign w:val="center"/>
          </w:tcPr>
          <w:p w14:paraId="267A9C92">
            <w:pPr>
              <w:spacing w:line="269" w:lineRule="auto"/>
              <w:jc w:val="left"/>
              <w:rPr>
                <w:rFonts w:hint="eastAsia" w:ascii="宋体" w:hAnsi="宋体" w:eastAsia="宋体" w:cs="Times New Roman"/>
                <w:color w:val="000000"/>
                <w:szCs w:val="21"/>
              </w:rPr>
            </w:pPr>
          </w:p>
          <w:p w14:paraId="48D54F8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（1）粉笔字训练</w:t>
            </w:r>
          </w:p>
          <w:p w14:paraId="3A592FB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（2）钢笔字训练</w:t>
            </w:r>
          </w:p>
          <w:p w14:paraId="0A8797A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（3）主题演讲</w:t>
            </w:r>
          </w:p>
          <w:p w14:paraId="0ED0DEC6">
            <w:pPr>
              <w:spacing w:line="269" w:lineRule="auto"/>
              <w:jc w:val="left"/>
              <w:rPr>
                <w:rFonts w:hint="eastAsia" w:ascii="宋体" w:hAnsi="宋体" w:eastAsia="宋体" w:cs="Times New Roman"/>
                <w:color w:val="000000"/>
                <w:szCs w:val="21"/>
              </w:rPr>
            </w:pPr>
          </w:p>
          <w:p w14:paraId="7DFEF8E4">
            <w:pPr>
              <w:spacing w:line="269" w:lineRule="auto"/>
              <w:jc w:val="left"/>
              <w:rPr>
                <w:rFonts w:hint="eastAsia" w:ascii="宋体" w:hAnsi="宋体" w:eastAsia="宋体" w:cs="Times New Roman"/>
                <w:color w:val="000000"/>
                <w:szCs w:val="21"/>
              </w:rPr>
            </w:pPr>
          </w:p>
        </w:tc>
        <w:tc>
          <w:tcPr>
            <w:tcW w:w="1134" w:type="dxa"/>
            <w:vAlign w:val="center"/>
          </w:tcPr>
          <w:p w14:paraId="399F2E0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260" w:type="dxa"/>
            <w:vAlign w:val="center"/>
          </w:tcPr>
          <w:p w14:paraId="2AB67FD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通过粉笔字与钢笔字训练，学生能够熟练掌握汉字书写规范与技巧，粉笔字书写时笔画清晰、结构合理、板面布局美观，钢笔字则达到字体端正、书写流畅、富有美感的水平，显著提升教师基本功中的书写能力，为教学板书和书面交流奠定良好基础。而通过主题演讲训练，学生能够克服怯场心理，具备清晰的逻辑思维与出色的语言表达能力，能够以饱满的情感、恰当的语速语调，围绕教育相关主题展开有深度、有感染力的演讲，增强在教育教学中的沟通与引导能力。</w:t>
            </w:r>
          </w:p>
        </w:tc>
        <w:tc>
          <w:tcPr>
            <w:tcW w:w="1265" w:type="dxa"/>
            <w:vAlign w:val="center"/>
          </w:tcPr>
          <w:p w14:paraId="365424A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实践教学</w:t>
            </w:r>
          </w:p>
          <w:p w14:paraId="550E7BD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小组学习</w:t>
            </w:r>
          </w:p>
        </w:tc>
        <w:tc>
          <w:tcPr>
            <w:tcW w:w="733" w:type="dxa"/>
            <w:vAlign w:val="center"/>
          </w:tcPr>
          <w:p w14:paraId="27B3011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10</w:t>
            </w:r>
          </w:p>
        </w:tc>
      </w:tr>
      <w:tr w14:paraId="76FF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B32BB0">
            <w:pPr>
              <w:spacing w:line="264" w:lineRule="auto"/>
              <w:jc w:val="center"/>
              <w:rPr>
                <w:rFonts w:hint="eastAsia" w:ascii="宋体" w:hAnsi="宋体" w:eastAsia="宋体" w:cs="Times New Roman"/>
                <w:color w:val="000000"/>
                <w:szCs w:val="21"/>
              </w:rPr>
            </w:pPr>
          </w:p>
        </w:tc>
        <w:tc>
          <w:tcPr>
            <w:tcW w:w="8093" w:type="dxa"/>
            <w:gridSpan w:val="5"/>
            <w:vAlign w:val="center"/>
          </w:tcPr>
          <w:p w14:paraId="679FC2BF">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通过钢笔字、粉笔字训练，培养严谨认真、专注执着的学习态度与审美情趣，使其领悟汉字书写背后的文化底蕴，传承中华书法文化。主题演讲中，引导学生树立正确价值观，以自信表达传播正能量，增强社会责任感与教育使命感，塑造积极向上的教育者形象。</w:t>
            </w:r>
          </w:p>
        </w:tc>
      </w:tr>
      <w:tr w14:paraId="6604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FFC1044">
            <w:pPr>
              <w:spacing w:line="264" w:lineRule="auto"/>
              <w:rPr>
                <w:rFonts w:hint="eastAsia" w:ascii="宋体" w:hAnsi="宋体" w:eastAsia="宋体" w:cs="Times New Roman"/>
                <w:color w:val="000000"/>
                <w:szCs w:val="21"/>
              </w:rPr>
            </w:pPr>
            <w:r>
              <w:rPr>
                <w:rFonts w:hint="eastAsia" w:ascii="宋体" w:hAnsi="宋体" w:eastAsia="宋体" w:cs="Times New Roman"/>
                <w:color w:val="000000"/>
                <w:szCs w:val="21"/>
              </w:rPr>
              <w:t>名师专题讲座</w:t>
            </w:r>
          </w:p>
        </w:tc>
        <w:tc>
          <w:tcPr>
            <w:tcW w:w="1701" w:type="dxa"/>
            <w:vAlign w:val="center"/>
          </w:tcPr>
          <w:p w14:paraId="7408D3F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（1）教育观主题</w:t>
            </w:r>
          </w:p>
          <w:p w14:paraId="11B7E38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（2）教师职业主题</w:t>
            </w:r>
          </w:p>
          <w:p w14:paraId="56A15CC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（3）教育强国主题</w:t>
            </w:r>
          </w:p>
        </w:tc>
        <w:tc>
          <w:tcPr>
            <w:tcW w:w="1134" w:type="dxa"/>
            <w:vAlign w:val="center"/>
          </w:tcPr>
          <w:p w14:paraId="0771463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课程目标3</w:t>
            </w:r>
          </w:p>
        </w:tc>
        <w:tc>
          <w:tcPr>
            <w:tcW w:w="3260" w:type="dxa"/>
            <w:vAlign w:val="center"/>
          </w:tcPr>
          <w:p w14:paraId="1F9F727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在名师专题讲座中，学生能深刻理解并形成科学全面的教育观，明晰教师角色定位与职业道德要求，树立敬业爱生、奉献担当的职业精神，提升职业认同感与归属感。可洞察教育在国家发展战略中的核心地位，激发为教育事业拼搏的热情，积极探索创新教育模式与方法，以助力国家教育现代化进程，为培养德智体美劳全面发展的时代新人而努力。</w:t>
            </w:r>
          </w:p>
        </w:tc>
        <w:tc>
          <w:tcPr>
            <w:tcW w:w="1265" w:type="dxa"/>
            <w:vAlign w:val="center"/>
          </w:tcPr>
          <w:p w14:paraId="42F7FC5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实践教学</w:t>
            </w:r>
          </w:p>
        </w:tc>
        <w:tc>
          <w:tcPr>
            <w:tcW w:w="733" w:type="dxa"/>
            <w:vAlign w:val="center"/>
          </w:tcPr>
          <w:p w14:paraId="3E97F0F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10</w:t>
            </w:r>
          </w:p>
        </w:tc>
      </w:tr>
      <w:tr w14:paraId="3252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58EFFF1">
            <w:pPr>
              <w:spacing w:line="264" w:lineRule="auto"/>
              <w:jc w:val="center"/>
              <w:rPr>
                <w:rFonts w:hint="eastAsia" w:ascii="宋体" w:hAnsi="宋体" w:eastAsia="宋体" w:cs="Times New Roman"/>
                <w:color w:val="000000"/>
                <w:szCs w:val="21"/>
              </w:rPr>
            </w:pPr>
          </w:p>
        </w:tc>
        <w:tc>
          <w:tcPr>
            <w:tcW w:w="8093" w:type="dxa"/>
            <w:gridSpan w:val="5"/>
            <w:vAlign w:val="center"/>
          </w:tcPr>
          <w:p w14:paraId="19FDA28F">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通过教育观主题学习，引导学生树立以人为本、全面发展的教育理念，厚植教育情怀。教师职业主题助力学生形成高尚师德与职业操守，增强使命感。教育强国主题则激发学生爱国情与报国志，使其明白教育担当，为教育强国梦努力奋进。</w:t>
            </w:r>
          </w:p>
        </w:tc>
      </w:tr>
    </w:tbl>
    <w:p w14:paraId="1185AF7A">
      <w:pPr>
        <w:spacing w:line="360" w:lineRule="auto"/>
        <w:jc w:val="left"/>
        <w:rPr>
          <w:rFonts w:ascii="Times New Roman" w:hAnsi="Times New Roman" w:eastAsia="宋体" w:cs="Times New Roman"/>
          <w:sz w:val="24"/>
        </w:rPr>
      </w:pPr>
    </w:p>
    <w:p w14:paraId="50A985A7">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1279499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207D06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0D22CDA">
      <w:pPr>
        <w:spacing w:line="360" w:lineRule="auto"/>
        <w:ind w:firstLine="420" w:firstLineChars="200"/>
        <w:jc w:val="left"/>
        <w:rPr>
          <w:rFonts w:ascii="Times New Roman" w:hAnsi="Times New Roman" w:eastAsia="宋体" w:cs="Times New Roman"/>
          <w:szCs w:val="21"/>
        </w:rPr>
      </w:pPr>
    </w:p>
    <w:p w14:paraId="6A0F543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446"/>
        <w:gridCol w:w="1113"/>
        <w:gridCol w:w="944"/>
        <w:gridCol w:w="1091"/>
        <w:gridCol w:w="1109"/>
        <w:gridCol w:w="1396"/>
        <w:gridCol w:w="586"/>
      </w:tblGrid>
      <w:tr w14:paraId="75D0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Merge w:val="restart"/>
            <w:vAlign w:val="center"/>
          </w:tcPr>
          <w:p w14:paraId="691F154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7099" w:type="dxa"/>
            <w:gridSpan w:val="6"/>
            <w:vAlign w:val="center"/>
          </w:tcPr>
          <w:p w14:paraId="68802752">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586" w:type="dxa"/>
            <w:vMerge w:val="restart"/>
            <w:vAlign w:val="center"/>
          </w:tcPr>
          <w:p w14:paraId="17716F86">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3574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Merge w:val="continue"/>
            <w:vAlign w:val="center"/>
          </w:tcPr>
          <w:p w14:paraId="4EB6BC49">
            <w:pPr>
              <w:spacing w:line="360" w:lineRule="auto"/>
              <w:jc w:val="center"/>
              <w:rPr>
                <w:rFonts w:hint="eastAsia" w:ascii="宋体" w:hAnsi="宋体" w:eastAsia="宋体" w:cs="Times New Roman"/>
                <w:szCs w:val="21"/>
              </w:rPr>
            </w:pPr>
          </w:p>
        </w:tc>
        <w:tc>
          <w:tcPr>
            <w:tcW w:w="1446" w:type="dxa"/>
            <w:vAlign w:val="center"/>
          </w:tcPr>
          <w:p w14:paraId="536215C2">
            <w:pPr>
              <w:spacing w:line="360" w:lineRule="auto"/>
              <w:jc w:val="center"/>
              <w:rPr>
                <w:rFonts w:hint="eastAsia" w:ascii="宋体" w:hAnsi="宋体" w:eastAsia="宋体" w:cs="Times New Roman"/>
                <w:szCs w:val="21"/>
              </w:rPr>
            </w:pPr>
            <w:r>
              <w:rPr>
                <w:rFonts w:hint="eastAsia" w:ascii="宋体" w:hAnsi="宋体" w:eastAsia="宋体" w:cs="Times New Roman"/>
                <w:szCs w:val="21"/>
              </w:rPr>
              <w:t>教育类视频观看心得</w:t>
            </w:r>
          </w:p>
        </w:tc>
        <w:tc>
          <w:tcPr>
            <w:tcW w:w="1113" w:type="dxa"/>
            <w:vAlign w:val="center"/>
          </w:tcPr>
          <w:p w14:paraId="74E99A20">
            <w:pPr>
              <w:spacing w:line="360" w:lineRule="auto"/>
              <w:jc w:val="center"/>
              <w:rPr>
                <w:rFonts w:hint="eastAsia" w:ascii="宋体" w:hAnsi="宋体" w:eastAsia="宋体" w:cs="Times New Roman"/>
                <w:szCs w:val="21"/>
              </w:rPr>
            </w:pPr>
            <w:r>
              <w:rPr>
                <w:rFonts w:hint="eastAsia" w:ascii="宋体" w:hAnsi="宋体" w:eastAsia="宋体" w:cs="Times New Roman"/>
                <w:szCs w:val="21"/>
              </w:rPr>
              <w:t>钢笔字</w:t>
            </w:r>
          </w:p>
          <w:p w14:paraId="40CAB7FC">
            <w:pPr>
              <w:spacing w:line="360" w:lineRule="auto"/>
              <w:jc w:val="center"/>
              <w:rPr>
                <w:rFonts w:hint="eastAsia" w:ascii="宋体" w:hAnsi="宋体" w:eastAsia="宋体" w:cs="Times New Roman"/>
                <w:szCs w:val="21"/>
              </w:rPr>
            </w:pPr>
            <w:r>
              <w:rPr>
                <w:rFonts w:hint="eastAsia" w:ascii="宋体" w:hAnsi="宋体" w:eastAsia="宋体" w:cs="Times New Roman"/>
                <w:szCs w:val="21"/>
              </w:rPr>
              <w:t>书写</w:t>
            </w:r>
          </w:p>
        </w:tc>
        <w:tc>
          <w:tcPr>
            <w:tcW w:w="944" w:type="dxa"/>
            <w:vAlign w:val="center"/>
          </w:tcPr>
          <w:p w14:paraId="3C0109DA">
            <w:pPr>
              <w:spacing w:line="360" w:lineRule="auto"/>
              <w:jc w:val="center"/>
              <w:rPr>
                <w:rFonts w:hint="eastAsia" w:ascii="宋体" w:hAnsi="宋体" w:eastAsia="宋体" w:cs="Times New Roman"/>
                <w:szCs w:val="21"/>
              </w:rPr>
            </w:pPr>
            <w:r>
              <w:rPr>
                <w:rFonts w:hint="eastAsia" w:ascii="宋体" w:hAnsi="宋体" w:eastAsia="宋体" w:cs="Times New Roman"/>
                <w:szCs w:val="21"/>
              </w:rPr>
              <w:t>粉笔字</w:t>
            </w:r>
          </w:p>
          <w:p w14:paraId="0EE3B8BB">
            <w:pPr>
              <w:spacing w:line="360" w:lineRule="auto"/>
              <w:jc w:val="center"/>
              <w:rPr>
                <w:rFonts w:hint="eastAsia" w:ascii="宋体" w:hAnsi="宋体" w:eastAsia="宋体" w:cs="Times New Roman"/>
                <w:szCs w:val="21"/>
              </w:rPr>
            </w:pPr>
            <w:r>
              <w:rPr>
                <w:rFonts w:hint="eastAsia" w:ascii="宋体" w:hAnsi="宋体" w:eastAsia="宋体" w:cs="Times New Roman"/>
                <w:szCs w:val="21"/>
              </w:rPr>
              <w:t>书写</w:t>
            </w:r>
          </w:p>
        </w:tc>
        <w:tc>
          <w:tcPr>
            <w:tcW w:w="1091" w:type="dxa"/>
            <w:vAlign w:val="center"/>
          </w:tcPr>
          <w:p w14:paraId="51328AD1">
            <w:pPr>
              <w:spacing w:line="360" w:lineRule="auto"/>
              <w:jc w:val="center"/>
              <w:rPr>
                <w:rFonts w:hint="eastAsia" w:ascii="宋体" w:hAnsi="宋体" w:eastAsia="宋体" w:cs="Times New Roman"/>
                <w:szCs w:val="21"/>
              </w:rPr>
            </w:pPr>
            <w:r>
              <w:rPr>
                <w:rFonts w:hint="eastAsia" w:ascii="宋体" w:hAnsi="宋体" w:eastAsia="宋体" w:cs="Times New Roman"/>
                <w:szCs w:val="21"/>
              </w:rPr>
              <w:t>主题演讲提纲</w:t>
            </w:r>
          </w:p>
        </w:tc>
        <w:tc>
          <w:tcPr>
            <w:tcW w:w="1109" w:type="dxa"/>
            <w:vAlign w:val="center"/>
          </w:tcPr>
          <w:p w14:paraId="1B044633">
            <w:pPr>
              <w:spacing w:line="360" w:lineRule="auto"/>
              <w:jc w:val="center"/>
              <w:rPr>
                <w:rFonts w:hint="eastAsia" w:ascii="宋体" w:hAnsi="宋体" w:eastAsia="宋体" w:cs="Times New Roman"/>
                <w:szCs w:val="21"/>
              </w:rPr>
            </w:pPr>
            <w:r>
              <w:rPr>
                <w:rFonts w:hint="eastAsia" w:ascii="宋体" w:hAnsi="宋体" w:eastAsia="宋体" w:cs="Times New Roman"/>
                <w:szCs w:val="21"/>
              </w:rPr>
              <w:t>名师专题讲座记录</w:t>
            </w:r>
          </w:p>
        </w:tc>
        <w:tc>
          <w:tcPr>
            <w:tcW w:w="1396" w:type="dxa"/>
          </w:tcPr>
          <w:p w14:paraId="0E05D6F1">
            <w:pPr>
              <w:spacing w:line="360" w:lineRule="auto"/>
              <w:jc w:val="center"/>
              <w:rPr>
                <w:rFonts w:hint="eastAsia" w:ascii="宋体" w:hAnsi="宋体" w:eastAsia="宋体" w:cs="Times New Roman"/>
                <w:szCs w:val="21"/>
              </w:rPr>
            </w:pPr>
            <w:r>
              <w:rPr>
                <w:rFonts w:hint="eastAsia" w:ascii="宋体" w:hAnsi="宋体" w:eastAsia="宋体" w:cs="Times New Roman"/>
                <w:szCs w:val="21"/>
              </w:rPr>
              <w:t>认知实习日记和总结</w:t>
            </w:r>
          </w:p>
        </w:tc>
        <w:tc>
          <w:tcPr>
            <w:tcW w:w="586" w:type="dxa"/>
            <w:vMerge w:val="continue"/>
            <w:vAlign w:val="center"/>
          </w:tcPr>
          <w:p w14:paraId="111388D0">
            <w:pPr>
              <w:spacing w:line="360" w:lineRule="auto"/>
              <w:jc w:val="center"/>
              <w:rPr>
                <w:rFonts w:hint="eastAsia" w:ascii="宋体" w:hAnsi="宋体" w:eastAsia="宋体" w:cs="Times New Roman"/>
                <w:szCs w:val="21"/>
              </w:rPr>
            </w:pPr>
          </w:p>
        </w:tc>
      </w:tr>
      <w:tr w14:paraId="25EE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837" w:type="dxa"/>
            <w:vAlign w:val="center"/>
          </w:tcPr>
          <w:p w14:paraId="472CAF7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446" w:type="dxa"/>
            <w:vAlign w:val="center"/>
          </w:tcPr>
          <w:p w14:paraId="18537DE9">
            <w:pPr>
              <w:spacing w:line="360" w:lineRule="auto"/>
              <w:jc w:val="center"/>
              <w:rPr>
                <w:rFonts w:hint="eastAsia" w:ascii="宋体" w:hAnsi="宋体" w:eastAsia="宋体" w:cs="Times New Roman"/>
                <w:szCs w:val="21"/>
              </w:rPr>
            </w:pPr>
            <w:r>
              <w:rPr>
                <w:rFonts w:ascii="Arial" w:hAnsi="Arial" w:eastAsia="宋体" w:cs="Arial"/>
                <w:szCs w:val="21"/>
              </w:rPr>
              <w:t>√</w:t>
            </w:r>
          </w:p>
        </w:tc>
        <w:tc>
          <w:tcPr>
            <w:tcW w:w="1113" w:type="dxa"/>
            <w:vAlign w:val="center"/>
          </w:tcPr>
          <w:p w14:paraId="561210C9">
            <w:pPr>
              <w:spacing w:line="360" w:lineRule="auto"/>
              <w:jc w:val="center"/>
              <w:rPr>
                <w:rFonts w:hint="eastAsia" w:ascii="宋体" w:hAnsi="宋体" w:eastAsia="宋体" w:cs="Times New Roman"/>
                <w:szCs w:val="21"/>
              </w:rPr>
            </w:pPr>
          </w:p>
        </w:tc>
        <w:tc>
          <w:tcPr>
            <w:tcW w:w="944" w:type="dxa"/>
            <w:vAlign w:val="center"/>
          </w:tcPr>
          <w:p w14:paraId="0E1AD141">
            <w:pPr>
              <w:spacing w:line="360" w:lineRule="auto"/>
              <w:jc w:val="center"/>
              <w:rPr>
                <w:rFonts w:hint="eastAsia" w:ascii="宋体" w:hAnsi="宋体" w:eastAsia="宋体" w:cs="Times New Roman"/>
                <w:szCs w:val="21"/>
              </w:rPr>
            </w:pPr>
          </w:p>
        </w:tc>
        <w:tc>
          <w:tcPr>
            <w:tcW w:w="1091" w:type="dxa"/>
            <w:vAlign w:val="center"/>
          </w:tcPr>
          <w:p w14:paraId="35DA631C">
            <w:pPr>
              <w:spacing w:line="360" w:lineRule="auto"/>
              <w:jc w:val="center"/>
              <w:rPr>
                <w:rFonts w:hint="eastAsia" w:ascii="宋体" w:hAnsi="宋体" w:eastAsia="宋体" w:cs="Times New Roman"/>
                <w:szCs w:val="21"/>
              </w:rPr>
            </w:pPr>
          </w:p>
        </w:tc>
        <w:tc>
          <w:tcPr>
            <w:tcW w:w="1109" w:type="dxa"/>
            <w:vAlign w:val="center"/>
          </w:tcPr>
          <w:p w14:paraId="1619015E">
            <w:pPr>
              <w:spacing w:line="360" w:lineRule="auto"/>
              <w:jc w:val="center"/>
              <w:rPr>
                <w:rFonts w:hint="eastAsia" w:ascii="宋体" w:hAnsi="宋体" w:eastAsia="宋体" w:cs="Times New Roman"/>
                <w:szCs w:val="21"/>
              </w:rPr>
            </w:pPr>
          </w:p>
        </w:tc>
        <w:tc>
          <w:tcPr>
            <w:tcW w:w="1396" w:type="dxa"/>
            <w:vAlign w:val="center"/>
          </w:tcPr>
          <w:p w14:paraId="58561E9B">
            <w:pPr>
              <w:spacing w:line="360" w:lineRule="auto"/>
              <w:jc w:val="center"/>
              <w:rPr>
                <w:rFonts w:hint="eastAsia" w:ascii="宋体" w:hAnsi="宋体" w:eastAsia="宋体" w:cs="Times New Roman"/>
                <w:szCs w:val="21"/>
              </w:rPr>
            </w:pPr>
            <w:r>
              <w:rPr>
                <w:rFonts w:ascii="Arial" w:hAnsi="Arial" w:eastAsia="宋体" w:cs="Arial"/>
                <w:szCs w:val="21"/>
              </w:rPr>
              <w:t>√</w:t>
            </w:r>
          </w:p>
        </w:tc>
        <w:tc>
          <w:tcPr>
            <w:tcW w:w="586" w:type="dxa"/>
            <w:vAlign w:val="center"/>
          </w:tcPr>
          <w:p w14:paraId="7AE107A2">
            <w:pPr>
              <w:spacing w:line="360" w:lineRule="auto"/>
              <w:jc w:val="center"/>
              <w:rPr>
                <w:rFonts w:hint="eastAsia" w:ascii="宋体" w:hAnsi="宋体" w:eastAsia="宋体" w:cs="Times New Roman"/>
                <w:szCs w:val="21"/>
              </w:rPr>
            </w:pPr>
            <w:r>
              <w:rPr>
                <w:rFonts w:hint="eastAsia" w:ascii="宋体" w:hAnsi="宋体" w:eastAsia="宋体" w:cs="Times New Roman"/>
                <w:kern w:val="0"/>
                <w:szCs w:val="21"/>
              </w:rPr>
              <w:t>30%</w:t>
            </w:r>
          </w:p>
        </w:tc>
      </w:tr>
      <w:tr w14:paraId="450C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Align w:val="center"/>
          </w:tcPr>
          <w:p w14:paraId="5303772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446" w:type="dxa"/>
            <w:vAlign w:val="center"/>
          </w:tcPr>
          <w:p w14:paraId="46FFF295">
            <w:pPr>
              <w:spacing w:line="360" w:lineRule="auto"/>
              <w:jc w:val="center"/>
              <w:rPr>
                <w:rFonts w:hint="eastAsia" w:ascii="宋体" w:hAnsi="宋体" w:eastAsia="宋体" w:cs="Times New Roman"/>
                <w:szCs w:val="21"/>
              </w:rPr>
            </w:pPr>
          </w:p>
        </w:tc>
        <w:tc>
          <w:tcPr>
            <w:tcW w:w="1113" w:type="dxa"/>
            <w:vAlign w:val="center"/>
          </w:tcPr>
          <w:p w14:paraId="640A13EC">
            <w:pPr>
              <w:spacing w:line="360" w:lineRule="auto"/>
              <w:jc w:val="center"/>
              <w:rPr>
                <w:rFonts w:hint="eastAsia" w:ascii="宋体" w:hAnsi="宋体" w:eastAsia="宋体" w:cs="Times New Roman"/>
                <w:szCs w:val="21"/>
              </w:rPr>
            </w:pPr>
            <w:r>
              <w:rPr>
                <w:rFonts w:ascii="Arial" w:hAnsi="Arial" w:eastAsia="宋体" w:cs="Arial"/>
                <w:szCs w:val="21"/>
              </w:rPr>
              <w:t>√</w:t>
            </w:r>
          </w:p>
        </w:tc>
        <w:tc>
          <w:tcPr>
            <w:tcW w:w="944" w:type="dxa"/>
            <w:vAlign w:val="center"/>
          </w:tcPr>
          <w:p w14:paraId="71AB1DBF">
            <w:pPr>
              <w:spacing w:line="360" w:lineRule="auto"/>
              <w:jc w:val="center"/>
              <w:rPr>
                <w:rFonts w:hint="eastAsia" w:ascii="宋体" w:hAnsi="宋体" w:eastAsia="宋体" w:cs="Times New Roman"/>
                <w:szCs w:val="21"/>
              </w:rPr>
            </w:pPr>
            <w:r>
              <w:rPr>
                <w:rFonts w:ascii="Arial" w:hAnsi="Arial" w:eastAsia="宋体" w:cs="Arial"/>
                <w:szCs w:val="21"/>
              </w:rPr>
              <w:t>√</w:t>
            </w:r>
          </w:p>
        </w:tc>
        <w:tc>
          <w:tcPr>
            <w:tcW w:w="1091" w:type="dxa"/>
            <w:vAlign w:val="center"/>
          </w:tcPr>
          <w:p w14:paraId="4CA1207F">
            <w:pPr>
              <w:spacing w:line="360" w:lineRule="auto"/>
              <w:jc w:val="center"/>
              <w:rPr>
                <w:rFonts w:hint="eastAsia" w:ascii="宋体" w:hAnsi="宋体" w:eastAsia="宋体" w:cs="Times New Roman"/>
                <w:szCs w:val="21"/>
              </w:rPr>
            </w:pPr>
            <w:r>
              <w:rPr>
                <w:rFonts w:ascii="Arial" w:hAnsi="Arial" w:eastAsia="宋体" w:cs="Arial"/>
                <w:szCs w:val="21"/>
              </w:rPr>
              <w:t>√</w:t>
            </w:r>
          </w:p>
        </w:tc>
        <w:tc>
          <w:tcPr>
            <w:tcW w:w="1109" w:type="dxa"/>
            <w:vAlign w:val="center"/>
          </w:tcPr>
          <w:p w14:paraId="5C688891">
            <w:pPr>
              <w:spacing w:line="360" w:lineRule="auto"/>
              <w:jc w:val="center"/>
              <w:rPr>
                <w:rFonts w:hint="eastAsia" w:ascii="宋体" w:hAnsi="宋体" w:eastAsia="宋体" w:cs="Times New Roman"/>
                <w:szCs w:val="21"/>
              </w:rPr>
            </w:pPr>
          </w:p>
        </w:tc>
        <w:tc>
          <w:tcPr>
            <w:tcW w:w="1396" w:type="dxa"/>
            <w:vAlign w:val="center"/>
          </w:tcPr>
          <w:p w14:paraId="314C1A1D">
            <w:pPr>
              <w:spacing w:line="360" w:lineRule="auto"/>
              <w:jc w:val="center"/>
              <w:rPr>
                <w:rFonts w:hint="eastAsia" w:ascii="宋体" w:hAnsi="宋体" w:eastAsia="宋体" w:cs="Times New Roman"/>
                <w:szCs w:val="21"/>
              </w:rPr>
            </w:pPr>
            <w:r>
              <w:rPr>
                <w:rFonts w:ascii="Arial" w:hAnsi="Arial" w:eastAsia="宋体" w:cs="Arial"/>
                <w:szCs w:val="21"/>
              </w:rPr>
              <w:t>√</w:t>
            </w:r>
          </w:p>
        </w:tc>
        <w:tc>
          <w:tcPr>
            <w:tcW w:w="586" w:type="dxa"/>
            <w:vAlign w:val="center"/>
          </w:tcPr>
          <w:p w14:paraId="4F92928A">
            <w:pPr>
              <w:spacing w:line="360" w:lineRule="auto"/>
              <w:jc w:val="center"/>
              <w:rPr>
                <w:rFonts w:hint="eastAsia" w:ascii="宋体" w:hAnsi="宋体" w:eastAsia="宋体" w:cs="Times New Roman"/>
                <w:szCs w:val="21"/>
              </w:rPr>
            </w:pPr>
            <w:r>
              <w:rPr>
                <w:rFonts w:hint="eastAsia" w:ascii="宋体" w:hAnsi="宋体" w:eastAsia="宋体" w:cs="Times New Roman"/>
                <w:kern w:val="0"/>
                <w:szCs w:val="21"/>
              </w:rPr>
              <w:t>40%</w:t>
            </w:r>
          </w:p>
        </w:tc>
      </w:tr>
      <w:tr w14:paraId="3784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Align w:val="center"/>
          </w:tcPr>
          <w:p w14:paraId="117C0A4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446" w:type="dxa"/>
            <w:vAlign w:val="center"/>
          </w:tcPr>
          <w:p w14:paraId="5EA2E137">
            <w:pPr>
              <w:spacing w:line="360" w:lineRule="auto"/>
              <w:jc w:val="center"/>
              <w:rPr>
                <w:rFonts w:hint="eastAsia" w:ascii="宋体" w:hAnsi="宋体" w:eastAsia="宋体" w:cs="Times New Roman"/>
                <w:szCs w:val="21"/>
              </w:rPr>
            </w:pPr>
          </w:p>
        </w:tc>
        <w:tc>
          <w:tcPr>
            <w:tcW w:w="1113" w:type="dxa"/>
            <w:vAlign w:val="center"/>
          </w:tcPr>
          <w:p w14:paraId="29A6E741">
            <w:pPr>
              <w:spacing w:line="360" w:lineRule="auto"/>
              <w:jc w:val="center"/>
              <w:rPr>
                <w:rFonts w:hint="eastAsia" w:ascii="宋体" w:hAnsi="宋体" w:eastAsia="宋体" w:cs="Times New Roman"/>
                <w:szCs w:val="21"/>
              </w:rPr>
            </w:pPr>
          </w:p>
        </w:tc>
        <w:tc>
          <w:tcPr>
            <w:tcW w:w="944" w:type="dxa"/>
            <w:vAlign w:val="center"/>
          </w:tcPr>
          <w:p w14:paraId="03026E27">
            <w:pPr>
              <w:spacing w:line="360" w:lineRule="auto"/>
              <w:jc w:val="center"/>
              <w:rPr>
                <w:rFonts w:hint="eastAsia" w:ascii="宋体" w:hAnsi="宋体" w:eastAsia="宋体" w:cs="Times New Roman"/>
                <w:szCs w:val="21"/>
              </w:rPr>
            </w:pPr>
          </w:p>
        </w:tc>
        <w:tc>
          <w:tcPr>
            <w:tcW w:w="1091" w:type="dxa"/>
            <w:vAlign w:val="center"/>
          </w:tcPr>
          <w:p w14:paraId="0F4870DD">
            <w:pPr>
              <w:spacing w:line="360" w:lineRule="auto"/>
              <w:jc w:val="center"/>
              <w:rPr>
                <w:rFonts w:hint="eastAsia" w:ascii="宋体" w:hAnsi="宋体" w:eastAsia="宋体" w:cs="Times New Roman"/>
                <w:szCs w:val="21"/>
              </w:rPr>
            </w:pPr>
          </w:p>
        </w:tc>
        <w:tc>
          <w:tcPr>
            <w:tcW w:w="1109" w:type="dxa"/>
            <w:vAlign w:val="center"/>
          </w:tcPr>
          <w:p w14:paraId="691E8595">
            <w:pPr>
              <w:spacing w:line="360" w:lineRule="auto"/>
              <w:jc w:val="center"/>
              <w:rPr>
                <w:rFonts w:hint="eastAsia" w:ascii="宋体" w:hAnsi="宋体" w:eastAsia="宋体" w:cs="Times New Roman"/>
                <w:szCs w:val="21"/>
              </w:rPr>
            </w:pPr>
            <w:r>
              <w:rPr>
                <w:rFonts w:ascii="Arial" w:hAnsi="Arial" w:eastAsia="宋体" w:cs="Arial"/>
                <w:szCs w:val="21"/>
              </w:rPr>
              <w:t>√</w:t>
            </w:r>
          </w:p>
        </w:tc>
        <w:tc>
          <w:tcPr>
            <w:tcW w:w="1396" w:type="dxa"/>
            <w:vAlign w:val="center"/>
          </w:tcPr>
          <w:p w14:paraId="52F797EB">
            <w:pPr>
              <w:spacing w:line="360" w:lineRule="auto"/>
              <w:jc w:val="center"/>
              <w:rPr>
                <w:rFonts w:hint="eastAsia" w:ascii="宋体" w:hAnsi="宋体" w:eastAsia="宋体" w:cs="Times New Roman"/>
                <w:szCs w:val="21"/>
              </w:rPr>
            </w:pPr>
            <w:r>
              <w:rPr>
                <w:rFonts w:ascii="Arial" w:hAnsi="Arial" w:eastAsia="宋体" w:cs="Arial"/>
                <w:szCs w:val="21"/>
              </w:rPr>
              <w:t>√</w:t>
            </w:r>
          </w:p>
        </w:tc>
        <w:tc>
          <w:tcPr>
            <w:tcW w:w="586" w:type="dxa"/>
            <w:vAlign w:val="center"/>
          </w:tcPr>
          <w:p w14:paraId="7F8BF6B2">
            <w:pPr>
              <w:spacing w:line="360" w:lineRule="auto"/>
              <w:jc w:val="center"/>
              <w:rPr>
                <w:rFonts w:hint="eastAsia" w:ascii="宋体" w:hAnsi="宋体" w:eastAsia="宋体" w:cs="Times New Roman"/>
                <w:szCs w:val="21"/>
              </w:rPr>
            </w:pPr>
            <w:r>
              <w:rPr>
                <w:rFonts w:hint="eastAsia" w:ascii="宋体" w:hAnsi="宋体" w:eastAsia="宋体" w:cs="Times New Roman"/>
                <w:kern w:val="0"/>
                <w:szCs w:val="21"/>
              </w:rPr>
              <w:t>30%</w:t>
            </w:r>
          </w:p>
        </w:tc>
      </w:tr>
      <w:tr w14:paraId="55A9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Align w:val="center"/>
          </w:tcPr>
          <w:p w14:paraId="60E0CA1D">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446" w:type="dxa"/>
            <w:vAlign w:val="center"/>
          </w:tcPr>
          <w:p w14:paraId="2AB6A4C9">
            <w:pPr>
              <w:spacing w:line="360" w:lineRule="auto"/>
              <w:jc w:val="center"/>
              <w:rPr>
                <w:rFonts w:hint="eastAsia" w:ascii="宋体" w:hAnsi="宋体" w:eastAsia="宋体" w:cs="Times New Roman"/>
                <w:szCs w:val="21"/>
              </w:rPr>
            </w:pPr>
          </w:p>
        </w:tc>
        <w:tc>
          <w:tcPr>
            <w:tcW w:w="1113" w:type="dxa"/>
            <w:vAlign w:val="center"/>
          </w:tcPr>
          <w:p w14:paraId="3BDC7C3A">
            <w:pPr>
              <w:spacing w:line="360" w:lineRule="auto"/>
              <w:jc w:val="center"/>
              <w:rPr>
                <w:rFonts w:hint="eastAsia" w:ascii="宋体" w:hAnsi="宋体" w:eastAsia="宋体" w:cs="Times New Roman"/>
                <w:szCs w:val="21"/>
              </w:rPr>
            </w:pPr>
          </w:p>
        </w:tc>
        <w:tc>
          <w:tcPr>
            <w:tcW w:w="944" w:type="dxa"/>
            <w:vAlign w:val="center"/>
          </w:tcPr>
          <w:p w14:paraId="1496824F">
            <w:pPr>
              <w:spacing w:line="360" w:lineRule="auto"/>
              <w:jc w:val="center"/>
              <w:rPr>
                <w:rFonts w:hint="eastAsia" w:ascii="宋体" w:hAnsi="宋体" w:eastAsia="宋体" w:cs="Times New Roman"/>
                <w:szCs w:val="21"/>
              </w:rPr>
            </w:pPr>
          </w:p>
        </w:tc>
        <w:tc>
          <w:tcPr>
            <w:tcW w:w="1091" w:type="dxa"/>
            <w:vAlign w:val="center"/>
          </w:tcPr>
          <w:p w14:paraId="6D11BDE1">
            <w:pPr>
              <w:spacing w:line="360" w:lineRule="auto"/>
              <w:jc w:val="center"/>
              <w:rPr>
                <w:rFonts w:hint="eastAsia" w:ascii="宋体" w:hAnsi="宋体" w:eastAsia="宋体" w:cs="Times New Roman"/>
                <w:szCs w:val="21"/>
              </w:rPr>
            </w:pPr>
          </w:p>
        </w:tc>
        <w:tc>
          <w:tcPr>
            <w:tcW w:w="1109" w:type="dxa"/>
            <w:vAlign w:val="center"/>
          </w:tcPr>
          <w:p w14:paraId="5CAE4EE2">
            <w:pPr>
              <w:spacing w:line="360" w:lineRule="auto"/>
              <w:jc w:val="center"/>
              <w:rPr>
                <w:rFonts w:hint="eastAsia" w:ascii="宋体" w:hAnsi="宋体" w:eastAsia="宋体" w:cs="Times New Roman"/>
                <w:szCs w:val="21"/>
              </w:rPr>
            </w:pPr>
          </w:p>
        </w:tc>
        <w:tc>
          <w:tcPr>
            <w:tcW w:w="1396" w:type="dxa"/>
            <w:vAlign w:val="center"/>
          </w:tcPr>
          <w:p w14:paraId="26150E8B">
            <w:pPr>
              <w:spacing w:line="360" w:lineRule="auto"/>
              <w:jc w:val="center"/>
              <w:rPr>
                <w:rFonts w:hint="eastAsia" w:ascii="宋体" w:hAnsi="宋体" w:eastAsia="宋体" w:cs="Times New Roman"/>
                <w:szCs w:val="21"/>
              </w:rPr>
            </w:pPr>
          </w:p>
        </w:tc>
        <w:tc>
          <w:tcPr>
            <w:tcW w:w="586" w:type="dxa"/>
            <w:vAlign w:val="center"/>
          </w:tcPr>
          <w:p w14:paraId="10DBA731">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B804AED">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3C7626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316F07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6608"/>
        <w:gridCol w:w="706"/>
      </w:tblGrid>
      <w:tr w14:paraId="26B9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221315E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608" w:type="dxa"/>
            <w:vAlign w:val="center"/>
          </w:tcPr>
          <w:p w14:paraId="513B827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308769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C3C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460BCD3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观看教育类视频</w:t>
            </w:r>
          </w:p>
        </w:tc>
        <w:tc>
          <w:tcPr>
            <w:tcW w:w="6608" w:type="dxa"/>
            <w:vAlign w:val="center"/>
          </w:tcPr>
          <w:p w14:paraId="4DCCE2D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1.理解深度：能够准确理解视频资源所传达的教育理念、教学方法等核心内容，并进行深入分析。</w:t>
            </w:r>
          </w:p>
          <w:p w14:paraId="48282C5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2.结合实际：心得紧密结合自身认知实习经历或未来教育教学实践，阐述视频内容对自身的启发与应用价值。</w:t>
            </w:r>
          </w:p>
          <w:p w14:paraId="483A3A0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3.思考与感悟：有独立的思考与感悟，能够对视频中的观点提出自己的见解或疑问，并进行一定的反思。</w:t>
            </w:r>
          </w:p>
          <w:p w14:paraId="7CD12DB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4.文字表达：语言通顺、表达清晰，无明显语病和错别字。</w:t>
            </w:r>
          </w:p>
        </w:tc>
        <w:tc>
          <w:tcPr>
            <w:tcW w:w="0" w:type="auto"/>
            <w:vAlign w:val="center"/>
          </w:tcPr>
          <w:p w14:paraId="7FD43D31">
            <w:pPr>
              <w:jc w:val="center"/>
              <w:rPr>
                <w:rFonts w:ascii="Times New Roman" w:hAnsi="Times New Roman" w:eastAsia="宋体" w:cs="Times New Roman"/>
                <w:szCs w:val="21"/>
              </w:rPr>
            </w:pPr>
            <w:r>
              <w:rPr>
                <w:rFonts w:hint="eastAsia" w:ascii="宋体" w:hAnsi="宋体" w:eastAsia="宋体" w:cs="Times New Roman"/>
                <w:sz w:val="24"/>
              </w:rPr>
              <w:t>10%</w:t>
            </w:r>
          </w:p>
        </w:tc>
      </w:tr>
      <w:tr w14:paraId="47DC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055975B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钢笔字书写</w:t>
            </w:r>
          </w:p>
        </w:tc>
        <w:tc>
          <w:tcPr>
            <w:tcW w:w="6608" w:type="dxa"/>
            <w:vAlign w:val="center"/>
          </w:tcPr>
          <w:p w14:paraId="54053715">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1.书写规范：笔画清晰、笔顺正确，字体结构合理，无错别字、潦草字。符合汉字书写规范要求。</w:t>
            </w:r>
          </w:p>
          <w:p w14:paraId="671EFF6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2.整体美观：行列整齐，字间距、行间距适中，页面整洁，整体视觉效果舒适。</w:t>
            </w:r>
          </w:p>
          <w:p w14:paraId="2B3956B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3.书写速度：在规定时间内完成规定字数，书写速度适中，不影响书写质量。</w:t>
            </w:r>
          </w:p>
          <w:p w14:paraId="51C119E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4.书写风格：字体风格统一，有一定的个性与艺术性，能够展现对书法美感的基本把握。</w:t>
            </w:r>
          </w:p>
        </w:tc>
        <w:tc>
          <w:tcPr>
            <w:tcW w:w="0" w:type="auto"/>
            <w:vAlign w:val="center"/>
          </w:tcPr>
          <w:p w14:paraId="780A8D53">
            <w:pPr>
              <w:jc w:val="center"/>
              <w:rPr>
                <w:rFonts w:ascii="Times New Roman" w:hAnsi="Times New Roman" w:eastAsia="宋体" w:cs="Times New Roman"/>
                <w:szCs w:val="21"/>
              </w:rPr>
            </w:pPr>
            <w:r>
              <w:rPr>
                <w:rFonts w:hint="eastAsia" w:ascii="宋体" w:hAnsi="宋体" w:eastAsia="宋体" w:cs="Times New Roman"/>
                <w:sz w:val="24"/>
              </w:rPr>
              <w:t>20</w:t>
            </w:r>
            <w:r>
              <w:rPr>
                <w:rFonts w:ascii="宋体" w:hAnsi="宋体" w:eastAsia="宋体" w:cs="Times New Roman"/>
                <w:sz w:val="24"/>
              </w:rPr>
              <w:t>%</w:t>
            </w:r>
          </w:p>
        </w:tc>
      </w:tr>
      <w:tr w14:paraId="2788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74E735F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粉笔字书写</w:t>
            </w:r>
          </w:p>
        </w:tc>
        <w:tc>
          <w:tcPr>
            <w:tcW w:w="6608" w:type="dxa"/>
            <w:vAlign w:val="center"/>
          </w:tcPr>
          <w:p w14:paraId="650F680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1.笔画与结构：粉笔字笔画起止分明、粗细得当，在黑板上能够清晰呈现。字体结构严谨、重心平稳，每个字的间架结构合理。</w:t>
            </w:r>
          </w:p>
          <w:p w14:paraId="1B16C01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2.书写力度与流畅性： 书写时力度均匀，线条流畅自然，无明显断点或颤抖痕迹。</w:t>
            </w:r>
          </w:p>
          <w:p w14:paraId="52D318C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3.板面布局：在黑板规定区域内书写，排版整齐，字的大小适中、行列整齐。</w:t>
            </w:r>
          </w:p>
          <w:p w14:paraId="07697005">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4.书写熟练程度：能够较为熟练地在黑板上书写，无需频繁停顿思考笔画或结构。</w:t>
            </w:r>
          </w:p>
        </w:tc>
        <w:tc>
          <w:tcPr>
            <w:tcW w:w="0" w:type="auto"/>
            <w:vAlign w:val="center"/>
          </w:tcPr>
          <w:p w14:paraId="72FB235D">
            <w:pPr>
              <w:jc w:val="center"/>
              <w:rPr>
                <w:rFonts w:ascii="Times New Roman" w:hAnsi="Times New Roman" w:eastAsia="宋体" w:cs="Times New Roman"/>
                <w:szCs w:val="21"/>
              </w:rPr>
            </w:pPr>
            <w:r>
              <w:rPr>
                <w:rFonts w:hint="eastAsia" w:ascii="宋体" w:hAnsi="宋体" w:eastAsia="宋体" w:cs="Times New Roman"/>
                <w:sz w:val="24"/>
              </w:rPr>
              <w:t>20</w:t>
            </w:r>
            <w:r>
              <w:rPr>
                <w:rFonts w:ascii="宋体" w:hAnsi="宋体" w:eastAsia="宋体" w:cs="Times New Roman"/>
                <w:sz w:val="24"/>
              </w:rPr>
              <w:t>%</w:t>
            </w:r>
          </w:p>
        </w:tc>
      </w:tr>
      <w:tr w14:paraId="1147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404D0BB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主题演讲</w:t>
            </w:r>
          </w:p>
        </w:tc>
        <w:tc>
          <w:tcPr>
            <w:tcW w:w="6608" w:type="dxa"/>
            <w:vAlign w:val="center"/>
          </w:tcPr>
          <w:p w14:paraId="66C7B42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1.主题明确：演讲主题清晰突出，能够准确概括演讲核心内容，不偏离教育相关主题范围。</w:t>
            </w:r>
          </w:p>
          <w:p w14:paraId="16568D3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2.逻辑结构：提纲具有清晰的逻辑层次，开场、主体内容和结尾各部分衔接自然，论点与论据合理搭配，能够有条理地展开论述。</w:t>
            </w:r>
          </w:p>
          <w:p w14:paraId="1173488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3.内容完整性：涵盖演讲所需的关键要素，如主要观点、支撑事例、数据等，内容丰富完整，能够支撑起整个演讲的架构。</w:t>
            </w:r>
          </w:p>
          <w:p w14:paraId="0EB3021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4.创新性： 在观点或论述方式上有一定的创新性，能够展现对主题独特的思考与见解。</w:t>
            </w:r>
          </w:p>
        </w:tc>
        <w:tc>
          <w:tcPr>
            <w:tcW w:w="0" w:type="auto"/>
            <w:vAlign w:val="center"/>
          </w:tcPr>
          <w:p w14:paraId="04642764">
            <w:pPr>
              <w:jc w:val="center"/>
              <w:rPr>
                <w:rFonts w:ascii="Times New Roman" w:hAnsi="Times New Roman" w:eastAsia="宋体" w:cs="Times New Roman"/>
                <w:szCs w:val="21"/>
              </w:rPr>
            </w:pPr>
          </w:p>
        </w:tc>
      </w:tr>
      <w:tr w14:paraId="1374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0E1791B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专题讲座笔记</w:t>
            </w:r>
          </w:p>
        </w:tc>
        <w:tc>
          <w:tcPr>
            <w:tcW w:w="6608" w:type="dxa"/>
            <w:vAlign w:val="center"/>
          </w:tcPr>
          <w:p w14:paraId="393D346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讲座笔记记录完整、层次清晰、页面整洁、有反思或心得。</w:t>
            </w:r>
          </w:p>
        </w:tc>
        <w:tc>
          <w:tcPr>
            <w:tcW w:w="0" w:type="auto"/>
            <w:vAlign w:val="center"/>
          </w:tcPr>
          <w:p w14:paraId="7C102BFB">
            <w:pPr>
              <w:jc w:val="center"/>
              <w:rPr>
                <w:rFonts w:ascii="Times New Roman" w:hAnsi="Times New Roman" w:eastAsia="宋体" w:cs="Times New Roman"/>
                <w:szCs w:val="21"/>
              </w:rPr>
            </w:pPr>
            <w:r>
              <w:rPr>
                <w:rFonts w:hint="eastAsia" w:ascii="宋体" w:hAnsi="宋体" w:eastAsia="宋体" w:cs="Times New Roman"/>
                <w:sz w:val="24"/>
              </w:rPr>
              <w:t>15</w:t>
            </w:r>
            <w:r>
              <w:rPr>
                <w:rFonts w:ascii="宋体" w:hAnsi="宋体" w:eastAsia="宋体" w:cs="Times New Roman"/>
                <w:sz w:val="24"/>
              </w:rPr>
              <w:t>%</w:t>
            </w:r>
          </w:p>
        </w:tc>
      </w:tr>
      <w:tr w14:paraId="5BB0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6B82C7A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认知实习日记和总结</w:t>
            </w:r>
          </w:p>
        </w:tc>
        <w:tc>
          <w:tcPr>
            <w:tcW w:w="6608" w:type="dxa"/>
            <w:vAlign w:val="center"/>
          </w:tcPr>
          <w:p w14:paraId="13313A5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1.记录完整性：每天如实记录实习过程中的重要事件、活动、观察与思考，内容完整无明显遗漏。</w:t>
            </w:r>
          </w:p>
          <w:p w14:paraId="6296EC3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2.细节与感悟：对实习细节有详细描述，包括实习场景、人物互动等，并能在记录过程中融入自己的感悟、收获与疑问，展现出对实习经历的深度体验与思考。</w:t>
            </w:r>
          </w:p>
          <w:p w14:paraId="52F031E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3.书写规范：文字书写规范、工整，格式统一。</w:t>
            </w:r>
          </w:p>
          <w:p w14:paraId="63B7286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4.全面性：总结涵盖整个认知实习过程的各个方面，包括实习内容、收获体会、自我反思以及对未来学习和职业发展的影响等，内容全面系统。</w:t>
            </w:r>
          </w:p>
          <w:p w14:paraId="0497090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5.语言表达：语言流畅、条理清晰，能够准确传达总结意图，无明显语病和错别字。</w:t>
            </w:r>
          </w:p>
        </w:tc>
        <w:tc>
          <w:tcPr>
            <w:tcW w:w="0" w:type="auto"/>
            <w:vAlign w:val="center"/>
          </w:tcPr>
          <w:p w14:paraId="31426886">
            <w:pPr>
              <w:jc w:val="center"/>
              <w:rPr>
                <w:rFonts w:ascii="Times New Roman" w:hAnsi="Times New Roman" w:eastAsia="宋体" w:cs="Times New Roman"/>
                <w:szCs w:val="21"/>
              </w:rPr>
            </w:pPr>
            <w:r>
              <w:rPr>
                <w:rFonts w:hint="eastAsia" w:ascii="宋体" w:hAnsi="宋体" w:eastAsia="宋体" w:cs="Times New Roman"/>
                <w:sz w:val="24"/>
              </w:rPr>
              <w:t>15%</w:t>
            </w:r>
          </w:p>
        </w:tc>
      </w:tr>
      <w:tr w14:paraId="340B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08" w:type="dxa"/>
            <w:vAlign w:val="center"/>
          </w:tcPr>
          <w:p w14:paraId="255F7D9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608" w:type="dxa"/>
            <w:vAlign w:val="center"/>
          </w:tcPr>
          <w:p w14:paraId="5B6249F8">
            <w:pPr>
              <w:jc w:val="left"/>
              <w:rPr>
                <w:rFonts w:ascii="Times New Roman" w:hAnsi="Times New Roman" w:eastAsia="宋体" w:cs="Times New Roman"/>
                <w:szCs w:val="21"/>
              </w:rPr>
            </w:pPr>
          </w:p>
        </w:tc>
        <w:tc>
          <w:tcPr>
            <w:tcW w:w="0" w:type="auto"/>
            <w:vAlign w:val="center"/>
          </w:tcPr>
          <w:p w14:paraId="64BCA4CE">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29762DB">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4B82BB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8713816">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77"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77" DrawAspect="Content" ObjectID="_1468075777" r:id="rId63">
            <o:LockedField>false</o:LockedField>
          </o:OLEObject>
        </w:object>
      </w:r>
    </w:p>
    <w:p w14:paraId="0A81778A">
      <w:pPr>
        <w:spacing w:line="360" w:lineRule="auto"/>
        <w:ind w:firstLine="241" w:firstLineChars="100"/>
        <w:jc w:val="left"/>
        <w:rPr>
          <w:rFonts w:ascii="Times New Roman" w:hAnsi="Times New Roman" w:eastAsia="宋体" w:cs="Times New Roman"/>
          <w:b/>
          <w:bCs/>
          <w:sz w:val="24"/>
        </w:rPr>
      </w:pPr>
      <w:r>
        <w:rPr>
          <w:rFonts w:hint="eastAsia" w:ascii="宋体" w:hAnsi="宋体" w:eastAsia="宋体" w:cs="Times New Roman"/>
          <w:b/>
          <w:color w:val="000000"/>
          <w:sz w:val="24"/>
        </w:rPr>
        <w:t>五、有关说明</w:t>
      </w:r>
    </w:p>
    <w:p w14:paraId="23D3B0EB">
      <w:pPr>
        <w:spacing w:line="360" w:lineRule="auto"/>
        <w:ind w:firstLine="211" w:firstLineChars="1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B36DB4D">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 提倡改革教学方法，强调应用现代化教学手段，如课件、互联网教学和网络答疑。</w:t>
      </w:r>
    </w:p>
    <w:p w14:paraId="5287C7BA">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合理安排课时，加强小组讨论等旨在督促学生自主学习的教学环节</w:t>
      </w:r>
      <w:r>
        <w:rPr>
          <w:rFonts w:hint="eastAsia" w:ascii="Times New Roman" w:hAnsi="Times New Roman" w:eastAsia="宋体" w:cs="Times New Roman"/>
          <w:sz w:val="24"/>
        </w:rPr>
        <w:t>，完成理论学习。有条件情况下到小学</w:t>
      </w:r>
      <w:r>
        <w:rPr>
          <w:rFonts w:ascii="Times New Roman" w:hAnsi="Times New Roman" w:eastAsia="宋体" w:cs="Times New Roman"/>
          <w:sz w:val="24"/>
        </w:rPr>
        <w:t>观摩语文教学</w:t>
      </w:r>
      <w:r>
        <w:rPr>
          <w:rFonts w:hint="eastAsia" w:ascii="Times New Roman" w:hAnsi="Times New Roman" w:eastAsia="宋体" w:cs="Times New Roman"/>
          <w:sz w:val="24"/>
        </w:rPr>
        <w:t>，进行现场教学</w:t>
      </w:r>
      <w:r>
        <w:rPr>
          <w:rFonts w:ascii="Times New Roman" w:hAnsi="Times New Roman" w:eastAsia="宋体" w:cs="Times New Roman"/>
          <w:sz w:val="24"/>
        </w:rPr>
        <w:t>。</w:t>
      </w:r>
    </w:p>
    <w:p w14:paraId="3E061199">
      <w:pPr>
        <w:spacing w:line="360" w:lineRule="auto"/>
        <w:ind w:firstLine="480" w:firstLineChars="200"/>
        <w:rPr>
          <w:rFonts w:hint="eastAsia" w:ascii="宋体" w:hAnsi="宋体"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实习</w:t>
      </w:r>
      <w:r>
        <w:rPr>
          <w:rFonts w:ascii="Times New Roman" w:hAnsi="Times New Roman" w:eastAsia="宋体" w:cs="Times New Roman"/>
          <w:sz w:val="24"/>
        </w:rPr>
        <w:t>内容密切联系</w:t>
      </w:r>
      <w:r>
        <w:rPr>
          <w:rFonts w:hint="eastAsia" w:ascii="Times New Roman" w:hAnsi="Times New Roman" w:eastAsia="宋体" w:cs="Times New Roman"/>
          <w:sz w:val="24"/>
        </w:rPr>
        <w:t>当前</w:t>
      </w:r>
      <w:r>
        <w:rPr>
          <w:rFonts w:ascii="Times New Roman" w:hAnsi="Times New Roman" w:eastAsia="宋体" w:cs="Times New Roman"/>
          <w:sz w:val="24"/>
        </w:rPr>
        <w:t>的社会热点。</w:t>
      </w:r>
    </w:p>
    <w:p w14:paraId="09DDEB0F">
      <w:pPr>
        <w:spacing w:line="360" w:lineRule="auto"/>
        <w:jc w:val="left"/>
        <w:rPr>
          <w:rFonts w:ascii="Times New Roman" w:hAnsi="Times New Roman" w:eastAsia="宋体" w:cs="Times New Roman"/>
          <w:b/>
          <w:szCs w:val="21"/>
        </w:rPr>
      </w:pPr>
    </w:p>
    <w:p w14:paraId="218F5513">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（二）参考资源</w:t>
      </w:r>
    </w:p>
    <w:p w14:paraId="12BF7D57">
      <w:pPr>
        <w:jc w:val="left"/>
        <w:rPr>
          <w:rFonts w:ascii="Times New Roman" w:hAnsi="Times New Roman" w:cs="Times New Roman"/>
        </w:rPr>
      </w:pPr>
      <w:r>
        <w:rPr>
          <w:rFonts w:hint="eastAsia"/>
        </w:rPr>
        <w:t xml:space="preserve">     </w:t>
      </w:r>
      <w:r>
        <w:rPr>
          <w:rFonts w:hint="eastAsia" w:ascii="Times New Roman" w:hAnsi="Times New Roman" w:eastAsia="宋体" w:cs="Times New Roman"/>
          <w:sz w:val="24"/>
        </w:rPr>
        <w:t>1.《放牛班的春天》</w:t>
      </w:r>
      <w:r>
        <w:rPr>
          <w:rFonts w:ascii="Times New Roman" w:hAnsi="Times New Roman" w:cs="Times New Roman"/>
        </w:rPr>
        <w:t>https://www.bilibili.com/video/BV1rZ421M7QS/?spm_id_from=333.337.search-card.all.click</w:t>
      </w:r>
    </w:p>
    <w:p w14:paraId="5738385D">
      <w:pPr>
        <w:jc w:val="left"/>
        <w:rPr>
          <w:rFonts w:ascii="Times New Roman" w:hAnsi="Times New Roman" w:eastAsia="宋体" w:cs="Times New Roman"/>
          <w:sz w:val="24"/>
        </w:rPr>
      </w:pPr>
      <w:r>
        <w:rPr>
          <w:rFonts w:hint="eastAsia" w:ascii="Times New Roman" w:hAnsi="Times New Roman" w:cs="Times New Roman"/>
        </w:rPr>
        <w:t xml:space="preserve">     </w:t>
      </w:r>
      <w:r>
        <w:rPr>
          <w:rFonts w:hint="eastAsia" w:ascii="Times New Roman" w:hAnsi="Times New Roman" w:eastAsia="宋体" w:cs="Times New Roman"/>
          <w:sz w:val="24"/>
        </w:rPr>
        <w:t>2.《</w:t>
      </w:r>
      <w:r>
        <w:rPr>
          <w:rFonts w:ascii="Times New Roman" w:hAnsi="Times New Roman" w:eastAsia="宋体" w:cs="Times New Roman"/>
          <w:sz w:val="24"/>
        </w:rPr>
        <w:t>风雨哈佛路</w:t>
      </w:r>
      <w:r>
        <w:rPr>
          <w:rFonts w:hint="eastAsia" w:ascii="Times New Roman" w:hAnsi="Times New Roman" w:eastAsia="宋体" w:cs="Times New Roman"/>
          <w:sz w:val="24"/>
        </w:rPr>
        <w:t>》</w:t>
      </w:r>
    </w:p>
    <w:p w14:paraId="22D725BF">
      <w:pPr>
        <w:jc w:val="left"/>
        <w:rPr>
          <w:rFonts w:ascii="Times New Roman" w:hAnsi="Times New Roman" w:cs="Times New Roman"/>
        </w:rPr>
      </w:pPr>
      <w:r>
        <w:rPr>
          <w:rFonts w:hint="eastAsia" w:ascii="Times New Roman" w:hAnsi="Times New Roman" w:cs="Times New Roman"/>
        </w:rPr>
        <w:t>https://www.bilibili.com/video/BV1w7yWYRESs/?spm_id_from=333.337.search-card.all.click</w:t>
      </w:r>
    </w:p>
    <w:p w14:paraId="32CFE1AF">
      <w:pPr>
        <w:jc w:val="left"/>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eastAsia="宋体" w:cs="Times New Roman"/>
          <w:sz w:val="24"/>
        </w:rPr>
        <w:t>3.《美丽的大脚》</w:t>
      </w:r>
    </w:p>
    <w:p w14:paraId="6C11D37C">
      <w:pPr>
        <w:jc w:val="left"/>
        <w:rPr>
          <w:rFonts w:ascii="Times New Roman" w:hAnsi="Times New Roman" w:cs="Times New Roman"/>
        </w:rPr>
      </w:pPr>
      <w:r>
        <w:rPr>
          <w:rFonts w:hint="eastAsia" w:ascii="Times New Roman" w:hAnsi="Times New Roman" w:cs="Times New Roman"/>
        </w:rPr>
        <w:t>https://www.bilibili.com/video/BV1Zu4y1z7DN/?spm_id_from=333.337.search-card.all.click</w:t>
      </w:r>
    </w:p>
    <w:p w14:paraId="02EB1EE2">
      <w:pPr>
        <w:ind w:left="525"/>
        <w:jc w:val="left"/>
        <w:rPr>
          <w:rFonts w:ascii="Times New Roman" w:hAnsi="Times New Roman" w:cs="Times New Roman"/>
        </w:rPr>
      </w:pPr>
      <w:r>
        <w:rPr>
          <w:rFonts w:hint="eastAsia" w:ascii="Times New Roman" w:hAnsi="Times New Roman" w:cs="Times New Roman"/>
          <w:szCs w:val="22"/>
        </w:rPr>
        <w:t>4.</w:t>
      </w:r>
      <w:r>
        <w:rPr>
          <w:rFonts w:hint="eastAsia" w:ascii="Times New Roman" w:hAnsi="Times New Roman" w:cs="Times New Roman"/>
        </w:rPr>
        <w:t>《一个都不能少》</w:t>
      </w:r>
    </w:p>
    <w:p w14:paraId="110C67B2">
      <w:pPr>
        <w:jc w:val="left"/>
        <w:rPr>
          <w:rFonts w:ascii="Times New Roman" w:hAnsi="Times New Roman" w:cs="Times New Roman"/>
        </w:rPr>
      </w:pPr>
      <w:r>
        <w:rPr>
          <w:rFonts w:ascii="Times New Roman" w:hAnsi="Times New Roman" w:cs="Times New Roman"/>
        </w:rPr>
        <w:t>https://www.bilibili.com/video/BV1mo4y1S74L/?spm_id_from=333.337.search-card.all.click</w:t>
      </w:r>
    </w:p>
    <w:p w14:paraId="23F2D5DC">
      <w:pPr>
        <w:ind w:left="525"/>
        <w:jc w:val="left"/>
        <w:rPr>
          <w:rFonts w:ascii="Times New Roman" w:hAnsi="Times New Roman" w:cs="Times New Roman"/>
        </w:rPr>
      </w:pPr>
      <w:r>
        <w:rPr>
          <w:rFonts w:hint="eastAsia" w:ascii="Times New Roman" w:hAnsi="Times New Roman" w:cs="Times New Roman"/>
          <w:szCs w:val="22"/>
        </w:rPr>
        <w:t>5.</w:t>
      </w:r>
      <w:r>
        <w:rPr>
          <w:rFonts w:hint="eastAsia" w:ascii="Times New Roman" w:hAnsi="Times New Roman" w:cs="Times New Roman"/>
        </w:rPr>
        <w:t>《大先生——中国教育名家列传》</w:t>
      </w:r>
    </w:p>
    <w:p w14:paraId="36031A43">
      <w:pPr>
        <w:jc w:val="left"/>
        <w:rPr>
          <w:rFonts w:ascii="Times New Roman" w:hAnsi="Times New Roman" w:cs="Times New Roman"/>
        </w:rPr>
      </w:pPr>
      <w:r>
        <w:rPr>
          <w:rFonts w:ascii="Times New Roman" w:hAnsi="Times New Roman" w:cs="Times New Roman"/>
        </w:rPr>
        <w:t>https://tv.cctv.com/2024/09/02/VIDAGbvf42qxA4rNvKWdHujS240902.shtml</w:t>
      </w:r>
    </w:p>
    <w:p w14:paraId="30133ECD">
      <w:pPr>
        <w:ind w:left="5880" w:firstLine="420"/>
        <w:rPr>
          <w:rFonts w:hint="eastAsia" w:ascii="宋体" w:hAnsi="宋体" w:eastAsia="宋体" w:cs="宋体"/>
        </w:rPr>
      </w:pPr>
    </w:p>
    <w:p w14:paraId="6D5D1CBB">
      <w:pPr>
        <w:ind w:firstLine="5280" w:firstLineChars="2200"/>
        <w:rPr>
          <w:rFonts w:hint="eastAsia" w:ascii="宋体" w:hAnsi="宋体" w:eastAsia="宋体" w:cs="宋体"/>
          <w:sz w:val="24"/>
        </w:rPr>
      </w:pPr>
      <w:r>
        <w:rPr>
          <w:rFonts w:hint="eastAsia" w:ascii="宋体" w:hAnsi="宋体" w:eastAsia="宋体" w:cs="宋体"/>
          <w:sz w:val="24"/>
        </w:rPr>
        <w:t>执 笔 人：周冬梅</w:t>
      </w:r>
    </w:p>
    <w:p w14:paraId="28241F1B">
      <w:pPr>
        <w:ind w:firstLine="5280" w:firstLineChars="2200"/>
        <w:rPr>
          <w:rFonts w:hint="eastAsia" w:ascii="宋体" w:hAnsi="宋体" w:eastAsia="宋体" w:cs="宋体"/>
          <w:sz w:val="24"/>
        </w:rPr>
      </w:pPr>
      <w:r>
        <w:rPr>
          <w:rFonts w:hint="eastAsia" w:ascii="宋体" w:hAnsi="宋体" w:eastAsia="宋体" w:cs="宋体"/>
          <w:sz w:val="24"/>
        </w:rPr>
        <w:t>审 定 人：王健</w:t>
      </w:r>
    </w:p>
    <w:p w14:paraId="0CCA1B50">
      <w:pPr>
        <w:ind w:firstLine="5280" w:firstLineChars="2200"/>
        <w:rPr>
          <w:rFonts w:hint="eastAsia" w:ascii="宋体" w:hAnsi="宋体" w:eastAsia="宋体" w:cs="宋体"/>
          <w:sz w:val="24"/>
        </w:rPr>
      </w:pPr>
      <w:r>
        <w:rPr>
          <w:rFonts w:hint="eastAsia" w:ascii="宋体" w:hAnsi="宋体" w:eastAsia="宋体" w:cs="宋体"/>
          <w:sz w:val="24"/>
        </w:rPr>
        <w:t>审 批 人：张志欣</w:t>
      </w:r>
    </w:p>
    <w:p w14:paraId="408690FF">
      <w:pPr>
        <w:ind w:firstLine="5280" w:firstLineChars="2200"/>
        <w:rPr>
          <w:rFonts w:hint="eastAsia" w:ascii="宋体" w:hAnsi="宋体" w:eastAsia="宋体" w:cs="宋体"/>
          <w:sz w:val="24"/>
        </w:rPr>
      </w:pPr>
      <w:r>
        <w:rPr>
          <w:rFonts w:hint="eastAsia" w:ascii="宋体" w:hAnsi="宋体" w:eastAsia="宋体" w:cs="宋体"/>
          <w:sz w:val="24"/>
        </w:rPr>
        <w:t>批准时间： 2024年 9月1 日</w:t>
      </w:r>
    </w:p>
    <w:p w14:paraId="057564AD">
      <w:pPr>
        <w:rPr>
          <w:rFonts w:hint="eastAsia" w:ascii="等线" w:hAnsi="等线" w:eastAsia="等线" w:cs="等线"/>
          <w:b/>
          <w:bCs/>
          <w:sz w:val="44"/>
          <w:szCs w:val="44"/>
        </w:rPr>
      </w:pPr>
      <w:r>
        <w:rPr>
          <w:rFonts w:hint="eastAsia" w:ascii="等线" w:hAnsi="等线" w:eastAsia="等线" w:cs="等线"/>
          <w:b/>
          <w:bCs/>
          <w:sz w:val="44"/>
          <w:szCs w:val="44"/>
        </w:rPr>
        <w:br w:type="page"/>
      </w:r>
    </w:p>
    <w:p w14:paraId="03A3F2C1">
      <w:pPr>
        <w:pStyle w:val="2"/>
        <w:tabs>
          <w:tab w:val="left" w:pos="720"/>
          <w:tab w:val="left" w:pos="2700"/>
        </w:tabs>
      </w:pPr>
      <w:bookmarkStart w:id="283" w:name="_Toc12184"/>
      <w:bookmarkStart w:id="284" w:name="_Toc57017207"/>
      <w:bookmarkStart w:id="285" w:name="_Toc26705"/>
      <w:bookmarkStart w:id="286" w:name="_Toc57017208"/>
      <w:r>
        <w:rPr>
          <w:rFonts w:hint="eastAsia"/>
        </w:rPr>
        <w:t>《教育见习I》课程</w:t>
      </w:r>
      <w:r>
        <w:t>教学大纲</w:t>
      </w:r>
      <w:bookmarkEnd w:id="283"/>
      <w:bookmarkEnd w:id="284"/>
      <w:bookmarkEnd w:id="285"/>
    </w:p>
    <w:p w14:paraId="43A4888A">
      <w:pPr>
        <w:spacing w:line="360" w:lineRule="auto"/>
        <w:jc w:val="center"/>
        <w:rPr>
          <w:rFonts w:ascii="Times New Roman" w:hAnsi="Times New Roman" w:eastAsia="宋体" w:cs="Times New Roman"/>
          <w:b/>
          <w:sz w:val="28"/>
          <w:szCs w:val="28"/>
        </w:rPr>
      </w:pPr>
      <w:bookmarkStart w:id="287" w:name="_Toc27847454"/>
      <w:r>
        <w:rPr>
          <w:rFonts w:ascii="Times New Roman" w:hAnsi="Times New Roman" w:eastAsia="宋体" w:cs="Times New Roman"/>
          <w:b/>
          <w:bCs/>
          <w:sz w:val="28"/>
          <w:szCs w:val="28"/>
        </w:rPr>
        <w:t>（</w:t>
      </w:r>
      <w:r>
        <w:rPr>
          <w:rFonts w:ascii="Times New Roman" w:hAnsi="Times New Roman" w:eastAsia="黑体" w:cs="Times New Roman"/>
          <w:b/>
          <w:bCs/>
          <w:sz w:val="28"/>
          <w:szCs w:val="28"/>
        </w:rPr>
        <w:t>Educational Probation I</w:t>
      </w:r>
      <w:r>
        <w:rPr>
          <w:rFonts w:ascii="Times New Roman" w:hAnsi="Times New Roman" w:eastAsia="宋体" w:cs="Times New Roman"/>
          <w:b/>
          <w:bCs/>
          <w:sz w:val="28"/>
          <w:szCs w:val="28"/>
        </w:rPr>
        <w:t>）</w:t>
      </w:r>
      <w:bookmarkEnd w:id="287"/>
    </w:p>
    <w:p w14:paraId="1A16F957">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课程名称：教育见习</w:t>
      </w:r>
      <w:r>
        <w:rPr>
          <w:rFonts w:ascii="宋体" w:hAnsi="宋体" w:eastAsia="宋体" w:cs="Times New Roman"/>
          <w:b/>
          <w:color w:val="000000"/>
          <w:sz w:val="24"/>
        </w:rPr>
        <w:t>I</w:t>
      </w:r>
    </w:p>
    <w:p w14:paraId="7E6844F6">
      <w:pPr>
        <w:spacing w:line="360" w:lineRule="auto"/>
        <w:ind w:firstLine="482" w:firstLineChars="200"/>
        <w:rPr>
          <w:rFonts w:ascii="宋体" w:hAnsi="Times New Roman" w:eastAsia="宋体" w:cs="Times New Roman"/>
          <w:b/>
          <w:color w:val="000000"/>
          <w:sz w:val="24"/>
        </w:rPr>
      </w:pPr>
      <w:r>
        <w:rPr>
          <w:rFonts w:hint="eastAsia" w:ascii="宋体" w:hAnsi="宋体" w:eastAsia="宋体" w:cs="Times New Roman"/>
          <w:b/>
          <w:bCs/>
          <w:color w:val="000000"/>
          <w:kern w:val="0"/>
          <w:sz w:val="24"/>
        </w:rPr>
        <w:t>课程代码</w:t>
      </w:r>
      <w:r>
        <w:rPr>
          <w:rFonts w:hint="eastAsia" w:ascii="宋体" w:hAnsi="宋体" w:eastAsia="宋体" w:cs="Times New Roman"/>
          <w:b/>
          <w:color w:val="000000"/>
          <w:kern w:val="0"/>
          <w:sz w:val="24"/>
        </w:rPr>
        <w:t>：2401046</w:t>
      </w:r>
    </w:p>
    <w:p w14:paraId="012A80B7">
      <w:pPr>
        <w:spacing w:line="360" w:lineRule="auto"/>
        <w:ind w:firstLine="482" w:firstLineChars="200"/>
        <w:rPr>
          <w:rFonts w:hint="eastAsia" w:ascii="宋体" w:hAnsi="宋体" w:eastAsia="宋体" w:cs="Times New Roman"/>
          <w:color w:val="000000"/>
          <w:kern w:val="0"/>
          <w:sz w:val="24"/>
        </w:rPr>
      </w:pPr>
      <w:r>
        <w:rPr>
          <w:rFonts w:hint="eastAsia" w:ascii="宋体" w:hAnsi="宋体" w:eastAsia="宋体" w:cs="Times New Roman"/>
          <w:b/>
          <w:bCs/>
          <w:color w:val="000000"/>
          <w:kern w:val="0"/>
          <w:sz w:val="24"/>
        </w:rPr>
        <w:t>学</w:t>
      </w:r>
      <w:r>
        <w:rPr>
          <w:rFonts w:ascii="宋体" w:hAnsi="宋体" w:eastAsia="宋体" w:cs="Times New Roman"/>
          <w:b/>
          <w:bCs/>
          <w:color w:val="000000"/>
          <w:kern w:val="0"/>
          <w:sz w:val="24"/>
        </w:rPr>
        <w:t xml:space="preserve">    </w:t>
      </w:r>
      <w:r>
        <w:rPr>
          <w:rFonts w:hint="eastAsia" w:ascii="宋体" w:hAnsi="宋体" w:eastAsia="宋体" w:cs="Times New Roman"/>
          <w:b/>
          <w:bCs/>
          <w:color w:val="000000"/>
          <w:kern w:val="0"/>
          <w:sz w:val="24"/>
        </w:rPr>
        <w:t>分：</w:t>
      </w:r>
      <w:r>
        <w:rPr>
          <w:rFonts w:hint="eastAsia" w:ascii="宋体" w:hAnsi="宋体" w:eastAsia="宋体" w:cs="Times New Roman"/>
          <w:b/>
          <w:color w:val="000000"/>
          <w:kern w:val="0"/>
          <w:sz w:val="24"/>
        </w:rPr>
        <w:t>1</w:t>
      </w:r>
    </w:p>
    <w:p w14:paraId="56989CF5">
      <w:pPr>
        <w:spacing w:line="360" w:lineRule="auto"/>
        <w:ind w:firstLine="482" w:firstLineChars="200"/>
        <w:rPr>
          <w:rFonts w:ascii="宋体" w:hAnsi="Times New Roman" w:eastAsia="宋体" w:cs="Times New Roman"/>
          <w:color w:val="000000"/>
          <w:kern w:val="0"/>
          <w:sz w:val="24"/>
        </w:rPr>
      </w:pPr>
      <w:r>
        <w:rPr>
          <w:rFonts w:hint="eastAsia" w:ascii="宋体" w:hAnsi="宋体" w:eastAsia="宋体" w:cs="Times New Roman"/>
          <w:b/>
          <w:bCs/>
          <w:color w:val="000000"/>
          <w:kern w:val="0"/>
          <w:sz w:val="24"/>
        </w:rPr>
        <w:t>学</w:t>
      </w:r>
      <w:r>
        <w:rPr>
          <w:rFonts w:ascii="宋体" w:hAnsi="宋体" w:eastAsia="宋体" w:cs="Times New Roman"/>
          <w:b/>
          <w:bCs/>
          <w:color w:val="000000"/>
          <w:kern w:val="0"/>
          <w:sz w:val="24"/>
        </w:rPr>
        <w:t xml:space="preserve">    </w:t>
      </w:r>
      <w:r>
        <w:rPr>
          <w:rFonts w:hint="eastAsia" w:ascii="宋体" w:hAnsi="宋体" w:eastAsia="宋体" w:cs="Times New Roman"/>
          <w:b/>
          <w:bCs/>
          <w:color w:val="000000"/>
          <w:kern w:val="0"/>
          <w:sz w:val="24"/>
        </w:rPr>
        <w:t>时：2周</w:t>
      </w:r>
    </w:p>
    <w:p w14:paraId="37CA50DA">
      <w:pPr>
        <w:spacing w:line="360" w:lineRule="auto"/>
        <w:ind w:firstLine="482" w:firstLineChars="200"/>
        <w:rPr>
          <w:rFonts w:hint="eastAsia" w:ascii="宋体" w:hAnsi="宋体" w:eastAsia="宋体" w:cs="Times New Roman"/>
          <w:b/>
          <w:bCs/>
          <w:color w:val="000000"/>
          <w:kern w:val="0"/>
          <w:sz w:val="24"/>
        </w:rPr>
      </w:pPr>
      <w:r>
        <w:rPr>
          <w:rFonts w:hint="eastAsia" w:ascii="宋体" w:hAnsi="宋体" w:eastAsia="宋体" w:cs="Times New Roman"/>
          <w:b/>
          <w:bCs/>
          <w:color w:val="000000"/>
          <w:kern w:val="0"/>
          <w:sz w:val="24"/>
        </w:rPr>
        <w:t>先修课程：</w:t>
      </w:r>
      <w:r>
        <w:rPr>
          <w:rFonts w:ascii="宋体" w:hAnsi="宋体" w:eastAsia="宋体" w:cs="Times New Roman"/>
          <w:b/>
          <w:bCs/>
          <w:color w:val="000000"/>
          <w:kern w:val="0"/>
          <w:sz w:val="24"/>
        </w:rPr>
        <w:t>小学心理学、</w:t>
      </w:r>
      <w:r>
        <w:rPr>
          <w:rFonts w:hint="eastAsia" w:ascii="宋体" w:hAnsi="宋体" w:eastAsia="宋体" w:cs="Times New Roman"/>
          <w:b/>
          <w:bCs/>
          <w:color w:val="000000"/>
          <w:kern w:val="0"/>
          <w:sz w:val="24"/>
        </w:rPr>
        <w:t>书</w:t>
      </w:r>
      <w:r>
        <w:rPr>
          <w:rFonts w:ascii="宋体" w:hAnsi="宋体" w:eastAsia="宋体" w:cs="Times New Roman"/>
          <w:b/>
          <w:bCs/>
          <w:color w:val="000000"/>
          <w:kern w:val="0"/>
          <w:sz w:val="24"/>
        </w:rPr>
        <w:t>写技能、教育原理、 教师职业道德，以及部分数学/中文类课程</w:t>
      </w:r>
    </w:p>
    <w:p w14:paraId="678C8513">
      <w:pPr>
        <w:spacing w:line="360" w:lineRule="auto"/>
        <w:ind w:firstLine="482" w:firstLineChars="200"/>
        <w:rPr>
          <w:rFonts w:hint="eastAsia" w:ascii="宋体" w:hAnsi="宋体" w:eastAsia="宋体" w:cs="Times New Roman"/>
          <w:b/>
          <w:bCs/>
          <w:color w:val="000000"/>
          <w:kern w:val="0"/>
          <w:sz w:val="24"/>
        </w:rPr>
      </w:pPr>
      <w:r>
        <w:rPr>
          <w:rFonts w:hint="eastAsia" w:ascii="宋体" w:hAnsi="宋体" w:eastAsia="宋体" w:cs="Times New Roman"/>
          <w:b/>
          <w:bCs/>
          <w:color w:val="000000"/>
          <w:kern w:val="0"/>
          <w:sz w:val="24"/>
        </w:rPr>
        <w:t>适用专业：小学教育（文）、小学教育（理）</w:t>
      </w:r>
      <w:r>
        <w:rPr>
          <w:rFonts w:ascii="宋体" w:hAnsi="宋体" w:eastAsia="宋体" w:cs="Times New Roman"/>
          <w:b/>
          <w:bCs/>
          <w:color w:val="000000"/>
          <w:kern w:val="0"/>
          <w:sz w:val="24"/>
        </w:rPr>
        <w:t xml:space="preserve"> </w:t>
      </w:r>
    </w:p>
    <w:p w14:paraId="14DA077E">
      <w:pPr>
        <w:spacing w:line="360" w:lineRule="auto"/>
        <w:ind w:firstLine="482" w:firstLineChars="200"/>
        <w:rPr>
          <w:rFonts w:hint="eastAsia" w:ascii="宋体" w:hAnsi="宋体" w:eastAsia="宋体" w:cs="Times New Roman"/>
          <w:b/>
          <w:bCs/>
          <w:color w:val="000000"/>
          <w:kern w:val="0"/>
          <w:sz w:val="24"/>
        </w:rPr>
      </w:pPr>
    </w:p>
    <w:p w14:paraId="0B5E1B3C">
      <w:pPr>
        <w:spacing w:line="360" w:lineRule="auto"/>
        <w:ind w:firstLine="482" w:firstLineChars="200"/>
        <w:rPr>
          <w:rFonts w:hint="eastAsia" w:ascii="宋体" w:hAnsi="宋体" w:eastAsia="宋体" w:cs="Times New Roman"/>
          <w:b/>
          <w:bCs/>
          <w:color w:val="000000"/>
          <w:kern w:val="0"/>
          <w:sz w:val="24"/>
        </w:rPr>
      </w:pPr>
      <w:r>
        <w:rPr>
          <w:rFonts w:hint="eastAsia" w:ascii="宋体" w:hAnsi="宋体" w:eastAsia="宋体" w:cs="Times New Roman"/>
          <w:b/>
          <w:bCs/>
          <w:color w:val="000000"/>
          <w:kern w:val="0"/>
          <w:sz w:val="24"/>
        </w:rPr>
        <w:t>一、课程简介</w:t>
      </w:r>
    </w:p>
    <w:p w14:paraId="34477196">
      <w:pPr>
        <w:spacing w:line="360" w:lineRule="auto"/>
        <w:ind w:firstLine="480" w:firstLineChars="200"/>
        <w:rPr>
          <w:rFonts w:ascii="宋体" w:hAnsi="Times New Roman"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教育见习</w:t>
      </w:r>
      <w:r>
        <w:rPr>
          <w:rFonts w:ascii="宋体" w:hAnsi="宋体" w:eastAsia="宋体" w:cs="Times New Roman"/>
          <w:color w:val="000000" w:themeColor="text1"/>
          <w:kern w:val="0"/>
          <w:sz w:val="24"/>
          <w14:textFill>
            <w14:solidFill>
              <w14:schemeClr w14:val="tx1"/>
            </w14:solidFill>
          </w14:textFill>
        </w:rPr>
        <w:t>I</w:t>
      </w:r>
      <w:r>
        <w:rPr>
          <w:rFonts w:hint="eastAsia" w:ascii="宋体" w:hAnsi="宋体" w:eastAsia="宋体" w:cs="Times New Roman"/>
          <w:color w:val="000000" w:themeColor="text1"/>
          <w:kern w:val="0"/>
          <w:sz w:val="24"/>
          <w14:textFill>
            <w14:solidFill>
              <w14:schemeClr w14:val="tx1"/>
            </w14:solidFill>
          </w14:textFill>
        </w:rPr>
        <w:t>是小学教育专业重要的实践类课程。本课程的任务和目的是使学生充分接触小学日常生活，了解小学教育教学工作的特点，体会教师职业价值，树立从教理想；初步训练听课、评课和小学班主任工作的技能，巩固所学的专业知识和技能；培养研究小学教育教学问题的兴趣，养成正确的专业态度。</w:t>
      </w:r>
    </w:p>
    <w:p w14:paraId="33DD6873">
      <w:pPr>
        <w:spacing w:line="360" w:lineRule="auto"/>
        <w:ind w:firstLine="482" w:firstLineChars="200"/>
        <w:rPr>
          <w:rFonts w:ascii="宋体" w:hAnsi="Times New Roman" w:eastAsia="宋体" w:cs="Times New Roman"/>
          <w:b/>
          <w:color w:val="000000"/>
          <w:sz w:val="24"/>
        </w:rPr>
      </w:pPr>
      <w:r>
        <w:rPr>
          <w:rFonts w:hint="eastAsia" w:ascii="宋体" w:hAnsi="宋体" w:eastAsia="宋体" w:cs="Times New Roman"/>
          <w:b/>
          <w:color w:val="000000"/>
          <w:sz w:val="24"/>
        </w:rPr>
        <w:t>二、课程目标</w:t>
      </w:r>
    </w:p>
    <w:p w14:paraId="4FFCDF44">
      <w:pPr>
        <w:spacing w:line="360" w:lineRule="auto"/>
        <w:ind w:firstLine="482" w:firstLineChars="200"/>
        <w:jc w:val="left"/>
        <w:rPr>
          <w:rFonts w:hint="eastAsia" w:ascii="宋体" w:hAnsi="宋体" w:eastAsia="宋体" w:cs="Times New Roman"/>
          <w:b/>
          <w:bCs/>
          <w:color w:val="000000" w:themeColor="text1"/>
          <w:sz w:val="24"/>
          <w14:textFill>
            <w14:solidFill>
              <w14:schemeClr w14:val="tx1"/>
            </w14:solidFill>
          </w14:textFill>
        </w:rPr>
      </w:pPr>
      <w:r>
        <w:rPr>
          <w:rFonts w:hint="eastAsia" w:ascii="宋体" w:hAnsi="宋体" w:eastAsia="宋体" w:cs="Times New Roman"/>
          <w:b/>
          <w:bCs/>
          <w:color w:val="000000" w:themeColor="text1"/>
          <w:sz w:val="24"/>
          <w14:textFill>
            <w14:solidFill>
              <w14:schemeClr w14:val="tx1"/>
            </w14:solidFill>
          </w14:textFill>
        </w:rPr>
        <w:t>（一）课程具体目标</w:t>
      </w:r>
    </w:p>
    <w:p w14:paraId="330E053A">
      <w:pPr>
        <w:spacing w:line="360" w:lineRule="auto"/>
        <w:ind w:firstLine="480" w:firstLineChars="200"/>
        <w:jc w:val="left"/>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1.</w:t>
      </w:r>
      <w:r>
        <w:rPr>
          <w:rFonts w:hint="eastAsia" w:ascii="宋体" w:hAnsi="宋体" w:eastAsia="宋体" w:cs="Times New Roman"/>
          <w:color w:val="000000" w:themeColor="text1"/>
          <w:sz w:val="24"/>
          <w14:textFill>
            <w14:solidFill>
              <w14:schemeClr w14:val="tx1"/>
            </w14:solidFill>
          </w14:textFill>
        </w:rPr>
        <w:t>了解小学日常生活，体验教师工作岗位，初步具有教师角色意识，认同教师职业，具有良好的学生观，尊重学生、关心学生，具有从事教师的理想信念。</w:t>
      </w:r>
    </w:p>
    <w:p w14:paraId="3BEB4D86">
      <w:pPr>
        <w:spacing w:line="360" w:lineRule="auto"/>
        <w:ind w:firstLine="480" w:firstLineChars="200"/>
        <w:jc w:val="left"/>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2.</w:t>
      </w:r>
      <w:r>
        <w:rPr>
          <w:rFonts w:hint="eastAsia" w:ascii="宋体" w:hAnsi="宋体" w:eastAsia="宋体" w:cs="Times New Roman"/>
          <w:color w:val="000000" w:themeColor="text1"/>
          <w:sz w:val="24"/>
          <w14:textFill>
            <w14:solidFill>
              <w14:schemeClr w14:val="tx1"/>
            </w14:solidFill>
          </w14:textFill>
        </w:rPr>
        <w:t>通过课堂教学和班队工作见习，了解小学教学与管理过程，理解所学知识与实践的关系，形成主动研究教育教学问题的意识。了解班级管理与班队活动的内容，认识到小学生德育工作、心理健康教育工作的重要性。</w:t>
      </w:r>
    </w:p>
    <w:p w14:paraId="4D09E425">
      <w:pPr>
        <w:spacing w:line="360" w:lineRule="auto"/>
        <w:ind w:firstLine="480" w:firstLineChars="200"/>
        <w:jc w:val="left"/>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3.</w:t>
      </w:r>
      <w:r>
        <w:rPr>
          <w:rFonts w:hint="eastAsia" w:ascii="宋体" w:hAnsi="宋体" w:eastAsia="宋体" w:cs="Times New Roman"/>
          <w:color w:val="000000" w:themeColor="text1"/>
          <w:sz w:val="24"/>
          <w14:textFill>
            <w14:solidFill>
              <w14:schemeClr w14:val="tx1"/>
            </w14:solidFill>
          </w14:textFill>
        </w:rPr>
        <w:t>通过与小学生相处，了解小学生心理发展的特点，愿意亲近学生，理解学科育人、管理育人、活动育人，建立综合育人的基本观念。</w:t>
      </w:r>
    </w:p>
    <w:p w14:paraId="0F8250D0">
      <w:pPr>
        <w:spacing w:line="360" w:lineRule="auto"/>
        <w:ind w:firstLine="480" w:firstLineChars="200"/>
        <w:jc w:val="left"/>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4.</w:t>
      </w:r>
      <w:r>
        <w:rPr>
          <w:rFonts w:hint="eastAsia" w:ascii="宋体" w:hAnsi="宋体" w:eastAsia="宋体" w:cs="Times New Roman"/>
          <w:color w:val="000000" w:themeColor="text1"/>
          <w:sz w:val="24"/>
          <w14:textFill>
            <w14:solidFill>
              <w14:schemeClr w14:val="tx1"/>
            </w14:solidFill>
          </w14:textFill>
        </w:rPr>
        <w:t>通过分组实习，主动与他人合作学习，主动与指导教师、小学生、学生家长进行积极沟通，了解沟通交流的一些方法。</w:t>
      </w:r>
    </w:p>
    <w:p w14:paraId="1562E839">
      <w:pPr>
        <w:spacing w:line="360" w:lineRule="auto"/>
        <w:ind w:firstLine="482" w:firstLineChars="200"/>
        <w:jc w:val="left"/>
        <w:rPr>
          <w:rFonts w:hint="eastAsia" w:ascii="宋体" w:hAnsi="宋体" w:eastAsia="宋体" w:cs="Times New Roman"/>
          <w:b/>
          <w:bCs/>
          <w:color w:val="000000" w:themeColor="text1"/>
          <w:sz w:val="24"/>
          <w14:textFill>
            <w14:solidFill>
              <w14:schemeClr w14:val="tx1"/>
            </w14:solidFill>
          </w14:textFill>
        </w:rPr>
      </w:pPr>
      <w:r>
        <w:rPr>
          <w:rFonts w:hint="eastAsia" w:ascii="宋体" w:hAnsi="宋体" w:eastAsia="宋体" w:cs="Times New Roman"/>
          <w:b/>
          <w:bCs/>
          <w:color w:val="000000" w:themeColor="text1"/>
          <w:sz w:val="24"/>
          <w14:textFill>
            <w14:solidFill>
              <w14:schemeClr w14:val="tx1"/>
            </w14:solidFill>
          </w14:textFill>
        </w:rPr>
        <w:t>（二）课程目标及其对毕业要求指标点的支撑</w:t>
      </w:r>
    </w:p>
    <w:p w14:paraId="0E739014">
      <w:pPr>
        <w:spacing w:line="360" w:lineRule="auto"/>
        <w:ind w:firstLine="482" w:firstLineChars="200"/>
        <w:jc w:val="left"/>
        <w:rPr>
          <w:rFonts w:hint="eastAsia" w:ascii="宋体" w:hAnsi="宋体" w:eastAsia="宋体" w:cs="Times New Roman"/>
          <w:b/>
          <w:bCs/>
          <w:color w:val="000000" w:themeColor="text1"/>
          <w:sz w:val="24"/>
          <w14:textFill>
            <w14:solidFill>
              <w14:schemeClr w14:val="tx1"/>
            </w14:solidFill>
          </w14:textFill>
        </w:rPr>
      </w:pPr>
    </w:p>
    <w:tbl>
      <w:tblPr>
        <w:tblStyle w:val="14"/>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095"/>
        <w:gridCol w:w="1327"/>
      </w:tblGrid>
      <w:tr w14:paraId="17F0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026AF9AE">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毕业要求</w:t>
            </w:r>
          </w:p>
        </w:tc>
        <w:tc>
          <w:tcPr>
            <w:tcW w:w="6095" w:type="dxa"/>
            <w:vAlign w:val="center"/>
          </w:tcPr>
          <w:p w14:paraId="5CF93458">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毕业要求指标点</w:t>
            </w:r>
          </w:p>
        </w:tc>
        <w:tc>
          <w:tcPr>
            <w:tcW w:w="1327" w:type="dxa"/>
            <w:vAlign w:val="center"/>
          </w:tcPr>
          <w:p w14:paraId="5F59ED49">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课程目标</w:t>
            </w:r>
          </w:p>
        </w:tc>
      </w:tr>
      <w:tr w14:paraId="5809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0FF8AA77">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毕业要求1</w:t>
            </w:r>
            <w:r>
              <w:rPr>
                <w:rFonts w:ascii="宋体" w:hAnsi="宋体" w:eastAsia="宋体" w:cs="Times New Roman"/>
                <w:kern w:val="0"/>
                <w:szCs w:val="21"/>
              </w:rPr>
              <w:t>：</w:t>
            </w:r>
            <w:r>
              <w:rPr>
                <w:rFonts w:hint="eastAsia" w:ascii="宋体" w:hAnsi="宋体" w:eastAsia="宋体" w:cs="Times New Roman"/>
                <w:kern w:val="0"/>
                <w:szCs w:val="21"/>
              </w:rPr>
              <w:t>师德规范</w:t>
            </w:r>
          </w:p>
        </w:tc>
        <w:tc>
          <w:tcPr>
            <w:tcW w:w="6095" w:type="dxa"/>
            <w:vAlign w:val="center"/>
          </w:tcPr>
          <w:p w14:paraId="51B063A8">
            <w:pPr>
              <w:pStyle w:val="12"/>
              <w:shd w:val="clear" w:color="auto" w:fill="FFFFFF"/>
              <w:jc w:val="both"/>
              <w:rPr>
                <w:rFonts w:hint="eastAsia"/>
                <w:sz w:val="21"/>
                <w:szCs w:val="21"/>
              </w:rPr>
            </w:pPr>
            <w:r>
              <w:rPr>
                <w:rFonts w:hint="eastAsia" w:cs="Times New Roman"/>
                <w:color w:val="000000"/>
                <w:spacing w:val="2"/>
                <w:sz w:val="21"/>
                <w:szCs w:val="21"/>
              </w:rPr>
              <w:t>指标点</w:t>
            </w:r>
            <w:r>
              <w:rPr>
                <w:color w:val="000000"/>
                <w:spacing w:val="2"/>
                <w:sz w:val="21"/>
                <w:szCs w:val="21"/>
              </w:rPr>
              <w:t>1-2:</w:t>
            </w:r>
            <w:r>
              <w:rPr>
                <w:rFonts w:hint="eastAsia"/>
                <w:sz w:val="21"/>
                <w:szCs w:val="21"/>
              </w:rPr>
              <w:t xml:space="preserve"> 【职业修养良好】以立德树人为己任，掌握立德树 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 </w:t>
            </w:r>
          </w:p>
        </w:tc>
        <w:tc>
          <w:tcPr>
            <w:tcW w:w="1327" w:type="dxa"/>
            <w:vAlign w:val="center"/>
          </w:tcPr>
          <w:p w14:paraId="76EC085B">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r>
      <w:tr w14:paraId="0F5D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026F6CCF">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毕业要求2</w:t>
            </w:r>
            <w:r>
              <w:rPr>
                <w:rFonts w:ascii="宋体" w:hAnsi="宋体" w:eastAsia="宋体" w:cs="Times New Roman"/>
                <w:kern w:val="0"/>
                <w:szCs w:val="21"/>
              </w:rPr>
              <w:t>:</w:t>
            </w:r>
            <w:r>
              <w:rPr>
                <w:rFonts w:hint="eastAsia" w:ascii="宋体" w:hAnsi="宋体" w:eastAsia="宋体" w:cs="Times New Roman"/>
                <w:kern w:val="0"/>
                <w:szCs w:val="21"/>
              </w:rPr>
              <w:t>教育情怀</w:t>
            </w:r>
          </w:p>
        </w:tc>
        <w:tc>
          <w:tcPr>
            <w:tcW w:w="6095" w:type="dxa"/>
            <w:vAlign w:val="center"/>
          </w:tcPr>
          <w:p w14:paraId="07AE0517">
            <w:pPr>
              <w:pStyle w:val="12"/>
              <w:shd w:val="clear" w:color="auto" w:fill="FFFFFF"/>
              <w:rPr>
                <w:rFonts w:hint="eastAsia"/>
                <w:sz w:val="21"/>
                <w:szCs w:val="21"/>
              </w:rPr>
            </w:pPr>
            <w:r>
              <w:rPr>
                <w:rFonts w:hint="eastAsia"/>
                <w:color w:val="000000"/>
                <w:spacing w:val="2"/>
                <w:sz w:val="21"/>
                <w:szCs w:val="21"/>
              </w:rPr>
              <w:t>指标点2</w:t>
            </w:r>
            <w:r>
              <w:rPr>
                <w:color w:val="000000"/>
                <w:spacing w:val="2"/>
                <w:sz w:val="21"/>
                <w:szCs w:val="21"/>
              </w:rPr>
              <w:t>-2</w:t>
            </w:r>
            <w:r>
              <w:rPr>
                <w:rFonts w:hint="eastAsia"/>
                <w:color w:val="000000"/>
                <w:spacing w:val="2"/>
                <w:sz w:val="21"/>
                <w:szCs w:val="21"/>
              </w:rPr>
              <w:t>：</w:t>
            </w:r>
            <w:r>
              <w:rPr>
                <w:rFonts w:hint="eastAsia"/>
                <w:sz w:val="21"/>
                <w:szCs w:val="21"/>
              </w:rPr>
              <w:t xml:space="preserve">【仁爱之心深厚】关爱学生，用心从教。具有正确 的儿童观，理解、尊重、关爱、保护学生，以儿童发展为教育的中心。爱岗敬业，在教育实践中能认真履行教育教学职责与班主任工作职责，富有爱心、责任心、工作细心、耐心，做学生学习的促进者、道德品质和创新思维的培养者，奉献祖国的引路人。 </w:t>
            </w:r>
          </w:p>
        </w:tc>
        <w:tc>
          <w:tcPr>
            <w:tcW w:w="1327" w:type="dxa"/>
            <w:vAlign w:val="center"/>
          </w:tcPr>
          <w:p w14:paraId="3A05E633">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280F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555" w:type="dxa"/>
            <w:vMerge w:val="restart"/>
            <w:vAlign w:val="center"/>
          </w:tcPr>
          <w:p w14:paraId="000BE3AD">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毕业要求4</w:t>
            </w:r>
            <w:r>
              <w:rPr>
                <w:rFonts w:ascii="宋体" w:hAnsi="宋体" w:eastAsia="宋体" w:cs="Times New Roman"/>
                <w:kern w:val="0"/>
                <w:szCs w:val="21"/>
              </w:rPr>
              <w:t>:</w:t>
            </w:r>
            <w:r>
              <w:rPr>
                <w:rFonts w:hint="eastAsia" w:ascii="宋体" w:hAnsi="宋体" w:eastAsia="宋体" w:cs="Times New Roman"/>
                <w:kern w:val="0"/>
                <w:szCs w:val="21"/>
              </w:rPr>
              <w:t>教学能力</w:t>
            </w:r>
          </w:p>
        </w:tc>
        <w:tc>
          <w:tcPr>
            <w:tcW w:w="6095" w:type="dxa"/>
            <w:vAlign w:val="center"/>
          </w:tcPr>
          <w:p w14:paraId="632A03FD">
            <w:pPr>
              <w:pStyle w:val="12"/>
              <w:jc w:val="both"/>
              <w:rPr>
                <w:rFonts w:hint="eastAsia"/>
                <w:sz w:val="21"/>
                <w:szCs w:val="21"/>
              </w:rPr>
            </w:pPr>
            <w:r>
              <w:rPr>
                <w:rFonts w:hint="eastAsia"/>
                <w:color w:val="000000"/>
                <w:spacing w:val="2"/>
                <w:sz w:val="21"/>
                <w:szCs w:val="21"/>
              </w:rPr>
              <w:t>指标点4</w:t>
            </w:r>
            <w:r>
              <w:rPr>
                <w:color w:val="000000"/>
                <w:spacing w:val="2"/>
                <w:sz w:val="21"/>
                <w:szCs w:val="21"/>
              </w:rPr>
              <w:t>-2</w:t>
            </w:r>
            <w:r>
              <w:rPr>
                <w:rFonts w:hint="eastAsia"/>
                <w:color w:val="000000"/>
                <w:spacing w:val="2"/>
                <w:sz w:val="21"/>
                <w:szCs w:val="21"/>
              </w:rPr>
              <w:t>：</w:t>
            </w:r>
            <w:r>
              <w:rPr>
                <w:rFonts w:hint="eastAsia"/>
                <w:sz w:val="21"/>
                <w:szCs w:val="21"/>
              </w:rPr>
              <w:t>【教学设计恰当】能针对小学生已有的知识水平、 学习经验和兴趣特点，依据课标确定恰当的学习目标和学习重 点，设计学习活动。能依据单元内容进行整体设计，科学合理地依据教学目标及内容设计作业。</w:t>
            </w:r>
          </w:p>
        </w:tc>
        <w:tc>
          <w:tcPr>
            <w:tcW w:w="1327" w:type="dxa"/>
            <w:vMerge w:val="restart"/>
            <w:vAlign w:val="center"/>
          </w:tcPr>
          <w:p w14:paraId="5DE7FE31">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7B74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555" w:type="dxa"/>
            <w:vMerge w:val="continue"/>
            <w:vAlign w:val="center"/>
          </w:tcPr>
          <w:p w14:paraId="74C3DC5E">
            <w:pPr>
              <w:spacing w:line="276" w:lineRule="auto"/>
              <w:jc w:val="center"/>
              <w:rPr>
                <w:rFonts w:hint="eastAsia" w:ascii="宋体" w:hAnsi="宋体" w:eastAsia="宋体" w:cs="Times New Roman"/>
                <w:kern w:val="0"/>
                <w:szCs w:val="21"/>
              </w:rPr>
            </w:pPr>
          </w:p>
        </w:tc>
        <w:tc>
          <w:tcPr>
            <w:tcW w:w="6095" w:type="dxa"/>
            <w:vAlign w:val="center"/>
          </w:tcPr>
          <w:p w14:paraId="18E9F95D">
            <w:pPr>
              <w:pStyle w:val="12"/>
              <w:jc w:val="both"/>
              <w:rPr>
                <w:rFonts w:hint="eastAsia"/>
                <w:sz w:val="21"/>
                <w:szCs w:val="21"/>
              </w:rPr>
            </w:pPr>
            <w:r>
              <w:rPr>
                <w:rFonts w:hint="eastAsia"/>
                <w:color w:val="000000"/>
                <w:spacing w:val="2"/>
                <w:sz w:val="21"/>
                <w:szCs w:val="21"/>
              </w:rPr>
              <w:t>指标点4</w:t>
            </w:r>
            <w:r>
              <w:rPr>
                <w:color w:val="000000"/>
                <w:spacing w:val="2"/>
                <w:sz w:val="21"/>
                <w:szCs w:val="21"/>
              </w:rPr>
              <w:t>-3</w:t>
            </w:r>
            <w:r>
              <w:rPr>
                <w:rFonts w:hint="eastAsia"/>
                <w:color w:val="000000"/>
                <w:spacing w:val="2"/>
                <w:sz w:val="21"/>
                <w:szCs w:val="21"/>
              </w:rPr>
              <w:t>：</w:t>
            </w:r>
            <w:r>
              <w:rPr>
                <w:rFonts w:hint="eastAsia"/>
                <w:sz w:val="21"/>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Merge w:val="continue"/>
            <w:vAlign w:val="center"/>
          </w:tcPr>
          <w:p w14:paraId="631017F6">
            <w:pPr>
              <w:spacing w:line="276" w:lineRule="auto"/>
              <w:jc w:val="left"/>
              <w:rPr>
                <w:rFonts w:hint="eastAsia" w:ascii="宋体" w:hAnsi="宋体" w:eastAsia="宋体" w:cs="Times New Roman"/>
                <w:kern w:val="0"/>
                <w:szCs w:val="21"/>
              </w:rPr>
            </w:pPr>
          </w:p>
        </w:tc>
      </w:tr>
      <w:tr w14:paraId="324A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2F4468EB">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毕业要求5</w:t>
            </w:r>
            <w:r>
              <w:rPr>
                <w:rFonts w:ascii="宋体" w:hAnsi="宋体" w:eastAsia="宋体" w:cs="Times New Roman"/>
                <w:kern w:val="0"/>
                <w:szCs w:val="21"/>
              </w:rPr>
              <w:t>:</w:t>
            </w:r>
            <w:r>
              <w:rPr>
                <w:rFonts w:hint="eastAsia" w:ascii="宋体" w:hAnsi="宋体" w:eastAsia="宋体" w:cs="Times New Roman"/>
                <w:kern w:val="0"/>
                <w:szCs w:val="21"/>
              </w:rPr>
              <w:t>班级管理</w:t>
            </w:r>
          </w:p>
        </w:tc>
        <w:tc>
          <w:tcPr>
            <w:tcW w:w="6095" w:type="dxa"/>
            <w:vAlign w:val="center"/>
          </w:tcPr>
          <w:p w14:paraId="6E79CC2C">
            <w:pPr>
              <w:pStyle w:val="12"/>
              <w:jc w:val="both"/>
              <w:rPr>
                <w:rFonts w:hint="eastAsia"/>
                <w:sz w:val="21"/>
                <w:szCs w:val="21"/>
              </w:rPr>
            </w:pPr>
            <w:r>
              <w:rPr>
                <w:rFonts w:hint="eastAsia"/>
                <w:color w:val="000000"/>
                <w:spacing w:val="2"/>
                <w:sz w:val="21"/>
                <w:szCs w:val="21"/>
              </w:rPr>
              <w:t>指标点5</w:t>
            </w:r>
            <w:r>
              <w:rPr>
                <w:color w:val="000000"/>
                <w:spacing w:val="2"/>
                <w:sz w:val="21"/>
                <w:szCs w:val="21"/>
              </w:rPr>
              <w:t>-1:</w:t>
            </w:r>
            <w:r>
              <w:rPr>
                <w:rFonts w:hint="eastAsia"/>
                <w:sz w:val="21"/>
                <w:szCs w:val="21"/>
              </w:rPr>
              <w:t xml:space="preserve">【擅长班队管理】具有小学德育工作体验，树立育 人为本、德育为先的理念，熟悉小学德育的基本原理与方法。获得小学班队组织与建设的体验。掌握小学班队组织与建设的工作规律和基本方法，具有班队建设和管理的基本能力。能够在工作实践中，利用技术手段收集学生成长过程的关键信息，建立学生成长电子档案，对学生进行综合素质评价，指导学生成长，关注学生生活，运用德育的理论和方法组织与指导班队活动。 </w:t>
            </w:r>
          </w:p>
        </w:tc>
        <w:tc>
          <w:tcPr>
            <w:tcW w:w="1327" w:type="dxa"/>
            <w:vAlign w:val="center"/>
          </w:tcPr>
          <w:p w14:paraId="519A94CA">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2F28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1E42661">
            <w:pPr>
              <w:spacing w:line="276" w:lineRule="auto"/>
              <w:jc w:val="center"/>
              <w:rPr>
                <w:rFonts w:hint="eastAsia" w:ascii="宋体" w:hAnsi="宋体" w:eastAsia="宋体" w:cs="Times New Roman"/>
                <w:kern w:val="0"/>
                <w:szCs w:val="21"/>
              </w:rPr>
            </w:pPr>
          </w:p>
        </w:tc>
        <w:tc>
          <w:tcPr>
            <w:tcW w:w="6095" w:type="dxa"/>
            <w:vAlign w:val="center"/>
          </w:tcPr>
          <w:p w14:paraId="28A0FB95">
            <w:pPr>
              <w:pStyle w:val="12"/>
              <w:rPr>
                <w:rFonts w:hint="eastAsia"/>
                <w:sz w:val="21"/>
                <w:szCs w:val="21"/>
              </w:rPr>
            </w:pPr>
            <w:r>
              <w:rPr>
                <w:rFonts w:hint="eastAsia"/>
                <w:color w:val="000000"/>
                <w:spacing w:val="2"/>
                <w:sz w:val="21"/>
                <w:szCs w:val="21"/>
              </w:rPr>
              <w:t>指标点5</w:t>
            </w:r>
            <w:r>
              <w:rPr>
                <w:color w:val="000000"/>
                <w:spacing w:val="2"/>
                <w:sz w:val="21"/>
                <w:szCs w:val="21"/>
              </w:rPr>
              <w:t>-2:</w:t>
            </w:r>
            <w:r>
              <w:rPr>
                <w:rFonts w:hint="eastAsia"/>
                <w:sz w:val="21"/>
                <w:szCs w:val="21"/>
              </w:rPr>
              <w:t>【重视身心健康教育】了解小学生身体、情感发展 的特性和差异性，包括小学生日常卫生保健、传染病预防、意外 伤害事故处理等相关知识，掌握面临特殊事件发生时保护学生的 基本方法。获得小学心理健康教育指导体验，在教育教学实践中， 参与组织与指导对小学生心理健康教育的科普宣传及心理辅导， 掌握小学心理健康教育的基本方法。</w:t>
            </w:r>
          </w:p>
        </w:tc>
        <w:tc>
          <w:tcPr>
            <w:tcW w:w="1327" w:type="dxa"/>
            <w:vAlign w:val="center"/>
          </w:tcPr>
          <w:p w14:paraId="42E03A47">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35D7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43C1988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毕业要求6</w:t>
            </w:r>
            <w:r>
              <w:rPr>
                <w:rFonts w:ascii="宋体" w:hAnsi="宋体" w:eastAsia="宋体" w:cs="Times New Roman"/>
                <w:kern w:val="0"/>
                <w:szCs w:val="21"/>
              </w:rPr>
              <w:t>:</w:t>
            </w:r>
            <w:r>
              <w:rPr>
                <w:rFonts w:hint="eastAsia" w:ascii="宋体" w:hAnsi="宋体" w:eastAsia="宋体" w:cs="Times New Roman"/>
                <w:kern w:val="0"/>
                <w:szCs w:val="21"/>
              </w:rPr>
              <w:t>综合育人</w:t>
            </w:r>
          </w:p>
        </w:tc>
        <w:tc>
          <w:tcPr>
            <w:tcW w:w="6095" w:type="dxa"/>
            <w:vAlign w:val="center"/>
          </w:tcPr>
          <w:p w14:paraId="7504BAFE">
            <w:pPr>
              <w:pStyle w:val="12"/>
              <w:jc w:val="both"/>
              <w:rPr>
                <w:rFonts w:hint="eastAsia"/>
                <w:sz w:val="21"/>
                <w:szCs w:val="21"/>
              </w:rPr>
            </w:pPr>
            <w:r>
              <w:rPr>
                <w:rFonts w:hint="eastAsia"/>
                <w:color w:val="000000"/>
                <w:spacing w:val="2"/>
                <w:sz w:val="21"/>
                <w:szCs w:val="21"/>
              </w:rPr>
              <w:t>指标点6</w:t>
            </w:r>
            <w:r>
              <w:rPr>
                <w:color w:val="000000"/>
                <w:spacing w:val="2"/>
                <w:sz w:val="21"/>
                <w:szCs w:val="21"/>
              </w:rPr>
              <w:t>-1:</w:t>
            </w:r>
            <w:r>
              <w:rPr>
                <w:rFonts w:hint="eastAsia"/>
                <w:sz w:val="21"/>
                <w:szCs w:val="21"/>
              </w:rPr>
              <w:t>【遵循身心规律】了解不同年龄以及有特殊需要的小学生的身心发展特点和规律、不同年龄小学生学习的特点，掌 握小学生良好行为习惯养成的知识。</w:t>
            </w:r>
          </w:p>
        </w:tc>
        <w:tc>
          <w:tcPr>
            <w:tcW w:w="1327" w:type="dxa"/>
            <w:vAlign w:val="center"/>
          </w:tcPr>
          <w:p w14:paraId="5186A792">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6108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43B311A">
            <w:pPr>
              <w:spacing w:line="276" w:lineRule="auto"/>
              <w:jc w:val="center"/>
              <w:rPr>
                <w:rFonts w:hint="eastAsia" w:ascii="宋体" w:hAnsi="宋体" w:eastAsia="宋体" w:cs="Times New Roman"/>
                <w:kern w:val="0"/>
                <w:szCs w:val="21"/>
              </w:rPr>
            </w:pPr>
          </w:p>
        </w:tc>
        <w:tc>
          <w:tcPr>
            <w:tcW w:w="6095" w:type="dxa"/>
            <w:vAlign w:val="center"/>
          </w:tcPr>
          <w:p w14:paraId="0DD76FAA">
            <w:pPr>
              <w:pStyle w:val="12"/>
              <w:jc w:val="both"/>
              <w:rPr>
                <w:rFonts w:hint="eastAsia"/>
                <w:sz w:val="21"/>
                <w:szCs w:val="21"/>
              </w:rPr>
            </w:pPr>
            <w:r>
              <w:rPr>
                <w:rFonts w:hint="eastAsia"/>
                <w:color w:val="000000"/>
                <w:spacing w:val="2"/>
                <w:sz w:val="21"/>
                <w:szCs w:val="21"/>
              </w:rPr>
              <w:t>指标点6</w:t>
            </w:r>
            <w:r>
              <w:rPr>
                <w:color w:val="000000"/>
                <w:spacing w:val="2"/>
                <w:sz w:val="21"/>
                <w:szCs w:val="21"/>
              </w:rPr>
              <w:t>-2:</w:t>
            </w:r>
            <w:r>
              <w:rPr>
                <w:rFonts w:hint="eastAsia"/>
                <w:sz w:val="21"/>
                <w:szCs w:val="21"/>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1CE38F99">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课程目标1</w:t>
            </w:r>
          </w:p>
        </w:tc>
      </w:tr>
      <w:tr w14:paraId="0CD1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1475392">
            <w:pPr>
              <w:spacing w:line="276" w:lineRule="auto"/>
              <w:jc w:val="center"/>
              <w:rPr>
                <w:rFonts w:hint="eastAsia" w:ascii="宋体" w:hAnsi="宋体" w:eastAsia="宋体" w:cs="Times New Roman"/>
                <w:kern w:val="0"/>
                <w:szCs w:val="21"/>
              </w:rPr>
            </w:pPr>
          </w:p>
        </w:tc>
        <w:tc>
          <w:tcPr>
            <w:tcW w:w="6095" w:type="dxa"/>
            <w:vAlign w:val="center"/>
          </w:tcPr>
          <w:p w14:paraId="485DD657">
            <w:pPr>
              <w:pStyle w:val="12"/>
              <w:jc w:val="both"/>
              <w:rPr>
                <w:rFonts w:hint="eastAsia"/>
                <w:sz w:val="21"/>
                <w:szCs w:val="21"/>
              </w:rPr>
            </w:pPr>
            <w:r>
              <w:rPr>
                <w:rFonts w:hint="eastAsia"/>
                <w:color w:val="000000"/>
                <w:spacing w:val="2"/>
                <w:sz w:val="21"/>
                <w:szCs w:val="21"/>
              </w:rPr>
              <w:t>指标点6</w:t>
            </w:r>
            <w:r>
              <w:rPr>
                <w:color w:val="000000"/>
                <w:spacing w:val="2"/>
                <w:sz w:val="21"/>
                <w:szCs w:val="21"/>
              </w:rPr>
              <w:t>-3:</w:t>
            </w:r>
            <w:r>
              <w:rPr>
                <w:rFonts w:hint="eastAsia"/>
                <w:sz w:val="21"/>
                <w:szCs w:val="21"/>
              </w:rPr>
              <w:t xml:space="preserve"> 【善于文化与活动育人】了解课外活动组织和管理 知识，掌握学校文化和各类课外教育活动的育人内涵和方法，在 教育教学实践中，参与组织主题教育、少先队活动和社团活动， 促进小学生全面、健康发展。</w:t>
            </w:r>
          </w:p>
        </w:tc>
        <w:tc>
          <w:tcPr>
            <w:tcW w:w="1327" w:type="dxa"/>
            <w:vAlign w:val="center"/>
          </w:tcPr>
          <w:p w14:paraId="52F49A53">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1FEE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55052DC5">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毕业要求7</w:t>
            </w:r>
            <w:r>
              <w:rPr>
                <w:rFonts w:ascii="宋体" w:hAnsi="宋体" w:eastAsia="宋体" w:cs="Times New Roman"/>
                <w:kern w:val="0"/>
                <w:szCs w:val="21"/>
              </w:rPr>
              <w:t>:</w:t>
            </w:r>
            <w:r>
              <w:rPr>
                <w:rFonts w:hint="eastAsia" w:ascii="宋体" w:hAnsi="宋体" w:eastAsia="宋体" w:cs="Times New Roman"/>
                <w:kern w:val="0"/>
                <w:szCs w:val="21"/>
              </w:rPr>
              <w:t>学会反思</w:t>
            </w:r>
          </w:p>
        </w:tc>
        <w:tc>
          <w:tcPr>
            <w:tcW w:w="6095" w:type="dxa"/>
            <w:vAlign w:val="center"/>
          </w:tcPr>
          <w:p w14:paraId="42B9AF90">
            <w:pPr>
              <w:pStyle w:val="12"/>
              <w:rPr>
                <w:rFonts w:hint="eastAsia"/>
                <w:sz w:val="21"/>
                <w:szCs w:val="21"/>
              </w:rPr>
            </w:pPr>
            <w:r>
              <w:rPr>
                <w:rFonts w:hint="eastAsia"/>
                <w:color w:val="000000"/>
                <w:spacing w:val="2"/>
                <w:sz w:val="21"/>
                <w:szCs w:val="21"/>
              </w:rPr>
              <w:t>指标点7</w:t>
            </w:r>
            <w:r>
              <w:rPr>
                <w:color w:val="000000"/>
                <w:spacing w:val="2"/>
                <w:sz w:val="21"/>
                <w:szCs w:val="21"/>
              </w:rPr>
              <w:t>-3:</w:t>
            </w:r>
            <w:r>
              <w:rPr>
                <w:rFonts w:hint="eastAsia"/>
                <w:sz w:val="21"/>
                <w:szCs w:val="21"/>
              </w:rPr>
              <w:t xml:space="preserve"> 【反思改进良好】具有反思意识和批判性思维素养， 初步掌握反思方法和技能，具有一定创新意识，掌握收集和挖掘 教育教学实践中的案例、关键事件的方法，不断进行反思，启发 教育教学工作。对在日常学习和教育实践中发现的教育现象和问 题，进行探索和研究，有自己的思考和见解。</w:t>
            </w:r>
          </w:p>
        </w:tc>
        <w:tc>
          <w:tcPr>
            <w:tcW w:w="1327" w:type="dxa"/>
            <w:vAlign w:val="center"/>
          </w:tcPr>
          <w:p w14:paraId="68910EB6">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0841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146A1DB5">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毕业要求8</w:t>
            </w:r>
            <w:r>
              <w:rPr>
                <w:rFonts w:ascii="宋体" w:hAnsi="宋体" w:eastAsia="宋体" w:cs="Times New Roman"/>
                <w:kern w:val="0"/>
                <w:szCs w:val="21"/>
              </w:rPr>
              <w:t>:</w:t>
            </w:r>
            <w:r>
              <w:rPr>
                <w:rFonts w:hint="eastAsia" w:ascii="宋体" w:hAnsi="宋体" w:eastAsia="宋体" w:cs="Times New Roman"/>
                <w:kern w:val="0"/>
                <w:szCs w:val="21"/>
              </w:rPr>
              <w:t>沟通合作</w:t>
            </w:r>
          </w:p>
        </w:tc>
        <w:tc>
          <w:tcPr>
            <w:tcW w:w="6095" w:type="dxa"/>
            <w:vAlign w:val="center"/>
          </w:tcPr>
          <w:p w14:paraId="46026E10">
            <w:pPr>
              <w:pStyle w:val="12"/>
              <w:rPr>
                <w:rFonts w:hint="eastAsia"/>
                <w:sz w:val="21"/>
                <w:szCs w:val="21"/>
              </w:rPr>
            </w:pPr>
            <w:r>
              <w:rPr>
                <w:rFonts w:hint="eastAsia"/>
                <w:color w:val="000000"/>
                <w:spacing w:val="2"/>
                <w:sz w:val="21"/>
                <w:szCs w:val="21"/>
              </w:rPr>
              <w:t>指标点8</w:t>
            </w:r>
            <w:r>
              <w:rPr>
                <w:color w:val="000000"/>
                <w:spacing w:val="2"/>
                <w:sz w:val="21"/>
                <w:szCs w:val="21"/>
              </w:rPr>
              <w:t>-1:</w:t>
            </w:r>
            <w:r>
              <w:rPr>
                <w:rFonts w:hint="eastAsia"/>
                <w:sz w:val="21"/>
                <w:szCs w:val="21"/>
              </w:rPr>
              <w:t xml:space="preserve"> 【善于团队合作】理解学习共同体的本质和价值， 掌握团队协作的基本策略，在课堂学习与教育实践中获得合作学 习体验，形成团队协作精神。</w:t>
            </w:r>
          </w:p>
        </w:tc>
        <w:tc>
          <w:tcPr>
            <w:tcW w:w="1327" w:type="dxa"/>
            <w:vAlign w:val="center"/>
          </w:tcPr>
          <w:p w14:paraId="66453653">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课程目标4</w:t>
            </w:r>
          </w:p>
        </w:tc>
      </w:tr>
      <w:tr w14:paraId="48EF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5DAB102">
            <w:pPr>
              <w:spacing w:line="276" w:lineRule="auto"/>
              <w:jc w:val="center"/>
              <w:rPr>
                <w:rFonts w:hint="eastAsia" w:ascii="宋体" w:hAnsi="宋体" w:eastAsia="宋体" w:cs="Times New Roman"/>
                <w:kern w:val="0"/>
                <w:szCs w:val="21"/>
              </w:rPr>
            </w:pPr>
          </w:p>
        </w:tc>
        <w:tc>
          <w:tcPr>
            <w:tcW w:w="6095" w:type="dxa"/>
            <w:vAlign w:val="center"/>
          </w:tcPr>
          <w:p w14:paraId="11C591B1">
            <w:pPr>
              <w:pStyle w:val="12"/>
              <w:rPr>
                <w:rFonts w:hint="eastAsia"/>
                <w:sz w:val="21"/>
                <w:szCs w:val="21"/>
              </w:rPr>
            </w:pPr>
            <w:r>
              <w:rPr>
                <w:rFonts w:hint="eastAsia"/>
                <w:color w:val="000000"/>
                <w:spacing w:val="2"/>
                <w:sz w:val="21"/>
                <w:szCs w:val="21"/>
              </w:rPr>
              <w:t>指标点8</w:t>
            </w:r>
            <w:r>
              <w:rPr>
                <w:color w:val="000000"/>
                <w:spacing w:val="2"/>
                <w:sz w:val="21"/>
                <w:szCs w:val="21"/>
              </w:rPr>
              <w:t>-2:</w:t>
            </w:r>
            <w:r>
              <w:rPr>
                <w:rFonts w:hint="eastAsia"/>
                <w:sz w:val="21"/>
                <w:szCs w:val="21"/>
              </w:rPr>
              <w:t xml:space="preserve"> 【学会沟通交流】掌握人际沟通合作技能与方法， 在教育教学实践中，能与学生和家长以及同行、同事、专家进行 有效沟通与合作，实现共同发展。</w:t>
            </w:r>
          </w:p>
        </w:tc>
        <w:tc>
          <w:tcPr>
            <w:tcW w:w="1327" w:type="dxa"/>
            <w:vAlign w:val="center"/>
          </w:tcPr>
          <w:p w14:paraId="6372DF5B">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课程目标4</w:t>
            </w:r>
          </w:p>
        </w:tc>
      </w:tr>
    </w:tbl>
    <w:p w14:paraId="2BAAB6F2">
      <w:pPr>
        <w:spacing w:line="360" w:lineRule="auto"/>
        <w:ind w:firstLine="482" w:firstLineChars="200"/>
        <w:jc w:val="left"/>
        <w:rPr>
          <w:rFonts w:hint="eastAsia" w:ascii="宋体" w:hAnsi="宋体" w:eastAsia="宋体" w:cs="Times New Roman"/>
          <w:b/>
          <w:bCs/>
          <w:color w:val="000000" w:themeColor="text1"/>
          <w:sz w:val="24"/>
          <w14:textFill>
            <w14:solidFill>
              <w14:schemeClr w14:val="tx1"/>
            </w14:solidFill>
          </w14:textFill>
        </w:rPr>
      </w:pPr>
    </w:p>
    <w:p w14:paraId="4F39316A">
      <w:pPr>
        <w:spacing w:line="360" w:lineRule="auto"/>
        <w:ind w:firstLine="482" w:firstLineChars="200"/>
        <w:jc w:val="left"/>
        <w:rPr>
          <w:rFonts w:hint="eastAsia" w:ascii="宋体" w:hAnsi="宋体" w:eastAsia="宋体" w:cs="Times New Roman"/>
          <w:b/>
          <w:bCs/>
          <w:color w:val="000000" w:themeColor="text1"/>
          <w:sz w:val="24"/>
          <w14:textFill>
            <w14:solidFill>
              <w14:schemeClr w14:val="tx1"/>
            </w14:solidFill>
          </w14:textFill>
        </w:rPr>
      </w:pPr>
      <w:r>
        <w:rPr>
          <w:rFonts w:hint="eastAsia" w:ascii="宋体" w:hAnsi="宋体" w:eastAsia="宋体" w:cs="Times New Roman"/>
          <w:b/>
          <w:bCs/>
          <w:color w:val="000000" w:themeColor="text1"/>
          <w:sz w:val="24"/>
          <w14:textFill>
            <w14:solidFill>
              <w14:schemeClr w14:val="tx1"/>
            </w14:solidFill>
          </w14:textFill>
        </w:rPr>
        <w:t>（三）课程思政目标</w:t>
      </w:r>
    </w:p>
    <w:p w14:paraId="60297EA1">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坚定教育理念，增强教育情怀，在工作和实践中善于学习，正确认识教育规律，关心关爱学生，</w:t>
      </w:r>
      <w:r>
        <w:rPr>
          <w:rFonts w:ascii="宋体" w:hAnsi="宋体" w:eastAsia="宋体" w:cs="Times New Roman"/>
          <w:color w:val="000000"/>
          <w:szCs w:val="21"/>
        </w:rPr>
        <w:t>形成学科育人的意识，</w:t>
      </w:r>
      <w:r>
        <w:rPr>
          <w:rFonts w:hint="eastAsia" w:ascii="宋体" w:hAnsi="宋体" w:eastAsia="宋体" w:cs="Times New Roman"/>
          <w:color w:val="000000"/>
          <w:szCs w:val="21"/>
        </w:rPr>
        <w:t>初步</w:t>
      </w:r>
      <w:r>
        <w:rPr>
          <w:rFonts w:ascii="宋体" w:hAnsi="宋体" w:eastAsia="宋体" w:cs="Times New Roman"/>
          <w:color w:val="000000"/>
          <w:szCs w:val="21"/>
        </w:rPr>
        <w:t>掌握</w:t>
      </w:r>
      <w:r>
        <w:rPr>
          <w:rFonts w:hint="eastAsia" w:ascii="宋体" w:hAnsi="宋体" w:eastAsia="宋体" w:cs="Times New Roman"/>
          <w:color w:val="000000"/>
          <w:szCs w:val="21"/>
        </w:rPr>
        <w:t>教书</w:t>
      </w:r>
      <w:r>
        <w:rPr>
          <w:rFonts w:ascii="宋体" w:hAnsi="宋体" w:eastAsia="宋体" w:cs="Times New Roman"/>
          <w:color w:val="000000"/>
          <w:szCs w:val="21"/>
        </w:rPr>
        <w:t>育人的方法。</w:t>
      </w:r>
    </w:p>
    <w:p w14:paraId="32EBDF80">
      <w:pPr>
        <w:spacing w:line="360" w:lineRule="auto"/>
        <w:ind w:firstLine="472" w:firstLineChars="196"/>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758"/>
        <w:gridCol w:w="1276"/>
        <w:gridCol w:w="2071"/>
        <w:gridCol w:w="1563"/>
        <w:gridCol w:w="442"/>
      </w:tblGrid>
      <w:tr w14:paraId="0135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1DE9F264">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w:t>
            </w:r>
          </w:p>
          <w:p w14:paraId="3304A558">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单元</w:t>
            </w:r>
          </w:p>
        </w:tc>
        <w:tc>
          <w:tcPr>
            <w:tcW w:w="2758" w:type="dxa"/>
            <w:vAlign w:val="center"/>
          </w:tcPr>
          <w:p w14:paraId="5447F197">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知识点</w:t>
            </w:r>
          </w:p>
        </w:tc>
        <w:tc>
          <w:tcPr>
            <w:tcW w:w="1276" w:type="dxa"/>
            <w:vAlign w:val="center"/>
          </w:tcPr>
          <w:p w14:paraId="670C18C7">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对应</w:t>
            </w:r>
          </w:p>
          <w:p w14:paraId="561F6BD9">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课程目标</w:t>
            </w:r>
          </w:p>
        </w:tc>
        <w:tc>
          <w:tcPr>
            <w:tcW w:w="2071" w:type="dxa"/>
            <w:vAlign w:val="center"/>
          </w:tcPr>
          <w:p w14:paraId="0E7950B5">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预期学习成效</w:t>
            </w:r>
          </w:p>
        </w:tc>
        <w:tc>
          <w:tcPr>
            <w:tcW w:w="1563" w:type="dxa"/>
            <w:vAlign w:val="center"/>
          </w:tcPr>
          <w:p w14:paraId="5F19E04E">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实现环节</w:t>
            </w:r>
          </w:p>
        </w:tc>
        <w:tc>
          <w:tcPr>
            <w:tcW w:w="442" w:type="dxa"/>
            <w:vAlign w:val="center"/>
          </w:tcPr>
          <w:p w14:paraId="7EBF0525">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学时</w:t>
            </w:r>
          </w:p>
        </w:tc>
      </w:tr>
      <w:tr w14:paraId="225C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78358BFE">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ascii="宋体" w:hAnsi="宋体" w:eastAsia="宋体" w:cs="Times New Roman"/>
                <w:color w:val="000000"/>
                <w:kern w:val="0"/>
                <w:sz w:val="20"/>
                <w:szCs w:val="21"/>
              </w:rPr>
              <w:t>.</w:t>
            </w:r>
            <w:r>
              <w:rPr>
                <w:rFonts w:hint="eastAsia" w:ascii="Times New Roman" w:hAnsi="Times New Roman" w:eastAsia="宋体" w:cs="Times New Roman"/>
                <w:kern w:val="0"/>
                <w:sz w:val="20"/>
              </w:rPr>
              <w:t>学校考察</w:t>
            </w:r>
          </w:p>
        </w:tc>
        <w:tc>
          <w:tcPr>
            <w:tcW w:w="2758" w:type="dxa"/>
            <w:vAlign w:val="center"/>
          </w:tcPr>
          <w:p w14:paraId="39487F38">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观察学校空间、师生日常活动，体会学校校园文化和办学理念；聆听学校负责人介绍学校建设情况、教育教学理念、特色文化；采用观察法或访谈法，聚焦一个主题开展教育调查，分析和总结见习学校的教育教学改革情况</w:t>
            </w:r>
            <w:r>
              <w:rPr>
                <w:rFonts w:hint="eastAsia" w:ascii="宋体" w:hAnsi="宋体" w:eastAsia="宋体" w:cs="Times New Roman"/>
                <w:color w:val="000000"/>
                <w:kern w:val="0"/>
                <w:sz w:val="20"/>
                <w:szCs w:val="21"/>
              </w:rPr>
              <w:t>。</w:t>
            </w:r>
          </w:p>
        </w:tc>
        <w:tc>
          <w:tcPr>
            <w:tcW w:w="1276" w:type="dxa"/>
            <w:vAlign w:val="center"/>
          </w:tcPr>
          <w:p w14:paraId="2D455499">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课程目标1、3</w:t>
            </w:r>
          </w:p>
        </w:tc>
        <w:tc>
          <w:tcPr>
            <w:tcW w:w="2071" w:type="dxa"/>
            <w:vAlign w:val="center"/>
          </w:tcPr>
          <w:p w14:paraId="57CB2F79">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认真考察校园文化，听取学校专题介绍，与指导教师深入交流；完成1份教育调查报告</w:t>
            </w:r>
            <w:r>
              <w:rPr>
                <w:rFonts w:hint="eastAsia" w:ascii="宋体" w:hAnsi="宋体" w:eastAsia="宋体" w:cs="Times New Roman"/>
                <w:color w:val="000000"/>
                <w:kern w:val="0"/>
                <w:sz w:val="20"/>
                <w:szCs w:val="21"/>
              </w:rPr>
              <w:t>，</w:t>
            </w:r>
            <w:r>
              <w:rPr>
                <w:rFonts w:ascii="宋体" w:hAnsi="宋体" w:eastAsia="宋体" w:cs="Times New Roman"/>
                <w:color w:val="000000"/>
                <w:kern w:val="0"/>
                <w:sz w:val="20"/>
                <w:szCs w:val="21"/>
              </w:rPr>
              <w:t>报告内容完整、方法合理，重点突出，数据和内容真实。</w:t>
            </w:r>
          </w:p>
        </w:tc>
        <w:tc>
          <w:tcPr>
            <w:tcW w:w="1563" w:type="dxa"/>
            <w:vAlign w:val="center"/>
          </w:tcPr>
          <w:p w14:paraId="28E9102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1.跟岗学习</w:t>
            </w:r>
          </w:p>
          <w:p w14:paraId="101D377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2.交流研讨</w:t>
            </w:r>
          </w:p>
          <w:p w14:paraId="4BE53914">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3</w:t>
            </w:r>
            <w:r>
              <w:rPr>
                <w:rFonts w:hint="eastAsia" w:ascii="宋体" w:hAnsi="宋体" w:eastAsia="宋体" w:cs="Times New Roman"/>
                <w:color w:val="000000"/>
                <w:kern w:val="0"/>
                <w:sz w:val="20"/>
                <w:szCs w:val="21"/>
              </w:rPr>
              <w:t>.自主实践</w:t>
            </w:r>
          </w:p>
        </w:tc>
        <w:tc>
          <w:tcPr>
            <w:tcW w:w="442" w:type="dxa"/>
            <w:vAlign w:val="center"/>
          </w:tcPr>
          <w:p w14:paraId="33CB893C">
            <w:pPr>
              <w:spacing w:line="269" w:lineRule="auto"/>
              <w:jc w:val="center"/>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w:t>
            </w:r>
            <w:r>
              <w:rPr>
                <w:rFonts w:hint="eastAsia" w:ascii="宋体" w:hAnsi="宋体" w:eastAsia="宋体" w:cs="Times New Roman"/>
                <w:color w:val="000000"/>
                <w:kern w:val="0"/>
                <w:sz w:val="20"/>
                <w:szCs w:val="21"/>
              </w:rPr>
              <w:t>天</w:t>
            </w:r>
          </w:p>
        </w:tc>
      </w:tr>
      <w:tr w14:paraId="79B9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55D52C2E">
            <w:pPr>
              <w:spacing w:line="264" w:lineRule="auto"/>
              <w:jc w:val="center"/>
              <w:rPr>
                <w:rFonts w:hint="eastAsia" w:ascii="宋体" w:hAnsi="宋体" w:eastAsia="宋体" w:cs="Times New Roman"/>
                <w:color w:val="000000"/>
                <w:kern w:val="0"/>
                <w:sz w:val="20"/>
                <w:szCs w:val="21"/>
              </w:rPr>
            </w:pPr>
          </w:p>
        </w:tc>
        <w:tc>
          <w:tcPr>
            <w:tcW w:w="8110" w:type="dxa"/>
            <w:gridSpan w:val="5"/>
            <w:vAlign w:val="center"/>
          </w:tcPr>
          <w:p w14:paraId="6E0CBCF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ascii="宋体" w:hAnsi="宋体" w:eastAsia="宋体" w:cs="Times New Roman"/>
                <w:color w:val="000000"/>
                <w:kern w:val="0"/>
                <w:sz w:val="20"/>
                <w:szCs w:val="21"/>
              </w:rPr>
              <w:t>把“立德树人”教育目标融入实践过程中，领悟教师职业的价值，树立职业理想，立志成为有理想信念、有道德情操、有扎实学识、有仁爱之心的好教师。</w:t>
            </w:r>
          </w:p>
        </w:tc>
      </w:tr>
      <w:tr w14:paraId="084E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5C8D5B3B">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r>
              <w:rPr>
                <w:rFonts w:ascii="宋体" w:hAnsi="宋体" w:eastAsia="宋体" w:cs="Times New Roman"/>
                <w:color w:val="000000"/>
                <w:kern w:val="0"/>
                <w:sz w:val="20"/>
                <w:szCs w:val="21"/>
              </w:rPr>
              <w:t>.</w:t>
            </w:r>
            <w:r>
              <w:rPr>
                <w:rFonts w:hint="eastAsia" w:ascii="Times New Roman" w:hAnsi="Times New Roman" w:eastAsia="宋体" w:cs="Times New Roman"/>
                <w:kern w:val="0"/>
                <w:sz w:val="20"/>
              </w:rPr>
              <w:t xml:space="preserve"> 教学观摩与研习</w:t>
            </w:r>
          </w:p>
        </w:tc>
        <w:tc>
          <w:tcPr>
            <w:tcW w:w="2758" w:type="dxa"/>
            <w:vAlign w:val="center"/>
          </w:tcPr>
          <w:p w14:paraId="35F1CEA9">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认真研读教材，备课，撰写教案，善于运用教学材料钻研教材，设计出形式要素齐全、比较规范合理的教案，认真学习实践导师的教学方法与教学经验。聆听学校优秀教师、优秀班主任(辅导员)工作教育教学经验的介绍。</w:t>
            </w:r>
          </w:p>
        </w:tc>
        <w:tc>
          <w:tcPr>
            <w:tcW w:w="1276" w:type="dxa"/>
            <w:vAlign w:val="center"/>
          </w:tcPr>
          <w:p w14:paraId="1891F646">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w:t>
            </w:r>
          </w:p>
        </w:tc>
        <w:tc>
          <w:tcPr>
            <w:tcW w:w="2071" w:type="dxa"/>
            <w:vAlign w:val="center"/>
          </w:tcPr>
          <w:p w14:paraId="32A19CD8">
            <w:pPr>
              <w:spacing w:line="269" w:lineRule="auto"/>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1.善于倾听和思考，总结教学观摩心得，能与实践导师进行积极交流；</w:t>
            </w:r>
          </w:p>
          <w:p w14:paraId="7D0AD3E5">
            <w:pPr>
              <w:spacing w:line="269" w:lineRule="auto"/>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2.善于运用教学材料钻研教材，设计出形式要素齐全、比较规范合理的教案，认真学习实践导师的教学方法与教学经验。</w:t>
            </w:r>
          </w:p>
          <w:p w14:paraId="236FF8B2">
            <w:pPr>
              <w:spacing w:line="269" w:lineRule="auto"/>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3.每天听课2-3节，总听课数不少于10节</w:t>
            </w:r>
            <w:r>
              <w:rPr>
                <w:rFonts w:hint="eastAsia" w:ascii="宋体" w:hAnsi="宋体" w:eastAsia="宋体" w:cs="Times New Roman"/>
                <w:color w:val="000000"/>
                <w:kern w:val="0"/>
                <w:sz w:val="20"/>
                <w:szCs w:val="21"/>
              </w:rPr>
              <w:t>。撰写</w:t>
            </w:r>
            <w:r>
              <w:rPr>
                <w:rFonts w:ascii="宋体" w:hAnsi="宋体" w:eastAsia="宋体" w:cs="Times New Roman"/>
                <w:color w:val="000000"/>
                <w:kern w:val="0"/>
                <w:sz w:val="20"/>
                <w:szCs w:val="21"/>
              </w:rPr>
              <w:t>教案</w:t>
            </w:r>
            <w:r>
              <w:rPr>
                <w:rFonts w:hint="eastAsia" w:ascii="宋体" w:hAnsi="宋体" w:eastAsia="宋体" w:cs="Times New Roman"/>
                <w:color w:val="000000"/>
                <w:kern w:val="0"/>
                <w:sz w:val="20"/>
                <w:szCs w:val="21"/>
              </w:rPr>
              <w:t>1篇。</w:t>
            </w:r>
          </w:p>
        </w:tc>
        <w:tc>
          <w:tcPr>
            <w:tcW w:w="1563" w:type="dxa"/>
            <w:vAlign w:val="center"/>
          </w:tcPr>
          <w:p w14:paraId="19A48BE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1.跟岗学习</w:t>
            </w:r>
          </w:p>
          <w:p w14:paraId="5898AC9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2.交流研讨</w:t>
            </w:r>
          </w:p>
          <w:p w14:paraId="7422A846">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3</w:t>
            </w:r>
            <w:r>
              <w:rPr>
                <w:rFonts w:hint="eastAsia" w:ascii="宋体" w:hAnsi="宋体" w:eastAsia="宋体" w:cs="Times New Roman"/>
                <w:color w:val="000000"/>
                <w:kern w:val="0"/>
                <w:sz w:val="20"/>
                <w:szCs w:val="21"/>
              </w:rPr>
              <w:t>.自主实践</w:t>
            </w:r>
          </w:p>
        </w:tc>
        <w:tc>
          <w:tcPr>
            <w:tcW w:w="442" w:type="dxa"/>
            <w:vAlign w:val="center"/>
          </w:tcPr>
          <w:p w14:paraId="709E69D5">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4天</w:t>
            </w:r>
          </w:p>
        </w:tc>
      </w:tr>
      <w:tr w14:paraId="61F1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06" w:type="dxa"/>
            <w:vMerge w:val="continue"/>
            <w:vAlign w:val="center"/>
          </w:tcPr>
          <w:p w14:paraId="58C69DB5">
            <w:pPr>
              <w:spacing w:line="264" w:lineRule="auto"/>
              <w:jc w:val="center"/>
              <w:rPr>
                <w:rFonts w:hint="eastAsia" w:ascii="宋体" w:hAnsi="宋体" w:eastAsia="宋体" w:cs="Times New Roman"/>
                <w:color w:val="000000"/>
                <w:kern w:val="0"/>
                <w:sz w:val="20"/>
                <w:szCs w:val="21"/>
              </w:rPr>
            </w:pPr>
          </w:p>
        </w:tc>
        <w:tc>
          <w:tcPr>
            <w:tcW w:w="8110" w:type="dxa"/>
            <w:gridSpan w:val="5"/>
            <w:vAlign w:val="center"/>
          </w:tcPr>
          <w:p w14:paraId="569D0C68">
            <w:pPr>
              <w:spacing w:line="276" w:lineRule="auto"/>
              <w:jc w:val="left"/>
              <w:rPr>
                <w:rFonts w:hint="eastAsia"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themeColor="text1"/>
                <w:kern w:val="0"/>
                <w:szCs w:val="21"/>
                <w14:textFill>
                  <w14:solidFill>
                    <w14:schemeClr w14:val="tx1"/>
                  </w14:solidFill>
                </w14:textFill>
              </w:rPr>
              <w:t>树立辩证统一的思维，能够科学合理的分析和评价教学，吸取教学中的经验与教训；理解教师工作的本质，认同教师工作的科学性和专业性。</w:t>
            </w:r>
          </w:p>
        </w:tc>
      </w:tr>
      <w:tr w14:paraId="0BE7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1775FDE6">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w:t>
            </w:r>
            <w:r>
              <w:rPr>
                <w:rFonts w:ascii="宋体" w:hAnsi="宋体" w:eastAsia="宋体" w:cs="Times New Roman"/>
                <w:color w:val="000000"/>
                <w:kern w:val="0"/>
                <w:sz w:val="20"/>
                <w:szCs w:val="21"/>
              </w:rPr>
              <w:t>.</w:t>
            </w:r>
            <w:r>
              <w:rPr>
                <w:rFonts w:hint="eastAsia" w:ascii="宋体" w:hAnsi="宋体" w:eastAsia="宋体" w:cs="Times New Roman"/>
                <w:color w:val="000000"/>
                <w:kern w:val="0"/>
                <w:sz w:val="20"/>
                <w:szCs w:val="21"/>
              </w:rPr>
              <w:t>班级管理和班队工作见习</w:t>
            </w:r>
          </w:p>
        </w:tc>
        <w:tc>
          <w:tcPr>
            <w:tcW w:w="2758" w:type="dxa"/>
            <w:vAlign w:val="center"/>
          </w:tcPr>
          <w:p w14:paraId="249A1322">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全面观察班级常规管理工作，了解班主任日常工作的内容和方法，主动协助班主任进行班级管理；在班主任指导下尝试组织有主题的班会或班队活动</w:t>
            </w:r>
            <w:r>
              <w:rPr>
                <w:rFonts w:hint="eastAsia" w:ascii="宋体" w:hAnsi="宋体" w:eastAsia="宋体" w:cs="Times New Roman"/>
                <w:color w:val="000000"/>
                <w:kern w:val="0"/>
                <w:sz w:val="20"/>
                <w:szCs w:val="21"/>
              </w:rPr>
              <w:t>。</w:t>
            </w:r>
          </w:p>
        </w:tc>
        <w:tc>
          <w:tcPr>
            <w:tcW w:w="1276" w:type="dxa"/>
            <w:vAlign w:val="center"/>
          </w:tcPr>
          <w:p w14:paraId="45DCCA21">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课程目标1、3、4</w:t>
            </w:r>
          </w:p>
        </w:tc>
        <w:tc>
          <w:tcPr>
            <w:tcW w:w="2071" w:type="dxa"/>
            <w:vAlign w:val="center"/>
          </w:tcPr>
          <w:p w14:paraId="4243387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ascii="宋体" w:hAnsi="宋体" w:eastAsia="宋体" w:cs="Times New Roman"/>
                <w:color w:val="000000"/>
                <w:kern w:val="0"/>
                <w:sz w:val="20"/>
                <w:szCs w:val="21"/>
              </w:rPr>
              <w:t>.主动与小学生加深交流，掌握小学生生活特点、心理特点；</w:t>
            </w:r>
          </w:p>
          <w:p w14:paraId="27DA1D53">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2.认真观察，主动与实践导师沟通班级管理的经验，善于在管理案例中总结经验与教训。</w:t>
            </w:r>
          </w:p>
          <w:p w14:paraId="75A3C8CC">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3.</w:t>
            </w:r>
            <w:r>
              <w:rPr>
                <w:rFonts w:hint="eastAsia" w:ascii="宋体" w:hAnsi="宋体" w:eastAsia="宋体" w:cs="Times New Roman"/>
                <w:color w:val="000000"/>
                <w:kern w:val="0"/>
                <w:sz w:val="20"/>
                <w:szCs w:val="21"/>
              </w:rPr>
              <w:t>完成</w:t>
            </w:r>
            <w:r>
              <w:rPr>
                <w:rFonts w:ascii="宋体" w:hAnsi="宋体" w:eastAsia="宋体" w:cs="Times New Roman"/>
                <w:color w:val="000000"/>
                <w:kern w:val="0"/>
                <w:sz w:val="20"/>
                <w:szCs w:val="21"/>
              </w:rPr>
              <w:t>班队活动观察记录1份。</w:t>
            </w:r>
          </w:p>
        </w:tc>
        <w:tc>
          <w:tcPr>
            <w:tcW w:w="1563" w:type="dxa"/>
            <w:vAlign w:val="center"/>
          </w:tcPr>
          <w:p w14:paraId="275B3D8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1.跟岗学习</w:t>
            </w:r>
          </w:p>
          <w:p w14:paraId="72547B5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2.交流研讨</w:t>
            </w:r>
          </w:p>
          <w:p w14:paraId="2E0BEEBA">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3</w:t>
            </w:r>
            <w:r>
              <w:rPr>
                <w:rFonts w:hint="eastAsia" w:ascii="宋体" w:hAnsi="宋体" w:eastAsia="宋体" w:cs="Times New Roman"/>
                <w:color w:val="000000"/>
                <w:kern w:val="0"/>
                <w:sz w:val="20"/>
                <w:szCs w:val="21"/>
              </w:rPr>
              <w:t>.自主实践</w:t>
            </w:r>
          </w:p>
        </w:tc>
        <w:tc>
          <w:tcPr>
            <w:tcW w:w="442" w:type="dxa"/>
            <w:vAlign w:val="center"/>
          </w:tcPr>
          <w:p w14:paraId="1AD22BD1">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4天</w:t>
            </w:r>
          </w:p>
        </w:tc>
      </w:tr>
      <w:tr w14:paraId="5277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206" w:type="dxa"/>
            <w:vMerge w:val="continue"/>
            <w:vAlign w:val="center"/>
          </w:tcPr>
          <w:p w14:paraId="50FF7090">
            <w:pPr>
              <w:spacing w:line="264" w:lineRule="auto"/>
              <w:jc w:val="center"/>
              <w:rPr>
                <w:rFonts w:hint="eastAsia" w:ascii="宋体" w:hAnsi="宋体" w:eastAsia="宋体" w:cs="Times New Roman"/>
                <w:color w:val="000000"/>
                <w:kern w:val="0"/>
                <w:sz w:val="20"/>
                <w:szCs w:val="21"/>
              </w:rPr>
            </w:pPr>
          </w:p>
        </w:tc>
        <w:tc>
          <w:tcPr>
            <w:tcW w:w="8110" w:type="dxa"/>
            <w:gridSpan w:val="5"/>
            <w:vAlign w:val="center"/>
          </w:tcPr>
          <w:p w14:paraId="728E26EA">
            <w:pPr>
              <w:spacing w:line="276" w:lineRule="auto"/>
              <w:ind w:firstLine="422" w:firstLineChars="200"/>
              <w:rPr>
                <w:rFonts w:hint="eastAsia" w:ascii="宋体" w:hAnsi="宋体" w:eastAsia="宋体" w:cs="Times New Roman"/>
                <w:b/>
                <w:bCs/>
                <w:color w:val="000000" w:themeColor="text1"/>
                <w:kern w:val="0"/>
                <w:szCs w:val="21"/>
                <w14:textFill>
                  <w14:solidFill>
                    <w14:schemeClr w14:val="tx1"/>
                  </w14:solidFill>
                </w14:textFill>
              </w:rPr>
            </w:pPr>
            <w:r>
              <w:rPr>
                <w:rFonts w:hint="eastAsia" w:ascii="宋体" w:hAnsi="宋体" w:eastAsia="宋体" w:cs="Times New Roman"/>
                <w:b/>
                <w:bCs/>
                <w:color w:val="000000" w:themeColor="text1"/>
                <w:kern w:val="0"/>
                <w:szCs w:val="21"/>
                <w14:textFill>
                  <w14:solidFill>
                    <w14:schemeClr w14:val="tx1"/>
                  </w14:solidFill>
                </w14:textFill>
              </w:rPr>
              <w:t>课程思政目标：</w:t>
            </w:r>
            <w:r>
              <w:rPr>
                <w:rFonts w:hint="eastAsia" w:ascii="宋体" w:hAnsi="宋体" w:eastAsia="宋体" w:cs="Times New Roman"/>
                <w:color w:val="000000" w:themeColor="text1"/>
                <w:kern w:val="0"/>
                <w:szCs w:val="21"/>
                <w14:textFill>
                  <w14:solidFill>
                    <w14:schemeClr w14:val="tx1"/>
                  </w14:solidFill>
                </w14:textFill>
              </w:rPr>
              <w:t>理解培养全面发展的人这一教育理念，认识教育管理、班队活动的育人价值，提高教育修养，增强在教育过程中挖掘各个因素进行教育的意识和能力。</w:t>
            </w:r>
          </w:p>
        </w:tc>
      </w:tr>
    </w:tbl>
    <w:p w14:paraId="5BF469C7">
      <w:pPr>
        <w:spacing w:line="360" w:lineRule="auto"/>
        <w:ind w:firstLine="562" w:firstLineChars="200"/>
        <w:rPr>
          <w:rFonts w:ascii="Times New Roman" w:hAnsi="Times New Roman" w:eastAsia="宋体" w:cs="Times New Roman"/>
          <w:b/>
          <w:sz w:val="28"/>
          <w:szCs w:val="28"/>
        </w:rPr>
      </w:pPr>
    </w:p>
    <w:p w14:paraId="4A8AD1F5">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4AA5759A">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89D675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993537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273"/>
        <w:gridCol w:w="1268"/>
        <w:gridCol w:w="1661"/>
        <w:gridCol w:w="1843"/>
        <w:gridCol w:w="1255"/>
      </w:tblGrid>
      <w:tr w14:paraId="0A89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Merge w:val="restart"/>
            <w:vAlign w:val="center"/>
          </w:tcPr>
          <w:p w14:paraId="03F6FA8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045" w:type="dxa"/>
            <w:gridSpan w:val="4"/>
          </w:tcPr>
          <w:p w14:paraId="34F5697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1255" w:type="dxa"/>
            <w:vMerge w:val="restart"/>
            <w:vAlign w:val="center"/>
          </w:tcPr>
          <w:p w14:paraId="45DB564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4E13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05" w:type="dxa"/>
            <w:vMerge w:val="continue"/>
            <w:vAlign w:val="center"/>
          </w:tcPr>
          <w:p w14:paraId="4E9CDA95">
            <w:pPr>
              <w:spacing w:line="360" w:lineRule="auto"/>
              <w:jc w:val="center"/>
              <w:rPr>
                <w:rFonts w:hint="eastAsia" w:ascii="宋体" w:hAnsi="宋体" w:eastAsia="宋体" w:cs="Times New Roman"/>
                <w:kern w:val="0"/>
                <w:sz w:val="20"/>
                <w:szCs w:val="21"/>
              </w:rPr>
            </w:pPr>
          </w:p>
        </w:tc>
        <w:tc>
          <w:tcPr>
            <w:tcW w:w="1273" w:type="dxa"/>
            <w:vAlign w:val="center"/>
          </w:tcPr>
          <w:p w14:paraId="727A6B81">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1268" w:type="dxa"/>
            <w:vAlign w:val="center"/>
          </w:tcPr>
          <w:p w14:paraId="5D7B2AD9">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学校考察</w:t>
            </w:r>
          </w:p>
          <w:p w14:paraId="5927B1C1">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调查报告</w:t>
            </w:r>
          </w:p>
        </w:tc>
        <w:tc>
          <w:tcPr>
            <w:tcW w:w="1661" w:type="dxa"/>
            <w:vAlign w:val="center"/>
          </w:tcPr>
          <w:p w14:paraId="62DB1AAB">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教学工作见习</w:t>
            </w:r>
          </w:p>
        </w:tc>
        <w:tc>
          <w:tcPr>
            <w:tcW w:w="1843" w:type="dxa"/>
            <w:vAlign w:val="center"/>
          </w:tcPr>
          <w:p w14:paraId="0A9AFEFF">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1255" w:type="dxa"/>
            <w:vMerge w:val="continue"/>
            <w:vAlign w:val="center"/>
          </w:tcPr>
          <w:p w14:paraId="77352D30">
            <w:pPr>
              <w:spacing w:line="360" w:lineRule="auto"/>
              <w:jc w:val="center"/>
              <w:rPr>
                <w:rFonts w:hint="eastAsia" w:ascii="宋体" w:hAnsi="宋体" w:eastAsia="宋体" w:cs="Times New Roman"/>
                <w:kern w:val="0"/>
                <w:sz w:val="20"/>
                <w:szCs w:val="21"/>
              </w:rPr>
            </w:pPr>
          </w:p>
        </w:tc>
      </w:tr>
      <w:tr w14:paraId="4919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05" w:type="dxa"/>
            <w:vAlign w:val="center"/>
          </w:tcPr>
          <w:p w14:paraId="5D059AFB">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273" w:type="dxa"/>
          </w:tcPr>
          <w:p w14:paraId="3B177C2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0F01DBE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555CEAB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68A4DC6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17A8FDB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20</w:t>
            </w:r>
          </w:p>
        </w:tc>
      </w:tr>
      <w:tr w14:paraId="506B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683A913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273" w:type="dxa"/>
          </w:tcPr>
          <w:p w14:paraId="29E1E44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59FFC7A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449AD9D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03A3B8D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3AF7D31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2523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39EF21A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273" w:type="dxa"/>
          </w:tcPr>
          <w:p w14:paraId="25E9D45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1683BF9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575996E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22FE618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13F124F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2913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6069E751">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273" w:type="dxa"/>
          </w:tcPr>
          <w:p w14:paraId="59DBF03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tcPr>
          <w:p w14:paraId="659AFCA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tcPr>
          <w:p w14:paraId="05DBF6A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tcPr>
          <w:p w14:paraId="62931A6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4069775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0</w:t>
            </w:r>
          </w:p>
        </w:tc>
      </w:tr>
      <w:tr w14:paraId="51F1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70EF874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273" w:type="dxa"/>
          </w:tcPr>
          <w:p w14:paraId="3024D0D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1268" w:type="dxa"/>
            <w:vAlign w:val="center"/>
          </w:tcPr>
          <w:p w14:paraId="0F6C5DE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10</w:t>
            </w:r>
          </w:p>
        </w:tc>
        <w:tc>
          <w:tcPr>
            <w:tcW w:w="1661" w:type="dxa"/>
            <w:vAlign w:val="center"/>
          </w:tcPr>
          <w:p w14:paraId="4B5B880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30</w:t>
            </w:r>
          </w:p>
        </w:tc>
        <w:tc>
          <w:tcPr>
            <w:tcW w:w="1843" w:type="dxa"/>
            <w:vAlign w:val="center"/>
          </w:tcPr>
          <w:p w14:paraId="117DC92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30</w:t>
            </w:r>
          </w:p>
        </w:tc>
        <w:tc>
          <w:tcPr>
            <w:tcW w:w="1255" w:type="dxa"/>
            <w:vAlign w:val="center"/>
          </w:tcPr>
          <w:p w14:paraId="219AFD3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25A24AF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E23ECA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339CE1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109"/>
        <w:gridCol w:w="682"/>
      </w:tblGrid>
      <w:tr w14:paraId="247E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71" w:type="dxa"/>
            <w:vAlign w:val="center"/>
          </w:tcPr>
          <w:p w14:paraId="7BA3BD30">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7109" w:type="dxa"/>
            <w:vAlign w:val="center"/>
          </w:tcPr>
          <w:p w14:paraId="539DD82B">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697ABBAA">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1236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1FF51DE5">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7109" w:type="dxa"/>
            <w:tcBorders>
              <w:top w:val="single" w:color="auto" w:sz="4" w:space="0"/>
              <w:left w:val="single" w:color="auto" w:sz="4" w:space="0"/>
              <w:bottom w:val="single" w:color="auto" w:sz="4" w:space="0"/>
              <w:right w:val="single" w:color="auto" w:sz="4" w:space="0"/>
            </w:tcBorders>
            <w:vAlign w:val="center"/>
          </w:tcPr>
          <w:p w14:paraId="1988A7D2">
            <w:pPr>
              <w:snapToGrid w:val="0"/>
              <w:spacing w:line="276" w:lineRule="auto"/>
              <w:rPr>
                <w:rFonts w:hint="eastAsia" w:ascii="宋体" w:hAnsi="宋体" w:eastAsia="宋体" w:cs="Times New Roman"/>
                <w:kern w:val="0"/>
                <w:sz w:val="20"/>
                <w:szCs w:val="21"/>
              </w:rPr>
            </w:pPr>
            <w:r>
              <w:rPr>
                <w:rFonts w:hint="eastAsia" w:ascii="Times New Roman" w:hAnsi="Times New Roman" w:eastAsia="宋体" w:cs="Times New Roman"/>
                <w:kern w:val="0"/>
                <w:sz w:val="20"/>
                <w:szCs w:val="21"/>
              </w:rPr>
              <w:t>根据学生在见习过程中的参与程度、主动学习情况等，结合</w:t>
            </w:r>
            <w:r>
              <w:rPr>
                <w:rFonts w:hint="eastAsia" w:ascii="宋体" w:hAnsi="宋体" w:eastAsia="宋体" w:cs="Times New Roman"/>
                <w:kern w:val="0"/>
                <w:sz w:val="20"/>
                <w:szCs w:val="21"/>
              </w:rPr>
              <w:t>学生小组考勤以及实践导师反馈进行评分。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2A9ADDA9">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4664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71" w:type="dxa"/>
            <w:tcBorders>
              <w:top w:val="single" w:color="auto" w:sz="4" w:space="0"/>
              <w:left w:val="single" w:color="auto" w:sz="4" w:space="0"/>
              <w:bottom w:val="single" w:color="auto" w:sz="4" w:space="0"/>
              <w:right w:val="single" w:color="auto" w:sz="4" w:space="0"/>
            </w:tcBorders>
            <w:vAlign w:val="center"/>
          </w:tcPr>
          <w:p w14:paraId="4B7FEEB5">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学校考察调查报告</w:t>
            </w:r>
          </w:p>
        </w:tc>
        <w:tc>
          <w:tcPr>
            <w:tcW w:w="7109" w:type="dxa"/>
            <w:tcBorders>
              <w:top w:val="single" w:color="auto" w:sz="4" w:space="0"/>
              <w:left w:val="single" w:color="auto" w:sz="4" w:space="0"/>
              <w:bottom w:val="single" w:color="auto" w:sz="4" w:space="0"/>
              <w:right w:val="single" w:color="auto" w:sz="4" w:space="0"/>
            </w:tcBorders>
            <w:vAlign w:val="center"/>
          </w:tcPr>
          <w:p w14:paraId="05F56016">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根据考察情况，结合实际认识与思考，撰写教育调查报告。</w:t>
            </w:r>
            <w:r>
              <w:rPr>
                <w:rFonts w:hint="eastAsia" w:ascii="Times New Roman" w:hAnsi="Times New Roman" w:eastAsia="宋体" w:cs="Times New Roman"/>
                <w:kern w:val="0"/>
                <w:sz w:val="20"/>
                <w:szCs w:val="21"/>
              </w:rPr>
              <w:t>选题属于教育领域，问题意识清晰、方法设计可行，资料充实，内容撰写结构合理，形成明确的结论与观点。</w:t>
            </w:r>
            <w:r>
              <w:rPr>
                <w:rFonts w:hint="eastAsia" w:ascii="宋体" w:hAnsi="宋体" w:eastAsia="宋体" w:cs="Times New Roman"/>
                <w:kern w:val="0"/>
                <w:sz w:val="20"/>
                <w:szCs w:val="21"/>
              </w:rPr>
              <w:t>根据学生调查报告写作情况以及实践导师反馈进行评分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3173E6AA">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10%</w:t>
            </w:r>
          </w:p>
        </w:tc>
      </w:tr>
      <w:tr w14:paraId="3FA7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71" w:type="dxa"/>
            <w:tcBorders>
              <w:top w:val="single" w:color="auto" w:sz="4" w:space="0"/>
              <w:left w:val="single" w:color="auto" w:sz="4" w:space="0"/>
              <w:bottom w:val="single" w:color="auto" w:sz="4" w:space="0"/>
              <w:right w:val="single" w:color="auto" w:sz="4" w:space="0"/>
            </w:tcBorders>
            <w:vAlign w:val="center"/>
          </w:tcPr>
          <w:p w14:paraId="22BA4F99">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608C6C68">
            <w:pPr>
              <w:adjustRightInd w:val="0"/>
              <w:snapToGrid w:val="0"/>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认真观摩教学，做好听课记录，善于思考，总结教学经验与心得；与指导教师保持积极交流，虚心请教教学方法与教学经验；教案设计要素完整、表述规范，具备可操作性。</w:t>
            </w:r>
            <w:r>
              <w:rPr>
                <w:rFonts w:hint="eastAsia" w:ascii="宋体" w:hAnsi="宋体" w:eastAsia="宋体" w:cs="Times New Roman"/>
                <w:kern w:val="0"/>
                <w:sz w:val="20"/>
                <w:szCs w:val="21"/>
              </w:rPr>
              <w:t>根据学生教案设计情况以及实践导师反馈进行评分。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0627CB18">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7EF6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06D569CC">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444862DE">
            <w:pPr>
              <w:adjustRightInd w:val="0"/>
              <w:snapToGrid w:val="0"/>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主动与小学生加深交流，掌握小学生心理特点；认真观察，主动与实践导师沟通班级管理的经验，善于在管理案例中总结经验与教训。</w:t>
            </w:r>
            <w:r>
              <w:rPr>
                <w:rFonts w:hint="eastAsia" w:ascii="宋体" w:hAnsi="宋体" w:eastAsia="宋体" w:cs="Times New Roman"/>
                <w:kern w:val="0"/>
                <w:sz w:val="20"/>
                <w:szCs w:val="21"/>
              </w:rPr>
              <w:t>根据学生撰写情况以及实践导师反馈进行评分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2805BB7D">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297E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271" w:type="dxa"/>
            <w:tcBorders>
              <w:top w:val="single" w:color="auto" w:sz="4" w:space="0"/>
              <w:left w:val="single" w:color="auto" w:sz="4" w:space="0"/>
              <w:bottom w:val="single" w:color="auto" w:sz="4" w:space="0"/>
              <w:right w:val="single" w:color="auto" w:sz="4" w:space="0"/>
            </w:tcBorders>
            <w:vAlign w:val="center"/>
          </w:tcPr>
          <w:p w14:paraId="4CCA3BA5">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7791" w:type="dxa"/>
            <w:gridSpan w:val="2"/>
            <w:tcBorders>
              <w:top w:val="single" w:color="auto" w:sz="4" w:space="0"/>
              <w:left w:val="single" w:color="auto" w:sz="4" w:space="0"/>
              <w:bottom w:val="single" w:color="auto" w:sz="4" w:space="0"/>
              <w:right w:val="single" w:color="auto" w:sz="4" w:space="0"/>
            </w:tcBorders>
            <w:vAlign w:val="center"/>
          </w:tcPr>
          <w:p w14:paraId="055F063B">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00%</w:t>
            </w:r>
          </w:p>
        </w:tc>
      </w:tr>
    </w:tbl>
    <w:p w14:paraId="7E5A6ADF">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6DC2F2D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6AEABF1A">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78"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78" DrawAspect="Content" ObjectID="_1468075778" r:id="rId64">
            <o:LockedField>false</o:LockedField>
          </o:OLEObject>
        </w:object>
      </w:r>
    </w:p>
    <w:p w14:paraId="4AB22DAC">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课内实践</w:t>
      </w:r>
    </w:p>
    <w:p w14:paraId="308F089C">
      <w:pPr>
        <w:spacing w:line="360" w:lineRule="auto"/>
        <w:ind w:firstLine="411" w:firstLineChars="196"/>
        <w:jc w:val="left"/>
        <w:rPr>
          <w:rFonts w:ascii="Times New Roman" w:hAnsi="Times New Roman" w:eastAsia="宋体" w:cs="Times New Roman"/>
          <w:szCs w:val="21"/>
        </w:rPr>
      </w:pPr>
      <w:r>
        <w:rPr>
          <w:rFonts w:hint="eastAsia" w:ascii="Times New Roman" w:hAnsi="Times New Roman" w:eastAsia="宋体" w:cs="Times New Roman"/>
          <w:szCs w:val="21"/>
        </w:rPr>
        <w:t>无</w:t>
      </w:r>
    </w:p>
    <w:p w14:paraId="7A4A1C70">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六、</w:t>
      </w:r>
      <w:bookmarkStart w:id="288" w:name="_Hlk523329700"/>
      <w:bookmarkStart w:id="289" w:name="_Toc31564"/>
      <w:r>
        <w:rPr>
          <w:rFonts w:hint="eastAsia" w:ascii="宋体" w:hAnsi="宋体" w:eastAsia="宋体" w:cs="Times New Roman"/>
          <w:b/>
          <w:color w:val="000000"/>
          <w:sz w:val="24"/>
        </w:rPr>
        <w:t>有关说明</w:t>
      </w:r>
    </w:p>
    <w:p w14:paraId="0831F7BE">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FF9DBA8">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本课程根据学生见习情况、实践学校教师的反馈等，及时对教学见习中的不足之处进行改进，并在下一轮课程实施中整改完善，确保相应毕业要求指标点达成。</w:t>
      </w:r>
    </w:p>
    <w:p w14:paraId="2F6CBF9B">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9FF75A5">
      <w:pPr>
        <w:spacing w:line="360" w:lineRule="auto"/>
        <w:ind w:firstLine="525" w:firstLineChars="25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教学见习手册（自编）</w:t>
      </w:r>
    </w:p>
    <w:p w14:paraId="58514110">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bookmarkEnd w:id="288"/>
    <w:p w14:paraId="4039E20C">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义务教育小学语文/数学学科课程标准，最新版。</w:t>
      </w:r>
    </w:p>
    <w:p w14:paraId="07A1BB08">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部编版小学语文/数学各年级教材。</w:t>
      </w:r>
    </w:p>
    <w:bookmarkEnd w:id="289"/>
    <w:p w14:paraId="6290DF1F">
      <w:pPr>
        <w:spacing w:line="360" w:lineRule="auto"/>
        <w:ind w:firstLine="480" w:firstLineChars="200"/>
        <w:rPr>
          <w:rFonts w:ascii="宋体" w:hAnsi="Times New Roman" w:eastAsia="宋体" w:cs="Times New Roman"/>
          <w:sz w:val="24"/>
        </w:rPr>
      </w:pPr>
      <w:bookmarkStart w:id="290" w:name="_Toc9564"/>
      <w:r>
        <w:rPr>
          <w:rFonts w:ascii="宋体" w:hAnsi="宋体" w:eastAsia="宋体" w:cs="Times New Roman"/>
          <w:sz w:val="24"/>
        </w:rPr>
        <w:t>3.</w:t>
      </w:r>
      <w:r>
        <w:rPr>
          <w:rFonts w:hint="eastAsia" w:ascii="宋体" w:hAnsi="宋体" w:eastAsia="宋体" w:cs="Times New Roman"/>
          <w:sz w:val="24"/>
        </w:rPr>
        <w:t>陈文涛、刘霄主编：《教育实习的实践与创新》，河南大学出版社，</w:t>
      </w:r>
      <w:r>
        <w:rPr>
          <w:rFonts w:ascii="宋体" w:hAnsi="宋体" w:eastAsia="宋体" w:cs="Times New Roman"/>
          <w:sz w:val="24"/>
        </w:rPr>
        <w:t>2015</w:t>
      </w:r>
      <w:bookmarkEnd w:id="290"/>
    </w:p>
    <w:p w14:paraId="6ACC9175">
      <w:pPr>
        <w:spacing w:line="360" w:lineRule="auto"/>
        <w:rPr>
          <w:rFonts w:hint="eastAsia" w:ascii="宋体" w:hAnsi="宋体" w:eastAsia="宋体" w:cs="Times New Roman"/>
          <w:color w:val="000000"/>
          <w:sz w:val="24"/>
        </w:rPr>
      </w:pPr>
    </w:p>
    <w:p w14:paraId="44F5369B">
      <w:pPr>
        <w:spacing w:line="360" w:lineRule="auto"/>
        <w:rPr>
          <w:rFonts w:hint="eastAsia" w:ascii="宋体" w:hAnsi="宋体" w:eastAsia="宋体" w:cs="Times New Roman"/>
          <w:color w:val="000000"/>
          <w:sz w:val="24"/>
        </w:rPr>
      </w:pPr>
    </w:p>
    <w:p w14:paraId="0E3CB0F4">
      <w:pPr>
        <w:spacing w:line="360" w:lineRule="auto"/>
        <w:rPr>
          <w:rFonts w:ascii="宋体" w:hAnsi="Times New Roman"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执笔人：王雅丽</w:t>
      </w:r>
      <w:r>
        <w:rPr>
          <w:rFonts w:ascii="宋体" w:hAnsi="Times New Roman" w:eastAsia="宋体" w:cs="Times New Roman"/>
          <w:color w:val="000000"/>
          <w:sz w:val="24"/>
        </w:rPr>
        <w:t xml:space="preserve"> </w:t>
      </w:r>
    </w:p>
    <w:p w14:paraId="495D2F8C">
      <w:pPr>
        <w:spacing w:line="360" w:lineRule="auto"/>
        <w:rPr>
          <w:rFonts w:hint="eastAsia" w:ascii="宋体" w:hAnsi="宋体"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审定人：王健</w:t>
      </w:r>
    </w:p>
    <w:p w14:paraId="16F5DC76">
      <w:pPr>
        <w:spacing w:line="360" w:lineRule="auto"/>
        <w:rPr>
          <w:rFonts w:ascii="宋体" w:hAnsi="Times New Roman"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审批人：张志欣</w:t>
      </w:r>
    </w:p>
    <w:p w14:paraId="71176318">
      <w:pPr>
        <w:spacing w:line="360" w:lineRule="auto"/>
        <w:rPr>
          <w:rFonts w:hint="eastAsia" w:ascii="宋体" w:hAnsi="宋体"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批准时间：</w:t>
      </w:r>
      <w:r>
        <w:rPr>
          <w:rFonts w:ascii="宋体" w:hAnsi="宋体" w:eastAsia="宋体" w:cs="Times New Roman"/>
          <w:color w:val="000000"/>
          <w:sz w:val="24"/>
        </w:rPr>
        <w:t>2024</w:t>
      </w:r>
      <w:r>
        <w:rPr>
          <w:rFonts w:hint="eastAsia" w:ascii="宋体" w:hAnsi="宋体" w:eastAsia="宋体" w:cs="Times New Roman"/>
          <w:color w:val="000000"/>
          <w:sz w:val="24"/>
        </w:rPr>
        <w:t>年</w:t>
      </w:r>
      <w:r>
        <w:rPr>
          <w:rFonts w:ascii="宋体" w:hAnsi="宋体" w:eastAsia="宋体" w:cs="Times New Roman"/>
          <w:color w:val="000000"/>
          <w:sz w:val="24"/>
        </w:rPr>
        <w:t>8</w:t>
      </w:r>
      <w:r>
        <w:rPr>
          <w:rFonts w:hint="eastAsia" w:ascii="宋体" w:hAnsi="宋体" w:eastAsia="宋体" w:cs="Times New Roman"/>
          <w:color w:val="000000"/>
          <w:sz w:val="24"/>
        </w:rPr>
        <w:t>月</w:t>
      </w:r>
      <w:r>
        <w:rPr>
          <w:rFonts w:ascii="宋体" w:hAnsi="宋体" w:eastAsia="宋体" w:cs="Times New Roman"/>
          <w:color w:val="000000"/>
          <w:sz w:val="24"/>
        </w:rPr>
        <w:t>30</w:t>
      </w:r>
      <w:r>
        <w:rPr>
          <w:rFonts w:hint="eastAsia" w:ascii="宋体" w:hAnsi="宋体" w:eastAsia="宋体" w:cs="Times New Roman"/>
          <w:color w:val="000000"/>
          <w:sz w:val="24"/>
        </w:rPr>
        <w:t>日</w:t>
      </w:r>
    </w:p>
    <w:p w14:paraId="294193D2">
      <w:pPr>
        <w:rPr>
          <w:rFonts w:hint="eastAsia" w:ascii="宋体" w:hAnsi="宋体" w:eastAsia="宋体" w:cs="Times New Roman"/>
          <w:color w:val="000000"/>
          <w:sz w:val="24"/>
        </w:rPr>
      </w:pPr>
      <w:r>
        <w:rPr>
          <w:rFonts w:hint="eastAsia" w:ascii="宋体" w:hAnsi="宋体" w:eastAsia="宋体" w:cs="Times New Roman"/>
          <w:color w:val="000000"/>
          <w:sz w:val="24"/>
        </w:rPr>
        <w:br w:type="page"/>
      </w:r>
    </w:p>
    <w:p w14:paraId="53D09BC1">
      <w:pPr>
        <w:spacing w:line="360" w:lineRule="auto"/>
        <w:rPr>
          <w:rFonts w:hint="eastAsia" w:ascii="宋体" w:hAnsi="宋体" w:eastAsia="宋体" w:cs="Times New Roman"/>
          <w:color w:val="000000"/>
          <w:sz w:val="24"/>
        </w:rPr>
      </w:pPr>
    </w:p>
    <w:p w14:paraId="04F42B5C">
      <w:pPr>
        <w:pStyle w:val="2"/>
        <w:tabs>
          <w:tab w:val="left" w:pos="720"/>
          <w:tab w:val="left" w:pos="2700"/>
        </w:tabs>
      </w:pPr>
      <w:bookmarkStart w:id="291" w:name="_Toc28587"/>
      <w:bookmarkStart w:id="292" w:name="_Toc29674"/>
      <w:r>
        <w:rPr>
          <w:rFonts w:hint="eastAsia"/>
        </w:rPr>
        <w:t>《教育见习Ⅱ》教学大纲</w:t>
      </w:r>
      <w:bookmarkEnd w:id="286"/>
      <w:bookmarkEnd w:id="291"/>
      <w:bookmarkEnd w:id="292"/>
    </w:p>
    <w:p w14:paraId="26301FA5">
      <w:pPr>
        <w:spacing w:line="360" w:lineRule="auto"/>
        <w:ind w:firstLine="551" w:firstLineChars="196"/>
        <w:jc w:val="center"/>
        <w:rPr>
          <w:rFonts w:ascii="Times New Roman" w:hAnsi="Times New Roman" w:eastAsia="宋体" w:cs="Times New Roman"/>
          <w:b/>
          <w:bCs/>
          <w:sz w:val="28"/>
        </w:rPr>
      </w:pPr>
      <w:r>
        <w:rPr>
          <w:rFonts w:hint="eastAsia" w:ascii="Times New Roman" w:hAnsi="Times New Roman" w:eastAsia="宋体" w:cs="Times New Roman"/>
          <w:b/>
          <w:bCs/>
          <w:sz w:val="28"/>
        </w:rPr>
        <w:t>（Educational Probation Ⅱ）</w:t>
      </w:r>
    </w:p>
    <w:p w14:paraId="1F3AD1C3">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课程名称：教育见习</w:t>
      </w:r>
      <w:r>
        <w:rPr>
          <w:rFonts w:ascii="宋体" w:hAnsi="宋体" w:eastAsia="宋体" w:cs="Times New Roman"/>
          <w:b/>
          <w:color w:val="000000"/>
          <w:sz w:val="24"/>
        </w:rPr>
        <w:t>II</w:t>
      </w:r>
    </w:p>
    <w:p w14:paraId="2E8DF0FF">
      <w:pPr>
        <w:spacing w:line="360" w:lineRule="auto"/>
        <w:ind w:firstLine="482" w:firstLineChars="200"/>
        <w:rPr>
          <w:rFonts w:ascii="宋体" w:hAnsi="Times New Roman" w:eastAsia="宋体" w:cs="Times New Roman"/>
          <w:b/>
          <w:color w:val="000000"/>
          <w:sz w:val="24"/>
        </w:rPr>
      </w:pPr>
      <w:r>
        <w:rPr>
          <w:rFonts w:hint="eastAsia" w:ascii="宋体" w:hAnsi="宋体" w:eastAsia="宋体" w:cs="Times New Roman"/>
          <w:b/>
          <w:bCs/>
          <w:color w:val="000000"/>
          <w:kern w:val="0"/>
          <w:sz w:val="24"/>
        </w:rPr>
        <w:t>课程代码</w:t>
      </w:r>
      <w:r>
        <w:rPr>
          <w:rFonts w:hint="eastAsia" w:ascii="宋体" w:hAnsi="宋体" w:eastAsia="宋体" w:cs="Times New Roman"/>
          <w:b/>
          <w:color w:val="000000"/>
          <w:kern w:val="0"/>
          <w:sz w:val="24"/>
        </w:rPr>
        <w:t>：240104</w:t>
      </w:r>
      <w:r>
        <w:rPr>
          <w:rFonts w:ascii="宋体" w:hAnsi="宋体" w:eastAsia="宋体" w:cs="Times New Roman"/>
          <w:b/>
          <w:color w:val="000000"/>
          <w:kern w:val="0"/>
          <w:sz w:val="24"/>
        </w:rPr>
        <w:t>7</w:t>
      </w:r>
    </w:p>
    <w:p w14:paraId="1663213C">
      <w:pPr>
        <w:spacing w:line="360" w:lineRule="auto"/>
        <w:ind w:firstLine="482" w:firstLineChars="200"/>
        <w:rPr>
          <w:rFonts w:hint="eastAsia" w:ascii="宋体" w:hAnsi="宋体" w:eastAsia="宋体" w:cs="Times New Roman"/>
          <w:color w:val="000000"/>
          <w:kern w:val="0"/>
          <w:sz w:val="24"/>
        </w:rPr>
      </w:pPr>
      <w:r>
        <w:rPr>
          <w:rFonts w:hint="eastAsia" w:ascii="宋体" w:hAnsi="宋体" w:eastAsia="宋体" w:cs="Times New Roman"/>
          <w:b/>
          <w:bCs/>
          <w:color w:val="000000"/>
          <w:kern w:val="0"/>
          <w:sz w:val="24"/>
        </w:rPr>
        <w:t>学</w:t>
      </w:r>
      <w:r>
        <w:rPr>
          <w:rFonts w:ascii="宋体" w:hAnsi="宋体" w:eastAsia="宋体" w:cs="Times New Roman"/>
          <w:b/>
          <w:bCs/>
          <w:color w:val="000000"/>
          <w:kern w:val="0"/>
          <w:sz w:val="24"/>
        </w:rPr>
        <w:t xml:space="preserve">    </w:t>
      </w:r>
      <w:r>
        <w:rPr>
          <w:rFonts w:hint="eastAsia" w:ascii="宋体" w:hAnsi="宋体" w:eastAsia="宋体" w:cs="Times New Roman"/>
          <w:b/>
          <w:bCs/>
          <w:color w:val="000000"/>
          <w:kern w:val="0"/>
          <w:sz w:val="24"/>
        </w:rPr>
        <w:t>分：</w:t>
      </w:r>
      <w:r>
        <w:rPr>
          <w:rFonts w:hint="eastAsia" w:ascii="宋体" w:hAnsi="宋体" w:eastAsia="宋体" w:cs="Times New Roman"/>
          <w:color w:val="000000"/>
          <w:kern w:val="0"/>
          <w:sz w:val="24"/>
        </w:rPr>
        <w:t>1</w:t>
      </w:r>
    </w:p>
    <w:p w14:paraId="73FEAFEB">
      <w:pPr>
        <w:spacing w:line="360" w:lineRule="auto"/>
        <w:ind w:firstLine="482" w:firstLineChars="200"/>
        <w:rPr>
          <w:rFonts w:ascii="宋体" w:hAnsi="Times New Roman" w:eastAsia="宋体" w:cs="Times New Roman"/>
          <w:color w:val="000000"/>
          <w:kern w:val="0"/>
          <w:sz w:val="24"/>
        </w:rPr>
      </w:pPr>
      <w:r>
        <w:rPr>
          <w:rFonts w:hint="eastAsia" w:ascii="宋体" w:hAnsi="宋体" w:eastAsia="宋体" w:cs="Times New Roman"/>
          <w:b/>
          <w:bCs/>
          <w:color w:val="000000"/>
          <w:kern w:val="0"/>
          <w:sz w:val="24"/>
        </w:rPr>
        <w:t>学</w:t>
      </w:r>
      <w:r>
        <w:rPr>
          <w:rFonts w:ascii="宋体" w:hAnsi="宋体" w:eastAsia="宋体" w:cs="Times New Roman"/>
          <w:b/>
          <w:bCs/>
          <w:color w:val="000000"/>
          <w:kern w:val="0"/>
          <w:sz w:val="24"/>
        </w:rPr>
        <w:t xml:space="preserve">    </w:t>
      </w:r>
      <w:r>
        <w:rPr>
          <w:rFonts w:hint="eastAsia" w:ascii="宋体" w:hAnsi="宋体" w:eastAsia="宋体" w:cs="Times New Roman"/>
          <w:b/>
          <w:bCs/>
          <w:color w:val="000000"/>
          <w:kern w:val="0"/>
          <w:sz w:val="24"/>
        </w:rPr>
        <w:t>时：2周</w:t>
      </w:r>
    </w:p>
    <w:p w14:paraId="0CAFC243">
      <w:pPr>
        <w:spacing w:line="360" w:lineRule="auto"/>
        <w:ind w:firstLine="482" w:firstLineChars="200"/>
        <w:rPr>
          <w:rFonts w:hint="eastAsia" w:ascii="宋体" w:hAnsi="宋体" w:eastAsia="宋体" w:cs="Times New Roman"/>
          <w:b/>
          <w:bCs/>
          <w:color w:val="000000"/>
          <w:kern w:val="0"/>
          <w:sz w:val="24"/>
        </w:rPr>
      </w:pPr>
      <w:r>
        <w:rPr>
          <w:rFonts w:hint="eastAsia" w:ascii="宋体" w:hAnsi="宋体" w:eastAsia="宋体" w:cs="Times New Roman"/>
          <w:b/>
          <w:bCs/>
          <w:color w:val="000000"/>
          <w:kern w:val="0"/>
          <w:sz w:val="24"/>
        </w:rPr>
        <w:t>先修课程：</w:t>
      </w:r>
      <w:r>
        <w:rPr>
          <w:rFonts w:ascii="宋体" w:hAnsi="宋体" w:eastAsia="宋体" w:cs="Times New Roman"/>
          <w:b/>
          <w:bCs/>
          <w:color w:val="000000"/>
          <w:kern w:val="0"/>
          <w:sz w:val="24"/>
        </w:rPr>
        <w:t>小学心理学、</w:t>
      </w:r>
      <w:r>
        <w:rPr>
          <w:rFonts w:hint="eastAsia" w:ascii="宋体" w:hAnsi="宋体" w:eastAsia="宋体" w:cs="Times New Roman"/>
          <w:b/>
          <w:bCs/>
          <w:color w:val="000000"/>
          <w:kern w:val="0"/>
          <w:sz w:val="24"/>
        </w:rPr>
        <w:t>书</w:t>
      </w:r>
      <w:r>
        <w:rPr>
          <w:rFonts w:ascii="宋体" w:hAnsi="宋体" w:eastAsia="宋体" w:cs="Times New Roman"/>
          <w:b/>
          <w:bCs/>
          <w:color w:val="000000"/>
          <w:kern w:val="0"/>
          <w:sz w:val="24"/>
        </w:rPr>
        <w:t>写技能、教育原理、 教师职业道德，以及部分数学/中文类课程</w:t>
      </w:r>
    </w:p>
    <w:p w14:paraId="4DBC296E">
      <w:pPr>
        <w:spacing w:line="360" w:lineRule="auto"/>
        <w:ind w:firstLine="482" w:firstLineChars="200"/>
        <w:rPr>
          <w:rFonts w:hint="eastAsia" w:ascii="宋体" w:hAnsi="宋体" w:eastAsia="宋体" w:cs="Times New Roman"/>
          <w:b/>
          <w:bCs/>
          <w:color w:val="000000"/>
          <w:kern w:val="0"/>
          <w:sz w:val="24"/>
        </w:rPr>
      </w:pPr>
      <w:r>
        <w:rPr>
          <w:rFonts w:hint="eastAsia" w:ascii="宋体" w:hAnsi="宋体" w:eastAsia="宋体" w:cs="Times New Roman"/>
          <w:b/>
          <w:bCs/>
          <w:color w:val="000000"/>
          <w:kern w:val="0"/>
          <w:sz w:val="24"/>
        </w:rPr>
        <w:t>适用专业：小学教育（文）、小学教育（理）</w:t>
      </w:r>
      <w:r>
        <w:rPr>
          <w:rFonts w:ascii="宋体" w:hAnsi="宋体" w:eastAsia="宋体" w:cs="Times New Roman"/>
          <w:b/>
          <w:bCs/>
          <w:color w:val="000000"/>
          <w:kern w:val="0"/>
          <w:sz w:val="24"/>
        </w:rPr>
        <w:t xml:space="preserve"> </w:t>
      </w:r>
    </w:p>
    <w:p w14:paraId="468E376E">
      <w:pPr>
        <w:spacing w:line="360" w:lineRule="auto"/>
        <w:ind w:firstLine="482" w:firstLineChars="200"/>
        <w:rPr>
          <w:rFonts w:hint="eastAsia" w:ascii="宋体" w:hAnsi="宋体" w:eastAsia="宋体" w:cs="Times New Roman"/>
          <w:b/>
          <w:bCs/>
          <w:color w:val="000000"/>
          <w:kern w:val="0"/>
          <w:sz w:val="24"/>
        </w:rPr>
      </w:pPr>
      <w:r>
        <w:rPr>
          <w:rFonts w:hint="eastAsia" w:ascii="宋体" w:hAnsi="宋体" w:eastAsia="宋体" w:cs="Times New Roman"/>
          <w:b/>
          <w:bCs/>
          <w:color w:val="000000"/>
          <w:kern w:val="0"/>
          <w:sz w:val="24"/>
        </w:rPr>
        <w:t>一、课程简介</w:t>
      </w:r>
    </w:p>
    <w:p w14:paraId="58F141F7">
      <w:pPr>
        <w:spacing w:line="360" w:lineRule="auto"/>
        <w:ind w:firstLine="480" w:firstLineChars="200"/>
        <w:rPr>
          <w:rFonts w:hint="eastAsia"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教育见习</w:t>
      </w:r>
      <w:r>
        <w:rPr>
          <w:rFonts w:ascii="宋体" w:hAnsi="宋体" w:eastAsia="宋体" w:cs="Times New Roman"/>
          <w:color w:val="000000" w:themeColor="text1"/>
          <w:kern w:val="0"/>
          <w:sz w:val="24"/>
          <w14:textFill>
            <w14:solidFill>
              <w14:schemeClr w14:val="tx1"/>
            </w14:solidFill>
          </w14:textFill>
        </w:rPr>
        <w:t>II</w:t>
      </w:r>
      <w:r>
        <w:rPr>
          <w:rFonts w:hint="eastAsia" w:ascii="宋体" w:hAnsi="宋体" w:eastAsia="宋体" w:cs="Times New Roman"/>
          <w:color w:val="000000" w:themeColor="text1"/>
          <w:kern w:val="0"/>
          <w:sz w:val="24"/>
          <w14:textFill>
            <w14:solidFill>
              <w14:schemeClr w14:val="tx1"/>
            </w14:solidFill>
          </w14:textFill>
        </w:rPr>
        <w:t>是小学教育专业重要的实践性环节。本课程的任务和目的是通过教育见习，使学生充分接触教育教学实际，</w:t>
      </w:r>
      <w:r>
        <w:rPr>
          <w:rFonts w:ascii="宋体" w:hAnsi="宋体" w:eastAsia="宋体" w:cs="Times New Roman"/>
          <w:color w:val="000000" w:themeColor="text1"/>
          <w:kern w:val="0"/>
          <w:sz w:val="24"/>
          <w14:textFill>
            <w14:solidFill>
              <w14:schemeClr w14:val="tx1"/>
            </w14:solidFill>
          </w14:textFill>
        </w:rPr>
        <w:t>适应学校日常生活，熟悉教师岗位职责，增强对教师职业价值和工作复杂性的认识</w:t>
      </w:r>
      <w:r>
        <w:rPr>
          <w:rFonts w:hint="eastAsia" w:ascii="宋体" w:hAnsi="宋体" w:eastAsia="宋体" w:cs="Times New Roman"/>
          <w:color w:val="000000" w:themeColor="text1"/>
          <w:kern w:val="0"/>
          <w:sz w:val="24"/>
          <w14:textFill>
            <w14:solidFill>
              <w14:schemeClr w14:val="tx1"/>
            </w14:solidFill>
          </w14:textFill>
        </w:rPr>
        <w:t>；进一步训练学生听课、上课、评课等教学技能、班级管理和班队活动组织的技能，</w:t>
      </w:r>
      <w:r>
        <w:rPr>
          <w:rFonts w:ascii="宋体" w:hAnsi="宋体" w:eastAsia="宋体" w:cs="Times New Roman"/>
          <w:color w:val="000000" w:themeColor="text1"/>
          <w:kern w:val="0"/>
          <w:sz w:val="24"/>
          <w14:textFill>
            <w14:solidFill>
              <w14:schemeClr w14:val="tx1"/>
            </w14:solidFill>
          </w14:textFill>
        </w:rPr>
        <w:t>将专业学习与实践学习建立</w:t>
      </w:r>
      <w:r>
        <w:rPr>
          <w:rFonts w:hint="eastAsia" w:ascii="宋体" w:hAnsi="宋体" w:eastAsia="宋体" w:cs="Times New Roman"/>
          <w:color w:val="000000" w:themeColor="text1"/>
          <w:kern w:val="0"/>
          <w:sz w:val="24"/>
          <w14:textFill>
            <w14:solidFill>
              <w14:schemeClr w14:val="tx1"/>
            </w14:solidFill>
          </w14:textFill>
        </w:rPr>
        <w:t>紧密</w:t>
      </w:r>
      <w:r>
        <w:rPr>
          <w:rFonts w:ascii="宋体" w:hAnsi="宋体" w:eastAsia="宋体" w:cs="Times New Roman"/>
          <w:color w:val="000000" w:themeColor="text1"/>
          <w:kern w:val="0"/>
          <w:sz w:val="24"/>
          <w14:textFill>
            <w14:solidFill>
              <w14:schemeClr w14:val="tx1"/>
            </w14:solidFill>
          </w14:textFill>
        </w:rPr>
        <w:t>联系</w:t>
      </w:r>
      <w:r>
        <w:rPr>
          <w:rFonts w:hint="eastAsia" w:ascii="宋体" w:hAnsi="宋体" w:eastAsia="宋体" w:cs="Times New Roman"/>
          <w:color w:val="000000" w:themeColor="text1"/>
          <w:kern w:val="0"/>
          <w:sz w:val="24"/>
          <w14:textFill>
            <w14:solidFill>
              <w14:schemeClr w14:val="tx1"/>
            </w14:solidFill>
          </w14:textFill>
        </w:rPr>
        <w:t>，巩固专业知识和职业技能；培养学生研究小学教育问题的兴趣，提升</w:t>
      </w:r>
      <w:r>
        <w:rPr>
          <w:rFonts w:ascii="宋体" w:hAnsi="宋体" w:eastAsia="宋体" w:cs="Times New Roman"/>
          <w:color w:val="000000" w:themeColor="text1"/>
          <w:kern w:val="0"/>
          <w:sz w:val="24"/>
          <w14:textFill>
            <w14:solidFill>
              <w14:schemeClr w14:val="tx1"/>
            </w14:solidFill>
          </w14:textFill>
        </w:rPr>
        <w:t>综合育人的意识</w:t>
      </w:r>
      <w:r>
        <w:rPr>
          <w:rFonts w:hint="eastAsia" w:ascii="宋体" w:hAnsi="宋体" w:eastAsia="宋体" w:cs="Times New Roman"/>
          <w:color w:val="000000" w:themeColor="text1"/>
          <w:kern w:val="0"/>
          <w:sz w:val="24"/>
          <w14:textFill>
            <w14:solidFill>
              <w14:schemeClr w14:val="tx1"/>
            </w14:solidFill>
          </w14:textFill>
        </w:rPr>
        <w:t>与能力</w:t>
      </w:r>
      <w:r>
        <w:rPr>
          <w:rFonts w:ascii="宋体" w:hAnsi="宋体" w:eastAsia="宋体" w:cs="Times New Roman"/>
          <w:color w:val="000000" w:themeColor="text1"/>
          <w:kern w:val="0"/>
          <w:sz w:val="24"/>
          <w14:textFill>
            <w14:solidFill>
              <w14:schemeClr w14:val="tx1"/>
            </w14:solidFill>
          </w14:textFill>
        </w:rPr>
        <w:t>。</w:t>
      </w:r>
    </w:p>
    <w:p w14:paraId="3A7C73C0">
      <w:pPr>
        <w:spacing w:line="360" w:lineRule="auto"/>
        <w:ind w:firstLine="472" w:firstLineChars="196"/>
        <w:rPr>
          <w:rFonts w:ascii="宋体" w:hAnsi="Times New Roman" w:eastAsia="宋体" w:cs="Times New Roman"/>
          <w:b/>
          <w:color w:val="000000"/>
          <w:sz w:val="24"/>
        </w:rPr>
      </w:pPr>
      <w:r>
        <w:rPr>
          <w:rFonts w:hint="eastAsia" w:ascii="宋体" w:hAnsi="宋体" w:eastAsia="宋体" w:cs="Times New Roman"/>
          <w:b/>
          <w:color w:val="000000"/>
          <w:sz w:val="24"/>
        </w:rPr>
        <w:t>二、课程目标</w:t>
      </w:r>
    </w:p>
    <w:p w14:paraId="5371707B">
      <w:pPr>
        <w:spacing w:line="360" w:lineRule="auto"/>
        <w:ind w:firstLine="482" w:firstLineChars="200"/>
        <w:jc w:val="left"/>
        <w:rPr>
          <w:rFonts w:hint="eastAsia" w:ascii="宋体" w:hAnsi="宋体" w:eastAsia="宋体" w:cs="Times New Roman"/>
          <w:b/>
          <w:bCs/>
          <w:color w:val="000000" w:themeColor="text1"/>
          <w:sz w:val="24"/>
          <w14:textFill>
            <w14:solidFill>
              <w14:schemeClr w14:val="tx1"/>
            </w14:solidFill>
          </w14:textFill>
        </w:rPr>
      </w:pPr>
      <w:r>
        <w:rPr>
          <w:rFonts w:hint="eastAsia" w:ascii="宋体" w:hAnsi="宋体" w:eastAsia="宋体" w:cs="Times New Roman"/>
          <w:b/>
          <w:bCs/>
          <w:color w:val="000000" w:themeColor="text1"/>
          <w:sz w:val="24"/>
          <w14:textFill>
            <w14:solidFill>
              <w14:schemeClr w14:val="tx1"/>
            </w14:solidFill>
          </w14:textFill>
        </w:rPr>
        <w:t>（一）课程具体目标</w:t>
      </w:r>
    </w:p>
    <w:p w14:paraId="41F4EF75">
      <w:pPr>
        <w:spacing w:line="360" w:lineRule="auto"/>
        <w:ind w:firstLine="480" w:firstLineChars="200"/>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1.</w:t>
      </w:r>
      <w:r>
        <w:rPr>
          <w:rFonts w:hint="eastAsia" w:ascii="宋体" w:hAnsi="宋体" w:eastAsia="宋体" w:cs="Times New Roman"/>
          <w:color w:val="000000" w:themeColor="text1"/>
          <w:sz w:val="24"/>
          <w14:textFill>
            <w14:solidFill>
              <w14:schemeClr w14:val="tx1"/>
            </w14:solidFill>
          </w14:textFill>
        </w:rPr>
        <w:t>通过教育见习</w:t>
      </w:r>
      <w:r>
        <w:rPr>
          <w:rFonts w:ascii="宋体" w:hAnsi="宋体" w:eastAsia="宋体" w:cs="Times New Roman"/>
          <w:color w:val="000000" w:themeColor="text1"/>
          <w:sz w:val="24"/>
          <w14:textFill>
            <w14:solidFill>
              <w14:schemeClr w14:val="tx1"/>
            </w14:solidFill>
          </w14:textFill>
        </w:rPr>
        <w:t>II</w:t>
      </w:r>
      <w:r>
        <w:rPr>
          <w:rFonts w:hint="eastAsia" w:ascii="宋体" w:hAnsi="宋体" w:eastAsia="宋体" w:cs="Times New Roman"/>
          <w:color w:val="000000" w:themeColor="text1"/>
          <w:sz w:val="24"/>
          <w14:textFill>
            <w14:solidFill>
              <w14:schemeClr w14:val="tx1"/>
            </w14:solidFill>
          </w14:textFill>
        </w:rPr>
        <w:t>，进一步</w:t>
      </w:r>
      <w:r>
        <w:rPr>
          <w:rFonts w:ascii="宋体" w:hAnsi="宋体" w:eastAsia="宋体" w:cs="Times New Roman"/>
          <w:color w:val="000000" w:themeColor="text1"/>
          <w:sz w:val="24"/>
          <w14:textFill>
            <w14:solidFill>
              <w14:schemeClr w14:val="tx1"/>
            </w14:solidFill>
          </w14:textFill>
        </w:rPr>
        <w:t>适应学校日常生活，熟悉教师岗位职责，</w:t>
      </w:r>
      <w:r>
        <w:rPr>
          <w:rFonts w:hint="eastAsia" w:ascii="宋体" w:hAnsi="宋体" w:eastAsia="宋体" w:cs="Times New Roman"/>
          <w:color w:val="000000" w:themeColor="text1"/>
          <w:sz w:val="24"/>
          <w14:textFill>
            <w14:solidFill>
              <w14:schemeClr w14:val="tx1"/>
            </w14:solidFill>
          </w14:textFill>
        </w:rPr>
        <w:t>体验和感受教师职业的光荣感、幸福感，</w:t>
      </w:r>
      <w:r>
        <w:rPr>
          <w:rFonts w:ascii="宋体" w:hAnsi="宋体" w:eastAsia="宋体" w:cs="Times New Roman"/>
          <w:color w:val="000000" w:themeColor="text1"/>
          <w:sz w:val="24"/>
          <w14:textFill>
            <w14:solidFill>
              <w14:schemeClr w14:val="tx1"/>
            </w14:solidFill>
          </w14:textFill>
        </w:rPr>
        <w:t>增强对教师职业</w:t>
      </w:r>
      <w:r>
        <w:rPr>
          <w:rFonts w:hint="eastAsia" w:ascii="宋体" w:hAnsi="宋体" w:eastAsia="宋体" w:cs="Times New Roman"/>
          <w:color w:val="000000" w:themeColor="text1"/>
          <w:sz w:val="24"/>
          <w14:textFill>
            <w14:solidFill>
              <w14:schemeClr w14:val="tx1"/>
            </w14:solidFill>
          </w14:textFill>
        </w:rPr>
        <w:t>的责任感，充分认识教师</w:t>
      </w:r>
      <w:r>
        <w:rPr>
          <w:rFonts w:ascii="宋体" w:hAnsi="宋体" w:eastAsia="宋体" w:cs="Times New Roman"/>
          <w:color w:val="000000" w:themeColor="text1"/>
          <w:sz w:val="24"/>
          <w14:textFill>
            <w14:solidFill>
              <w14:schemeClr w14:val="tx1"/>
            </w14:solidFill>
          </w14:textFill>
        </w:rPr>
        <w:t>工作</w:t>
      </w:r>
      <w:r>
        <w:rPr>
          <w:rFonts w:hint="eastAsia" w:ascii="宋体" w:hAnsi="宋体" w:eastAsia="宋体" w:cs="Times New Roman"/>
          <w:color w:val="000000" w:themeColor="text1"/>
          <w:sz w:val="24"/>
          <w14:textFill>
            <w14:solidFill>
              <w14:schemeClr w14:val="tx1"/>
            </w14:solidFill>
          </w14:textFill>
        </w:rPr>
        <w:t>内容的</w:t>
      </w:r>
      <w:r>
        <w:rPr>
          <w:rFonts w:ascii="宋体" w:hAnsi="宋体" w:eastAsia="宋体" w:cs="Times New Roman"/>
          <w:color w:val="000000" w:themeColor="text1"/>
          <w:sz w:val="24"/>
          <w14:textFill>
            <w14:solidFill>
              <w14:schemeClr w14:val="tx1"/>
            </w14:solidFill>
          </w14:textFill>
        </w:rPr>
        <w:t>复杂性</w:t>
      </w:r>
      <w:r>
        <w:rPr>
          <w:rFonts w:hint="eastAsia" w:ascii="宋体" w:hAnsi="宋体" w:eastAsia="宋体" w:cs="Times New Roman"/>
          <w:color w:val="000000" w:themeColor="text1"/>
          <w:sz w:val="24"/>
          <w14:textFill>
            <w14:solidFill>
              <w14:schemeClr w14:val="tx1"/>
            </w14:solidFill>
          </w14:textFill>
        </w:rPr>
        <w:t>。</w:t>
      </w:r>
    </w:p>
    <w:p w14:paraId="6C932DFF">
      <w:pPr>
        <w:spacing w:line="360" w:lineRule="auto"/>
        <w:ind w:firstLine="480" w:firstLineChars="200"/>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2.</w:t>
      </w:r>
      <w:r>
        <w:rPr>
          <w:rFonts w:hint="eastAsia" w:ascii="宋体" w:hAnsi="宋体" w:eastAsia="宋体" w:cs="Times New Roman"/>
          <w:color w:val="000000" w:themeColor="text1"/>
          <w:sz w:val="24"/>
          <w14:textFill>
            <w14:solidFill>
              <w14:schemeClr w14:val="tx1"/>
            </w14:solidFill>
          </w14:textFill>
        </w:rPr>
        <w:t>通过课堂教学和班队工作见习，增进小学教学体验，积累课堂教学和班级管理的经验与方法，进一步了解小学生心理健康教育指导的要求，形成综合育人的意识。</w:t>
      </w:r>
    </w:p>
    <w:p w14:paraId="65588F50">
      <w:pPr>
        <w:spacing w:line="360" w:lineRule="auto"/>
        <w:ind w:firstLine="480" w:firstLineChars="200"/>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3.</w:t>
      </w:r>
      <w:r>
        <w:rPr>
          <w:rFonts w:hint="eastAsia" w:ascii="宋体" w:hAnsi="宋体" w:eastAsia="宋体" w:cs="Times New Roman"/>
          <w:color w:val="000000" w:themeColor="text1"/>
          <w:sz w:val="24"/>
          <w14:textFill>
            <w14:solidFill>
              <w14:schemeClr w14:val="tx1"/>
            </w14:solidFill>
          </w14:textFill>
        </w:rPr>
        <w:t>通过听课、上课等环节，熟悉小学教育工作规律，将</w:t>
      </w:r>
      <w:r>
        <w:rPr>
          <w:rFonts w:ascii="宋体" w:hAnsi="宋体" w:eastAsia="宋体" w:cs="Times New Roman"/>
          <w:color w:val="000000" w:themeColor="text1"/>
          <w:sz w:val="24"/>
          <w14:textFill>
            <w14:solidFill>
              <w14:schemeClr w14:val="tx1"/>
            </w14:solidFill>
          </w14:textFill>
        </w:rPr>
        <w:t>专业学习与实践学习建立</w:t>
      </w:r>
      <w:r>
        <w:rPr>
          <w:rFonts w:hint="eastAsia" w:ascii="宋体" w:hAnsi="宋体" w:eastAsia="宋体" w:cs="Times New Roman"/>
          <w:color w:val="000000" w:themeColor="text1"/>
          <w:sz w:val="24"/>
          <w14:textFill>
            <w14:solidFill>
              <w14:schemeClr w14:val="tx1"/>
            </w14:solidFill>
          </w14:textFill>
        </w:rPr>
        <w:t>紧密</w:t>
      </w:r>
      <w:r>
        <w:rPr>
          <w:rFonts w:ascii="宋体" w:hAnsi="宋体" w:eastAsia="宋体" w:cs="Times New Roman"/>
          <w:color w:val="000000" w:themeColor="text1"/>
          <w:sz w:val="24"/>
          <w14:textFill>
            <w14:solidFill>
              <w14:schemeClr w14:val="tx1"/>
            </w14:solidFill>
          </w14:textFill>
        </w:rPr>
        <w:t>联系，</w:t>
      </w:r>
      <w:r>
        <w:rPr>
          <w:rFonts w:hint="eastAsia" w:ascii="宋体" w:hAnsi="宋体" w:eastAsia="宋体" w:cs="Times New Roman"/>
          <w:color w:val="000000" w:themeColor="text1"/>
          <w:sz w:val="24"/>
          <w14:textFill>
            <w14:solidFill>
              <w14:schemeClr w14:val="tx1"/>
            </w14:solidFill>
          </w14:textFill>
        </w:rPr>
        <w:t>初步形成独立编写</w:t>
      </w:r>
      <w:r>
        <w:rPr>
          <w:rFonts w:ascii="宋体" w:hAnsi="宋体" w:eastAsia="宋体" w:cs="Times New Roman"/>
          <w:color w:val="000000" w:themeColor="text1"/>
          <w:sz w:val="24"/>
          <w14:textFill>
            <w14:solidFill>
              <w14:schemeClr w14:val="tx1"/>
            </w14:solidFill>
          </w14:textFill>
        </w:rPr>
        <w:t>教案</w:t>
      </w:r>
      <w:r>
        <w:rPr>
          <w:rFonts w:hint="eastAsia" w:ascii="宋体" w:hAnsi="宋体" w:eastAsia="宋体" w:cs="Times New Roman"/>
          <w:color w:val="000000" w:themeColor="text1"/>
          <w:sz w:val="24"/>
          <w14:textFill>
            <w14:solidFill>
              <w14:schemeClr w14:val="tx1"/>
            </w14:solidFill>
          </w14:textFill>
        </w:rPr>
        <w:t>和开展教学的能力，主动进行</w:t>
      </w:r>
      <w:r>
        <w:rPr>
          <w:rFonts w:ascii="宋体" w:hAnsi="宋体" w:eastAsia="宋体" w:cs="Times New Roman"/>
          <w:color w:val="000000" w:themeColor="text1"/>
          <w:sz w:val="24"/>
          <w14:textFill>
            <w14:solidFill>
              <w14:schemeClr w14:val="tx1"/>
            </w14:solidFill>
          </w14:textFill>
        </w:rPr>
        <w:t>教学反思</w:t>
      </w:r>
      <w:r>
        <w:rPr>
          <w:rFonts w:hint="eastAsia" w:ascii="宋体" w:hAnsi="宋体" w:eastAsia="宋体" w:cs="Times New Roman"/>
          <w:color w:val="000000" w:themeColor="text1"/>
          <w:sz w:val="24"/>
          <w14:textFill>
            <w14:solidFill>
              <w14:schemeClr w14:val="tx1"/>
            </w14:solidFill>
          </w14:textFill>
        </w:rPr>
        <w:t>，巩固已学的知识与能力。</w:t>
      </w:r>
    </w:p>
    <w:p w14:paraId="117EDDB0">
      <w:pPr>
        <w:spacing w:line="360" w:lineRule="auto"/>
        <w:ind w:firstLine="480" w:firstLineChars="200"/>
        <w:rPr>
          <w:rFonts w:hint="eastAsia" w:ascii="宋体" w:hAnsi="宋体" w:eastAsia="宋体" w:cs="Times New Roman"/>
          <w:b/>
          <w:bCs/>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4.</w:t>
      </w:r>
      <w:r>
        <w:rPr>
          <w:rFonts w:hint="eastAsia" w:ascii="宋体" w:hAnsi="宋体" w:eastAsia="宋体" w:cs="Times New Roman"/>
          <w:color w:val="000000" w:themeColor="text1"/>
          <w:sz w:val="24"/>
          <w14:textFill>
            <w14:solidFill>
              <w14:schemeClr w14:val="tx1"/>
            </w14:solidFill>
          </w14:textFill>
        </w:rPr>
        <w:t>通过分组见习，学会与不同的交往对象和谐相处，了解课外活动组织和管理的知识，学会与其他教师、学生、家长沟通的方法，发展沟通合作的意识。</w:t>
      </w:r>
    </w:p>
    <w:p w14:paraId="4B0B5273">
      <w:pPr>
        <w:spacing w:line="360" w:lineRule="auto"/>
        <w:ind w:firstLine="482" w:firstLineChars="200"/>
        <w:jc w:val="center"/>
        <w:rPr>
          <w:rFonts w:hint="eastAsia" w:ascii="宋体" w:hAnsi="宋体" w:eastAsia="宋体" w:cs="Times New Roman"/>
          <w:b/>
          <w:bCs/>
          <w:color w:val="000000"/>
          <w:sz w:val="24"/>
        </w:rPr>
      </w:pPr>
      <w:r>
        <w:rPr>
          <w:rFonts w:hint="eastAsia" w:ascii="宋体" w:hAnsi="宋体" w:eastAsia="宋体" w:cs="Times New Roman"/>
          <w:b/>
          <w:bCs/>
          <w:color w:val="000000"/>
          <w:sz w:val="24"/>
        </w:rPr>
        <w:t>课程目标与毕业要求的关系</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095"/>
        <w:gridCol w:w="1327"/>
      </w:tblGrid>
      <w:tr w14:paraId="3779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0C66D162">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毕业要求</w:t>
            </w:r>
          </w:p>
        </w:tc>
        <w:tc>
          <w:tcPr>
            <w:tcW w:w="6095" w:type="dxa"/>
            <w:vAlign w:val="center"/>
          </w:tcPr>
          <w:p w14:paraId="5F7B5AA4">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毕业要求指标点</w:t>
            </w:r>
          </w:p>
        </w:tc>
        <w:tc>
          <w:tcPr>
            <w:tcW w:w="1327" w:type="dxa"/>
            <w:vAlign w:val="center"/>
          </w:tcPr>
          <w:p w14:paraId="1A512EB5">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课程目标</w:t>
            </w:r>
          </w:p>
        </w:tc>
      </w:tr>
      <w:tr w14:paraId="04BF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4BA99895">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毕业要求1</w:t>
            </w:r>
            <w:r>
              <w:rPr>
                <w:rFonts w:ascii="宋体" w:hAnsi="宋体" w:eastAsia="宋体" w:cs="Times New Roman"/>
                <w:kern w:val="0"/>
                <w:szCs w:val="21"/>
              </w:rPr>
              <w:t>：</w:t>
            </w:r>
            <w:r>
              <w:rPr>
                <w:rFonts w:hint="eastAsia" w:ascii="宋体" w:hAnsi="宋体" w:eastAsia="宋体" w:cs="Times New Roman"/>
                <w:kern w:val="0"/>
                <w:szCs w:val="21"/>
              </w:rPr>
              <w:t>师德规范</w:t>
            </w:r>
          </w:p>
        </w:tc>
        <w:tc>
          <w:tcPr>
            <w:tcW w:w="6095" w:type="dxa"/>
            <w:vAlign w:val="center"/>
          </w:tcPr>
          <w:p w14:paraId="444F5A0E">
            <w:pPr>
              <w:pStyle w:val="12"/>
              <w:shd w:val="clear" w:color="auto" w:fill="FFFFFF"/>
              <w:jc w:val="both"/>
              <w:rPr>
                <w:rFonts w:hint="eastAsia"/>
                <w:sz w:val="21"/>
                <w:szCs w:val="21"/>
              </w:rPr>
            </w:pPr>
            <w:r>
              <w:rPr>
                <w:rFonts w:hint="eastAsia" w:cs="Times New Roman"/>
                <w:color w:val="000000"/>
                <w:spacing w:val="2"/>
                <w:sz w:val="21"/>
                <w:szCs w:val="21"/>
              </w:rPr>
              <w:t>指标点</w:t>
            </w:r>
            <w:r>
              <w:rPr>
                <w:color w:val="000000"/>
                <w:spacing w:val="2"/>
                <w:sz w:val="21"/>
                <w:szCs w:val="21"/>
              </w:rPr>
              <w:t>1-2:</w:t>
            </w:r>
            <w:r>
              <w:rPr>
                <w:rFonts w:hint="eastAsia"/>
                <w:sz w:val="21"/>
                <w:szCs w:val="21"/>
              </w:rPr>
              <w:t xml:space="preserve"> 【职业修养良好】以立德树人为己任，掌握立德树 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 </w:t>
            </w:r>
          </w:p>
        </w:tc>
        <w:tc>
          <w:tcPr>
            <w:tcW w:w="1327" w:type="dxa"/>
            <w:vAlign w:val="center"/>
          </w:tcPr>
          <w:p w14:paraId="333EA154">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r>
      <w:tr w14:paraId="0262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52662934">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毕业要求2</w:t>
            </w:r>
            <w:r>
              <w:rPr>
                <w:rFonts w:ascii="宋体" w:hAnsi="宋体" w:eastAsia="宋体" w:cs="Times New Roman"/>
                <w:kern w:val="0"/>
                <w:szCs w:val="21"/>
              </w:rPr>
              <w:t>:</w:t>
            </w:r>
            <w:r>
              <w:rPr>
                <w:rFonts w:hint="eastAsia" w:ascii="宋体" w:hAnsi="宋体" w:eastAsia="宋体" w:cs="Times New Roman"/>
                <w:kern w:val="0"/>
                <w:szCs w:val="21"/>
              </w:rPr>
              <w:t>教育情怀</w:t>
            </w:r>
          </w:p>
        </w:tc>
        <w:tc>
          <w:tcPr>
            <w:tcW w:w="6095" w:type="dxa"/>
            <w:vAlign w:val="center"/>
          </w:tcPr>
          <w:p w14:paraId="3447927F">
            <w:pPr>
              <w:pStyle w:val="12"/>
              <w:shd w:val="clear" w:color="auto" w:fill="FFFFFF"/>
              <w:rPr>
                <w:rFonts w:hint="eastAsia"/>
                <w:sz w:val="21"/>
                <w:szCs w:val="21"/>
              </w:rPr>
            </w:pPr>
            <w:r>
              <w:rPr>
                <w:rFonts w:hint="eastAsia"/>
                <w:color w:val="000000"/>
                <w:spacing w:val="2"/>
                <w:sz w:val="21"/>
                <w:szCs w:val="21"/>
              </w:rPr>
              <w:t>指标点2</w:t>
            </w:r>
            <w:r>
              <w:rPr>
                <w:color w:val="000000"/>
                <w:spacing w:val="2"/>
                <w:sz w:val="21"/>
                <w:szCs w:val="21"/>
              </w:rPr>
              <w:t>-2</w:t>
            </w:r>
            <w:r>
              <w:rPr>
                <w:rFonts w:hint="eastAsia"/>
                <w:color w:val="000000"/>
                <w:spacing w:val="2"/>
                <w:sz w:val="21"/>
                <w:szCs w:val="21"/>
              </w:rPr>
              <w:t>：</w:t>
            </w:r>
            <w:r>
              <w:rPr>
                <w:rFonts w:hint="eastAsia"/>
                <w:sz w:val="21"/>
                <w:szCs w:val="21"/>
              </w:rPr>
              <w:t xml:space="preserve">【仁爱之心深厚】关爱学生，用心从教。具有正确 的儿童观，理解、尊重、关爱、保护学生，以儿童发展为教育的中心。爱岗敬业，在教育实践中能认真履行教育教学职责与班主任工作职责，富有爱心、责任心、工作细心、耐心，做学生学习的促进者、道德品质和创新思维的培养者，奉献祖国的引路人。 </w:t>
            </w:r>
          </w:p>
        </w:tc>
        <w:tc>
          <w:tcPr>
            <w:tcW w:w="1327" w:type="dxa"/>
            <w:vAlign w:val="center"/>
          </w:tcPr>
          <w:p w14:paraId="38CBED7A">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3CCC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55" w:type="dxa"/>
            <w:vMerge w:val="restart"/>
            <w:vAlign w:val="center"/>
          </w:tcPr>
          <w:p w14:paraId="0A2EABFB">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毕业要求4</w:t>
            </w:r>
            <w:r>
              <w:rPr>
                <w:rFonts w:ascii="宋体" w:hAnsi="宋体" w:eastAsia="宋体" w:cs="Times New Roman"/>
                <w:kern w:val="0"/>
                <w:szCs w:val="21"/>
              </w:rPr>
              <w:t>:</w:t>
            </w:r>
            <w:r>
              <w:rPr>
                <w:rFonts w:hint="eastAsia" w:ascii="宋体" w:hAnsi="宋体" w:eastAsia="宋体" w:cs="Times New Roman"/>
                <w:kern w:val="0"/>
                <w:szCs w:val="21"/>
              </w:rPr>
              <w:t>教学能力</w:t>
            </w:r>
          </w:p>
        </w:tc>
        <w:tc>
          <w:tcPr>
            <w:tcW w:w="6095" w:type="dxa"/>
            <w:vAlign w:val="center"/>
          </w:tcPr>
          <w:p w14:paraId="3B886B8B">
            <w:pPr>
              <w:pStyle w:val="12"/>
              <w:jc w:val="both"/>
              <w:rPr>
                <w:rFonts w:hint="eastAsia"/>
                <w:sz w:val="21"/>
                <w:szCs w:val="21"/>
              </w:rPr>
            </w:pPr>
            <w:r>
              <w:rPr>
                <w:rFonts w:hint="eastAsia"/>
                <w:color w:val="000000"/>
                <w:spacing w:val="2"/>
                <w:sz w:val="21"/>
                <w:szCs w:val="21"/>
              </w:rPr>
              <w:t>指标点4</w:t>
            </w:r>
            <w:r>
              <w:rPr>
                <w:color w:val="000000"/>
                <w:spacing w:val="2"/>
                <w:sz w:val="21"/>
                <w:szCs w:val="21"/>
              </w:rPr>
              <w:t>-2</w:t>
            </w:r>
            <w:r>
              <w:rPr>
                <w:rFonts w:hint="eastAsia"/>
                <w:color w:val="000000"/>
                <w:spacing w:val="2"/>
                <w:sz w:val="21"/>
                <w:szCs w:val="21"/>
              </w:rPr>
              <w:t>：</w:t>
            </w:r>
            <w:r>
              <w:rPr>
                <w:rFonts w:hint="eastAsia"/>
                <w:sz w:val="21"/>
                <w:szCs w:val="21"/>
              </w:rPr>
              <w:t>【教学设计恰当】能针对小学生已有的知识水平、 学习经验和兴趣特点，依据课标确定恰当的学习目标和学习重 点，设计学习活动。能依据单元内容进行整体设计，科学合理地依据教学目标及内容设计作业。</w:t>
            </w:r>
          </w:p>
        </w:tc>
        <w:tc>
          <w:tcPr>
            <w:tcW w:w="1327" w:type="dxa"/>
            <w:vMerge w:val="restart"/>
            <w:vAlign w:val="center"/>
          </w:tcPr>
          <w:p w14:paraId="7B92762B">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1E9C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55" w:type="dxa"/>
            <w:vMerge w:val="continue"/>
            <w:vAlign w:val="center"/>
          </w:tcPr>
          <w:p w14:paraId="06A05213">
            <w:pPr>
              <w:spacing w:line="276" w:lineRule="auto"/>
              <w:jc w:val="center"/>
              <w:rPr>
                <w:rFonts w:hint="eastAsia" w:ascii="宋体" w:hAnsi="宋体" w:eastAsia="宋体" w:cs="Times New Roman"/>
                <w:kern w:val="0"/>
                <w:szCs w:val="21"/>
              </w:rPr>
            </w:pPr>
          </w:p>
        </w:tc>
        <w:tc>
          <w:tcPr>
            <w:tcW w:w="6095" w:type="dxa"/>
            <w:vAlign w:val="center"/>
          </w:tcPr>
          <w:p w14:paraId="4F794DC3">
            <w:pPr>
              <w:pStyle w:val="12"/>
              <w:jc w:val="both"/>
              <w:rPr>
                <w:rFonts w:hint="eastAsia"/>
                <w:sz w:val="21"/>
                <w:szCs w:val="21"/>
              </w:rPr>
            </w:pPr>
            <w:r>
              <w:rPr>
                <w:rFonts w:hint="eastAsia"/>
                <w:color w:val="000000"/>
                <w:spacing w:val="2"/>
                <w:sz w:val="21"/>
                <w:szCs w:val="21"/>
              </w:rPr>
              <w:t>指标点4</w:t>
            </w:r>
            <w:r>
              <w:rPr>
                <w:color w:val="000000"/>
                <w:spacing w:val="2"/>
                <w:sz w:val="21"/>
                <w:szCs w:val="21"/>
              </w:rPr>
              <w:t>-3</w:t>
            </w:r>
            <w:r>
              <w:rPr>
                <w:rFonts w:hint="eastAsia"/>
                <w:color w:val="000000"/>
                <w:spacing w:val="2"/>
                <w:sz w:val="21"/>
                <w:szCs w:val="21"/>
              </w:rPr>
              <w:t>：</w:t>
            </w:r>
            <w:r>
              <w:rPr>
                <w:rFonts w:hint="eastAsia"/>
                <w:sz w:val="21"/>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Merge w:val="continue"/>
            <w:vAlign w:val="center"/>
          </w:tcPr>
          <w:p w14:paraId="7BA907C7">
            <w:pPr>
              <w:spacing w:line="276" w:lineRule="auto"/>
              <w:jc w:val="left"/>
              <w:rPr>
                <w:rFonts w:hint="eastAsia" w:ascii="宋体" w:hAnsi="宋体" w:eastAsia="宋体" w:cs="Times New Roman"/>
                <w:kern w:val="0"/>
                <w:szCs w:val="21"/>
              </w:rPr>
            </w:pPr>
          </w:p>
        </w:tc>
      </w:tr>
      <w:tr w14:paraId="6D8C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71B2AC5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毕业要求5</w:t>
            </w:r>
            <w:r>
              <w:rPr>
                <w:rFonts w:ascii="宋体" w:hAnsi="宋体" w:eastAsia="宋体" w:cs="Times New Roman"/>
                <w:kern w:val="0"/>
                <w:szCs w:val="21"/>
              </w:rPr>
              <w:t>:</w:t>
            </w:r>
            <w:r>
              <w:rPr>
                <w:rFonts w:hint="eastAsia" w:ascii="宋体" w:hAnsi="宋体" w:eastAsia="宋体" w:cs="Times New Roman"/>
                <w:kern w:val="0"/>
                <w:szCs w:val="21"/>
              </w:rPr>
              <w:t>班级管理</w:t>
            </w:r>
          </w:p>
        </w:tc>
        <w:tc>
          <w:tcPr>
            <w:tcW w:w="6095" w:type="dxa"/>
            <w:vAlign w:val="center"/>
          </w:tcPr>
          <w:p w14:paraId="6E89DB32">
            <w:pPr>
              <w:pStyle w:val="12"/>
              <w:jc w:val="both"/>
              <w:rPr>
                <w:rFonts w:hint="eastAsia"/>
                <w:sz w:val="21"/>
                <w:szCs w:val="21"/>
              </w:rPr>
            </w:pPr>
            <w:r>
              <w:rPr>
                <w:rFonts w:hint="eastAsia"/>
                <w:color w:val="000000"/>
                <w:spacing w:val="2"/>
                <w:sz w:val="21"/>
                <w:szCs w:val="21"/>
              </w:rPr>
              <w:t>指标点5</w:t>
            </w:r>
            <w:r>
              <w:rPr>
                <w:color w:val="000000"/>
                <w:spacing w:val="2"/>
                <w:sz w:val="21"/>
                <w:szCs w:val="21"/>
              </w:rPr>
              <w:t>-1:</w:t>
            </w:r>
            <w:r>
              <w:rPr>
                <w:rFonts w:hint="eastAsia"/>
                <w:sz w:val="21"/>
                <w:szCs w:val="21"/>
              </w:rPr>
              <w:t xml:space="preserve">【擅长班队管理】具有小学德育工作体验，树立育 人为本、德育为先的理念，熟悉小学德育的基本原理与方法。获得小学班队组织与建设的体验。掌握小学班队组织与建设的工作规律和基本方法，具有班队建设和管理的基本能力。能够在工作实践中，利用技术手段收集学生成长过程的关键信息，建立学生成长电子档案，对学生进行综合素质评价，指导学生成长，关注学生生活，运用德育的理论和方法组织与指导班队活动。 </w:t>
            </w:r>
          </w:p>
        </w:tc>
        <w:tc>
          <w:tcPr>
            <w:tcW w:w="1327" w:type="dxa"/>
            <w:vAlign w:val="center"/>
          </w:tcPr>
          <w:p w14:paraId="39AAEE7F">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3106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3BD2E699">
            <w:pPr>
              <w:spacing w:line="276" w:lineRule="auto"/>
              <w:jc w:val="center"/>
              <w:rPr>
                <w:rFonts w:hint="eastAsia" w:ascii="宋体" w:hAnsi="宋体" w:eastAsia="宋体" w:cs="Times New Roman"/>
                <w:kern w:val="0"/>
                <w:szCs w:val="21"/>
              </w:rPr>
            </w:pPr>
          </w:p>
        </w:tc>
        <w:tc>
          <w:tcPr>
            <w:tcW w:w="6095" w:type="dxa"/>
            <w:vAlign w:val="center"/>
          </w:tcPr>
          <w:p w14:paraId="24E544F0">
            <w:pPr>
              <w:pStyle w:val="12"/>
              <w:rPr>
                <w:rFonts w:hint="eastAsia"/>
                <w:sz w:val="21"/>
                <w:szCs w:val="21"/>
              </w:rPr>
            </w:pPr>
            <w:r>
              <w:rPr>
                <w:rFonts w:hint="eastAsia"/>
                <w:color w:val="000000"/>
                <w:spacing w:val="2"/>
                <w:sz w:val="21"/>
                <w:szCs w:val="21"/>
              </w:rPr>
              <w:t>指标点5</w:t>
            </w:r>
            <w:r>
              <w:rPr>
                <w:color w:val="000000"/>
                <w:spacing w:val="2"/>
                <w:sz w:val="21"/>
                <w:szCs w:val="21"/>
              </w:rPr>
              <w:t>-2:</w:t>
            </w:r>
            <w:r>
              <w:rPr>
                <w:rFonts w:hint="eastAsia"/>
                <w:sz w:val="21"/>
                <w:szCs w:val="21"/>
              </w:rPr>
              <w:t>【重视身心健康教育】了解小学生身体、情感发展 的特性和差异性，包括小学生日常卫生保健、传染病预防、意外 伤害事故处理等相关知识，掌握面临特殊事件发生时保护学生的 基本方法。获得小学心理健康教育指导体验，在教育教学实践中， 参与组织与指导对小学生心理健康教育的科普宣传及心理辅导， 掌握小学心理健康教育的基本方法。</w:t>
            </w:r>
          </w:p>
        </w:tc>
        <w:tc>
          <w:tcPr>
            <w:tcW w:w="1327" w:type="dxa"/>
            <w:vAlign w:val="center"/>
          </w:tcPr>
          <w:p w14:paraId="0A927E5D">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46E6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5BD35A19">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毕业要求6</w:t>
            </w:r>
            <w:r>
              <w:rPr>
                <w:rFonts w:ascii="宋体" w:hAnsi="宋体" w:eastAsia="宋体" w:cs="Times New Roman"/>
                <w:kern w:val="0"/>
                <w:szCs w:val="21"/>
              </w:rPr>
              <w:t>:</w:t>
            </w:r>
            <w:r>
              <w:rPr>
                <w:rFonts w:hint="eastAsia" w:ascii="宋体" w:hAnsi="宋体" w:eastAsia="宋体" w:cs="Times New Roman"/>
                <w:kern w:val="0"/>
                <w:szCs w:val="21"/>
              </w:rPr>
              <w:t>综合育人</w:t>
            </w:r>
          </w:p>
        </w:tc>
        <w:tc>
          <w:tcPr>
            <w:tcW w:w="6095" w:type="dxa"/>
            <w:vAlign w:val="center"/>
          </w:tcPr>
          <w:p w14:paraId="56346AB1">
            <w:pPr>
              <w:pStyle w:val="12"/>
              <w:jc w:val="both"/>
              <w:rPr>
                <w:rFonts w:hint="eastAsia"/>
                <w:sz w:val="21"/>
                <w:szCs w:val="21"/>
              </w:rPr>
            </w:pPr>
            <w:r>
              <w:rPr>
                <w:rFonts w:hint="eastAsia"/>
                <w:color w:val="000000"/>
                <w:spacing w:val="2"/>
                <w:sz w:val="21"/>
                <w:szCs w:val="21"/>
              </w:rPr>
              <w:t>指标点6</w:t>
            </w:r>
            <w:r>
              <w:rPr>
                <w:color w:val="000000"/>
                <w:spacing w:val="2"/>
                <w:sz w:val="21"/>
                <w:szCs w:val="21"/>
              </w:rPr>
              <w:t>-1:</w:t>
            </w:r>
            <w:r>
              <w:rPr>
                <w:rFonts w:hint="eastAsia"/>
                <w:sz w:val="21"/>
                <w:szCs w:val="21"/>
              </w:rPr>
              <w:t>【遵循身心规律】了解不同年龄以及有特殊需要的小学生的身心发展特点和规律、不同年龄小学生学习的特点，掌 握小学生良好行为习惯养成的知识。</w:t>
            </w:r>
          </w:p>
        </w:tc>
        <w:tc>
          <w:tcPr>
            <w:tcW w:w="1327" w:type="dxa"/>
            <w:vAlign w:val="center"/>
          </w:tcPr>
          <w:p w14:paraId="33EDDA93">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6AC8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26A3E82F">
            <w:pPr>
              <w:spacing w:line="276" w:lineRule="auto"/>
              <w:jc w:val="center"/>
              <w:rPr>
                <w:rFonts w:hint="eastAsia" w:ascii="宋体" w:hAnsi="宋体" w:eastAsia="宋体" w:cs="Times New Roman"/>
                <w:kern w:val="0"/>
                <w:szCs w:val="21"/>
              </w:rPr>
            </w:pPr>
          </w:p>
        </w:tc>
        <w:tc>
          <w:tcPr>
            <w:tcW w:w="6095" w:type="dxa"/>
            <w:vAlign w:val="center"/>
          </w:tcPr>
          <w:p w14:paraId="790F21D2">
            <w:pPr>
              <w:pStyle w:val="12"/>
              <w:jc w:val="both"/>
              <w:rPr>
                <w:rFonts w:hint="eastAsia"/>
                <w:sz w:val="21"/>
                <w:szCs w:val="21"/>
              </w:rPr>
            </w:pPr>
            <w:r>
              <w:rPr>
                <w:rFonts w:hint="eastAsia"/>
                <w:color w:val="000000"/>
                <w:spacing w:val="2"/>
                <w:sz w:val="21"/>
                <w:szCs w:val="21"/>
              </w:rPr>
              <w:t>指标点6</w:t>
            </w:r>
            <w:r>
              <w:rPr>
                <w:color w:val="000000"/>
                <w:spacing w:val="2"/>
                <w:sz w:val="21"/>
                <w:szCs w:val="21"/>
              </w:rPr>
              <w:t>-2:</w:t>
            </w:r>
            <w:r>
              <w:rPr>
                <w:rFonts w:hint="eastAsia"/>
                <w:sz w:val="21"/>
                <w:szCs w:val="21"/>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549171D2">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课程目标1</w:t>
            </w:r>
          </w:p>
        </w:tc>
      </w:tr>
      <w:tr w14:paraId="622D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23554DE8">
            <w:pPr>
              <w:spacing w:line="276" w:lineRule="auto"/>
              <w:jc w:val="center"/>
              <w:rPr>
                <w:rFonts w:hint="eastAsia" w:ascii="宋体" w:hAnsi="宋体" w:eastAsia="宋体" w:cs="Times New Roman"/>
                <w:kern w:val="0"/>
                <w:szCs w:val="21"/>
              </w:rPr>
            </w:pPr>
          </w:p>
        </w:tc>
        <w:tc>
          <w:tcPr>
            <w:tcW w:w="6095" w:type="dxa"/>
            <w:vAlign w:val="center"/>
          </w:tcPr>
          <w:p w14:paraId="1A9A710F">
            <w:pPr>
              <w:pStyle w:val="12"/>
              <w:jc w:val="both"/>
              <w:rPr>
                <w:rFonts w:hint="eastAsia"/>
                <w:sz w:val="21"/>
                <w:szCs w:val="21"/>
              </w:rPr>
            </w:pPr>
            <w:r>
              <w:rPr>
                <w:rFonts w:hint="eastAsia"/>
                <w:color w:val="000000"/>
                <w:spacing w:val="2"/>
                <w:sz w:val="21"/>
                <w:szCs w:val="21"/>
              </w:rPr>
              <w:t>指标点6</w:t>
            </w:r>
            <w:r>
              <w:rPr>
                <w:color w:val="000000"/>
                <w:spacing w:val="2"/>
                <w:sz w:val="21"/>
                <w:szCs w:val="21"/>
              </w:rPr>
              <w:t>-3:</w:t>
            </w:r>
            <w:r>
              <w:rPr>
                <w:rFonts w:hint="eastAsia"/>
                <w:sz w:val="21"/>
                <w:szCs w:val="21"/>
              </w:rPr>
              <w:t xml:space="preserve"> 【善于文化与活动育人】了解课外活动组织和管理 知识，掌握学校文化和各类课外教育活动的育人内涵和方法，在 教育教学实践中，参与组织主题教育、少先队活动和社团活动， 促进小学生全面、健康发展。</w:t>
            </w:r>
          </w:p>
        </w:tc>
        <w:tc>
          <w:tcPr>
            <w:tcW w:w="1327" w:type="dxa"/>
            <w:vAlign w:val="center"/>
          </w:tcPr>
          <w:p w14:paraId="31F013A2">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59A2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18604034">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毕业要求7</w:t>
            </w:r>
            <w:r>
              <w:rPr>
                <w:rFonts w:ascii="宋体" w:hAnsi="宋体" w:eastAsia="宋体" w:cs="Times New Roman"/>
                <w:kern w:val="0"/>
                <w:szCs w:val="21"/>
              </w:rPr>
              <w:t>:</w:t>
            </w:r>
            <w:r>
              <w:rPr>
                <w:rFonts w:hint="eastAsia" w:ascii="宋体" w:hAnsi="宋体" w:eastAsia="宋体" w:cs="Times New Roman"/>
                <w:kern w:val="0"/>
                <w:szCs w:val="21"/>
              </w:rPr>
              <w:t>学会反思</w:t>
            </w:r>
          </w:p>
        </w:tc>
        <w:tc>
          <w:tcPr>
            <w:tcW w:w="6095" w:type="dxa"/>
            <w:vAlign w:val="center"/>
          </w:tcPr>
          <w:p w14:paraId="3F8BC88F">
            <w:pPr>
              <w:pStyle w:val="12"/>
              <w:rPr>
                <w:rFonts w:hint="eastAsia"/>
                <w:sz w:val="21"/>
                <w:szCs w:val="21"/>
              </w:rPr>
            </w:pPr>
            <w:r>
              <w:rPr>
                <w:rFonts w:hint="eastAsia"/>
                <w:color w:val="000000"/>
                <w:spacing w:val="2"/>
                <w:sz w:val="21"/>
                <w:szCs w:val="21"/>
              </w:rPr>
              <w:t>指标点7</w:t>
            </w:r>
            <w:r>
              <w:rPr>
                <w:color w:val="000000"/>
                <w:spacing w:val="2"/>
                <w:sz w:val="21"/>
                <w:szCs w:val="21"/>
              </w:rPr>
              <w:t>-3:</w:t>
            </w:r>
            <w:r>
              <w:rPr>
                <w:rFonts w:hint="eastAsia"/>
                <w:sz w:val="21"/>
                <w:szCs w:val="21"/>
              </w:rPr>
              <w:t xml:space="preserve"> 【反思改进良好】具有反思意识和批判性思维素养， 初步掌握反思方法和技能，具有一定创新意识，掌握收集和挖掘 教育教学实践中的案例、关键事件的方法，不断进行反思，启发 教育教学工作。对在日常学习和教育实践中发现的教育现象和问 题，进行探索和研究，有自己的思考和见解。</w:t>
            </w:r>
          </w:p>
        </w:tc>
        <w:tc>
          <w:tcPr>
            <w:tcW w:w="1327" w:type="dxa"/>
            <w:vAlign w:val="center"/>
          </w:tcPr>
          <w:p w14:paraId="7099DC3B">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204D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50A5FF16">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毕业要求8</w:t>
            </w:r>
            <w:r>
              <w:rPr>
                <w:rFonts w:ascii="宋体" w:hAnsi="宋体" w:eastAsia="宋体" w:cs="Times New Roman"/>
                <w:kern w:val="0"/>
                <w:szCs w:val="21"/>
              </w:rPr>
              <w:t>:</w:t>
            </w:r>
            <w:r>
              <w:rPr>
                <w:rFonts w:hint="eastAsia" w:ascii="宋体" w:hAnsi="宋体" w:eastAsia="宋体" w:cs="Times New Roman"/>
                <w:kern w:val="0"/>
                <w:szCs w:val="21"/>
              </w:rPr>
              <w:t>沟通合作</w:t>
            </w:r>
          </w:p>
        </w:tc>
        <w:tc>
          <w:tcPr>
            <w:tcW w:w="6095" w:type="dxa"/>
            <w:vAlign w:val="center"/>
          </w:tcPr>
          <w:p w14:paraId="0B37D57F">
            <w:pPr>
              <w:pStyle w:val="12"/>
              <w:rPr>
                <w:rFonts w:hint="eastAsia"/>
                <w:sz w:val="21"/>
                <w:szCs w:val="21"/>
              </w:rPr>
            </w:pPr>
            <w:r>
              <w:rPr>
                <w:rFonts w:hint="eastAsia"/>
                <w:color w:val="000000"/>
                <w:spacing w:val="2"/>
                <w:sz w:val="21"/>
                <w:szCs w:val="21"/>
              </w:rPr>
              <w:t>指标点8</w:t>
            </w:r>
            <w:r>
              <w:rPr>
                <w:color w:val="000000"/>
                <w:spacing w:val="2"/>
                <w:sz w:val="21"/>
                <w:szCs w:val="21"/>
              </w:rPr>
              <w:t>-1:</w:t>
            </w:r>
            <w:r>
              <w:rPr>
                <w:rFonts w:hint="eastAsia"/>
                <w:sz w:val="21"/>
                <w:szCs w:val="21"/>
              </w:rPr>
              <w:t xml:space="preserve"> 【善于团队合作】理解学习共同体的本质和价值， 掌握团队协作的基本策略，在课堂学习与教育实践中获得合作学 习体验，形成团队协作精神。</w:t>
            </w:r>
          </w:p>
        </w:tc>
        <w:tc>
          <w:tcPr>
            <w:tcW w:w="1327" w:type="dxa"/>
            <w:vAlign w:val="center"/>
          </w:tcPr>
          <w:p w14:paraId="78062F31">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课程目标4</w:t>
            </w:r>
          </w:p>
        </w:tc>
      </w:tr>
      <w:tr w14:paraId="7167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541A822D">
            <w:pPr>
              <w:spacing w:line="276" w:lineRule="auto"/>
              <w:jc w:val="center"/>
              <w:rPr>
                <w:rFonts w:hint="eastAsia" w:ascii="宋体" w:hAnsi="宋体" w:eastAsia="宋体" w:cs="Times New Roman"/>
                <w:kern w:val="0"/>
                <w:szCs w:val="21"/>
              </w:rPr>
            </w:pPr>
          </w:p>
        </w:tc>
        <w:tc>
          <w:tcPr>
            <w:tcW w:w="6095" w:type="dxa"/>
            <w:vAlign w:val="center"/>
          </w:tcPr>
          <w:p w14:paraId="1800E4B2">
            <w:pPr>
              <w:pStyle w:val="12"/>
              <w:rPr>
                <w:rFonts w:hint="eastAsia"/>
                <w:sz w:val="21"/>
                <w:szCs w:val="21"/>
              </w:rPr>
            </w:pPr>
            <w:r>
              <w:rPr>
                <w:rFonts w:hint="eastAsia"/>
                <w:color w:val="000000"/>
                <w:spacing w:val="2"/>
                <w:sz w:val="21"/>
                <w:szCs w:val="21"/>
              </w:rPr>
              <w:t>指标点8</w:t>
            </w:r>
            <w:r>
              <w:rPr>
                <w:color w:val="000000"/>
                <w:spacing w:val="2"/>
                <w:sz w:val="21"/>
                <w:szCs w:val="21"/>
              </w:rPr>
              <w:t>-2:</w:t>
            </w:r>
            <w:r>
              <w:rPr>
                <w:rFonts w:hint="eastAsia"/>
                <w:sz w:val="21"/>
                <w:szCs w:val="21"/>
              </w:rPr>
              <w:t xml:space="preserve"> 【学会沟通交流】掌握人际沟通合作技能与方法， 在教育教学实践中，能与学生和家长以及同行、同事、专家进行 有效沟通与合作，实现共同发展。</w:t>
            </w:r>
          </w:p>
        </w:tc>
        <w:tc>
          <w:tcPr>
            <w:tcW w:w="1327" w:type="dxa"/>
            <w:vAlign w:val="center"/>
          </w:tcPr>
          <w:p w14:paraId="75524D2A">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课程目标4</w:t>
            </w:r>
          </w:p>
        </w:tc>
      </w:tr>
    </w:tbl>
    <w:p w14:paraId="1E9838A0">
      <w:pPr>
        <w:spacing w:line="360" w:lineRule="auto"/>
        <w:jc w:val="center"/>
        <w:rPr>
          <w:rFonts w:hint="eastAsia" w:ascii="宋体" w:hAnsi="宋体" w:eastAsia="宋体" w:cs="Times New Roman"/>
          <w:b/>
          <w:bCs/>
          <w:color w:val="000000"/>
          <w:sz w:val="24"/>
        </w:rPr>
      </w:pPr>
    </w:p>
    <w:p w14:paraId="50C1041A">
      <w:pPr>
        <w:spacing w:line="360" w:lineRule="auto"/>
        <w:ind w:firstLine="482" w:firstLineChars="200"/>
        <w:jc w:val="left"/>
        <w:rPr>
          <w:rFonts w:hint="eastAsia" w:ascii="宋体" w:hAnsi="宋体" w:eastAsia="宋体" w:cs="Times New Roman"/>
          <w:b/>
          <w:bCs/>
          <w:color w:val="000000" w:themeColor="text1"/>
          <w:sz w:val="24"/>
          <w14:textFill>
            <w14:solidFill>
              <w14:schemeClr w14:val="tx1"/>
            </w14:solidFill>
          </w14:textFill>
        </w:rPr>
      </w:pPr>
      <w:r>
        <w:rPr>
          <w:rFonts w:hint="eastAsia" w:ascii="宋体" w:hAnsi="宋体" w:eastAsia="宋体" w:cs="Times New Roman"/>
          <w:b/>
          <w:bCs/>
          <w:color w:val="000000" w:themeColor="text1"/>
          <w:sz w:val="24"/>
          <w14:textFill>
            <w14:solidFill>
              <w14:schemeClr w14:val="tx1"/>
            </w14:solidFill>
          </w14:textFill>
        </w:rPr>
        <w:t>（三）课程思政目标</w:t>
      </w:r>
    </w:p>
    <w:p w14:paraId="17C73935">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坚定教育理念，增强教育情怀，在工作和实践中善于学习，正确认识教育规律，关心关爱学生，</w:t>
      </w:r>
      <w:r>
        <w:rPr>
          <w:rFonts w:ascii="宋体" w:hAnsi="宋体" w:eastAsia="宋体" w:cs="Times New Roman"/>
          <w:color w:val="000000"/>
          <w:szCs w:val="21"/>
        </w:rPr>
        <w:t>形成学科育人的意识，</w:t>
      </w:r>
      <w:r>
        <w:rPr>
          <w:rFonts w:hint="eastAsia" w:ascii="宋体" w:hAnsi="宋体" w:eastAsia="宋体" w:cs="Times New Roman"/>
          <w:color w:val="000000"/>
          <w:szCs w:val="21"/>
        </w:rPr>
        <w:t>初步</w:t>
      </w:r>
      <w:r>
        <w:rPr>
          <w:rFonts w:ascii="宋体" w:hAnsi="宋体" w:eastAsia="宋体" w:cs="Times New Roman"/>
          <w:color w:val="000000"/>
          <w:szCs w:val="21"/>
        </w:rPr>
        <w:t>掌握</w:t>
      </w:r>
      <w:r>
        <w:rPr>
          <w:rFonts w:hint="eastAsia" w:ascii="宋体" w:hAnsi="宋体" w:eastAsia="宋体" w:cs="Times New Roman"/>
          <w:color w:val="000000"/>
          <w:szCs w:val="21"/>
        </w:rPr>
        <w:t>教书</w:t>
      </w:r>
      <w:r>
        <w:rPr>
          <w:rFonts w:ascii="宋体" w:hAnsi="宋体" w:eastAsia="宋体" w:cs="Times New Roman"/>
          <w:color w:val="000000"/>
          <w:szCs w:val="21"/>
        </w:rPr>
        <w:t>育人的方法。</w:t>
      </w:r>
    </w:p>
    <w:p w14:paraId="50EA5EF9">
      <w:pPr>
        <w:spacing w:line="360" w:lineRule="auto"/>
        <w:ind w:firstLine="472" w:firstLineChars="196"/>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758"/>
        <w:gridCol w:w="1560"/>
        <w:gridCol w:w="1984"/>
        <w:gridCol w:w="1366"/>
        <w:gridCol w:w="760"/>
      </w:tblGrid>
      <w:tr w14:paraId="6E36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4A4A638D">
            <w:pPr>
              <w:spacing w:line="276" w:lineRule="auto"/>
              <w:jc w:val="center"/>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知识</w:t>
            </w:r>
          </w:p>
          <w:p w14:paraId="22DA040C">
            <w:pPr>
              <w:spacing w:line="276" w:lineRule="auto"/>
              <w:jc w:val="center"/>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单元</w:t>
            </w:r>
          </w:p>
        </w:tc>
        <w:tc>
          <w:tcPr>
            <w:tcW w:w="2758" w:type="dxa"/>
            <w:vAlign w:val="center"/>
          </w:tcPr>
          <w:p w14:paraId="20DA0273">
            <w:pPr>
              <w:spacing w:line="276" w:lineRule="auto"/>
              <w:jc w:val="center"/>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知识点</w:t>
            </w:r>
          </w:p>
        </w:tc>
        <w:tc>
          <w:tcPr>
            <w:tcW w:w="1560" w:type="dxa"/>
            <w:vAlign w:val="center"/>
          </w:tcPr>
          <w:p w14:paraId="669CB132">
            <w:pPr>
              <w:spacing w:line="276" w:lineRule="auto"/>
              <w:jc w:val="center"/>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对应</w:t>
            </w:r>
          </w:p>
          <w:p w14:paraId="2446A694">
            <w:pPr>
              <w:spacing w:line="276" w:lineRule="auto"/>
              <w:jc w:val="center"/>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课程目标</w:t>
            </w:r>
          </w:p>
        </w:tc>
        <w:tc>
          <w:tcPr>
            <w:tcW w:w="1984" w:type="dxa"/>
            <w:vAlign w:val="center"/>
          </w:tcPr>
          <w:p w14:paraId="45714652">
            <w:pPr>
              <w:spacing w:line="276" w:lineRule="auto"/>
              <w:jc w:val="center"/>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预期学习成效</w:t>
            </w:r>
          </w:p>
        </w:tc>
        <w:tc>
          <w:tcPr>
            <w:tcW w:w="1366" w:type="dxa"/>
            <w:vAlign w:val="center"/>
          </w:tcPr>
          <w:p w14:paraId="25A3875D">
            <w:pPr>
              <w:spacing w:line="276" w:lineRule="auto"/>
              <w:jc w:val="center"/>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实现环节</w:t>
            </w:r>
          </w:p>
        </w:tc>
        <w:tc>
          <w:tcPr>
            <w:tcW w:w="760" w:type="dxa"/>
            <w:vAlign w:val="center"/>
          </w:tcPr>
          <w:p w14:paraId="0D8CD0E2">
            <w:pPr>
              <w:spacing w:line="276" w:lineRule="auto"/>
              <w:jc w:val="center"/>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学时</w:t>
            </w:r>
          </w:p>
        </w:tc>
      </w:tr>
      <w:tr w14:paraId="61E3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2C00EFF8">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w:t>
            </w:r>
            <w:r>
              <w:rPr>
                <w:rFonts w:hint="eastAsia" w:ascii="Times New Roman" w:hAnsi="Times New Roman" w:eastAsia="宋体" w:cs="Times New Roman"/>
                <w:kern w:val="0"/>
                <w:szCs w:val="21"/>
              </w:rPr>
              <w:t>学校考察</w:t>
            </w:r>
          </w:p>
        </w:tc>
        <w:tc>
          <w:tcPr>
            <w:tcW w:w="2758" w:type="dxa"/>
            <w:vAlign w:val="center"/>
          </w:tcPr>
          <w:p w14:paraId="3B02B8AA">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观察学校空间、师生日常活动，体会学校校园文化和办学理念；聆听学校负责人介绍学校建设情况、教育教学理念、特色文化；采用观察法或访谈法，聚焦一个主题开展教育调查，分析和总结见习学校的教育教学改革情况</w:t>
            </w:r>
            <w:r>
              <w:rPr>
                <w:rFonts w:hint="eastAsia" w:ascii="宋体" w:hAnsi="宋体" w:eastAsia="宋体" w:cs="Times New Roman"/>
                <w:color w:val="000000"/>
                <w:kern w:val="0"/>
                <w:szCs w:val="21"/>
              </w:rPr>
              <w:t>。</w:t>
            </w:r>
          </w:p>
        </w:tc>
        <w:tc>
          <w:tcPr>
            <w:tcW w:w="1560" w:type="dxa"/>
            <w:vAlign w:val="center"/>
          </w:tcPr>
          <w:p w14:paraId="727314BE">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课程目标1、3</w:t>
            </w:r>
          </w:p>
        </w:tc>
        <w:tc>
          <w:tcPr>
            <w:tcW w:w="1984" w:type="dxa"/>
            <w:vAlign w:val="center"/>
          </w:tcPr>
          <w:p w14:paraId="43EFA5B3">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认真考察校园文化，听取学校专题介绍，与指导教师深入交流</w:t>
            </w:r>
            <w:r>
              <w:rPr>
                <w:rFonts w:hint="eastAsia" w:ascii="宋体" w:hAnsi="宋体" w:eastAsia="宋体" w:cs="Times New Roman"/>
                <w:color w:val="000000"/>
                <w:kern w:val="0"/>
                <w:szCs w:val="21"/>
              </w:rPr>
              <w:t>，</w:t>
            </w:r>
            <w:r>
              <w:rPr>
                <w:rFonts w:ascii="宋体" w:hAnsi="宋体" w:eastAsia="宋体" w:cs="Times New Roman"/>
                <w:color w:val="000000"/>
                <w:kern w:val="0"/>
                <w:szCs w:val="21"/>
              </w:rPr>
              <w:t>完成1份教育调查报告。调查报告内容完整、方法合理，重点突出，数据和内容真实。</w:t>
            </w:r>
          </w:p>
        </w:tc>
        <w:tc>
          <w:tcPr>
            <w:tcW w:w="1366" w:type="dxa"/>
            <w:vAlign w:val="center"/>
          </w:tcPr>
          <w:p w14:paraId="5BB4946D">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1.跟岗学习</w:t>
            </w:r>
          </w:p>
          <w:p w14:paraId="39AEEF9E">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2.交流研讨</w:t>
            </w:r>
          </w:p>
          <w:p w14:paraId="072B47F5">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3</w:t>
            </w:r>
            <w:r>
              <w:rPr>
                <w:rFonts w:hint="eastAsia" w:ascii="宋体" w:hAnsi="宋体" w:eastAsia="宋体" w:cs="Times New Roman"/>
                <w:color w:val="000000"/>
                <w:kern w:val="0"/>
                <w:szCs w:val="21"/>
              </w:rPr>
              <w:t>.自主实践</w:t>
            </w:r>
          </w:p>
        </w:tc>
        <w:tc>
          <w:tcPr>
            <w:tcW w:w="760" w:type="dxa"/>
            <w:vAlign w:val="center"/>
          </w:tcPr>
          <w:p w14:paraId="22744764">
            <w:pPr>
              <w:spacing w:line="276" w:lineRule="auto"/>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2</w:t>
            </w:r>
            <w:r>
              <w:rPr>
                <w:rFonts w:hint="eastAsia" w:ascii="宋体" w:hAnsi="宋体" w:eastAsia="宋体" w:cs="Times New Roman"/>
                <w:color w:val="000000"/>
                <w:kern w:val="0"/>
                <w:szCs w:val="21"/>
              </w:rPr>
              <w:t>天</w:t>
            </w:r>
          </w:p>
        </w:tc>
      </w:tr>
      <w:tr w14:paraId="27C1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70103550">
            <w:pPr>
              <w:spacing w:line="276" w:lineRule="auto"/>
              <w:jc w:val="center"/>
              <w:rPr>
                <w:rFonts w:hint="eastAsia" w:ascii="宋体" w:hAnsi="宋体" w:eastAsia="宋体" w:cs="Times New Roman"/>
                <w:color w:val="000000"/>
                <w:kern w:val="0"/>
                <w:szCs w:val="21"/>
              </w:rPr>
            </w:pPr>
          </w:p>
        </w:tc>
        <w:tc>
          <w:tcPr>
            <w:tcW w:w="8428" w:type="dxa"/>
            <w:gridSpan w:val="5"/>
            <w:vAlign w:val="center"/>
          </w:tcPr>
          <w:p w14:paraId="38DA3F77">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b/>
                <w:color w:val="000000"/>
                <w:kern w:val="0"/>
                <w:szCs w:val="21"/>
              </w:rPr>
              <w:t>课程思政目标：</w:t>
            </w:r>
            <w:r>
              <w:rPr>
                <w:rFonts w:ascii="宋体" w:hAnsi="宋体" w:eastAsia="宋体" w:cs="Times New Roman"/>
                <w:color w:val="000000"/>
                <w:kern w:val="0"/>
                <w:szCs w:val="21"/>
              </w:rPr>
              <w:t>把“立德树人”教育目标融入实践过程中，领悟教师职业的价值，树立职业理想，立志成为有理想信念、有道德情操、有扎实学识、有仁爱之心的好教师。</w:t>
            </w:r>
          </w:p>
        </w:tc>
      </w:tr>
      <w:tr w14:paraId="0FE1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464D2263">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w:t>
            </w:r>
            <w:r>
              <w:rPr>
                <w:rFonts w:ascii="宋体" w:hAnsi="宋体" w:eastAsia="宋体" w:cs="Times New Roman"/>
                <w:color w:val="000000"/>
                <w:kern w:val="0"/>
                <w:szCs w:val="21"/>
              </w:rPr>
              <w:t>.</w:t>
            </w:r>
            <w:r>
              <w:rPr>
                <w:rFonts w:hint="eastAsia" w:ascii="Times New Roman" w:hAnsi="Times New Roman" w:eastAsia="宋体" w:cs="Times New Roman"/>
                <w:kern w:val="0"/>
                <w:szCs w:val="21"/>
              </w:rPr>
              <w:t xml:space="preserve"> 教学观摩与研习</w:t>
            </w:r>
          </w:p>
        </w:tc>
        <w:tc>
          <w:tcPr>
            <w:tcW w:w="2758" w:type="dxa"/>
            <w:vAlign w:val="center"/>
          </w:tcPr>
          <w:p w14:paraId="182D0011">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研读教材，备课，撰写教案，在实践导师指导下完成教案</w:t>
            </w:r>
            <w:r>
              <w:rPr>
                <w:rFonts w:hint="eastAsia" w:ascii="宋体" w:hAnsi="宋体" w:eastAsia="宋体" w:cs="Times New Roman"/>
                <w:color w:val="000000"/>
                <w:kern w:val="0"/>
                <w:szCs w:val="21"/>
              </w:rPr>
              <w:t>设计</w:t>
            </w:r>
            <w:r>
              <w:rPr>
                <w:rFonts w:ascii="宋体" w:hAnsi="宋体" w:eastAsia="宋体" w:cs="Times New Roman"/>
                <w:color w:val="000000"/>
                <w:kern w:val="0"/>
                <w:szCs w:val="21"/>
              </w:rPr>
              <w:t>，与导师合作实施教学</w:t>
            </w:r>
            <w:r>
              <w:rPr>
                <w:rFonts w:hint="eastAsia" w:ascii="宋体" w:hAnsi="宋体" w:eastAsia="宋体" w:cs="Times New Roman"/>
                <w:color w:val="000000"/>
                <w:kern w:val="0"/>
                <w:szCs w:val="21"/>
              </w:rPr>
              <w:t>；</w:t>
            </w:r>
          </w:p>
          <w:p w14:paraId="11684653">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了解兼教课程的特点，体验兼教课程的教学过程；</w:t>
            </w:r>
          </w:p>
          <w:p w14:paraId="685E8FD4">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全面体验小学校本课程、校际教研、校园建设等活动。</w:t>
            </w:r>
          </w:p>
        </w:tc>
        <w:tc>
          <w:tcPr>
            <w:tcW w:w="1560" w:type="dxa"/>
            <w:vAlign w:val="center"/>
          </w:tcPr>
          <w:p w14:paraId="0EC0A244">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课程目标1、2</w:t>
            </w:r>
          </w:p>
        </w:tc>
        <w:tc>
          <w:tcPr>
            <w:tcW w:w="1984" w:type="dxa"/>
            <w:vAlign w:val="center"/>
          </w:tcPr>
          <w:p w14:paraId="0F1DD3E9">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.善于观察，主动思考与提问，总结教学观摩心得，在实践导师帮助下形成对规范的课堂教学的系统认识；</w:t>
            </w:r>
          </w:p>
          <w:p w14:paraId="065756E2">
            <w:pPr>
              <w:spacing w:line="276" w:lineRule="auto"/>
              <w:rPr>
                <w:rFonts w:hint="eastAsia" w:ascii="宋体" w:hAnsi="宋体" w:eastAsia="宋体" w:cs="Times New Roman"/>
                <w:color w:val="000000"/>
                <w:kern w:val="0"/>
                <w:szCs w:val="21"/>
              </w:rPr>
            </w:pPr>
            <w:r>
              <w:rPr>
                <w:rFonts w:ascii="宋体" w:hAnsi="宋体" w:eastAsia="宋体" w:cs="Times New Roman"/>
                <w:color w:val="000000"/>
                <w:kern w:val="0"/>
                <w:szCs w:val="21"/>
              </w:rPr>
              <w:t>2.能运用教学材料钻研教材，设计出比较规范、具备可操作性的教案；</w:t>
            </w:r>
          </w:p>
          <w:p w14:paraId="5FACC948">
            <w:pPr>
              <w:spacing w:line="276" w:lineRule="auto"/>
              <w:rPr>
                <w:rFonts w:hint="eastAsia" w:ascii="宋体" w:hAnsi="宋体" w:eastAsia="宋体" w:cs="Times New Roman"/>
                <w:color w:val="000000"/>
                <w:kern w:val="0"/>
                <w:szCs w:val="21"/>
              </w:rPr>
            </w:pPr>
            <w:r>
              <w:rPr>
                <w:rFonts w:ascii="宋体" w:hAnsi="宋体" w:eastAsia="宋体" w:cs="Times New Roman"/>
                <w:color w:val="000000"/>
                <w:kern w:val="0"/>
                <w:szCs w:val="21"/>
              </w:rPr>
              <w:t>3.有主动学习的意识，获得教师专业发展的体验。</w:t>
            </w:r>
          </w:p>
          <w:p w14:paraId="02B2BD4E">
            <w:pPr>
              <w:spacing w:line="276" w:lineRule="auto"/>
              <w:rPr>
                <w:rFonts w:hint="eastAsia" w:ascii="宋体" w:hAnsi="宋体" w:eastAsia="宋体" w:cs="Times New Roman"/>
                <w:color w:val="000000"/>
                <w:kern w:val="0"/>
                <w:szCs w:val="21"/>
              </w:rPr>
            </w:pPr>
            <w:r>
              <w:rPr>
                <w:rFonts w:ascii="宋体" w:hAnsi="宋体" w:eastAsia="宋体" w:cs="Times New Roman"/>
                <w:color w:val="000000"/>
                <w:kern w:val="0"/>
                <w:szCs w:val="21"/>
              </w:rPr>
              <w:t>4.每天听课2-3节，见习期总听课数不少于15节</w:t>
            </w:r>
            <w:r>
              <w:rPr>
                <w:rFonts w:hint="eastAsia" w:ascii="宋体" w:hAnsi="宋体" w:eastAsia="宋体" w:cs="Times New Roman"/>
                <w:color w:val="000000"/>
                <w:kern w:val="0"/>
                <w:szCs w:val="21"/>
              </w:rPr>
              <w:t>。撰写</w:t>
            </w:r>
            <w:r>
              <w:rPr>
                <w:rFonts w:ascii="宋体" w:hAnsi="宋体" w:eastAsia="宋体" w:cs="Times New Roman"/>
                <w:color w:val="000000"/>
                <w:kern w:val="0"/>
                <w:szCs w:val="21"/>
              </w:rPr>
              <w:t>教案</w:t>
            </w:r>
            <w:r>
              <w:rPr>
                <w:rFonts w:hint="eastAsia" w:ascii="宋体" w:hAnsi="宋体" w:eastAsia="宋体" w:cs="Times New Roman"/>
                <w:color w:val="000000"/>
                <w:kern w:val="0"/>
                <w:szCs w:val="21"/>
              </w:rPr>
              <w:t>1篇。</w:t>
            </w:r>
          </w:p>
        </w:tc>
        <w:tc>
          <w:tcPr>
            <w:tcW w:w="1366" w:type="dxa"/>
            <w:vAlign w:val="center"/>
          </w:tcPr>
          <w:p w14:paraId="1E150D43">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1.跟岗学习</w:t>
            </w:r>
          </w:p>
          <w:p w14:paraId="28AA9876">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2.交流研讨</w:t>
            </w:r>
          </w:p>
          <w:p w14:paraId="33A7BE89">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3</w:t>
            </w:r>
            <w:r>
              <w:rPr>
                <w:rFonts w:hint="eastAsia" w:ascii="宋体" w:hAnsi="宋体" w:eastAsia="宋体" w:cs="Times New Roman"/>
                <w:color w:val="000000"/>
                <w:kern w:val="0"/>
                <w:szCs w:val="21"/>
              </w:rPr>
              <w:t>.自主实践</w:t>
            </w:r>
          </w:p>
        </w:tc>
        <w:tc>
          <w:tcPr>
            <w:tcW w:w="760" w:type="dxa"/>
            <w:vAlign w:val="center"/>
          </w:tcPr>
          <w:p w14:paraId="4545552D">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4天</w:t>
            </w:r>
          </w:p>
        </w:tc>
      </w:tr>
      <w:tr w14:paraId="1D9E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06" w:type="dxa"/>
            <w:vMerge w:val="continue"/>
            <w:vAlign w:val="center"/>
          </w:tcPr>
          <w:p w14:paraId="588B5141">
            <w:pPr>
              <w:spacing w:line="276" w:lineRule="auto"/>
              <w:jc w:val="center"/>
              <w:rPr>
                <w:rFonts w:hint="eastAsia" w:ascii="宋体" w:hAnsi="宋体" w:eastAsia="宋体" w:cs="Times New Roman"/>
                <w:color w:val="000000"/>
                <w:kern w:val="0"/>
                <w:szCs w:val="21"/>
              </w:rPr>
            </w:pPr>
          </w:p>
        </w:tc>
        <w:tc>
          <w:tcPr>
            <w:tcW w:w="8428" w:type="dxa"/>
            <w:gridSpan w:val="5"/>
            <w:vAlign w:val="center"/>
          </w:tcPr>
          <w:p w14:paraId="73B90FC3">
            <w:pPr>
              <w:spacing w:line="276" w:lineRule="auto"/>
              <w:jc w:val="left"/>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b/>
                <w:color w:val="000000"/>
                <w:kern w:val="0"/>
                <w:szCs w:val="21"/>
              </w:rPr>
              <w:t>课程思政目标：</w:t>
            </w:r>
            <w:r>
              <w:rPr>
                <w:rFonts w:ascii="宋体" w:hAnsi="宋体" w:eastAsia="宋体" w:cs="Times New Roman"/>
                <w:color w:val="000000" w:themeColor="text1"/>
                <w:kern w:val="0"/>
                <w:szCs w:val="21"/>
                <w14:textFill>
                  <w14:solidFill>
                    <w14:schemeClr w14:val="tx1"/>
                  </w14:solidFill>
                </w14:textFill>
              </w:rPr>
              <w:t>在教育实践中，充分运用自身所掌握的教育教学方法、学生心理规律，实事求是，从实践中总结发现，增进对所学知识的理解与认识。不忘初心，把立德树人作为教育使命，主动研究教育教学，积极影响小学生的发展。</w:t>
            </w:r>
          </w:p>
        </w:tc>
      </w:tr>
      <w:tr w14:paraId="337B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6C772584">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班级管理和班队工作见习</w:t>
            </w:r>
          </w:p>
        </w:tc>
        <w:tc>
          <w:tcPr>
            <w:tcW w:w="2758" w:type="dxa"/>
            <w:vAlign w:val="center"/>
          </w:tcPr>
          <w:p w14:paraId="31E7205B">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全面观察班级常规管理工作，了解班主任日常工作的内容和方法，协助班主任进行班级管理；在班主任指导下尝试组织有主题的班会或班队活动</w:t>
            </w:r>
            <w:r>
              <w:rPr>
                <w:rFonts w:hint="eastAsia" w:ascii="宋体" w:hAnsi="宋体" w:eastAsia="宋体" w:cs="Times New Roman"/>
                <w:color w:val="000000"/>
                <w:kern w:val="0"/>
                <w:szCs w:val="21"/>
              </w:rPr>
              <w:t>。</w:t>
            </w:r>
          </w:p>
        </w:tc>
        <w:tc>
          <w:tcPr>
            <w:tcW w:w="1560" w:type="dxa"/>
            <w:vAlign w:val="center"/>
          </w:tcPr>
          <w:p w14:paraId="0AD11003">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课程目标1、3、4</w:t>
            </w:r>
          </w:p>
        </w:tc>
        <w:tc>
          <w:tcPr>
            <w:tcW w:w="1984" w:type="dxa"/>
            <w:vAlign w:val="center"/>
          </w:tcPr>
          <w:p w14:paraId="11600B79">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.主动与小学生加深交流，掌握小学生生活特点、心理发展特点；</w:t>
            </w:r>
          </w:p>
          <w:p w14:paraId="2CA4E644">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2.认真观察教育实践，与实践导师开展积极的沟通，学习班级管理经验，善于在管理案例中总结教育教学规律。</w:t>
            </w:r>
          </w:p>
          <w:p w14:paraId="4D229937">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3.</w:t>
            </w:r>
            <w:r>
              <w:rPr>
                <w:rFonts w:hint="eastAsia" w:ascii="宋体" w:hAnsi="宋体" w:eastAsia="宋体" w:cs="Times New Roman"/>
                <w:color w:val="000000"/>
                <w:kern w:val="0"/>
                <w:szCs w:val="21"/>
              </w:rPr>
              <w:t>完成</w:t>
            </w:r>
            <w:r>
              <w:rPr>
                <w:rFonts w:ascii="宋体" w:hAnsi="宋体" w:eastAsia="宋体" w:cs="Times New Roman"/>
                <w:color w:val="000000"/>
                <w:kern w:val="0"/>
                <w:szCs w:val="21"/>
              </w:rPr>
              <w:t>班队活动观察记录1份。</w:t>
            </w:r>
          </w:p>
        </w:tc>
        <w:tc>
          <w:tcPr>
            <w:tcW w:w="1366" w:type="dxa"/>
            <w:vAlign w:val="center"/>
          </w:tcPr>
          <w:p w14:paraId="435CBD01">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1.跟岗学习</w:t>
            </w:r>
          </w:p>
          <w:p w14:paraId="57CBAA06">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2.交流研讨</w:t>
            </w:r>
          </w:p>
          <w:p w14:paraId="3B46A024">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3</w:t>
            </w:r>
            <w:r>
              <w:rPr>
                <w:rFonts w:hint="eastAsia" w:ascii="宋体" w:hAnsi="宋体" w:eastAsia="宋体" w:cs="Times New Roman"/>
                <w:color w:val="000000"/>
                <w:kern w:val="0"/>
                <w:szCs w:val="21"/>
              </w:rPr>
              <w:t>.自主实践</w:t>
            </w:r>
          </w:p>
        </w:tc>
        <w:tc>
          <w:tcPr>
            <w:tcW w:w="760" w:type="dxa"/>
            <w:vAlign w:val="center"/>
          </w:tcPr>
          <w:p w14:paraId="1F7A5780">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4天</w:t>
            </w:r>
          </w:p>
        </w:tc>
      </w:tr>
      <w:tr w14:paraId="5A19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206" w:type="dxa"/>
            <w:vMerge w:val="continue"/>
            <w:vAlign w:val="center"/>
          </w:tcPr>
          <w:p w14:paraId="28169F36">
            <w:pPr>
              <w:spacing w:line="276" w:lineRule="auto"/>
              <w:jc w:val="center"/>
              <w:rPr>
                <w:rFonts w:hint="eastAsia" w:ascii="宋体" w:hAnsi="宋体" w:eastAsia="宋体" w:cs="Times New Roman"/>
                <w:color w:val="000000"/>
                <w:kern w:val="0"/>
                <w:szCs w:val="21"/>
              </w:rPr>
            </w:pPr>
          </w:p>
        </w:tc>
        <w:tc>
          <w:tcPr>
            <w:tcW w:w="8428" w:type="dxa"/>
            <w:gridSpan w:val="5"/>
            <w:vAlign w:val="center"/>
          </w:tcPr>
          <w:p w14:paraId="06E6AA1F">
            <w:pPr>
              <w:spacing w:line="276" w:lineRule="auto"/>
              <w:ind w:firstLine="422" w:firstLineChars="200"/>
              <w:rPr>
                <w:rFonts w:hint="eastAsia" w:ascii="宋体" w:hAnsi="宋体" w:eastAsia="宋体" w:cs="Times New Roman"/>
                <w:b/>
                <w:bCs/>
                <w:color w:val="000000" w:themeColor="text1"/>
                <w:kern w:val="0"/>
                <w:szCs w:val="21"/>
                <w14:textFill>
                  <w14:solidFill>
                    <w14:schemeClr w14:val="tx1"/>
                  </w14:solidFill>
                </w14:textFill>
              </w:rPr>
            </w:pPr>
            <w:r>
              <w:rPr>
                <w:rFonts w:hint="eastAsia" w:ascii="宋体" w:hAnsi="宋体" w:eastAsia="宋体" w:cs="Times New Roman"/>
                <w:b/>
                <w:bCs/>
                <w:color w:val="000000" w:themeColor="text1"/>
                <w:kern w:val="0"/>
                <w:szCs w:val="21"/>
                <w14:textFill>
                  <w14:solidFill>
                    <w14:schemeClr w14:val="tx1"/>
                  </w14:solidFill>
                </w14:textFill>
              </w:rPr>
              <w:t>课程思政目标：</w:t>
            </w:r>
            <w:r>
              <w:rPr>
                <w:rFonts w:hint="eastAsia" w:ascii="宋体" w:hAnsi="宋体" w:eastAsia="宋体" w:cs="Times New Roman"/>
                <w:color w:val="000000" w:themeColor="text1"/>
                <w:kern w:val="0"/>
                <w:szCs w:val="21"/>
                <w14:textFill>
                  <w14:solidFill>
                    <w14:schemeClr w14:val="tx1"/>
                  </w14:solidFill>
                </w14:textFill>
              </w:rPr>
              <w:t>理解培养全面发展的人这一教育理念，认识教育管理、班队活动的育人价值，提高教育修养，增强在教育过程中挖掘各个因素进行教育的意识和能力。</w:t>
            </w:r>
          </w:p>
        </w:tc>
      </w:tr>
    </w:tbl>
    <w:p w14:paraId="0E8888D4">
      <w:pPr>
        <w:adjustRightInd w:val="0"/>
        <w:snapToGrid w:val="0"/>
        <w:spacing w:line="360" w:lineRule="auto"/>
        <w:ind w:firstLine="472" w:firstLineChars="196"/>
        <w:rPr>
          <w:rFonts w:hint="eastAsia" w:ascii="宋体" w:hAnsi="宋体" w:eastAsia="宋体" w:cs="Times New Roman"/>
          <w:b/>
          <w:color w:val="000000" w:themeColor="text1"/>
          <w:sz w:val="24"/>
          <w14:textFill>
            <w14:solidFill>
              <w14:schemeClr w14:val="tx1"/>
            </w14:solidFill>
          </w14:textFill>
        </w:rPr>
      </w:pPr>
    </w:p>
    <w:p w14:paraId="26F5EDE8">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43B49C4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2DCE03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E93225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273"/>
        <w:gridCol w:w="1268"/>
        <w:gridCol w:w="1661"/>
        <w:gridCol w:w="1843"/>
        <w:gridCol w:w="1255"/>
      </w:tblGrid>
      <w:tr w14:paraId="020F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Merge w:val="restart"/>
            <w:vAlign w:val="center"/>
          </w:tcPr>
          <w:p w14:paraId="1D99DE9F">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045" w:type="dxa"/>
            <w:gridSpan w:val="4"/>
          </w:tcPr>
          <w:p w14:paraId="32FE30F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1255" w:type="dxa"/>
            <w:vMerge w:val="restart"/>
            <w:vAlign w:val="center"/>
          </w:tcPr>
          <w:p w14:paraId="5CAA085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7DB6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05" w:type="dxa"/>
            <w:vMerge w:val="continue"/>
            <w:vAlign w:val="center"/>
          </w:tcPr>
          <w:p w14:paraId="32AA6FEE">
            <w:pPr>
              <w:spacing w:line="360" w:lineRule="auto"/>
              <w:jc w:val="center"/>
              <w:rPr>
                <w:rFonts w:hint="eastAsia" w:ascii="宋体" w:hAnsi="宋体" w:eastAsia="宋体" w:cs="Times New Roman"/>
                <w:kern w:val="0"/>
                <w:sz w:val="20"/>
                <w:szCs w:val="21"/>
              </w:rPr>
            </w:pPr>
          </w:p>
        </w:tc>
        <w:tc>
          <w:tcPr>
            <w:tcW w:w="1273" w:type="dxa"/>
            <w:vAlign w:val="center"/>
          </w:tcPr>
          <w:p w14:paraId="4F94D8F3">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1268" w:type="dxa"/>
            <w:vAlign w:val="center"/>
          </w:tcPr>
          <w:p w14:paraId="1C53CACE">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学校考察</w:t>
            </w:r>
          </w:p>
          <w:p w14:paraId="55980339">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调查报告</w:t>
            </w:r>
          </w:p>
        </w:tc>
        <w:tc>
          <w:tcPr>
            <w:tcW w:w="1661" w:type="dxa"/>
            <w:vAlign w:val="center"/>
          </w:tcPr>
          <w:p w14:paraId="43C07900">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教学工作见习</w:t>
            </w:r>
          </w:p>
        </w:tc>
        <w:tc>
          <w:tcPr>
            <w:tcW w:w="1843" w:type="dxa"/>
            <w:vAlign w:val="center"/>
          </w:tcPr>
          <w:p w14:paraId="49EEBFEE">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1255" w:type="dxa"/>
            <w:vMerge w:val="continue"/>
            <w:vAlign w:val="center"/>
          </w:tcPr>
          <w:p w14:paraId="6745D983">
            <w:pPr>
              <w:spacing w:line="360" w:lineRule="auto"/>
              <w:jc w:val="center"/>
              <w:rPr>
                <w:rFonts w:hint="eastAsia" w:ascii="宋体" w:hAnsi="宋体" w:eastAsia="宋体" w:cs="Times New Roman"/>
                <w:kern w:val="0"/>
                <w:sz w:val="20"/>
                <w:szCs w:val="21"/>
              </w:rPr>
            </w:pPr>
          </w:p>
        </w:tc>
      </w:tr>
      <w:tr w14:paraId="5E96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05" w:type="dxa"/>
            <w:vAlign w:val="center"/>
          </w:tcPr>
          <w:p w14:paraId="5851E57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273" w:type="dxa"/>
          </w:tcPr>
          <w:p w14:paraId="58DC42D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14FE338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770BF66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20F8628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73E9776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20</w:t>
            </w:r>
          </w:p>
        </w:tc>
      </w:tr>
      <w:tr w14:paraId="762F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3D4B99E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273" w:type="dxa"/>
          </w:tcPr>
          <w:p w14:paraId="185B545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02C01E6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1F5BD64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2138086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7DA676F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55F9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17EDA78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273" w:type="dxa"/>
          </w:tcPr>
          <w:p w14:paraId="133FE9E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15FC842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1365B797">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4040C7E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10422E5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5CD4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51F7AC3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273" w:type="dxa"/>
          </w:tcPr>
          <w:p w14:paraId="25957C9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tcPr>
          <w:p w14:paraId="72D872F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tcPr>
          <w:p w14:paraId="74BF084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tcPr>
          <w:p w14:paraId="5FAC8B2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7962C2B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0</w:t>
            </w:r>
          </w:p>
        </w:tc>
      </w:tr>
      <w:tr w14:paraId="1E78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6581A28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273" w:type="dxa"/>
          </w:tcPr>
          <w:p w14:paraId="394555E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1268" w:type="dxa"/>
            <w:vAlign w:val="center"/>
          </w:tcPr>
          <w:p w14:paraId="33FD93F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w:t>
            </w:r>
          </w:p>
        </w:tc>
        <w:tc>
          <w:tcPr>
            <w:tcW w:w="1661" w:type="dxa"/>
            <w:vAlign w:val="center"/>
          </w:tcPr>
          <w:p w14:paraId="2221B5F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1843" w:type="dxa"/>
            <w:vAlign w:val="center"/>
          </w:tcPr>
          <w:p w14:paraId="024F3CD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1255" w:type="dxa"/>
            <w:vAlign w:val="center"/>
          </w:tcPr>
          <w:p w14:paraId="34DD079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0D8427B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1F3C58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FECF10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109"/>
        <w:gridCol w:w="682"/>
      </w:tblGrid>
      <w:tr w14:paraId="2BA7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71" w:type="dxa"/>
            <w:vAlign w:val="center"/>
          </w:tcPr>
          <w:p w14:paraId="5FE698F7">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7109" w:type="dxa"/>
            <w:vAlign w:val="center"/>
          </w:tcPr>
          <w:p w14:paraId="2C872143">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5713BF89">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5409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5F819715">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7109" w:type="dxa"/>
            <w:tcBorders>
              <w:top w:val="single" w:color="auto" w:sz="4" w:space="0"/>
              <w:left w:val="single" w:color="auto" w:sz="4" w:space="0"/>
              <w:bottom w:val="single" w:color="auto" w:sz="4" w:space="0"/>
              <w:right w:val="single" w:color="auto" w:sz="4" w:space="0"/>
            </w:tcBorders>
            <w:vAlign w:val="center"/>
          </w:tcPr>
          <w:p w14:paraId="098DE676">
            <w:pPr>
              <w:snapToGrid w:val="0"/>
              <w:spacing w:line="276" w:lineRule="auto"/>
              <w:rPr>
                <w:rFonts w:hint="eastAsia" w:ascii="宋体" w:hAnsi="宋体" w:eastAsia="宋体" w:cs="Times New Roman"/>
                <w:kern w:val="0"/>
                <w:sz w:val="20"/>
                <w:szCs w:val="21"/>
              </w:rPr>
            </w:pPr>
            <w:r>
              <w:rPr>
                <w:rFonts w:hint="eastAsia" w:ascii="Times New Roman" w:hAnsi="Times New Roman" w:eastAsia="宋体" w:cs="Times New Roman"/>
                <w:kern w:val="0"/>
                <w:sz w:val="20"/>
                <w:szCs w:val="21"/>
              </w:rPr>
              <w:t>按要求参加见习，思想端正，学习态度积极；主动参与教学和班级管理，能够虚心请教、勤恳好学；与小学生交往热情，关爱小学生；见习总结认真，形成对自身教育实践比较全面客观的认识。结合</w:t>
            </w:r>
            <w:r>
              <w:rPr>
                <w:rFonts w:hint="eastAsia" w:ascii="宋体" w:hAnsi="宋体" w:eastAsia="宋体" w:cs="Times New Roman"/>
                <w:kern w:val="0"/>
                <w:sz w:val="20"/>
                <w:szCs w:val="21"/>
              </w:rPr>
              <w:t>学生小组考勤以及实践导师反馈进行评分。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23CEEA93">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697E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71" w:type="dxa"/>
            <w:tcBorders>
              <w:top w:val="single" w:color="auto" w:sz="4" w:space="0"/>
              <w:left w:val="single" w:color="auto" w:sz="4" w:space="0"/>
              <w:bottom w:val="single" w:color="auto" w:sz="4" w:space="0"/>
              <w:right w:val="single" w:color="auto" w:sz="4" w:space="0"/>
            </w:tcBorders>
            <w:vAlign w:val="center"/>
          </w:tcPr>
          <w:p w14:paraId="193A6064">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学校考察调查报告</w:t>
            </w:r>
          </w:p>
        </w:tc>
        <w:tc>
          <w:tcPr>
            <w:tcW w:w="7109" w:type="dxa"/>
            <w:tcBorders>
              <w:top w:val="single" w:color="auto" w:sz="4" w:space="0"/>
              <w:left w:val="single" w:color="auto" w:sz="4" w:space="0"/>
              <w:bottom w:val="single" w:color="auto" w:sz="4" w:space="0"/>
              <w:right w:val="single" w:color="auto" w:sz="4" w:space="0"/>
            </w:tcBorders>
            <w:vAlign w:val="center"/>
          </w:tcPr>
          <w:p w14:paraId="6F908DB4">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根据考察情况，结合实际认识与思考，撰写教育调查报告。</w:t>
            </w:r>
            <w:r>
              <w:rPr>
                <w:rFonts w:hint="eastAsia" w:ascii="Times New Roman" w:hAnsi="Times New Roman" w:eastAsia="宋体" w:cs="Times New Roman"/>
                <w:kern w:val="0"/>
                <w:sz w:val="20"/>
                <w:szCs w:val="21"/>
              </w:rPr>
              <w:t>题属于教育领域，问题意识清晰、方法设计可行，资料充实，内容撰写结构合理，形成明确的结论与观点。</w:t>
            </w:r>
            <w:r>
              <w:rPr>
                <w:rFonts w:hint="eastAsia" w:ascii="宋体" w:hAnsi="宋体" w:eastAsia="宋体" w:cs="Times New Roman"/>
                <w:kern w:val="0"/>
                <w:sz w:val="20"/>
                <w:szCs w:val="21"/>
              </w:rPr>
              <w:t>根据学生调查报告写作情况以及实践导师反馈进行评分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17992722">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10%</w:t>
            </w:r>
          </w:p>
        </w:tc>
      </w:tr>
      <w:tr w14:paraId="7ACB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71" w:type="dxa"/>
            <w:tcBorders>
              <w:top w:val="single" w:color="auto" w:sz="4" w:space="0"/>
              <w:left w:val="single" w:color="auto" w:sz="4" w:space="0"/>
              <w:bottom w:val="single" w:color="auto" w:sz="4" w:space="0"/>
              <w:right w:val="single" w:color="auto" w:sz="4" w:space="0"/>
            </w:tcBorders>
            <w:vAlign w:val="center"/>
          </w:tcPr>
          <w:p w14:paraId="46CFF4B0">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32EADD54">
            <w:pPr>
              <w:adjustRightInd w:val="0"/>
              <w:snapToGrid w:val="0"/>
              <w:rPr>
                <w:rFonts w:ascii="Times New Roman" w:hAnsi="Times New Roman" w:eastAsia="宋体" w:cs="Times New Roman"/>
                <w:kern w:val="0"/>
                <w:sz w:val="20"/>
                <w:szCs w:val="21"/>
              </w:rPr>
            </w:pPr>
            <w:r>
              <w:rPr>
                <w:rFonts w:ascii="Times New Roman" w:hAnsi="Times New Roman" w:eastAsia="宋体" w:cs="Times New Roman"/>
                <w:kern w:val="0"/>
                <w:sz w:val="20"/>
                <w:szCs w:val="21"/>
              </w:rPr>
              <w:t>听课认真，记录完整，深入思考和总结教学，主动向实践导师请教教学方法与教学经验；教案设计要素完整、表述规范，具备可操作性；积极参与教研活动，主动拓宽学科知识范围。</w:t>
            </w:r>
            <w:r>
              <w:rPr>
                <w:rFonts w:hint="eastAsia" w:ascii="宋体" w:hAnsi="宋体" w:eastAsia="宋体" w:cs="Times New Roman"/>
                <w:kern w:val="0"/>
                <w:sz w:val="20"/>
                <w:szCs w:val="21"/>
              </w:rPr>
              <w:t>根据学生教案设计情况以及实践导师反馈进行评分。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7739ADBD">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546D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5D422758">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4DEC42E5">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熟悉小学班级管理事务，掌握小学生生活特点、心理特点；主动积累班级管理的经验，善于总结和反思教育管理案例。</w:t>
            </w:r>
            <w:r>
              <w:rPr>
                <w:rFonts w:hint="eastAsia" w:ascii="宋体" w:hAnsi="宋体" w:eastAsia="宋体" w:cs="Times New Roman"/>
                <w:kern w:val="0"/>
                <w:sz w:val="20"/>
                <w:szCs w:val="21"/>
              </w:rPr>
              <w:t>根据学生撰写情况以及实践导师反馈进行评分。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7BCF228E">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04E2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271" w:type="dxa"/>
            <w:tcBorders>
              <w:top w:val="single" w:color="auto" w:sz="4" w:space="0"/>
              <w:left w:val="single" w:color="auto" w:sz="4" w:space="0"/>
              <w:bottom w:val="single" w:color="auto" w:sz="4" w:space="0"/>
              <w:right w:val="single" w:color="auto" w:sz="4" w:space="0"/>
            </w:tcBorders>
            <w:vAlign w:val="center"/>
          </w:tcPr>
          <w:p w14:paraId="0BB3E1D7">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7791" w:type="dxa"/>
            <w:gridSpan w:val="2"/>
            <w:tcBorders>
              <w:top w:val="single" w:color="auto" w:sz="4" w:space="0"/>
              <w:left w:val="single" w:color="auto" w:sz="4" w:space="0"/>
              <w:bottom w:val="single" w:color="auto" w:sz="4" w:space="0"/>
              <w:right w:val="single" w:color="auto" w:sz="4" w:space="0"/>
            </w:tcBorders>
            <w:vAlign w:val="center"/>
          </w:tcPr>
          <w:p w14:paraId="0EEBBDF0">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00%</w:t>
            </w:r>
          </w:p>
        </w:tc>
      </w:tr>
    </w:tbl>
    <w:p w14:paraId="7CE0CDB3">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740384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5BCA794">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79"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79" DrawAspect="Content" ObjectID="_1468075779" r:id="rId65">
            <o:LockedField>false</o:LockedField>
          </o:OLEObject>
        </w:object>
      </w:r>
    </w:p>
    <w:p w14:paraId="4175CF27">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color w:val="000000"/>
          <w:sz w:val="24"/>
        </w:rPr>
        <w:t>五、</w:t>
      </w:r>
      <w:r>
        <w:rPr>
          <w:rFonts w:hint="eastAsia" w:ascii="Times New Roman" w:hAnsi="Times New Roman" w:eastAsia="宋体" w:cs="Times New Roman"/>
          <w:b/>
          <w:sz w:val="24"/>
        </w:rPr>
        <w:t>课内实践</w:t>
      </w:r>
    </w:p>
    <w:p w14:paraId="5F98E4B5">
      <w:pPr>
        <w:spacing w:line="360" w:lineRule="auto"/>
        <w:ind w:firstLine="411" w:firstLineChars="196"/>
        <w:jc w:val="left"/>
        <w:rPr>
          <w:rFonts w:ascii="Times New Roman" w:hAnsi="Times New Roman" w:eastAsia="宋体" w:cs="Times New Roman"/>
          <w:szCs w:val="21"/>
        </w:rPr>
      </w:pPr>
      <w:r>
        <w:rPr>
          <w:rFonts w:hint="eastAsia" w:ascii="Times New Roman" w:hAnsi="Times New Roman" w:eastAsia="宋体" w:cs="Times New Roman"/>
          <w:szCs w:val="21"/>
        </w:rPr>
        <w:t>无</w:t>
      </w:r>
    </w:p>
    <w:p w14:paraId="078ACFEB">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六、有关说明</w:t>
      </w:r>
    </w:p>
    <w:p w14:paraId="73572DE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28803D3">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本课程根据学生见习情况、实践学校教师的反馈等，及时对教学见习中的不足之处进行改进，并在下一轮课程实施中整改完善，确保相应毕业要求指标点达成。</w:t>
      </w:r>
    </w:p>
    <w:p w14:paraId="6707B5DA">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2DD8644F">
      <w:pPr>
        <w:spacing w:line="360" w:lineRule="auto"/>
        <w:ind w:firstLine="525" w:firstLineChars="25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教学见习手册（自编）</w:t>
      </w:r>
    </w:p>
    <w:p w14:paraId="618CE4B1">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752E4AC4">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义务教育小学语文/数学学科课程标准，最新版。</w:t>
      </w:r>
    </w:p>
    <w:p w14:paraId="0BF733B2">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部编版小学语文/数学各年级教材。</w:t>
      </w:r>
    </w:p>
    <w:p w14:paraId="2586FC1F">
      <w:pPr>
        <w:spacing w:line="360" w:lineRule="auto"/>
        <w:ind w:firstLine="480" w:firstLineChars="200"/>
        <w:rPr>
          <w:rFonts w:ascii="宋体" w:hAnsi="Times New Roman" w:eastAsia="宋体" w:cs="Times New Roman"/>
          <w:sz w:val="24"/>
        </w:rPr>
      </w:pPr>
      <w:r>
        <w:rPr>
          <w:rFonts w:ascii="宋体" w:hAnsi="宋体" w:eastAsia="宋体" w:cs="Times New Roman"/>
          <w:sz w:val="24"/>
        </w:rPr>
        <w:t>3.</w:t>
      </w:r>
      <w:r>
        <w:rPr>
          <w:rFonts w:hint="eastAsia" w:ascii="宋体" w:hAnsi="宋体" w:eastAsia="宋体" w:cs="Times New Roman"/>
          <w:sz w:val="24"/>
        </w:rPr>
        <w:t>陈文涛、刘霄主编：《教育实习的实践与创新》，河南大学出版社，</w:t>
      </w:r>
      <w:r>
        <w:rPr>
          <w:rFonts w:ascii="宋体" w:hAnsi="宋体" w:eastAsia="宋体" w:cs="Times New Roman"/>
          <w:sz w:val="24"/>
        </w:rPr>
        <w:t>2015</w:t>
      </w:r>
    </w:p>
    <w:p w14:paraId="4682FD8A">
      <w:pPr>
        <w:spacing w:line="360" w:lineRule="auto"/>
        <w:rPr>
          <w:rFonts w:hint="eastAsia" w:ascii="宋体" w:hAnsi="宋体" w:eastAsia="宋体" w:cs="Times New Roman"/>
          <w:color w:val="000000"/>
          <w:sz w:val="24"/>
        </w:rPr>
      </w:pPr>
    </w:p>
    <w:p w14:paraId="2A456D87">
      <w:pPr>
        <w:spacing w:line="360" w:lineRule="auto"/>
        <w:rPr>
          <w:rFonts w:ascii="宋体" w:hAnsi="Times New Roman"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执笔人：王雅丽</w:t>
      </w:r>
      <w:r>
        <w:rPr>
          <w:rFonts w:ascii="宋体" w:hAnsi="Times New Roman" w:eastAsia="宋体" w:cs="Times New Roman"/>
          <w:color w:val="000000"/>
          <w:sz w:val="24"/>
        </w:rPr>
        <w:t xml:space="preserve"> </w:t>
      </w:r>
    </w:p>
    <w:p w14:paraId="44879814">
      <w:pPr>
        <w:spacing w:line="360" w:lineRule="auto"/>
        <w:rPr>
          <w:rFonts w:hint="eastAsia" w:ascii="宋体" w:hAnsi="宋体"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审定人：王健</w:t>
      </w:r>
    </w:p>
    <w:p w14:paraId="20E20E69">
      <w:pPr>
        <w:spacing w:line="360" w:lineRule="auto"/>
        <w:rPr>
          <w:rFonts w:ascii="宋体" w:hAnsi="Times New Roman"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审批人：张志欣</w:t>
      </w:r>
    </w:p>
    <w:p w14:paraId="1B4F8F24">
      <w:pPr>
        <w:spacing w:line="360" w:lineRule="auto"/>
        <w:rPr>
          <w:rFonts w:hint="eastAsia" w:ascii="宋体" w:hAnsi="宋体"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批准时间：</w:t>
      </w:r>
      <w:r>
        <w:rPr>
          <w:rFonts w:ascii="宋体" w:hAnsi="宋体" w:eastAsia="宋体" w:cs="Times New Roman"/>
          <w:color w:val="000000"/>
          <w:sz w:val="24"/>
        </w:rPr>
        <w:t>2024</w:t>
      </w:r>
      <w:r>
        <w:rPr>
          <w:rFonts w:hint="eastAsia" w:ascii="宋体" w:hAnsi="宋体" w:eastAsia="宋体" w:cs="Times New Roman"/>
          <w:color w:val="000000"/>
          <w:sz w:val="24"/>
        </w:rPr>
        <w:t>年</w:t>
      </w:r>
      <w:r>
        <w:rPr>
          <w:rFonts w:ascii="宋体" w:hAnsi="宋体" w:eastAsia="宋体" w:cs="Times New Roman"/>
          <w:color w:val="000000"/>
          <w:sz w:val="24"/>
        </w:rPr>
        <w:t>8</w:t>
      </w:r>
      <w:r>
        <w:rPr>
          <w:rFonts w:hint="eastAsia" w:ascii="宋体" w:hAnsi="宋体" w:eastAsia="宋体" w:cs="Times New Roman"/>
          <w:color w:val="000000"/>
          <w:sz w:val="24"/>
        </w:rPr>
        <w:t>月</w:t>
      </w:r>
      <w:r>
        <w:rPr>
          <w:rFonts w:ascii="宋体" w:hAnsi="宋体" w:eastAsia="宋体" w:cs="Times New Roman"/>
          <w:color w:val="000000"/>
          <w:sz w:val="24"/>
        </w:rPr>
        <w:t>30</w:t>
      </w:r>
      <w:r>
        <w:rPr>
          <w:rFonts w:hint="eastAsia" w:ascii="宋体" w:hAnsi="宋体" w:eastAsia="宋体" w:cs="Times New Roman"/>
          <w:color w:val="000000"/>
          <w:sz w:val="24"/>
        </w:rPr>
        <w:t>日</w:t>
      </w:r>
    </w:p>
    <w:p w14:paraId="56330602">
      <w:pPr>
        <w:rPr>
          <w:rFonts w:hint="eastAsia" w:ascii="宋体" w:hAnsi="宋体" w:eastAsia="宋体" w:cs="Times New Roman"/>
          <w:color w:val="000000"/>
          <w:sz w:val="24"/>
        </w:rPr>
      </w:pPr>
      <w:r>
        <w:rPr>
          <w:rFonts w:hint="eastAsia" w:ascii="宋体" w:hAnsi="宋体" w:eastAsia="宋体" w:cs="Times New Roman"/>
          <w:color w:val="000000"/>
          <w:sz w:val="24"/>
        </w:rPr>
        <w:br w:type="page"/>
      </w:r>
    </w:p>
    <w:p w14:paraId="7E7A61D3">
      <w:pPr>
        <w:pStyle w:val="2"/>
        <w:tabs>
          <w:tab w:val="left" w:pos="720"/>
          <w:tab w:val="left" w:pos="2700"/>
        </w:tabs>
        <w:jc w:val="center"/>
      </w:pPr>
      <w:bookmarkStart w:id="293" w:name="_Toc23344"/>
      <w:bookmarkStart w:id="294" w:name="_Toc9411"/>
      <w:r>
        <w:rPr>
          <w:rFonts w:hint="eastAsia"/>
        </w:rPr>
        <w:t>《教学实训》课程教学大纲</w:t>
      </w:r>
      <w:bookmarkEnd w:id="293"/>
      <w:bookmarkEnd w:id="294"/>
    </w:p>
    <w:p w14:paraId="3807D975">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（Teaching Practice）</w:t>
      </w:r>
    </w:p>
    <w:p w14:paraId="202E3672">
      <w:pPr>
        <w:spacing w:line="360" w:lineRule="auto"/>
        <w:jc w:val="center"/>
        <w:rPr>
          <w:rFonts w:ascii="Times New Roman" w:hAnsi="Times New Roman" w:eastAsia="宋体" w:cs="Times New Roman"/>
          <w:bCs/>
          <w:sz w:val="30"/>
          <w:szCs w:val="30"/>
        </w:rPr>
      </w:pPr>
    </w:p>
    <w:p w14:paraId="27EB7E3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课程名称：教学实训</w:t>
      </w:r>
    </w:p>
    <w:p w14:paraId="1055024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2401067</w:t>
      </w:r>
    </w:p>
    <w:p w14:paraId="28454DE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分：1</w:t>
      </w:r>
      <w:r>
        <w:rPr>
          <w:rFonts w:hint="eastAsia" w:ascii="Times New Roman" w:hAnsi="Times New Roman" w:eastAsia="宋体" w:cs="Times New Roman"/>
          <w:b/>
          <w:sz w:val="24"/>
        </w:rPr>
        <w:t>（不计入总学分）</w:t>
      </w:r>
    </w:p>
    <w:p w14:paraId="05C9CD1E">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时：2</w:t>
      </w:r>
      <w:r>
        <w:rPr>
          <w:rFonts w:hint="eastAsia" w:ascii="Times New Roman" w:hAnsi="Times New Roman" w:eastAsia="宋体" w:cs="Times New Roman"/>
          <w:b/>
          <w:sz w:val="24"/>
        </w:rPr>
        <w:t>周</w:t>
      </w:r>
    </w:p>
    <w:p w14:paraId="29CEAE9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先修课程：无</w:t>
      </w:r>
    </w:p>
    <w:p w14:paraId="790CEDF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适用专业：小学教育（文）、小学教育（理）</w:t>
      </w:r>
    </w:p>
    <w:p w14:paraId="0012C48D">
      <w:pPr>
        <w:spacing w:line="360" w:lineRule="auto"/>
        <w:jc w:val="left"/>
        <w:rPr>
          <w:rFonts w:ascii="Times New Roman" w:hAnsi="Times New Roman" w:eastAsia="宋体" w:cs="Times New Roman"/>
          <w:b/>
          <w:sz w:val="24"/>
        </w:rPr>
      </w:pPr>
    </w:p>
    <w:p w14:paraId="6B0B0D31">
      <w:pPr>
        <w:spacing w:line="360" w:lineRule="auto"/>
        <w:jc w:val="left"/>
        <w:rPr>
          <w:rFonts w:ascii="Times New Roman" w:hAnsi="Times New Roman" w:eastAsia="宋体" w:cs="Times New Roman"/>
          <w:sz w:val="28"/>
          <w:szCs w:val="28"/>
        </w:rPr>
      </w:pPr>
      <w:r>
        <w:rPr>
          <w:rFonts w:hint="eastAsia" w:ascii="Times New Roman" w:hAnsi="Times New Roman" w:eastAsia="宋体" w:cs="Times New Roman"/>
          <w:b/>
          <w:sz w:val="28"/>
          <w:szCs w:val="28"/>
        </w:rPr>
        <w:t>一、课程简介</w:t>
      </w:r>
    </w:p>
    <w:p w14:paraId="220604F1">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教学实训是小学教育专业的实践性教学课程。本课程旨在使学生在学习了相关教育理论和学科知识的基础上，掌握小学课堂教学的一般流程和基本技能，具备较强的课堂教学能力，为将来从事小学教学工作做好准备。</w:t>
      </w:r>
    </w:p>
    <w:p w14:paraId="5BF867A4">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p>
    <w:p w14:paraId="63ACF377">
      <w:pPr>
        <w:spacing w:line="360" w:lineRule="auto"/>
        <w:ind w:firstLine="482" w:firstLineChars="200"/>
        <w:rPr>
          <w:rFonts w:hint="eastAsia" w:ascii="宋体" w:hAnsi="宋体" w:eastAsia="宋体" w:cs="Times New Roman"/>
          <w:b/>
          <w:color w:val="000000"/>
          <w:sz w:val="24"/>
        </w:rPr>
      </w:pPr>
      <w:r>
        <w:rPr>
          <w:rFonts w:hint="eastAsia" w:ascii="宋体" w:hAnsi="宋体" w:eastAsia="宋体" w:cs="Times New Roman"/>
          <w:b/>
          <w:color w:val="000000"/>
          <w:sz w:val="24"/>
        </w:rPr>
        <w:t>（一）课程具体目标</w:t>
      </w:r>
    </w:p>
    <w:p w14:paraId="7D0503DA">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1.具备依据课程标准理念进行教学设计的能力，能够独立完成教学方案和说课稿</w:t>
      </w:r>
      <w:r>
        <w:rPr>
          <w:rFonts w:hint="eastAsia" w:ascii="Times New Roman" w:hAnsi="Times New Roman" w:eastAsia="宋体" w:cs="Times New Roman"/>
          <w:sz w:val="24"/>
        </w:rPr>
        <w:t>的撰写</w:t>
      </w:r>
      <w:r>
        <w:rPr>
          <w:rFonts w:ascii="Times New Roman" w:hAnsi="Times New Roman" w:eastAsia="宋体" w:cs="Times New Roman"/>
          <w:sz w:val="24"/>
        </w:rPr>
        <w:t>。</w:t>
      </w:r>
    </w:p>
    <w:p w14:paraId="4471CA6A">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2.能够依据说课稿和教学方案进行说课和课堂教学，基本掌握说课与课堂教学的基本流程，形成基本的说课与课堂教学技能。</w:t>
      </w:r>
    </w:p>
    <w:p w14:paraId="5C6F2709">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目标</w:t>
      </w:r>
      <w:r>
        <w:rPr>
          <w:rFonts w:ascii="Times New Roman" w:hAnsi="Times New Roman" w:eastAsia="宋体" w:cs="Times New Roman"/>
          <w:sz w:val="24"/>
        </w:rPr>
        <w:t>3.能对自己的说课与课堂教学进行正确的评价</w:t>
      </w:r>
      <w:r>
        <w:rPr>
          <w:rFonts w:hint="eastAsia" w:ascii="Times New Roman" w:hAnsi="Times New Roman" w:eastAsia="宋体" w:cs="Times New Roman"/>
          <w:sz w:val="24"/>
        </w:rPr>
        <w:t>，</w:t>
      </w:r>
      <w:r>
        <w:rPr>
          <w:rFonts w:ascii="Times New Roman" w:hAnsi="Times New Roman" w:eastAsia="宋体" w:cs="Times New Roman"/>
          <w:sz w:val="24"/>
        </w:rPr>
        <w:t>并作出相应的</w:t>
      </w:r>
      <w:r>
        <w:rPr>
          <w:rFonts w:hint="eastAsia" w:ascii="Times New Roman" w:hAnsi="Times New Roman" w:eastAsia="宋体" w:cs="Times New Roman"/>
          <w:sz w:val="24"/>
        </w:rPr>
        <w:t>反思和</w:t>
      </w:r>
      <w:r>
        <w:rPr>
          <w:rFonts w:ascii="Times New Roman" w:hAnsi="Times New Roman" w:eastAsia="宋体" w:cs="Times New Roman"/>
          <w:sz w:val="24"/>
        </w:rPr>
        <w:t>改进，以提升自己的教学能力。</w:t>
      </w:r>
    </w:p>
    <w:p w14:paraId="2F397F01">
      <w:pPr>
        <w:spacing w:before="156" w:beforeLines="50" w:after="156" w:afterLines="50"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42"/>
        <w:gridCol w:w="6095"/>
        <w:gridCol w:w="1327"/>
      </w:tblGrid>
      <w:tr w14:paraId="1258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4BCA1112">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w:t>
            </w:r>
          </w:p>
        </w:tc>
        <w:tc>
          <w:tcPr>
            <w:tcW w:w="6237" w:type="dxa"/>
            <w:gridSpan w:val="2"/>
            <w:vAlign w:val="center"/>
          </w:tcPr>
          <w:p w14:paraId="21FDB2DD">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毕业要求指标点</w:t>
            </w:r>
          </w:p>
        </w:tc>
        <w:tc>
          <w:tcPr>
            <w:tcW w:w="1327" w:type="dxa"/>
            <w:vAlign w:val="center"/>
          </w:tcPr>
          <w:p w14:paraId="1CC37B2A">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课程目标</w:t>
            </w:r>
          </w:p>
        </w:tc>
      </w:tr>
      <w:tr w14:paraId="6B90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Merge w:val="restart"/>
            <w:vAlign w:val="center"/>
          </w:tcPr>
          <w:p w14:paraId="70F960DA">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4：教学能力</w:t>
            </w:r>
          </w:p>
        </w:tc>
        <w:tc>
          <w:tcPr>
            <w:tcW w:w="6095" w:type="dxa"/>
            <w:vAlign w:val="center"/>
          </w:tcPr>
          <w:p w14:paraId="2A057CCA">
            <w:pPr>
              <w:spacing w:line="276" w:lineRule="auto"/>
              <w:jc w:val="left"/>
              <w:rPr>
                <w:rFonts w:hint="eastAsia" w:ascii="宋体" w:hAnsi="宋体" w:eastAsia="宋体" w:cs="Times New Roman"/>
                <w:color w:val="000000"/>
                <w:spacing w:val="2"/>
                <w:kern w:val="0"/>
                <w:sz w:val="24"/>
              </w:rPr>
            </w:pPr>
            <w:r>
              <w:rPr>
                <w:rFonts w:hint="eastAsia" w:ascii="宋体" w:hAnsi="宋体" w:eastAsia="宋体" w:cs="Times New Roman"/>
                <w:color w:val="000000"/>
                <w:spacing w:val="2"/>
                <w:kern w:val="0"/>
                <w:sz w:val="24"/>
              </w:rPr>
              <w:t>指标点4-2：【教学设计恰当】理解教材的编写逻辑和体系结构，合理掌握不同学段目标与内容的递进关系，具有依据课标进行教学的意识和习惯。能依据单元内容进行整体设计，科学合理地依据教学目标及内容设计。</w:t>
            </w:r>
          </w:p>
        </w:tc>
        <w:tc>
          <w:tcPr>
            <w:tcW w:w="1327" w:type="dxa"/>
            <w:vAlign w:val="center"/>
          </w:tcPr>
          <w:p w14:paraId="2F9112F2">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1</w:t>
            </w:r>
          </w:p>
        </w:tc>
      </w:tr>
      <w:tr w14:paraId="2916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Merge w:val="continue"/>
            <w:vAlign w:val="center"/>
          </w:tcPr>
          <w:p w14:paraId="27218D0E">
            <w:pPr>
              <w:spacing w:line="276" w:lineRule="auto"/>
              <w:jc w:val="center"/>
              <w:rPr>
                <w:rFonts w:ascii="Times New Roman" w:hAnsi="Times New Roman" w:eastAsia="宋体" w:cs="Times New Roman"/>
                <w:sz w:val="24"/>
              </w:rPr>
            </w:pPr>
          </w:p>
        </w:tc>
        <w:tc>
          <w:tcPr>
            <w:tcW w:w="6095" w:type="dxa"/>
            <w:vAlign w:val="center"/>
          </w:tcPr>
          <w:p w14:paraId="4D2D1A17">
            <w:pPr>
              <w:spacing w:line="276" w:lineRule="auto"/>
              <w:jc w:val="left"/>
              <w:rPr>
                <w:rFonts w:hint="eastAsia" w:ascii="宋体" w:hAnsi="宋体" w:eastAsia="宋体" w:cs="Times New Roman"/>
                <w:color w:val="000000"/>
                <w:spacing w:val="2"/>
                <w:kern w:val="0"/>
                <w:sz w:val="24"/>
              </w:rPr>
            </w:pPr>
            <w:r>
              <w:rPr>
                <w:rFonts w:hint="eastAsia" w:ascii="宋体" w:hAnsi="宋体" w:eastAsia="宋体" w:cs="Times New Roman"/>
                <w:color w:val="000000"/>
                <w:spacing w:val="2"/>
                <w:kern w:val="0"/>
                <w:sz w:val="24"/>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564ED38C">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2</w:t>
            </w:r>
          </w:p>
        </w:tc>
      </w:tr>
      <w:tr w14:paraId="29C3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61C4AEF8">
            <w:pPr>
              <w:spacing w:line="276" w:lineRule="auto"/>
              <w:jc w:val="center"/>
              <w:rPr>
                <w:rFonts w:ascii="Times New Roman" w:hAnsi="Times New Roman" w:eastAsia="宋体" w:cs="Times New Roman"/>
                <w:sz w:val="24"/>
              </w:rPr>
            </w:pPr>
            <w:r>
              <w:rPr>
                <w:rFonts w:hint="eastAsia" w:ascii="Times New Roman" w:hAnsi="Times New Roman" w:eastAsia="宋体" w:cs="Times New Roman"/>
                <w:sz w:val="24"/>
              </w:rPr>
              <w:t>毕业要求</w:t>
            </w:r>
            <w:r>
              <w:rPr>
                <w:rFonts w:ascii="Times New Roman" w:hAnsi="Times New Roman" w:eastAsia="宋体" w:cs="Times New Roman"/>
                <w:sz w:val="24"/>
              </w:rPr>
              <w:t>7</w:t>
            </w:r>
            <w:r>
              <w:rPr>
                <w:rFonts w:hint="eastAsia" w:ascii="Times New Roman" w:hAnsi="Times New Roman" w:eastAsia="宋体" w:cs="Times New Roman"/>
                <w:sz w:val="24"/>
              </w:rPr>
              <w:t>：</w:t>
            </w:r>
            <w:r>
              <w:rPr>
                <w:rFonts w:ascii="Times New Roman" w:hAnsi="Times New Roman" w:eastAsia="宋体" w:cs="Times New Roman"/>
                <w:sz w:val="24"/>
              </w:rPr>
              <w:t>学会反思</w:t>
            </w:r>
          </w:p>
        </w:tc>
        <w:tc>
          <w:tcPr>
            <w:tcW w:w="6095" w:type="dxa"/>
            <w:vAlign w:val="center"/>
          </w:tcPr>
          <w:p w14:paraId="51794C5D">
            <w:pPr>
              <w:spacing w:line="276" w:lineRule="auto"/>
              <w:jc w:val="left"/>
              <w:rPr>
                <w:rFonts w:ascii="Times New Roman" w:hAnsi="Times New Roman" w:eastAsia="宋体" w:cs="Times New Roman"/>
                <w:sz w:val="24"/>
              </w:rPr>
            </w:pPr>
            <w:r>
              <w:rPr>
                <w:rFonts w:hint="eastAsia" w:ascii="宋体" w:hAnsi="宋体" w:eastAsia="宋体" w:cs="Times New Roman"/>
                <w:color w:val="000000"/>
                <w:spacing w:val="2"/>
                <w:kern w:val="0"/>
                <w:sz w:val="24"/>
              </w:rPr>
              <w:t>指标点</w:t>
            </w:r>
            <w:r>
              <w:rPr>
                <w:rFonts w:ascii="宋体" w:hAnsi="宋体" w:eastAsia="宋体" w:cs="Times New Roman"/>
                <w:color w:val="000000"/>
                <w:spacing w:val="2"/>
                <w:kern w:val="0"/>
                <w:sz w:val="24"/>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357377AF">
            <w:pPr>
              <w:spacing w:line="276" w:lineRule="auto"/>
              <w:jc w:val="left"/>
              <w:rPr>
                <w:rFonts w:ascii="Times New Roman" w:hAnsi="Times New Roman" w:eastAsia="宋体" w:cs="Times New Roman"/>
                <w:sz w:val="24"/>
              </w:rPr>
            </w:pPr>
            <w:r>
              <w:rPr>
                <w:rFonts w:hint="eastAsia" w:ascii="Times New Roman" w:hAnsi="Times New Roman" w:eastAsia="宋体" w:cs="Times New Roman"/>
                <w:sz w:val="24"/>
              </w:rPr>
              <w:t>课程目标</w:t>
            </w:r>
            <w:r>
              <w:rPr>
                <w:rFonts w:ascii="Times New Roman" w:hAnsi="Times New Roman" w:eastAsia="宋体" w:cs="Times New Roman"/>
                <w:sz w:val="24"/>
              </w:rPr>
              <w:t>3</w:t>
            </w:r>
          </w:p>
        </w:tc>
      </w:tr>
    </w:tbl>
    <w:p w14:paraId="42202726">
      <w:pPr>
        <w:spacing w:before="156" w:beforeLines="50"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（三）课程思政目标</w:t>
      </w:r>
    </w:p>
    <w:p w14:paraId="668AB897">
      <w:pPr>
        <w:spacing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t>巩固专业思想，树立正确</w:t>
      </w:r>
      <w:r>
        <w:rPr>
          <w:rFonts w:hint="eastAsia" w:ascii="宋体" w:hAnsi="宋体" w:eastAsia="宋体" w:cs="Times New Roman"/>
          <w:color w:val="000000"/>
          <w:sz w:val="24"/>
        </w:rPr>
        <w:t>的</w:t>
      </w:r>
      <w:r>
        <w:rPr>
          <w:rFonts w:ascii="宋体" w:hAnsi="宋体" w:eastAsia="宋体" w:cs="Times New Roman"/>
          <w:color w:val="000000"/>
          <w:sz w:val="24"/>
        </w:rPr>
        <w:t>教育</w:t>
      </w:r>
      <w:r>
        <w:rPr>
          <w:rFonts w:hint="eastAsia" w:ascii="宋体" w:hAnsi="宋体" w:eastAsia="宋体" w:cs="Times New Roman"/>
          <w:color w:val="000000"/>
          <w:sz w:val="24"/>
        </w:rPr>
        <w:t>理</w:t>
      </w:r>
      <w:r>
        <w:rPr>
          <w:rFonts w:ascii="宋体" w:hAnsi="宋体" w:eastAsia="宋体" w:cs="Times New Roman"/>
          <w:color w:val="000000"/>
          <w:sz w:val="24"/>
        </w:rPr>
        <w:t>念</w:t>
      </w:r>
      <w:r>
        <w:rPr>
          <w:rFonts w:hint="eastAsia" w:ascii="宋体" w:hAnsi="宋体" w:eastAsia="宋体" w:cs="Times New Roman"/>
          <w:color w:val="000000"/>
          <w:sz w:val="24"/>
        </w:rPr>
        <w:t>；增强</w:t>
      </w:r>
      <w:r>
        <w:rPr>
          <w:rFonts w:ascii="宋体" w:hAnsi="宋体" w:eastAsia="宋体" w:cs="Times New Roman"/>
          <w:color w:val="000000"/>
          <w:sz w:val="24"/>
        </w:rPr>
        <w:t>社会责任感</w:t>
      </w:r>
      <w:r>
        <w:rPr>
          <w:rFonts w:hint="eastAsia" w:ascii="宋体" w:hAnsi="宋体" w:eastAsia="宋体" w:cs="Times New Roman"/>
          <w:color w:val="000000"/>
          <w:sz w:val="24"/>
        </w:rPr>
        <w:t>和</w:t>
      </w:r>
      <w:r>
        <w:rPr>
          <w:rFonts w:ascii="宋体" w:hAnsi="宋体" w:eastAsia="宋体" w:cs="Times New Roman"/>
          <w:color w:val="000000"/>
          <w:sz w:val="24"/>
        </w:rPr>
        <w:t>教育情怀</w:t>
      </w:r>
      <w:r>
        <w:rPr>
          <w:rFonts w:hint="eastAsia" w:ascii="宋体" w:hAnsi="宋体" w:eastAsia="宋体" w:cs="Times New Roman"/>
          <w:color w:val="000000"/>
          <w:sz w:val="24"/>
        </w:rPr>
        <w:t>，养成虚心、严谨的学习态度，增强</w:t>
      </w:r>
      <w:r>
        <w:rPr>
          <w:rFonts w:ascii="宋体" w:hAnsi="宋体" w:eastAsia="宋体" w:cs="Times New Roman"/>
          <w:color w:val="000000"/>
          <w:sz w:val="24"/>
        </w:rPr>
        <w:t>团队</w:t>
      </w:r>
      <w:r>
        <w:rPr>
          <w:rFonts w:hint="eastAsia" w:ascii="宋体" w:hAnsi="宋体" w:eastAsia="宋体" w:cs="Times New Roman"/>
          <w:color w:val="000000"/>
          <w:sz w:val="24"/>
        </w:rPr>
        <w:t>合作意识；</w:t>
      </w:r>
      <w:r>
        <w:rPr>
          <w:rFonts w:ascii="宋体" w:hAnsi="宋体" w:eastAsia="宋体" w:cs="Times New Roman"/>
          <w:color w:val="000000"/>
          <w:sz w:val="24"/>
        </w:rPr>
        <w:t>形成学科育人的意识，</w:t>
      </w:r>
      <w:r>
        <w:rPr>
          <w:rFonts w:hint="eastAsia" w:ascii="宋体" w:hAnsi="宋体" w:eastAsia="宋体" w:cs="Times New Roman"/>
          <w:color w:val="000000"/>
          <w:sz w:val="24"/>
        </w:rPr>
        <w:t>初步</w:t>
      </w:r>
      <w:r>
        <w:rPr>
          <w:rFonts w:ascii="宋体" w:hAnsi="宋体" w:eastAsia="宋体" w:cs="Times New Roman"/>
          <w:color w:val="000000"/>
          <w:sz w:val="24"/>
        </w:rPr>
        <w:t>掌握学科育人的方法。</w:t>
      </w:r>
    </w:p>
    <w:p w14:paraId="72D8663F">
      <w:pPr>
        <w:spacing w:line="360" w:lineRule="auto"/>
        <w:ind w:firstLine="482" w:firstLineChars="200"/>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701"/>
        <w:gridCol w:w="1134"/>
        <w:gridCol w:w="3260"/>
        <w:gridCol w:w="1560"/>
        <w:gridCol w:w="457"/>
      </w:tblGrid>
      <w:tr w14:paraId="4DCE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1206" w:type="dxa"/>
            <w:vAlign w:val="center"/>
          </w:tcPr>
          <w:p w14:paraId="72D78694">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w:t>
            </w:r>
          </w:p>
          <w:p w14:paraId="5152DA2B">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单元</w:t>
            </w:r>
          </w:p>
        </w:tc>
        <w:tc>
          <w:tcPr>
            <w:tcW w:w="1704" w:type="dxa"/>
            <w:vAlign w:val="center"/>
          </w:tcPr>
          <w:p w14:paraId="72888DF1">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知识点</w:t>
            </w:r>
          </w:p>
        </w:tc>
        <w:tc>
          <w:tcPr>
            <w:tcW w:w="1135" w:type="dxa"/>
            <w:vAlign w:val="center"/>
          </w:tcPr>
          <w:p w14:paraId="7BBA4D16">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对应</w:t>
            </w:r>
          </w:p>
          <w:p w14:paraId="352C2C9E">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课程目标</w:t>
            </w:r>
          </w:p>
        </w:tc>
        <w:tc>
          <w:tcPr>
            <w:tcW w:w="3266" w:type="dxa"/>
            <w:vAlign w:val="center"/>
          </w:tcPr>
          <w:p w14:paraId="7AB88B54">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预期学习成效</w:t>
            </w:r>
          </w:p>
        </w:tc>
        <w:tc>
          <w:tcPr>
            <w:tcW w:w="1563" w:type="dxa"/>
            <w:vAlign w:val="center"/>
          </w:tcPr>
          <w:p w14:paraId="14C5FEDE">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实现环节</w:t>
            </w:r>
          </w:p>
        </w:tc>
        <w:tc>
          <w:tcPr>
            <w:tcW w:w="442" w:type="dxa"/>
            <w:vAlign w:val="center"/>
          </w:tcPr>
          <w:p w14:paraId="0ACF4D1D">
            <w:pPr>
              <w:jc w:val="center"/>
              <w:rPr>
                <w:rFonts w:hint="eastAsia" w:ascii="宋体" w:hAnsi="宋体" w:eastAsia="宋体" w:cs="Times New Roman"/>
                <w:b/>
                <w:color w:val="000000"/>
                <w:sz w:val="24"/>
              </w:rPr>
            </w:pPr>
            <w:r>
              <w:rPr>
                <w:rFonts w:hint="eastAsia" w:ascii="宋体" w:hAnsi="宋体" w:eastAsia="宋体" w:cs="Times New Roman"/>
                <w:b/>
                <w:color w:val="000000"/>
                <w:sz w:val="24"/>
              </w:rPr>
              <w:t>学时</w:t>
            </w:r>
          </w:p>
        </w:tc>
      </w:tr>
      <w:tr w14:paraId="0323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744CAE21">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1</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教学设计实训</w:t>
            </w:r>
          </w:p>
        </w:tc>
        <w:tc>
          <w:tcPr>
            <w:tcW w:w="1704" w:type="dxa"/>
            <w:vAlign w:val="center"/>
          </w:tcPr>
          <w:p w14:paraId="3CC11AC7">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选择不少于</w:t>
            </w:r>
            <w:r>
              <w:rPr>
                <w:rFonts w:ascii="宋体" w:hAnsi="宋体" w:eastAsia="宋体" w:cs="Times New Roman"/>
                <w:color w:val="000000"/>
                <w:sz w:val="24"/>
              </w:rPr>
              <w:t>8个小学教学内容，在研读课程标准、认真钻研教材的基础上，进行教学设计。</w:t>
            </w:r>
          </w:p>
        </w:tc>
        <w:tc>
          <w:tcPr>
            <w:tcW w:w="1135" w:type="dxa"/>
            <w:vAlign w:val="center"/>
          </w:tcPr>
          <w:p w14:paraId="572D289F">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6" w:type="dxa"/>
            <w:vAlign w:val="center"/>
          </w:tcPr>
          <w:p w14:paraId="7A7C3DEA">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1.完成不少于3个说课稿。</w:t>
            </w:r>
          </w:p>
          <w:p w14:paraId="0B603844">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2.完成不少于8个教案。</w:t>
            </w:r>
          </w:p>
        </w:tc>
        <w:tc>
          <w:tcPr>
            <w:tcW w:w="1563" w:type="dxa"/>
            <w:vAlign w:val="center"/>
          </w:tcPr>
          <w:p w14:paraId="055B3EBB">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1.集中训练</w:t>
            </w:r>
          </w:p>
          <w:p w14:paraId="18823DF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2.交流研讨</w:t>
            </w:r>
          </w:p>
          <w:p w14:paraId="5790D346">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.自主学习</w:t>
            </w:r>
          </w:p>
        </w:tc>
        <w:tc>
          <w:tcPr>
            <w:tcW w:w="442" w:type="dxa"/>
            <w:vAlign w:val="center"/>
          </w:tcPr>
          <w:p w14:paraId="6A05FF64">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2</w:t>
            </w:r>
            <w:r>
              <w:rPr>
                <w:rFonts w:hint="eastAsia" w:ascii="宋体" w:hAnsi="宋体" w:eastAsia="宋体" w:cs="Times New Roman"/>
                <w:color w:val="000000"/>
                <w:sz w:val="24"/>
              </w:rPr>
              <w:t>天</w:t>
            </w:r>
          </w:p>
        </w:tc>
      </w:tr>
      <w:tr w14:paraId="5F13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05DD566A">
            <w:pPr>
              <w:spacing w:line="264" w:lineRule="auto"/>
              <w:jc w:val="center"/>
              <w:rPr>
                <w:rFonts w:hint="eastAsia" w:ascii="宋体" w:hAnsi="宋体" w:eastAsia="宋体" w:cs="Times New Roman"/>
                <w:color w:val="000000"/>
                <w:sz w:val="24"/>
              </w:rPr>
            </w:pPr>
          </w:p>
        </w:tc>
        <w:tc>
          <w:tcPr>
            <w:tcW w:w="8110" w:type="dxa"/>
            <w:gridSpan w:val="5"/>
            <w:vAlign w:val="center"/>
          </w:tcPr>
          <w:p w14:paraId="1748CDFF">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巩固专业思想，树立正确的教育理念，增强社会责任感和教育情怀，养成虚心、严谨的学习态度，形成学科育人的意识，初步掌握学科育人的方法。</w:t>
            </w:r>
          </w:p>
        </w:tc>
      </w:tr>
      <w:tr w14:paraId="6449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04F90ECE">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2</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说课实训</w:t>
            </w:r>
          </w:p>
        </w:tc>
        <w:tc>
          <w:tcPr>
            <w:tcW w:w="1704" w:type="dxa"/>
            <w:vAlign w:val="center"/>
          </w:tcPr>
          <w:p w14:paraId="61B9BA84">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依据说课稿进行说课训练</w:t>
            </w:r>
          </w:p>
        </w:tc>
        <w:tc>
          <w:tcPr>
            <w:tcW w:w="1135" w:type="dxa"/>
            <w:vAlign w:val="center"/>
          </w:tcPr>
          <w:p w14:paraId="2D35574F">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6" w:type="dxa"/>
            <w:vAlign w:val="center"/>
          </w:tcPr>
          <w:p w14:paraId="7263471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提交不少于</w:t>
            </w:r>
            <w:r>
              <w:rPr>
                <w:rFonts w:ascii="宋体" w:hAnsi="宋体" w:eastAsia="宋体" w:cs="Times New Roman"/>
                <w:color w:val="000000"/>
                <w:sz w:val="24"/>
              </w:rPr>
              <w:t>2个说课视频。</w:t>
            </w:r>
          </w:p>
        </w:tc>
        <w:tc>
          <w:tcPr>
            <w:tcW w:w="1563" w:type="dxa"/>
            <w:vAlign w:val="center"/>
          </w:tcPr>
          <w:p w14:paraId="65AC266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1.集中训练</w:t>
            </w:r>
          </w:p>
          <w:p w14:paraId="184B56C1">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2.交流研讨</w:t>
            </w:r>
          </w:p>
          <w:p w14:paraId="1D4BE935">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.自主学习</w:t>
            </w:r>
          </w:p>
        </w:tc>
        <w:tc>
          <w:tcPr>
            <w:tcW w:w="442" w:type="dxa"/>
            <w:vAlign w:val="center"/>
          </w:tcPr>
          <w:p w14:paraId="043E477C">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2</w:t>
            </w:r>
            <w:r>
              <w:rPr>
                <w:rFonts w:hint="eastAsia" w:ascii="宋体" w:hAnsi="宋体" w:eastAsia="宋体" w:cs="Times New Roman"/>
                <w:color w:val="000000"/>
                <w:sz w:val="24"/>
              </w:rPr>
              <w:t>天</w:t>
            </w:r>
          </w:p>
        </w:tc>
      </w:tr>
      <w:tr w14:paraId="7CDF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continue"/>
            <w:vAlign w:val="center"/>
          </w:tcPr>
          <w:p w14:paraId="647016FA">
            <w:pPr>
              <w:spacing w:line="264" w:lineRule="auto"/>
              <w:jc w:val="center"/>
              <w:rPr>
                <w:rFonts w:hint="eastAsia" w:ascii="宋体" w:hAnsi="宋体" w:eastAsia="宋体" w:cs="Times New Roman"/>
                <w:color w:val="000000"/>
                <w:sz w:val="24"/>
              </w:rPr>
            </w:pPr>
          </w:p>
        </w:tc>
        <w:tc>
          <w:tcPr>
            <w:tcW w:w="8110" w:type="dxa"/>
            <w:gridSpan w:val="5"/>
            <w:vAlign w:val="center"/>
          </w:tcPr>
          <w:p w14:paraId="3B2E5E2C">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养成虚心、严谨的学习态度，增强团队合作意识，形成学科育人的意识，初步掌握学科育人的方法。</w:t>
            </w:r>
          </w:p>
        </w:tc>
      </w:tr>
      <w:tr w14:paraId="53C9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2549B3EF">
            <w:pPr>
              <w:spacing w:line="264"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3</w:t>
            </w:r>
            <w:r>
              <w:rPr>
                <w:rFonts w:ascii="宋体" w:hAnsi="宋体" w:eastAsia="宋体" w:cs="Times New Roman"/>
                <w:color w:val="000000"/>
                <w:sz w:val="24"/>
              </w:rPr>
              <w:t>.</w:t>
            </w:r>
            <w:r>
              <w:rPr>
                <w:rFonts w:hint="eastAsia"/>
                <w:sz w:val="24"/>
              </w:rPr>
              <w:t xml:space="preserve"> 课堂教学实训</w:t>
            </w:r>
          </w:p>
        </w:tc>
        <w:tc>
          <w:tcPr>
            <w:tcW w:w="1704" w:type="dxa"/>
            <w:vAlign w:val="center"/>
          </w:tcPr>
          <w:p w14:paraId="1788A6E0">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依据教学设计进行课堂教学（模拟教学）训练</w:t>
            </w:r>
          </w:p>
        </w:tc>
        <w:tc>
          <w:tcPr>
            <w:tcW w:w="1135" w:type="dxa"/>
            <w:vAlign w:val="center"/>
          </w:tcPr>
          <w:p w14:paraId="7076AB0D">
            <w:pPr>
              <w:spacing w:line="269"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w:t>
            </w:r>
            <w:r>
              <w:rPr>
                <w:rFonts w:ascii="宋体" w:hAnsi="宋体" w:eastAsia="宋体" w:cs="Times New Roman"/>
                <w:color w:val="000000"/>
                <w:sz w:val="24"/>
              </w:rPr>
              <w:t>1</w:t>
            </w:r>
            <w:r>
              <w:rPr>
                <w:rFonts w:hint="eastAsia" w:ascii="宋体" w:hAnsi="宋体" w:eastAsia="宋体" w:cs="Times New Roman"/>
                <w:color w:val="000000"/>
                <w:sz w:val="24"/>
              </w:rPr>
              <w:t>、2、3</w:t>
            </w:r>
          </w:p>
        </w:tc>
        <w:tc>
          <w:tcPr>
            <w:tcW w:w="3266" w:type="dxa"/>
            <w:vAlign w:val="center"/>
          </w:tcPr>
          <w:p w14:paraId="138CFD19">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提交不少于</w:t>
            </w:r>
            <w:r>
              <w:rPr>
                <w:rFonts w:ascii="宋体" w:hAnsi="宋体" w:eastAsia="宋体" w:cs="Times New Roman"/>
                <w:color w:val="000000"/>
                <w:sz w:val="24"/>
              </w:rPr>
              <w:t>5个课堂教学（模拟教学）视频。</w:t>
            </w:r>
          </w:p>
        </w:tc>
        <w:tc>
          <w:tcPr>
            <w:tcW w:w="1563" w:type="dxa"/>
            <w:vAlign w:val="center"/>
          </w:tcPr>
          <w:p w14:paraId="22D666CD">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1.集中训练</w:t>
            </w:r>
          </w:p>
          <w:p w14:paraId="16327B3A">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2.交流研讨</w:t>
            </w:r>
          </w:p>
          <w:p w14:paraId="29AE0EC1">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.自主学习</w:t>
            </w:r>
          </w:p>
        </w:tc>
        <w:tc>
          <w:tcPr>
            <w:tcW w:w="442" w:type="dxa"/>
            <w:vAlign w:val="center"/>
          </w:tcPr>
          <w:p w14:paraId="1578BBD0">
            <w:pPr>
              <w:spacing w:line="269" w:lineRule="auto"/>
              <w:jc w:val="center"/>
              <w:rPr>
                <w:rFonts w:hint="eastAsia" w:ascii="宋体" w:hAnsi="宋体" w:eastAsia="宋体" w:cs="Times New Roman"/>
                <w:color w:val="000000"/>
                <w:sz w:val="24"/>
              </w:rPr>
            </w:pPr>
            <w:r>
              <w:rPr>
                <w:rFonts w:ascii="宋体" w:hAnsi="宋体" w:eastAsia="宋体" w:cs="Times New Roman"/>
                <w:color w:val="000000"/>
                <w:sz w:val="24"/>
              </w:rPr>
              <w:t>5</w:t>
            </w:r>
            <w:r>
              <w:rPr>
                <w:rFonts w:hint="eastAsia" w:ascii="宋体" w:hAnsi="宋体" w:eastAsia="宋体" w:cs="Times New Roman"/>
                <w:color w:val="000000"/>
                <w:sz w:val="24"/>
              </w:rPr>
              <w:t>天</w:t>
            </w:r>
          </w:p>
        </w:tc>
      </w:tr>
      <w:tr w14:paraId="0576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7F28F05B">
            <w:pPr>
              <w:spacing w:line="264" w:lineRule="auto"/>
              <w:jc w:val="center"/>
              <w:rPr>
                <w:rFonts w:hint="eastAsia" w:ascii="宋体" w:hAnsi="宋体" w:eastAsia="宋体" w:cs="Times New Roman"/>
                <w:color w:val="000000"/>
                <w:sz w:val="24"/>
              </w:rPr>
            </w:pPr>
          </w:p>
        </w:tc>
        <w:tc>
          <w:tcPr>
            <w:tcW w:w="8110" w:type="dxa"/>
            <w:gridSpan w:val="5"/>
            <w:vAlign w:val="center"/>
          </w:tcPr>
          <w:p w14:paraId="6099C061">
            <w:pPr>
              <w:spacing w:line="269"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w:t>
            </w:r>
            <w:r>
              <w:rPr>
                <w:rFonts w:hint="eastAsia" w:ascii="宋体" w:hAnsi="宋体" w:eastAsia="宋体" w:cs="Times New Roman"/>
                <w:color w:val="000000"/>
                <w:sz w:val="24"/>
              </w:rPr>
              <w:t>养成虚心、严谨的学习态度，增强团队合作意识，形成学科育人的意识，初步掌握学科育人的方法。</w:t>
            </w:r>
          </w:p>
        </w:tc>
      </w:tr>
      <w:tr w14:paraId="615B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06" w:type="dxa"/>
            <w:vMerge w:val="restart"/>
            <w:vAlign w:val="center"/>
          </w:tcPr>
          <w:p w14:paraId="204386E8">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4</w:t>
            </w:r>
            <w:r>
              <w:rPr>
                <w:rFonts w:ascii="宋体" w:hAnsi="宋体" w:eastAsia="宋体" w:cs="Times New Roman"/>
                <w:color w:val="000000"/>
                <w:sz w:val="24"/>
              </w:rPr>
              <w:t>.</w:t>
            </w:r>
            <w:r>
              <w:rPr>
                <w:rFonts w:hint="eastAsia"/>
                <w:sz w:val="24"/>
              </w:rPr>
              <w:t xml:space="preserve"> </w:t>
            </w:r>
            <w:r>
              <w:rPr>
                <w:rFonts w:hint="eastAsia" w:ascii="宋体" w:hAnsi="宋体" w:eastAsia="宋体" w:cs="Times New Roman"/>
                <w:color w:val="000000"/>
                <w:sz w:val="24"/>
              </w:rPr>
              <w:t>教学实训成果汇报</w:t>
            </w:r>
          </w:p>
        </w:tc>
        <w:tc>
          <w:tcPr>
            <w:tcW w:w="1704" w:type="dxa"/>
            <w:vAlign w:val="center"/>
          </w:tcPr>
          <w:p w14:paraId="599B2AB3">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开展教学实训成果汇报；总结交流教学实训情况</w:t>
            </w:r>
          </w:p>
        </w:tc>
        <w:tc>
          <w:tcPr>
            <w:tcW w:w="1135" w:type="dxa"/>
            <w:vAlign w:val="center"/>
          </w:tcPr>
          <w:p w14:paraId="30C20C9D">
            <w:pPr>
              <w:spacing w:line="276" w:lineRule="auto"/>
              <w:jc w:val="center"/>
              <w:rPr>
                <w:rFonts w:hint="eastAsia" w:ascii="宋体" w:hAnsi="宋体" w:eastAsia="宋体" w:cs="Times New Roman"/>
                <w:color w:val="000000"/>
                <w:sz w:val="24"/>
              </w:rPr>
            </w:pPr>
            <w:r>
              <w:rPr>
                <w:rFonts w:hint="eastAsia" w:ascii="宋体" w:hAnsi="宋体" w:eastAsia="宋体" w:cs="Times New Roman"/>
                <w:color w:val="000000"/>
                <w:sz w:val="24"/>
              </w:rPr>
              <w:t>课程目标1、2、3</w:t>
            </w:r>
          </w:p>
        </w:tc>
        <w:tc>
          <w:tcPr>
            <w:tcW w:w="3266" w:type="dxa"/>
            <w:vAlign w:val="center"/>
          </w:tcPr>
          <w:p w14:paraId="1F6AB8FB">
            <w:pPr>
              <w:spacing w:line="276"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完成教学实训汇报，提交</w:t>
            </w:r>
            <w:r>
              <w:rPr>
                <w:rFonts w:ascii="宋体" w:hAnsi="宋体" w:eastAsia="宋体" w:cs="Times New Roman"/>
                <w:color w:val="000000"/>
                <w:sz w:val="24"/>
              </w:rPr>
              <w:t>1份教学实训总结</w:t>
            </w:r>
          </w:p>
        </w:tc>
        <w:tc>
          <w:tcPr>
            <w:tcW w:w="1563" w:type="dxa"/>
            <w:vAlign w:val="center"/>
          </w:tcPr>
          <w:p w14:paraId="5C4735C5">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1.成果汇报</w:t>
            </w:r>
          </w:p>
          <w:p w14:paraId="32E6B66F">
            <w:pPr>
              <w:spacing w:line="269" w:lineRule="auto"/>
              <w:jc w:val="left"/>
              <w:rPr>
                <w:rFonts w:hint="eastAsia" w:ascii="宋体" w:hAnsi="宋体" w:eastAsia="宋体" w:cs="Times New Roman"/>
                <w:color w:val="000000"/>
                <w:sz w:val="24"/>
              </w:rPr>
            </w:pPr>
            <w:r>
              <w:rPr>
                <w:rFonts w:hint="eastAsia" w:ascii="宋体" w:hAnsi="宋体" w:eastAsia="宋体" w:cs="Times New Roman"/>
                <w:color w:val="000000"/>
                <w:sz w:val="24"/>
              </w:rPr>
              <w:t>2.交流研讨</w:t>
            </w:r>
          </w:p>
          <w:p w14:paraId="57F1A16E">
            <w:pPr>
              <w:spacing w:line="269" w:lineRule="auto"/>
              <w:jc w:val="left"/>
              <w:rPr>
                <w:rFonts w:hint="eastAsia"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.自主学习</w:t>
            </w:r>
          </w:p>
        </w:tc>
        <w:tc>
          <w:tcPr>
            <w:tcW w:w="442" w:type="dxa"/>
            <w:vAlign w:val="center"/>
          </w:tcPr>
          <w:p w14:paraId="6BCAE262">
            <w:pPr>
              <w:spacing w:line="276" w:lineRule="auto"/>
              <w:jc w:val="center"/>
              <w:rPr>
                <w:rFonts w:hint="eastAsia" w:ascii="宋体" w:hAnsi="宋体" w:eastAsia="宋体" w:cs="Times New Roman"/>
                <w:color w:val="000000"/>
                <w:sz w:val="24"/>
              </w:rPr>
            </w:pPr>
            <w:r>
              <w:rPr>
                <w:rFonts w:ascii="宋体" w:hAnsi="宋体" w:eastAsia="宋体" w:cs="Times New Roman"/>
                <w:color w:val="000000"/>
                <w:sz w:val="24"/>
              </w:rPr>
              <w:t>1</w:t>
            </w:r>
            <w:r>
              <w:rPr>
                <w:rFonts w:hint="eastAsia" w:ascii="宋体" w:hAnsi="宋体" w:eastAsia="宋体" w:cs="Times New Roman"/>
                <w:color w:val="000000"/>
                <w:sz w:val="24"/>
              </w:rPr>
              <w:t>天</w:t>
            </w:r>
          </w:p>
        </w:tc>
      </w:tr>
      <w:tr w14:paraId="7316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16DE723E">
            <w:pPr>
              <w:spacing w:line="276" w:lineRule="auto"/>
              <w:jc w:val="center"/>
              <w:rPr>
                <w:rFonts w:hint="eastAsia" w:ascii="宋体" w:hAnsi="宋体" w:eastAsia="宋体" w:cs="Times New Roman"/>
                <w:color w:val="000000"/>
                <w:sz w:val="24"/>
              </w:rPr>
            </w:pPr>
          </w:p>
        </w:tc>
        <w:tc>
          <w:tcPr>
            <w:tcW w:w="8110" w:type="dxa"/>
            <w:gridSpan w:val="5"/>
            <w:vAlign w:val="center"/>
          </w:tcPr>
          <w:p w14:paraId="6ED16B85">
            <w:pPr>
              <w:spacing w:line="276" w:lineRule="auto"/>
              <w:jc w:val="left"/>
              <w:rPr>
                <w:rFonts w:hint="eastAsia" w:ascii="宋体" w:hAnsi="宋体" w:eastAsia="宋体" w:cs="Times New Roman"/>
                <w:color w:val="000000"/>
                <w:sz w:val="24"/>
              </w:rPr>
            </w:pPr>
            <w:r>
              <w:rPr>
                <w:rFonts w:hint="eastAsia" w:ascii="宋体" w:hAnsi="宋体" w:eastAsia="宋体" w:cs="Times New Roman"/>
                <w:b/>
                <w:color w:val="000000"/>
                <w:sz w:val="24"/>
              </w:rPr>
              <w:t>课程思政目标：进一步</w:t>
            </w:r>
            <w:r>
              <w:rPr>
                <w:rFonts w:hint="eastAsia" w:ascii="宋体" w:hAnsi="宋体" w:eastAsia="宋体" w:cs="Times New Roman"/>
                <w:color w:val="000000"/>
                <w:sz w:val="24"/>
              </w:rPr>
              <w:t>巩固专业思想，增强社会责任感和教育情怀，养成虚心、严谨的学习态度，增强团队合作意识。</w:t>
            </w:r>
          </w:p>
        </w:tc>
      </w:tr>
    </w:tbl>
    <w:p w14:paraId="48F4A5CF">
      <w:pPr>
        <w:spacing w:line="360" w:lineRule="auto"/>
        <w:jc w:val="left"/>
        <w:rPr>
          <w:rFonts w:ascii="Times New Roman" w:hAnsi="Times New Roman" w:eastAsia="宋体" w:cs="Times New Roman"/>
          <w:sz w:val="24"/>
        </w:rPr>
      </w:pPr>
    </w:p>
    <w:p w14:paraId="6C89DD13">
      <w:pPr>
        <w:spacing w:line="360" w:lineRule="auto"/>
        <w:jc w:val="left"/>
        <w:rPr>
          <w:rFonts w:ascii="Times New Roman" w:hAnsi="Times New Roman" w:eastAsia="宋体" w:cs="Times New Roman"/>
          <w:sz w:val="28"/>
          <w:szCs w:val="28"/>
        </w:rPr>
      </w:pPr>
      <w:r>
        <w:rPr>
          <w:rFonts w:hint="eastAsia" w:ascii="宋体" w:hAnsi="宋体" w:eastAsia="宋体" w:cs="Times New Roman"/>
          <w:b/>
          <w:color w:val="000000"/>
          <w:sz w:val="28"/>
          <w:szCs w:val="28"/>
        </w:rPr>
        <w:t>四、目标评价与成绩评定</w:t>
      </w:r>
    </w:p>
    <w:p w14:paraId="7FF30ACC">
      <w:pPr>
        <w:spacing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（一）课程目标评价方式</w:t>
      </w:r>
    </w:p>
    <w:p w14:paraId="29F23FB4">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根据总体设计，用于评价各课程目标的评价方式如表3</w:t>
      </w:r>
      <w:r>
        <w:rPr>
          <w:rFonts w:ascii="Times New Roman" w:hAnsi="Times New Roman" w:eastAsia="宋体" w:cs="Times New Roman"/>
          <w:sz w:val="24"/>
        </w:rPr>
        <w:t>所示。</w:t>
      </w:r>
    </w:p>
    <w:p w14:paraId="4D829F27">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表3</w:t>
      </w:r>
      <w:r>
        <w:rPr>
          <w:rFonts w:ascii="Times New Roman" w:hAnsi="Times New Roman" w:eastAsia="宋体" w:cs="Times New Roman"/>
          <w:b/>
          <w:bCs/>
          <w:sz w:val="24"/>
        </w:rPr>
        <w:t>课程教学评价设计总表</w:t>
      </w:r>
    </w:p>
    <w:tbl>
      <w:tblPr>
        <w:tblStyle w:val="1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47"/>
        <w:gridCol w:w="29"/>
        <w:gridCol w:w="1218"/>
        <w:gridCol w:w="1248"/>
        <w:gridCol w:w="1247"/>
        <w:gridCol w:w="1248"/>
        <w:gridCol w:w="788"/>
      </w:tblGrid>
      <w:tr w14:paraId="5943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Merge w:val="restart"/>
            <w:vAlign w:val="center"/>
          </w:tcPr>
          <w:p w14:paraId="27206EF1">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w:t>
            </w:r>
          </w:p>
        </w:tc>
        <w:tc>
          <w:tcPr>
            <w:tcW w:w="1276" w:type="dxa"/>
            <w:gridSpan w:val="2"/>
          </w:tcPr>
          <w:p w14:paraId="224CC9E0">
            <w:pPr>
              <w:spacing w:line="360" w:lineRule="auto"/>
              <w:jc w:val="center"/>
              <w:rPr>
                <w:rFonts w:hint="eastAsia" w:ascii="宋体" w:hAnsi="宋体" w:eastAsia="宋体" w:cs="Times New Roman"/>
                <w:sz w:val="24"/>
              </w:rPr>
            </w:pPr>
          </w:p>
        </w:tc>
        <w:tc>
          <w:tcPr>
            <w:tcW w:w="4961" w:type="dxa"/>
            <w:gridSpan w:val="4"/>
            <w:vAlign w:val="center"/>
          </w:tcPr>
          <w:p w14:paraId="76E9644C">
            <w:pPr>
              <w:spacing w:line="360" w:lineRule="auto"/>
              <w:jc w:val="center"/>
              <w:rPr>
                <w:rFonts w:hint="eastAsia" w:ascii="宋体" w:hAnsi="宋体" w:eastAsia="宋体" w:cs="Times New Roman"/>
                <w:sz w:val="24"/>
              </w:rPr>
            </w:pPr>
            <w:r>
              <w:rPr>
                <w:rFonts w:hint="eastAsia" w:ascii="宋体" w:hAnsi="宋体" w:eastAsia="宋体" w:cs="Times New Roman"/>
                <w:sz w:val="24"/>
              </w:rPr>
              <w:t>评价与成绩评定方法</w:t>
            </w:r>
          </w:p>
        </w:tc>
        <w:tc>
          <w:tcPr>
            <w:tcW w:w="788" w:type="dxa"/>
            <w:vMerge w:val="restart"/>
            <w:vAlign w:val="center"/>
          </w:tcPr>
          <w:p w14:paraId="72B9B436">
            <w:pPr>
              <w:spacing w:line="360" w:lineRule="auto"/>
              <w:jc w:val="center"/>
              <w:rPr>
                <w:rFonts w:hint="eastAsia" w:ascii="宋体" w:hAnsi="宋体" w:eastAsia="宋体" w:cs="Times New Roman"/>
                <w:sz w:val="24"/>
              </w:rPr>
            </w:pPr>
            <w:r>
              <w:rPr>
                <w:rFonts w:hint="eastAsia" w:ascii="宋体" w:hAnsi="宋体" w:eastAsia="宋体" w:cs="Times New Roman"/>
                <w:sz w:val="24"/>
              </w:rPr>
              <w:t>分值</w:t>
            </w:r>
          </w:p>
        </w:tc>
      </w:tr>
      <w:tr w14:paraId="7ECC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71" w:type="dxa"/>
            <w:vMerge w:val="continue"/>
            <w:vAlign w:val="center"/>
          </w:tcPr>
          <w:p w14:paraId="0D597462">
            <w:pPr>
              <w:spacing w:line="360" w:lineRule="auto"/>
              <w:jc w:val="center"/>
              <w:rPr>
                <w:rFonts w:hint="eastAsia" w:ascii="宋体" w:hAnsi="宋体" w:eastAsia="宋体" w:cs="Times New Roman"/>
                <w:sz w:val="24"/>
              </w:rPr>
            </w:pPr>
          </w:p>
        </w:tc>
        <w:tc>
          <w:tcPr>
            <w:tcW w:w="1247" w:type="dxa"/>
            <w:vAlign w:val="center"/>
          </w:tcPr>
          <w:p w14:paraId="3BD292B1">
            <w:pPr>
              <w:spacing w:line="360" w:lineRule="auto"/>
              <w:jc w:val="center"/>
              <w:rPr>
                <w:rFonts w:hint="eastAsia" w:ascii="宋体" w:hAnsi="宋体" w:eastAsia="宋体" w:cs="Times New Roman"/>
                <w:sz w:val="24"/>
              </w:rPr>
            </w:pPr>
            <w:r>
              <w:rPr>
                <w:rFonts w:hint="eastAsia" w:ascii="宋体" w:hAnsi="宋体" w:eastAsia="宋体" w:cs="Times New Roman"/>
                <w:sz w:val="24"/>
              </w:rPr>
              <w:t>教学实训</w:t>
            </w:r>
          </w:p>
          <w:p w14:paraId="185267E5">
            <w:pPr>
              <w:spacing w:line="360" w:lineRule="auto"/>
              <w:jc w:val="center"/>
              <w:rPr>
                <w:rFonts w:hint="eastAsia" w:ascii="宋体" w:hAnsi="宋体" w:eastAsia="宋体" w:cs="Times New Roman"/>
                <w:sz w:val="24"/>
              </w:rPr>
            </w:pPr>
            <w:r>
              <w:rPr>
                <w:rFonts w:hint="eastAsia" w:ascii="宋体" w:hAnsi="宋体" w:eastAsia="宋体" w:cs="Times New Roman"/>
                <w:sz w:val="24"/>
              </w:rPr>
              <w:t>态度</w:t>
            </w:r>
          </w:p>
        </w:tc>
        <w:tc>
          <w:tcPr>
            <w:tcW w:w="1247" w:type="dxa"/>
            <w:gridSpan w:val="2"/>
            <w:vAlign w:val="center"/>
          </w:tcPr>
          <w:p w14:paraId="2C687CA2">
            <w:pPr>
              <w:spacing w:line="360" w:lineRule="auto"/>
              <w:jc w:val="center"/>
              <w:rPr>
                <w:rFonts w:hint="eastAsia" w:ascii="宋体" w:hAnsi="宋体" w:eastAsia="宋体" w:cs="Times New Roman"/>
                <w:sz w:val="24"/>
              </w:rPr>
            </w:pPr>
            <w:r>
              <w:rPr>
                <w:rFonts w:hint="eastAsia" w:ascii="宋体" w:hAnsi="宋体" w:eastAsia="宋体" w:cs="Times New Roman"/>
                <w:sz w:val="24"/>
              </w:rPr>
              <w:t>教学设计</w:t>
            </w:r>
          </w:p>
          <w:p w14:paraId="3F820E6B">
            <w:pPr>
              <w:spacing w:line="360" w:lineRule="auto"/>
              <w:jc w:val="center"/>
              <w:rPr>
                <w:rFonts w:hint="eastAsia" w:ascii="宋体" w:hAnsi="宋体" w:eastAsia="宋体" w:cs="Times New Roman"/>
                <w:sz w:val="24"/>
              </w:rPr>
            </w:pPr>
            <w:r>
              <w:rPr>
                <w:rFonts w:hint="eastAsia" w:ascii="宋体" w:hAnsi="宋体" w:eastAsia="宋体" w:cs="Times New Roman"/>
                <w:sz w:val="24"/>
              </w:rPr>
              <w:t>实训</w:t>
            </w:r>
          </w:p>
        </w:tc>
        <w:tc>
          <w:tcPr>
            <w:tcW w:w="1248" w:type="dxa"/>
            <w:vAlign w:val="center"/>
          </w:tcPr>
          <w:p w14:paraId="7B700838">
            <w:pPr>
              <w:spacing w:line="360" w:lineRule="auto"/>
              <w:jc w:val="center"/>
              <w:rPr>
                <w:rFonts w:hint="eastAsia" w:ascii="宋体" w:hAnsi="宋体" w:eastAsia="宋体" w:cs="Times New Roman"/>
                <w:sz w:val="24"/>
              </w:rPr>
            </w:pPr>
            <w:r>
              <w:rPr>
                <w:rFonts w:hint="eastAsia" w:ascii="宋体" w:hAnsi="宋体" w:eastAsia="宋体" w:cs="Times New Roman"/>
                <w:sz w:val="24"/>
              </w:rPr>
              <w:t>说课实训</w:t>
            </w:r>
          </w:p>
        </w:tc>
        <w:tc>
          <w:tcPr>
            <w:tcW w:w="1247" w:type="dxa"/>
            <w:vAlign w:val="center"/>
          </w:tcPr>
          <w:p w14:paraId="13F83506">
            <w:pPr>
              <w:spacing w:line="360" w:lineRule="auto"/>
              <w:jc w:val="center"/>
              <w:rPr>
                <w:rFonts w:hint="eastAsia" w:ascii="宋体" w:hAnsi="宋体" w:eastAsia="宋体" w:cs="Times New Roman"/>
                <w:sz w:val="24"/>
              </w:rPr>
            </w:pPr>
            <w:r>
              <w:rPr>
                <w:rFonts w:hint="eastAsia" w:ascii="宋体" w:hAnsi="宋体" w:eastAsia="宋体" w:cs="Times New Roman"/>
                <w:sz w:val="24"/>
              </w:rPr>
              <w:t>课堂教学</w:t>
            </w:r>
          </w:p>
          <w:p w14:paraId="3416D137">
            <w:pPr>
              <w:spacing w:line="360" w:lineRule="auto"/>
              <w:jc w:val="center"/>
              <w:rPr>
                <w:rFonts w:hint="eastAsia" w:ascii="宋体" w:hAnsi="宋体" w:eastAsia="宋体" w:cs="Times New Roman"/>
                <w:sz w:val="24"/>
              </w:rPr>
            </w:pPr>
            <w:r>
              <w:rPr>
                <w:rFonts w:hint="eastAsia" w:ascii="宋体" w:hAnsi="宋体" w:eastAsia="宋体" w:cs="Times New Roman"/>
                <w:sz w:val="24"/>
              </w:rPr>
              <w:t>实训</w:t>
            </w:r>
          </w:p>
        </w:tc>
        <w:tc>
          <w:tcPr>
            <w:tcW w:w="1248" w:type="dxa"/>
            <w:vAlign w:val="center"/>
          </w:tcPr>
          <w:p w14:paraId="6A6500FF">
            <w:pPr>
              <w:spacing w:line="360" w:lineRule="auto"/>
              <w:jc w:val="center"/>
              <w:rPr>
                <w:rFonts w:hint="eastAsia" w:ascii="宋体" w:hAnsi="宋体" w:eastAsia="宋体" w:cs="Times New Roman"/>
                <w:sz w:val="24"/>
              </w:rPr>
            </w:pPr>
            <w:r>
              <w:rPr>
                <w:rFonts w:hint="eastAsia" w:ascii="宋体" w:hAnsi="宋体" w:eastAsia="宋体" w:cs="Times New Roman"/>
                <w:sz w:val="24"/>
              </w:rPr>
              <w:t>教学实训</w:t>
            </w:r>
          </w:p>
          <w:p w14:paraId="3FE4248F">
            <w:pPr>
              <w:spacing w:line="360" w:lineRule="auto"/>
              <w:jc w:val="center"/>
              <w:rPr>
                <w:rFonts w:hint="eastAsia" w:ascii="宋体" w:hAnsi="宋体" w:eastAsia="宋体" w:cs="Times New Roman"/>
                <w:sz w:val="24"/>
              </w:rPr>
            </w:pPr>
            <w:r>
              <w:rPr>
                <w:rFonts w:hint="eastAsia" w:ascii="宋体" w:hAnsi="宋体" w:eastAsia="宋体" w:cs="Times New Roman"/>
                <w:sz w:val="24"/>
              </w:rPr>
              <w:t>成果汇报</w:t>
            </w:r>
          </w:p>
        </w:tc>
        <w:tc>
          <w:tcPr>
            <w:tcW w:w="788" w:type="dxa"/>
            <w:vMerge w:val="continue"/>
            <w:vAlign w:val="center"/>
          </w:tcPr>
          <w:p w14:paraId="2E5B4756">
            <w:pPr>
              <w:spacing w:line="360" w:lineRule="auto"/>
              <w:jc w:val="center"/>
              <w:rPr>
                <w:rFonts w:hint="eastAsia" w:ascii="宋体" w:hAnsi="宋体" w:eastAsia="宋体" w:cs="Times New Roman"/>
                <w:sz w:val="24"/>
              </w:rPr>
            </w:pPr>
          </w:p>
        </w:tc>
      </w:tr>
      <w:tr w14:paraId="07E5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02F2D454">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课程目标1</w:t>
            </w:r>
          </w:p>
        </w:tc>
        <w:tc>
          <w:tcPr>
            <w:tcW w:w="1247" w:type="dxa"/>
            <w:vAlign w:val="center"/>
          </w:tcPr>
          <w:p w14:paraId="38C84F31">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7" w:type="dxa"/>
            <w:gridSpan w:val="2"/>
            <w:vAlign w:val="center"/>
          </w:tcPr>
          <w:p w14:paraId="7792D8E0">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8" w:type="dxa"/>
            <w:vAlign w:val="center"/>
          </w:tcPr>
          <w:p w14:paraId="5797048E">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7" w:type="dxa"/>
            <w:vAlign w:val="center"/>
          </w:tcPr>
          <w:p w14:paraId="5796AD1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8" w:type="dxa"/>
            <w:vAlign w:val="center"/>
          </w:tcPr>
          <w:p w14:paraId="4A7B9F67">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788" w:type="dxa"/>
            <w:vAlign w:val="center"/>
          </w:tcPr>
          <w:p w14:paraId="039F0DE9">
            <w:pPr>
              <w:spacing w:line="360" w:lineRule="auto"/>
              <w:jc w:val="center"/>
              <w:rPr>
                <w:rFonts w:hint="eastAsia" w:ascii="宋体" w:hAnsi="宋体" w:eastAsia="宋体" w:cs="Times New Roman"/>
                <w:sz w:val="24"/>
              </w:rPr>
            </w:pPr>
            <w:r>
              <w:rPr>
                <w:rFonts w:ascii="宋体" w:hAnsi="宋体" w:eastAsia="宋体" w:cs="Times New Roman"/>
                <w:sz w:val="24"/>
              </w:rPr>
              <w:t>40</w:t>
            </w:r>
          </w:p>
        </w:tc>
      </w:tr>
      <w:tr w14:paraId="5776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030D004B">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课程目标2</w:t>
            </w:r>
          </w:p>
        </w:tc>
        <w:tc>
          <w:tcPr>
            <w:tcW w:w="1247" w:type="dxa"/>
            <w:vAlign w:val="center"/>
          </w:tcPr>
          <w:p w14:paraId="24D0ED5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7" w:type="dxa"/>
            <w:gridSpan w:val="2"/>
            <w:vAlign w:val="center"/>
          </w:tcPr>
          <w:p w14:paraId="7E2E60B3">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8" w:type="dxa"/>
            <w:vAlign w:val="center"/>
          </w:tcPr>
          <w:p w14:paraId="54409D0D">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7" w:type="dxa"/>
            <w:vAlign w:val="center"/>
          </w:tcPr>
          <w:p w14:paraId="4DD5D676">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8" w:type="dxa"/>
            <w:vAlign w:val="center"/>
          </w:tcPr>
          <w:p w14:paraId="1F91456F">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788" w:type="dxa"/>
            <w:vAlign w:val="center"/>
          </w:tcPr>
          <w:p w14:paraId="232181A0">
            <w:pPr>
              <w:spacing w:line="360" w:lineRule="auto"/>
              <w:jc w:val="center"/>
              <w:rPr>
                <w:rFonts w:hint="eastAsia" w:ascii="宋体" w:hAnsi="宋体" w:eastAsia="宋体" w:cs="Times New Roman"/>
                <w:sz w:val="24"/>
              </w:rPr>
            </w:pPr>
            <w:r>
              <w:rPr>
                <w:rFonts w:ascii="宋体" w:hAnsi="宋体" w:eastAsia="宋体" w:cs="Times New Roman"/>
                <w:sz w:val="24"/>
              </w:rPr>
              <w:t>40</w:t>
            </w:r>
          </w:p>
        </w:tc>
      </w:tr>
      <w:tr w14:paraId="10D1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7E5EB1AF">
            <w:pPr>
              <w:spacing w:line="360" w:lineRule="auto"/>
              <w:jc w:val="center"/>
              <w:rPr>
                <w:rFonts w:hint="eastAsia" w:ascii="宋体" w:hAnsi="宋体" w:eastAsia="宋体" w:cs="Times New Roman"/>
                <w:sz w:val="24"/>
              </w:rPr>
            </w:pPr>
            <w:r>
              <w:rPr>
                <w:rFonts w:hint="eastAsia" w:ascii="宋体" w:hAnsi="宋体" w:eastAsia="宋体" w:cs="Times New Roman"/>
                <w:sz w:val="24"/>
              </w:rPr>
              <w:t>课程目标3</w:t>
            </w:r>
          </w:p>
        </w:tc>
        <w:tc>
          <w:tcPr>
            <w:tcW w:w="1247" w:type="dxa"/>
            <w:vAlign w:val="center"/>
          </w:tcPr>
          <w:p w14:paraId="11D38E33">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7" w:type="dxa"/>
            <w:gridSpan w:val="2"/>
            <w:vAlign w:val="center"/>
          </w:tcPr>
          <w:p w14:paraId="7C02E54F">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8" w:type="dxa"/>
            <w:vAlign w:val="center"/>
          </w:tcPr>
          <w:p w14:paraId="1623FD0A">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7" w:type="dxa"/>
            <w:vAlign w:val="center"/>
          </w:tcPr>
          <w:p w14:paraId="7DAF2D7D">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1248" w:type="dxa"/>
            <w:vAlign w:val="center"/>
          </w:tcPr>
          <w:p w14:paraId="447111D7">
            <w:pPr>
              <w:spacing w:line="360" w:lineRule="auto"/>
              <w:jc w:val="center"/>
              <w:rPr>
                <w:rFonts w:hint="eastAsia" w:ascii="宋体" w:hAnsi="宋体" w:eastAsia="宋体" w:cs="Times New Roman"/>
                <w:sz w:val="24"/>
              </w:rPr>
            </w:pPr>
            <w:r>
              <w:rPr>
                <w:rFonts w:ascii="宋体" w:hAnsi="宋体" w:eastAsia="宋体" w:cs="Times New Roman"/>
                <w:sz w:val="24"/>
              </w:rPr>
              <w:sym w:font="Wingdings 2" w:char="F050"/>
            </w:r>
          </w:p>
        </w:tc>
        <w:tc>
          <w:tcPr>
            <w:tcW w:w="788" w:type="dxa"/>
            <w:vAlign w:val="center"/>
          </w:tcPr>
          <w:p w14:paraId="40C641A4">
            <w:pPr>
              <w:spacing w:line="360" w:lineRule="auto"/>
              <w:jc w:val="center"/>
              <w:rPr>
                <w:rFonts w:hint="eastAsia" w:ascii="宋体" w:hAnsi="宋体" w:eastAsia="宋体" w:cs="Times New Roman"/>
                <w:sz w:val="24"/>
              </w:rPr>
            </w:pPr>
            <w:r>
              <w:rPr>
                <w:rFonts w:ascii="宋体" w:hAnsi="宋体" w:eastAsia="宋体" w:cs="Times New Roman"/>
                <w:sz w:val="24"/>
              </w:rPr>
              <w:t>20</w:t>
            </w:r>
          </w:p>
        </w:tc>
      </w:tr>
      <w:tr w14:paraId="5B19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406986F2">
            <w:pPr>
              <w:spacing w:line="360" w:lineRule="auto"/>
              <w:jc w:val="center"/>
              <w:rPr>
                <w:rFonts w:hint="eastAsia" w:ascii="宋体" w:hAnsi="宋体" w:eastAsia="宋体" w:cs="Times New Roman"/>
                <w:sz w:val="24"/>
              </w:rPr>
            </w:pPr>
            <w:r>
              <w:rPr>
                <w:rFonts w:hint="eastAsia" w:ascii="宋体" w:hAnsi="宋体" w:eastAsia="宋体" w:cs="Times New Roman"/>
                <w:sz w:val="24"/>
              </w:rPr>
              <w:t>合计</w:t>
            </w:r>
          </w:p>
        </w:tc>
        <w:tc>
          <w:tcPr>
            <w:tcW w:w="1247" w:type="dxa"/>
            <w:vAlign w:val="center"/>
          </w:tcPr>
          <w:p w14:paraId="2B6ACDA1">
            <w:pPr>
              <w:spacing w:line="360" w:lineRule="auto"/>
              <w:jc w:val="center"/>
              <w:rPr>
                <w:rFonts w:hint="eastAsia" w:ascii="宋体" w:hAnsi="宋体" w:eastAsia="宋体" w:cs="Times New Roman"/>
                <w:sz w:val="24"/>
              </w:rPr>
            </w:pPr>
            <w:r>
              <w:rPr>
                <w:rFonts w:ascii="宋体" w:hAnsi="宋体" w:eastAsia="宋体" w:cs="Times New Roman"/>
                <w:sz w:val="24"/>
              </w:rPr>
              <w:t>10</w:t>
            </w:r>
          </w:p>
        </w:tc>
        <w:tc>
          <w:tcPr>
            <w:tcW w:w="1247" w:type="dxa"/>
            <w:gridSpan w:val="2"/>
            <w:vAlign w:val="center"/>
          </w:tcPr>
          <w:p w14:paraId="3B5F598D">
            <w:pPr>
              <w:spacing w:line="360" w:lineRule="auto"/>
              <w:jc w:val="center"/>
              <w:rPr>
                <w:rFonts w:hint="eastAsia" w:ascii="宋体" w:hAnsi="宋体" w:eastAsia="宋体" w:cs="Times New Roman"/>
                <w:sz w:val="24"/>
              </w:rPr>
            </w:pPr>
            <w:r>
              <w:rPr>
                <w:rFonts w:ascii="宋体" w:hAnsi="宋体" w:eastAsia="宋体" w:cs="Times New Roman"/>
                <w:sz w:val="24"/>
              </w:rPr>
              <w:t>20</w:t>
            </w:r>
          </w:p>
        </w:tc>
        <w:tc>
          <w:tcPr>
            <w:tcW w:w="1248" w:type="dxa"/>
            <w:vAlign w:val="center"/>
          </w:tcPr>
          <w:p w14:paraId="53FB5BAD">
            <w:pPr>
              <w:spacing w:line="360" w:lineRule="auto"/>
              <w:jc w:val="center"/>
              <w:rPr>
                <w:rFonts w:hint="eastAsia"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0</w:t>
            </w:r>
          </w:p>
        </w:tc>
        <w:tc>
          <w:tcPr>
            <w:tcW w:w="1247" w:type="dxa"/>
            <w:vAlign w:val="center"/>
          </w:tcPr>
          <w:p w14:paraId="6CF8D370">
            <w:pPr>
              <w:spacing w:line="360" w:lineRule="auto"/>
              <w:jc w:val="center"/>
              <w:rPr>
                <w:rFonts w:hint="eastAsia" w:ascii="宋体" w:hAnsi="宋体" w:eastAsia="宋体" w:cs="Times New Roman"/>
                <w:sz w:val="24"/>
              </w:rPr>
            </w:pPr>
            <w:r>
              <w:rPr>
                <w:rFonts w:hint="eastAsia" w:ascii="宋体" w:hAnsi="宋体" w:eastAsia="宋体" w:cs="Times New Roman"/>
                <w:sz w:val="24"/>
              </w:rPr>
              <w:t>4</w:t>
            </w:r>
            <w:r>
              <w:rPr>
                <w:rFonts w:ascii="宋体" w:hAnsi="宋体" w:eastAsia="宋体" w:cs="Times New Roman"/>
                <w:sz w:val="24"/>
              </w:rPr>
              <w:t>0</w:t>
            </w:r>
          </w:p>
        </w:tc>
        <w:tc>
          <w:tcPr>
            <w:tcW w:w="1248" w:type="dxa"/>
            <w:vAlign w:val="center"/>
          </w:tcPr>
          <w:p w14:paraId="20D4567E">
            <w:pPr>
              <w:spacing w:line="360" w:lineRule="auto"/>
              <w:jc w:val="center"/>
              <w:rPr>
                <w:rFonts w:hint="eastAsia" w:ascii="宋体" w:hAnsi="宋体" w:eastAsia="宋体" w:cs="Times New Roman"/>
                <w:sz w:val="24"/>
              </w:rPr>
            </w:pPr>
            <w:r>
              <w:rPr>
                <w:rFonts w:ascii="宋体" w:hAnsi="宋体" w:eastAsia="宋体" w:cs="Times New Roman"/>
                <w:sz w:val="24"/>
              </w:rPr>
              <w:t>10</w:t>
            </w:r>
          </w:p>
        </w:tc>
        <w:tc>
          <w:tcPr>
            <w:tcW w:w="788" w:type="dxa"/>
            <w:vAlign w:val="center"/>
          </w:tcPr>
          <w:p w14:paraId="0D06DB58">
            <w:pPr>
              <w:spacing w:line="360" w:lineRule="auto"/>
              <w:jc w:val="center"/>
              <w:rPr>
                <w:rFonts w:hint="eastAsia" w:ascii="宋体" w:hAnsi="宋体" w:eastAsia="宋体" w:cs="Times New Roman"/>
                <w:sz w:val="24"/>
              </w:rPr>
            </w:pPr>
            <w:r>
              <w:rPr>
                <w:rFonts w:hint="eastAsia" w:ascii="宋体" w:hAnsi="宋体" w:eastAsia="宋体" w:cs="Times New Roman"/>
                <w:sz w:val="24"/>
              </w:rPr>
              <w:t>100</w:t>
            </w:r>
          </w:p>
        </w:tc>
      </w:tr>
    </w:tbl>
    <w:p w14:paraId="7C9B5650">
      <w:pPr>
        <w:spacing w:before="156" w:beforeLines="5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（二）成绩评定细则</w:t>
      </w:r>
    </w:p>
    <w:p w14:paraId="6E4B31BF">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各部分的评价方式和成绩评定的细则如表4所示：</w:t>
      </w:r>
    </w:p>
    <w:p w14:paraId="55C061CC">
      <w:pPr>
        <w:jc w:val="center"/>
        <w:rPr>
          <w:rFonts w:ascii="Times New Roman" w:hAnsi="Times New Roman" w:eastAsia="宋体" w:cs="Times New Roman"/>
          <w:b/>
          <w:bCs/>
          <w:sz w:val="24"/>
        </w:rPr>
      </w:pPr>
      <w:r>
        <w:rPr>
          <w:rFonts w:hint="eastAsia" w:ascii="Times New Roman" w:hAnsi="Times New Roman" w:eastAsia="宋体" w:cs="Times New Roman"/>
          <w:b/>
          <w:bCs/>
          <w:sz w:val="24"/>
        </w:rPr>
        <w:t>表4 各部分的评价方式和成绩评定的细则</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6924"/>
        <w:gridCol w:w="776"/>
      </w:tblGrid>
      <w:tr w14:paraId="5D50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074C139">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评价方式</w:t>
            </w:r>
          </w:p>
        </w:tc>
        <w:tc>
          <w:tcPr>
            <w:tcW w:w="6924" w:type="dxa"/>
            <w:vAlign w:val="center"/>
          </w:tcPr>
          <w:p w14:paraId="2A259A0D">
            <w:pPr>
              <w:jc w:val="center"/>
              <w:rPr>
                <w:rFonts w:ascii="Times New Roman" w:hAnsi="Times New Roman" w:eastAsia="宋体" w:cs="Times New Roman"/>
                <w:b/>
                <w:bCs/>
                <w:sz w:val="24"/>
              </w:rPr>
            </w:pPr>
            <w:r>
              <w:rPr>
                <w:rFonts w:hint="eastAsia" w:ascii="Times New Roman" w:hAnsi="Times New Roman" w:eastAsia="宋体" w:cs="Times New Roman"/>
                <w:b/>
                <w:bCs/>
                <w:sz w:val="24"/>
              </w:rPr>
              <w:t>评定细则</w:t>
            </w:r>
          </w:p>
        </w:tc>
        <w:tc>
          <w:tcPr>
            <w:tcW w:w="0" w:type="auto"/>
            <w:vAlign w:val="center"/>
          </w:tcPr>
          <w:p w14:paraId="7F939F3D">
            <w:pPr>
              <w:jc w:val="center"/>
              <w:rPr>
                <w:rFonts w:ascii="Times New Roman" w:hAnsi="Times New Roman" w:eastAsia="宋体" w:cs="Times New Roman"/>
                <w:b/>
                <w:bCs/>
                <w:sz w:val="24"/>
              </w:rPr>
            </w:pPr>
            <w:r>
              <w:rPr>
                <w:rFonts w:hint="eastAsia" w:ascii="Times New Roman" w:hAnsi="Times New Roman" w:eastAsia="宋体" w:cs="Times New Roman"/>
                <w:b/>
                <w:bCs/>
                <w:sz w:val="24"/>
              </w:rPr>
              <w:t>占比</w:t>
            </w:r>
          </w:p>
        </w:tc>
      </w:tr>
      <w:tr w14:paraId="57FB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02FC95A5">
            <w:pPr>
              <w:snapToGrid w:val="0"/>
              <w:spacing w:line="276" w:lineRule="auto"/>
              <w:rPr>
                <w:rFonts w:hint="eastAsia" w:ascii="宋体" w:hAnsi="宋体" w:eastAsia="宋体"/>
                <w:sz w:val="24"/>
              </w:rPr>
            </w:pPr>
            <w:r>
              <w:rPr>
                <w:rFonts w:hint="eastAsia" w:ascii="宋体" w:hAnsi="宋体" w:eastAsia="宋体"/>
                <w:sz w:val="24"/>
              </w:rPr>
              <w:t>教学实训态度</w:t>
            </w:r>
          </w:p>
        </w:tc>
        <w:tc>
          <w:tcPr>
            <w:tcW w:w="6924" w:type="dxa"/>
            <w:tcBorders>
              <w:top w:val="single" w:color="auto" w:sz="4" w:space="0"/>
              <w:left w:val="single" w:color="auto" w:sz="4" w:space="0"/>
              <w:bottom w:val="single" w:color="auto" w:sz="4" w:space="0"/>
              <w:right w:val="single" w:color="auto" w:sz="4" w:space="0"/>
            </w:tcBorders>
            <w:vAlign w:val="center"/>
          </w:tcPr>
          <w:p w14:paraId="2F057FA8">
            <w:pPr>
              <w:snapToGrid w:val="0"/>
              <w:spacing w:line="276" w:lineRule="auto"/>
              <w:rPr>
                <w:rFonts w:hint="eastAsia" w:ascii="宋体" w:hAnsi="宋体" w:eastAsia="宋体"/>
                <w:sz w:val="24"/>
              </w:rPr>
            </w:pPr>
            <w:r>
              <w:rPr>
                <w:rFonts w:hint="eastAsia" w:ascii="宋体" w:hAnsi="宋体" w:eastAsia="宋体"/>
                <w:sz w:val="24"/>
              </w:rPr>
              <w:t>根据学生出勤情况及实训</w:t>
            </w:r>
            <w:r>
              <w:rPr>
                <w:rFonts w:ascii="宋体" w:hAnsi="宋体" w:eastAsia="宋体"/>
                <w:sz w:val="24"/>
              </w:rPr>
              <w:t>态度，</w:t>
            </w:r>
            <w:r>
              <w:rPr>
                <w:rFonts w:hint="eastAsia" w:ascii="宋体" w:hAnsi="宋体" w:eastAsia="宋体"/>
                <w:sz w:val="24"/>
              </w:rPr>
              <w:t>遵守学校教学常规制度，教学实训手册填写等进行评分。采取学生自主和教师评价相结合的方式。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00FF2A07">
            <w:pPr>
              <w:snapToGrid w:val="0"/>
              <w:spacing w:line="276" w:lineRule="auto"/>
              <w:rPr>
                <w:rFonts w:hint="eastAsia" w:ascii="宋体" w:hAnsi="宋体" w:eastAsia="宋体"/>
                <w:sz w:val="24"/>
              </w:rPr>
            </w:pPr>
            <w:r>
              <w:rPr>
                <w:rFonts w:ascii="宋体" w:hAnsi="宋体" w:eastAsia="宋体"/>
                <w:sz w:val="24"/>
              </w:rPr>
              <w:t>10%</w:t>
            </w:r>
          </w:p>
        </w:tc>
      </w:tr>
      <w:tr w14:paraId="2CB1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78765C0A">
            <w:pPr>
              <w:snapToGrid w:val="0"/>
              <w:spacing w:line="276" w:lineRule="auto"/>
              <w:rPr>
                <w:rFonts w:hint="eastAsia" w:ascii="宋体" w:hAnsi="宋体" w:eastAsia="宋体"/>
                <w:sz w:val="24"/>
              </w:rPr>
            </w:pPr>
            <w:r>
              <w:rPr>
                <w:rFonts w:hint="eastAsia" w:ascii="宋体" w:hAnsi="宋体" w:eastAsia="宋体"/>
                <w:sz w:val="24"/>
              </w:rPr>
              <w:t>教学设计实训</w:t>
            </w:r>
          </w:p>
        </w:tc>
        <w:tc>
          <w:tcPr>
            <w:tcW w:w="6924" w:type="dxa"/>
            <w:tcBorders>
              <w:top w:val="single" w:color="auto" w:sz="4" w:space="0"/>
              <w:left w:val="single" w:color="auto" w:sz="4" w:space="0"/>
              <w:bottom w:val="single" w:color="auto" w:sz="4" w:space="0"/>
              <w:right w:val="single" w:color="auto" w:sz="4" w:space="0"/>
            </w:tcBorders>
            <w:vAlign w:val="center"/>
          </w:tcPr>
          <w:p w14:paraId="6FB5ED42">
            <w:pPr>
              <w:snapToGrid w:val="0"/>
              <w:spacing w:line="276" w:lineRule="auto"/>
              <w:rPr>
                <w:rFonts w:hint="eastAsia" w:ascii="宋体" w:hAnsi="宋体" w:eastAsia="宋体"/>
                <w:sz w:val="24"/>
              </w:rPr>
            </w:pPr>
            <w:r>
              <w:rPr>
                <w:rFonts w:hint="eastAsia" w:ascii="宋体" w:hAnsi="宋体" w:eastAsia="宋体"/>
                <w:sz w:val="24"/>
              </w:rPr>
              <w:t>根据教学方案、说课稿撰写情况进行评分。采取学生自主和教师评价相结合的方式。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315BE01C">
            <w:pPr>
              <w:snapToGrid w:val="0"/>
              <w:spacing w:line="276" w:lineRule="auto"/>
              <w:rPr>
                <w:rFonts w:hint="eastAsia" w:ascii="宋体" w:hAnsi="宋体" w:eastAsia="宋体"/>
                <w:sz w:val="24"/>
              </w:rPr>
            </w:pPr>
            <w:r>
              <w:rPr>
                <w:rFonts w:hint="eastAsia" w:ascii="宋体" w:hAnsi="宋体" w:eastAsia="宋体"/>
                <w:sz w:val="24"/>
              </w:rPr>
              <w:t>2</w:t>
            </w:r>
            <w:r>
              <w:rPr>
                <w:rFonts w:ascii="宋体" w:hAnsi="宋体" w:eastAsia="宋体"/>
                <w:sz w:val="24"/>
              </w:rPr>
              <w:t>0%</w:t>
            </w:r>
          </w:p>
        </w:tc>
      </w:tr>
      <w:tr w14:paraId="2C5A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2995AE49">
            <w:pPr>
              <w:snapToGrid w:val="0"/>
              <w:spacing w:line="276" w:lineRule="auto"/>
              <w:rPr>
                <w:rFonts w:hint="eastAsia" w:ascii="宋体" w:hAnsi="宋体" w:eastAsia="宋体"/>
                <w:sz w:val="24"/>
              </w:rPr>
            </w:pPr>
            <w:r>
              <w:rPr>
                <w:rFonts w:hint="eastAsia" w:ascii="宋体" w:hAnsi="宋体" w:eastAsia="宋体"/>
                <w:sz w:val="24"/>
              </w:rPr>
              <w:t>说课实训</w:t>
            </w:r>
          </w:p>
        </w:tc>
        <w:tc>
          <w:tcPr>
            <w:tcW w:w="6924" w:type="dxa"/>
            <w:tcBorders>
              <w:top w:val="single" w:color="auto" w:sz="4" w:space="0"/>
              <w:left w:val="single" w:color="auto" w:sz="4" w:space="0"/>
              <w:bottom w:val="single" w:color="auto" w:sz="4" w:space="0"/>
              <w:right w:val="single" w:color="auto" w:sz="4" w:space="0"/>
            </w:tcBorders>
            <w:vAlign w:val="center"/>
          </w:tcPr>
          <w:p w14:paraId="6E4BF8B7">
            <w:pPr>
              <w:snapToGrid w:val="0"/>
              <w:spacing w:line="276" w:lineRule="auto"/>
              <w:rPr>
                <w:rFonts w:hint="eastAsia" w:ascii="宋体" w:hAnsi="宋体" w:eastAsia="宋体"/>
                <w:sz w:val="24"/>
              </w:rPr>
            </w:pPr>
            <w:r>
              <w:rPr>
                <w:rFonts w:hint="eastAsia" w:ascii="宋体" w:hAnsi="宋体" w:eastAsia="宋体"/>
                <w:sz w:val="24"/>
              </w:rPr>
              <w:t>根据说课实际情况进行评分。采取学生自主和教师评价相结合的方式。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73916848">
            <w:pPr>
              <w:snapToGrid w:val="0"/>
              <w:spacing w:line="276" w:lineRule="auto"/>
              <w:rPr>
                <w:rFonts w:hint="eastAsia" w:ascii="宋体" w:hAnsi="宋体" w:eastAsia="宋体"/>
                <w:sz w:val="24"/>
              </w:rPr>
            </w:pPr>
            <w:r>
              <w:rPr>
                <w:rFonts w:hint="eastAsia" w:ascii="宋体" w:hAnsi="宋体" w:eastAsia="宋体"/>
                <w:sz w:val="24"/>
              </w:rPr>
              <w:t>2</w:t>
            </w:r>
            <w:r>
              <w:rPr>
                <w:rFonts w:ascii="宋体" w:hAnsi="宋体" w:eastAsia="宋体"/>
                <w:sz w:val="24"/>
              </w:rPr>
              <w:t>0%</w:t>
            </w:r>
          </w:p>
        </w:tc>
      </w:tr>
      <w:tr w14:paraId="2A5D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295D28CB">
            <w:pPr>
              <w:snapToGrid w:val="0"/>
              <w:spacing w:line="276" w:lineRule="auto"/>
              <w:rPr>
                <w:rFonts w:hint="eastAsia" w:ascii="宋体" w:hAnsi="宋体" w:eastAsia="宋体"/>
                <w:sz w:val="24"/>
              </w:rPr>
            </w:pPr>
            <w:r>
              <w:rPr>
                <w:rFonts w:hint="eastAsia" w:ascii="宋体" w:hAnsi="宋体" w:eastAsia="宋体"/>
                <w:sz w:val="24"/>
              </w:rPr>
              <w:t>课堂教学实训</w:t>
            </w:r>
          </w:p>
        </w:tc>
        <w:tc>
          <w:tcPr>
            <w:tcW w:w="6924" w:type="dxa"/>
            <w:tcBorders>
              <w:top w:val="single" w:color="auto" w:sz="4" w:space="0"/>
              <w:left w:val="single" w:color="auto" w:sz="4" w:space="0"/>
              <w:bottom w:val="single" w:color="auto" w:sz="4" w:space="0"/>
              <w:right w:val="single" w:color="auto" w:sz="4" w:space="0"/>
            </w:tcBorders>
            <w:vAlign w:val="center"/>
          </w:tcPr>
          <w:p w14:paraId="75F2AE0A">
            <w:pPr>
              <w:snapToGrid w:val="0"/>
              <w:spacing w:line="276" w:lineRule="auto"/>
              <w:rPr>
                <w:rFonts w:hint="eastAsia" w:ascii="宋体" w:hAnsi="宋体" w:eastAsia="宋体"/>
                <w:sz w:val="24"/>
              </w:rPr>
            </w:pPr>
            <w:r>
              <w:rPr>
                <w:rFonts w:hint="eastAsia" w:ascii="宋体" w:hAnsi="宋体" w:eastAsia="宋体"/>
                <w:sz w:val="24"/>
              </w:rPr>
              <w:t>根据课堂教学（模拟教学）实际情况进行评分。采取学生自主和教师评价相结合的方式。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7A0B9B9B">
            <w:pPr>
              <w:snapToGrid w:val="0"/>
              <w:spacing w:line="276" w:lineRule="auto"/>
              <w:rPr>
                <w:rFonts w:hint="eastAsia" w:ascii="宋体" w:hAnsi="宋体" w:eastAsia="宋体"/>
                <w:sz w:val="24"/>
              </w:rPr>
            </w:pPr>
            <w:r>
              <w:rPr>
                <w:rFonts w:ascii="宋体" w:hAnsi="宋体" w:eastAsia="宋体"/>
                <w:sz w:val="24"/>
              </w:rPr>
              <w:t>40%</w:t>
            </w:r>
          </w:p>
        </w:tc>
      </w:tr>
      <w:tr w14:paraId="6F4E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62AD6A1C">
            <w:pPr>
              <w:snapToGrid w:val="0"/>
              <w:spacing w:line="276" w:lineRule="auto"/>
              <w:rPr>
                <w:rFonts w:hint="eastAsia" w:ascii="宋体" w:hAnsi="宋体" w:eastAsia="宋体"/>
                <w:sz w:val="24"/>
              </w:rPr>
            </w:pPr>
            <w:r>
              <w:rPr>
                <w:rFonts w:hint="eastAsia" w:ascii="宋体" w:hAnsi="宋体" w:eastAsia="宋体"/>
                <w:sz w:val="24"/>
              </w:rPr>
              <w:t>教学实训成果汇报</w:t>
            </w:r>
          </w:p>
        </w:tc>
        <w:tc>
          <w:tcPr>
            <w:tcW w:w="6924" w:type="dxa"/>
            <w:tcBorders>
              <w:top w:val="single" w:color="auto" w:sz="4" w:space="0"/>
              <w:left w:val="single" w:color="auto" w:sz="4" w:space="0"/>
              <w:bottom w:val="single" w:color="auto" w:sz="4" w:space="0"/>
              <w:right w:val="single" w:color="auto" w:sz="4" w:space="0"/>
            </w:tcBorders>
            <w:vAlign w:val="center"/>
          </w:tcPr>
          <w:p w14:paraId="31CC9B93">
            <w:pPr>
              <w:snapToGrid w:val="0"/>
              <w:spacing w:line="276" w:lineRule="auto"/>
              <w:rPr>
                <w:rFonts w:hint="eastAsia" w:ascii="宋体" w:hAnsi="宋体" w:eastAsia="宋体"/>
                <w:sz w:val="24"/>
              </w:rPr>
            </w:pPr>
            <w:r>
              <w:rPr>
                <w:rFonts w:hint="eastAsia" w:ascii="宋体" w:hAnsi="宋体" w:eastAsia="宋体"/>
                <w:sz w:val="24"/>
              </w:rPr>
              <w:t>根据学生的教学实训成果汇报情况进行评分。采取学生自主和教师评价相结合的方式。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1179235B">
            <w:pPr>
              <w:snapToGrid w:val="0"/>
              <w:spacing w:line="276" w:lineRule="auto"/>
              <w:rPr>
                <w:rFonts w:hint="eastAsia" w:ascii="宋体" w:hAnsi="宋体" w:eastAsia="宋体"/>
                <w:sz w:val="24"/>
              </w:rPr>
            </w:pPr>
            <w:r>
              <w:rPr>
                <w:rFonts w:ascii="宋体" w:hAnsi="宋体" w:eastAsia="宋体"/>
                <w:sz w:val="24"/>
              </w:rPr>
              <w:t>10%</w:t>
            </w:r>
          </w:p>
        </w:tc>
      </w:tr>
      <w:tr w14:paraId="5BB0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38C0E5D">
            <w:pPr>
              <w:jc w:val="center"/>
              <w:rPr>
                <w:rFonts w:ascii="Times New Roman" w:hAnsi="Times New Roman" w:eastAsia="宋体" w:cs="Times New Roman"/>
                <w:b/>
                <w:bCs/>
                <w:sz w:val="24"/>
              </w:rPr>
            </w:pPr>
            <w:r>
              <w:rPr>
                <w:rFonts w:hint="eastAsia" w:ascii="Times New Roman" w:hAnsi="Times New Roman" w:eastAsia="宋体" w:cs="Times New Roman"/>
                <w:b/>
                <w:bCs/>
                <w:sz w:val="24"/>
              </w:rPr>
              <w:t>合计</w:t>
            </w:r>
          </w:p>
        </w:tc>
        <w:tc>
          <w:tcPr>
            <w:tcW w:w="0" w:type="auto"/>
            <w:vAlign w:val="center"/>
          </w:tcPr>
          <w:p w14:paraId="4F0FBA02">
            <w:pPr>
              <w:jc w:val="left"/>
              <w:rPr>
                <w:rFonts w:ascii="Times New Roman" w:hAnsi="Times New Roman" w:eastAsia="宋体" w:cs="Times New Roman"/>
                <w:sz w:val="24"/>
              </w:rPr>
            </w:pPr>
          </w:p>
        </w:tc>
        <w:tc>
          <w:tcPr>
            <w:tcW w:w="0" w:type="auto"/>
            <w:vAlign w:val="center"/>
          </w:tcPr>
          <w:p w14:paraId="295FCFB8">
            <w:pPr>
              <w:jc w:val="center"/>
              <w:rPr>
                <w:rFonts w:ascii="Times New Roman" w:hAnsi="Times New Roman" w:eastAsia="宋体" w:cs="Times New Roman"/>
                <w:sz w:val="24"/>
              </w:rPr>
            </w:pPr>
            <w:r>
              <w:rPr>
                <w:rFonts w:hint="eastAsia" w:ascii="Times New Roman" w:hAnsi="Times New Roman" w:eastAsia="宋体" w:cs="Times New Roman"/>
                <w:sz w:val="24"/>
              </w:rPr>
              <w:t>100%</w:t>
            </w:r>
          </w:p>
        </w:tc>
      </w:tr>
    </w:tbl>
    <w:p w14:paraId="216C53F0">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（三）课程目标达成度计算方法</w:t>
      </w:r>
    </w:p>
    <w:p w14:paraId="53DCED16">
      <w:pPr>
        <w:spacing w:line="360" w:lineRule="auto"/>
        <w:ind w:firstLine="470" w:firstLineChars="196"/>
        <w:jc w:val="left"/>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w:t>
      </w:r>
      <w:r>
        <w:rPr>
          <w:rFonts w:ascii="宋体" w:hAnsi="宋体" w:eastAsia="宋体" w:cs="Times New Roman"/>
          <w:color w:val="000000"/>
          <w:sz w:val="24"/>
        </w:rPr>
        <w:t>0.6，否则总评成绩不及格，需要补考或重修。每门课程目标总体达成度计算方法如下：</w:t>
      </w:r>
    </w:p>
    <w:p w14:paraId="5D804918">
      <w:pPr>
        <w:spacing w:before="156" w:beforeLines="50" w:line="360" w:lineRule="auto"/>
        <w:ind w:firstLine="480" w:firstLineChars="200"/>
        <w:jc w:val="left"/>
        <w:rPr>
          <w:rFonts w:hint="eastAsia" w:ascii="宋体" w:hAnsi="宋体" w:eastAsia="宋体" w:cs="Times New Roman"/>
          <w:color w:val="000000"/>
          <w:sz w:val="24"/>
        </w:rPr>
      </w:pPr>
      <w:r>
        <w:rPr>
          <w:rFonts w:ascii="宋体" w:hAnsi="宋体" w:eastAsia="宋体" w:cs="Times New Roman"/>
          <w:color w:val="000000"/>
          <w:sz w:val="24"/>
        </w:rPr>
        <w:object>
          <v:shape id="_x0000_i1080"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80" DrawAspect="Content" ObjectID="_1468075780" r:id="rId66">
            <o:LockedField>false</o:LockedField>
          </o:OLEObject>
        </w:object>
      </w:r>
    </w:p>
    <w:p w14:paraId="1D811156">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课内实践</w:t>
      </w:r>
    </w:p>
    <w:p w14:paraId="7B82CE21">
      <w:pPr>
        <w:spacing w:line="360" w:lineRule="auto"/>
        <w:ind w:firstLine="470" w:firstLineChars="196"/>
        <w:jc w:val="left"/>
        <w:rPr>
          <w:rFonts w:ascii="Times New Roman" w:hAnsi="Times New Roman" w:eastAsia="宋体" w:cs="Times New Roman"/>
          <w:sz w:val="24"/>
        </w:rPr>
      </w:pPr>
      <w:r>
        <w:rPr>
          <w:rFonts w:hint="eastAsia" w:ascii="Times New Roman" w:hAnsi="Times New Roman" w:eastAsia="宋体" w:cs="Times New Roman"/>
          <w:sz w:val="24"/>
        </w:rPr>
        <w:t>无</w:t>
      </w:r>
    </w:p>
    <w:p w14:paraId="642AC98A">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8"/>
          <w:szCs w:val="28"/>
        </w:rPr>
        <w:t>六、有关说明</w:t>
      </w:r>
    </w:p>
    <w:p w14:paraId="58828F3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23BD3A40">
      <w:pPr>
        <w:spacing w:line="360" w:lineRule="auto"/>
        <w:ind w:firstLine="600" w:firstLineChars="250"/>
        <w:jc w:val="left"/>
        <w:rPr>
          <w:rFonts w:ascii="Times New Roman" w:hAnsi="Times New Roman" w:eastAsia="宋体" w:cs="Times New Roman"/>
          <w:sz w:val="24"/>
        </w:rPr>
      </w:pPr>
      <w:r>
        <w:rPr>
          <w:rFonts w:hint="eastAsia" w:ascii="Times New Roman" w:hAnsi="Times New Roman" w:eastAsia="宋体" w:cs="Times New Roman"/>
          <w:sz w:val="24"/>
        </w:rPr>
        <w:t>本课程根据学生实训情况、教学督导反馈等，及时对教学实训中的不足之处进行改进，并在下一轮课程实施中整改完善，确保相应毕业要求指标点达成。</w:t>
      </w:r>
    </w:p>
    <w:p w14:paraId="2D707A19">
      <w:pPr>
        <w:spacing w:line="360" w:lineRule="auto"/>
        <w:ind w:firstLine="602" w:firstLineChars="250"/>
        <w:jc w:val="left"/>
        <w:rPr>
          <w:rFonts w:ascii="Times New Roman" w:hAnsi="Times New Roman" w:eastAsia="宋体" w:cs="Times New Roman"/>
          <w:b/>
          <w:sz w:val="24"/>
        </w:rPr>
      </w:pPr>
      <w:r>
        <w:rPr>
          <w:rFonts w:hint="eastAsia" w:ascii="Times New Roman" w:hAnsi="Times New Roman" w:eastAsia="宋体" w:cs="Times New Roman"/>
          <w:b/>
          <w:sz w:val="24"/>
        </w:rPr>
        <w:t>（二）建议教材</w:t>
      </w:r>
    </w:p>
    <w:p w14:paraId="4F08EA8C">
      <w:pPr>
        <w:spacing w:line="360" w:lineRule="auto"/>
        <w:ind w:firstLine="600" w:firstLineChars="250"/>
        <w:jc w:val="left"/>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教学实训手册（自编）</w:t>
      </w:r>
    </w:p>
    <w:p w14:paraId="241AD20E">
      <w:pPr>
        <w:spacing w:line="360" w:lineRule="auto"/>
        <w:ind w:firstLine="602" w:firstLineChars="250"/>
        <w:jc w:val="left"/>
        <w:rPr>
          <w:rFonts w:ascii="Times New Roman" w:hAnsi="Times New Roman" w:eastAsia="宋体" w:cs="Times New Roman"/>
          <w:b/>
          <w:sz w:val="24"/>
        </w:rPr>
      </w:pPr>
      <w:r>
        <w:rPr>
          <w:rFonts w:hint="eastAsia" w:ascii="Times New Roman" w:hAnsi="Times New Roman" w:eastAsia="宋体" w:cs="Times New Roman"/>
          <w:b/>
          <w:sz w:val="24"/>
        </w:rPr>
        <w:t>（三）参考书目</w:t>
      </w:r>
    </w:p>
    <w:p w14:paraId="33F92AB8">
      <w:pPr>
        <w:spacing w:line="360" w:lineRule="auto"/>
        <w:ind w:firstLine="600" w:firstLineChars="250"/>
        <w:jc w:val="left"/>
        <w:rPr>
          <w:rFonts w:hint="eastAsia" w:ascii="宋体" w:hAnsi="宋体" w:eastAsia="宋体" w:cs="Times New Roman"/>
          <w:sz w:val="24"/>
        </w:rPr>
      </w:pPr>
      <w:r>
        <w:rPr>
          <w:rFonts w:ascii="宋体" w:hAnsi="宋体" w:eastAsia="宋体" w:cs="Times New Roman"/>
          <w:sz w:val="24"/>
        </w:rPr>
        <w:t>1．相关学科课程标准</w:t>
      </w:r>
    </w:p>
    <w:p w14:paraId="78E8A131">
      <w:pPr>
        <w:spacing w:line="360" w:lineRule="auto"/>
        <w:ind w:firstLine="600" w:firstLineChars="250"/>
        <w:jc w:val="left"/>
        <w:rPr>
          <w:rFonts w:hint="eastAsia" w:ascii="宋体" w:hAnsi="宋体" w:eastAsia="宋体" w:cs="Times New Roman"/>
          <w:sz w:val="24"/>
        </w:rPr>
      </w:pPr>
      <w:r>
        <w:rPr>
          <w:rFonts w:ascii="宋体" w:hAnsi="宋体" w:eastAsia="宋体" w:cs="Times New Roman"/>
          <w:sz w:val="24"/>
        </w:rPr>
        <w:t>2．相关学科小学各年级教材。</w:t>
      </w:r>
    </w:p>
    <w:p w14:paraId="0F7CD887">
      <w:pPr>
        <w:rPr>
          <w:sz w:val="24"/>
        </w:rPr>
      </w:pPr>
    </w:p>
    <w:p w14:paraId="438B731B">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执 笔 人：谢国忠</w:t>
      </w:r>
    </w:p>
    <w:p w14:paraId="57CBB843">
      <w:pPr>
        <w:wordWrap w:val="0"/>
        <w:spacing w:line="360" w:lineRule="auto"/>
        <w:ind w:right="144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定 人：王 健</w:t>
      </w:r>
    </w:p>
    <w:p w14:paraId="3D68B9EE">
      <w:pPr>
        <w:spacing w:line="360" w:lineRule="auto"/>
        <w:ind w:right="1200" w:firstLine="4800" w:firstLineChars="2000"/>
        <w:rPr>
          <w:rFonts w:ascii="Times New Roman" w:hAnsi="Times New Roman" w:eastAsia="宋体" w:cs="Times New Roman"/>
          <w:sz w:val="24"/>
        </w:rPr>
      </w:pPr>
      <w:r>
        <w:rPr>
          <w:rFonts w:hint="eastAsia" w:ascii="Times New Roman" w:hAnsi="Times New Roman" w:eastAsia="宋体" w:cs="Times New Roman"/>
          <w:sz w:val="24"/>
        </w:rPr>
        <w:t>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75B1C642">
      <w:pPr>
        <w:spacing w:line="360" w:lineRule="auto"/>
        <w:ind w:firstLine="4320" w:firstLineChars="1800"/>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400FDA45">
      <w:pPr>
        <w:rPr>
          <w:rFonts w:ascii="Times New Roman" w:hAnsi="Times New Roman" w:eastAsia="宋体" w:cs="Times New Roman"/>
          <w:sz w:val="24"/>
        </w:rPr>
      </w:pPr>
      <w:r>
        <w:rPr>
          <w:rFonts w:ascii="Times New Roman" w:hAnsi="Times New Roman" w:eastAsia="宋体" w:cs="Times New Roman"/>
          <w:sz w:val="24"/>
        </w:rPr>
        <w:br w:type="page"/>
      </w:r>
    </w:p>
    <w:p w14:paraId="3B35727E">
      <w:pPr>
        <w:pStyle w:val="2"/>
        <w:tabs>
          <w:tab w:val="left" w:pos="720"/>
          <w:tab w:val="left" w:pos="2700"/>
        </w:tabs>
      </w:pPr>
      <w:bookmarkStart w:id="295" w:name="_Toc7351"/>
      <w:bookmarkStart w:id="296" w:name="_Toc7407"/>
      <w:bookmarkStart w:id="297" w:name="_Toc57017212"/>
      <w:bookmarkStart w:id="298" w:name="_Toc88340369"/>
      <w:r>
        <w:rPr>
          <w:rFonts w:hint="eastAsia"/>
        </w:rPr>
        <w:t>《教育实习I》课程教学大纲</w:t>
      </w:r>
      <w:bookmarkEnd w:id="295"/>
      <w:bookmarkEnd w:id="296"/>
    </w:p>
    <w:p w14:paraId="0C76150F">
      <w:pPr>
        <w:spacing w:line="360" w:lineRule="auto"/>
        <w:jc w:val="center"/>
        <w:rPr>
          <w:rFonts w:ascii="Times New Roman" w:hAnsi="Times New Roman" w:eastAsia="宋体" w:cs="Times New Roman"/>
          <w:bCs/>
          <w:sz w:val="30"/>
          <w:szCs w:val="30"/>
        </w:rPr>
      </w:pPr>
      <w:r>
        <w:rPr>
          <w:rFonts w:hint="eastAsia" w:ascii="Times New Roman" w:hAnsi="Times New Roman" w:eastAsia="宋体" w:cs="Times New Roman"/>
          <w:b/>
          <w:sz w:val="44"/>
          <w:szCs w:val="44"/>
        </w:rPr>
        <w:t>（Educational Practice I）</w:t>
      </w:r>
    </w:p>
    <w:p w14:paraId="2912864A">
      <w:pPr>
        <w:spacing w:line="360" w:lineRule="auto"/>
        <w:ind w:firstLine="482" w:firstLineChars="200"/>
        <w:jc w:val="left"/>
        <w:rPr>
          <w:rFonts w:ascii="Times New Roman" w:hAnsi="Times New Roman" w:eastAsia="宋体" w:cs="Times New Roman"/>
          <w:b/>
          <w:sz w:val="24"/>
        </w:rPr>
      </w:pPr>
    </w:p>
    <w:p w14:paraId="46B6944F">
      <w:pPr>
        <w:spacing w:line="360" w:lineRule="auto"/>
        <w:ind w:firstLine="482" w:firstLineChars="200"/>
        <w:jc w:val="left"/>
        <w:rPr>
          <w:rFonts w:ascii="Times New Roman" w:hAnsi="Times New Roman" w:eastAsia="宋体" w:cs="Times New Roman"/>
          <w:b/>
          <w:sz w:val="24"/>
        </w:rPr>
      </w:pPr>
    </w:p>
    <w:p w14:paraId="656462D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课程名称：教育实习I</w:t>
      </w:r>
    </w:p>
    <w:p w14:paraId="5731425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课程代码：2401050</w:t>
      </w:r>
    </w:p>
    <w:p w14:paraId="17CA510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分：2</w:t>
      </w:r>
    </w:p>
    <w:p w14:paraId="4793627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时：4周</w:t>
      </w:r>
    </w:p>
    <w:p w14:paraId="7C346E4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先修课程：小学心理学、教育原理、中国教育史、书写技能、普通话训练、课程与教学论、教育心理学、认知实习、教育见习等。</w:t>
      </w:r>
    </w:p>
    <w:p w14:paraId="027782D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3DE3656C">
      <w:pPr>
        <w:spacing w:line="360" w:lineRule="auto"/>
        <w:rPr>
          <w:rFonts w:ascii="Times New Roman" w:hAnsi="Times New Roman" w:eastAsia="宋体" w:cs="Times New Roman"/>
          <w:b/>
          <w:sz w:val="24"/>
        </w:rPr>
      </w:pPr>
    </w:p>
    <w:p w14:paraId="57B6A89E">
      <w:pPr>
        <w:spacing w:line="360" w:lineRule="auto"/>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156F91B7">
      <w:pPr>
        <w:spacing w:before="156" w:beforeLines="50"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教育实习Ⅰ是小学教育专业重要的实践性环节。本课程旨在为师范生提供将教育理论转化为教育实践的平台。学生在教育实习活动中巩固和加深对教育教学理论知识的理解，磨练专业技能，形成良好的师生观念与教学观念，深厚从事教师职业的情感，初步具有独立从事教育、教学工作和教育科学研究的能力，完成由师范生向一名准教师的转变。</w:t>
      </w:r>
    </w:p>
    <w:p w14:paraId="7435C490">
      <w:pPr>
        <w:spacing w:before="156" w:before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4"/>
        </w:rPr>
        <w:t>二、课程目标</w:t>
      </w:r>
    </w:p>
    <w:p w14:paraId="4DC2B329">
      <w:pPr>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（一）课程具体目标</w:t>
      </w:r>
    </w:p>
    <w:p w14:paraId="416006A2">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目标1. 在实践中增进对儿童的认识，体验和感受教师职业的光荣感和责任感；接受职业道德教育和训练，自觉加强师德修养，养成和坚定献身小学教育事业的专业信念。</w:t>
      </w:r>
    </w:p>
    <w:p w14:paraId="1BEB4D6B">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目标2. 通过课堂教学实习，获得对教育实践情境的认知，将在理论课程中习得的文化科学知识、教育理论知识与实践相融合；进一步理解学科核心素养和学科课程独特的育人功能，在开展教学设计、教学实施、教学评价、教学反思的过程中，提升教育实践能力、学科育人能力和教学研究能力。</w:t>
      </w:r>
    </w:p>
    <w:p w14:paraId="2D05D02C">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目标3. 通过班队工作实习，进一步体会文化、活动的育人价值，加深理解和综合运用小学班队组织与建设的工作规律与方法，学会处理日常教育教学工作中的突发性事件，具备独立从事班级管理的实践能力。</w:t>
      </w:r>
    </w:p>
    <w:p w14:paraId="530FFAB4">
      <w:pPr>
        <w:spacing w:line="360" w:lineRule="auto"/>
        <w:ind w:firstLine="420" w:firstLineChars="200"/>
        <w:rPr>
          <w:rFonts w:ascii="Times New Roman" w:hAnsi="Times New Roman" w:eastAsia="宋体" w:cs="Times New Roman"/>
          <w:b/>
          <w:bCs/>
          <w:szCs w:val="21"/>
        </w:rPr>
      </w:pPr>
      <w:r>
        <w:rPr>
          <w:rFonts w:hint="eastAsia" w:ascii="Times New Roman" w:hAnsi="Times New Roman" w:eastAsia="宋体" w:cs="Times New Roman"/>
          <w:szCs w:val="21"/>
        </w:rPr>
        <w:t>目标4.了解学校的文化建构、课程设置、教师日常工作的基本流程，认真观察并记录实习学校中有关的教育教学现象，并有针对性的结合相关理论进行反思，习得与教师、学生、家长进行有效沟通技能和方法。</w:t>
      </w:r>
    </w:p>
    <w:p w14:paraId="2711B99D">
      <w:pPr>
        <w:numPr>
          <w:ilvl w:val="0"/>
          <w:numId w:val="63"/>
        </w:numPr>
        <w:spacing w:line="360" w:lineRule="auto"/>
        <w:ind w:firstLine="482" w:firstLineChars="200"/>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课程目标与专业毕业要求的关系</w:t>
      </w:r>
    </w:p>
    <w:tbl>
      <w:tblPr>
        <w:tblStyle w:val="13"/>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5914"/>
        <w:gridCol w:w="1286"/>
      </w:tblGrid>
      <w:tr w14:paraId="76FEA5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6E0A76ED">
            <w:pPr>
              <w:adjustRightInd w:val="0"/>
              <w:snapToGrid w:val="0"/>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5914" w:type="dxa"/>
            <w:vAlign w:val="center"/>
          </w:tcPr>
          <w:p w14:paraId="22815976">
            <w:pPr>
              <w:adjustRightInd w:val="0"/>
              <w:snapToGrid w:val="0"/>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286" w:type="dxa"/>
            <w:vAlign w:val="center"/>
          </w:tcPr>
          <w:p w14:paraId="5751C4FB">
            <w:pPr>
              <w:adjustRightInd w:val="0"/>
              <w:snapToGrid w:val="0"/>
              <w:spacing w:line="276" w:lineRule="auto"/>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3F8AF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2210C112">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毕业要求1</w:t>
            </w:r>
          </w:p>
          <w:p w14:paraId="77CB954B">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师德规范</w:t>
            </w:r>
          </w:p>
        </w:tc>
        <w:tc>
          <w:tcPr>
            <w:tcW w:w="5914" w:type="dxa"/>
            <w:vAlign w:val="center"/>
          </w:tcPr>
          <w:p w14:paraId="582B6291">
            <w:pPr>
              <w:adjustRightInd w:val="0"/>
              <w:snapToGrid w:val="0"/>
              <w:spacing w:line="276" w:lineRule="auto"/>
              <w:rPr>
                <w:rFonts w:hint="eastAsia" w:ascii="宋体" w:hAnsi="宋体" w:cs="宋体"/>
                <w:szCs w:val="21"/>
              </w:rPr>
            </w:pPr>
            <w:r>
              <w:rPr>
                <w:rFonts w:hint="eastAsia" w:ascii="宋体" w:hAnsi="宋体" w:cs="宋体"/>
                <w:kern w:val="0"/>
                <w:szCs w:val="21"/>
              </w:rPr>
              <w:t>指标点</w:t>
            </w:r>
            <w:r>
              <w:rPr>
                <w:rFonts w:hint="eastAsia" w:ascii="宋体" w:hAnsi="宋体" w:cs="宋体"/>
                <w:szCs w:val="21"/>
              </w:rPr>
              <w:t>1-1：【理想信念坚定】了解我国国情及国际局势，深刻理解新时代中国特色社会主义思想内涵</w:t>
            </w:r>
            <w:r>
              <w:rPr>
                <w:rFonts w:hint="eastAsia" w:cs="宋体"/>
                <w:szCs w:val="21"/>
              </w:rPr>
              <w:t>；</w:t>
            </w:r>
            <w:r>
              <w:rPr>
                <w:rFonts w:hint="eastAsia" w:ascii="宋体" w:hAnsi="宋体" w:cs="宋体"/>
                <w:szCs w:val="21"/>
              </w:rPr>
              <w:t>认同中国特色社会主义，贯彻党的教育方针，自觉践行社会主义核心价值观</w:t>
            </w:r>
            <w:r>
              <w:rPr>
                <w:rFonts w:hint="eastAsia" w:cs="宋体"/>
                <w:szCs w:val="21"/>
              </w:rPr>
              <w:t>；认同教师劳动的价值，</w:t>
            </w:r>
            <w:r>
              <w:rPr>
                <w:rFonts w:hint="eastAsia" w:ascii="宋体" w:hAnsi="宋体" w:cs="宋体"/>
                <w:szCs w:val="21"/>
              </w:rPr>
              <w:t>树立职业理想，立志成为有理想信念、有道德情操、有扎实学识、有仁爱之心受学生爱戴的好老师。</w:t>
            </w:r>
          </w:p>
          <w:p w14:paraId="13714C7D">
            <w:pPr>
              <w:adjustRightInd w:val="0"/>
              <w:snapToGrid w:val="0"/>
              <w:spacing w:line="276" w:lineRule="auto"/>
              <w:rPr>
                <w:rFonts w:hint="eastAsia" w:ascii="宋体" w:hAnsi="宋体" w:cs="宋体"/>
                <w:szCs w:val="21"/>
              </w:rPr>
            </w:pPr>
            <w:r>
              <w:rPr>
                <w:rFonts w:hint="eastAsia" w:ascii="宋体" w:hAnsi="宋体" w:cs="宋体"/>
                <w:szCs w:val="21"/>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286" w:type="dxa"/>
            <w:vAlign w:val="center"/>
          </w:tcPr>
          <w:p w14:paraId="7C901BE4">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课程目标1</w:t>
            </w:r>
          </w:p>
        </w:tc>
      </w:tr>
      <w:tr w14:paraId="14B2C2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51C3955C">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毕业要求2</w:t>
            </w:r>
          </w:p>
          <w:p w14:paraId="5745C7EE">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教育情怀</w:t>
            </w:r>
          </w:p>
        </w:tc>
        <w:tc>
          <w:tcPr>
            <w:tcW w:w="5914" w:type="dxa"/>
            <w:vAlign w:val="center"/>
          </w:tcPr>
          <w:p w14:paraId="2B13E9AD">
            <w:pPr>
              <w:adjustRightInd w:val="0"/>
              <w:snapToGrid w:val="0"/>
              <w:spacing w:line="276" w:lineRule="auto"/>
              <w:rPr>
                <w:rFonts w:hint="eastAsia" w:ascii="宋体" w:hAnsi="宋体" w:cs="宋体"/>
                <w:szCs w:val="21"/>
              </w:rPr>
            </w:pPr>
            <w:r>
              <w:rPr>
                <w:rFonts w:hint="eastAsia" w:ascii="宋体" w:hAnsi="宋体" w:cs="宋体"/>
                <w:kern w:val="0"/>
                <w:szCs w:val="21"/>
              </w:rPr>
              <w:t>指标点</w:t>
            </w:r>
            <w:r>
              <w:rPr>
                <w:rFonts w:hint="eastAsia" w:ascii="宋体" w:hAnsi="宋体" w:cs="宋体"/>
                <w:szCs w:val="21"/>
              </w:rPr>
              <w:t>2-2：【仁爱之心深厚】关爱学生，用心从教。具有正确的儿童观，理解、尊重、关爱、保护学生，以儿童发展为教育的中心。爱岗敬业，在教育实践中能认真履行教育教学职责与班主任工作职责，富有爱心、责任心、工作细心、耐心</w:t>
            </w:r>
            <w:r>
              <w:rPr>
                <w:rFonts w:hint="eastAsia" w:cs="宋体"/>
                <w:szCs w:val="21"/>
              </w:rPr>
              <w:t>，</w:t>
            </w:r>
            <w:r>
              <w:rPr>
                <w:rFonts w:hint="eastAsia" w:cs="宋体"/>
                <w:kern w:val="0"/>
                <w:sz w:val="20"/>
                <w:szCs w:val="20"/>
                <w:lang w:bidi="ar"/>
              </w:rPr>
              <w:t>立志成为</w:t>
            </w:r>
            <w:r>
              <w:rPr>
                <w:rFonts w:hint="eastAsia" w:ascii="宋体" w:hAnsi="宋体" w:cs="宋体"/>
                <w:kern w:val="0"/>
                <w:sz w:val="20"/>
                <w:szCs w:val="20"/>
                <w:lang w:bidi="ar"/>
              </w:rPr>
              <w:t>学生学习的促进者、道德品质和创新思维的培养者，奉献祖国的引路人</w:t>
            </w:r>
            <w:r>
              <w:rPr>
                <w:rFonts w:hint="eastAsia" w:cs="宋体"/>
                <w:kern w:val="0"/>
                <w:sz w:val="20"/>
                <w:szCs w:val="20"/>
                <w:lang w:bidi="ar"/>
              </w:rPr>
              <w:t>。</w:t>
            </w:r>
          </w:p>
        </w:tc>
        <w:tc>
          <w:tcPr>
            <w:tcW w:w="1286" w:type="dxa"/>
            <w:vAlign w:val="center"/>
          </w:tcPr>
          <w:p w14:paraId="35F8611F">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课程目标1</w:t>
            </w:r>
          </w:p>
        </w:tc>
      </w:tr>
      <w:tr w14:paraId="3096B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28E9B77B">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毕业要求3</w:t>
            </w:r>
          </w:p>
          <w:p w14:paraId="2930A973">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学科素养</w:t>
            </w:r>
          </w:p>
        </w:tc>
        <w:tc>
          <w:tcPr>
            <w:tcW w:w="5914" w:type="dxa"/>
            <w:vAlign w:val="center"/>
          </w:tcPr>
          <w:p w14:paraId="4AE16A5B">
            <w:pPr>
              <w:adjustRightInd w:val="0"/>
              <w:snapToGrid w:val="0"/>
              <w:spacing w:line="276" w:lineRule="auto"/>
              <w:rPr>
                <w:rFonts w:hint="eastAsia" w:ascii="宋体" w:hAnsi="宋体" w:cs="宋体"/>
                <w:kern w:val="0"/>
                <w:szCs w:val="21"/>
              </w:rPr>
            </w:pPr>
            <w:r>
              <w:rPr>
                <w:rFonts w:hint="eastAsia" w:ascii="宋体" w:hAnsi="宋体" w:cs="宋体"/>
                <w:kern w:val="0"/>
                <w:szCs w:val="21"/>
              </w:rPr>
              <w:t>指标点3-3：【教育教学知识牢固】掌握教育教学基本理论知识，熟悉所教学科课程标准和教材、教学内容。在教育教学实践中，具有一定的教材解读能力，具有依据课标进行教学的意识和习惯。</w:t>
            </w:r>
          </w:p>
        </w:tc>
        <w:tc>
          <w:tcPr>
            <w:tcW w:w="1286" w:type="dxa"/>
            <w:vAlign w:val="center"/>
          </w:tcPr>
          <w:p w14:paraId="44BA0D22">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课程目标2</w:t>
            </w:r>
          </w:p>
        </w:tc>
      </w:tr>
      <w:tr w14:paraId="23019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20EA14B0">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毕业要求4</w:t>
            </w:r>
          </w:p>
          <w:p w14:paraId="4F286C9E">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教学能力</w:t>
            </w:r>
          </w:p>
        </w:tc>
        <w:tc>
          <w:tcPr>
            <w:tcW w:w="5914" w:type="dxa"/>
            <w:shd w:val="clear" w:color="auto" w:fill="auto"/>
            <w:vAlign w:val="center"/>
          </w:tcPr>
          <w:p w14:paraId="5CDBCA94">
            <w:pPr>
              <w:adjustRightInd w:val="0"/>
              <w:snapToGrid w:val="0"/>
              <w:spacing w:line="276" w:lineRule="auto"/>
              <w:rPr>
                <w:color w:val="000000"/>
                <w:kern w:val="0"/>
                <w:szCs w:val="21"/>
              </w:rPr>
            </w:pPr>
            <w:r>
              <w:rPr>
                <w:rFonts w:hint="eastAsia"/>
                <w:color w:val="000000"/>
                <w:kern w:val="0"/>
                <w:szCs w:val="21"/>
              </w:rPr>
              <w:t>指标点4-1：【教学设计恰当】理解教材的编写逻辑和体系结构，合理掌握不同学段目标与内容的递进关系，具有依据课标进行教学的意识和习惯。能依据单元内容进行整体设计，科学合理地依据教学目标及内容设计。</w:t>
            </w:r>
          </w:p>
          <w:p w14:paraId="76F78028">
            <w:pPr>
              <w:adjustRightInd w:val="0"/>
              <w:snapToGrid w:val="0"/>
              <w:spacing w:line="276" w:lineRule="auto"/>
              <w:rPr>
                <w:color w:val="000000"/>
                <w:kern w:val="0"/>
                <w:szCs w:val="21"/>
              </w:rPr>
            </w:pPr>
            <w:r>
              <w:rPr>
                <w:rFonts w:hint="eastAsia"/>
                <w:color w:val="000000"/>
                <w:kern w:val="0"/>
                <w:szCs w:val="21"/>
              </w:rPr>
              <w:t>指标点4-2：【教学实施与评价科学】掌握小学教师基本功技能，包括书写技能、沟通与表达技能、信息技术运用技能等。获得全面的小学教学体验，掌握学科教学的基本方法与策略，能独立进行教学设计、实施和评价。</w:t>
            </w:r>
          </w:p>
          <w:p w14:paraId="0FFC6A0E">
            <w:pPr>
              <w:adjustRightInd w:val="0"/>
              <w:snapToGrid w:val="0"/>
              <w:spacing w:line="276" w:lineRule="auto"/>
              <w:rPr>
                <w:rFonts w:hint="eastAsia" w:ascii="宋体" w:hAnsi="宋体" w:eastAsia="宋体" w:cs="Times New Roman"/>
                <w:color w:val="000000"/>
                <w:kern w:val="0"/>
                <w:szCs w:val="21"/>
              </w:rPr>
            </w:pPr>
            <w:r>
              <w:rPr>
                <w:color w:val="000000"/>
                <w:kern w:val="0"/>
                <w:szCs w:val="21"/>
              </w:rPr>
              <w:t>指标</w:t>
            </w:r>
            <w:r>
              <w:rPr>
                <w:rFonts w:hint="eastAsia" w:ascii="宋体" w:hAnsi="宋体" w:eastAsia="宋体" w:cs="Times New Roman"/>
                <w:szCs w:val="21"/>
              </w:rPr>
              <w:t>点4-3：</w:t>
            </w:r>
            <w:r>
              <w:rPr>
                <w:color w:val="000000"/>
                <w:szCs w:val="21"/>
              </w:rPr>
              <w:t>【具备教育研究能力】掌握教育研究的基本方法，结合小学教育教学实践进行研究，具有一定的教学研究能力。</w:t>
            </w:r>
          </w:p>
        </w:tc>
        <w:tc>
          <w:tcPr>
            <w:tcW w:w="1286" w:type="dxa"/>
            <w:shd w:val="clear" w:color="auto" w:fill="auto"/>
            <w:vAlign w:val="center"/>
          </w:tcPr>
          <w:p w14:paraId="617D67BC">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课程目标2</w:t>
            </w:r>
          </w:p>
        </w:tc>
      </w:tr>
      <w:tr w14:paraId="4F524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0E128734">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毕业要求5</w:t>
            </w:r>
          </w:p>
          <w:p w14:paraId="77D9888A">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班级管理</w:t>
            </w:r>
          </w:p>
        </w:tc>
        <w:tc>
          <w:tcPr>
            <w:tcW w:w="5914" w:type="dxa"/>
            <w:shd w:val="clear" w:color="auto" w:fill="auto"/>
            <w:vAlign w:val="center"/>
          </w:tcPr>
          <w:p w14:paraId="6F580E3E">
            <w:pPr>
              <w:adjustRightInd w:val="0"/>
              <w:snapToGrid w:val="0"/>
              <w:spacing w:line="276" w:lineRule="auto"/>
              <w:rPr>
                <w:color w:val="000000"/>
                <w:kern w:val="0"/>
                <w:szCs w:val="21"/>
              </w:rPr>
            </w:pPr>
            <w:r>
              <w:rPr>
                <w:rFonts w:hint="eastAsia"/>
                <w:color w:val="000000"/>
                <w:kern w:val="0"/>
                <w:szCs w:val="21"/>
              </w:rPr>
              <w:t>指标点5-1：【擅长班队管理】具有小学德育工作体验，树立德育为先的理念，熟悉小学德育的基本原理与方法。获得小学班队组织与建设的体验。掌握小学班队组织与建设的工作规律和基本方法，具有班队建设和管理的基本能力。</w:t>
            </w:r>
          </w:p>
          <w:p w14:paraId="202740F5">
            <w:pPr>
              <w:adjustRightInd w:val="0"/>
              <w:snapToGrid w:val="0"/>
              <w:spacing w:line="276" w:lineRule="auto"/>
              <w:rPr>
                <w:color w:val="000000"/>
                <w:kern w:val="0"/>
                <w:szCs w:val="21"/>
              </w:rPr>
            </w:pPr>
            <w:r>
              <w:rPr>
                <w:rFonts w:hint="eastAsia"/>
                <w:color w:val="000000"/>
                <w:kern w:val="0"/>
                <w:szCs w:val="21"/>
              </w:rPr>
              <w:t>指标点5-2：【重视心理健康教育】了解小学生身体、情感发展的特性和差异性，获得小学心理健康教育指导体验，在教育教学实践中，参与组织与指导对小学生心理健康教育的科普宣传及心理辅导，掌握小学心理健康教育的基本方法。</w:t>
            </w:r>
          </w:p>
        </w:tc>
        <w:tc>
          <w:tcPr>
            <w:tcW w:w="1286" w:type="dxa"/>
            <w:shd w:val="clear" w:color="auto" w:fill="auto"/>
            <w:vAlign w:val="center"/>
          </w:tcPr>
          <w:p w14:paraId="1CF3C827">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课程目标3</w:t>
            </w:r>
          </w:p>
        </w:tc>
      </w:tr>
      <w:tr w14:paraId="08DAE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23B30327">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毕业要求6</w:t>
            </w:r>
          </w:p>
          <w:p w14:paraId="258CB84D">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综合育人</w:t>
            </w:r>
          </w:p>
        </w:tc>
        <w:tc>
          <w:tcPr>
            <w:tcW w:w="5914" w:type="dxa"/>
            <w:shd w:val="clear" w:color="auto" w:fill="auto"/>
            <w:vAlign w:val="center"/>
          </w:tcPr>
          <w:p w14:paraId="2287203D">
            <w:pPr>
              <w:adjustRightInd w:val="0"/>
              <w:snapToGrid w:val="0"/>
              <w:spacing w:line="276" w:lineRule="auto"/>
              <w:rPr>
                <w:color w:val="000000"/>
                <w:kern w:val="0"/>
                <w:szCs w:val="21"/>
              </w:rPr>
            </w:pPr>
            <w:r>
              <w:rPr>
                <w:rFonts w:hint="eastAsia"/>
                <w:color w:val="000000"/>
                <w:kern w:val="0"/>
                <w:szCs w:val="21"/>
              </w:rPr>
              <w:t>指标点6-1：【遵循身心规律】了解不同年龄以及有特殊需要的小学生的身心发展特点和规律、不同年龄小学生学习的特点，掌握小学生良好行为习惯养成的知识。</w:t>
            </w:r>
          </w:p>
          <w:p w14:paraId="34EC9BD4">
            <w:pPr>
              <w:adjustRightInd w:val="0"/>
              <w:snapToGrid w:val="0"/>
              <w:spacing w:line="276" w:lineRule="auto"/>
              <w:rPr>
                <w:color w:val="000000"/>
                <w:kern w:val="0"/>
                <w:szCs w:val="21"/>
              </w:rPr>
            </w:pPr>
            <w:r>
              <w:rPr>
                <w:rFonts w:hint="eastAsia"/>
                <w:color w:val="000000"/>
                <w:kern w:val="0"/>
                <w:szCs w:val="21"/>
              </w:rPr>
              <w:t>指标点6-2：【胜任学科育人】具有教书育人的意识，理解学科核心素养和拟任教学科课程独特的育人功能，在教育教学实践中，具备结合学科教学进行育人的意识与能力，注重学科教学中思想政治教育的渗透。</w:t>
            </w:r>
          </w:p>
          <w:p w14:paraId="7422DB6B">
            <w:pPr>
              <w:adjustRightInd w:val="0"/>
              <w:snapToGrid w:val="0"/>
              <w:spacing w:line="276" w:lineRule="auto"/>
              <w:rPr>
                <w:color w:val="000000"/>
                <w:kern w:val="0"/>
                <w:szCs w:val="21"/>
              </w:rPr>
            </w:pPr>
            <w:r>
              <w:rPr>
                <w:rFonts w:hint="eastAsia" w:ascii="宋体" w:hAnsi="宋体" w:cs="宋体"/>
                <w:kern w:val="0"/>
                <w:szCs w:val="21"/>
              </w:rPr>
              <w:t>指标点</w:t>
            </w:r>
            <w:r>
              <w:rPr>
                <w:rFonts w:hint="eastAsia" w:ascii="宋体" w:hAnsi="宋体" w:cs="宋体"/>
                <w:szCs w:val="21"/>
              </w:rPr>
              <w:t>6-3：【善于文化与活动育人】了解课外活动组织和管理知识，掌握学校文化和各类课外教育活动的育人内涵和方法，在教育教学实践中，参与组织主题教育、少先队活动和社团活动，促进小学生全面、健康发展。</w:t>
            </w:r>
          </w:p>
        </w:tc>
        <w:tc>
          <w:tcPr>
            <w:tcW w:w="1286" w:type="dxa"/>
            <w:shd w:val="clear" w:color="auto" w:fill="auto"/>
            <w:vAlign w:val="center"/>
          </w:tcPr>
          <w:p w14:paraId="78489C0B">
            <w:pPr>
              <w:adjustRightInd w:val="0"/>
              <w:snapToGrid w:val="0"/>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课程目标2</w:t>
            </w:r>
          </w:p>
          <w:p w14:paraId="14973BB9">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kern w:val="0"/>
                <w:szCs w:val="21"/>
              </w:rPr>
              <w:t>课程目标3</w:t>
            </w:r>
          </w:p>
        </w:tc>
      </w:tr>
      <w:tr w14:paraId="0D7DE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50DF8696">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毕业要求7</w:t>
            </w:r>
          </w:p>
          <w:p w14:paraId="2A3B1BA9">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学会反思</w:t>
            </w:r>
          </w:p>
        </w:tc>
        <w:tc>
          <w:tcPr>
            <w:tcW w:w="5914" w:type="dxa"/>
            <w:vAlign w:val="center"/>
          </w:tcPr>
          <w:p w14:paraId="38A0DCD7">
            <w:pPr>
              <w:adjustRightInd w:val="0"/>
              <w:snapToGrid w:val="0"/>
              <w:spacing w:line="276" w:lineRule="auto"/>
              <w:rPr>
                <w:rFonts w:hint="eastAsia" w:ascii="宋体" w:hAnsi="宋体" w:eastAsia="宋体" w:cs="Times New Roman"/>
                <w:color w:val="000000"/>
                <w:kern w:val="0"/>
                <w:szCs w:val="21"/>
              </w:rPr>
            </w:pPr>
            <w:r>
              <w:rPr>
                <w:rFonts w:hint="eastAsia" w:ascii="宋体" w:hAnsi="宋体" w:eastAsia="宋体" w:cs="Times New Roman"/>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286" w:type="dxa"/>
            <w:vAlign w:val="center"/>
          </w:tcPr>
          <w:p w14:paraId="0E44F1A9">
            <w:pPr>
              <w:adjustRightInd w:val="0"/>
              <w:snapToGrid w:val="0"/>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课程目标2</w:t>
            </w:r>
          </w:p>
          <w:p w14:paraId="05F793CD">
            <w:pPr>
              <w:adjustRightInd w:val="0"/>
              <w:snapToGrid w:val="0"/>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课程目标3</w:t>
            </w:r>
          </w:p>
          <w:p w14:paraId="05EDC3D1">
            <w:pPr>
              <w:adjustRightInd w:val="0"/>
              <w:snapToGrid w:val="0"/>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课程目标4</w:t>
            </w:r>
          </w:p>
        </w:tc>
      </w:tr>
      <w:tr w14:paraId="64AD05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Align w:val="center"/>
          </w:tcPr>
          <w:p w14:paraId="310A06C1">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毕业要求8</w:t>
            </w:r>
          </w:p>
          <w:p w14:paraId="68B1E963">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沟通能力</w:t>
            </w:r>
          </w:p>
        </w:tc>
        <w:tc>
          <w:tcPr>
            <w:tcW w:w="5914" w:type="dxa"/>
            <w:vAlign w:val="center"/>
          </w:tcPr>
          <w:p w14:paraId="0C535B8D">
            <w:pPr>
              <w:adjustRightInd w:val="0"/>
              <w:snapToGrid w:val="0"/>
              <w:spacing w:line="276" w:lineRule="auto"/>
              <w:rPr>
                <w:rFonts w:hint="eastAsia" w:ascii="宋体" w:hAnsi="宋体" w:eastAsia="宋体" w:cs="Times New Roman"/>
                <w:szCs w:val="21"/>
              </w:rPr>
            </w:pPr>
            <w:r>
              <w:rPr>
                <w:rFonts w:hint="eastAsia" w:ascii="宋体" w:hAnsi="宋体" w:eastAsia="宋体" w:cs="Times New Roman"/>
                <w:szCs w:val="21"/>
              </w:rPr>
              <w:t>指标点8-1：【善于团队合作】理解学习共同体的本质和价值，掌握团队协作的基本策略，在课堂学习与教育实践中获得合作学习体验，形成团队协作精神。</w:t>
            </w:r>
          </w:p>
          <w:p w14:paraId="74EBE8DE">
            <w:pPr>
              <w:adjustRightInd w:val="0"/>
              <w:snapToGrid w:val="0"/>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szCs w:val="21"/>
              </w:rPr>
              <w:t>指标点8-2：【学会沟通交流】掌握人际沟通合作技能与方法，能与学生和家长以及同行、同事、专家进行有效沟通与合作，实现共同发展。</w:t>
            </w:r>
          </w:p>
        </w:tc>
        <w:tc>
          <w:tcPr>
            <w:tcW w:w="1286" w:type="dxa"/>
            <w:vAlign w:val="center"/>
          </w:tcPr>
          <w:p w14:paraId="195172C7">
            <w:pPr>
              <w:shd w:val="clear" w:color="auto" w:fill="FFFFFF"/>
              <w:adjustRightInd w:val="0"/>
              <w:snapToGrid w:val="0"/>
              <w:spacing w:line="276" w:lineRule="auto"/>
              <w:jc w:val="left"/>
              <w:rPr>
                <w:rFonts w:ascii="Times New Roman" w:hAnsi="Times New Roman" w:eastAsia="宋体" w:cs="Times New Roman"/>
                <w:color w:val="000000"/>
                <w:szCs w:val="23"/>
              </w:rPr>
            </w:pPr>
            <w:r>
              <w:rPr>
                <w:rFonts w:hint="eastAsia" w:ascii="Times New Roman" w:hAnsi="Times New Roman" w:eastAsia="宋体" w:cs="Times New Roman"/>
                <w:color w:val="000000"/>
                <w:szCs w:val="23"/>
              </w:rPr>
              <w:t>课程目标4</w:t>
            </w:r>
          </w:p>
        </w:tc>
      </w:tr>
    </w:tbl>
    <w:p w14:paraId="5CCA03F5">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（三）课程思政目标</w:t>
      </w:r>
    </w:p>
    <w:p w14:paraId="4D06AF2F">
      <w:pPr>
        <w:spacing w:line="360" w:lineRule="auto"/>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自觉践行社会主义核心价值观，进一步领会立德树人根本任务，增强学科育人、文化育人、活动育人意识；在实践中增进对儿童的认识，体验和感受教师职业的光荣感和责任感；接受职业道德教育和训练，自觉加强师德修养，养成和坚定献身小学教育事业的专业信念。</w:t>
      </w:r>
    </w:p>
    <w:p w14:paraId="147B8E78">
      <w:pPr>
        <w:numPr>
          <w:ilvl w:val="0"/>
          <w:numId w:val="39"/>
        </w:numPr>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教学内容与预期学习成效</w:t>
      </w:r>
    </w:p>
    <w:tbl>
      <w:tblPr>
        <w:tblStyle w:val="14"/>
        <w:tblpPr w:leftFromText="181" w:rightFromText="181" w:vertAnchor="text" w:horzAnchor="page" w:tblpX="1424" w:tblpY="1"/>
        <w:tblOverlap w:val="never"/>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676"/>
        <w:gridCol w:w="1250"/>
        <w:gridCol w:w="3325"/>
        <w:gridCol w:w="867"/>
        <w:gridCol w:w="438"/>
      </w:tblGrid>
      <w:tr w14:paraId="74B0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631556C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44ADF6B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676" w:type="dxa"/>
            <w:vAlign w:val="center"/>
          </w:tcPr>
          <w:p w14:paraId="60DDB03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250" w:type="dxa"/>
            <w:vAlign w:val="center"/>
          </w:tcPr>
          <w:p w14:paraId="33BD94C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B027B7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325" w:type="dxa"/>
            <w:vAlign w:val="center"/>
          </w:tcPr>
          <w:p w14:paraId="7947CC9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867" w:type="dxa"/>
            <w:vAlign w:val="center"/>
          </w:tcPr>
          <w:p w14:paraId="52808B7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w:t>
            </w:r>
          </w:p>
          <w:p w14:paraId="2872CFD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环节</w:t>
            </w:r>
          </w:p>
        </w:tc>
        <w:tc>
          <w:tcPr>
            <w:tcW w:w="438" w:type="dxa"/>
            <w:vAlign w:val="center"/>
          </w:tcPr>
          <w:p w14:paraId="579B1CE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2CEE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383F12DF">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1.课堂教学实习</w:t>
            </w:r>
          </w:p>
        </w:tc>
        <w:tc>
          <w:tcPr>
            <w:tcW w:w="2676" w:type="dxa"/>
            <w:vAlign w:val="center"/>
          </w:tcPr>
          <w:p w14:paraId="66C3D358">
            <w:pPr>
              <w:adjustRightInd w:val="0"/>
              <w:snapToGrid w:val="0"/>
              <w:spacing w:line="312" w:lineRule="auto"/>
              <w:jc w:val="left"/>
              <w:rPr>
                <w:rFonts w:hint="eastAsia" w:ascii="宋体" w:hAnsi="宋体" w:eastAsia="宋体" w:cs="Times New Roman"/>
                <w:color w:val="000000"/>
                <w:szCs w:val="21"/>
              </w:rPr>
            </w:pPr>
            <w:r>
              <w:rPr>
                <w:rFonts w:ascii="宋体" w:hAnsi="宋体" w:eastAsia="宋体" w:cs="Times New Roman"/>
                <w:color w:val="000000"/>
                <w:szCs w:val="21"/>
              </w:rPr>
              <w:t>在实习学校指导</w:t>
            </w:r>
            <w:r>
              <w:rPr>
                <w:rFonts w:hint="eastAsia" w:ascii="宋体" w:hAnsi="宋体" w:eastAsia="宋体" w:cs="Times New Roman"/>
                <w:color w:val="000000"/>
                <w:szCs w:val="21"/>
              </w:rPr>
              <w:t>教</w:t>
            </w:r>
            <w:r>
              <w:rPr>
                <w:rFonts w:ascii="宋体" w:hAnsi="宋体" w:eastAsia="宋体" w:cs="Times New Roman"/>
                <w:color w:val="000000"/>
                <w:szCs w:val="21"/>
              </w:rPr>
              <w:t>师和本校带队老师的指导下，从事备课、上课、听课、评课、说课、课后辅导、批改作业与讲评、组织第二课堂活动、课件制作等教学工作实践。</w:t>
            </w:r>
          </w:p>
        </w:tc>
        <w:tc>
          <w:tcPr>
            <w:tcW w:w="1250" w:type="dxa"/>
            <w:vAlign w:val="center"/>
          </w:tcPr>
          <w:p w14:paraId="018FCB1D">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课程目标1、2、4</w:t>
            </w:r>
          </w:p>
        </w:tc>
        <w:tc>
          <w:tcPr>
            <w:tcW w:w="3325" w:type="dxa"/>
            <w:vAlign w:val="center"/>
          </w:tcPr>
          <w:p w14:paraId="046FB97B">
            <w:pPr>
              <w:adjustRightInd w:val="0"/>
              <w:snapToGrid w:val="0"/>
              <w:spacing w:line="312" w:lineRule="auto"/>
              <w:jc w:val="left"/>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每个实习生按照实习计划认真备课，独立编写教案，在上课前三天将教案递交指导师审阅，并通过反复试教再正式上课。要求保质保量地完成教学任务；</w:t>
            </w:r>
          </w:p>
          <w:p w14:paraId="4D2B6206">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2.听课不少于20节，并做好听课记录、评课记录、反思等相关材料，提交听课记录10节；</w:t>
            </w:r>
          </w:p>
          <w:p w14:paraId="145C6A50">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3.设计教案4份，试教至少4次，留有过程性材料。</w:t>
            </w:r>
          </w:p>
        </w:tc>
        <w:tc>
          <w:tcPr>
            <w:tcW w:w="867" w:type="dxa"/>
            <w:vAlign w:val="center"/>
          </w:tcPr>
          <w:p w14:paraId="38674964">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1.编写教案</w:t>
            </w:r>
          </w:p>
          <w:p w14:paraId="6D77625C">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2.上课</w:t>
            </w:r>
          </w:p>
          <w:p w14:paraId="180545E1">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3.听课</w:t>
            </w:r>
          </w:p>
          <w:p w14:paraId="1D56964B">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4.评课</w:t>
            </w:r>
          </w:p>
          <w:p w14:paraId="1DD06EA6">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5.教学反思</w:t>
            </w:r>
          </w:p>
          <w:p w14:paraId="6031A102">
            <w:pPr>
              <w:adjustRightInd w:val="0"/>
              <w:snapToGrid w:val="0"/>
              <w:spacing w:line="312" w:lineRule="auto"/>
              <w:jc w:val="left"/>
              <w:rPr>
                <w:rFonts w:hint="eastAsia" w:ascii="宋体" w:hAnsi="宋体" w:eastAsia="宋体" w:cs="Times New Roman"/>
                <w:color w:val="000000"/>
                <w:szCs w:val="21"/>
              </w:rPr>
            </w:pPr>
          </w:p>
        </w:tc>
        <w:tc>
          <w:tcPr>
            <w:tcW w:w="438" w:type="dxa"/>
            <w:vAlign w:val="center"/>
          </w:tcPr>
          <w:p w14:paraId="6AFAA73C">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80</w:t>
            </w:r>
          </w:p>
        </w:tc>
      </w:tr>
      <w:tr w14:paraId="5472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590A4B70">
            <w:pPr>
              <w:adjustRightInd w:val="0"/>
              <w:snapToGrid w:val="0"/>
              <w:spacing w:line="312" w:lineRule="auto"/>
              <w:jc w:val="center"/>
              <w:rPr>
                <w:rFonts w:hint="eastAsia" w:ascii="宋体" w:hAnsi="宋体" w:eastAsia="宋体" w:cs="Times New Roman"/>
                <w:color w:val="000000"/>
                <w:szCs w:val="21"/>
              </w:rPr>
            </w:pPr>
          </w:p>
        </w:tc>
        <w:tc>
          <w:tcPr>
            <w:tcW w:w="8556" w:type="dxa"/>
            <w:gridSpan w:val="5"/>
            <w:vAlign w:val="center"/>
          </w:tcPr>
          <w:p w14:paraId="7AFCEF3C">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自觉践行社会主义核心价值观，进一步领会立德树人根本任务，增强学科育人的意识；在实践中增进对儿童的认识，体验和感受教师职业的光荣感和责任感；接受职业道德教育和训练，自觉加强师德修养，养成和坚定献身小学教育事业的专业信念。</w:t>
            </w:r>
          </w:p>
        </w:tc>
      </w:tr>
      <w:tr w14:paraId="5CC8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53F0FCEF">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2.班队工作实习</w:t>
            </w:r>
          </w:p>
        </w:tc>
        <w:tc>
          <w:tcPr>
            <w:tcW w:w="2676" w:type="dxa"/>
            <w:vAlign w:val="center"/>
          </w:tcPr>
          <w:p w14:paraId="5F245036">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（1）在班主任和辅导员的指导下，根据班队计划，学做学生的思想工作，从事日常管理和组织班队活动等工作；</w:t>
            </w:r>
          </w:p>
          <w:p w14:paraId="0F261D55">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（2）主动配合实习学校开展各项活动。</w:t>
            </w:r>
          </w:p>
        </w:tc>
        <w:tc>
          <w:tcPr>
            <w:tcW w:w="1250" w:type="dxa"/>
            <w:vAlign w:val="center"/>
          </w:tcPr>
          <w:p w14:paraId="44400711">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课程目标1、3、4</w:t>
            </w:r>
          </w:p>
        </w:tc>
        <w:tc>
          <w:tcPr>
            <w:tcW w:w="3325" w:type="dxa"/>
            <w:vAlign w:val="center"/>
          </w:tcPr>
          <w:p w14:paraId="675BF210">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1.做好班队活动或班级管理观察记录4份；</w:t>
            </w:r>
          </w:p>
          <w:p w14:paraId="4D623650">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2.设计主题班会或班队活动2份，实施至少1次。</w:t>
            </w:r>
          </w:p>
        </w:tc>
        <w:tc>
          <w:tcPr>
            <w:tcW w:w="867" w:type="dxa"/>
            <w:vAlign w:val="center"/>
          </w:tcPr>
          <w:p w14:paraId="4BCA877C">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1.班队活动</w:t>
            </w:r>
          </w:p>
          <w:p w14:paraId="33BC7385">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2.班级日常管理</w:t>
            </w:r>
          </w:p>
        </w:tc>
        <w:tc>
          <w:tcPr>
            <w:tcW w:w="438" w:type="dxa"/>
            <w:vAlign w:val="center"/>
          </w:tcPr>
          <w:p w14:paraId="5FA87621">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60</w:t>
            </w:r>
          </w:p>
        </w:tc>
      </w:tr>
      <w:tr w14:paraId="1DB1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42" w:type="dxa"/>
            <w:vMerge w:val="continue"/>
            <w:vAlign w:val="center"/>
          </w:tcPr>
          <w:p w14:paraId="19D753CD">
            <w:pPr>
              <w:adjustRightInd w:val="0"/>
              <w:snapToGrid w:val="0"/>
              <w:spacing w:line="312" w:lineRule="auto"/>
              <w:jc w:val="center"/>
              <w:rPr>
                <w:rFonts w:hint="eastAsia" w:ascii="宋体" w:hAnsi="宋体" w:eastAsia="宋体" w:cs="Times New Roman"/>
                <w:color w:val="000000"/>
                <w:szCs w:val="21"/>
              </w:rPr>
            </w:pPr>
          </w:p>
        </w:tc>
        <w:tc>
          <w:tcPr>
            <w:tcW w:w="8556" w:type="dxa"/>
            <w:gridSpan w:val="5"/>
            <w:vAlign w:val="center"/>
          </w:tcPr>
          <w:p w14:paraId="74B6A3A8">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自觉践行社会主义核心价值观，进一步领会立德树人根本任务，增强文化育人、活动育人的意识；在实践中增进对儿童的认识，体验和感受教师职业的光荣感和责任感；接受职业道德教育和训练，自觉加强师德修养，养成和坚定献身小学教育事业的专业信念。</w:t>
            </w:r>
          </w:p>
        </w:tc>
      </w:tr>
      <w:tr w14:paraId="3C61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354E925C">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3教育调查</w:t>
            </w:r>
          </w:p>
        </w:tc>
        <w:tc>
          <w:tcPr>
            <w:tcW w:w="2676" w:type="dxa"/>
            <w:vAlign w:val="center"/>
          </w:tcPr>
          <w:p w14:paraId="2251AF7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（1）了解实习学校的历史、现状及贯彻党的教育方针和政策的情况。</w:t>
            </w:r>
          </w:p>
          <w:p w14:paraId="32C4114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（2）调查优秀教师的先进事迹、教育教学经验及教育改革的情况。</w:t>
            </w:r>
          </w:p>
          <w:p w14:paraId="26D70C4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（3）研究教育对象的思想情况、心理特点、学习态度和方法、知识结构和智能水平等德智体美劳情况。</w:t>
            </w:r>
          </w:p>
        </w:tc>
        <w:tc>
          <w:tcPr>
            <w:tcW w:w="1250" w:type="dxa"/>
            <w:vAlign w:val="center"/>
          </w:tcPr>
          <w:p w14:paraId="23000BC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w:t>
            </w:r>
          </w:p>
        </w:tc>
        <w:tc>
          <w:tcPr>
            <w:tcW w:w="3325" w:type="dxa"/>
            <w:vAlign w:val="center"/>
          </w:tcPr>
          <w:p w14:paraId="53D11D1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结合以上调查的开展，撰写教育调查报告1份。</w:t>
            </w:r>
          </w:p>
        </w:tc>
        <w:tc>
          <w:tcPr>
            <w:tcW w:w="867" w:type="dxa"/>
            <w:vAlign w:val="center"/>
          </w:tcPr>
          <w:p w14:paraId="1856245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教育调查</w:t>
            </w:r>
          </w:p>
        </w:tc>
        <w:tc>
          <w:tcPr>
            <w:tcW w:w="438" w:type="dxa"/>
            <w:vAlign w:val="center"/>
          </w:tcPr>
          <w:p w14:paraId="3BBC284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20</w:t>
            </w:r>
          </w:p>
        </w:tc>
      </w:tr>
      <w:tr w14:paraId="2D33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096A4BB4">
            <w:pPr>
              <w:spacing w:line="264" w:lineRule="auto"/>
              <w:jc w:val="center"/>
              <w:rPr>
                <w:rFonts w:hint="eastAsia" w:ascii="宋体" w:hAnsi="宋体" w:eastAsia="宋体" w:cs="Times New Roman"/>
                <w:color w:val="000000"/>
                <w:szCs w:val="21"/>
              </w:rPr>
            </w:pPr>
          </w:p>
        </w:tc>
        <w:tc>
          <w:tcPr>
            <w:tcW w:w="8556" w:type="dxa"/>
            <w:gridSpan w:val="5"/>
            <w:vAlign w:val="center"/>
          </w:tcPr>
          <w:p w14:paraId="4DE6E02D">
            <w:pPr>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自觉践行社会主义核心价值观，进一步领会立德树人根本任务，增强学科育人、文化育人、活动育人意识；在实践中增进对儿童的认识，体验和感受教师职业的光荣感和责任感；接受职业道德教育和训练，自觉加强师德修养，养成和坚定献身小学教育事业的专业信念。</w:t>
            </w:r>
          </w:p>
        </w:tc>
      </w:tr>
    </w:tbl>
    <w:p w14:paraId="1A001D3D">
      <w:pPr>
        <w:spacing w:before="156" w:before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4"/>
        </w:rPr>
        <w:t>四、目标评价与成绩评定</w:t>
      </w:r>
    </w:p>
    <w:p w14:paraId="116E674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37DF36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1EE942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525"/>
        <w:gridCol w:w="1608"/>
        <w:gridCol w:w="1767"/>
        <w:gridCol w:w="1520"/>
        <w:gridCol w:w="1140"/>
      </w:tblGrid>
      <w:tr w14:paraId="7104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58B558D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420" w:type="dxa"/>
            <w:gridSpan w:val="4"/>
            <w:vAlign w:val="center"/>
          </w:tcPr>
          <w:p w14:paraId="401DA89D">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4CDA6294">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BAE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5CC385EF">
            <w:pPr>
              <w:spacing w:line="360" w:lineRule="auto"/>
              <w:jc w:val="center"/>
              <w:rPr>
                <w:rFonts w:hint="eastAsia" w:ascii="宋体" w:hAnsi="宋体" w:eastAsia="宋体" w:cs="Times New Roman"/>
                <w:szCs w:val="21"/>
              </w:rPr>
            </w:pPr>
          </w:p>
        </w:tc>
        <w:tc>
          <w:tcPr>
            <w:tcW w:w="1525" w:type="dxa"/>
            <w:vAlign w:val="center"/>
          </w:tcPr>
          <w:p w14:paraId="53F5F704">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平时成绩</w:t>
            </w:r>
          </w:p>
        </w:tc>
        <w:tc>
          <w:tcPr>
            <w:tcW w:w="1608" w:type="dxa"/>
            <w:vAlign w:val="center"/>
          </w:tcPr>
          <w:p w14:paraId="1E124273">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课堂教学实习</w:t>
            </w:r>
          </w:p>
        </w:tc>
        <w:tc>
          <w:tcPr>
            <w:tcW w:w="1767" w:type="dxa"/>
            <w:vAlign w:val="center"/>
          </w:tcPr>
          <w:p w14:paraId="3D8C0221">
            <w:pPr>
              <w:spacing w:line="360" w:lineRule="auto"/>
              <w:jc w:val="center"/>
              <w:rPr>
                <w:rFonts w:hint="eastAsia" w:ascii="宋体" w:hAnsi="宋体" w:eastAsia="宋体" w:cs="Times New Roman"/>
                <w:szCs w:val="21"/>
              </w:rPr>
            </w:pPr>
            <w:r>
              <w:rPr>
                <w:rFonts w:hint="eastAsia" w:ascii="宋体" w:hAnsi="宋体" w:eastAsia="宋体" w:cs="Times New Roman"/>
                <w:szCs w:val="21"/>
              </w:rPr>
              <w:t>班主任工作实习</w:t>
            </w:r>
          </w:p>
        </w:tc>
        <w:tc>
          <w:tcPr>
            <w:tcW w:w="1520" w:type="dxa"/>
            <w:vAlign w:val="center"/>
          </w:tcPr>
          <w:p w14:paraId="3F3A8959">
            <w:pPr>
              <w:spacing w:line="360" w:lineRule="auto"/>
              <w:jc w:val="center"/>
              <w:rPr>
                <w:rFonts w:hint="eastAsia" w:ascii="宋体" w:hAnsi="宋体" w:eastAsia="宋体" w:cs="Times New Roman"/>
                <w:szCs w:val="21"/>
              </w:rPr>
            </w:pPr>
            <w:r>
              <w:rPr>
                <w:rFonts w:hint="eastAsia" w:ascii="宋体" w:hAnsi="宋体" w:eastAsia="宋体" w:cs="Times New Roman"/>
                <w:szCs w:val="21"/>
              </w:rPr>
              <w:t>教育调查报告</w:t>
            </w:r>
          </w:p>
        </w:tc>
        <w:tc>
          <w:tcPr>
            <w:tcW w:w="1140" w:type="dxa"/>
            <w:vMerge w:val="continue"/>
            <w:vAlign w:val="center"/>
          </w:tcPr>
          <w:p w14:paraId="43B4019C">
            <w:pPr>
              <w:spacing w:line="360" w:lineRule="auto"/>
              <w:jc w:val="center"/>
              <w:rPr>
                <w:rFonts w:hint="eastAsia" w:ascii="宋体" w:hAnsi="宋体" w:eastAsia="宋体" w:cs="Times New Roman"/>
                <w:szCs w:val="21"/>
              </w:rPr>
            </w:pPr>
          </w:p>
        </w:tc>
      </w:tr>
      <w:tr w14:paraId="6C4A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39E324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525" w:type="dxa"/>
            <w:vAlign w:val="center"/>
          </w:tcPr>
          <w:p w14:paraId="06FB673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75B2B2B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7" w:type="dxa"/>
            <w:shd w:val="clear" w:color="auto" w:fill="auto"/>
            <w:vAlign w:val="center"/>
          </w:tcPr>
          <w:p w14:paraId="63800B1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0" w:type="dxa"/>
            <w:shd w:val="clear" w:color="auto" w:fill="auto"/>
            <w:vAlign w:val="center"/>
          </w:tcPr>
          <w:p w14:paraId="4236A37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4529B67D">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26A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0B5AD27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525" w:type="dxa"/>
            <w:vAlign w:val="center"/>
          </w:tcPr>
          <w:p w14:paraId="3647D95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7D69E9D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7" w:type="dxa"/>
            <w:shd w:val="clear" w:color="auto" w:fill="auto"/>
            <w:vAlign w:val="center"/>
          </w:tcPr>
          <w:p w14:paraId="633C09DC">
            <w:pPr>
              <w:spacing w:line="360" w:lineRule="auto"/>
              <w:jc w:val="center"/>
              <w:rPr>
                <w:rFonts w:hint="eastAsia" w:ascii="宋体" w:hAnsi="宋体" w:eastAsia="宋体" w:cs="Times New Roman"/>
                <w:szCs w:val="21"/>
              </w:rPr>
            </w:pPr>
          </w:p>
        </w:tc>
        <w:tc>
          <w:tcPr>
            <w:tcW w:w="1520" w:type="dxa"/>
            <w:shd w:val="clear" w:color="auto" w:fill="auto"/>
            <w:vAlign w:val="center"/>
          </w:tcPr>
          <w:p w14:paraId="11531E6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3CC23B52">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D4A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4DB5FA1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525" w:type="dxa"/>
            <w:vAlign w:val="center"/>
          </w:tcPr>
          <w:p w14:paraId="5948288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4047FAFE">
            <w:pPr>
              <w:spacing w:line="360" w:lineRule="auto"/>
              <w:jc w:val="center"/>
              <w:rPr>
                <w:rFonts w:hint="eastAsia" w:ascii="宋体" w:hAnsi="宋体" w:eastAsia="宋体" w:cs="Times New Roman"/>
                <w:szCs w:val="21"/>
              </w:rPr>
            </w:pPr>
          </w:p>
        </w:tc>
        <w:tc>
          <w:tcPr>
            <w:tcW w:w="1767" w:type="dxa"/>
            <w:shd w:val="clear" w:color="auto" w:fill="auto"/>
            <w:vAlign w:val="center"/>
          </w:tcPr>
          <w:p w14:paraId="2474B95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0" w:type="dxa"/>
            <w:shd w:val="clear" w:color="auto" w:fill="auto"/>
            <w:vAlign w:val="center"/>
          </w:tcPr>
          <w:p w14:paraId="2CF71AF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1ED35AB1">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0E0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30326CB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525" w:type="dxa"/>
            <w:vAlign w:val="center"/>
          </w:tcPr>
          <w:p w14:paraId="1981BC5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2122315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7" w:type="dxa"/>
            <w:shd w:val="clear" w:color="auto" w:fill="auto"/>
            <w:vAlign w:val="center"/>
          </w:tcPr>
          <w:p w14:paraId="37CC90A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0" w:type="dxa"/>
            <w:shd w:val="clear" w:color="auto" w:fill="auto"/>
            <w:vAlign w:val="center"/>
          </w:tcPr>
          <w:p w14:paraId="3DD5542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3C09D93F">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17B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10B259CE">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525" w:type="dxa"/>
            <w:vAlign w:val="center"/>
          </w:tcPr>
          <w:p w14:paraId="252BFE9E">
            <w:pPr>
              <w:spacing w:line="360" w:lineRule="auto"/>
              <w:jc w:val="center"/>
              <w:rPr>
                <w:rFonts w:hint="eastAsia" w:ascii="宋体" w:hAnsi="宋体" w:eastAsia="宋体" w:cs="Times New Roman"/>
                <w:szCs w:val="21"/>
              </w:rPr>
            </w:pPr>
          </w:p>
        </w:tc>
        <w:tc>
          <w:tcPr>
            <w:tcW w:w="1608" w:type="dxa"/>
            <w:vAlign w:val="center"/>
          </w:tcPr>
          <w:p w14:paraId="23D3B184">
            <w:pPr>
              <w:spacing w:line="360" w:lineRule="auto"/>
              <w:jc w:val="center"/>
              <w:rPr>
                <w:rFonts w:hint="eastAsia" w:ascii="宋体" w:hAnsi="宋体" w:eastAsia="宋体" w:cs="Times New Roman"/>
                <w:szCs w:val="21"/>
              </w:rPr>
            </w:pPr>
          </w:p>
        </w:tc>
        <w:tc>
          <w:tcPr>
            <w:tcW w:w="1767" w:type="dxa"/>
            <w:vAlign w:val="center"/>
          </w:tcPr>
          <w:p w14:paraId="0B4DDEB0">
            <w:pPr>
              <w:spacing w:line="360" w:lineRule="auto"/>
              <w:jc w:val="center"/>
              <w:rPr>
                <w:rFonts w:hint="eastAsia" w:ascii="宋体" w:hAnsi="宋体" w:eastAsia="宋体" w:cs="Times New Roman"/>
                <w:szCs w:val="21"/>
              </w:rPr>
            </w:pPr>
          </w:p>
        </w:tc>
        <w:tc>
          <w:tcPr>
            <w:tcW w:w="1520" w:type="dxa"/>
            <w:vAlign w:val="center"/>
          </w:tcPr>
          <w:p w14:paraId="4564AF39">
            <w:pPr>
              <w:spacing w:line="360" w:lineRule="auto"/>
              <w:jc w:val="center"/>
              <w:rPr>
                <w:rFonts w:hint="eastAsia" w:ascii="宋体" w:hAnsi="宋体" w:eastAsia="宋体" w:cs="Times New Roman"/>
                <w:szCs w:val="21"/>
              </w:rPr>
            </w:pPr>
          </w:p>
        </w:tc>
        <w:tc>
          <w:tcPr>
            <w:tcW w:w="1140" w:type="dxa"/>
            <w:vAlign w:val="center"/>
          </w:tcPr>
          <w:p w14:paraId="42A2FAC5">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BD30F18">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AF6EA0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D7DF47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1136"/>
      </w:tblGrid>
      <w:tr w14:paraId="760F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418BA8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3B9589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136" w:type="dxa"/>
            <w:vAlign w:val="center"/>
          </w:tcPr>
          <w:p w14:paraId="68894B0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821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E862EFA">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CC5027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学生出勤情况及工作态度，遵守实习学校规章制度，各类实习报告填写等。依据学生的出勤情况，平时工作的进展情况，实习任务完成情况，实习日记、听课记录等实习手册填写等进行评价。</w:t>
            </w:r>
          </w:p>
        </w:tc>
        <w:tc>
          <w:tcPr>
            <w:tcW w:w="1136" w:type="dxa"/>
            <w:vAlign w:val="center"/>
          </w:tcPr>
          <w:p w14:paraId="7CFC5A4E">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274F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33D3D99F">
            <w:pPr>
              <w:rPr>
                <w:rFonts w:ascii="Times New Roman" w:hAnsi="Times New Roman" w:eastAsia="宋体" w:cs="Times New Roman"/>
                <w:szCs w:val="21"/>
              </w:rPr>
            </w:pPr>
            <w:r>
              <w:rPr>
                <w:rFonts w:hint="eastAsia" w:ascii="Times New Roman" w:hAnsi="Times New Roman" w:eastAsia="宋体" w:cs="Times New Roman"/>
                <w:szCs w:val="21"/>
              </w:rPr>
              <w:t>课堂教学实习</w:t>
            </w:r>
          </w:p>
        </w:tc>
        <w:tc>
          <w:tcPr>
            <w:tcW w:w="7141" w:type="dxa"/>
            <w:shd w:val="clear" w:color="auto" w:fill="auto"/>
            <w:vAlign w:val="center"/>
          </w:tcPr>
          <w:p w14:paraId="615080F3">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根据学科填写课堂听课记录，并能做出评价，同时在指导教师指导下写出教案，并能实施。由实习学校学科指导教师根据学生的听课、批改作业、课堂评价及试教情况进行评价。</w:t>
            </w:r>
          </w:p>
        </w:tc>
        <w:tc>
          <w:tcPr>
            <w:tcW w:w="1136" w:type="dxa"/>
            <w:shd w:val="clear" w:color="auto" w:fill="auto"/>
            <w:vAlign w:val="center"/>
          </w:tcPr>
          <w:p w14:paraId="686FE276">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1506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37273426">
            <w:pPr>
              <w:rPr>
                <w:rFonts w:ascii="Times New Roman" w:hAnsi="Times New Roman" w:eastAsia="宋体" w:cs="Times New Roman"/>
                <w:szCs w:val="21"/>
              </w:rPr>
            </w:pPr>
            <w:r>
              <w:rPr>
                <w:rFonts w:hint="eastAsia" w:ascii="Times New Roman" w:hAnsi="Times New Roman" w:eastAsia="宋体" w:cs="Times New Roman"/>
                <w:szCs w:val="21"/>
              </w:rPr>
              <w:t>班主任工作实习</w:t>
            </w:r>
          </w:p>
        </w:tc>
        <w:tc>
          <w:tcPr>
            <w:tcW w:w="7141" w:type="dxa"/>
            <w:shd w:val="clear" w:color="auto" w:fill="auto"/>
            <w:vAlign w:val="center"/>
          </w:tcPr>
          <w:p w14:paraId="7608624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根据实习班主任（少先队）工作情况。由实习学校班主任指导教师根据学生在校的班主任实习工作评价，对学生一日常规、思品课及与小学生互动中表现的学生观以及学生工作的能力进行评价。</w:t>
            </w:r>
          </w:p>
        </w:tc>
        <w:tc>
          <w:tcPr>
            <w:tcW w:w="1136" w:type="dxa"/>
            <w:shd w:val="clear" w:color="auto" w:fill="auto"/>
            <w:vAlign w:val="center"/>
          </w:tcPr>
          <w:p w14:paraId="3AB035A2">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75A7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317F8DBB">
            <w:pPr>
              <w:rPr>
                <w:rFonts w:ascii="Times New Roman" w:hAnsi="Times New Roman" w:eastAsia="宋体" w:cs="Times New Roman"/>
                <w:szCs w:val="21"/>
              </w:rPr>
            </w:pPr>
            <w:r>
              <w:rPr>
                <w:rFonts w:hint="eastAsia" w:ascii="Times New Roman" w:hAnsi="Times New Roman" w:eastAsia="宋体" w:cs="Times New Roman"/>
                <w:szCs w:val="21"/>
              </w:rPr>
              <w:t>教育调查报告</w:t>
            </w:r>
          </w:p>
        </w:tc>
        <w:tc>
          <w:tcPr>
            <w:tcW w:w="7141" w:type="dxa"/>
            <w:shd w:val="clear" w:color="auto" w:fill="auto"/>
            <w:vAlign w:val="center"/>
          </w:tcPr>
          <w:p w14:paraId="056D17BA">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学生根据对实习学校的调查研究，结合文献检索及查阅资料，写出调查报告。本校带队教师根据调查报告内容是否符合教育实习要求，能否就学校中的教育现象展开调查，内容是否明确，方法是否正确，条理是否清楚，是否有自己的观点等进行评价。</w:t>
            </w:r>
          </w:p>
        </w:tc>
        <w:tc>
          <w:tcPr>
            <w:tcW w:w="1136" w:type="dxa"/>
            <w:shd w:val="clear" w:color="auto" w:fill="auto"/>
            <w:vAlign w:val="center"/>
          </w:tcPr>
          <w:p w14:paraId="4533F769">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FE3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1AF04A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22516B55">
            <w:pPr>
              <w:jc w:val="left"/>
              <w:rPr>
                <w:rFonts w:ascii="Times New Roman" w:hAnsi="Times New Roman" w:eastAsia="宋体" w:cs="Times New Roman"/>
                <w:szCs w:val="21"/>
              </w:rPr>
            </w:pPr>
          </w:p>
        </w:tc>
        <w:tc>
          <w:tcPr>
            <w:tcW w:w="1136" w:type="dxa"/>
            <w:vAlign w:val="center"/>
          </w:tcPr>
          <w:p w14:paraId="288F635D">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B457B20">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391868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0E25496">
      <w:pPr>
        <w:spacing w:line="336" w:lineRule="auto"/>
        <w:ind w:firstLine="420" w:firstLineChars="200"/>
        <w:rPr>
          <w:rFonts w:hint="eastAsia" w:ascii="宋体" w:hAnsi="宋体" w:eastAsia="宋体" w:cs="Times New Roman"/>
          <w:b/>
          <w:color w:val="000000"/>
          <w:sz w:val="24"/>
        </w:rPr>
      </w:pPr>
      <w:r>
        <w:rPr>
          <w:rFonts w:ascii="宋体" w:hAnsi="宋体" w:eastAsia="宋体" w:cs="Times New Roman"/>
          <w:color w:val="000000"/>
          <w:szCs w:val="21"/>
        </w:rPr>
        <w:object>
          <v:shape id="_x0000_i1081"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81" DrawAspect="Content" ObjectID="_1468075781" r:id="rId67">
            <o:LockedField>false</o:LockedField>
          </o:OLEObject>
        </w:object>
      </w:r>
      <w:r>
        <w:rPr>
          <w:rFonts w:hint="eastAsia" w:ascii="宋体" w:hAnsi="宋体" w:eastAsia="宋体" w:cs="Times New Roman"/>
          <w:b/>
          <w:color w:val="000000"/>
          <w:sz w:val="24"/>
        </w:rPr>
        <w:t>五、课程参考书</w:t>
      </w:r>
    </w:p>
    <w:p w14:paraId="35D3E824">
      <w:pPr>
        <w:spacing w:line="336"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1．义务教育各学科课程标准，2022</w:t>
      </w:r>
    </w:p>
    <w:p w14:paraId="1D7D8B6A">
      <w:pPr>
        <w:spacing w:line="336"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2．部编版小学各年级教材。</w:t>
      </w:r>
    </w:p>
    <w:p w14:paraId="745A2F48">
      <w:pPr>
        <w:spacing w:line="336"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3．苗凤华．教育实习指南．科学出版社，2018.</w:t>
      </w:r>
    </w:p>
    <w:p w14:paraId="42D4CBD3">
      <w:pPr>
        <w:spacing w:line="336"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4. 侯宏业，薛微微.小学教育实习手册.南京大学出版社，2021.</w:t>
      </w:r>
    </w:p>
    <w:p w14:paraId="789C426E">
      <w:pPr>
        <w:autoSpaceDE w:val="0"/>
        <w:autoSpaceDN w:val="0"/>
        <w:adjustRightInd w:val="0"/>
        <w:spacing w:line="360" w:lineRule="auto"/>
        <w:jc w:val="right"/>
        <w:rPr>
          <w:rFonts w:hint="eastAsia" w:ascii="宋体" w:hAnsi="宋体" w:eastAsia="宋体" w:cs="Times New Roman"/>
          <w:kern w:val="0"/>
          <w:sz w:val="24"/>
          <w:szCs w:val="21"/>
        </w:rPr>
      </w:pPr>
    </w:p>
    <w:p w14:paraId="1DAD5B91">
      <w:pPr>
        <w:autoSpaceDE w:val="0"/>
        <w:autoSpaceDN w:val="0"/>
        <w:adjustRightInd w:val="0"/>
        <w:spacing w:line="360" w:lineRule="auto"/>
        <w:jc w:val="right"/>
        <w:rPr>
          <w:rFonts w:hint="eastAsia" w:ascii="宋体" w:hAnsi="宋体" w:eastAsia="宋体" w:cs="Times New Roman"/>
          <w:kern w:val="0"/>
          <w:sz w:val="24"/>
          <w:szCs w:val="21"/>
        </w:rPr>
      </w:pPr>
    </w:p>
    <w:p w14:paraId="1E9E88D8">
      <w:pPr>
        <w:autoSpaceDE w:val="0"/>
        <w:autoSpaceDN w:val="0"/>
        <w:adjustRightInd w:val="0"/>
        <w:spacing w:line="360" w:lineRule="auto"/>
        <w:jc w:val="right"/>
        <w:rPr>
          <w:rFonts w:hint="eastAsia"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姚玉香</w:t>
      </w:r>
    </w:p>
    <w:p w14:paraId="42F47EAA">
      <w:pPr>
        <w:autoSpaceDE w:val="0"/>
        <w:autoSpaceDN w:val="0"/>
        <w:adjustRightInd w:val="0"/>
        <w:spacing w:line="360" w:lineRule="auto"/>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审定人：王  健</w:t>
      </w:r>
    </w:p>
    <w:p w14:paraId="38AC2270">
      <w:pPr>
        <w:autoSpaceDE w:val="0"/>
        <w:autoSpaceDN w:val="0"/>
        <w:adjustRightInd w:val="0"/>
        <w:spacing w:line="360" w:lineRule="auto"/>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3EB204FE">
      <w:pPr>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批准时间：2024年9月1日</w:t>
      </w:r>
    </w:p>
    <w:p w14:paraId="4E766A1A">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2FD13B84">
      <w:pPr>
        <w:jc w:val="right"/>
        <w:rPr>
          <w:rFonts w:hint="eastAsia" w:ascii="宋体" w:hAnsi="宋体" w:eastAsia="宋体" w:cs="Times New Roman"/>
          <w:kern w:val="0"/>
          <w:sz w:val="24"/>
          <w:szCs w:val="21"/>
        </w:rPr>
      </w:pPr>
    </w:p>
    <w:p w14:paraId="08E50927">
      <w:pPr>
        <w:widowControl/>
        <w:jc w:val="left"/>
      </w:pPr>
    </w:p>
    <w:p w14:paraId="559CDA9C">
      <w:pPr>
        <w:widowControl/>
        <w:jc w:val="left"/>
      </w:pPr>
    </w:p>
    <w:p w14:paraId="7D7B6A69">
      <w:pPr>
        <w:pStyle w:val="2"/>
      </w:pPr>
      <w:bookmarkStart w:id="299" w:name="_Toc24598"/>
      <w:bookmarkStart w:id="300" w:name="_Toc88424559"/>
      <w:bookmarkStart w:id="301" w:name="_Toc18830"/>
      <w:r>
        <w:rPr>
          <w:rFonts w:hint="eastAsia"/>
        </w:rPr>
        <w:t>《教育研习》课程</w:t>
      </w:r>
      <w:r>
        <w:t>教学大纲</w:t>
      </w:r>
      <w:bookmarkEnd w:id="299"/>
      <w:bookmarkEnd w:id="300"/>
      <w:bookmarkEnd w:id="301"/>
    </w:p>
    <w:p w14:paraId="02AE32E3">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ascii="Times New Roman" w:hAnsi="Times New Roman" w:eastAsia="黑体" w:cs="Times New Roman"/>
          <w:b/>
          <w:bCs/>
          <w:sz w:val="28"/>
          <w:szCs w:val="28"/>
        </w:rPr>
        <w:t>Research in Education</w:t>
      </w:r>
      <w:r>
        <w:rPr>
          <w:rFonts w:ascii="Times New Roman" w:hAnsi="Times New Roman" w:eastAsia="宋体" w:cs="Times New Roman"/>
          <w:b/>
          <w:bCs/>
          <w:sz w:val="28"/>
          <w:szCs w:val="28"/>
        </w:rPr>
        <w:t>）</w:t>
      </w:r>
    </w:p>
    <w:p w14:paraId="6FE2E1F0">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一、课程概况</w:t>
      </w:r>
    </w:p>
    <w:p w14:paraId="6E02AC39">
      <w:pPr>
        <w:spacing w:line="360" w:lineRule="auto"/>
        <w:ind w:firstLine="482" w:firstLineChars="200"/>
        <w:rPr>
          <w:rFonts w:ascii="宋体" w:hAnsi="Times New Roman" w:eastAsia="宋体" w:cs="Times New Roman"/>
          <w:b/>
          <w:sz w:val="24"/>
        </w:rPr>
      </w:pPr>
      <w:r>
        <w:rPr>
          <w:rFonts w:hint="eastAsia" w:ascii="宋体" w:hAnsi="宋体" w:eastAsia="宋体" w:cs="Times New Roman"/>
          <w:b/>
          <w:bCs/>
          <w:kern w:val="0"/>
          <w:sz w:val="24"/>
        </w:rPr>
        <w:t>课程代码</w:t>
      </w:r>
      <w:r>
        <w:rPr>
          <w:rFonts w:hint="eastAsia" w:ascii="宋体" w:hAnsi="宋体" w:eastAsia="宋体" w:cs="Times New Roman"/>
          <w:b/>
          <w:kern w:val="0"/>
          <w:sz w:val="24"/>
        </w:rPr>
        <w:t>：24010</w:t>
      </w:r>
      <w:r>
        <w:rPr>
          <w:rFonts w:ascii="宋体" w:hAnsi="宋体" w:eastAsia="宋体" w:cs="Times New Roman"/>
          <w:b/>
          <w:kern w:val="0"/>
          <w:sz w:val="24"/>
        </w:rPr>
        <w:t>68</w:t>
      </w:r>
    </w:p>
    <w:p w14:paraId="7795F72C">
      <w:pPr>
        <w:spacing w:line="360" w:lineRule="auto"/>
        <w:ind w:firstLine="482" w:firstLineChars="200"/>
        <w:rPr>
          <w:rFonts w:hint="eastAsia" w:ascii="宋体" w:hAnsi="宋体" w:eastAsia="宋体" w:cs="Times New Roman"/>
          <w:color w:val="000000"/>
          <w:kern w:val="0"/>
          <w:sz w:val="24"/>
        </w:rPr>
      </w:pPr>
      <w:r>
        <w:rPr>
          <w:rFonts w:hint="eastAsia" w:ascii="宋体" w:hAnsi="宋体" w:eastAsia="宋体" w:cs="Times New Roman"/>
          <w:b/>
          <w:bCs/>
          <w:color w:val="000000"/>
          <w:kern w:val="0"/>
          <w:sz w:val="24"/>
        </w:rPr>
        <w:t>学</w:t>
      </w:r>
      <w:r>
        <w:rPr>
          <w:rFonts w:ascii="宋体" w:hAnsi="宋体" w:eastAsia="宋体" w:cs="Times New Roman"/>
          <w:b/>
          <w:bCs/>
          <w:color w:val="000000"/>
          <w:kern w:val="0"/>
          <w:sz w:val="24"/>
        </w:rPr>
        <w:t xml:space="preserve">    </w:t>
      </w:r>
      <w:r>
        <w:rPr>
          <w:rFonts w:hint="eastAsia" w:ascii="宋体" w:hAnsi="宋体" w:eastAsia="宋体" w:cs="Times New Roman"/>
          <w:b/>
          <w:bCs/>
          <w:color w:val="000000"/>
          <w:kern w:val="0"/>
          <w:sz w:val="24"/>
        </w:rPr>
        <w:t>分：</w:t>
      </w:r>
      <w:r>
        <w:rPr>
          <w:rFonts w:hint="eastAsia" w:ascii="宋体" w:hAnsi="宋体" w:eastAsia="宋体" w:cs="Times New Roman"/>
          <w:color w:val="000000"/>
          <w:kern w:val="0"/>
          <w:sz w:val="24"/>
        </w:rPr>
        <w:t>1</w:t>
      </w:r>
    </w:p>
    <w:p w14:paraId="4F38458D">
      <w:pPr>
        <w:spacing w:line="360" w:lineRule="auto"/>
        <w:ind w:firstLine="482" w:firstLineChars="200"/>
        <w:rPr>
          <w:rFonts w:ascii="宋体" w:hAnsi="Times New Roman" w:eastAsia="宋体" w:cs="Times New Roman"/>
          <w:color w:val="000000"/>
          <w:kern w:val="0"/>
          <w:sz w:val="24"/>
        </w:rPr>
      </w:pPr>
      <w:r>
        <w:rPr>
          <w:rFonts w:hint="eastAsia" w:ascii="宋体" w:hAnsi="宋体" w:eastAsia="宋体" w:cs="Times New Roman"/>
          <w:b/>
          <w:bCs/>
          <w:color w:val="000000"/>
          <w:kern w:val="0"/>
          <w:sz w:val="24"/>
        </w:rPr>
        <w:t>学</w:t>
      </w:r>
      <w:r>
        <w:rPr>
          <w:rFonts w:ascii="宋体" w:hAnsi="宋体" w:eastAsia="宋体" w:cs="Times New Roman"/>
          <w:b/>
          <w:bCs/>
          <w:color w:val="000000"/>
          <w:kern w:val="0"/>
          <w:sz w:val="24"/>
        </w:rPr>
        <w:t xml:space="preserve">    </w:t>
      </w:r>
      <w:r>
        <w:rPr>
          <w:rFonts w:hint="eastAsia" w:ascii="宋体" w:hAnsi="宋体" w:eastAsia="宋体" w:cs="Times New Roman"/>
          <w:b/>
          <w:bCs/>
          <w:color w:val="000000"/>
          <w:kern w:val="0"/>
          <w:sz w:val="24"/>
        </w:rPr>
        <w:t>时：2周</w:t>
      </w:r>
    </w:p>
    <w:p w14:paraId="3CD101B9">
      <w:pPr>
        <w:spacing w:line="360" w:lineRule="auto"/>
        <w:ind w:firstLine="482" w:firstLineChars="200"/>
        <w:rPr>
          <w:rFonts w:ascii="宋体" w:hAnsi="Times New Roman" w:eastAsia="宋体" w:cs="Times New Roman"/>
          <w:color w:val="000000"/>
          <w:sz w:val="24"/>
        </w:rPr>
      </w:pPr>
      <w:r>
        <w:rPr>
          <w:rFonts w:hint="eastAsia" w:ascii="宋体" w:hAnsi="宋体" w:eastAsia="宋体" w:cs="Times New Roman"/>
          <w:b/>
          <w:bCs/>
          <w:color w:val="000000"/>
          <w:kern w:val="0"/>
          <w:sz w:val="24"/>
        </w:rPr>
        <w:t>先修课程：</w:t>
      </w:r>
      <w:r>
        <w:rPr>
          <w:rFonts w:ascii="宋体" w:hAnsi="宋体" w:eastAsia="宋体" w:cs="Times New Roman"/>
          <w:color w:val="000000"/>
          <w:kern w:val="0"/>
          <w:sz w:val="24"/>
        </w:rPr>
        <w:t>现代教育技术、教育哲学、教育社会学，以及部分数学/中文类课程</w:t>
      </w:r>
      <w:r>
        <w:rPr>
          <w:rFonts w:hint="eastAsia" w:ascii="宋体" w:hAnsi="宋体" w:eastAsia="宋体" w:cs="Times New Roman"/>
          <w:color w:val="000000"/>
          <w:kern w:val="0"/>
          <w:sz w:val="24"/>
        </w:rPr>
        <w:t>、教育研习Ⅰ、教育研习Ⅱ、教学实训等。</w:t>
      </w:r>
    </w:p>
    <w:p w14:paraId="393BE555">
      <w:pPr>
        <w:spacing w:line="360" w:lineRule="auto"/>
        <w:ind w:firstLine="482" w:firstLineChars="200"/>
        <w:rPr>
          <w:rFonts w:hint="eastAsia" w:ascii="宋体" w:hAnsi="宋体" w:eastAsia="宋体" w:cs="Times New Roman"/>
          <w:color w:val="000000"/>
          <w:kern w:val="0"/>
          <w:sz w:val="24"/>
        </w:rPr>
      </w:pPr>
      <w:r>
        <w:rPr>
          <w:rFonts w:hint="eastAsia" w:ascii="宋体" w:hAnsi="宋体" w:eastAsia="宋体" w:cs="Times New Roman"/>
          <w:b/>
          <w:bCs/>
          <w:color w:val="000000"/>
          <w:kern w:val="0"/>
          <w:sz w:val="24"/>
        </w:rPr>
        <w:t>适用专业：</w:t>
      </w:r>
      <w:r>
        <w:rPr>
          <w:rFonts w:hint="eastAsia" w:ascii="宋体" w:hAnsi="宋体" w:eastAsia="宋体" w:cs="Times New Roman"/>
          <w:color w:val="000000"/>
          <w:kern w:val="0"/>
          <w:sz w:val="24"/>
        </w:rPr>
        <w:t>小学教育（文）、小学教育（理）</w:t>
      </w:r>
      <w:r>
        <w:rPr>
          <w:rFonts w:ascii="宋体" w:hAnsi="宋体" w:eastAsia="宋体" w:cs="Times New Roman"/>
          <w:color w:val="000000"/>
          <w:kern w:val="0"/>
          <w:sz w:val="24"/>
        </w:rPr>
        <w:t xml:space="preserve"> </w:t>
      </w:r>
    </w:p>
    <w:p w14:paraId="49D9C086">
      <w:pPr>
        <w:spacing w:line="360" w:lineRule="auto"/>
        <w:ind w:firstLine="482" w:firstLineChars="200"/>
        <w:rPr>
          <w:rFonts w:ascii="宋体" w:hAnsi="Times New Roman" w:eastAsia="宋体" w:cs="Times New Roman"/>
          <w:color w:val="000000"/>
          <w:kern w:val="0"/>
          <w:sz w:val="24"/>
        </w:rPr>
      </w:pPr>
      <w:r>
        <w:rPr>
          <w:rFonts w:hint="eastAsia" w:ascii="宋体" w:hAnsi="宋体" w:eastAsia="宋体" w:cs="Times New Roman"/>
          <w:b/>
          <w:bCs/>
          <w:color w:val="000000"/>
          <w:kern w:val="0"/>
          <w:sz w:val="24"/>
        </w:rPr>
        <w:t>建议教材：</w:t>
      </w:r>
      <w:r>
        <w:rPr>
          <w:rFonts w:hint="eastAsia" w:ascii="宋体" w:hAnsi="宋体" w:eastAsia="宋体" w:cs="Times New Roman"/>
          <w:bCs/>
          <w:color w:val="000000"/>
          <w:kern w:val="0"/>
          <w:sz w:val="24"/>
        </w:rPr>
        <w:t>研习手册（自编）</w:t>
      </w:r>
    </w:p>
    <w:p w14:paraId="41BBBBEE">
      <w:pPr>
        <w:spacing w:line="360" w:lineRule="auto"/>
        <w:ind w:firstLine="482" w:firstLineChars="200"/>
        <w:rPr>
          <w:rFonts w:ascii="宋体" w:hAnsi="Times New Roman" w:eastAsia="宋体" w:cs="Times New Roman"/>
          <w:b/>
          <w:bCs/>
          <w:color w:val="000000"/>
          <w:kern w:val="0"/>
          <w:sz w:val="24"/>
        </w:rPr>
      </w:pPr>
      <w:r>
        <w:rPr>
          <w:rFonts w:hint="eastAsia" w:ascii="宋体" w:hAnsi="宋体" w:eastAsia="宋体" w:cs="Times New Roman"/>
          <w:b/>
          <w:bCs/>
          <w:color w:val="000000"/>
          <w:kern w:val="0"/>
          <w:sz w:val="24"/>
        </w:rPr>
        <w:t>课程归口：</w:t>
      </w:r>
      <w:r>
        <w:rPr>
          <w:rFonts w:hint="eastAsia" w:ascii="宋体" w:hAnsi="宋体" w:eastAsia="宋体" w:cs="Times New Roman"/>
          <w:bCs/>
          <w:color w:val="000000"/>
          <w:kern w:val="0"/>
          <w:sz w:val="24"/>
        </w:rPr>
        <w:t>师范</w:t>
      </w:r>
      <w:r>
        <w:rPr>
          <w:rFonts w:hint="eastAsia" w:ascii="宋体" w:hAnsi="宋体" w:eastAsia="宋体" w:cs="Times New Roman"/>
          <w:color w:val="000000"/>
          <w:kern w:val="0"/>
          <w:sz w:val="24"/>
        </w:rPr>
        <w:t>学院</w:t>
      </w:r>
    </w:p>
    <w:p w14:paraId="5A257ED6">
      <w:pPr>
        <w:spacing w:line="360" w:lineRule="auto"/>
        <w:ind w:firstLine="482" w:firstLineChars="200"/>
        <w:rPr>
          <w:rFonts w:hint="eastAsia" w:ascii="华文楷体" w:hAnsi="华文楷体" w:eastAsia="华文楷体" w:cs="宋体"/>
          <w:color w:val="000000" w:themeColor="text1"/>
          <w:kern w:val="0"/>
          <w:sz w:val="20"/>
          <w:szCs w:val="20"/>
          <w14:textFill>
            <w14:solidFill>
              <w14:schemeClr w14:val="tx1"/>
            </w14:solidFill>
          </w14:textFill>
        </w:rPr>
      </w:pPr>
      <w:r>
        <w:rPr>
          <w:rFonts w:hint="eastAsia" w:ascii="宋体" w:hAnsi="宋体" w:eastAsia="宋体" w:cs="Times New Roman"/>
          <w:b/>
          <w:bCs/>
          <w:color w:val="000000"/>
          <w:kern w:val="0"/>
          <w:sz w:val="24"/>
        </w:rPr>
        <w:t>课程的性质与任务：</w:t>
      </w:r>
      <w:r>
        <w:rPr>
          <w:rFonts w:hint="eastAsia" w:ascii="宋体" w:hAnsi="宋体" w:eastAsia="宋体" w:cs="Times New Roman"/>
          <w:color w:val="000000" w:themeColor="text1"/>
          <w:kern w:val="0"/>
          <w:sz w:val="24"/>
          <w14:textFill>
            <w14:solidFill>
              <w14:schemeClr w14:val="tx1"/>
            </w14:solidFill>
          </w14:textFill>
        </w:rPr>
        <w:t>教育研习是小学教育专业集中实践教学的一门可成。本课程的任务和目的是使学生全面获得教育教学体验，对教师职</w:t>
      </w:r>
      <w:r>
        <w:rPr>
          <w:rFonts w:ascii="宋体" w:hAnsi="宋体" w:eastAsia="宋体" w:cs="Times New Roman"/>
          <w:color w:val="000000" w:themeColor="text1"/>
          <w:kern w:val="0"/>
          <w:sz w:val="24"/>
          <w14:textFill>
            <w14:solidFill>
              <w14:schemeClr w14:val="tx1"/>
            </w14:solidFill>
          </w14:textFill>
        </w:rPr>
        <w:t>业的专业化过程中出现的有关问题进行分析、探讨和研究，在理论和实践的互动中提高反思能力和研究能力，进而提升自己的职业技能水平，以便更好地适应将来的教师工作。它是以实践为基础、以研究为主要特点的学习活动，贯穿在“实践中研究、在研究中实践”这一基本原则。</w:t>
      </w:r>
      <w:r>
        <w:rPr>
          <w:rFonts w:hint="eastAsia" w:ascii="宋体" w:hAnsi="宋体" w:eastAsia="宋体" w:cs="Times New Roman"/>
          <w:color w:val="000000" w:themeColor="text1"/>
          <w:kern w:val="0"/>
          <w:sz w:val="24"/>
          <w14:textFill>
            <w14:solidFill>
              <w14:schemeClr w14:val="tx1"/>
            </w14:solidFill>
          </w14:textFill>
        </w:rPr>
        <w:t>建立正确的教学评价观、团队协作观，坚持综合育人、全面发展的教育理念。</w:t>
      </w:r>
    </w:p>
    <w:p w14:paraId="6B7FCEBA">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二、课程目标</w:t>
      </w:r>
    </w:p>
    <w:p w14:paraId="212AA07F">
      <w:pPr>
        <w:spacing w:line="360" w:lineRule="auto"/>
        <w:ind w:firstLine="480" w:firstLineChars="200"/>
        <w:jc w:val="left"/>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 xml:space="preserve">1. </w:t>
      </w:r>
      <w:r>
        <w:rPr>
          <w:rFonts w:hint="eastAsia" w:ascii="宋体" w:hAnsi="宋体" w:eastAsia="宋体" w:cs="Times New Roman"/>
          <w:color w:val="000000" w:themeColor="text1"/>
          <w:sz w:val="24"/>
          <w14:textFill>
            <w14:solidFill>
              <w14:schemeClr w14:val="tx1"/>
            </w14:solidFill>
          </w14:textFill>
        </w:rPr>
        <w:t>通过教育研习，初步掌握反思方法与技能，具有一定创新意识，能够运用批判性思维方法</w:t>
      </w:r>
      <w:r>
        <w:rPr>
          <w:rFonts w:ascii="宋体" w:hAnsi="宋体" w:eastAsia="宋体" w:cs="Times New Roman"/>
          <w:color w:val="000000" w:themeColor="text1"/>
          <w:sz w:val="24"/>
          <w14:textFill>
            <w14:solidFill>
              <w14:schemeClr w14:val="tx1"/>
            </w14:solidFill>
          </w14:textFill>
        </w:rPr>
        <w:t>发现、分析和解决教育</w:t>
      </w:r>
      <w:r>
        <w:rPr>
          <w:rFonts w:hint="eastAsia" w:ascii="宋体" w:hAnsi="宋体" w:eastAsia="宋体" w:cs="Times New Roman"/>
          <w:color w:val="000000" w:themeColor="text1"/>
          <w:sz w:val="24"/>
          <w14:textFill>
            <w14:solidFill>
              <w14:schemeClr w14:val="tx1"/>
            </w14:solidFill>
          </w14:textFill>
        </w:rPr>
        <w:t>学习和</w:t>
      </w:r>
      <w:r>
        <w:rPr>
          <w:rFonts w:ascii="宋体" w:hAnsi="宋体" w:eastAsia="宋体" w:cs="Times New Roman"/>
          <w:color w:val="000000" w:themeColor="text1"/>
          <w:sz w:val="24"/>
          <w14:textFill>
            <w14:solidFill>
              <w14:schemeClr w14:val="tx1"/>
            </w14:solidFill>
          </w14:textFill>
        </w:rPr>
        <w:t>研习过程中小学教育教学中存在的实际问题。</w:t>
      </w:r>
    </w:p>
    <w:p w14:paraId="7B5BE367">
      <w:pPr>
        <w:spacing w:line="360" w:lineRule="auto"/>
        <w:ind w:firstLine="480" w:firstLineChars="200"/>
        <w:jc w:val="left"/>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2.</w:t>
      </w:r>
      <w:r>
        <w:rPr>
          <w:rFonts w:hint="eastAsia"/>
        </w:rPr>
        <w:t xml:space="preserve"> </w:t>
      </w:r>
      <w:r>
        <w:rPr>
          <w:rFonts w:hint="eastAsia" w:ascii="宋体" w:hAnsi="宋体" w:eastAsia="宋体" w:cs="Times New Roman"/>
          <w:color w:val="000000" w:themeColor="text1"/>
          <w:sz w:val="24"/>
          <w14:textFill>
            <w14:solidFill>
              <w14:schemeClr w14:val="tx1"/>
            </w14:solidFill>
          </w14:textFill>
        </w:rPr>
        <w:t>通过现场评课学会运用教育科研的基本方法，去分析和解决小学教育教学中出现的各种现实问题，掌握学科教学必备的知识与技能，在教材研读和教学设计上具备基本能力，乐于钻研教育教学问题。</w:t>
      </w:r>
    </w:p>
    <w:p w14:paraId="0F2FDA43">
      <w:pPr>
        <w:spacing w:line="360" w:lineRule="auto"/>
        <w:ind w:firstLine="480" w:firstLineChars="200"/>
        <w:jc w:val="left"/>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3.</w:t>
      </w:r>
      <w:r>
        <w:rPr>
          <w:rFonts w:hint="eastAsia"/>
        </w:rPr>
        <w:t xml:space="preserve"> </w:t>
      </w:r>
      <w:r>
        <w:rPr>
          <w:rFonts w:hint="eastAsia" w:ascii="宋体" w:hAnsi="宋体" w:eastAsia="宋体" w:cs="Times New Roman"/>
          <w:color w:val="000000" w:themeColor="text1"/>
          <w:sz w:val="24"/>
          <w14:textFill>
            <w14:solidFill>
              <w14:schemeClr w14:val="tx1"/>
            </w14:solidFill>
          </w14:textFill>
        </w:rPr>
        <w:t>通过课堂教学和班队工作研习，使学生加深理解和综合运用所学的文化科学知识、教育理论知识和技能，初步掌握科学的教育教学方法和小学班队组织与建设的工作规律与方法，培养从事教学教育教学工作和班队建设与管理的能力。</w:t>
      </w:r>
    </w:p>
    <w:p w14:paraId="39D4E8EC">
      <w:pPr>
        <w:spacing w:line="360" w:lineRule="auto"/>
        <w:ind w:firstLine="480" w:firstLineChars="200"/>
        <w:jc w:val="left"/>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目标</w:t>
      </w:r>
      <w:r>
        <w:rPr>
          <w:rFonts w:ascii="宋体" w:hAnsi="宋体" w:eastAsia="宋体" w:cs="Times New Roman"/>
          <w:color w:val="000000" w:themeColor="text1"/>
          <w:sz w:val="24"/>
          <w14:textFill>
            <w14:solidFill>
              <w14:schemeClr w14:val="tx1"/>
            </w14:solidFill>
          </w14:textFill>
        </w:rPr>
        <w:t>4.</w:t>
      </w:r>
      <w:r>
        <w:rPr>
          <w:rFonts w:hint="eastAsia"/>
        </w:rPr>
        <w:t xml:space="preserve"> </w:t>
      </w:r>
      <w:r>
        <w:rPr>
          <w:rFonts w:hint="eastAsia" w:ascii="宋体" w:hAnsi="宋体" w:eastAsia="宋体" w:cs="Times New Roman"/>
          <w:color w:val="000000" w:themeColor="text1"/>
          <w:sz w:val="24"/>
          <w14:textFill>
            <w14:solidFill>
              <w14:schemeClr w14:val="tx1"/>
            </w14:solidFill>
          </w14:textFill>
        </w:rPr>
        <w:t>通过教育研习</w:t>
      </w:r>
      <w:r>
        <w:rPr>
          <w:rFonts w:ascii="宋体" w:hAnsi="宋体" w:eastAsia="宋体" w:cs="Times New Roman"/>
          <w:color w:val="000000" w:themeColor="text1"/>
          <w:sz w:val="24"/>
          <w14:textFill>
            <w14:solidFill>
              <w14:schemeClr w14:val="tx1"/>
            </w14:solidFill>
          </w14:textFill>
        </w:rPr>
        <w:t>，使学生初步掌握小学教育工作规律，了解当前小学教育、教学改革动态，为今后投身教育改革和教育科研工作，提高教育教学质量打下基础。</w:t>
      </w:r>
    </w:p>
    <w:p w14:paraId="37F8827F">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4"/>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3E9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3B31708">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w:t>
            </w:r>
          </w:p>
        </w:tc>
        <w:tc>
          <w:tcPr>
            <w:tcW w:w="5688" w:type="dxa"/>
            <w:vAlign w:val="center"/>
          </w:tcPr>
          <w:p w14:paraId="18876008">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毕业要求指标点</w:t>
            </w:r>
          </w:p>
        </w:tc>
        <w:tc>
          <w:tcPr>
            <w:tcW w:w="1191" w:type="dxa"/>
            <w:vAlign w:val="center"/>
          </w:tcPr>
          <w:p w14:paraId="1C7BC962">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课程目标</w:t>
            </w:r>
          </w:p>
        </w:tc>
      </w:tr>
      <w:tr w14:paraId="2A39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C983572">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 4 教学能力</w:t>
            </w:r>
          </w:p>
        </w:tc>
        <w:tc>
          <w:tcPr>
            <w:tcW w:w="5688" w:type="dxa"/>
            <w:vAlign w:val="center"/>
          </w:tcPr>
          <w:p w14:paraId="364733A0">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4-4：【教学研究能力好】掌握教育研究的基本方法，结合小学教育教学实践进行研究，具有一定的教学研究能力。</w:t>
            </w:r>
          </w:p>
        </w:tc>
        <w:tc>
          <w:tcPr>
            <w:tcW w:w="1191" w:type="dxa"/>
            <w:vAlign w:val="center"/>
          </w:tcPr>
          <w:p w14:paraId="64945977">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课程目标2、4</w:t>
            </w:r>
          </w:p>
        </w:tc>
      </w:tr>
      <w:tr w14:paraId="5066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9410DFE">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毕业要求7 学会反思</w:t>
            </w:r>
          </w:p>
        </w:tc>
        <w:tc>
          <w:tcPr>
            <w:tcW w:w="5688" w:type="dxa"/>
            <w:vAlign w:val="center"/>
          </w:tcPr>
          <w:p w14:paraId="7FC2B65E">
            <w:pPr>
              <w:spacing w:line="276" w:lineRule="auto"/>
              <w:jc w:val="left"/>
              <w:rPr>
                <w:rFonts w:ascii="Times New Roman" w:hAnsi="Times New Roman" w:eastAsia="宋体" w:cs="Times New Roman"/>
                <w:kern w:val="0"/>
                <w:sz w:val="20"/>
                <w:szCs w:val="21"/>
              </w:rPr>
            </w:pPr>
            <w:r>
              <w:rPr>
                <w:rFonts w:hint="eastAsia" w:ascii="宋体" w:hAnsi="宋体" w:eastAsia="宋体" w:cs="Times New Roman"/>
                <w:color w:val="000000"/>
                <w:spacing w:val="2"/>
                <w:kern w:val="0"/>
                <w:sz w:val="20"/>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vAlign w:val="center"/>
          </w:tcPr>
          <w:p w14:paraId="6BDB1FF8">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课程目标1</w:t>
            </w:r>
          </w:p>
        </w:tc>
      </w:tr>
      <w:tr w14:paraId="3E2F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0EF773A">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毕业要求8沟通合作</w:t>
            </w:r>
          </w:p>
        </w:tc>
        <w:tc>
          <w:tcPr>
            <w:tcW w:w="5688" w:type="dxa"/>
            <w:vAlign w:val="center"/>
          </w:tcPr>
          <w:p w14:paraId="7DBDA3F7">
            <w:pPr>
              <w:spacing w:line="276" w:lineRule="auto"/>
              <w:jc w:val="left"/>
              <w:rPr>
                <w:rFonts w:ascii="Times New Roman" w:hAnsi="Times New Roman" w:eastAsia="宋体" w:cs="Times New Roman"/>
                <w:kern w:val="0"/>
                <w:sz w:val="20"/>
                <w:szCs w:val="21"/>
              </w:rPr>
            </w:pPr>
            <w:r>
              <w:rPr>
                <w:rFonts w:hint="eastAsia" w:ascii="宋体" w:hAnsi="宋体" w:eastAsia="宋体" w:cs="Times New Roman"/>
                <w:color w:val="000000"/>
                <w:spacing w:val="2"/>
                <w:kern w:val="0"/>
                <w:sz w:val="20"/>
                <w:szCs w:val="21"/>
              </w:rPr>
              <w:t>8-1：【善于团队合作】理解学习共同体的本质和价值，掌握团队协作的基本策略，在课堂学习与教育实践中获得合作学习体验，形成团队协作精神。</w:t>
            </w:r>
          </w:p>
        </w:tc>
        <w:tc>
          <w:tcPr>
            <w:tcW w:w="1191" w:type="dxa"/>
            <w:vAlign w:val="center"/>
          </w:tcPr>
          <w:p w14:paraId="6F4827E6">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课程目标3</w:t>
            </w:r>
          </w:p>
        </w:tc>
      </w:tr>
    </w:tbl>
    <w:p w14:paraId="443EC154">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998"/>
      </w:tblGrid>
      <w:tr w14:paraId="519B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68B83B1">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w:t>
            </w:r>
          </w:p>
          <w:p w14:paraId="2147DE6A">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单元</w:t>
            </w:r>
          </w:p>
        </w:tc>
        <w:tc>
          <w:tcPr>
            <w:tcW w:w="1701" w:type="dxa"/>
            <w:vAlign w:val="center"/>
          </w:tcPr>
          <w:p w14:paraId="5D2C5C6D">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知识点</w:t>
            </w:r>
          </w:p>
        </w:tc>
        <w:tc>
          <w:tcPr>
            <w:tcW w:w="1134" w:type="dxa"/>
            <w:vAlign w:val="center"/>
          </w:tcPr>
          <w:p w14:paraId="09E2AC39">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对应</w:t>
            </w:r>
          </w:p>
          <w:p w14:paraId="57F5CC64">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课程目标</w:t>
            </w:r>
          </w:p>
        </w:tc>
        <w:tc>
          <w:tcPr>
            <w:tcW w:w="3260" w:type="dxa"/>
            <w:vAlign w:val="center"/>
          </w:tcPr>
          <w:p w14:paraId="0BAEEF53">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要求</w:t>
            </w:r>
          </w:p>
        </w:tc>
        <w:tc>
          <w:tcPr>
            <w:tcW w:w="1998" w:type="dxa"/>
            <w:vAlign w:val="center"/>
          </w:tcPr>
          <w:p w14:paraId="511FF235">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预期学习成效</w:t>
            </w:r>
          </w:p>
        </w:tc>
      </w:tr>
      <w:tr w14:paraId="0522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DE6A6BC">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1教学工作研习</w:t>
            </w:r>
          </w:p>
        </w:tc>
        <w:tc>
          <w:tcPr>
            <w:tcW w:w="1701" w:type="dxa"/>
            <w:vAlign w:val="center"/>
          </w:tcPr>
          <w:p w14:paraId="749758C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（1）教学设计文本研习</w:t>
            </w:r>
          </w:p>
          <w:p w14:paraId="6D35CC5E">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（2）课堂教学观察研习</w:t>
            </w:r>
          </w:p>
        </w:tc>
        <w:tc>
          <w:tcPr>
            <w:tcW w:w="1134" w:type="dxa"/>
            <w:vAlign w:val="center"/>
          </w:tcPr>
          <w:p w14:paraId="43EE1893">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0" w:type="dxa"/>
            <w:vAlign w:val="center"/>
          </w:tcPr>
          <w:p w14:paraId="2031A4E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（1）掌握并钻研小学语文（数学）课程标准，分析研读相关教材，按照大纲要求结合事宜，认真研习教学设计文本。</w:t>
            </w:r>
          </w:p>
          <w:p w14:paraId="2B911D06">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（2）听课不少于15节课，并做好听课记录、评课记录、反思等材料，其中提交听课记录10节，评课记录2节，认真研习教学理念与方法。</w:t>
            </w:r>
          </w:p>
          <w:p w14:paraId="79132B7E">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（3）以分组形式充分准备全面、深入、客观评价研讨对象，主动邀请指导教师参与，虚心接受指导教师意见。</w:t>
            </w:r>
          </w:p>
        </w:tc>
        <w:tc>
          <w:tcPr>
            <w:tcW w:w="1998" w:type="dxa"/>
            <w:vAlign w:val="center"/>
          </w:tcPr>
          <w:p w14:paraId="6F78897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（1）学会分析和评价教学设计文本，能发现教学设计文本中的不足并提出改进措施。</w:t>
            </w:r>
          </w:p>
          <w:p w14:paraId="7E3D99E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（2）能够通过观摩课堂，对教师的教学理念和方法给出恰当的评估。</w:t>
            </w:r>
          </w:p>
          <w:p w14:paraId="1C4520E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（3）能够初步掌握教学研究的基本原理和方法，教学研究能力得到提高</w:t>
            </w:r>
          </w:p>
          <w:p w14:paraId="230B5758">
            <w:pPr>
              <w:spacing w:line="269" w:lineRule="auto"/>
              <w:jc w:val="center"/>
              <w:rPr>
                <w:rFonts w:hint="eastAsia" w:ascii="宋体" w:hAnsi="宋体" w:eastAsia="宋体" w:cs="Times New Roman"/>
                <w:color w:val="000000"/>
                <w:kern w:val="0"/>
                <w:sz w:val="20"/>
                <w:szCs w:val="21"/>
              </w:rPr>
            </w:pPr>
          </w:p>
        </w:tc>
      </w:tr>
      <w:tr w14:paraId="2692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94536F9">
            <w:pPr>
              <w:spacing w:line="264" w:lineRule="auto"/>
              <w:jc w:val="center"/>
              <w:rPr>
                <w:rFonts w:hint="eastAsia" w:ascii="宋体" w:hAnsi="宋体" w:eastAsia="宋体" w:cs="Times New Roman"/>
                <w:color w:val="000000"/>
                <w:kern w:val="0"/>
                <w:sz w:val="20"/>
                <w:szCs w:val="21"/>
              </w:rPr>
            </w:pPr>
          </w:p>
        </w:tc>
        <w:tc>
          <w:tcPr>
            <w:tcW w:w="8093" w:type="dxa"/>
            <w:gridSpan w:val="4"/>
            <w:vAlign w:val="center"/>
          </w:tcPr>
          <w:p w14:paraId="0F5AB9B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把“立德树人”教育目标融入实践过程中，领悟教师职业的价值，树立职业理想，立志成为有理想信念、有道德情操、有扎实学识、有仁爱之心的好教师。</w:t>
            </w:r>
          </w:p>
        </w:tc>
      </w:tr>
      <w:tr w14:paraId="6F49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70D43DE">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2.班主任工作研习</w:t>
            </w:r>
          </w:p>
        </w:tc>
        <w:tc>
          <w:tcPr>
            <w:tcW w:w="1701" w:type="dxa"/>
            <w:vAlign w:val="center"/>
          </w:tcPr>
          <w:p w14:paraId="32F16D8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（1）优秀班主任成长经验研习</w:t>
            </w:r>
          </w:p>
          <w:p w14:paraId="73045BC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（2）班主任各班级管理方法研习</w:t>
            </w:r>
          </w:p>
          <w:p w14:paraId="09423C9D">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（3）主题班会研习</w:t>
            </w:r>
          </w:p>
          <w:p w14:paraId="4D1BF99F">
            <w:pPr>
              <w:spacing w:line="269" w:lineRule="auto"/>
              <w:jc w:val="left"/>
              <w:rPr>
                <w:rFonts w:hint="eastAsia" w:ascii="宋体" w:hAnsi="宋体" w:eastAsia="宋体" w:cs="Times New Roman"/>
                <w:color w:val="000000"/>
                <w:kern w:val="0"/>
                <w:sz w:val="20"/>
                <w:szCs w:val="21"/>
              </w:rPr>
            </w:pPr>
          </w:p>
        </w:tc>
        <w:tc>
          <w:tcPr>
            <w:tcW w:w="1134" w:type="dxa"/>
            <w:vAlign w:val="center"/>
          </w:tcPr>
          <w:p w14:paraId="45443781">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课程目标1、3、4</w:t>
            </w:r>
          </w:p>
        </w:tc>
        <w:tc>
          <w:tcPr>
            <w:tcW w:w="3260" w:type="dxa"/>
            <w:vAlign w:val="center"/>
          </w:tcPr>
          <w:p w14:paraId="65123B8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（1）研习生根据研习学校的工作安排和原班主任工作计划，制定班主任工作研习计划，计划需经过原班主任同意后执行。</w:t>
            </w:r>
          </w:p>
          <w:p w14:paraId="0782D149">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（2）研习生需虚心向原班主任学习，听取原班主任对个人成长经历经验、研习班级基本情况、学生思想和学习情况的介绍。</w:t>
            </w:r>
          </w:p>
          <w:p w14:paraId="40A3A12E">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（3）研习生在研习期间需参加至少2次主题班会，1个班级管理案例或少先队（班队）工作案例分析，了解主题班会的策划、组织和管理。</w:t>
            </w:r>
          </w:p>
          <w:p w14:paraId="606B3C5F">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（4）研习生需每天深入班级，了解原班主任如何开展日常管理工作，如何处理班级发生的突发事件，维护班级正常的教学秩序。</w:t>
            </w:r>
          </w:p>
          <w:p w14:paraId="0CF8007A">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（5）研习生在需要的时候应协助原班主任做好班主任日常管理工作。</w:t>
            </w:r>
          </w:p>
          <w:p w14:paraId="2136F461">
            <w:pPr>
              <w:spacing w:line="269" w:lineRule="auto"/>
              <w:jc w:val="left"/>
              <w:rPr>
                <w:rFonts w:hint="eastAsia" w:ascii="宋体" w:hAnsi="宋体" w:eastAsia="宋体" w:cs="Times New Roman"/>
                <w:color w:val="000000"/>
                <w:kern w:val="0"/>
                <w:sz w:val="20"/>
                <w:szCs w:val="21"/>
              </w:rPr>
            </w:pPr>
          </w:p>
        </w:tc>
        <w:tc>
          <w:tcPr>
            <w:tcW w:w="1998" w:type="dxa"/>
            <w:vAlign w:val="center"/>
          </w:tcPr>
          <w:p w14:paraId="5449FF95">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（1）能够通过优秀班主任成长经历获得具有启发性的思考，对班主任成长过程和成长规律具有一定的理性认识。</w:t>
            </w:r>
          </w:p>
          <w:p w14:paraId="35DEE8DF">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（2）学会通过多种方法对班主任日常管理工作成效、主题班会成效进行评估，能够反思日常管理工作和主题班会中的问题并提出改进措施。</w:t>
            </w:r>
          </w:p>
          <w:p w14:paraId="43988283">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（3）掌握班主任工作的一般规律和方法，初步具备班级管理能力。</w:t>
            </w:r>
          </w:p>
          <w:p w14:paraId="4CD3AAB7">
            <w:pPr>
              <w:rPr>
                <w:rFonts w:ascii="Times New Roman" w:hAnsi="Times New Roman" w:eastAsia="宋体" w:cs="Times New Roman"/>
                <w:kern w:val="0"/>
                <w:sz w:val="20"/>
                <w:szCs w:val="20"/>
              </w:rPr>
            </w:pPr>
          </w:p>
        </w:tc>
      </w:tr>
      <w:tr w14:paraId="0818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EBD0FE0">
            <w:pPr>
              <w:spacing w:line="264" w:lineRule="auto"/>
              <w:jc w:val="center"/>
              <w:rPr>
                <w:rFonts w:hint="eastAsia" w:ascii="宋体" w:hAnsi="宋体" w:eastAsia="宋体" w:cs="Times New Roman"/>
                <w:color w:val="000000"/>
                <w:kern w:val="0"/>
                <w:sz w:val="20"/>
                <w:szCs w:val="21"/>
              </w:rPr>
            </w:pPr>
          </w:p>
        </w:tc>
        <w:tc>
          <w:tcPr>
            <w:tcW w:w="8093" w:type="dxa"/>
            <w:gridSpan w:val="4"/>
            <w:vAlign w:val="center"/>
          </w:tcPr>
          <w:p w14:paraId="1616E9E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在教育实践中，坚持科学正确的教育观、学生观，充分尊重学生心理规律，实事求是，将理论知识与实践知识相结合，增进对专业的认知与认同。把立德树人作为教育使命，主动研究教育教学问题。</w:t>
            </w:r>
          </w:p>
        </w:tc>
      </w:tr>
      <w:tr w14:paraId="012D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0C92801">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3.教育教学调研</w:t>
            </w:r>
          </w:p>
        </w:tc>
        <w:tc>
          <w:tcPr>
            <w:tcW w:w="1701" w:type="dxa"/>
            <w:vAlign w:val="center"/>
          </w:tcPr>
          <w:p w14:paraId="60106A4E">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选其一</w:t>
            </w:r>
          </w:p>
          <w:p w14:paraId="70CB182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（1）小学教育教学改革情况</w:t>
            </w:r>
          </w:p>
          <w:p w14:paraId="3A6AD75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（2）小学生素质教育实施情况。</w:t>
            </w:r>
          </w:p>
          <w:p w14:paraId="2FD383DD">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（3）小学生思想、心理问题、行为问题等</w:t>
            </w:r>
          </w:p>
          <w:p w14:paraId="607680A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（3）小学教师队伍建设、专业发展、教学方法、设计等状况。</w:t>
            </w:r>
          </w:p>
          <w:p w14:paraId="3D32C942">
            <w:pPr>
              <w:spacing w:line="269" w:lineRule="auto"/>
              <w:jc w:val="left"/>
              <w:rPr>
                <w:rFonts w:hint="eastAsia" w:ascii="宋体" w:hAnsi="宋体" w:eastAsia="宋体" w:cs="Times New Roman"/>
                <w:color w:val="000000"/>
                <w:kern w:val="0"/>
                <w:sz w:val="20"/>
                <w:szCs w:val="21"/>
              </w:rPr>
            </w:pPr>
          </w:p>
        </w:tc>
        <w:tc>
          <w:tcPr>
            <w:tcW w:w="1134" w:type="dxa"/>
            <w:vAlign w:val="center"/>
          </w:tcPr>
          <w:p w14:paraId="605FB819">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5326901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（1）根据任务点选择其中一个主题撰写调查报告</w:t>
            </w:r>
          </w:p>
          <w:p w14:paraId="0972A99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（2）研习生认真设计问卷调查或访谈提纲。分组讨论问卷和访谈应包括那哪些内容和相关指标</w:t>
            </w:r>
          </w:p>
          <w:p w14:paraId="0EE184B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（3）研习生需要使用信息技术工具对调查数据进行整理分析，得出相关结论，并撰写调查报告。</w:t>
            </w:r>
          </w:p>
          <w:p w14:paraId="7CAC248F">
            <w:pPr>
              <w:spacing w:line="269" w:lineRule="auto"/>
              <w:jc w:val="left"/>
              <w:rPr>
                <w:rFonts w:hint="eastAsia" w:ascii="宋体" w:hAnsi="宋体" w:eastAsia="宋体" w:cs="Times New Roman"/>
                <w:color w:val="000000"/>
                <w:kern w:val="0"/>
                <w:sz w:val="20"/>
                <w:szCs w:val="21"/>
              </w:rPr>
            </w:pPr>
          </w:p>
          <w:p w14:paraId="73036CDE">
            <w:pPr>
              <w:spacing w:line="269" w:lineRule="auto"/>
              <w:jc w:val="left"/>
              <w:rPr>
                <w:rFonts w:hint="eastAsia" w:ascii="宋体" w:hAnsi="宋体" w:eastAsia="宋体" w:cs="Times New Roman"/>
                <w:color w:val="000000"/>
                <w:kern w:val="0"/>
                <w:sz w:val="20"/>
                <w:szCs w:val="21"/>
              </w:rPr>
            </w:pPr>
          </w:p>
        </w:tc>
        <w:tc>
          <w:tcPr>
            <w:tcW w:w="1998" w:type="dxa"/>
            <w:vAlign w:val="center"/>
          </w:tcPr>
          <w:p w14:paraId="657488A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（1）学会在教育教学实践中发现有价值的问题，具有问题意思和反思精神。</w:t>
            </w:r>
          </w:p>
          <w:p w14:paraId="42AAEF7E">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（2）学会调查问卷、制作访谈，能够通过多种方法对相关问题进行调查，学会撰写调研报告。</w:t>
            </w:r>
          </w:p>
          <w:p w14:paraId="32B28E8A">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（3）学会与他人有效合作，共同展开教学研讨活动。</w:t>
            </w:r>
          </w:p>
          <w:p w14:paraId="07130ED7">
            <w:pPr>
              <w:spacing w:line="269" w:lineRule="auto"/>
              <w:jc w:val="center"/>
              <w:rPr>
                <w:rFonts w:hint="eastAsia" w:ascii="宋体" w:hAnsi="宋体" w:eastAsia="宋体" w:cs="Times New Roman"/>
                <w:color w:val="000000"/>
                <w:kern w:val="0"/>
                <w:sz w:val="20"/>
                <w:szCs w:val="21"/>
              </w:rPr>
            </w:pPr>
          </w:p>
        </w:tc>
      </w:tr>
      <w:tr w14:paraId="70B5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72F5C77">
            <w:pPr>
              <w:spacing w:line="264" w:lineRule="auto"/>
              <w:jc w:val="center"/>
              <w:rPr>
                <w:rFonts w:hint="eastAsia" w:ascii="宋体" w:hAnsi="宋体" w:eastAsia="宋体" w:cs="Times New Roman"/>
                <w:color w:val="000000"/>
                <w:kern w:val="0"/>
                <w:sz w:val="20"/>
                <w:szCs w:val="21"/>
              </w:rPr>
            </w:pPr>
          </w:p>
        </w:tc>
        <w:tc>
          <w:tcPr>
            <w:tcW w:w="8093" w:type="dxa"/>
            <w:gridSpan w:val="4"/>
            <w:vAlign w:val="center"/>
          </w:tcPr>
          <w:p w14:paraId="2EFB108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了解学生、教学等问题，促进学生在知识、技能与思想政治素养方面的协同发展，培养德智体美劳全面发展的社会主义建设者和接班人。</w:t>
            </w:r>
          </w:p>
        </w:tc>
      </w:tr>
      <w:tr w14:paraId="0A3D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D5691A2">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4.教育与人的发展</w:t>
            </w:r>
          </w:p>
        </w:tc>
        <w:tc>
          <w:tcPr>
            <w:tcW w:w="1701" w:type="dxa"/>
            <w:vAlign w:val="center"/>
          </w:tcPr>
          <w:p w14:paraId="2D1DEFB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（1）研习经验交流、成果展览；</w:t>
            </w:r>
          </w:p>
          <w:p w14:paraId="7081D655">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 xml:space="preserve">（2）召开专业教育实习交流会 </w:t>
            </w:r>
          </w:p>
        </w:tc>
        <w:tc>
          <w:tcPr>
            <w:tcW w:w="1134" w:type="dxa"/>
            <w:vAlign w:val="center"/>
          </w:tcPr>
          <w:p w14:paraId="40086414">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1CF42E02">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（1）以班级为单位，对研习总结、评课记录、教学后记、教学案例进行研习。</w:t>
            </w:r>
          </w:p>
          <w:p w14:paraId="5E95B4ED">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（2）进行教育研习总结，提交图文并茂PPT一份。</w:t>
            </w:r>
          </w:p>
        </w:tc>
        <w:tc>
          <w:tcPr>
            <w:tcW w:w="1998" w:type="dxa"/>
            <w:vAlign w:val="center"/>
          </w:tcPr>
          <w:p w14:paraId="304ADCC3">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（1）学会用反思和批判思维总结教育研习收获与成果。</w:t>
            </w:r>
          </w:p>
          <w:p w14:paraId="4303F790">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（2）掌握与他人交流和合作的技巧和能力。</w:t>
            </w:r>
          </w:p>
        </w:tc>
      </w:tr>
      <w:tr w14:paraId="791F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4AEADE0">
            <w:pPr>
              <w:spacing w:line="276" w:lineRule="auto"/>
              <w:jc w:val="center"/>
              <w:rPr>
                <w:rFonts w:hint="eastAsia" w:ascii="宋体" w:hAnsi="宋体" w:eastAsia="宋体" w:cs="Times New Roman"/>
                <w:color w:val="000000"/>
                <w:kern w:val="0"/>
                <w:sz w:val="20"/>
                <w:szCs w:val="21"/>
              </w:rPr>
            </w:pPr>
          </w:p>
        </w:tc>
        <w:tc>
          <w:tcPr>
            <w:tcW w:w="8093" w:type="dxa"/>
            <w:gridSpan w:val="4"/>
            <w:vAlign w:val="center"/>
          </w:tcPr>
          <w:p w14:paraId="1C5161BD">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理解培养全面发展的人这一教育理念，认识教育管理、班队活动的育人价值，提高教育修养，增强在教育过程中挖掘各个因素进行教育的意识和能力。</w:t>
            </w:r>
          </w:p>
        </w:tc>
      </w:tr>
    </w:tbl>
    <w:p w14:paraId="4167AFFB">
      <w:pPr>
        <w:spacing w:line="360" w:lineRule="auto"/>
        <w:jc w:val="left"/>
        <w:rPr>
          <w:rFonts w:ascii="Times New Roman" w:hAnsi="Times New Roman" w:eastAsia="宋体" w:cs="Times New Roman"/>
          <w:sz w:val="24"/>
        </w:rPr>
      </w:pPr>
    </w:p>
    <w:p w14:paraId="41D6F8A4">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6F0D77DA">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2BBE2F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CFE6EC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251"/>
        <w:gridCol w:w="1276"/>
        <w:gridCol w:w="1559"/>
        <w:gridCol w:w="1134"/>
        <w:gridCol w:w="1134"/>
        <w:gridCol w:w="788"/>
      </w:tblGrid>
      <w:tr w14:paraId="1964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restart"/>
            <w:vAlign w:val="center"/>
          </w:tcPr>
          <w:p w14:paraId="37EB99F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354" w:type="dxa"/>
            <w:gridSpan w:val="5"/>
            <w:vAlign w:val="center"/>
          </w:tcPr>
          <w:p w14:paraId="647D4C0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788" w:type="dxa"/>
            <w:vMerge w:val="restart"/>
            <w:vAlign w:val="center"/>
          </w:tcPr>
          <w:p w14:paraId="35DA791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1511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vAlign w:val="center"/>
          </w:tcPr>
          <w:p w14:paraId="37A9FB61">
            <w:pPr>
              <w:spacing w:line="360" w:lineRule="auto"/>
              <w:jc w:val="center"/>
              <w:rPr>
                <w:rFonts w:hint="eastAsia" w:ascii="宋体" w:hAnsi="宋体" w:eastAsia="宋体" w:cs="Times New Roman"/>
                <w:kern w:val="0"/>
                <w:sz w:val="20"/>
                <w:szCs w:val="21"/>
              </w:rPr>
            </w:pPr>
          </w:p>
        </w:tc>
        <w:tc>
          <w:tcPr>
            <w:tcW w:w="1251" w:type="dxa"/>
            <w:vAlign w:val="center"/>
          </w:tcPr>
          <w:p w14:paraId="0F1D7E6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平时成绩</w:t>
            </w:r>
          </w:p>
        </w:tc>
        <w:tc>
          <w:tcPr>
            <w:tcW w:w="1276" w:type="dxa"/>
            <w:vAlign w:val="center"/>
          </w:tcPr>
          <w:p w14:paraId="7985DCF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调查报告</w:t>
            </w:r>
          </w:p>
        </w:tc>
        <w:tc>
          <w:tcPr>
            <w:tcW w:w="1559" w:type="dxa"/>
            <w:vAlign w:val="center"/>
          </w:tcPr>
          <w:p w14:paraId="1F7A395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w:t>
            </w:r>
          </w:p>
        </w:tc>
        <w:tc>
          <w:tcPr>
            <w:tcW w:w="1134" w:type="dxa"/>
            <w:vAlign w:val="center"/>
          </w:tcPr>
          <w:p w14:paraId="2EF650D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w:t>
            </w:r>
          </w:p>
        </w:tc>
        <w:tc>
          <w:tcPr>
            <w:tcW w:w="1134" w:type="dxa"/>
            <w:vAlign w:val="center"/>
          </w:tcPr>
          <w:p w14:paraId="3A871AB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研习态度</w:t>
            </w:r>
          </w:p>
        </w:tc>
        <w:tc>
          <w:tcPr>
            <w:tcW w:w="788" w:type="dxa"/>
            <w:vMerge w:val="continue"/>
            <w:vAlign w:val="center"/>
          </w:tcPr>
          <w:p w14:paraId="6C18F8E8">
            <w:pPr>
              <w:spacing w:line="360" w:lineRule="auto"/>
              <w:jc w:val="center"/>
              <w:rPr>
                <w:rFonts w:hint="eastAsia" w:ascii="宋体" w:hAnsi="宋体" w:eastAsia="宋体" w:cs="Times New Roman"/>
                <w:kern w:val="0"/>
                <w:sz w:val="20"/>
                <w:szCs w:val="21"/>
              </w:rPr>
            </w:pPr>
          </w:p>
        </w:tc>
      </w:tr>
      <w:tr w14:paraId="3B07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65985D0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251" w:type="dxa"/>
            <w:vAlign w:val="center"/>
          </w:tcPr>
          <w:p w14:paraId="2134F3F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0780F7B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559" w:type="dxa"/>
            <w:vAlign w:val="center"/>
          </w:tcPr>
          <w:p w14:paraId="79AC1A4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5A78AD65">
            <w:pPr>
              <w:spacing w:line="360" w:lineRule="auto"/>
              <w:jc w:val="center"/>
              <w:rPr>
                <w:rFonts w:hint="eastAsia" w:ascii="宋体" w:hAnsi="宋体" w:eastAsia="宋体" w:cs="Times New Roman"/>
                <w:kern w:val="0"/>
                <w:sz w:val="20"/>
                <w:szCs w:val="21"/>
              </w:rPr>
            </w:pPr>
          </w:p>
        </w:tc>
        <w:tc>
          <w:tcPr>
            <w:tcW w:w="1134" w:type="dxa"/>
            <w:vAlign w:val="center"/>
          </w:tcPr>
          <w:p w14:paraId="62A0DDE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506E859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2FC6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3A9EBDF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251" w:type="dxa"/>
            <w:vAlign w:val="center"/>
          </w:tcPr>
          <w:p w14:paraId="76EA940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203EC96F">
            <w:pPr>
              <w:spacing w:line="360" w:lineRule="auto"/>
              <w:jc w:val="center"/>
              <w:rPr>
                <w:rFonts w:hint="eastAsia" w:ascii="宋体" w:hAnsi="宋体" w:eastAsia="宋体" w:cs="Times New Roman"/>
                <w:kern w:val="0"/>
                <w:sz w:val="20"/>
                <w:szCs w:val="21"/>
              </w:rPr>
            </w:pPr>
          </w:p>
        </w:tc>
        <w:tc>
          <w:tcPr>
            <w:tcW w:w="1559" w:type="dxa"/>
            <w:vAlign w:val="center"/>
          </w:tcPr>
          <w:p w14:paraId="23C273FA">
            <w:pPr>
              <w:spacing w:line="360" w:lineRule="auto"/>
              <w:jc w:val="center"/>
              <w:rPr>
                <w:rFonts w:hint="eastAsia" w:ascii="宋体" w:hAnsi="宋体" w:eastAsia="宋体" w:cs="Times New Roman"/>
                <w:kern w:val="0"/>
                <w:sz w:val="20"/>
                <w:szCs w:val="21"/>
              </w:rPr>
            </w:pPr>
          </w:p>
        </w:tc>
        <w:tc>
          <w:tcPr>
            <w:tcW w:w="1134" w:type="dxa"/>
            <w:vAlign w:val="center"/>
          </w:tcPr>
          <w:p w14:paraId="75E810B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62D52C1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27096DCF">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03F9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6BCCCB3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251" w:type="dxa"/>
            <w:vAlign w:val="center"/>
          </w:tcPr>
          <w:p w14:paraId="2A9DFA5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099AB0E8">
            <w:pPr>
              <w:spacing w:line="360" w:lineRule="auto"/>
              <w:jc w:val="center"/>
              <w:rPr>
                <w:rFonts w:hint="eastAsia" w:ascii="宋体" w:hAnsi="宋体" w:eastAsia="宋体" w:cs="Times New Roman"/>
                <w:kern w:val="0"/>
                <w:sz w:val="20"/>
                <w:szCs w:val="21"/>
              </w:rPr>
            </w:pPr>
          </w:p>
        </w:tc>
        <w:tc>
          <w:tcPr>
            <w:tcW w:w="1559" w:type="dxa"/>
            <w:vAlign w:val="center"/>
          </w:tcPr>
          <w:p w14:paraId="0E81761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179B5673">
            <w:pPr>
              <w:spacing w:line="360" w:lineRule="auto"/>
              <w:jc w:val="center"/>
              <w:rPr>
                <w:rFonts w:hint="eastAsia" w:ascii="宋体" w:hAnsi="宋体" w:eastAsia="宋体" w:cs="Times New Roman"/>
                <w:kern w:val="0"/>
                <w:sz w:val="20"/>
                <w:szCs w:val="21"/>
              </w:rPr>
            </w:pPr>
          </w:p>
        </w:tc>
        <w:tc>
          <w:tcPr>
            <w:tcW w:w="1134" w:type="dxa"/>
            <w:vAlign w:val="center"/>
          </w:tcPr>
          <w:p w14:paraId="3D503F5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4A99A91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4F48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1F8366B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251" w:type="dxa"/>
            <w:vAlign w:val="center"/>
          </w:tcPr>
          <w:p w14:paraId="0F0927B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6D4492A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559" w:type="dxa"/>
            <w:vAlign w:val="center"/>
          </w:tcPr>
          <w:p w14:paraId="7ABA28D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52BCBD5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2DB9276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332937A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5A6C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26EEED2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251" w:type="dxa"/>
            <w:vAlign w:val="center"/>
          </w:tcPr>
          <w:p w14:paraId="370C9CDA">
            <w:pPr>
              <w:spacing w:line="360" w:lineRule="auto"/>
              <w:jc w:val="center"/>
              <w:rPr>
                <w:rFonts w:hint="eastAsia" w:ascii="宋体" w:hAnsi="宋体" w:eastAsia="宋体" w:cs="Times New Roman"/>
                <w:kern w:val="0"/>
                <w:sz w:val="20"/>
                <w:szCs w:val="21"/>
              </w:rPr>
            </w:pPr>
          </w:p>
        </w:tc>
        <w:tc>
          <w:tcPr>
            <w:tcW w:w="1276" w:type="dxa"/>
            <w:vAlign w:val="center"/>
          </w:tcPr>
          <w:p w14:paraId="79EA2D0F">
            <w:pPr>
              <w:spacing w:line="360" w:lineRule="auto"/>
              <w:jc w:val="center"/>
              <w:rPr>
                <w:rFonts w:hint="eastAsia" w:ascii="宋体" w:hAnsi="宋体" w:eastAsia="宋体" w:cs="Times New Roman"/>
                <w:kern w:val="0"/>
                <w:sz w:val="20"/>
                <w:szCs w:val="21"/>
              </w:rPr>
            </w:pPr>
          </w:p>
        </w:tc>
        <w:tc>
          <w:tcPr>
            <w:tcW w:w="1559" w:type="dxa"/>
            <w:vAlign w:val="center"/>
          </w:tcPr>
          <w:p w14:paraId="27CF9ECC">
            <w:pPr>
              <w:spacing w:line="360" w:lineRule="auto"/>
              <w:jc w:val="center"/>
              <w:rPr>
                <w:rFonts w:hint="eastAsia" w:ascii="宋体" w:hAnsi="宋体" w:eastAsia="宋体" w:cs="Times New Roman"/>
                <w:kern w:val="0"/>
                <w:sz w:val="20"/>
                <w:szCs w:val="21"/>
              </w:rPr>
            </w:pPr>
          </w:p>
        </w:tc>
        <w:tc>
          <w:tcPr>
            <w:tcW w:w="1134" w:type="dxa"/>
            <w:vAlign w:val="center"/>
          </w:tcPr>
          <w:p w14:paraId="630BC5CF">
            <w:pPr>
              <w:spacing w:line="360" w:lineRule="auto"/>
              <w:jc w:val="center"/>
              <w:rPr>
                <w:rFonts w:hint="eastAsia" w:ascii="宋体" w:hAnsi="宋体" w:eastAsia="宋体" w:cs="Times New Roman"/>
                <w:kern w:val="0"/>
                <w:sz w:val="20"/>
                <w:szCs w:val="21"/>
              </w:rPr>
            </w:pPr>
          </w:p>
        </w:tc>
        <w:tc>
          <w:tcPr>
            <w:tcW w:w="1134" w:type="dxa"/>
            <w:vAlign w:val="center"/>
          </w:tcPr>
          <w:p w14:paraId="55B07DE6">
            <w:pPr>
              <w:spacing w:line="360" w:lineRule="auto"/>
              <w:jc w:val="center"/>
              <w:rPr>
                <w:rFonts w:hint="eastAsia" w:ascii="宋体" w:hAnsi="宋体" w:eastAsia="宋体" w:cs="Times New Roman"/>
                <w:kern w:val="0"/>
                <w:sz w:val="20"/>
                <w:szCs w:val="21"/>
              </w:rPr>
            </w:pPr>
          </w:p>
        </w:tc>
        <w:tc>
          <w:tcPr>
            <w:tcW w:w="788" w:type="dxa"/>
            <w:vAlign w:val="center"/>
          </w:tcPr>
          <w:p w14:paraId="6EDAC96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0C8B3176">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2F52FD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33A33BD">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 本课程设计成绩分优、良、中、及格和不及格五个档次。</w:t>
      </w:r>
    </w:p>
    <w:p w14:paraId="0ADF963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 xml:space="preserve">. </w:t>
      </w:r>
      <w:r>
        <w:rPr>
          <w:rFonts w:hint="eastAsia" w:ascii="Times New Roman" w:hAnsi="Times New Roman" w:eastAsia="宋体" w:cs="Times New Roman"/>
          <w:szCs w:val="21"/>
        </w:rPr>
        <w:t>课程设计考核方式：采用研习平时表现、研习报告、教学工作研习、班主任工作研习、教育研习态度五个部分组成。</w:t>
      </w:r>
    </w:p>
    <w:p w14:paraId="3E9219B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其中，</w:t>
      </w:r>
      <w:r>
        <w:rPr>
          <w:rFonts w:ascii="Times New Roman" w:hAnsi="Times New Roman" w:eastAsia="宋体" w:cs="Times New Roman"/>
          <w:szCs w:val="21"/>
        </w:rPr>
        <w:t>平时</w:t>
      </w:r>
      <w:r>
        <w:rPr>
          <w:rFonts w:hint="eastAsia" w:ascii="Times New Roman" w:hAnsi="Times New Roman" w:eastAsia="宋体" w:cs="Times New Roman"/>
          <w:szCs w:val="21"/>
        </w:rPr>
        <w:t>表现的</w:t>
      </w:r>
      <w:r>
        <w:rPr>
          <w:rFonts w:ascii="Times New Roman" w:hAnsi="Times New Roman" w:eastAsia="宋体" w:cs="Times New Roman"/>
          <w:szCs w:val="21"/>
        </w:rPr>
        <w:t>成绩由我校</w:t>
      </w:r>
      <w:r>
        <w:rPr>
          <w:rFonts w:hint="eastAsia" w:ascii="Times New Roman" w:hAnsi="Times New Roman" w:eastAsia="宋体" w:cs="Times New Roman"/>
          <w:szCs w:val="21"/>
        </w:rPr>
        <w:t>学业导师综合研习</w:t>
      </w:r>
      <w:r>
        <w:rPr>
          <w:rFonts w:ascii="Times New Roman" w:hAnsi="Times New Roman" w:eastAsia="宋体" w:cs="Times New Roman"/>
          <w:szCs w:val="21"/>
        </w:rPr>
        <w:t>手册</w:t>
      </w:r>
      <w:r>
        <w:rPr>
          <w:rFonts w:hint="eastAsia" w:ascii="Times New Roman" w:hAnsi="Times New Roman" w:eastAsia="宋体" w:cs="Times New Roman"/>
          <w:szCs w:val="21"/>
        </w:rPr>
        <w:t>完成情况、实践导师反馈情况和日常巡视情况</w:t>
      </w:r>
      <w:r>
        <w:rPr>
          <w:rFonts w:ascii="Times New Roman" w:hAnsi="Times New Roman" w:eastAsia="宋体" w:cs="Times New Roman"/>
          <w:szCs w:val="21"/>
        </w:rPr>
        <w:t>进行考核</w:t>
      </w:r>
      <w:r>
        <w:rPr>
          <w:rFonts w:hint="eastAsia" w:ascii="Times New Roman" w:hAnsi="Times New Roman" w:eastAsia="宋体" w:cs="Times New Roman"/>
          <w:szCs w:val="21"/>
        </w:rPr>
        <w:t>评估，满分</w:t>
      </w:r>
      <w:r>
        <w:rPr>
          <w:rFonts w:ascii="Times New Roman" w:hAnsi="Times New Roman" w:eastAsia="宋体" w:cs="Times New Roman"/>
          <w:szCs w:val="21"/>
        </w:rPr>
        <w:t>100</w:t>
      </w:r>
      <w:r>
        <w:rPr>
          <w:rFonts w:hint="eastAsia" w:ascii="Times New Roman" w:hAnsi="Times New Roman" w:eastAsia="宋体" w:cs="Times New Roman"/>
          <w:szCs w:val="21"/>
        </w:rPr>
        <w:t>分；</w:t>
      </w:r>
    </w:p>
    <w:p w14:paraId="05F2412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调查报告、教学工作研习、班主任工作研习、教育研习态度合计满分1</w:t>
      </w:r>
      <w:r>
        <w:rPr>
          <w:rFonts w:ascii="Times New Roman" w:hAnsi="Times New Roman" w:eastAsia="宋体" w:cs="Times New Roman"/>
          <w:szCs w:val="21"/>
        </w:rPr>
        <w:t>00</w:t>
      </w:r>
      <w:r>
        <w:rPr>
          <w:rFonts w:hint="eastAsia" w:ascii="Times New Roman" w:hAnsi="Times New Roman" w:eastAsia="宋体" w:cs="Times New Roman"/>
          <w:szCs w:val="21"/>
        </w:rPr>
        <w:t>分，调查报告成绩占比1</w:t>
      </w:r>
      <w:r>
        <w:rPr>
          <w:rFonts w:ascii="Times New Roman" w:hAnsi="Times New Roman" w:eastAsia="宋体" w:cs="Times New Roman"/>
          <w:szCs w:val="21"/>
        </w:rPr>
        <w:t>0%</w:t>
      </w:r>
      <w:r>
        <w:rPr>
          <w:rFonts w:hint="eastAsia" w:ascii="Times New Roman" w:hAnsi="Times New Roman" w:eastAsia="宋体" w:cs="Times New Roman"/>
          <w:szCs w:val="21"/>
        </w:rPr>
        <w:t>、</w:t>
      </w:r>
      <w:r>
        <w:rPr>
          <w:rFonts w:ascii="Times New Roman" w:hAnsi="Times New Roman" w:eastAsia="宋体" w:cs="Times New Roman"/>
          <w:szCs w:val="21"/>
        </w:rPr>
        <w:t>教学工作</w:t>
      </w:r>
      <w:r>
        <w:rPr>
          <w:rFonts w:hint="eastAsia" w:ascii="Times New Roman" w:hAnsi="Times New Roman" w:eastAsia="宋体" w:cs="Times New Roman"/>
          <w:szCs w:val="21"/>
        </w:rPr>
        <w:t>成绩占比3</w:t>
      </w:r>
      <w:r>
        <w:rPr>
          <w:rFonts w:ascii="Times New Roman" w:hAnsi="Times New Roman" w:eastAsia="宋体" w:cs="Times New Roman"/>
          <w:szCs w:val="21"/>
        </w:rPr>
        <w:t>0%</w:t>
      </w:r>
      <w:r>
        <w:rPr>
          <w:rFonts w:hint="eastAsia" w:ascii="Times New Roman" w:hAnsi="Times New Roman" w:eastAsia="宋体" w:cs="Times New Roman"/>
          <w:szCs w:val="21"/>
        </w:rPr>
        <w:t>，</w:t>
      </w:r>
      <w:r>
        <w:rPr>
          <w:rFonts w:ascii="Times New Roman" w:hAnsi="Times New Roman" w:eastAsia="宋体" w:cs="Times New Roman"/>
          <w:szCs w:val="21"/>
        </w:rPr>
        <w:t>班主任工作</w:t>
      </w:r>
      <w:r>
        <w:rPr>
          <w:rFonts w:hint="eastAsia" w:ascii="Times New Roman" w:hAnsi="Times New Roman" w:eastAsia="宋体" w:cs="Times New Roman"/>
          <w:szCs w:val="21"/>
        </w:rPr>
        <w:t>成绩占比3</w:t>
      </w:r>
      <w:r>
        <w:rPr>
          <w:rFonts w:ascii="Times New Roman" w:hAnsi="Times New Roman" w:eastAsia="宋体" w:cs="Times New Roman"/>
          <w:szCs w:val="21"/>
        </w:rPr>
        <w:t>0%</w:t>
      </w:r>
      <w:r>
        <w:rPr>
          <w:rFonts w:hint="eastAsia" w:ascii="Times New Roman" w:hAnsi="Times New Roman" w:eastAsia="宋体" w:cs="Times New Roman"/>
          <w:szCs w:val="21"/>
        </w:rPr>
        <w:t>，教育研习态度占比3</w:t>
      </w:r>
      <w:r>
        <w:rPr>
          <w:rFonts w:ascii="Times New Roman" w:hAnsi="Times New Roman" w:eastAsia="宋体" w:cs="Times New Roman"/>
          <w:szCs w:val="21"/>
        </w:rPr>
        <w:t>0%</w:t>
      </w:r>
      <w:r>
        <w:rPr>
          <w:rFonts w:hint="eastAsia" w:ascii="Times New Roman" w:hAnsi="Times New Roman" w:eastAsia="宋体" w:cs="Times New Roman"/>
          <w:szCs w:val="21"/>
        </w:rPr>
        <w:t>。</w:t>
      </w:r>
    </w:p>
    <w:p w14:paraId="39B93DD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课程总评成绩=平时成绩</w:t>
      </w:r>
      <w:r>
        <w:rPr>
          <w:rFonts w:ascii="Times New Roman" w:hAnsi="Times New Roman" w:eastAsia="宋体" w:cs="Times New Roman"/>
          <w:szCs w:val="21"/>
        </w:rPr>
        <w:t>30%+</w:t>
      </w:r>
      <w:r>
        <w:rPr>
          <w:rFonts w:hint="eastAsia" w:ascii="Times New Roman" w:hAnsi="Times New Roman" w:eastAsia="宋体" w:cs="Times New Roman"/>
          <w:szCs w:val="21"/>
        </w:rPr>
        <w:t>（报告+教学工作+班主任工作+研习态度）</w:t>
      </w:r>
      <w:r>
        <w:rPr>
          <w:rFonts w:ascii="Times New Roman" w:hAnsi="Times New Roman" w:eastAsia="宋体" w:cs="Times New Roman"/>
          <w:szCs w:val="21"/>
        </w:rPr>
        <w:t>70%</w:t>
      </w:r>
    </w:p>
    <w:p w14:paraId="128568EC">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具体</w:t>
      </w:r>
      <w:r>
        <w:rPr>
          <w:rFonts w:hint="eastAsia" w:ascii="Times New Roman" w:hAnsi="Times New Roman" w:eastAsia="宋体" w:cs="Times New Roman"/>
          <w:sz w:val="24"/>
        </w:rPr>
        <w:t>考核</w:t>
      </w:r>
      <w:r>
        <w:rPr>
          <w:rFonts w:ascii="Times New Roman" w:hAnsi="Times New Roman" w:eastAsia="宋体" w:cs="Times New Roman"/>
          <w:sz w:val="24"/>
        </w:rPr>
        <w:t>内容和比例</w:t>
      </w:r>
      <w:r>
        <w:rPr>
          <w:rFonts w:hint="eastAsia" w:ascii="Times New Roman" w:hAnsi="Times New Roman" w:eastAsia="宋体" w:cs="Times New Roman"/>
          <w:sz w:val="24"/>
        </w:rPr>
        <w:t>如表所示。</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2768"/>
        <w:gridCol w:w="3203"/>
        <w:gridCol w:w="810"/>
      </w:tblGrid>
      <w:tr w14:paraId="61B7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022" w:type="pct"/>
            <w:tcBorders>
              <w:top w:val="single" w:color="auto" w:sz="4" w:space="0"/>
              <w:left w:val="single" w:color="auto" w:sz="4" w:space="0"/>
              <w:bottom w:val="single" w:color="auto" w:sz="4" w:space="0"/>
              <w:right w:val="single" w:color="auto" w:sz="4" w:space="0"/>
            </w:tcBorders>
            <w:shd w:val="clear" w:color="auto" w:fill="FFFFFF"/>
            <w:vAlign w:val="center"/>
          </w:tcPr>
          <w:p w14:paraId="2316F21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1624" w:type="pct"/>
            <w:tcBorders>
              <w:top w:val="single" w:color="auto" w:sz="4" w:space="0"/>
              <w:left w:val="single" w:color="auto" w:sz="4" w:space="0"/>
              <w:bottom w:val="single" w:color="auto" w:sz="4" w:space="0"/>
              <w:right w:val="single" w:color="auto" w:sz="4" w:space="0"/>
            </w:tcBorders>
            <w:shd w:val="clear" w:color="auto" w:fill="FFFFFF"/>
            <w:vAlign w:val="center"/>
          </w:tcPr>
          <w:p w14:paraId="4252135A">
            <w:pPr>
              <w:jc w:val="center"/>
              <w:rPr>
                <w:rFonts w:ascii="Times New Roman" w:hAnsi="Times New Roman" w:eastAsia="宋体" w:cs="Times New Roman"/>
                <w:b/>
                <w:bCs/>
                <w:szCs w:val="21"/>
              </w:rPr>
            </w:pPr>
            <w:r>
              <w:rPr>
                <w:rFonts w:ascii="Times New Roman" w:hAnsi="Times New Roman" w:eastAsia="宋体" w:cs="Times New Roman"/>
                <w:b/>
                <w:bCs/>
                <w:szCs w:val="21"/>
              </w:rPr>
              <w:t>考核/评价环节</w:t>
            </w:r>
          </w:p>
        </w:tc>
        <w:tc>
          <w:tcPr>
            <w:tcW w:w="1879" w:type="pct"/>
            <w:tcBorders>
              <w:top w:val="single" w:color="auto" w:sz="4" w:space="0"/>
              <w:left w:val="single" w:color="auto" w:sz="4" w:space="0"/>
              <w:bottom w:val="single" w:color="auto" w:sz="4" w:space="0"/>
              <w:right w:val="single" w:color="auto" w:sz="4" w:space="0"/>
            </w:tcBorders>
            <w:shd w:val="clear" w:color="auto" w:fill="FFFFFF"/>
            <w:vAlign w:val="center"/>
          </w:tcPr>
          <w:p w14:paraId="61BD49F8">
            <w:pPr>
              <w:jc w:val="center"/>
              <w:rPr>
                <w:rFonts w:ascii="Times New Roman" w:hAnsi="Times New Roman" w:eastAsia="宋体" w:cs="Times New Roman"/>
                <w:b/>
                <w:bCs/>
                <w:szCs w:val="21"/>
              </w:rPr>
            </w:pPr>
            <w:r>
              <w:rPr>
                <w:rFonts w:ascii="Times New Roman" w:hAnsi="Times New Roman" w:eastAsia="宋体" w:cs="Times New Roman"/>
                <w:b/>
                <w:bCs/>
                <w:szCs w:val="21"/>
              </w:rPr>
              <w:t>考核/评价细则</w:t>
            </w:r>
          </w:p>
        </w:tc>
        <w:tc>
          <w:tcPr>
            <w:tcW w:w="475" w:type="pct"/>
            <w:tcBorders>
              <w:top w:val="single" w:color="auto" w:sz="4" w:space="0"/>
              <w:left w:val="single" w:color="auto" w:sz="4" w:space="0"/>
              <w:bottom w:val="single" w:color="auto" w:sz="4" w:space="0"/>
              <w:right w:val="single" w:color="auto" w:sz="4" w:space="0"/>
            </w:tcBorders>
            <w:shd w:val="clear" w:color="auto" w:fill="FFFFFF"/>
            <w:vAlign w:val="center"/>
          </w:tcPr>
          <w:p w14:paraId="35CBACF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权重</w:t>
            </w:r>
          </w:p>
        </w:tc>
      </w:tr>
      <w:tr w14:paraId="261D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1022" w:type="pct"/>
            <w:tcBorders>
              <w:top w:val="single" w:color="auto" w:sz="4" w:space="0"/>
              <w:left w:val="single" w:color="auto" w:sz="4" w:space="0"/>
              <w:bottom w:val="single" w:color="auto" w:sz="4" w:space="0"/>
              <w:right w:val="single" w:color="auto" w:sz="4" w:space="0"/>
            </w:tcBorders>
            <w:vAlign w:val="center"/>
          </w:tcPr>
          <w:p w14:paraId="5E5978EF">
            <w:pPr>
              <w:rPr>
                <w:rFonts w:ascii="Times New Roman" w:hAnsi="Times New Roman" w:eastAsia="宋体" w:cs="Times New Roman"/>
                <w:szCs w:val="21"/>
              </w:rPr>
            </w:pPr>
            <w:r>
              <w:rPr>
                <w:rFonts w:ascii="Times New Roman" w:hAnsi="Times New Roman" w:eastAsia="宋体" w:cs="Times New Roman"/>
                <w:szCs w:val="21"/>
              </w:rPr>
              <w:t>平时成绩</w:t>
            </w:r>
          </w:p>
        </w:tc>
        <w:tc>
          <w:tcPr>
            <w:tcW w:w="1624" w:type="pct"/>
            <w:tcBorders>
              <w:top w:val="single" w:color="auto" w:sz="4" w:space="0"/>
              <w:left w:val="single" w:color="auto" w:sz="4" w:space="0"/>
              <w:bottom w:val="single" w:color="auto" w:sz="4" w:space="0"/>
              <w:right w:val="single" w:color="auto" w:sz="4" w:space="0"/>
            </w:tcBorders>
            <w:vAlign w:val="center"/>
          </w:tcPr>
          <w:p w14:paraId="298151CD">
            <w:pPr>
              <w:rPr>
                <w:rFonts w:ascii="Times New Roman" w:hAnsi="Times New Roman" w:eastAsia="宋体" w:cs="Times New Roman"/>
                <w:szCs w:val="21"/>
              </w:rPr>
            </w:pPr>
            <w:r>
              <w:rPr>
                <w:rFonts w:hint="eastAsia" w:ascii="Times New Roman" w:hAnsi="Times New Roman" w:eastAsia="宋体" w:cs="Times New Roman"/>
                <w:szCs w:val="21"/>
              </w:rPr>
              <w:t>学生出勤情况</w:t>
            </w:r>
            <w:r>
              <w:rPr>
                <w:rFonts w:ascii="Times New Roman" w:hAnsi="Times New Roman" w:eastAsia="宋体" w:cs="Times New Roman"/>
                <w:szCs w:val="21"/>
              </w:rPr>
              <w:t>，</w:t>
            </w:r>
            <w:r>
              <w:rPr>
                <w:rFonts w:hint="eastAsia" w:ascii="Times New Roman" w:hAnsi="Times New Roman" w:eastAsia="宋体" w:cs="Times New Roman"/>
                <w:szCs w:val="21"/>
              </w:rPr>
              <w:t>遵守规章制度情况，各类研习报告材料填写情况</w:t>
            </w:r>
          </w:p>
        </w:tc>
        <w:tc>
          <w:tcPr>
            <w:tcW w:w="1879" w:type="pct"/>
            <w:tcBorders>
              <w:top w:val="single" w:color="auto" w:sz="4" w:space="0"/>
              <w:left w:val="single" w:color="auto" w:sz="4" w:space="0"/>
              <w:bottom w:val="single" w:color="auto" w:sz="4" w:space="0"/>
              <w:right w:val="single" w:color="auto" w:sz="4" w:space="0"/>
            </w:tcBorders>
            <w:vAlign w:val="center"/>
          </w:tcPr>
          <w:p w14:paraId="612BEB4E">
            <w:pPr>
              <w:rPr>
                <w:rFonts w:ascii="Times New Roman" w:hAnsi="Times New Roman" w:eastAsia="宋体" w:cs="Times New Roman"/>
                <w:szCs w:val="21"/>
              </w:rPr>
            </w:pPr>
            <w:r>
              <w:rPr>
                <w:rFonts w:hint="eastAsia" w:ascii="Times New Roman" w:hAnsi="Times New Roman" w:eastAsia="宋体" w:cs="Times New Roman"/>
                <w:szCs w:val="21"/>
              </w:rPr>
              <w:t>按时</w:t>
            </w:r>
            <w:r>
              <w:rPr>
                <w:rFonts w:ascii="Times New Roman" w:hAnsi="Times New Roman" w:eastAsia="宋体" w:cs="Times New Roman"/>
                <w:szCs w:val="21"/>
              </w:rPr>
              <w:t>出勤</w:t>
            </w:r>
            <w:r>
              <w:rPr>
                <w:rFonts w:hint="eastAsia" w:ascii="Times New Roman" w:hAnsi="Times New Roman" w:eastAsia="宋体" w:cs="Times New Roman"/>
                <w:szCs w:val="21"/>
              </w:rPr>
              <w:t>，遵照研习学校安排开展研习，研习相关材料填写认真规范</w:t>
            </w:r>
            <w:r>
              <w:rPr>
                <w:rFonts w:ascii="Times New Roman" w:hAnsi="Times New Roman" w:eastAsia="宋体" w:cs="Times New Roman"/>
                <w:szCs w:val="21"/>
              </w:rPr>
              <w:t>。</w:t>
            </w:r>
          </w:p>
        </w:tc>
        <w:tc>
          <w:tcPr>
            <w:tcW w:w="475" w:type="pct"/>
            <w:tcBorders>
              <w:top w:val="single" w:color="auto" w:sz="4" w:space="0"/>
              <w:left w:val="single" w:color="auto" w:sz="4" w:space="0"/>
              <w:bottom w:val="single" w:color="auto" w:sz="4" w:space="0"/>
              <w:right w:val="single" w:color="auto" w:sz="4" w:space="0"/>
            </w:tcBorders>
            <w:vAlign w:val="center"/>
          </w:tcPr>
          <w:p w14:paraId="6CEEF443">
            <w:pPr>
              <w:jc w:val="center"/>
              <w:rPr>
                <w:rFonts w:ascii="Times New Roman" w:hAnsi="Times New Roman" w:eastAsia="宋体" w:cs="Times New Roman"/>
              </w:rPr>
            </w:pPr>
            <w:r>
              <w:rPr>
                <w:rFonts w:ascii="Times New Roman" w:hAnsi="Times New Roman" w:eastAsia="宋体" w:cs="Times New Roman"/>
                <w:szCs w:val="21"/>
              </w:rPr>
              <w:t>30%</w:t>
            </w:r>
          </w:p>
        </w:tc>
      </w:tr>
      <w:tr w14:paraId="223E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2" w:type="pct"/>
            <w:tcBorders>
              <w:top w:val="single" w:color="auto" w:sz="4" w:space="0"/>
              <w:left w:val="single" w:color="auto" w:sz="4" w:space="0"/>
              <w:bottom w:val="single" w:color="auto" w:sz="4" w:space="0"/>
              <w:right w:val="single" w:color="auto" w:sz="4" w:space="0"/>
            </w:tcBorders>
            <w:vAlign w:val="center"/>
          </w:tcPr>
          <w:p w14:paraId="59D8122C">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调查报告</w:t>
            </w:r>
          </w:p>
        </w:tc>
        <w:tc>
          <w:tcPr>
            <w:tcW w:w="1624" w:type="pct"/>
            <w:tcBorders>
              <w:top w:val="single" w:color="auto" w:sz="4" w:space="0"/>
              <w:left w:val="single" w:color="auto" w:sz="4" w:space="0"/>
              <w:bottom w:val="single" w:color="auto" w:sz="4" w:space="0"/>
              <w:right w:val="single" w:color="auto" w:sz="4" w:space="0"/>
            </w:tcBorders>
            <w:vAlign w:val="center"/>
          </w:tcPr>
          <w:p w14:paraId="513E0F3B">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对研习学校开展研习研究，结合</w:t>
            </w:r>
            <w:r>
              <w:rPr>
                <w:rFonts w:ascii="Times New Roman" w:hAnsi="Times New Roman" w:eastAsia="宋体" w:cs="Times New Roman"/>
                <w:color w:val="000000" w:themeColor="text1"/>
                <w:szCs w:val="21"/>
                <w14:textFill>
                  <w14:solidFill>
                    <w14:schemeClr w14:val="tx1"/>
                  </w14:solidFill>
                </w14:textFill>
              </w:rPr>
              <w:t>文献资料</w:t>
            </w:r>
            <w:r>
              <w:rPr>
                <w:rFonts w:hint="eastAsia" w:ascii="Times New Roman" w:hAnsi="Times New Roman" w:eastAsia="宋体" w:cs="Times New Roman"/>
                <w:color w:val="000000" w:themeColor="text1"/>
                <w:szCs w:val="21"/>
                <w14:textFill>
                  <w14:solidFill>
                    <w14:schemeClr w14:val="tx1"/>
                  </w14:solidFill>
                </w14:textFill>
              </w:rPr>
              <w:t>，完成调查报告</w:t>
            </w:r>
          </w:p>
        </w:tc>
        <w:tc>
          <w:tcPr>
            <w:tcW w:w="1879" w:type="pct"/>
            <w:tcBorders>
              <w:top w:val="single" w:color="auto" w:sz="4" w:space="0"/>
              <w:left w:val="single" w:color="auto" w:sz="4" w:space="0"/>
              <w:bottom w:val="single" w:color="auto" w:sz="4" w:space="0"/>
              <w:right w:val="single" w:color="auto" w:sz="4" w:space="0"/>
            </w:tcBorders>
            <w:vAlign w:val="center"/>
          </w:tcPr>
          <w:p w14:paraId="54DB1DD4">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选题属于教育领域，问题意识清晰、方法设计可行，资料充实，内容撰写结构合理，形成明确的结论与观点。</w:t>
            </w:r>
          </w:p>
        </w:tc>
        <w:tc>
          <w:tcPr>
            <w:tcW w:w="475" w:type="pct"/>
            <w:tcBorders>
              <w:top w:val="single" w:color="auto" w:sz="4" w:space="0"/>
              <w:left w:val="single" w:color="auto" w:sz="4" w:space="0"/>
              <w:bottom w:val="single" w:color="auto" w:sz="4" w:space="0"/>
              <w:right w:val="single" w:color="auto" w:sz="4" w:space="0"/>
            </w:tcBorders>
            <w:vAlign w:val="center"/>
          </w:tcPr>
          <w:p w14:paraId="75142E38">
            <w:pPr>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7%</w:t>
            </w:r>
          </w:p>
        </w:tc>
      </w:tr>
      <w:tr w14:paraId="61FE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2" w:type="pct"/>
            <w:tcBorders>
              <w:top w:val="single" w:color="auto" w:sz="4" w:space="0"/>
              <w:left w:val="single" w:color="auto" w:sz="4" w:space="0"/>
              <w:bottom w:val="single" w:color="auto" w:sz="4" w:space="0"/>
              <w:right w:val="single" w:color="auto" w:sz="4" w:space="0"/>
            </w:tcBorders>
            <w:vAlign w:val="center"/>
          </w:tcPr>
          <w:p w14:paraId="44DAAF9B">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教学工作研习</w:t>
            </w:r>
          </w:p>
        </w:tc>
        <w:tc>
          <w:tcPr>
            <w:tcW w:w="1624" w:type="pct"/>
            <w:tcBorders>
              <w:top w:val="single" w:color="auto" w:sz="4" w:space="0"/>
              <w:left w:val="single" w:color="auto" w:sz="4" w:space="0"/>
              <w:bottom w:val="single" w:color="auto" w:sz="4" w:space="0"/>
              <w:right w:val="single" w:color="auto" w:sz="4" w:space="0"/>
            </w:tcBorders>
            <w:vAlign w:val="center"/>
          </w:tcPr>
          <w:p w14:paraId="148F9BFC">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进行教学观摩，撰写教学设计，了解兼教课程和多个课型的教学设计；参与评课等教研活动</w:t>
            </w:r>
          </w:p>
        </w:tc>
        <w:tc>
          <w:tcPr>
            <w:tcW w:w="1879" w:type="pct"/>
            <w:tcBorders>
              <w:top w:val="single" w:color="auto" w:sz="4" w:space="0"/>
              <w:left w:val="single" w:color="auto" w:sz="4" w:space="0"/>
              <w:bottom w:val="single" w:color="auto" w:sz="4" w:space="0"/>
              <w:right w:val="single" w:color="auto" w:sz="4" w:space="0"/>
            </w:tcBorders>
            <w:vAlign w:val="center"/>
          </w:tcPr>
          <w:p w14:paraId="645FE1BF">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全面认识教学过程，熟练进行教学设计，教案规范合理，具备教学的体验；</w:t>
            </w:r>
          </w:p>
          <w:p w14:paraId="4D643600">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积极参与教研活动，积极了解其他相关学科知识，主动拓宽知识范围。</w:t>
            </w:r>
          </w:p>
        </w:tc>
        <w:tc>
          <w:tcPr>
            <w:tcW w:w="475" w:type="pct"/>
            <w:tcBorders>
              <w:top w:val="single" w:color="auto" w:sz="4" w:space="0"/>
              <w:left w:val="single" w:color="auto" w:sz="4" w:space="0"/>
              <w:bottom w:val="single" w:color="auto" w:sz="4" w:space="0"/>
              <w:right w:val="single" w:color="auto" w:sz="4" w:space="0"/>
            </w:tcBorders>
            <w:vAlign w:val="center"/>
          </w:tcPr>
          <w:p w14:paraId="18788122">
            <w:pPr>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21%</w:t>
            </w:r>
          </w:p>
        </w:tc>
      </w:tr>
      <w:tr w14:paraId="3EE5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1022" w:type="pct"/>
            <w:tcBorders>
              <w:top w:val="single" w:color="auto" w:sz="4" w:space="0"/>
              <w:left w:val="single" w:color="auto" w:sz="4" w:space="0"/>
              <w:bottom w:val="single" w:color="auto" w:sz="4" w:space="0"/>
              <w:right w:val="single" w:color="auto" w:sz="4" w:space="0"/>
            </w:tcBorders>
            <w:vAlign w:val="center"/>
          </w:tcPr>
          <w:p w14:paraId="0368AA21">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班主任工作研习</w:t>
            </w:r>
          </w:p>
        </w:tc>
        <w:tc>
          <w:tcPr>
            <w:tcW w:w="1624" w:type="pct"/>
            <w:tcBorders>
              <w:top w:val="single" w:color="auto" w:sz="4" w:space="0"/>
              <w:left w:val="single" w:color="auto" w:sz="4" w:space="0"/>
              <w:bottom w:val="single" w:color="auto" w:sz="4" w:space="0"/>
              <w:right w:val="single" w:color="auto" w:sz="4" w:space="0"/>
            </w:tcBorders>
            <w:vAlign w:val="center"/>
          </w:tcPr>
          <w:p w14:paraId="615363F1">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研习班主任（少先队）工作情况</w:t>
            </w:r>
          </w:p>
        </w:tc>
        <w:tc>
          <w:tcPr>
            <w:tcW w:w="1879" w:type="pct"/>
            <w:tcBorders>
              <w:top w:val="single" w:color="auto" w:sz="4" w:space="0"/>
              <w:left w:val="single" w:color="auto" w:sz="4" w:space="0"/>
              <w:bottom w:val="single" w:color="auto" w:sz="4" w:space="0"/>
              <w:right w:val="single" w:color="auto" w:sz="4" w:space="0"/>
            </w:tcBorders>
            <w:vAlign w:val="center"/>
          </w:tcPr>
          <w:p w14:paraId="572DF7FB">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熟悉小学班级管理事务，掌握小学生心理特点；</w:t>
            </w:r>
          </w:p>
          <w:p w14:paraId="198F3373">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主动积累班级管理的经验，建立管理育人的观念。</w:t>
            </w:r>
          </w:p>
        </w:tc>
        <w:tc>
          <w:tcPr>
            <w:tcW w:w="475" w:type="pct"/>
            <w:tcBorders>
              <w:top w:val="single" w:color="auto" w:sz="4" w:space="0"/>
              <w:left w:val="single" w:color="auto" w:sz="4" w:space="0"/>
              <w:bottom w:val="single" w:color="auto" w:sz="4" w:space="0"/>
              <w:right w:val="single" w:color="auto" w:sz="4" w:space="0"/>
            </w:tcBorders>
            <w:vAlign w:val="center"/>
          </w:tcPr>
          <w:p w14:paraId="25B57F65">
            <w:pPr>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21%</w:t>
            </w:r>
          </w:p>
        </w:tc>
      </w:tr>
      <w:tr w14:paraId="0AD8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022" w:type="pct"/>
            <w:tcBorders>
              <w:top w:val="single" w:color="auto" w:sz="4" w:space="0"/>
              <w:left w:val="single" w:color="auto" w:sz="4" w:space="0"/>
              <w:bottom w:val="single" w:color="auto" w:sz="4" w:space="0"/>
              <w:right w:val="single" w:color="auto" w:sz="4" w:space="0"/>
            </w:tcBorders>
            <w:vAlign w:val="center"/>
          </w:tcPr>
          <w:p w14:paraId="76A9D991">
            <w:pPr>
              <w:rPr>
                <w:rFonts w:ascii="Times New Roman" w:hAnsi="Times New Roman" w:eastAsia="宋体" w:cs="Times New Roman"/>
                <w:szCs w:val="21"/>
              </w:rPr>
            </w:pPr>
            <w:r>
              <w:rPr>
                <w:rFonts w:hint="eastAsia" w:ascii="Times New Roman" w:hAnsi="Times New Roman" w:eastAsia="宋体" w:cs="Times New Roman"/>
                <w:szCs w:val="21"/>
              </w:rPr>
              <w:t>教育研习态度</w:t>
            </w:r>
          </w:p>
        </w:tc>
        <w:tc>
          <w:tcPr>
            <w:tcW w:w="1624" w:type="pct"/>
            <w:tcBorders>
              <w:top w:val="single" w:color="auto" w:sz="4" w:space="0"/>
              <w:left w:val="single" w:color="auto" w:sz="4" w:space="0"/>
              <w:bottom w:val="single" w:color="auto" w:sz="4" w:space="0"/>
              <w:right w:val="single" w:color="auto" w:sz="4" w:space="0"/>
            </w:tcBorders>
            <w:vAlign w:val="center"/>
          </w:tcPr>
          <w:p w14:paraId="6D0C8B9B">
            <w:pPr>
              <w:rPr>
                <w:rFonts w:ascii="Times New Roman" w:hAnsi="Times New Roman" w:eastAsia="宋体" w:cs="Times New Roman"/>
                <w:szCs w:val="21"/>
              </w:rPr>
            </w:pPr>
            <w:r>
              <w:rPr>
                <w:rFonts w:hint="eastAsia" w:ascii="Times New Roman" w:hAnsi="Times New Roman" w:eastAsia="宋体" w:cs="Times New Roman"/>
                <w:szCs w:val="21"/>
              </w:rPr>
              <w:t>研习过程中的参与程度、主动学习情况等</w:t>
            </w:r>
          </w:p>
        </w:tc>
        <w:tc>
          <w:tcPr>
            <w:tcW w:w="1879" w:type="pct"/>
            <w:tcBorders>
              <w:top w:val="single" w:color="auto" w:sz="4" w:space="0"/>
              <w:left w:val="single" w:color="auto" w:sz="4" w:space="0"/>
              <w:bottom w:val="single" w:color="auto" w:sz="4" w:space="0"/>
              <w:right w:val="single" w:color="auto" w:sz="4" w:space="0"/>
            </w:tcBorders>
            <w:vAlign w:val="center"/>
          </w:tcPr>
          <w:p w14:paraId="1554A3EF">
            <w:pPr>
              <w:rPr>
                <w:rFonts w:ascii="Times New Roman" w:hAnsi="Times New Roman" w:eastAsia="宋体" w:cs="Times New Roman"/>
                <w:szCs w:val="21"/>
              </w:rPr>
            </w:pPr>
            <w:r>
              <w:rPr>
                <w:rFonts w:hint="eastAsia" w:ascii="Times New Roman" w:hAnsi="Times New Roman" w:eastAsia="宋体" w:cs="Times New Roman"/>
                <w:szCs w:val="21"/>
              </w:rPr>
              <w:t>按要求参加研习，思想端正，学习态度积极；主动参与教学和班级管理，能够虚心请教、勤恳好学；与小学生交往热情，关爱小学生；研习总结认真，形成对自身教育实践比较全面客观的认识。</w:t>
            </w:r>
          </w:p>
        </w:tc>
        <w:tc>
          <w:tcPr>
            <w:tcW w:w="475" w:type="pct"/>
            <w:tcBorders>
              <w:top w:val="single" w:color="auto" w:sz="4" w:space="0"/>
              <w:left w:val="single" w:color="auto" w:sz="4" w:space="0"/>
              <w:bottom w:val="single" w:color="auto" w:sz="4" w:space="0"/>
              <w:right w:val="single" w:color="auto" w:sz="4" w:space="0"/>
            </w:tcBorders>
            <w:vAlign w:val="center"/>
          </w:tcPr>
          <w:p w14:paraId="6B21CD95">
            <w:pPr>
              <w:jc w:val="center"/>
              <w:rPr>
                <w:rFonts w:ascii="Times New Roman" w:hAnsi="Times New Roman" w:eastAsia="宋体" w:cs="Times New Roman"/>
              </w:rPr>
            </w:pPr>
            <w:r>
              <w:rPr>
                <w:rFonts w:hint="eastAsia" w:ascii="Times New Roman" w:hAnsi="Times New Roman" w:eastAsia="宋体" w:cs="Times New Roman"/>
                <w:szCs w:val="21"/>
              </w:rPr>
              <w:t>2</w:t>
            </w:r>
            <w:r>
              <w:rPr>
                <w:rFonts w:ascii="Times New Roman" w:hAnsi="Times New Roman" w:eastAsia="宋体" w:cs="Times New Roman"/>
                <w:szCs w:val="21"/>
              </w:rPr>
              <w:t>1%</w:t>
            </w:r>
          </w:p>
        </w:tc>
      </w:tr>
    </w:tbl>
    <w:p w14:paraId="352862CE">
      <w:pPr>
        <w:spacing w:line="360" w:lineRule="auto"/>
        <w:jc w:val="left"/>
        <w:rPr>
          <w:rFonts w:hint="eastAsia" w:ascii="宋体" w:hAnsi="宋体" w:eastAsia="宋体" w:cs="Times New Roman"/>
          <w:b/>
          <w:bCs/>
          <w:color w:val="000000"/>
          <w:sz w:val="24"/>
        </w:rPr>
      </w:pPr>
    </w:p>
    <w:p w14:paraId="69633D51">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五、研习实施</w:t>
      </w:r>
    </w:p>
    <w:p w14:paraId="1F344D61">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（一）研习要求</w:t>
      </w:r>
    </w:p>
    <w:p w14:paraId="34894CDE">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1.遵守研习学校各项规章制度，不迟到，不早退，虚心接受研习学校领导、指导教师的指导。</w:t>
      </w:r>
    </w:p>
    <w:p w14:paraId="1256B732">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2.文明礼貌，为人师表，爱护学生，尊重研习学校的师生员工，积极协助研习学校教师做力所能及的工作。</w:t>
      </w:r>
    </w:p>
    <w:p w14:paraId="23BEA4C6">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3.同学之间团结友爱，注意安全。认真完成各项研习任务，做好每次的研习笔记，认真填写《小学教育专业学生研习手册》。</w:t>
      </w:r>
    </w:p>
    <w:p w14:paraId="63C40ED4">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4.研习组长负责与研习学校领导的联系以及研习活动的组织、考勤工作。所有学生必须全程参加研习活动，不得无故缺席。</w:t>
      </w:r>
    </w:p>
    <w:p w14:paraId="7379BF1E">
      <w:pPr>
        <w:spacing w:line="360" w:lineRule="auto"/>
        <w:ind w:firstLine="480" w:firstLineChars="200"/>
        <w:rPr>
          <w:rFonts w:ascii="Times New Roman" w:hAnsi="Times New Roman" w:eastAsia="宋体" w:cs="Times New Roman"/>
          <w:b/>
          <w:sz w:val="24"/>
        </w:rPr>
      </w:pPr>
      <w:r>
        <w:rPr>
          <w:rFonts w:hint="eastAsia" w:ascii="Times New Roman" w:hAnsi="Times New Roman" w:eastAsia="宋体" w:cs="Times New Roman"/>
          <w:bCs/>
          <w:sz w:val="24"/>
        </w:rPr>
        <w:t>（二）</w:t>
      </w:r>
      <w:r>
        <w:rPr>
          <w:rFonts w:ascii="Times New Roman" w:hAnsi="Times New Roman" w:eastAsia="宋体" w:cs="Times New Roman"/>
          <w:bCs/>
          <w:sz w:val="24"/>
        </w:rPr>
        <w:t>主要</w:t>
      </w:r>
      <w:r>
        <w:rPr>
          <w:rFonts w:hint="eastAsia" w:ascii="Times New Roman" w:hAnsi="Times New Roman" w:eastAsia="宋体" w:cs="Times New Roman"/>
          <w:bCs/>
          <w:sz w:val="24"/>
        </w:rPr>
        <w:t>教学</w:t>
      </w:r>
      <w:r>
        <w:rPr>
          <w:rFonts w:ascii="Times New Roman" w:hAnsi="Times New Roman" w:eastAsia="宋体" w:cs="Times New Roman"/>
          <w:bCs/>
          <w:sz w:val="24"/>
        </w:rPr>
        <w:t>环节</w:t>
      </w:r>
      <w:r>
        <w:rPr>
          <w:rFonts w:hint="eastAsia" w:ascii="Times New Roman" w:hAnsi="Times New Roman" w:eastAsia="宋体" w:cs="Times New Roman"/>
          <w:bCs/>
          <w:sz w:val="24"/>
        </w:rPr>
        <w:t>的</w:t>
      </w:r>
      <w:r>
        <w:rPr>
          <w:rFonts w:ascii="Times New Roman" w:hAnsi="Times New Roman" w:eastAsia="宋体" w:cs="Times New Roman"/>
          <w:bCs/>
          <w:sz w:val="24"/>
        </w:rPr>
        <w:t>质量要求</w:t>
      </w:r>
      <w:r>
        <w:rPr>
          <w:rFonts w:hint="eastAsia" w:ascii="Times New Roman" w:hAnsi="Times New Roman" w:eastAsia="宋体" w:cs="Times New Roman"/>
          <w:bCs/>
          <w:sz w:val="24"/>
        </w:rPr>
        <w:t>如表所示</w:t>
      </w:r>
    </w:p>
    <w:tbl>
      <w:tblPr>
        <w:tblStyle w:val="13"/>
        <w:tblW w:w="93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431"/>
        <w:gridCol w:w="7005"/>
      </w:tblGrid>
      <w:tr w14:paraId="4533A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37" w:hRule="atLeast"/>
          <w:jc w:val="center"/>
        </w:trPr>
        <w:tc>
          <w:tcPr>
            <w:tcW w:w="2301" w:type="dxa"/>
            <w:gridSpan w:val="2"/>
            <w:vAlign w:val="center"/>
          </w:tcPr>
          <w:p w14:paraId="20A5D584">
            <w:pPr>
              <w:snapToGrid w:val="0"/>
              <w:jc w:val="center"/>
              <w:rPr>
                <w:rFonts w:ascii="Times New Roman" w:hAnsi="Times New Roman" w:eastAsia="宋体" w:cs="Times New Roman"/>
                <w:b/>
                <w:bCs/>
              </w:rPr>
            </w:pPr>
            <w:r>
              <w:rPr>
                <w:rFonts w:ascii="Times New Roman" w:hAnsi="Times New Roman" w:eastAsia="宋体" w:cs="Times New Roman"/>
                <w:b/>
                <w:bCs/>
              </w:rPr>
              <w:t>主要</w:t>
            </w:r>
            <w:r>
              <w:rPr>
                <w:rFonts w:hint="eastAsia" w:ascii="Times New Roman" w:hAnsi="Times New Roman" w:eastAsia="宋体" w:cs="Times New Roman"/>
                <w:b/>
                <w:bCs/>
              </w:rPr>
              <w:t>教学</w:t>
            </w:r>
            <w:r>
              <w:rPr>
                <w:rFonts w:ascii="Times New Roman" w:hAnsi="Times New Roman" w:eastAsia="宋体" w:cs="Times New Roman"/>
                <w:b/>
                <w:bCs/>
              </w:rPr>
              <w:t>环节</w:t>
            </w:r>
          </w:p>
        </w:tc>
        <w:tc>
          <w:tcPr>
            <w:tcW w:w="7005" w:type="dxa"/>
            <w:vAlign w:val="center"/>
          </w:tcPr>
          <w:p w14:paraId="14FCE6EC">
            <w:pPr>
              <w:snapToGrid w:val="0"/>
              <w:jc w:val="center"/>
              <w:rPr>
                <w:rFonts w:ascii="Times New Roman" w:hAnsi="Times New Roman" w:eastAsia="宋体" w:cs="Times New Roman"/>
                <w:b/>
                <w:bCs/>
              </w:rPr>
            </w:pPr>
            <w:r>
              <w:rPr>
                <w:rFonts w:ascii="Times New Roman" w:hAnsi="Times New Roman" w:eastAsia="宋体" w:cs="Times New Roman"/>
                <w:b/>
                <w:bCs/>
              </w:rPr>
              <w:t>质量要求</w:t>
            </w:r>
          </w:p>
        </w:tc>
      </w:tr>
      <w:tr w14:paraId="281FE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70" w:type="dxa"/>
            <w:vMerge w:val="restart"/>
            <w:vAlign w:val="center"/>
          </w:tcPr>
          <w:p w14:paraId="69AEBDEE">
            <w:pPr>
              <w:jc w:val="center"/>
              <w:rPr>
                <w:rFonts w:ascii="Times New Roman" w:hAnsi="Times New Roman" w:eastAsia="宋体" w:cs="Times New Roman"/>
                <w:szCs w:val="21"/>
              </w:rPr>
            </w:pPr>
            <w:r>
              <w:rPr>
                <w:rFonts w:ascii="Times New Roman" w:hAnsi="Times New Roman" w:eastAsia="宋体" w:cs="Times New Roman"/>
                <w:szCs w:val="21"/>
              </w:rPr>
              <w:t>准备</w:t>
            </w:r>
          </w:p>
          <w:p w14:paraId="6FB95622">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31" w:type="dxa"/>
            <w:vAlign w:val="center"/>
          </w:tcPr>
          <w:p w14:paraId="342A4E2A">
            <w:pPr>
              <w:rPr>
                <w:rFonts w:ascii="Times New Roman" w:hAnsi="Times New Roman" w:eastAsia="宋体" w:cs="Times New Roman"/>
                <w:szCs w:val="21"/>
              </w:rPr>
            </w:pPr>
            <w:r>
              <w:rPr>
                <w:rFonts w:ascii="Times New Roman" w:hAnsi="Times New Roman" w:eastAsia="宋体" w:cs="Times New Roman"/>
                <w:szCs w:val="21"/>
              </w:rPr>
              <w:t>1.实践计划</w:t>
            </w:r>
          </w:p>
        </w:tc>
        <w:tc>
          <w:tcPr>
            <w:tcW w:w="7005" w:type="dxa"/>
            <w:vAlign w:val="center"/>
          </w:tcPr>
          <w:p w14:paraId="560565D1">
            <w:pPr>
              <w:rPr>
                <w:rFonts w:ascii="Times New Roman" w:hAnsi="Times New Roman" w:eastAsia="宋体" w:cs="Times New Roman"/>
                <w:szCs w:val="21"/>
              </w:rPr>
            </w:pPr>
            <w:r>
              <w:rPr>
                <w:rFonts w:ascii="Times New Roman" w:hAnsi="Times New Roman" w:eastAsia="宋体" w:cs="Times New Roman"/>
                <w:szCs w:val="21"/>
              </w:rPr>
              <w:t>根据学校要求及专业人才培养方案制定详实可行的</w:t>
            </w:r>
            <w:r>
              <w:rPr>
                <w:rFonts w:hint="eastAsia" w:ascii="Times New Roman" w:hAnsi="Times New Roman" w:eastAsia="宋体" w:cs="Times New Roman"/>
                <w:szCs w:val="21"/>
              </w:rPr>
              <w:t>研习</w:t>
            </w:r>
            <w:r>
              <w:rPr>
                <w:rFonts w:ascii="Times New Roman" w:hAnsi="Times New Roman" w:eastAsia="宋体" w:cs="Times New Roman"/>
                <w:szCs w:val="21"/>
              </w:rPr>
              <w:t>计划</w:t>
            </w:r>
            <w:r>
              <w:rPr>
                <w:rFonts w:hint="eastAsia" w:ascii="Times New Roman" w:hAnsi="Times New Roman" w:eastAsia="宋体" w:cs="Times New Roman"/>
                <w:szCs w:val="21"/>
              </w:rPr>
              <w:t>，选择相应的研习学校，并</w:t>
            </w:r>
            <w:r>
              <w:rPr>
                <w:rFonts w:ascii="Times New Roman" w:hAnsi="Times New Roman" w:eastAsia="宋体" w:cs="Times New Roman"/>
                <w:szCs w:val="21"/>
              </w:rPr>
              <w:t>在</w:t>
            </w:r>
            <w:r>
              <w:rPr>
                <w:rFonts w:hint="eastAsia" w:ascii="Times New Roman" w:hAnsi="Times New Roman" w:eastAsia="宋体" w:cs="Times New Roman"/>
                <w:szCs w:val="21"/>
              </w:rPr>
              <w:t>研习开始前制定研习方案</w:t>
            </w:r>
            <w:r>
              <w:rPr>
                <w:rFonts w:ascii="Times New Roman" w:hAnsi="Times New Roman" w:eastAsia="宋体" w:cs="Times New Roman"/>
                <w:szCs w:val="21"/>
              </w:rPr>
              <w:t>。</w:t>
            </w:r>
          </w:p>
        </w:tc>
      </w:tr>
      <w:tr w14:paraId="39610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0" w:type="dxa"/>
            <w:vMerge w:val="continue"/>
            <w:vAlign w:val="center"/>
          </w:tcPr>
          <w:p w14:paraId="6A8D2F8D">
            <w:pPr>
              <w:jc w:val="center"/>
              <w:rPr>
                <w:rFonts w:ascii="Times New Roman" w:hAnsi="Times New Roman" w:eastAsia="宋体" w:cs="Times New Roman"/>
                <w:szCs w:val="21"/>
              </w:rPr>
            </w:pPr>
          </w:p>
        </w:tc>
        <w:tc>
          <w:tcPr>
            <w:tcW w:w="1431" w:type="dxa"/>
            <w:vAlign w:val="center"/>
          </w:tcPr>
          <w:p w14:paraId="45663181">
            <w:pPr>
              <w:snapToGrid w:val="0"/>
              <w:rPr>
                <w:rFonts w:ascii="Times New Roman" w:hAnsi="Times New Roman" w:eastAsia="宋体" w:cs="Times New Roman"/>
                <w:szCs w:val="21"/>
              </w:rPr>
            </w:pPr>
            <w:r>
              <w:rPr>
                <w:rFonts w:ascii="Times New Roman" w:hAnsi="Times New Roman" w:eastAsia="宋体" w:cs="Times New Roman"/>
                <w:szCs w:val="21"/>
              </w:rPr>
              <w:t>2.指导老师</w:t>
            </w:r>
          </w:p>
        </w:tc>
        <w:tc>
          <w:tcPr>
            <w:tcW w:w="7005" w:type="dxa"/>
            <w:vAlign w:val="center"/>
          </w:tcPr>
          <w:p w14:paraId="7C85F04F">
            <w:pPr>
              <w:snapToGrid w:val="0"/>
              <w:rPr>
                <w:rFonts w:ascii="Times New Roman" w:hAnsi="Times New Roman" w:eastAsia="宋体" w:cs="Times New Roman"/>
                <w:szCs w:val="21"/>
              </w:rPr>
            </w:pPr>
            <w:r>
              <w:rPr>
                <w:rFonts w:ascii="Times New Roman" w:hAnsi="Times New Roman" w:eastAsia="宋体" w:cs="Times New Roman"/>
                <w:szCs w:val="21"/>
              </w:rPr>
              <w:t>指导教师</w:t>
            </w:r>
            <w:r>
              <w:rPr>
                <w:rFonts w:hint="eastAsia" w:ascii="Times New Roman" w:hAnsi="Times New Roman" w:eastAsia="宋体" w:cs="Times New Roman"/>
                <w:szCs w:val="21"/>
              </w:rPr>
              <w:t>应</w:t>
            </w:r>
            <w:r>
              <w:rPr>
                <w:rFonts w:ascii="Times New Roman" w:hAnsi="Times New Roman" w:eastAsia="宋体" w:cs="Times New Roman"/>
                <w:szCs w:val="21"/>
              </w:rPr>
              <w:t>具备扎实的理论知识和丰富的实践经验</w:t>
            </w:r>
            <w:r>
              <w:rPr>
                <w:rFonts w:hint="eastAsia" w:ascii="Times New Roman" w:hAnsi="Times New Roman" w:eastAsia="宋体" w:cs="Times New Roman"/>
                <w:szCs w:val="21"/>
              </w:rPr>
              <w:t>。</w:t>
            </w:r>
            <w:r>
              <w:rPr>
                <w:rFonts w:ascii="Times New Roman" w:hAnsi="Times New Roman" w:eastAsia="宋体" w:cs="Times New Roman"/>
                <w:szCs w:val="21"/>
              </w:rPr>
              <w:t>指导教师</w:t>
            </w:r>
            <w:r>
              <w:rPr>
                <w:rFonts w:hint="eastAsia" w:ascii="Times New Roman" w:hAnsi="Times New Roman" w:eastAsia="宋体" w:cs="Times New Roman"/>
                <w:szCs w:val="21"/>
              </w:rPr>
              <w:t>在研习开始前开好研习动员大会，提出相应研习要求</w:t>
            </w:r>
            <w:r>
              <w:rPr>
                <w:rFonts w:ascii="Times New Roman" w:hAnsi="Times New Roman" w:eastAsia="宋体" w:cs="Times New Roman"/>
                <w:szCs w:val="21"/>
              </w:rPr>
              <w:t>。</w:t>
            </w:r>
          </w:p>
        </w:tc>
      </w:tr>
      <w:tr w14:paraId="5C771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70" w:type="dxa"/>
            <w:vMerge w:val="continue"/>
            <w:vAlign w:val="center"/>
          </w:tcPr>
          <w:p w14:paraId="5B5831F8">
            <w:pPr>
              <w:jc w:val="center"/>
              <w:rPr>
                <w:rFonts w:ascii="Times New Roman" w:hAnsi="Times New Roman" w:eastAsia="宋体" w:cs="Times New Roman"/>
                <w:szCs w:val="21"/>
              </w:rPr>
            </w:pPr>
          </w:p>
        </w:tc>
        <w:tc>
          <w:tcPr>
            <w:tcW w:w="1431" w:type="dxa"/>
            <w:vAlign w:val="center"/>
          </w:tcPr>
          <w:p w14:paraId="6181E709">
            <w:pPr>
              <w:snapToGrid w:val="0"/>
              <w:rPr>
                <w:rFonts w:ascii="Times New Roman" w:hAnsi="Times New Roman" w:eastAsia="宋体" w:cs="Times New Roman"/>
                <w:szCs w:val="21"/>
              </w:rPr>
            </w:pPr>
            <w:r>
              <w:rPr>
                <w:rFonts w:ascii="Times New Roman" w:hAnsi="Times New Roman" w:eastAsia="宋体" w:cs="Times New Roman"/>
                <w:szCs w:val="21"/>
              </w:rPr>
              <w:t>3.组织管理</w:t>
            </w:r>
          </w:p>
        </w:tc>
        <w:tc>
          <w:tcPr>
            <w:tcW w:w="7005" w:type="dxa"/>
            <w:vAlign w:val="center"/>
          </w:tcPr>
          <w:p w14:paraId="4F892C58">
            <w:pPr>
              <w:snapToGrid w:val="0"/>
              <w:rPr>
                <w:rFonts w:ascii="Times New Roman" w:hAnsi="Times New Roman" w:eastAsia="宋体" w:cs="Times New Roman"/>
                <w:szCs w:val="21"/>
              </w:rPr>
            </w:pPr>
            <w:r>
              <w:rPr>
                <w:rFonts w:hint="eastAsia" w:ascii="Times New Roman" w:hAnsi="Times New Roman" w:eastAsia="宋体" w:cs="Times New Roman"/>
                <w:szCs w:val="21"/>
              </w:rPr>
              <w:t>做好学生的分组工作，强调小组成员之间的合作沟通，对每位同学都提出明确的研习纪律和责任。</w:t>
            </w:r>
          </w:p>
        </w:tc>
      </w:tr>
      <w:tr w14:paraId="26A056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70" w:type="dxa"/>
            <w:vMerge w:val="restart"/>
            <w:vAlign w:val="center"/>
          </w:tcPr>
          <w:p w14:paraId="5EDE7415">
            <w:pPr>
              <w:jc w:val="center"/>
              <w:rPr>
                <w:rFonts w:ascii="Times New Roman" w:hAnsi="Times New Roman" w:eastAsia="宋体" w:cs="Times New Roman"/>
                <w:szCs w:val="21"/>
              </w:rPr>
            </w:pPr>
            <w:r>
              <w:rPr>
                <w:rFonts w:ascii="Times New Roman" w:hAnsi="Times New Roman" w:eastAsia="宋体" w:cs="Times New Roman"/>
                <w:szCs w:val="21"/>
              </w:rPr>
              <w:t>实施</w:t>
            </w:r>
          </w:p>
          <w:p w14:paraId="171838AD">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31" w:type="dxa"/>
            <w:vAlign w:val="center"/>
          </w:tcPr>
          <w:p w14:paraId="1742FFAB">
            <w:pPr>
              <w:rPr>
                <w:rFonts w:ascii="Times New Roman" w:hAnsi="Times New Roman" w:eastAsia="宋体" w:cs="Times New Roman"/>
                <w:szCs w:val="21"/>
              </w:rPr>
            </w:pPr>
            <w:r>
              <w:rPr>
                <w:rFonts w:ascii="Times New Roman" w:hAnsi="Times New Roman" w:eastAsia="宋体" w:cs="Times New Roman"/>
                <w:szCs w:val="21"/>
              </w:rPr>
              <w:t>1.计划执行</w:t>
            </w:r>
          </w:p>
        </w:tc>
        <w:tc>
          <w:tcPr>
            <w:tcW w:w="7005" w:type="dxa"/>
            <w:vAlign w:val="center"/>
          </w:tcPr>
          <w:p w14:paraId="00570D28">
            <w:pPr>
              <w:rPr>
                <w:rFonts w:ascii="Times New Roman" w:hAnsi="Times New Roman" w:eastAsia="宋体" w:cs="Times New Roman"/>
                <w:szCs w:val="21"/>
              </w:rPr>
            </w:pPr>
            <w:r>
              <w:rPr>
                <w:rFonts w:hint="eastAsia" w:ascii="Times New Roman" w:hAnsi="Times New Roman" w:eastAsia="宋体" w:cs="Times New Roman"/>
                <w:szCs w:val="21"/>
              </w:rPr>
              <w:t>按照研习计划在校内和校外研习</w:t>
            </w:r>
            <w:r>
              <w:rPr>
                <w:rFonts w:ascii="Times New Roman" w:hAnsi="Times New Roman" w:eastAsia="宋体" w:cs="Times New Roman"/>
                <w:szCs w:val="21"/>
              </w:rPr>
              <w:t xml:space="preserve">。 </w:t>
            </w:r>
          </w:p>
        </w:tc>
      </w:tr>
      <w:tr w14:paraId="55039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701CA117">
            <w:pPr>
              <w:jc w:val="center"/>
              <w:rPr>
                <w:rFonts w:ascii="Times New Roman" w:hAnsi="Times New Roman" w:eastAsia="宋体" w:cs="Times New Roman"/>
                <w:szCs w:val="21"/>
              </w:rPr>
            </w:pPr>
          </w:p>
        </w:tc>
        <w:tc>
          <w:tcPr>
            <w:tcW w:w="1431" w:type="dxa"/>
            <w:vAlign w:val="center"/>
          </w:tcPr>
          <w:p w14:paraId="155CF003">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过程</w:t>
            </w:r>
            <w:r>
              <w:rPr>
                <w:rFonts w:ascii="Times New Roman" w:hAnsi="Times New Roman" w:eastAsia="宋体" w:cs="Times New Roman"/>
                <w:szCs w:val="21"/>
              </w:rPr>
              <w:t>指导</w:t>
            </w:r>
          </w:p>
        </w:tc>
        <w:tc>
          <w:tcPr>
            <w:tcW w:w="7005" w:type="dxa"/>
            <w:vAlign w:val="center"/>
          </w:tcPr>
          <w:p w14:paraId="297051EC">
            <w:pPr>
              <w:snapToGrid w:val="0"/>
              <w:rPr>
                <w:rFonts w:ascii="Times New Roman" w:hAnsi="Times New Roman" w:eastAsia="宋体" w:cs="Times New Roman"/>
                <w:szCs w:val="21"/>
              </w:rPr>
            </w:pPr>
            <w:r>
              <w:rPr>
                <w:rFonts w:hint="eastAsia" w:ascii="Times New Roman" w:hAnsi="Times New Roman" w:eastAsia="宋体" w:cs="Times New Roman"/>
                <w:szCs w:val="21"/>
              </w:rPr>
              <w:t>指导教师及时了解学生在校内和校外研习情况。</w:t>
            </w:r>
          </w:p>
        </w:tc>
      </w:tr>
      <w:tr w14:paraId="58B861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870" w:type="dxa"/>
            <w:vMerge w:val="continue"/>
            <w:vAlign w:val="center"/>
          </w:tcPr>
          <w:p w14:paraId="0512EC81">
            <w:pPr>
              <w:jc w:val="center"/>
              <w:rPr>
                <w:rFonts w:ascii="Times New Roman" w:hAnsi="Times New Roman" w:eastAsia="宋体" w:cs="Times New Roman"/>
                <w:szCs w:val="21"/>
              </w:rPr>
            </w:pPr>
          </w:p>
        </w:tc>
        <w:tc>
          <w:tcPr>
            <w:tcW w:w="1431" w:type="dxa"/>
            <w:vAlign w:val="center"/>
          </w:tcPr>
          <w:p w14:paraId="4207C7DC">
            <w:pPr>
              <w:snapToGrid w:val="0"/>
              <w:rPr>
                <w:rFonts w:ascii="Times New Roman" w:hAnsi="Times New Roman" w:eastAsia="宋体" w:cs="Times New Roman"/>
                <w:szCs w:val="21"/>
              </w:rPr>
            </w:pPr>
            <w:r>
              <w:rPr>
                <w:rFonts w:ascii="Times New Roman" w:hAnsi="Times New Roman" w:eastAsia="宋体" w:cs="Times New Roman"/>
                <w:szCs w:val="21"/>
              </w:rPr>
              <w:t>3.学生管理</w:t>
            </w:r>
          </w:p>
        </w:tc>
        <w:tc>
          <w:tcPr>
            <w:tcW w:w="7005" w:type="dxa"/>
            <w:vAlign w:val="center"/>
          </w:tcPr>
          <w:p w14:paraId="3F8B2933">
            <w:pPr>
              <w:snapToGrid w:val="0"/>
              <w:rPr>
                <w:rFonts w:ascii="Times New Roman" w:hAnsi="Times New Roman" w:eastAsia="宋体" w:cs="Times New Roman"/>
                <w:szCs w:val="21"/>
              </w:rPr>
            </w:pPr>
            <w:r>
              <w:rPr>
                <w:rFonts w:ascii="Times New Roman" w:hAnsi="Times New Roman" w:eastAsia="宋体" w:cs="Times New Roman"/>
                <w:szCs w:val="21"/>
              </w:rPr>
              <w:t>严格进行考勤，认真记录</w:t>
            </w:r>
            <w:r>
              <w:rPr>
                <w:rFonts w:hint="eastAsia" w:ascii="Times New Roman" w:hAnsi="Times New Roman" w:eastAsia="宋体" w:cs="Times New Roman"/>
                <w:szCs w:val="21"/>
              </w:rPr>
              <w:t>学生工作</w:t>
            </w:r>
            <w:r>
              <w:rPr>
                <w:rFonts w:ascii="Times New Roman" w:hAnsi="Times New Roman" w:eastAsia="宋体" w:cs="Times New Roman"/>
                <w:szCs w:val="21"/>
              </w:rPr>
              <w:t>情况；对迟到、早退和无故缺勤等违纪情况及时处理。</w:t>
            </w:r>
          </w:p>
        </w:tc>
      </w:tr>
      <w:tr w14:paraId="5C1E2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346FC2D5">
            <w:pPr>
              <w:jc w:val="center"/>
              <w:rPr>
                <w:rFonts w:ascii="Times New Roman" w:hAnsi="Times New Roman" w:eastAsia="宋体" w:cs="Times New Roman"/>
                <w:szCs w:val="21"/>
              </w:rPr>
            </w:pPr>
          </w:p>
        </w:tc>
        <w:tc>
          <w:tcPr>
            <w:tcW w:w="1431" w:type="dxa"/>
            <w:vAlign w:val="center"/>
          </w:tcPr>
          <w:p w14:paraId="3E922512">
            <w:pPr>
              <w:snapToGrid w:val="0"/>
              <w:rPr>
                <w:rFonts w:ascii="Times New Roman" w:hAnsi="Times New Roman" w:eastAsia="宋体" w:cs="Times New Roman"/>
                <w:szCs w:val="21"/>
              </w:rPr>
            </w:pPr>
            <w:r>
              <w:rPr>
                <w:rFonts w:ascii="Times New Roman" w:hAnsi="Times New Roman" w:eastAsia="宋体" w:cs="Times New Roman"/>
                <w:szCs w:val="21"/>
              </w:rPr>
              <w:t>4.教学检查</w:t>
            </w:r>
          </w:p>
        </w:tc>
        <w:tc>
          <w:tcPr>
            <w:tcW w:w="7005" w:type="dxa"/>
            <w:vAlign w:val="center"/>
          </w:tcPr>
          <w:p w14:paraId="07A4E627">
            <w:pPr>
              <w:snapToGrid w:val="0"/>
              <w:rPr>
                <w:rFonts w:ascii="Times New Roman" w:hAnsi="Times New Roman" w:eastAsia="宋体" w:cs="Times New Roman"/>
                <w:szCs w:val="21"/>
              </w:rPr>
            </w:pPr>
            <w:r>
              <w:rPr>
                <w:rFonts w:ascii="Times New Roman" w:hAnsi="Times New Roman" w:eastAsia="宋体" w:cs="Times New Roman"/>
                <w:szCs w:val="21"/>
              </w:rPr>
              <w:t>学院有计划地开展督导检查，并及时反馈检查情况。</w:t>
            </w:r>
          </w:p>
        </w:tc>
      </w:tr>
      <w:tr w14:paraId="5D12E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restart"/>
            <w:vAlign w:val="center"/>
          </w:tcPr>
          <w:p w14:paraId="0C8AE0EF">
            <w:pPr>
              <w:jc w:val="center"/>
              <w:rPr>
                <w:rFonts w:ascii="Times New Roman" w:hAnsi="Times New Roman" w:eastAsia="宋体" w:cs="Times New Roman"/>
                <w:szCs w:val="21"/>
              </w:rPr>
            </w:pPr>
            <w:r>
              <w:rPr>
                <w:rFonts w:ascii="Times New Roman" w:hAnsi="Times New Roman" w:eastAsia="宋体" w:cs="Times New Roman"/>
                <w:szCs w:val="21"/>
              </w:rPr>
              <w:t>总结</w:t>
            </w:r>
          </w:p>
          <w:p w14:paraId="46E3D7A3">
            <w:pPr>
              <w:jc w:val="center"/>
              <w:rPr>
                <w:rFonts w:ascii="Times New Roman" w:hAnsi="Times New Roman" w:eastAsia="宋体" w:cs="Times New Roman"/>
                <w:szCs w:val="21"/>
              </w:rPr>
            </w:pPr>
            <w:r>
              <w:rPr>
                <w:rFonts w:ascii="Times New Roman" w:hAnsi="Times New Roman" w:eastAsia="宋体" w:cs="Times New Roman"/>
                <w:szCs w:val="21"/>
              </w:rPr>
              <w:t>考核</w:t>
            </w:r>
          </w:p>
        </w:tc>
        <w:tc>
          <w:tcPr>
            <w:tcW w:w="1431" w:type="dxa"/>
            <w:vAlign w:val="center"/>
          </w:tcPr>
          <w:p w14:paraId="2DD46581">
            <w:pP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研习</w:t>
            </w:r>
            <w:r>
              <w:rPr>
                <w:rFonts w:ascii="Times New Roman" w:hAnsi="Times New Roman" w:eastAsia="宋体" w:cs="Times New Roman"/>
                <w:szCs w:val="21"/>
              </w:rPr>
              <w:t>报告</w:t>
            </w:r>
          </w:p>
        </w:tc>
        <w:tc>
          <w:tcPr>
            <w:tcW w:w="7005" w:type="dxa"/>
            <w:vAlign w:val="center"/>
          </w:tcPr>
          <w:p w14:paraId="4846BECF">
            <w:pPr>
              <w:rPr>
                <w:rFonts w:ascii="Times New Roman" w:hAnsi="Times New Roman" w:eastAsia="宋体" w:cs="Times New Roman"/>
                <w:szCs w:val="21"/>
              </w:rPr>
            </w:pPr>
            <w:r>
              <w:rPr>
                <w:rFonts w:ascii="Times New Roman" w:hAnsi="Times New Roman" w:eastAsia="宋体" w:cs="Times New Roman"/>
                <w:szCs w:val="21"/>
              </w:rPr>
              <w:t>结束后，及时按要求</w:t>
            </w:r>
            <w:r>
              <w:rPr>
                <w:rFonts w:hint="eastAsia" w:ascii="Times New Roman" w:hAnsi="Times New Roman" w:eastAsia="宋体" w:cs="Times New Roman"/>
                <w:szCs w:val="21"/>
              </w:rPr>
              <w:t>教育叙事、教育研习手册和研习考核表</w:t>
            </w:r>
            <w:r>
              <w:rPr>
                <w:rFonts w:ascii="Times New Roman" w:hAnsi="Times New Roman" w:eastAsia="宋体" w:cs="Times New Roman"/>
                <w:szCs w:val="21"/>
              </w:rPr>
              <w:t>。</w:t>
            </w:r>
          </w:p>
        </w:tc>
      </w:tr>
      <w:tr w14:paraId="6C3C8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70" w:type="dxa"/>
            <w:vMerge w:val="continue"/>
            <w:vAlign w:val="center"/>
          </w:tcPr>
          <w:p w14:paraId="392E7F34">
            <w:pPr>
              <w:rPr>
                <w:rFonts w:ascii="Times New Roman" w:hAnsi="Times New Roman" w:eastAsia="宋体" w:cs="Times New Roman"/>
                <w:szCs w:val="21"/>
              </w:rPr>
            </w:pPr>
          </w:p>
        </w:tc>
        <w:tc>
          <w:tcPr>
            <w:tcW w:w="1431" w:type="dxa"/>
            <w:vAlign w:val="center"/>
          </w:tcPr>
          <w:p w14:paraId="47D2B11A">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成绩</w:t>
            </w:r>
            <w:r>
              <w:rPr>
                <w:rFonts w:ascii="Times New Roman" w:hAnsi="Times New Roman" w:eastAsia="宋体" w:cs="Times New Roman"/>
                <w:szCs w:val="21"/>
              </w:rPr>
              <w:t>考核</w:t>
            </w:r>
          </w:p>
        </w:tc>
        <w:tc>
          <w:tcPr>
            <w:tcW w:w="7005" w:type="dxa"/>
            <w:vAlign w:val="center"/>
          </w:tcPr>
          <w:p w14:paraId="78E109A9">
            <w:pPr>
              <w:snapToGrid w:val="0"/>
              <w:rPr>
                <w:rFonts w:ascii="Times New Roman" w:hAnsi="Times New Roman" w:eastAsia="宋体" w:cs="Times New Roman"/>
                <w:szCs w:val="21"/>
              </w:rPr>
            </w:pPr>
            <w:r>
              <w:rPr>
                <w:rFonts w:ascii="Times New Roman" w:hAnsi="Times New Roman" w:eastAsia="宋体" w:cs="Times New Roman"/>
                <w:szCs w:val="21"/>
              </w:rPr>
              <w:t>根据考核内容及要求对每位学生</w:t>
            </w:r>
            <w:r>
              <w:rPr>
                <w:rFonts w:hint="eastAsia" w:ascii="Times New Roman" w:hAnsi="Times New Roman" w:eastAsia="宋体" w:cs="Times New Roman"/>
                <w:szCs w:val="21"/>
              </w:rPr>
              <w:t>研习情况</w:t>
            </w:r>
            <w:r>
              <w:rPr>
                <w:rFonts w:ascii="Times New Roman" w:hAnsi="Times New Roman" w:eastAsia="宋体" w:cs="Times New Roman"/>
                <w:szCs w:val="21"/>
              </w:rPr>
              <w:t>进行考核，合理评价，并按照学校有关规定登记成绩。</w:t>
            </w:r>
          </w:p>
        </w:tc>
      </w:tr>
      <w:tr w14:paraId="78EF8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686F9D17">
            <w:pPr>
              <w:rPr>
                <w:rFonts w:ascii="Times New Roman" w:hAnsi="Times New Roman" w:eastAsia="宋体" w:cs="Times New Roman"/>
                <w:szCs w:val="21"/>
              </w:rPr>
            </w:pPr>
          </w:p>
        </w:tc>
        <w:tc>
          <w:tcPr>
            <w:tcW w:w="1431" w:type="dxa"/>
            <w:vAlign w:val="center"/>
          </w:tcPr>
          <w:p w14:paraId="1CEA69E1">
            <w:pPr>
              <w:snapToGrid w:val="0"/>
              <w:rPr>
                <w:rFonts w:ascii="Times New Roman" w:hAnsi="Times New Roman" w:eastAsia="宋体" w:cs="Times New Roman"/>
                <w:szCs w:val="21"/>
              </w:rPr>
            </w:pPr>
            <w:r>
              <w:rPr>
                <w:rFonts w:ascii="Times New Roman" w:hAnsi="Times New Roman" w:eastAsia="宋体" w:cs="Times New Roman"/>
                <w:szCs w:val="21"/>
              </w:rPr>
              <w:t>3.总结归档</w:t>
            </w:r>
          </w:p>
        </w:tc>
        <w:tc>
          <w:tcPr>
            <w:tcW w:w="7005" w:type="dxa"/>
            <w:vAlign w:val="center"/>
          </w:tcPr>
          <w:p w14:paraId="67EC8D24">
            <w:pPr>
              <w:snapToGrid w:val="0"/>
              <w:rPr>
                <w:rFonts w:ascii="Times New Roman" w:hAnsi="Times New Roman" w:eastAsia="宋体" w:cs="Times New Roman"/>
                <w:szCs w:val="21"/>
              </w:rPr>
            </w:pPr>
            <w:r>
              <w:rPr>
                <w:rFonts w:ascii="Times New Roman" w:hAnsi="Times New Roman" w:eastAsia="宋体" w:cs="Times New Roman"/>
                <w:szCs w:val="21"/>
              </w:rPr>
              <w:t>及时总结交流经验与体会，按要求做好材料归档。</w:t>
            </w:r>
          </w:p>
        </w:tc>
      </w:tr>
    </w:tbl>
    <w:p w14:paraId="17CC6D8B">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六</w:t>
      </w:r>
      <w:r>
        <w:rPr>
          <w:rFonts w:ascii="Times New Roman" w:hAnsi="Times New Roman" w:eastAsia="宋体" w:cs="Times New Roman"/>
          <w:b/>
          <w:sz w:val="28"/>
          <w:szCs w:val="28"/>
        </w:rPr>
        <w:t>、课程考核</w:t>
      </w:r>
    </w:p>
    <w:p w14:paraId="18932C5D">
      <w:pPr>
        <w:spacing w:line="360" w:lineRule="auto"/>
        <w:ind w:firstLine="482" w:firstLineChars="200"/>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（一）</w:t>
      </w:r>
      <w:r>
        <w:rPr>
          <w:rFonts w:ascii="Times New Roman" w:hAnsi="Times New Roman" w:eastAsia="宋体" w:cs="Times New Roman"/>
          <w:b/>
          <w:color w:val="000000"/>
          <w:sz w:val="24"/>
        </w:rPr>
        <w:t>考核资料要求</w:t>
      </w:r>
    </w:p>
    <w:p w14:paraId="6119AE78">
      <w:pPr>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1.教育研习手册填写完整。</w:t>
      </w:r>
    </w:p>
    <w:p w14:paraId="314724C2">
      <w:pPr>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2.教育研习案例分析报告一份。</w:t>
      </w:r>
    </w:p>
    <w:p w14:paraId="115A0749">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hint="eastAsia" w:ascii="Times New Roman" w:hAnsi="Times New Roman" w:eastAsia="宋体" w:cs="Times New Roman"/>
          <w:color w:val="000000"/>
          <w:sz w:val="24"/>
        </w:rPr>
        <w:t>教育研习总结P</w:t>
      </w:r>
      <w:r>
        <w:rPr>
          <w:rFonts w:ascii="Times New Roman" w:hAnsi="Times New Roman" w:eastAsia="宋体" w:cs="Times New Roman"/>
          <w:color w:val="000000"/>
          <w:sz w:val="24"/>
        </w:rPr>
        <w:t>PT</w:t>
      </w:r>
      <w:r>
        <w:rPr>
          <w:rFonts w:hint="eastAsia" w:ascii="Times New Roman" w:hAnsi="Times New Roman" w:eastAsia="宋体" w:cs="Times New Roman"/>
          <w:color w:val="000000"/>
          <w:sz w:val="24"/>
        </w:rPr>
        <w:t>一份。</w:t>
      </w:r>
    </w:p>
    <w:p w14:paraId="45D64912">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rPr>
        <w:t>.教育研习鉴定表每人一份，</w:t>
      </w:r>
      <w:r>
        <w:rPr>
          <w:rFonts w:ascii="Times New Roman" w:hAnsi="Times New Roman" w:eastAsia="宋体" w:cs="Times New Roman"/>
          <w:color w:val="000000"/>
          <w:sz w:val="24"/>
        </w:rPr>
        <w:t>有</w:t>
      </w:r>
      <w:r>
        <w:rPr>
          <w:rFonts w:hint="eastAsia" w:ascii="Times New Roman" w:hAnsi="Times New Roman" w:eastAsia="宋体" w:cs="Times New Roman"/>
          <w:color w:val="000000"/>
          <w:sz w:val="24"/>
        </w:rPr>
        <w:t>研习</w:t>
      </w:r>
      <w:r>
        <w:rPr>
          <w:rFonts w:ascii="Times New Roman" w:hAnsi="Times New Roman" w:eastAsia="宋体" w:cs="Times New Roman"/>
          <w:color w:val="000000"/>
          <w:sz w:val="24"/>
        </w:rPr>
        <w:t>学校</w:t>
      </w:r>
      <w:r>
        <w:rPr>
          <w:rFonts w:hint="eastAsia" w:ascii="Times New Roman" w:hAnsi="Times New Roman" w:eastAsia="宋体" w:cs="Times New Roman"/>
          <w:color w:val="000000"/>
          <w:sz w:val="24"/>
        </w:rPr>
        <w:t>实践导师</w:t>
      </w:r>
      <w:r>
        <w:rPr>
          <w:rFonts w:ascii="Times New Roman" w:hAnsi="Times New Roman" w:eastAsia="宋体" w:cs="Times New Roman"/>
          <w:color w:val="000000"/>
          <w:sz w:val="24"/>
        </w:rPr>
        <w:t>和班主任的评语及打分，并有</w:t>
      </w:r>
      <w:r>
        <w:rPr>
          <w:rFonts w:hint="eastAsia" w:ascii="Times New Roman" w:hAnsi="Times New Roman" w:eastAsia="宋体" w:cs="Times New Roman"/>
          <w:color w:val="000000"/>
          <w:sz w:val="24"/>
        </w:rPr>
        <w:t>研习</w:t>
      </w:r>
      <w:r>
        <w:rPr>
          <w:rFonts w:ascii="Times New Roman" w:hAnsi="Times New Roman" w:eastAsia="宋体" w:cs="Times New Roman"/>
          <w:color w:val="000000"/>
          <w:sz w:val="24"/>
        </w:rPr>
        <w:t>学校的意见</w:t>
      </w:r>
      <w:r>
        <w:rPr>
          <w:rFonts w:hint="eastAsia" w:ascii="Times New Roman" w:hAnsi="Times New Roman" w:eastAsia="宋体" w:cs="Times New Roman"/>
          <w:color w:val="000000"/>
          <w:sz w:val="24"/>
        </w:rPr>
        <w:t>和</w:t>
      </w:r>
      <w:r>
        <w:rPr>
          <w:rFonts w:ascii="Times New Roman" w:hAnsi="Times New Roman" w:eastAsia="宋体" w:cs="Times New Roman"/>
          <w:color w:val="000000"/>
          <w:sz w:val="24"/>
        </w:rPr>
        <w:t>本校指导教师的</w:t>
      </w:r>
      <w:r>
        <w:rPr>
          <w:rFonts w:hint="eastAsia" w:ascii="Times New Roman" w:hAnsi="Times New Roman" w:eastAsia="宋体" w:cs="Times New Roman"/>
          <w:color w:val="000000"/>
          <w:sz w:val="24"/>
        </w:rPr>
        <w:t>评语评分</w:t>
      </w:r>
      <w:r>
        <w:rPr>
          <w:rFonts w:ascii="Times New Roman" w:hAnsi="Times New Roman" w:eastAsia="宋体" w:cs="Times New Roman"/>
          <w:color w:val="000000"/>
          <w:sz w:val="24"/>
        </w:rPr>
        <w:t>及签字。</w:t>
      </w:r>
    </w:p>
    <w:p w14:paraId="48BE114E">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（二）课程目标达成度计算方法</w:t>
      </w:r>
    </w:p>
    <w:p w14:paraId="3EAAA80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3FD6525">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82"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82" DrawAspect="Content" ObjectID="_1468075782" r:id="rId68">
            <o:LockedField>false</o:LockedField>
          </o:OLEObject>
        </w:object>
      </w:r>
    </w:p>
    <w:p w14:paraId="1B1E0A4B">
      <w:pPr>
        <w:spacing w:line="360" w:lineRule="auto"/>
        <w:jc w:val="left"/>
        <w:rPr>
          <w:rFonts w:ascii="Times New Roman" w:hAnsi="Times New Roman" w:eastAsia="宋体" w:cs="Times New Roman"/>
          <w:b/>
          <w:bCs/>
          <w:sz w:val="24"/>
        </w:rPr>
      </w:pPr>
      <w:r>
        <w:rPr>
          <w:rFonts w:hint="eastAsia" w:ascii="宋体" w:hAnsi="宋体" w:eastAsia="宋体" w:cs="Times New Roman"/>
          <w:b/>
          <w:color w:val="000000"/>
          <w:sz w:val="24"/>
        </w:rPr>
        <w:t>七、有关说明</w:t>
      </w:r>
    </w:p>
    <w:p w14:paraId="6A7DAE8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29D04E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根据学生研习情况、研习学校反馈、学生作业、见习态度、调查报告、文本研读情况及时发现和改进教学中的不足之处，确保相应毕业要求指标点达成。</w:t>
      </w:r>
    </w:p>
    <w:p w14:paraId="0CD1CA91">
      <w:pPr>
        <w:spacing w:line="360" w:lineRule="auto"/>
        <w:jc w:val="left"/>
        <w:rPr>
          <w:rFonts w:ascii="Times New Roman" w:hAnsi="Times New Roman" w:eastAsia="宋体" w:cs="Times New Roman"/>
          <w:b/>
          <w:szCs w:val="21"/>
        </w:rPr>
      </w:pPr>
    </w:p>
    <w:p w14:paraId="6754DC7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D99A4A1">
      <w:pPr>
        <w:spacing w:line="336" w:lineRule="auto"/>
        <w:ind w:firstLine="420" w:firstLineChars="200"/>
        <w:rPr>
          <w:rFonts w:ascii="Times New Roman" w:hAnsi="Times New Roman" w:eastAsia="宋体" w:cs="Times New Roman"/>
          <w:bCs/>
          <w:color w:val="000000"/>
          <w:szCs w:val="21"/>
        </w:rPr>
      </w:pPr>
      <w:r>
        <w:rPr>
          <w:rFonts w:ascii="Times New Roman" w:hAnsi="Times New Roman" w:eastAsia="宋体" w:cs="Times New Roman"/>
          <w:bCs/>
          <w:color w:val="000000"/>
          <w:szCs w:val="21"/>
        </w:rPr>
        <w:t>1.</w:t>
      </w:r>
      <w:r>
        <w:rPr>
          <w:rFonts w:hint="eastAsia" w:ascii="Times New Roman" w:hAnsi="Times New Roman" w:eastAsia="宋体" w:cs="Times New Roman"/>
          <w:bCs/>
          <w:color w:val="000000"/>
          <w:szCs w:val="21"/>
        </w:rPr>
        <w:t>义务教育小学语文/数学学科课程标准，最新版。</w:t>
      </w:r>
    </w:p>
    <w:p w14:paraId="4A4D9C90">
      <w:pPr>
        <w:spacing w:line="336" w:lineRule="auto"/>
        <w:ind w:firstLine="420" w:firstLineChars="200"/>
        <w:rPr>
          <w:rFonts w:ascii="Times New Roman" w:hAnsi="Times New Roman" w:eastAsia="宋体" w:cs="Times New Roman"/>
          <w:bCs/>
          <w:color w:val="000000"/>
          <w:szCs w:val="21"/>
        </w:rPr>
      </w:pPr>
      <w:r>
        <w:rPr>
          <w:rFonts w:ascii="Times New Roman" w:hAnsi="Times New Roman" w:eastAsia="宋体" w:cs="Times New Roman"/>
          <w:bCs/>
          <w:color w:val="000000"/>
          <w:szCs w:val="21"/>
        </w:rPr>
        <w:t>2.</w:t>
      </w:r>
      <w:r>
        <w:rPr>
          <w:rFonts w:hint="eastAsia" w:ascii="Times New Roman" w:hAnsi="Times New Roman" w:eastAsia="宋体" w:cs="Times New Roman"/>
          <w:bCs/>
          <w:color w:val="000000"/>
          <w:szCs w:val="21"/>
        </w:rPr>
        <w:t>部编版小学语文/数学各年级教材。</w:t>
      </w:r>
    </w:p>
    <w:p w14:paraId="1E7C259E">
      <w:pPr>
        <w:spacing w:line="336" w:lineRule="auto"/>
        <w:ind w:firstLine="420" w:firstLineChars="200"/>
        <w:rPr>
          <w:rFonts w:ascii="Times New Roman" w:hAnsi="Times New Roman" w:eastAsia="宋体" w:cs="Times New Roman"/>
          <w:bCs/>
          <w:color w:val="000000"/>
          <w:szCs w:val="21"/>
        </w:rPr>
      </w:pPr>
      <w:r>
        <w:rPr>
          <w:rFonts w:ascii="Times New Roman" w:hAnsi="Times New Roman" w:eastAsia="宋体" w:cs="Times New Roman"/>
          <w:bCs/>
          <w:color w:val="000000"/>
          <w:szCs w:val="21"/>
        </w:rPr>
        <w:t>3.《中小学教育专业见习实习研习实用手册》，金建生、刘雄英编著, 上海 交大出版社，2020年12月.</w:t>
      </w:r>
    </w:p>
    <w:p w14:paraId="1BBBE80E">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w:t>
      </w:r>
      <w:r>
        <w:rPr>
          <w:rFonts w:ascii="Times New Roman" w:hAnsi="Times New Roman" w:eastAsia="宋体" w:cs="Times New Roman"/>
          <w:bCs/>
          <w:color w:val="000000"/>
          <w:szCs w:val="21"/>
        </w:rPr>
        <w:t>.陈国庆等编著. 教育研究方法[M].武汉：华中师范大学出版社，2018.</w:t>
      </w:r>
    </w:p>
    <w:p w14:paraId="12C229C5">
      <w:pPr>
        <w:adjustRightInd w:val="0"/>
        <w:snapToGrid w:val="0"/>
        <w:spacing w:line="480" w:lineRule="exact"/>
        <w:rPr>
          <w:rFonts w:ascii="宋体" w:hAnsi="Times New Roman"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执笔人：</w:t>
      </w:r>
      <w:r>
        <w:rPr>
          <w:rFonts w:ascii="宋体" w:hAnsi="Times New Roman" w:eastAsia="宋体" w:cs="Times New Roman"/>
          <w:color w:val="000000"/>
          <w:sz w:val="24"/>
        </w:rPr>
        <w:t xml:space="preserve"> </w:t>
      </w:r>
      <w:r>
        <w:rPr>
          <w:rFonts w:hint="eastAsia" w:ascii="宋体" w:hAnsi="Times New Roman" w:eastAsia="宋体" w:cs="Times New Roman"/>
          <w:color w:val="000000"/>
          <w:sz w:val="24"/>
        </w:rPr>
        <w:t>刘 丽</w:t>
      </w:r>
    </w:p>
    <w:p w14:paraId="3DC92563">
      <w:pPr>
        <w:adjustRightInd w:val="0"/>
        <w:snapToGrid w:val="0"/>
        <w:spacing w:line="480" w:lineRule="exact"/>
        <w:rPr>
          <w:rFonts w:hint="eastAsia" w:ascii="宋体" w:hAnsi="宋体"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审定人：</w:t>
      </w:r>
      <w:r>
        <w:rPr>
          <w:rFonts w:ascii="宋体" w:hAnsi="宋体" w:eastAsia="宋体" w:cs="Times New Roman"/>
          <w:color w:val="000000"/>
          <w:sz w:val="24"/>
        </w:rPr>
        <w:t xml:space="preserve"> </w:t>
      </w:r>
      <w:r>
        <w:rPr>
          <w:rFonts w:hint="eastAsia" w:ascii="宋体" w:hAnsi="宋体" w:eastAsia="宋体" w:cs="Times New Roman"/>
          <w:color w:val="000000"/>
          <w:sz w:val="24"/>
        </w:rPr>
        <w:t>王健</w:t>
      </w:r>
    </w:p>
    <w:p w14:paraId="68AC10FE">
      <w:pPr>
        <w:adjustRightInd w:val="0"/>
        <w:snapToGrid w:val="0"/>
        <w:spacing w:line="480" w:lineRule="exact"/>
        <w:rPr>
          <w:rFonts w:ascii="宋体" w:hAnsi="Times New Roman"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审批人：</w:t>
      </w:r>
      <w:r>
        <w:rPr>
          <w:rFonts w:ascii="宋体" w:hAnsi="Times New Roman" w:eastAsia="宋体" w:cs="Times New Roman"/>
          <w:color w:val="000000"/>
          <w:sz w:val="24"/>
        </w:rPr>
        <w:t xml:space="preserve"> </w:t>
      </w:r>
      <w:r>
        <w:rPr>
          <w:rFonts w:hint="eastAsia" w:ascii="宋体" w:hAnsi="Times New Roman" w:eastAsia="宋体" w:cs="Times New Roman"/>
          <w:color w:val="000000"/>
          <w:sz w:val="24"/>
        </w:rPr>
        <w:t>张志欣</w:t>
      </w:r>
    </w:p>
    <w:p w14:paraId="2C14CBCC">
      <w:pPr>
        <w:jc w:val="right"/>
        <w:rPr>
          <w:rFonts w:hint="eastAsia" w:ascii="宋体" w:hAnsi="宋体" w:eastAsia="宋体" w:cs="Times New Roman"/>
          <w:color w:val="000000"/>
          <w:sz w:val="24"/>
        </w:rPr>
      </w:pPr>
      <w:r>
        <w:rPr>
          <w:rFonts w:ascii="宋体" w:hAnsi="宋体" w:eastAsia="宋体" w:cs="Times New Roman"/>
          <w:color w:val="000000"/>
          <w:sz w:val="24"/>
        </w:rPr>
        <w:t xml:space="preserve">                                           </w:t>
      </w:r>
      <w:r>
        <w:rPr>
          <w:rFonts w:hint="eastAsia" w:ascii="宋体" w:hAnsi="宋体" w:eastAsia="宋体" w:cs="Times New Roman"/>
          <w:color w:val="000000"/>
          <w:sz w:val="24"/>
        </w:rPr>
        <w:t>批准时间：</w:t>
      </w:r>
      <w:r>
        <w:rPr>
          <w:rFonts w:ascii="宋体" w:hAnsi="宋体" w:eastAsia="宋体" w:cs="Times New Roman"/>
          <w:color w:val="000000"/>
          <w:sz w:val="24"/>
        </w:rPr>
        <w:t>202</w:t>
      </w:r>
      <w:r>
        <w:rPr>
          <w:rFonts w:hint="eastAsia" w:ascii="宋体" w:hAnsi="宋体" w:eastAsia="宋体" w:cs="Times New Roman"/>
          <w:color w:val="000000"/>
          <w:sz w:val="24"/>
        </w:rPr>
        <w:t>4年8月</w:t>
      </w:r>
      <w:r>
        <w:rPr>
          <w:rFonts w:ascii="宋体" w:hAnsi="宋体" w:eastAsia="宋体" w:cs="Times New Roman"/>
          <w:color w:val="000000"/>
          <w:sz w:val="24"/>
        </w:rPr>
        <w:t>3</w:t>
      </w:r>
      <w:r>
        <w:rPr>
          <w:rFonts w:hint="eastAsia" w:ascii="宋体" w:hAnsi="宋体" w:eastAsia="宋体" w:cs="Times New Roman"/>
          <w:color w:val="000000"/>
          <w:sz w:val="24"/>
        </w:rPr>
        <w:t>1日</w:t>
      </w:r>
    </w:p>
    <w:p w14:paraId="34DB1DB0">
      <w:pPr>
        <w:rPr>
          <w:rFonts w:hint="eastAsia" w:ascii="宋体" w:hAnsi="宋体" w:eastAsia="宋体" w:cs="Times New Roman"/>
          <w:color w:val="000000"/>
          <w:sz w:val="24"/>
        </w:rPr>
      </w:pPr>
      <w:r>
        <w:rPr>
          <w:rFonts w:hint="eastAsia" w:ascii="宋体" w:hAnsi="宋体" w:eastAsia="宋体" w:cs="Times New Roman"/>
          <w:color w:val="000000"/>
          <w:sz w:val="24"/>
        </w:rPr>
        <w:br w:type="page"/>
      </w:r>
    </w:p>
    <w:p w14:paraId="550EB4D7">
      <w:pPr>
        <w:pStyle w:val="2"/>
        <w:tabs>
          <w:tab w:val="left" w:pos="720"/>
          <w:tab w:val="left" w:pos="2700"/>
        </w:tabs>
      </w:pPr>
      <w:bookmarkStart w:id="302" w:name="_Toc8561"/>
      <w:bookmarkStart w:id="303" w:name="_Toc10340"/>
      <w:r>
        <w:rPr>
          <w:rFonts w:hint="eastAsia"/>
        </w:rPr>
        <w:t>《教育实习II》课程教学大纲</w:t>
      </w:r>
      <w:bookmarkEnd w:id="302"/>
      <w:bookmarkEnd w:id="303"/>
    </w:p>
    <w:p w14:paraId="303C7605">
      <w:pPr>
        <w:spacing w:line="360" w:lineRule="auto"/>
        <w:jc w:val="center"/>
        <w:rPr>
          <w:rFonts w:ascii="Times New Roman" w:hAnsi="Times New Roman" w:eastAsia="宋体" w:cs="Times New Roman"/>
          <w:bCs/>
          <w:sz w:val="30"/>
          <w:szCs w:val="30"/>
        </w:rPr>
      </w:pPr>
      <w:r>
        <w:rPr>
          <w:rFonts w:hint="eastAsia" w:ascii="Times New Roman" w:hAnsi="Times New Roman" w:eastAsia="宋体" w:cs="Times New Roman"/>
          <w:b/>
          <w:sz w:val="44"/>
          <w:szCs w:val="44"/>
        </w:rPr>
        <w:t>（Educational Practice II）</w:t>
      </w:r>
    </w:p>
    <w:p w14:paraId="1A887676">
      <w:pPr>
        <w:spacing w:line="360" w:lineRule="auto"/>
        <w:ind w:firstLine="482" w:firstLineChars="200"/>
        <w:jc w:val="left"/>
        <w:rPr>
          <w:rFonts w:ascii="Times New Roman" w:hAnsi="Times New Roman" w:eastAsia="宋体" w:cs="Times New Roman"/>
          <w:b/>
          <w:sz w:val="24"/>
        </w:rPr>
      </w:pPr>
    </w:p>
    <w:p w14:paraId="00353BC7">
      <w:pPr>
        <w:spacing w:line="360" w:lineRule="auto"/>
        <w:ind w:firstLine="482" w:firstLineChars="200"/>
        <w:jc w:val="left"/>
        <w:rPr>
          <w:rFonts w:ascii="Times New Roman" w:hAnsi="Times New Roman" w:eastAsia="宋体" w:cs="Times New Roman"/>
          <w:b/>
          <w:sz w:val="24"/>
        </w:rPr>
      </w:pPr>
    </w:p>
    <w:p w14:paraId="1542E98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课程名称：教育实习II</w:t>
      </w:r>
    </w:p>
    <w:p w14:paraId="4305CEA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课程代码：2401051</w:t>
      </w:r>
    </w:p>
    <w:p w14:paraId="50D52F5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分：2</w:t>
      </w:r>
    </w:p>
    <w:p w14:paraId="1D851C4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时：8周</w:t>
      </w:r>
    </w:p>
    <w:p w14:paraId="1699BDB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先修课程：小学心理学、教育原理、中国教育史、书写技能、普通话训练、课程与教学论、教育心理学、教育见习Ⅰ、教育见习Ⅱ、教育实习Ⅰ等。</w:t>
      </w:r>
    </w:p>
    <w:p w14:paraId="230EB4C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0639CD60">
      <w:pPr>
        <w:spacing w:line="360" w:lineRule="auto"/>
        <w:rPr>
          <w:rFonts w:ascii="Times New Roman" w:hAnsi="Times New Roman" w:eastAsia="宋体" w:cs="Times New Roman"/>
          <w:b/>
          <w:sz w:val="24"/>
        </w:rPr>
      </w:pPr>
    </w:p>
    <w:p w14:paraId="72888D40">
      <w:pPr>
        <w:spacing w:line="360" w:lineRule="auto"/>
        <w:rPr>
          <w:rFonts w:ascii="Times New Roman" w:hAnsi="Times New Roman" w:eastAsia="宋体" w:cs="Times New Roman"/>
          <w:b/>
          <w:sz w:val="24"/>
        </w:rPr>
      </w:pPr>
    </w:p>
    <w:p w14:paraId="7B9FC4FC">
      <w:pPr>
        <w:spacing w:line="360" w:lineRule="auto"/>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3B54F7C0">
      <w:pPr>
        <w:spacing w:before="156" w:beforeLines="50"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教育实习Ⅱ是小学教育专业重要的实践性环节。本课程的任务和目的是通过本次教育实习，学生能在活动中实现教学体验深刻化，教师角色的丰富化，专业与教育知识的情境化，教学基本技能的程序化，提升独立从事教学、班级管理及科研的能力，增强专业认同感，完成由师范生向一名准教师的转变。</w:t>
      </w:r>
    </w:p>
    <w:p w14:paraId="45B1527F">
      <w:pPr>
        <w:spacing w:before="156" w:before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4"/>
        </w:rPr>
        <w:t>二、课程目标</w:t>
      </w:r>
    </w:p>
    <w:p w14:paraId="3EB6B27F">
      <w:pPr>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（一）课程具体目标</w:t>
      </w:r>
    </w:p>
    <w:p w14:paraId="01EA7C3F">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目标1. 通过参与式的实习，深刻了解小学生和小学教育工作，增强教育职业认同感，坚定献身小学教育事业的专业信念。</w:t>
      </w:r>
    </w:p>
    <w:p w14:paraId="1BAD22A7">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目标2. 在实习指导老师的指导下，进一步发展教学设计、教学实施、教学评价及教学反思能力。</w:t>
      </w:r>
    </w:p>
    <w:p w14:paraId="5C172920">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目标3. 通过参与班级管理活动，深入了解小学生班级管理的基本方法和规律，学会处理日常教育教学工作中的突发性事件，具备独立从事班级管理的实践能力和智慧，理解小学生德育途径，增强小学生心理健康教育意识。</w:t>
      </w:r>
    </w:p>
    <w:p w14:paraId="7F9193E7">
      <w:pPr>
        <w:spacing w:line="360" w:lineRule="auto"/>
        <w:ind w:firstLine="420" w:firstLineChars="200"/>
        <w:rPr>
          <w:rFonts w:ascii="Times New Roman" w:hAnsi="Times New Roman" w:eastAsia="宋体" w:cs="Times New Roman"/>
          <w:b/>
          <w:bCs/>
          <w:szCs w:val="21"/>
        </w:rPr>
      </w:pPr>
      <w:r>
        <w:rPr>
          <w:rFonts w:hint="eastAsia" w:ascii="Times New Roman" w:hAnsi="Times New Roman" w:eastAsia="宋体" w:cs="Times New Roman"/>
          <w:szCs w:val="21"/>
        </w:rPr>
        <w:t>目标4.了解学校的文化建构、课程设置、教师日常工作的基本流程，认真观察并记录实习学校中有关的教育教学现象，并有针对性的结合相关理论进行反思，并习得与教师、学生、家长进行有效沟通技能和方法。</w:t>
      </w:r>
    </w:p>
    <w:p w14:paraId="0EE3F89C">
      <w:pPr>
        <w:numPr>
          <w:ilvl w:val="0"/>
          <w:numId w:val="63"/>
        </w:numPr>
        <w:spacing w:line="360" w:lineRule="auto"/>
        <w:ind w:firstLine="482" w:firstLineChars="200"/>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课程目标与专业毕业要求的关系</w:t>
      </w:r>
    </w:p>
    <w:tbl>
      <w:tblPr>
        <w:tblStyle w:val="13"/>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5914"/>
        <w:gridCol w:w="1286"/>
      </w:tblGrid>
      <w:tr w14:paraId="4EFF7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5AC53D88">
            <w:pPr>
              <w:adjustRightInd w:val="0"/>
              <w:snapToGrid w:val="0"/>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5914" w:type="dxa"/>
            <w:vAlign w:val="center"/>
          </w:tcPr>
          <w:p w14:paraId="5BD66179">
            <w:pPr>
              <w:adjustRightInd w:val="0"/>
              <w:snapToGrid w:val="0"/>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286" w:type="dxa"/>
            <w:vAlign w:val="center"/>
          </w:tcPr>
          <w:p w14:paraId="4A663B58">
            <w:pPr>
              <w:adjustRightInd w:val="0"/>
              <w:snapToGrid w:val="0"/>
              <w:spacing w:line="276" w:lineRule="auto"/>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78380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993D154">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毕业要求1</w:t>
            </w:r>
          </w:p>
          <w:p w14:paraId="76D25E7A">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师德规范</w:t>
            </w:r>
          </w:p>
        </w:tc>
        <w:tc>
          <w:tcPr>
            <w:tcW w:w="5914" w:type="dxa"/>
            <w:vAlign w:val="center"/>
          </w:tcPr>
          <w:p w14:paraId="7F7F5BC9">
            <w:pPr>
              <w:adjustRightInd w:val="0"/>
              <w:snapToGrid w:val="0"/>
              <w:spacing w:line="276" w:lineRule="auto"/>
              <w:rPr>
                <w:rFonts w:hint="eastAsia" w:ascii="宋体" w:hAnsi="宋体" w:cs="宋体"/>
                <w:szCs w:val="21"/>
              </w:rPr>
            </w:pPr>
            <w:r>
              <w:rPr>
                <w:rFonts w:hint="eastAsia" w:ascii="宋体" w:hAnsi="宋体" w:cs="宋体"/>
                <w:kern w:val="0"/>
                <w:szCs w:val="21"/>
              </w:rPr>
              <w:t>指标点</w:t>
            </w:r>
            <w:r>
              <w:rPr>
                <w:rFonts w:hint="eastAsia" w:ascii="宋体" w:hAnsi="宋体" w:cs="宋体"/>
                <w:szCs w:val="21"/>
              </w:rPr>
              <w:t>1-1：【理想信念坚定】了解我国国情及国际局势，深刻理解新时代中国特色社会主义思想内涵</w:t>
            </w:r>
            <w:r>
              <w:rPr>
                <w:rFonts w:hint="eastAsia" w:cs="宋体"/>
                <w:szCs w:val="21"/>
              </w:rPr>
              <w:t>；</w:t>
            </w:r>
            <w:r>
              <w:rPr>
                <w:rFonts w:hint="eastAsia" w:ascii="宋体" w:hAnsi="宋体" w:cs="宋体"/>
                <w:szCs w:val="21"/>
              </w:rPr>
              <w:t>认同中国特色社会主义，贯彻党的教育方针，自觉践行社会主义核心价值观</w:t>
            </w:r>
            <w:r>
              <w:rPr>
                <w:rFonts w:hint="eastAsia" w:cs="宋体"/>
                <w:szCs w:val="21"/>
              </w:rPr>
              <w:t>；认同教师劳动的价值，</w:t>
            </w:r>
            <w:r>
              <w:rPr>
                <w:rFonts w:hint="eastAsia" w:ascii="宋体" w:hAnsi="宋体" w:cs="宋体"/>
                <w:szCs w:val="21"/>
              </w:rPr>
              <w:t>树立职业理想，立志成为有理想信念、有道德情操、有扎实学识、有仁爱之心受学生爱戴的好老师。</w:t>
            </w:r>
          </w:p>
          <w:p w14:paraId="53F13CC2">
            <w:pPr>
              <w:adjustRightInd w:val="0"/>
              <w:snapToGrid w:val="0"/>
              <w:spacing w:line="276" w:lineRule="auto"/>
              <w:rPr>
                <w:rFonts w:hint="eastAsia" w:ascii="宋体" w:hAnsi="宋体" w:cs="宋体"/>
                <w:szCs w:val="21"/>
              </w:rPr>
            </w:pPr>
            <w:r>
              <w:rPr>
                <w:rFonts w:hint="eastAsia" w:ascii="宋体" w:hAnsi="宋体" w:cs="宋体"/>
                <w:szCs w:val="21"/>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286" w:type="dxa"/>
            <w:vAlign w:val="center"/>
          </w:tcPr>
          <w:p w14:paraId="68B4B95D">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课程目标1</w:t>
            </w:r>
          </w:p>
        </w:tc>
      </w:tr>
      <w:tr w14:paraId="47C46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915DBF2">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毕业要求2</w:t>
            </w:r>
          </w:p>
          <w:p w14:paraId="76A38018">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教育情怀</w:t>
            </w:r>
          </w:p>
        </w:tc>
        <w:tc>
          <w:tcPr>
            <w:tcW w:w="5914" w:type="dxa"/>
            <w:vAlign w:val="center"/>
          </w:tcPr>
          <w:p w14:paraId="797606DC">
            <w:pPr>
              <w:adjustRightInd w:val="0"/>
              <w:snapToGrid w:val="0"/>
              <w:spacing w:line="276" w:lineRule="auto"/>
              <w:rPr>
                <w:rFonts w:hint="eastAsia" w:ascii="宋体" w:hAnsi="宋体" w:cs="宋体"/>
                <w:szCs w:val="21"/>
              </w:rPr>
            </w:pPr>
            <w:r>
              <w:rPr>
                <w:rFonts w:hint="eastAsia" w:ascii="宋体" w:hAnsi="宋体" w:cs="宋体"/>
                <w:kern w:val="0"/>
                <w:szCs w:val="21"/>
              </w:rPr>
              <w:t>指标点</w:t>
            </w:r>
            <w:r>
              <w:rPr>
                <w:rFonts w:hint="eastAsia" w:ascii="宋体" w:hAnsi="宋体" w:cs="宋体"/>
                <w:szCs w:val="21"/>
              </w:rPr>
              <w:t>2-2：【仁爱之心深厚】关爱学生，用心从教。具有正确的儿童观，理解、尊重、关爱、保护学生，以儿童发展为教育的中心。爱岗敬业，在教育实践中能认真履行教育教学职责与班主任工作职责，富有爱心、责任心、工作细心、耐心</w:t>
            </w:r>
            <w:r>
              <w:rPr>
                <w:rFonts w:hint="eastAsia" w:cs="宋体"/>
                <w:szCs w:val="21"/>
              </w:rPr>
              <w:t>，</w:t>
            </w:r>
            <w:r>
              <w:rPr>
                <w:rFonts w:hint="eastAsia" w:cs="宋体"/>
                <w:kern w:val="0"/>
                <w:sz w:val="20"/>
                <w:szCs w:val="20"/>
                <w:lang w:bidi="ar"/>
              </w:rPr>
              <w:t>立志成为</w:t>
            </w:r>
            <w:r>
              <w:rPr>
                <w:rFonts w:hint="eastAsia" w:ascii="宋体" w:hAnsi="宋体" w:cs="宋体"/>
                <w:kern w:val="0"/>
                <w:sz w:val="20"/>
                <w:szCs w:val="20"/>
                <w:lang w:bidi="ar"/>
              </w:rPr>
              <w:t>学生学习的促进者、道德品质和创新思维的培养者，奉献祖国的引路人</w:t>
            </w:r>
            <w:r>
              <w:rPr>
                <w:rFonts w:hint="eastAsia" w:cs="宋体"/>
                <w:kern w:val="0"/>
                <w:sz w:val="20"/>
                <w:szCs w:val="20"/>
                <w:lang w:bidi="ar"/>
              </w:rPr>
              <w:t>。</w:t>
            </w:r>
          </w:p>
        </w:tc>
        <w:tc>
          <w:tcPr>
            <w:tcW w:w="1286" w:type="dxa"/>
            <w:vAlign w:val="center"/>
          </w:tcPr>
          <w:p w14:paraId="3FF226B9">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课程目标1</w:t>
            </w:r>
          </w:p>
        </w:tc>
      </w:tr>
      <w:tr w14:paraId="191F05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55304AFE">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毕业要求3</w:t>
            </w:r>
          </w:p>
          <w:p w14:paraId="38B9E5BD">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学科素养</w:t>
            </w:r>
          </w:p>
        </w:tc>
        <w:tc>
          <w:tcPr>
            <w:tcW w:w="5914" w:type="dxa"/>
            <w:vAlign w:val="center"/>
          </w:tcPr>
          <w:p w14:paraId="4EAF59FA">
            <w:pPr>
              <w:adjustRightInd w:val="0"/>
              <w:snapToGrid w:val="0"/>
              <w:spacing w:line="276" w:lineRule="auto"/>
              <w:rPr>
                <w:rFonts w:hint="eastAsia" w:ascii="宋体" w:hAnsi="宋体" w:cs="宋体"/>
                <w:kern w:val="0"/>
                <w:szCs w:val="21"/>
              </w:rPr>
            </w:pPr>
            <w:r>
              <w:rPr>
                <w:rFonts w:hint="eastAsia" w:ascii="宋体" w:hAnsi="宋体" w:cs="宋体"/>
                <w:kern w:val="0"/>
                <w:szCs w:val="21"/>
              </w:rPr>
              <w:t>指标点3-3：【教育教学知识牢固】掌握教育教学基本理论知识，熟悉所教学科课程标准和教材、教学内容。在教育教学实践中，具有一定的教材解读能力，具有依据课标进行教学的意识和习惯。</w:t>
            </w:r>
          </w:p>
        </w:tc>
        <w:tc>
          <w:tcPr>
            <w:tcW w:w="1286" w:type="dxa"/>
            <w:vAlign w:val="center"/>
          </w:tcPr>
          <w:p w14:paraId="381BAF40">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课程目标2</w:t>
            </w:r>
          </w:p>
        </w:tc>
      </w:tr>
      <w:tr w14:paraId="48687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56235592">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毕业要求4</w:t>
            </w:r>
          </w:p>
          <w:p w14:paraId="249699DB">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教学能力</w:t>
            </w:r>
          </w:p>
        </w:tc>
        <w:tc>
          <w:tcPr>
            <w:tcW w:w="5914" w:type="dxa"/>
            <w:shd w:val="clear" w:color="auto" w:fill="auto"/>
            <w:vAlign w:val="center"/>
          </w:tcPr>
          <w:p w14:paraId="40993BE7">
            <w:pPr>
              <w:adjustRightInd w:val="0"/>
              <w:snapToGrid w:val="0"/>
              <w:spacing w:line="276" w:lineRule="auto"/>
              <w:rPr>
                <w:color w:val="000000"/>
                <w:kern w:val="0"/>
                <w:szCs w:val="21"/>
              </w:rPr>
            </w:pPr>
            <w:r>
              <w:rPr>
                <w:rFonts w:hint="eastAsia"/>
                <w:color w:val="000000"/>
                <w:kern w:val="0"/>
                <w:szCs w:val="21"/>
              </w:rPr>
              <w:t>指标点4-1：【教学设计恰当】理解教材的编写逻辑和体系结构，合理掌握不同学段目标与内容的递进关系，具有依据课标进行教学的意识和习惯。能依据单元内容进行整体设计，科学合理地依据教学目标及内容设计。</w:t>
            </w:r>
          </w:p>
          <w:p w14:paraId="519BE27C">
            <w:pPr>
              <w:adjustRightInd w:val="0"/>
              <w:snapToGrid w:val="0"/>
              <w:spacing w:line="276" w:lineRule="auto"/>
              <w:rPr>
                <w:color w:val="000000"/>
                <w:kern w:val="0"/>
                <w:szCs w:val="21"/>
              </w:rPr>
            </w:pPr>
            <w:r>
              <w:rPr>
                <w:rFonts w:hint="eastAsia"/>
                <w:color w:val="000000"/>
                <w:kern w:val="0"/>
                <w:szCs w:val="21"/>
              </w:rPr>
              <w:t>指标点4-2：【教学实施与评价科学】掌握小学教师基本功技能，包括书写技能、沟通与表达技能、信息技术运用技能等。获得全面的小学教学体验，掌握学科教学的基本方法与策略，能独立进行教学设计、实施和评价。</w:t>
            </w:r>
          </w:p>
          <w:p w14:paraId="644C9985">
            <w:pPr>
              <w:adjustRightInd w:val="0"/>
              <w:snapToGrid w:val="0"/>
              <w:spacing w:line="276" w:lineRule="auto"/>
              <w:rPr>
                <w:rFonts w:hint="eastAsia" w:ascii="宋体" w:hAnsi="宋体" w:eastAsia="宋体" w:cs="Times New Roman"/>
                <w:color w:val="000000"/>
                <w:kern w:val="0"/>
                <w:szCs w:val="21"/>
              </w:rPr>
            </w:pPr>
            <w:r>
              <w:rPr>
                <w:color w:val="000000"/>
                <w:kern w:val="0"/>
                <w:szCs w:val="21"/>
              </w:rPr>
              <w:t>指标</w:t>
            </w:r>
            <w:r>
              <w:rPr>
                <w:rFonts w:hint="eastAsia" w:ascii="宋体" w:hAnsi="宋体" w:eastAsia="宋体" w:cs="Times New Roman"/>
                <w:szCs w:val="21"/>
              </w:rPr>
              <w:t>点4-3：</w:t>
            </w:r>
            <w:r>
              <w:rPr>
                <w:color w:val="000000"/>
                <w:szCs w:val="21"/>
              </w:rPr>
              <w:t>【具备教育研究能力】掌握教育研究的基本方法，结合小学教育教学实践进行研究，具有一定的教学研究能力。</w:t>
            </w:r>
          </w:p>
        </w:tc>
        <w:tc>
          <w:tcPr>
            <w:tcW w:w="1286" w:type="dxa"/>
            <w:shd w:val="clear" w:color="auto" w:fill="auto"/>
            <w:vAlign w:val="center"/>
          </w:tcPr>
          <w:p w14:paraId="69AA616D">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课程目标2</w:t>
            </w:r>
          </w:p>
        </w:tc>
      </w:tr>
      <w:tr w14:paraId="4A26A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69E3CD0C">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毕业要求5</w:t>
            </w:r>
          </w:p>
          <w:p w14:paraId="633E28F0">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班级管理</w:t>
            </w:r>
          </w:p>
        </w:tc>
        <w:tc>
          <w:tcPr>
            <w:tcW w:w="5914" w:type="dxa"/>
            <w:shd w:val="clear" w:color="auto" w:fill="auto"/>
            <w:vAlign w:val="center"/>
          </w:tcPr>
          <w:p w14:paraId="62B56863">
            <w:pPr>
              <w:adjustRightInd w:val="0"/>
              <w:snapToGrid w:val="0"/>
              <w:spacing w:line="276" w:lineRule="auto"/>
              <w:rPr>
                <w:color w:val="000000"/>
                <w:kern w:val="0"/>
                <w:szCs w:val="21"/>
              </w:rPr>
            </w:pPr>
            <w:r>
              <w:rPr>
                <w:rFonts w:hint="eastAsia"/>
                <w:color w:val="000000"/>
                <w:kern w:val="0"/>
                <w:szCs w:val="21"/>
              </w:rPr>
              <w:t>指标点5-1：【擅长班队管理】具有小学德育工作体验，树立德育为先的理念，熟悉小学德育的基本原理与方法。获得小学班队组织与建设的体验。掌握小学班队组织与建设的工作规律和基本方法，具有班队建设和管理的基本能力。</w:t>
            </w:r>
          </w:p>
          <w:p w14:paraId="647278B3">
            <w:pPr>
              <w:adjustRightInd w:val="0"/>
              <w:snapToGrid w:val="0"/>
              <w:spacing w:line="276" w:lineRule="auto"/>
              <w:rPr>
                <w:color w:val="000000"/>
                <w:kern w:val="0"/>
                <w:szCs w:val="21"/>
              </w:rPr>
            </w:pPr>
            <w:r>
              <w:rPr>
                <w:rFonts w:hint="eastAsia"/>
                <w:color w:val="000000"/>
                <w:kern w:val="0"/>
                <w:szCs w:val="21"/>
              </w:rPr>
              <w:t>指标点5-2：【重视心理健康教育】了解小学生身体、情感发展的特性和差异性，获得小学心理健康教育指导体验，在教育教学实践中，参与组织与指导对小学生心理健康教育的科普宣传及心理辅导，掌握小学心理健康教育的基本方法。</w:t>
            </w:r>
          </w:p>
        </w:tc>
        <w:tc>
          <w:tcPr>
            <w:tcW w:w="1286" w:type="dxa"/>
            <w:shd w:val="clear" w:color="auto" w:fill="auto"/>
            <w:vAlign w:val="center"/>
          </w:tcPr>
          <w:p w14:paraId="168D69F5">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课程目标3</w:t>
            </w:r>
          </w:p>
        </w:tc>
      </w:tr>
      <w:tr w14:paraId="72072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4860450E">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毕业要求6</w:t>
            </w:r>
          </w:p>
          <w:p w14:paraId="3046184F">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综合育人</w:t>
            </w:r>
          </w:p>
        </w:tc>
        <w:tc>
          <w:tcPr>
            <w:tcW w:w="5914" w:type="dxa"/>
            <w:shd w:val="clear" w:color="auto" w:fill="auto"/>
            <w:vAlign w:val="center"/>
          </w:tcPr>
          <w:p w14:paraId="0C1F4999">
            <w:pPr>
              <w:adjustRightInd w:val="0"/>
              <w:snapToGrid w:val="0"/>
              <w:spacing w:line="276" w:lineRule="auto"/>
              <w:rPr>
                <w:color w:val="000000"/>
                <w:kern w:val="0"/>
                <w:szCs w:val="21"/>
              </w:rPr>
            </w:pPr>
            <w:r>
              <w:rPr>
                <w:rFonts w:hint="eastAsia"/>
                <w:color w:val="000000"/>
                <w:kern w:val="0"/>
                <w:szCs w:val="21"/>
              </w:rPr>
              <w:t>指标点6-1：【遵循身心规律】了解不同年龄以及有特殊需要的小学生的身心发展特点和规律、不同年龄小学生学习的特点，掌握小学生良好行为习惯养成的知识。</w:t>
            </w:r>
          </w:p>
          <w:p w14:paraId="27571D38">
            <w:pPr>
              <w:adjustRightInd w:val="0"/>
              <w:snapToGrid w:val="0"/>
              <w:spacing w:line="276" w:lineRule="auto"/>
              <w:rPr>
                <w:color w:val="000000"/>
                <w:kern w:val="0"/>
                <w:szCs w:val="21"/>
              </w:rPr>
            </w:pPr>
            <w:r>
              <w:rPr>
                <w:rFonts w:hint="eastAsia"/>
                <w:color w:val="000000"/>
                <w:kern w:val="0"/>
                <w:szCs w:val="21"/>
              </w:rPr>
              <w:t>指标点6-2：【胜任学科育人】具有教书育人的意识，理解学科核心素养和拟任教学科课程独特的育人功能，在教育教学实践中，具备结合学科教学进行育人的意识与能力，注重学科教学中思想政治教育的渗透。</w:t>
            </w:r>
          </w:p>
          <w:p w14:paraId="5408AE61">
            <w:pPr>
              <w:adjustRightInd w:val="0"/>
              <w:snapToGrid w:val="0"/>
              <w:spacing w:line="276" w:lineRule="auto"/>
              <w:rPr>
                <w:color w:val="000000"/>
                <w:kern w:val="0"/>
                <w:szCs w:val="21"/>
              </w:rPr>
            </w:pPr>
            <w:r>
              <w:rPr>
                <w:rFonts w:hint="eastAsia" w:ascii="宋体" w:hAnsi="宋体" w:cs="宋体"/>
                <w:kern w:val="0"/>
                <w:szCs w:val="21"/>
              </w:rPr>
              <w:t>指标点</w:t>
            </w:r>
            <w:r>
              <w:rPr>
                <w:rFonts w:hint="eastAsia" w:ascii="宋体" w:hAnsi="宋体" w:cs="宋体"/>
                <w:szCs w:val="21"/>
              </w:rPr>
              <w:t>6-3：【善于文化与活动育人】了解课外活动组织和管理知识，掌握学校文化和各类课外教育活动的育人内涵和方法，在教育教学实践中，参与组织主题教育、少先队活动和社团活动，促进小学生全面、健康发展。</w:t>
            </w:r>
          </w:p>
        </w:tc>
        <w:tc>
          <w:tcPr>
            <w:tcW w:w="1286" w:type="dxa"/>
            <w:shd w:val="clear" w:color="auto" w:fill="auto"/>
            <w:vAlign w:val="center"/>
          </w:tcPr>
          <w:p w14:paraId="6C16B28D">
            <w:pPr>
              <w:adjustRightInd w:val="0"/>
              <w:snapToGrid w:val="0"/>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课程目标2</w:t>
            </w:r>
          </w:p>
          <w:p w14:paraId="3DCCB9F8">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kern w:val="0"/>
                <w:szCs w:val="21"/>
              </w:rPr>
              <w:t>课程目标3</w:t>
            </w:r>
          </w:p>
        </w:tc>
      </w:tr>
      <w:tr w14:paraId="7DBE6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17121DAD">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毕业要求7</w:t>
            </w:r>
          </w:p>
          <w:p w14:paraId="2D09316B">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学会反思</w:t>
            </w:r>
          </w:p>
        </w:tc>
        <w:tc>
          <w:tcPr>
            <w:tcW w:w="5914" w:type="dxa"/>
            <w:vAlign w:val="center"/>
          </w:tcPr>
          <w:p w14:paraId="54B998DB">
            <w:pPr>
              <w:adjustRightInd w:val="0"/>
              <w:snapToGrid w:val="0"/>
              <w:spacing w:line="276" w:lineRule="auto"/>
              <w:rPr>
                <w:rFonts w:hint="eastAsia" w:ascii="宋体" w:hAnsi="宋体" w:eastAsia="宋体" w:cs="Times New Roman"/>
                <w:color w:val="000000"/>
                <w:kern w:val="0"/>
                <w:szCs w:val="21"/>
              </w:rPr>
            </w:pPr>
            <w:r>
              <w:rPr>
                <w:rFonts w:hint="eastAsia" w:ascii="宋体" w:hAnsi="宋体" w:eastAsia="宋体" w:cs="Times New Roman"/>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286" w:type="dxa"/>
            <w:vAlign w:val="center"/>
          </w:tcPr>
          <w:p w14:paraId="6F29F23B">
            <w:pPr>
              <w:adjustRightInd w:val="0"/>
              <w:snapToGrid w:val="0"/>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课程目标2</w:t>
            </w:r>
          </w:p>
          <w:p w14:paraId="373EB81F">
            <w:pPr>
              <w:adjustRightInd w:val="0"/>
              <w:snapToGrid w:val="0"/>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课程目标3</w:t>
            </w:r>
          </w:p>
          <w:p w14:paraId="7C2A4C4F">
            <w:pPr>
              <w:adjustRightInd w:val="0"/>
              <w:snapToGrid w:val="0"/>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课程目标4</w:t>
            </w:r>
          </w:p>
        </w:tc>
      </w:tr>
      <w:tr w14:paraId="0C734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Align w:val="center"/>
          </w:tcPr>
          <w:p w14:paraId="0C2B9230">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毕业要求8</w:t>
            </w:r>
          </w:p>
          <w:p w14:paraId="7E93E1B9">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沟通能力</w:t>
            </w:r>
          </w:p>
        </w:tc>
        <w:tc>
          <w:tcPr>
            <w:tcW w:w="5914" w:type="dxa"/>
            <w:vAlign w:val="center"/>
          </w:tcPr>
          <w:p w14:paraId="0A476F72">
            <w:pPr>
              <w:adjustRightInd w:val="0"/>
              <w:snapToGrid w:val="0"/>
              <w:spacing w:line="276" w:lineRule="auto"/>
              <w:rPr>
                <w:rFonts w:hint="eastAsia" w:ascii="宋体" w:hAnsi="宋体" w:eastAsia="宋体" w:cs="Times New Roman"/>
                <w:szCs w:val="21"/>
              </w:rPr>
            </w:pPr>
            <w:r>
              <w:rPr>
                <w:rFonts w:hint="eastAsia" w:ascii="宋体" w:hAnsi="宋体" w:eastAsia="宋体" w:cs="Times New Roman"/>
                <w:szCs w:val="21"/>
              </w:rPr>
              <w:t>指标点8-1：【善于团队合作】理解学习共同体的本质和价值，掌握团队协作的基本策略，在课堂学习与教育实践中获得合作学习体验，形成团队协作精神。</w:t>
            </w:r>
          </w:p>
          <w:p w14:paraId="718B17FE">
            <w:pPr>
              <w:adjustRightInd w:val="0"/>
              <w:snapToGrid w:val="0"/>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szCs w:val="21"/>
              </w:rPr>
              <w:t>指标点8-2：【学会沟通交流】掌握人际沟通合作技能与方法，能与学生和家长以及同行、同事、专家进行有效沟通与合作，实现共同发展。</w:t>
            </w:r>
          </w:p>
        </w:tc>
        <w:tc>
          <w:tcPr>
            <w:tcW w:w="1286" w:type="dxa"/>
            <w:vAlign w:val="center"/>
          </w:tcPr>
          <w:p w14:paraId="0024523B">
            <w:pPr>
              <w:shd w:val="clear" w:color="auto" w:fill="FFFFFF"/>
              <w:adjustRightInd w:val="0"/>
              <w:snapToGrid w:val="0"/>
              <w:spacing w:line="276" w:lineRule="auto"/>
              <w:jc w:val="left"/>
              <w:rPr>
                <w:rFonts w:ascii="Times New Roman" w:hAnsi="Times New Roman" w:eastAsia="宋体" w:cs="Times New Roman"/>
                <w:color w:val="000000"/>
                <w:szCs w:val="23"/>
              </w:rPr>
            </w:pPr>
            <w:r>
              <w:rPr>
                <w:rFonts w:hint="eastAsia" w:ascii="Times New Roman" w:hAnsi="Times New Roman" w:eastAsia="宋体" w:cs="Times New Roman"/>
                <w:color w:val="000000"/>
                <w:szCs w:val="23"/>
              </w:rPr>
              <w:t>课程目标4</w:t>
            </w:r>
          </w:p>
        </w:tc>
      </w:tr>
    </w:tbl>
    <w:p w14:paraId="3D205C41">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（三）课程思政目标</w:t>
      </w:r>
    </w:p>
    <w:p w14:paraId="1D7FF2D0">
      <w:pPr>
        <w:spacing w:line="360" w:lineRule="auto"/>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自觉践行社会主义核心价值观，进一步领会立德树人根本任务，增强学科育人、文化育人、活动育人意识；通过参与式的实习，深刻了解小学生和小学教育工作，增强教育职业认同感，坚定献身小学教育事业的专业信念。</w:t>
      </w:r>
    </w:p>
    <w:p w14:paraId="5092CB83">
      <w:pPr>
        <w:numPr>
          <w:ilvl w:val="0"/>
          <w:numId w:val="39"/>
        </w:numPr>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教学内容与预期学习成效</w:t>
      </w:r>
    </w:p>
    <w:tbl>
      <w:tblPr>
        <w:tblStyle w:val="14"/>
        <w:tblpPr w:leftFromText="181" w:rightFromText="181" w:vertAnchor="text" w:horzAnchor="page" w:tblpX="1424" w:tblpY="1"/>
        <w:tblOverlap w:val="never"/>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644"/>
        <w:gridCol w:w="1238"/>
        <w:gridCol w:w="3283"/>
        <w:gridCol w:w="865"/>
        <w:gridCol w:w="531"/>
      </w:tblGrid>
      <w:tr w14:paraId="4F3A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2A96320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5F0A6E1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676" w:type="dxa"/>
            <w:vAlign w:val="center"/>
          </w:tcPr>
          <w:p w14:paraId="2E2F4F7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250" w:type="dxa"/>
            <w:vAlign w:val="center"/>
          </w:tcPr>
          <w:p w14:paraId="6809390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44DE0B2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325" w:type="dxa"/>
            <w:vAlign w:val="center"/>
          </w:tcPr>
          <w:p w14:paraId="155F8F5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867" w:type="dxa"/>
            <w:vAlign w:val="center"/>
          </w:tcPr>
          <w:p w14:paraId="0E0A0BB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w:t>
            </w:r>
          </w:p>
          <w:p w14:paraId="326F430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环节</w:t>
            </w:r>
          </w:p>
        </w:tc>
        <w:tc>
          <w:tcPr>
            <w:tcW w:w="438" w:type="dxa"/>
            <w:vAlign w:val="center"/>
          </w:tcPr>
          <w:p w14:paraId="716BCA3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06C0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1A90BB6B">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1.课堂教学实习</w:t>
            </w:r>
          </w:p>
        </w:tc>
        <w:tc>
          <w:tcPr>
            <w:tcW w:w="2676" w:type="dxa"/>
            <w:vAlign w:val="center"/>
          </w:tcPr>
          <w:p w14:paraId="3D72BB75">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备课与教学设计；</w:t>
            </w:r>
          </w:p>
          <w:p w14:paraId="758E4B32">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说课；</w:t>
            </w:r>
          </w:p>
          <w:p w14:paraId="6EE7B93E">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试讲与磨课；</w:t>
            </w:r>
          </w:p>
          <w:p w14:paraId="4ABA77EF">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上课；</w:t>
            </w:r>
          </w:p>
          <w:p w14:paraId="6E97E1C4">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教育教学评价；</w:t>
            </w:r>
          </w:p>
          <w:p w14:paraId="53BD0327">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参加教研活动。</w:t>
            </w:r>
          </w:p>
        </w:tc>
        <w:tc>
          <w:tcPr>
            <w:tcW w:w="1250" w:type="dxa"/>
            <w:vAlign w:val="center"/>
          </w:tcPr>
          <w:p w14:paraId="152EDF30">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课程目标1、2、4</w:t>
            </w:r>
          </w:p>
        </w:tc>
        <w:tc>
          <w:tcPr>
            <w:tcW w:w="3325" w:type="dxa"/>
            <w:vAlign w:val="center"/>
          </w:tcPr>
          <w:p w14:paraId="4234FD1E">
            <w:pPr>
              <w:adjustRightInd w:val="0"/>
              <w:snapToGrid w:val="0"/>
              <w:spacing w:line="312" w:lineRule="auto"/>
              <w:jc w:val="left"/>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每个实习生按照实习计划认真备课，独立编写教案，在上课前三天将教案递交指导师审阅，并通过反复试教再正式上课。要求保质保量地完成教学任务；</w:t>
            </w:r>
          </w:p>
          <w:p w14:paraId="05DF4916">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2.听课不少于40节，并做好听课记录、评课记录、反思等相关材料，提交课堂实录20节；</w:t>
            </w:r>
          </w:p>
          <w:p w14:paraId="620374A8">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3.说课稿4份；教育教学评价（试卷）1份；</w:t>
            </w:r>
          </w:p>
          <w:p w14:paraId="399F3C8E">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4.参与或组织评课活动，交教研活动记录1篇。</w:t>
            </w:r>
          </w:p>
        </w:tc>
        <w:tc>
          <w:tcPr>
            <w:tcW w:w="867" w:type="dxa"/>
            <w:vAlign w:val="center"/>
          </w:tcPr>
          <w:p w14:paraId="2CE2E02A">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1.编写教案</w:t>
            </w:r>
          </w:p>
          <w:p w14:paraId="16BE772A">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2.说课上课</w:t>
            </w:r>
          </w:p>
          <w:p w14:paraId="23EE39CF">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3.听课</w:t>
            </w:r>
          </w:p>
          <w:p w14:paraId="052C92D8">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4.评课</w:t>
            </w:r>
          </w:p>
          <w:p w14:paraId="1A0A1760">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5.教学反思</w:t>
            </w:r>
          </w:p>
          <w:p w14:paraId="102F8C7A">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6.评阅作业试卷</w:t>
            </w:r>
          </w:p>
          <w:p w14:paraId="0B2CEC8E">
            <w:pPr>
              <w:adjustRightInd w:val="0"/>
              <w:snapToGrid w:val="0"/>
              <w:spacing w:line="312" w:lineRule="auto"/>
              <w:jc w:val="left"/>
              <w:rPr>
                <w:rFonts w:hint="eastAsia" w:ascii="宋体" w:hAnsi="宋体" w:eastAsia="宋体" w:cs="Times New Roman"/>
                <w:color w:val="000000"/>
                <w:szCs w:val="21"/>
              </w:rPr>
            </w:pPr>
          </w:p>
        </w:tc>
        <w:tc>
          <w:tcPr>
            <w:tcW w:w="438" w:type="dxa"/>
            <w:vAlign w:val="center"/>
          </w:tcPr>
          <w:p w14:paraId="557BBAF5">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160</w:t>
            </w:r>
          </w:p>
        </w:tc>
      </w:tr>
      <w:tr w14:paraId="73A7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155B9AC1">
            <w:pPr>
              <w:adjustRightInd w:val="0"/>
              <w:snapToGrid w:val="0"/>
              <w:spacing w:line="312" w:lineRule="auto"/>
              <w:jc w:val="center"/>
              <w:rPr>
                <w:rFonts w:hint="eastAsia" w:ascii="宋体" w:hAnsi="宋体" w:eastAsia="宋体" w:cs="Times New Roman"/>
                <w:color w:val="000000"/>
                <w:szCs w:val="21"/>
              </w:rPr>
            </w:pPr>
          </w:p>
        </w:tc>
        <w:tc>
          <w:tcPr>
            <w:tcW w:w="8556" w:type="dxa"/>
            <w:gridSpan w:val="5"/>
            <w:vAlign w:val="center"/>
          </w:tcPr>
          <w:p w14:paraId="764C9974">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自觉践行社会主义核心价值观，进一步领会立德树人根本任务，增强学科育人的意识；在实践中增进对儿童的认识，体验和感受教师职业的光荣感和责任感，坚定献身小学教育事业的专业信念。</w:t>
            </w:r>
          </w:p>
        </w:tc>
      </w:tr>
      <w:tr w14:paraId="5A28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0CF9C608">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2.班队工作实习</w:t>
            </w:r>
          </w:p>
        </w:tc>
        <w:tc>
          <w:tcPr>
            <w:tcW w:w="2676" w:type="dxa"/>
            <w:vAlign w:val="center"/>
          </w:tcPr>
          <w:p w14:paraId="652ED0C9">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（1）拟订班队方案；</w:t>
            </w:r>
          </w:p>
          <w:p w14:paraId="500C8B7B">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（2）召开主题班会； </w:t>
            </w:r>
          </w:p>
          <w:p w14:paraId="0C4FCD12">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（3）开展班队活动；</w:t>
            </w:r>
          </w:p>
          <w:p w14:paraId="6C7AE7C7">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（4）组织课外活动；</w:t>
            </w:r>
          </w:p>
          <w:p w14:paraId="421ABEFE">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（5）掌握个别谈话技能；</w:t>
            </w:r>
          </w:p>
          <w:p w14:paraId="171E004D">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（6）学会家校合作。</w:t>
            </w:r>
          </w:p>
        </w:tc>
        <w:tc>
          <w:tcPr>
            <w:tcW w:w="1250" w:type="dxa"/>
            <w:vAlign w:val="center"/>
          </w:tcPr>
          <w:p w14:paraId="74FE3E45">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课程目标1、3、4</w:t>
            </w:r>
          </w:p>
        </w:tc>
        <w:tc>
          <w:tcPr>
            <w:tcW w:w="3325" w:type="dxa"/>
            <w:vAlign w:val="center"/>
          </w:tcPr>
          <w:p w14:paraId="58A7D507">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1.班级活动方案1个；</w:t>
            </w:r>
          </w:p>
          <w:p w14:paraId="39A4400A">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2.少先队活动方案1份；</w:t>
            </w:r>
          </w:p>
          <w:p w14:paraId="6D3998F2">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3.学生典型个案分析1篇；</w:t>
            </w:r>
          </w:p>
          <w:p w14:paraId="55AD6988">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4.家校沟通记录1份。</w:t>
            </w:r>
          </w:p>
        </w:tc>
        <w:tc>
          <w:tcPr>
            <w:tcW w:w="867" w:type="dxa"/>
            <w:vAlign w:val="center"/>
          </w:tcPr>
          <w:p w14:paraId="78B67CB7">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1.班队活动</w:t>
            </w:r>
          </w:p>
          <w:p w14:paraId="0BDB716B">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2.班级日常管理</w:t>
            </w:r>
          </w:p>
        </w:tc>
        <w:tc>
          <w:tcPr>
            <w:tcW w:w="438" w:type="dxa"/>
            <w:vAlign w:val="center"/>
          </w:tcPr>
          <w:p w14:paraId="7C9ACFF0">
            <w:pPr>
              <w:adjustRightInd w:val="0"/>
              <w:snapToGrid w:val="0"/>
              <w:spacing w:line="312"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120</w:t>
            </w:r>
          </w:p>
        </w:tc>
      </w:tr>
      <w:tr w14:paraId="752C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42" w:type="dxa"/>
            <w:vMerge w:val="continue"/>
            <w:vAlign w:val="center"/>
          </w:tcPr>
          <w:p w14:paraId="509EBF48">
            <w:pPr>
              <w:adjustRightInd w:val="0"/>
              <w:snapToGrid w:val="0"/>
              <w:spacing w:line="312" w:lineRule="auto"/>
              <w:jc w:val="center"/>
              <w:rPr>
                <w:rFonts w:hint="eastAsia" w:ascii="宋体" w:hAnsi="宋体" w:eastAsia="宋体" w:cs="Times New Roman"/>
                <w:color w:val="000000"/>
                <w:szCs w:val="21"/>
              </w:rPr>
            </w:pPr>
          </w:p>
        </w:tc>
        <w:tc>
          <w:tcPr>
            <w:tcW w:w="8556" w:type="dxa"/>
            <w:gridSpan w:val="5"/>
            <w:vAlign w:val="center"/>
          </w:tcPr>
          <w:p w14:paraId="751D03EC">
            <w:pPr>
              <w:adjustRightInd w:val="0"/>
              <w:snapToGrid w:val="0"/>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自觉践行社会主义核心价值观，进一步领会立德树人根本任务，增强文化育人、活动育人的意识；在实践中增进对儿童的认识，体验和感受教师职业的光荣感和责任感；坚定献身小学教育事业的专业信念。</w:t>
            </w:r>
          </w:p>
        </w:tc>
      </w:tr>
      <w:tr w14:paraId="2278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41C358A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3.实习成果汇报</w:t>
            </w:r>
          </w:p>
        </w:tc>
        <w:tc>
          <w:tcPr>
            <w:tcW w:w="2676" w:type="dxa"/>
            <w:vAlign w:val="center"/>
          </w:tcPr>
          <w:p w14:paraId="7E2C9E3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（1）上实习汇报课；</w:t>
            </w:r>
          </w:p>
          <w:p w14:paraId="10BE698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（2）上班活动课</w:t>
            </w:r>
          </w:p>
          <w:p w14:paraId="73E2B60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（3）做好教育调查。</w:t>
            </w:r>
          </w:p>
        </w:tc>
        <w:tc>
          <w:tcPr>
            <w:tcW w:w="1250" w:type="dxa"/>
            <w:vAlign w:val="center"/>
          </w:tcPr>
          <w:p w14:paraId="5B6D486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w:t>
            </w:r>
          </w:p>
        </w:tc>
        <w:tc>
          <w:tcPr>
            <w:tcW w:w="3325" w:type="dxa"/>
            <w:vAlign w:val="center"/>
          </w:tcPr>
          <w:p w14:paraId="0A7ED9E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提交汇报课教学活动设计、班队活动设计各1份，提供实习教学视频不少于4个（按要求上传系统）；提交调查报告1份。</w:t>
            </w:r>
          </w:p>
        </w:tc>
        <w:tc>
          <w:tcPr>
            <w:tcW w:w="867" w:type="dxa"/>
            <w:vAlign w:val="center"/>
          </w:tcPr>
          <w:p w14:paraId="3F7A47E3">
            <w:pPr>
              <w:numPr>
                <w:ilvl w:val="0"/>
                <w:numId w:val="64"/>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课堂教学</w:t>
            </w:r>
          </w:p>
          <w:p w14:paraId="5124A88E">
            <w:pPr>
              <w:numPr>
                <w:ilvl w:val="0"/>
                <w:numId w:val="64"/>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班队活动</w:t>
            </w:r>
          </w:p>
          <w:p w14:paraId="0663284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3.教育调查</w:t>
            </w:r>
          </w:p>
        </w:tc>
        <w:tc>
          <w:tcPr>
            <w:tcW w:w="438" w:type="dxa"/>
            <w:vAlign w:val="center"/>
          </w:tcPr>
          <w:p w14:paraId="250DEE3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40</w:t>
            </w:r>
          </w:p>
        </w:tc>
      </w:tr>
      <w:tr w14:paraId="30AD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7DD87FAF">
            <w:pPr>
              <w:spacing w:line="264" w:lineRule="auto"/>
              <w:jc w:val="center"/>
              <w:rPr>
                <w:rFonts w:hint="eastAsia" w:ascii="宋体" w:hAnsi="宋体" w:eastAsia="宋体" w:cs="Times New Roman"/>
                <w:color w:val="000000"/>
                <w:szCs w:val="21"/>
              </w:rPr>
            </w:pPr>
          </w:p>
        </w:tc>
        <w:tc>
          <w:tcPr>
            <w:tcW w:w="8556" w:type="dxa"/>
            <w:gridSpan w:val="5"/>
            <w:vAlign w:val="center"/>
          </w:tcPr>
          <w:p w14:paraId="75A75D26">
            <w:pPr>
              <w:spacing w:line="312"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自觉践行社会主义核心价值观，进一步领会立德树人根本任务，增强学科育人、文化育人、活动育人意识；在实践中增进对儿童的认识，体验和感受教师职业的光荣感和责任感；坚定献身小学教育事业的专业信念。</w:t>
            </w:r>
          </w:p>
        </w:tc>
      </w:tr>
    </w:tbl>
    <w:p w14:paraId="089461A7">
      <w:pPr>
        <w:spacing w:before="156" w:beforeLines="50"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4"/>
        </w:rPr>
        <w:t>四、目标评价与成绩评定</w:t>
      </w:r>
    </w:p>
    <w:p w14:paraId="3F72F45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815BCE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4FC9BF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525"/>
        <w:gridCol w:w="1608"/>
        <w:gridCol w:w="1800"/>
        <w:gridCol w:w="1487"/>
        <w:gridCol w:w="1140"/>
      </w:tblGrid>
      <w:tr w14:paraId="5F14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59F85FD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420" w:type="dxa"/>
            <w:gridSpan w:val="4"/>
            <w:vAlign w:val="center"/>
          </w:tcPr>
          <w:p w14:paraId="2880D641">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71A842B8">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79D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2EDEE04A">
            <w:pPr>
              <w:spacing w:line="360" w:lineRule="auto"/>
              <w:jc w:val="center"/>
              <w:rPr>
                <w:rFonts w:hint="eastAsia" w:ascii="宋体" w:hAnsi="宋体" w:eastAsia="宋体" w:cs="Times New Roman"/>
                <w:szCs w:val="21"/>
              </w:rPr>
            </w:pPr>
          </w:p>
        </w:tc>
        <w:tc>
          <w:tcPr>
            <w:tcW w:w="1525" w:type="dxa"/>
            <w:vAlign w:val="center"/>
          </w:tcPr>
          <w:p w14:paraId="374F342D">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平时成绩</w:t>
            </w:r>
          </w:p>
        </w:tc>
        <w:tc>
          <w:tcPr>
            <w:tcW w:w="1608" w:type="dxa"/>
            <w:vAlign w:val="center"/>
          </w:tcPr>
          <w:p w14:paraId="74916C26">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课堂教学实习</w:t>
            </w:r>
          </w:p>
        </w:tc>
        <w:tc>
          <w:tcPr>
            <w:tcW w:w="1800" w:type="dxa"/>
            <w:vAlign w:val="center"/>
          </w:tcPr>
          <w:p w14:paraId="09EEEACA">
            <w:pPr>
              <w:spacing w:line="360" w:lineRule="auto"/>
              <w:jc w:val="center"/>
              <w:rPr>
                <w:rFonts w:hint="eastAsia" w:ascii="宋体" w:hAnsi="宋体" w:eastAsia="宋体" w:cs="Times New Roman"/>
                <w:szCs w:val="21"/>
              </w:rPr>
            </w:pPr>
            <w:r>
              <w:rPr>
                <w:rFonts w:hint="eastAsia" w:ascii="宋体" w:hAnsi="宋体" w:eastAsia="宋体" w:cs="Times New Roman"/>
                <w:szCs w:val="21"/>
              </w:rPr>
              <w:t>班主任工作实习</w:t>
            </w:r>
          </w:p>
        </w:tc>
        <w:tc>
          <w:tcPr>
            <w:tcW w:w="1487" w:type="dxa"/>
            <w:vAlign w:val="center"/>
          </w:tcPr>
          <w:p w14:paraId="2DB1F9F6">
            <w:pPr>
              <w:spacing w:line="360" w:lineRule="auto"/>
              <w:jc w:val="center"/>
              <w:rPr>
                <w:rFonts w:hint="eastAsia" w:ascii="宋体" w:hAnsi="宋体" w:eastAsia="宋体" w:cs="Times New Roman"/>
                <w:szCs w:val="21"/>
              </w:rPr>
            </w:pPr>
            <w:r>
              <w:rPr>
                <w:rFonts w:hint="eastAsia" w:ascii="宋体" w:hAnsi="宋体" w:eastAsia="宋体" w:cs="Times New Roman"/>
                <w:szCs w:val="21"/>
              </w:rPr>
              <w:t>实习成果汇报</w:t>
            </w:r>
          </w:p>
        </w:tc>
        <w:tc>
          <w:tcPr>
            <w:tcW w:w="1140" w:type="dxa"/>
            <w:vMerge w:val="continue"/>
            <w:vAlign w:val="center"/>
          </w:tcPr>
          <w:p w14:paraId="1FCF1D26">
            <w:pPr>
              <w:spacing w:line="360" w:lineRule="auto"/>
              <w:jc w:val="center"/>
              <w:rPr>
                <w:rFonts w:hint="eastAsia" w:ascii="宋体" w:hAnsi="宋体" w:eastAsia="宋体" w:cs="Times New Roman"/>
                <w:szCs w:val="21"/>
              </w:rPr>
            </w:pPr>
          </w:p>
        </w:tc>
      </w:tr>
      <w:tr w14:paraId="651E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32633F7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525" w:type="dxa"/>
            <w:vAlign w:val="center"/>
          </w:tcPr>
          <w:p w14:paraId="248687E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58179FC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00" w:type="dxa"/>
            <w:shd w:val="clear" w:color="auto" w:fill="auto"/>
            <w:vAlign w:val="center"/>
          </w:tcPr>
          <w:p w14:paraId="1D5A45E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87" w:type="dxa"/>
            <w:shd w:val="clear" w:color="auto" w:fill="auto"/>
            <w:vAlign w:val="center"/>
          </w:tcPr>
          <w:p w14:paraId="2B378A6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0CC46337">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4E66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6BF9D6F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525" w:type="dxa"/>
            <w:vAlign w:val="center"/>
          </w:tcPr>
          <w:p w14:paraId="6AB9D95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76D3BD3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00" w:type="dxa"/>
            <w:shd w:val="clear" w:color="auto" w:fill="auto"/>
            <w:vAlign w:val="center"/>
          </w:tcPr>
          <w:p w14:paraId="340FB6CF">
            <w:pPr>
              <w:spacing w:line="360" w:lineRule="auto"/>
              <w:jc w:val="center"/>
              <w:rPr>
                <w:rFonts w:hint="eastAsia" w:ascii="宋体" w:hAnsi="宋体" w:eastAsia="宋体" w:cs="Times New Roman"/>
                <w:szCs w:val="21"/>
              </w:rPr>
            </w:pPr>
          </w:p>
        </w:tc>
        <w:tc>
          <w:tcPr>
            <w:tcW w:w="1487" w:type="dxa"/>
            <w:shd w:val="clear" w:color="auto" w:fill="auto"/>
            <w:vAlign w:val="center"/>
          </w:tcPr>
          <w:p w14:paraId="59E5018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4178B28C">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519D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4A76C8F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525" w:type="dxa"/>
            <w:vAlign w:val="center"/>
          </w:tcPr>
          <w:p w14:paraId="4A08640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3EF13DA6">
            <w:pPr>
              <w:spacing w:line="360" w:lineRule="auto"/>
              <w:jc w:val="center"/>
              <w:rPr>
                <w:rFonts w:hint="eastAsia" w:ascii="宋体" w:hAnsi="宋体" w:eastAsia="宋体" w:cs="Times New Roman"/>
                <w:szCs w:val="21"/>
              </w:rPr>
            </w:pPr>
          </w:p>
        </w:tc>
        <w:tc>
          <w:tcPr>
            <w:tcW w:w="1800" w:type="dxa"/>
            <w:shd w:val="clear" w:color="auto" w:fill="auto"/>
            <w:vAlign w:val="center"/>
          </w:tcPr>
          <w:p w14:paraId="47D6E77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87" w:type="dxa"/>
            <w:shd w:val="clear" w:color="auto" w:fill="auto"/>
            <w:vAlign w:val="center"/>
          </w:tcPr>
          <w:p w14:paraId="1A7B8C9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10CE3396">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FFC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BB86E4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525" w:type="dxa"/>
            <w:vAlign w:val="center"/>
          </w:tcPr>
          <w:p w14:paraId="5D6C92D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2949CFD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00" w:type="dxa"/>
            <w:shd w:val="clear" w:color="auto" w:fill="auto"/>
            <w:vAlign w:val="center"/>
          </w:tcPr>
          <w:p w14:paraId="0FB667F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87" w:type="dxa"/>
            <w:shd w:val="clear" w:color="auto" w:fill="auto"/>
            <w:vAlign w:val="center"/>
          </w:tcPr>
          <w:p w14:paraId="63BFE6F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540C8951">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F82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1E20031A">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525" w:type="dxa"/>
            <w:vAlign w:val="center"/>
          </w:tcPr>
          <w:p w14:paraId="4D23C619">
            <w:pPr>
              <w:spacing w:line="360" w:lineRule="auto"/>
              <w:jc w:val="center"/>
              <w:rPr>
                <w:rFonts w:hint="eastAsia" w:ascii="宋体" w:hAnsi="宋体" w:eastAsia="宋体" w:cs="Times New Roman"/>
                <w:szCs w:val="21"/>
              </w:rPr>
            </w:pPr>
          </w:p>
        </w:tc>
        <w:tc>
          <w:tcPr>
            <w:tcW w:w="1608" w:type="dxa"/>
            <w:vAlign w:val="center"/>
          </w:tcPr>
          <w:p w14:paraId="70739C20">
            <w:pPr>
              <w:spacing w:line="360" w:lineRule="auto"/>
              <w:jc w:val="center"/>
              <w:rPr>
                <w:rFonts w:hint="eastAsia" w:ascii="宋体" w:hAnsi="宋体" w:eastAsia="宋体" w:cs="Times New Roman"/>
                <w:szCs w:val="21"/>
              </w:rPr>
            </w:pPr>
          </w:p>
        </w:tc>
        <w:tc>
          <w:tcPr>
            <w:tcW w:w="1800" w:type="dxa"/>
            <w:vAlign w:val="center"/>
          </w:tcPr>
          <w:p w14:paraId="1E3958CF">
            <w:pPr>
              <w:spacing w:line="360" w:lineRule="auto"/>
              <w:jc w:val="center"/>
              <w:rPr>
                <w:rFonts w:hint="eastAsia" w:ascii="宋体" w:hAnsi="宋体" w:eastAsia="宋体" w:cs="Times New Roman"/>
                <w:szCs w:val="21"/>
              </w:rPr>
            </w:pPr>
          </w:p>
        </w:tc>
        <w:tc>
          <w:tcPr>
            <w:tcW w:w="1487" w:type="dxa"/>
            <w:vAlign w:val="center"/>
          </w:tcPr>
          <w:p w14:paraId="1910C74E">
            <w:pPr>
              <w:spacing w:line="360" w:lineRule="auto"/>
              <w:jc w:val="center"/>
              <w:rPr>
                <w:rFonts w:hint="eastAsia" w:ascii="宋体" w:hAnsi="宋体" w:eastAsia="宋体" w:cs="Times New Roman"/>
                <w:szCs w:val="21"/>
              </w:rPr>
            </w:pPr>
          </w:p>
        </w:tc>
        <w:tc>
          <w:tcPr>
            <w:tcW w:w="1140" w:type="dxa"/>
            <w:vAlign w:val="center"/>
          </w:tcPr>
          <w:p w14:paraId="33BAC77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7C257436">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3E8385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EC77EF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1136"/>
      </w:tblGrid>
      <w:tr w14:paraId="4646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65F67A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518774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136" w:type="dxa"/>
            <w:vAlign w:val="center"/>
          </w:tcPr>
          <w:p w14:paraId="66A4405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26C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E13B8F">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FB6915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学生出勤情况及工作态度，遵守实习学校规章制度，各类实习报告填写等。依据学生的出勤情况，平时工作的进展情况，实习任务完成情况，实习日记、听课记录等实习手册填写等进行评价。</w:t>
            </w:r>
          </w:p>
        </w:tc>
        <w:tc>
          <w:tcPr>
            <w:tcW w:w="1136" w:type="dxa"/>
            <w:vAlign w:val="center"/>
          </w:tcPr>
          <w:p w14:paraId="39F1F5B8">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4399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62FDF829">
            <w:pPr>
              <w:rPr>
                <w:rFonts w:ascii="Times New Roman" w:hAnsi="Times New Roman" w:eastAsia="宋体" w:cs="Times New Roman"/>
                <w:szCs w:val="21"/>
              </w:rPr>
            </w:pPr>
            <w:r>
              <w:rPr>
                <w:rFonts w:hint="eastAsia" w:ascii="Times New Roman" w:hAnsi="Times New Roman" w:eastAsia="宋体" w:cs="Times New Roman"/>
                <w:szCs w:val="21"/>
              </w:rPr>
              <w:t>课堂教学实习</w:t>
            </w:r>
          </w:p>
        </w:tc>
        <w:tc>
          <w:tcPr>
            <w:tcW w:w="7141" w:type="dxa"/>
            <w:shd w:val="clear" w:color="auto" w:fill="auto"/>
            <w:vAlign w:val="center"/>
          </w:tcPr>
          <w:p w14:paraId="44262B1D">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根据学科填写课堂听课记录，并能做出评价，同时在指导教师指导下写出教案，并能实施。由实习学校学科指导教师根据学生的听课、批改作业、课堂评价及试教情况进行评价。</w:t>
            </w:r>
          </w:p>
        </w:tc>
        <w:tc>
          <w:tcPr>
            <w:tcW w:w="1136" w:type="dxa"/>
            <w:shd w:val="clear" w:color="auto" w:fill="auto"/>
            <w:vAlign w:val="center"/>
          </w:tcPr>
          <w:p w14:paraId="0750D8CC">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2BBF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7AB7C46C">
            <w:pPr>
              <w:rPr>
                <w:rFonts w:ascii="Times New Roman" w:hAnsi="Times New Roman" w:eastAsia="宋体" w:cs="Times New Roman"/>
                <w:szCs w:val="21"/>
              </w:rPr>
            </w:pPr>
            <w:r>
              <w:rPr>
                <w:rFonts w:hint="eastAsia" w:ascii="Times New Roman" w:hAnsi="Times New Roman" w:eastAsia="宋体" w:cs="Times New Roman"/>
                <w:szCs w:val="21"/>
              </w:rPr>
              <w:t>班主任工作实习</w:t>
            </w:r>
          </w:p>
        </w:tc>
        <w:tc>
          <w:tcPr>
            <w:tcW w:w="7141" w:type="dxa"/>
            <w:shd w:val="clear" w:color="auto" w:fill="auto"/>
            <w:vAlign w:val="center"/>
          </w:tcPr>
          <w:p w14:paraId="76F7568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根据实习班主任（少先队）工作情况。由实习学校班主任指导教师根据学生在校的班主任实习工作评价，对学生一日常规、思品课及与小学生互动中表现的学生观以及学生工作的能力进行评价。</w:t>
            </w:r>
          </w:p>
        </w:tc>
        <w:tc>
          <w:tcPr>
            <w:tcW w:w="1136" w:type="dxa"/>
            <w:shd w:val="clear" w:color="auto" w:fill="auto"/>
            <w:vAlign w:val="center"/>
          </w:tcPr>
          <w:p w14:paraId="09C027AF">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510C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5B0513AC">
            <w:pPr>
              <w:rPr>
                <w:rFonts w:ascii="Times New Roman" w:hAnsi="Times New Roman" w:eastAsia="宋体" w:cs="Times New Roman"/>
                <w:szCs w:val="21"/>
              </w:rPr>
            </w:pPr>
            <w:r>
              <w:rPr>
                <w:rFonts w:hint="eastAsia" w:ascii="Times New Roman" w:hAnsi="Times New Roman" w:eastAsia="宋体" w:cs="Times New Roman"/>
                <w:szCs w:val="21"/>
              </w:rPr>
              <w:t>教育调查报告</w:t>
            </w:r>
          </w:p>
        </w:tc>
        <w:tc>
          <w:tcPr>
            <w:tcW w:w="7141" w:type="dxa"/>
            <w:shd w:val="clear" w:color="auto" w:fill="auto"/>
            <w:vAlign w:val="center"/>
          </w:tcPr>
          <w:p w14:paraId="6CD093C2">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学生根据对实习学校的调查研究，结合文献检索及查阅资料，写出调查报告。本校带队教师根据调查报告内容是否符合教育实习要求，能否就学校中的教育现象展开调查，内容是否明确，方法是否正确，条理是否清楚，是否有自己的观点等进行评价。</w:t>
            </w:r>
          </w:p>
        </w:tc>
        <w:tc>
          <w:tcPr>
            <w:tcW w:w="1136" w:type="dxa"/>
            <w:shd w:val="clear" w:color="auto" w:fill="auto"/>
            <w:vAlign w:val="center"/>
          </w:tcPr>
          <w:p w14:paraId="18C1775C">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7BBA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0DDB9E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0530D5B7">
            <w:pPr>
              <w:jc w:val="left"/>
              <w:rPr>
                <w:rFonts w:ascii="Times New Roman" w:hAnsi="Times New Roman" w:eastAsia="宋体" w:cs="Times New Roman"/>
                <w:szCs w:val="21"/>
              </w:rPr>
            </w:pPr>
          </w:p>
        </w:tc>
        <w:tc>
          <w:tcPr>
            <w:tcW w:w="1136" w:type="dxa"/>
            <w:vAlign w:val="center"/>
          </w:tcPr>
          <w:p w14:paraId="3D839364">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FBE6F57">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7C23A5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144FE5D">
      <w:pPr>
        <w:spacing w:line="336" w:lineRule="auto"/>
        <w:ind w:firstLine="420" w:firstLineChars="200"/>
        <w:rPr>
          <w:rFonts w:hint="eastAsia" w:ascii="宋体" w:hAnsi="宋体" w:eastAsia="宋体" w:cs="Times New Roman"/>
          <w:b/>
          <w:color w:val="000000"/>
          <w:sz w:val="24"/>
        </w:rPr>
      </w:pPr>
      <w:r>
        <w:rPr>
          <w:rFonts w:ascii="宋体" w:hAnsi="宋体" w:eastAsia="宋体" w:cs="Times New Roman"/>
          <w:color w:val="000000"/>
          <w:szCs w:val="21"/>
        </w:rPr>
        <w:object>
          <v:shape id="_x0000_i1083"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83" DrawAspect="Content" ObjectID="_1468075783" r:id="rId69">
            <o:LockedField>false</o:LockedField>
          </o:OLEObject>
        </w:object>
      </w:r>
      <w:r>
        <w:rPr>
          <w:rFonts w:hint="eastAsia" w:ascii="宋体" w:hAnsi="宋体" w:eastAsia="宋体" w:cs="Times New Roman"/>
          <w:b/>
          <w:color w:val="000000"/>
          <w:sz w:val="24"/>
        </w:rPr>
        <w:t>五、课程参考书</w:t>
      </w:r>
    </w:p>
    <w:p w14:paraId="3EDEF8B2">
      <w:pPr>
        <w:spacing w:line="336"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1．义务教育各学科课程标准，2022</w:t>
      </w:r>
    </w:p>
    <w:p w14:paraId="0AF7A660">
      <w:pPr>
        <w:spacing w:line="336"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2．部编版小学各年级教材。</w:t>
      </w:r>
    </w:p>
    <w:p w14:paraId="59B65EF4">
      <w:pPr>
        <w:spacing w:line="336"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3．苗凤华．教育实习指南．科学出版社，2018.</w:t>
      </w:r>
    </w:p>
    <w:p w14:paraId="4465ABAE">
      <w:pPr>
        <w:spacing w:line="336"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rPr>
        <w:t>4. 侯宏业，薛微微.小学教育实习手册.南京大学出版社，2021.</w:t>
      </w:r>
    </w:p>
    <w:p w14:paraId="0B78016A">
      <w:pPr>
        <w:autoSpaceDE w:val="0"/>
        <w:autoSpaceDN w:val="0"/>
        <w:adjustRightInd w:val="0"/>
        <w:spacing w:line="360" w:lineRule="auto"/>
        <w:rPr>
          <w:rFonts w:hint="eastAsia" w:ascii="宋体" w:hAnsi="宋体" w:eastAsia="宋体" w:cs="Times New Roman"/>
          <w:kern w:val="0"/>
          <w:sz w:val="24"/>
          <w:szCs w:val="21"/>
        </w:rPr>
      </w:pPr>
    </w:p>
    <w:p w14:paraId="15DAF2C3">
      <w:pPr>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执笔人：姚玉香</w:t>
      </w:r>
    </w:p>
    <w:p w14:paraId="0B9FDF9C">
      <w:pPr>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审定人：王  健</w:t>
      </w:r>
    </w:p>
    <w:p w14:paraId="0F522311">
      <w:pPr>
        <w:autoSpaceDE w:val="0"/>
        <w:autoSpaceDN w:val="0"/>
        <w:adjustRightInd w:val="0"/>
        <w:spacing w:line="360" w:lineRule="auto"/>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5D17E9EA">
      <w:pPr>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批准时间：2024年9月1日</w:t>
      </w:r>
    </w:p>
    <w:p w14:paraId="79758C52">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2D952F95">
      <w:pPr>
        <w:jc w:val="right"/>
        <w:rPr>
          <w:rFonts w:hint="eastAsia" w:ascii="宋体" w:hAnsi="宋体" w:eastAsia="宋体" w:cs="Times New Roman"/>
          <w:kern w:val="0"/>
          <w:sz w:val="24"/>
          <w:szCs w:val="21"/>
        </w:rPr>
      </w:pPr>
    </w:p>
    <w:p w14:paraId="4F4F4277">
      <w:pPr>
        <w:spacing w:line="360" w:lineRule="auto"/>
        <w:jc w:val="center"/>
        <w:outlineLvl w:val="0"/>
        <w:rPr>
          <w:rFonts w:ascii="Times New Roman" w:hAnsi="Times New Roman" w:eastAsia="宋体" w:cs="Times New Roman"/>
          <w:b/>
          <w:bCs/>
          <w:sz w:val="30"/>
        </w:rPr>
      </w:pPr>
      <w:bookmarkStart w:id="304" w:name="_Toc18869"/>
      <w:bookmarkStart w:id="305" w:name="_Toc12675"/>
      <w:r>
        <w:rPr>
          <w:rFonts w:hint="eastAsia" w:ascii="Times New Roman" w:hAnsi="Times New Roman" w:eastAsia="宋体" w:cs="Times New Roman"/>
          <w:b/>
          <w:sz w:val="44"/>
          <w:szCs w:val="44"/>
        </w:rPr>
        <w:t>《毕业论文》课程教学大纲</w:t>
      </w:r>
      <w:bookmarkEnd w:id="304"/>
      <w:bookmarkEnd w:id="305"/>
    </w:p>
    <w:p w14:paraId="2EB5B92E">
      <w:pPr>
        <w:spacing w:line="360" w:lineRule="auto"/>
        <w:jc w:val="center"/>
        <w:rPr>
          <w:rFonts w:ascii="Times New Roman" w:hAnsi="Times New Roman" w:eastAsia="宋体" w:cs="Times New Roman"/>
          <w:b/>
          <w:bCs/>
          <w:sz w:val="28"/>
        </w:rPr>
      </w:pPr>
      <w:r>
        <w:rPr>
          <w:rFonts w:ascii="Times New Roman" w:hAnsi="Times New Roman" w:eastAsia="宋体" w:cs="Times New Roman"/>
          <w:b/>
          <w:bCs/>
          <w:sz w:val="28"/>
        </w:rPr>
        <w:t>（Graduation T</w:t>
      </w:r>
      <w:r>
        <w:rPr>
          <w:rFonts w:hint="eastAsia" w:ascii="Times New Roman" w:hAnsi="Times New Roman" w:eastAsia="宋体" w:cs="Times New Roman"/>
          <w:b/>
          <w:bCs/>
          <w:sz w:val="28"/>
        </w:rPr>
        <w:t>hesis</w:t>
      </w:r>
      <w:r>
        <w:rPr>
          <w:rFonts w:ascii="Times New Roman" w:hAnsi="Times New Roman" w:eastAsia="宋体" w:cs="Times New Roman"/>
          <w:b/>
          <w:bCs/>
          <w:sz w:val="28"/>
        </w:rPr>
        <w:t>）</w:t>
      </w:r>
    </w:p>
    <w:p w14:paraId="0C8DED69">
      <w:pPr>
        <w:spacing w:line="360" w:lineRule="auto"/>
        <w:ind w:firstLine="482" w:firstLineChars="200"/>
        <w:jc w:val="left"/>
        <w:rPr>
          <w:rFonts w:ascii="Times New Roman" w:hAnsi="Times New Roman" w:eastAsia="宋体" w:cs="Times New Roman"/>
          <w:b/>
          <w:sz w:val="24"/>
        </w:rPr>
      </w:pPr>
    </w:p>
    <w:p w14:paraId="3BD9848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课程名称：毕业论文</w:t>
      </w:r>
    </w:p>
    <w:p w14:paraId="22BCF48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课程代码：2401052</w:t>
      </w:r>
    </w:p>
    <w:p w14:paraId="45FE74B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分：8</w:t>
      </w:r>
    </w:p>
    <w:p w14:paraId="4DD0E38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时：8周</w:t>
      </w:r>
    </w:p>
    <w:p w14:paraId="61B68C3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先修课程：小学教育专业人才培养方案中的所有其他课程</w:t>
      </w:r>
    </w:p>
    <w:p w14:paraId="332DD45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00384748">
      <w:pPr>
        <w:autoSpaceDE w:val="0"/>
        <w:autoSpaceDN w:val="0"/>
        <w:adjustRightInd w:val="0"/>
        <w:spacing w:line="348" w:lineRule="auto"/>
        <w:jc w:val="left"/>
        <w:rPr>
          <w:rFonts w:ascii="Times New Roman" w:hAnsi="Times New Roman" w:eastAsia="宋体" w:cs="Times New Roman"/>
          <w:kern w:val="0"/>
          <w:sz w:val="24"/>
        </w:rPr>
      </w:pPr>
    </w:p>
    <w:p w14:paraId="0A134CAF">
      <w:pPr>
        <w:autoSpaceDE w:val="0"/>
        <w:autoSpaceDN w:val="0"/>
        <w:adjustRightInd w:val="0"/>
        <w:spacing w:line="348" w:lineRule="auto"/>
        <w:jc w:val="left"/>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一、课程简介</w:t>
      </w:r>
    </w:p>
    <w:p w14:paraId="2171798B">
      <w:pPr>
        <w:autoSpaceDE w:val="0"/>
        <w:autoSpaceDN w:val="0"/>
        <w:adjustRightInd w:val="0"/>
        <w:spacing w:line="348"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毕业论文工作是学生综合运用所学的基础理论、基本知识和基本技能，分析和解决教育教学、社会实践中的实际问题的实践锻炼过程，也是学生在校学习期间学习成果的综合性总结，是整个人才培养过程中不可或缺的重要环节，对于培养学生的科学研究能力、创新能力具有重要意义。</w:t>
      </w:r>
    </w:p>
    <w:p w14:paraId="1950928B">
      <w:pPr>
        <w:spacing w:line="348" w:lineRule="auto"/>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4312ACE9">
      <w:pPr>
        <w:spacing w:line="348"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（一）课程具体目标</w:t>
      </w:r>
    </w:p>
    <w:p w14:paraId="3E8030A3">
      <w:pPr>
        <w:spacing w:line="348"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bCs/>
          <w:szCs w:val="21"/>
        </w:rPr>
        <w:t>目标</w:t>
      </w:r>
      <w:r>
        <w:rPr>
          <w:rFonts w:ascii="Times New Roman" w:hAnsi="Times New Roman" w:eastAsia="宋体" w:cs="Times New Roman"/>
          <w:b/>
          <w:bCs/>
          <w:szCs w:val="21"/>
        </w:rPr>
        <w:t>1.</w:t>
      </w:r>
      <w:r>
        <w:rPr>
          <w:rFonts w:hint="eastAsia" w:ascii="Times New Roman" w:hAnsi="Times New Roman" w:eastAsia="宋体" w:cs="Times New Roman"/>
          <w:szCs w:val="21"/>
        </w:rPr>
        <w:t xml:space="preserve"> 通过大量的文献阅读，结合以往课程中教学观摩、教育见习实习等经验，进一步综合已学习的小学教育教学基本理论及学科教学知识等，确定有价值的研究问题，制定科学的研究计划，在导师指导下，独立完成毕业论文的撰写。</w:t>
      </w:r>
    </w:p>
    <w:p w14:paraId="56D6B208">
      <w:pPr>
        <w:spacing w:line="348"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bCs/>
          <w:szCs w:val="21"/>
        </w:rPr>
        <w:t>目标2</w:t>
      </w:r>
      <w:r>
        <w:rPr>
          <w:rFonts w:ascii="Times New Roman" w:hAnsi="Times New Roman" w:eastAsia="宋体" w:cs="Times New Roman"/>
          <w:b/>
          <w:bCs/>
          <w:szCs w:val="21"/>
        </w:rPr>
        <w:t xml:space="preserve">. </w:t>
      </w:r>
      <w:r>
        <w:rPr>
          <w:rFonts w:hint="eastAsia" w:ascii="Times New Roman" w:hAnsi="Times New Roman" w:eastAsia="宋体" w:cs="Times New Roman"/>
          <w:szCs w:val="21"/>
        </w:rPr>
        <w:t>能够运用较科学的研究方法，设计逻辑清晰的研究过程，批判性分析小学教育、教学的问题，培养严谨的思维品质，提高反思意识以及综合分析问题、解决问题的能力。</w:t>
      </w:r>
    </w:p>
    <w:p w14:paraId="0578CE6D">
      <w:pPr>
        <w:spacing w:line="348"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目标3.</w:t>
      </w:r>
      <w:r>
        <w:rPr>
          <w:rFonts w:ascii="Times New Roman" w:hAnsi="Times New Roman" w:eastAsia="宋体" w:cs="Times New Roman"/>
          <w:b/>
          <w:bCs/>
          <w:szCs w:val="21"/>
        </w:rPr>
        <w:t xml:space="preserve"> </w:t>
      </w:r>
      <w:r>
        <w:rPr>
          <w:rFonts w:hint="eastAsia" w:ascii="Times New Roman" w:hAnsi="Times New Roman" w:eastAsia="宋体" w:cs="Times New Roman"/>
          <w:szCs w:val="21"/>
        </w:rPr>
        <w:t>掌握信息获取和处理等方面的方法，具备阅读理解、语言与文字表达、交流沟通的技能，提升人际沟通能力。</w:t>
      </w:r>
    </w:p>
    <w:p w14:paraId="0693E632">
      <w:pPr>
        <w:spacing w:line="348"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 xml:space="preserve">目标4. </w:t>
      </w:r>
      <w:r>
        <w:rPr>
          <w:rFonts w:hint="eastAsia" w:ascii="Times New Roman" w:hAnsi="Times New Roman" w:eastAsia="宋体" w:cs="Times New Roman"/>
          <w:szCs w:val="21"/>
        </w:rPr>
        <w:t>理解教育研究的准则和规范，能够遵守研究伦理，恪守学术道德。</w:t>
      </w:r>
    </w:p>
    <w:p w14:paraId="72F2C149">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3"/>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5914"/>
        <w:gridCol w:w="1286"/>
      </w:tblGrid>
      <w:tr w14:paraId="5BF04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65EE0567">
            <w:pPr>
              <w:adjustRightInd w:val="0"/>
              <w:snapToGrid w:val="0"/>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5914" w:type="dxa"/>
            <w:vAlign w:val="center"/>
          </w:tcPr>
          <w:p w14:paraId="7752323B">
            <w:pPr>
              <w:adjustRightInd w:val="0"/>
              <w:snapToGrid w:val="0"/>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286" w:type="dxa"/>
            <w:vAlign w:val="center"/>
          </w:tcPr>
          <w:p w14:paraId="275DFE44">
            <w:pPr>
              <w:adjustRightInd w:val="0"/>
              <w:snapToGrid w:val="0"/>
              <w:spacing w:line="276" w:lineRule="auto"/>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112B6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2B1B4F84">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毕业要求1</w:t>
            </w:r>
          </w:p>
          <w:p w14:paraId="51C65671">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师德规范</w:t>
            </w:r>
          </w:p>
        </w:tc>
        <w:tc>
          <w:tcPr>
            <w:tcW w:w="5914" w:type="dxa"/>
            <w:vAlign w:val="center"/>
          </w:tcPr>
          <w:p w14:paraId="40EEFE93">
            <w:pPr>
              <w:adjustRightInd w:val="0"/>
              <w:snapToGrid w:val="0"/>
              <w:spacing w:line="276" w:lineRule="auto"/>
              <w:rPr>
                <w:rFonts w:hint="eastAsia" w:ascii="宋体" w:hAnsi="宋体" w:eastAsia="宋体" w:cs="Times New Roman"/>
                <w:color w:val="000000"/>
                <w:kern w:val="0"/>
                <w:szCs w:val="21"/>
              </w:rPr>
            </w:pPr>
            <w:r>
              <w:rPr>
                <w:rFonts w:hint="eastAsia" w:ascii="宋体" w:hAnsi="宋体" w:cs="宋体"/>
                <w:kern w:val="0"/>
                <w:szCs w:val="21"/>
              </w:rPr>
              <w:t>指标点</w:t>
            </w:r>
            <w:r>
              <w:rPr>
                <w:rFonts w:hint="eastAsia" w:ascii="宋体" w:hAnsi="宋体" w:cs="宋体"/>
                <w:szCs w:val="21"/>
              </w:rPr>
              <w:t>1-1：【理想信念坚定】了解我国国情及国际局势，深刻理解新时代中国特色社会主义思想内涵</w:t>
            </w:r>
            <w:r>
              <w:rPr>
                <w:rFonts w:hint="eastAsia" w:cs="宋体"/>
                <w:szCs w:val="21"/>
              </w:rPr>
              <w:t>；</w:t>
            </w:r>
            <w:r>
              <w:rPr>
                <w:rFonts w:hint="eastAsia" w:ascii="宋体" w:hAnsi="宋体" w:cs="宋体"/>
                <w:szCs w:val="21"/>
              </w:rPr>
              <w:t>认同中国特色社会主义，贯彻党的教育方针，自觉践行社会主义核心价值观</w:t>
            </w:r>
            <w:r>
              <w:rPr>
                <w:rFonts w:hint="eastAsia" w:cs="宋体"/>
                <w:szCs w:val="21"/>
              </w:rPr>
              <w:t>；认同教师劳动的价值，</w:t>
            </w:r>
            <w:r>
              <w:rPr>
                <w:rFonts w:hint="eastAsia" w:ascii="宋体" w:hAnsi="宋体" w:cs="宋体"/>
                <w:szCs w:val="21"/>
              </w:rPr>
              <w:t>树立职业理想，立志成为有理想信念、有道德情操、有扎实学识、有仁爱之心受学生爱戴的好老师。</w:t>
            </w:r>
          </w:p>
        </w:tc>
        <w:tc>
          <w:tcPr>
            <w:tcW w:w="1286" w:type="dxa"/>
            <w:vAlign w:val="center"/>
          </w:tcPr>
          <w:p w14:paraId="2BA918DB">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课程目标4</w:t>
            </w:r>
          </w:p>
        </w:tc>
      </w:tr>
      <w:tr w14:paraId="7D6A69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480FB78C">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毕业要求4</w:t>
            </w:r>
          </w:p>
          <w:p w14:paraId="1E0148E2">
            <w:pPr>
              <w:adjustRightInd w:val="0"/>
              <w:snapToGrid w:val="0"/>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教学能力</w:t>
            </w:r>
          </w:p>
        </w:tc>
        <w:tc>
          <w:tcPr>
            <w:tcW w:w="5914" w:type="dxa"/>
            <w:shd w:val="clear" w:color="auto" w:fill="auto"/>
            <w:vAlign w:val="center"/>
          </w:tcPr>
          <w:p w14:paraId="3255C378">
            <w:pPr>
              <w:adjustRightInd w:val="0"/>
              <w:snapToGrid w:val="0"/>
              <w:spacing w:line="276" w:lineRule="auto"/>
              <w:rPr>
                <w:rFonts w:hint="eastAsia" w:ascii="宋体" w:hAnsi="宋体" w:eastAsia="宋体" w:cs="Times New Roman"/>
                <w:color w:val="000000"/>
                <w:kern w:val="0"/>
                <w:szCs w:val="21"/>
              </w:rPr>
            </w:pPr>
            <w:r>
              <w:rPr>
                <w:color w:val="000000"/>
                <w:kern w:val="0"/>
                <w:szCs w:val="21"/>
              </w:rPr>
              <w:t>指标</w:t>
            </w:r>
            <w:r>
              <w:rPr>
                <w:rFonts w:hint="eastAsia" w:ascii="宋体" w:hAnsi="宋体" w:eastAsia="宋体" w:cs="Times New Roman"/>
                <w:szCs w:val="21"/>
              </w:rPr>
              <w:t>点4-3：</w:t>
            </w:r>
            <w:r>
              <w:rPr>
                <w:color w:val="000000"/>
                <w:szCs w:val="21"/>
              </w:rPr>
              <w:t>【具备教育研究能力】掌握教育研究的基本方法，结合小学教育教学实践进行研究，具有一定的教学研究能力。</w:t>
            </w:r>
          </w:p>
        </w:tc>
        <w:tc>
          <w:tcPr>
            <w:tcW w:w="1286" w:type="dxa"/>
            <w:shd w:val="clear" w:color="auto" w:fill="auto"/>
            <w:vAlign w:val="center"/>
          </w:tcPr>
          <w:p w14:paraId="1F38A35E">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课程目标1</w:t>
            </w:r>
          </w:p>
          <w:p w14:paraId="5AE01FA5">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课程目标2</w:t>
            </w:r>
          </w:p>
          <w:p w14:paraId="632AD641">
            <w:pPr>
              <w:adjustRightInd w:val="0"/>
              <w:snapToGrid w:val="0"/>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课程目标3</w:t>
            </w:r>
          </w:p>
        </w:tc>
      </w:tr>
      <w:tr w14:paraId="23DBC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7653F2AB">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毕业要求7</w:t>
            </w:r>
          </w:p>
          <w:p w14:paraId="0D917C3E">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学会反思</w:t>
            </w:r>
          </w:p>
        </w:tc>
        <w:tc>
          <w:tcPr>
            <w:tcW w:w="5914" w:type="dxa"/>
            <w:vAlign w:val="center"/>
          </w:tcPr>
          <w:p w14:paraId="2157FC37">
            <w:pPr>
              <w:adjustRightInd w:val="0"/>
              <w:snapToGrid w:val="0"/>
              <w:spacing w:line="276" w:lineRule="auto"/>
              <w:rPr>
                <w:rFonts w:hint="eastAsia" w:ascii="宋体" w:hAnsi="宋体" w:eastAsia="宋体" w:cs="Times New Roman"/>
                <w:szCs w:val="21"/>
              </w:rPr>
            </w:pPr>
            <w:r>
              <w:rPr>
                <w:rFonts w:hint="eastAsia" w:ascii="宋体" w:hAnsi="宋体" w:cs="宋体"/>
                <w:kern w:val="0"/>
                <w:szCs w:val="21"/>
              </w:rPr>
              <w:t>指标点</w:t>
            </w:r>
            <w:r>
              <w:rPr>
                <w:rFonts w:hint="eastAsia" w:ascii="宋体" w:hAnsi="宋体" w:cs="宋体"/>
                <w:szCs w:val="21"/>
              </w:rPr>
              <w:t>7-1：【教育视野开阔】积极参加基础教育领域的国内外交流，了解国内外基础教育改革发展的动态，具有宽广的教育视野，能够主动适应新时代和教育发展需求。</w:t>
            </w:r>
          </w:p>
          <w:p w14:paraId="47738B78">
            <w:pPr>
              <w:adjustRightInd w:val="0"/>
              <w:snapToGrid w:val="0"/>
              <w:spacing w:line="276" w:lineRule="auto"/>
              <w:rPr>
                <w:rFonts w:hint="eastAsia" w:ascii="宋体" w:hAnsi="宋体" w:eastAsia="宋体" w:cs="Times New Roman"/>
                <w:color w:val="000000"/>
                <w:kern w:val="0"/>
                <w:szCs w:val="21"/>
              </w:rPr>
            </w:pPr>
            <w:r>
              <w:rPr>
                <w:rFonts w:hint="eastAsia" w:ascii="宋体" w:hAnsi="宋体" w:eastAsia="宋体" w:cs="Times New Roman"/>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286" w:type="dxa"/>
            <w:vAlign w:val="center"/>
          </w:tcPr>
          <w:p w14:paraId="36BA4AFE">
            <w:pPr>
              <w:adjustRightInd w:val="0"/>
              <w:snapToGrid w:val="0"/>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课程目标2</w:t>
            </w:r>
          </w:p>
        </w:tc>
      </w:tr>
      <w:tr w14:paraId="2613E3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Align w:val="center"/>
          </w:tcPr>
          <w:p w14:paraId="419FACCE">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毕业要求8</w:t>
            </w:r>
          </w:p>
          <w:p w14:paraId="25B52039">
            <w:pPr>
              <w:adjustRightInd w:val="0"/>
              <w:snapToGrid w:val="0"/>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沟通能力</w:t>
            </w:r>
          </w:p>
        </w:tc>
        <w:tc>
          <w:tcPr>
            <w:tcW w:w="5914" w:type="dxa"/>
            <w:vAlign w:val="center"/>
          </w:tcPr>
          <w:p w14:paraId="30A1E5D4">
            <w:pPr>
              <w:adjustRightInd w:val="0"/>
              <w:snapToGrid w:val="0"/>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szCs w:val="21"/>
              </w:rPr>
              <w:t>指标点8-2：【学会沟通交流】掌握人际沟通合作技能与方法，能与学生和家长以及同行、同事、专家进行有效沟通与合作，实现共同发展。</w:t>
            </w:r>
          </w:p>
        </w:tc>
        <w:tc>
          <w:tcPr>
            <w:tcW w:w="1286" w:type="dxa"/>
            <w:vAlign w:val="center"/>
          </w:tcPr>
          <w:p w14:paraId="4DFAB58E">
            <w:pPr>
              <w:shd w:val="clear" w:color="auto" w:fill="FFFFFF"/>
              <w:adjustRightInd w:val="0"/>
              <w:snapToGrid w:val="0"/>
              <w:spacing w:line="276" w:lineRule="auto"/>
              <w:jc w:val="left"/>
              <w:rPr>
                <w:rFonts w:ascii="Times New Roman" w:hAnsi="Times New Roman" w:eastAsia="宋体" w:cs="Times New Roman"/>
                <w:color w:val="000000"/>
                <w:szCs w:val="23"/>
              </w:rPr>
            </w:pPr>
            <w:r>
              <w:rPr>
                <w:rFonts w:hint="eastAsia" w:ascii="Times New Roman" w:hAnsi="Times New Roman" w:eastAsia="宋体" w:cs="Times New Roman"/>
                <w:color w:val="000000"/>
                <w:szCs w:val="23"/>
              </w:rPr>
              <w:t>课程目标3</w:t>
            </w:r>
          </w:p>
        </w:tc>
      </w:tr>
    </w:tbl>
    <w:p w14:paraId="64103F33">
      <w:pPr>
        <w:adjustRightInd w:val="0"/>
        <w:snapToGrid w:val="0"/>
        <w:spacing w:before="156" w:beforeLines="50"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Cs w:val="21"/>
        </w:rPr>
        <w:t>（三）课程思政目标</w:t>
      </w:r>
    </w:p>
    <w:p w14:paraId="5E556BB4">
      <w:pPr>
        <w:adjustRightInd w:val="0"/>
        <w:snapToGrid w:val="0"/>
        <w:spacing w:line="348"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坚定理想信念，自觉践行社会主义核心价值观；坚守学术道德和科研伦理，践行学术规范，让学术道德和科学精神内化于心、外化于行，自觉维护风清气正、严谨求是的科研环境。</w:t>
      </w:r>
    </w:p>
    <w:p w14:paraId="0E11D2FA">
      <w:pPr>
        <w:spacing w:line="360" w:lineRule="auto"/>
        <w:jc w:val="left"/>
        <w:rPr>
          <w:rFonts w:hint="eastAsia" w:ascii="宋体" w:hAnsi="宋体" w:eastAsia="宋体" w:cs="Times New Roman"/>
          <w:b/>
          <w:color w:val="000000"/>
          <w:sz w:val="24"/>
        </w:rPr>
      </w:pPr>
      <w:r>
        <w:rPr>
          <w:rFonts w:hint="eastAsia" w:ascii="宋体" w:hAnsi="宋体" w:eastAsia="宋体" w:cs="Times New Roman"/>
          <w:b/>
          <w:color w:val="000000"/>
          <w:sz w:val="24"/>
        </w:rPr>
        <w:t>三、教学内容与预期学习成效</w:t>
      </w:r>
    </w:p>
    <w:tbl>
      <w:tblPr>
        <w:tblStyle w:val="14"/>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531"/>
        <w:gridCol w:w="1304"/>
        <w:gridCol w:w="3372"/>
        <w:gridCol w:w="1516"/>
        <w:gridCol w:w="451"/>
      </w:tblGrid>
      <w:tr w14:paraId="3FDE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CD77A9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5186CE6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531" w:type="dxa"/>
            <w:vAlign w:val="center"/>
          </w:tcPr>
          <w:p w14:paraId="3BA9B75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304" w:type="dxa"/>
            <w:vAlign w:val="center"/>
          </w:tcPr>
          <w:p w14:paraId="78EC321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184B7FB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372" w:type="dxa"/>
            <w:vAlign w:val="center"/>
          </w:tcPr>
          <w:p w14:paraId="2370639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16" w:type="dxa"/>
            <w:vAlign w:val="center"/>
          </w:tcPr>
          <w:p w14:paraId="29A9108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51" w:type="dxa"/>
            <w:vAlign w:val="center"/>
          </w:tcPr>
          <w:p w14:paraId="55EB531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3A7E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F632D1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1.选题</w:t>
            </w:r>
          </w:p>
        </w:tc>
        <w:tc>
          <w:tcPr>
            <w:tcW w:w="1531" w:type="dxa"/>
            <w:vAlign w:val="center"/>
          </w:tcPr>
          <w:p w14:paraId="7AC5996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（1）毕业论文写作动员</w:t>
            </w:r>
          </w:p>
          <w:p w14:paraId="099BF52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（2）学生选题，并填写毕业论文选题申报表</w:t>
            </w:r>
          </w:p>
          <w:p w14:paraId="3F183A5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（3）文献检索</w:t>
            </w:r>
          </w:p>
        </w:tc>
        <w:tc>
          <w:tcPr>
            <w:tcW w:w="1304" w:type="dxa"/>
            <w:vAlign w:val="center"/>
          </w:tcPr>
          <w:p w14:paraId="1F84359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p>
          <w:p w14:paraId="2E099F7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1、4</w:t>
            </w:r>
          </w:p>
        </w:tc>
        <w:tc>
          <w:tcPr>
            <w:tcW w:w="3372" w:type="dxa"/>
            <w:vAlign w:val="center"/>
          </w:tcPr>
          <w:p w14:paraId="4237E42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1.明确毕业论文的重要性，选定指导教师；</w:t>
            </w:r>
          </w:p>
          <w:p w14:paraId="7539C93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2.与指导老师协商确定论文题目；</w:t>
            </w:r>
          </w:p>
          <w:p w14:paraId="44EA5E7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3.题目确定后，按要求填报毕业论文选题申报表，并上传至学校毕业论文（设计）系统；</w:t>
            </w:r>
          </w:p>
          <w:p w14:paraId="6E37AAC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4.在指导教师指导下进行文献检索，撰写文献综述。</w:t>
            </w:r>
          </w:p>
        </w:tc>
        <w:tc>
          <w:tcPr>
            <w:tcW w:w="1516" w:type="dxa"/>
            <w:vAlign w:val="center"/>
          </w:tcPr>
          <w:p w14:paraId="689EF45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1.选题申报表</w:t>
            </w:r>
          </w:p>
          <w:p w14:paraId="3511D25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2.文献综述</w:t>
            </w:r>
          </w:p>
        </w:tc>
        <w:tc>
          <w:tcPr>
            <w:tcW w:w="451" w:type="dxa"/>
            <w:vAlign w:val="center"/>
          </w:tcPr>
          <w:p w14:paraId="07BEB6F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069F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8AE703F">
            <w:pPr>
              <w:spacing w:line="264" w:lineRule="auto"/>
              <w:jc w:val="center"/>
              <w:rPr>
                <w:rFonts w:hint="eastAsia" w:ascii="宋体" w:hAnsi="宋体" w:eastAsia="宋体" w:cs="Times New Roman"/>
                <w:color w:val="000000"/>
                <w:szCs w:val="21"/>
              </w:rPr>
            </w:pPr>
          </w:p>
        </w:tc>
        <w:tc>
          <w:tcPr>
            <w:tcW w:w="8174" w:type="dxa"/>
            <w:gridSpan w:val="5"/>
            <w:vAlign w:val="center"/>
          </w:tcPr>
          <w:p w14:paraId="4714DE41">
            <w:pPr>
              <w:spacing w:line="269" w:lineRule="auto"/>
              <w:jc w:val="left"/>
              <w:rPr>
                <w:rFonts w:hint="eastAsia" w:ascii="宋体" w:hAnsi="宋体" w:eastAsia="宋体" w:cs="Times New Roman"/>
                <w:color w:val="000000"/>
                <w:szCs w:val="21"/>
              </w:rPr>
            </w:pPr>
            <w:r>
              <w:rPr>
                <w:rFonts w:hint="eastAsia" w:ascii="宋体" w:hAnsi="宋体" w:eastAsia="宋体" w:cs="Times New Roman"/>
                <w:bCs/>
                <w:color w:val="000000"/>
                <w:szCs w:val="21"/>
              </w:rPr>
              <w:t>以习近平总书记关于教育工作的重要论述为指导，理解毕业论文写作的价值和意义；坚持“立德树人”，树立正确的世界观、价值观和人生观；热爱小学教育，理解基础教育改革的意义，具有一定的创新意识，学会发现和分析教育实践中的问题和基础教育改革的热点和难点问题。</w:t>
            </w:r>
          </w:p>
        </w:tc>
      </w:tr>
      <w:tr w14:paraId="1522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4A98C7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2.开题</w:t>
            </w:r>
          </w:p>
        </w:tc>
        <w:tc>
          <w:tcPr>
            <w:tcW w:w="1531" w:type="dxa"/>
            <w:vAlign w:val="center"/>
          </w:tcPr>
          <w:p w14:paraId="177E642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（1）教师下达毕业论文任务书</w:t>
            </w:r>
          </w:p>
          <w:p w14:paraId="66D6265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（2）撰写开题报告</w:t>
            </w:r>
          </w:p>
          <w:p w14:paraId="40895AC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（3）开题报告会</w:t>
            </w:r>
          </w:p>
        </w:tc>
        <w:tc>
          <w:tcPr>
            <w:tcW w:w="1304" w:type="dxa"/>
            <w:vAlign w:val="center"/>
          </w:tcPr>
          <w:p w14:paraId="706B69B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p>
          <w:p w14:paraId="63C375E2">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1、4</w:t>
            </w:r>
          </w:p>
        </w:tc>
        <w:tc>
          <w:tcPr>
            <w:tcW w:w="3372" w:type="dxa"/>
            <w:vAlign w:val="center"/>
          </w:tcPr>
          <w:p w14:paraId="5C8E483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1.学习领会任务书，明确内容、任务和目标、研究进度及基本要求等；</w:t>
            </w:r>
          </w:p>
          <w:p w14:paraId="5975ACD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2.写出开题报告，做好开题准备；</w:t>
            </w:r>
          </w:p>
          <w:p w14:paraId="127490C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3.参加开题答辩，根据答辩会上老师的意见进行修改，将修改后的开题报告上传至系统。</w:t>
            </w:r>
          </w:p>
        </w:tc>
        <w:tc>
          <w:tcPr>
            <w:tcW w:w="1516" w:type="dxa"/>
            <w:vAlign w:val="center"/>
          </w:tcPr>
          <w:p w14:paraId="1CE389A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1.开题报告</w:t>
            </w:r>
          </w:p>
        </w:tc>
        <w:tc>
          <w:tcPr>
            <w:tcW w:w="451" w:type="dxa"/>
            <w:vAlign w:val="center"/>
          </w:tcPr>
          <w:p w14:paraId="602561B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0858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9B88749">
            <w:pPr>
              <w:spacing w:line="264" w:lineRule="auto"/>
              <w:jc w:val="center"/>
              <w:rPr>
                <w:rFonts w:hint="eastAsia" w:ascii="宋体" w:hAnsi="宋体" w:eastAsia="宋体" w:cs="Times New Roman"/>
                <w:color w:val="000000"/>
                <w:szCs w:val="21"/>
              </w:rPr>
            </w:pPr>
          </w:p>
        </w:tc>
        <w:tc>
          <w:tcPr>
            <w:tcW w:w="8174" w:type="dxa"/>
            <w:gridSpan w:val="5"/>
            <w:vAlign w:val="center"/>
          </w:tcPr>
          <w:p w14:paraId="372B047D">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坚定理想信念，自觉践行社会主义核心价值观；虚心学习，实事求是；坚守学术道德和科研伦理，践行学术规范。</w:t>
            </w:r>
          </w:p>
        </w:tc>
      </w:tr>
      <w:tr w14:paraId="58D1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4A12B5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3.研究</w:t>
            </w:r>
          </w:p>
          <w:p w14:paraId="260855F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实施</w:t>
            </w:r>
          </w:p>
        </w:tc>
        <w:tc>
          <w:tcPr>
            <w:tcW w:w="1531" w:type="dxa"/>
            <w:vAlign w:val="center"/>
          </w:tcPr>
          <w:p w14:paraId="28D5ADE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（1）研究方法的具体运用</w:t>
            </w:r>
          </w:p>
          <w:p w14:paraId="287D6F5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（2）数据的分析及整理</w:t>
            </w:r>
          </w:p>
        </w:tc>
        <w:tc>
          <w:tcPr>
            <w:tcW w:w="1304" w:type="dxa"/>
            <w:vAlign w:val="center"/>
          </w:tcPr>
          <w:p w14:paraId="6F24BF62">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p>
          <w:p w14:paraId="6FCEF29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1、2、3、4</w:t>
            </w:r>
          </w:p>
        </w:tc>
        <w:tc>
          <w:tcPr>
            <w:tcW w:w="3372" w:type="dxa"/>
            <w:vAlign w:val="center"/>
          </w:tcPr>
          <w:p w14:paraId="713D323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1.根据研究计划，通过既定的研究方法，规范科学合理地展开研究；</w:t>
            </w:r>
          </w:p>
          <w:p w14:paraId="53BB699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2.对研究中搜集的数据进行分析整理；</w:t>
            </w:r>
          </w:p>
          <w:p w14:paraId="57CE1C4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3.在过程中及时与导师沟通。</w:t>
            </w:r>
          </w:p>
        </w:tc>
        <w:tc>
          <w:tcPr>
            <w:tcW w:w="1516" w:type="dxa"/>
            <w:vAlign w:val="center"/>
          </w:tcPr>
          <w:p w14:paraId="191F642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研究过程性资料</w:t>
            </w:r>
          </w:p>
        </w:tc>
        <w:tc>
          <w:tcPr>
            <w:tcW w:w="451" w:type="dxa"/>
            <w:vAlign w:val="center"/>
          </w:tcPr>
          <w:p w14:paraId="6452D56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240E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781AFCE">
            <w:pPr>
              <w:spacing w:line="264" w:lineRule="auto"/>
              <w:jc w:val="center"/>
              <w:rPr>
                <w:rFonts w:hint="eastAsia" w:ascii="宋体" w:hAnsi="宋体" w:eastAsia="宋体" w:cs="Times New Roman"/>
                <w:color w:val="000000"/>
                <w:szCs w:val="21"/>
              </w:rPr>
            </w:pPr>
          </w:p>
        </w:tc>
        <w:tc>
          <w:tcPr>
            <w:tcW w:w="8174" w:type="dxa"/>
            <w:gridSpan w:val="5"/>
            <w:vAlign w:val="center"/>
          </w:tcPr>
          <w:p w14:paraId="15421AE6">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坚定理想信念，自觉践行社会主义核心价值观；虚心学习，实事求是；坚守学术道德和科研伦理，践行学术规范，增强批判创新精神，形成科学严谨的工作作风。</w:t>
            </w:r>
          </w:p>
        </w:tc>
      </w:tr>
      <w:tr w14:paraId="014E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2C469E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4.论文</w:t>
            </w:r>
          </w:p>
          <w:p w14:paraId="241EE9F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撰写</w:t>
            </w:r>
          </w:p>
        </w:tc>
        <w:tc>
          <w:tcPr>
            <w:tcW w:w="1531" w:type="dxa"/>
            <w:vAlign w:val="center"/>
          </w:tcPr>
          <w:p w14:paraId="510304B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（1）毕业论文的基本构成要素</w:t>
            </w:r>
          </w:p>
          <w:p w14:paraId="7BD8EC1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（2）毕业论文写作方法</w:t>
            </w:r>
          </w:p>
          <w:p w14:paraId="4BE5579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（3）毕业论文撰写规范</w:t>
            </w:r>
          </w:p>
        </w:tc>
        <w:tc>
          <w:tcPr>
            <w:tcW w:w="1304" w:type="dxa"/>
            <w:vAlign w:val="center"/>
          </w:tcPr>
          <w:p w14:paraId="385E08C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p>
          <w:p w14:paraId="0A84B59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1、2、3、4</w:t>
            </w:r>
          </w:p>
        </w:tc>
        <w:tc>
          <w:tcPr>
            <w:tcW w:w="3372" w:type="dxa"/>
            <w:vAlign w:val="center"/>
          </w:tcPr>
          <w:p w14:paraId="2036DA7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1.在教师的指导下按照毕业论文的基本构成要素和《常州工学院毕业设计说明书（论文）基本构成及要求》撰写毕业论文文本，完成一稿、二稿、三稿和定稿，并交指导教师修改、审定。同时上传至系统。</w:t>
            </w:r>
          </w:p>
          <w:p w14:paraId="7366D53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（2）在论文撰写过程中，学生每周填写周进展情况，反思自己在写作过程中遇到的问题等，并完成中期检查表。</w:t>
            </w:r>
          </w:p>
          <w:p w14:paraId="4B0DEF8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（3）学生论文定稿完成后，按相关要求打印装订上交。</w:t>
            </w:r>
          </w:p>
        </w:tc>
        <w:tc>
          <w:tcPr>
            <w:tcW w:w="1516" w:type="dxa"/>
            <w:vAlign w:val="center"/>
          </w:tcPr>
          <w:p w14:paraId="70ABCEF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中期检查表</w:t>
            </w:r>
          </w:p>
          <w:p w14:paraId="0A2F8BF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2.论文一稿、二稿、三稿、定稿</w:t>
            </w:r>
          </w:p>
        </w:tc>
        <w:tc>
          <w:tcPr>
            <w:tcW w:w="451" w:type="dxa"/>
            <w:vAlign w:val="center"/>
          </w:tcPr>
          <w:p w14:paraId="5D181E4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491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296E5F9">
            <w:pPr>
              <w:spacing w:line="276" w:lineRule="auto"/>
              <w:jc w:val="center"/>
              <w:rPr>
                <w:rFonts w:hint="eastAsia" w:ascii="宋体" w:hAnsi="宋体" w:eastAsia="宋体" w:cs="Times New Roman"/>
                <w:color w:val="000000"/>
                <w:szCs w:val="21"/>
              </w:rPr>
            </w:pPr>
          </w:p>
        </w:tc>
        <w:tc>
          <w:tcPr>
            <w:tcW w:w="8174" w:type="dxa"/>
            <w:gridSpan w:val="5"/>
            <w:vAlign w:val="center"/>
          </w:tcPr>
          <w:p w14:paraId="62013D19">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增强</w:t>
            </w:r>
            <w:r>
              <w:rPr>
                <w:rFonts w:hint="eastAsia" w:ascii="宋体" w:hAnsi="宋体" w:eastAsia="宋体" w:cs="Times New Roman"/>
                <w:color w:val="000000"/>
                <w:szCs w:val="21"/>
              </w:rPr>
              <w:t>培养投身基础教育科学研究的责任感和使命感；形成诚信务实、脚踏实地、实事求是的科研素养；遵守学术规范，恪守学术诚信。</w:t>
            </w:r>
          </w:p>
        </w:tc>
      </w:tr>
      <w:tr w14:paraId="6AA0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BE0E1C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5.答辩</w:t>
            </w:r>
          </w:p>
        </w:tc>
        <w:tc>
          <w:tcPr>
            <w:tcW w:w="1531" w:type="dxa"/>
            <w:vAlign w:val="center"/>
          </w:tcPr>
          <w:p w14:paraId="0D43108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（1）论文评阅</w:t>
            </w:r>
          </w:p>
          <w:p w14:paraId="60DDAE1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（2）论文答辩</w:t>
            </w:r>
          </w:p>
        </w:tc>
        <w:tc>
          <w:tcPr>
            <w:tcW w:w="1304" w:type="dxa"/>
            <w:vAlign w:val="center"/>
          </w:tcPr>
          <w:p w14:paraId="336D425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课程目标1、2、3、4</w:t>
            </w:r>
          </w:p>
        </w:tc>
        <w:tc>
          <w:tcPr>
            <w:tcW w:w="3372" w:type="dxa"/>
            <w:vAlign w:val="center"/>
          </w:tcPr>
          <w:p w14:paraId="0195BE4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1.定稿论文交由指导教师和评阅教师分别进行审阅，写出评语和评分后交给答辩小组。</w:t>
            </w:r>
          </w:p>
          <w:p w14:paraId="68B03FC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（2）参加答辩，报告毕业论文主要内容，并回答答辩小组成员提出的问题。</w:t>
            </w:r>
          </w:p>
        </w:tc>
        <w:tc>
          <w:tcPr>
            <w:tcW w:w="1516" w:type="dxa"/>
            <w:vAlign w:val="center"/>
          </w:tcPr>
          <w:p w14:paraId="4C8C1E7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答辩记录</w:t>
            </w:r>
          </w:p>
          <w:p w14:paraId="3679D11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答辩情况登记表</w:t>
            </w:r>
          </w:p>
          <w:p w14:paraId="7A571D9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3.论文最终稿</w:t>
            </w:r>
          </w:p>
        </w:tc>
        <w:tc>
          <w:tcPr>
            <w:tcW w:w="451" w:type="dxa"/>
            <w:vAlign w:val="center"/>
          </w:tcPr>
          <w:p w14:paraId="7B18346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21F7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D18DEC7">
            <w:pPr>
              <w:spacing w:line="276" w:lineRule="auto"/>
              <w:jc w:val="center"/>
              <w:rPr>
                <w:rFonts w:hint="eastAsia" w:ascii="宋体" w:hAnsi="宋体" w:eastAsia="宋体" w:cs="Times New Roman"/>
                <w:color w:val="000000"/>
                <w:szCs w:val="21"/>
              </w:rPr>
            </w:pPr>
          </w:p>
        </w:tc>
        <w:tc>
          <w:tcPr>
            <w:tcW w:w="8174" w:type="dxa"/>
            <w:gridSpan w:val="5"/>
            <w:vAlign w:val="center"/>
          </w:tcPr>
          <w:p w14:paraId="5E273A6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虚心学习，实事求是，形成诚信务实、脚踏实地、实事求是的科研素养。</w:t>
            </w:r>
          </w:p>
        </w:tc>
      </w:tr>
    </w:tbl>
    <w:p w14:paraId="2E84043B">
      <w:pPr>
        <w:spacing w:line="360" w:lineRule="auto"/>
        <w:jc w:val="left"/>
        <w:rPr>
          <w:rFonts w:ascii="Times New Roman" w:hAnsi="Times New Roman" w:eastAsia="宋体" w:cs="Times New Roman"/>
          <w:sz w:val="24"/>
        </w:rPr>
      </w:pPr>
    </w:p>
    <w:p w14:paraId="19A315FD">
      <w:pPr>
        <w:spacing w:line="360" w:lineRule="auto"/>
        <w:jc w:val="left"/>
        <w:rPr>
          <w:rFonts w:ascii="Times New Roman" w:hAnsi="Times New Roman" w:eastAsia="宋体" w:cs="Times New Roman"/>
          <w:sz w:val="24"/>
        </w:rPr>
      </w:pPr>
      <w:r>
        <w:rPr>
          <w:rFonts w:hint="eastAsia" w:ascii="宋体" w:hAnsi="宋体" w:eastAsia="宋体" w:cs="Times New Roman"/>
          <w:b/>
          <w:color w:val="000000"/>
          <w:sz w:val="24"/>
        </w:rPr>
        <w:t>四、目标评价与成绩评定</w:t>
      </w:r>
    </w:p>
    <w:p w14:paraId="208F5A7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68F1D2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B5DBC9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3493"/>
        <w:gridCol w:w="2675"/>
        <w:gridCol w:w="1125"/>
      </w:tblGrid>
      <w:tr w14:paraId="5555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619479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168" w:type="dxa"/>
            <w:gridSpan w:val="2"/>
            <w:vAlign w:val="center"/>
          </w:tcPr>
          <w:p w14:paraId="52DB8DE5">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25" w:type="dxa"/>
            <w:vMerge w:val="restart"/>
            <w:vAlign w:val="center"/>
          </w:tcPr>
          <w:p w14:paraId="4BDF6C92">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3D4F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A6726B1">
            <w:pPr>
              <w:spacing w:line="360" w:lineRule="auto"/>
              <w:jc w:val="center"/>
              <w:rPr>
                <w:rFonts w:hint="eastAsia" w:ascii="宋体" w:hAnsi="宋体" w:eastAsia="宋体" w:cs="Times New Roman"/>
                <w:szCs w:val="21"/>
              </w:rPr>
            </w:pPr>
          </w:p>
        </w:tc>
        <w:tc>
          <w:tcPr>
            <w:tcW w:w="3493" w:type="dxa"/>
            <w:vAlign w:val="center"/>
          </w:tcPr>
          <w:p w14:paraId="224426E0">
            <w:pPr>
              <w:spacing w:line="360" w:lineRule="auto"/>
              <w:jc w:val="center"/>
              <w:rPr>
                <w:rFonts w:hint="eastAsia" w:ascii="宋体" w:hAnsi="宋体" w:eastAsia="宋体" w:cs="Times New Roman"/>
                <w:szCs w:val="21"/>
              </w:rPr>
            </w:pPr>
            <w:r>
              <w:rPr>
                <w:rFonts w:hint="eastAsia" w:ascii="宋体" w:hAnsi="宋体" w:eastAsia="宋体" w:cs="Times New Roman"/>
                <w:szCs w:val="21"/>
              </w:rPr>
              <w:t>毕业论文</w:t>
            </w:r>
          </w:p>
        </w:tc>
        <w:tc>
          <w:tcPr>
            <w:tcW w:w="2675" w:type="dxa"/>
            <w:vAlign w:val="center"/>
          </w:tcPr>
          <w:p w14:paraId="2B94194C">
            <w:pPr>
              <w:spacing w:line="360" w:lineRule="auto"/>
              <w:jc w:val="center"/>
              <w:rPr>
                <w:rFonts w:hint="eastAsia" w:ascii="宋体" w:hAnsi="宋体" w:eastAsia="宋体" w:cs="Times New Roman"/>
                <w:szCs w:val="21"/>
              </w:rPr>
            </w:pPr>
            <w:r>
              <w:rPr>
                <w:rFonts w:hint="eastAsia" w:ascii="宋体" w:hAnsi="宋体" w:eastAsia="宋体" w:cs="Times New Roman"/>
                <w:szCs w:val="21"/>
              </w:rPr>
              <w:t>论文答辩</w:t>
            </w:r>
          </w:p>
        </w:tc>
        <w:tc>
          <w:tcPr>
            <w:tcW w:w="1125" w:type="dxa"/>
            <w:vMerge w:val="continue"/>
            <w:vAlign w:val="center"/>
          </w:tcPr>
          <w:p w14:paraId="6B9B3BBE">
            <w:pPr>
              <w:spacing w:line="360" w:lineRule="auto"/>
              <w:jc w:val="center"/>
              <w:rPr>
                <w:rFonts w:hint="eastAsia" w:ascii="宋体" w:hAnsi="宋体" w:eastAsia="宋体" w:cs="Times New Roman"/>
                <w:szCs w:val="21"/>
              </w:rPr>
            </w:pPr>
          </w:p>
        </w:tc>
      </w:tr>
      <w:tr w14:paraId="33CB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C1CDB5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493" w:type="dxa"/>
            <w:vAlign w:val="center"/>
          </w:tcPr>
          <w:p w14:paraId="3A18A24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675" w:type="dxa"/>
            <w:vAlign w:val="center"/>
          </w:tcPr>
          <w:p w14:paraId="5E1664A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1C20DD06">
            <w:pPr>
              <w:spacing w:line="360" w:lineRule="auto"/>
              <w:jc w:val="center"/>
              <w:rPr>
                <w:rFonts w:hint="eastAsia" w:ascii="宋体" w:hAnsi="宋体" w:eastAsia="宋体" w:cs="Times New Roman"/>
                <w:szCs w:val="21"/>
              </w:rPr>
            </w:pPr>
            <w:r>
              <w:rPr>
                <w:rFonts w:hint="eastAsia" w:ascii="宋体" w:hAnsi="宋体" w:eastAsia="宋体" w:cs="Times New Roman"/>
                <w:szCs w:val="21"/>
              </w:rPr>
              <w:t>35</w:t>
            </w:r>
          </w:p>
        </w:tc>
      </w:tr>
      <w:tr w14:paraId="3E77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178050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3493" w:type="dxa"/>
            <w:vAlign w:val="center"/>
          </w:tcPr>
          <w:p w14:paraId="64666A2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675" w:type="dxa"/>
            <w:vAlign w:val="center"/>
          </w:tcPr>
          <w:p w14:paraId="480387B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4A79D1F1">
            <w:pPr>
              <w:spacing w:line="360" w:lineRule="auto"/>
              <w:jc w:val="center"/>
              <w:rPr>
                <w:rFonts w:hint="eastAsia" w:ascii="宋体" w:hAnsi="宋体" w:eastAsia="宋体" w:cs="Times New Roman"/>
                <w:szCs w:val="21"/>
              </w:rPr>
            </w:pPr>
            <w:r>
              <w:rPr>
                <w:rFonts w:hint="eastAsia" w:ascii="宋体" w:hAnsi="宋体" w:eastAsia="宋体" w:cs="Times New Roman"/>
                <w:szCs w:val="21"/>
              </w:rPr>
              <w:t>35</w:t>
            </w:r>
          </w:p>
        </w:tc>
      </w:tr>
      <w:tr w14:paraId="15A5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87EC22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493" w:type="dxa"/>
            <w:vAlign w:val="center"/>
          </w:tcPr>
          <w:p w14:paraId="51EA497F">
            <w:pPr>
              <w:spacing w:line="360" w:lineRule="auto"/>
              <w:jc w:val="center"/>
              <w:rPr>
                <w:rFonts w:hint="eastAsia" w:ascii="宋体" w:hAnsi="宋体" w:eastAsia="宋体" w:cs="Times New Roman"/>
                <w:szCs w:val="21"/>
              </w:rPr>
            </w:pPr>
          </w:p>
        </w:tc>
        <w:tc>
          <w:tcPr>
            <w:tcW w:w="2675" w:type="dxa"/>
            <w:vAlign w:val="center"/>
          </w:tcPr>
          <w:p w14:paraId="2412815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74F928F7">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4068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BF8D5E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3493" w:type="dxa"/>
            <w:vAlign w:val="center"/>
          </w:tcPr>
          <w:p w14:paraId="6433F88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675" w:type="dxa"/>
            <w:vAlign w:val="center"/>
          </w:tcPr>
          <w:p w14:paraId="38D34B69">
            <w:pPr>
              <w:spacing w:line="360" w:lineRule="auto"/>
              <w:jc w:val="center"/>
              <w:rPr>
                <w:rFonts w:hint="eastAsia" w:ascii="宋体" w:hAnsi="宋体" w:eastAsia="宋体" w:cs="Times New Roman"/>
                <w:szCs w:val="21"/>
              </w:rPr>
            </w:pPr>
          </w:p>
        </w:tc>
        <w:tc>
          <w:tcPr>
            <w:tcW w:w="1125" w:type="dxa"/>
            <w:vAlign w:val="center"/>
          </w:tcPr>
          <w:p w14:paraId="1D00BD3C">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2A75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F8CB364">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3493" w:type="dxa"/>
            <w:vAlign w:val="center"/>
          </w:tcPr>
          <w:p w14:paraId="53CAF43F">
            <w:pPr>
              <w:spacing w:line="360" w:lineRule="auto"/>
              <w:jc w:val="center"/>
              <w:rPr>
                <w:rFonts w:hint="eastAsia" w:ascii="宋体" w:hAnsi="宋体" w:eastAsia="宋体" w:cs="Times New Roman"/>
                <w:szCs w:val="21"/>
              </w:rPr>
            </w:pPr>
          </w:p>
        </w:tc>
        <w:tc>
          <w:tcPr>
            <w:tcW w:w="2675" w:type="dxa"/>
            <w:vAlign w:val="center"/>
          </w:tcPr>
          <w:p w14:paraId="2C08E489">
            <w:pPr>
              <w:spacing w:line="360" w:lineRule="auto"/>
              <w:jc w:val="center"/>
              <w:rPr>
                <w:rFonts w:hint="eastAsia" w:ascii="宋体" w:hAnsi="宋体" w:eastAsia="宋体" w:cs="Times New Roman"/>
                <w:szCs w:val="21"/>
              </w:rPr>
            </w:pPr>
          </w:p>
        </w:tc>
        <w:tc>
          <w:tcPr>
            <w:tcW w:w="1125" w:type="dxa"/>
            <w:vAlign w:val="center"/>
          </w:tcPr>
          <w:p w14:paraId="6C3438D4">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79E99BB">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A7C803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5506DD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4"/>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332"/>
        <w:gridCol w:w="750"/>
      </w:tblGrid>
      <w:tr w14:paraId="2207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91B39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332" w:type="dxa"/>
            <w:vAlign w:val="center"/>
          </w:tcPr>
          <w:p w14:paraId="05A4227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50" w:type="dxa"/>
            <w:vAlign w:val="center"/>
          </w:tcPr>
          <w:p w14:paraId="04CC05C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EF0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3202737">
            <w:pPr>
              <w:rPr>
                <w:rFonts w:ascii="Times New Roman" w:hAnsi="Times New Roman" w:eastAsia="宋体" w:cs="Times New Roman"/>
                <w:szCs w:val="21"/>
              </w:rPr>
            </w:pPr>
            <w:r>
              <w:rPr>
                <w:rFonts w:hint="eastAsia" w:ascii="Times New Roman" w:hAnsi="Times New Roman" w:eastAsia="宋体" w:cs="Times New Roman"/>
                <w:szCs w:val="21"/>
              </w:rPr>
              <w:t>毕业论文</w:t>
            </w:r>
          </w:p>
        </w:tc>
        <w:tc>
          <w:tcPr>
            <w:tcW w:w="7332" w:type="dxa"/>
            <w:vAlign w:val="center"/>
          </w:tcPr>
          <w:p w14:paraId="538D34E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由指导教师和评阅教师对学生的毕业论文进行评价。</w:t>
            </w:r>
          </w:p>
          <w:p w14:paraId="6B329C0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指导教师着重从学生的日常表现、独立工作能力和论文完成质量等方面给出考核评语和评定成绩（百分制），评阅成绩占毕业论文的60%；</w:t>
            </w:r>
          </w:p>
          <w:p w14:paraId="0F981E1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评阅教师着重从毕业设计选题的意义和价值、论文的工作量和难度、学生论文完成的水平、论文的撰写质量等方面进行考评，并给出考核评语和评定成绩（百分制），评阅成绩占毕业论文的40%</w:t>
            </w:r>
          </w:p>
        </w:tc>
        <w:tc>
          <w:tcPr>
            <w:tcW w:w="750" w:type="dxa"/>
            <w:vAlign w:val="center"/>
          </w:tcPr>
          <w:p w14:paraId="59C75410">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682C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4EAD6B7">
            <w:pPr>
              <w:rPr>
                <w:rFonts w:ascii="Times New Roman" w:hAnsi="Times New Roman" w:eastAsia="宋体" w:cs="Times New Roman"/>
                <w:szCs w:val="21"/>
              </w:rPr>
            </w:pPr>
            <w:r>
              <w:rPr>
                <w:rFonts w:hint="eastAsia" w:ascii="Times New Roman" w:hAnsi="Times New Roman" w:eastAsia="宋体" w:cs="Times New Roman"/>
                <w:szCs w:val="21"/>
              </w:rPr>
              <w:t>论文答辩</w:t>
            </w:r>
          </w:p>
        </w:tc>
        <w:tc>
          <w:tcPr>
            <w:tcW w:w="7332" w:type="dxa"/>
            <w:vAlign w:val="center"/>
          </w:tcPr>
          <w:p w14:paraId="403BE23A">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由答辩委员会针对论文整体情况、学生陈述问题的清楚程度以及对专家提出问题的回答情况给出评阅成绩（百分制）。</w:t>
            </w:r>
          </w:p>
        </w:tc>
        <w:tc>
          <w:tcPr>
            <w:tcW w:w="750" w:type="dxa"/>
            <w:vAlign w:val="center"/>
          </w:tcPr>
          <w:p w14:paraId="5462AA4E">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9EA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5ACD4F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332" w:type="dxa"/>
            <w:vAlign w:val="center"/>
          </w:tcPr>
          <w:p w14:paraId="52720AC0">
            <w:pPr>
              <w:jc w:val="left"/>
              <w:rPr>
                <w:rFonts w:ascii="Times New Roman" w:hAnsi="Times New Roman" w:eastAsia="宋体" w:cs="Times New Roman"/>
                <w:szCs w:val="21"/>
              </w:rPr>
            </w:pPr>
          </w:p>
        </w:tc>
        <w:tc>
          <w:tcPr>
            <w:tcW w:w="750" w:type="dxa"/>
            <w:vAlign w:val="center"/>
          </w:tcPr>
          <w:p w14:paraId="7C13427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6557E46">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8D9FDB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DE7882E">
      <w:pPr>
        <w:spacing w:line="360" w:lineRule="auto"/>
        <w:jc w:val="left"/>
        <w:rPr>
          <w:rFonts w:ascii="Times New Roman" w:hAnsi="Times New Roman" w:eastAsia="宋体" w:cs="Times New Roman"/>
          <w:b/>
          <w:bCs/>
          <w:sz w:val="24"/>
        </w:rPr>
      </w:pPr>
      <w:r>
        <w:rPr>
          <w:rFonts w:ascii="宋体" w:hAnsi="宋体" w:eastAsia="宋体" w:cs="Times New Roman"/>
          <w:color w:val="000000"/>
          <w:szCs w:val="21"/>
        </w:rPr>
        <w:object>
          <v:shape id="_x0000_i1084" o:spt="75" type="#_x0000_t75" style="height:25.15pt;width:404.65pt;" o:ole="t" filled="f" o:preferrelative="t" stroked="f" coordsize="21600,21600">
            <v:path/>
            <v:fill on="f" focussize="0,0"/>
            <v:stroke on="f" joinstyle="miter"/>
            <v:imagedata r:id="rId5" o:title=""/>
            <o:lock v:ext="edit" aspectratio="t"/>
            <w10:wrap type="none"/>
            <w10:anchorlock/>
          </v:shape>
          <o:OLEObject Type="Embed" ProgID="Equation.3" ShapeID="_x0000_i1084" DrawAspect="Content" ObjectID="_1468075784" r:id="rId70">
            <o:LockedField>false</o:LockedField>
          </o:OLEObject>
        </w:object>
      </w:r>
      <w:r>
        <w:rPr>
          <w:rFonts w:hint="eastAsia" w:ascii="宋体" w:hAnsi="宋体" w:eastAsia="宋体" w:cs="Times New Roman"/>
          <w:b/>
          <w:color w:val="000000"/>
          <w:sz w:val="24"/>
        </w:rPr>
        <w:t>五、有关说明</w:t>
      </w:r>
    </w:p>
    <w:p w14:paraId="3660551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28ACD09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根据学生选题情况、论文写作过程中的情况、论文质量、答辩情况等，及时对毕业论文过程中的不足之处进行改进，并在下一轮教学中整改完善，确保相应毕业要求指标点的达成。</w:t>
      </w:r>
    </w:p>
    <w:p w14:paraId="08CAC8B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6681B245">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张肇丰.从实践到文本 中小学教师科研写作方法导论（第3版）.上海：华东师范大学出版社，2021.</w:t>
      </w:r>
    </w:p>
    <w:p w14:paraId="18A0F2F6">
      <w:pPr>
        <w:tabs>
          <w:tab w:val="left" w:pos="374"/>
        </w:tabs>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71957E70">
      <w:pPr>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1.常州工学院毕业设计（论文）工作管理办法</w:t>
      </w:r>
    </w:p>
    <w:p w14:paraId="0F207BF0">
      <w:pPr>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2.常州工学院教育与人文学院小学教育专业毕业论文指导书</w:t>
      </w:r>
    </w:p>
    <w:p w14:paraId="6C3F535E">
      <w:pPr>
        <w:ind w:firstLine="420" w:firstLineChars="200"/>
      </w:pPr>
      <w:r>
        <w:rPr>
          <w:rFonts w:hint="eastAsia" w:ascii="Times New Roman" w:hAnsi="Times New Roman" w:eastAsia="宋体" w:cs="Times New Roman"/>
          <w:bCs/>
          <w:color w:val="000000"/>
          <w:szCs w:val="21"/>
        </w:rPr>
        <w:t>3.其他资料由各指导教师根据题目给定</w:t>
      </w:r>
    </w:p>
    <w:p w14:paraId="546E2B4B"/>
    <w:p w14:paraId="217FB6B0"/>
    <w:p w14:paraId="3B903AA1"/>
    <w:p w14:paraId="27261146">
      <w:pPr>
        <w:spacing w:line="360" w:lineRule="auto"/>
        <w:ind w:right="1440"/>
        <w:jc w:val="right"/>
        <w:rPr>
          <w:rFonts w:ascii="Times New Roman" w:hAnsi="Times New Roman" w:eastAsia="宋体" w:cs="Times New Roman"/>
          <w:sz w:val="24"/>
        </w:rPr>
      </w:pPr>
      <w:r>
        <w:rPr>
          <w:rFonts w:hint="eastAsia" w:ascii="Times New Roman" w:hAnsi="Times New Roman" w:eastAsia="宋体" w:cs="Times New Roman"/>
          <w:sz w:val="24"/>
        </w:rPr>
        <w:t>执 笔 人： 姚玉香</w:t>
      </w:r>
    </w:p>
    <w:p w14:paraId="7A717BA6">
      <w:pPr>
        <w:spacing w:line="360" w:lineRule="auto"/>
        <w:ind w:right="1440"/>
        <w:jc w:val="right"/>
        <w:rPr>
          <w:rFonts w:ascii="Times New Roman" w:hAnsi="Times New Roman" w:eastAsia="宋体" w:cs="Times New Roman"/>
          <w:sz w:val="24"/>
        </w:rPr>
      </w:pPr>
      <w:r>
        <w:rPr>
          <w:rFonts w:hint="eastAsia" w:ascii="Times New Roman" w:hAnsi="Times New Roman" w:eastAsia="宋体" w:cs="Times New Roman"/>
          <w:sz w:val="24"/>
        </w:rPr>
        <w:t xml:space="preserve">  审 定 人： 王  健</w:t>
      </w:r>
    </w:p>
    <w:p w14:paraId="6EA18B9C">
      <w:pPr>
        <w:spacing w:line="360" w:lineRule="auto"/>
        <w:ind w:right="1440"/>
        <w:jc w:val="right"/>
        <w:rPr>
          <w:rFonts w:ascii="Times New Roman" w:hAnsi="Times New Roman" w:eastAsia="宋体" w:cs="Times New Roman"/>
          <w:sz w:val="24"/>
        </w:rPr>
      </w:pPr>
      <w:r>
        <w:rPr>
          <w:rFonts w:hint="eastAsia" w:ascii="Times New Roman" w:hAnsi="Times New Roman" w:eastAsia="宋体" w:cs="Times New Roman"/>
          <w:sz w:val="24"/>
        </w:rPr>
        <w:t>审 批 人： 张志欣</w:t>
      </w:r>
    </w:p>
    <w:p w14:paraId="4675C6B3">
      <w:pPr>
        <w:spacing w:line="360" w:lineRule="auto"/>
        <w:ind w:right="240"/>
        <w:jc w:val="right"/>
        <w:rPr>
          <w:rFonts w:ascii="Times New Roman" w:hAnsi="Times New Roman" w:eastAsia="宋体" w:cs="Times New Roman"/>
          <w:sz w:val="24"/>
        </w:rPr>
      </w:pPr>
      <w:r>
        <w:rPr>
          <w:rFonts w:hint="eastAsia" w:ascii="Times New Roman" w:hAnsi="Times New Roman" w:eastAsia="宋体" w:cs="Times New Roman"/>
          <w:sz w:val="24"/>
        </w:rPr>
        <w:t>批准时间： 2024</w:t>
      </w:r>
      <w:r>
        <w:rPr>
          <w:rFonts w:ascii="Times New Roman" w:hAnsi="Times New Roman" w:eastAsia="宋体" w:cs="Times New Roman"/>
          <w:sz w:val="24"/>
        </w:rPr>
        <w:t>年</w:t>
      </w:r>
      <w:r>
        <w:rPr>
          <w:rFonts w:hint="eastAsia" w:ascii="Times New Roman" w:hAnsi="Times New Roman" w:eastAsia="宋体" w:cs="Times New Roman"/>
          <w:sz w:val="24"/>
        </w:rPr>
        <w:t xml:space="preserve"> 9</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2F549194">
      <w:pPr>
        <w:jc w:val="right"/>
        <w:rPr>
          <w:rFonts w:hint="eastAsia" w:ascii="宋体" w:hAnsi="宋体" w:eastAsia="宋体" w:cs="Times New Roman"/>
          <w:color w:val="000000"/>
          <w:sz w:val="24"/>
        </w:rPr>
      </w:pPr>
    </w:p>
    <w:p w14:paraId="5A61985B">
      <w:pPr>
        <w:autoSpaceDE w:val="0"/>
        <w:autoSpaceDN w:val="0"/>
        <w:adjustRightInd w:val="0"/>
        <w:spacing w:line="360" w:lineRule="auto"/>
        <w:jc w:val="right"/>
        <w:rPr>
          <w:rFonts w:hint="eastAsia" w:ascii="宋体" w:hAnsi="宋体" w:eastAsia="宋体" w:cs="Times New Roman"/>
          <w:kern w:val="0"/>
          <w:sz w:val="24"/>
        </w:rPr>
      </w:pPr>
    </w:p>
    <w:bookmarkEnd w:id="297"/>
    <w:bookmarkEnd w:id="298"/>
    <w:p w14:paraId="6D1EC0BC">
      <w:pPr>
        <w:spacing w:line="360" w:lineRule="auto"/>
        <w:ind w:firstLine="4320" w:firstLineChars="1800"/>
        <w:rPr>
          <w:rFonts w:ascii="Times New Roman" w:hAnsi="Times New Roman" w:eastAsia="宋体" w:cs="Times New Roman"/>
          <w:sz w:val="24"/>
        </w:rPr>
      </w:pPr>
    </w:p>
    <w:p w14:paraId="4FD4D8CB">
      <w:pPr>
        <w:jc w:val="center"/>
        <w:rPr>
          <w:rFonts w:hint="eastAsia" w:ascii="等线" w:hAnsi="等线" w:eastAsia="等线" w:cs="等线"/>
          <w:b/>
          <w:bCs/>
          <w:sz w:val="44"/>
          <w:szCs w:val="4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方正书宋_GBK">
    <w:altName w:val="微软雅黑"/>
    <w:panose1 w:val="00000000000000000000"/>
    <w:charset w:val="86"/>
    <w:family w:val="auto"/>
    <w:pitch w:val="default"/>
    <w:sig w:usb0="00000000" w:usb1="00000000" w:usb2="00082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7EFE20"/>
    <w:multiLevelType w:val="singleLevel"/>
    <w:tmpl w:val="8B7EFE20"/>
    <w:lvl w:ilvl="0" w:tentative="0">
      <w:start w:val="1"/>
      <w:numFmt w:val="decimal"/>
      <w:suff w:val="nothing"/>
      <w:lvlText w:val="（%1）"/>
      <w:lvlJc w:val="left"/>
    </w:lvl>
  </w:abstractNum>
  <w:abstractNum w:abstractNumId="1">
    <w:nsid w:val="8C6D6CD6"/>
    <w:multiLevelType w:val="singleLevel"/>
    <w:tmpl w:val="8C6D6CD6"/>
    <w:lvl w:ilvl="0" w:tentative="0">
      <w:start w:val="1"/>
      <w:numFmt w:val="decimal"/>
      <w:lvlText w:val="%1."/>
      <w:lvlJc w:val="left"/>
      <w:pPr>
        <w:tabs>
          <w:tab w:val="left" w:pos="312"/>
        </w:tabs>
      </w:pPr>
    </w:lvl>
  </w:abstractNum>
  <w:abstractNum w:abstractNumId="2">
    <w:nsid w:val="9440CD43"/>
    <w:multiLevelType w:val="singleLevel"/>
    <w:tmpl w:val="9440CD43"/>
    <w:lvl w:ilvl="0" w:tentative="0">
      <w:start w:val="1"/>
      <w:numFmt w:val="decimal"/>
      <w:suff w:val="nothing"/>
      <w:lvlText w:val="%1、"/>
      <w:lvlJc w:val="left"/>
    </w:lvl>
  </w:abstractNum>
  <w:abstractNum w:abstractNumId="3">
    <w:nsid w:val="96B481ED"/>
    <w:multiLevelType w:val="singleLevel"/>
    <w:tmpl w:val="96B481ED"/>
    <w:lvl w:ilvl="0" w:tentative="0">
      <w:start w:val="1"/>
      <w:numFmt w:val="decimal"/>
      <w:suff w:val="nothing"/>
      <w:lvlText w:val="（%1）"/>
      <w:lvlJc w:val="left"/>
    </w:lvl>
  </w:abstractNum>
  <w:abstractNum w:abstractNumId="4">
    <w:nsid w:val="9AD7572B"/>
    <w:multiLevelType w:val="singleLevel"/>
    <w:tmpl w:val="9AD7572B"/>
    <w:lvl w:ilvl="0" w:tentative="0">
      <w:start w:val="1"/>
      <w:numFmt w:val="decimal"/>
      <w:lvlText w:val="%1."/>
      <w:lvlJc w:val="left"/>
      <w:pPr>
        <w:tabs>
          <w:tab w:val="left" w:pos="312"/>
        </w:tabs>
      </w:pPr>
    </w:lvl>
  </w:abstractNum>
  <w:abstractNum w:abstractNumId="5">
    <w:nsid w:val="A6962EEB"/>
    <w:multiLevelType w:val="singleLevel"/>
    <w:tmpl w:val="A6962EEB"/>
    <w:lvl w:ilvl="0" w:tentative="0">
      <w:start w:val="2"/>
      <w:numFmt w:val="chineseCounting"/>
      <w:suff w:val="nothing"/>
      <w:lvlText w:val="（%1）"/>
      <w:lvlJc w:val="left"/>
      <w:rPr>
        <w:rFonts w:hint="eastAsia"/>
      </w:rPr>
    </w:lvl>
  </w:abstractNum>
  <w:abstractNum w:abstractNumId="6">
    <w:nsid w:val="AA3F8CA6"/>
    <w:multiLevelType w:val="singleLevel"/>
    <w:tmpl w:val="AA3F8CA6"/>
    <w:lvl w:ilvl="0" w:tentative="0">
      <w:start w:val="1"/>
      <w:numFmt w:val="decimal"/>
      <w:suff w:val="nothing"/>
      <w:lvlText w:val="（%1）"/>
      <w:lvlJc w:val="left"/>
    </w:lvl>
  </w:abstractNum>
  <w:abstractNum w:abstractNumId="7">
    <w:nsid w:val="C9423CA1"/>
    <w:multiLevelType w:val="singleLevel"/>
    <w:tmpl w:val="C9423CA1"/>
    <w:lvl w:ilvl="0" w:tentative="0">
      <w:start w:val="1"/>
      <w:numFmt w:val="decimal"/>
      <w:lvlText w:val="%1."/>
      <w:lvlJc w:val="left"/>
      <w:pPr>
        <w:tabs>
          <w:tab w:val="left" w:pos="312"/>
        </w:tabs>
      </w:pPr>
    </w:lvl>
  </w:abstractNum>
  <w:abstractNum w:abstractNumId="8">
    <w:nsid w:val="CF39D1F0"/>
    <w:multiLevelType w:val="singleLevel"/>
    <w:tmpl w:val="CF39D1F0"/>
    <w:lvl w:ilvl="0" w:tentative="0">
      <w:start w:val="1"/>
      <w:numFmt w:val="decimal"/>
      <w:suff w:val="nothing"/>
      <w:lvlText w:val="（%1）"/>
      <w:lvlJc w:val="left"/>
    </w:lvl>
  </w:abstractNum>
  <w:abstractNum w:abstractNumId="9">
    <w:nsid w:val="CF7EC5A9"/>
    <w:multiLevelType w:val="singleLevel"/>
    <w:tmpl w:val="CF7EC5A9"/>
    <w:lvl w:ilvl="0" w:tentative="0">
      <w:start w:val="3"/>
      <w:numFmt w:val="chineseCounting"/>
      <w:suff w:val="nothing"/>
      <w:lvlText w:val="%1、"/>
      <w:lvlJc w:val="left"/>
      <w:rPr>
        <w:rFonts w:hint="eastAsia"/>
      </w:rPr>
    </w:lvl>
  </w:abstractNum>
  <w:abstractNum w:abstractNumId="10">
    <w:nsid w:val="D45A6C37"/>
    <w:multiLevelType w:val="singleLevel"/>
    <w:tmpl w:val="D45A6C37"/>
    <w:lvl w:ilvl="0" w:tentative="0">
      <w:start w:val="1"/>
      <w:numFmt w:val="decimal"/>
      <w:suff w:val="nothing"/>
      <w:lvlText w:val="（%1）"/>
      <w:lvlJc w:val="left"/>
    </w:lvl>
  </w:abstractNum>
  <w:abstractNum w:abstractNumId="11">
    <w:nsid w:val="D692B9DB"/>
    <w:multiLevelType w:val="singleLevel"/>
    <w:tmpl w:val="D692B9DB"/>
    <w:lvl w:ilvl="0" w:tentative="0">
      <w:start w:val="1"/>
      <w:numFmt w:val="decimal"/>
      <w:suff w:val="space"/>
      <w:lvlText w:val="%1."/>
      <w:lvlJc w:val="left"/>
    </w:lvl>
  </w:abstractNum>
  <w:abstractNum w:abstractNumId="12">
    <w:nsid w:val="DDA9F6E8"/>
    <w:multiLevelType w:val="singleLevel"/>
    <w:tmpl w:val="DDA9F6E8"/>
    <w:lvl w:ilvl="0" w:tentative="0">
      <w:start w:val="1"/>
      <w:numFmt w:val="chineseCounting"/>
      <w:suff w:val="nothing"/>
      <w:lvlText w:val="%1、"/>
      <w:lvlJc w:val="left"/>
      <w:rPr>
        <w:rFonts w:hint="eastAsia"/>
      </w:rPr>
    </w:lvl>
  </w:abstractNum>
  <w:abstractNum w:abstractNumId="13">
    <w:nsid w:val="DFFE6490"/>
    <w:multiLevelType w:val="singleLevel"/>
    <w:tmpl w:val="DFFE6490"/>
    <w:lvl w:ilvl="0" w:tentative="0">
      <w:start w:val="1"/>
      <w:numFmt w:val="decimal"/>
      <w:suff w:val="nothing"/>
      <w:lvlText w:val="（%1）"/>
      <w:lvlJc w:val="left"/>
    </w:lvl>
  </w:abstractNum>
  <w:abstractNum w:abstractNumId="14">
    <w:nsid w:val="E209275A"/>
    <w:multiLevelType w:val="singleLevel"/>
    <w:tmpl w:val="E209275A"/>
    <w:lvl w:ilvl="0" w:tentative="0">
      <w:start w:val="1"/>
      <w:numFmt w:val="decimal"/>
      <w:suff w:val="nothing"/>
      <w:lvlText w:val="（%1）"/>
      <w:lvlJc w:val="left"/>
    </w:lvl>
  </w:abstractNum>
  <w:abstractNum w:abstractNumId="15">
    <w:nsid w:val="EDE8D889"/>
    <w:multiLevelType w:val="singleLevel"/>
    <w:tmpl w:val="EDE8D889"/>
    <w:lvl w:ilvl="0" w:tentative="0">
      <w:start w:val="1"/>
      <w:numFmt w:val="decimal"/>
      <w:lvlText w:val="%1."/>
      <w:lvlJc w:val="left"/>
      <w:pPr>
        <w:tabs>
          <w:tab w:val="left" w:pos="312"/>
        </w:tabs>
      </w:pPr>
    </w:lvl>
  </w:abstractNum>
  <w:abstractNum w:abstractNumId="16">
    <w:nsid w:val="EE18C20E"/>
    <w:multiLevelType w:val="singleLevel"/>
    <w:tmpl w:val="EE18C20E"/>
    <w:lvl w:ilvl="0" w:tentative="0">
      <w:start w:val="1"/>
      <w:numFmt w:val="decimal"/>
      <w:suff w:val="space"/>
      <w:lvlText w:val="%1."/>
      <w:lvlJc w:val="left"/>
    </w:lvl>
  </w:abstractNum>
  <w:abstractNum w:abstractNumId="17">
    <w:nsid w:val="EF086861"/>
    <w:multiLevelType w:val="singleLevel"/>
    <w:tmpl w:val="EF086861"/>
    <w:lvl w:ilvl="0" w:tentative="0">
      <w:start w:val="1"/>
      <w:numFmt w:val="decimal"/>
      <w:lvlText w:val="%1."/>
      <w:lvlJc w:val="left"/>
      <w:pPr>
        <w:tabs>
          <w:tab w:val="left" w:pos="312"/>
        </w:tabs>
      </w:pPr>
    </w:lvl>
  </w:abstractNum>
  <w:abstractNum w:abstractNumId="18">
    <w:nsid w:val="EF3FA2B3"/>
    <w:multiLevelType w:val="singleLevel"/>
    <w:tmpl w:val="EF3FA2B3"/>
    <w:lvl w:ilvl="0" w:tentative="0">
      <w:start w:val="1"/>
      <w:numFmt w:val="decimal"/>
      <w:lvlText w:val="%1."/>
      <w:lvlJc w:val="left"/>
      <w:pPr>
        <w:tabs>
          <w:tab w:val="left" w:pos="312"/>
        </w:tabs>
      </w:pPr>
    </w:lvl>
  </w:abstractNum>
  <w:abstractNum w:abstractNumId="19">
    <w:nsid w:val="F51E7177"/>
    <w:multiLevelType w:val="singleLevel"/>
    <w:tmpl w:val="F51E7177"/>
    <w:lvl w:ilvl="0" w:tentative="0">
      <w:start w:val="1"/>
      <w:numFmt w:val="decimal"/>
      <w:lvlText w:val="%1."/>
      <w:lvlJc w:val="left"/>
      <w:pPr>
        <w:tabs>
          <w:tab w:val="left" w:pos="312"/>
        </w:tabs>
      </w:pPr>
    </w:lvl>
  </w:abstractNum>
  <w:abstractNum w:abstractNumId="20">
    <w:nsid w:val="FF197DFC"/>
    <w:multiLevelType w:val="singleLevel"/>
    <w:tmpl w:val="FF197DFC"/>
    <w:lvl w:ilvl="0" w:tentative="0">
      <w:start w:val="1"/>
      <w:numFmt w:val="decimal"/>
      <w:suff w:val="nothing"/>
      <w:lvlText w:val="（%1）"/>
      <w:lvlJc w:val="left"/>
    </w:lvl>
  </w:abstractNum>
  <w:abstractNum w:abstractNumId="21">
    <w:nsid w:val="0386C207"/>
    <w:multiLevelType w:val="singleLevel"/>
    <w:tmpl w:val="0386C207"/>
    <w:lvl w:ilvl="0" w:tentative="0">
      <w:start w:val="1"/>
      <w:numFmt w:val="decimal"/>
      <w:lvlText w:val="%1."/>
      <w:lvlJc w:val="left"/>
      <w:pPr>
        <w:tabs>
          <w:tab w:val="left" w:pos="312"/>
        </w:tabs>
      </w:pPr>
    </w:lvl>
  </w:abstractNum>
  <w:abstractNum w:abstractNumId="22">
    <w:nsid w:val="06600E1E"/>
    <w:multiLevelType w:val="singleLevel"/>
    <w:tmpl w:val="06600E1E"/>
    <w:lvl w:ilvl="0" w:tentative="0">
      <w:start w:val="1"/>
      <w:numFmt w:val="decimal"/>
      <w:lvlText w:val="%1."/>
      <w:lvlJc w:val="left"/>
      <w:pPr>
        <w:tabs>
          <w:tab w:val="left" w:pos="312"/>
        </w:tabs>
      </w:pPr>
    </w:lvl>
  </w:abstractNum>
  <w:abstractNum w:abstractNumId="23">
    <w:nsid w:val="0E8E1EB3"/>
    <w:multiLevelType w:val="singleLevel"/>
    <w:tmpl w:val="0E8E1EB3"/>
    <w:lvl w:ilvl="0" w:tentative="0">
      <w:start w:val="1"/>
      <w:numFmt w:val="chineseCounting"/>
      <w:suff w:val="nothing"/>
      <w:lvlText w:val="%1、"/>
      <w:lvlJc w:val="left"/>
      <w:rPr>
        <w:rFonts w:hint="eastAsia"/>
      </w:rPr>
    </w:lvl>
  </w:abstractNum>
  <w:abstractNum w:abstractNumId="24">
    <w:nsid w:val="1120384E"/>
    <w:multiLevelType w:val="multilevel"/>
    <w:tmpl w:val="1120384E"/>
    <w:lvl w:ilvl="0" w:tentative="0">
      <w:start w:val="1"/>
      <w:numFmt w:val="decimal"/>
      <w:lvlText w:val="%1."/>
      <w:lvlJc w:val="left"/>
      <w:pPr>
        <w:ind w:left="220" w:hanging="22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25">
    <w:nsid w:val="11645FF2"/>
    <w:multiLevelType w:val="multilevel"/>
    <w:tmpl w:val="11645FF2"/>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26">
    <w:nsid w:val="153972BB"/>
    <w:multiLevelType w:val="multilevel"/>
    <w:tmpl w:val="153972BB"/>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27">
    <w:nsid w:val="19022026"/>
    <w:multiLevelType w:val="multilevel"/>
    <w:tmpl w:val="1902202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1A64FCA8"/>
    <w:multiLevelType w:val="singleLevel"/>
    <w:tmpl w:val="1A64FCA8"/>
    <w:lvl w:ilvl="0" w:tentative="0">
      <w:start w:val="3"/>
      <w:numFmt w:val="chineseCounting"/>
      <w:suff w:val="nothing"/>
      <w:lvlText w:val="（%1）"/>
      <w:lvlJc w:val="left"/>
      <w:rPr>
        <w:rFonts w:hint="eastAsia"/>
      </w:rPr>
    </w:lvl>
  </w:abstractNum>
  <w:abstractNum w:abstractNumId="29">
    <w:nsid w:val="2406C1B6"/>
    <w:multiLevelType w:val="singleLevel"/>
    <w:tmpl w:val="2406C1B6"/>
    <w:lvl w:ilvl="0" w:tentative="0">
      <w:start w:val="1"/>
      <w:numFmt w:val="decimal"/>
      <w:suff w:val="nothing"/>
      <w:lvlText w:val="（%1）"/>
      <w:lvlJc w:val="left"/>
    </w:lvl>
  </w:abstractNum>
  <w:abstractNum w:abstractNumId="30">
    <w:nsid w:val="25C3EB84"/>
    <w:multiLevelType w:val="singleLevel"/>
    <w:tmpl w:val="25C3EB84"/>
    <w:lvl w:ilvl="0" w:tentative="0">
      <w:start w:val="1"/>
      <w:numFmt w:val="decimal"/>
      <w:lvlText w:val="%1."/>
      <w:lvlJc w:val="left"/>
      <w:pPr>
        <w:tabs>
          <w:tab w:val="left" w:pos="312"/>
        </w:tabs>
      </w:pPr>
    </w:lvl>
  </w:abstractNum>
  <w:abstractNum w:abstractNumId="31">
    <w:nsid w:val="282306C1"/>
    <w:multiLevelType w:val="multilevel"/>
    <w:tmpl w:val="282306C1"/>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32">
    <w:nsid w:val="30810C9B"/>
    <w:multiLevelType w:val="multilevel"/>
    <w:tmpl w:val="30810C9B"/>
    <w:lvl w:ilvl="0" w:tentative="0">
      <w:start w:val="1"/>
      <w:numFmt w:val="decimal"/>
      <w:lvlText w:val="%1."/>
      <w:lvlJc w:val="left"/>
      <w:pPr>
        <w:ind w:left="220" w:hanging="22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33">
    <w:nsid w:val="322B4A87"/>
    <w:multiLevelType w:val="multilevel"/>
    <w:tmpl w:val="322B4A8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
    <w:nsid w:val="3376E823"/>
    <w:multiLevelType w:val="singleLevel"/>
    <w:tmpl w:val="3376E823"/>
    <w:lvl w:ilvl="0" w:tentative="0">
      <w:start w:val="1"/>
      <w:numFmt w:val="decimal"/>
      <w:suff w:val="nothing"/>
      <w:lvlText w:val="（%1）"/>
      <w:lvlJc w:val="left"/>
    </w:lvl>
  </w:abstractNum>
  <w:abstractNum w:abstractNumId="35">
    <w:nsid w:val="3444C6D4"/>
    <w:multiLevelType w:val="singleLevel"/>
    <w:tmpl w:val="3444C6D4"/>
    <w:lvl w:ilvl="0" w:tentative="0">
      <w:start w:val="1"/>
      <w:numFmt w:val="decimal"/>
      <w:suff w:val="nothing"/>
      <w:lvlText w:val="（%1）"/>
      <w:lvlJc w:val="left"/>
    </w:lvl>
  </w:abstractNum>
  <w:abstractNum w:abstractNumId="36">
    <w:nsid w:val="35E2AB5D"/>
    <w:multiLevelType w:val="singleLevel"/>
    <w:tmpl w:val="35E2AB5D"/>
    <w:lvl w:ilvl="0" w:tentative="0">
      <w:start w:val="1"/>
      <w:numFmt w:val="decimal"/>
      <w:suff w:val="nothing"/>
      <w:lvlText w:val="（%1）"/>
      <w:lvlJc w:val="left"/>
    </w:lvl>
  </w:abstractNum>
  <w:abstractNum w:abstractNumId="37">
    <w:nsid w:val="36AEB368"/>
    <w:multiLevelType w:val="singleLevel"/>
    <w:tmpl w:val="36AEB368"/>
    <w:lvl w:ilvl="0" w:tentative="0">
      <w:start w:val="1"/>
      <w:numFmt w:val="decimal"/>
      <w:lvlText w:val="%1."/>
      <w:lvlJc w:val="left"/>
      <w:pPr>
        <w:tabs>
          <w:tab w:val="left" w:pos="312"/>
        </w:tabs>
      </w:pPr>
    </w:lvl>
  </w:abstractNum>
  <w:abstractNum w:abstractNumId="38">
    <w:nsid w:val="3D936859"/>
    <w:multiLevelType w:val="singleLevel"/>
    <w:tmpl w:val="3D936859"/>
    <w:lvl w:ilvl="0" w:tentative="0">
      <w:start w:val="1"/>
      <w:numFmt w:val="decimal"/>
      <w:suff w:val="nothing"/>
      <w:lvlText w:val="（%1）"/>
      <w:lvlJc w:val="left"/>
    </w:lvl>
  </w:abstractNum>
  <w:abstractNum w:abstractNumId="39">
    <w:nsid w:val="3DC49CC1"/>
    <w:multiLevelType w:val="singleLevel"/>
    <w:tmpl w:val="3DC49CC1"/>
    <w:lvl w:ilvl="0" w:tentative="0">
      <w:start w:val="2"/>
      <w:numFmt w:val="chineseCounting"/>
      <w:suff w:val="nothing"/>
      <w:lvlText w:val="（%1）"/>
      <w:lvlJc w:val="left"/>
      <w:rPr>
        <w:rFonts w:hint="eastAsia"/>
      </w:rPr>
    </w:lvl>
  </w:abstractNum>
  <w:abstractNum w:abstractNumId="40">
    <w:nsid w:val="43889757"/>
    <w:multiLevelType w:val="singleLevel"/>
    <w:tmpl w:val="43889757"/>
    <w:lvl w:ilvl="0" w:tentative="0">
      <w:start w:val="1"/>
      <w:numFmt w:val="decimal"/>
      <w:suff w:val="nothing"/>
      <w:lvlText w:val="（%1）"/>
      <w:lvlJc w:val="left"/>
    </w:lvl>
  </w:abstractNum>
  <w:abstractNum w:abstractNumId="41">
    <w:nsid w:val="45674FB3"/>
    <w:multiLevelType w:val="multilevel"/>
    <w:tmpl w:val="45674FB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468C8BD2"/>
    <w:multiLevelType w:val="singleLevel"/>
    <w:tmpl w:val="468C8BD2"/>
    <w:lvl w:ilvl="0" w:tentative="0">
      <w:start w:val="1"/>
      <w:numFmt w:val="decimal"/>
      <w:suff w:val="nothing"/>
      <w:lvlText w:val="（%1）"/>
      <w:lvlJc w:val="left"/>
    </w:lvl>
  </w:abstractNum>
  <w:abstractNum w:abstractNumId="43">
    <w:nsid w:val="486C0F1B"/>
    <w:multiLevelType w:val="multilevel"/>
    <w:tmpl w:val="486C0F1B"/>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44">
    <w:nsid w:val="49EC3975"/>
    <w:multiLevelType w:val="multilevel"/>
    <w:tmpl w:val="49EC3975"/>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45">
    <w:nsid w:val="513F77D0"/>
    <w:multiLevelType w:val="singleLevel"/>
    <w:tmpl w:val="513F77D0"/>
    <w:lvl w:ilvl="0" w:tentative="0">
      <w:start w:val="4"/>
      <w:numFmt w:val="chineseCounting"/>
      <w:suff w:val="nothing"/>
      <w:lvlText w:val="%1、"/>
      <w:lvlJc w:val="left"/>
      <w:rPr>
        <w:rFonts w:hint="eastAsia"/>
      </w:rPr>
    </w:lvl>
  </w:abstractNum>
  <w:abstractNum w:abstractNumId="46">
    <w:nsid w:val="53730CC6"/>
    <w:multiLevelType w:val="singleLevel"/>
    <w:tmpl w:val="53730CC6"/>
    <w:lvl w:ilvl="0" w:tentative="0">
      <w:start w:val="1"/>
      <w:numFmt w:val="decimal"/>
      <w:suff w:val="nothing"/>
      <w:lvlText w:val="（%1）"/>
      <w:lvlJc w:val="left"/>
    </w:lvl>
  </w:abstractNum>
  <w:abstractNum w:abstractNumId="47">
    <w:nsid w:val="59BA6B56"/>
    <w:multiLevelType w:val="multilevel"/>
    <w:tmpl w:val="59BA6B56"/>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48">
    <w:nsid w:val="5A758334"/>
    <w:multiLevelType w:val="singleLevel"/>
    <w:tmpl w:val="5A758334"/>
    <w:lvl w:ilvl="0" w:tentative="0">
      <w:start w:val="3"/>
      <w:numFmt w:val="chineseCounting"/>
      <w:suff w:val="nothing"/>
      <w:lvlText w:val="%1、"/>
      <w:lvlJc w:val="left"/>
      <w:rPr>
        <w:rFonts w:hint="eastAsia"/>
      </w:rPr>
    </w:lvl>
  </w:abstractNum>
  <w:abstractNum w:abstractNumId="49">
    <w:nsid w:val="5C614511"/>
    <w:multiLevelType w:val="multilevel"/>
    <w:tmpl w:val="5C614511"/>
    <w:lvl w:ilvl="0" w:tentative="0">
      <w:start w:val="1"/>
      <w:numFmt w:val="decimal"/>
      <w:lvlText w:val="%1."/>
      <w:lvlJc w:val="left"/>
      <w:pPr>
        <w:ind w:left="220" w:hanging="22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50">
    <w:nsid w:val="5EB1EC58"/>
    <w:multiLevelType w:val="singleLevel"/>
    <w:tmpl w:val="5EB1EC58"/>
    <w:lvl w:ilvl="0" w:tentative="0">
      <w:start w:val="1"/>
      <w:numFmt w:val="decimal"/>
      <w:suff w:val="nothing"/>
      <w:lvlText w:val="（%1）"/>
      <w:lvlJc w:val="left"/>
    </w:lvl>
  </w:abstractNum>
  <w:abstractNum w:abstractNumId="51">
    <w:nsid w:val="5FB1098B"/>
    <w:multiLevelType w:val="singleLevel"/>
    <w:tmpl w:val="5FB1098B"/>
    <w:lvl w:ilvl="0" w:tentative="0">
      <w:start w:val="2"/>
      <w:numFmt w:val="chineseCounting"/>
      <w:suff w:val="nothing"/>
      <w:lvlText w:val="（%1）"/>
      <w:lvlJc w:val="left"/>
      <w:rPr>
        <w:rFonts w:hint="eastAsia"/>
      </w:rPr>
    </w:lvl>
  </w:abstractNum>
  <w:abstractNum w:abstractNumId="52">
    <w:nsid w:val="60E53B28"/>
    <w:multiLevelType w:val="singleLevel"/>
    <w:tmpl w:val="60E53B28"/>
    <w:lvl w:ilvl="0" w:tentative="0">
      <w:start w:val="1"/>
      <w:numFmt w:val="chineseCounting"/>
      <w:suff w:val="nothing"/>
      <w:lvlText w:val="（%1）"/>
      <w:lvlJc w:val="left"/>
      <w:rPr>
        <w:rFonts w:hint="eastAsia"/>
      </w:rPr>
    </w:lvl>
  </w:abstractNum>
  <w:abstractNum w:abstractNumId="53">
    <w:nsid w:val="63364F8F"/>
    <w:multiLevelType w:val="singleLevel"/>
    <w:tmpl w:val="63364F8F"/>
    <w:lvl w:ilvl="0" w:tentative="0">
      <w:start w:val="1"/>
      <w:numFmt w:val="chineseCounting"/>
      <w:suff w:val="nothing"/>
      <w:lvlText w:val="%1、"/>
      <w:lvlJc w:val="left"/>
      <w:rPr>
        <w:rFonts w:hint="eastAsia"/>
      </w:rPr>
    </w:lvl>
  </w:abstractNum>
  <w:abstractNum w:abstractNumId="54">
    <w:nsid w:val="68F851B0"/>
    <w:multiLevelType w:val="multilevel"/>
    <w:tmpl w:val="68F851B0"/>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5">
    <w:nsid w:val="6A2D20FA"/>
    <w:multiLevelType w:val="multilevel"/>
    <w:tmpl w:val="6A2D20FA"/>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56">
    <w:nsid w:val="6DCF9BE4"/>
    <w:multiLevelType w:val="singleLevel"/>
    <w:tmpl w:val="6DCF9BE4"/>
    <w:lvl w:ilvl="0" w:tentative="0">
      <w:start w:val="3"/>
      <w:numFmt w:val="chineseCounting"/>
      <w:suff w:val="nothing"/>
      <w:lvlText w:val="（%1）"/>
      <w:lvlJc w:val="left"/>
      <w:rPr>
        <w:rFonts w:hint="eastAsia"/>
      </w:rPr>
    </w:lvl>
  </w:abstractNum>
  <w:abstractNum w:abstractNumId="57">
    <w:nsid w:val="70BE6B66"/>
    <w:multiLevelType w:val="singleLevel"/>
    <w:tmpl w:val="70BE6B66"/>
    <w:lvl w:ilvl="0" w:tentative="0">
      <w:start w:val="2"/>
      <w:numFmt w:val="chineseCounting"/>
      <w:suff w:val="nothing"/>
      <w:lvlText w:val="（%1）"/>
      <w:lvlJc w:val="left"/>
      <w:rPr>
        <w:rFonts w:hint="eastAsia"/>
      </w:rPr>
    </w:lvl>
  </w:abstractNum>
  <w:abstractNum w:abstractNumId="58">
    <w:nsid w:val="717F69EF"/>
    <w:multiLevelType w:val="multilevel"/>
    <w:tmpl w:val="717F69EF"/>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59">
    <w:nsid w:val="72627BB9"/>
    <w:multiLevelType w:val="multilevel"/>
    <w:tmpl w:val="72627BB9"/>
    <w:lvl w:ilvl="0" w:tentative="0">
      <w:start w:val="1"/>
      <w:numFmt w:val="decimal"/>
      <w:lvlText w:val="%1."/>
      <w:lvlJc w:val="left"/>
      <w:pPr>
        <w:ind w:left="220" w:hanging="22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60">
    <w:nsid w:val="74365B1F"/>
    <w:multiLevelType w:val="singleLevel"/>
    <w:tmpl w:val="74365B1F"/>
    <w:lvl w:ilvl="0" w:tentative="0">
      <w:start w:val="1"/>
      <w:numFmt w:val="decimal"/>
      <w:lvlText w:val="%1."/>
      <w:lvlJc w:val="left"/>
      <w:pPr>
        <w:tabs>
          <w:tab w:val="left" w:pos="312"/>
        </w:tabs>
      </w:pPr>
    </w:lvl>
  </w:abstractNum>
  <w:abstractNum w:abstractNumId="61">
    <w:nsid w:val="78D97FB1"/>
    <w:multiLevelType w:val="multilevel"/>
    <w:tmpl w:val="78D97FB1"/>
    <w:lvl w:ilvl="0" w:tentative="0">
      <w:start w:val="1"/>
      <w:numFmt w:val="decimal"/>
      <w:lvlText w:val="%1."/>
      <w:lvlJc w:val="left"/>
      <w:pPr>
        <w:ind w:left="220" w:hanging="22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62">
    <w:nsid w:val="7C7BCEDD"/>
    <w:multiLevelType w:val="singleLevel"/>
    <w:tmpl w:val="7C7BCEDD"/>
    <w:lvl w:ilvl="0" w:tentative="0">
      <w:start w:val="1"/>
      <w:numFmt w:val="decimal"/>
      <w:suff w:val="nothing"/>
      <w:lvlText w:val="（%1）"/>
      <w:lvlJc w:val="left"/>
    </w:lvl>
  </w:abstractNum>
  <w:abstractNum w:abstractNumId="63">
    <w:nsid w:val="7DEF0133"/>
    <w:multiLevelType w:val="multilevel"/>
    <w:tmpl w:val="7DEF0133"/>
    <w:lvl w:ilvl="0" w:tentative="0">
      <w:start w:val="1"/>
      <w:numFmt w:val="decimal"/>
      <w:lvlText w:val="%1."/>
      <w:lvlJc w:val="left"/>
      <w:pPr>
        <w:ind w:left="220" w:hanging="22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num w:numId="1">
    <w:abstractNumId w:val="60"/>
  </w:num>
  <w:num w:numId="2">
    <w:abstractNumId w:val="15"/>
  </w:num>
  <w:num w:numId="3">
    <w:abstractNumId w:val="37"/>
  </w:num>
  <w:num w:numId="4">
    <w:abstractNumId w:val="4"/>
  </w:num>
  <w:num w:numId="5">
    <w:abstractNumId w:val="21"/>
  </w:num>
  <w:num w:numId="6">
    <w:abstractNumId w:val="7"/>
  </w:num>
  <w:num w:numId="7">
    <w:abstractNumId w:val="18"/>
  </w:num>
  <w:num w:numId="8">
    <w:abstractNumId w:val="23"/>
  </w:num>
  <w:num w:numId="9">
    <w:abstractNumId w:val="17"/>
  </w:num>
  <w:num w:numId="10">
    <w:abstractNumId w:val="52"/>
  </w:num>
  <w:num w:numId="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45"/>
  </w:num>
  <w:num w:numId="27">
    <w:abstractNumId w:val="62"/>
  </w:num>
  <w:num w:numId="28">
    <w:abstractNumId w:val="10"/>
  </w:num>
  <w:num w:numId="29">
    <w:abstractNumId w:val="34"/>
  </w:num>
  <w:num w:numId="30">
    <w:abstractNumId w:val="36"/>
  </w:num>
  <w:num w:numId="31">
    <w:abstractNumId w:val="13"/>
  </w:num>
  <w:num w:numId="32">
    <w:abstractNumId w:val="35"/>
  </w:num>
  <w:num w:numId="33">
    <w:abstractNumId w:val="38"/>
  </w:num>
  <w:num w:numId="34">
    <w:abstractNumId w:val="14"/>
  </w:num>
  <w:num w:numId="35">
    <w:abstractNumId w:val="20"/>
  </w:num>
  <w:num w:numId="36">
    <w:abstractNumId w:val="2"/>
  </w:num>
  <w:num w:numId="37">
    <w:abstractNumId w:val="51"/>
  </w:num>
  <w:num w:numId="38">
    <w:abstractNumId w:val="5"/>
  </w:num>
  <w:num w:numId="39">
    <w:abstractNumId w:val="9"/>
  </w:num>
  <w:num w:numId="40">
    <w:abstractNumId w:val="50"/>
  </w:num>
  <w:num w:numId="41">
    <w:abstractNumId w:val="8"/>
  </w:num>
  <w:num w:numId="42">
    <w:abstractNumId w:val="0"/>
  </w:num>
  <w:num w:numId="43">
    <w:abstractNumId w:val="28"/>
  </w:num>
  <w:num w:numId="44">
    <w:abstractNumId w:val="11"/>
  </w:num>
  <w:num w:numId="45">
    <w:abstractNumId w:val="6"/>
  </w:num>
  <w:num w:numId="46">
    <w:abstractNumId w:val="40"/>
  </w:num>
  <w:num w:numId="47">
    <w:abstractNumId w:val="42"/>
  </w:num>
  <w:num w:numId="48">
    <w:abstractNumId w:val="3"/>
  </w:num>
  <w:num w:numId="49">
    <w:abstractNumId w:val="46"/>
  </w:num>
  <w:num w:numId="50">
    <w:abstractNumId w:val="53"/>
  </w:num>
  <w:num w:numId="51">
    <w:abstractNumId w:val="56"/>
  </w:num>
  <w:num w:numId="52">
    <w:abstractNumId w:val="12"/>
  </w:num>
  <w:num w:numId="53">
    <w:abstractNumId w:val="54"/>
  </w:num>
  <w:num w:numId="54">
    <w:abstractNumId w:val="30"/>
  </w:num>
  <w:num w:numId="55">
    <w:abstractNumId w:val="19"/>
  </w:num>
  <w:num w:numId="56">
    <w:abstractNumId w:val="22"/>
  </w:num>
  <w:num w:numId="57">
    <w:abstractNumId w:val="48"/>
  </w:num>
  <w:num w:numId="58">
    <w:abstractNumId w:val="16"/>
  </w:num>
  <w:num w:numId="59">
    <w:abstractNumId w:val="33"/>
  </w:num>
  <w:num w:numId="60">
    <w:abstractNumId w:val="41"/>
  </w:num>
  <w:num w:numId="61">
    <w:abstractNumId w:val="27"/>
  </w:num>
  <w:num w:numId="62">
    <w:abstractNumId w:val="29"/>
  </w:num>
  <w:num w:numId="63">
    <w:abstractNumId w:val="57"/>
  </w:num>
  <w:num w:numId="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NjY1NzkxOTQwZjIyNWY0ODVhMzdkNjQ5MzlhZjcifQ=="/>
  </w:docVars>
  <w:rsids>
    <w:rsidRoot w:val="770800B2"/>
    <w:rsid w:val="005C7292"/>
    <w:rsid w:val="00844A16"/>
    <w:rsid w:val="00AA5169"/>
    <w:rsid w:val="00C37F83"/>
    <w:rsid w:val="00F30D3F"/>
    <w:rsid w:val="037E0008"/>
    <w:rsid w:val="19D379B8"/>
    <w:rsid w:val="1D381902"/>
    <w:rsid w:val="29233D8C"/>
    <w:rsid w:val="293F2551"/>
    <w:rsid w:val="312045E5"/>
    <w:rsid w:val="338E4DE3"/>
    <w:rsid w:val="35005D78"/>
    <w:rsid w:val="38BB7B3D"/>
    <w:rsid w:val="46792C47"/>
    <w:rsid w:val="48716194"/>
    <w:rsid w:val="4E886971"/>
    <w:rsid w:val="52C15030"/>
    <w:rsid w:val="5A545D61"/>
    <w:rsid w:val="64760052"/>
    <w:rsid w:val="69232583"/>
    <w:rsid w:val="6B193742"/>
    <w:rsid w:val="6D1312C0"/>
    <w:rsid w:val="7115208A"/>
    <w:rsid w:val="751704D5"/>
    <w:rsid w:val="770800B2"/>
    <w:rsid w:val="7CBC4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3"/>
    <w:link w:val="29"/>
    <w:qFormat/>
    <w:uiPriority w:val="0"/>
    <w:pPr>
      <w:keepNext/>
      <w:keepLines/>
      <w:spacing w:before="340" w:after="330" w:line="576" w:lineRule="auto"/>
      <w:outlineLvl w:val="0"/>
    </w:pPr>
    <w:rPr>
      <w:kern w:val="44"/>
      <w:sz w:val="44"/>
    </w:rPr>
  </w:style>
  <w:style w:type="paragraph" w:styleId="4">
    <w:name w:val="heading 2"/>
    <w:basedOn w:val="1"/>
    <w:next w:val="1"/>
    <w:qFormat/>
    <w:uiPriority w:val="0"/>
    <w:pPr>
      <w:keepNext/>
      <w:keepLines/>
      <w:spacing w:before="260" w:after="260" w:line="416" w:lineRule="auto"/>
      <w:jc w:val="center"/>
      <w:outlineLvl w:val="1"/>
    </w:pPr>
    <w:rPr>
      <w:rFonts w:ascii="等线 Light" w:hAnsi="等线 Light" w:eastAsia="等线 Light"/>
      <w:b/>
      <w:bCs/>
      <w:sz w:val="32"/>
      <w:szCs w:val="32"/>
    </w:rPr>
  </w:style>
  <w:style w:type="paragraph" w:styleId="5">
    <w:name w:val="heading 5"/>
    <w:basedOn w:val="1"/>
    <w:qFormat/>
    <w:uiPriority w:val="9"/>
    <w:pPr>
      <w:widowControl/>
      <w:spacing w:before="100" w:beforeAutospacing="1" w:after="100" w:afterAutospacing="1"/>
      <w:jc w:val="left"/>
      <w:outlineLvl w:val="4"/>
    </w:pPr>
    <w:rPr>
      <w:rFonts w:ascii="宋体" w:hAnsi="宋体" w:eastAsia="宋体" w:cs="宋体"/>
      <w:b/>
      <w:bCs/>
      <w:kern w:val="0"/>
      <w:sz w:val="20"/>
      <w:szCs w:val="20"/>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41"/>
    <w:qFormat/>
    <w:uiPriority w:val="0"/>
    <w:pPr>
      <w:spacing w:before="240" w:after="60"/>
      <w:jc w:val="center"/>
      <w:outlineLvl w:val="0"/>
    </w:pPr>
    <w:rPr>
      <w:rFonts w:asciiTheme="majorHAnsi" w:hAnsiTheme="majorHAnsi" w:eastAsiaTheme="majorEastAsia" w:cstheme="majorBidi"/>
      <w:b/>
      <w:bCs/>
      <w:sz w:val="32"/>
      <w:szCs w:val="32"/>
    </w:rPr>
  </w:style>
  <w:style w:type="paragraph" w:styleId="6">
    <w:name w:val="Body Text"/>
    <w:basedOn w:val="1"/>
    <w:qFormat/>
    <w:uiPriority w:val="0"/>
    <w:pPr>
      <w:spacing w:after="120"/>
    </w:pPr>
    <w:rPr>
      <w:rFonts w:ascii="Book Antiqua" w:hAnsi="Book Antiqua" w:eastAsia="宋体" w:cs="Times New Roman"/>
      <w:sz w:val="24"/>
    </w:rPr>
  </w:style>
  <w:style w:type="paragraph" w:styleId="7">
    <w:name w:val="Body Text Indent"/>
    <w:basedOn w:val="1"/>
    <w:qFormat/>
    <w:uiPriority w:val="0"/>
    <w:pPr>
      <w:spacing w:line="360" w:lineRule="auto"/>
      <w:ind w:firstLine="420" w:firstLineChars="200"/>
    </w:pPr>
    <w:rPr>
      <w:rFonts w:ascii="Calibri" w:hAnsi="Calibri" w:eastAsia="宋体" w:cs="Times New Roman"/>
      <w:lang w:val="zh-CN"/>
    </w:rPr>
  </w:style>
  <w:style w:type="paragraph" w:styleId="8">
    <w:name w:val="Plain Text"/>
    <w:basedOn w:val="1"/>
    <w:qFormat/>
    <w:uiPriority w:val="0"/>
    <w:rPr>
      <w:rFonts w:ascii="宋体" w:hAnsi="Courier New" w:eastAsia="宋体" w:cs="Times New Roman"/>
      <w:szCs w:val="21"/>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link w:val="39"/>
    <w:qFormat/>
    <w:uiPriority w:val="0"/>
    <w:pP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spacing w:before="120" w:after="120"/>
      <w:jc w:val="left"/>
    </w:pPr>
    <w:rPr>
      <w:rFonts w:eastAsiaTheme="minorHAnsi"/>
      <w:b/>
      <w:bCs/>
      <w:caps/>
      <w:sz w:val="20"/>
      <w:szCs w:val="20"/>
    </w:rPr>
  </w:style>
  <w:style w:type="paragraph" w:styleId="12">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Hyperlink"/>
    <w:basedOn w:val="15"/>
    <w:unhideWhenUsed/>
    <w:qFormat/>
    <w:uiPriority w:val="99"/>
    <w:rPr>
      <w:color w:val="0026E5" w:themeColor="hyperlink"/>
      <w:u w:val="single"/>
      <w14:textFill>
        <w14:solidFill>
          <w14:schemeClr w14:val="hlink"/>
        </w14:solidFill>
      </w14:textFill>
    </w:rPr>
  </w:style>
  <w:style w:type="table" w:customStyle="1" w:styleId="18">
    <w:name w:val="网格型16"/>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网格型17"/>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网格型18"/>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网格型19"/>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网格型20"/>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网格型21"/>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
    <w:name w:val="网格型22"/>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
    <w:name w:val="网格型23"/>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网格型24"/>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
    <w:name w:val="网格型25"/>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网格型2"/>
    <w:basedOn w:val="13"/>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
    <w:name w:val="标题 1 字符"/>
    <w:link w:val="2"/>
    <w:qFormat/>
    <w:uiPriority w:val="0"/>
    <w:rPr>
      <w:b/>
      <w:kern w:val="44"/>
      <w:sz w:val="44"/>
    </w:rPr>
  </w:style>
  <w:style w:type="paragraph" w:customStyle="1" w:styleId="30">
    <w:name w:val="列出段落1"/>
    <w:basedOn w:val="1"/>
    <w:qFormat/>
    <w:uiPriority w:val="99"/>
    <w:pPr>
      <w:ind w:firstLine="420" w:firstLineChars="200"/>
    </w:pPr>
    <w:rPr>
      <w:rFonts w:ascii="Calibri" w:hAnsi="Calibri" w:eastAsia="宋体" w:cs="Times New Roman"/>
    </w:rPr>
  </w:style>
  <w:style w:type="paragraph" w:customStyle="1" w:styleId="31">
    <w:name w:val="Table Text"/>
    <w:basedOn w:val="1"/>
    <w:semiHidden/>
    <w:qFormat/>
    <w:uiPriority w:val="0"/>
    <w:pPr>
      <w:widowControl/>
      <w:kinsoku w:val="0"/>
      <w:autoSpaceDE w:val="0"/>
      <w:autoSpaceDN w:val="0"/>
      <w:adjustRightInd w:val="0"/>
      <w:snapToGrid w:val="0"/>
      <w:jc w:val="left"/>
      <w:textAlignment w:val="baseline"/>
    </w:pPr>
    <w:rPr>
      <w:rFonts w:ascii="仿宋" w:hAnsi="仿宋" w:eastAsia="仿宋" w:cs="仿宋"/>
      <w:snapToGrid w:val="0"/>
      <w:color w:val="000000"/>
      <w:kern w:val="0"/>
      <w:sz w:val="30"/>
      <w:szCs w:val="30"/>
      <w:lang w:eastAsia="en-US"/>
    </w:rPr>
  </w:style>
  <w:style w:type="table" w:customStyle="1" w:styleId="32">
    <w:name w:val="Table Normal"/>
    <w:unhideWhenUsed/>
    <w:qFormat/>
    <w:uiPriority w:val="0"/>
    <w:tblPr>
      <w:tblCellMar>
        <w:top w:w="0" w:type="dxa"/>
        <w:left w:w="0" w:type="dxa"/>
        <w:bottom w:w="0" w:type="dxa"/>
        <w:right w:w="0" w:type="dxa"/>
      </w:tblCellMar>
    </w:tblPr>
  </w:style>
  <w:style w:type="table" w:customStyle="1" w:styleId="33">
    <w:name w:val="网格型1"/>
    <w:basedOn w:val="13"/>
    <w:autoRedefine/>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
    <w:name w:val="在表格内文字"/>
    <w:basedOn w:val="1"/>
    <w:autoRedefine/>
    <w:qFormat/>
    <w:uiPriority w:val="0"/>
    <w:rPr>
      <w:rFonts w:ascii="Times New Roman" w:hAnsi="Times New Roman" w:eastAsia="楷体" w:cs="Times New Roman"/>
    </w:rPr>
  </w:style>
  <w:style w:type="paragraph" w:styleId="35">
    <w:name w:val="List Paragraph"/>
    <w:basedOn w:val="1"/>
    <w:autoRedefine/>
    <w:qFormat/>
    <w:uiPriority w:val="34"/>
    <w:pPr>
      <w:ind w:firstLine="420" w:firstLineChars="200"/>
    </w:pPr>
    <w:rPr>
      <w:rFonts w:ascii="Times New Roman" w:hAnsi="Times New Roman" w:eastAsia="宋体" w:cs="Times New Roman"/>
    </w:rPr>
  </w:style>
  <w:style w:type="paragraph" w:customStyle="1" w:styleId="36">
    <w:name w:val="First Paragraph"/>
    <w:basedOn w:val="6"/>
    <w:next w:val="6"/>
    <w:qFormat/>
    <w:uiPriority w:val="0"/>
  </w:style>
  <w:style w:type="paragraph" w:customStyle="1" w:styleId="37">
    <w:name w:val="Compact"/>
    <w:basedOn w:val="6"/>
    <w:qFormat/>
    <w:uiPriority w:val="0"/>
    <w:pPr>
      <w:spacing w:before="36" w:after="36"/>
    </w:pPr>
  </w:style>
  <w:style w:type="table" w:customStyle="1" w:styleId="38">
    <w:name w:val="Table"/>
    <w:semiHidden/>
    <w:unhideWhenUsed/>
    <w:qFormat/>
    <w:uiPriority w:val="0"/>
    <w:pPr>
      <w:spacing w:after="200"/>
    </w:pPr>
    <w:rPr>
      <w:sz w:val="24"/>
      <w:szCs w:val="24"/>
      <w:lang w:eastAsia="en-US"/>
    </w:rPr>
    <w:tblPr>
      <w:tblCellMar>
        <w:top w:w="0" w:type="dxa"/>
        <w:left w:w="108" w:type="dxa"/>
        <w:bottom w:w="0" w:type="dxa"/>
        <w:right w:w="108" w:type="dxa"/>
      </w:tblCellMar>
    </w:tblPr>
    <w:tblStylePr w:type="firstRow">
      <w:tcPr>
        <w:tcBorders>
          <w:bottom w:val="single" w:color="auto" w:sz="0" w:space="0"/>
        </w:tcBorders>
        <w:vAlign w:val="bottom"/>
      </w:tcPr>
    </w:tblStylePr>
  </w:style>
  <w:style w:type="character" w:customStyle="1" w:styleId="39">
    <w:name w:val="页眉 字符"/>
    <w:basedOn w:val="15"/>
    <w:link w:val="10"/>
    <w:qFormat/>
    <w:uiPriority w:val="0"/>
    <w:rPr>
      <w:kern w:val="2"/>
      <w:sz w:val="18"/>
      <w:szCs w:val="18"/>
    </w:rPr>
  </w:style>
  <w:style w:type="table" w:customStyle="1" w:styleId="40">
    <w:name w:val="网格型3"/>
    <w:basedOn w:val="13"/>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1">
    <w:name w:val="标题 字符"/>
    <w:basedOn w:val="15"/>
    <w:link w:val="3"/>
    <w:qFormat/>
    <w:uiPriority w:val="0"/>
    <w:rPr>
      <w:rFonts w:asciiTheme="majorHAnsi" w:hAnsiTheme="majorHAnsi" w:eastAsiaTheme="majorEastAsia" w:cstheme="majorBidi"/>
      <w:b/>
      <w:bCs/>
      <w:kern w:val="2"/>
      <w:sz w:val="32"/>
      <w:szCs w:val="32"/>
    </w:rPr>
  </w:style>
  <w:style w:type="table" w:customStyle="1" w:styleId="42">
    <w:name w:val="网格型4"/>
    <w:basedOn w:val="13"/>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5"/>
    <w:basedOn w:val="13"/>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网格型6"/>
    <w:basedOn w:val="13"/>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
    <w:name w:val="font-symbol"/>
    <w:basedOn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oleObject" Target="embeddings/oleObject3.bin"/><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numbering" Target="numbering.xml"/><Relationship Id="rId70" Type="http://schemas.openxmlformats.org/officeDocument/2006/relationships/oleObject" Target="embeddings/oleObject60.bin"/><Relationship Id="rId7" Type="http://schemas.openxmlformats.org/officeDocument/2006/relationships/image" Target="media/image2.wmf"/><Relationship Id="rId69" Type="http://schemas.openxmlformats.org/officeDocument/2006/relationships/oleObject" Target="embeddings/oleObject59.bin"/><Relationship Id="rId68" Type="http://schemas.openxmlformats.org/officeDocument/2006/relationships/oleObject" Target="embeddings/oleObject58.bin"/><Relationship Id="rId67" Type="http://schemas.openxmlformats.org/officeDocument/2006/relationships/oleObject" Target="embeddings/oleObject57.bin"/><Relationship Id="rId66" Type="http://schemas.openxmlformats.org/officeDocument/2006/relationships/oleObject" Target="embeddings/oleObject56.bin"/><Relationship Id="rId65" Type="http://schemas.openxmlformats.org/officeDocument/2006/relationships/oleObject" Target="embeddings/oleObject55.bin"/><Relationship Id="rId64" Type="http://schemas.openxmlformats.org/officeDocument/2006/relationships/oleObject" Target="embeddings/oleObject54.bin"/><Relationship Id="rId63" Type="http://schemas.openxmlformats.org/officeDocument/2006/relationships/oleObject" Target="embeddings/oleObject53.bin"/><Relationship Id="rId62" Type="http://schemas.openxmlformats.org/officeDocument/2006/relationships/oleObject" Target="embeddings/oleObject52.bin"/><Relationship Id="rId61" Type="http://schemas.openxmlformats.org/officeDocument/2006/relationships/oleObject" Target="embeddings/oleObject51.bin"/><Relationship Id="rId60" Type="http://schemas.openxmlformats.org/officeDocument/2006/relationships/oleObject" Target="embeddings/oleObject50.bin"/><Relationship Id="rId6" Type="http://schemas.openxmlformats.org/officeDocument/2006/relationships/oleObject" Target="embeddings/oleObject2.bin"/><Relationship Id="rId59" Type="http://schemas.openxmlformats.org/officeDocument/2006/relationships/oleObject" Target="embeddings/oleObject49.bin"/><Relationship Id="rId58" Type="http://schemas.openxmlformats.org/officeDocument/2006/relationships/oleObject" Target="embeddings/oleObject48.bin"/><Relationship Id="rId57" Type="http://schemas.openxmlformats.org/officeDocument/2006/relationships/oleObject" Target="embeddings/oleObject47.bin"/><Relationship Id="rId56" Type="http://schemas.openxmlformats.org/officeDocument/2006/relationships/oleObject" Target="embeddings/oleObject46.bin"/><Relationship Id="rId55" Type="http://schemas.openxmlformats.org/officeDocument/2006/relationships/oleObject" Target="embeddings/oleObject45.bin"/><Relationship Id="rId54" Type="http://schemas.openxmlformats.org/officeDocument/2006/relationships/oleObject" Target="embeddings/oleObject44.bin"/><Relationship Id="rId53" Type="http://schemas.openxmlformats.org/officeDocument/2006/relationships/oleObject" Target="embeddings/oleObject43.bin"/><Relationship Id="rId52" Type="http://schemas.openxmlformats.org/officeDocument/2006/relationships/oleObject" Target="embeddings/oleObject42.bin"/><Relationship Id="rId51" Type="http://schemas.openxmlformats.org/officeDocument/2006/relationships/oleObject" Target="embeddings/oleObject41.bin"/><Relationship Id="rId50" Type="http://schemas.openxmlformats.org/officeDocument/2006/relationships/oleObject" Target="embeddings/oleObject40.bin"/><Relationship Id="rId5" Type="http://schemas.openxmlformats.org/officeDocument/2006/relationships/image" Target="media/image1.wmf"/><Relationship Id="rId49" Type="http://schemas.openxmlformats.org/officeDocument/2006/relationships/oleObject" Target="embeddings/oleObject39.bin"/><Relationship Id="rId48" Type="http://schemas.openxmlformats.org/officeDocument/2006/relationships/oleObject" Target="embeddings/oleObject38.bin"/><Relationship Id="rId47" Type="http://schemas.openxmlformats.org/officeDocument/2006/relationships/oleObject" Target="embeddings/oleObject37.bin"/><Relationship Id="rId46" Type="http://schemas.openxmlformats.org/officeDocument/2006/relationships/image" Target="media/image7.jpeg"/><Relationship Id="rId45" Type="http://schemas.openxmlformats.org/officeDocument/2006/relationships/oleObject" Target="embeddings/oleObject36.bin"/><Relationship Id="rId44" Type="http://schemas.openxmlformats.org/officeDocument/2006/relationships/oleObject" Target="embeddings/oleObject35.bin"/><Relationship Id="rId43" Type="http://schemas.openxmlformats.org/officeDocument/2006/relationships/oleObject" Target="embeddings/oleObject34.bin"/><Relationship Id="rId42" Type="http://schemas.openxmlformats.org/officeDocument/2006/relationships/oleObject" Target="embeddings/oleObject33.bin"/><Relationship Id="rId41" Type="http://schemas.openxmlformats.org/officeDocument/2006/relationships/oleObject" Target="embeddings/oleObject32.bin"/><Relationship Id="rId40" Type="http://schemas.openxmlformats.org/officeDocument/2006/relationships/oleObject" Target="embeddings/oleObject31.bin"/><Relationship Id="rId4" Type="http://schemas.openxmlformats.org/officeDocument/2006/relationships/oleObject" Target="embeddings/oleObject1.bin"/><Relationship Id="rId39" Type="http://schemas.openxmlformats.org/officeDocument/2006/relationships/oleObject" Target="embeddings/oleObject30.bin"/><Relationship Id="rId38" Type="http://schemas.openxmlformats.org/officeDocument/2006/relationships/oleObject" Target="embeddings/oleObject29.bin"/><Relationship Id="rId37" Type="http://schemas.openxmlformats.org/officeDocument/2006/relationships/oleObject" Target="embeddings/oleObject28.bin"/><Relationship Id="rId36" Type="http://schemas.openxmlformats.org/officeDocument/2006/relationships/oleObject" Target="embeddings/oleObject27.bin"/><Relationship Id="rId35" Type="http://schemas.openxmlformats.org/officeDocument/2006/relationships/oleObject" Target="embeddings/oleObject26.bin"/><Relationship Id="rId34" Type="http://schemas.openxmlformats.org/officeDocument/2006/relationships/oleObject" Target="embeddings/oleObject25.bin"/><Relationship Id="rId33" Type="http://schemas.openxmlformats.org/officeDocument/2006/relationships/oleObject" Target="embeddings/oleObject24.bin"/><Relationship Id="rId32" Type="http://schemas.openxmlformats.org/officeDocument/2006/relationships/oleObject" Target="embeddings/oleObject23.bin"/><Relationship Id="rId31" Type="http://schemas.openxmlformats.org/officeDocument/2006/relationships/oleObject" Target="embeddings/oleObject22.bin"/><Relationship Id="rId30" Type="http://schemas.openxmlformats.org/officeDocument/2006/relationships/oleObject" Target="embeddings/oleObject21.bin"/><Relationship Id="rId3" Type="http://schemas.openxmlformats.org/officeDocument/2006/relationships/theme" Target="theme/theme1.xml"/><Relationship Id="rId29" Type="http://schemas.openxmlformats.org/officeDocument/2006/relationships/oleObject" Target="embeddings/oleObject20.bin"/><Relationship Id="rId28" Type="http://schemas.openxmlformats.org/officeDocument/2006/relationships/oleObject" Target="embeddings/oleObject19.bin"/><Relationship Id="rId27" Type="http://schemas.openxmlformats.org/officeDocument/2006/relationships/oleObject" Target="embeddings/oleObject18.bin"/><Relationship Id="rId26" Type="http://schemas.openxmlformats.org/officeDocument/2006/relationships/oleObject" Target="embeddings/oleObject17.bin"/><Relationship Id="rId25" Type="http://schemas.openxmlformats.org/officeDocument/2006/relationships/oleObject" Target="embeddings/oleObject16.bin"/><Relationship Id="rId24" Type="http://schemas.openxmlformats.org/officeDocument/2006/relationships/oleObject" Target="embeddings/oleObject15.bin"/><Relationship Id="rId23" Type="http://schemas.openxmlformats.org/officeDocument/2006/relationships/oleObject" Target="embeddings/oleObject14.bin"/><Relationship Id="rId22" Type="http://schemas.openxmlformats.org/officeDocument/2006/relationships/oleObject" Target="embeddings/oleObject13.bin"/><Relationship Id="rId21" Type="http://schemas.openxmlformats.org/officeDocument/2006/relationships/oleObject" Target="embeddings/oleObject12.bin"/><Relationship Id="rId20" Type="http://schemas.openxmlformats.org/officeDocument/2006/relationships/oleObject" Target="embeddings/oleObject11.bin"/><Relationship Id="rId2" Type="http://schemas.openxmlformats.org/officeDocument/2006/relationships/settings" Target="settings.xml"/><Relationship Id="rId19" Type="http://schemas.openxmlformats.org/officeDocument/2006/relationships/oleObject" Target="embeddings/oleObject10.bin"/><Relationship Id="rId18" Type="http://schemas.openxmlformats.org/officeDocument/2006/relationships/oleObject" Target="embeddings/oleObject9.bin"/><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oleObject" Target="embeddings/oleObject8.bin"/><Relationship Id="rId12" Type="http://schemas.openxmlformats.org/officeDocument/2006/relationships/oleObject" Target="embeddings/oleObject7.bin"/><Relationship Id="rId11" Type="http://schemas.openxmlformats.org/officeDocument/2006/relationships/oleObject" Target="embeddings/oleObject6.bin"/><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B7B03-362B-49AF-B56C-C69FFC0F8350}">
  <ds:schemaRefs/>
</ds:datastoreItem>
</file>

<file path=docProps/app.xml><?xml version="1.0" encoding="utf-8"?>
<Properties xmlns="http://schemas.openxmlformats.org/officeDocument/2006/extended-properties" xmlns:vt="http://schemas.openxmlformats.org/officeDocument/2006/docPropsVTypes">
  <Template>Normal</Template>
  <Pages>566</Pages>
  <Words>2471</Words>
  <Characters>2775</Characters>
  <Lines>2455</Lines>
  <Paragraphs>691</Paragraphs>
  <TotalTime>6</TotalTime>
  <ScaleCrop>false</ScaleCrop>
  <LinksUpToDate>false</LinksUpToDate>
  <CharactersWithSpaces>3053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2024-11-19T10:25:00Z</dcterms:created>
  <dc:creator>WPS_1667044259</dc:creator>
  <cp:lastModifiedBy>香</cp:lastModifiedBy>
  <dcterms:modified xsi:type="dcterms:W3CDTF">2025-09-08T06:13:36Z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5C244FC0A21A4DDE8AD9672B1F556103_13</vt:lpwstr>
  </property>
  <property fmtid="{D5CDD505-2E9C-101B-9397-08002B2CF9AE}" pid="4" name="KSOTemplateDocerSaveRecord">
    <vt:lpwstr>eyJoZGlkIjoiMzEwNTM5NzYwMDRjMzkwZTVkZjY2ODkwMGIxNGU0OTUiLCJ1c2VySWQiOiI1MjQ3MDA0MjIifQ==</vt:lpwstr>
  </property>
</Properties>
</file>